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05D1" w:rsidR="009D6B6D" w:rsidP="001D2EC1" w:rsidRDefault="001D2EC1" w14:paraId="2AAF5762" w14:textId="77777777">
      <w:pPr>
        <w:widowControl/>
        <w:tabs>
          <w:tab w:val="center" w:pos="5040"/>
        </w:tabs>
        <w:jc w:val="center"/>
        <w:rPr>
          <w:sz w:val="26"/>
          <w:szCs w:val="26"/>
        </w:rPr>
      </w:pPr>
      <w:r w:rsidRPr="00F405D1">
        <w:rPr>
          <w:sz w:val="26"/>
          <w:szCs w:val="26"/>
        </w:rPr>
        <w:t>Supporting Statement for</w:t>
      </w:r>
    </w:p>
    <w:p w:rsidR="00FD56B2" w:rsidP="001D2EC1" w:rsidRDefault="00670222" w14:paraId="2984335D" w14:textId="77777777">
      <w:pPr>
        <w:widowControl/>
        <w:tabs>
          <w:tab w:val="center" w:pos="5040"/>
        </w:tabs>
        <w:jc w:val="center"/>
        <w:rPr>
          <w:b/>
          <w:sz w:val="26"/>
          <w:szCs w:val="26"/>
        </w:rPr>
      </w:pPr>
      <w:r>
        <w:rPr>
          <w:b/>
          <w:bCs/>
          <w:sz w:val="26"/>
          <w:szCs w:val="26"/>
        </w:rPr>
        <w:t xml:space="preserve">Proposed </w:t>
      </w:r>
      <w:r w:rsidR="00D90459">
        <w:rPr>
          <w:b/>
          <w:bCs/>
          <w:sz w:val="26"/>
          <w:szCs w:val="26"/>
        </w:rPr>
        <w:t>FERC-1004</w:t>
      </w:r>
      <w:r w:rsidRPr="00F405D1" w:rsidR="009D6B6D">
        <w:rPr>
          <w:b/>
          <w:bCs/>
          <w:sz w:val="26"/>
          <w:szCs w:val="26"/>
        </w:rPr>
        <w:t xml:space="preserve">, </w:t>
      </w:r>
      <w:r w:rsidR="005D24A1">
        <w:rPr>
          <w:b/>
          <w:sz w:val="26"/>
          <w:szCs w:val="26"/>
        </w:rPr>
        <w:t xml:space="preserve">One-Time Reports on </w:t>
      </w:r>
    </w:p>
    <w:p w:rsidRPr="00F405D1" w:rsidR="009D6B6D" w:rsidP="001D2EC1" w:rsidRDefault="005D24A1" w14:paraId="23B80E1D" w14:textId="40D43F11">
      <w:pPr>
        <w:widowControl/>
        <w:tabs>
          <w:tab w:val="center" w:pos="5040"/>
        </w:tabs>
        <w:jc w:val="center"/>
        <w:rPr>
          <w:b/>
          <w:sz w:val="26"/>
          <w:szCs w:val="26"/>
        </w:rPr>
      </w:pPr>
      <w:r>
        <w:rPr>
          <w:b/>
          <w:sz w:val="26"/>
          <w:szCs w:val="26"/>
        </w:rPr>
        <w:t>Extreme Weather Vulnerability Assessments</w:t>
      </w:r>
    </w:p>
    <w:p w:rsidRPr="00F405D1" w:rsidR="009D6B6D" w:rsidP="001D2EC1" w:rsidRDefault="009D6B6D" w14:paraId="67023B42" w14:textId="77777777">
      <w:pPr>
        <w:widowControl/>
        <w:tabs>
          <w:tab w:val="center" w:pos="5040"/>
        </w:tabs>
        <w:jc w:val="center"/>
        <w:rPr>
          <w:sz w:val="26"/>
          <w:szCs w:val="26"/>
        </w:rPr>
      </w:pPr>
    </w:p>
    <w:p w:rsidRPr="00F405D1" w:rsidR="009D6B6D" w:rsidP="001F3ADE" w:rsidRDefault="009D6B6D" w14:paraId="5BA8532D" w14:textId="12F743C2">
      <w:pPr>
        <w:widowControl/>
        <w:tabs>
          <w:tab w:val="center" w:pos="5040"/>
        </w:tabs>
        <w:rPr>
          <w:b/>
          <w:sz w:val="26"/>
          <w:szCs w:val="26"/>
        </w:rPr>
      </w:pPr>
      <w:r w:rsidRPr="00F405D1">
        <w:rPr>
          <w:bCs/>
          <w:sz w:val="26"/>
          <w:szCs w:val="26"/>
        </w:rPr>
        <w:t xml:space="preserve">The Federal Energy Regulatory Commission (Commission or FERC) requests that the Office of Management and Budget (OMB) review and approve </w:t>
      </w:r>
      <w:r w:rsidR="00D90459">
        <w:rPr>
          <w:bCs/>
          <w:sz w:val="26"/>
          <w:szCs w:val="26"/>
        </w:rPr>
        <w:t>FERC-1004</w:t>
      </w:r>
      <w:r w:rsidRPr="00F405D1" w:rsidR="00694EA4">
        <w:rPr>
          <w:bCs/>
          <w:sz w:val="26"/>
          <w:szCs w:val="26"/>
        </w:rPr>
        <w:t xml:space="preserve">, </w:t>
      </w:r>
      <w:r w:rsidRPr="002754BE" w:rsidR="005D24A1">
        <w:rPr>
          <w:bCs/>
          <w:sz w:val="26"/>
          <w:szCs w:val="26"/>
        </w:rPr>
        <w:t>One-Time Reports on Extreme Weather Vulnerability Assessments</w:t>
      </w:r>
      <w:r w:rsidRPr="00F405D1" w:rsidR="009D6B4D">
        <w:rPr>
          <w:sz w:val="26"/>
          <w:szCs w:val="26"/>
        </w:rPr>
        <w:t xml:space="preserve"> </w:t>
      </w:r>
      <w:r w:rsidRPr="00F405D1" w:rsidR="0035481D">
        <w:rPr>
          <w:bCs/>
          <w:sz w:val="26"/>
          <w:szCs w:val="26"/>
        </w:rPr>
        <w:t>(</w:t>
      </w:r>
      <w:r w:rsidRPr="00F405D1" w:rsidR="009D6B4D">
        <w:rPr>
          <w:bCs/>
          <w:sz w:val="26"/>
          <w:szCs w:val="26"/>
        </w:rPr>
        <w:t>OMB Control No. 1902-</w:t>
      </w:r>
      <w:r w:rsidR="00822AB6">
        <w:rPr>
          <w:bCs/>
          <w:sz w:val="26"/>
          <w:szCs w:val="26"/>
        </w:rPr>
        <w:t>TBD</w:t>
      </w:r>
      <w:r w:rsidRPr="00F405D1" w:rsidR="00E32773">
        <w:rPr>
          <w:bCs/>
          <w:sz w:val="26"/>
          <w:szCs w:val="26"/>
        </w:rPr>
        <w:t>)</w:t>
      </w:r>
      <w:r w:rsidRPr="00F405D1" w:rsidR="005D6791">
        <w:rPr>
          <w:bCs/>
          <w:sz w:val="26"/>
          <w:szCs w:val="26"/>
        </w:rPr>
        <w:t>,</w:t>
      </w:r>
      <w:r w:rsidRPr="00F405D1" w:rsidR="00E32773">
        <w:rPr>
          <w:bCs/>
          <w:sz w:val="26"/>
          <w:szCs w:val="26"/>
        </w:rPr>
        <w:t xml:space="preserve"> </w:t>
      </w:r>
      <w:r w:rsidR="00822AB6">
        <w:rPr>
          <w:bCs/>
          <w:sz w:val="26"/>
          <w:szCs w:val="26"/>
        </w:rPr>
        <w:t xml:space="preserve">as proposed in the Notice of Proposed Rulemaking (NOPR) in </w:t>
      </w:r>
      <w:r w:rsidRPr="007C3BBE" w:rsidR="00822AB6">
        <w:rPr>
          <w:bCs/>
          <w:sz w:val="26"/>
          <w:szCs w:val="26"/>
        </w:rPr>
        <w:t>Docket Nos</w:t>
      </w:r>
      <w:r w:rsidRPr="002754BE" w:rsidR="00822AB6">
        <w:rPr>
          <w:bCs/>
          <w:sz w:val="26"/>
          <w:szCs w:val="26"/>
        </w:rPr>
        <w:t>. RM</w:t>
      </w:r>
      <w:r w:rsidRPr="002754BE" w:rsidR="005D24A1">
        <w:rPr>
          <w:bCs/>
          <w:sz w:val="26"/>
          <w:szCs w:val="26"/>
        </w:rPr>
        <w:t>22</w:t>
      </w:r>
      <w:r w:rsidRPr="002754BE" w:rsidR="00822AB6">
        <w:rPr>
          <w:bCs/>
          <w:sz w:val="26"/>
          <w:szCs w:val="26"/>
        </w:rPr>
        <w:t>-</w:t>
      </w:r>
      <w:r w:rsidRPr="002754BE" w:rsidR="005D24A1">
        <w:rPr>
          <w:bCs/>
          <w:sz w:val="26"/>
          <w:szCs w:val="26"/>
        </w:rPr>
        <w:t>16</w:t>
      </w:r>
      <w:r w:rsidRPr="002754BE" w:rsidR="000D0584">
        <w:rPr>
          <w:bCs/>
          <w:sz w:val="26"/>
          <w:szCs w:val="26"/>
        </w:rPr>
        <w:t>-000</w:t>
      </w:r>
      <w:r w:rsidR="00822AB6">
        <w:rPr>
          <w:bCs/>
          <w:sz w:val="26"/>
          <w:szCs w:val="26"/>
        </w:rPr>
        <w:t xml:space="preserve"> and AD21-13</w:t>
      </w:r>
      <w:r w:rsidR="000D0584">
        <w:rPr>
          <w:bCs/>
          <w:sz w:val="26"/>
          <w:szCs w:val="26"/>
        </w:rPr>
        <w:t>-000</w:t>
      </w:r>
      <w:r w:rsidRPr="00F405D1">
        <w:rPr>
          <w:bCs/>
          <w:sz w:val="26"/>
          <w:szCs w:val="26"/>
        </w:rPr>
        <w:t xml:space="preserve">.  </w:t>
      </w:r>
      <w:r w:rsidR="00D90459">
        <w:rPr>
          <w:bCs/>
          <w:sz w:val="26"/>
          <w:szCs w:val="26"/>
        </w:rPr>
        <w:t>FERC-1004</w:t>
      </w:r>
      <w:r w:rsidRPr="00F405D1" w:rsidR="00CC615D">
        <w:rPr>
          <w:sz w:val="26"/>
          <w:szCs w:val="26"/>
        </w:rPr>
        <w:t xml:space="preserve"> is </w:t>
      </w:r>
      <w:r w:rsidR="00935956">
        <w:rPr>
          <w:sz w:val="26"/>
          <w:szCs w:val="26"/>
        </w:rPr>
        <w:t xml:space="preserve">a proposed one-time </w:t>
      </w:r>
      <w:r w:rsidR="00055996">
        <w:rPr>
          <w:sz w:val="26"/>
          <w:szCs w:val="26"/>
        </w:rPr>
        <w:t xml:space="preserve">information </w:t>
      </w:r>
      <w:r w:rsidR="00935956">
        <w:rPr>
          <w:sz w:val="26"/>
          <w:szCs w:val="26"/>
        </w:rPr>
        <w:t>collection</w:t>
      </w:r>
      <w:r w:rsidR="00055996">
        <w:rPr>
          <w:sz w:val="26"/>
          <w:szCs w:val="26"/>
        </w:rPr>
        <w:t>, to be imposed on transmission providers and transmission owners</w:t>
      </w:r>
      <w:r w:rsidR="005D24A1">
        <w:rPr>
          <w:sz w:val="26"/>
          <w:szCs w:val="26"/>
        </w:rPr>
        <w:t xml:space="preserve"> within RTO/ISOs</w:t>
      </w:r>
      <w:r w:rsidR="00935956">
        <w:rPr>
          <w:sz w:val="26"/>
          <w:szCs w:val="26"/>
        </w:rPr>
        <w:t xml:space="preserve">. </w:t>
      </w:r>
    </w:p>
    <w:p w:rsidRPr="00F405D1" w:rsidR="009D6B6D" w:rsidP="001D2EC1" w:rsidRDefault="009D6B6D" w14:paraId="638BDD62" w14:textId="77777777">
      <w:pPr>
        <w:widowControl/>
        <w:rPr>
          <w:sz w:val="26"/>
          <w:szCs w:val="26"/>
        </w:rPr>
      </w:pPr>
    </w:p>
    <w:p w:rsidRPr="0060237D" w:rsidR="00CC2D53" w:rsidP="00E71D5C" w:rsidRDefault="009D6B6D" w14:paraId="05E5E219" w14:textId="392FF248">
      <w:pPr>
        <w:pStyle w:val="ListParagraph"/>
        <w:numPr>
          <w:ilvl w:val="0"/>
          <w:numId w:val="19"/>
        </w:numPr>
        <w:ind w:left="720" w:hanging="540"/>
        <w:rPr>
          <w:rFonts w:ascii="Times New Roman" w:hAnsi="Times New Roman"/>
          <w:b/>
          <w:sz w:val="26"/>
          <w:szCs w:val="26"/>
        </w:rPr>
      </w:pPr>
      <w:r w:rsidRPr="0060237D">
        <w:rPr>
          <w:rFonts w:ascii="Times New Roman" w:hAnsi="Times New Roman"/>
          <w:b/>
          <w:sz w:val="26"/>
          <w:szCs w:val="26"/>
        </w:rPr>
        <w:t>CIRCUMSTANCES THAT MAKE THE COLLECTION OF INFORMATION NECESSARY</w:t>
      </w:r>
    </w:p>
    <w:p w:rsidR="00A572CF" w:rsidP="00A572CF" w:rsidRDefault="00D1180A" w14:paraId="4B9E6E35" w14:textId="4A0EDF44">
      <w:pPr>
        <w:widowControl/>
        <w:rPr>
          <w:bCs/>
          <w:sz w:val="26"/>
          <w:szCs w:val="26"/>
        </w:rPr>
      </w:pPr>
      <w:r w:rsidRPr="00E71D5C">
        <w:rPr>
          <w:bCs/>
          <w:sz w:val="26"/>
          <w:szCs w:val="26"/>
        </w:rPr>
        <w:t>Pursuant to sections 205 and 206 of the FPA, the Commission must ensure that the rates, terms, and conditions of Commission-jurisdictional services are just and reasonable and not unduly discriminatory or preferential.</w:t>
      </w:r>
      <w:r w:rsidRPr="00E71D5C">
        <w:rPr>
          <w:bCs/>
          <w:sz w:val="26"/>
          <w:szCs w:val="26"/>
          <w:vertAlign w:val="superscript"/>
        </w:rPr>
        <w:footnoteReference w:id="2"/>
      </w:r>
      <w:r w:rsidRPr="00E71D5C">
        <w:rPr>
          <w:bCs/>
          <w:sz w:val="26"/>
          <w:szCs w:val="26"/>
        </w:rPr>
        <w:t xml:space="preserve">  The reports </w:t>
      </w:r>
      <w:r w:rsidR="00056E22">
        <w:rPr>
          <w:bCs/>
          <w:sz w:val="26"/>
          <w:szCs w:val="26"/>
        </w:rPr>
        <w:t>the Commission</w:t>
      </w:r>
      <w:r w:rsidRPr="00E71D5C">
        <w:rPr>
          <w:bCs/>
          <w:sz w:val="26"/>
          <w:szCs w:val="26"/>
        </w:rPr>
        <w:t xml:space="preserve"> propose</w:t>
      </w:r>
      <w:r w:rsidR="00056E22">
        <w:rPr>
          <w:bCs/>
          <w:sz w:val="26"/>
          <w:szCs w:val="26"/>
        </w:rPr>
        <w:t>s</w:t>
      </w:r>
      <w:r w:rsidRPr="00E71D5C">
        <w:rPr>
          <w:bCs/>
          <w:sz w:val="26"/>
          <w:szCs w:val="26"/>
        </w:rPr>
        <w:t xml:space="preserve"> to require, pursuant to our authority under FPA section 304, will enhance the Commission’s understanding of whether transmission providers</w:t>
      </w:r>
      <w:r w:rsidR="00E87E93">
        <w:rPr>
          <w:bCs/>
          <w:sz w:val="26"/>
          <w:szCs w:val="26"/>
        </w:rPr>
        <w:t xml:space="preserve"> </w:t>
      </w:r>
      <w:r w:rsidRPr="00E71D5C">
        <w:rPr>
          <w:bCs/>
          <w:sz w:val="26"/>
          <w:szCs w:val="26"/>
        </w:rPr>
        <w:t>are assessing risks to transmission assets and operations as a result of extreme weather event vulnerabilities.</w:t>
      </w:r>
      <w:r w:rsidRPr="00DB64ED" w:rsidR="00E87E93">
        <w:rPr>
          <w:rStyle w:val="FootnoteReference"/>
          <w:bCs/>
          <w:sz w:val="26"/>
          <w:szCs w:val="26"/>
          <w:vertAlign w:val="superscript"/>
        </w:rPr>
        <w:footnoteReference w:id="3"/>
      </w:r>
    </w:p>
    <w:p w:rsidR="00A572CF" w:rsidP="00A572CF" w:rsidRDefault="00A572CF" w14:paraId="710CBF5F" w14:textId="77777777">
      <w:pPr>
        <w:widowControl/>
        <w:rPr>
          <w:bCs/>
          <w:sz w:val="26"/>
          <w:szCs w:val="26"/>
        </w:rPr>
      </w:pPr>
    </w:p>
    <w:p w:rsidRPr="00A572CF" w:rsidR="00A572CF" w:rsidP="00A572CF" w:rsidRDefault="00A572CF" w14:paraId="51D3864C" w14:textId="17F6C5BE">
      <w:pPr>
        <w:widowControl/>
        <w:rPr>
          <w:bCs/>
          <w:sz w:val="26"/>
          <w:szCs w:val="26"/>
        </w:rPr>
      </w:pPr>
      <w:r w:rsidRPr="00A572CF">
        <w:rPr>
          <w:bCs/>
          <w:sz w:val="26"/>
          <w:szCs w:val="26"/>
        </w:rPr>
        <w:t xml:space="preserve">According to a growing scientific consensus, extreme weather events are occurring more frequently than ever before; those events pose increased threats to system reliability and impacts on Commission-jurisdictional rates.  Extreme weather events also come with significant humanitarian consequences.  More than four and half million people in Texas alone lost power during Winter Storm Uri, and in some cases the outages contributed to a tragic loss of life.  Winter Storm Uri also had a significant impact on energy prices, which rose to historic levels in the wholesale markets serving Texas and the South-Central region. </w:t>
      </w:r>
    </w:p>
    <w:p w:rsidRPr="00A572CF" w:rsidR="00A572CF" w:rsidP="00A572CF" w:rsidRDefault="00A572CF" w14:paraId="3AD3E3E2" w14:textId="77777777">
      <w:pPr>
        <w:widowControl/>
        <w:rPr>
          <w:bCs/>
          <w:sz w:val="26"/>
          <w:szCs w:val="26"/>
        </w:rPr>
      </w:pPr>
    </w:p>
    <w:p w:rsidRPr="00A572CF" w:rsidR="00A572CF" w:rsidP="00A572CF" w:rsidRDefault="00A572CF" w14:paraId="6DDA1982" w14:textId="4FD06561">
      <w:pPr>
        <w:widowControl/>
        <w:rPr>
          <w:bCs/>
          <w:sz w:val="26"/>
          <w:szCs w:val="26"/>
        </w:rPr>
      </w:pPr>
      <w:bookmarkStart w:name="_Hlk106173000" w:id="0"/>
      <w:r w:rsidRPr="00A572CF">
        <w:rPr>
          <w:bCs/>
          <w:sz w:val="26"/>
          <w:szCs w:val="26"/>
        </w:rPr>
        <w:t>Additionally, in May 2021, the US Government Accountability Office (GAO) issued a report stating that extreme weather driven by climate change is expected to become increasingly frequent and severe and to have far-reaching effects on the electric grid</w:t>
      </w:r>
      <w:proofErr w:type="gramStart"/>
      <w:r w:rsidRPr="00A572CF">
        <w:rPr>
          <w:bCs/>
          <w:sz w:val="26"/>
          <w:szCs w:val="26"/>
        </w:rPr>
        <w:t xml:space="preserve">. </w:t>
      </w:r>
      <w:proofErr w:type="gramEnd"/>
      <w:r w:rsidRPr="00A572CF">
        <w:rPr>
          <w:bCs/>
          <w:sz w:val="26"/>
          <w:szCs w:val="26"/>
        </w:rPr>
        <w:lastRenderedPageBreak/>
        <w:t xml:space="preserve">GAO identified potential impacts to the grid in every region of the United States that, absent measures to increase resilience, may increase outages and impose billions of dollars in additional costs to utility customers.  GAO recommended that the Commission take steps to identify or assess climate change risks to the grid to ensure it is well-positioned to determine the actions needed to enhance resilience. </w:t>
      </w:r>
      <w:r w:rsidRPr="00A572CF" w:rsidDel="00CE7376">
        <w:rPr>
          <w:bCs/>
          <w:sz w:val="26"/>
          <w:szCs w:val="26"/>
        </w:rPr>
        <w:t xml:space="preserve"> </w:t>
      </w:r>
      <w:r w:rsidRPr="00A572CF">
        <w:rPr>
          <w:bCs/>
          <w:sz w:val="26"/>
          <w:szCs w:val="26"/>
        </w:rPr>
        <w:t>Similarly, the draft NOPR notes that the failure to assess and mitigate the risks of extreme weather could increase the frequency of loss of load events and</w:t>
      </w:r>
      <w:r w:rsidR="00B87D04">
        <w:rPr>
          <w:bCs/>
          <w:sz w:val="26"/>
          <w:szCs w:val="26"/>
        </w:rPr>
        <w:t xml:space="preserve"> negatively</w:t>
      </w:r>
      <w:r w:rsidRPr="00A572CF">
        <w:rPr>
          <w:bCs/>
          <w:sz w:val="26"/>
          <w:szCs w:val="26"/>
        </w:rPr>
        <w:t xml:space="preserve"> impact consumers, who ultimately bear the financial burden to regularly rebuild damaged infrastructure or to pay for solutions that may be more costly than solutions that could have been identified through a more proactive, forward-looking process.</w:t>
      </w:r>
    </w:p>
    <w:bookmarkEnd w:id="0"/>
    <w:p w:rsidRPr="00A572CF" w:rsidR="00A572CF" w:rsidP="00A572CF" w:rsidRDefault="00A572CF" w14:paraId="63118A35" w14:textId="77777777">
      <w:pPr>
        <w:widowControl/>
        <w:rPr>
          <w:bCs/>
          <w:sz w:val="26"/>
          <w:szCs w:val="26"/>
        </w:rPr>
      </w:pPr>
    </w:p>
    <w:p w:rsidRPr="00F405D1" w:rsidR="001F3ADE" w:rsidP="00A572CF" w:rsidRDefault="001F3ADE" w14:paraId="7290E8CF" w14:textId="0A289472">
      <w:pPr>
        <w:widowControl/>
        <w:rPr>
          <w:szCs w:val="26"/>
        </w:rPr>
      </w:pPr>
    </w:p>
    <w:p w:rsidRPr="004F2129" w:rsidR="004F2129" w:rsidP="004F2129" w:rsidRDefault="009D6B6D" w14:paraId="205DA448" w14:textId="5E524CFB">
      <w:pPr>
        <w:pStyle w:val="FERCparanumber"/>
        <w:numPr>
          <w:ilvl w:val="0"/>
          <w:numId w:val="7"/>
        </w:numPr>
        <w:tabs>
          <w:tab w:val="left" w:pos="720"/>
          <w:tab w:val="left" w:pos="4860"/>
        </w:tabs>
        <w:rPr>
          <w:szCs w:val="26"/>
        </w:rPr>
      </w:pPr>
      <w:r w:rsidRPr="00F405D1">
        <w:rPr>
          <w:b/>
          <w:szCs w:val="26"/>
        </w:rPr>
        <w:t>HOW, BY WHOM AND FOR WHAT P</w:t>
      </w:r>
      <w:r w:rsidRPr="00F405D1" w:rsidR="00980E8E">
        <w:rPr>
          <w:b/>
          <w:szCs w:val="26"/>
        </w:rPr>
        <w:t>URPOSE IS THE INFORMATION USED AND THE CONSEQUENCES OF NOT COLLECTING THE INFORMATION</w:t>
      </w:r>
    </w:p>
    <w:p w:rsidR="00056E22" w:rsidP="00056E22" w:rsidRDefault="00056E22" w14:paraId="7524D407" w14:textId="77777777">
      <w:pPr>
        <w:pStyle w:val="FERCparanumber"/>
        <w:numPr>
          <w:ilvl w:val="0"/>
          <w:numId w:val="0"/>
        </w:numPr>
        <w:tabs>
          <w:tab w:val="left" w:pos="720"/>
          <w:tab w:val="left" w:pos="4860"/>
        </w:tabs>
        <w:ind w:left="72"/>
        <w:rPr>
          <w:szCs w:val="26"/>
        </w:rPr>
      </w:pPr>
    </w:p>
    <w:p w:rsidR="00056E22" w:rsidP="00056E22" w:rsidRDefault="00056E22" w14:paraId="76A3419F" w14:textId="193DDBC5">
      <w:pPr>
        <w:pStyle w:val="FERCparanumber"/>
        <w:numPr>
          <w:ilvl w:val="0"/>
          <w:numId w:val="0"/>
        </w:numPr>
        <w:tabs>
          <w:tab w:val="left" w:pos="720"/>
          <w:tab w:val="left" w:pos="4860"/>
        </w:tabs>
        <w:ind w:left="72"/>
        <w:rPr>
          <w:szCs w:val="26"/>
        </w:rPr>
      </w:pPr>
      <w:r>
        <w:rPr>
          <w:szCs w:val="26"/>
        </w:rPr>
        <w:t xml:space="preserve">The Commission will use the information submitted by transmission providers in their one-time report to fulfill its statutory responsibilities under the Federal Power Act with respect to system reliability and just and reasonable rates.  Such information would allow the Commission to understand the extent to which transmission providers are assessing and mitigating vulnerabilities to their transmission assets and operations related to extreme weather events as such events may harm system reliability and affect Commission-jurisdictional rates for transmission and wholesale electricity.  </w:t>
      </w:r>
    </w:p>
    <w:p w:rsidR="00056E22" w:rsidP="00056E22" w:rsidRDefault="00056E22" w14:paraId="701972B0" w14:textId="77777777">
      <w:pPr>
        <w:pStyle w:val="FERCparanumber"/>
        <w:numPr>
          <w:ilvl w:val="0"/>
          <w:numId w:val="0"/>
        </w:numPr>
        <w:tabs>
          <w:tab w:val="left" w:pos="720"/>
          <w:tab w:val="left" w:pos="4860"/>
        </w:tabs>
        <w:ind w:left="72"/>
        <w:rPr>
          <w:szCs w:val="26"/>
        </w:rPr>
      </w:pPr>
    </w:p>
    <w:p w:rsidR="00056E22" w:rsidP="00056E22" w:rsidRDefault="00056E22" w14:paraId="1B51B982" w14:textId="77777777">
      <w:pPr>
        <w:pStyle w:val="FERCparanumber"/>
        <w:numPr>
          <w:ilvl w:val="0"/>
          <w:numId w:val="0"/>
        </w:numPr>
        <w:tabs>
          <w:tab w:val="left" w:pos="720"/>
          <w:tab w:val="left" w:pos="4860"/>
        </w:tabs>
        <w:ind w:left="72"/>
        <w:rPr>
          <w:szCs w:val="26"/>
        </w:rPr>
      </w:pPr>
      <w:r>
        <w:rPr>
          <w:szCs w:val="26"/>
        </w:rPr>
        <w:t xml:space="preserve">Further the collection of these one-time reports will further enhance transparency and provide opportunities for sharing best practices among transmission providers.  Numerous commentors in the </w:t>
      </w:r>
      <w:r w:rsidRPr="00056E22">
        <w:rPr>
          <w:szCs w:val="26"/>
        </w:rPr>
        <w:t>AD21-13-000 technical conference docket</w:t>
      </w:r>
      <w:r>
        <w:rPr>
          <w:szCs w:val="26"/>
        </w:rPr>
        <w:t xml:space="preserve"> that preceded this NOPR have requested the Commission take a proactive role in disseminating best practices around extreme weather vulnerability assessments across the industry.</w:t>
      </w:r>
      <w:r w:rsidRPr="006149F7">
        <w:rPr>
          <w:sz w:val="24"/>
          <w:vertAlign w:val="superscript"/>
        </w:rPr>
        <w:t xml:space="preserve"> </w:t>
      </w:r>
      <w:r>
        <w:rPr>
          <w:szCs w:val="26"/>
        </w:rPr>
        <w:t xml:space="preserve"> The information collected via the one-time reports is necessary should the Commission decide to assist in the dissemination of best-practices around extreme weather vulnerability assessments, as requested.</w:t>
      </w:r>
    </w:p>
    <w:p w:rsidR="00056E22" w:rsidP="00056E22" w:rsidRDefault="00056E22" w14:paraId="29467589" w14:textId="77777777">
      <w:pPr>
        <w:pStyle w:val="FERCparanumber"/>
        <w:numPr>
          <w:ilvl w:val="0"/>
          <w:numId w:val="0"/>
        </w:numPr>
        <w:tabs>
          <w:tab w:val="left" w:pos="720"/>
          <w:tab w:val="left" w:pos="4860"/>
        </w:tabs>
        <w:ind w:left="72"/>
        <w:rPr>
          <w:szCs w:val="26"/>
        </w:rPr>
      </w:pPr>
    </w:p>
    <w:p w:rsidR="00056E22" w:rsidP="00056E22" w:rsidRDefault="00056E22" w14:paraId="0F17E349" w14:textId="77777777">
      <w:pPr>
        <w:pStyle w:val="FERCparanumber"/>
        <w:numPr>
          <w:ilvl w:val="0"/>
          <w:numId w:val="0"/>
        </w:numPr>
        <w:tabs>
          <w:tab w:val="left" w:pos="720"/>
          <w:tab w:val="left" w:pos="4860"/>
        </w:tabs>
        <w:ind w:left="72"/>
        <w:rPr>
          <w:szCs w:val="26"/>
        </w:rPr>
      </w:pPr>
      <w:r>
        <w:rPr>
          <w:szCs w:val="26"/>
        </w:rPr>
        <w:t xml:space="preserve">Were the Commission to forgo collecting the information proposed in the one-time reports, the Commission may be unable to determine whether the costs incurred by transmission providers as they respond to increasingly frequent extreme weather impacts to their transmission assets and operations are just and reasonable  The Commission would also fail to gain a </w:t>
      </w:r>
      <w:r w:rsidRPr="00120DE8">
        <w:rPr>
          <w:szCs w:val="26"/>
        </w:rPr>
        <w:t>baseline understanding of what transmission providers across the country are currently doing – or not doing – with respect to assessing and mitigating extreme weather vulnerability</w:t>
      </w:r>
      <w:r>
        <w:rPr>
          <w:szCs w:val="26"/>
        </w:rPr>
        <w:t xml:space="preserve">.  Further, without the information from the one-time reports, transmission providers who undertake extreme weather vulnerability </w:t>
      </w:r>
      <w:r>
        <w:rPr>
          <w:szCs w:val="26"/>
        </w:rPr>
        <w:lastRenderedPageBreak/>
        <w:t xml:space="preserve">assessments or who plan to do so could not learn best practices for conducting extreme weather vulnerability assessments. </w:t>
      </w:r>
    </w:p>
    <w:p w:rsidR="004F2129" w:rsidP="004F2129" w:rsidRDefault="004F2129" w14:paraId="16602DDA" w14:textId="6DA455EE">
      <w:pPr>
        <w:pStyle w:val="FERCparanumber"/>
        <w:numPr>
          <w:ilvl w:val="0"/>
          <w:numId w:val="0"/>
        </w:numPr>
        <w:tabs>
          <w:tab w:val="left" w:pos="720"/>
          <w:tab w:val="left" w:pos="4860"/>
        </w:tabs>
        <w:ind w:left="72"/>
        <w:rPr>
          <w:b/>
          <w:szCs w:val="26"/>
        </w:rPr>
      </w:pPr>
    </w:p>
    <w:p w:rsidR="00056E22" w:rsidP="004F2129" w:rsidRDefault="00056E22" w14:paraId="5481788E" w14:textId="77777777">
      <w:pPr>
        <w:pStyle w:val="FERCparanumber"/>
        <w:numPr>
          <w:ilvl w:val="0"/>
          <w:numId w:val="0"/>
        </w:numPr>
        <w:tabs>
          <w:tab w:val="left" w:pos="720"/>
          <w:tab w:val="left" w:pos="4860"/>
        </w:tabs>
        <w:ind w:left="72"/>
        <w:rPr>
          <w:b/>
          <w:szCs w:val="26"/>
        </w:rPr>
      </w:pPr>
    </w:p>
    <w:p w:rsidRPr="00F405D1" w:rsidR="00980E8E" w:rsidP="005240A1" w:rsidRDefault="00980E8E" w14:paraId="12D749C8" w14:textId="77777777">
      <w:pPr>
        <w:widowControl/>
        <w:numPr>
          <w:ilvl w:val="0"/>
          <w:numId w:val="7"/>
        </w:numPr>
        <w:rPr>
          <w:sz w:val="26"/>
          <w:szCs w:val="26"/>
        </w:rPr>
      </w:pPr>
      <w:r w:rsidRPr="00F405D1">
        <w:rPr>
          <w:b/>
          <w:sz w:val="26"/>
          <w:szCs w:val="26"/>
        </w:rPr>
        <w:t>DESCRIBE ANY CONSIDERATION OF THE USE OF IMPROVED INFORMATION TECHNOLOGY TO REDUCE BURDEN AND THE TECHNICAL OR LEGAL OBSTACLES TO REDUCING BURDEN</w:t>
      </w:r>
    </w:p>
    <w:p w:rsidRPr="00F405D1" w:rsidR="00980E8E" w:rsidP="00980E8E" w:rsidRDefault="00980E8E" w14:paraId="68363553" w14:textId="77777777">
      <w:pPr>
        <w:rPr>
          <w:sz w:val="26"/>
          <w:szCs w:val="26"/>
        </w:rPr>
      </w:pPr>
    </w:p>
    <w:p w:rsidRPr="00F405D1" w:rsidR="009D6B4D" w:rsidP="009D6B4D" w:rsidRDefault="009D6B4D" w14:paraId="02A8AFC9" w14:textId="01E8608A">
      <w:pPr>
        <w:widowControl/>
        <w:rPr>
          <w:sz w:val="26"/>
          <w:szCs w:val="26"/>
        </w:rPr>
      </w:pPr>
      <w:r w:rsidRPr="00F405D1">
        <w:rPr>
          <w:sz w:val="26"/>
          <w:szCs w:val="26"/>
        </w:rPr>
        <w:t xml:space="preserve">There is an ongoing effort to determine the potential and value of improved information technology to reduce the burden.  Specifically, to increase the efficiency which </w:t>
      </w:r>
      <w:r w:rsidR="004563A9">
        <w:rPr>
          <w:sz w:val="26"/>
          <w:szCs w:val="26"/>
        </w:rPr>
        <w:t>FERC</w:t>
      </w:r>
      <w:r w:rsidRPr="00F405D1">
        <w:rPr>
          <w:sz w:val="26"/>
          <w:szCs w:val="26"/>
        </w:rPr>
        <w:t xml:space="preserve"> carries out its program responsibilities, the Commission has been implementing measures to use information technology to reduce the amount of paperwork required in its proceedings.  In Order No. 619</w:t>
      </w:r>
      <w:r w:rsidR="004563A9">
        <w:rPr>
          <w:sz w:val="26"/>
          <w:szCs w:val="26"/>
        </w:rPr>
        <w:t>,</w:t>
      </w:r>
      <w:r w:rsidRPr="00F405D1">
        <w:rPr>
          <w:rStyle w:val="FootnoteReference"/>
          <w:sz w:val="26"/>
          <w:szCs w:val="26"/>
          <w:vertAlign w:val="superscript"/>
        </w:rPr>
        <w:footnoteReference w:id="4"/>
      </w:r>
      <w:r w:rsidR="004563A9">
        <w:rPr>
          <w:sz w:val="26"/>
          <w:szCs w:val="26"/>
        </w:rPr>
        <w:t xml:space="preserve"> </w:t>
      </w:r>
      <w:r w:rsidRPr="00F405D1">
        <w:rPr>
          <w:sz w:val="26"/>
          <w:szCs w:val="26"/>
        </w:rPr>
        <w:t xml:space="preserve">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rsidRPr="00F405D1" w:rsidR="009D6B4D" w:rsidP="009D6B4D" w:rsidRDefault="009D6B4D" w14:paraId="1C6C6473" w14:textId="77777777">
      <w:pPr>
        <w:rPr>
          <w:bCs/>
          <w:sz w:val="26"/>
          <w:szCs w:val="26"/>
        </w:rPr>
      </w:pPr>
    </w:p>
    <w:p w:rsidRPr="00F405D1" w:rsidR="009D6B4D" w:rsidP="00183FF0" w:rsidRDefault="009D6B4D" w14:paraId="05564CA0" w14:textId="4ECC0836">
      <w:pPr>
        <w:rPr>
          <w:sz w:val="26"/>
          <w:szCs w:val="26"/>
        </w:rPr>
      </w:pPr>
      <w:r w:rsidRPr="00F405D1">
        <w:rPr>
          <w:sz w:val="26"/>
          <w:szCs w:val="26"/>
        </w:rPr>
        <w:t xml:space="preserve">The Commission </w:t>
      </w:r>
      <w:r w:rsidR="00E1138E">
        <w:rPr>
          <w:sz w:val="26"/>
          <w:szCs w:val="26"/>
        </w:rPr>
        <w:t xml:space="preserve">will </w:t>
      </w:r>
      <w:r w:rsidRPr="00F405D1">
        <w:rPr>
          <w:sz w:val="26"/>
          <w:szCs w:val="26"/>
        </w:rPr>
        <w:t xml:space="preserve">collect </w:t>
      </w:r>
      <w:r w:rsidR="00D90459">
        <w:rPr>
          <w:sz w:val="26"/>
          <w:szCs w:val="26"/>
        </w:rPr>
        <w:t>FERC-1004</w:t>
      </w:r>
      <w:r w:rsidRPr="00F405D1">
        <w:rPr>
          <w:sz w:val="26"/>
          <w:szCs w:val="26"/>
        </w:rPr>
        <w:t xml:space="preserve"> information in an electronic </w:t>
      </w:r>
      <w:r w:rsidR="00254773">
        <w:rPr>
          <w:sz w:val="26"/>
          <w:szCs w:val="26"/>
        </w:rPr>
        <w:t xml:space="preserve">report responding to the questions in the NOPR RM22-16-000.  </w:t>
      </w:r>
      <w:r w:rsidRPr="00183FF0" w:rsidR="00183FF0">
        <w:rPr>
          <w:sz w:val="26"/>
          <w:szCs w:val="26"/>
        </w:rPr>
        <w:t>All documents m</w:t>
      </w:r>
      <w:r w:rsidR="00E87E93">
        <w:rPr>
          <w:sz w:val="26"/>
          <w:szCs w:val="26"/>
        </w:rPr>
        <w:t>ay</w:t>
      </w:r>
      <w:r w:rsidRPr="00183FF0" w:rsidR="00183FF0">
        <w:rPr>
          <w:sz w:val="26"/>
          <w:szCs w:val="26"/>
        </w:rPr>
        <w:t xml:space="preserve"> be filed via the Commission’s </w:t>
      </w:r>
      <w:proofErr w:type="spellStart"/>
      <w:r w:rsidRPr="00183FF0" w:rsidR="00183FF0">
        <w:rPr>
          <w:sz w:val="26"/>
          <w:szCs w:val="26"/>
        </w:rPr>
        <w:t>eFiling</w:t>
      </w:r>
      <w:proofErr w:type="spellEnd"/>
      <w:r w:rsidRPr="00183FF0" w:rsidR="00183FF0">
        <w:rPr>
          <w:sz w:val="26"/>
          <w:szCs w:val="26"/>
        </w:rPr>
        <w:t xml:space="preserve"> system</w:t>
      </w:r>
      <w:proofErr w:type="gramStart"/>
      <w:r w:rsidRPr="00183FF0" w:rsidR="00183FF0">
        <w:rPr>
          <w:sz w:val="26"/>
          <w:szCs w:val="26"/>
        </w:rPr>
        <w:t xml:space="preserve">. </w:t>
      </w:r>
      <w:proofErr w:type="gramEnd"/>
      <w:r w:rsidRPr="00183FF0" w:rsidR="00183FF0">
        <w:rPr>
          <w:sz w:val="26"/>
          <w:szCs w:val="26"/>
        </w:rPr>
        <w:t xml:space="preserve">The </w:t>
      </w:r>
      <w:proofErr w:type="spellStart"/>
      <w:r w:rsidRPr="00183FF0" w:rsidR="00183FF0">
        <w:rPr>
          <w:sz w:val="26"/>
          <w:szCs w:val="26"/>
        </w:rPr>
        <w:t>eFiling</w:t>
      </w:r>
      <w:proofErr w:type="spellEnd"/>
      <w:r w:rsidR="00183FF0">
        <w:rPr>
          <w:sz w:val="26"/>
          <w:szCs w:val="26"/>
        </w:rPr>
        <w:t xml:space="preserve"> </w:t>
      </w:r>
      <w:r w:rsidRPr="00183FF0" w:rsidR="00183FF0">
        <w:rPr>
          <w:sz w:val="26"/>
          <w:szCs w:val="26"/>
        </w:rPr>
        <w:t xml:space="preserve">instructions are located on the Commission’s </w:t>
      </w:r>
      <w:r w:rsidRPr="00183FF0" w:rsidR="00AC48EB">
        <w:rPr>
          <w:sz w:val="26"/>
          <w:szCs w:val="26"/>
        </w:rPr>
        <w:t>web</w:t>
      </w:r>
      <w:r w:rsidR="00AC48EB">
        <w:rPr>
          <w:sz w:val="26"/>
          <w:szCs w:val="26"/>
        </w:rPr>
        <w:t xml:space="preserve">site at </w:t>
      </w:r>
      <w:r w:rsidRPr="00183FF0" w:rsidR="00183FF0">
        <w:rPr>
          <w:sz w:val="26"/>
          <w:szCs w:val="26"/>
        </w:rPr>
        <w:t xml:space="preserve">http://www.ferc.gov. </w:t>
      </w:r>
      <w:r w:rsidR="00183FF0">
        <w:rPr>
          <w:sz w:val="26"/>
          <w:szCs w:val="26"/>
        </w:rPr>
        <w:t xml:space="preserve"> </w:t>
      </w:r>
    </w:p>
    <w:p w:rsidRPr="00F405D1" w:rsidR="005240A1" w:rsidP="005240A1" w:rsidRDefault="005240A1" w14:paraId="5AC64D1F" w14:textId="77777777">
      <w:pPr>
        <w:pStyle w:val="FERCparanumber"/>
        <w:numPr>
          <w:ilvl w:val="0"/>
          <w:numId w:val="0"/>
        </w:numPr>
        <w:rPr>
          <w:szCs w:val="26"/>
        </w:rPr>
      </w:pPr>
    </w:p>
    <w:p w:rsidRPr="00F405D1" w:rsidR="009D6B6D" w:rsidP="005240A1" w:rsidRDefault="009D6B6D" w14:paraId="0489848B" w14:textId="77777777">
      <w:pPr>
        <w:pStyle w:val="FERCparanumber"/>
        <w:numPr>
          <w:ilvl w:val="0"/>
          <w:numId w:val="7"/>
        </w:numPr>
        <w:rPr>
          <w:szCs w:val="26"/>
        </w:rPr>
      </w:pPr>
      <w:r w:rsidRPr="00F405D1">
        <w:rPr>
          <w:b/>
          <w:szCs w:val="26"/>
        </w:rPr>
        <w:t>DESCRIBE EFFORTS TO IDENTIFY DUPLICATON AND SHOW SPECIFICALLY WHY ANY SIMILAR INFORMATION ALREADY AVAILABLE CANNOT BE USED OR MODIFIED FOR USE FOR THE PURPOSE(S) DESCRIBED IN INSTRUCTION NO. 2.</w:t>
      </w:r>
    </w:p>
    <w:p w:rsidRPr="00F405D1" w:rsidR="00BD4039" w:rsidP="00BD4039" w:rsidRDefault="00BD4039" w14:paraId="2AAE79A7" w14:textId="77777777">
      <w:pPr>
        <w:pStyle w:val="FERCparanumber"/>
        <w:numPr>
          <w:ilvl w:val="0"/>
          <w:numId w:val="0"/>
        </w:numPr>
        <w:rPr>
          <w:b/>
          <w:szCs w:val="26"/>
        </w:rPr>
      </w:pPr>
    </w:p>
    <w:p w:rsidRPr="003031D9" w:rsidR="003031D9" w:rsidP="003031D9" w:rsidRDefault="003031D9" w14:paraId="2BB771A4" w14:textId="77777777">
      <w:pPr>
        <w:pStyle w:val="FERCparanumber"/>
        <w:numPr>
          <w:ilvl w:val="0"/>
          <w:numId w:val="0"/>
        </w:numPr>
        <w:rPr>
          <w:szCs w:val="26"/>
        </w:rPr>
      </w:pPr>
      <w:r w:rsidRPr="003031D9">
        <w:rPr>
          <w:szCs w:val="26"/>
        </w:rPr>
        <w:t xml:space="preserve">The Commission determined that the record in Docket No. AD21-13-000 did not provide a clear understanding of whether and to what extent transmission providers are currently conducting, or planning to conduct, extreme weather vulnerability assessments, </w:t>
      </w:r>
      <w:r w:rsidRPr="003031D9" w:rsidDel="00E85961">
        <w:rPr>
          <w:szCs w:val="26"/>
        </w:rPr>
        <w:t xml:space="preserve">the </w:t>
      </w:r>
      <w:r w:rsidRPr="003031D9">
        <w:rPr>
          <w:szCs w:val="26"/>
        </w:rPr>
        <w:t xml:space="preserve">method(s) used to conduct those assessments, and what is done with the information from those assessments.  The Commission staff carried out an extensive literature review of available extreme weather vulnerability assessments and determined that the available information, and record in Docket AD21-13-000, is insufficient.  </w:t>
      </w:r>
    </w:p>
    <w:p w:rsidRPr="00F405D1" w:rsidR="00CA5DEC" w:rsidP="00BD4039" w:rsidRDefault="00CA5DEC" w14:paraId="40FD50ED" w14:textId="77777777">
      <w:pPr>
        <w:pStyle w:val="FERCparanumber"/>
        <w:numPr>
          <w:ilvl w:val="0"/>
          <w:numId w:val="0"/>
        </w:numPr>
        <w:rPr>
          <w:szCs w:val="26"/>
        </w:rPr>
      </w:pPr>
    </w:p>
    <w:p w:rsidRPr="00F405D1" w:rsidR="009D6B6D" w:rsidP="005240A1" w:rsidRDefault="009D6B6D" w14:paraId="3F3DF4CC" w14:textId="77777777">
      <w:pPr>
        <w:pStyle w:val="FERCparanumber"/>
        <w:numPr>
          <w:ilvl w:val="0"/>
          <w:numId w:val="7"/>
        </w:numPr>
        <w:rPr>
          <w:szCs w:val="26"/>
        </w:rPr>
      </w:pPr>
      <w:r w:rsidRPr="00F405D1">
        <w:rPr>
          <w:b/>
          <w:szCs w:val="26"/>
        </w:rPr>
        <w:t>METHODS USED TO MINIMIZE BURDEN IN COLLECTION OF INFORMATION INVOLVING SMALL ENTITIES</w:t>
      </w:r>
      <w:r w:rsidRPr="00F405D1">
        <w:rPr>
          <w:szCs w:val="26"/>
        </w:rPr>
        <w:t xml:space="preserve"> </w:t>
      </w:r>
    </w:p>
    <w:p w:rsidR="009D6B6D" w:rsidP="001D2EC1" w:rsidRDefault="009D6B6D" w14:paraId="46E50B14" w14:textId="5EFC0BCB">
      <w:pPr>
        <w:widowControl/>
        <w:ind w:left="1440"/>
        <w:rPr>
          <w:sz w:val="26"/>
          <w:szCs w:val="26"/>
        </w:rPr>
      </w:pPr>
    </w:p>
    <w:p w:rsidRPr="00F405D1" w:rsidR="00A572CF" w:rsidP="00136620" w:rsidRDefault="00A572CF" w14:paraId="065D4198" w14:textId="5C86139C">
      <w:pPr>
        <w:widowControl/>
        <w:rPr>
          <w:sz w:val="26"/>
          <w:szCs w:val="26"/>
        </w:rPr>
      </w:pPr>
      <w:r>
        <w:rPr>
          <w:sz w:val="26"/>
          <w:szCs w:val="26"/>
        </w:rPr>
        <w:lastRenderedPageBreak/>
        <w:t>None.</w:t>
      </w:r>
    </w:p>
    <w:p w:rsidRPr="00F405D1" w:rsidR="006A19F2" w:rsidP="006A19F2" w:rsidRDefault="006A19F2" w14:paraId="41E096C6" w14:textId="77777777">
      <w:pPr>
        <w:rPr>
          <w:sz w:val="26"/>
          <w:szCs w:val="26"/>
        </w:rPr>
      </w:pPr>
    </w:p>
    <w:p w:rsidRPr="00F405D1" w:rsidR="009D6B6D" w:rsidP="005240A1" w:rsidRDefault="009D6B6D" w14:paraId="6005062A" w14:textId="77777777">
      <w:pPr>
        <w:pStyle w:val="FERCparanumber"/>
        <w:numPr>
          <w:ilvl w:val="0"/>
          <w:numId w:val="7"/>
        </w:numPr>
        <w:rPr>
          <w:szCs w:val="26"/>
        </w:rPr>
      </w:pPr>
      <w:r w:rsidRPr="00F405D1">
        <w:rPr>
          <w:b/>
          <w:szCs w:val="26"/>
        </w:rPr>
        <w:t>CONSEQUENCE TO FEDERAL PROGRAM IF COLLECTION WERE CONDUCTED LESS FREQUENTLY</w:t>
      </w:r>
    </w:p>
    <w:p w:rsidRPr="00F405D1" w:rsidR="00BB6095" w:rsidP="00BB6095" w:rsidRDefault="00BB6095" w14:paraId="3BCA6A1A" w14:textId="77777777">
      <w:pPr>
        <w:pStyle w:val="FERCparanumber"/>
        <w:numPr>
          <w:ilvl w:val="0"/>
          <w:numId w:val="0"/>
        </w:numPr>
        <w:rPr>
          <w:b/>
          <w:szCs w:val="26"/>
        </w:rPr>
      </w:pPr>
    </w:p>
    <w:p w:rsidR="00BB6095" w:rsidP="00BB6095" w:rsidRDefault="001A35B9" w14:paraId="62213CEF" w14:textId="2B615988">
      <w:pPr>
        <w:pStyle w:val="FERCparanumber"/>
        <w:numPr>
          <w:ilvl w:val="0"/>
          <w:numId w:val="0"/>
        </w:numPr>
        <w:rPr>
          <w:szCs w:val="26"/>
        </w:rPr>
      </w:pPr>
      <w:r>
        <w:rPr>
          <w:szCs w:val="26"/>
        </w:rPr>
        <w:t>There is no need to reduce the frequency of information collection</w:t>
      </w:r>
      <w:r w:rsidR="00A572CF">
        <w:rPr>
          <w:szCs w:val="26"/>
        </w:rPr>
        <w:t xml:space="preserve">; </w:t>
      </w:r>
      <w:r w:rsidRPr="003031D9" w:rsidR="003031D9">
        <w:rPr>
          <w:szCs w:val="26"/>
        </w:rPr>
        <w:t>the Commission proposed only a single information collection</w:t>
      </w:r>
      <w:r w:rsidR="00A572CF">
        <w:rPr>
          <w:szCs w:val="26"/>
        </w:rPr>
        <w:t xml:space="preserve">. </w:t>
      </w:r>
      <w:r w:rsidR="004563A9">
        <w:rPr>
          <w:szCs w:val="26"/>
        </w:rPr>
        <w:t xml:space="preserve"> </w:t>
      </w:r>
      <w:r w:rsidR="003031D9">
        <w:rPr>
          <w:szCs w:val="26"/>
        </w:rPr>
        <w:t>Commission staff’s</w:t>
      </w:r>
      <w:r w:rsidR="00A572CF">
        <w:rPr>
          <w:szCs w:val="26"/>
        </w:rPr>
        <w:t xml:space="preserve"> literature review suggests that these assessments should be regularly reoccurring, but this NOPR stops short of requiring that.</w:t>
      </w:r>
    </w:p>
    <w:p w:rsidRPr="00F405D1" w:rsidR="004C3137" w:rsidP="00BB6095" w:rsidRDefault="004C3137" w14:paraId="7A6D4D1D" w14:textId="77777777">
      <w:pPr>
        <w:pStyle w:val="FERCparanumber"/>
        <w:numPr>
          <w:ilvl w:val="0"/>
          <w:numId w:val="0"/>
        </w:numPr>
        <w:rPr>
          <w:szCs w:val="26"/>
        </w:rPr>
      </w:pPr>
    </w:p>
    <w:p w:rsidRPr="00F405D1" w:rsidR="00BB6095" w:rsidP="005240A1" w:rsidRDefault="00BB6095" w14:paraId="302B9157" w14:textId="77777777">
      <w:pPr>
        <w:pStyle w:val="FERCparanumber"/>
        <w:numPr>
          <w:ilvl w:val="0"/>
          <w:numId w:val="7"/>
        </w:numPr>
        <w:rPr>
          <w:szCs w:val="26"/>
        </w:rPr>
      </w:pPr>
      <w:r w:rsidRPr="00F405D1">
        <w:rPr>
          <w:b/>
          <w:szCs w:val="26"/>
        </w:rPr>
        <w:t>EXPLAIN ANY SPECIAL CIRCUMSTANCES RELATING TO THE INFORMATION</w:t>
      </w:r>
    </w:p>
    <w:p w:rsidRPr="00F405D1" w:rsidR="00BB6095" w:rsidP="00BB6095" w:rsidRDefault="00BB6095" w14:paraId="12737B65" w14:textId="77777777">
      <w:pPr>
        <w:pStyle w:val="FERCparanumber"/>
        <w:numPr>
          <w:ilvl w:val="0"/>
          <w:numId w:val="0"/>
        </w:numPr>
        <w:rPr>
          <w:b/>
          <w:szCs w:val="26"/>
        </w:rPr>
      </w:pPr>
    </w:p>
    <w:p w:rsidRPr="00F405D1" w:rsidR="00BB6095" w:rsidP="00BB6095" w:rsidRDefault="00781D09" w14:paraId="73517B6C" w14:textId="0F02F650">
      <w:pPr>
        <w:rPr>
          <w:sz w:val="26"/>
          <w:szCs w:val="26"/>
        </w:rPr>
      </w:pPr>
      <w:r w:rsidRPr="00F405D1">
        <w:rPr>
          <w:sz w:val="26"/>
          <w:szCs w:val="26"/>
        </w:rPr>
        <w:t xml:space="preserve">There are no special circumstances related to this information collection. </w:t>
      </w:r>
    </w:p>
    <w:p w:rsidRPr="00F405D1" w:rsidR="00BB6095" w:rsidP="00BB6095" w:rsidRDefault="00BB6095" w14:paraId="17F8E51C" w14:textId="77777777">
      <w:pPr>
        <w:pStyle w:val="FERCparanumber"/>
        <w:numPr>
          <w:ilvl w:val="0"/>
          <w:numId w:val="0"/>
        </w:numPr>
        <w:rPr>
          <w:szCs w:val="26"/>
        </w:rPr>
      </w:pPr>
    </w:p>
    <w:p w:rsidRPr="00F405D1" w:rsidR="009D6B6D" w:rsidP="001D2EC1" w:rsidRDefault="00BB6095" w14:paraId="427A14D9" w14:textId="77777777">
      <w:pPr>
        <w:pStyle w:val="FERCparanumber"/>
        <w:numPr>
          <w:ilvl w:val="0"/>
          <w:numId w:val="7"/>
        </w:numPr>
        <w:rPr>
          <w:szCs w:val="26"/>
        </w:rPr>
      </w:pPr>
      <w:r w:rsidRPr="00F405D1">
        <w:rPr>
          <w:b/>
          <w:szCs w:val="26"/>
        </w:rPr>
        <w:t>DESCRIBE EFFORTS TO CONSULT OUTSIDE THE AGENCY: SUMMARIZE PUBLIC COMMENTS AND THE AGENCY’S RESPONSE TO THESE COMMENTS</w:t>
      </w:r>
    </w:p>
    <w:p w:rsidR="004563A9" w:rsidP="00BB6095" w:rsidRDefault="004563A9" w14:paraId="39E4C7B3" w14:textId="77777777">
      <w:pPr>
        <w:pStyle w:val="FERCparanumber"/>
        <w:numPr>
          <w:ilvl w:val="0"/>
          <w:numId w:val="0"/>
        </w:numPr>
        <w:rPr>
          <w:szCs w:val="26"/>
        </w:rPr>
      </w:pPr>
    </w:p>
    <w:p w:rsidR="00D86A0C" w:rsidP="00BB6095" w:rsidRDefault="00B47D97" w14:paraId="34DEB514" w14:textId="669AFBB7">
      <w:pPr>
        <w:pStyle w:val="FERCparanumber"/>
        <w:numPr>
          <w:ilvl w:val="0"/>
          <w:numId w:val="0"/>
        </w:numPr>
        <w:rPr>
          <w:szCs w:val="26"/>
        </w:rPr>
      </w:pPr>
      <w:r w:rsidRPr="00E71D5C">
        <w:rPr>
          <w:szCs w:val="26"/>
        </w:rPr>
        <w:t>The Commission</w:t>
      </w:r>
      <w:r w:rsidR="00B60C66">
        <w:rPr>
          <w:szCs w:val="26"/>
        </w:rPr>
        <w:t xml:space="preserve"> </w:t>
      </w:r>
      <w:r w:rsidR="00C6453D">
        <w:rPr>
          <w:szCs w:val="26"/>
        </w:rPr>
        <w:t xml:space="preserve">issued the NOPR on </w:t>
      </w:r>
      <w:r w:rsidR="00E1123E">
        <w:rPr>
          <w:szCs w:val="26"/>
        </w:rPr>
        <w:t>6/16/2022</w:t>
      </w:r>
      <w:r w:rsidR="0086537D">
        <w:rPr>
          <w:szCs w:val="26"/>
        </w:rPr>
        <w:t>.</w:t>
      </w:r>
      <w:r w:rsidRPr="00E71D5C" w:rsidR="002B31B3">
        <w:rPr>
          <w:rStyle w:val="FootnoteReference"/>
          <w:szCs w:val="26"/>
          <w:vertAlign w:val="superscript"/>
        </w:rPr>
        <w:footnoteReference w:id="5"/>
      </w:r>
      <w:r w:rsidR="002B31B3">
        <w:rPr>
          <w:szCs w:val="26"/>
        </w:rPr>
        <w:t xml:space="preserve"> </w:t>
      </w:r>
      <w:r w:rsidR="0086537D">
        <w:rPr>
          <w:szCs w:val="26"/>
        </w:rPr>
        <w:t xml:space="preserve"> FERC </w:t>
      </w:r>
      <w:r w:rsidR="004563A9">
        <w:rPr>
          <w:szCs w:val="26"/>
        </w:rPr>
        <w:t>published</w:t>
      </w:r>
      <w:r w:rsidR="00B60C66">
        <w:rPr>
          <w:szCs w:val="26"/>
        </w:rPr>
        <w:t xml:space="preserve"> this NOPR in the Federal Register</w:t>
      </w:r>
      <w:r w:rsidR="004563A9">
        <w:rPr>
          <w:szCs w:val="26"/>
        </w:rPr>
        <w:t xml:space="preserve"> on 7/1/2022</w:t>
      </w:r>
      <w:r w:rsidR="00885935">
        <w:rPr>
          <w:szCs w:val="26"/>
        </w:rPr>
        <w:t xml:space="preserve"> (87 FR 39414) </w:t>
      </w:r>
      <w:r w:rsidR="0086537D">
        <w:rPr>
          <w:szCs w:val="26"/>
        </w:rPr>
        <w:t xml:space="preserve">to </w:t>
      </w:r>
      <w:r w:rsidR="00B60C66">
        <w:rPr>
          <w:szCs w:val="26"/>
        </w:rPr>
        <w:t>provid</w:t>
      </w:r>
      <w:r w:rsidR="0086537D">
        <w:rPr>
          <w:szCs w:val="26"/>
        </w:rPr>
        <w:t>e</w:t>
      </w:r>
      <w:r w:rsidR="00B60C66">
        <w:rPr>
          <w:szCs w:val="26"/>
        </w:rPr>
        <w:t xml:space="preserve"> the public with an opportunity to comment</w:t>
      </w:r>
      <w:r w:rsidR="00992C3A">
        <w:rPr>
          <w:szCs w:val="26"/>
        </w:rPr>
        <w:t xml:space="preserve">. </w:t>
      </w:r>
    </w:p>
    <w:p w:rsidR="00992C3A" w:rsidP="00BB6095" w:rsidRDefault="00992C3A" w14:paraId="5CD5C1C5" w14:textId="77777777">
      <w:pPr>
        <w:pStyle w:val="FERCparanumber"/>
        <w:numPr>
          <w:ilvl w:val="0"/>
          <w:numId w:val="0"/>
        </w:numPr>
        <w:rPr>
          <w:szCs w:val="26"/>
        </w:rPr>
      </w:pPr>
    </w:p>
    <w:p w:rsidRPr="00D31060" w:rsidR="00D31060" w:rsidP="00E71D5C" w:rsidRDefault="00D86A0C" w14:paraId="2E91BAE5" w14:textId="77777777">
      <w:pPr>
        <w:pStyle w:val="FERCparanumber"/>
        <w:numPr>
          <w:ilvl w:val="0"/>
          <w:numId w:val="0"/>
        </w:numPr>
        <w:rPr>
          <w:rFonts w:eastAsia="Calibri"/>
          <w:szCs w:val="22"/>
        </w:rPr>
      </w:pPr>
      <w:r w:rsidRPr="00E71D5C">
        <w:rPr>
          <w:b/>
          <w:bCs/>
          <w:szCs w:val="26"/>
        </w:rPr>
        <w:t>Procedural History</w:t>
      </w:r>
      <w:r w:rsidRPr="00E71D5C" w:rsidR="00D31060">
        <w:rPr>
          <w:b/>
          <w:bCs/>
          <w:szCs w:val="26"/>
        </w:rPr>
        <w:t>.</w:t>
      </w:r>
      <w:r w:rsidR="00D31060">
        <w:rPr>
          <w:szCs w:val="26"/>
        </w:rPr>
        <w:t xml:space="preserve">  </w:t>
      </w:r>
      <w:r w:rsidRPr="00D31060" w:rsidR="00D31060">
        <w:rPr>
          <w:rFonts w:eastAsia="Calibri"/>
          <w:szCs w:val="22"/>
        </w:rPr>
        <w:t>On March 5, 2021, the Commission issued an initial Notice of Technical Conference stating that Commission staff would convene a technical conference to discuss issues surrounding the threat to electric system reliability posed by climate change and extreme weather events.</w:t>
      </w:r>
      <w:r w:rsidRPr="00D31060" w:rsidR="00D31060">
        <w:rPr>
          <w:rFonts w:eastAsia="Calibri"/>
          <w:b/>
          <w:szCs w:val="22"/>
          <w:vertAlign w:val="superscript"/>
        </w:rPr>
        <w:footnoteReference w:id="6"/>
      </w:r>
      <w:r w:rsidRPr="00D31060" w:rsidR="00D31060">
        <w:rPr>
          <w:rFonts w:eastAsia="Calibri"/>
          <w:szCs w:val="22"/>
        </w:rPr>
        <w:t xml:space="preserve">  On March 13, 2021, the Commission issued a Supplemental Notice inviting pre-conference comments.</w:t>
      </w:r>
      <w:r w:rsidRPr="00D31060" w:rsidR="00D31060">
        <w:rPr>
          <w:rFonts w:eastAsia="Calibri"/>
          <w:b/>
          <w:szCs w:val="22"/>
          <w:vertAlign w:val="superscript"/>
        </w:rPr>
        <w:footnoteReference w:id="7"/>
      </w:r>
      <w:r w:rsidRPr="00D31060" w:rsidR="00D31060">
        <w:rPr>
          <w:rFonts w:eastAsia="Calibri"/>
          <w:szCs w:val="22"/>
        </w:rPr>
        <w:t xml:space="preserve">  The Commission received approximately 1,200 pages of pre-technical conference comments.  </w:t>
      </w:r>
    </w:p>
    <w:p w:rsidR="001800AB" w:rsidP="00992C3A" w:rsidRDefault="001800AB" w14:paraId="164BE7A6" w14:textId="77777777">
      <w:pPr>
        <w:widowControl/>
        <w:tabs>
          <w:tab w:val="num" w:pos="720"/>
        </w:tabs>
        <w:autoSpaceDE/>
        <w:autoSpaceDN/>
        <w:adjustRightInd/>
        <w:rPr>
          <w:rFonts w:eastAsia="Calibri"/>
          <w:sz w:val="26"/>
          <w:szCs w:val="22"/>
        </w:rPr>
      </w:pPr>
    </w:p>
    <w:p w:rsidR="00D31060" w:rsidP="00992C3A" w:rsidRDefault="00D31060" w14:paraId="27BB9FA9" w14:textId="383D3B72">
      <w:pPr>
        <w:widowControl/>
        <w:tabs>
          <w:tab w:val="num" w:pos="720"/>
        </w:tabs>
        <w:autoSpaceDE/>
        <w:autoSpaceDN/>
        <w:adjustRightInd/>
        <w:rPr>
          <w:rFonts w:eastAsia="Calibri"/>
          <w:sz w:val="26"/>
          <w:szCs w:val="22"/>
        </w:rPr>
      </w:pPr>
      <w:r w:rsidRPr="00D31060">
        <w:rPr>
          <w:rFonts w:eastAsia="Calibri"/>
          <w:sz w:val="26"/>
          <w:szCs w:val="22"/>
        </w:rPr>
        <w:t xml:space="preserve">During the technical conference, held on June 1 and 2, 2021, the Commission heard from climatologists, utility executives, RTOs/ISOs and market monitor executives, state regulators and energy officials, and energy policy and reliability experts.  Panelists agreed that electric system planning processes need adjustment to adequately address the threat posed by </w:t>
      </w:r>
      <w:r w:rsidR="00850247">
        <w:rPr>
          <w:rFonts w:eastAsia="Calibri"/>
          <w:sz w:val="26"/>
          <w:szCs w:val="22"/>
        </w:rPr>
        <w:t xml:space="preserve">increasingly frequent and severe </w:t>
      </w:r>
      <w:r w:rsidRPr="00D31060">
        <w:rPr>
          <w:rFonts w:eastAsia="Calibri"/>
          <w:sz w:val="26"/>
          <w:szCs w:val="22"/>
        </w:rPr>
        <w:t>extreme weather</w:t>
      </w:r>
      <w:r w:rsidR="00850247">
        <w:rPr>
          <w:rFonts w:eastAsia="Calibri"/>
          <w:sz w:val="26"/>
          <w:szCs w:val="22"/>
        </w:rPr>
        <w:t xml:space="preserve"> event</w:t>
      </w:r>
      <w:r w:rsidRPr="00D31060">
        <w:rPr>
          <w:rFonts w:eastAsia="Calibri"/>
          <w:sz w:val="26"/>
          <w:szCs w:val="22"/>
        </w:rPr>
        <w:t xml:space="preserve">.  While individual utilities and states facing these threats can and do adjust their planning, </w:t>
      </w:r>
      <w:r w:rsidRPr="00D31060">
        <w:rPr>
          <w:rFonts w:eastAsia="Calibri"/>
          <w:sz w:val="26"/>
          <w:szCs w:val="22"/>
        </w:rPr>
        <w:lastRenderedPageBreak/>
        <w:t>operations, and restoration practices, there was widespread agreement that regular and ongoing information sharing and coordination will be critical.  Panelists also recommended that such sharing not be limited to lessons learned, insofar as ongoing information sharing could also benefit entities developing climate models (e.g., the National Oceanic and Atmospheric Administration (NOAA)) that may not always know what information is relevant to electric system planners and their stakeholders.  Finally, there was widespread agreement that the Commission should play a role in facilitating information sharing among industry stakeholders and government agencies.</w:t>
      </w:r>
    </w:p>
    <w:p w:rsidRPr="00D31060" w:rsidR="00992C3A" w:rsidP="00E71D5C" w:rsidRDefault="00992C3A" w14:paraId="3745F651" w14:textId="77777777">
      <w:pPr>
        <w:widowControl/>
        <w:tabs>
          <w:tab w:val="num" w:pos="720"/>
        </w:tabs>
        <w:autoSpaceDE/>
        <w:autoSpaceDN/>
        <w:adjustRightInd/>
        <w:rPr>
          <w:rFonts w:eastAsia="Calibri"/>
          <w:sz w:val="26"/>
          <w:szCs w:val="22"/>
        </w:rPr>
      </w:pPr>
    </w:p>
    <w:p w:rsidRPr="00E71D5C" w:rsidR="00D86A0C" w:rsidP="00E71D5C" w:rsidRDefault="00D31060" w14:paraId="7ECDD35A" w14:textId="32A41A88">
      <w:pPr>
        <w:widowControl/>
        <w:tabs>
          <w:tab w:val="num" w:pos="720"/>
        </w:tabs>
        <w:autoSpaceDE/>
        <w:autoSpaceDN/>
        <w:adjustRightInd/>
        <w:rPr>
          <w:rFonts w:eastAsia="Calibri"/>
          <w:sz w:val="26"/>
          <w:szCs w:val="22"/>
        </w:rPr>
      </w:pPr>
      <w:r w:rsidRPr="00D31060">
        <w:rPr>
          <w:rFonts w:eastAsia="Calibri"/>
          <w:sz w:val="26"/>
          <w:szCs w:val="22"/>
        </w:rPr>
        <w:t>Subsequently, a Notice Inviting Post-Technical Conference Comments was issued on August 11, 2021,</w:t>
      </w:r>
      <w:r w:rsidRPr="00D31060">
        <w:rPr>
          <w:rFonts w:eastAsia="Calibri"/>
          <w:b/>
          <w:sz w:val="26"/>
          <w:szCs w:val="22"/>
          <w:vertAlign w:val="superscript"/>
        </w:rPr>
        <w:footnoteReference w:id="8"/>
      </w:r>
      <w:r w:rsidRPr="00D31060">
        <w:rPr>
          <w:rFonts w:eastAsia="Calibri"/>
          <w:sz w:val="26"/>
          <w:szCs w:val="22"/>
        </w:rPr>
        <w:t xml:space="preserve"> which permitted commenters to address the questions raised in that notice, as well as any other issues raised during the technical conference or identified in the Supplemental Notices issued on May 21 and May 27, 2021.</w:t>
      </w:r>
    </w:p>
    <w:p w:rsidRPr="00BB6095" w:rsidR="003D44E7" w:rsidP="00E71D5C" w:rsidRDefault="003D44E7" w14:paraId="7EFD8CF6" w14:textId="77777777">
      <w:pPr>
        <w:pStyle w:val="FERCparanumber"/>
        <w:numPr>
          <w:ilvl w:val="0"/>
          <w:numId w:val="0"/>
        </w:numPr>
        <w:rPr>
          <w:sz w:val="24"/>
        </w:rPr>
      </w:pPr>
    </w:p>
    <w:p w:rsidRPr="00F405D1" w:rsidR="009D6B6D" w:rsidP="001D2EC1" w:rsidRDefault="00BB6095" w14:paraId="447BC11B" w14:textId="77777777">
      <w:pPr>
        <w:pStyle w:val="FERCparanumber"/>
        <w:numPr>
          <w:ilvl w:val="0"/>
          <w:numId w:val="7"/>
        </w:numPr>
        <w:rPr>
          <w:szCs w:val="26"/>
        </w:rPr>
      </w:pPr>
      <w:r w:rsidRPr="00F405D1">
        <w:rPr>
          <w:b/>
          <w:szCs w:val="26"/>
        </w:rPr>
        <w:t>EXPLAIN ANY PAYMENT OR GIFTS TO RESPONDENTS</w:t>
      </w:r>
    </w:p>
    <w:p w:rsidRPr="00F405D1" w:rsidR="00BB6095" w:rsidP="00BB6095" w:rsidRDefault="00BB6095" w14:paraId="5AABFD40" w14:textId="77777777">
      <w:pPr>
        <w:pStyle w:val="FERCparanumber"/>
        <w:numPr>
          <w:ilvl w:val="0"/>
          <w:numId w:val="0"/>
        </w:numPr>
        <w:rPr>
          <w:b/>
          <w:szCs w:val="26"/>
        </w:rPr>
      </w:pPr>
    </w:p>
    <w:p w:rsidRPr="00F405D1" w:rsidR="00BB6095" w:rsidP="00BB6095" w:rsidRDefault="00BB6095" w14:paraId="131F754B" w14:textId="77777777">
      <w:pPr>
        <w:widowControl/>
        <w:rPr>
          <w:sz w:val="26"/>
          <w:szCs w:val="26"/>
        </w:rPr>
      </w:pPr>
      <w:r w:rsidRPr="00F405D1">
        <w:rPr>
          <w:sz w:val="26"/>
          <w:szCs w:val="26"/>
        </w:rPr>
        <w:t xml:space="preserve">There are no payments or gifts to respondents </w:t>
      </w:r>
      <w:r w:rsidRPr="00F405D1" w:rsidR="00FF6950">
        <w:rPr>
          <w:sz w:val="26"/>
          <w:szCs w:val="26"/>
        </w:rPr>
        <w:t xml:space="preserve">of </w:t>
      </w:r>
      <w:r w:rsidRPr="00F405D1">
        <w:rPr>
          <w:sz w:val="26"/>
          <w:szCs w:val="26"/>
        </w:rPr>
        <w:t>this collection.</w:t>
      </w:r>
    </w:p>
    <w:p w:rsidRPr="00F405D1" w:rsidR="00BB6095" w:rsidP="00BB6095" w:rsidRDefault="00BB6095" w14:paraId="06F66A3F" w14:textId="77777777">
      <w:pPr>
        <w:pStyle w:val="FERCparanumber"/>
        <w:numPr>
          <w:ilvl w:val="0"/>
          <w:numId w:val="0"/>
        </w:numPr>
        <w:rPr>
          <w:szCs w:val="26"/>
        </w:rPr>
      </w:pPr>
    </w:p>
    <w:p w:rsidRPr="00905BFF" w:rsidR="009D6B6D" w:rsidP="001D2EC1" w:rsidRDefault="00BB6095" w14:paraId="3656AFA8" w14:textId="77777777">
      <w:pPr>
        <w:pStyle w:val="FERCparanumber"/>
        <w:numPr>
          <w:ilvl w:val="0"/>
          <w:numId w:val="7"/>
        </w:numPr>
        <w:rPr>
          <w:szCs w:val="26"/>
        </w:rPr>
      </w:pPr>
      <w:r w:rsidRPr="00F405D1">
        <w:rPr>
          <w:b/>
          <w:szCs w:val="26"/>
        </w:rPr>
        <w:t>DESCRIBE ANY ASSURANCE OF CONFIDENTIALITY PROVIDED TO RESPONDENTS</w:t>
      </w:r>
    </w:p>
    <w:p w:rsidRPr="00F405D1" w:rsidR="00905BFF" w:rsidP="00905BFF" w:rsidRDefault="00905BFF" w14:paraId="3936A79C" w14:textId="77777777">
      <w:pPr>
        <w:pStyle w:val="FERCparanumber"/>
        <w:numPr>
          <w:ilvl w:val="0"/>
          <w:numId w:val="0"/>
        </w:numPr>
        <w:ind w:left="720"/>
        <w:rPr>
          <w:szCs w:val="26"/>
        </w:rPr>
      </w:pPr>
    </w:p>
    <w:p w:rsidRPr="004C3137" w:rsidR="004C3137" w:rsidP="00905BFF" w:rsidRDefault="004C3137" w14:paraId="540A0FF3" w14:textId="63F68CF8">
      <w:pPr>
        <w:pStyle w:val="FERCparanumber"/>
        <w:numPr>
          <w:ilvl w:val="0"/>
          <w:numId w:val="0"/>
        </w:numPr>
        <w:rPr>
          <w:szCs w:val="26"/>
        </w:rPr>
      </w:pPr>
      <w:r w:rsidRPr="00357D51">
        <w:rPr>
          <w:bCs/>
          <w:szCs w:val="26"/>
        </w:rPr>
        <w:t>The Commission does</w:t>
      </w:r>
      <w:r w:rsidRPr="00905BFF">
        <w:rPr>
          <w:szCs w:val="26"/>
        </w:rPr>
        <w:t xml:space="preserve"> </w:t>
      </w:r>
      <w:r w:rsidRPr="004C3137">
        <w:rPr>
          <w:szCs w:val="26"/>
        </w:rPr>
        <w:t>not propose that transmission providers submit the results of their extreme weather vulnerability assessments or include lists of affected assets and operations, specific vulnerabilities, or asset- or operation-specific mitigations in the informational reports proposed by this NOPR.  Rather, we propose that the one-time informational reports focus on describing the current or planned policies and processes that respondents have in place, or plan to implement, to assess and mitigate</w:t>
      </w:r>
      <w:r w:rsidRPr="004C3137" w:rsidDel="00CC5088">
        <w:rPr>
          <w:szCs w:val="26"/>
        </w:rPr>
        <w:t xml:space="preserve"> </w:t>
      </w:r>
      <w:r w:rsidRPr="004C3137">
        <w:rPr>
          <w:szCs w:val="26"/>
        </w:rPr>
        <w:t>extreme weather risks.  We believe that this focus of the proposed one-time informational reports should avoid the need for respondents to file Critical Energy/Electric Infrastructure Information.  However, to the extent transmission providers believe that information they will submit warrants protections, they may make a request for such treatment pursuant to §§388.112 and 388.113 of the Commission’s regulations.</w:t>
      </w:r>
      <w:r w:rsidRPr="004C3137">
        <w:rPr>
          <w:b/>
          <w:szCs w:val="26"/>
          <w:vertAlign w:val="superscript"/>
        </w:rPr>
        <w:footnoteReference w:id="9"/>
      </w:r>
    </w:p>
    <w:p w:rsidRPr="00F405D1" w:rsidR="00BB6095" w:rsidP="00BB6095" w:rsidRDefault="00BB6095" w14:paraId="2B74FC90" w14:textId="77777777">
      <w:pPr>
        <w:pStyle w:val="FERCparanumber"/>
        <w:numPr>
          <w:ilvl w:val="0"/>
          <w:numId w:val="0"/>
        </w:numPr>
        <w:rPr>
          <w:szCs w:val="26"/>
        </w:rPr>
      </w:pPr>
    </w:p>
    <w:p w:rsidRPr="00F405D1" w:rsidR="009D6B6D" w:rsidP="001D2EC1" w:rsidRDefault="00BB6095" w14:paraId="4209DD61" w14:textId="77777777">
      <w:pPr>
        <w:pStyle w:val="FERCparanumber"/>
        <w:numPr>
          <w:ilvl w:val="0"/>
          <w:numId w:val="7"/>
        </w:numPr>
        <w:rPr>
          <w:szCs w:val="26"/>
        </w:rPr>
      </w:pPr>
      <w:r w:rsidRPr="00F405D1">
        <w:rPr>
          <w:b/>
          <w:szCs w:val="26"/>
        </w:rPr>
        <w:t>PROVIDE ADDITIONAL JUSTIFICATION FOR ANY QUESTIONS OF A SENSITIVE NATURE</w:t>
      </w:r>
      <w:r w:rsidRPr="00F405D1" w:rsidR="00860C58">
        <w:rPr>
          <w:b/>
          <w:szCs w:val="26"/>
        </w:rPr>
        <w:t>, SUCH AS SEXUAL BEHAVIOR AND ATTITUDES, RELIGIOUS BELIEFS, AND OTHER MATTERS THAT ARE COMMONLY CONSIDERED PRIVATE</w:t>
      </w:r>
    </w:p>
    <w:p w:rsidRPr="00F405D1" w:rsidR="00BB6095" w:rsidP="00BB6095" w:rsidRDefault="00BB6095" w14:paraId="0F7EAD81" w14:textId="77777777">
      <w:pPr>
        <w:pStyle w:val="FERCparanumber"/>
        <w:numPr>
          <w:ilvl w:val="0"/>
          <w:numId w:val="0"/>
        </w:numPr>
        <w:rPr>
          <w:b/>
          <w:szCs w:val="26"/>
        </w:rPr>
      </w:pPr>
    </w:p>
    <w:p w:rsidRPr="00F405D1" w:rsidR="00BB6095" w:rsidP="00BB6095" w:rsidRDefault="00BB6095" w14:paraId="09D2EA7C" w14:textId="77777777">
      <w:pPr>
        <w:widowControl/>
        <w:rPr>
          <w:b/>
          <w:sz w:val="26"/>
          <w:szCs w:val="26"/>
        </w:rPr>
      </w:pPr>
      <w:r w:rsidRPr="00F405D1">
        <w:rPr>
          <w:sz w:val="26"/>
          <w:szCs w:val="26"/>
        </w:rPr>
        <w:t xml:space="preserve">There are no questions of a sensitive nature associated with the reporting requirements.  </w:t>
      </w:r>
    </w:p>
    <w:p w:rsidRPr="00F405D1" w:rsidR="00BB6095" w:rsidP="00BB6095" w:rsidRDefault="00BB6095" w14:paraId="7B7A487F" w14:textId="77777777">
      <w:pPr>
        <w:pStyle w:val="FERCparanumber"/>
        <w:numPr>
          <w:ilvl w:val="0"/>
          <w:numId w:val="0"/>
        </w:numPr>
        <w:rPr>
          <w:szCs w:val="26"/>
        </w:rPr>
      </w:pPr>
    </w:p>
    <w:p w:rsidRPr="003C0C3E" w:rsidR="00BB6095" w:rsidP="001D2EC1" w:rsidRDefault="00BB6095" w14:paraId="1D3C2BD9" w14:textId="0CE8CB7C">
      <w:pPr>
        <w:pStyle w:val="FERCparanumber"/>
        <w:numPr>
          <w:ilvl w:val="0"/>
          <w:numId w:val="7"/>
        </w:numPr>
        <w:rPr>
          <w:szCs w:val="26"/>
        </w:rPr>
      </w:pPr>
      <w:r w:rsidRPr="00F405D1">
        <w:rPr>
          <w:b/>
          <w:szCs w:val="26"/>
        </w:rPr>
        <w:t>ESTIMATED BURDEN COLLECTION OF INFORMATION</w:t>
      </w:r>
    </w:p>
    <w:p w:rsidRPr="00F405D1" w:rsidR="003058EF" w:rsidP="003C0C3E" w:rsidRDefault="003058EF" w14:paraId="59D302E0" w14:textId="77777777">
      <w:pPr>
        <w:pStyle w:val="FERCparanumber"/>
        <w:numPr>
          <w:ilvl w:val="0"/>
          <w:numId w:val="0"/>
        </w:numPr>
        <w:ind w:left="720"/>
        <w:rPr>
          <w:szCs w:val="26"/>
        </w:rPr>
      </w:pPr>
    </w:p>
    <w:p w:rsidR="00C70A5D" w:rsidP="00A84F2F" w:rsidRDefault="00C70A5D" w14:paraId="2B14B315" w14:textId="5B2D4A48">
      <w:pPr>
        <w:rPr>
          <w:sz w:val="26"/>
          <w:szCs w:val="26"/>
        </w:rPr>
      </w:pPr>
      <w:r w:rsidRPr="00F405D1">
        <w:rPr>
          <w:sz w:val="26"/>
          <w:szCs w:val="26"/>
        </w:rPr>
        <w:t>The Commission estimates the annual burden</w:t>
      </w:r>
      <w:r w:rsidRPr="00F405D1">
        <w:rPr>
          <w:rStyle w:val="FootnoteReference"/>
          <w:sz w:val="26"/>
          <w:szCs w:val="26"/>
          <w:vertAlign w:val="superscript"/>
        </w:rPr>
        <w:footnoteReference w:id="10"/>
      </w:r>
      <w:r w:rsidRPr="00F405D1">
        <w:rPr>
          <w:sz w:val="26"/>
          <w:szCs w:val="26"/>
          <w:vertAlign w:val="superscript"/>
        </w:rPr>
        <w:t xml:space="preserve"> </w:t>
      </w:r>
      <w:r w:rsidRPr="00F405D1">
        <w:rPr>
          <w:sz w:val="26"/>
          <w:szCs w:val="26"/>
        </w:rPr>
        <w:t>and cost</w:t>
      </w:r>
      <w:r w:rsidRPr="00F405D1">
        <w:rPr>
          <w:rStyle w:val="FootnoteReference"/>
          <w:sz w:val="26"/>
          <w:szCs w:val="26"/>
          <w:vertAlign w:val="superscript"/>
        </w:rPr>
        <w:footnoteReference w:id="11"/>
      </w:r>
      <w:r w:rsidRPr="00F405D1">
        <w:rPr>
          <w:sz w:val="26"/>
          <w:szCs w:val="26"/>
          <w:vertAlign w:val="superscript"/>
        </w:rPr>
        <w:t xml:space="preserve"> </w:t>
      </w:r>
      <w:r w:rsidRPr="00F405D1">
        <w:rPr>
          <w:sz w:val="26"/>
          <w:szCs w:val="26"/>
        </w:rPr>
        <w:t xml:space="preserve">for this </w:t>
      </w:r>
      <w:r w:rsidR="006B5301">
        <w:rPr>
          <w:sz w:val="26"/>
          <w:szCs w:val="26"/>
        </w:rPr>
        <w:t xml:space="preserve">proposed </w:t>
      </w:r>
      <w:r w:rsidRPr="00F405D1">
        <w:rPr>
          <w:sz w:val="26"/>
          <w:szCs w:val="26"/>
        </w:rPr>
        <w:t>information collection as:</w:t>
      </w:r>
    </w:p>
    <w:p w:rsidRPr="00F405D1" w:rsidR="004563A9" w:rsidP="00A84F2F" w:rsidRDefault="004563A9" w14:paraId="73879EB8" w14:textId="77777777">
      <w:pPr>
        <w:rPr>
          <w:sz w:val="26"/>
          <w:szCs w:val="26"/>
        </w:rPr>
      </w:pPr>
    </w:p>
    <w:tbl>
      <w:tblPr>
        <w:tblStyle w:val="TableGrid12"/>
        <w:tblW w:w="9270" w:type="dxa"/>
        <w:jc w:val="right"/>
        <w:tblLook w:val="04A0" w:firstRow="1" w:lastRow="0" w:firstColumn="1" w:lastColumn="0" w:noHBand="0" w:noVBand="1"/>
      </w:tblPr>
      <w:tblGrid>
        <w:gridCol w:w="1646"/>
        <w:gridCol w:w="1632"/>
        <w:gridCol w:w="1848"/>
        <w:gridCol w:w="1834"/>
        <w:gridCol w:w="2310"/>
      </w:tblGrid>
      <w:tr w:rsidRPr="00E87E93" w:rsidR="00E87E93" w:rsidTr="005A48EA" w14:paraId="5A2329D8" w14:textId="77777777">
        <w:trPr>
          <w:jc w:val="right"/>
        </w:trPr>
        <w:tc>
          <w:tcPr>
            <w:tcW w:w="9270" w:type="dxa"/>
            <w:gridSpan w:val="5"/>
            <w:shd w:val="clear" w:color="auto" w:fill="BFBFBF"/>
            <w:vAlign w:val="bottom"/>
          </w:tcPr>
          <w:p w:rsidRPr="00E87E93" w:rsidR="00E87E93" w:rsidP="00E87E93" w:rsidRDefault="00E87E93" w14:paraId="64C44F4D" w14:textId="77777777">
            <w:pPr>
              <w:rPr>
                <w:rFonts w:eastAsia="Calibri"/>
                <w:b/>
                <w:bCs/>
                <w:sz w:val="26"/>
                <w:szCs w:val="20"/>
              </w:rPr>
            </w:pPr>
            <w:r w:rsidRPr="00E87E93">
              <w:rPr>
                <w:rFonts w:eastAsia="Calibri"/>
                <w:b/>
                <w:bCs/>
                <w:sz w:val="26"/>
                <w:szCs w:val="20"/>
              </w:rPr>
              <w:br w:type="page"/>
              <w:t>FERC-1004, as Proposed in NOPR in Docket Nos. RM22-16-000 and AD21-13</w:t>
            </w:r>
          </w:p>
        </w:tc>
      </w:tr>
      <w:tr w:rsidRPr="00E87E93" w:rsidR="00E87E93" w:rsidTr="005A48EA" w14:paraId="785BCC22" w14:textId="77777777">
        <w:trPr>
          <w:jc w:val="right"/>
        </w:trPr>
        <w:tc>
          <w:tcPr>
            <w:tcW w:w="1430" w:type="dxa"/>
            <w:shd w:val="clear" w:color="auto" w:fill="BFBFBF"/>
            <w:vAlign w:val="bottom"/>
          </w:tcPr>
          <w:p w:rsidRPr="00E87E93" w:rsidR="00E87E93" w:rsidP="00E87E93" w:rsidRDefault="00E87E93" w14:paraId="12091A64" w14:textId="77777777">
            <w:pPr>
              <w:rPr>
                <w:rFonts w:eastAsia="Calibri"/>
                <w:b/>
                <w:bCs/>
                <w:sz w:val="26"/>
                <w:szCs w:val="20"/>
              </w:rPr>
            </w:pPr>
            <w:r w:rsidRPr="00E87E93">
              <w:rPr>
                <w:rFonts w:eastAsia="Calibri"/>
                <w:b/>
                <w:bCs/>
                <w:sz w:val="26"/>
                <w:szCs w:val="20"/>
              </w:rPr>
              <w:t>A. Area of Modification</w:t>
            </w:r>
          </w:p>
        </w:tc>
        <w:tc>
          <w:tcPr>
            <w:tcW w:w="1632" w:type="dxa"/>
            <w:shd w:val="clear" w:color="auto" w:fill="BFBFBF"/>
            <w:vAlign w:val="bottom"/>
          </w:tcPr>
          <w:p w:rsidRPr="00E87E93" w:rsidR="00E87E93" w:rsidP="00E87E93" w:rsidRDefault="00E87E93" w14:paraId="0246166B" w14:textId="77777777">
            <w:pPr>
              <w:rPr>
                <w:rFonts w:eastAsia="Calibri"/>
                <w:b/>
                <w:bCs/>
                <w:sz w:val="26"/>
                <w:szCs w:val="20"/>
              </w:rPr>
            </w:pPr>
            <w:r w:rsidRPr="00E87E93">
              <w:rPr>
                <w:rFonts w:eastAsia="Calibri"/>
                <w:b/>
                <w:bCs/>
                <w:sz w:val="26"/>
                <w:szCs w:val="20"/>
              </w:rPr>
              <w:t>B. Annual Number of Respondents</w:t>
            </w:r>
          </w:p>
        </w:tc>
        <w:tc>
          <w:tcPr>
            <w:tcW w:w="1888" w:type="dxa"/>
            <w:shd w:val="clear" w:color="auto" w:fill="BFBFBF"/>
            <w:vAlign w:val="bottom"/>
          </w:tcPr>
          <w:p w:rsidRPr="00E87E93" w:rsidR="00E87E93" w:rsidP="00E87E93" w:rsidRDefault="00E87E93" w14:paraId="55D6C12A" w14:textId="77777777">
            <w:pPr>
              <w:rPr>
                <w:rFonts w:eastAsia="Calibri"/>
                <w:b/>
                <w:bCs/>
                <w:sz w:val="26"/>
                <w:szCs w:val="20"/>
              </w:rPr>
            </w:pPr>
            <w:r w:rsidRPr="00E87E93">
              <w:rPr>
                <w:rFonts w:eastAsia="Calibri"/>
                <w:b/>
                <w:bCs/>
                <w:sz w:val="26"/>
                <w:szCs w:val="20"/>
              </w:rPr>
              <w:t>C. Annual Estimated Number of Responses</w:t>
            </w:r>
          </w:p>
          <w:p w:rsidRPr="00E87E93" w:rsidR="00E87E93" w:rsidP="00E87E93" w:rsidRDefault="00E87E93" w14:paraId="2ABD4E3D" w14:textId="77777777">
            <w:pPr>
              <w:rPr>
                <w:rFonts w:eastAsia="Calibri"/>
                <w:b/>
                <w:bCs/>
                <w:sz w:val="26"/>
                <w:szCs w:val="20"/>
              </w:rPr>
            </w:pPr>
            <w:r w:rsidRPr="00E87E93">
              <w:rPr>
                <w:rFonts w:eastAsia="Calibri"/>
                <w:b/>
                <w:bCs/>
                <w:sz w:val="26"/>
                <w:szCs w:val="20"/>
              </w:rPr>
              <w:t>(1 per respondent)</w:t>
            </w:r>
          </w:p>
        </w:tc>
        <w:tc>
          <w:tcPr>
            <w:tcW w:w="1890" w:type="dxa"/>
            <w:shd w:val="clear" w:color="auto" w:fill="BFBFBF"/>
            <w:vAlign w:val="bottom"/>
          </w:tcPr>
          <w:p w:rsidRPr="00E87E93" w:rsidR="00E87E93" w:rsidP="00E87E93" w:rsidRDefault="00E87E93" w14:paraId="3B6F4CCF" w14:textId="77777777">
            <w:pPr>
              <w:rPr>
                <w:rFonts w:eastAsia="Calibri"/>
                <w:b/>
                <w:bCs/>
                <w:sz w:val="26"/>
                <w:szCs w:val="20"/>
              </w:rPr>
            </w:pPr>
            <w:r w:rsidRPr="00E87E93">
              <w:rPr>
                <w:rFonts w:eastAsia="Calibri"/>
                <w:b/>
                <w:bCs/>
                <w:sz w:val="26"/>
                <w:szCs w:val="20"/>
              </w:rPr>
              <w:t>D. Average Burden Hours &amp; Cost</w:t>
            </w:r>
            <w:r w:rsidRPr="00E87E93">
              <w:rPr>
                <w:rFonts w:eastAsia="Calibri"/>
                <w:bCs/>
                <w:sz w:val="26"/>
                <w:szCs w:val="20"/>
                <w:vertAlign w:val="superscript"/>
              </w:rPr>
              <w:footnoteReference w:id="12"/>
            </w:r>
            <w:r w:rsidRPr="00E87E93">
              <w:rPr>
                <w:rFonts w:eastAsia="Calibri"/>
                <w:b/>
                <w:bCs/>
                <w:sz w:val="26"/>
                <w:szCs w:val="20"/>
              </w:rPr>
              <w:t xml:space="preserve"> per Response</w:t>
            </w:r>
          </w:p>
        </w:tc>
        <w:tc>
          <w:tcPr>
            <w:tcW w:w="2430" w:type="dxa"/>
            <w:shd w:val="clear" w:color="auto" w:fill="BFBFBF"/>
            <w:vAlign w:val="bottom"/>
          </w:tcPr>
          <w:p w:rsidRPr="00E87E93" w:rsidR="00E87E93" w:rsidP="00E87E93" w:rsidRDefault="00E87E93" w14:paraId="37E26217" w14:textId="77777777">
            <w:pPr>
              <w:rPr>
                <w:rFonts w:eastAsia="Calibri"/>
                <w:b/>
                <w:bCs/>
                <w:sz w:val="26"/>
                <w:szCs w:val="20"/>
              </w:rPr>
            </w:pPr>
            <w:r w:rsidRPr="00E87E93">
              <w:rPr>
                <w:rFonts w:eastAsia="Calibri"/>
                <w:b/>
                <w:bCs/>
                <w:sz w:val="26"/>
                <w:szCs w:val="20"/>
              </w:rPr>
              <w:t>E. Total Estimated Burden Hours &amp; Total Estimated Cost</w:t>
            </w:r>
          </w:p>
          <w:p w:rsidRPr="00E87E93" w:rsidR="00E87E93" w:rsidP="00E87E93" w:rsidRDefault="00E87E93" w14:paraId="02D9CB60" w14:textId="77777777">
            <w:pPr>
              <w:rPr>
                <w:rFonts w:eastAsia="Calibri"/>
                <w:b/>
                <w:bCs/>
                <w:sz w:val="26"/>
                <w:szCs w:val="20"/>
              </w:rPr>
            </w:pPr>
            <w:r w:rsidRPr="00E87E93">
              <w:rPr>
                <w:rFonts w:eastAsia="Calibri"/>
                <w:b/>
                <w:bCs/>
                <w:sz w:val="26"/>
                <w:szCs w:val="20"/>
              </w:rPr>
              <w:t>(Column C x Column D)</w:t>
            </w:r>
          </w:p>
        </w:tc>
      </w:tr>
      <w:tr w:rsidRPr="00E87E93" w:rsidR="00E87E93" w:rsidTr="005A48EA" w14:paraId="5BC02B4B" w14:textId="77777777">
        <w:trPr>
          <w:jc w:val="right"/>
        </w:trPr>
        <w:tc>
          <w:tcPr>
            <w:tcW w:w="1430" w:type="dxa"/>
            <w:vAlign w:val="bottom"/>
          </w:tcPr>
          <w:p w:rsidRPr="00E87E93" w:rsidR="00E87E93" w:rsidP="00E87E93" w:rsidRDefault="00E87E93" w14:paraId="74B31F46" w14:textId="77777777">
            <w:pPr>
              <w:rPr>
                <w:rFonts w:eastAsia="Calibri"/>
                <w:sz w:val="26"/>
                <w:szCs w:val="20"/>
              </w:rPr>
            </w:pPr>
            <w:r w:rsidRPr="00E87E93">
              <w:rPr>
                <w:rFonts w:eastAsia="Calibri"/>
                <w:sz w:val="26"/>
                <w:szCs w:val="20"/>
              </w:rPr>
              <w:t>Report on Extreme Weather Vulnerability Assessment (one-time)</w:t>
            </w:r>
          </w:p>
        </w:tc>
        <w:tc>
          <w:tcPr>
            <w:tcW w:w="1632" w:type="dxa"/>
            <w:vAlign w:val="bottom"/>
          </w:tcPr>
          <w:p w:rsidRPr="00E87E93" w:rsidR="00E87E93" w:rsidP="00E87E93" w:rsidRDefault="00E87E93" w14:paraId="16C3B8FE" w14:textId="77777777">
            <w:pPr>
              <w:rPr>
                <w:rFonts w:eastAsia="Calibri"/>
                <w:sz w:val="26"/>
                <w:szCs w:val="20"/>
              </w:rPr>
            </w:pPr>
            <w:r w:rsidRPr="00E87E93">
              <w:rPr>
                <w:rFonts w:eastAsia="Calibri"/>
                <w:sz w:val="26"/>
                <w:szCs w:val="20"/>
              </w:rPr>
              <w:t>132 (49 TPs</w:t>
            </w:r>
            <w:r w:rsidRPr="00E87E93">
              <w:rPr>
                <w:rFonts w:eastAsia="Calibri"/>
                <w:b/>
                <w:sz w:val="26"/>
                <w:szCs w:val="20"/>
                <w:vertAlign w:val="superscript"/>
              </w:rPr>
              <w:footnoteReference w:id="13"/>
            </w:r>
            <w:r w:rsidRPr="00E87E93">
              <w:rPr>
                <w:rFonts w:eastAsia="Calibri"/>
                <w:sz w:val="26"/>
                <w:szCs w:val="20"/>
              </w:rPr>
              <w:t xml:space="preserve"> and 83 TOs) </w:t>
            </w:r>
          </w:p>
        </w:tc>
        <w:tc>
          <w:tcPr>
            <w:tcW w:w="1888" w:type="dxa"/>
            <w:vAlign w:val="bottom"/>
          </w:tcPr>
          <w:p w:rsidRPr="00E87E93" w:rsidR="00E87E93" w:rsidP="00E87E93" w:rsidRDefault="00E87E93" w14:paraId="6D9CA5CA" w14:textId="77777777">
            <w:pPr>
              <w:rPr>
                <w:rFonts w:eastAsia="Calibri"/>
                <w:sz w:val="26"/>
                <w:szCs w:val="20"/>
              </w:rPr>
            </w:pPr>
            <w:r w:rsidRPr="00E87E93">
              <w:rPr>
                <w:rFonts w:eastAsia="Calibri"/>
                <w:sz w:val="26"/>
                <w:szCs w:val="20"/>
              </w:rPr>
              <w:t>132</w:t>
            </w:r>
          </w:p>
        </w:tc>
        <w:tc>
          <w:tcPr>
            <w:tcW w:w="1890" w:type="dxa"/>
            <w:vAlign w:val="bottom"/>
          </w:tcPr>
          <w:p w:rsidRPr="00E87E93" w:rsidR="00E87E93" w:rsidP="00E87E93" w:rsidRDefault="00E87E93" w14:paraId="2D911518" w14:textId="77777777">
            <w:pPr>
              <w:rPr>
                <w:rFonts w:eastAsia="Calibri"/>
                <w:sz w:val="26"/>
                <w:szCs w:val="20"/>
              </w:rPr>
            </w:pPr>
            <w:r w:rsidRPr="00E87E93">
              <w:rPr>
                <w:rFonts w:eastAsia="Calibri"/>
                <w:sz w:val="26"/>
                <w:szCs w:val="20"/>
              </w:rPr>
              <w:t xml:space="preserve">Year 1: 99 hours; </w:t>
            </w:r>
            <w:bookmarkStart w:name="_Hlk104963513" w:id="1"/>
            <w:r w:rsidRPr="00E87E93">
              <w:rPr>
                <w:rFonts w:eastAsia="Calibri"/>
                <w:sz w:val="26"/>
                <w:szCs w:val="20"/>
              </w:rPr>
              <w:t>$8,613</w:t>
            </w:r>
            <w:bookmarkEnd w:id="1"/>
            <w:r w:rsidRPr="00E87E93">
              <w:rPr>
                <w:rFonts w:eastAsia="Calibri"/>
                <w:sz w:val="26"/>
                <w:szCs w:val="20"/>
              </w:rPr>
              <w:t>.00</w:t>
            </w:r>
          </w:p>
          <w:p w:rsidRPr="00E87E93" w:rsidR="00E87E93" w:rsidP="00E87E93" w:rsidRDefault="00E87E93" w14:paraId="31E303F9" w14:textId="77777777">
            <w:pPr>
              <w:rPr>
                <w:rFonts w:eastAsia="Calibri"/>
                <w:sz w:val="26"/>
                <w:szCs w:val="20"/>
              </w:rPr>
            </w:pPr>
            <w:r w:rsidRPr="00E87E93">
              <w:rPr>
                <w:rFonts w:eastAsia="Calibri"/>
                <w:sz w:val="26"/>
                <w:szCs w:val="20"/>
              </w:rPr>
              <w:t>Subsequent Years: 0 hours per year; $0</w:t>
            </w:r>
          </w:p>
        </w:tc>
        <w:tc>
          <w:tcPr>
            <w:tcW w:w="2430" w:type="dxa"/>
            <w:vAlign w:val="bottom"/>
          </w:tcPr>
          <w:p w:rsidRPr="00E87E93" w:rsidR="00E87E93" w:rsidP="00E87E93" w:rsidRDefault="00E87E93" w14:paraId="6D1C4185" w14:textId="77777777">
            <w:pPr>
              <w:rPr>
                <w:rFonts w:eastAsia="Calibri"/>
                <w:sz w:val="26"/>
                <w:szCs w:val="20"/>
              </w:rPr>
            </w:pPr>
            <w:r w:rsidRPr="00E87E93">
              <w:rPr>
                <w:rFonts w:eastAsia="Calibri"/>
                <w:sz w:val="26"/>
                <w:szCs w:val="20"/>
              </w:rPr>
              <w:t>Year 1: 13,068 hours; $1,136,916</w:t>
            </w:r>
          </w:p>
          <w:p w:rsidRPr="00E87E93" w:rsidR="00E87E93" w:rsidP="00E87E93" w:rsidRDefault="00E87E93" w14:paraId="700A71E4" w14:textId="77777777">
            <w:pPr>
              <w:rPr>
                <w:rFonts w:eastAsia="Calibri"/>
                <w:sz w:val="26"/>
                <w:szCs w:val="20"/>
              </w:rPr>
            </w:pPr>
            <w:r w:rsidRPr="00E87E93">
              <w:rPr>
                <w:rFonts w:eastAsia="Calibri"/>
                <w:sz w:val="26"/>
                <w:szCs w:val="20"/>
              </w:rPr>
              <w:t xml:space="preserve">Subsequent Years: 0 hours per year; $0 </w:t>
            </w:r>
          </w:p>
        </w:tc>
      </w:tr>
    </w:tbl>
    <w:p w:rsidR="00BB6095" w:rsidP="00BB6095" w:rsidRDefault="00BB6095" w14:paraId="00A8630C" w14:textId="0430A693">
      <w:pPr>
        <w:pStyle w:val="FERCparanumber"/>
        <w:numPr>
          <w:ilvl w:val="0"/>
          <w:numId w:val="0"/>
        </w:numPr>
        <w:rPr>
          <w:szCs w:val="26"/>
        </w:rPr>
      </w:pPr>
    </w:p>
    <w:p w:rsidRPr="00F405D1" w:rsidR="009D6B6D" w:rsidP="001D2EC1" w:rsidRDefault="00BB6095" w14:paraId="56EC7A22" w14:textId="77777777">
      <w:pPr>
        <w:pStyle w:val="FERCparanumber"/>
        <w:numPr>
          <w:ilvl w:val="0"/>
          <w:numId w:val="7"/>
        </w:numPr>
        <w:rPr>
          <w:szCs w:val="26"/>
        </w:rPr>
      </w:pPr>
      <w:r w:rsidRPr="00F405D1">
        <w:rPr>
          <w:b/>
          <w:szCs w:val="26"/>
        </w:rPr>
        <w:lastRenderedPageBreak/>
        <w:t>ESTIMATE OF THE TOTAL ANNUAL COST BURDEN TO RESPONDENTS</w:t>
      </w:r>
    </w:p>
    <w:p w:rsidRPr="00F405D1" w:rsidR="00EF40FF" w:rsidP="00EF40FF" w:rsidRDefault="00EF40FF" w14:paraId="49163BBA" w14:textId="77777777">
      <w:pPr>
        <w:pStyle w:val="FERCparanumber"/>
        <w:numPr>
          <w:ilvl w:val="0"/>
          <w:numId w:val="0"/>
        </w:numPr>
        <w:rPr>
          <w:b/>
          <w:szCs w:val="26"/>
        </w:rPr>
      </w:pPr>
    </w:p>
    <w:p w:rsidRPr="00F405D1" w:rsidR="00432DA3" w:rsidP="00432DA3" w:rsidRDefault="00432DA3" w14:paraId="74FE178C" w14:textId="5A0BF628">
      <w:pPr>
        <w:widowControl/>
        <w:rPr>
          <w:sz w:val="26"/>
          <w:szCs w:val="26"/>
        </w:rPr>
      </w:pPr>
      <w:r w:rsidRPr="00F405D1">
        <w:rPr>
          <w:sz w:val="26"/>
          <w:szCs w:val="26"/>
        </w:rPr>
        <w:t xml:space="preserve">There are no non-labor start-up costs. </w:t>
      </w:r>
      <w:r w:rsidR="004563A9">
        <w:rPr>
          <w:sz w:val="26"/>
          <w:szCs w:val="26"/>
        </w:rPr>
        <w:t xml:space="preserve"> </w:t>
      </w:r>
      <w:r w:rsidRPr="00F405D1">
        <w:rPr>
          <w:sz w:val="26"/>
          <w:szCs w:val="26"/>
        </w:rPr>
        <w:t>All costs are related to burden hours and are addressed in Questions #12 and #15.</w:t>
      </w:r>
    </w:p>
    <w:p w:rsidRPr="00F405D1" w:rsidR="00EF40FF" w:rsidP="00EF40FF" w:rsidRDefault="00EF40FF" w14:paraId="52DA52EA" w14:textId="77777777">
      <w:pPr>
        <w:pStyle w:val="FERCparanumber"/>
        <w:numPr>
          <w:ilvl w:val="0"/>
          <w:numId w:val="0"/>
        </w:numPr>
        <w:rPr>
          <w:szCs w:val="26"/>
        </w:rPr>
      </w:pPr>
    </w:p>
    <w:p w:rsidRPr="00F405D1" w:rsidR="00EF40FF" w:rsidP="001D2EC1" w:rsidRDefault="00EF40FF" w14:paraId="1CABBAFE" w14:textId="77777777">
      <w:pPr>
        <w:pStyle w:val="FERCparanumber"/>
        <w:numPr>
          <w:ilvl w:val="0"/>
          <w:numId w:val="7"/>
        </w:numPr>
        <w:rPr>
          <w:b/>
          <w:szCs w:val="26"/>
        </w:rPr>
      </w:pPr>
      <w:r w:rsidRPr="00F405D1">
        <w:rPr>
          <w:b/>
          <w:szCs w:val="26"/>
        </w:rPr>
        <w:t>ESTIMATED ANNUALIZED COST TO FEDERAL GOVERNMENT</w:t>
      </w:r>
    </w:p>
    <w:p w:rsidRPr="00F405D1" w:rsidR="00EF40FF" w:rsidP="00EF40FF" w:rsidRDefault="00EF40FF" w14:paraId="03316FE7" w14:textId="58E99D48">
      <w:pPr>
        <w:pStyle w:val="FERCparanumber"/>
        <w:numPr>
          <w:ilvl w:val="0"/>
          <w:numId w:val="0"/>
        </w:numPr>
        <w:rPr>
          <w:b/>
          <w:szCs w:val="26"/>
        </w:rPr>
      </w:pPr>
    </w:p>
    <w:p w:rsidR="00C70A5D" w:rsidP="00C70A5D" w:rsidRDefault="00C70A5D" w14:paraId="2BDFB4F8" w14:textId="7141A7AE">
      <w:pPr>
        <w:widowControl/>
        <w:autoSpaceDE/>
        <w:autoSpaceDN/>
        <w:adjustRightInd/>
        <w:rPr>
          <w:rFonts w:eastAsiaTheme="minorHAnsi"/>
          <w:sz w:val="26"/>
          <w:szCs w:val="26"/>
        </w:rPr>
      </w:pPr>
      <w:r w:rsidRPr="00F405D1">
        <w:rPr>
          <w:rFonts w:eastAsiaTheme="minorHAnsi"/>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960F73" w:rsidP="00C70A5D" w:rsidRDefault="00960F73" w14:paraId="7ECABB6A" w14:textId="08A08553">
      <w:pPr>
        <w:widowControl/>
        <w:autoSpaceDE/>
        <w:autoSpaceDN/>
        <w:adjustRightInd/>
        <w:rPr>
          <w:rFonts w:eastAsiaTheme="minorHAnsi"/>
          <w:sz w:val="26"/>
          <w:szCs w:val="26"/>
        </w:rPr>
      </w:pPr>
    </w:p>
    <w:p w:rsidRPr="00F405D1" w:rsidR="00C70A5D" w:rsidP="00C70A5D" w:rsidRDefault="00960F73" w14:paraId="402E5C78" w14:textId="4B29575B">
      <w:pPr>
        <w:widowControl/>
        <w:autoSpaceDE/>
        <w:autoSpaceDN/>
        <w:adjustRightInd/>
        <w:rPr>
          <w:rFonts w:eastAsiaTheme="minorHAnsi"/>
          <w:sz w:val="26"/>
          <w:szCs w:val="26"/>
        </w:rPr>
      </w:pPr>
      <w:r w:rsidRPr="00197BC1">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w:t>
      </w:r>
      <w:r>
        <w:rPr>
          <w:sz w:val="26"/>
          <w:szCs w:val="26"/>
        </w:rPr>
        <w:t>n</w:t>
      </w:r>
      <w:r w:rsidR="00323854">
        <w:rPr>
          <w:sz w:val="26"/>
          <w:szCs w:val="26"/>
        </w:rPr>
        <w:t>, as well as the cost of publication in the Federal Register</w:t>
      </w:r>
      <w:r>
        <w:rPr>
          <w:sz w:val="26"/>
          <w:szCs w:val="26"/>
        </w:rPr>
        <w:t>.</w:t>
      </w:r>
    </w:p>
    <w:p w:rsidRPr="00F405D1" w:rsidR="00EF40FF" w:rsidP="00EF40FF" w:rsidRDefault="00EF40FF" w14:paraId="1A9EAB4A" w14:textId="77777777">
      <w:pPr>
        <w:pStyle w:val="ListParagraph"/>
        <w:spacing w:after="0" w:line="240" w:lineRule="auto"/>
        <w:rPr>
          <w:rFonts w:ascii="Times New Roman" w:hAnsi="Times New Roman"/>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F405D1" w:rsidR="00EF40FF" w:rsidTr="009235C7" w14:paraId="075B8A8A" w14:textId="77777777">
        <w:tc>
          <w:tcPr>
            <w:tcW w:w="1756" w:type="pct"/>
            <w:shd w:val="clear" w:color="auto" w:fill="D9D9D9"/>
            <w:vAlign w:val="center"/>
          </w:tcPr>
          <w:p w:rsidRPr="00F405D1" w:rsidR="00EF40FF" w:rsidP="009235C7" w:rsidRDefault="00EF40FF" w14:paraId="541DFC77" w14:textId="77777777">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Pr="00F405D1" w:rsidR="00EF40FF" w:rsidP="009235C7" w:rsidRDefault="00EF40FF" w14:paraId="1D6B561F"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Number of Employees (FTE)</w:t>
            </w:r>
          </w:p>
        </w:tc>
        <w:tc>
          <w:tcPr>
            <w:tcW w:w="1617" w:type="pct"/>
            <w:shd w:val="clear" w:color="auto" w:fill="D9D9D9"/>
            <w:vAlign w:val="center"/>
          </w:tcPr>
          <w:p w:rsidRPr="00F405D1" w:rsidR="00EF40FF" w:rsidP="009235C7" w:rsidRDefault="00EF40FF" w14:paraId="39D3A486"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Estimated Annual Federal Cost</w:t>
            </w:r>
          </w:p>
        </w:tc>
      </w:tr>
      <w:tr w:rsidRPr="00F405D1" w:rsidR="00EF40FF" w:rsidTr="009235C7" w14:paraId="43E764C3" w14:textId="77777777">
        <w:tc>
          <w:tcPr>
            <w:tcW w:w="1756" w:type="pct"/>
            <w:shd w:val="clear" w:color="auto" w:fill="auto"/>
            <w:vAlign w:val="center"/>
          </w:tcPr>
          <w:p w:rsidRPr="00F405D1" w:rsidR="00EF40FF" w:rsidP="009235C7" w:rsidRDefault="00EF40FF" w14:paraId="5DDE8C26" w14:textId="7777777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Analysis and Processing of Filings</w:t>
            </w:r>
            <w:r w:rsidRPr="00F405D1">
              <w:rPr>
                <w:rStyle w:val="FootnoteReference"/>
                <w:rFonts w:ascii="Times New Roman" w:hAnsi="Times New Roman"/>
                <w:sz w:val="26"/>
                <w:szCs w:val="26"/>
                <w:vertAlign w:val="superscript"/>
              </w:rPr>
              <w:footnoteReference w:id="14"/>
            </w:r>
          </w:p>
        </w:tc>
        <w:tc>
          <w:tcPr>
            <w:tcW w:w="1627" w:type="pct"/>
            <w:shd w:val="clear" w:color="auto" w:fill="auto"/>
            <w:vAlign w:val="center"/>
          </w:tcPr>
          <w:p w:rsidRPr="00F405D1" w:rsidR="00EF40FF" w:rsidP="009235C7" w:rsidRDefault="00C01EF3" w14:paraId="3DB37A9A" w14:textId="570DA751">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7</w:t>
            </w:r>
          </w:p>
        </w:tc>
        <w:tc>
          <w:tcPr>
            <w:tcW w:w="1617" w:type="pct"/>
            <w:shd w:val="clear" w:color="auto" w:fill="auto"/>
            <w:vAlign w:val="center"/>
          </w:tcPr>
          <w:p w:rsidRPr="00F405D1" w:rsidR="00EF40FF" w:rsidP="009235C7" w:rsidRDefault="005D574D" w14:paraId="297335E5" w14:textId="3428976C">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w:t>
            </w:r>
            <w:r w:rsidR="009D2B78">
              <w:rPr>
                <w:rFonts w:ascii="Times New Roman" w:hAnsi="Times New Roman"/>
                <w:sz w:val="26"/>
                <w:szCs w:val="26"/>
              </w:rPr>
              <w:t>1,264,9</w:t>
            </w:r>
            <w:r w:rsidR="0079701B">
              <w:rPr>
                <w:rFonts w:ascii="Times New Roman" w:hAnsi="Times New Roman"/>
                <w:sz w:val="26"/>
                <w:szCs w:val="26"/>
              </w:rPr>
              <w:t>21.00</w:t>
            </w:r>
          </w:p>
        </w:tc>
      </w:tr>
      <w:tr w:rsidRPr="00F405D1" w:rsidR="00EF40FF" w:rsidTr="009235C7" w14:paraId="6EC91E82" w14:textId="77777777">
        <w:tc>
          <w:tcPr>
            <w:tcW w:w="1756" w:type="pct"/>
            <w:shd w:val="clear" w:color="auto" w:fill="auto"/>
            <w:vAlign w:val="center"/>
          </w:tcPr>
          <w:p w:rsidRPr="00F405D1" w:rsidR="00EF40FF" w:rsidP="009235C7" w:rsidRDefault="00EF40FF" w14:paraId="1F116D20" w14:textId="757C47F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PRA</w:t>
            </w:r>
            <w:r w:rsidRPr="00F405D1">
              <w:rPr>
                <w:rStyle w:val="FootnoteReference"/>
                <w:rFonts w:ascii="Times New Roman" w:hAnsi="Times New Roman"/>
                <w:sz w:val="26"/>
                <w:szCs w:val="26"/>
                <w:vertAlign w:val="superscript"/>
              </w:rPr>
              <w:footnoteReference w:id="15"/>
            </w:r>
            <w:r w:rsidRPr="00F405D1">
              <w:rPr>
                <w:rFonts w:ascii="Times New Roman" w:hAnsi="Times New Roman"/>
                <w:sz w:val="26"/>
                <w:szCs w:val="26"/>
              </w:rPr>
              <w:t xml:space="preserve"> Administrative Cost</w:t>
            </w:r>
            <w:r w:rsidRPr="003C0C3E" w:rsidR="004726ED">
              <w:rPr>
                <w:rStyle w:val="FootnoteReference"/>
                <w:rFonts w:ascii="Times New Roman" w:hAnsi="Times New Roman"/>
                <w:sz w:val="26"/>
                <w:szCs w:val="26"/>
                <w:vertAlign w:val="superscript"/>
              </w:rPr>
              <w:footnoteReference w:id="16"/>
            </w:r>
          </w:p>
        </w:tc>
        <w:tc>
          <w:tcPr>
            <w:tcW w:w="1627" w:type="pct"/>
            <w:shd w:val="clear" w:color="auto" w:fill="D9D9D9"/>
            <w:vAlign w:val="center"/>
          </w:tcPr>
          <w:p w:rsidRPr="00F405D1" w:rsidR="00EF40FF" w:rsidP="009235C7" w:rsidRDefault="00EF40FF" w14:paraId="7A9427C2"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F405D1" w:rsidR="00EF40FF" w:rsidP="009235C7" w:rsidRDefault="00805BEB" w14:paraId="20C63417" w14:textId="769B7019">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Pr="004726ED" w:rsidR="004726ED">
              <w:rPr>
                <w:rFonts w:ascii="Times New Roman" w:hAnsi="Times New Roman"/>
                <w:sz w:val="26"/>
                <w:szCs w:val="26"/>
              </w:rPr>
              <w:t>8,279.</w:t>
            </w:r>
            <w:r w:rsidR="00944224">
              <w:rPr>
                <w:rFonts w:ascii="Times New Roman" w:hAnsi="Times New Roman"/>
                <w:sz w:val="26"/>
                <w:szCs w:val="26"/>
              </w:rPr>
              <w:t>00</w:t>
            </w:r>
          </w:p>
        </w:tc>
      </w:tr>
      <w:tr w:rsidRPr="004726ED" w:rsidR="00EF40FF" w:rsidTr="009235C7" w14:paraId="147F0E38" w14:textId="77777777">
        <w:tc>
          <w:tcPr>
            <w:tcW w:w="1756" w:type="pct"/>
            <w:shd w:val="clear" w:color="auto" w:fill="auto"/>
            <w:vAlign w:val="center"/>
          </w:tcPr>
          <w:p w:rsidRPr="00944224" w:rsidR="00EF40FF" w:rsidP="009235C7" w:rsidRDefault="00EF40FF" w14:paraId="34A45E5C" w14:textId="77777777">
            <w:pPr>
              <w:pStyle w:val="ListParagraph"/>
              <w:spacing w:after="0" w:line="240" w:lineRule="auto"/>
              <w:ind w:left="0"/>
              <w:rPr>
                <w:rFonts w:ascii="Times New Roman" w:hAnsi="Times New Roman"/>
                <w:sz w:val="26"/>
                <w:szCs w:val="26"/>
              </w:rPr>
            </w:pPr>
            <w:r w:rsidRPr="00944224">
              <w:rPr>
                <w:rFonts w:ascii="Times New Roman" w:hAnsi="Times New Roman"/>
                <w:sz w:val="26"/>
                <w:szCs w:val="26"/>
              </w:rPr>
              <w:t>FERC Total</w:t>
            </w:r>
          </w:p>
        </w:tc>
        <w:tc>
          <w:tcPr>
            <w:tcW w:w="1627" w:type="pct"/>
            <w:shd w:val="clear" w:color="auto" w:fill="D9D9D9"/>
            <w:vAlign w:val="center"/>
          </w:tcPr>
          <w:p w:rsidRPr="00944224" w:rsidR="00EF40FF" w:rsidP="009235C7" w:rsidRDefault="00EF40FF" w14:paraId="20C4B016"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944224" w:rsidR="00EF40FF" w:rsidP="009235C7" w:rsidRDefault="009173CD" w14:paraId="34A40C77" w14:textId="1445D730">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$1,273,200.00</w:t>
            </w:r>
          </w:p>
        </w:tc>
      </w:tr>
    </w:tbl>
    <w:p w:rsidRPr="00F405D1" w:rsidR="00EF40FF" w:rsidP="00EF40FF" w:rsidRDefault="00EF40FF" w14:paraId="7FA9AB77" w14:textId="77777777">
      <w:pPr>
        <w:pStyle w:val="FERCparanumber"/>
        <w:numPr>
          <w:ilvl w:val="0"/>
          <w:numId w:val="0"/>
        </w:numPr>
        <w:rPr>
          <w:b/>
          <w:szCs w:val="26"/>
        </w:rPr>
      </w:pPr>
    </w:p>
    <w:p w:rsidRPr="00F405D1" w:rsidR="00EF40FF" w:rsidP="001D2EC1" w:rsidRDefault="00EF40FF" w14:paraId="2B23EC0B" w14:textId="77777777">
      <w:pPr>
        <w:pStyle w:val="FERCparanumber"/>
        <w:numPr>
          <w:ilvl w:val="0"/>
          <w:numId w:val="7"/>
        </w:numPr>
        <w:rPr>
          <w:b/>
          <w:szCs w:val="26"/>
        </w:rPr>
      </w:pPr>
      <w:r w:rsidRPr="00F405D1">
        <w:rPr>
          <w:b/>
          <w:szCs w:val="26"/>
        </w:rPr>
        <w:t>REASONS FOR CHANGES IN BURDEN INCLUDING THE NEED FOR ANY INCREASE</w:t>
      </w:r>
    </w:p>
    <w:p w:rsidRPr="00F405D1" w:rsidR="00EF40FF" w:rsidP="00EF40FF" w:rsidRDefault="00EF40FF" w14:paraId="1C23268F" w14:textId="77777777">
      <w:pPr>
        <w:pStyle w:val="FERCparanumber"/>
        <w:numPr>
          <w:ilvl w:val="0"/>
          <w:numId w:val="0"/>
        </w:numPr>
        <w:rPr>
          <w:b/>
          <w:szCs w:val="26"/>
        </w:rPr>
      </w:pPr>
    </w:p>
    <w:p w:rsidR="005D574D" w:rsidP="005D574D" w:rsidRDefault="005D574D" w14:paraId="34252056" w14:textId="76FF5584">
      <w:pPr>
        <w:pStyle w:val="FERCparanumber"/>
        <w:numPr>
          <w:ilvl w:val="0"/>
          <w:numId w:val="0"/>
        </w:numPr>
        <w:tabs>
          <w:tab w:val="left" w:pos="720"/>
          <w:tab w:val="left" w:pos="4860"/>
        </w:tabs>
        <w:ind w:left="72"/>
        <w:rPr>
          <w:szCs w:val="26"/>
        </w:rPr>
      </w:pPr>
      <w:r>
        <w:rPr>
          <w:szCs w:val="26"/>
        </w:rPr>
        <w:t>This information collection is necessitated by the fact that the Commission has no</w:t>
      </w:r>
      <w:r w:rsidRPr="00120DE8">
        <w:rPr>
          <w:szCs w:val="26"/>
        </w:rPr>
        <w:t xml:space="preserve"> baseline understanding of what transmission providers across the country are currently doing – or not doing – with respect to assessing and mitigating extreme weather vulnerability assessments</w:t>
      </w:r>
      <w:r>
        <w:rPr>
          <w:szCs w:val="26"/>
        </w:rPr>
        <w:t xml:space="preserve">. </w:t>
      </w:r>
    </w:p>
    <w:p w:rsidR="005D574D" w:rsidP="005D574D" w:rsidRDefault="005D574D" w14:paraId="0F5665B4" w14:textId="77777777">
      <w:pPr>
        <w:pStyle w:val="FERCparanumber"/>
        <w:numPr>
          <w:ilvl w:val="0"/>
          <w:numId w:val="0"/>
        </w:numPr>
        <w:tabs>
          <w:tab w:val="left" w:pos="720"/>
          <w:tab w:val="left" w:pos="4860"/>
        </w:tabs>
        <w:ind w:left="72"/>
        <w:rPr>
          <w:szCs w:val="26"/>
        </w:rPr>
      </w:pPr>
    </w:p>
    <w:p w:rsidR="00A74A79" w:rsidP="005D574D" w:rsidRDefault="00A74A79" w14:paraId="15FB0ACC" w14:textId="016DAE84">
      <w:pPr>
        <w:pStyle w:val="FERCparanumber"/>
        <w:numPr>
          <w:ilvl w:val="0"/>
          <w:numId w:val="0"/>
        </w:numPr>
        <w:tabs>
          <w:tab w:val="left" w:pos="720"/>
          <w:tab w:val="left" w:pos="4860"/>
        </w:tabs>
        <w:ind w:left="72"/>
        <w:rPr>
          <w:szCs w:val="26"/>
        </w:rPr>
      </w:pPr>
      <w:r w:rsidRPr="00A74A79">
        <w:rPr>
          <w:szCs w:val="26"/>
        </w:rPr>
        <w:lastRenderedPageBreak/>
        <w:t>Additionally, in May 2021, the US Government Accountability Office (GAO) issued a report stating that extreme weather driven by climate change is expected to become increasingly frequent and severe and to have far-reaching effects on the electric grid</w:t>
      </w:r>
      <w:proofErr w:type="gramStart"/>
      <w:r w:rsidRPr="00A74A79">
        <w:rPr>
          <w:szCs w:val="26"/>
        </w:rPr>
        <w:t xml:space="preserve">. </w:t>
      </w:r>
      <w:proofErr w:type="gramEnd"/>
      <w:r w:rsidRPr="00A74A79">
        <w:rPr>
          <w:szCs w:val="26"/>
        </w:rPr>
        <w:t xml:space="preserve">GAO identified potential impacts to the grid in every region of the United States that, absent measures to increase resilience, may increase outages and impose billions of dollars in additional costs to utility customers.  GAO recommended that the Commission take steps to identify or assess climate change risks to the grid </w:t>
      </w:r>
      <w:proofErr w:type="gramStart"/>
      <w:r w:rsidRPr="00A74A79">
        <w:rPr>
          <w:szCs w:val="26"/>
        </w:rPr>
        <w:t>in order to</w:t>
      </w:r>
      <w:proofErr w:type="gramEnd"/>
      <w:r w:rsidRPr="00A74A79">
        <w:rPr>
          <w:szCs w:val="26"/>
        </w:rPr>
        <w:t xml:space="preserve"> ensure it is well-positioned to determine the actions needed to enhance resilience.  </w:t>
      </w:r>
    </w:p>
    <w:p w:rsidR="00A74A79" w:rsidP="005D574D" w:rsidRDefault="00A74A79" w14:paraId="1D164778" w14:textId="77777777">
      <w:pPr>
        <w:pStyle w:val="FERCparanumber"/>
        <w:numPr>
          <w:ilvl w:val="0"/>
          <w:numId w:val="0"/>
        </w:numPr>
        <w:tabs>
          <w:tab w:val="left" w:pos="720"/>
          <w:tab w:val="left" w:pos="4860"/>
        </w:tabs>
        <w:ind w:left="72"/>
        <w:rPr>
          <w:szCs w:val="26"/>
        </w:rPr>
      </w:pPr>
    </w:p>
    <w:p w:rsidR="00BE054F" w:rsidP="00545B62" w:rsidRDefault="00545B62" w14:paraId="4663CC0A" w14:textId="0088516F">
      <w:pPr>
        <w:rPr>
          <w:sz w:val="26"/>
          <w:szCs w:val="26"/>
        </w:rPr>
      </w:pPr>
      <w:r w:rsidRPr="00F405D1">
        <w:rPr>
          <w:sz w:val="26"/>
          <w:szCs w:val="26"/>
        </w:rPr>
        <w:t>The following table shows the total burden of the collection of information</w:t>
      </w:r>
      <w:r w:rsidR="00317C67">
        <w:rPr>
          <w:sz w:val="26"/>
          <w:szCs w:val="26"/>
        </w:rPr>
        <w:t xml:space="preserve"> (figures rounded)</w:t>
      </w:r>
      <w:r w:rsidRPr="00F405D1">
        <w:rPr>
          <w:sz w:val="26"/>
          <w:szCs w:val="26"/>
        </w:rPr>
        <w:t>.  The format, labels, and definitions of the table follow the ROCIS submission system’s “Information Collection Request Summary of Burden” for the metadata.</w:t>
      </w:r>
      <w:r w:rsidR="00AE33C1">
        <w:rPr>
          <w:sz w:val="26"/>
          <w:szCs w:val="26"/>
        </w:rPr>
        <w:t xml:space="preserve">  </w:t>
      </w:r>
    </w:p>
    <w:p w:rsidR="00BE054F" w:rsidP="00545B62" w:rsidRDefault="00BE054F" w14:paraId="6DAF1B6C" w14:textId="77777777">
      <w:pPr>
        <w:rPr>
          <w:sz w:val="26"/>
          <w:szCs w:val="26"/>
        </w:rPr>
      </w:pPr>
    </w:p>
    <w:p w:rsidRPr="00F405D1" w:rsidR="00545B62" w:rsidP="00545B62" w:rsidRDefault="00AE33C1" w14:paraId="1A559D32" w14:textId="3A980D1B">
      <w:pPr>
        <w:rPr>
          <w:sz w:val="26"/>
          <w:szCs w:val="26"/>
        </w:rPr>
      </w:pPr>
      <w:r>
        <w:rPr>
          <w:sz w:val="26"/>
          <w:szCs w:val="26"/>
        </w:rPr>
        <w:t xml:space="preserve">The </w:t>
      </w:r>
      <w:r w:rsidR="003F7F39">
        <w:rPr>
          <w:sz w:val="26"/>
          <w:szCs w:val="26"/>
        </w:rPr>
        <w:t xml:space="preserve">FERC-1004 </w:t>
      </w:r>
      <w:r w:rsidR="00106247">
        <w:rPr>
          <w:sz w:val="26"/>
          <w:szCs w:val="26"/>
        </w:rPr>
        <w:t xml:space="preserve">burden </w:t>
      </w:r>
      <w:r>
        <w:rPr>
          <w:sz w:val="26"/>
          <w:szCs w:val="26"/>
        </w:rPr>
        <w:t xml:space="preserve">figures are </w:t>
      </w:r>
      <w:r w:rsidR="003F7F39">
        <w:rPr>
          <w:sz w:val="26"/>
          <w:szCs w:val="26"/>
        </w:rPr>
        <w:t xml:space="preserve">for the </w:t>
      </w:r>
      <w:r>
        <w:rPr>
          <w:sz w:val="26"/>
          <w:szCs w:val="26"/>
        </w:rPr>
        <w:t xml:space="preserve">one-time </w:t>
      </w:r>
      <w:r w:rsidR="003F7F39">
        <w:rPr>
          <w:sz w:val="26"/>
          <w:szCs w:val="26"/>
        </w:rPr>
        <w:t xml:space="preserve">filings proposed to be made </w:t>
      </w:r>
      <w:r>
        <w:rPr>
          <w:sz w:val="26"/>
          <w:szCs w:val="26"/>
        </w:rPr>
        <w:t>in Year 1.</w:t>
      </w:r>
    </w:p>
    <w:p w:rsidRPr="00F405D1" w:rsidR="00EF40FF" w:rsidP="00EF40FF" w:rsidRDefault="00EF40FF" w14:paraId="617C559D" w14:textId="156F8B76">
      <w:pPr>
        <w:widowControl/>
        <w:tabs>
          <w:tab w:val="left" w:pos="2394"/>
        </w:tabs>
        <w:rPr>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F405D1" w:rsidR="00EF40FF" w:rsidTr="009235C7" w14:paraId="60488A11" w14:textId="77777777">
        <w:trPr>
          <w:trHeight w:val="870"/>
        </w:trPr>
        <w:tc>
          <w:tcPr>
            <w:tcW w:w="1442" w:type="pct"/>
            <w:shd w:val="clear" w:color="auto" w:fill="D9D9D9"/>
            <w:vAlign w:val="bottom"/>
          </w:tcPr>
          <w:p w:rsidRPr="00F405D1" w:rsidR="00EF40FF" w:rsidP="009235C7" w:rsidRDefault="00D90459" w14:paraId="79ED48B0" w14:textId="40A67562">
            <w:pPr>
              <w:jc w:val="center"/>
              <w:rPr>
                <w:b/>
                <w:sz w:val="26"/>
                <w:szCs w:val="26"/>
              </w:rPr>
            </w:pPr>
            <w:r>
              <w:rPr>
                <w:b/>
                <w:sz w:val="26"/>
                <w:szCs w:val="26"/>
              </w:rPr>
              <w:t>FERC-1004</w:t>
            </w:r>
          </w:p>
        </w:tc>
        <w:tc>
          <w:tcPr>
            <w:tcW w:w="829" w:type="pct"/>
            <w:shd w:val="clear" w:color="auto" w:fill="D9D9D9"/>
            <w:vAlign w:val="bottom"/>
          </w:tcPr>
          <w:p w:rsidRPr="00F405D1" w:rsidR="00EF40FF" w:rsidP="009235C7" w:rsidRDefault="00EF40FF" w14:paraId="1F0A9448" w14:textId="3AA85C74">
            <w:pPr>
              <w:jc w:val="center"/>
              <w:rPr>
                <w:b/>
                <w:sz w:val="26"/>
                <w:szCs w:val="26"/>
              </w:rPr>
            </w:pPr>
            <w:r w:rsidRPr="00F405D1">
              <w:rPr>
                <w:b/>
                <w:sz w:val="26"/>
                <w:szCs w:val="26"/>
              </w:rPr>
              <w:t>Total Request</w:t>
            </w:r>
            <w:r w:rsidR="0075431D">
              <w:rPr>
                <w:b/>
                <w:sz w:val="26"/>
                <w:szCs w:val="26"/>
              </w:rPr>
              <w:t xml:space="preserve"> (rounded)</w:t>
            </w:r>
          </w:p>
        </w:tc>
        <w:tc>
          <w:tcPr>
            <w:tcW w:w="854" w:type="pct"/>
            <w:shd w:val="clear" w:color="auto" w:fill="D9D9D9"/>
            <w:vAlign w:val="bottom"/>
          </w:tcPr>
          <w:p w:rsidRPr="00F405D1" w:rsidR="00EF40FF" w:rsidP="009235C7" w:rsidRDefault="00EF40FF" w14:paraId="73E749DF" w14:textId="77777777">
            <w:pPr>
              <w:jc w:val="center"/>
              <w:rPr>
                <w:b/>
                <w:sz w:val="26"/>
                <w:szCs w:val="26"/>
              </w:rPr>
            </w:pPr>
            <w:r w:rsidRPr="00F405D1">
              <w:rPr>
                <w:b/>
                <w:sz w:val="26"/>
                <w:szCs w:val="26"/>
              </w:rPr>
              <w:t>Previously Approved</w:t>
            </w:r>
          </w:p>
        </w:tc>
        <w:tc>
          <w:tcPr>
            <w:tcW w:w="1010" w:type="pct"/>
            <w:shd w:val="clear" w:color="auto" w:fill="D9D9D9"/>
            <w:vAlign w:val="bottom"/>
          </w:tcPr>
          <w:p w:rsidRPr="00F405D1" w:rsidR="00EF40FF" w:rsidP="009235C7" w:rsidRDefault="00EF40FF" w14:paraId="0B09E74D" w14:textId="569A06E1">
            <w:pPr>
              <w:jc w:val="center"/>
              <w:rPr>
                <w:b/>
                <w:sz w:val="26"/>
                <w:szCs w:val="26"/>
              </w:rPr>
            </w:pPr>
            <w:r w:rsidRPr="00F405D1">
              <w:rPr>
                <w:b/>
                <w:sz w:val="26"/>
                <w:szCs w:val="26"/>
              </w:rPr>
              <w:t>Change due to Adjustment in Estimate</w:t>
            </w:r>
          </w:p>
        </w:tc>
        <w:tc>
          <w:tcPr>
            <w:tcW w:w="865" w:type="pct"/>
            <w:shd w:val="clear" w:color="auto" w:fill="D9D9D9"/>
            <w:vAlign w:val="bottom"/>
          </w:tcPr>
          <w:p w:rsidRPr="00F405D1" w:rsidR="00EF40FF" w:rsidP="009235C7" w:rsidRDefault="00EF40FF" w14:paraId="15FB2F0C" w14:textId="3D265128">
            <w:pPr>
              <w:jc w:val="center"/>
              <w:rPr>
                <w:b/>
                <w:sz w:val="26"/>
                <w:szCs w:val="26"/>
              </w:rPr>
            </w:pPr>
            <w:r w:rsidRPr="00F405D1">
              <w:rPr>
                <w:b/>
                <w:sz w:val="26"/>
                <w:szCs w:val="26"/>
              </w:rPr>
              <w:t>Change Due to Agency Discretion</w:t>
            </w:r>
            <w:r w:rsidR="00F41BEA">
              <w:rPr>
                <w:b/>
                <w:sz w:val="26"/>
                <w:szCs w:val="26"/>
              </w:rPr>
              <w:t xml:space="preserve"> (rounded)</w:t>
            </w:r>
          </w:p>
        </w:tc>
      </w:tr>
      <w:tr w:rsidRPr="00F405D1" w:rsidR="00EF40FF" w:rsidTr="00B43D6A" w14:paraId="1AEF2CD1" w14:textId="77777777">
        <w:trPr>
          <w:trHeight w:val="591"/>
        </w:trPr>
        <w:tc>
          <w:tcPr>
            <w:tcW w:w="1442" w:type="pct"/>
            <w:shd w:val="clear" w:color="auto" w:fill="auto"/>
          </w:tcPr>
          <w:p w:rsidRPr="00F405D1" w:rsidR="00EF40FF" w:rsidP="00B43D6A" w:rsidRDefault="00EF40FF" w14:paraId="59E59C8B" w14:textId="27CD8AFC">
            <w:pPr>
              <w:rPr>
                <w:sz w:val="26"/>
                <w:szCs w:val="26"/>
              </w:rPr>
            </w:pPr>
            <w:r w:rsidRPr="00F405D1">
              <w:rPr>
                <w:sz w:val="26"/>
                <w:szCs w:val="26"/>
              </w:rPr>
              <w:t>Annual Number of Responses</w:t>
            </w:r>
            <w:r w:rsidR="0075431D">
              <w:rPr>
                <w:sz w:val="26"/>
                <w:szCs w:val="26"/>
              </w:rPr>
              <w:t xml:space="preserve"> </w:t>
            </w:r>
          </w:p>
        </w:tc>
        <w:tc>
          <w:tcPr>
            <w:tcW w:w="829" w:type="pct"/>
            <w:shd w:val="clear" w:color="auto" w:fill="auto"/>
            <w:vAlign w:val="bottom"/>
          </w:tcPr>
          <w:p w:rsidRPr="00F405D1" w:rsidR="00EF40FF" w:rsidP="009235C7" w:rsidRDefault="00AF0CE5" w14:paraId="58B36FB0" w14:textId="0D13FEDA">
            <w:pPr>
              <w:jc w:val="right"/>
              <w:rPr>
                <w:sz w:val="26"/>
                <w:szCs w:val="26"/>
              </w:rPr>
            </w:pPr>
            <w:r>
              <w:rPr>
                <w:sz w:val="26"/>
                <w:szCs w:val="26"/>
              </w:rPr>
              <w:t>1</w:t>
            </w:r>
            <w:r w:rsidR="00AF46C2">
              <w:rPr>
                <w:sz w:val="26"/>
                <w:szCs w:val="26"/>
              </w:rPr>
              <w:t>32</w:t>
            </w:r>
          </w:p>
        </w:tc>
        <w:tc>
          <w:tcPr>
            <w:tcW w:w="854" w:type="pct"/>
            <w:shd w:val="clear" w:color="auto" w:fill="auto"/>
            <w:vAlign w:val="bottom"/>
          </w:tcPr>
          <w:p w:rsidRPr="00F405D1" w:rsidR="00EF40FF" w:rsidP="009235C7" w:rsidRDefault="006D5648" w14:paraId="76D0A20E" w14:textId="3E737ED8">
            <w:pPr>
              <w:jc w:val="right"/>
              <w:rPr>
                <w:sz w:val="26"/>
                <w:szCs w:val="26"/>
              </w:rPr>
            </w:pPr>
            <w:r>
              <w:rPr>
                <w:sz w:val="26"/>
                <w:szCs w:val="26"/>
              </w:rPr>
              <w:t>0</w:t>
            </w:r>
          </w:p>
        </w:tc>
        <w:tc>
          <w:tcPr>
            <w:tcW w:w="1010" w:type="pct"/>
            <w:shd w:val="clear" w:color="auto" w:fill="auto"/>
            <w:vAlign w:val="bottom"/>
          </w:tcPr>
          <w:p w:rsidRPr="00F405D1" w:rsidR="00EF40FF" w:rsidP="009235C7" w:rsidRDefault="006D5648" w14:paraId="3CE5DB3D" w14:textId="0EA66220">
            <w:pPr>
              <w:jc w:val="right"/>
              <w:rPr>
                <w:sz w:val="26"/>
                <w:szCs w:val="26"/>
              </w:rPr>
            </w:pPr>
            <w:r>
              <w:rPr>
                <w:sz w:val="26"/>
                <w:szCs w:val="26"/>
              </w:rPr>
              <w:t>0</w:t>
            </w:r>
          </w:p>
        </w:tc>
        <w:tc>
          <w:tcPr>
            <w:tcW w:w="865" w:type="pct"/>
            <w:shd w:val="clear" w:color="auto" w:fill="auto"/>
            <w:vAlign w:val="bottom"/>
          </w:tcPr>
          <w:p w:rsidRPr="00F405D1" w:rsidR="00EF40FF" w:rsidP="009235C7" w:rsidRDefault="008F3B43" w14:paraId="59187938" w14:textId="5324B288">
            <w:pPr>
              <w:jc w:val="right"/>
              <w:rPr>
                <w:sz w:val="26"/>
                <w:szCs w:val="26"/>
              </w:rPr>
            </w:pPr>
            <w:r>
              <w:rPr>
                <w:sz w:val="26"/>
                <w:szCs w:val="26"/>
              </w:rPr>
              <w:t>1</w:t>
            </w:r>
            <w:r w:rsidR="00AF46C2">
              <w:rPr>
                <w:sz w:val="26"/>
                <w:szCs w:val="26"/>
              </w:rPr>
              <w:t>32</w:t>
            </w:r>
          </w:p>
        </w:tc>
      </w:tr>
      <w:tr w:rsidRPr="00F405D1" w:rsidR="00EF40FF" w:rsidTr="00B43D6A" w14:paraId="544C6AB5" w14:textId="77777777">
        <w:trPr>
          <w:trHeight w:val="575"/>
        </w:trPr>
        <w:tc>
          <w:tcPr>
            <w:tcW w:w="1442" w:type="pct"/>
            <w:shd w:val="clear" w:color="auto" w:fill="auto"/>
          </w:tcPr>
          <w:p w:rsidRPr="00F405D1" w:rsidR="00EF40FF" w:rsidP="00B43D6A" w:rsidRDefault="00EF40FF" w14:paraId="64970EBD" w14:textId="4274C879">
            <w:pPr>
              <w:rPr>
                <w:sz w:val="26"/>
                <w:szCs w:val="26"/>
              </w:rPr>
            </w:pPr>
            <w:r w:rsidRPr="00F405D1">
              <w:rPr>
                <w:sz w:val="26"/>
                <w:szCs w:val="26"/>
              </w:rPr>
              <w:t>Annual Time Burden (Hours)</w:t>
            </w:r>
            <w:r w:rsidR="00B43D6A">
              <w:rPr>
                <w:sz w:val="26"/>
                <w:szCs w:val="26"/>
              </w:rPr>
              <w:t xml:space="preserve"> </w:t>
            </w:r>
          </w:p>
        </w:tc>
        <w:tc>
          <w:tcPr>
            <w:tcW w:w="829" w:type="pct"/>
            <w:shd w:val="clear" w:color="auto" w:fill="auto"/>
            <w:vAlign w:val="bottom"/>
          </w:tcPr>
          <w:p w:rsidRPr="00F405D1" w:rsidR="00EF40FF" w:rsidP="009235C7" w:rsidRDefault="00AF46C2" w14:paraId="121D4713" w14:textId="153B9663">
            <w:pPr>
              <w:jc w:val="right"/>
              <w:rPr>
                <w:sz w:val="26"/>
                <w:szCs w:val="26"/>
              </w:rPr>
            </w:pPr>
            <w:r>
              <w:rPr>
                <w:sz w:val="26"/>
                <w:szCs w:val="26"/>
              </w:rPr>
              <w:t>13,068</w:t>
            </w:r>
          </w:p>
        </w:tc>
        <w:tc>
          <w:tcPr>
            <w:tcW w:w="854" w:type="pct"/>
            <w:shd w:val="clear" w:color="auto" w:fill="auto"/>
            <w:vAlign w:val="bottom"/>
          </w:tcPr>
          <w:p w:rsidRPr="00F405D1" w:rsidR="00EF40FF" w:rsidP="009235C7" w:rsidRDefault="006D5648" w14:paraId="083C5249" w14:textId="5FC1215A">
            <w:pPr>
              <w:jc w:val="right"/>
              <w:rPr>
                <w:sz w:val="26"/>
                <w:szCs w:val="26"/>
              </w:rPr>
            </w:pPr>
            <w:r>
              <w:rPr>
                <w:sz w:val="26"/>
                <w:szCs w:val="26"/>
              </w:rPr>
              <w:t>0</w:t>
            </w:r>
          </w:p>
        </w:tc>
        <w:tc>
          <w:tcPr>
            <w:tcW w:w="1010" w:type="pct"/>
            <w:shd w:val="clear" w:color="auto" w:fill="auto"/>
            <w:vAlign w:val="bottom"/>
          </w:tcPr>
          <w:p w:rsidRPr="00F405D1" w:rsidR="00EF40FF" w:rsidP="009235C7" w:rsidRDefault="006D5648" w14:paraId="0D2D7EB5" w14:textId="0EEA6B5A">
            <w:pPr>
              <w:jc w:val="right"/>
              <w:rPr>
                <w:sz w:val="26"/>
                <w:szCs w:val="26"/>
              </w:rPr>
            </w:pPr>
            <w:r>
              <w:rPr>
                <w:sz w:val="26"/>
                <w:szCs w:val="26"/>
              </w:rPr>
              <w:t>0</w:t>
            </w:r>
          </w:p>
        </w:tc>
        <w:tc>
          <w:tcPr>
            <w:tcW w:w="865" w:type="pct"/>
            <w:shd w:val="clear" w:color="auto" w:fill="auto"/>
            <w:vAlign w:val="bottom"/>
          </w:tcPr>
          <w:p w:rsidRPr="00F405D1" w:rsidR="00EF40FF" w:rsidP="009235C7" w:rsidRDefault="00AF46C2" w14:paraId="2562A479" w14:textId="2A0511EF">
            <w:pPr>
              <w:jc w:val="right"/>
              <w:rPr>
                <w:sz w:val="26"/>
                <w:szCs w:val="26"/>
              </w:rPr>
            </w:pPr>
            <w:r>
              <w:rPr>
                <w:sz w:val="26"/>
                <w:szCs w:val="26"/>
              </w:rPr>
              <w:t>13,068</w:t>
            </w:r>
          </w:p>
        </w:tc>
      </w:tr>
      <w:tr w:rsidRPr="00F405D1" w:rsidR="00EF40FF" w:rsidTr="00B43D6A" w14:paraId="63FF5253" w14:textId="77777777">
        <w:trPr>
          <w:trHeight w:val="295"/>
        </w:trPr>
        <w:tc>
          <w:tcPr>
            <w:tcW w:w="1442" w:type="pct"/>
            <w:tcBorders>
              <w:bottom w:val="single" w:color="auto" w:sz="4" w:space="0"/>
            </w:tcBorders>
            <w:shd w:val="clear" w:color="auto" w:fill="auto"/>
          </w:tcPr>
          <w:p w:rsidRPr="00F405D1" w:rsidR="00EF40FF" w:rsidP="00B43D6A" w:rsidRDefault="00EF40FF" w14:paraId="12A676CD" w14:textId="77777777">
            <w:pPr>
              <w:rPr>
                <w:sz w:val="26"/>
                <w:szCs w:val="26"/>
              </w:rPr>
            </w:pPr>
            <w:r w:rsidRPr="00F405D1">
              <w:rPr>
                <w:sz w:val="26"/>
                <w:szCs w:val="26"/>
              </w:rPr>
              <w:t>Annual Cost Burden ($)</w:t>
            </w:r>
          </w:p>
        </w:tc>
        <w:tc>
          <w:tcPr>
            <w:tcW w:w="829" w:type="pct"/>
            <w:tcBorders>
              <w:bottom w:val="single" w:color="auto" w:sz="4" w:space="0"/>
            </w:tcBorders>
            <w:shd w:val="clear" w:color="auto" w:fill="auto"/>
            <w:vAlign w:val="bottom"/>
          </w:tcPr>
          <w:p w:rsidRPr="00F405D1" w:rsidR="00EF40FF" w:rsidP="009235C7" w:rsidRDefault="00337B5F" w14:paraId="1728502C" w14:textId="5303A09C">
            <w:pPr>
              <w:jc w:val="right"/>
              <w:rPr>
                <w:sz w:val="26"/>
                <w:szCs w:val="26"/>
              </w:rPr>
            </w:pPr>
            <w:r>
              <w:rPr>
                <w:rFonts w:eastAsia="Calibri"/>
              </w:rPr>
              <w:t>$0</w:t>
            </w:r>
          </w:p>
        </w:tc>
        <w:tc>
          <w:tcPr>
            <w:tcW w:w="854" w:type="pct"/>
            <w:tcBorders>
              <w:bottom w:val="single" w:color="auto" w:sz="4" w:space="0"/>
            </w:tcBorders>
            <w:shd w:val="clear" w:color="auto" w:fill="auto"/>
            <w:vAlign w:val="bottom"/>
          </w:tcPr>
          <w:p w:rsidRPr="00F405D1" w:rsidR="00EF40FF" w:rsidP="009235C7" w:rsidRDefault="00EF40FF" w14:paraId="00985638" w14:textId="77777777">
            <w:pPr>
              <w:jc w:val="right"/>
              <w:rPr>
                <w:sz w:val="26"/>
                <w:szCs w:val="26"/>
              </w:rPr>
            </w:pPr>
            <w:r w:rsidRPr="00F405D1">
              <w:rPr>
                <w:sz w:val="26"/>
                <w:szCs w:val="26"/>
              </w:rPr>
              <w:t>$0</w:t>
            </w:r>
          </w:p>
        </w:tc>
        <w:tc>
          <w:tcPr>
            <w:tcW w:w="1010" w:type="pct"/>
            <w:tcBorders>
              <w:bottom w:val="single" w:color="auto" w:sz="4" w:space="0"/>
            </w:tcBorders>
            <w:shd w:val="clear" w:color="auto" w:fill="auto"/>
            <w:vAlign w:val="bottom"/>
          </w:tcPr>
          <w:p w:rsidRPr="00F405D1" w:rsidR="00EF40FF" w:rsidP="009235C7" w:rsidRDefault="00EF40FF" w14:paraId="6F305897" w14:textId="77777777">
            <w:pPr>
              <w:jc w:val="right"/>
              <w:rPr>
                <w:sz w:val="26"/>
                <w:szCs w:val="26"/>
              </w:rPr>
            </w:pPr>
            <w:r w:rsidRPr="00F405D1">
              <w:rPr>
                <w:sz w:val="26"/>
                <w:szCs w:val="26"/>
              </w:rPr>
              <w:t>$0</w:t>
            </w:r>
          </w:p>
        </w:tc>
        <w:tc>
          <w:tcPr>
            <w:tcW w:w="865" w:type="pct"/>
            <w:tcBorders>
              <w:bottom w:val="single" w:color="auto" w:sz="4" w:space="0"/>
            </w:tcBorders>
            <w:shd w:val="clear" w:color="auto" w:fill="auto"/>
            <w:vAlign w:val="bottom"/>
          </w:tcPr>
          <w:p w:rsidRPr="00F405D1" w:rsidR="00EF40FF" w:rsidP="009235C7" w:rsidRDefault="00337B5F" w14:paraId="2CC3862E" w14:textId="31927630">
            <w:pPr>
              <w:jc w:val="right"/>
              <w:rPr>
                <w:sz w:val="26"/>
                <w:szCs w:val="26"/>
              </w:rPr>
            </w:pPr>
            <w:r>
              <w:rPr>
                <w:rFonts w:eastAsia="Calibri"/>
              </w:rPr>
              <w:t>$0</w:t>
            </w:r>
          </w:p>
        </w:tc>
      </w:tr>
    </w:tbl>
    <w:p w:rsidRPr="00F405D1" w:rsidR="00EF40FF" w:rsidP="00EF40FF" w:rsidRDefault="00EF40FF" w14:paraId="55061C28" w14:textId="77777777">
      <w:pPr>
        <w:widowControl/>
        <w:rPr>
          <w:b/>
          <w:sz w:val="26"/>
          <w:szCs w:val="26"/>
        </w:rPr>
      </w:pPr>
    </w:p>
    <w:p w:rsidRPr="00F405D1" w:rsidR="009D6B6D" w:rsidP="00EF40FF" w:rsidRDefault="00EF40FF" w14:paraId="68D9DB62" w14:textId="77777777">
      <w:pPr>
        <w:pStyle w:val="FERCparanumber"/>
        <w:numPr>
          <w:ilvl w:val="0"/>
          <w:numId w:val="7"/>
        </w:numPr>
        <w:rPr>
          <w:b/>
          <w:szCs w:val="26"/>
        </w:rPr>
      </w:pPr>
      <w:r w:rsidRPr="00F405D1">
        <w:rPr>
          <w:b/>
          <w:szCs w:val="26"/>
        </w:rPr>
        <w:t>TIME SCHEDULE FOR PUBLICATION OF DATA</w:t>
      </w:r>
    </w:p>
    <w:p w:rsidRPr="00F405D1" w:rsidR="00EF40FF" w:rsidP="00EF40FF" w:rsidRDefault="00EF40FF" w14:paraId="08C235AB" w14:textId="77777777">
      <w:pPr>
        <w:pStyle w:val="FERCparanumber"/>
        <w:numPr>
          <w:ilvl w:val="0"/>
          <w:numId w:val="0"/>
        </w:numPr>
        <w:rPr>
          <w:b/>
          <w:szCs w:val="26"/>
        </w:rPr>
      </w:pPr>
    </w:p>
    <w:p w:rsidR="00EF40FF" w:rsidP="00EF40FF" w:rsidRDefault="00781D09" w14:paraId="72D97BF4" w14:textId="3B556F8D">
      <w:pPr>
        <w:pStyle w:val="FERCparanumber"/>
        <w:numPr>
          <w:ilvl w:val="0"/>
          <w:numId w:val="0"/>
        </w:numPr>
        <w:rPr>
          <w:szCs w:val="26"/>
        </w:rPr>
      </w:pPr>
      <w:r w:rsidRPr="00F405D1">
        <w:rPr>
          <w:szCs w:val="26"/>
        </w:rPr>
        <w:t xml:space="preserve">There </w:t>
      </w:r>
      <w:r w:rsidR="00CD6E91">
        <w:rPr>
          <w:szCs w:val="26"/>
        </w:rPr>
        <w:t>will be</w:t>
      </w:r>
      <w:r w:rsidRPr="00F405D1">
        <w:rPr>
          <w:szCs w:val="26"/>
        </w:rPr>
        <w:t xml:space="preserve"> no publication of the information.</w:t>
      </w:r>
    </w:p>
    <w:p w:rsidRPr="00F405D1" w:rsidR="00C423CC" w:rsidP="00EF40FF" w:rsidRDefault="00C423CC" w14:paraId="44AEAFCF" w14:textId="77777777">
      <w:pPr>
        <w:pStyle w:val="FERCparanumber"/>
        <w:numPr>
          <w:ilvl w:val="0"/>
          <w:numId w:val="0"/>
        </w:numPr>
        <w:rPr>
          <w:b/>
          <w:szCs w:val="26"/>
        </w:rPr>
      </w:pPr>
    </w:p>
    <w:p w:rsidRPr="00F405D1" w:rsidR="009D6B6D" w:rsidP="001D2EC1" w:rsidRDefault="00EF40FF" w14:paraId="1C752CE3" w14:textId="77777777">
      <w:pPr>
        <w:pStyle w:val="FERCparanumber"/>
        <w:numPr>
          <w:ilvl w:val="0"/>
          <w:numId w:val="7"/>
        </w:numPr>
        <w:rPr>
          <w:b/>
          <w:szCs w:val="26"/>
        </w:rPr>
      </w:pPr>
      <w:r w:rsidRPr="00F405D1">
        <w:rPr>
          <w:b/>
          <w:szCs w:val="26"/>
        </w:rPr>
        <w:t>DISPLAY OF EXPIRATION DATE</w:t>
      </w:r>
    </w:p>
    <w:p w:rsidRPr="00F405D1" w:rsidR="00EF40FF" w:rsidP="00EF40FF" w:rsidRDefault="00EF40FF" w14:paraId="5647D402" w14:textId="77777777">
      <w:pPr>
        <w:pStyle w:val="FERCparanumber"/>
        <w:numPr>
          <w:ilvl w:val="0"/>
          <w:numId w:val="0"/>
        </w:numPr>
        <w:rPr>
          <w:b/>
          <w:szCs w:val="26"/>
        </w:rPr>
      </w:pPr>
    </w:p>
    <w:p w:rsidRPr="00F405D1" w:rsidR="00EB35DB" w:rsidP="00EF40FF" w:rsidRDefault="00781D09" w14:paraId="1C9D3EE0" w14:textId="4C8A43AA">
      <w:pPr>
        <w:pStyle w:val="FERCparanumber"/>
        <w:numPr>
          <w:ilvl w:val="0"/>
          <w:numId w:val="0"/>
        </w:numPr>
        <w:rPr>
          <w:szCs w:val="26"/>
        </w:rPr>
      </w:pPr>
      <w:r w:rsidRPr="00F405D1">
        <w:rPr>
          <w:szCs w:val="26"/>
        </w:rPr>
        <w:t xml:space="preserve">OMB </w:t>
      </w:r>
      <w:r w:rsidRPr="00F405D1" w:rsidR="00AD0D8A">
        <w:rPr>
          <w:szCs w:val="26"/>
        </w:rPr>
        <w:t xml:space="preserve">expiration dates are posted </w:t>
      </w:r>
      <w:r w:rsidR="00BB5AA1">
        <w:rPr>
          <w:szCs w:val="26"/>
        </w:rPr>
        <w:t>at www.ferc.gov</w:t>
      </w:r>
      <w:r w:rsidRPr="00F405D1" w:rsidR="00EB35DB">
        <w:rPr>
          <w:szCs w:val="26"/>
        </w:rPr>
        <w:t xml:space="preserve">.  </w:t>
      </w:r>
    </w:p>
    <w:p w:rsidRPr="00F405D1" w:rsidR="00EB35DB" w:rsidP="00EF40FF" w:rsidRDefault="00EB35DB" w14:paraId="5781CB4D" w14:textId="77777777">
      <w:pPr>
        <w:pStyle w:val="FERCparanumber"/>
        <w:numPr>
          <w:ilvl w:val="0"/>
          <w:numId w:val="0"/>
        </w:numPr>
        <w:rPr>
          <w:szCs w:val="26"/>
        </w:rPr>
      </w:pPr>
    </w:p>
    <w:p w:rsidRPr="00F405D1" w:rsidR="00EF40FF" w:rsidP="00E138E1" w:rsidRDefault="00EF40FF" w14:paraId="6FA86312" w14:textId="0594E601">
      <w:pPr>
        <w:widowControl/>
        <w:numPr>
          <w:ilvl w:val="0"/>
          <w:numId w:val="7"/>
        </w:numPr>
        <w:ind w:hanging="720"/>
        <w:rPr>
          <w:b/>
          <w:sz w:val="26"/>
          <w:szCs w:val="26"/>
        </w:rPr>
      </w:pPr>
      <w:r w:rsidRPr="00F405D1">
        <w:rPr>
          <w:b/>
          <w:sz w:val="26"/>
          <w:szCs w:val="26"/>
        </w:rPr>
        <w:t>EXCEPTIONS TO THE CERTIFICATION STATEMENT</w:t>
      </w:r>
    </w:p>
    <w:p w:rsidRPr="00F405D1" w:rsidR="009D6B6D" w:rsidP="001D2EC1" w:rsidRDefault="009D6B6D" w14:paraId="29EDACE4" w14:textId="77777777">
      <w:pPr>
        <w:widowControl/>
        <w:ind w:left="720"/>
        <w:rPr>
          <w:b/>
          <w:sz w:val="26"/>
          <w:szCs w:val="26"/>
        </w:rPr>
      </w:pPr>
    </w:p>
    <w:p w:rsidRPr="00F405D1" w:rsidR="009235C7" w:rsidP="001D2EC1" w:rsidRDefault="005E3565" w14:paraId="1E0E6A57" w14:textId="273A47A4">
      <w:pPr>
        <w:widowControl/>
        <w:rPr>
          <w:sz w:val="26"/>
          <w:szCs w:val="26"/>
        </w:rPr>
      </w:pPr>
      <w:r>
        <w:rPr>
          <w:sz w:val="26"/>
          <w:szCs w:val="26"/>
        </w:rPr>
        <w:t>There are no exceptions for FERC-1004.</w:t>
      </w:r>
      <w:r w:rsidR="00067E72">
        <w:rPr>
          <w:sz w:val="26"/>
          <w:szCs w:val="26"/>
        </w:rPr>
        <w:t xml:space="preserve"> </w:t>
      </w:r>
      <w:r w:rsidR="00836548">
        <w:rPr>
          <w:sz w:val="26"/>
          <w:szCs w:val="26"/>
        </w:rPr>
        <w:t xml:space="preserve"> </w:t>
      </w:r>
    </w:p>
    <w:sectPr w:rsidRPr="00F405D1" w:rsidR="009235C7" w:rsidSect="00703122">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E78A" w14:textId="77777777" w:rsidR="00E35A9D" w:rsidRDefault="00E35A9D" w:rsidP="009D6B6D">
      <w:r>
        <w:separator/>
      </w:r>
    </w:p>
  </w:endnote>
  <w:endnote w:type="continuationSeparator" w:id="0">
    <w:p w14:paraId="1EF89CAF" w14:textId="77777777" w:rsidR="00E35A9D" w:rsidRDefault="00E35A9D" w:rsidP="009D6B6D">
      <w:r>
        <w:continuationSeparator/>
      </w:r>
    </w:p>
  </w:endnote>
  <w:endnote w:type="continuationNotice" w:id="1">
    <w:p w14:paraId="03FDE883" w14:textId="77777777" w:rsidR="00E35A9D" w:rsidRDefault="00E35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3C2E" w14:textId="0F32EC05" w:rsidR="00F86373" w:rsidRDefault="00F863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6711">
          <w:rPr>
            <w:noProof/>
          </w:rPr>
          <w:t>9</w:t>
        </w:r>
        <w:r>
          <w:rPr>
            <w:noProof/>
          </w:rPr>
          <w:fldChar w:fldCharType="end"/>
        </w:r>
      </w:sdtContent>
    </w:sdt>
  </w:p>
  <w:p w14:paraId="401D7053" w14:textId="77777777" w:rsidR="00F86373" w:rsidRDefault="00F8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3276" w14:textId="77777777" w:rsidR="00E35A9D" w:rsidRDefault="00E35A9D" w:rsidP="009D6B6D">
      <w:r>
        <w:separator/>
      </w:r>
    </w:p>
  </w:footnote>
  <w:footnote w:type="continuationSeparator" w:id="0">
    <w:p w14:paraId="46F42360" w14:textId="77777777" w:rsidR="00E35A9D" w:rsidRDefault="00E35A9D" w:rsidP="009D6B6D">
      <w:r>
        <w:continuationSeparator/>
      </w:r>
    </w:p>
  </w:footnote>
  <w:footnote w:type="continuationNotice" w:id="1">
    <w:p w14:paraId="0CE662E7" w14:textId="77777777" w:rsidR="00E35A9D" w:rsidRDefault="00E35A9D"/>
  </w:footnote>
  <w:footnote w:id="2">
    <w:p w14:paraId="3166F833" w14:textId="77777777" w:rsidR="00D1180A" w:rsidRPr="005B5840" w:rsidRDefault="00D1180A" w:rsidP="00D1180A">
      <w:pPr>
        <w:pStyle w:val="FootnoteText"/>
        <w:rPr>
          <w:sz w:val="24"/>
          <w:szCs w:val="24"/>
        </w:rPr>
      </w:pPr>
      <w:r w:rsidRPr="0095594D">
        <w:rPr>
          <w:rStyle w:val="FootnoteReference"/>
          <w:sz w:val="26"/>
          <w:szCs w:val="26"/>
          <w:vertAlign w:val="superscript"/>
        </w:rPr>
        <w:footnoteRef/>
      </w:r>
      <w:r w:rsidRPr="0095594D">
        <w:rPr>
          <w:sz w:val="26"/>
          <w:szCs w:val="26"/>
        </w:rPr>
        <w:t xml:space="preserve"> </w:t>
      </w:r>
      <w:r w:rsidRPr="005B5840">
        <w:rPr>
          <w:sz w:val="24"/>
          <w:szCs w:val="24"/>
        </w:rPr>
        <w:t>16 U.S.C. 824d, 824e.</w:t>
      </w:r>
    </w:p>
  </w:footnote>
  <w:footnote w:id="3">
    <w:p w14:paraId="72969296" w14:textId="228B9735" w:rsidR="00E87E93" w:rsidRPr="00DB64ED" w:rsidRDefault="00E87E93" w:rsidP="00E87E93">
      <w:pPr>
        <w:pStyle w:val="FootnoteText"/>
        <w:rPr>
          <w:vertAlign w:val="superscript"/>
        </w:rPr>
      </w:pPr>
      <w:r w:rsidRPr="00DB64ED">
        <w:rPr>
          <w:rStyle w:val="FootnoteReference"/>
          <w:sz w:val="26"/>
          <w:szCs w:val="26"/>
          <w:vertAlign w:val="superscript"/>
        </w:rPr>
        <w:footnoteRef/>
      </w:r>
      <w:r w:rsidRPr="00DB64ED">
        <w:rPr>
          <w:sz w:val="26"/>
          <w:szCs w:val="26"/>
        </w:rPr>
        <w:t xml:space="preserve"> </w:t>
      </w:r>
      <w:r w:rsidR="00056E22" w:rsidRPr="005B5840">
        <w:rPr>
          <w:sz w:val="24"/>
          <w:szCs w:val="24"/>
        </w:rPr>
        <w:t xml:space="preserve">As explained by the Commission, the term “transmission provider” means any public utility that owns, controls, or operates facilities used for the transmission of electric energy in interstate commerce.  </w:t>
      </w:r>
      <w:r w:rsidR="00056E22" w:rsidRPr="005B5840">
        <w:rPr>
          <w:i/>
          <w:iCs/>
          <w:sz w:val="24"/>
          <w:szCs w:val="24"/>
        </w:rPr>
        <w:t>See</w:t>
      </w:r>
      <w:r w:rsidR="00056E22" w:rsidRPr="005B5840">
        <w:rPr>
          <w:sz w:val="24"/>
          <w:szCs w:val="24"/>
        </w:rPr>
        <w:t xml:space="preserve"> 16 U.S.C. 824(e); 18 CFR 35.28.  To be clear, this term encompasses public utility transmission owners that are members of Regional Transmission Organizations (RTOs) and Independent System Operators (ISOs).  Accordingly, the reports proposed in the NOPR herein would be filed by the public utility members of RTOs/ISOs, as well as by the RTOs/ISOs themselves and other public utility transmission providers.</w:t>
      </w:r>
    </w:p>
  </w:footnote>
  <w:footnote w:id="4">
    <w:p w14:paraId="1FD50211" w14:textId="77777777" w:rsidR="00F86373" w:rsidRPr="00197BC1" w:rsidRDefault="00F86373" w:rsidP="009D6B4D">
      <w:pPr>
        <w:pStyle w:val="FootnoteText"/>
        <w:rPr>
          <w:sz w:val="26"/>
          <w:szCs w:val="26"/>
        </w:rPr>
      </w:pPr>
      <w:r w:rsidRPr="00197BC1">
        <w:rPr>
          <w:rStyle w:val="FootnoteReference"/>
          <w:sz w:val="26"/>
          <w:szCs w:val="26"/>
          <w:vertAlign w:val="superscript"/>
        </w:rPr>
        <w:footnoteRef/>
      </w:r>
      <w:r w:rsidRPr="00197BC1">
        <w:rPr>
          <w:sz w:val="26"/>
          <w:szCs w:val="26"/>
        </w:rPr>
        <w:t xml:space="preserve"> </w:t>
      </w:r>
      <w:r w:rsidRPr="005B5840">
        <w:rPr>
          <w:sz w:val="24"/>
          <w:szCs w:val="24"/>
        </w:rPr>
        <w:t>“Electronic Filing of Documents,” Order No. 619, 65 FR 57088 (Sept. 21, 2000), FERC Stats</w:t>
      </w:r>
      <w:proofErr w:type="gramStart"/>
      <w:r w:rsidRPr="005B5840">
        <w:rPr>
          <w:sz w:val="24"/>
          <w:szCs w:val="24"/>
        </w:rPr>
        <w:t xml:space="preserve">. </w:t>
      </w:r>
      <w:proofErr w:type="gramEnd"/>
      <w:r w:rsidRPr="005B5840">
        <w:rPr>
          <w:sz w:val="24"/>
          <w:szCs w:val="24"/>
        </w:rPr>
        <w:t>&amp; Regs</w:t>
      </w:r>
      <w:proofErr w:type="gramStart"/>
      <w:r w:rsidRPr="005B5840">
        <w:rPr>
          <w:sz w:val="24"/>
          <w:szCs w:val="24"/>
        </w:rPr>
        <w:t xml:space="preserve">. </w:t>
      </w:r>
      <w:proofErr w:type="gramEnd"/>
      <w:r w:rsidRPr="005B5840">
        <w:rPr>
          <w:sz w:val="24"/>
          <w:szCs w:val="24"/>
        </w:rPr>
        <w:t>¶ 31,107 (2000).</w:t>
      </w:r>
    </w:p>
  </w:footnote>
  <w:footnote w:id="5">
    <w:p w14:paraId="33895499" w14:textId="4B25AD0E" w:rsidR="002B31B3" w:rsidRPr="00E71D5C" w:rsidRDefault="002B31B3">
      <w:pPr>
        <w:pStyle w:val="FootnoteText"/>
        <w:rPr>
          <w:sz w:val="26"/>
          <w:szCs w:val="26"/>
        </w:rPr>
      </w:pPr>
      <w:r w:rsidRPr="00357D51">
        <w:rPr>
          <w:rStyle w:val="FootnoteReference"/>
          <w:sz w:val="26"/>
          <w:szCs w:val="26"/>
          <w:vertAlign w:val="superscript"/>
        </w:rPr>
        <w:footnoteRef/>
      </w:r>
      <w:r w:rsidRPr="00357D51">
        <w:rPr>
          <w:sz w:val="26"/>
          <w:szCs w:val="26"/>
        </w:rPr>
        <w:t xml:space="preserve"> </w:t>
      </w:r>
      <w:r w:rsidRPr="005B5840">
        <w:rPr>
          <w:sz w:val="24"/>
          <w:szCs w:val="24"/>
        </w:rPr>
        <w:t xml:space="preserve">The NOPR is posted in FERC’s </w:t>
      </w:r>
      <w:hyperlink r:id="rId1" w:history="1">
        <w:proofErr w:type="spellStart"/>
        <w:r w:rsidRPr="005B5840">
          <w:rPr>
            <w:rStyle w:val="Hyperlink"/>
            <w:sz w:val="24"/>
            <w:szCs w:val="24"/>
          </w:rPr>
          <w:t>eLibrary</w:t>
        </w:r>
        <w:proofErr w:type="spellEnd"/>
      </w:hyperlink>
      <w:r w:rsidR="00357D51" w:rsidRPr="005B5840">
        <w:rPr>
          <w:sz w:val="24"/>
          <w:szCs w:val="24"/>
        </w:rPr>
        <w:t>.</w:t>
      </w:r>
      <w:r w:rsidR="00720CB5" w:rsidRPr="005B5840">
        <w:rPr>
          <w:sz w:val="24"/>
          <w:szCs w:val="24"/>
        </w:rPr>
        <w:t xml:space="preserve"> </w:t>
      </w:r>
      <w:r w:rsidR="00357D51" w:rsidRPr="005B5840">
        <w:rPr>
          <w:sz w:val="24"/>
          <w:szCs w:val="24"/>
        </w:rPr>
        <w:t xml:space="preserve"> </w:t>
      </w:r>
      <w:r w:rsidR="00063FFF" w:rsidRPr="005B5840">
        <w:rPr>
          <w:sz w:val="24"/>
          <w:szCs w:val="24"/>
        </w:rPr>
        <w:t>Additionally, The Commission issued</w:t>
      </w:r>
      <w:r w:rsidR="00720CB5" w:rsidRPr="005B5840">
        <w:rPr>
          <w:sz w:val="24"/>
          <w:szCs w:val="24"/>
        </w:rPr>
        <w:t xml:space="preserve"> </w:t>
      </w:r>
      <w:r w:rsidR="00063FFF" w:rsidRPr="005B5840">
        <w:rPr>
          <w:sz w:val="24"/>
          <w:szCs w:val="24"/>
        </w:rPr>
        <w:t>a</w:t>
      </w:r>
      <w:r w:rsidR="00720CB5" w:rsidRPr="005B5840">
        <w:rPr>
          <w:sz w:val="24"/>
          <w:szCs w:val="24"/>
        </w:rPr>
        <w:t xml:space="preserve"> </w:t>
      </w:r>
      <w:hyperlink r:id="rId2" w:history="1">
        <w:r w:rsidR="00720CB5" w:rsidRPr="005B5840">
          <w:rPr>
            <w:rStyle w:val="Hyperlink"/>
            <w:sz w:val="24"/>
            <w:szCs w:val="24"/>
          </w:rPr>
          <w:t>News Release</w:t>
        </w:r>
      </w:hyperlink>
      <w:r w:rsidR="00063FFF" w:rsidRPr="005B5840">
        <w:rPr>
          <w:sz w:val="24"/>
          <w:szCs w:val="24"/>
        </w:rPr>
        <w:t xml:space="preserve"> and provided a </w:t>
      </w:r>
      <w:hyperlink r:id="rId3" w:history="1">
        <w:r w:rsidR="00063FFF" w:rsidRPr="005B5840">
          <w:rPr>
            <w:rStyle w:val="Hyperlink"/>
            <w:sz w:val="24"/>
            <w:szCs w:val="24"/>
          </w:rPr>
          <w:t>staff presentation</w:t>
        </w:r>
      </w:hyperlink>
      <w:r w:rsidR="00063FFF" w:rsidRPr="005B5840">
        <w:rPr>
          <w:sz w:val="24"/>
          <w:szCs w:val="24"/>
        </w:rPr>
        <w:t xml:space="preserve"> on the subject matter.</w:t>
      </w:r>
      <w:r w:rsidR="00063FFF" w:rsidRPr="00357D51">
        <w:rPr>
          <w:sz w:val="26"/>
          <w:szCs w:val="26"/>
        </w:rPr>
        <w:t xml:space="preserve"> </w:t>
      </w:r>
    </w:p>
  </w:footnote>
  <w:footnote w:id="6">
    <w:p w14:paraId="2BD56216" w14:textId="77777777" w:rsidR="00D31060" w:rsidRPr="00E71D5C" w:rsidRDefault="00D31060" w:rsidP="00D31060">
      <w:pPr>
        <w:pStyle w:val="FootnoteText"/>
        <w:rPr>
          <w:sz w:val="26"/>
          <w:szCs w:val="26"/>
        </w:rPr>
      </w:pPr>
      <w:r w:rsidRPr="00E71D5C">
        <w:rPr>
          <w:rStyle w:val="FootnoteReference"/>
          <w:sz w:val="26"/>
          <w:szCs w:val="26"/>
          <w:vertAlign w:val="superscript"/>
        </w:rPr>
        <w:footnoteRef/>
      </w:r>
      <w:r w:rsidRPr="00E71D5C">
        <w:rPr>
          <w:sz w:val="26"/>
          <w:szCs w:val="26"/>
          <w:vertAlign w:val="superscript"/>
        </w:rPr>
        <w:t xml:space="preserve"> </w:t>
      </w:r>
      <w:r w:rsidRPr="005B5840">
        <w:rPr>
          <w:sz w:val="24"/>
          <w:szCs w:val="24"/>
        </w:rPr>
        <w:t>March 5 Notice of Technical Conference, Docket No. AD21-13-000.</w:t>
      </w:r>
    </w:p>
  </w:footnote>
  <w:footnote w:id="7">
    <w:p w14:paraId="3420C17B" w14:textId="77777777" w:rsidR="00D31060" w:rsidRDefault="00D31060" w:rsidP="00D31060">
      <w:pPr>
        <w:pStyle w:val="FootnoteText"/>
      </w:pPr>
      <w:r w:rsidRPr="00E71D5C">
        <w:rPr>
          <w:rStyle w:val="FootnoteReference"/>
          <w:sz w:val="26"/>
          <w:szCs w:val="26"/>
          <w:vertAlign w:val="superscript"/>
        </w:rPr>
        <w:footnoteRef/>
      </w:r>
      <w:r w:rsidRPr="00E71D5C">
        <w:rPr>
          <w:sz w:val="26"/>
          <w:szCs w:val="26"/>
          <w:vertAlign w:val="superscript"/>
        </w:rPr>
        <w:t xml:space="preserve"> </w:t>
      </w:r>
      <w:r w:rsidRPr="005B5840">
        <w:rPr>
          <w:sz w:val="24"/>
          <w:szCs w:val="24"/>
        </w:rPr>
        <w:t>March 13 Supplemental Notice of Inviting Pre-Conference Comments, Docket No. AD21-13-000.</w:t>
      </w:r>
    </w:p>
  </w:footnote>
  <w:footnote w:id="8">
    <w:p w14:paraId="67AB5D34" w14:textId="35E70269" w:rsidR="00D31060" w:rsidRPr="00E71D5C" w:rsidRDefault="00D31060" w:rsidP="00D31060">
      <w:pPr>
        <w:pStyle w:val="FootnoteText"/>
        <w:rPr>
          <w:sz w:val="26"/>
          <w:szCs w:val="26"/>
        </w:rPr>
      </w:pPr>
      <w:r w:rsidRPr="00E71D5C">
        <w:rPr>
          <w:rStyle w:val="FootnoteReference"/>
          <w:sz w:val="26"/>
          <w:szCs w:val="26"/>
          <w:vertAlign w:val="superscript"/>
        </w:rPr>
        <w:footnoteRef/>
      </w:r>
      <w:r w:rsidRPr="00E71D5C">
        <w:rPr>
          <w:sz w:val="26"/>
          <w:szCs w:val="26"/>
          <w:vertAlign w:val="superscript"/>
        </w:rPr>
        <w:t xml:space="preserve"> </w:t>
      </w:r>
      <w:r w:rsidR="003031D9">
        <w:rPr>
          <w:sz w:val="26"/>
          <w:szCs w:val="26"/>
        </w:rPr>
        <w:t xml:space="preserve"> </w:t>
      </w:r>
      <w:r w:rsidRPr="005B5840">
        <w:rPr>
          <w:sz w:val="24"/>
          <w:szCs w:val="24"/>
        </w:rPr>
        <w:t>Notice Inviting Post-Technical Conference Comments, Docket No. AD21-13-000.</w:t>
      </w:r>
    </w:p>
  </w:footnote>
  <w:footnote w:id="9">
    <w:p w14:paraId="648C5CA4" w14:textId="77777777" w:rsidR="004C3137" w:rsidRPr="00BD03BC" w:rsidRDefault="004C3137" w:rsidP="004C3137">
      <w:pPr>
        <w:pStyle w:val="FootnoteText"/>
        <w:rPr>
          <w:sz w:val="24"/>
          <w:szCs w:val="24"/>
        </w:rPr>
      </w:pPr>
      <w:r w:rsidRPr="00295FC4">
        <w:rPr>
          <w:rStyle w:val="FootnoteReference"/>
          <w:sz w:val="26"/>
          <w:szCs w:val="26"/>
          <w:vertAlign w:val="superscript"/>
        </w:rPr>
        <w:footnoteRef/>
      </w:r>
      <w:r w:rsidRPr="00295FC4">
        <w:rPr>
          <w:sz w:val="26"/>
          <w:szCs w:val="26"/>
        </w:rPr>
        <w:t xml:space="preserve"> </w:t>
      </w:r>
      <w:r w:rsidRPr="005B5840">
        <w:rPr>
          <w:sz w:val="24"/>
          <w:szCs w:val="24"/>
        </w:rPr>
        <w:t xml:space="preserve">18 CFR 388.112-113.  Section 388.112 of the Commission’s regulations specifies that any person submitting a document to the Commission may request privileged treatment for some or </w:t>
      </w:r>
      <w:proofErr w:type="gramStart"/>
      <w:r w:rsidRPr="005B5840">
        <w:rPr>
          <w:sz w:val="24"/>
          <w:szCs w:val="24"/>
        </w:rPr>
        <w:t>all of</w:t>
      </w:r>
      <w:proofErr w:type="gramEnd"/>
      <w:r w:rsidRPr="005B5840">
        <w:rPr>
          <w:sz w:val="24"/>
          <w:szCs w:val="24"/>
        </w:rPr>
        <w:t xml:space="preserve"> the information contained in a particular document that it claims is exempt from the mandatory public disclosure requirements of the Freedom of Information</w:t>
      </w:r>
      <w:r w:rsidRPr="00BD03BC">
        <w:rPr>
          <w:sz w:val="24"/>
          <w:szCs w:val="24"/>
        </w:rPr>
        <w:t xml:space="preserve"> Act, and that should be withheld from public disclosure.  </w:t>
      </w:r>
      <w:r w:rsidRPr="00BD03BC">
        <w:rPr>
          <w:i/>
          <w:iCs/>
          <w:sz w:val="24"/>
          <w:szCs w:val="24"/>
        </w:rPr>
        <w:t>See</w:t>
      </w:r>
      <w:r w:rsidRPr="00BD03BC">
        <w:rPr>
          <w:sz w:val="24"/>
          <w:szCs w:val="24"/>
        </w:rPr>
        <w:t xml:space="preserve"> 5 U.S.C. 552.</w:t>
      </w:r>
      <w:r w:rsidRPr="00BD03BC">
        <w:rPr>
          <w:rFonts w:ascii="Source Sans Pro" w:hAnsi="Source Sans Pro" w:cs="Arial"/>
          <w:color w:val="3D3D3D"/>
          <w:sz w:val="24"/>
          <w:szCs w:val="24"/>
        </w:rPr>
        <w:t xml:space="preserve">  </w:t>
      </w:r>
      <w:r w:rsidRPr="00BD03BC">
        <w:rPr>
          <w:sz w:val="24"/>
          <w:szCs w:val="24"/>
        </w:rPr>
        <w:t>Section 388.113 of the Commission’s regulations governs the procedures for submitting, designating, handling, sharing, and disseminating Critical Energy/Electric Infrastructure Information submitted to or generated by the Commission.</w:t>
      </w:r>
    </w:p>
  </w:footnote>
  <w:footnote w:id="10">
    <w:p w14:paraId="5426E3DA" w14:textId="61FC6785" w:rsidR="00F86373" w:rsidRPr="00BD03BC" w:rsidRDefault="00F86373" w:rsidP="00C70A5D">
      <w:pPr>
        <w:pStyle w:val="FootnoteText"/>
        <w:rPr>
          <w:sz w:val="24"/>
          <w:szCs w:val="24"/>
        </w:rPr>
      </w:pPr>
      <w:r w:rsidRPr="00BD03BC">
        <w:rPr>
          <w:rStyle w:val="FootnoteReference"/>
          <w:sz w:val="24"/>
          <w:szCs w:val="24"/>
          <w:vertAlign w:val="superscript"/>
        </w:rPr>
        <w:footnoteRef/>
      </w:r>
      <w:r w:rsidRPr="00BD03BC">
        <w:rPr>
          <w:sz w:val="24"/>
          <w:szCs w:val="24"/>
          <w:vertAlign w:val="superscript"/>
        </w:rPr>
        <w:t xml:space="preserve"> </w:t>
      </w:r>
      <w:r w:rsidR="00AF3FD1" w:rsidRPr="00BD03BC">
        <w:rPr>
          <w:sz w:val="24"/>
          <w:szCs w:val="24"/>
          <w:vertAlign w:val="superscript"/>
        </w:rPr>
        <w:t xml:space="preserve"> </w:t>
      </w:r>
      <w:r w:rsidRPr="00BD03BC">
        <w:rPr>
          <w:rFonts w:eastAsia="Calibri"/>
          <w:sz w:val="24"/>
          <w:szCs w:val="24"/>
        </w:rPr>
        <w:t xml:space="preserve">Burden is defined as the total time, effort, or financial resources expended by persons to generate, maintain, retain, or disclose or provide information to or for a </w:t>
      </w:r>
      <w:proofErr w:type="gramStart"/>
      <w:r w:rsidRPr="00BD03BC">
        <w:rPr>
          <w:rFonts w:eastAsia="Calibri"/>
          <w:sz w:val="24"/>
          <w:szCs w:val="24"/>
        </w:rPr>
        <w:t>Federal</w:t>
      </w:r>
      <w:proofErr w:type="gramEnd"/>
      <w:r w:rsidRPr="00BD03BC">
        <w:rPr>
          <w:rFonts w:eastAsia="Calibri"/>
          <w:sz w:val="24"/>
          <w:szCs w:val="24"/>
        </w:rPr>
        <w:t xml:space="preserve"> agency.  For further explanation of what is included in the information collection burden, refer to 5 CFR 1320.3.</w:t>
      </w:r>
    </w:p>
  </w:footnote>
  <w:footnote w:id="11">
    <w:p w14:paraId="792D5E56" w14:textId="7D0FCB6F" w:rsidR="00F86373" w:rsidRPr="00EC042D" w:rsidRDefault="00F86373" w:rsidP="00C70A5D">
      <w:pPr>
        <w:pStyle w:val="FootnoteText"/>
        <w:rPr>
          <w:sz w:val="26"/>
          <w:szCs w:val="26"/>
        </w:rPr>
      </w:pPr>
      <w:r w:rsidRPr="00BD03BC">
        <w:rPr>
          <w:rStyle w:val="FootnoteReference"/>
          <w:sz w:val="24"/>
          <w:szCs w:val="24"/>
          <w:vertAlign w:val="superscript"/>
        </w:rPr>
        <w:footnoteRef/>
      </w:r>
      <w:r w:rsidR="00AF3FD1" w:rsidRPr="00BD03BC">
        <w:rPr>
          <w:sz w:val="24"/>
          <w:szCs w:val="24"/>
        </w:rPr>
        <w:t xml:space="preserve"> </w:t>
      </w:r>
      <w:r w:rsidRPr="00BD03BC">
        <w:rPr>
          <w:sz w:val="24"/>
          <w:szCs w:val="24"/>
        </w:rPr>
        <w:t xml:space="preserve">The Commission staff estimates that industry is similarly situated </w:t>
      </w:r>
      <w:r w:rsidR="001F14CF" w:rsidRPr="00BD03BC">
        <w:rPr>
          <w:sz w:val="24"/>
          <w:szCs w:val="24"/>
        </w:rPr>
        <w:t xml:space="preserve">to FERC </w:t>
      </w:r>
      <w:r w:rsidRPr="00BD03BC">
        <w:rPr>
          <w:sz w:val="24"/>
          <w:szCs w:val="24"/>
        </w:rPr>
        <w:t>in terms of hourly cost (for wages plus benefits).  Based on the Commission’s 20</w:t>
      </w:r>
      <w:r w:rsidR="003058EF" w:rsidRPr="00BD03BC">
        <w:rPr>
          <w:sz w:val="24"/>
          <w:szCs w:val="24"/>
        </w:rPr>
        <w:t>21</w:t>
      </w:r>
      <w:r w:rsidRPr="00BD03BC">
        <w:rPr>
          <w:sz w:val="24"/>
          <w:szCs w:val="24"/>
        </w:rPr>
        <w:t xml:space="preserve"> average cost (for wages plus benefits), $</w:t>
      </w:r>
      <w:r w:rsidR="003058EF" w:rsidRPr="00BD03BC">
        <w:rPr>
          <w:sz w:val="24"/>
          <w:szCs w:val="24"/>
        </w:rPr>
        <w:t>87</w:t>
      </w:r>
      <w:r w:rsidRPr="00BD03BC">
        <w:rPr>
          <w:sz w:val="24"/>
          <w:szCs w:val="24"/>
        </w:rPr>
        <w:t>.00/hour is used.</w:t>
      </w:r>
    </w:p>
  </w:footnote>
  <w:footnote w:id="12">
    <w:p w14:paraId="7649B2A3" w14:textId="77777777" w:rsidR="00E87E93" w:rsidRPr="00BD03BC" w:rsidRDefault="00E87E93" w:rsidP="00BD03BC">
      <w:pPr>
        <w:pStyle w:val="FootnoteText"/>
        <w:rPr>
          <w:sz w:val="24"/>
          <w:szCs w:val="24"/>
        </w:rPr>
      </w:pPr>
      <w:r w:rsidRPr="00AF3FD1">
        <w:rPr>
          <w:rStyle w:val="FootnoteReference"/>
          <w:sz w:val="26"/>
          <w:szCs w:val="26"/>
          <w:vertAlign w:val="superscript"/>
        </w:rPr>
        <w:footnoteRef/>
      </w:r>
      <w:r w:rsidRPr="00AF3FD1">
        <w:rPr>
          <w:rStyle w:val="FootnoteReference"/>
          <w:sz w:val="26"/>
          <w:vertAlign w:val="superscript"/>
        </w:rPr>
        <w:t xml:space="preserve"> </w:t>
      </w:r>
      <w:r w:rsidRPr="00AF3FD1">
        <w:rPr>
          <w:sz w:val="24"/>
          <w:szCs w:val="24"/>
        </w:rPr>
        <w:t>Commission staff estimates that respondents’ hourly wages plus benefits are comparable to those of FERC employees.  Therefore, the hourly cost used in this analysis is $87.00 (or $180,703 per year).</w:t>
      </w:r>
    </w:p>
  </w:footnote>
  <w:footnote w:id="13">
    <w:p w14:paraId="18E5BB2E" w14:textId="06A65DE1" w:rsidR="00E87E93" w:rsidRPr="00BD03BC" w:rsidRDefault="00E87E93" w:rsidP="00BD03BC">
      <w:pPr>
        <w:pStyle w:val="FootnoteText"/>
        <w:rPr>
          <w:sz w:val="24"/>
          <w:szCs w:val="24"/>
        </w:rPr>
      </w:pPr>
      <w:r w:rsidRPr="00BD03BC">
        <w:rPr>
          <w:rStyle w:val="FootnoteReference"/>
          <w:sz w:val="26"/>
          <w:szCs w:val="26"/>
          <w:vertAlign w:val="superscript"/>
        </w:rPr>
        <w:footnoteRef/>
      </w:r>
      <w:r w:rsidRPr="00BD03BC">
        <w:rPr>
          <w:rStyle w:val="FootnoteReference"/>
          <w:sz w:val="26"/>
          <w:szCs w:val="26"/>
          <w:vertAlign w:val="superscript"/>
        </w:rPr>
        <w:t xml:space="preserve"> </w:t>
      </w:r>
      <w:r w:rsidR="00BD03BC" w:rsidRPr="00BD03BC">
        <w:rPr>
          <w:sz w:val="24"/>
          <w:szCs w:val="24"/>
        </w:rPr>
        <w:t>The number of entities listed from the NERC Compliance Registry reflects the omission of the Texas RE registered entities.  Note that 41 transmission owners in non-RTO/ISO regions are also transmission service providers, so in total there are 132 entities subject to this proposed rulemaking</w:t>
      </w:r>
      <w:r w:rsidRPr="00AF3FD1">
        <w:rPr>
          <w:sz w:val="24"/>
          <w:szCs w:val="24"/>
        </w:rPr>
        <w:t>.</w:t>
      </w:r>
    </w:p>
  </w:footnote>
  <w:footnote w:id="14">
    <w:p w14:paraId="49D8CD06" w14:textId="57F55BF1" w:rsidR="00F86373" w:rsidRPr="00197BC1" w:rsidRDefault="00F86373" w:rsidP="00EF40FF">
      <w:pPr>
        <w:rPr>
          <w:sz w:val="26"/>
          <w:szCs w:val="26"/>
        </w:rPr>
      </w:pPr>
      <w:r w:rsidRPr="00197BC1">
        <w:rPr>
          <w:rStyle w:val="FootnoteReference"/>
          <w:sz w:val="26"/>
          <w:szCs w:val="26"/>
          <w:vertAlign w:val="superscript"/>
        </w:rPr>
        <w:footnoteRef/>
      </w:r>
      <w:r w:rsidRPr="00197BC1">
        <w:rPr>
          <w:sz w:val="26"/>
          <w:szCs w:val="26"/>
        </w:rPr>
        <w:t xml:space="preserve"> </w:t>
      </w:r>
      <w:r w:rsidR="004726ED" w:rsidRPr="005B5840">
        <w:t>FERC’s 2021 average wages plus benefits for one FTE (full-time equivalent) is $180,703 per year.</w:t>
      </w:r>
    </w:p>
  </w:footnote>
  <w:footnote w:id="15">
    <w:p w14:paraId="1D3E441C" w14:textId="5643A6EF" w:rsidR="00F86373" w:rsidRPr="00197BC1" w:rsidRDefault="00F86373" w:rsidP="00EF40FF">
      <w:pPr>
        <w:pStyle w:val="FootnoteText"/>
        <w:rPr>
          <w:sz w:val="26"/>
          <w:szCs w:val="26"/>
        </w:rPr>
      </w:pPr>
      <w:r w:rsidRPr="00197BC1">
        <w:rPr>
          <w:rStyle w:val="FootnoteReference"/>
          <w:sz w:val="26"/>
          <w:szCs w:val="26"/>
          <w:vertAlign w:val="superscript"/>
        </w:rPr>
        <w:footnoteRef/>
      </w:r>
      <w:r w:rsidRPr="00197BC1">
        <w:rPr>
          <w:sz w:val="26"/>
          <w:szCs w:val="26"/>
          <w:vertAlign w:val="superscript"/>
        </w:rPr>
        <w:t xml:space="preserve"> </w:t>
      </w:r>
      <w:r w:rsidRPr="005B5840">
        <w:rPr>
          <w:sz w:val="24"/>
          <w:szCs w:val="24"/>
        </w:rPr>
        <w:t>Paperwork Reduction Act of 1995 (PRA).</w:t>
      </w:r>
    </w:p>
  </w:footnote>
  <w:footnote w:id="16">
    <w:p w14:paraId="3BE1D155" w14:textId="33A7D997" w:rsidR="004726ED" w:rsidRPr="003C0C3E" w:rsidRDefault="004726ED">
      <w:pPr>
        <w:pStyle w:val="FootnoteText"/>
        <w:rPr>
          <w:sz w:val="26"/>
          <w:szCs w:val="26"/>
        </w:rPr>
      </w:pPr>
      <w:r w:rsidRPr="003C0C3E">
        <w:rPr>
          <w:rStyle w:val="FootnoteReference"/>
          <w:sz w:val="26"/>
          <w:szCs w:val="26"/>
          <w:vertAlign w:val="superscript"/>
        </w:rPr>
        <w:footnoteRef/>
      </w:r>
      <w:r w:rsidRPr="003C0C3E">
        <w:rPr>
          <w:sz w:val="26"/>
          <w:szCs w:val="26"/>
          <w:vertAlign w:val="superscript"/>
        </w:rPr>
        <w:t xml:space="preserve"> </w:t>
      </w:r>
      <w:r w:rsidRPr="005B5840">
        <w:rPr>
          <w:sz w:val="24"/>
          <w:szCs w:val="24"/>
        </w:rPr>
        <w:t>Based upon FERC’s 2021 estimated average annual PRA Administrative Cost of $8,279.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CDE1" w14:textId="274167CE" w:rsidR="00F86373" w:rsidRPr="00E927E5" w:rsidRDefault="006E64C4" w:rsidP="003E2362">
    <w:pPr>
      <w:pStyle w:val="Header"/>
      <w:tabs>
        <w:tab w:val="clear" w:pos="9360"/>
        <w:tab w:val="left" w:pos="7248"/>
      </w:tabs>
      <w:rPr>
        <w:sz w:val="26"/>
        <w:szCs w:val="26"/>
      </w:rPr>
    </w:pPr>
    <w:r>
      <w:rPr>
        <w:sz w:val="26"/>
        <w:szCs w:val="26"/>
      </w:rPr>
      <w:t xml:space="preserve">Proposed </w:t>
    </w:r>
    <w:r w:rsidR="00D90459">
      <w:rPr>
        <w:sz w:val="26"/>
        <w:szCs w:val="26"/>
      </w:rPr>
      <w:t>FERC-1004</w:t>
    </w:r>
    <w:r w:rsidR="00F86373" w:rsidRPr="00E927E5">
      <w:rPr>
        <w:sz w:val="26"/>
        <w:szCs w:val="26"/>
      </w:rPr>
      <w:t xml:space="preserve"> (OMB Control No. 1902-</w:t>
    </w:r>
    <w:r w:rsidR="00D90459">
      <w:rPr>
        <w:sz w:val="26"/>
        <w:szCs w:val="26"/>
      </w:rPr>
      <w:t>TBD</w:t>
    </w:r>
    <w:r w:rsidR="00F86373" w:rsidRPr="00E927E5">
      <w:rPr>
        <w:sz w:val="26"/>
        <w:szCs w:val="26"/>
      </w:rPr>
      <w:t>)</w:t>
    </w:r>
  </w:p>
  <w:p w14:paraId="3C0F421A" w14:textId="3CE9C0CA" w:rsidR="008566C9" w:rsidRDefault="00D90459">
    <w:pPr>
      <w:pStyle w:val="Header"/>
      <w:rPr>
        <w:sz w:val="26"/>
        <w:szCs w:val="26"/>
      </w:rPr>
    </w:pPr>
    <w:r>
      <w:rPr>
        <w:sz w:val="26"/>
        <w:szCs w:val="26"/>
      </w:rPr>
      <w:t>NOPR</w:t>
    </w:r>
    <w:r w:rsidRPr="00E927E5">
      <w:rPr>
        <w:sz w:val="26"/>
        <w:szCs w:val="26"/>
      </w:rPr>
      <w:t xml:space="preserve"> </w:t>
    </w:r>
    <w:r w:rsidR="00357D51">
      <w:rPr>
        <w:sz w:val="26"/>
        <w:szCs w:val="26"/>
      </w:rPr>
      <w:t>(</w:t>
    </w:r>
    <w:r w:rsidR="00063FFF" w:rsidRPr="00357D51">
      <w:rPr>
        <w:sz w:val="26"/>
        <w:szCs w:val="26"/>
      </w:rPr>
      <w:t>Issued 6</w:t>
    </w:r>
    <w:r w:rsidR="00357D51">
      <w:rPr>
        <w:sz w:val="26"/>
        <w:szCs w:val="26"/>
      </w:rPr>
      <w:t>/1</w:t>
    </w:r>
    <w:r w:rsidR="00063FFF" w:rsidRPr="00357D51">
      <w:rPr>
        <w:sz w:val="26"/>
        <w:szCs w:val="26"/>
      </w:rPr>
      <w:t>6</w:t>
    </w:r>
    <w:r w:rsidR="00357D51">
      <w:rPr>
        <w:sz w:val="26"/>
        <w:szCs w:val="26"/>
      </w:rPr>
      <w:t>/</w:t>
    </w:r>
    <w:r w:rsidR="00EB39E9" w:rsidRPr="00357D51">
      <w:rPr>
        <w:sz w:val="26"/>
        <w:szCs w:val="26"/>
      </w:rPr>
      <w:t>2022</w:t>
    </w:r>
    <w:r w:rsidR="00EB39E9">
      <w:rPr>
        <w:sz w:val="26"/>
        <w:szCs w:val="26"/>
      </w:rPr>
      <w:t xml:space="preserve">) </w:t>
    </w:r>
    <w:r w:rsidR="00B7124F" w:rsidRPr="00E927E5">
      <w:rPr>
        <w:sz w:val="26"/>
        <w:szCs w:val="26"/>
      </w:rPr>
      <w:t xml:space="preserve">in </w:t>
    </w:r>
    <w:r w:rsidR="00F86373" w:rsidRPr="00E927E5">
      <w:rPr>
        <w:sz w:val="26"/>
        <w:szCs w:val="26"/>
      </w:rPr>
      <w:t>Do</w:t>
    </w:r>
    <w:r w:rsidR="00F86373" w:rsidRPr="0071042C">
      <w:rPr>
        <w:sz w:val="26"/>
        <w:szCs w:val="26"/>
      </w:rPr>
      <w:t>cket No</w:t>
    </w:r>
    <w:r w:rsidRPr="0071042C">
      <w:rPr>
        <w:sz w:val="26"/>
        <w:szCs w:val="26"/>
      </w:rPr>
      <w:t>s</w:t>
    </w:r>
    <w:r w:rsidR="00F86373" w:rsidRPr="0071042C">
      <w:rPr>
        <w:sz w:val="26"/>
        <w:szCs w:val="26"/>
      </w:rPr>
      <w:t xml:space="preserve">. </w:t>
    </w:r>
    <w:r w:rsidRPr="00EB39E9">
      <w:rPr>
        <w:sz w:val="26"/>
        <w:szCs w:val="26"/>
      </w:rPr>
      <w:t>RM22-</w:t>
    </w:r>
    <w:r w:rsidR="005D24A1" w:rsidRPr="0071042C">
      <w:rPr>
        <w:sz w:val="26"/>
        <w:szCs w:val="26"/>
      </w:rPr>
      <w:t>16-000</w:t>
    </w:r>
    <w:r>
      <w:rPr>
        <w:sz w:val="26"/>
        <w:szCs w:val="26"/>
      </w:rPr>
      <w:t xml:space="preserve"> and AD21-13</w:t>
    </w:r>
  </w:p>
  <w:p w14:paraId="630ED0B0" w14:textId="1D7BC16A" w:rsidR="00AF47A5" w:rsidRPr="00E927E5" w:rsidRDefault="00AF47A5">
    <w:pPr>
      <w:pStyle w:val="Header"/>
      <w:rPr>
        <w:sz w:val="26"/>
        <w:szCs w:val="26"/>
      </w:rPr>
    </w:pPr>
    <w:r w:rsidRPr="00116873">
      <w:rPr>
        <w:sz w:val="26"/>
        <w:szCs w:val="26"/>
      </w:rPr>
      <w:t>RIN 1902-</w:t>
    </w:r>
    <w:r w:rsidR="00116873" w:rsidRPr="00116873">
      <w:rPr>
        <w:sz w:val="26"/>
        <w:szCs w:val="26"/>
      </w:rPr>
      <w:t>AF99</w:t>
    </w:r>
  </w:p>
  <w:p w14:paraId="08D8EEA0" w14:textId="77777777" w:rsidR="00506ACA" w:rsidRDefault="0050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A8D9" w14:textId="77777777" w:rsidR="00F86373" w:rsidRDefault="00F86373">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7B9"/>
    <w:multiLevelType w:val="hybridMultilevel"/>
    <w:tmpl w:val="CABC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D28D1"/>
    <w:multiLevelType w:val="hybridMultilevel"/>
    <w:tmpl w:val="4086E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0B6B4B"/>
    <w:multiLevelType w:val="hybridMultilevel"/>
    <w:tmpl w:val="88DCC0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5A708D"/>
    <w:multiLevelType w:val="hybridMultilevel"/>
    <w:tmpl w:val="96C0D9BE"/>
    <w:lvl w:ilvl="0" w:tplc="12280F9E">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F3E48"/>
    <w:multiLevelType w:val="hybridMultilevel"/>
    <w:tmpl w:val="1408D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E6DAE"/>
    <w:multiLevelType w:val="hybridMultilevel"/>
    <w:tmpl w:val="F0D4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4"/>
  </w:num>
  <w:num w:numId="5">
    <w:abstractNumId w:val="8"/>
  </w:num>
  <w:num w:numId="6">
    <w:abstractNumId w:val="12"/>
  </w:num>
  <w:num w:numId="7">
    <w:abstractNumId w:val="7"/>
  </w:num>
  <w:num w:numId="8">
    <w:abstractNumId w:val="3"/>
  </w:num>
  <w:num w:numId="9">
    <w:abstractNumId w:val="14"/>
  </w:num>
  <w:num w:numId="10">
    <w:abstractNumId w:val="1"/>
  </w:num>
  <w:num w:numId="11">
    <w:abstractNumId w:val="15"/>
  </w:num>
  <w:num w:numId="12">
    <w:abstractNumId w:val="10"/>
  </w:num>
  <w:num w:numId="13">
    <w:abstractNumId w:val="16"/>
  </w:num>
  <w:num w:numId="14">
    <w:abstractNumId w:val="0"/>
  </w:num>
  <w:num w:numId="15">
    <w:abstractNumId w:val="18"/>
  </w:num>
  <w:num w:numId="16">
    <w:abstractNumId w:val="5"/>
  </w:num>
  <w:num w:numId="17">
    <w:abstractNumId w:val="2"/>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4477"/>
    <w:rsid w:val="00016B2A"/>
    <w:rsid w:val="000218B7"/>
    <w:rsid w:val="00024197"/>
    <w:rsid w:val="000336F6"/>
    <w:rsid w:val="00033720"/>
    <w:rsid w:val="00036A31"/>
    <w:rsid w:val="00040C33"/>
    <w:rsid w:val="00042DB9"/>
    <w:rsid w:val="000450C7"/>
    <w:rsid w:val="00055996"/>
    <w:rsid w:val="00056E22"/>
    <w:rsid w:val="00062A3B"/>
    <w:rsid w:val="000636FD"/>
    <w:rsid w:val="00063FFF"/>
    <w:rsid w:val="00066A2B"/>
    <w:rsid w:val="00067E72"/>
    <w:rsid w:val="00071FB5"/>
    <w:rsid w:val="00074A4C"/>
    <w:rsid w:val="000764BF"/>
    <w:rsid w:val="00077F54"/>
    <w:rsid w:val="000806CF"/>
    <w:rsid w:val="00084CA6"/>
    <w:rsid w:val="000865E3"/>
    <w:rsid w:val="000969B5"/>
    <w:rsid w:val="000A2E00"/>
    <w:rsid w:val="000A53DD"/>
    <w:rsid w:val="000B6FDE"/>
    <w:rsid w:val="000B72DF"/>
    <w:rsid w:val="000C55E5"/>
    <w:rsid w:val="000C5C56"/>
    <w:rsid w:val="000D0584"/>
    <w:rsid w:val="000D59C1"/>
    <w:rsid w:val="000D6E9A"/>
    <w:rsid w:val="000E00D7"/>
    <w:rsid w:val="000F2F0F"/>
    <w:rsid w:val="000F53A6"/>
    <w:rsid w:val="000F53D5"/>
    <w:rsid w:val="000F6B8E"/>
    <w:rsid w:val="001039EE"/>
    <w:rsid w:val="00106247"/>
    <w:rsid w:val="00116873"/>
    <w:rsid w:val="00117FD8"/>
    <w:rsid w:val="00120DE8"/>
    <w:rsid w:val="0012122B"/>
    <w:rsid w:val="001239BF"/>
    <w:rsid w:val="00127D72"/>
    <w:rsid w:val="001352B5"/>
    <w:rsid w:val="00135B06"/>
    <w:rsid w:val="00136620"/>
    <w:rsid w:val="0014493B"/>
    <w:rsid w:val="0014545F"/>
    <w:rsid w:val="00146FDA"/>
    <w:rsid w:val="00147917"/>
    <w:rsid w:val="001528A6"/>
    <w:rsid w:val="00157D33"/>
    <w:rsid w:val="00157D41"/>
    <w:rsid w:val="001620F4"/>
    <w:rsid w:val="001718FA"/>
    <w:rsid w:val="0017363D"/>
    <w:rsid w:val="001800AB"/>
    <w:rsid w:val="00180722"/>
    <w:rsid w:val="00180B65"/>
    <w:rsid w:val="00181B4A"/>
    <w:rsid w:val="001833FA"/>
    <w:rsid w:val="00183FF0"/>
    <w:rsid w:val="00185EF9"/>
    <w:rsid w:val="001922FC"/>
    <w:rsid w:val="00192A85"/>
    <w:rsid w:val="00197BC1"/>
    <w:rsid w:val="00197FBE"/>
    <w:rsid w:val="001A07E0"/>
    <w:rsid w:val="001A0972"/>
    <w:rsid w:val="001A2689"/>
    <w:rsid w:val="001A270D"/>
    <w:rsid w:val="001A35B9"/>
    <w:rsid w:val="001A7D23"/>
    <w:rsid w:val="001B1350"/>
    <w:rsid w:val="001B49A9"/>
    <w:rsid w:val="001B6647"/>
    <w:rsid w:val="001C042A"/>
    <w:rsid w:val="001C61F0"/>
    <w:rsid w:val="001C68DA"/>
    <w:rsid w:val="001D2EC1"/>
    <w:rsid w:val="001D7DCA"/>
    <w:rsid w:val="001E053A"/>
    <w:rsid w:val="001E6D2B"/>
    <w:rsid w:val="001F14CF"/>
    <w:rsid w:val="001F3ADE"/>
    <w:rsid w:val="001F42E7"/>
    <w:rsid w:val="001F4C8D"/>
    <w:rsid w:val="001F60CC"/>
    <w:rsid w:val="001F622E"/>
    <w:rsid w:val="001F703D"/>
    <w:rsid w:val="002000AA"/>
    <w:rsid w:val="002142A2"/>
    <w:rsid w:val="00222830"/>
    <w:rsid w:val="00224A7A"/>
    <w:rsid w:val="0024137A"/>
    <w:rsid w:val="0024256B"/>
    <w:rsid w:val="00246BF0"/>
    <w:rsid w:val="00251E0B"/>
    <w:rsid w:val="00254773"/>
    <w:rsid w:val="002565F8"/>
    <w:rsid w:val="002621D7"/>
    <w:rsid w:val="00266AF9"/>
    <w:rsid w:val="00267F92"/>
    <w:rsid w:val="002718F4"/>
    <w:rsid w:val="002754BE"/>
    <w:rsid w:val="002763E2"/>
    <w:rsid w:val="002766FC"/>
    <w:rsid w:val="00284023"/>
    <w:rsid w:val="00285756"/>
    <w:rsid w:val="00286DE2"/>
    <w:rsid w:val="00295C38"/>
    <w:rsid w:val="00295FC4"/>
    <w:rsid w:val="002A1548"/>
    <w:rsid w:val="002A2B8E"/>
    <w:rsid w:val="002B31B3"/>
    <w:rsid w:val="002B38BD"/>
    <w:rsid w:val="002D5138"/>
    <w:rsid w:val="002F0974"/>
    <w:rsid w:val="002F39F3"/>
    <w:rsid w:val="002F78F9"/>
    <w:rsid w:val="003031D9"/>
    <w:rsid w:val="003058EF"/>
    <w:rsid w:val="00307F28"/>
    <w:rsid w:val="00312583"/>
    <w:rsid w:val="0031346B"/>
    <w:rsid w:val="00317C67"/>
    <w:rsid w:val="0032225E"/>
    <w:rsid w:val="00322687"/>
    <w:rsid w:val="00323854"/>
    <w:rsid w:val="00333AB8"/>
    <w:rsid w:val="003371EB"/>
    <w:rsid w:val="00337B5F"/>
    <w:rsid w:val="0034285E"/>
    <w:rsid w:val="00342D0E"/>
    <w:rsid w:val="003431A7"/>
    <w:rsid w:val="003442F6"/>
    <w:rsid w:val="00350016"/>
    <w:rsid w:val="0035481D"/>
    <w:rsid w:val="003576CD"/>
    <w:rsid w:val="00357D51"/>
    <w:rsid w:val="003614F9"/>
    <w:rsid w:val="00377A66"/>
    <w:rsid w:val="00381C5C"/>
    <w:rsid w:val="003940F9"/>
    <w:rsid w:val="003A4AD2"/>
    <w:rsid w:val="003A6464"/>
    <w:rsid w:val="003A6633"/>
    <w:rsid w:val="003B4508"/>
    <w:rsid w:val="003B6B2E"/>
    <w:rsid w:val="003B7DB9"/>
    <w:rsid w:val="003C0C3E"/>
    <w:rsid w:val="003C117E"/>
    <w:rsid w:val="003C429A"/>
    <w:rsid w:val="003D06D5"/>
    <w:rsid w:val="003D1011"/>
    <w:rsid w:val="003D44E7"/>
    <w:rsid w:val="003E0363"/>
    <w:rsid w:val="003E2362"/>
    <w:rsid w:val="003E3D66"/>
    <w:rsid w:val="003F03BC"/>
    <w:rsid w:val="003F7F39"/>
    <w:rsid w:val="00413FC0"/>
    <w:rsid w:val="00415DAF"/>
    <w:rsid w:val="004170C5"/>
    <w:rsid w:val="004204FB"/>
    <w:rsid w:val="0042315D"/>
    <w:rsid w:val="00426B6E"/>
    <w:rsid w:val="00430DC1"/>
    <w:rsid w:val="00432DA3"/>
    <w:rsid w:val="004366A6"/>
    <w:rsid w:val="004445CE"/>
    <w:rsid w:val="004472EB"/>
    <w:rsid w:val="00454D32"/>
    <w:rsid w:val="0045583E"/>
    <w:rsid w:val="004563A9"/>
    <w:rsid w:val="004564E4"/>
    <w:rsid w:val="00456707"/>
    <w:rsid w:val="00457645"/>
    <w:rsid w:val="004726ED"/>
    <w:rsid w:val="00472AED"/>
    <w:rsid w:val="00472FA8"/>
    <w:rsid w:val="00473CC9"/>
    <w:rsid w:val="00473D1F"/>
    <w:rsid w:val="00476711"/>
    <w:rsid w:val="00482BA7"/>
    <w:rsid w:val="004A1CCF"/>
    <w:rsid w:val="004A7CB4"/>
    <w:rsid w:val="004B05E9"/>
    <w:rsid w:val="004B0930"/>
    <w:rsid w:val="004B5052"/>
    <w:rsid w:val="004C19A0"/>
    <w:rsid w:val="004C3137"/>
    <w:rsid w:val="004C7277"/>
    <w:rsid w:val="004D1983"/>
    <w:rsid w:val="004D6DEB"/>
    <w:rsid w:val="004D7738"/>
    <w:rsid w:val="004E6781"/>
    <w:rsid w:val="004F2129"/>
    <w:rsid w:val="004F3C72"/>
    <w:rsid w:val="004F4A3D"/>
    <w:rsid w:val="00500D25"/>
    <w:rsid w:val="00506ACA"/>
    <w:rsid w:val="00510294"/>
    <w:rsid w:val="00515F1D"/>
    <w:rsid w:val="005240A1"/>
    <w:rsid w:val="0052581B"/>
    <w:rsid w:val="0053090A"/>
    <w:rsid w:val="00536B3F"/>
    <w:rsid w:val="00541601"/>
    <w:rsid w:val="00545B62"/>
    <w:rsid w:val="005469C9"/>
    <w:rsid w:val="00547F5C"/>
    <w:rsid w:val="00560503"/>
    <w:rsid w:val="00561D02"/>
    <w:rsid w:val="00571A5F"/>
    <w:rsid w:val="00586E04"/>
    <w:rsid w:val="00587200"/>
    <w:rsid w:val="00592E82"/>
    <w:rsid w:val="00593CC7"/>
    <w:rsid w:val="005A1C14"/>
    <w:rsid w:val="005A5B1B"/>
    <w:rsid w:val="005A7F58"/>
    <w:rsid w:val="005B00A8"/>
    <w:rsid w:val="005B26B1"/>
    <w:rsid w:val="005B4E86"/>
    <w:rsid w:val="005B5840"/>
    <w:rsid w:val="005B6C79"/>
    <w:rsid w:val="005C5DE2"/>
    <w:rsid w:val="005C6866"/>
    <w:rsid w:val="005C6964"/>
    <w:rsid w:val="005D24A1"/>
    <w:rsid w:val="005D574D"/>
    <w:rsid w:val="005D6791"/>
    <w:rsid w:val="005E3565"/>
    <w:rsid w:val="005F3184"/>
    <w:rsid w:val="005F62ED"/>
    <w:rsid w:val="0060237D"/>
    <w:rsid w:val="006037A7"/>
    <w:rsid w:val="0060435B"/>
    <w:rsid w:val="006202DA"/>
    <w:rsid w:val="006218E1"/>
    <w:rsid w:val="006224D6"/>
    <w:rsid w:val="00624D83"/>
    <w:rsid w:val="006612CB"/>
    <w:rsid w:val="00665A11"/>
    <w:rsid w:val="00670222"/>
    <w:rsid w:val="0067571A"/>
    <w:rsid w:val="0069414A"/>
    <w:rsid w:val="00694EA4"/>
    <w:rsid w:val="0069723E"/>
    <w:rsid w:val="006A064A"/>
    <w:rsid w:val="006A19F2"/>
    <w:rsid w:val="006A1A2E"/>
    <w:rsid w:val="006A6928"/>
    <w:rsid w:val="006A7464"/>
    <w:rsid w:val="006B5301"/>
    <w:rsid w:val="006B56FF"/>
    <w:rsid w:val="006C0F70"/>
    <w:rsid w:val="006C1E96"/>
    <w:rsid w:val="006D094C"/>
    <w:rsid w:val="006D5648"/>
    <w:rsid w:val="006E64C4"/>
    <w:rsid w:val="006E6CC3"/>
    <w:rsid w:val="006F540D"/>
    <w:rsid w:val="00700733"/>
    <w:rsid w:val="007028E1"/>
    <w:rsid w:val="00703122"/>
    <w:rsid w:val="0070677C"/>
    <w:rsid w:val="0071042C"/>
    <w:rsid w:val="00715BEA"/>
    <w:rsid w:val="00717536"/>
    <w:rsid w:val="00720260"/>
    <w:rsid w:val="00720CB5"/>
    <w:rsid w:val="007339DC"/>
    <w:rsid w:val="007419CC"/>
    <w:rsid w:val="00741E29"/>
    <w:rsid w:val="00741EE4"/>
    <w:rsid w:val="007517E8"/>
    <w:rsid w:val="0075420C"/>
    <w:rsid w:val="0075431D"/>
    <w:rsid w:val="007605FE"/>
    <w:rsid w:val="00761887"/>
    <w:rsid w:val="007625CD"/>
    <w:rsid w:val="00763CA1"/>
    <w:rsid w:val="00781D09"/>
    <w:rsid w:val="00783753"/>
    <w:rsid w:val="00787A3E"/>
    <w:rsid w:val="00790DB8"/>
    <w:rsid w:val="0079701B"/>
    <w:rsid w:val="007A1A3D"/>
    <w:rsid w:val="007A5CE5"/>
    <w:rsid w:val="007B24E0"/>
    <w:rsid w:val="007B2668"/>
    <w:rsid w:val="007C3BBE"/>
    <w:rsid w:val="007C635E"/>
    <w:rsid w:val="007C7831"/>
    <w:rsid w:val="007D27B1"/>
    <w:rsid w:val="007F441A"/>
    <w:rsid w:val="007F5156"/>
    <w:rsid w:val="007F6154"/>
    <w:rsid w:val="0080352A"/>
    <w:rsid w:val="00803D8D"/>
    <w:rsid w:val="00805BEB"/>
    <w:rsid w:val="00807F12"/>
    <w:rsid w:val="00822AB6"/>
    <w:rsid w:val="00825C33"/>
    <w:rsid w:val="00827235"/>
    <w:rsid w:val="00833E5F"/>
    <w:rsid w:val="00834885"/>
    <w:rsid w:val="00836548"/>
    <w:rsid w:val="00843A9D"/>
    <w:rsid w:val="00844139"/>
    <w:rsid w:val="008476D3"/>
    <w:rsid w:val="00850247"/>
    <w:rsid w:val="00851D29"/>
    <w:rsid w:val="008566C9"/>
    <w:rsid w:val="00860C58"/>
    <w:rsid w:val="0086537D"/>
    <w:rsid w:val="00867774"/>
    <w:rsid w:val="008704D0"/>
    <w:rsid w:val="00870A54"/>
    <w:rsid w:val="00873B06"/>
    <w:rsid w:val="00876C7B"/>
    <w:rsid w:val="008770B7"/>
    <w:rsid w:val="0087780B"/>
    <w:rsid w:val="0087794F"/>
    <w:rsid w:val="008833E6"/>
    <w:rsid w:val="00885935"/>
    <w:rsid w:val="00891ACB"/>
    <w:rsid w:val="00891C89"/>
    <w:rsid w:val="008928D4"/>
    <w:rsid w:val="00893289"/>
    <w:rsid w:val="0089369D"/>
    <w:rsid w:val="008A1E07"/>
    <w:rsid w:val="008A38B5"/>
    <w:rsid w:val="008B1A17"/>
    <w:rsid w:val="008B5096"/>
    <w:rsid w:val="008B5679"/>
    <w:rsid w:val="008B659B"/>
    <w:rsid w:val="008C33B3"/>
    <w:rsid w:val="008C415D"/>
    <w:rsid w:val="008C73FE"/>
    <w:rsid w:val="008D16AA"/>
    <w:rsid w:val="008D1874"/>
    <w:rsid w:val="008D7944"/>
    <w:rsid w:val="008E1738"/>
    <w:rsid w:val="008E29F9"/>
    <w:rsid w:val="008E58CC"/>
    <w:rsid w:val="008E70C3"/>
    <w:rsid w:val="008E7C1D"/>
    <w:rsid w:val="008F3B43"/>
    <w:rsid w:val="00900DC1"/>
    <w:rsid w:val="00904243"/>
    <w:rsid w:val="00905602"/>
    <w:rsid w:val="00905AB5"/>
    <w:rsid w:val="00905BFF"/>
    <w:rsid w:val="00907A71"/>
    <w:rsid w:val="0091154B"/>
    <w:rsid w:val="009173CD"/>
    <w:rsid w:val="00917454"/>
    <w:rsid w:val="0092343F"/>
    <w:rsid w:val="0092359F"/>
    <w:rsid w:val="009235C7"/>
    <w:rsid w:val="00931666"/>
    <w:rsid w:val="00931669"/>
    <w:rsid w:val="00933292"/>
    <w:rsid w:val="00935956"/>
    <w:rsid w:val="00944224"/>
    <w:rsid w:val="00944D18"/>
    <w:rsid w:val="00945943"/>
    <w:rsid w:val="0095036B"/>
    <w:rsid w:val="0095594D"/>
    <w:rsid w:val="00956B16"/>
    <w:rsid w:val="00957DA2"/>
    <w:rsid w:val="00960F73"/>
    <w:rsid w:val="0096328E"/>
    <w:rsid w:val="00973CDE"/>
    <w:rsid w:val="00975C10"/>
    <w:rsid w:val="00980E8E"/>
    <w:rsid w:val="00983DBB"/>
    <w:rsid w:val="00992C3A"/>
    <w:rsid w:val="00995D2E"/>
    <w:rsid w:val="009A10A8"/>
    <w:rsid w:val="009B25D5"/>
    <w:rsid w:val="009B263A"/>
    <w:rsid w:val="009C3A34"/>
    <w:rsid w:val="009C7402"/>
    <w:rsid w:val="009D1C4C"/>
    <w:rsid w:val="009D2B78"/>
    <w:rsid w:val="009D6B4D"/>
    <w:rsid w:val="009D6B6D"/>
    <w:rsid w:val="009F026D"/>
    <w:rsid w:val="009F4474"/>
    <w:rsid w:val="00A01235"/>
    <w:rsid w:val="00A01823"/>
    <w:rsid w:val="00A019B7"/>
    <w:rsid w:val="00A054B7"/>
    <w:rsid w:val="00A07587"/>
    <w:rsid w:val="00A13971"/>
    <w:rsid w:val="00A1799D"/>
    <w:rsid w:val="00A572CF"/>
    <w:rsid w:val="00A662CA"/>
    <w:rsid w:val="00A73E9A"/>
    <w:rsid w:val="00A74A79"/>
    <w:rsid w:val="00A75D13"/>
    <w:rsid w:val="00A84F2F"/>
    <w:rsid w:val="00A85010"/>
    <w:rsid w:val="00A878F8"/>
    <w:rsid w:val="00A912B3"/>
    <w:rsid w:val="00A94615"/>
    <w:rsid w:val="00AA0B9E"/>
    <w:rsid w:val="00AA13D0"/>
    <w:rsid w:val="00AA1546"/>
    <w:rsid w:val="00AA2C04"/>
    <w:rsid w:val="00AA2C8E"/>
    <w:rsid w:val="00AA3F59"/>
    <w:rsid w:val="00AB6239"/>
    <w:rsid w:val="00AC0958"/>
    <w:rsid w:val="00AC1FB6"/>
    <w:rsid w:val="00AC2C44"/>
    <w:rsid w:val="00AC48EB"/>
    <w:rsid w:val="00AD0D8A"/>
    <w:rsid w:val="00AE33C1"/>
    <w:rsid w:val="00AF0CE5"/>
    <w:rsid w:val="00AF3FD1"/>
    <w:rsid w:val="00AF46C2"/>
    <w:rsid w:val="00AF47A5"/>
    <w:rsid w:val="00B0276E"/>
    <w:rsid w:val="00B02F16"/>
    <w:rsid w:val="00B07E55"/>
    <w:rsid w:val="00B13159"/>
    <w:rsid w:val="00B17217"/>
    <w:rsid w:val="00B27912"/>
    <w:rsid w:val="00B3570E"/>
    <w:rsid w:val="00B400E7"/>
    <w:rsid w:val="00B4017A"/>
    <w:rsid w:val="00B43D6A"/>
    <w:rsid w:val="00B46303"/>
    <w:rsid w:val="00B47D97"/>
    <w:rsid w:val="00B5045E"/>
    <w:rsid w:val="00B51D9F"/>
    <w:rsid w:val="00B52E8D"/>
    <w:rsid w:val="00B60C66"/>
    <w:rsid w:val="00B61F02"/>
    <w:rsid w:val="00B6264D"/>
    <w:rsid w:val="00B7124F"/>
    <w:rsid w:val="00B7585F"/>
    <w:rsid w:val="00B774BA"/>
    <w:rsid w:val="00B86172"/>
    <w:rsid w:val="00B87D04"/>
    <w:rsid w:val="00B96E9A"/>
    <w:rsid w:val="00B9721D"/>
    <w:rsid w:val="00B97B43"/>
    <w:rsid w:val="00BA032B"/>
    <w:rsid w:val="00BA095F"/>
    <w:rsid w:val="00BA118E"/>
    <w:rsid w:val="00BA1F93"/>
    <w:rsid w:val="00BA5B62"/>
    <w:rsid w:val="00BB2AC4"/>
    <w:rsid w:val="00BB4344"/>
    <w:rsid w:val="00BB5AA1"/>
    <w:rsid w:val="00BB6095"/>
    <w:rsid w:val="00BB64DE"/>
    <w:rsid w:val="00BB75C3"/>
    <w:rsid w:val="00BB7713"/>
    <w:rsid w:val="00BC14F8"/>
    <w:rsid w:val="00BC4827"/>
    <w:rsid w:val="00BC5BC5"/>
    <w:rsid w:val="00BD03BC"/>
    <w:rsid w:val="00BD4039"/>
    <w:rsid w:val="00BD43E3"/>
    <w:rsid w:val="00BE054F"/>
    <w:rsid w:val="00BE389A"/>
    <w:rsid w:val="00BF48A7"/>
    <w:rsid w:val="00BF493B"/>
    <w:rsid w:val="00BF5069"/>
    <w:rsid w:val="00BF6199"/>
    <w:rsid w:val="00C01EF3"/>
    <w:rsid w:val="00C021E0"/>
    <w:rsid w:val="00C10E9A"/>
    <w:rsid w:val="00C12DC0"/>
    <w:rsid w:val="00C15E71"/>
    <w:rsid w:val="00C3086A"/>
    <w:rsid w:val="00C32E01"/>
    <w:rsid w:val="00C338A2"/>
    <w:rsid w:val="00C33FDE"/>
    <w:rsid w:val="00C423CC"/>
    <w:rsid w:val="00C42427"/>
    <w:rsid w:val="00C46B04"/>
    <w:rsid w:val="00C52C85"/>
    <w:rsid w:val="00C532B1"/>
    <w:rsid w:val="00C5359D"/>
    <w:rsid w:val="00C55C4D"/>
    <w:rsid w:val="00C606F4"/>
    <w:rsid w:val="00C63E24"/>
    <w:rsid w:val="00C6453D"/>
    <w:rsid w:val="00C651D2"/>
    <w:rsid w:val="00C70A5D"/>
    <w:rsid w:val="00C71AB1"/>
    <w:rsid w:val="00C7666C"/>
    <w:rsid w:val="00C81F31"/>
    <w:rsid w:val="00C86716"/>
    <w:rsid w:val="00C874FF"/>
    <w:rsid w:val="00C87FEA"/>
    <w:rsid w:val="00C909A2"/>
    <w:rsid w:val="00C92F61"/>
    <w:rsid w:val="00C95C95"/>
    <w:rsid w:val="00C97C55"/>
    <w:rsid w:val="00C97FEE"/>
    <w:rsid w:val="00CA5AF7"/>
    <w:rsid w:val="00CA5DEC"/>
    <w:rsid w:val="00CB2643"/>
    <w:rsid w:val="00CB312A"/>
    <w:rsid w:val="00CB3EA0"/>
    <w:rsid w:val="00CB4029"/>
    <w:rsid w:val="00CB56F6"/>
    <w:rsid w:val="00CC2D53"/>
    <w:rsid w:val="00CC615D"/>
    <w:rsid w:val="00CD5574"/>
    <w:rsid w:val="00CD6E91"/>
    <w:rsid w:val="00CE0EE8"/>
    <w:rsid w:val="00CE7101"/>
    <w:rsid w:val="00CF1510"/>
    <w:rsid w:val="00CF2F12"/>
    <w:rsid w:val="00CF36F6"/>
    <w:rsid w:val="00D00D07"/>
    <w:rsid w:val="00D01B97"/>
    <w:rsid w:val="00D037D3"/>
    <w:rsid w:val="00D05C1E"/>
    <w:rsid w:val="00D1180A"/>
    <w:rsid w:val="00D224C6"/>
    <w:rsid w:val="00D22BB9"/>
    <w:rsid w:val="00D2481E"/>
    <w:rsid w:val="00D26BE1"/>
    <w:rsid w:val="00D27B89"/>
    <w:rsid w:val="00D31060"/>
    <w:rsid w:val="00D3636D"/>
    <w:rsid w:val="00D37EE9"/>
    <w:rsid w:val="00D44F46"/>
    <w:rsid w:val="00D4678B"/>
    <w:rsid w:val="00D72D48"/>
    <w:rsid w:val="00D76D01"/>
    <w:rsid w:val="00D806C0"/>
    <w:rsid w:val="00D85C15"/>
    <w:rsid w:val="00D86A0C"/>
    <w:rsid w:val="00D90459"/>
    <w:rsid w:val="00D9097D"/>
    <w:rsid w:val="00D93813"/>
    <w:rsid w:val="00DA07FD"/>
    <w:rsid w:val="00DA14E6"/>
    <w:rsid w:val="00DA4553"/>
    <w:rsid w:val="00DB0ADD"/>
    <w:rsid w:val="00DC2B68"/>
    <w:rsid w:val="00DD41B2"/>
    <w:rsid w:val="00DD5270"/>
    <w:rsid w:val="00DE0C3A"/>
    <w:rsid w:val="00DE12A5"/>
    <w:rsid w:val="00DF6DB9"/>
    <w:rsid w:val="00E1123E"/>
    <w:rsid w:val="00E1138E"/>
    <w:rsid w:val="00E138E1"/>
    <w:rsid w:val="00E16380"/>
    <w:rsid w:val="00E32773"/>
    <w:rsid w:val="00E355FA"/>
    <w:rsid w:val="00E35A9D"/>
    <w:rsid w:val="00E40D6E"/>
    <w:rsid w:val="00E42C9B"/>
    <w:rsid w:val="00E4375D"/>
    <w:rsid w:val="00E468E6"/>
    <w:rsid w:val="00E46B67"/>
    <w:rsid w:val="00E6203F"/>
    <w:rsid w:val="00E658E5"/>
    <w:rsid w:val="00E71D5C"/>
    <w:rsid w:val="00E76211"/>
    <w:rsid w:val="00E82878"/>
    <w:rsid w:val="00E82BD3"/>
    <w:rsid w:val="00E82BDC"/>
    <w:rsid w:val="00E82FA2"/>
    <w:rsid w:val="00E87E93"/>
    <w:rsid w:val="00E927E5"/>
    <w:rsid w:val="00E930E4"/>
    <w:rsid w:val="00E94221"/>
    <w:rsid w:val="00E9546C"/>
    <w:rsid w:val="00EA026E"/>
    <w:rsid w:val="00EA1F3B"/>
    <w:rsid w:val="00EA4398"/>
    <w:rsid w:val="00EB052D"/>
    <w:rsid w:val="00EB35DB"/>
    <w:rsid w:val="00EB39E9"/>
    <w:rsid w:val="00EB414E"/>
    <w:rsid w:val="00EC042D"/>
    <w:rsid w:val="00EC66A9"/>
    <w:rsid w:val="00EC7940"/>
    <w:rsid w:val="00ED3A92"/>
    <w:rsid w:val="00ED5204"/>
    <w:rsid w:val="00ED6C88"/>
    <w:rsid w:val="00EE60E1"/>
    <w:rsid w:val="00EF1B56"/>
    <w:rsid w:val="00EF40FF"/>
    <w:rsid w:val="00F0545E"/>
    <w:rsid w:val="00F10FF8"/>
    <w:rsid w:val="00F14D3D"/>
    <w:rsid w:val="00F16D91"/>
    <w:rsid w:val="00F1797B"/>
    <w:rsid w:val="00F205D2"/>
    <w:rsid w:val="00F21550"/>
    <w:rsid w:val="00F23531"/>
    <w:rsid w:val="00F3088B"/>
    <w:rsid w:val="00F3663C"/>
    <w:rsid w:val="00F401ED"/>
    <w:rsid w:val="00F405D1"/>
    <w:rsid w:val="00F4133E"/>
    <w:rsid w:val="00F41BEA"/>
    <w:rsid w:val="00F51916"/>
    <w:rsid w:val="00F528CE"/>
    <w:rsid w:val="00F53D97"/>
    <w:rsid w:val="00F57C36"/>
    <w:rsid w:val="00F620F6"/>
    <w:rsid w:val="00F635BD"/>
    <w:rsid w:val="00F64850"/>
    <w:rsid w:val="00F6720B"/>
    <w:rsid w:val="00F825FA"/>
    <w:rsid w:val="00F86373"/>
    <w:rsid w:val="00F87D78"/>
    <w:rsid w:val="00FA2C7E"/>
    <w:rsid w:val="00FA33AC"/>
    <w:rsid w:val="00FA7587"/>
    <w:rsid w:val="00FB0EEC"/>
    <w:rsid w:val="00FB17C1"/>
    <w:rsid w:val="00FB211A"/>
    <w:rsid w:val="00FB5CB0"/>
    <w:rsid w:val="00FC7C5C"/>
    <w:rsid w:val="00FD1715"/>
    <w:rsid w:val="00FD2809"/>
    <w:rsid w:val="00FD56B2"/>
    <w:rsid w:val="00FE170D"/>
    <w:rsid w:val="00FE3D70"/>
    <w:rsid w:val="00FE62B7"/>
    <w:rsid w:val="00FE74E0"/>
    <w:rsid w:val="00FE759C"/>
    <w:rsid w:val="00FF0279"/>
    <w:rsid w:val="00FF3527"/>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182AD"/>
  <w15:docId w15:val="{4DB3E489-57C7-450E-9164-64162EA4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ootnote Text Char Char1 Char Char,Footnote Text Char1 Char Char Char Char"/>
    <w:basedOn w:val="DefaultParagraphFont"/>
    <w:uiPriority w:val="1"/>
    <w:rsid w:val="009D6B6D"/>
    <w:rPr>
      <w:rFonts w:eastAsia="Times New Roman"/>
      <w:sz w:val="20"/>
      <w:szCs w:val="20"/>
    </w:rPr>
  </w:style>
  <w:style w:type="paragraph" w:customStyle="1" w:styleId="FERCparanumber">
    <w:name w:val="FERC paranumber"/>
    <w:basedOn w:val="Normal"/>
    <w:link w:val="FERCparanumberChar"/>
    <w:qFormat/>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unhideWhenUsed/>
    <w:rsid w:val="00790DB8"/>
    <w:rPr>
      <w:sz w:val="20"/>
      <w:szCs w:val="20"/>
    </w:rPr>
  </w:style>
  <w:style w:type="character" w:customStyle="1" w:styleId="CommentTextChar">
    <w:name w:val="Comment Text Char"/>
    <w:basedOn w:val="DefaultParagraphFont"/>
    <w:link w:val="CommentText"/>
    <w:uiPriority w:val="99"/>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EF1B56"/>
    <w:rPr>
      <w:color w:val="605E5C"/>
      <w:shd w:val="clear" w:color="auto" w:fill="E1DFDD"/>
    </w:rPr>
  </w:style>
  <w:style w:type="table" w:customStyle="1" w:styleId="TableGrid12">
    <w:name w:val="Table Grid12"/>
    <w:basedOn w:val="TableNormal"/>
    <w:next w:val="TableGrid"/>
    <w:rsid w:val="00E87E93"/>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7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8762">
      <w:bodyDiv w:val="1"/>
      <w:marLeft w:val="0"/>
      <w:marRight w:val="0"/>
      <w:marTop w:val="0"/>
      <w:marBottom w:val="0"/>
      <w:divBdr>
        <w:top w:val="none" w:sz="0" w:space="0" w:color="auto"/>
        <w:left w:val="none" w:sz="0" w:space="0" w:color="auto"/>
        <w:bottom w:val="none" w:sz="0" w:space="0" w:color="auto"/>
        <w:right w:val="none" w:sz="0" w:space="0" w:color="auto"/>
      </w:divBdr>
    </w:div>
    <w:div w:id="1065834579">
      <w:bodyDiv w:val="1"/>
      <w:marLeft w:val="0"/>
      <w:marRight w:val="0"/>
      <w:marTop w:val="0"/>
      <w:marBottom w:val="0"/>
      <w:divBdr>
        <w:top w:val="none" w:sz="0" w:space="0" w:color="auto"/>
        <w:left w:val="none" w:sz="0" w:space="0" w:color="auto"/>
        <w:bottom w:val="none" w:sz="0" w:space="0" w:color="auto"/>
        <w:right w:val="none" w:sz="0" w:space="0" w:color="auto"/>
      </w:divBdr>
    </w:div>
    <w:div w:id="1117606288">
      <w:bodyDiv w:val="1"/>
      <w:marLeft w:val="0"/>
      <w:marRight w:val="0"/>
      <w:marTop w:val="0"/>
      <w:marBottom w:val="0"/>
      <w:divBdr>
        <w:top w:val="none" w:sz="0" w:space="0" w:color="auto"/>
        <w:left w:val="none" w:sz="0" w:space="0" w:color="auto"/>
        <w:bottom w:val="none" w:sz="0" w:space="0" w:color="auto"/>
        <w:right w:val="none" w:sz="0" w:space="0" w:color="auto"/>
      </w:divBdr>
    </w:div>
    <w:div w:id="15899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rc.gov/news-events/news/staff-presentation-nopr-transmission-system-planning-performance-requirements" TargetMode="External"/><Relationship Id="rId2" Type="http://schemas.openxmlformats.org/officeDocument/2006/relationships/hyperlink" Target="https://www.ferc.gov/news-events/news/ferc-acts-boost-grid-reliability-against-extreme-weather-conditions" TargetMode="External"/><Relationship Id="rId1" Type="http://schemas.openxmlformats.org/officeDocument/2006/relationships/hyperlink" Target="https://elibrary.ferc.gov/eLibra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1004</_x0031__x002e__x0020_Collection_x0020_Number>
    <Date xmlns="d6eefc7d-9817-4fa6-84d5-3bc009be21b8">2022-06-15T04:00:00+00:00</Dat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AD21-13</_x0032__x002e__x0020_Docket_x0020_Number>
    <_x0032__x002e__x0020_Collection_x0020_Number xmlns="d6eefc7d-9817-4fa6-84d5-3bc009be21b8" xsi:nil="true"/>
    <_x0031__x002e__x0020_Docket_x0020_Number xmlns="d6eefc7d-9817-4fa6-84d5-3bc009be21b8">RM22-16</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AC80FE41-5E23-4F48-B52C-64A3BF2F31E0}">
  <ds:schemaRefs>
    <ds:schemaRef ds:uri="http://schemas.openxmlformats.org/officeDocument/2006/bibliography"/>
  </ds:schemaRefs>
</ds:datastoreItem>
</file>

<file path=customXml/itemProps4.xml><?xml version="1.0" encoding="utf-8"?>
<ds:datastoreItem xmlns:ds="http://schemas.openxmlformats.org/officeDocument/2006/customXml" ds:itemID="{B25AC4D7-ABB5-4328-AE6C-237DDC56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Nishi Parekh</dc:creator>
  <cp:lastModifiedBy>Christopher Kozler</cp:lastModifiedBy>
  <cp:revision>13</cp:revision>
  <cp:lastPrinted>2015-11-12T19:39:00Z</cp:lastPrinted>
  <dcterms:created xsi:type="dcterms:W3CDTF">2022-06-30T12:38:00Z</dcterms:created>
  <dcterms:modified xsi:type="dcterms:W3CDTF">2022-07-01T12:15:00Z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SIP_Label_6155a89b-0f08-4a93-8ea2-8a916d6643b5_Enabled">
    <vt:lpwstr>true</vt:lpwstr>
  </property>
  <property fmtid="{D5CDD505-2E9C-101B-9397-08002B2CF9AE}" pid="4" name="MSIP_Label_6155a89b-0f08-4a93-8ea2-8a916d6643b5_SetDate">
    <vt:lpwstr>2021-10-04T20:21:15Z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a81e1d34-34c9-4a43-9edc-ce1258c4aadd</vt:lpwstr>
  </property>
  <property fmtid="{D5CDD505-2E9C-101B-9397-08002B2CF9AE}" pid="9" name="MSIP_Label_6155a89b-0f08-4a93-8ea2-8a916d6643b5_ContentBits">
    <vt:lpwstr>0</vt:lpwstr>
  </property>
  <property fmtid="{D5CDD505-2E9C-101B-9397-08002B2CF9AE}" pid="10" name="MediaServiceImageTags">
    <vt:lpwstr/>
  </property>
</Properties>
</file>