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RPr="007835D1" w:rsidP="00A2604E" w14:paraId="39F14EF8" w14:textId="157B5BD0">
      <w:pPr>
        <w:jc w:val="center"/>
      </w:pPr>
      <w:r w:rsidRPr="007835D1">
        <w:t>UNITED STATES OF AMERICA</w:t>
      </w:r>
    </w:p>
    <w:p w:rsidR="00A2604E" w:rsidRPr="007835D1" w:rsidP="00A2604E" w14:paraId="796F63BF" w14:textId="77777777">
      <w:pPr>
        <w:jc w:val="center"/>
      </w:pPr>
      <w:r w:rsidRPr="007835D1">
        <w:t>FEDERAL ENERGY REGULATORY COMMISSION</w:t>
      </w:r>
    </w:p>
    <w:p w:rsidR="00A2604E" w:rsidRPr="007835D1" w:rsidP="00A2604E" w14:paraId="4152868E" w14:textId="77777777"/>
    <w:p w:rsidR="00A2604E" w:rsidRPr="007835D1" w:rsidP="00A2604E" w14:paraId="1600CC48" w14:textId="342AFEED">
      <w:pPr>
        <w:jc w:val="center"/>
      </w:pPr>
      <w:r w:rsidRPr="007835D1">
        <w:t>[</w:t>
      </w:r>
      <w:r w:rsidRPr="007835D1" w:rsidR="004E4EAD">
        <w:t xml:space="preserve">Docket No. </w:t>
      </w:r>
      <w:r w:rsidRPr="007835D1" w:rsidR="003062C2">
        <w:t>IC</w:t>
      </w:r>
      <w:r w:rsidRPr="007835D1" w:rsidR="00B77E01">
        <w:t>22-18</w:t>
      </w:r>
      <w:r w:rsidRPr="007835D1" w:rsidR="004E4EAD">
        <w:t>-000</w:t>
      </w:r>
      <w:r w:rsidRPr="007835D1">
        <w:t>]</w:t>
      </w:r>
    </w:p>
    <w:p w:rsidR="00A2604E" w:rsidRPr="007835D1" w:rsidP="00A2604E" w14:paraId="37A99FB4" w14:textId="77777777"/>
    <w:p w:rsidR="005A7903" w:rsidRPr="007835D1" w:rsidP="005A7903" w14:paraId="465B32C7" w14:textId="23C155E6">
      <w:pPr>
        <w:jc w:val="center"/>
      </w:pPr>
      <w:r w:rsidRPr="007835D1">
        <w:t>COMMISSION INFORMATION COLLECTION ACTIVITIES (FERC-</w:t>
      </w:r>
      <w:r w:rsidRPr="007835D1" w:rsidR="00B77E01">
        <w:t>715</w:t>
      </w:r>
      <w:r w:rsidRPr="007835D1">
        <w:t>); COMMENT REQUEST; EXTENSION</w:t>
      </w:r>
    </w:p>
    <w:p w:rsidR="00810D18" w:rsidRPr="007835D1" w:rsidP="00810D18" w14:paraId="6FC67CE5" w14:textId="1157AFF8"/>
    <w:p w:rsidR="007356B8" w:rsidP="00BB1106" w14:paraId="1C382AA4" w14:textId="141CD014">
      <w:pPr>
        <w:jc w:val="center"/>
      </w:pPr>
      <w:r w:rsidRPr="00BB1106">
        <w:t>(September 1, 2022)</w:t>
      </w:r>
    </w:p>
    <w:p w:rsidR="00BB1106" w:rsidRPr="00BB1106" w:rsidP="00BB1106" w14:paraId="3067472A" w14:textId="77777777"/>
    <w:p w:rsidR="00A2604E" w:rsidRPr="007835D1" w:rsidP="00A2604E" w14:paraId="2B06BEDA" w14:textId="77777777">
      <w:r w:rsidRPr="007835D1">
        <w:rPr>
          <w:b/>
        </w:rPr>
        <w:t>AGENCY:</w:t>
      </w:r>
      <w:r w:rsidRPr="007835D1">
        <w:t xml:space="preserve">  Federal Energy Regulatory Commission.</w:t>
      </w:r>
    </w:p>
    <w:p w:rsidR="00A2604E" w:rsidRPr="007835D1" w:rsidP="00A2604E" w14:paraId="3CD46B7D" w14:textId="77777777"/>
    <w:p w:rsidR="00A2604E" w:rsidRPr="007835D1" w:rsidP="00A2604E" w14:paraId="3C2C8063" w14:textId="77777777">
      <w:pPr>
        <w:spacing w:line="480" w:lineRule="auto"/>
      </w:pPr>
      <w:r w:rsidRPr="007835D1">
        <w:rPr>
          <w:b/>
        </w:rPr>
        <w:t>ACTION:</w:t>
      </w:r>
      <w:r w:rsidRPr="007835D1">
        <w:t xml:space="preserve">  Notice of information collection and request for comments.</w:t>
      </w:r>
    </w:p>
    <w:p w:rsidR="00A2604E" w:rsidRPr="007835D1" w:rsidP="00F8646E" w14:paraId="124637F9" w14:textId="3C68A788">
      <w:pPr>
        <w:spacing w:line="480" w:lineRule="auto"/>
      </w:pPr>
      <w:r w:rsidRPr="007835D1">
        <w:rPr>
          <w:b/>
        </w:rPr>
        <w:t>SUMMARY:</w:t>
      </w:r>
      <w:r w:rsidRPr="007835D1">
        <w:t xml:space="preserve">  </w:t>
      </w:r>
      <w:r w:rsidRPr="007835D1" w:rsidR="005A7903">
        <w:t>In compliance with the requirements of the Paperwork Reduction Act of 1995, the Federal Energy Regulatory Commission (Commission or FERC) is soliciting public comment on the currently approved information collection, FERC-</w:t>
      </w:r>
      <w:r w:rsidRPr="007835D1" w:rsidR="00B77E01">
        <w:t>715</w:t>
      </w:r>
      <w:r w:rsidRPr="007835D1" w:rsidR="005A7903">
        <w:t xml:space="preserve"> (</w:t>
      </w:r>
      <w:r w:rsidRPr="007835D1" w:rsidR="00B77E01">
        <w:t>Annual Transmission Planning and Evaluation Report</w:t>
      </w:r>
      <w:r w:rsidRPr="007835D1" w:rsidR="005A7903">
        <w:t>)</w:t>
      </w:r>
      <w:r w:rsidRPr="007835D1" w:rsidR="00B77E01">
        <w:t>,</w:t>
      </w:r>
      <w:r w:rsidRPr="007835D1" w:rsidR="005A7903">
        <w:t xml:space="preserve"> which will be submitted to the Office of Management and Budget (OMB) for a review of the information collection requirements.</w:t>
      </w:r>
    </w:p>
    <w:p w:rsidR="007C1916" w:rsidRPr="007835D1" w:rsidP="007C1916" w14:paraId="442CCE36" w14:textId="4EBC3054">
      <w:pPr>
        <w:spacing w:line="480" w:lineRule="auto"/>
      </w:pPr>
      <w:r w:rsidRPr="007835D1">
        <w:rPr>
          <w:b/>
        </w:rPr>
        <w:t>DATES:</w:t>
      </w:r>
      <w:r w:rsidRPr="007835D1">
        <w:t xml:space="preserve">  Comments on the collection of information are due </w:t>
      </w:r>
      <w:bookmarkStart w:id="0" w:name="OLE_LINK1"/>
      <w:r w:rsidRPr="007835D1">
        <w:rPr>
          <w:b/>
        </w:rPr>
        <w:t>[</w:t>
      </w:r>
      <w:r w:rsidRPr="007835D1">
        <w:rPr>
          <w:b/>
          <w:caps/>
        </w:rPr>
        <w:t xml:space="preserve">Insert Date 30 days after </w:t>
      </w:r>
      <w:r w:rsidRPr="007835D1" w:rsidR="00B65A09">
        <w:rPr>
          <w:b/>
          <w:caps/>
        </w:rPr>
        <w:t xml:space="preserve">date of </w:t>
      </w:r>
      <w:r w:rsidRPr="007835D1">
        <w:rPr>
          <w:b/>
          <w:caps/>
        </w:rPr>
        <w:t>publication in the Federal Register]</w:t>
      </w:r>
      <w:r w:rsidRPr="007835D1" w:rsidR="00B65A09">
        <w:rPr>
          <w:b/>
          <w:caps/>
        </w:rPr>
        <w:t>.</w:t>
      </w:r>
      <w:r w:rsidRPr="007835D1" w:rsidR="00B65A09">
        <w:rPr>
          <w:caps/>
        </w:rPr>
        <w:t xml:space="preserve">  </w:t>
      </w:r>
    </w:p>
    <w:p w:rsidR="00343A03" w:rsidRPr="007835D1" w:rsidP="00D50830" w14:paraId="2AFF287E" w14:textId="6FF0635D">
      <w:pPr>
        <w:spacing w:line="480" w:lineRule="auto"/>
      </w:pPr>
      <w:r w:rsidRPr="007835D1">
        <w:rPr>
          <w:b/>
        </w:rPr>
        <w:t>ADDRESSES:</w:t>
      </w:r>
      <w:r w:rsidRPr="007835D1">
        <w:t xml:space="preserve">  </w:t>
      </w:r>
      <w:r w:rsidRPr="007835D1">
        <w:rPr>
          <w:iCs/>
          <w:szCs w:val="26"/>
        </w:rPr>
        <w:t xml:space="preserve">Send written comments on </w:t>
      </w:r>
      <w:r w:rsidRPr="007835D1" w:rsidR="00016EDB">
        <w:rPr>
          <w:iCs/>
          <w:szCs w:val="26"/>
        </w:rPr>
        <w:t>FERC-</w:t>
      </w:r>
      <w:r w:rsidRPr="007835D1" w:rsidR="00B77E01">
        <w:rPr>
          <w:iCs/>
          <w:szCs w:val="26"/>
        </w:rPr>
        <w:t>715</w:t>
      </w:r>
      <w:r w:rsidRPr="007835D1">
        <w:rPr>
          <w:iCs/>
          <w:szCs w:val="26"/>
        </w:rPr>
        <w:t xml:space="preserve"> to OMB through </w:t>
      </w:r>
      <w:hyperlink r:id="rId10" w:history="1">
        <w:r w:rsidRPr="007835D1">
          <w:rPr>
            <w:rStyle w:val="Hyperlink"/>
            <w:szCs w:val="26"/>
          </w:rPr>
          <w:t>www.reginfo.gov/public/do/PRAMain</w:t>
        </w:r>
      </w:hyperlink>
      <w:r w:rsidRPr="007835D1">
        <w:rPr>
          <w:szCs w:val="26"/>
        </w:rPr>
        <w:t>,</w:t>
      </w:r>
      <w:r w:rsidRPr="007835D1">
        <w:rPr>
          <w:iCs/>
          <w:szCs w:val="26"/>
        </w:rPr>
        <w:t xml:space="preserve"> Attention:  Federal Energy Regulatory Commission Desk Officer.  Please identify the OMB control number (</w:t>
      </w:r>
      <w:r w:rsidRPr="007835D1" w:rsidR="005A7903">
        <w:rPr>
          <w:iCs/>
          <w:szCs w:val="26"/>
        </w:rPr>
        <w:t>1902-</w:t>
      </w:r>
      <w:r w:rsidRPr="007835D1" w:rsidR="00B77E01">
        <w:rPr>
          <w:iCs/>
          <w:szCs w:val="26"/>
        </w:rPr>
        <w:t xml:space="preserve">0171) </w:t>
      </w:r>
      <w:r w:rsidRPr="007835D1">
        <w:rPr>
          <w:iCs/>
          <w:szCs w:val="26"/>
        </w:rPr>
        <w:t xml:space="preserve">in the subject line.  Your comments </w:t>
      </w:r>
      <w:r w:rsidRPr="007835D1">
        <w:rPr>
          <w:szCs w:val="26"/>
        </w:rPr>
        <w:t>should be sent within 30 days of publication of this notice in the Federal Register.</w:t>
      </w:r>
    </w:p>
    <w:p w:rsidR="00D65D56" w:rsidRPr="007835D1" w:rsidP="00D65D56" w14:paraId="6073EEC6" w14:textId="0A3A7CBF">
      <w:pPr>
        <w:spacing w:line="480" w:lineRule="auto"/>
      </w:pPr>
      <w:r w:rsidRPr="007835D1">
        <w:t xml:space="preserve">Please submit copies of your comments </w:t>
      </w:r>
      <w:r w:rsidRPr="007835D1">
        <w:t xml:space="preserve">(identified by Docket No. </w:t>
      </w:r>
      <w:r w:rsidRPr="007835D1" w:rsidR="00BE3392">
        <w:t>IC2</w:t>
      </w:r>
      <w:r w:rsidRPr="007835D1" w:rsidR="00B77E01">
        <w:t>2</w:t>
      </w:r>
      <w:r w:rsidRPr="007835D1" w:rsidR="00BE3392">
        <w:t>-</w:t>
      </w:r>
      <w:r w:rsidRPr="007835D1" w:rsidR="00B77E01">
        <w:t>18</w:t>
      </w:r>
      <w:r w:rsidRPr="007835D1">
        <w:t xml:space="preserve">-000) </w:t>
      </w:r>
      <w:r w:rsidRPr="007835D1">
        <w:t>to the Commission as noted below</w:t>
      </w:r>
      <w:r w:rsidRPr="007835D1">
        <w:t xml:space="preserve">.  Electronic filing through </w:t>
      </w:r>
      <w:hyperlink r:id="rId11" w:history="1">
        <w:r w:rsidRPr="007835D1">
          <w:rPr>
            <w:rStyle w:val="Hyperlink"/>
          </w:rPr>
          <w:t>http://www.ferc.gov</w:t>
        </w:r>
      </w:hyperlink>
      <w:r w:rsidRPr="007835D1">
        <w:t xml:space="preserve"> is preferred.</w:t>
      </w:r>
    </w:p>
    <w:p w:rsidR="00D65D56" w:rsidRPr="007835D1" w:rsidP="0027045E" w14:paraId="5A9C0A3B" w14:textId="5B836784">
      <w:pPr>
        <w:pStyle w:val="ListParagraph"/>
        <w:numPr>
          <w:ilvl w:val="0"/>
          <w:numId w:val="6"/>
        </w:numPr>
        <w:spacing w:line="480" w:lineRule="auto"/>
      </w:pPr>
      <w:r w:rsidRPr="007835D1">
        <w:t xml:space="preserve">Electronic Filing: Documents must be filed in acceptable native applications and print-to-PDF, but not in scanned or picture format. </w:t>
      </w:r>
    </w:p>
    <w:p w:rsidR="00D65D56" w:rsidRPr="007835D1" w:rsidP="0027045E" w14:paraId="2F414D48" w14:textId="221667DA">
      <w:pPr>
        <w:pStyle w:val="ListParagraph"/>
        <w:numPr>
          <w:ilvl w:val="0"/>
          <w:numId w:val="6"/>
        </w:numPr>
        <w:spacing w:line="480" w:lineRule="auto"/>
      </w:pPr>
      <w:r w:rsidRPr="007835D1">
        <w:t>For those unable to file electronically, comments may be filed by USPS mail or by hand (including courier) delivery.</w:t>
      </w:r>
    </w:p>
    <w:p w:rsidR="00D65D56" w:rsidRPr="007835D1" w:rsidP="00BE3392" w14:paraId="773E8072" w14:textId="00D059FF">
      <w:pPr>
        <w:pStyle w:val="ListParagraph"/>
        <w:numPr>
          <w:ilvl w:val="1"/>
          <w:numId w:val="6"/>
        </w:numPr>
        <w:spacing w:line="480" w:lineRule="auto"/>
      </w:pPr>
      <w:r w:rsidRPr="007835D1">
        <w:t>Mail via U.S. Postal Service Only Addressed to: Federal Energy Regulatory Commission, Secretary of the Commission, 888 First Street, N.E., Washington, DC 20426.</w:t>
      </w:r>
    </w:p>
    <w:p w:rsidR="00D50830" w:rsidRPr="007835D1" w:rsidP="00BE3392" w14:paraId="40619756" w14:textId="759020BE">
      <w:pPr>
        <w:pStyle w:val="ListParagraph"/>
        <w:numPr>
          <w:ilvl w:val="1"/>
          <w:numId w:val="6"/>
        </w:numPr>
        <w:spacing w:line="480" w:lineRule="auto"/>
      </w:pPr>
      <w:r w:rsidRPr="007835D1">
        <w:t xml:space="preserve">Hand (including courier) delivery: Deliver to: Federal Energy Regulatory Commission, 12225 Wilkins Avenue, Rockville, MD 20852. </w:t>
      </w:r>
    </w:p>
    <w:p w:rsidR="00310EFC" w:rsidRPr="007835D1" w:rsidP="007C1916" w14:paraId="1D7D8F0D" w14:textId="77777777">
      <w:pPr>
        <w:spacing w:line="480" w:lineRule="auto"/>
        <w:rPr>
          <w:i/>
          <w:szCs w:val="26"/>
        </w:rPr>
      </w:pPr>
      <w:r w:rsidRPr="007835D1">
        <w:rPr>
          <w:i/>
          <w:szCs w:val="26"/>
        </w:rPr>
        <w:t xml:space="preserve">Instructions: </w:t>
      </w:r>
    </w:p>
    <w:p w:rsidR="008E5123" w:rsidRPr="007835D1" w:rsidP="008E5123" w14:paraId="2BAFDB88" w14:textId="54193E5D">
      <w:pPr>
        <w:spacing w:line="480" w:lineRule="auto"/>
        <w:rPr>
          <w:szCs w:val="26"/>
        </w:rPr>
      </w:pPr>
      <w:r w:rsidRPr="007835D1">
        <w:rPr>
          <w:i/>
          <w:szCs w:val="26"/>
        </w:rPr>
        <w:t>OMB submissions</w:t>
      </w:r>
      <w:r w:rsidRPr="007835D1">
        <w:rPr>
          <w:iCs/>
          <w:szCs w:val="26"/>
        </w:rPr>
        <w:t xml:space="preserve"> </w:t>
      </w:r>
      <w:r w:rsidRPr="007835D1">
        <w:rPr>
          <w:szCs w:val="26"/>
        </w:rPr>
        <w:t>must be formatted and filed in accordance with submission guidelines at</w:t>
      </w:r>
      <w:r w:rsidRPr="007835D1">
        <w:rPr>
          <w:i/>
          <w:szCs w:val="26"/>
        </w:rPr>
        <w:t xml:space="preserve"> </w:t>
      </w:r>
      <w:hyperlink r:id="rId10" w:history="1">
        <w:r w:rsidRPr="007835D1">
          <w:rPr>
            <w:rStyle w:val="Hyperlink"/>
            <w:szCs w:val="26"/>
          </w:rPr>
          <w:t>www.reginfo.gov/public/do/PRAMain</w:t>
        </w:r>
      </w:hyperlink>
      <w:r w:rsidR="00C90F4D">
        <w:rPr>
          <w:rStyle w:val="Hyperlink"/>
          <w:szCs w:val="26"/>
        </w:rPr>
        <w:t>.</w:t>
      </w:r>
      <w:r w:rsidRPr="007835D1">
        <w:rPr>
          <w:szCs w:val="26"/>
        </w:rPr>
        <w:t xml:space="preserve">  Using the search function under the “Currently Under Review field,” select Federal Energy Regulatory Commission; click “submit</w:t>
      </w:r>
      <w:r w:rsidR="00B718A5">
        <w:rPr>
          <w:szCs w:val="26"/>
        </w:rPr>
        <w:t>,</w:t>
      </w:r>
      <w:r w:rsidRPr="007835D1">
        <w:rPr>
          <w:szCs w:val="26"/>
        </w:rPr>
        <w:t xml:space="preserve">” and select “comment” to the right of the subject collection. </w:t>
      </w:r>
    </w:p>
    <w:p w:rsidR="00D50830" w:rsidRPr="007835D1" w:rsidP="00D50830" w14:paraId="7554CFE1" w14:textId="62C145F5">
      <w:pPr>
        <w:spacing w:line="480" w:lineRule="auto"/>
      </w:pPr>
      <w:r w:rsidRPr="00CF7F10">
        <w:rPr>
          <w:i/>
          <w:iCs/>
        </w:rPr>
        <w:t>FERC submissions</w:t>
      </w:r>
      <w:r w:rsidRPr="007835D1">
        <w:t xml:space="preserve"> must be formatted and filed in accordance with submission guidelines at: </w:t>
      </w:r>
      <w:hyperlink r:id="rId12" w:history="1">
        <w:r w:rsidRPr="007835D1">
          <w:rPr>
            <w:rStyle w:val="Hyperlink"/>
          </w:rPr>
          <w:t>http://www.ferc.gov</w:t>
        </w:r>
      </w:hyperlink>
      <w:r w:rsidRPr="007835D1">
        <w:t>.</w:t>
      </w:r>
      <w:r w:rsidRPr="007835D1" w:rsidR="00C44372">
        <w:t xml:space="preserve"> </w:t>
      </w:r>
      <w:r w:rsidRPr="007835D1">
        <w:t xml:space="preserve">For user assistance, contact FERC Online </w:t>
      </w:r>
      <w:r w:rsidRPr="007835D1">
        <w:t>Support by e-mail at ferconlinesupport@ferc.gov, or by phone at:  (866) 208-3676 (toll-free).</w:t>
      </w:r>
    </w:p>
    <w:p w:rsidR="00C44372" w:rsidRPr="007835D1" w:rsidP="00A2604E" w14:paraId="0A8B7F1C" w14:textId="77777777">
      <w:pPr>
        <w:spacing w:line="480" w:lineRule="auto"/>
      </w:pPr>
      <w:r w:rsidRPr="007835D1">
        <w:rPr>
          <w:i/>
        </w:rPr>
        <w:t>Docket:</w:t>
      </w:r>
      <w:r w:rsidRPr="007835D1">
        <w:t xml:space="preserve"> Users interested in receiving automatic notification of activity in this docket or in viewing/downloading comments and issuances in this docket may do so at </w:t>
      </w:r>
      <w:bookmarkEnd w:id="0"/>
      <w:hyperlink r:id="rId12" w:history="1">
        <w:r w:rsidRPr="007835D1">
          <w:rPr>
            <w:rStyle w:val="Hyperlink"/>
          </w:rPr>
          <w:t>http://www.ferc.gov</w:t>
        </w:r>
      </w:hyperlink>
      <w:r w:rsidRPr="007835D1">
        <w:t xml:space="preserve">. </w:t>
      </w:r>
    </w:p>
    <w:p w:rsidR="00A2604E" w:rsidRPr="007835D1" w:rsidP="00A2604E" w14:paraId="5D1F4BEC" w14:textId="684004F9">
      <w:pPr>
        <w:spacing w:line="480" w:lineRule="auto"/>
      </w:pPr>
      <w:r w:rsidRPr="007835D1">
        <w:rPr>
          <w:b/>
        </w:rPr>
        <w:t>FOR FURTHER INFORMATION:</w:t>
      </w:r>
      <w:r w:rsidRPr="007835D1">
        <w:t xml:space="preserve">  Ellen Brown may be reached by e-mail at </w:t>
      </w:r>
      <w:hyperlink r:id="rId13" w:history="1">
        <w:r w:rsidRPr="007835D1">
          <w:rPr>
            <w:rStyle w:val="Hyperlink"/>
          </w:rPr>
          <w:t>DataClearance@FERC.gov</w:t>
        </w:r>
      </w:hyperlink>
      <w:r w:rsidRPr="007835D1" w:rsidR="00034C49">
        <w:t xml:space="preserve"> and</w:t>
      </w:r>
      <w:r w:rsidRPr="007835D1">
        <w:t xml:space="preserve"> telephone at (202) 502-8663</w:t>
      </w:r>
      <w:r w:rsidRPr="007835D1" w:rsidR="00754526">
        <w:t>.</w:t>
      </w:r>
    </w:p>
    <w:p w:rsidR="005A7903" w:rsidRPr="007835D1" w:rsidP="005A7903" w14:paraId="4553AE5A" w14:textId="37157A14">
      <w:pPr>
        <w:spacing w:line="480" w:lineRule="auto"/>
      </w:pPr>
      <w:r w:rsidRPr="007835D1">
        <w:rPr>
          <w:b/>
        </w:rPr>
        <w:t>SUPPLEMENTARY INFORMATION:</w:t>
      </w:r>
      <w:r w:rsidRPr="007835D1">
        <w:t xml:space="preserve">  </w:t>
      </w:r>
    </w:p>
    <w:p w:rsidR="00B77E01" w:rsidRPr="007835D1" w:rsidP="00B77E01" w14:paraId="5DED7A71" w14:textId="77777777">
      <w:pPr>
        <w:spacing w:line="480" w:lineRule="auto"/>
        <w:rPr>
          <w:i/>
          <w:iCs/>
        </w:rPr>
      </w:pPr>
      <w:r w:rsidRPr="007835D1">
        <w:rPr>
          <w:i/>
          <w:iCs/>
        </w:rPr>
        <w:t>Title</w:t>
      </w:r>
      <w:r w:rsidRPr="007835D1">
        <w:t>: FERC-715, Annual Transmission Planning and Evaluation Report</w:t>
      </w:r>
    </w:p>
    <w:p w:rsidR="00B77E01" w:rsidRPr="007835D1" w:rsidP="00B77E01" w14:paraId="7A7F2274" w14:textId="77777777">
      <w:pPr>
        <w:spacing w:line="480" w:lineRule="auto"/>
        <w:rPr>
          <w:i/>
          <w:iCs/>
        </w:rPr>
      </w:pPr>
      <w:r w:rsidRPr="007835D1">
        <w:rPr>
          <w:i/>
          <w:iCs/>
        </w:rPr>
        <w:t>OMB Control No.</w:t>
      </w:r>
      <w:r w:rsidRPr="007835D1">
        <w:t>: 1902-0171</w:t>
      </w:r>
    </w:p>
    <w:p w:rsidR="00080D94" w:rsidP="00B77E01" w14:paraId="12DC6851" w14:textId="7FD70501">
      <w:pPr>
        <w:spacing w:line="480" w:lineRule="auto"/>
      </w:pPr>
      <w:r w:rsidRPr="007835D1">
        <w:rPr>
          <w:i/>
          <w:iCs/>
        </w:rPr>
        <w:t>Abstract</w:t>
      </w:r>
      <w:r w:rsidRPr="007835D1">
        <w:t xml:space="preserve">: </w:t>
      </w:r>
      <w:r w:rsidR="00262DCA">
        <w:t>S</w:t>
      </w:r>
      <w:r w:rsidRPr="007835D1">
        <w:t>ection 213</w:t>
      </w:r>
      <w:r w:rsidR="003019E7">
        <w:t>(b)</w:t>
      </w:r>
      <w:r w:rsidRPr="007835D1">
        <w:t xml:space="preserve"> of the Federal Power Act</w:t>
      </w:r>
      <w:r>
        <w:rPr>
          <w:bCs/>
          <w:vertAlign w:val="superscript"/>
        </w:rPr>
        <w:footnoteReference w:id="3"/>
      </w:r>
      <w:r w:rsidRPr="007835D1">
        <w:t xml:space="preserve"> </w:t>
      </w:r>
      <w:r w:rsidR="002014F0">
        <w:t xml:space="preserve">instructs </w:t>
      </w:r>
      <w:r w:rsidR="003019E7">
        <w:t xml:space="preserve">the Commission to </w:t>
      </w:r>
      <w:r w:rsidR="002014F0">
        <w:t xml:space="preserve">require </w:t>
      </w:r>
      <w:r w:rsidR="00016BD0">
        <w:t>transmitting utilities</w:t>
      </w:r>
      <w:r>
        <w:rPr>
          <w:rStyle w:val="FootnoteReference"/>
          <w:b w:val="0"/>
          <w:bCs/>
        </w:rPr>
        <w:footnoteReference w:id="4"/>
      </w:r>
      <w:r w:rsidR="0091579A">
        <w:t xml:space="preserve"> </w:t>
      </w:r>
      <w:r w:rsidR="00343AD7">
        <w:t xml:space="preserve">to submit information annually </w:t>
      </w:r>
      <w:r w:rsidR="00D13E8F">
        <w:t xml:space="preserve">about potentially available transmission </w:t>
      </w:r>
      <w:r w:rsidR="00446BB3">
        <w:t xml:space="preserve">capacity and known constraints.  </w:t>
      </w:r>
      <w:r w:rsidR="003226B6">
        <w:t xml:space="preserve">Such information must be </w:t>
      </w:r>
      <w:r w:rsidR="00F955CE">
        <w:t xml:space="preserve">available to </w:t>
      </w:r>
      <w:r w:rsidR="003226B6">
        <w:t xml:space="preserve">potential </w:t>
      </w:r>
      <w:r w:rsidR="00F34A4D">
        <w:t>transmission customers, State regulatory authorities</w:t>
      </w:r>
      <w:r w:rsidR="00E66276">
        <w:t xml:space="preserve">, </w:t>
      </w:r>
      <w:r w:rsidRPr="007835D1">
        <w:t xml:space="preserve">and </w:t>
      </w:r>
      <w:r w:rsidR="00E66276">
        <w:t>the public</w:t>
      </w:r>
      <w:r>
        <w:t>.</w:t>
      </w:r>
    </w:p>
    <w:p w:rsidR="00B77E01" w:rsidRPr="007835D1" w:rsidP="00B77E01" w14:paraId="7A59C16F" w14:textId="575A2705">
      <w:pPr>
        <w:spacing w:line="480" w:lineRule="auto"/>
      </w:pPr>
      <w:r>
        <w:t xml:space="preserve">The Commission implements section 213(b) in accordance with the regulation at </w:t>
      </w:r>
      <w:r w:rsidRPr="007835D1">
        <w:t xml:space="preserve">18 CFR 141.300, </w:t>
      </w:r>
      <w:r>
        <w:t xml:space="preserve">which </w:t>
      </w:r>
      <w:r w:rsidR="00E60664">
        <w:t xml:space="preserve">provides that the information collection applies to </w:t>
      </w:r>
      <w:r w:rsidRPr="007835D1">
        <w:t xml:space="preserve">each transmitting utility that operates integrated transmission system facilities rated </w:t>
      </w:r>
      <w:r w:rsidRPr="007835D1">
        <w:t>above 100 kilovolts (kV)</w:t>
      </w:r>
      <w:r w:rsidR="00DE54FF">
        <w:t xml:space="preserve">, and lists the following </w:t>
      </w:r>
      <w:r w:rsidR="00773B18">
        <w:t>information that must be included in the annual submission:</w:t>
      </w:r>
    </w:p>
    <w:p w:rsidR="00B77E01" w:rsidRPr="007835D1" w:rsidP="00B77E01" w14:paraId="605EC4EB" w14:textId="77777777">
      <w:pPr>
        <w:spacing w:line="480" w:lineRule="auto"/>
      </w:pPr>
      <w:r w:rsidRPr="007835D1">
        <w:t>•</w:t>
      </w:r>
      <w:r w:rsidRPr="007835D1">
        <w:tab/>
        <w:t>Contact information;</w:t>
      </w:r>
    </w:p>
    <w:p w:rsidR="00B77E01" w:rsidRPr="007835D1" w:rsidP="00B77E01" w14:paraId="2EB5667B" w14:textId="77777777">
      <w:pPr>
        <w:spacing w:line="480" w:lineRule="auto"/>
      </w:pPr>
      <w:r w:rsidRPr="007835D1">
        <w:t>•</w:t>
      </w:r>
      <w:r w:rsidRPr="007835D1">
        <w:tab/>
        <w:t>Base case power flow data (if the respondent does not participate in the development and use of regional power flow data);</w:t>
      </w:r>
    </w:p>
    <w:p w:rsidR="00B77E01" w:rsidRPr="007835D1" w:rsidP="00B77E01" w14:paraId="002940DF" w14:textId="77777777">
      <w:pPr>
        <w:spacing w:line="480" w:lineRule="auto"/>
      </w:pPr>
      <w:r w:rsidRPr="007835D1">
        <w:t>•</w:t>
      </w:r>
      <w:r w:rsidRPr="007835D1">
        <w:tab/>
        <w:t>Transmission system maps and diagrams used by the respondent for transmission planning;</w:t>
      </w:r>
    </w:p>
    <w:p w:rsidR="00B77E01" w:rsidRPr="007835D1" w:rsidP="00B77E01" w14:paraId="49AA69BA" w14:textId="77777777">
      <w:pPr>
        <w:spacing w:line="480" w:lineRule="auto"/>
      </w:pPr>
      <w:r w:rsidRPr="007835D1">
        <w:t>•</w:t>
      </w:r>
      <w:r w:rsidRPr="007835D1">
        <w:tab/>
        <w:t>A detailed description of the transmission planning reliability criteria used to evaluate system performance for time frames and planning horizons used in regional and corporate planning;</w:t>
      </w:r>
    </w:p>
    <w:p w:rsidR="00B77E01" w:rsidRPr="007835D1" w:rsidP="00B77E01" w14:paraId="29A6DFB0" w14:textId="77777777">
      <w:pPr>
        <w:spacing w:line="480" w:lineRule="auto"/>
      </w:pPr>
      <w:r w:rsidRPr="007835D1">
        <w:t>•</w:t>
      </w:r>
      <w:r w:rsidRPr="007835D1">
        <w:tab/>
        <w:t>A detailed description of the respondent’s transmission planning assessment practices (including, but not limited to, how reliability criteria are applied and the steps taken in performing transmission planning studies); and</w:t>
      </w:r>
    </w:p>
    <w:p w:rsidR="00B77E01" w:rsidRPr="007835D1" w:rsidP="00B77E01" w14:paraId="01E02002" w14:textId="77777777">
      <w:pPr>
        <w:spacing w:line="480" w:lineRule="auto"/>
      </w:pPr>
      <w:r w:rsidRPr="007835D1">
        <w:t>•</w:t>
      </w:r>
      <w:r w:rsidRPr="007835D1">
        <w:tab/>
        <w:t>A detailed evaluation of the respondent’s anticipated system performance as measured against its stated reliability criteria using its stated assessment practices.</w:t>
      </w:r>
    </w:p>
    <w:p w:rsidR="00B77E01" w:rsidRPr="007835D1" w:rsidP="00B77E01" w14:paraId="0E38A1A1" w14:textId="42F0FE83">
      <w:pPr>
        <w:spacing w:line="480" w:lineRule="auto"/>
      </w:pPr>
      <w:r>
        <w:t xml:space="preserve">The information collected under </w:t>
      </w:r>
      <w:r w:rsidRPr="007835D1">
        <w:t xml:space="preserve">FERC-715 </w:t>
      </w:r>
      <w:r>
        <w:t xml:space="preserve">assists </w:t>
      </w:r>
      <w:r w:rsidR="007D1E8F">
        <w:t xml:space="preserve">the Commission in reviewing:  </w:t>
      </w:r>
    </w:p>
    <w:p w:rsidR="00B77E01" w:rsidRPr="007835D1" w:rsidP="00B77E01" w14:paraId="2D9D5A1C" w14:textId="67DFC544">
      <w:pPr>
        <w:spacing w:line="480" w:lineRule="auto"/>
      </w:pPr>
      <w:r w:rsidRPr="007835D1">
        <w:t>•</w:t>
      </w:r>
      <w:r w:rsidRPr="007835D1">
        <w:tab/>
      </w:r>
      <w:r w:rsidR="007D1E8F">
        <w:t>R</w:t>
      </w:r>
      <w:r w:rsidRPr="007835D1">
        <w:t>ates and charges;</w:t>
      </w:r>
    </w:p>
    <w:p w:rsidR="00B77E01" w:rsidRPr="007835D1" w:rsidP="00B77E01" w14:paraId="0896ACA2" w14:textId="1A0F0527">
      <w:pPr>
        <w:spacing w:line="480" w:lineRule="auto"/>
      </w:pPr>
      <w:r w:rsidRPr="007835D1">
        <w:t>•</w:t>
      </w:r>
      <w:r w:rsidRPr="007835D1">
        <w:tab/>
      </w:r>
      <w:r w:rsidR="00534CA5">
        <w:t>D</w:t>
      </w:r>
      <w:r w:rsidRPr="007835D1">
        <w:t>isposition of jurisdictional facilities;</w:t>
      </w:r>
    </w:p>
    <w:p w:rsidR="00B77E01" w:rsidRPr="007835D1" w:rsidP="00B77E01" w14:paraId="176968C5" w14:textId="00E66ECB">
      <w:pPr>
        <w:spacing w:line="480" w:lineRule="auto"/>
      </w:pPr>
      <w:r w:rsidRPr="007835D1">
        <w:t>•</w:t>
      </w:r>
      <w:r w:rsidRPr="007835D1">
        <w:tab/>
      </w:r>
      <w:r w:rsidR="00534CA5">
        <w:t>C</w:t>
      </w:r>
      <w:r w:rsidRPr="007835D1">
        <w:t>onsolidation</w:t>
      </w:r>
      <w:r w:rsidR="00534CA5">
        <w:t>s</w:t>
      </w:r>
      <w:r w:rsidRPr="007835D1">
        <w:t xml:space="preserve"> and mergers;</w:t>
      </w:r>
    </w:p>
    <w:p w:rsidR="00B77E01" w:rsidRPr="007835D1" w:rsidP="00B77E01" w14:paraId="41E4FD98" w14:textId="0D9D05A1">
      <w:pPr>
        <w:spacing w:line="480" w:lineRule="auto"/>
      </w:pPr>
      <w:r w:rsidRPr="007835D1">
        <w:t>•</w:t>
      </w:r>
      <w:r w:rsidRPr="007835D1">
        <w:tab/>
      </w:r>
      <w:r w:rsidR="00534CA5">
        <w:t>A</w:t>
      </w:r>
      <w:r w:rsidRPr="007835D1">
        <w:t>dequacy of supply</w:t>
      </w:r>
      <w:r w:rsidR="00A53A74">
        <w:t>;</w:t>
      </w:r>
      <w:r w:rsidR="00383BC8">
        <w:t xml:space="preserve"> and</w:t>
      </w:r>
    </w:p>
    <w:p w:rsidR="00125330" w:rsidRPr="007835D1" w:rsidP="00B77E01" w14:paraId="05D2A3B4" w14:textId="7600F18C">
      <w:pPr>
        <w:spacing w:line="480" w:lineRule="auto"/>
      </w:pPr>
      <w:r w:rsidRPr="007835D1">
        <w:t>•</w:t>
      </w:r>
      <w:r w:rsidRPr="007835D1">
        <w:tab/>
        <w:t xml:space="preserve">Reliability </w:t>
      </w:r>
      <w:r w:rsidR="008E5073">
        <w:t xml:space="preserve">and security </w:t>
      </w:r>
      <w:r w:rsidRPr="007835D1">
        <w:t xml:space="preserve">of the nation’s </w:t>
      </w:r>
      <w:r w:rsidR="00235946">
        <w:t>bulk power system</w:t>
      </w:r>
      <w:r w:rsidR="00383BC8">
        <w:t>.</w:t>
      </w:r>
    </w:p>
    <w:p w:rsidR="00B77E01" w:rsidRPr="007835D1" w:rsidP="00B77E01" w14:paraId="50D16F7D" w14:textId="272427D6">
      <w:pPr>
        <w:spacing w:line="480" w:lineRule="auto"/>
        <w:rPr>
          <w:i/>
          <w:iCs/>
        </w:rPr>
      </w:pPr>
      <w:r w:rsidRPr="007835D1">
        <w:t xml:space="preserve">Without the FERC-715 data, the Commission would be </w:t>
      </w:r>
      <w:r w:rsidR="00F05ECA">
        <w:t xml:space="preserve">less able </w:t>
      </w:r>
      <w:r w:rsidRPr="007835D1">
        <w:t>to evaluate planned projects or requests related to transmission.</w:t>
      </w:r>
    </w:p>
    <w:p w:rsidR="00B77E01" w:rsidRPr="007835D1" w:rsidP="00B77E01" w14:paraId="0DAEE2B5" w14:textId="77777777">
      <w:pPr>
        <w:spacing w:line="480" w:lineRule="auto"/>
        <w:rPr>
          <w:i/>
          <w:iCs/>
        </w:rPr>
      </w:pPr>
      <w:r w:rsidRPr="007835D1">
        <w:rPr>
          <w:i/>
          <w:iCs/>
        </w:rPr>
        <w:t>Type of Respondent</w:t>
      </w:r>
      <w:r w:rsidRPr="007835D1">
        <w:t>: Integrated transmission system facilities rated at or above 100 kilovolts (kV).</w:t>
      </w:r>
    </w:p>
    <w:p w:rsidR="00B77E01" w:rsidRPr="007835D1" w:rsidP="00B77E01" w14:paraId="093BFA7F" w14:textId="38E6DA2F">
      <w:pPr>
        <w:spacing w:line="480" w:lineRule="auto"/>
      </w:pPr>
      <w:r w:rsidRPr="007835D1">
        <w:rPr>
          <w:i/>
          <w:iCs/>
        </w:rPr>
        <w:t>Estimate of Annual Burden</w:t>
      </w:r>
      <w:r w:rsidR="00AF0AC9">
        <w:rPr>
          <w:i/>
          <w:iCs/>
        </w:rPr>
        <w:t>:</w:t>
      </w:r>
      <w:r>
        <w:rPr>
          <w:bCs/>
          <w:vertAlign w:val="superscript"/>
        </w:rPr>
        <w:footnoteReference w:id="5"/>
      </w:r>
      <w:r w:rsidRPr="007835D1">
        <w:t xml:space="preserve"> The Commission estimates the total annual burden and cost</w:t>
      </w:r>
      <w:r>
        <w:rPr>
          <w:b/>
          <w:vertAlign w:val="superscript"/>
        </w:rPr>
        <w:footnoteReference w:id="6"/>
      </w:r>
      <w:r w:rsidRPr="007835D1">
        <w:t xml:space="preserve"> for this information collection as follows.</w:t>
      </w:r>
    </w:p>
    <w:tbl>
      <w:tblPr>
        <w:tblW w:w="535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6"/>
        <w:gridCol w:w="1306"/>
        <w:gridCol w:w="1358"/>
        <w:gridCol w:w="1234"/>
        <w:gridCol w:w="1327"/>
        <w:gridCol w:w="1327"/>
        <w:gridCol w:w="1228"/>
      </w:tblGrid>
      <w:tr w14:paraId="38BA95D9" w14:textId="77777777" w:rsidTr="00CF7F10">
        <w:tblPrEx>
          <w:tblW w:w="535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B77E01" w:rsidRPr="00316B92" w:rsidP="00D326BB" w14:paraId="5D058B37" w14:textId="77777777">
            <w:pPr>
              <w:spacing w:line="480" w:lineRule="auto"/>
              <w:jc w:val="center"/>
              <w:rPr>
                <w:b/>
                <w:sz w:val="20"/>
              </w:rPr>
            </w:pPr>
            <w:r w:rsidRPr="00316B92">
              <w:rPr>
                <w:b/>
                <w:sz w:val="20"/>
              </w:rPr>
              <w:t>FERC-715,</w:t>
            </w:r>
            <w:r w:rsidRPr="00316B92">
              <w:rPr>
                <w:sz w:val="20"/>
              </w:rPr>
              <w:t xml:space="preserve"> </w:t>
            </w:r>
            <w:r w:rsidRPr="00316B92">
              <w:rPr>
                <w:b/>
                <w:sz w:val="20"/>
              </w:rPr>
              <w:t>Annual Transmission Planning and Evaluation Report</w:t>
            </w:r>
          </w:p>
        </w:tc>
      </w:tr>
      <w:tr w14:paraId="2518F131" w14:textId="77777777" w:rsidTr="00CF7F10">
        <w:tblPrEx>
          <w:tblW w:w="5357" w:type="pct"/>
          <w:tblInd w:w="-72" w:type="dxa"/>
          <w:tblLook w:val="01E0"/>
        </w:tblPrEx>
        <w:trPr>
          <w:cantSplit/>
        </w:trPr>
        <w:tc>
          <w:tcPr>
            <w:tcW w:w="807" w:type="pct"/>
            <w:tcBorders>
              <w:top w:val="single" w:sz="4" w:space="0" w:color="auto"/>
              <w:left w:val="single" w:sz="4" w:space="0" w:color="auto"/>
              <w:bottom w:val="single" w:sz="4" w:space="0" w:color="auto"/>
              <w:right w:val="single" w:sz="4" w:space="0" w:color="auto"/>
            </w:tcBorders>
            <w:shd w:val="clear" w:color="auto" w:fill="D9D9D9"/>
            <w:vAlign w:val="bottom"/>
          </w:tcPr>
          <w:p w:rsidR="00B77E01" w:rsidRPr="00316B92" w:rsidP="00042067" w14:paraId="691369A4" w14:textId="77777777">
            <w:pPr>
              <w:jc w:val="center"/>
              <w:rPr>
                <w:b/>
                <w:sz w:val="20"/>
              </w:rPr>
            </w:pPr>
            <w:r w:rsidRPr="00316B92">
              <w:rPr>
                <w:b/>
                <w:sz w:val="20"/>
              </w:rPr>
              <w:t>Type of Response</w:t>
            </w:r>
          </w:p>
        </w:tc>
        <w:tc>
          <w:tcPr>
            <w:tcW w:w="70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77E01" w:rsidRPr="00316B92" w:rsidP="00042067" w14:paraId="28C8A12E" w14:textId="77777777">
            <w:pPr>
              <w:jc w:val="center"/>
              <w:rPr>
                <w:b/>
                <w:sz w:val="20"/>
              </w:rPr>
            </w:pPr>
            <w:r w:rsidRPr="00316B92">
              <w:rPr>
                <w:b/>
                <w:sz w:val="20"/>
              </w:rPr>
              <w:t>Number of Respondents</w:t>
            </w:r>
            <w:r w:rsidRPr="00316B92">
              <w:rPr>
                <w:b/>
                <w:sz w:val="20"/>
              </w:rPr>
              <w:br/>
              <w:t>(1)</w:t>
            </w:r>
          </w:p>
        </w:tc>
        <w:tc>
          <w:tcPr>
            <w:tcW w:w="76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77E01" w:rsidRPr="00316B92" w:rsidP="00042067" w14:paraId="33DC2B11" w14:textId="77777777">
            <w:pPr>
              <w:jc w:val="center"/>
              <w:rPr>
                <w:b/>
                <w:sz w:val="20"/>
              </w:rPr>
            </w:pPr>
            <w:r w:rsidRPr="00316B92">
              <w:rPr>
                <w:b/>
                <w:sz w:val="20"/>
              </w:rPr>
              <w:t>Annual Number of Responses per Respondent</w:t>
            </w:r>
          </w:p>
          <w:p w:rsidR="00B77E01" w:rsidRPr="00316B92" w:rsidP="00042067" w14:paraId="206CFE59" w14:textId="77777777">
            <w:pPr>
              <w:jc w:val="center"/>
              <w:rPr>
                <w:b/>
                <w:sz w:val="20"/>
              </w:rPr>
            </w:pPr>
            <w:r w:rsidRPr="00316B92">
              <w:rPr>
                <w:b/>
                <w:sz w:val="20"/>
              </w:rPr>
              <w:t>(2)</w:t>
            </w:r>
          </w:p>
        </w:tc>
        <w:tc>
          <w:tcPr>
            <w:tcW w:w="68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77E01" w:rsidRPr="00316B92" w:rsidP="00042067" w14:paraId="106667A3" w14:textId="77777777">
            <w:pPr>
              <w:jc w:val="center"/>
              <w:rPr>
                <w:b/>
                <w:sz w:val="20"/>
              </w:rPr>
            </w:pPr>
            <w:r w:rsidRPr="00316B92">
              <w:rPr>
                <w:b/>
                <w:sz w:val="20"/>
              </w:rPr>
              <w:t>Total Number of Responses (1)*(2)=(3)</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77E01" w:rsidRPr="00316B92" w:rsidP="00042067" w14:paraId="43A2A0BF" w14:textId="77777777">
            <w:pPr>
              <w:jc w:val="center"/>
              <w:rPr>
                <w:b/>
                <w:sz w:val="20"/>
                <w:vertAlign w:val="superscript"/>
              </w:rPr>
            </w:pPr>
            <w:r w:rsidRPr="00316B92">
              <w:rPr>
                <w:b/>
                <w:sz w:val="20"/>
              </w:rPr>
              <w:t>Average Burden &amp; Cost Per Response</w:t>
            </w:r>
          </w:p>
          <w:p w:rsidR="00B77E01" w:rsidRPr="00316B92" w:rsidP="00042067" w14:paraId="50FD92A2" w14:textId="77777777">
            <w:pPr>
              <w:jc w:val="center"/>
              <w:rPr>
                <w:b/>
                <w:sz w:val="20"/>
              </w:rPr>
            </w:pPr>
            <w:r w:rsidRPr="00316B92">
              <w:rPr>
                <w:b/>
                <w:sz w:val="20"/>
              </w:rPr>
              <w:t>(4)</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77E01" w:rsidRPr="00316B92" w:rsidP="00042067" w14:paraId="2AEF2320" w14:textId="77777777">
            <w:pPr>
              <w:jc w:val="center"/>
              <w:rPr>
                <w:b/>
                <w:sz w:val="20"/>
              </w:rPr>
            </w:pPr>
            <w:r w:rsidRPr="00316B92">
              <w:rPr>
                <w:b/>
                <w:sz w:val="20"/>
              </w:rPr>
              <w:t>Total Annual Burden Hours &amp; Total Annual Cost</w:t>
            </w:r>
          </w:p>
          <w:p w:rsidR="00B77E01" w:rsidRPr="00316B92" w:rsidP="00042067" w14:paraId="33234709" w14:textId="77777777">
            <w:pPr>
              <w:jc w:val="center"/>
              <w:rPr>
                <w:b/>
                <w:sz w:val="20"/>
              </w:rPr>
            </w:pPr>
            <w:r w:rsidRPr="00316B92">
              <w:rPr>
                <w:b/>
                <w:sz w:val="20"/>
              </w:rPr>
              <w:t>(3)*(4)=(5)</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77E01" w:rsidRPr="00316B92" w:rsidP="00042067" w14:paraId="6B68F7E3" w14:textId="77777777">
            <w:pPr>
              <w:jc w:val="center"/>
              <w:rPr>
                <w:b/>
                <w:sz w:val="20"/>
              </w:rPr>
            </w:pPr>
            <w:r w:rsidRPr="00316B92">
              <w:rPr>
                <w:b/>
                <w:sz w:val="20"/>
              </w:rPr>
              <w:t>Cost per Respondent</w:t>
            </w:r>
          </w:p>
          <w:p w:rsidR="00B77E01" w:rsidRPr="00316B92" w:rsidP="00042067" w14:paraId="34FAB494" w14:textId="77777777">
            <w:pPr>
              <w:jc w:val="center"/>
              <w:rPr>
                <w:b/>
                <w:sz w:val="20"/>
              </w:rPr>
            </w:pPr>
            <w:r w:rsidRPr="00316B92">
              <w:rPr>
                <w:b/>
                <w:sz w:val="20"/>
              </w:rPr>
              <w:t>($)</w:t>
            </w:r>
          </w:p>
          <w:p w:rsidR="00B77E01" w:rsidRPr="00316B92" w:rsidP="00042067" w14:paraId="10EE6803" w14:textId="77777777">
            <w:pPr>
              <w:jc w:val="center"/>
              <w:rPr>
                <w:b/>
                <w:sz w:val="20"/>
              </w:rPr>
            </w:pPr>
            <w:r w:rsidRPr="00316B92">
              <w:rPr>
                <w:b/>
                <w:sz w:val="20"/>
              </w:rPr>
              <w:t>(5)÷(1)</w:t>
            </w:r>
          </w:p>
        </w:tc>
      </w:tr>
      <w:tr w14:paraId="783A7855" w14:textId="77777777" w:rsidTr="00CF7F10">
        <w:tblPrEx>
          <w:tblW w:w="5357" w:type="pct"/>
          <w:tblInd w:w="-72" w:type="dxa"/>
          <w:tblLook w:val="01E0"/>
        </w:tblPrEx>
        <w:trPr>
          <w:cantSplit/>
        </w:trPr>
        <w:tc>
          <w:tcPr>
            <w:tcW w:w="807" w:type="pct"/>
            <w:tcBorders>
              <w:top w:val="single" w:sz="4" w:space="0" w:color="auto"/>
              <w:left w:val="single" w:sz="4" w:space="0" w:color="auto"/>
              <w:bottom w:val="single" w:sz="4" w:space="0" w:color="auto"/>
              <w:right w:val="single" w:sz="4" w:space="0" w:color="auto"/>
            </w:tcBorders>
            <w:vAlign w:val="bottom"/>
            <w:hideMark/>
          </w:tcPr>
          <w:p w:rsidR="00B77E01" w:rsidRPr="00316B92" w:rsidP="00042067" w14:paraId="48E99DD2" w14:textId="77777777">
            <w:pPr>
              <w:jc w:val="right"/>
              <w:rPr>
                <w:sz w:val="20"/>
              </w:rPr>
            </w:pPr>
            <w:r w:rsidRPr="00316B92">
              <w:rPr>
                <w:sz w:val="20"/>
              </w:rPr>
              <w:t>Annual Transmission Planning and Evaluation Report</w:t>
            </w:r>
          </w:p>
        </w:tc>
        <w:tc>
          <w:tcPr>
            <w:tcW w:w="707" w:type="pct"/>
            <w:tcBorders>
              <w:top w:val="single" w:sz="4" w:space="0" w:color="auto"/>
              <w:left w:val="single" w:sz="4" w:space="0" w:color="auto"/>
              <w:bottom w:val="single" w:sz="4" w:space="0" w:color="auto"/>
              <w:right w:val="single" w:sz="4" w:space="0" w:color="auto"/>
            </w:tcBorders>
            <w:vAlign w:val="bottom"/>
            <w:hideMark/>
          </w:tcPr>
          <w:p w:rsidR="00B77E01" w:rsidRPr="00316B92" w:rsidP="00042067" w14:paraId="455863E5" w14:textId="77777777">
            <w:pPr>
              <w:jc w:val="right"/>
              <w:rPr>
                <w:sz w:val="20"/>
              </w:rPr>
            </w:pPr>
            <w:r w:rsidRPr="00316B92">
              <w:rPr>
                <w:sz w:val="20"/>
              </w:rPr>
              <w:t>111</w:t>
            </w:r>
          </w:p>
        </w:tc>
        <w:tc>
          <w:tcPr>
            <w:tcW w:w="761" w:type="pct"/>
            <w:tcBorders>
              <w:top w:val="single" w:sz="4" w:space="0" w:color="auto"/>
              <w:left w:val="single" w:sz="4" w:space="0" w:color="auto"/>
              <w:bottom w:val="single" w:sz="4" w:space="0" w:color="auto"/>
              <w:right w:val="single" w:sz="4" w:space="0" w:color="auto"/>
            </w:tcBorders>
            <w:vAlign w:val="bottom"/>
            <w:hideMark/>
          </w:tcPr>
          <w:p w:rsidR="00B77E01" w:rsidRPr="00316B92" w:rsidP="00042067" w14:paraId="6AFD2387" w14:textId="77777777">
            <w:pPr>
              <w:jc w:val="right"/>
              <w:rPr>
                <w:sz w:val="20"/>
              </w:rPr>
            </w:pPr>
            <w:r w:rsidRPr="00316B92">
              <w:rPr>
                <w:sz w:val="20"/>
              </w:rPr>
              <w:t>1</w:t>
            </w:r>
          </w:p>
        </w:tc>
        <w:tc>
          <w:tcPr>
            <w:tcW w:w="681" w:type="pct"/>
            <w:tcBorders>
              <w:top w:val="single" w:sz="4" w:space="0" w:color="auto"/>
              <w:left w:val="single" w:sz="4" w:space="0" w:color="auto"/>
              <w:bottom w:val="single" w:sz="4" w:space="0" w:color="auto"/>
              <w:right w:val="single" w:sz="4" w:space="0" w:color="auto"/>
            </w:tcBorders>
            <w:vAlign w:val="bottom"/>
            <w:hideMark/>
          </w:tcPr>
          <w:p w:rsidR="00B77E01" w:rsidRPr="00316B92" w:rsidP="00042067" w14:paraId="0C48DBFF" w14:textId="77777777">
            <w:pPr>
              <w:jc w:val="right"/>
              <w:rPr>
                <w:sz w:val="20"/>
              </w:rPr>
            </w:pPr>
            <w:r w:rsidRPr="00316B92">
              <w:rPr>
                <w:sz w:val="20"/>
              </w:rPr>
              <w:t>111</w:t>
            </w:r>
          </w:p>
        </w:tc>
        <w:tc>
          <w:tcPr>
            <w:tcW w:w="731" w:type="pct"/>
            <w:tcBorders>
              <w:top w:val="single" w:sz="4" w:space="0" w:color="auto"/>
              <w:left w:val="single" w:sz="4" w:space="0" w:color="auto"/>
              <w:bottom w:val="single" w:sz="4" w:space="0" w:color="auto"/>
              <w:right w:val="single" w:sz="4" w:space="0" w:color="auto"/>
            </w:tcBorders>
            <w:vAlign w:val="bottom"/>
            <w:hideMark/>
          </w:tcPr>
          <w:p w:rsidR="00B77E01" w:rsidRPr="00316B92" w:rsidP="00042067" w14:paraId="622C731E" w14:textId="77777777">
            <w:pPr>
              <w:jc w:val="right"/>
              <w:rPr>
                <w:sz w:val="20"/>
              </w:rPr>
            </w:pPr>
            <w:r w:rsidRPr="00316B92">
              <w:rPr>
                <w:sz w:val="20"/>
              </w:rPr>
              <w:t>160 hrs.;</w:t>
            </w:r>
          </w:p>
          <w:p w:rsidR="00B77E01" w:rsidRPr="00316B92" w:rsidP="00042067" w14:paraId="5E49298D" w14:textId="77777777">
            <w:pPr>
              <w:jc w:val="right"/>
              <w:rPr>
                <w:sz w:val="20"/>
              </w:rPr>
            </w:pPr>
            <w:r w:rsidRPr="00316B92">
              <w:rPr>
                <w:sz w:val="20"/>
              </w:rPr>
              <w:t>$13,920</w:t>
            </w:r>
          </w:p>
        </w:tc>
        <w:tc>
          <w:tcPr>
            <w:tcW w:w="731" w:type="pct"/>
            <w:tcBorders>
              <w:top w:val="single" w:sz="4" w:space="0" w:color="auto"/>
              <w:left w:val="single" w:sz="4" w:space="0" w:color="auto"/>
              <w:bottom w:val="single" w:sz="4" w:space="0" w:color="auto"/>
              <w:right w:val="single" w:sz="4" w:space="0" w:color="auto"/>
            </w:tcBorders>
            <w:vAlign w:val="bottom"/>
            <w:hideMark/>
          </w:tcPr>
          <w:p w:rsidR="00B77E01" w:rsidRPr="00316B92" w:rsidP="00042067" w14:paraId="37CBF664" w14:textId="77777777">
            <w:pPr>
              <w:jc w:val="right"/>
              <w:rPr>
                <w:sz w:val="20"/>
              </w:rPr>
            </w:pPr>
            <w:r w:rsidRPr="00316B92">
              <w:rPr>
                <w:sz w:val="20"/>
              </w:rPr>
              <w:t>17,760 hrs.;</w:t>
            </w:r>
          </w:p>
          <w:p w:rsidR="00B77E01" w:rsidRPr="00316B92" w:rsidP="00042067" w14:paraId="26B830F2" w14:textId="77777777">
            <w:pPr>
              <w:jc w:val="right"/>
              <w:rPr>
                <w:sz w:val="20"/>
              </w:rPr>
            </w:pPr>
            <w:r w:rsidRPr="00316B92">
              <w:rPr>
                <w:sz w:val="20"/>
              </w:rPr>
              <w:t>$1,545,120</w:t>
            </w:r>
          </w:p>
        </w:tc>
        <w:tc>
          <w:tcPr>
            <w:tcW w:w="583" w:type="pct"/>
            <w:tcBorders>
              <w:top w:val="single" w:sz="4" w:space="0" w:color="auto"/>
              <w:left w:val="single" w:sz="4" w:space="0" w:color="auto"/>
              <w:bottom w:val="single" w:sz="4" w:space="0" w:color="auto"/>
              <w:right w:val="single" w:sz="4" w:space="0" w:color="auto"/>
            </w:tcBorders>
            <w:vAlign w:val="bottom"/>
            <w:hideMark/>
          </w:tcPr>
          <w:p w:rsidR="00B77E01" w:rsidRPr="00316B92" w:rsidP="00042067" w14:paraId="033A8CDC" w14:textId="77777777">
            <w:pPr>
              <w:jc w:val="right"/>
              <w:rPr>
                <w:sz w:val="20"/>
              </w:rPr>
            </w:pPr>
            <w:r w:rsidRPr="00316B92">
              <w:rPr>
                <w:sz w:val="20"/>
              </w:rPr>
              <w:t>$13,920</w:t>
            </w:r>
          </w:p>
        </w:tc>
      </w:tr>
    </w:tbl>
    <w:p w:rsidR="0084158A" w:rsidRPr="007835D1" w:rsidP="005A7903" w14:paraId="4102FC93" w14:textId="786FADA1">
      <w:pPr>
        <w:spacing w:line="480" w:lineRule="auto"/>
      </w:pPr>
    </w:p>
    <w:p w:rsidR="0084158A" w:rsidRPr="007835D1" w:rsidP="0084158A" w14:paraId="2F0771FF" w14:textId="76E7FBAF">
      <w:pPr>
        <w:spacing w:line="480" w:lineRule="auto"/>
      </w:pPr>
      <w:r w:rsidRPr="007835D1">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w:t>
      </w:r>
      <w:r w:rsidRPr="007835D1" w:rsidR="006D552E">
        <w:t xml:space="preserve"> </w:t>
      </w:r>
      <w:r w:rsidRPr="007835D1">
        <w:t xml:space="preserve">of information, including the validity of the methodology and assumptions used; (3) ways to enhance the </w:t>
      </w:r>
      <w:r w:rsidRPr="007835D1">
        <w:t>quality, utility and clarity of the information collection; and (4) ways to minimize the burden of the collection of information on those who are to respond, including the use of automated collection techniques or other forms of information technology.</w:t>
      </w:r>
    </w:p>
    <w:p w:rsidR="0084158A" w:rsidRPr="007835D1" w:rsidP="005A7903" w14:paraId="6F64EDB3" w14:textId="77777777">
      <w:pPr>
        <w:spacing w:line="480" w:lineRule="auto"/>
      </w:pPr>
    </w:p>
    <w:p w:rsidR="00700D2A" w:rsidP="005A7903" w14:paraId="13783E58" w14:textId="77777777">
      <w:pPr>
        <w:ind w:firstLine="2174"/>
        <w:jc w:val="center"/>
      </w:pPr>
    </w:p>
    <w:p w:rsidR="005A7903" w:rsidRPr="007835D1" w:rsidP="005A7903" w14:paraId="0F13202A" w14:textId="270C0713">
      <w:pPr>
        <w:ind w:firstLine="2174"/>
        <w:jc w:val="center"/>
      </w:pPr>
      <w:r w:rsidRPr="007835D1">
        <w:t>Kimberly D. Bose,</w:t>
      </w:r>
    </w:p>
    <w:p w:rsidR="005A7903" w:rsidRPr="007835D1" w:rsidP="005A7903" w14:paraId="6BC5A7DF" w14:textId="77777777">
      <w:pPr>
        <w:ind w:firstLine="2174"/>
        <w:jc w:val="center"/>
      </w:pPr>
      <w:r w:rsidRPr="007835D1">
        <w:t>Secretary.</w:t>
      </w:r>
    </w:p>
    <w:p w:rsidR="005A7903" w:rsidRPr="007835D1" w:rsidP="005A7903" w14:paraId="18C61432" w14:textId="77777777"/>
    <w:p w:rsidR="005A7903" w:rsidRPr="007835D1" w:rsidP="005A7903" w14:paraId="02017126" w14:textId="77777777"/>
    <w:p w:rsidR="005A7903" w:rsidRPr="007835D1" w:rsidP="00C1124F" w14:paraId="03E58B77" w14:textId="77777777">
      <w:pPr>
        <w:tabs>
          <w:tab w:val="left" w:pos="7880"/>
        </w:tabs>
        <w:spacing w:line="480" w:lineRule="auto"/>
      </w:pPr>
    </w:p>
    <w:sectPr w:rsidSect="0006374F">
      <w:headerReference w:type="default" r:id="rId14"/>
      <w:pgSz w:w="12240" w:h="15840"/>
      <w:pgMar w:top="1440" w:right="1440" w:bottom="1440" w:left="21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744D1" w:rsidP="00B01B16" w14:paraId="4E160AB5" w14:textId="77777777">
      <w:r>
        <w:separator/>
      </w:r>
    </w:p>
  </w:footnote>
  <w:footnote w:type="continuationSeparator" w:id="1">
    <w:p w:rsidR="008744D1" w:rsidP="00B01B16" w14:paraId="72D8E1AE" w14:textId="77777777">
      <w:r>
        <w:continuationSeparator/>
      </w:r>
    </w:p>
  </w:footnote>
  <w:footnote w:type="continuationNotice" w:id="2">
    <w:p w:rsidR="008744D1" w14:paraId="6D8F0F60" w14:textId="77777777"/>
  </w:footnote>
  <w:footnote w:id="3">
    <w:p w:rsidR="00B77E01" w:rsidRPr="00A3551E" w:rsidP="00B77E01" w14:paraId="76275FB8" w14:textId="0496406E">
      <w:pPr>
        <w:pStyle w:val="FootnoteText"/>
        <w:rPr>
          <w:rFonts w:ascii="Calibri" w:hAnsi="Calibri"/>
          <w:iCs/>
          <w:sz w:val="26"/>
          <w:szCs w:val="26"/>
        </w:rPr>
      </w:pPr>
      <w:r w:rsidRPr="00042067">
        <w:rPr>
          <w:rStyle w:val="FootnoteReference"/>
          <w:b w:val="0"/>
          <w:bCs/>
        </w:rPr>
        <w:footnoteRef/>
      </w:r>
      <w:r w:rsidRPr="00EA7BC5">
        <w:rPr>
          <w:sz w:val="26"/>
          <w:szCs w:val="26"/>
        </w:rPr>
        <w:t xml:space="preserve"> 16 U</w:t>
      </w:r>
      <w:r w:rsidR="009B16DB">
        <w:rPr>
          <w:sz w:val="26"/>
          <w:szCs w:val="26"/>
        </w:rPr>
        <w:t>.</w:t>
      </w:r>
      <w:r w:rsidRPr="00EA7BC5">
        <w:rPr>
          <w:sz w:val="26"/>
          <w:szCs w:val="26"/>
        </w:rPr>
        <w:t>S</w:t>
      </w:r>
      <w:r w:rsidR="009B16DB">
        <w:rPr>
          <w:sz w:val="26"/>
          <w:szCs w:val="26"/>
        </w:rPr>
        <w:t>.</w:t>
      </w:r>
      <w:r w:rsidRPr="00EA7BC5">
        <w:rPr>
          <w:sz w:val="26"/>
          <w:szCs w:val="26"/>
        </w:rPr>
        <w:t>C</w:t>
      </w:r>
      <w:r w:rsidR="009B16DB">
        <w:rPr>
          <w:sz w:val="26"/>
          <w:szCs w:val="26"/>
        </w:rPr>
        <w:t>.</w:t>
      </w:r>
      <w:r w:rsidRPr="00EA7BC5">
        <w:rPr>
          <w:sz w:val="26"/>
          <w:szCs w:val="26"/>
        </w:rPr>
        <w:t xml:space="preserve"> 824</w:t>
      </w:r>
      <w:r w:rsidR="006A624B">
        <w:rPr>
          <w:rFonts w:ascii="Calibri" w:hAnsi="Calibri"/>
          <w:i/>
          <w:sz w:val="26"/>
          <w:szCs w:val="26"/>
        </w:rPr>
        <w:t>l</w:t>
      </w:r>
      <w:r w:rsidRPr="00A3551E" w:rsidR="00A3551E">
        <w:rPr>
          <w:iCs/>
          <w:sz w:val="26"/>
          <w:szCs w:val="26"/>
        </w:rPr>
        <w:t>(b)</w:t>
      </w:r>
    </w:p>
  </w:footnote>
  <w:footnote w:id="4">
    <w:p w:rsidR="00016BD0" w:rsidRPr="001E14BA" w14:paraId="17D07355" w14:textId="3CAF6063">
      <w:pPr>
        <w:pStyle w:val="FootnoteText"/>
        <w:rPr>
          <w:bCs/>
          <w:sz w:val="26"/>
        </w:rPr>
      </w:pPr>
      <w:r w:rsidRPr="001E14BA">
        <w:rPr>
          <w:rStyle w:val="FootnoteReference"/>
          <w:b w:val="0"/>
        </w:rPr>
        <w:footnoteRef/>
      </w:r>
      <w:r w:rsidRPr="001E14BA">
        <w:rPr>
          <w:bCs/>
          <w:sz w:val="26"/>
        </w:rPr>
        <w:t xml:space="preserve"> </w:t>
      </w:r>
      <w:r w:rsidRPr="001E14BA" w:rsidR="00145D03">
        <w:rPr>
          <w:bCs/>
          <w:sz w:val="26"/>
        </w:rPr>
        <w:t>FPA section 3(23) (1</w:t>
      </w:r>
      <w:r w:rsidRPr="001E14BA" w:rsidR="0022776E">
        <w:rPr>
          <w:bCs/>
          <w:sz w:val="26"/>
        </w:rPr>
        <w:t xml:space="preserve">6 U.S.C. 796(23)) </w:t>
      </w:r>
      <w:r w:rsidR="001E14BA">
        <w:rPr>
          <w:bCs/>
          <w:sz w:val="26"/>
        </w:rPr>
        <w:t xml:space="preserve">defines “transmitting utility” </w:t>
      </w:r>
      <w:r w:rsidRPr="001E14BA" w:rsidR="0022776E">
        <w:rPr>
          <w:bCs/>
          <w:sz w:val="26"/>
        </w:rPr>
        <w:t xml:space="preserve">as an entity that owns, operates, or controls </w:t>
      </w:r>
      <w:r w:rsidRPr="001E14BA" w:rsidR="00CF7F10">
        <w:rPr>
          <w:bCs/>
          <w:sz w:val="26"/>
        </w:rPr>
        <w:t>facilities</w:t>
      </w:r>
      <w:r w:rsidRPr="001E14BA" w:rsidR="0022776E">
        <w:rPr>
          <w:bCs/>
          <w:sz w:val="26"/>
        </w:rPr>
        <w:t xml:space="preserve"> used for the transmission of electric energy in interstate commerce for the sale of electric energy at wholesale.</w:t>
      </w:r>
    </w:p>
  </w:footnote>
  <w:footnote w:id="5">
    <w:p w:rsidR="00B77E01" w:rsidRPr="00621573" w:rsidP="00B77E01" w14:paraId="5F901CF0" w14:textId="52685BE7">
      <w:pPr>
        <w:pStyle w:val="FootnoteText"/>
        <w:rPr>
          <w:sz w:val="26"/>
          <w:szCs w:val="26"/>
        </w:rPr>
      </w:pPr>
      <w:r w:rsidRPr="00042067">
        <w:rPr>
          <w:rStyle w:val="FootnoteReference"/>
          <w:b w:val="0"/>
          <w:bCs/>
        </w:rPr>
        <w:footnoteRef/>
      </w:r>
      <w:r w:rsidRPr="00621573">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w:t>
      </w:r>
      <w:r w:rsidR="00042067">
        <w:rPr>
          <w:sz w:val="26"/>
          <w:szCs w:val="26"/>
        </w:rPr>
        <w:t>5 CFR</w:t>
      </w:r>
      <w:r w:rsidRPr="00621573">
        <w:rPr>
          <w:sz w:val="26"/>
          <w:szCs w:val="26"/>
        </w:rPr>
        <w:t xml:space="preserve"> 1320.3.</w:t>
      </w:r>
    </w:p>
  </w:footnote>
  <w:footnote w:id="6">
    <w:p w:rsidR="00B77E01" w:rsidRPr="00494016" w:rsidP="00B77E01" w14:paraId="36B31036" w14:textId="77777777">
      <w:pPr>
        <w:pStyle w:val="FootnoteText"/>
        <w:rPr>
          <w:sz w:val="26"/>
          <w:szCs w:val="26"/>
        </w:rPr>
      </w:pPr>
      <w:r w:rsidRPr="00042067">
        <w:rPr>
          <w:rStyle w:val="FootnoteReference"/>
          <w:b w:val="0"/>
          <w:bCs/>
        </w:rPr>
        <w:footnoteRef/>
      </w:r>
      <w:r w:rsidRPr="00621573">
        <w:rPr>
          <w:sz w:val="26"/>
          <w:szCs w:val="26"/>
        </w:rPr>
        <w:t xml:space="preserve"> The Commission staff </w:t>
      </w:r>
      <w:r w:rsidRPr="00902D27">
        <w:rPr>
          <w:sz w:val="26"/>
          <w:szCs w:val="26"/>
        </w:rPr>
        <w:t>estimates that the industry’s hourly cost for wages plus benefits is similar to the Commission’s $87.00 FY 2021 average</w:t>
      </w:r>
      <w:r w:rsidRPr="00621573">
        <w:rPr>
          <w:sz w:val="26"/>
          <w:szCs w:val="26"/>
        </w:rPr>
        <w:t xml:space="preserve"> hourly cost for wages and benefits.</w:t>
      </w:r>
      <w:r w:rsidRPr="00A75CA1">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B63" w:rsidP="00810D18" w14:paraId="1230597F" w14:textId="2CED6C1A">
    <w:pPr>
      <w:pStyle w:val="Header"/>
    </w:pPr>
    <w:r>
      <w:t xml:space="preserve">Docket No. </w:t>
    </w:r>
    <w:r w:rsidR="00A8344E">
      <w:t>IC</w:t>
    </w:r>
    <w:r w:rsidR="00B77E01">
      <w:t>22</w:t>
    </w:r>
    <w:r>
      <w:t>-</w:t>
    </w:r>
    <w:r w:rsidR="00B77E01">
      <w:t>18</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rsidR="00D43B63" w14:paraId="10170C13" w14:textId="76D2D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546A19"/>
    <w:multiLevelType w:val="hybridMultilevel"/>
    <w:tmpl w:val="3088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A92585"/>
    <w:multiLevelType w:val="hybridMultilevel"/>
    <w:tmpl w:val="37181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2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16BD0"/>
    <w:rsid w:val="00016EDB"/>
    <w:rsid w:val="00023EA9"/>
    <w:rsid w:val="000241AE"/>
    <w:rsid w:val="0003365C"/>
    <w:rsid w:val="00034C49"/>
    <w:rsid w:val="00042067"/>
    <w:rsid w:val="000459B6"/>
    <w:rsid w:val="00056C5D"/>
    <w:rsid w:val="00062427"/>
    <w:rsid w:val="0006374F"/>
    <w:rsid w:val="00080D94"/>
    <w:rsid w:val="000861D3"/>
    <w:rsid w:val="00096CAD"/>
    <w:rsid w:val="000A0250"/>
    <w:rsid w:val="000A660C"/>
    <w:rsid w:val="000A7E68"/>
    <w:rsid w:val="000D1CDE"/>
    <w:rsid w:val="000E2568"/>
    <w:rsid w:val="000F0B0E"/>
    <w:rsid w:val="0010087B"/>
    <w:rsid w:val="00112C9F"/>
    <w:rsid w:val="001240C7"/>
    <w:rsid w:val="00125330"/>
    <w:rsid w:val="0013400E"/>
    <w:rsid w:val="00145D03"/>
    <w:rsid w:val="001479DF"/>
    <w:rsid w:val="0015578A"/>
    <w:rsid w:val="00155DE9"/>
    <w:rsid w:val="00156BBB"/>
    <w:rsid w:val="001600DF"/>
    <w:rsid w:val="00171725"/>
    <w:rsid w:val="00180C71"/>
    <w:rsid w:val="00181BF7"/>
    <w:rsid w:val="00191376"/>
    <w:rsid w:val="001A6AD6"/>
    <w:rsid w:val="001B78B8"/>
    <w:rsid w:val="001E14BA"/>
    <w:rsid w:val="001E6510"/>
    <w:rsid w:val="00200437"/>
    <w:rsid w:val="002014F0"/>
    <w:rsid w:val="002023A4"/>
    <w:rsid w:val="00224BF2"/>
    <w:rsid w:val="0022776E"/>
    <w:rsid w:val="00235946"/>
    <w:rsid w:val="00254C99"/>
    <w:rsid w:val="00262DCA"/>
    <w:rsid w:val="0027045E"/>
    <w:rsid w:val="0027452E"/>
    <w:rsid w:val="00293D56"/>
    <w:rsid w:val="002B531B"/>
    <w:rsid w:val="002B7AA8"/>
    <w:rsid w:val="002D5237"/>
    <w:rsid w:val="002E0351"/>
    <w:rsid w:val="002E5FD0"/>
    <w:rsid w:val="002F24E8"/>
    <w:rsid w:val="002F3E94"/>
    <w:rsid w:val="002F697A"/>
    <w:rsid w:val="003019E7"/>
    <w:rsid w:val="00302F75"/>
    <w:rsid w:val="00303717"/>
    <w:rsid w:val="003060F0"/>
    <w:rsid w:val="003062C2"/>
    <w:rsid w:val="00310EFC"/>
    <w:rsid w:val="00311D90"/>
    <w:rsid w:val="003149BC"/>
    <w:rsid w:val="00316B92"/>
    <w:rsid w:val="003226B6"/>
    <w:rsid w:val="003321DB"/>
    <w:rsid w:val="00334F14"/>
    <w:rsid w:val="00337BA7"/>
    <w:rsid w:val="0034195C"/>
    <w:rsid w:val="00343A03"/>
    <w:rsid w:val="00343AD7"/>
    <w:rsid w:val="00347056"/>
    <w:rsid w:val="00361371"/>
    <w:rsid w:val="00363638"/>
    <w:rsid w:val="00363F79"/>
    <w:rsid w:val="003673EC"/>
    <w:rsid w:val="00376525"/>
    <w:rsid w:val="00383BC8"/>
    <w:rsid w:val="0038431F"/>
    <w:rsid w:val="003960E0"/>
    <w:rsid w:val="003A1A72"/>
    <w:rsid w:val="003A3189"/>
    <w:rsid w:val="003C3E7A"/>
    <w:rsid w:val="003C5CBE"/>
    <w:rsid w:val="003C7BC3"/>
    <w:rsid w:val="003E44AD"/>
    <w:rsid w:val="003F5968"/>
    <w:rsid w:val="00406999"/>
    <w:rsid w:val="0040718A"/>
    <w:rsid w:val="00425DA2"/>
    <w:rsid w:val="00426898"/>
    <w:rsid w:val="00430CAE"/>
    <w:rsid w:val="00443282"/>
    <w:rsid w:val="0044338D"/>
    <w:rsid w:val="00446BB3"/>
    <w:rsid w:val="0045734B"/>
    <w:rsid w:val="004609EE"/>
    <w:rsid w:val="00465CD4"/>
    <w:rsid w:val="004759C4"/>
    <w:rsid w:val="00485A51"/>
    <w:rsid w:val="004879AA"/>
    <w:rsid w:val="00494016"/>
    <w:rsid w:val="0049480F"/>
    <w:rsid w:val="004B7B57"/>
    <w:rsid w:val="004C70C8"/>
    <w:rsid w:val="004C77EF"/>
    <w:rsid w:val="004D27A2"/>
    <w:rsid w:val="004E4EAD"/>
    <w:rsid w:val="004F26DA"/>
    <w:rsid w:val="00513DA8"/>
    <w:rsid w:val="00514B50"/>
    <w:rsid w:val="00516493"/>
    <w:rsid w:val="00534CA5"/>
    <w:rsid w:val="00534E3E"/>
    <w:rsid w:val="00536BA0"/>
    <w:rsid w:val="0054073B"/>
    <w:rsid w:val="00544B04"/>
    <w:rsid w:val="0054746C"/>
    <w:rsid w:val="005648E2"/>
    <w:rsid w:val="00566C57"/>
    <w:rsid w:val="0058081B"/>
    <w:rsid w:val="00585F73"/>
    <w:rsid w:val="005A0148"/>
    <w:rsid w:val="005A2F24"/>
    <w:rsid w:val="005A3F56"/>
    <w:rsid w:val="005A7903"/>
    <w:rsid w:val="005A7C58"/>
    <w:rsid w:val="005B4DA4"/>
    <w:rsid w:val="005C6D4E"/>
    <w:rsid w:val="005D16A1"/>
    <w:rsid w:val="005E6D8A"/>
    <w:rsid w:val="005F1ACD"/>
    <w:rsid w:val="005F3DAA"/>
    <w:rsid w:val="005F726F"/>
    <w:rsid w:val="005F729D"/>
    <w:rsid w:val="006128A5"/>
    <w:rsid w:val="006144F3"/>
    <w:rsid w:val="0062085E"/>
    <w:rsid w:val="00621573"/>
    <w:rsid w:val="00634374"/>
    <w:rsid w:val="0063716C"/>
    <w:rsid w:val="006374BA"/>
    <w:rsid w:val="00637F43"/>
    <w:rsid w:val="00642602"/>
    <w:rsid w:val="00644A1B"/>
    <w:rsid w:val="00650FA1"/>
    <w:rsid w:val="006536D8"/>
    <w:rsid w:val="00654BA4"/>
    <w:rsid w:val="00665AE9"/>
    <w:rsid w:val="00666A01"/>
    <w:rsid w:val="00680D78"/>
    <w:rsid w:val="00692352"/>
    <w:rsid w:val="00695E65"/>
    <w:rsid w:val="006963BC"/>
    <w:rsid w:val="006A34AE"/>
    <w:rsid w:val="006A423E"/>
    <w:rsid w:val="006A624B"/>
    <w:rsid w:val="006C6B0C"/>
    <w:rsid w:val="006D552E"/>
    <w:rsid w:val="006E10F4"/>
    <w:rsid w:val="006E75AA"/>
    <w:rsid w:val="006E7CBB"/>
    <w:rsid w:val="006F3647"/>
    <w:rsid w:val="00700D2A"/>
    <w:rsid w:val="00714F57"/>
    <w:rsid w:val="00727594"/>
    <w:rsid w:val="00727C5E"/>
    <w:rsid w:val="007349A2"/>
    <w:rsid w:val="007356B8"/>
    <w:rsid w:val="00741C80"/>
    <w:rsid w:val="0074219E"/>
    <w:rsid w:val="0075009F"/>
    <w:rsid w:val="00754526"/>
    <w:rsid w:val="00773B18"/>
    <w:rsid w:val="00777183"/>
    <w:rsid w:val="00782ACA"/>
    <w:rsid w:val="007835D1"/>
    <w:rsid w:val="007B588C"/>
    <w:rsid w:val="007C1916"/>
    <w:rsid w:val="007C6AC2"/>
    <w:rsid w:val="007C729C"/>
    <w:rsid w:val="007D1E8F"/>
    <w:rsid w:val="007E2F40"/>
    <w:rsid w:val="007F64F2"/>
    <w:rsid w:val="00803CA2"/>
    <w:rsid w:val="00807CAC"/>
    <w:rsid w:val="00810D18"/>
    <w:rsid w:val="008115BF"/>
    <w:rsid w:val="00812B30"/>
    <w:rsid w:val="00821DAB"/>
    <w:rsid w:val="00824D81"/>
    <w:rsid w:val="008251F9"/>
    <w:rsid w:val="00836DF9"/>
    <w:rsid w:val="0084158A"/>
    <w:rsid w:val="00847229"/>
    <w:rsid w:val="00853ABC"/>
    <w:rsid w:val="0085755E"/>
    <w:rsid w:val="00872AB9"/>
    <w:rsid w:val="008744D1"/>
    <w:rsid w:val="00880F62"/>
    <w:rsid w:val="00881405"/>
    <w:rsid w:val="0089069F"/>
    <w:rsid w:val="00895DA2"/>
    <w:rsid w:val="00897359"/>
    <w:rsid w:val="008A020E"/>
    <w:rsid w:val="008B6E06"/>
    <w:rsid w:val="008C572B"/>
    <w:rsid w:val="008D25B7"/>
    <w:rsid w:val="008D300A"/>
    <w:rsid w:val="008D5479"/>
    <w:rsid w:val="008D5932"/>
    <w:rsid w:val="008E0B8C"/>
    <w:rsid w:val="008E0DF5"/>
    <w:rsid w:val="008E3273"/>
    <w:rsid w:val="008E5073"/>
    <w:rsid w:val="008E5123"/>
    <w:rsid w:val="008E7400"/>
    <w:rsid w:val="008F5501"/>
    <w:rsid w:val="00901C05"/>
    <w:rsid w:val="00902D27"/>
    <w:rsid w:val="00904068"/>
    <w:rsid w:val="0091579A"/>
    <w:rsid w:val="009179E9"/>
    <w:rsid w:val="00937284"/>
    <w:rsid w:val="00940C0F"/>
    <w:rsid w:val="00950487"/>
    <w:rsid w:val="0095311D"/>
    <w:rsid w:val="00954CCB"/>
    <w:rsid w:val="00955F2D"/>
    <w:rsid w:val="009744C8"/>
    <w:rsid w:val="00975C8A"/>
    <w:rsid w:val="00981886"/>
    <w:rsid w:val="00990FEC"/>
    <w:rsid w:val="009A0577"/>
    <w:rsid w:val="009A1B08"/>
    <w:rsid w:val="009A6E91"/>
    <w:rsid w:val="009B16DB"/>
    <w:rsid w:val="009B4450"/>
    <w:rsid w:val="009B747B"/>
    <w:rsid w:val="009C25C4"/>
    <w:rsid w:val="009C4A13"/>
    <w:rsid w:val="009E0F58"/>
    <w:rsid w:val="009E5557"/>
    <w:rsid w:val="009E582C"/>
    <w:rsid w:val="009E66F8"/>
    <w:rsid w:val="009F163A"/>
    <w:rsid w:val="009F7DE3"/>
    <w:rsid w:val="00A038F9"/>
    <w:rsid w:val="00A1585A"/>
    <w:rsid w:val="00A2534D"/>
    <w:rsid w:val="00A2604E"/>
    <w:rsid w:val="00A3551E"/>
    <w:rsid w:val="00A43A4A"/>
    <w:rsid w:val="00A507F0"/>
    <w:rsid w:val="00A53A74"/>
    <w:rsid w:val="00A56A3E"/>
    <w:rsid w:val="00A664DF"/>
    <w:rsid w:val="00A713D0"/>
    <w:rsid w:val="00A72814"/>
    <w:rsid w:val="00A759B3"/>
    <w:rsid w:val="00A75CA1"/>
    <w:rsid w:val="00A82A29"/>
    <w:rsid w:val="00A8344E"/>
    <w:rsid w:val="00A8690F"/>
    <w:rsid w:val="00A86D9E"/>
    <w:rsid w:val="00AA4050"/>
    <w:rsid w:val="00AA516A"/>
    <w:rsid w:val="00AA5B0E"/>
    <w:rsid w:val="00AC66FD"/>
    <w:rsid w:val="00AC750B"/>
    <w:rsid w:val="00AC77B8"/>
    <w:rsid w:val="00AD4128"/>
    <w:rsid w:val="00AE1F12"/>
    <w:rsid w:val="00AE3A78"/>
    <w:rsid w:val="00AE4155"/>
    <w:rsid w:val="00AE4B7C"/>
    <w:rsid w:val="00AF0AC9"/>
    <w:rsid w:val="00AF349B"/>
    <w:rsid w:val="00B01B16"/>
    <w:rsid w:val="00B13EE3"/>
    <w:rsid w:val="00B22DCB"/>
    <w:rsid w:val="00B2382E"/>
    <w:rsid w:val="00B34A0B"/>
    <w:rsid w:val="00B447D7"/>
    <w:rsid w:val="00B46E93"/>
    <w:rsid w:val="00B46F03"/>
    <w:rsid w:val="00B5066A"/>
    <w:rsid w:val="00B55B8C"/>
    <w:rsid w:val="00B56882"/>
    <w:rsid w:val="00B65A09"/>
    <w:rsid w:val="00B718A5"/>
    <w:rsid w:val="00B76A1F"/>
    <w:rsid w:val="00B77E01"/>
    <w:rsid w:val="00B824D8"/>
    <w:rsid w:val="00B82F8C"/>
    <w:rsid w:val="00B961C3"/>
    <w:rsid w:val="00BA0FBC"/>
    <w:rsid w:val="00BA218C"/>
    <w:rsid w:val="00BA5479"/>
    <w:rsid w:val="00BB1106"/>
    <w:rsid w:val="00BB179A"/>
    <w:rsid w:val="00BB7D82"/>
    <w:rsid w:val="00BC200B"/>
    <w:rsid w:val="00BD74AE"/>
    <w:rsid w:val="00BE3392"/>
    <w:rsid w:val="00BE3FE7"/>
    <w:rsid w:val="00BF29D8"/>
    <w:rsid w:val="00BF2D74"/>
    <w:rsid w:val="00BF38BC"/>
    <w:rsid w:val="00BF3A59"/>
    <w:rsid w:val="00BF47B6"/>
    <w:rsid w:val="00BF4CC8"/>
    <w:rsid w:val="00BF7AC7"/>
    <w:rsid w:val="00C1124F"/>
    <w:rsid w:val="00C25EDD"/>
    <w:rsid w:val="00C330D1"/>
    <w:rsid w:val="00C37BFF"/>
    <w:rsid w:val="00C44372"/>
    <w:rsid w:val="00C51458"/>
    <w:rsid w:val="00C53580"/>
    <w:rsid w:val="00C55838"/>
    <w:rsid w:val="00C55F30"/>
    <w:rsid w:val="00C728C5"/>
    <w:rsid w:val="00C77EF7"/>
    <w:rsid w:val="00C81A97"/>
    <w:rsid w:val="00C820F1"/>
    <w:rsid w:val="00C90F4D"/>
    <w:rsid w:val="00C91512"/>
    <w:rsid w:val="00CA6636"/>
    <w:rsid w:val="00CA6D76"/>
    <w:rsid w:val="00CB7448"/>
    <w:rsid w:val="00CB769C"/>
    <w:rsid w:val="00CC04DF"/>
    <w:rsid w:val="00CC431F"/>
    <w:rsid w:val="00CD37C7"/>
    <w:rsid w:val="00CD57EB"/>
    <w:rsid w:val="00CD5C97"/>
    <w:rsid w:val="00CD786C"/>
    <w:rsid w:val="00CE3598"/>
    <w:rsid w:val="00CF4753"/>
    <w:rsid w:val="00CF71E0"/>
    <w:rsid w:val="00CF7F10"/>
    <w:rsid w:val="00D0083B"/>
    <w:rsid w:val="00D0441F"/>
    <w:rsid w:val="00D13E8F"/>
    <w:rsid w:val="00D326BB"/>
    <w:rsid w:val="00D42209"/>
    <w:rsid w:val="00D43B63"/>
    <w:rsid w:val="00D44183"/>
    <w:rsid w:val="00D50830"/>
    <w:rsid w:val="00D57D87"/>
    <w:rsid w:val="00D65D56"/>
    <w:rsid w:val="00D9761F"/>
    <w:rsid w:val="00DA529F"/>
    <w:rsid w:val="00DC5017"/>
    <w:rsid w:val="00DD18FF"/>
    <w:rsid w:val="00DD2ED3"/>
    <w:rsid w:val="00DD7F1B"/>
    <w:rsid w:val="00DE09FF"/>
    <w:rsid w:val="00DE54FF"/>
    <w:rsid w:val="00E024B6"/>
    <w:rsid w:val="00E1149B"/>
    <w:rsid w:val="00E13A02"/>
    <w:rsid w:val="00E31680"/>
    <w:rsid w:val="00E34382"/>
    <w:rsid w:val="00E3662E"/>
    <w:rsid w:val="00E41DB9"/>
    <w:rsid w:val="00E47A5A"/>
    <w:rsid w:val="00E60664"/>
    <w:rsid w:val="00E655BE"/>
    <w:rsid w:val="00E66276"/>
    <w:rsid w:val="00E75CE9"/>
    <w:rsid w:val="00E762BB"/>
    <w:rsid w:val="00E77B33"/>
    <w:rsid w:val="00E808B6"/>
    <w:rsid w:val="00E8193F"/>
    <w:rsid w:val="00E8661B"/>
    <w:rsid w:val="00E91FD5"/>
    <w:rsid w:val="00E92E09"/>
    <w:rsid w:val="00EA6337"/>
    <w:rsid w:val="00EA689F"/>
    <w:rsid w:val="00EA7BC5"/>
    <w:rsid w:val="00EB119D"/>
    <w:rsid w:val="00EB749E"/>
    <w:rsid w:val="00EF1D00"/>
    <w:rsid w:val="00EF2866"/>
    <w:rsid w:val="00EF33BE"/>
    <w:rsid w:val="00F0383C"/>
    <w:rsid w:val="00F05ECA"/>
    <w:rsid w:val="00F0669A"/>
    <w:rsid w:val="00F11631"/>
    <w:rsid w:val="00F12A43"/>
    <w:rsid w:val="00F24AB0"/>
    <w:rsid w:val="00F309CB"/>
    <w:rsid w:val="00F33E2E"/>
    <w:rsid w:val="00F34A4D"/>
    <w:rsid w:val="00F44A0E"/>
    <w:rsid w:val="00F60C79"/>
    <w:rsid w:val="00F62A51"/>
    <w:rsid w:val="00F8646E"/>
    <w:rsid w:val="00F955CE"/>
    <w:rsid w:val="00F9675E"/>
    <w:rsid w:val="00FC3F00"/>
    <w:rsid w:val="00FE4B8E"/>
    <w:rsid w:val="00FF1D71"/>
    <w:rsid w:val="00FF3F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www.ferc.gov" TargetMode="External" /><Relationship Id="rId12" Type="http://schemas.openxmlformats.org/officeDocument/2006/relationships/hyperlink" Target="http://www.ferc.gov/help/submission-guide.asp"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95A7819C-36CA-43B0-BC49-6B26ADD7E0ED}">
  <ds:schemaRefs>
    <ds:schemaRef ds:uri="Microsoft.SharePoint.Taxonomy.ContentTypeSync"/>
  </ds:schemaRefs>
</ds:datastoreItem>
</file>

<file path=customXml/itemProps3.xml><?xml version="1.0" encoding="utf-8"?>
<ds:datastoreItem xmlns:ds="http://schemas.openxmlformats.org/officeDocument/2006/customXml" ds:itemID="{AEA939A4-2215-49C7-974A-D9101E033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2016-12-20T13:40:00Z</cp:lastPrinted>
  <dcterms:created xsi:type="dcterms:W3CDTF">2022-09-08T11:46:00Z</dcterms:created>
  <dcterms:modified xsi:type="dcterms:W3CDTF">2022-09-08T11:46:00Z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e7bf7f68-3ad5-497b-b80f-5a878260ef4e</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2022-09-08T11:45:16Z</vt:lpwstr>
  </property>
  <property fmtid="{D5CDD505-2E9C-101B-9397-08002B2CF9AE}" pid="8" name="MSIP_Label_6155a89b-0f08-4a93-8ea2-8a916d6643b5_SiteId">
    <vt:lpwstr>19caa9e9-04ff-43fa-885f-d77fac387903</vt:lpwstr>
  </property>
</Properties>
</file>