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77CF" w:rsidR="000E152C" w:rsidP="000E152C" w:rsidRDefault="000E152C" w14:paraId="73468C76" w14:textId="77777777">
      <w:pPr>
        <w:tabs>
          <w:tab w:val="center" w:pos="5040"/>
        </w:tabs>
        <w:autoSpaceDE w:val="0"/>
        <w:autoSpaceDN w:val="0"/>
        <w:adjustRightInd w:val="0"/>
        <w:spacing w:after="0" w:line="240" w:lineRule="auto"/>
        <w:jc w:val="center"/>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Supporting Statement for</w:t>
      </w:r>
    </w:p>
    <w:p w:rsidRPr="008B77CF" w:rsidR="000E152C" w:rsidP="000E152C" w:rsidRDefault="000E152C" w14:paraId="73468C77" w14:textId="77777777">
      <w:pPr>
        <w:widowControl w:val="0"/>
        <w:tabs>
          <w:tab w:val="center" w:pos="5040"/>
        </w:tabs>
        <w:autoSpaceDE w:val="0"/>
        <w:autoSpaceDN w:val="0"/>
        <w:adjustRightInd w:val="0"/>
        <w:spacing w:after="0" w:line="240" w:lineRule="auto"/>
        <w:jc w:val="center"/>
        <w:rPr>
          <w:rFonts w:ascii="Times New Roman" w:hAnsi="Times New Roman" w:eastAsia="Times New Roman" w:cs="Times New Roman"/>
          <w:b/>
          <w:bCs/>
          <w:sz w:val="24"/>
          <w:szCs w:val="24"/>
        </w:rPr>
      </w:pPr>
      <w:r w:rsidRPr="008B77CF">
        <w:rPr>
          <w:rFonts w:ascii="Times New Roman" w:hAnsi="Times New Roman" w:eastAsia="Times New Roman" w:cs="Times New Roman"/>
          <w:b/>
          <w:bCs/>
          <w:sz w:val="24"/>
          <w:szCs w:val="24"/>
        </w:rPr>
        <w:t>FERC-729, Electric Transmission Facilities</w:t>
      </w:r>
    </w:p>
    <w:p w:rsidRPr="008B77CF" w:rsidR="000E152C" w:rsidP="000E152C" w:rsidRDefault="000E152C" w14:paraId="73468C78" w14:textId="77777777">
      <w:pPr>
        <w:tabs>
          <w:tab w:val="center" w:pos="5040"/>
        </w:tabs>
        <w:autoSpaceDE w:val="0"/>
        <w:autoSpaceDN w:val="0"/>
        <w:adjustRightInd w:val="0"/>
        <w:spacing w:after="0" w:line="240" w:lineRule="auto"/>
        <w:jc w:val="center"/>
        <w:rPr>
          <w:rFonts w:ascii="Times New Roman" w:hAnsi="Times New Roman" w:eastAsia="Times New Roman" w:cs="Times New Roman"/>
          <w:b/>
          <w:bCs/>
          <w:sz w:val="24"/>
          <w:szCs w:val="24"/>
        </w:rPr>
      </w:pPr>
    </w:p>
    <w:p w:rsidRPr="008B77CF" w:rsidR="000E152C" w:rsidP="000E152C" w:rsidRDefault="000E152C" w14:paraId="73468C79" w14:textId="5F62937D">
      <w:pPr>
        <w:widowControl w:val="0"/>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 xml:space="preserve">The Federal Energy Regulatory Commission (Commission or FERC) requests that the Office of Management and Budget (OMB) review and approve </w:t>
      </w:r>
      <w:r w:rsidRPr="008B77CF">
        <w:rPr>
          <w:rFonts w:ascii="Times New Roman" w:hAnsi="Times New Roman" w:eastAsia="Times New Roman" w:cs="Times New Roman"/>
          <w:bCs/>
          <w:sz w:val="24"/>
          <w:szCs w:val="24"/>
        </w:rPr>
        <w:t xml:space="preserve">FERC-729, Electric Transmission Facilities, </w:t>
      </w:r>
      <w:r w:rsidRPr="008B77CF">
        <w:rPr>
          <w:rFonts w:ascii="Times New Roman" w:hAnsi="Times New Roman" w:eastAsia="Times New Roman" w:cs="Times New Roman"/>
          <w:sz w:val="24"/>
          <w:szCs w:val="24"/>
        </w:rPr>
        <w:t>for a three</w:t>
      </w:r>
      <w:r w:rsidR="00D619AF">
        <w:rPr>
          <w:rFonts w:ascii="Times New Roman" w:hAnsi="Times New Roman" w:eastAsia="Times New Roman" w:cs="Times New Roman"/>
          <w:sz w:val="24"/>
          <w:szCs w:val="24"/>
        </w:rPr>
        <w:t>-</w:t>
      </w:r>
      <w:r w:rsidRPr="008B77CF">
        <w:rPr>
          <w:rFonts w:ascii="Times New Roman" w:hAnsi="Times New Roman" w:eastAsia="Times New Roman" w:cs="Times New Roman"/>
          <w:sz w:val="24"/>
          <w:szCs w:val="24"/>
        </w:rPr>
        <w:t xml:space="preserve">year period.  FERC-729 (OMB Control No. 1902-0238) is an existing </w:t>
      </w:r>
      <w:r w:rsidR="00A41579">
        <w:rPr>
          <w:rFonts w:ascii="Times New Roman" w:hAnsi="Times New Roman" w:eastAsia="Times New Roman" w:cs="Times New Roman"/>
          <w:sz w:val="24"/>
          <w:szCs w:val="24"/>
        </w:rPr>
        <w:t>information</w:t>
      </w:r>
      <w:r w:rsidRPr="008B77CF">
        <w:rPr>
          <w:rFonts w:ascii="Times New Roman" w:hAnsi="Times New Roman" w:eastAsia="Times New Roman" w:cs="Times New Roman"/>
          <w:sz w:val="24"/>
          <w:szCs w:val="24"/>
        </w:rPr>
        <w:t xml:space="preserve"> collection </w:t>
      </w:r>
      <w:r w:rsidR="00C6293B">
        <w:rPr>
          <w:rFonts w:ascii="Times New Roman" w:hAnsi="Times New Roman" w:eastAsia="Times New Roman" w:cs="Times New Roman"/>
          <w:sz w:val="24"/>
          <w:szCs w:val="24"/>
        </w:rPr>
        <w:t>under</w:t>
      </w:r>
      <w:r w:rsidR="00FE2450">
        <w:rPr>
          <w:rFonts w:ascii="Times New Roman" w:hAnsi="Times New Roman" w:eastAsia="Times New Roman" w:cs="Times New Roman"/>
          <w:sz w:val="24"/>
          <w:szCs w:val="24"/>
        </w:rPr>
        <w:t xml:space="preserve"> </w:t>
      </w:r>
      <w:r w:rsidRPr="008B77CF">
        <w:rPr>
          <w:rFonts w:ascii="Times New Roman" w:hAnsi="Times New Roman" w:eastAsia="Times New Roman" w:cs="Times New Roman"/>
          <w:sz w:val="24"/>
          <w:szCs w:val="24"/>
        </w:rPr>
        <w:t xml:space="preserve">18 Code of Federal Regulations (CFR) </w:t>
      </w:r>
      <w:r w:rsidR="00C6293B">
        <w:rPr>
          <w:rFonts w:ascii="Times New Roman" w:hAnsi="Times New Roman" w:eastAsia="Times New Roman" w:cs="Times New Roman"/>
          <w:sz w:val="24"/>
          <w:szCs w:val="24"/>
        </w:rPr>
        <w:t>p</w:t>
      </w:r>
      <w:r w:rsidRPr="008B77CF">
        <w:rPr>
          <w:rFonts w:ascii="Times New Roman" w:hAnsi="Times New Roman" w:eastAsia="Times New Roman" w:cs="Times New Roman"/>
          <w:sz w:val="24"/>
          <w:szCs w:val="24"/>
        </w:rPr>
        <w:t>art 50.</w:t>
      </w:r>
      <w:r w:rsidRPr="00711E79" w:rsidR="00E1743E">
        <w:rPr>
          <w:rFonts w:ascii="Times New Roman" w:hAnsi="Times New Roman" w:eastAsia="Times New Roman" w:cs="Times New Roman"/>
          <w:b/>
          <w:sz w:val="24"/>
          <w:szCs w:val="24"/>
          <w:vertAlign w:val="superscript"/>
        </w:rPr>
        <w:footnoteReference w:id="1"/>
      </w:r>
    </w:p>
    <w:p w:rsidRPr="008B77CF" w:rsidR="000E152C" w:rsidP="000E152C" w:rsidRDefault="000E152C" w14:paraId="73468C7A"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7B" w14:textId="77777777">
      <w:pPr>
        <w:widowControl w:val="0"/>
        <w:numPr>
          <w:ilvl w:val="0"/>
          <w:numId w:val="6"/>
        </w:numPr>
        <w:tabs>
          <w:tab w:val="num" w:pos="720"/>
          <w:tab w:val="left" w:pos="180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CIRCUMSTANCES THAT MAKE THE COLLECTION OF INFORMATION NECESSARY</w:t>
      </w:r>
    </w:p>
    <w:p w:rsidRPr="008B77CF" w:rsidR="000E152C" w:rsidP="000E152C" w:rsidRDefault="000E152C" w14:paraId="73468C7C" w14:textId="77777777">
      <w:pPr>
        <w:tabs>
          <w:tab w:val="left" w:pos="1800"/>
        </w:tabs>
        <w:autoSpaceDE w:val="0"/>
        <w:autoSpaceDN w:val="0"/>
        <w:adjustRightInd w:val="0"/>
        <w:spacing w:after="0" w:line="240" w:lineRule="auto"/>
        <w:rPr>
          <w:rFonts w:ascii="Times New Roman" w:hAnsi="Times New Roman" w:eastAsia="Times New Roman" w:cs="Times New Roman"/>
          <w:b/>
          <w:sz w:val="24"/>
          <w:szCs w:val="24"/>
        </w:rPr>
      </w:pPr>
    </w:p>
    <w:p w:rsidR="006319CA" w:rsidP="00D26EFF" w:rsidRDefault="00C56656" w14:paraId="557D8C0C" w14:textId="22E084AA">
      <w:pPr>
        <w:pStyle w:val="CommentText"/>
        <w:rPr>
          <w:rFonts w:ascii="Times New Roman" w:hAnsi="Times New Roman" w:eastAsia="Times New Roman" w:cs="Times New Roman"/>
          <w:sz w:val="24"/>
          <w:szCs w:val="24"/>
        </w:rPr>
      </w:pPr>
      <w:r w:rsidRPr="00C56656">
        <w:rPr>
          <w:rFonts w:ascii="Times New Roman" w:hAnsi="Times New Roman" w:eastAsia="Times New Roman" w:cs="Times New Roman"/>
          <w:sz w:val="24"/>
          <w:szCs w:val="24"/>
        </w:rPr>
        <w:t xml:space="preserve">The purpose of FERC-729 is to implement the information collection under part 50 of the Commission’s regulations.  This information collection </w:t>
      </w:r>
      <w:r w:rsidR="00D26EFF">
        <w:rPr>
          <w:rFonts w:ascii="Times New Roman" w:hAnsi="Times New Roman" w:eastAsia="Times New Roman" w:cs="Times New Roman"/>
          <w:sz w:val="24"/>
          <w:szCs w:val="24"/>
        </w:rPr>
        <w:t>consists of</w:t>
      </w:r>
      <w:r w:rsidRPr="00C56656">
        <w:rPr>
          <w:rFonts w:ascii="Times New Roman" w:hAnsi="Times New Roman" w:eastAsia="Times New Roman" w:cs="Times New Roman"/>
          <w:sz w:val="24"/>
          <w:szCs w:val="24"/>
        </w:rPr>
        <w:t xml:space="preserve"> </w:t>
      </w:r>
      <w:r w:rsidRPr="00711E79">
        <w:rPr>
          <w:rFonts w:ascii="Times New Roman" w:hAnsi="Times New Roman" w:eastAsia="Times New Roman" w:cs="Times New Roman"/>
          <w:sz w:val="24"/>
          <w:szCs w:val="24"/>
        </w:rPr>
        <w:t>the filing requirements for entities seeking to construct electric transmission facilities</w:t>
      </w:r>
      <w:r w:rsidRPr="00C56656">
        <w:rPr>
          <w:rFonts w:ascii="Times New Roman" w:hAnsi="Times New Roman" w:eastAsia="Times New Roman" w:cs="Times New Roman"/>
          <w:sz w:val="24"/>
          <w:szCs w:val="24"/>
        </w:rPr>
        <w:t xml:space="preserve"> pursuant to the Commission’s authority under section 216 of the Federal Power Act (FPA).</w:t>
      </w:r>
      <w:r w:rsidR="00D26EFF">
        <w:rPr>
          <w:rStyle w:val="FootnoteReference"/>
          <w:rFonts w:eastAsia="Times New Roman" w:cs="Times New Roman"/>
        </w:rPr>
        <w:footnoteReference w:id="2"/>
      </w:r>
      <w:r w:rsidRPr="00C56656">
        <w:rPr>
          <w:rFonts w:ascii="Times New Roman" w:hAnsi="Times New Roman" w:eastAsia="Times New Roman" w:cs="Times New Roman"/>
          <w:sz w:val="24"/>
          <w:szCs w:val="24"/>
        </w:rPr>
        <w:t xml:space="preserve">  Specifically, section 216(b) of the FPA authorizes the Commission, under certain circumstances, to issue permits for the construction of electric transmission facilities within national interest electric transmission corridors designated by the Secretary of Energy</w:t>
      </w:r>
      <w:r w:rsidRPr="00335CE8">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DF4370">
        <w:rPr>
          <w:rFonts w:ascii="Times New Roman" w:hAnsi="Times New Roman" w:eastAsia="Times New Roman" w:cs="Times New Roman"/>
          <w:sz w:val="24"/>
          <w:szCs w:val="24"/>
        </w:rPr>
        <w:t xml:space="preserve">  </w:t>
      </w:r>
      <w:r w:rsidRPr="006319CA" w:rsidR="006319CA">
        <w:rPr>
          <w:rFonts w:ascii="Times New Roman" w:hAnsi="Times New Roman" w:eastAsia="Times New Roman" w:cs="Times New Roman"/>
          <w:sz w:val="24"/>
          <w:szCs w:val="24"/>
        </w:rPr>
        <w:t xml:space="preserve"> </w:t>
      </w:r>
    </w:p>
    <w:p w:rsidRPr="008B77CF" w:rsidR="000E152C" w:rsidP="000E152C" w:rsidRDefault="000E152C" w14:paraId="73468C8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87" w14:textId="77777777">
      <w:pPr>
        <w:widowControl w:val="0"/>
        <w:numPr>
          <w:ilvl w:val="0"/>
          <w:numId w:val="1"/>
        </w:numPr>
        <w:tabs>
          <w:tab w:val="num"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 xml:space="preserve">HOW, BY WHOM AND FOR WHAT PURPOSE IS THE INFORMATION TO BE USED AND THE CONSEQUENCES OF NOT COLLECTING THE INFORMATION </w:t>
      </w:r>
    </w:p>
    <w:p w:rsidRPr="008B77CF" w:rsidR="000E152C" w:rsidP="000E152C" w:rsidRDefault="000E152C" w14:paraId="73468C88" w14:textId="77777777">
      <w:pPr>
        <w:autoSpaceDE w:val="0"/>
        <w:autoSpaceDN w:val="0"/>
        <w:adjustRightInd w:val="0"/>
        <w:spacing w:after="0" w:line="240" w:lineRule="auto"/>
        <w:ind w:left="1440"/>
        <w:rPr>
          <w:rFonts w:ascii="Times New Roman" w:hAnsi="Times New Roman" w:eastAsia="Times New Roman" w:cs="Times New Roman"/>
          <w:sz w:val="24"/>
          <w:szCs w:val="24"/>
        </w:rPr>
      </w:pPr>
    </w:p>
    <w:p w:rsidRPr="00711E79" w:rsidR="00D70695" w:rsidP="00711E79" w:rsidRDefault="00D70695" w14:paraId="11AE5AE2" w14:textId="1644B252">
      <w:pPr>
        <w:spacing w:after="0" w:line="240" w:lineRule="auto"/>
        <w:rPr>
          <w:rFonts w:ascii="Times New Roman" w:hAnsi="Times New Roman" w:eastAsia="Times New Roman" w:cs="Times New Roman"/>
          <w:sz w:val="24"/>
          <w:szCs w:val="24"/>
        </w:rPr>
      </w:pPr>
      <w:r w:rsidRPr="00711E79">
        <w:rPr>
          <w:rFonts w:ascii="Times New Roman" w:hAnsi="Times New Roman" w:eastAsia="Times New Roman" w:cs="Times New Roman"/>
          <w:sz w:val="24"/>
          <w:szCs w:val="24"/>
        </w:rPr>
        <w:t>The purpose of the Commission’s part 50 regulations is to provide for efficient and timely review of requests for permits for the siting of proposed electric transmission facilities under section 216 of the FPA.  The regulations include filing requirements associated with the Commission’s pre-filing and application review processes.  For the Commission’s pre-filing process, the regulations require applicants to file a pre-filing request</w:t>
      </w:r>
      <w:r w:rsidRPr="00711E79">
        <w:rPr>
          <w:rFonts w:ascii="Times New Roman" w:hAnsi="Times New Roman" w:eastAsia="Times New Roman" w:cs="Times New Roman"/>
          <w:b/>
          <w:sz w:val="24"/>
          <w:szCs w:val="24"/>
          <w:vertAlign w:val="superscript"/>
        </w:rPr>
        <w:footnoteReference w:id="3"/>
      </w:r>
      <w:r w:rsidRPr="00711E79">
        <w:rPr>
          <w:rFonts w:ascii="Times New Roman" w:hAnsi="Times New Roman" w:eastAsia="Times New Roman" w:cs="Times New Roman"/>
          <w:sz w:val="24"/>
          <w:szCs w:val="24"/>
        </w:rPr>
        <w:t xml:space="preserve"> and subsequent information after the commencement of the pre-filing process,</w:t>
      </w:r>
      <w:r w:rsidRPr="00711E79">
        <w:rPr>
          <w:rFonts w:ascii="Times New Roman" w:hAnsi="Times New Roman" w:eastAsia="Times New Roman" w:cs="Times New Roman"/>
          <w:b/>
          <w:sz w:val="24"/>
          <w:szCs w:val="24"/>
          <w:vertAlign w:val="superscript"/>
        </w:rPr>
        <w:footnoteReference w:id="4"/>
      </w:r>
      <w:r w:rsidRPr="00711E79">
        <w:rPr>
          <w:rFonts w:ascii="Times New Roman" w:hAnsi="Times New Roman" w:eastAsia="Times New Roman" w:cs="Times New Roman"/>
          <w:sz w:val="24"/>
          <w:szCs w:val="24"/>
        </w:rPr>
        <w:t xml:space="preserve"> including a finalized Project Participation Plan, a summary of project alternatives, draft resource reports, and monthly status reports.  After the conclusion of the pre-filing process, the regulations require applicants to file an application consisting of general project information</w:t>
      </w:r>
      <w:r w:rsidRPr="00711E79">
        <w:rPr>
          <w:rFonts w:ascii="Times New Roman" w:hAnsi="Times New Roman" w:eastAsia="Times New Roman" w:cs="Times New Roman"/>
          <w:b/>
          <w:sz w:val="24"/>
          <w:szCs w:val="24"/>
          <w:vertAlign w:val="superscript"/>
        </w:rPr>
        <w:footnoteReference w:id="5"/>
      </w:r>
      <w:r w:rsidRPr="00711E79">
        <w:rPr>
          <w:rFonts w:ascii="Times New Roman" w:hAnsi="Times New Roman" w:eastAsia="Times New Roman" w:cs="Times New Roman"/>
          <w:sz w:val="24"/>
          <w:szCs w:val="24"/>
        </w:rPr>
        <w:t>and ten exhibits,</w:t>
      </w:r>
      <w:r w:rsidRPr="00711E79">
        <w:rPr>
          <w:rFonts w:ascii="Times New Roman" w:hAnsi="Times New Roman" w:eastAsia="Times New Roman" w:cs="Times New Roman"/>
          <w:b/>
          <w:sz w:val="24"/>
          <w:szCs w:val="24"/>
          <w:vertAlign w:val="superscript"/>
        </w:rPr>
        <w:footnoteReference w:id="6"/>
      </w:r>
      <w:r w:rsidRPr="00711E79">
        <w:rPr>
          <w:rFonts w:ascii="Times New Roman" w:hAnsi="Times New Roman" w:eastAsia="Times New Roman" w:cs="Times New Roman"/>
          <w:sz w:val="24"/>
          <w:szCs w:val="24"/>
        </w:rPr>
        <w:t xml:space="preserve"> including project maps, an environmental report, engineering data, and system analysis data.</w:t>
      </w:r>
    </w:p>
    <w:p w:rsidR="002C5300" w:rsidP="002C5300" w:rsidRDefault="002C5300" w14:paraId="3AC93188" w14:textId="769DE87D">
      <w:pPr>
        <w:widowControl w:val="0"/>
        <w:autoSpaceDE w:val="0"/>
        <w:autoSpaceDN w:val="0"/>
        <w:adjustRightInd w:val="0"/>
        <w:spacing w:after="0" w:line="240" w:lineRule="auto"/>
        <w:rPr>
          <w:rFonts w:ascii="Times New Roman" w:hAnsi="Times New Roman" w:eastAsia="Times New Roman" w:cs="Times New Roman"/>
          <w:sz w:val="24"/>
          <w:szCs w:val="24"/>
        </w:rPr>
      </w:pPr>
    </w:p>
    <w:p w:rsidRPr="006319CA" w:rsidR="002C5300" w:rsidP="002C5300" w:rsidRDefault="005740AD" w14:paraId="22ECEDE3" w14:textId="6479B7F9">
      <w:pPr>
        <w:widowControl w:val="0"/>
        <w:autoSpaceDE w:val="0"/>
        <w:autoSpaceDN w:val="0"/>
        <w:adjustRightInd w:val="0"/>
        <w:spacing w:after="0" w:line="240" w:lineRule="auto"/>
        <w:rPr>
          <w:rFonts w:ascii="Times New Roman" w:hAnsi="Times New Roman" w:eastAsia="Times New Roman" w:cs="Times New Roman"/>
          <w:sz w:val="24"/>
          <w:szCs w:val="24"/>
        </w:rPr>
      </w:pPr>
      <w:r w:rsidRPr="005740AD">
        <w:rPr>
          <w:rFonts w:ascii="Times New Roman" w:hAnsi="Times New Roman" w:eastAsia="Times New Roman" w:cs="Times New Roman"/>
          <w:bCs/>
          <w:sz w:val="24"/>
          <w:szCs w:val="24"/>
        </w:rPr>
        <w:lastRenderedPageBreak/>
        <w:t>Th</w:t>
      </w:r>
      <w:r w:rsidR="0083132B">
        <w:rPr>
          <w:rFonts w:ascii="Times New Roman" w:hAnsi="Times New Roman" w:eastAsia="Times New Roman" w:cs="Times New Roman"/>
          <w:bCs/>
          <w:sz w:val="24"/>
          <w:szCs w:val="24"/>
        </w:rPr>
        <w:t>is</w:t>
      </w:r>
      <w:r w:rsidRPr="005740AD">
        <w:rPr>
          <w:rFonts w:ascii="Times New Roman" w:hAnsi="Times New Roman" w:eastAsia="Times New Roman" w:cs="Times New Roman"/>
          <w:bCs/>
          <w:sz w:val="24"/>
          <w:szCs w:val="24"/>
        </w:rPr>
        <w:t xml:space="preserve"> information collection cannot be discontinued nor collected less frequently because of statutory requirements.  </w:t>
      </w:r>
      <w:r w:rsidRPr="008B77CF" w:rsidR="002C5300">
        <w:rPr>
          <w:rFonts w:ascii="Times New Roman" w:hAnsi="Times New Roman" w:eastAsia="Times New Roman" w:cs="Times New Roman"/>
          <w:sz w:val="24"/>
          <w:szCs w:val="24"/>
        </w:rPr>
        <w:t xml:space="preserve">Without </w:t>
      </w:r>
      <w:r w:rsidR="002C5300">
        <w:rPr>
          <w:rFonts w:ascii="Times New Roman" w:hAnsi="Times New Roman" w:eastAsia="Times New Roman" w:cs="Times New Roman"/>
          <w:sz w:val="24"/>
          <w:szCs w:val="24"/>
        </w:rPr>
        <w:t xml:space="preserve">this </w:t>
      </w:r>
      <w:r w:rsidRPr="008B77CF" w:rsidR="002C5300">
        <w:rPr>
          <w:rFonts w:ascii="Times New Roman" w:hAnsi="Times New Roman" w:eastAsia="Times New Roman" w:cs="Times New Roman"/>
          <w:sz w:val="24"/>
          <w:szCs w:val="24"/>
        </w:rPr>
        <w:t>info</w:t>
      </w:r>
      <w:r w:rsidR="002C5300">
        <w:rPr>
          <w:rFonts w:ascii="Times New Roman" w:hAnsi="Times New Roman" w:eastAsia="Times New Roman" w:cs="Times New Roman"/>
          <w:sz w:val="24"/>
          <w:szCs w:val="24"/>
        </w:rPr>
        <w:t>rmation</w:t>
      </w:r>
      <w:r w:rsidRPr="008B77CF" w:rsidR="002C5300">
        <w:rPr>
          <w:rFonts w:ascii="Times New Roman" w:hAnsi="Times New Roman" w:eastAsia="Times New Roman" w:cs="Times New Roman"/>
          <w:sz w:val="24"/>
          <w:szCs w:val="24"/>
        </w:rPr>
        <w:t xml:space="preserve">, the Commission would be unable to fulfill its statutory </w:t>
      </w:r>
      <w:r w:rsidR="0094698C">
        <w:rPr>
          <w:rFonts w:ascii="Times New Roman" w:hAnsi="Times New Roman" w:eastAsia="Times New Roman" w:cs="Times New Roman"/>
          <w:sz w:val="24"/>
          <w:szCs w:val="24"/>
        </w:rPr>
        <w:t>obligations</w:t>
      </w:r>
      <w:r w:rsidRPr="008B77CF" w:rsidR="002C5300">
        <w:rPr>
          <w:rFonts w:ascii="Times New Roman" w:hAnsi="Times New Roman" w:eastAsia="Times New Roman" w:cs="Times New Roman"/>
          <w:sz w:val="24"/>
          <w:szCs w:val="24"/>
        </w:rPr>
        <w:t xml:space="preserve"> under the FPA </w:t>
      </w:r>
      <w:r w:rsidR="002C5300">
        <w:rPr>
          <w:rFonts w:ascii="Times New Roman" w:hAnsi="Times New Roman" w:eastAsia="Times New Roman" w:cs="Times New Roman"/>
          <w:sz w:val="24"/>
          <w:szCs w:val="24"/>
        </w:rPr>
        <w:t xml:space="preserve">and </w:t>
      </w:r>
      <w:r w:rsidRPr="008B77CF" w:rsidR="002C5300">
        <w:rPr>
          <w:rFonts w:ascii="Times New Roman" w:hAnsi="Times New Roman" w:eastAsia="Times New Roman" w:cs="Times New Roman"/>
          <w:sz w:val="24"/>
          <w:szCs w:val="24"/>
        </w:rPr>
        <w:t>N</w:t>
      </w:r>
      <w:r w:rsidR="002C5300">
        <w:rPr>
          <w:rFonts w:ascii="Times New Roman" w:hAnsi="Times New Roman" w:eastAsia="Times New Roman" w:cs="Times New Roman"/>
          <w:sz w:val="24"/>
          <w:szCs w:val="24"/>
        </w:rPr>
        <w:t xml:space="preserve">ational </w:t>
      </w:r>
      <w:r w:rsidRPr="008B77CF" w:rsidR="002C5300">
        <w:rPr>
          <w:rFonts w:ascii="Times New Roman" w:hAnsi="Times New Roman" w:eastAsia="Times New Roman" w:cs="Times New Roman"/>
          <w:sz w:val="24"/>
          <w:szCs w:val="24"/>
        </w:rPr>
        <w:t>E</w:t>
      </w:r>
      <w:r w:rsidR="002C5300">
        <w:rPr>
          <w:rFonts w:ascii="Times New Roman" w:hAnsi="Times New Roman" w:eastAsia="Times New Roman" w:cs="Times New Roman"/>
          <w:sz w:val="24"/>
          <w:szCs w:val="24"/>
        </w:rPr>
        <w:t xml:space="preserve">nvironmental </w:t>
      </w:r>
      <w:r w:rsidRPr="008B77CF" w:rsidR="002C5300">
        <w:rPr>
          <w:rFonts w:ascii="Times New Roman" w:hAnsi="Times New Roman" w:eastAsia="Times New Roman" w:cs="Times New Roman"/>
          <w:sz w:val="24"/>
          <w:szCs w:val="24"/>
        </w:rPr>
        <w:t>P</w:t>
      </w:r>
      <w:r w:rsidR="002C5300">
        <w:rPr>
          <w:rFonts w:ascii="Times New Roman" w:hAnsi="Times New Roman" w:eastAsia="Times New Roman" w:cs="Times New Roman"/>
          <w:sz w:val="24"/>
          <w:szCs w:val="24"/>
        </w:rPr>
        <w:t xml:space="preserve">olicy </w:t>
      </w:r>
      <w:r w:rsidRPr="008B77CF" w:rsidR="002C5300">
        <w:rPr>
          <w:rFonts w:ascii="Times New Roman" w:hAnsi="Times New Roman" w:eastAsia="Times New Roman" w:cs="Times New Roman"/>
          <w:sz w:val="24"/>
          <w:szCs w:val="24"/>
        </w:rPr>
        <w:t>A</w:t>
      </w:r>
      <w:r w:rsidR="002C5300">
        <w:rPr>
          <w:rFonts w:ascii="Times New Roman" w:hAnsi="Times New Roman" w:eastAsia="Times New Roman" w:cs="Times New Roman"/>
          <w:sz w:val="24"/>
          <w:szCs w:val="24"/>
        </w:rPr>
        <w:t xml:space="preserve">ct </w:t>
      </w:r>
      <w:r w:rsidR="0094698C">
        <w:rPr>
          <w:rFonts w:ascii="Times New Roman" w:hAnsi="Times New Roman" w:eastAsia="Times New Roman" w:cs="Times New Roman"/>
          <w:sz w:val="24"/>
          <w:szCs w:val="24"/>
        </w:rPr>
        <w:t xml:space="preserve">of 1969 </w:t>
      </w:r>
      <w:r w:rsidR="002C5300">
        <w:rPr>
          <w:rFonts w:ascii="Times New Roman" w:hAnsi="Times New Roman" w:eastAsia="Times New Roman" w:cs="Times New Roman"/>
          <w:sz w:val="24"/>
          <w:szCs w:val="24"/>
        </w:rPr>
        <w:t>(NEPA).</w:t>
      </w:r>
      <w:r w:rsidR="0094698C">
        <w:rPr>
          <w:rStyle w:val="FootnoteReference"/>
          <w:rFonts w:eastAsia="Times New Roman" w:cs="Times New Roman"/>
        </w:rPr>
        <w:footnoteReference w:id="7"/>
      </w:r>
    </w:p>
    <w:p w:rsidRPr="008B77CF" w:rsidR="000E152C" w:rsidP="000E152C" w:rsidRDefault="000E152C" w14:paraId="73468C9E" w14:textId="77777777">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9F" w14:textId="77777777">
      <w:pPr>
        <w:widowControl w:val="0"/>
        <w:numPr>
          <w:ilvl w:val="0"/>
          <w:numId w:val="1"/>
        </w:numPr>
        <w:autoSpaceDE w:val="0"/>
        <w:autoSpaceDN w:val="0"/>
        <w:adjustRightInd w:val="0"/>
        <w:spacing w:after="0" w:line="240" w:lineRule="auto"/>
        <w:ind w:left="720" w:hanging="720"/>
        <w:rPr>
          <w:rFonts w:ascii="Times New Roman" w:hAnsi="Times New Roman" w:eastAsia="Times New Roman" w:cs="Times New Roman"/>
          <w:sz w:val="24"/>
          <w:szCs w:val="24"/>
        </w:rPr>
      </w:pPr>
      <w:r w:rsidRPr="008B77CF">
        <w:rPr>
          <w:rFonts w:ascii="Times New Roman" w:hAnsi="Times New Roman" w:eastAsia="Times New Roman" w:cs="Times New Roman"/>
          <w:b/>
          <w:sz w:val="24"/>
          <w:szCs w:val="24"/>
        </w:rPr>
        <w:t>DESCRIBE ANY CONSIDERATION OF THE USE OF IMPROVED INFORMATION TECHNOLOGY TO REDUCE BURDEN AND THE TECHNICAL OR LEGAL OBSTACLES TO REDUCING BURDEN</w:t>
      </w:r>
    </w:p>
    <w:p w:rsidRPr="008B77CF" w:rsidR="000E152C" w:rsidP="000E152C" w:rsidRDefault="000E152C" w14:paraId="73468CA0"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5740AD" w14:paraId="73468CA1" w14:textId="772DD644">
      <w:pPr>
        <w:widowControl w:val="0"/>
        <w:autoSpaceDE w:val="0"/>
        <w:autoSpaceDN w:val="0"/>
        <w:adjustRightInd w:val="0"/>
        <w:spacing w:after="0" w:line="240" w:lineRule="auto"/>
        <w:rPr>
          <w:rFonts w:ascii="Times New Roman" w:hAnsi="Times New Roman" w:eastAsia="Times New Roman" w:cs="Times New Roman"/>
          <w:sz w:val="24"/>
          <w:szCs w:val="24"/>
        </w:rPr>
      </w:pPr>
      <w:r w:rsidRPr="005740AD">
        <w:rPr>
          <w:rFonts w:ascii="Times New Roman" w:hAnsi="Times New Roman" w:eastAsia="Times New Roman" w:cs="Times New Roman"/>
          <w:sz w:val="24"/>
          <w:szCs w:val="24"/>
        </w:rPr>
        <w:t xml:space="preserve">There is an ongoing effort to determine the potential </w:t>
      </w:r>
      <w:r w:rsidR="00C570CC">
        <w:rPr>
          <w:rFonts w:ascii="Times New Roman" w:hAnsi="Times New Roman" w:eastAsia="Times New Roman" w:cs="Times New Roman"/>
          <w:sz w:val="24"/>
          <w:szCs w:val="24"/>
        </w:rPr>
        <w:t xml:space="preserve">for </w:t>
      </w:r>
      <w:r w:rsidRPr="005740AD">
        <w:rPr>
          <w:rFonts w:ascii="Times New Roman" w:hAnsi="Times New Roman" w:eastAsia="Times New Roman" w:cs="Times New Roman"/>
          <w:sz w:val="24"/>
          <w:szCs w:val="24"/>
        </w:rPr>
        <w:t xml:space="preserve">improved information technology to reduce burden, and the Commission encourages the use of electronic filing.  </w:t>
      </w:r>
      <w:r w:rsidR="007015EC">
        <w:rPr>
          <w:rFonts w:ascii="Times New Roman" w:hAnsi="Times New Roman" w:eastAsia="Times New Roman" w:cs="Times New Roman"/>
          <w:sz w:val="24"/>
          <w:szCs w:val="24"/>
        </w:rPr>
        <w:t>As posted at</w:t>
      </w:r>
      <w:r w:rsidR="006B7811">
        <w:rPr>
          <w:rFonts w:ascii="Times New Roman" w:hAnsi="Times New Roman" w:eastAsia="Times New Roman" w:cs="Times New Roman"/>
          <w:sz w:val="24"/>
          <w:szCs w:val="24"/>
        </w:rPr>
        <w:t xml:space="preserve">: </w:t>
      </w:r>
      <w:r w:rsidR="007015EC">
        <w:rPr>
          <w:rFonts w:ascii="Times New Roman" w:hAnsi="Times New Roman" w:eastAsia="Times New Roman" w:cs="Times New Roman"/>
          <w:sz w:val="24"/>
          <w:szCs w:val="24"/>
        </w:rPr>
        <w:t xml:space="preserve"> </w:t>
      </w:r>
      <w:hyperlink w:history="1" r:id="rId13">
        <w:r w:rsidRPr="00343694" w:rsidR="007015EC">
          <w:rPr>
            <w:rStyle w:val="Hyperlink"/>
            <w:rFonts w:ascii="Times New Roman" w:hAnsi="Times New Roman" w:eastAsia="Times New Roman" w:cs="Times New Roman"/>
            <w:sz w:val="24"/>
            <w:szCs w:val="24"/>
          </w:rPr>
          <w:t>https://www.ferc.gov/sites/default/files/2020-05/filing.pdf</w:t>
        </w:r>
      </w:hyperlink>
      <w:r w:rsidR="007015EC">
        <w:rPr>
          <w:rFonts w:ascii="Times New Roman" w:hAnsi="Times New Roman" w:eastAsia="Times New Roman" w:cs="Times New Roman"/>
          <w:sz w:val="24"/>
          <w:szCs w:val="24"/>
        </w:rPr>
        <w:t xml:space="preserve">, the </w:t>
      </w:r>
      <w:r w:rsidRPr="005740AD">
        <w:rPr>
          <w:rFonts w:ascii="Times New Roman" w:hAnsi="Times New Roman" w:eastAsia="Times New Roman" w:cs="Times New Roman"/>
          <w:sz w:val="24"/>
          <w:szCs w:val="24"/>
        </w:rPr>
        <w:t>FERC-</w:t>
      </w:r>
      <w:r>
        <w:rPr>
          <w:rFonts w:ascii="Times New Roman" w:hAnsi="Times New Roman" w:eastAsia="Times New Roman" w:cs="Times New Roman"/>
          <w:sz w:val="24"/>
          <w:szCs w:val="24"/>
        </w:rPr>
        <w:t>729</w:t>
      </w:r>
      <w:r w:rsidRPr="005740AD">
        <w:rPr>
          <w:rFonts w:ascii="Times New Roman" w:hAnsi="Times New Roman" w:eastAsia="Times New Roman" w:cs="Times New Roman"/>
          <w:sz w:val="24"/>
          <w:szCs w:val="24"/>
        </w:rPr>
        <w:t xml:space="preserve"> </w:t>
      </w:r>
      <w:r w:rsidR="00FC241A">
        <w:rPr>
          <w:rFonts w:ascii="Times New Roman" w:hAnsi="Times New Roman" w:eastAsia="Times New Roman" w:cs="Times New Roman"/>
          <w:sz w:val="24"/>
          <w:szCs w:val="24"/>
        </w:rPr>
        <w:t xml:space="preserve">information </w:t>
      </w:r>
      <w:r w:rsidRPr="005740AD">
        <w:rPr>
          <w:rFonts w:ascii="Times New Roman" w:hAnsi="Times New Roman" w:eastAsia="Times New Roman" w:cs="Times New Roman"/>
          <w:sz w:val="24"/>
          <w:szCs w:val="24"/>
        </w:rPr>
        <w:t xml:space="preserve">may be </w:t>
      </w:r>
      <w:r w:rsidR="00C570CC">
        <w:rPr>
          <w:rFonts w:ascii="Times New Roman" w:hAnsi="Times New Roman" w:eastAsia="Times New Roman" w:cs="Times New Roman"/>
          <w:sz w:val="24"/>
          <w:szCs w:val="24"/>
        </w:rPr>
        <w:t>electronically filed</w:t>
      </w:r>
      <w:r w:rsidRPr="005740AD">
        <w:rPr>
          <w:rFonts w:ascii="Times New Roman" w:hAnsi="Times New Roman" w:eastAsia="Times New Roman" w:cs="Times New Roman"/>
          <w:sz w:val="24"/>
          <w:szCs w:val="24"/>
        </w:rPr>
        <w:t xml:space="preserve"> through the Commission’s </w:t>
      </w:r>
      <w:proofErr w:type="spellStart"/>
      <w:r w:rsidRPr="005740AD">
        <w:rPr>
          <w:rFonts w:ascii="Times New Roman" w:hAnsi="Times New Roman" w:eastAsia="Times New Roman" w:cs="Times New Roman"/>
          <w:sz w:val="24"/>
          <w:szCs w:val="24"/>
        </w:rPr>
        <w:t>eFiling</w:t>
      </w:r>
      <w:proofErr w:type="spellEnd"/>
      <w:r w:rsidRPr="005740AD">
        <w:rPr>
          <w:rFonts w:ascii="Times New Roman" w:hAnsi="Times New Roman" w:eastAsia="Times New Roman" w:cs="Times New Roman"/>
          <w:sz w:val="24"/>
          <w:szCs w:val="24"/>
        </w:rPr>
        <w:t xml:space="preserve"> system.</w:t>
      </w:r>
    </w:p>
    <w:p w:rsidRPr="008B77CF" w:rsidR="000E152C" w:rsidP="000E152C" w:rsidRDefault="000E152C" w14:paraId="73468CA2"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A3" w14:textId="3481D6B4">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4.</w:t>
      </w:r>
      <w:r w:rsidRPr="008B77CF">
        <w:rPr>
          <w:rFonts w:ascii="Times New Roman" w:hAnsi="Times New Roman" w:eastAsia="Times New Roman" w:cs="Times New Roman"/>
          <w:b/>
          <w:sz w:val="24"/>
          <w:szCs w:val="24"/>
        </w:rPr>
        <w:tab/>
        <w:t>DESCRIBE EFFORTS TO IDENTIFY DUPLICATION AND SHOW SPECIFICALLY WHY ANY SIMILAR INFORMATION ALREADY AVAILABLE CANNOT BE USED OR MODIFIED FOR USE FOR THE PURPOSE(S) DESCRIBED IN INSTRUCTION NO. 2</w:t>
      </w:r>
    </w:p>
    <w:p w:rsidRPr="008B77CF" w:rsidR="000E152C" w:rsidP="000E152C" w:rsidRDefault="000E152C" w14:paraId="73468CA4"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p w:rsidRPr="008B77CF" w:rsidR="000E152C" w:rsidP="000E152C" w:rsidRDefault="00D973F2" w14:paraId="73468CA5" w14:textId="245143DE">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 identify duplication, Commission staff</w:t>
      </w:r>
      <w:r w:rsidRPr="008B77CF" w:rsidR="000E152C">
        <w:rPr>
          <w:rFonts w:ascii="Times New Roman" w:hAnsi="Times New Roman" w:eastAsia="Times New Roman" w:cs="Times New Roman"/>
          <w:sz w:val="24"/>
          <w:szCs w:val="24"/>
        </w:rPr>
        <w:t xml:space="preserve"> periodically review </w:t>
      </w:r>
      <w:r>
        <w:rPr>
          <w:rFonts w:ascii="Times New Roman" w:hAnsi="Times New Roman" w:eastAsia="Times New Roman" w:cs="Times New Roman"/>
          <w:sz w:val="24"/>
          <w:szCs w:val="24"/>
        </w:rPr>
        <w:t xml:space="preserve">filing requirements </w:t>
      </w:r>
      <w:r w:rsidR="004160C9">
        <w:rPr>
          <w:rFonts w:ascii="Times New Roman" w:hAnsi="Times New Roman" w:eastAsia="Times New Roman" w:cs="Times New Roman"/>
          <w:sz w:val="24"/>
          <w:szCs w:val="24"/>
        </w:rPr>
        <w:t>before the expiration of the information collection</w:t>
      </w:r>
      <w:r w:rsidRPr="008B77CF" w:rsidR="000E152C">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w:t>
      </w:r>
      <w:r w:rsidRPr="008B77CF" w:rsidR="000E152C">
        <w:rPr>
          <w:rFonts w:ascii="Times New Roman" w:hAnsi="Times New Roman" w:eastAsia="Times New Roman" w:cs="Times New Roman"/>
          <w:sz w:val="24"/>
          <w:szCs w:val="24"/>
        </w:rPr>
        <w:t xml:space="preserve"> as the Commission may deem necessary in carrying out its </w:t>
      </w:r>
      <w:r w:rsidR="004160C9">
        <w:rPr>
          <w:rFonts w:ascii="Times New Roman" w:hAnsi="Times New Roman" w:eastAsia="Times New Roman" w:cs="Times New Roman"/>
          <w:sz w:val="24"/>
          <w:szCs w:val="24"/>
        </w:rPr>
        <w:t>statutory</w:t>
      </w:r>
      <w:r w:rsidRPr="008B77CF" w:rsidR="000E152C">
        <w:rPr>
          <w:rFonts w:ascii="Times New Roman" w:hAnsi="Times New Roman" w:eastAsia="Times New Roman" w:cs="Times New Roman"/>
          <w:sz w:val="24"/>
          <w:szCs w:val="24"/>
        </w:rPr>
        <w:t xml:space="preserve"> responsibilities.  There is no other source of this information.</w:t>
      </w:r>
    </w:p>
    <w:p w:rsidRPr="008B77CF" w:rsidR="000E152C" w:rsidP="000E152C" w:rsidRDefault="000E152C" w14:paraId="73468CA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A7"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B77CF">
        <w:rPr>
          <w:rFonts w:ascii="Times New Roman" w:hAnsi="Times New Roman" w:eastAsia="Times New Roman" w:cs="Times New Roman"/>
          <w:b/>
          <w:sz w:val="24"/>
          <w:szCs w:val="24"/>
        </w:rPr>
        <w:t>5.</w:t>
      </w:r>
      <w:r w:rsidRPr="008B77CF">
        <w:rPr>
          <w:rFonts w:ascii="Times New Roman" w:hAnsi="Times New Roman" w:eastAsia="Times New Roman" w:cs="Times New Roman"/>
          <w:sz w:val="24"/>
          <w:szCs w:val="24"/>
        </w:rPr>
        <w:t xml:space="preserve"> </w:t>
      </w:r>
      <w:r w:rsidRPr="008B77CF">
        <w:rPr>
          <w:rFonts w:ascii="Times New Roman" w:hAnsi="Times New Roman" w:eastAsia="Times New Roman" w:cs="Times New Roman"/>
          <w:sz w:val="24"/>
          <w:szCs w:val="24"/>
        </w:rPr>
        <w:tab/>
      </w:r>
      <w:r w:rsidRPr="008B77CF">
        <w:rPr>
          <w:rFonts w:ascii="Times New Roman" w:hAnsi="Times New Roman" w:eastAsia="Times New Roman" w:cs="Times New Roman"/>
          <w:b/>
          <w:sz w:val="24"/>
          <w:szCs w:val="24"/>
        </w:rPr>
        <w:t>METHODS USED TO MINIMIZE BURDEN IN COLLECTION OF INFORMATION INVOLVING SMALL ENTITIES</w:t>
      </w:r>
      <w:r w:rsidRPr="008B77CF">
        <w:rPr>
          <w:rFonts w:ascii="Times New Roman" w:hAnsi="Times New Roman" w:eastAsia="Times New Roman" w:cs="Times New Roman"/>
          <w:sz w:val="24"/>
          <w:szCs w:val="24"/>
        </w:rPr>
        <w:t xml:space="preserve"> </w:t>
      </w:r>
    </w:p>
    <w:p w:rsidRPr="008B77CF" w:rsidR="000E152C" w:rsidP="000E152C" w:rsidRDefault="000E152C" w14:paraId="73468CA8" w14:textId="77777777">
      <w:pPr>
        <w:autoSpaceDE w:val="0"/>
        <w:autoSpaceDN w:val="0"/>
        <w:adjustRightInd w:val="0"/>
        <w:spacing w:after="0" w:line="240" w:lineRule="auto"/>
        <w:ind w:left="1440" w:hanging="720"/>
        <w:rPr>
          <w:rFonts w:ascii="Times New Roman" w:hAnsi="Times New Roman" w:eastAsia="Times New Roman" w:cs="Times New Roman"/>
          <w:sz w:val="24"/>
          <w:szCs w:val="24"/>
        </w:rPr>
      </w:pPr>
    </w:p>
    <w:p w:rsidRPr="008B77CF" w:rsidR="000E152C" w:rsidP="000E152C" w:rsidRDefault="000E152C" w14:paraId="73468CA9" w14:textId="236A6631">
      <w:pPr>
        <w:autoSpaceDE w:val="0"/>
        <w:autoSpaceDN w:val="0"/>
        <w:adjustRightInd w:val="0"/>
        <w:spacing w:after="0" w:line="240" w:lineRule="auto"/>
        <w:rPr>
          <w:rFonts w:ascii="Times New Roman" w:hAnsi="Times New Roman" w:eastAsia="Times New Roman" w:cs="Times New Roman"/>
          <w:b/>
          <w:bCs/>
          <w:sz w:val="24"/>
          <w:szCs w:val="24"/>
        </w:rPr>
      </w:pPr>
      <w:r w:rsidRPr="008B77CF">
        <w:rPr>
          <w:rFonts w:ascii="Times New Roman" w:hAnsi="Times New Roman" w:eastAsia="Times New Roman" w:cs="Times New Roman"/>
          <w:sz w:val="24"/>
          <w:szCs w:val="24"/>
        </w:rPr>
        <w:t xml:space="preserve">The Commission expects entities seeking </w:t>
      </w:r>
      <w:r w:rsidR="000362D1">
        <w:rPr>
          <w:rFonts w:ascii="Times New Roman" w:hAnsi="Times New Roman" w:eastAsia="Times New Roman" w:cs="Times New Roman"/>
          <w:sz w:val="24"/>
          <w:szCs w:val="24"/>
        </w:rPr>
        <w:t xml:space="preserve">to construct electric transmission facilities pursuant to the Commission’s </w:t>
      </w:r>
      <w:r w:rsidR="00184338">
        <w:rPr>
          <w:rFonts w:ascii="Times New Roman" w:hAnsi="Times New Roman" w:eastAsia="Times New Roman" w:cs="Times New Roman"/>
          <w:sz w:val="24"/>
          <w:szCs w:val="24"/>
        </w:rPr>
        <w:t xml:space="preserve">authority </w:t>
      </w:r>
      <w:r w:rsidR="000362D1">
        <w:rPr>
          <w:rFonts w:ascii="Times New Roman" w:hAnsi="Times New Roman" w:eastAsia="Times New Roman" w:cs="Times New Roman"/>
          <w:sz w:val="24"/>
          <w:szCs w:val="24"/>
        </w:rPr>
        <w:t>under section 216 of the FPA to</w:t>
      </w:r>
      <w:r w:rsidRPr="008B77CF">
        <w:rPr>
          <w:rFonts w:ascii="Times New Roman" w:hAnsi="Times New Roman" w:eastAsia="Times New Roman" w:cs="Times New Roman"/>
          <w:sz w:val="24"/>
          <w:szCs w:val="24"/>
        </w:rPr>
        <w:t xml:space="preserve"> be major </w:t>
      </w:r>
      <w:r w:rsidR="000362D1">
        <w:rPr>
          <w:rFonts w:ascii="Times New Roman" w:hAnsi="Times New Roman" w:eastAsia="Times New Roman" w:cs="Times New Roman"/>
          <w:sz w:val="24"/>
          <w:szCs w:val="24"/>
        </w:rPr>
        <w:t>developers</w:t>
      </w:r>
      <w:r w:rsidRPr="008B77CF">
        <w:rPr>
          <w:rFonts w:ascii="Times New Roman" w:hAnsi="Times New Roman" w:eastAsia="Times New Roman" w:cs="Times New Roman"/>
          <w:sz w:val="24"/>
          <w:szCs w:val="24"/>
        </w:rPr>
        <w:t xml:space="preserve"> capable of financing complex and </w:t>
      </w:r>
      <w:r w:rsidR="00184338">
        <w:rPr>
          <w:rFonts w:ascii="Times New Roman" w:hAnsi="Times New Roman" w:eastAsia="Times New Roman" w:cs="Times New Roman"/>
          <w:sz w:val="24"/>
          <w:szCs w:val="24"/>
        </w:rPr>
        <w:t>expensive</w:t>
      </w:r>
      <w:r w:rsidRPr="008B77CF">
        <w:rPr>
          <w:rFonts w:ascii="Times New Roman" w:hAnsi="Times New Roman" w:eastAsia="Times New Roman" w:cs="Times New Roman"/>
          <w:sz w:val="24"/>
          <w:szCs w:val="24"/>
        </w:rPr>
        <w:t xml:space="preserve"> projects.  Therefore, the Commission </w:t>
      </w:r>
      <w:r w:rsidR="000362D1">
        <w:rPr>
          <w:rFonts w:ascii="Times New Roman" w:hAnsi="Times New Roman" w:eastAsia="Times New Roman" w:cs="Times New Roman"/>
          <w:sz w:val="24"/>
          <w:szCs w:val="24"/>
        </w:rPr>
        <w:t>does not anticipate</w:t>
      </w:r>
      <w:r w:rsidRPr="008B77CF">
        <w:rPr>
          <w:rFonts w:ascii="Times New Roman" w:hAnsi="Times New Roman" w:eastAsia="Times New Roman" w:cs="Times New Roman"/>
          <w:sz w:val="24"/>
          <w:szCs w:val="24"/>
        </w:rPr>
        <w:t xml:space="preserve"> that these </w:t>
      </w:r>
      <w:r w:rsidR="000362D1">
        <w:rPr>
          <w:rFonts w:ascii="Times New Roman" w:hAnsi="Times New Roman" w:eastAsia="Times New Roman" w:cs="Times New Roman"/>
          <w:sz w:val="24"/>
          <w:szCs w:val="24"/>
        </w:rPr>
        <w:t xml:space="preserve">information collection </w:t>
      </w:r>
      <w:r w:rsidRPr="008B77CF">
        <w:rPr>
          <w:rFonts w:ascii="Times New Roman" w:hAnsi="Times New Roman" w:eastAsia="Times New Roman" w:cs="Times New Roman"/>
          <w:sz w:val="24"/>
          <w:szCs w:val="24"/>
        </w:rPr>
        <w:t xml:space="preserve">requirements would </w:t>
      </w:r>
      <w:r w:rsidR="000362D1">
        <w:rPr>
          <w:rFonts w:ascii="Times New Roman" w:hAnsi="Times New Roman" w:eastAsia="Times New Roman" w:cs="Times New Roman"/>
          <w:sz w:val="24"/>
          <w:szCs w:val="24"/>
        </w:rPr>
        <w:t>impose</w:t>
      </w:r>
      <w:r w:rsidRPr="008B77CF">
        <w:rPr>
          <w:rFonts w:ascii="Times New Roman" w:hAnsi="Times New Roman" w:eastAsia="Times New Roman" w:cs="Times New Roman"/>
          <w:sz w:val="24"/>
          <w:szCs w:val="24"/>
        </w:rPr>
        <w:t xml:space="preserve"> a </w:t>
      </w:r>
      <w:r w:rsidR="000362D1">
        <w:rPr>
          <w:rFonts w:ascii="Times New Roman" w:hAnsi="Times New Roman" w:eastAsia="Times New Roman" w:cs="Times New Roman"/>
          <w:sz w:val="24"/>
          <w:szCs w:val="24"/>
        </w:rPr>
        <w:t>burden on</w:t>
      </w:r>
      <w:r w:rsidRPr="008B77CF">
        <w:rPr>
          <w:rFonts w:ascii="Times New Roman" w:hAnsi="Times New Roman" w:eastAsia="Times New Roman" w:cs="Times New Roman"/>
          <w:sz w:val="24"/>
          <w:szCs w:val="24"/>
        </w:rPr>
        <w:t xml:space="preserve"> small entities. </w:t>
      </w:r>
      <w:r w:rsidR="00184338">
        <w:rPr>
          <w:rFonts w:ascii="Times New Roman" w:hAnsi="Times New Roman" w:eastAsia="Times New Roman" w:cs="Times New Roman"/>
          <w:sz w:val="24"/>
          <w:szCs w:val="24"/>
        </w:rPr>
        <w:t xml:space="preserve"> Additionally, all applicants have the option of filing information electronically through the Commission’s </w:t>
      </w:r>
      <w:proofErr w:type="spellStart"/>
      <w:r w:rsidR="00184338">
        <w:rPr>
          <w:rFonts w:ascii="Times New Roman" w:hAnsi="Times New Roman" w:eastAsia="Times New Roman" w:cs="Times New Roman"/>
          <w:sz w:val="24"/>
          <w:szCs w:val="24"/>
        </w:rPr>
        <w:t>eFiling</w:t>
      </w:r>
      <w:proofErr w:type="spellEnd"/>
      <w:r w:rsidR="00184338">
        <w:rPr>
          <w:rFonts w:ascii="Times New Roman" w:hAnsi="Times New Roman" w:eastAsia="Times New Roman" w:cs="Times New Roman"/>
          <w:sz w:val="24"/>
          <w:szCs w:val="24"/>
        </w:rPr>
        <w:t xml:space="preserve"> system.</w:t>
      </w:r>
    </w:p>
    <w:p w:rsidRPr="008B77CF" w:rsidR="000E152C" w:rsidP="000E152C" w:rsidRDefault="000E152C" w14:paraId="73468CAA" w14:textId="77777777">
      <w:pPr>
        <w:autoSpaceDE w:val="0"/>
        <w:autoSpaceDN w:val="0"/>
        <w:adjustRightInd w:val="0"/>
        <w:spacing w:after="0" w:line="240" w:lineRule="auto"/>
        <w:ind w:left="1440"/>
        <w:rPr>
          <w:rFonts w:ascii="Times New Roman" w:hAnsi="Times New Roman" w:eastAsia="Times New Roman" w:cs="Times New Roman"/>
          <w:sz w:val="24"/>
          <w:szCs w:val="24"/>
        </w:rPr>
      </w:pPr>
    </w:p>
    <w:p w:rsidRPr="008B77CF" w:rsidR="000E152C" w:rsidP="000E152C" w:rsidRDefault="000E152C" w14:paraId="73468CAB" w14:textId="77777777">
      <w:pPr>
        <w:widowControl w:val="0"/>
        <w:numPr>
          <w:ilvl w:val="0"/>
          <w:numId w:val="2"/>
        </w:numPr>
        <w:tabs>
          <w:tab w:val="num"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CONSEQUENCE TO FEDERAL PROGRAM IF COLLECTION WERE CONDUCTED LESS FREQUENTLY</w:t>
      </w:r>
    </w:p>
    <w:p w:rsidRPr="008B77CF" w:rsidR="000E152C" w:rsidP="000E152C" w:rsidRDefault="000E152C" w14:paraId="73468CAC" w14:textId="77777777">
      <w:pPr>
        <w:autoSpaceDE w:val="0"/>
        <w:autoSpaceDN w:val="0"/>
        <w:adjustRightInd w:val="0"/>
        <w:spacing w:after="0" w:line="240" w:lineRule="auto"/>
        <w:rPr>
          <w:rFonts w:ascii="Times New Roman" w:hAnsi="Times New Roman" w:eastAsia="Times New Roman" w:cs="Times New Roman"/>
          <w:b/>
          <w:sz w:val="24"/>
          <w:szCs w:val="24"/>
        </w:rPr>
      </w:pPr>
    </w:p>
    <w:p w:rsidRPr="00711E79" w:rsidR="000E152C" w:rsidP="000E152C" w:rsidRDefault="00E12210" w14:paraId="73468CB3" w14:textId="72CEA27A">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triggered by </w:t>
      </w:r>
      <w:r w:rsidR="00D86D8B">
        <w:rPr>
          <w:rFonts w:ascii="Times New Roman" w:hAnsi="Times New Roman" w:cs="Times New Roman"/>
          <w:sz w:val="24"/>
          <w:szCs w:val="24"/>
        </w:rPr>
        <w:t xml:space="preserve">an applicant filing for a permit to construct </w:t>
      </w:r>
      <w:r w:rsidR="00D973F2">
        <w:rPr>
          <w:rFonts w:ascii="Times New Roman" w:hAnsi="Times New Roman" w:cs="Times New Roman"/>
          <w:sz w:val="24"/>
          <w:szCs w:val="24"/>
        </w:rPr>
        <w:t>electric transmission facilities</w:t>
      </w:r>
      <w:r w:rsidR="00D86D8B">
        <w:rPr>
          <w:rFonts w:ascii="Times New Roman" w:hAnsi="Times New Roman" w:cs="Times New Roman"/>
          <w:sz w:val="24"/>
          <w:szCs w:val="24"/>
        </w:rPr>
        <w:t xml:space="preserve"> under section </w:t>
      </w:r>
      <w:r w:rsidR="00D04223">
        <w:rPr>
          <w:rFonts w:ascii="Times New Roman" w:hAnsi="Times New Roman" w:cs="Times New Roman"/>
          <w:sz w:val="24"/>
          <w:szCs w:val="24"/>
        </w:rPr>
        <w:t xml:space="preserve">216 </w:t>
      </w:r>
      <w:r w:rsidR="00D86D8B">
        <w:rPr>
          <w:rFonts w:ascii="Times New Roman" w:hAnsi="Times New Roman" w:cs="Times New Roman"/>
          <w:sz w:val="24"/>
          <w:szCs w:val="24"/>
        </w:rPr>
        <w:t xml:space="preserve">of the FPA.  </w:t>
      </w:r>
      <w:r w:rsidRPr="008B77CF" w:rsidR="000E152C">
        <w:rPr>
          <w:rFonts w:ascii="Times New Roman" w:hAnsi="Times New Roman" w:eastAsia="Times New Roman" w:cs="Times New Roman"/>
          <w:sz w:val="24"/>
          <w:szCs w:val="24"/>
        </w:rPr>
        <w:t xml:space="preserve">Without </w:t>
      </w:r>
      <w:r w:rsidR="00D86D8B">
        <w:rPr>
          <w:rFonts w:ascii="Times New Roman" w:hAnsi="Times New Roman" w:eastAsia="Times New Roman" w:cs="Times New Roman"/>
          <w:sz w:val="24"/>
          <w:szCs w:val="24"/>
        </w:rPr>
        <w:t>th</w:t>
      </w:r>
      <w:r w:rsidR="002C5300">
        <w:rPr>
          <w:rFonts w:ascii="Times New Roman" w:hAnsi="Times New Roman" w:eastAsia="Times New Roman" w:cs="Times New Roman"/>
          <w:sz w:val="24"/>
          <w:szCs w:val="24"/>
        </w:rPr>
        <w:t>is</w:t>
      </w:r>
      <w:r w:rsidR="00D86D8B">
        <w:rPr>
          <w:rFonts w:ascii="Times New Roman" w:hAnsi="Times New Roman" w:eastAsia="Times New Roman" w:cs="Times New Roman"/>
          <w:sz w:val="24"/>
          <w:szCs w:val="24"/>
        </w:rPr>
        <w:t xml:space="preserve"> </w:t>
      </w:r>
      <w:r w:rsidRPr="008B77CF" w:rsidR="000E152C">
        <w:rPr>
          <w:rFonts w:ascii="Times New Roman" w:hAnsi="Times New Roman" w:eastAsia="Times New Roman" w:cs="Times New Roman"/>
          <w:sz w:val="24"/>
          <w:szCs w:val="24"/>
        </w:rPr>
        <w:t xml:space="preserve">information, the Commission would be unable to fulfill its statutory </w:t>
      </w:r>
      <w:r w:rsidR="0094698C">
        <w:rPr>
          <w:rFonts w:ascii="Times New Roman" w:hAnsi="Times New Roman" w:eastAsia="Times New Roman" w:cs="Times New Roman"/>
          <w:sz w:val="24"/>
          <w:szCs w:val="24"/>
        </w:rPr>
        <w:t>obligations</w:t>
      </w:r>
      <w:r w:rsidR="00981D61">
        <w:rPr>
          <w:rFonts w:ascii="Times New Roman" w:hAnsi="Times New Roman" w:eastAsia="Times New Roman" w:cs="Times New Roman"/>
          <w:sz w:val="24"/>
          <w:szCs w:val="24"/>
        </w:rPr>
        <w:t xml:space="preserve"> </w:t>
      </w:r>
      <w:r w:rsidRPr="008B77CF" w:rsidR="000E152C">
        <w:rPr>
          <w:rFonts w:ascii="Times New Roman" w:hAnsi="Times New Roman" w:eastAsia="Times New Roman" w:cs="Times New Roman"/>
          <w:sz w:val="24"/>
          <w:szCs w:val="24"/>
        </w:rPr>
        <w:t xml:space="preserve">under the FPA </w:t>
      </w:r>
      <w:r w:rsidR="00D86D8B">
        <w:rPr>
          <w:rFonts w:ascii="Times New Roman" w:hAnsi="Times New Roman" w:eastAsia="Times New Roman" w:cs="Times New Roman"/>
          <w:sz w:val="24"/>
          <w:szCs w:val="24"/>
        </w:rPr>
        <w:t xml:space="preserve">and </w:t>
      </w:r>
      <w:r w:rsidRPr="008B77CF" w:rsidR="000E152C">
        <w:rPr>
          <w:rFonts w:ascii="Times New Roman" w:hAnsi="Times New Roman" w:eastAsia="Times New Roman" w:cs="Times New Roman"/>
          <w:sz w:val="24"/>
          <w:szCs w:val="24"/>
        </w:rPr>
        <w:t>NEPA</w:t>
      </w:r>
      <w:r w:rsidRPr="008B77CF" w:rsidR="000E152C">
        <w:rPr>
          <w:rFonts w:ascii="Times New Roman" w:hAnsi="Times New Roman" w:eastAsia="Times New Roman" w:cs="Times New Roman"/>
          <w:bCs/>
          <w:sz w:val="24"/>
          <w:szCs w:val="24"/>
        </w:rPr>
        <w:t>.</w:t>
      </w:r>
      <w:r w:rsidR="009C3CC5">
        <w:rPr>
          <w:rFonts w:ascii="Times New Roman" w:hAnsi="Times New Roman" w:eastAsia="Times New Roman" w:cs="Times New Roman"/>
          <w:bCs/>
          <w:sz w:val="24"/>
          <w:szCs w:val="24"/>
        </w:rPr>
        <w:t xml:space="preserve">  </w:t>
      </w:r>
    </w:p>
    <w:p w:rsidRPr="008B77CF" w:rsidR="000E152C" w:rsidP="000E152C" w:rsidRDefault="000E152C" w14:paraId="73468CB4"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B5"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7</w:t>
      </w:r>
      <w:r w:rsidRPr="008B77CF">
        <w:rPr>
          <w:rFonts w:ascii="Times New Roman" w:hAnsi="Times New Roman" w:eastAsia="Times New Roman" w:cs="Times New Roman"/>
          <w:sz w:val="24"/>
          <w:szCs w:val="24"/>
        </w:rPr>
        <w:t>.</w:t>
      </w:r>
      <w:r w:rsidRPr="008B77CF">
        <w:rPr>
          <w:rFonts w:ascii="Times New Roman" w:hAnsi="Times New Roman" w:eastAsia="Times New Roman" w:cs="Times New Roman"/>
          <w:sz w:val="24"/>
          <w:szCs w:val="24"/>
        </w:rPr>
        <w:tab/>
      </w:r>
      <w:r w:rsidRPr="008B77CF">
        <w:rPr>
          <w:rFonts w:ascii="Times New Roman" w:hAnsi="Times New Roman" w:eastAsia="Times New Roman" w:cs="Times New Roman"/>
          <w:b/>
          <w:sz w:val="24"/>
          <w:szCs w:val="24"/>
        </w:rPr>
        <w:t>EXPLAIN ANY SPECIAL CIRCUMSTANCES RELATING TO THE INFORMATION</w:t>
      </w:r>
    </w:p>
    <w:p w:rsidRPr="008B77CF" w:rsidR="000E152C" w:rsidP="000E152C" w:rsidRDefault="000E152C" w14:paraId="73468CB6"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p w:rsidRPr="008B77CF" w:rsidR="000E152C" w:rsidP="00711E79" w:rsidRDefault="000E152C" w14:paraId="73468CB7" w14:textId="3A34CC8E">
      <w:pPr>
        <w:pStyle w:val="CommentText"/>
        <w:rPr>
          <w:rFonts w:ascii="Times New Roman" w:hAnsi="Times New Roman" w:eastAsia="Times New Roman" w:cs="Times New Roman"/>
          <w:b/>
          <w:bCs/>
          <w:sz w:val="24"/>
          <w:szCs w:val="24"/>
        </w:rPr>
      </w:pPr>
      <w:bookmarkStart w:name="_Hlk107225116" w:id="0"/>
      <w:r w:rsidRPr="008B77CF">
        <w:rPr>
          <w:rFonts w:ascii="Times New Roman" w:hAnsi="Times New Roman" w:eastAsia="Times New Roman" w:cs="Times New Roman"/>
          <w:sz w:val="24"/>
          <w:szCs w:val="24"/>
        </w:rPr>
        <w:lastRenderedPageBreak/>
        <w:t xml:space="preserve">FERC-729 meets OMB's </w:t>
      </w:r>
      <w:r w:rsidR="001152E5">
        <w:rPr>
          <w:rFonts w:ascii="Times New Roman" w:hAnsi="Times New Roman" w:eastAsia="Times New Roman" w:cs="Times New Roman"/>
          <w:sz w:val="24"/>
          <w:szCs w:val="24"/>
        </w:rPr>
        <w:t>s</w:t>
      </w:r>
      <w:r w:rsidRPr="008B77CF">
        <w:rPr>
          <w:rFonts w:ascii="Times New Roman" w:hAnsi="Times New Roman" w:eastAsia="Times New Roman" w:cs="Times New Roman"/>
          <w:sz w:val="24"/>
          <w:szCs w:val="24"/>
        </w:rPr>
        <w:t xml:space="preserve">ection 1320.5 </w:t>
      </w:r>
      <w:bookmarkEnd w:id="0"/>
      <w:r w:rsidRPr="008B77CF">
        <w:rPr>
          <w:rFonts w:ascii="Times New Roman" w:hAnsi="Times New Roman" w:eastAsia="Times New Roman" w:cs="Times New Roman"/>
          <w:sz w:val="24"/>
          <w:szCs w:val="24"/>
        </w:rPr>
        <w:t>requirements</w:t>
      </w:r>
      <w:r w:rsidR="006426AB">
        <w:rPr>
          <w:rFonts w:ascii="Times New Roman" w:hAnsi="Times New Roman" w:eastAsia="Times New Roman" w:cs="Times New Roman"/>
          <w:sz w:val="24"/>
          <w:szCs w:val="24"/>
        </w:rPr>
        <w:t xml:space="preserve"> </w:t>
      </w:r>
      <w:proofErr w:type="gramStart"/>
      <w:r w:rsidRPr="005740AD" w:rsidR="006426AB">
        <w:rPr>
          <w:rFonts w:ascii="Times New Roman" w:hAnsi="Times New Roman" w:eastAsia="Times New Roman" w:cs="Times New Roman"/>
          <w:sz w:val="24"/>
          <w:szCs w:val="24"/>
        </w:rPr>
        <w:t>with the exception of</w:t>
      </w:r>
      <w:proofErr w:type="gramEnd"/>
      <w:r w:rsidRPr="005740AD" w:rsidR="006426AB">
        <w:rPr>
          <w:rFonts w:ascii="Times New Roman" w:hAnsi="Times New Roman" w:eastAsia="Times New Roman" w:cs="Times New Roman"/>
          <w:sz w:val="24"/>
          <w:szCs w:val="24"/>
        </w:rPr>
        <w:t xml:space="preserve"> 1320.5(d)(2)(iii).</w:t>
      </w:r>
      <w:r w:rsidR="00E1743E">
        <w:rPr>
          <w:rStyle w:val="FootnoteReference"/>
          <w:rFonts w:eastAsia="Times New Roman" w:cs="Times New Roman"/>
        </w:rPr>
        <w:footnoteReference w:id="8"/>
      </w:r>
      <w:r w:rsidRPr="005740AD" w:rsidR="006426AB">
        <w:rPr>
          <w:rFonts w:ascii="Times New Roman" w:hAnsi="Times New Roman" w:eastAsia="Times New Roman" w:cs="Times New Roman"/>
          <w:sz w:val="24"/>
          <w:szCs w:val="24"/>
        </w:rPr>
        <w:t xml:space="preserve">  </w:t>
      </w:r>
      <w:r w:rsidR="006426AB">
        <w:rPr>
          <w:rFonts w:ascii="Times New Roman" w:hAnsi="Times New Roman" w:eastAsia="Times New Roman" w:cs="Times New Roman"/>
          <w:sz w:val="24"/>
          <w:szCs w:val="24"/>
        </w:rPr>
        <w:t>Specifically, s</w:t>
      </w:r>
      <w:r w:rsidRPr="005740AD" w:rsidR="006426AB">
        <w:rPr>
          <w:rFonts w:ascii="Times New Roman" w:hAnsi="Times New Roman" w:eastAsia="Times New Roman" w:cs="Times New Roman"/>
          <w:sz w:val="24"/>
          <w:szCs w:val="24"/>
        </w:rPr>
        <w:t>ection 5</w:t>
      </w:r>
      <w:r w:rsidR="006426AB">
        <w:rPr>
          <w:rFonts w:ascii="Times New Roman" w:hAnsi="Times New Roman" w:eastAsia="Times New Roman" w:cs="Times New Roman"/>
          <w:sz w:val="24"/>
          <w:szCs w:val="24"/>
        </w:rPr>
        <w:t>0</w:t>
      </w:r>
      <w:r w:rsidRPr="005740AD" w:rsidR="006426AB">
        <w:rPr>
          <w:rFonts w:ascii="Times New Roman" w:hAnsi="Times New Roman" w:eastAsia="Times New Roman" w:cs="Times New Roman"/>
          <w:sz w:val="24"/>
          <w:szCs w:val="24"/>
        </w:rPr>
        <w:t>.3</w:t>
      </w:r>
      <w:r w:rsidR="002D4E2B">
        <w:rPr>
          <w:rFonts w:ascii="Times New Roman" w:hAnsi="Times New Roman" w:eastAsia="Times New Roman" w:cs="Times New Roman"/>
          <w:sz w:val="24"/>
          <w:szCs w:val="24"/>
        </w:rPr>
        <w:t>(b)</w:t>
      </w:r>
      <w:r w:rsidR="00E1743E">
        <w:rPr>
          <w:rStyle w:val="FootnoteReference"/>
          <w:rFonts w:eastAsia="Times New Roman" w:cs="Times New Roman"/>
        </w:rPr>
        <w:footnoteReference w:id="9"/>
      </w:r>
      <w:r w:rsidRPr="005740AD" w:rsidR="006426AB">
        <w:rPr>
          <w:rFonts w:ascii="Times New Roman" w:hAnsi="Times New Roman" w:eastAsia="Times New Roman" w:cs="Times New Roman"/>
          <w:sz w:val="24"/>
          <w:szCs w:val="24"/>
        </w:rPr>
        <w:t xml:space="preserve"> of the Commission's regulations requires </w:t>
      </w:r>
      <w:r w:rsidR="006426AB">
        <w:rPr>
          <w:rFonts w:ascii="Times New Roman" w:hAnsi="Times New Roman" w:eastAsia="Times New Roman" w:cs="Times New Roman"/>
          <w:sz w:val="24"/>
          <w:szCs w:val="24"/>
        </w:rPr>
        <w:t xml:space="preserve">an </w:t>
      </w:r>
      <w:r w:rsidRPr="005740AD" w:rsidR="006426AB">
        <w:rPr>
          <w:rFonts w:ascii="Times New Roman" w:hAnsi="Times New Roman" w:eastAsia="Times New Roman" w:cs="Times New Roman"/>
          <w:sz w:val="24"/>
          <w:szCs w:val="24"/>
        </w:rPr>
        <w:t xml:space="preserve">original and seven conformed copies </w:t>
      </w:r>
      <w:r w:rsidR="006426AB">
        <w:rPr>
          <w:rFonts w:ascii="Times New Roman" w:hAnsi="Times New Roman" w:eastAsia="Times New Roman" w:cs="Times New Roman"/>
          <w:sz w:val="24"/>
          <w:szCs w:val="24"/>
        </w:rPr>
        <w:t xml:space="preserve">of the information to be submitted </w:t>
      </w:r>
      <w:r w:rsidRPr="005740AD" w:rsidR="006426AB">
        <w:rPr>
          <w:rFonts w:ascii="Times New Roman" w:hAnsi="Times New Roman" w:eastAsia="Times New Roman" w:cs="Times New Roman"/>
          <w:sz w:val="24"/>
          <w:szCs w:val="24"/>
        </w:rPr>
        <w:t xml:space="preserve">for the Commission to conduct </w:t>
      </w:r>
      <w:r w:rsidR="006426AB">
        <w:rPr>
          <w:rFonts w:ascii="Times New Roman" w:hAnsi="Times New Roman" w:eastAsia="Times New Roman" w:cs="Times New Roman"/>
          <w:sz w:val="24"/>
          <w:szCs w:val="24"/>
        </w:rPr>
        <w:t>its</w:t>
      </w:r>
      <w:r w:rsidRPr="005740AD" w:rsidR="006426AB">
        <w:rPr>
          <w:rFonts w:ascii="Times New Roman" w:hAnsi="Times New Roman" w:eastAsia="Times New Roman" w:cs="Times New Roman"/>
          <w:sz w:val="24"/>
          <w:szCs w:val="24"/>
        </w:rPr>
        <w:t xml:space="preserve"> review</w:t>
      </w:r>
      <w:r w:rsidRPr="008B77CF">
        <w:rPr>
          <w:rFonts w:ascii="Times New Roman" w:hAnsi="Times New Roman" w:eastAsia="Times New Roman" w:cs="Times New Roman"/>
          <w:sz w:val="24"/>
          <w:szCs w:val="24"/>
        </w:rPr>
        <w:t>.</w:t>
      </w:r>
    </w:p>
    <w:p w:rsidRPr="008B77CF" w:rsidR="000E152C" w:rsidP="000E152C" w:rsidRDefault="000E152C" w14:paraId="73468CB8"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B9"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 xml:space="preserve">8.  </w:t>
      </w:r>
      <w:r w:rsidRPr="008B77CF">
        <w:rPr>
          <w:rFonts w:ascii="Times New Roman" w:hAnsi="Times New Roman" w:eastAsia="Times New Roman" w:cs="Times New Roman"/>
          <w:b/>
          <w:sz w:val="24"/>
          <w:szCs w:val="24"/>
        </w:rPr>
        <w:tab/>
        <w:t>DESCRIBE EFFORTS TO CONSULT OUTSIDE THE AGENCY:  SUMMARIZE PUBLIC COMMENTS AND THE AGENCY’S RESPONSE TO THESE COMMENTS</w:t>
      </w:r>
    </w:p>
    <w:p w:rsidRPr="008B77CF" w:rsidR="000E152C" w:rsidP="000E152C" w:rsidRDefault="000E152C" w14:paraId="73468CBA"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8B77CF" w:rsidR="000E152C" w:rsidP="000E152C" w:rsidRDefault="000E152C" w14:paraId="73468CBB" w14:textId="5D9FBDA2">
      <w:pPr>
        <w:tabs>
          <w:tab w:val="num" w:pos="0"/>
        </w:tabs>
        <w:spacing w:after="0" w:line="240" w:lineRule="auto"/>
        <w:ind w:hanging="18"/>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In accordance with OMB requirements</w:t>
      </w:r>
      <w:r w:rsidR="001A2C34">
        <w:rPr>
          <w:rFonts w:ascii="Times New Roman" w:hAnsi="Times New Roman" w:eastAsia="Times New Roman" w:cs="Times New Roman"/>
          <w:sz w:val="24"/>
          <w:szCs w:val="24"/>
        </w:rPr>
        <w:t>,</w:t>
      </w:r>
      <w:r w:rsidRPr="008B77CF">
        <w:rPr>
          <w:rFonts w:ascii="Times New Roman" w:hAnsi="Times New Roman" w:eastAsia="Times New Roman" w:cs="Times New Roman"/>
          <w:b/>
          <w:sz w:val="24"/>
          <w:szCs w:val="24"/>
          <w:vertAlign w:val="superscript"/>
        </w:rPr>
        <w:footnoteReference w:id="10"/>
      </w:r>
      <w:r w:rsidRPr="008B77CF">
        <w:rPr>
          <w:rFonts w:ascii="Times New Roman" w:hAnsi="Times New Roman" w:eastAsia="Times New Roman" w:cs="Times New Roman"/>
          <w:sz w:val="24"/>
          <w:szCs w:val="24"/>
        </w:rPr>
        <w:t xml:space="preserve"> the Commission published a 60-day notice</w:t>
      </w:r>
      <w:r w:rsidRPr="00711E79">
        <w:rPr>
          <w:rFonts w:ascii="Times New Roman" w:hAnsi="Times New Roman" w:eastAsia="Times New Roman" w:cs="Times New Roman"/>
          <w:b/>
          <w:bCs/>
          <w:sz w:val="24"/>
          <w:szCs w:val="24"/>
          <w:vertAlign w:val="superscript"/>
        </w:rPr>
        <w:footnoteReference w:id="11"/>
      </w:r>
      <w:r w:rsidR="009C3CC5">
        <w:rPr>
          <w:rFonts w:ascii="Times New Roman" w:hAnsi="Times New Roman" w:eastAsia="Times New Roman" w:cs="Times New Roman"/>
          <w:sz w:val="24"/>
          <w:szCs w:val="24"/>
        </w:rPr>
        <w:t xml:space="preserve"> </w:t>
      </w:r>
      <w:r w:rsidR="00FC171A">
        <w:rPr>
          <w:rFonts w:ascii="Times New Roman" w:hAnsi="Times New Roman" w:eastAsia="Times New Roman" w:cs="Times New Roman"/>
          <w:sz w:val="24"/>
          <w:szCs w:val="24"/>
        </w:rPr>
        <w:t>in the Federal Register for</w:t>
      </w:r>
      <w:r w:rsidRPr="008B77CF">
        <w:rPr>
          <w:rFonts w:ascii="Times New Roman" w:hAnsi="Times New Roman" w:eastAsia="Times New Roman" w:cs="Times New Roman"/>
          <w:sz w:val="24"/>
          <w:szCs w:val="24"/>
        </w:rPr>
        <w:t xml:space="preserve"> this information collection on </w:t>
      </w:r>
      <w:r w:rsidR="00FC171A">
        <w:rPr>
          <w:rFonts w:ascii="Times New Roman" w:hAnsi="Times New Roman" w:eastAsia="Times New Roman" w:cs="Times New Roman"/>
          <w:sz w:val="24"/>
          <w:szCs w:val="24"/>
        </w:rPr>
        <w:t>April 15, 2022</w:t>
      </w:r>
      <w:r w:rsidR="001A2C34">
        <w:rPr>
          <w:rFonts w:ascii="Times New Roman" w:hAnsi="Times New Roman" w:eastAsia="Times New Roman" w:cs="Times New Roman"/>
          <w:sz w:val="24"/>
          <w:szCs w:val="24"/>
        </w:rPr>
        <w:t>,</w:t>
      </w:r>
      <w:r w:rsidRPr="008B77CF">
        <w:rPr>
          <w:rFonts w:ascii="Times New Roman" w:hAnsi="Times New Roman" w:eastAsia="Times New Roman" w:cs="Times New Roman"/>
          <w:sz w:val="24"/>
          <w:szCs w:val="24"/>
        </w:rPr>
        <w:t xml:space="preserve"> </w:t>
      </w:r>
      <w:r w:rsidR="001A2C34">
        <w:rPr>
          <w:rFonts w:ascii="Times New Roman" w:hAnsi="Times New Roman" w:eastAsia="Times New Roman" w:cs="Times New Roman"/>
          <w:sz w:val="24"/>
          <w:szCs w:val="24"/>
        </w:rPr>
        <w:t>and</w:t>
      </w:r>
      <w:r w:rsidRPr="008B77CF" w:rsidR="00F87544">
        <w:rPr>
          <w:rFonts w:ascii="Times New Roman" w:hAnsi="Times New Roman" w:eastAsia="Times New Roman" w:cs="Times New Roman"/>
          <w:sz w:val="24"/>
          <w:szCs w:val="24"/>
        </w:rPr>
        <w:t xml:space="preserve"> a 30-day not</w:t>
      </w:r>
      <w:r w:rsidR="009E0872">
        <w:rPr>
          <w:rFonts w:ascii="Times New Roman" w:hAnsi="Times New Roman" w:eastAsia="Times New Roman" w:cs="Times New Roman"/>
          <w:sz w:val="24"/>
          <w:szCs w:val="24"/>
        </w:rPr>
        <w:t>ice on</w:t>
      </w:r>
      <w:r w:rsidR="00A603F8">
        <w:rPr>
          <w:rFonts w:ascii="Times New Roman" w:hAnsi="Times New Roman" w:eastAsia="Times New Roman" w:cs="Times New Roman"/>
          <w:sz w:val="24"/>
          <w:szCs w:val="24"/>
        </w:rPr>
        <w:t xml:space="preserve"> July 5, 2022.</w:t>
      </w:r>
      <w:r w:rsidR="00A603F8">
        <w:rPr>
          <w:rStyle w:val="FootnoteReference"/>
          <w:rFonts w:eastAsia="Times New Roman" w:cs="Times New Roman"/>
        </w:rPr>
        <w:footnoteReference w:id="12"/>
      </w:r>
      <w:r w:rsidRPr="008B77CF" w:rsidR="00F87544">
        <w:rPr>
          <w:rFonts w:ascii="Times New Roman" w:hAnsi="Times New Roman" w:eastAsia="Times New Roman" w:cs="Times New Roman"/>
          <w:sz w:val="24"/>
          <w:szCs w:val="24"/>
        </w:rPr>
        <w:t xml:space="preserve"> </w:t>
      </w:r>
      <w:r w:rsidR="00D46B16">
        <w:rPr>
          <w:rFonts w:ascii="Times New Roman" w:hAnsi="Times New Roman" w:eastAsia="Times New Roman" w:cs="Times New Roman"/>
          <w:sz w:val="24"/>
          <w:szCs w:val="24"/>
        </w:rPr>
        <w:t>T</w:t>
      </w:r>
      <w:r w:rsidRPr="008B77CF">
        <w:rPr>
          <w:rFonts w:ascii="Times New Roman" w:hAnsi="Times New Roman" w:eastAsia="Times New Roman" w:cs="Times New Roman"/>
          <w:sz w:val="24"/>
          <w:szCs w:val="24"/>
        </w:rPr>
        <w:t>he</w:t>
      </w:r>
      <w:r w:rsidR="00FC171A">
        <w:rPr>
          <w:rFonts w:ascii="Times New Roman" w:hAnsi="Times New Roman" w:eastAsia="Times New Roman" w:cs="Times New Roman"/>
          <w:sz w:val="24"/>
          <w:szCs w:val="24"/>
        </w:rPr>
        <w:t>se</w:t>
      </w:r>
      <w:r w:rsidRPr="008B77CF">
        <w:rPr>
          <w:rFonts w:ascii="Times New Roman" w:hAnsi="Times New Roman" w:eastAsia="Times New Roman" w:cs="Times New Roman"/>
          <w:sz w:val="24"/>
          <w:szCs w:val="24"/>
        </w:rPr>
        <w:t xml:space="preserve"> public notice</w:t>
      </w:r>
      <w:r w:rsidR="00FC171A">
        <w:rPr>
          <w:rFonts w:ascii="Times New Roman" w:hAnsi="Times New Roman" w:eastAsia="Times New Roman" w:cs="Times New Roman"/>
          <w:sz w:val="24"/>
          <w:szCs w:val="24"/>
        </w:rPr>
        <w:t>s</w:t>
      </w:r>
      <w:r w:rsidRPr="008B77CF">
        <w:rPr>
          <w:rFonts w:ascii="Times New Roman" w:hAnsi="Times New Roman" w:eastAsia="Times New Roman" w:cs="Times New Roman"/>
          <w:sz w:val="24"/>
          <w:szCs w:val="24"/>
        </w:rPr>
        <w:t xml:space="preserve"> </w:t>
      </w:r>
      <w:r w:rsidR="00D46B16">
        <w:rPr>
          <w:rFonts w:ascii="Times New Roman" w:hAnsi="Times New Roman" w:eastAsia="Times New Roman" w:cs="Times New Roman"/>
          <w:sz w:val="24"/>
          <w:szCs w:val="24"/>
        </w:rPr>
        <w:t>state</w:t>
      </w:r>
      <w:r w:rsidRPr="008B77CF">
        <w:rPr>
          <w:rFonts w:ascii="Times New Roman" w:hAnsi="Times New Roman" w:eastAsia="Times New Roman" w:cs="Times New Roman"/>
          <w:sz w:val="24"/>
          <w:szCs w:val="24"/>
        </w:rPr>
        <w:t xml:space="preserve"> that </w:t>
      </w:r>
      <w:r w:rsidR="00D46B16">
        <w:rPr>
          <w:rFonts w:ascii="Times New Roman" w:hAnsi="Times New Roman" w:eastAsia="Times New Roman" w:cs="Times New Roman"/>
          <w:sz w:val="24"/>
          <w:szCs w:val="24"/>
        </w:rPr>
        <w:t>the Commission</w:t>
      </w:r>
      <w:r w:rsidRPr="008B77CF">
        <w:rPr>
          <w:rFonts w:ascii="Times New Roman" w:hAnsi="Times New Roman" w:eastAsia="Times New Roman" w:cs="Times New Roman"/>
          <w:sz w:val="24"/>
          <w:szCs w:val="24"/>
        </w:rPr>
        <w:t xml:space="preserve"> </w:t>
      </w:r>
      <w:r w:rsidR="00D46B16">
        <w:rPr>
          <w:rFonts w:ascii="Times New Roman" w:hAnsi="Times New Roman" w:eastAsia="Times New Roman" w:cs="Times New Roman"/>
          <w:sz w:val="24"/>
          <w:szCs w:val="24"/>
        </w:rPr>
        <w:t>is</w:t>
      </w:r>
      <w:r w:rsidRPr="008B77CF">
        <w:rPr>
          <w:rFonts w:ascii="Times New Roman" w:hAnsi="Times New Roman" w:eastAsia="Times New Roman" w:cs="Times New Roman"/>
          <w:sz w:val="24"/>
          <w:szCs w:val="24"/>
        </w:rPr>
        <w:t xml:space="preserve"> requesting a three-year extension of the </w:t>
      </w:r>
      <w:r w:rsidR="00D46B16">
        <w:rPr>
          <w:rFonts w:ascii="Times New Roman" w:hAnsi="Times New Roman" w:eastAsia="Times New Roman" w:cs="Times New Roman"/>
          <w:sz w:val="24"/>
          <w:szCs w:val="24"/>
        </w:rPr>
        <w:t xml:space="preserve">information collection </w:t>
      </w:r>
      <w:r w:rsidRPr="008B77CF">
        <w:rPr>
          <w:rFonts w:ascii="Times New Roman" w:hAnsi="Times New Roman" w:eastAsia="Times New Roman" w:cs="Times New Roman"/>
          <w:sz w:val="24"/>
          <w:szCs w:val="24"/>
        </w:rPr>
        <w:t>with no change to the existing requirements.  No comments were received</w:t>
      </w:r>
      <w:r w:rsidRPr="008B77CF" w:rsidR="00A433D5">
        <w:rPr>
          <w:rFonts w:ascii="Times New Roman" w:hAnsi="Times New Roman" w:eastAsia="Times New Roman" w:cs="Times New Roman"/>
          <w:sz w:val="24"/>
          <w:szCs w:val="24"/>
        </w:rPr>
        <w:t xml:space="preserve"> </w:t>
      </w:r>
      <w:r w:rsidR="00D46B16">
        <w:rPr>
          <w:rFonts w:ascii="Times New Roman" w:hAnsi="Times New Roman" w:eastAsia="Times New Roman" w:cs="Times New Roman"/>
          <w:sz w:val="24"/>
          <w:szCs w:val="24"/>
        </w:rPr>
        <w:t>o</w:t>
      </w:r>
      <w:r w:rsidRPr="008B77CF" w:rsidR="00A433D5">
        <w:rPr>
          <w:rFonts w:ascii="Times New Roman" w:hAnsi="Times New Roman" w:eastAsia="Times New Roman" w:cs="Times New Roman"/>
          <w:sz w:val="24"/>
          <w:szCs w:val="24"/>
        </w:rPr>
        <w:t>n the 60-day notice</w:t>
      </w:r>
      <w:r w:rsidRPr="008B77CF">
        <w:rPr>
          <w:rFonts w:ascii="Times New Roman" w:hAnsi="Times New Roman" w:eastAsia="Times New Roman" w:cs="Times New Roman"/>
          <w:sz w:val="24"/>
          <w:szCs w:val="24"/>
        </w:rPr>
        <w:t>.</w:t>
      </w:r>
    </w:p>
    <w:p w:rsidRPr="008B77CF" w:rsidR="000E152C" w:rsidP="000E152C" w:rsidRDefault="000E152C" w14:paraId="73468CBC" w14:textId="77777777">
      <w:pPr>
        <w:tabs>
          <w:tab w:val="num" w:pos="0"/>
        </w:tabs>
        <w:spacing w:after="0" w:line="240" w:lineRule="auto"/>
        <w:ind w:hanging="18"/>
        <w:rPr>
          <w:rFonts w:ascii="Times New Roman" w:hAnsi="Times New Roman" w:eastAsia="Times New Roman" w:cs="Times New Roman"/>
          <w:sz w:val="24"/>
          <w:szCs w:val="24"/>
        </w:rPr>
      </w:pPr>
    </w:p>
    <w:p w:rsidRPr="008B77CF" w:rsidR="000E152C" w:rsidP="000E152C" w:rsidRDefault="000E152C" w14:paraId="73468CBD"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9.</w:t>
      </w:r>
      <w:r w:rsidRPr="008B77CF">
        <w:rPr>
          <w:rFonts w:ascii="Times New Roman" w:hAnsi="Times New Roman" w:eastAsia="Times New Roman" w:cs="Times New Roman"/>
          <w:sz w:val="24"/>
          <w:szCs w:val="24"/>
        </w:rPr>
        <w:t xml:space="preserve"> </w:t>
      </w:r>
      <w:r w:rsidRPr="008B77CF">
        <w:rPr>
          <w:rFonts w:ascii="Times New Roman" w:hAnsi="Times New Roman" w:eastAsia="Times New Roman" w:cs="Times New Roman"/>
          <w:sz w:val="24"/>
          <w:szCs w:val="24"/>
        </w:rPr>
        <w:tab/>
      </w:r>
      <w:r w:rsidRPr="008B77CF">
        <w:rPr>
          <w:rFonts w:ascii="Times New Roman" w:hAnsi="Times New Roman" w:eastAsia="Times New Roman" w:cs="Times New Roman"/>
          <w:b/>
          <w:sz w:val="24"/>
          <w:szCs w:val="24"/>
        </w:rPr>
        <w:t>EXPLAIN ANY PAYMENT OR GIFTS TO RESPONDENTS</w:t>
      </w:r>
    </w:p>
    <w:p w:rsidRPr="008B77CF" w:rsidR="000E152C" w:rsidP="000E152C" w:rsidRDefault="000E152C" w14:paraId="73468CBE"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p w:rsidRPr="008B77CF" w:rsidR="000E152C" w:rsidP="000E152C" w:rsidRDefault="000E152C" w14:paraId="73468CBF" w14:textId="42B25181">
      <w:pPr>
        <w:widowControl w:val="0"/>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There are no payments or gifts to FERC-729 respondents.</w:t>
      </w:r>
    </w:p>
    <w:p w:rsidRPr="008B77CF" w:rsidR="000E152C" w:rsidP="000E152C" w:rsidRDefault="000E152C" w14:paraId="73468CC0"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8B77CF" w:rsidR="000E152C" w:rsidP="000E152C" w:rsidRDefault="000E152C" w14:paraId="73468CC1"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10.</w:t>
      </w:r>
      <w:r w:rsidRPr="008B77CF">
        <w:rPr>
          <w:rFonts w:ascii="Times New Roman" w:hAnsi="Times New Roman" w:eastAsia="Times New Roman" w:cs="Times New Roman"/>
          <w:b/>
          <w:sz w:val="24"/>
          <w:szCs w:val="24"/>
        </w:rPr>
        <w:tab/>
        <w:t xml:space="preserve"> DESCRIBE ANY ASSURANCE OF CONFIDENTIALITY PROVIDED TO RESPONDENTS</w:t>
      </w:r>
    </w:p>
    <w:p w:rsidRPr="008B77CF" w:rsidR="000E152C" w:rsidP="000E152C" w:rsidRDefault="000E152C" w14:paraId="73468CC2"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p w:rsidRPr="005740AD" w:rsidR="005740AD" w:rsidP="005740AD" w:rsidRDefault="005740AD" w14:paraId="4EB7026A" w14:textId="2818281A">
      <w:pPr>
        <w:autoSpaceDE w:val="0"/>
        <w:autoSpaceDN w:val="0"/>
        <w:adjustRightInd w:val="0"/>
        <w:spacing w:after="0" w:line="240" w:lineRule="auto"/>
        <w:rPr>
          <w:rFonts w:ascii="Times New Roman" w:hAnsi="Times New Roman" w:eastAsia="Times New Roman" w:cs="Times New Roman"/>
          <w:sz w:val="24"/>
          <w:szCs w:val="24"/>
        </w:rPr>
      </w:pPr>
      <w:r w:rsidRPr="005740AD">
        <w:rPr>
          <w:rFonts w:ascii="Times New Roman" w:hAnsi="Times New Roman" w:eastAsia="Times New Roman" w:cs="Times New Roman"/>
          <w:sz w:val="24"/>
          <w:szCs w:val="24"/>
        </w:rPr>
        <w:t>The Commission does not consider the information collected in FERC-</w:t>
      </w:r>
      <w:r>
        <w:rPr>
          <w:rFonts w:ascii="Times New Roman" w:hAnsi="Times New Roman" w:eastAsia="Times New Roman" w:cs="Times New Roman"/>
          <w:sz w:val="24"/>
          <w:szCs w:val="24"/>
        </w:rPr>
        <w:t>729</w:t>
      </w:r>
      <w:r w:rsidRPr="005740AD">
        <w:rPr>
          <w:rFonts w:ascii="Times New Roman" w:hAnsi="Times New Roman" w:eastAsia="Times New Roman" w:cs="Times New Roman"/>
          <w:sz w:val="24"/>
          <w:szCs w:val="24"/>
        </w:rPr>
        <w:t xml:space="preserve"> filings to be confidential.  Filers may request privileged or C</w:t>
      </w:r>
      <w:r w:rsidR="001152E5">
        <w:rPr>
          <w:rFonts w:ascii="Times New Roman" w:hAnsi="Times New Roman" w:eastAsia="Times New Roman" w:cs="Times New Roman"/>
          <w:sz w:val="24"/>
          <w:szCs w:val="24"/>
        </w:rPr>
        <w:t xml:space="preserve">ritical </w:t>
      </w:r>
      <w:r w:rsidRPr="005740AD">
        <w:rPr>
          <w:rFonts w:ascii="Times New Roman" w:hAnsi="Times New Roman" w:eastAsia="Times New Roman" w:cs="Times New Roman"/>
          <w:sz w:val="24"/>
          <w:szCs w:val="24"/>
        </w:rPr>
        <w:t>E</w:t>
      </w:r>
      <w:r w:rsidR="001152E5">
        <w:rPr>
          <w:rFonts w:ascii="Times New Roman" w:hAnsi="Times New Roman" w:eastAsia="Times New Roman" w:cs="Times New Roman"/>
          <w:sz w:val="24"/>
          <w:szCs w:val="24"/>
        </w:rPr>
        <w:t xml:space="preserve">nergy </w:t>
      </w:r>
      <w:r w:rsidRPr="005740AD">
        <w:rPr>
          <w:rFonts w:ascii="Times New Roman" w:hAnsi="Times New Roman" w:eastAsia="Times New Roman" w:cs="Times New Roman"/>
          <w:sz w:val="24"/>
          <w:szCs w:val="24"/>
        </w:rPr>
        <w:t>I</w:t>
      </w:r>
      <w:r w:rsidR="001152E5">
        <w:rPr>
          <w:rFonts w:ascii="Times New Roman" w:hAnsi="Times New Roman" w:eastAsia="Times New Roman" w:cs="Times New Roman"/>
          <w:sz w:val="24"/>
          <w:szCs w:val="24"/>
        </w:rPr>
        <w:t xml:space="preserve">nfrastructure </w:t>
      </w:r>
      <w:r w:rsidRPr="005740AD">
        <w:rPr>
          <w:rFonts w:ascii="Times New Roman" w:hAnsi="Times New Roman" w:eastAsia="Times New Roman" w:cs="Times New Roman"/>
          <w:sz w:val="24"/>
          <w:szCs w:val="24"/>
        </w:rPr>
        <w:t>I</w:t>
      </w:r>
      <w:r w:rsidR="001152E5">
        <w:rPr>
          <w:rFonts w:ascii="Times New Roman" w:hAnsi="Times New Roman" w:eastAsia="Times New Roman" w:cs="Times New Roman"/>
          <w:sz w:val="24"/>
          <w:szCs w:val="24"/>
        </w:rPr>
        <w:t>nformation</w:t>
      </w:r>
      <w:r w:rsidRPr="005740AD">
        <w:rPr>
          <w:rFonts w:ascii="Times New Roman" w:hAnsi="Times New Roman" w:eastAsia="Times New Roman" w:cs="Times New Roman"/>
          <w:sz w:val="24"/>
          <w:szCs w:val="24"/>
        </w:rPr>
        <w:t xml:space="preserve"> treatment of a filing that may contain information the applicant deems harmful if released to the </w:t>
      </w:r>
      <w:proofErr w:type="gramStart"/>
      <w:r w:rsidRPr="005740AD">
        <w:rPr>
          <w:rFonts w:ascii="Times New Roman" w:hAnsi="Times New Roman" w:eastAsia="Times New Roman" w:cs="Times New Roman"/>
          <w:sz w:val="24"/>
          <w:szCs w:val="24"/>
        </w:rPr>
        <w:t>general public</w:t>
      </w:r>
      <w:proofErr w:type="gramEnd"/>
      <w:r w:rsidRPr="005740AD">
        <w:rPr>
          <w:rFonts w:ascii="Times New Roman" w:hAnsi="Times New Roman" w:eastAsia="Times New Roman" w:cs="Times New Roman"/>
          <w:sz w:val="24"/>
          <w:szCs w:val="24"/>
        </w:rPr>
        <w:t>.</w:t>
      </w:r>
      <w:r w:rsidRPr="005740AD">
        <w:rPr>
          <w:rFonts w:ascii="Times New Roman" w:hAnsi="Times New Roman" w:eastAsia="Times New Roman" w:cs="Times New Roman"/>
          <w:b/>
          <w:sz w:val="24"/>
          <w:szCs w:val="24"/>
          <w:vertAlign w:val="superscript"/>
        </w:rPr>
        <w:footnoteReference w:id="13"/>
      </w:r>
      <w:r w:rsidRPr="005740AD">
        <w:rPr>
          <w:rFonts w:ascii="Times New Roman" w:hAnsi="Times New Roman" w:eastAsia="Times New Roman" w:cs="Times New Roman"/>
          <w:b/>
          <w:sz w:val="24"/>
          <w:szCs w:val="24"/>
        </w:rPr>
        <w:t xml:space="preserve"> </w:t>
      </w:r>
      <w:r w:rsidRPr="005740AD">
        <w:rPr>
          <w:rFonts w:ascii="Times New Roman" w:hAnsi="Times New Roman" w:eastAsia="Times New Roman" w:cs="Times New Roman"/>
          <w:sz w:val="24"/>
          <w:szCs w:val="24"/>
        </w:rPr>
        <w:t xml:space="preserve"> </w:t>
      </w:r>
    </w:p>
    <w:p w:rsidRPr="008B77CF" w:rsidR="000E152C" w:rsidP="000E152C" w:rsidRDefault="000E152C" w14:paraId="73468CC4"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C5"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11.</w:t>
      </w:r>
      <w:r w:rsidRPr="008B77CF">
        <w:rPr>
          <w:rFonts w:ascii="Times New Roman" w:hAnsi="Times New Roman" w:eastAsia="Times New Roman" w:cs="Times New Roman"/>
          <w:b/>
          <w:sz w:val="24"/>
          <w:szCs w:val="24"/>
        </w:rPr>
        <w:tab/>
        <w:t xml:space="preserve"> PROVIDE ADDITIONAL JUSTIFICATION FOR ANY QUESTIONS OF A SENSITIVE NATURE, SUCH AS SEXUAL BEHAVIOR AND ATTITDUES, RELIGIOUS BELIEFS, AND OTHER MATTERS THAT ARE COMMONLY CONSIDERED PRIVATE</w:t>
      </w:r>
    </w:p>
    <w:p w:rsidRPr="008B77CF" w:rsidR="000E152C" w:rsidP="000E152C" w:rsidRDefault="000E152C" w14:paraId="73468CC6" w14:textId="77777777">
      <w:pPr>
        <w:autoSpaceDE w:val="0"/>
        <w:autoSpaceDN w:val="0"/>
        <w:adjustRightInd w:val="0"/>
        <w:spacing w:after="0" w:line="240" w:lineRule="auto"/>
        <w:rPr>
          <w:rFonts w:ascii="Times New Roman" w:hAnsi="Times New Roman" w:eastAsia="Times New Roman" w:cs="Times New Roman"/>
          <w:b/>
          <w:sz w:val="24"/>
          <w:szCs w:val="24"/>
        </w:rPr>
      </w:pPr>
    </w:p>
    <w:p w:rsidRPr="008B77CF" w:rsidR="000E152C" w:rsidP="000E152C" w:rsidRDefault="000E152C" w14:paraId="73468CC7" w14:textId="2756100D">
      <w:pPr>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The</w:t>
      </w:r>
      <w:r w:rsidR="00BD11E3">
        <w:rPr>
          <w:rFonts w:ascii="Times New Roman" w:hAnsi="Times New Roman" w:eastAsia="Times New Roman" w:cs="Times New Roman"/>
          <w:sz w:val="24"/>
          <w:szCs w:val="24"/>
        </w:rPr>
        <w:t>re are no</w:t>
      </w:r>
      <w:r w:rsidRPr="008B77CF">
        <w:rPr>
          <w:rFonts w:ascii="Times New Roman" w:hAnsi="Times New Roman" w:eastAsia="Times New Roman" w:cs="Times New Roman"/>
          <w:sz w:val="24"/>
          <w:szCs w:val="24"/>
        </w:rPr>
        <w:t xml:space="preserve"> questions of a sensitive nature </w:t>
      </w:r>
      <w:r w:rsidR="00BD11E3">
        <w:rPr>
          <w:rFonts w:ascii="Times New Roman" w:hAnsi="Times New Roman" w:eastAsia="Times New Roman" w:cs="Times New Roman"/>
          <w:sz w:val="24"/>
          <w:szCs w:val="24"/>
        </w:rPr>
        <w:t>in this information collection</w:t>
      </w:r>
      <w:r w:rsidRPr="008B77CF">
        <w:rPr>
          <w:rFonts w:ascii="Times New Roman" w:hAnsi="Times New Roman" w:eastAsia="Times New Roman" w:cs="Times New Roman"/>
          <w:sz w:val="24"/>
          <w:szCs w:val="24"/>
        </w:rPr>
        <w:t>.</w:t>
      </w:r>
    </w:p>
    <w:p w:rsidRPr="008B77CF" w:rsidR="000E152C" w:rsidP="000E152C" w:rsidRDefault="000E152C" w14:paraId="73468CC8"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p w:rsidRPr="008B77CF" w:rsidR="000E152C" w:rsidP="000E152C" w:rsidRDefault="000E152C" w14:paraId="73468CC9"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12.</w:t>
      </w:r>
      <w:r w:rsidRPr="008B77CF">
        <w:rPr>
          <w:rFonts w:ascii="Times New Roman" w:hAnsi="Times New Roman" w:eastAsia="Times New Roman" w:cs="Times New Roman"/>
          <w:b/>
          <w:sz w:val="24"/>
          <w:szCs w:val="24"/>
        </w:rPr>
        <w:tab/>
        <w:t xml:space="preserve"> ESTIMATED BURDEN OF COLLECTION OF INFORMATION</w:t>
      </w:r>
    </w:p>
    <w:p w:rsidRPr="008B77CF" w:rsidR="000E152C" w:rsidP="000E152C" w:rsidRDefault="000E152C" w14:paraId="73468CC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CB" w14:textId="32099917">
      <w:pPr>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 xml:space="preserve">The Commission estimates the </w:t>
      </w:r>
      <w:r w:rsidR="00A73935">
        <w:rPr>
          <w:rFonts w:ascii="Times New Roman" w:hAnsi="Times New Roman" w:eastAsia="Times New Roman" w:cs="Times New Roman"/>
          <w:sz w:val="24"/>
          <w:szCs w:val="24"/>
        </w:rPr>
        <w:t>annual p</w:t>
      </w:r>
      <w:r w:rsidRPr="008B77CF">
        <w:rPr>
          <w:rFonts w:ascii="Times New Roman" w:hAnsi="Times New Roman" w:eastAsia="Times New Roman" w:cs="Times New Roman"/>
          <w:sz w:val="24"/>
          <w:szCs w:val="24"/>
        </w:rPr>
        <w:t xml:space="preserve">ublic </w:t>
      </w:r>
      <w:r w:rsidR="00A73935">
        <w:rPr>
          <w:rFonts w:ascii="Times New Roman" w:hAnsi="Times New Roman" w:eastAsia="Times New Roman" w:cs="Times New Roman"/>
          <w:sz w:val="24"/>
          <w:szCs w:val="24"/>
        </w:rPr>
        <w:t>r</w:t>
      </w:r>
      <w:r w:rsidRPr="008B77CF">
        <w:rPr>
          <w:rFonts w:ascii="Times New Roman" w:hAnsi="Times New Roman" w:eastAsia="Times New Roman" w:cs="Times New Roman"/>
          <w:sz w:val="24"/>
          <w:szCs w:val="24"/>
        </w:rPr>
        <w:t xml:space="preserve">eporting </w:t>
      </w:r>
      <w:r w:rsidR="00A73935">
        <w:rPr>
          <w:rFonts w:ascii="Times New Roman" w:hAnsi="Times New Roman" w:eastAsia="Times New Roman" w:cs="Times New Roman"/>
          <w:sz w:val="24"/>
          <w:szCs w:val="24"/>
        </w:rPr>
        <w:t>b</w:t>
      </w:r>
      <w:r w:rsidRPr="008B77CF">
        <w:rPr>
          <w:rFonts w:ascii="Times New Roman" w:hAnsi="Times New Roman" w:eastAsia="Times New Roman" w:cs="Times New Roman"/>
          <w:sz w:val="24"/>
          <w:szCs w:val="24"/>
        </w:rPr>
        <w:t>urden for this information collection as:</w:t>
      </w:r>
    </w:p>
    <w:p w:rsidRPr="008B77CF" w:rsidR="000E152C" w:rsidP="000E152C" w:rsidRDefault="000E152C" w14:paraId="73468CCC" w14:textId="77777777">
      <w:pPr>
        <w:autoSpaceDE w:val="0"/>
        <w:autoSpaceDN w:val="0"/>
        <w:adjustRightInd w:val="0"/>
        <w:spacing w:after="0" w:line="240" w:lineRule="auto"/>
        <w:rPr>
          <w:rFonts w:ascii="Times New Roman" w:hAnsi="Times New Roman" w:eastAsia="Times New Roman" w:cs="Times New Roman"/>
          <w:sz w:val="24"/>
          <w:szCs w:val="24"/>
        </w:rPr>
      </w:pPr>
    </w:p>
    <w:tbl>
      <w:tblPr>
        <w:tblW w:w="470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1"/>
        <w:gridCol w:w="1379"/>
        <w:gridCol w:w="1379"/>
        <w:gridCol w:w="1300"/>
        <w:gridCol w:w="1209"/>
        <w:gridCol w:w="1214"/>
        <w:gridCol w:w="10"/>
      </w:tblGrid>
      <w:tr w:rsidRPr="009C3CC5" w:rsidR="009C3CC5" w:rsidTr="009C3CC5" w14:paraId="264BB616"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9C3CC5" w:rsidR="009C3CC5" w:rsidP="009C3CC5" w:rsidRDefault="009C3CC5" w14:paraId="68A8943C"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FERC-729 (OMB Control No. 1902-0238):  Electric Transmission Facilities</w:t>
            </w:r>
          </w:p>
        </w:tc>
      </w:tr>
      <w:tr w:rsidRPr="009C3CC5" w:rsidR="009C3CC5" w:rsidTr="009C3CC5" w14:paraId="4A9383E2" w14:textId="77777777">
        <w:trPr>
          <w:gridAfter w:val="1"/>
          <w:wAfter w:w="7" w:type="pct"/>
          <w:cantSplit/>
        </w:trPr>
        <w:tc>
          <w:tcPr>
            <w:tcW w:w="1000" w:type="pct"/>
            <w:tcBorders>
              <w:top w:val="single" w:color="auto" w:sz="4" w:space="0"/>
              <w:left w:val="single" w:color="auto" w:sz="4" w:space="0"/>
              <w:bottom w:val="single" w:color="auto" w:sz="4" w:space="0"/>
              <w:right w:val="single" w:color="auto" w:sz="4" w:space="0"/>
            </w:tcBorders>
            <w:shd w:val="clear" w:color="auto" w:fill="D9D9D9"/>
          </w:tcPr>
          <w:p w:rsidRPr="009C3CC5" w:rsidR="009C3CC5" w:rsidP="009C3CC5" w:rsidRDefault="009C3CC5" w14:paraId="4195403C" w14:textId="77777777">
            <w:pPr>
              <w:spacing w:after="0" w:line="256" w:lineRule="auto"/>
              <w:jc w:val="center"/>
              <w:rPr>
                <w:rFonts w:ascii="Times New Roman" w:hAnsi="Times New Roman" w:eastAsia="Calibri" w:cs="Times New Roman"/>
                <w:b/>
                <w:sz w:val="20"/>
                <w:szCs w:val="20"/>
              </w:rPr>
            </w:pPr>
          </w:p>
        </w:tc>
        <w:tc>
          <w:tcPr>
            <w:tcW w:w="85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C3CC5" w:rsidR="009C3CC5" w:rsidP="009C3CC5" w:rsidRDefault="009C3CC5" w14:paraId="15CE1A43"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Number of Respondents</w:t>
            </w:r>
            <w:r w:rsidRPr="009C3CC5">
              <w:rPr>
                <w:rFonts w:ascii="Times New Roman" w:hAnsi="Times New Roman" w:eastAsia="Calibri" w:cs="Times New Roman"/>
                <w:b/>
                <w:sz w:val="20"/>
                <w:szCs w:val="20"/>
              </w:rPr>
              <w:br/>
              <w:t>(1)</w:t>
            </w:r>
          </w:p>
        </w:tc>
        <w:tc>
          <w:tcPr>
            <w:tcW w:w="85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C3CC5" w:rsidR="009C3CC5" w:rsidP="009C3CC5" w:rsidRDefault="009C3CC5" w14:paraId="1ED2355D"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Annual Number of Responses per Respondent</w:t>
            </w:r>
          </w:p>
          <w:p w:rsidRPr="009C3CC5" w:rsidR="009C3CC5" w:rsidP="009C3CC5" w:rsidRDefault="009C3CC5" w14:paraId="0155ED08"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(2)</w:t>
            </w:r>
          </w:p>
        </w:tc>
        <w:tc>
          <w:tcPr>
            <w:tcW w:w="8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C3CC5" w:rsidR="009C3CC5" w:rsidP="009C3CC5" w:rsidRDefault="009C3CC5" w14:paraId="587300E1"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Total Number of Responses (</w:t>
            </w:r>
            <w:proofErr w:type="gramStart"/>
            <w:r w:rsidRPr="009C3CC5">
              <w:rPr>
                <w:rFonts w:ascii="Times New Roman" w:hAnsi="Times New Roman" w:eastAsia="Calibri" w:cs="Times New Roman"/>
                <w:b/>
                <w:sz w:val="20"/>
                <w:szCs w:val="20"/>
              </w:rPr>
              <w:t>1)*</w:t>
            </w:r>
            <w:proofErr w:type="gramEnd"/>
            <w:r w:rsidRPr="009C3CC5">
              <w:rPr>
                <w:rFonts w:ascii="Times New Roman" w:hAnsi="Times New Roman" w:eastAsia="Calibri" w:cs="Times New Roman"/>
                <w:b/>
                <w:sz w:val="20"/>
                <w:szCs w:val="20"/>
              </w:rPr>
              <w:t>(2)=(3)</w:t>
            </w:r>
          </w:p>
        </w:tc>
        <w:tc>
          <w:tcPr>
            <w:tcW w:w="74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C3CC5" w:rsidR="009C3CC5" w:rsidP="009C3CC5" w:rsidRDefault="009C3CC5" w14:paraId="4EF5A1B0"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Average Burden &amp; Cost Per Response</w:t>
            </w:r>
            <w:r w:rsidRPr="009C3CC5">
              <w:rPr>
                <w:rFonts w:ascii="Times New Roman" w:hAnsi="Times New Roman" w:eastAsia="Calibri" w:cs="Times New Roman"/>
                <w:b/>
                <w:sz w:val="26"/>
                <w:szCs w:val="26"/>
                <w:vertAlign w:val="superscript"/>
              </w:rPr>
              <w:footnoteReference w:id="14"/>
            </w:r>
          </w:p>
          <w:p w:rsidRPr="009C3CC5" w:rsidR="009C3CC5" w:rsidP="009C3CC5" w:rsidRDefault="009C3CC5" w14:paraId="4048BC19"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(4)</w:t>
            </w:r>
          </w:p>
        </w:tc>
        <w:tc>
          <w:tcPr>
            <w:tcW w:w="7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C3CC5" w:rsidR="009C3CC5" w:rsidP="009C3CC5" w:rsidRDefault="009C3CC5" w14:paraId="4164D8C8"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Total Annual Burden Hours &amp; Total Annual Cost</w:t>
            </w:r>
          </w:p>
          <w:p w:rsidRPr="009C3CC5" w:rsidR="009C3CC5" w:rsidP="009C3CC5" w:rsidRDefault="009C3CC5" w14:paraId="54DD585B" w14:textId="77777777">
            <w:pPr>
              <w:spacing w:after="0" w:line="256" w:lineRule="auto"/>
              <w:jc w:val="center"/>
              <w:rPr>
                <w:rFonts w:ascii="Times New Roman" w:hAnsi="Times New Roman" w:eastAsia="Calibri" w:cs="Times New Roman"/>
                <w:b/>
                <w:sz w:val="20"/>
                <w:szCs w:val="20"/>
              </w:rPr>
            </w:pPr>
            <w:r w:rsidRPr="009C3CC5">
              <w:rPr>
                <w:rFonts w:ascii="Times New Roman" w:hAnsi="Times New Roman" w:eastAsia="Calibri" w:cs="Times New Roman"/>
                <w:b/>
                <w:sz w:val="20"/>
                <w:szCs w:val="20"/>
              </w:rPr>
              <w:t>(</w:t>
            </w:r>
            <w:proofErr w:type="gramStart"/>
            <w:r w:rsidRPr="009C3CC5">
              <w:rPr>
                <w:rFonts w:ascii="Times New Roman" w:hAnsi="Times New Roman" w:eastAsia="Calibri" w:cs="Times New Roman"/>
                <w:b/>
                <w:sz w:val="20"/>
                <w:szCs w:val="20"/>
              </w:rPr>
              <w:t>3)*</w:t>
            </w:r>
            <w:proofErr w:type="gramEnd"/>
            <w:r w:rsidRPr="009C3CC5">
              <w:rPr>
                <w:rFonts w:ascii="Times New Roman" w:hAnsi="Times New Roman" w:eastAsia="Calibri" w:cs="Times New Roman"/>
                <w:b/>
                <w:sz w:val="20"/>
                <w:szCs w:val="20"/>
              </w:rPr>
              <w:t>(4)=(5)</w:t>
            </w:r>
          </w:p>
        </w:tc>
      </w:tr>
      <w:tr w:rsidRPr="009C3CC5" w:rsidR="009C3CC5" w:rsidTr="009C3CC5" w14:paraId="5DC21866" w14:textId="77777777">
        <w:trPr>
          <w:gridAfter w:val="1"/>
          <w:wAfter w:w="7" w:type="pct"/>
          <w:cantSplit/>
        </w:trPr>
        <w:tc>
          <w:tcPr>
            <w:tcW w:w="1000" w:type="pct"/>
            <w:tcBorders>
              <w:top w:val="single" w:color="auto" w:sz="4" w:space="0"/>
              <w:left w:val="single" w:color="auto" w:sz="4" w:space="0"/>
              <w:bottom w:val="single" w:color="auto" w:sz="4" w:space="0"/>
              <w:right w:val="single" w:color="auto" w:sz="4" w:space="0"/>
            </w:tcBorders>
            <w:hideMark/>
          </w:tcPr>
          <w:p w:rsidRPr="009C3CC5" w:rsidR="009C3CC5" w:rsidP="009C3CC5" w:rsidRDefault="009C3CC5" w14:paraId="1837535D" w14:textId="77777777">
            <w:pPr>
              <w:spacing w:after="0" w:line="256" w:lineRule="auto"/>
              <w:rPr>
                <w:rFonts w:ascii="Times New Roman" w:hAnsi="Times New Roman" w:eastAsia="Calibri" w:cs="Times New Roman"/>
                <w:sz w:val="20"/>
                <w:szCs w:val="20"/>
              </w:rPr>
            </w:pPr>
            <w:r w:rsidRPr="009C3CC5">
              <w:rPr>
                <w:rFonts w:ascii="Times New Roman" w:hAnsi="Times New Roman" w:eastAsia="Calibri" w:cs="Times New Roman"/>
                <w:sz w:val="20"/>
                <w:szCs w:val="20"/>
              </w:rPr>
              <w:t>Electric Transmission Facilities</w:t>
            </w:r>
          </w:p>
        </w:tc>
        <w:tc>
          <w:tcPr>
            <w:tcW w:w="850" w:type="pct"/>
            <w:tcBorders>
              <w:top w:val="single" w:color="auto" w:sz="4" w:space="0"/>
              <w:left w:val="single" w:color="auto" w:sz="4" w:space="0"/>
              <w:bottom w:val="single" w:color="auto" w:sz="4" w:space="0"/>
              <w:right w:val="single" w:color="auto" w:sz="4" w:space="0"/>
            </w:tcBorders>
          </w:tcPr>
          <w:p w:rsidRPr="009C3CC5" w:rsidR="009C3CC5" w:rsidP="009C3CC5" w:rsidRDefault="009C3CC5" w14:paraId="1D85DD98" w14:textId="77777777">
            <w:pPr>
              <w:spacing w:after="0" w:line="256" w:lineRule="auto"/>
              <w:jc w:val="right"/>
              <w:rPr>
                <w:rFonts w:ascii="Times New Roman" w:hAnsi="Times New Roman" w:eastAsia="Calibri" w:cs="Times New Roman"/>
                <w:sz w:val="20"/>
                <w:szCs w:val="20"/>
              </w:rPr>
            </w:pPr>
            <w:r w:rsidRPr="009C3CC5">
              <w:rPr>
                <w:rFonts w:ascii="Times New Roman" w:hAnsi="Times New Roman" w:eastAsia="Calibri" w:cs="Times New Roman"/>
                <w:sz w:val="20"/>
                <w:szCs w:val="20"/>
              </w:rPr>
              <w:t>1</w:t>
            </w:r>
          </w:p>
          <w:p w:rsidRPr="009C3CC5" w:rsidR="009C3CC5" w:rsidP="009C3CC5" w:rsidRDefault="009C3CC5" w14:paraId="3392DCA6" w14:textId="77777777">
            <w:pPr>
              <w:spacing w:after="0" w:line="256" w:lineRule="auto"/>
              <w:jc w:val="right"/>
              <w:rPr>
                <w:rFonts w:ascii="Times New Roman" w:hAnsi="Times New Roman" w:eastAsia="Calibri" w:cs="Times New Roman"/>
                <w:sz w:val="20"/>
                <w:szCs w:val="20"/>
              </w:rPr>
            </w:pPr>
          </w:p>
        </w:tc>
        <w:tc>
          <w:tcPr>
            <w:tcW w:w="850" w:type="pct"/>
            <w:tcBorders>
              <w:top w:val="single" w:color="auto" w:sz="4" w:space="0"/>
              <w:left w:val="single" w:color="auto" w:sz="4" w:space="0"/>
              <w:bottom w:val="single" w:color="auto" w:sz="4" w:space="0"/>
              <w:right w:val="single" w:color="auto" w:sz="4" w:space="0"/>
            </w:tcBorders>
            <w:hideMark/>
          </w:tcPr>
          <w:p w:rsidRPr="009C3CC5" w:rsidR="009C3CC5" w:rsidP="009C3CC5" w:rsidRDefault="009C3CC5" w14:paraId="24278A46" w14:textId="77777777">
            <w:pPr>
              <w:spacing w:after="0" w:line="256" w:lineRule="auto"/>
              <w:jc w:val="right"/>
              <w:rPr>
                <w:rFonts w:ascii="Times New Roman" w:hAnsi="Times New Roman" w:eastAsia="Calibri" w:cs="Times New Roman"/>
                <w:sz w:val="20"/>
                <w:szCs w:val="20"/>
              </w:rPr>
            </w:pPr>
            <w:r w:rsidRPr="009C3CC5">
              <w:rPr>
                <w:rFonts w:ascii="Times New Roman" w:hAnsi="Times New Roman" w:eastAsia="Calibri" w:cs="Times New Roman"/>
                <w:sz w:val="20"/>
                <w:szCs w:val="20"/>
              </w:rPr>
              <w:t>1</w:t>
            </w:r>
          </w:p>
        </w:tc>
        <w:tc>
          <w:tcPr>
            <w:tcW w:w="801" w:type="pct"/>
            <w:tcBorders>
              <w:top w:val="single" w:color="auto" w:sz="4" w:space="0"/>
              <w:left w:val="single" w:color="auto" w:sz="4" w:space="0"/>
              <w:bottom w:val="single" w:color="auto" w:sz="4" w:space="0"/>
              <w:right w:val="single" w:color="auto" w:sz="4" w:space="0"/>
            </w:tcBorders>
            <w:hideMark/>
          </w:tcPr>
          <w:p w:rsidRPr="009C3CC5" w:rsidR="009C3CC5" w:rsidP="009C3CC5" w:rsidRDefault="009C3CC5" w14:paraId="1BF05B3A" w14:textId="77777777">
            <w:pPr>
              <w:spacing w:after="0" w:line="256" w:lineRule="auto"/>
              <w:jc w:val="right"/>
              <w:rPr>
                <w:rFonts w:ascii="Times New Roman" w:hAnsi="Times New Roman" w:eastAsia="Calibri" w:cs="Times New Roman"/>
                <w:sz w:val="20"/>
                <w:szCs w:val="20"/>
              </w:rPr>
            </w:pPr>
            <w:r w:rsidRPr="009C3CC5">
              <w:rPr>
                <w:rFonts w:ascii="Times New Roman" w:hAnsi="Times New Roman" w:eastAsia="Calibri" w:cs="Times New Roman"/>
                <w:sz w:val="20"/>
                <w:szCs w:val="20"/>
              </w:rPr>
              <w:t>1</w:t>
            </w:r>
          </w:p>
        </w:tc>
        <w:tc>
          <w:tcPr>
            <w:tcW w:w="745" w:type="pct"/>
            <w:tcBorders>
              <w:top w:val="single" w:color="auto" w:sz="4" w:space="0"/>
              <w:left w:val="single" w:color="auto" w:sz="4" w:space="0"/>
              <w:bottom w:val="single" w:color="auto" w:sz="4" w:space="0"/>
              <w:right w:val="single" w:color="auto" w:sz="4" w:space="0"/>
            </w:tcBorders>
            <w:hideMark/>
          </w:tcPr>
          <w:p w:rsidRPr="009C3CC5" w:rsidR="009C3CC5" w:rsidP="009C3CC5" w:rsidRDefault="009C3CC5" w14:paraId="6EE87198" w14:textId="77777777">
            <w:pPr>
              <w:spacing w:after="0" w:line="256" w:lineRule="auto"/>
              <w:jc w:val="right"/>
              <w:rPr>
                <w:rFonts w:ascii="Times New Roman" w:hAnsi="Times New Roman" w:eastAsia="Calibri" w:cs="Times New Roman"/>
                <w:sz w:val="20"/>
                <w:szCs w:val="20"/>
              </w:rPr>
            </w:pPr>
            <w:r w:rsidRPr="009C3CC5">
              <w:rPr>
                <w:rFonts w:ascii="Times New Roman" w:hAnsi="Times New Roman" w:eastAsia="Calibri" w:cs="Times New Roman"/>
                <w:sz w:val="20"/>
                <w:szCs w:val="20"/>
              </w:rPr>
              <w:t>9,600</w:t>
            </w:r>
          </w:p>
          <w:p w:rsidRPr="009C3CC5" w:rsidR="009C3CC5" w:rsidP="009C3CC5" w:rsidRDefault="009C3CC5" w14:paraId="665AD6E4" w14:textId="77777777">
            <w:pPr>
              <w:spacing w:after="0" w:line="256" w:lineRule="auto"/>
              <w:jc w:val="right"/>
              <w:rPr>
                <w:rFonts w:ascii="Times New Roman" w:hAnsi="Times New Roman" w:eastAsia="Calibri" w:cs="Times New Roman"/>
                <w:sz w:val="20"/>
                <w:szCs w:val="20"/>
              </w:rPr>
            </w:pPr>
            <w:r w:rsidRPr="009C3CC5">
              <w:rPr>
                <w:rFonts w:ascii="Times New Roman" w:hAnsi="Times New Roman" w:eastAsia="Calibri" w:cs="Times New Roman"/>
                <w:sz w:val="20"/>
                <w:szCs w:val="20"/>
              </w:rPr>
              <w:t>$835,200</w:t>
            </w:r>
          </w:p>
        </w:tc>
        <w:tc>
          <w:tcPr>
            <w:tcW w:w="748" w:type="pct"/>
            <w:tcBorders>
              <w:top w:val="single" w:color="auto" w:sz="4" w:space="0"/>
              <w:left w:val="single" w:color="auto" w:sz="4" w:space="0"/>
              <w:bottom w:val="single" w:color="auto" w:sz="4" w:space="0"/>
              <w:right w:val="single" w:color="auto" w:sz="4" w:space="0"/>
            </w:tcBorders>
            <w:hideMark/>
          </w:tcPr>
          <w:p w:rsidRPr="009C3CC5" w:rsidR="009C3CC5" w:rsidP="009C3CC5" w:rsidRDefault="009C3CC5" w14:paraId="45F2E0A3" w14:textId="77777777">
            <w:pPr>
              <w:spacing w:after="0" w:line="256" w:lineRule="auto"/>
              <w:jc w:val="right"/>
              <w:rPr>
                <w:rFonts w:ascii="Times New Roman" w:hAnsi="Times New Roman" w:eastAsia="Calibri" w:cs="Times New Roman"/>
                <w:sz w:val="20"/>
                <w:szCs w:val="20"/>
              </w:rPr>
            </w:pPr>
            <w:r w:rsidRPr="009C3CC5">
              <w:rPr>
                <w:rFonts w:ascii="Times New Roman" w:hAnsi="Times New Roman" w:eastAsia="Calibri" w:cs="Times New Roman"/>
                <w:sz w:val="20"/>
                <w:szCs w:val="20"/>
              </w:rPr>
              <w:t>9,600</w:t>
            </w:r>
          </w:p>
          <w:p w:rsidRPr="009C3CC5" w:rsidR="009C3CC5" w:rsidP="009C3CC5" w:rsidRDefault="009C3CC5" w14:paraId="11A0B811" w14:textId="77777777">
            <w:pPr>
              <w:spacing w:after="0" w:line="256" w:lineRule="auto"/>
              <w:jc w:val="right"/>
              <w:rPr>
                <w:rFonts w:ascii="Times New Roman" w:hAnsi="Times New Roman" w:eastAsia="Calibri" w:cs="Times New Roman"/>
                <w:sz w:val="20"/>
                <w:szCs w:val="20"/>
              </w:rPr>
            </w:pPr>
            <w:r w:rsidRPr="009C3CC5">
              <w:rPr>
                <w:rFonts w:ascii="Times New Roman" w:hAnsi="Times New Roman" w:eastAsia="Calibri" w:cs="Times New Roman"/>
                <w:sz w:val="20"/>
                <w:szCs w:val="20"/>
              </w:rPr>
              <w:t xml:space="preserve">$835,200 </w:t>
            </w:r>
          </w:p>
        </w:tc>
      </w:tr>
    </w:tbl>
    <w:p w:rsidRPr="008B77CF" w:rsidR="000E152C" w:rsidP="000E152C" w:rsidRDefault="000E152C" w14:paraId="73468CE8"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E9"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8B77CF" w:rsidR="000E152C" w:rsidP="000E152C" w:rsidRDefault="000E152C" w14:paraId="73468CEA" w14:textId="77777777">
      <w:pPr>
        <w:widowControl w:val="0"/>
        <w:numPr>
          <w:ilvl w:val="0"/>
          <w:numId w:val="3"/>
        </w:num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 xml:space="preserve"> ESTIMATE OF TOTAL ANNUAL COST OF BURDEN TO</w:t>
      </w:r>
    </w:p>
    <w:p w:rsidRPr="008B77CF" w:rsidR="000E152C" w:rsidP="000E152C" w:rsidRDefault="000E152C" w14:paraId="73468CEB" w14:textId="77777777">
      <w:pPr>
        <w:tabs>
          <w:tab w:val="left" w:pos="720"/>
        </w:tabs>
        <w:autoSpaceDE w:val="0"/>
        <w:autoSpaceDN w:val="0"/>
        <w:adjustRightInd w:val="0"/>
        <w:spacing w:after="0" w:line="240" w:lineRule="auto"/>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ab/>
        <w:t xml:space="preserve"> RESPONDENTS</w:t>
      </w:r>
    </w:p>
    <w:p w:rsidRPr="008B77CF" w:rsidR="000E152C" w:rsidP="000E152C" w:rsidRDefault="000E152C" w14:paraId="73468CEC"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CED" w14:textId="1F5112C2">
      <w:pPr>
        <w:autoSpaceDE w:val="0"/>
        <w:autoSpaceDN w:val="0"/>
        <w:adjustRightInd w:val="0"/>
        <w:spacing w:after="0" w:line="240" w:lineRule="auto"/>
        <w:rPr>
          <w:rFonts w:ascii="Times New Roman" w:hAnsi="Times New Roman" w:eastAsia="Times New Roman" w:cs="Times New Roman"/>
          <w:sz w:val="24"/>
          <w:szCs w:val="24"/>
        </w:rPr>
      </w:pPr>
      <w:proofErr w:type="gramStart"/>
      <w:r w:rsidRPr="008B77CF">
        <w:rPr>
          <w:rFonts w:ascii="Times New Roman" w:hAnsi="Times New Roman" w:eastAsia="Times New Roman" w:cs="Times New Roman"/>
          <w:sz w:val="24"/>
          <w:szCs w:val="24"/>
        </w:rPr>
        <w:t xml:space="preserve">All </w:t>
      </w:r>
      <w:r w:rsidR="00A73935">
        <w:rPr>
          <w:rFonts w:ascii="Times New Roman" w:hAnsi="Times New Roman" w:eastAsia="Times New Roman" w:cs="Times New Roman"/>
          <w:sz w:val="24"/>
          <w:szCs w:val="24"/>
        </w:rPr>
        <w:t>of</w:t>
      </w:r>
      <w:proofErr w:type="gramEnd"/>
      <w:r w:rsidR="00A73935">
        <w:rPr>
          <w:rFonts w:ascii="Times New Roman" w:hAnsi="Times New Roman" w:eastAsia="Times New Roman" w:cs="Times New Roman"/>
          <w:sz w:val="24"/>
          <w:szCs w:val="24"/>
        </w:rPr>
        <w:t xml:space="preserve"> the </w:t>
      </w:r>
      <w:r w:rsidRPr="008B77CF">
        <w:rPr>
          <w:rFonts w:ascii="Times New Roman" w:hAnsi="Times New Roman" w:eastAsia="Times New Roman" w:cs="Times New Roman"/>
          <w:sz w:val="24"/>
          <w:szCs w:val="24"/>
        </w:rPr>
        <w:t xml:space="preserve">costs are </w:t>
      </w:r>
      <w:r w:rsidR="00A73935">
        <w:rPr>
          <w:rFonts w:ascii="Times New Roman" w:hAnsi="Times New Roman" w:eastAsia="Times New Roman" w:cs="Times New Roman"/>
          <w:sz w:val="24"/>
          <w:szCs w:val="24"/>
        </w:rPr>
        <w:t>associated with</w:t>
      </w:r>
      <w:r w:rsidRPr="008B77CF">
        <w:rPr>
          <w:rFonts w:ascii="Times New Roman" w:hAnsi="Times New Roman" w:eastAsia="Times New Roman" w:cs="Times New Roman"/>
          <w:sz w:val="24"/>
          <w:szCs w:val="24"/>
        </w:rPr>
        <w:t xml:space="preserve"> burden hours </w:t>
      </w:r>
      <w:r w:rsidR="00A73935">
        <w:rPr>
          <w:rFonts w:ascii="Times New Roman" w:hAnsi="Times New Roman" w:eastAsia="Times New Roman" w:cs="Times New Roman"/>
          <w:sz w:val="24"/>
          <w:szCs w:val="24"/>
        </w:rPr>
        <w:t xml:space="preserve">(labor) </w:t>
      </w:r>
      <w:r w:rsidRPr="008B77CF">
        <w:rPr>
          <w:rFonts w:ascii="Times New Roman" w:hAnsi="Times New Roman" w:eastAsia="Times New Roman" w:cs="Times New Roman"/>
          <w:sz w:val="24"/>
          <w:szCs w:val="24"/>
        </w:rPr>
        <w:t xml:space="preserve">and addressed in </w:t>
      </w:r>
      <w:r w:rsidR="00A73935">
        <w:rPr>
          <w:rFonts w:ascii="Times New Roman" w:hAnsi="Times New Roman" w:eastAsia="Times New Roman" w:cs="Times New Roman"/>
          <w:sz w:val="24"/>
          <w:szCs w:val="24"/>
        </w:rPr>
        <w:t>q</w:t>
      </w:r>
      <w:r w:rsidRPr="008B77CF">
        <w:rPr>
          <w:rFonts w:ascii="Times New Roman" w:hAnsi="Times New Roman" w:eastAsia="Times New Roman" w:cs="Times New Roman"/>
          <w:sz w:val="24"/>
          <w:szCs w:val="24"/>
        </w:rPr>
        <w:t>uestions #12 and #15.</w:t>
      </w:r>
    </w:p>
    <w:p w:rsidRPr="008B77CF" w:rsidR="000E152C" w:rsidP="000E152C" w:rsidRDefault="000E152C" w14:paraId="73468CEE" w14:textId="77777777">
      <w:pPr>
        <w:autoSpaceDE w:val="0"/>
        <w:autoSpaceDN w:val="0"/>
        <w:adjustRightInd w:val="0"/>
        <w:spacing w:after="0" w:line="240" w:lineRule="auto"/>
        <w:rPr>
          <w:rFonts w:ascii="Times New Roman" w:hAnsi="Times New Roman" w:eastAsia="Times New Roman" w:cs="Times New Roman"/>
          <w:b/>
          <w:sz w:val="24"/>
          <w:szCs w:val="24"/>
        </w:rPr>
      </w:pPr>
    </w:p>
    <w:p w:rsidRPr="008B77CF" w:rsidR="000E152C" w:rsidP="000E152C" w:rsidRDefault="000E152C" w14:paraId="73468CEF"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14.</w:t>
      </w:r>
      <w:r w:rsidRPr="008B77CF">
        <w:rPr>
          <w:rFonts w:ascii="Times New Roman" w:hAnsi="Times New Roman" w:eastAsia="Times New Roman" w:cs="Times New Roman"/>
          <w:sz w:val="24"/>
          <w:szCs w:val="24"/>
        </w:rPr>
        <w:tab/>
        <w:t xml:space="preserve"> </w:t>
      </w:r>
      <w:r w:rsidRPr="008B77CF">
        <w:rPr>
          <w:rFonts w:ascii="Times New Roman" w:hAnsi="Times New Roman" w:eastAsia="Times New Roman" w:cs="Times New Roman"/>
          <w:b/>
          <w:sz w:val="24"/>
          <w:szCs w:val="24"/>
        </w:rPr>
        <w:t>ESTIMATED ANNUALIZED COST TO FEDERAL</w:t>
      </w:r>
    </w:p>
    <w:p w:rsidRPr="008B77CF" w:rsidR="000E152C" w:rsidP="000E152C" w:rsidRDefault="000E152C" w14:paraId="73468CF0"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 xml:space="preserve">       </w:t>
      </w:r>
      <w:r w:rsidRPr="008B77CF">
        <w:rPr>
          <w:rFonts w:ascii="Times New Roman" w:hAnsi="Times New Roman" w:eastAsia="Times New Roman" w:cs="Times New Roman"/>
          <w:b/>
          <w:sz w:val="24"/>
          <w:szCs w:val="24"/>
        </w:rPr>
        <w:tab/>
        <w:t xml:space="preserve"> GOVERNMENT</w:t>
      </w:r>
    </w:p>
    <w:p w:rsidR="000E152C" w:rsidP="000E152C" w:rsidRDefault="000E152C" w14:paraId="73468CF1" w14:textId="7C593BD6">
      <w:pPr>
        <w:widowControl w:val="0"/>
        <w:tabs>
          <w:tab w:val="left" w:pos="-1440"/>
        </w:tabs>
        <w:autoSpaceDE w:val="0"/>
        <w:autoSpaceDN w:val="0"/>
        <w:adjustRightInd w:val="0"/>
        <w:spacing w:after="0" w:line="240" w:lineRule="auto"/>
        <w:ind w:left="5040" w:hanging="4320"/>
        <w:rPr>
          <w:rFonts w:ascii="Times New Roman" w:hAnsi="Times New Roman" w:eastAsia="Times New Roman" w:cs="Times New Roman"/>
          <w:sz w:val="24"/>
          <w:szCs w:val="24"/>
        </w:rPr>
      </w:pPr>
    </w:p>
    <w:p w:rsidR="00B049B0" w:rsidP="00711E79" w:rsidRDefault="00B049B0" w14:paraId="06598B70" w14:textId="4ACA940D">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Commission estimates the annualized cost to the federal government for this information collection as:</w:t>
      </w:r>
    </w:p>
    <w:p w:rsidRPr="008B77CF" w:rsidR="00B049B0" w:rsidP="000E152C" w:rsidRDefault="00B049B0" w14:paraId="5E720082" w14:textId="77777777">
      <w:pPr>
        <w:widowControl w:val="0"/>
        <w:tabs>
          <w:tab w:val="left" w:pos="-1440"/>
        </w:tabs>
        <w:autoSpaceDE w:val="0"/>
        <w:autoSpaceDN w:val="0"/>
        <w:adjustRightInd w:val="0"/>
        <w:spacing w:after="0" w:line="240" w:lineRule="auto"/>
        <w:ind w:left="5040" w:hanging="4320"/>
        <w:rPr>
          <w:rFonts w:ascii="Times New Roman" w:hAnsi="Times New Roman" w:eastAsia="Times New Roman" w:cs="Times New Roman"/>
          <w:sz w:val="24"/>
          <w:szCs w:val="24"/>
        </w:rPr>
      </w:pPr>
    </w:p>
    <w:tbl>
      <w:tblP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8"/>
        <w:gridCol w:w="3057"/>
        <w:gridCol w:w="3240"/>
      </w:tblGrid>
      <w:tr w:rsidRPr="008B77CF" w:rsidR="000E152C" w:rsidTr="005E0CEE" w14:paraId="73468CF5" w14:textId="77777777">
        <w:tc>
          <w:tcPr>
            <w:tcW w:w="2878" w:type="dxa"/>
            <w:shd w:val="clear" w:color="auto" w:fill="CCCCCC"/>
          </w:tcPr>
          <w:p w:rsidRPr="008B77CF" w:rsidR="000E152C" w:rsidP="000E152C" w:rsidRDefault="000E152C" w14:paraId="73468CF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tc>
        <w:tc>
          <w:tcPr>
            <w:tcW w:w="3057" w:type="dxa"/>
            <w:shd w:val="clear" w:color="auto" w:fill="CCCCCC"/>
          </w:tcPr>
          <w:p w:rsidRPr="008B77CF" w:rsidR="000E152C" w:rsidP="000E152C" w:rsidRDefault="000E152C" w14:paraId="73468CF3" w14:textId="77777777">
            <w:pPr>
              <w:widowControl w:val="0"/>
              <w:autoSpaceDE w:val="0"/>
              <w:autoSpaceDN w:val="0"/>
              <w:adjustRightInd w:val="0"/>
              <w:spacing w:after="0" w:line="240" w:lineRule="auto"/>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Number of Employees (FTEs)</w:t>
            </w:r>
          </w:p>
        </w:tc>
        <w:tc>
          <w:tcPr>
            <w:tcW w:w="3240" w:type="dxa"/>
            <w:shd w:val="clear" w:color="auto" w:fill="CCCCCC"/>
          </w:tcPr>
          <w:p w:rsidRPr="008B77CF" w:rsidR="000E152C" w:rsidP="000E152C" w:rsidRDefault="000E152C" w14:paraId="73468CF4" w14:textId="77777777">
            <w:pPr>
              <w:widowControl w:val="0"/>
              <w:autoSpaceDE w:val="0"/>
              <w:autoSpaceDN w:val="0"/>
              <w:adjustRightInd w:val="0"/>
              <w:spacing w:after="0" w:line="240" w:lineRule="auto"/>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Estimated Annual Federal Cost</w:t>
            </w:r>
          </w:p>
        </w:tc>
      </w:tr>
      <w:tr w:rsidRPr="008B77CF" w:rsidR="000E152C" w:rsidTr="005E0CEE" w14:paraId="73468CF9" w14:textId="77777777">
        <w:tc>
          <w:tcPr>
            <w:tcW w:w="2878" w:type="dxa"/>
            <w:shd w:val="clear" w:color="auto" w:fill="auto"/>
          </w:tcPr>
          <w:p w:rsidRPr="008B77CF" w:rsidR="000E152C" w:rsidP="000E152C" w:rsidRDefault="000E152C" w14:paraId="73468CF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PRA</w:t>
            </w:r>
            <w:r w:rsidRPr="00711E79">
              <w:rPr>
                <w:rFonts w:ascii="Times New Roman" w:hAnsi="Times New Roman" w:eastAsia="Times New Roman" w:cs="Times New Roman"/>
                <w:b/>
                <w:bCs/>
                <w:sz w:val="24"/>
                <w:szCs w:val="24"/>
                <w:vertAlign w:val="superscript"/>
              </w:rPr>
              <w:footnoteReference w:id="15"/>
            </w:r>
            <w:r w:rsidRPr="008B77CF">
              <w:rPr>
                <w:rFonts w:ascii="Times New Roman" w:hAnsi="Times New Roman" w:eastAsia="Times New Roman" w:cs="Times New Roman"/>
                <w:b/>
                <w:sz w:val="24"/>
                <w:szCs w:val="24"/>
              </w:rPr>
              <w:t xml:space="preserve"> </w:t>
            </w:r>
            <w:r w:rsidRPr="008B77CF">
              <w:rPr>
                <w:rFonts w:ascii="Times New Roman" w:hAnsi="Times New Roman" w:eastAsia="Times New Roman" w:cs="Times New Roman"/>
                <w:sz w:val="24"/>
                <w:szCs w:val="24"/>
              </w:rPr>
              <w:t>Administration Cost</w:t>
            </w:r>
            <w:r w:rsidRPr="008B77CF">
              <w:rPr>
                <w:rFonts w:ascii="Times New Roman" w:hAnsi="Times New Roman" w:eastAsia="Times New Roman" w:cs="Times New Roman"/>
                <w:b/>
                <w:sz w:val="24"/>
                <w:szCs w:val="24"/>
                <w:vertAlign w:val="superscript"/>
              </w:rPr>
              <w:footnoteReference w:id="16"/>
            </w:r>
            <w:r w:rsidRPr="008B77CF">
              <w:rPr>
                <w:rFonts w:ascii="Times New Roman" w:hAnsi="Times New Roman" w:eastAsia="Times New Roman" w:cs="Times New Roman"/>
                <w:sz w:val="24"/>
                <w:szCs w:val="24"/>
              </w:rPr>
              <w:t xml:space="preserve"> </w:t>
            </w:r>
          </w:p>
        </w:tc>
        <w:tc>
          <w:tcPr>
            <w:tcW w:w="3057" w:type="dxa"/>
            <w:shd w:val="clear" w:color="auto" w:fill="auto"/>
          </w:tcPr>
          <w:p w:rsidRPr="008B77CF" w:rsidR="000E152C" w:rsidP="000E152C" w:rsidRDefault="000E152C" w14:paraId="73468CF7"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w:t>
            </w:r>
          </w:p>
        </w:tc>
        <w:tc>
          <w:tcPr>
            <w:tcW w:w="3240" w:type="dxa"/>
            <w:shd w:val="clear" w:color="auto" w:fill="auto"/>
          </w:tcPr>
          <w:p w:rsidRPr="008B77CF" w:rsidR="000E152C" w:rsidP="00F87544" w:rsidRDefault="000E152C" w14:paraId="73468CF8" w14:textId="31FF4272">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w:t>
            </w:r>
            <w:r w:rsidRPr="009841BA" w:rsidR="009841BA">
              <w:rPr>
                <w:rFonts w:ascii="Times New Roman" w:hAnsi="Times New Roman" w:eastAsia="Times New Roman" w:cs="Times New Roman"/>
                <w:sz w:val="24"/>
                <w:szCs w:val="24"/>
              </w:rPr>
              <w:t>8,279</w:t>
            </w:r>
          </w:p>
        </w:tc>
      </w:tr>
      <w:tr w:rsidRPr="008B77CF" w:rsidR="000E152C" w:rsidTr="005E0CEE" w14:paraId="73468CFD" w14:textId="77777777">
        <w:tc>
          <w:tcPr>
            <w:tcW w:w="2878" w:type="dxa"/>
            <w:shd w:val="clear" w:color="auto" w:fill="auto"/>
          </w:tcPr>
          <w:p w:rsidRPr="008B77CF" w:rsidR="000E152C" w:rsidP="000E152C" w:rsidRDefault="000E152C" w14:paraId="73468CFA" w14:textId="0EEB6E85">
            <w:pPr>
              <w:widowControl w:val="0"/>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Analysis</w:t>
            </w:r>
            <w:r w:rsidR="00D739B0">
              <w:rPr>
                <w:rFonts w:ascii="Times New Roman" w:hAnsi="Times New Roman" w:eastAsia="Times New Roman" w:cs="Times New Roman"/>
                <w:sz w:val="24"/>
                <w:szCs w:val="24"/>
              </w:rPr>
              <w:t xml:space="preserve"> and Processing of Filings</w:t>
            </w:r>
            <w:r w:rsidRPr="008B77CF">
              <w:rPr>
                <w:rFonts w:ascii="Times New Roman" w:hAnsi="Times New Roman" w:eastAsia="Times New Roman" w:cs="Times New Roman"/>
                <w:b/>
                <w:sz w:val="24"/>
                <w:szCs w:val="24"/>
                <w:vertAlign w:val="superscript"/>
              </w:rPr>
              <w:footnoteReference w:id="17"/>
            </w:r>
          </w:p>
        </w:tc>
        <w:tc>
          <w:tcPr>
            <w:tcW w:w="3057" w:type="dxa"/>
            <w:shd w:val="clear" w:color="auto" w:fill="auto"/>
          </w:tcPr>
          <w:p w:rsidRPr="008B77CF" w:rsidR="000E152C" w:rsidP="000E152C" w:rsidRDefault="000E152C" w14:paraId="73468CF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0.3</w:t>
            </w:r>
          </w:p>
        </w:tc>
        <w:tc>
          <w:tcPr>
            <w:tcW w:w="3240" w:type="dxa"/>
            <w:shd w:val="clear" w:color="auto" w:fill="auto"/>
          </w:tcPr>
          <w:p w:rsidRPr="008B77CF" w:rsidR="000E152C" w:rsidP="00EA60F1" w:rsidRDefault="000E152C" w14:paraId="73468CFC" w14:textId="659C6832">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w:t>
            </w:r>
            <w:r w:rsidR="006774DF">
              <w:rPr>
                <w:rFonts w:ascii="Times New Roman" w:hAnsi="Times New Roman" w:eastAsia="Times New Roman" w:cs="Times New Roman"/>
                <w:sz w:val="24"/>
                <w:szCs w:val="24"/>
              </w:rPr>
              <w:t>54,211</w:t>
            </w:r>
          </w:p>
        </w:tc>
      </w:tr>
      <w:tr w:rsidRPr="008B77CF" w:rsidR="000E152C" w:rsidTr="005E0CEE" w14:paraId="73468D01" w14:textId="77777777">
        <w:tc>
          <w:tcPr>
            <w:tcW w:w="2878" w:type="dxa"/>
            <w:shd w:val="clear" w:color="auto" w:fill="auto"/>
          </w:tcPr>
          <w:p w:rsidRPr="008B77CF" w:rsidR="000E152C" w:rsidP="000E152C" w:rsidRDefault="000E152C" w14:paraId="73468CF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FERC Total</w:t>
            </w:r>
          </w:p>
        </w:tc>
        <w:tc>
          <w:tcPr>
            <w:tcW w:w="3057" w:type="dxa"/>
            <w:tcBorders>
              <w:bottom w:val="single" w:color="auto" w:sz="4" w:space="0"/>
            </w:tcBorders>
            <w:shd w:val="clear" w:color="auto" w:fill="BFBFBF"/>
          </w:tcPr>
          <w:p w:rsidRPr="008B77CF" w:rsidR="000E152C" w:rsidP="000E152C" w:rsidRDefault="000E152C" w14:paraId="73468CFF"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tc>
        <w:tc>
          <w:tcPr>
            <w:tcW w:w="3240" w:type="dxa"/>
            <w:shd w:val="clear" w:color="auto" w:fill="auto"/>
          </w:tcPr>
          <w:p w:rsidRPr="008B77CF" w:rsidR="000E152C" w:rsidP="00F87544" w:rsidRDefault="000E152C" w14:paraId="73468D00" w14:textId="3C56239A">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w:t>
            </w:r>
            <w:r w:rsidR="006774DF">
              <w:rPr>
                <w:rFonts w:ascii="Times New Roman" w:hAnsi="Times New Roman" w:eastAsia="Times New Roman" w:cs="Times New Roman"/>
                <w:sz w:val="24"/>
                <w:szCs w:val="24"/>
              </w:rPr>
              <w:t>62,490</w:t>
            </w:r>
          </w:p>
        </w:tc>
      </w:tr>
    </w:tbl>
    <w:p w:rsidRPr="008B77CF" w:rsidR="000E152C" w:rsidP="000E152C" w:rsidRDefault="000E152C" w14:paraId="73468D02"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D03" w14:textId="57FEAD5A">
      <w:pPr>
        <w:widowControl w:val="0"/>
        <w:tabs>
          <w:tab w:val="center" w:pos="4680"/>
        </w:tabs>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 xml:space="preserve">The Commission bases its estimate of the “Analysis and Processing of </w:t>
      </w:r>
      <w:r w:rsidR="00D739B0">
        <w:rPr>
          <w:rFonts w:ascii="Times New Roman" w:hAnsi="Times New Roman" w:eastAsia="Times New Roman" w:cs="Times New Roman"/>
          <w:sz w:val="24"/>
          <w:szCs w:val="24"/>
        </w:rPr>
        <w:t>F</w:t>
      </w:r>
      <w:r w:rsidRPr="008B77CF">
        <w:rPr>
          <w:rFonts w:ascii="Times New Roman" w:hAnsi="Times New Roman" w:eastAsia="Times New Roman" w:cs="Times New Roman"/>
          <w:sz w:val="24"/>
          <w:szCs w:val="24"/>
        </w:rPr>
        <w:t xml:space="preserve">ilings” cost to the </w:t>
      </w:r>
      <w:r w:rsidR="00D739B0">
        <w:rPr>
          <w:rFonts w:ascii="Times New Roman" w:hAnsi="Times New Roman" w:eastAsia="Times New Roman" w:cs="Times New Roman"/>
          <w:sz w:val="24"/>
          <w:szCs w:val="24"/>
        </w:rPr>
        <w:t>f</w:t>
      </w:r>
      <w:r w:rsidRPr="008B77CF">
        <w:rPr>
          <w:rFonts w:ascii="Times New Roman" w:hAnsi="Times New Roman" w:eastAsia="Times New Roman" w:cs="Times New Roman"/>
          <w:sz w:val="24"/>
          <w:szCs w:val="24"/>
        </w:rPr>
        <w:t xml:space="preserve">ederal </w:t>
      </w:r>
      <w:r w:rsidR="00D739B0">
        <w:rPr>
          <w:rFonts w:ascii="Times New Roman" w:hAnsi="Times New Roman" w:eastAsia="Times New Roman" w:cs="Times New Roman"/>
          <w:sz w:val="24"/>
          <w:szCs w:val="24"/>
        </w:rPr>
        <w:t>g</w:t>
      </w:r>
      <w:r w:rsidRPr="008B77CF">
        <w:rPr>
          <w:rFonts w:ascii="Times New Roman" w:hAnsi="Times New Roman" w:eastAsia="Times New Roman" w:cs="Times New Roman"/>
          <w:sz w:val="24"/>
          <w:szCs w:val="24"/>
        </w:rPr>
        <w:t xml:space="preserve">overnment on salaries and benefits for professional and clerical support.  This estimated cost represents staff analysis, decision making, and review of any actual filings </w:t>
      </w:r>
      <w:r w:rsidRPr="008B77CF">
        <w:rPr>
          <w:rFonts w:ascii="Times New Roman" w:hAnsi="Times New Roman" w:eastAsia="Times New Roman" w:cs="Times New Roman"/>
          <w:sz w:val="24"/>
          <w:szCs w:val="24"/>
        </w:rPr>
        <w:lastRenderedPageBreak/>
        <w:t xml:space="preserve">made in response to the information collection.  </w:t>
      </w:r>
    </w:p>
    <w:p w:rsidRPr="008B77CF" w:rsidR="000E152C" w:rsidP="000E152C" w:rsidRDefault="000E152C" w14:paraId="73468D04"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D05"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15.</w:t>
      </w:r>
      <w:r w:rsidRPr="008B77CF">
        <w:rPr>
          <w:rFonts w:ascii="Times New Roman" w:hAnsi="Times New Roman" w:eastAsia="Times New Roman" w:cs="Times New Roman"/>
          <w:b/>
          <w:sz w:val="24"/>
          <w:szCs w:val="24"/>
        </w:rPr>
        <w:tab/>
        <w:t xml:space="preserve"> REASONS FOR CHANGES IN BURDEN INCLUDING THE NEED          FOR ANY INCREASE</w:t>
      </w:r>
    </w:p>
    <w:p w:rsidRPr="008B77CF" w:rsidR="000E152C" w:rsidP="000E152C" w:rsidRDefault="000E152C" w14:paraId="73468D06"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p w:rsidRPr="00711E79" w:rsidR="00953826" w:rsidP="000E152C" w:rsidRDefault="00162D3A" w14:paraId="5AEC26ED" w14:textId="4A8AB5B9">
      <w:pPr>
        <w:widowControl w:val="0"/>
        <w:autoSpaceDE w:val="0"/>
        <w:autoSpaceDN w:val="0"/>
        <w:adjustRightInd w:val="0"/>
        <w:spacing w:after="0" w:line="240" w:lineRule="auto"/>
        <w:rPr>
          <w:rFonts w:ascii="Times New Roman" w:hAnsi="Times New Roman" w:eastAsia="Times New Roman" w:cs="Times New Roman"/>
          <w:sz w:val="24"/>
          <w:szCs w:val="24"/>
        </w:rPr>
      </w:pPr>
      <w:r w:rsidRPr="00711E79">
        <w:rPr>
          <w:rFonts w:ascii="Times New Roman" w:hAnsi="Times New Roman" w:eastAsia="Times New Roman" w:cs="Times New Roman"/>
          <w:sz w:val="24"/>
          <w:szCs w:val="24"/>
        </w:rPr>
        <w:t>The</w:t>
      </w:r>
      <w:r w:rsidRPr="00711E79" w:rsidR="00622C4F">
        <w:rPr>
          <w:rFonts w:ascii="Times New Roman" w:hAnsi="Times New Roman" w:eastAsia="Times New Roman" w:cs="Times New Roman"/>
          <w:sz w:val="24"/>
          <w:szCs w:val="24"/>
        </w:rPr>
        <w:t>re are</w:t>
      </w:r>
      <w:r w:rsidRPr="00711E79">
        <w:rPr>
          <w:rFonts w:ascii="Times New Roman" w:hAnsi="Times New Roman" w:eastAsia="Times New Roman" w:cs="Times New Roman"/>
          <w:sz w:val="24"/>
          <w:szCs w:val="24"/>
        </w:rPr>
        <w:t xml:space="preserve"> </w:t>
      </w:r>
      <w:r w:rsidRPr="00711E79" w:rsidR="000E152C">
        <w:rPr>
          <w:rFonts w:ascii="Times New Roman" w:hAnsi="Times New Roman" w:eastAsia="Times New Roman" w:cs="Times New Roman"/>
          <w:sz w:val="24"/>
          <w:szCs w:val="24"/>
        </w:rPr>
        <w:t xml:space="preserve">currently </w:t>
      </w:r>
      <w:r w:rsidRPr="00711E79" w:rsidR="00622C4F">
        <w:rPr>
          <w:rFonts w:ascii="Times New Roman" w:hAnsi="Times New Roman" w:eastAsia="Times New Roman" w:cs="Times New Roman"/>
          <w:sz w:val="24"/>
          <w:szCs w:val="24"/>
        </w:rPr>
        <w:t>no</w:t>
      </w:r>
      <w:r w:rsidRPr="00711E79" w:rsidR="000E152C">
        <w:rPr>
          <w:rFonts w:ascii="Times New Roman" w:hAnsi="Times New Roman" w:eastAsia="Times New Roman" w:cs="Times New Roman"/>
          <w:sz w:val="24"/>
          <w:szCs w:val="24"/>
        </w:rPr>
        <w:t xml:space="preserve"> proposed projects in the </w:t>
      </w:r>
      <w:r w:rsidRPr="00711E79">
        <w:rPr>
          <w:rFonts w:ascii="Times New Roman" w:hAnsi="Times New Roman" w:eastAsia="Times New Roman" w:cs="Times New Roman"/>
          <w:sz w:val="24"/>
          <w:szCs w:val="24"/>
        </w:rPr>
        <w:t xml:space="preserve">Commission’s </w:t>
      </w:r>
      <w:r w:rsidRPr="00711E79" w:rsidR="000E152C">
        <w:rPr>
          <w:rFonts w:ascii="Times New Roman" w:hAnsi="Times New Roman" w:eastAsia="Times New Roman" w:cs="Times New Roman"/>
          <w:sz w:val="24"/>
          <w:szCs w:val="24"/>
        </w:rPr>
        <w:t xml:space="preserve">pre-filing </w:t>
      </w:r>
      <w:r w:rsidRPr="00711E79" w:rsidR="00622C4F">
        <w:rPr>
          <w:rFonts w:ascii="Times New Roman" w:hAnsi="Times New Roman" w:eastAsia="Times New Roman" w:cs="Times New Roman"/>
          <w:sz w:val="24"/>
          <w:szCs w:val="24"/>
        </w:rPr>
        <w:t xml:space="preserve">or application review </w:t>
      </w:r>
      <w:r w:rsidRPr="00711E79" w:rsidR="000E152C">
        <w:rPr>
          <w:rFonts w:ascii="Times New Roman" w:hAnsi="Times New Roman" w:eastAsia="Times New Roman" w:cs="Times New Roman"/>
          <w:sz w:val="24"/>
          <w:szCs w:val="24"/>
        </w:rPr>
        <w:t>process</w:t>
      </w:r>
      <w:r w:rsidRPr="00711E79" w:rsidR="00622C4F">
        <w:rPr>
          <w:rFonts w:ascii="Times New Roman" w:hAnsi="Times New Roman" w:eastAsia="Times New Roman" w:cs="Times New Roman"/>
          <w:sz w:val="24"/>
          <w:szCs w:val="24"/>
        </w:rPr>
        <w:t>es</w:t>
      </w:r>
      <w:r w:rsidRPr="00711E79" w:rsidR="000E152C">
        <w:rPr>
          <w:rFonts w:ascii="Times New Roman" w:hAnsi="Times New Roman" w:eastAsia="Times New Roman" w:cs="Times New Roman"/>
          <w:sz w:val="24"/>
          <w:szCs w:val="24"/>
        </w:rPr>
        <w:t>.</w:t>
      </w:r>
      <w:r w:rsidRPr="009142A9">
        <w:rPr>
          <w:rFonts w:ascii="Times New Roman" w:hAnsi="Times New Roman" w:eastAsia="Times New Roman" w:cs="Times New Roman"/>
          <w:sz w:val="24"/>
          <w:szCs w:val="24"/>
        </w:rPr>
        <w:t xml:space="preserve">  </w:t>
      </w:r>
      <w:r w:rsidRPr="00711E79" w:rsidR="00953826">
        <w:rPr>
          <w:rFonts w:ascii="Times New Roman" w:hAnsi="Times New Roman" w:eastAsia="Times New Roman" w:cs="Times New Roman"/>
          <w:sz w:val="24"/>
          <w:szCs w:val="24"/>
        </w:rPr>
        <w:t xml:space="preserve">There is no change </w:t>
      </w:r>
      <w:r w:rsidRPr="00711E79">
        <w:rPr>
          <w:rFonts w:ascii="Times New Roman" w:hAnsi="Times New Roman" w:eastAsia="Times New Roman" w:cs="Times New Roman"/>
          <w:sz w:val="24"/>
          <w:szCs w:val="24"/>
        </w:rPr>
        <w:t>to</w:t>
      </w:r>
      <w:r w:rsidRPr="00711E79" w:rsidR="00953826">
        <w:rPr>
          <w:rFonts w:ascii="Times New Roman" w:hAnsi="Times New Roman" w:eastAsia="Times New Roman" w:cs="Times New Roman"/>
          <w:sz w:val="24"/>
          <w:szCs w:val="24"/>
        </w:rPr>
        <w:t xml:space="preserve"> the </w:t>
      </w:r>
      <w:r w:rsidRPr="00711E79">
        <w:rPr>
          <w:rFonts w:ascii="Times New Roman" w:hAnsi="Times New Roman" w:eastAsia="Times New Roman" w:cs="Times New Roman"/>
          <w:sz w:val="24"/>
          <w:szCs w:val="24"/>
        </w:rPr>
        <w:t xml:space="preserve">burden </w:t>
      </w:r>
      <w:r w:rsidRPr="00711E79" w:rsidR="00953826">
        <w:rPr>
          <w:rFonts w:ascii="Times New Roman" w:hAnsi="Times New Roman" w:eastAsia="Times New Roman" w:cs="Times New Roman"/>
          <w:sz w:val="24"/>
          <w:szCs w:val="24"/>
        </w:rPr>
        <w:t xml:space="preserve">request for FERC-729. </w:t>
      </w:r>
    </w:p>
    <w:p w:rsidRPr="008B77CF" w:rsidR="00953826" w:rsidP="000E152C" w:rsidRDefault="00953826" w14:paraId="4364FD5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D0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 xml:space="preserve">The following table shows the total burden </w:t>
      </w:r>
      <w:r w:rsidRPr="008B77CF" w:rsidR="00F87544">
        <w:rPr>
          <w:rFonts w:ascii="Times New Roman" w:hAnsi="Times New Roman" w:eastAsia="Times New Roman" w:cs="Times New Roman"/>
          <w:sz w:val="24"/>
          <w:szCs w:val="24"/>
        </w:rPr>
        <w:t>for</w:t>
      </w:r>
      <w:r w:rsidRPr="008B77CF">
        <w:rPr>
          <w:rFonts w:ascii="Times New Roman" w:hAnsi="Times New Roman" w:eastAsia="Times New Roman" w:cs="Times New Roman"/>
          <w:sz w:val="24"/>
          <w:szCs w:val="24"/>
        </w:rPr>
        <w:t xml:space="preserve"> the collection of information.  The format, labels, and definitions of the table follow the ROCIS submission system’s “Information Collection Request Summary of Burden” for the metadata.</w:t>
      </w:r>
    </w:p>
    <w:p w:rsidRPr="008B77CF" w:rsidR="000E152C" w:rsidP="000E152C" w:rsidRDefault="000E152C" w14:paraId="73468D0A"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tbl>
      <w:tblPr>
        <w:tblW w:w="8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327"/>
        <w:gridCol w:w="1980"/>
        <w:gridCol w:w="1890"/>
        <w:gridCol w:w="1270"/>
      </w:tblGrid>
      <w:tr w:rsidRPr="008B77CF" w:rsidR="000E152C" w:rsidTr="00EA60F1" w14:paraId="73468D10" w14:textId="77777777">
        <w:trPr>
          <w:trHeight w:val="870"/>
        </w:trPr>
        <w:tc>
          <w:tcPr>
            <w:tcW w:w="2160" w:type="dxa"/>
            <w:shd w:val="clear" w:color="auto" w:fill="D9D9D9"/>
            <w:vAlign w:val="bottom"/>
          </w:tcPr>
          <w:p w:rsidRPr="008B77CF" w:rsidR="000E152C" w:rsidP="000E152C" w:rsidRDefault="000E152C" w14:paraId="73468D0B"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FERC-729</w:t>
            </w:r>
          </w:p>
        </w:tc>
        <w:tc>
          <w:tcPr>
            <w:tcW w:w="1327" w:type="dxa"/>
            <w:shd w:val="clear" w:color="auto" w:fill="D9D9D9"/>
            <w:vAlign w:val="bottom"/>
          </w:tcPr>
          <w:p w:rsidRPr="008B77CF" w:rsidR="000E152C" w:rsidP="000E152C" w:rsidRDefault="000E152C" w14:paraId="73468D0C"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Total Request</w:t>
            </w:r>
          </w:p>
        </w:tc>
        <w:tc>
          <w:tcPr>
            <w:tcW w:w="1980" w:type="dxa"/>
            <w:shd w:val="clear" w:color="auto" w:fill="D9D9D9"/>
            <w:vAlign w:val="bottom"/>
          </w:tcPr>
          <w:p w:rsidRPr="008B77CF" w:rsidR="000E152C" w:rsidP="000E152C" w:rsidRDefault="000E152C" w14:paraId="73468D0D"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Previously Approved</w:t>
            </w:r>
          </w:p>
        </w:tc>
        <w:tc>
          <w:tcPr>
            <w:tcW w:w="1890" w:type="dxa"/>
            <w:shd w:val="clear" w:color="auto" w:fill="D9D9D9"/>
            <w:vAlign w:val="bottom"/>
          </w:tcPr>
          <w:p w:rsidRPr="008B77CF" w:rsidR="000E152C" w:rsidP="000E152C" w:rsidRDefault="000E152C" w14:paraId="73468D0E" w14:textId="466A6222">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 xml:space="preserve">Change </w:t>
            </w:r>
            <w:r w:rsidR="001B63F5">
              <w:rPr>
                <w:rFonts w:ascii="Times New Roman" w:hAnsi="Times New Roman" w:eastAsia="Times New Roman" w:cs="Times New Roman"/>
                <w:b/>
                <w:sz w:val="24"/>
                <w:szCs w:val="24"/>
              </w:rPr>
              <w:t>D</w:t>
            </w:r>
            <w:r w:rsidRPr="008B77CF">
              <w:rPr>
                <w:rFonts w:ascii="Times New Roman" w:hAnsi="Times New Roman" w:eastAsia="Times New Roman" w:cs="Times New Roman"/>
                <w:b/>
                <w:sz w:val="24"/>
                <w:szCs w:val="24"/>
              </w:rPr>
              <w:t>ue to Adjustment in Estimate</w:t>
            </w:r>
          </w:p>
        </w:tc>
        <w:tc>
          <w:tcPr>
            <w:tcW w:w="1270" w:type="dxa"/>
            <w:shd w:val="clear" w:color="auto" w:fill="D9D9D9"/>
            <w:vAlign w:val="bottom"/>
          </w:tcPr>
          <w:p w:rsidRPr="008B77CF" w:rsidR="000E152C" w:rsidP="000E152C" w:rsidRDefault="000E152C" w14:paraId="73468D0F"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Change Due to Agency Discretion</w:t>
            </w:r>
          </w:p>
        </w:tc>
      </w:tr>
      <w:tr w:rsidRPr="008B77CF" w:rsidR="000E152C" w:rsidTr="00EA60F1" w14:paraId="73468D16" w14:textId="77777777">
        <w:trPr>
          <w:trHeight w:val="591"/>
        </w:trPr>
        <w:tc>
          <w:tcPr>
            <w:tcW w:w="2160" w:type="dxa"/>
            <w:shd w:val="clear" w:color="auto" w:fill="auto"/>
          </w:tcPr>
          <w:p w:rsidRPr="008B77CF" w:rsidR="000E152C" w:rsidP="000E152C" w:rsidRDefault="000E152C" w14:paraId="73468D11" w14:textId="7777777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Annual Number of Responses</w:t>
            </w:r>
          </w:p>
        </w:tc>
        <w:tc>
          <w:tcPr>
            <w:tcW w:w="1327" w:type="dxa"/>
            <w:shd w:val="clear" w:color="auto" w:fill="auto"/>
            <w:vAlign w:val="center"/>
          </w:tcPr>
          <w:p w:rsidRPr="008B77CF" w:rsidR="000E152C" w:rsidP="000E152C" w:rsidRDefault="000E152C" w14:paraId="73468D12"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1</w:t>
            </w:r>
          </w:p>
        </w:tc>
        <w:tc>
          <w:tcPr>
            <w:tcW w:w="1980" w:type="dxa"/>
            <w:shd w:val="clear" w:color="auto" w:fill="auto"/>
            <w:vAlign w:val="center"/>
          </w:tcPr>
          <w:p w:rsidRPr="008B77CF" w:rsidR="000E152C" w:rsidP="000E152C" w:rsidRDefault="000E152C" w14:paraId="73468D13"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1</w:t>
            </w:r>
          </w:p>
        </w:tc>
        <w:tc>
          <w:tcPr>
            <w:tcW w:w="1890" w:type="dxa"/>
            <w:shd w:val="clear" w:color="auto" w:fill="auto"/>
            <w:vAlign w:val="center"/>
          </w:tcPr>
          <w:p w:rsidRPr="008B77CF" w:rsidR="000E152C" w:rsidP="000E152C" w:rsidRDefault="000E152C" w14:paraId="73468D14"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w:t>
            </w:r>
          </w:p>
        </w:tc>
        <w:tc>
          <w:tcPr>
            <w:tcW w:w="1270" w:type="dxa"/>
            <w:shd w:val="clear" w:color="auto" w:fill="auto"/>
            <w:vAlign w:val="center"/>
          </w:tcPr>
          <w:p w:rsidRPr="008B77CF" w:rsidR="000E152C" w:rsidP="000E152C" w:rsidRDefault="000E152C" w14:paraId="73468D15"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w:t>
            </w:r>
          </w:p>
        </w:tc>
      </w:tr>
      <w:tr w:rsidRPr="008B77CF" w:rsidR="000E152C" w:rsidTr="00EA60F1" w14:paraId="73468D1C" w14:textId="77777777">
        <w:trPr>
          <w:trHeight w:val="575"/>
        </w:trPr>
        <w:tc>
          <w:tcPr>
            <w:tcW w:w="2160" w:type="dxa"/>
            <w:shd w:val="clear" w:color="auto" w:fill="auto"/>
          </w:tcPr>
          <w:p w:rsidRPr="008B77CF" w:rsidR="000E152C" w:rsidP="000E152C" w:rsidRDefault="000E152C" w14:paraId="73468D17" w14:textId="788C9033">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Annual Time Burden (H</w:t>
            </w:r>
            <w:r w:rsidR="0000431C">
              <w:rPr>
                <w:rFonts w:ascii="Times New Roman" w:hAnsi="Times New Roman" w:eastAsia="Times New Roman" w:cs="Times New Roman"/>
                <w:sz w:val="24"/>
                <w:szCs w:val="24"/>
              </w:rPr>
              <w:t>ou</w:t>
            </w:r>
            <w:r w:rsidRPr="008B77CF">
              <w:rPr>
                <w:rFonts w:ascii="Times New Roman" w:hAnsi="Times New Roman" w:eastAsia="Times New Roman" w:cs="Times New Roman"/>
                <w:sz w:val="24"/>
                <w:szCs w:val="24"/>
              </w:rPr>
              <w:t>r</w:t>
            </w:r>
            <w:r w:rsidR="0000431C">
              <w:rPr>
                <w:rFonts w:ascii="Times New Roman" w:hAnsi="Times New Roman" w:eastAsia="Times New Roman" w:cs="Times New Roman"/>
                <w:sz w:val="24"/>
                <w:szCs w:val="24"/>
              </w:rPr>
              <w:t>s</w:t>
            </w:r>
            <w:r w:rsidRPr="008B77CF">
              <w:rPr>
                <w:rFonts w:ascii="Times New Roman" w:hAnsi="Times New Roman" w:eastAsia="Times New Roman" w:cs="Times New Roman"/>
                <w:sz w:val="24"/>
                <w:szCs w:val="24"/>
              </w:rPr>
              <w:t>)</w:t>
            </w:r>
          </w:p>
        </w:tc>
        <w:tc>
          <w:tcPr>
            <w:tcW w:w="1327" w:type="dxa"/>
            <w:shd w:val="clear" w:color="auto" w:fill="auto"/>
            <w:vAlign w:val="center"/>
          </w:tcPr>
          <w:p w:rsidRPr="008B77CF" w:rsidR="000E152C" w:rsidP="000E152C" w:rsidRDefault="000E152C" w14:paraId="73468D18"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9,600</w:t>
            </w:r>
          </w:p>
        </w:tc>
        <w:tc>
          <w:tcPr>
            <w:tcW w:w="1980" w:type="dxa"/>
            <w:shd w:val="clear" w:color="auto" w:fill="auto"/>
            <w:vAlign w:val="center"/>
          </w:tcPr>
          <w:p w:rsidRPr="008B77CF" w:rsidR="000E152C" w:rsidP="000E152C" w:rsidRDefault="000E152C" w14:paraId="73468D19"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9,600</w:t>
            </w:r>
          </w:p>
        </w:tc>
        <w:tc>
          <w:tcPr>
            <w:tcW w:w="1890" w:type="dxa"/>
            <w:shd w:val="clear" w:color="auto" w:fill="auto"/>
            <w:vAlign w:val="center"/>
          </w:tcPr>
          <w:p w:rsidRPr="008B77CF" w:rsidR="000E152C" w:rsidP="000E152C" w:rsidRDefault="000E152C" w14:paraId="73468D1A"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w:t>
            </w:r>
          </w:p>
        </w:tc>
        <w:tc>
          <w:tcPr>
            <w:tcW w:w="1270" w:type="dxa"/>
            <w:shd w:val="clear" w:color="auto" w:fill="auto"/>
            <w:vAlign w:val="center"/>
          </w:tcPr>
          <w:p w:rsidRPr="008B77CF" w:rsidR="000E152C" w:rsidP="000E152C" w:rsidRDefault="000E152C" w14:paraId="73468D1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w:t>
            </w:r>
          </w:p>
        </w:tc>
      </w:tr>
      <w:tr w:rsidRPr="008B77CF" w:rsidR="000E152C" w:rsidTr="00EA60F1" w14:paraId="73468D22" w14:textId="77777777">
        <w:trPr>
          <w:trHeight w:val="295"/>
        </w:trPr>
        <w:tc>
          <w:tcPr>
            <w:tcW w:w="2160" w:type="dxa"/>
            <w:tcBorders>
              <w:bottom w:val="single" w:color="auto" w:sz="4" w:space="0"/>
            </w:tcBorders>
            <w:shd w:val="clear" w:color="auto" w:fill="auto"/>
          </w:tcPr>
          <w:p w:rsidRPr="008B77CF" w:rsidR="000E152C" w:rsidP="000E152C" w:rsidRDefault="000E152C" w14:paraId="73468D1D" w14:textId="7777777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Annual Cost Burden ($)</w:t>
            </w:r>
          </w:p>
        </w:tc>
        <w:tc>
          <w:tcPr>
            <w:tcW w:w="1327" w:type="dxa"/>
            <w:tcBorders>
              <w:bottom w:val="single" w:color="auto" w:sz="4" w:space="0"/>
            </w:tcBorders>
            <w:shd w:val="clear" w:color="auto" w:fill="auto"/>
            <w:vAlign w:val="center"/>
          </w:tcPr>
          <w:p w:rsidRPr="008B77CF" w:rsidR="000E152C" w:rsidP="000E152C" w:rsidRDefault="000E152C" w14:paraId="73468D1E"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w:t>
            </w:r>
          </w:p>
        </w:tc>
        <w:tc>
          <w:tcPr>
            <w:tcW w:w="1980" w:type="dxa"/>
            <w:tcBorders>
              <w:bottom w:val="single" w:color="auto" w:sz="4" w:space="0"/>
            </w:tcBorders>
            <w:shd w:val="clear" w:color="auto" w:fill="auto"/>
            <w:vAlign w:val="center"/>
          </w:tcPr>
          <w:p w:rsidRPr="008B77CF" w:rsidR="000E152C" w:rsidP="000E152C" w:rsidRDefault="000E152C" w14:paraId="73468D1F"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w:t>
            </w:r>
          </w:p>
        </w:tc>
        <w:tc>
          <w:tcPr>
            <w:tcW w:w="1890" w:type="dxa"/>
            <w:tcBorders>
              <w:bottom w:val="single" w:color="auto" w:sz="4" w:space="0"/>
            </w:tcBorders>
            <w:shd w:val="clear" w:color="auto" w:fill="auto"/>
            <w:vAlign w:val="center"/>
          </w:tcPr>
          <w:p w:rsidRPr="008B77CF" w:rsidR="000E152C" w:rsidP="000E152C" w:rsidRDefault="000E152C" w14:paraId="73468D20"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w:t>
            </w:r>
          </w:p>
        </w:tc>
        <w:tc>
          <w:tcPr>
            <w:tcW w:w="1270" w:type="dxa"/>
            <w:tcBorders>
              <w:bottom w:val="single" w:color="auto" w:sz="4" w:space="0"/>
            </w:tcBorders>
            <w:shd w:val="clear" w:color="auto" w:fill="auto"/>
            <w:vAlign w:val="center"/>
          </w:tcPr>
          <w:p w:rsidRPr="008B77CF" w:rsidR="000E152C" w:rsidP="000E152C" w:rsidRDefault="000E152C" w14:paraId="73468D21"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0</w:t>
            </w:r>
          </w:p>
        </w:tc>
      </w:tr>
    </w:tbl>
    <w:p w:rsidRPr="008B77CF" w:rsidR="000E152C" w:rsidP="000E152C" w:rsidRDefault="000E152C" w14:paraId="73468D23" w14:textId="77777777">
      <w:pPr>
        <w:autoSpaceDE w:val="0"/>
        <w:autoSpaceDN w:val="0"/>
        <w:adjustRightInd w:val="0"/>
        <w:spacing w:after="0" w:line="240" w:lineRule="auto"/>
        <w:rPr>
          <w:rFonts w:ascii="Times New Roman" w:hAnsi="Times New Roman" w:eastAsia="Times New Roman" w:cs="Times New Roman"/>
          <w:sz w:val="24"/>
          <w:szCs w:val="24"/>
        </w:rPr>
      </w:pPr>
    </w:p>
    <w:p w:rsidRPr="008B77CF" w:rsidR="000E152C" w:rsidP="000E152C" w:rsidRDefault="000E152C" w14:paraId="73468D24" w14:textId="77777777">
      <w:pPr>
        <w:autoSpaceDE w:val="0"/>
        <w:autoSpaceDN w:val="0"/>
        <w:adjustRightInd w:val="0"/>
        <w:spacing w:after="0" w:line="240" w:lineRule="auto"/>
        <w:ind w:left="720" w:firstLine="720"/>
        <w:rPr>
          <w:rFonts w:ascii="Times New Roman" w:hAnsi="Times New Roman" w:eastAsia="Times New Roman" w:cs="Times New Roman"/>
          <w:sz w:val="24"/>
          <w:szCs w:val="24"/>
        </w:rPr>
      </w:pPr>
    </w:p>
    <w:p w:rsidRPr="008B77CF" w:rsidR="000E152C" w:rsidP="000E152C" w:rsidRDefault="000E152C" w14:paraId="73468D25" w14:textId="77777777">
      <w:pPr>
        <w:widowControl w:val="0"/>
        <w:numPr>
          <w:ilvl w:val="0"/>
          <w:numId w:val="4"/>
        </w:numPr>
        <w:tabs>
          <w:tab w:val="num"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 xml:space="preserve"> TIME SCHEDULE FOR PUBLICATION OF DATA</w:t>
      </w:r>
    </w:p>
    <w:p w:rsidRPr="008B77CF" w:rsidR="000E152C" w:rsidP="000E152C" w:rsidRDefault="000E152C" w14:paraId="73468D26" w14:textId="77777777">
      <w:pPr>
        <w:autoSpaceDE w:val="0"/>
        <w:autoSpaceDN w:val="0"/>
        <w:adjustRightInd w:val="0"/>
        <w:spacing w:after="0" w:line="240" w:lineRule="auto"/>
        <w:ind w:left="720"/>
        <w:rPr>
          <w:rFonts w:ascii="Times New Roman" w:hAnsi="Times New Roman" w:eastAsia="Times New Roman" w:cs="Times New Roman"/>
          <w:b/>
          <w:sz w:val="24"/>
          <w:szCs w:val="24"/>
        </w:rPr>
      </w:pPr>
    </w:p>
    <w:p w:rsidRPr="008B77CF" w:rsidR="000E152C" w:rsidP="000E152C" w:rsidRDefault="000E152C" w14:paraId="73468D27" w14:textId="0C0729BE">
      <w:pPr>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 xml:space="preserve">The </w:t>
      </w:r>
      <w:r w:rsidR="005855ED">
        <w:rPr>
          <w:rFonts w:ascii="Times New Roman" w:hAnsi="Times New Roman" w:eastAsia="Times New Roman" w:cs="Times New Roman"/>
          <w:sz w:val="24"/>
          <w:szCs w:val="24"/>
        </w:rPr>
        <w:t xml:space="preserve">Commission does not publish any </w:t>
      </w:r>
      <w:r w:rsidRPr="008B77CF">
        <w:rPr>
          <w:rFonts w:ascii="Times New Roman" w:hAnsi="Times New Roman" w:eastAsia="Times New Roman" w:cs="Times New Roman"/>
          <w:sz w:val="24"/>
          <w:szCs w:val="24"/>
        </w:rPr>
        <w:t xml:space="preserve">data </w:t>
      </w:r>
      <w:r w:rsidR="005855ED">
        <w:rPr>
          <w:rFonts w:ascii="Times New Roman" w:hAnsi="Times New Roman" w:eastAsia="Times New Roman" w:cs="Times New Roman"/>
          <w:sz w:val="24"/>
          <w:szCs w:val="24"/>
        </w:rPr>
        <w:t>associated with this information collection</w:t>
      </w:r>
      <w:r w:rsidRPr="008B77CF">
        <w:rPr>
          <w:rFonts w:ascii="Times New Roman" w:hAnsi="Times New Roman" w:eastAsia="Times New Roman" w:cs="Times New Roman"/>
          <w:sz w:val="24"/>
          <w:szCs w:val="24"/>
        </w:rPr>
        <w:t>.</w:t>
      </w:r>
    </w:p>
    <w:p w:rsidRPr="008B77CF" w:rsidR="000E152C" w:rsidP="000E152C" w:rsidRDefault="000E152C" w14:paraId="73468D28"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8B77CF" w:rsidR="000E152C" w:rsidP="000E152C" w:rsidRDefault="000E152C" w14:paraId="73468D29"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17.</w:t>
      </w:r>
      <w:r w:rsidRPr="008B77CF">
        <w:rPr>
          <w:rFonts w:ascii="Times New Roman" w:hAnsi="Times New Roman" w:eastAsia="Times New Roman" w:cs="Times New Roman"/>
          <w:sz w:val="24"/>
          <w:szCs w:val="24"/>
        </w:rPr>
        <w:tab/>
        <w:t xml:space="preserve"> </w:t>
      </w:r>
      <w:r w:rsidRPr="008B77CF">
        <w:rPr>
          <w:rFonts w:ascii="Times New Roman" w:hAnsi="Times New Roman" w:eastAsia="Times New Roman" w:cs="Times New Roman"/>
          <w:b/>
          <w:sz w:val="24"/>
          <w:szCs w:val="24"/>
        </w:rPr>
        <w:t>DISPLAY OF EXPIRATION DATE</w:t>
      </w:r>
    </w:p>
    <w:p w:rsidRPr="008B77CF" w:rsidR="000E152C" w:rsidP="000E152C" w:rsidRDefault="000E152C" w14:paraId="73468D2A" w14:textId="77777777">
      <w:pPr>
        <w:autoSpaceDE w:val="0"/>
        <w:autoSpaceDN w:val="0"/>
        <w:adjustRightInd w:val="0"/>
        <w:spacing w:after="0" w:line="240" w:lineRule="auto"/>
        <w:ind w:firstLine="720"/>
        <w:rPr>
          <w:rFonts w:ascii="Times New Roman" w:hAnsi="Times New Roman" w:eastAsia="Times New Roman" w:cs="Times New Roman"/>
          <w:b/>
          <w:sz w:val="24"/>
          <w:szCs w:val="24"/>
        </w:rPr>
      </w:pPr>
    </w:p>
    <w:p w:rsidRPr="008B77CF" w:rsidR="000E152C" w:rsidP="000E152C" w:rsidRDefault="000E152C" w14:paraId="73468D2B" w14:textId="469EC4DF">
      <w:pPr>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 xml:space="preserve">The expiration date </w:t>
      </w:r>
      <w:r w:rsidR="00622C4F">
        <w:rPr>
          <w:rFonts w:ascii="Times New Roman" w:hAnsi="Times New Roman" w:eastAsia="Times New Roman" w:cs="Times New Roman"/>
          <w:sz w:val="24"/>
          <w:szCs w:val="24"/>
        </w:rPr>
        <w:t>is</w:t>
      </w:r>
      <w:r w:rsidRPr="008B77CF">
        <w:rPr>
          <w:rFonts w:ascii="Times New Roman" w:hAnsi="Times New Roman" w:eastAsia="Times New Roman" w:cs="Times New Roman"/>
          <w:sz w:val="24"/>
          <w:szCs w:val="24"/>
        </w:rPr>
        <w:t xml:space="preserve"> posted </w:t>
      </w:r>
      <w:r w:rsidR="005855ED">
        <w:rPr>
          <w:rFonts w:ascii="Times New Roman" w:hAnsi="Times New Roman" w:eastAsia="Times New Roman" w:cs="Times New Roman"/>
          <w:sz w:val="24"/>
          <w:szCs w:val="24"/>
        </w:rPr>
        <w:t xml:space="preserve">at:  </w:t>
      </w:r>
      <w:hyperlink w:history="1" r:id="rId14">
        <w:r w:rsidRPr="005855ED" w:rsidR="005855ED">
          <w:rPr>
            <w:rStyle w:val="Hyperlink"/>
            <w:rFonts w:ascii="Times New Roman" w:hAnsi="Times New Roman" w:eastAsia="Times New Roman" w:cs="Times New Roman"/>
            <w:sz w:val="24"/>
            <w:szCs w:val="24"/>
          </w:rPr>
          <w:t>https://www.ferc.gov/</w:t>
        </w:r>
        <w:r w:rsidRPr="001B63F5" w:rsidR="005855ED">
          <w:rPr>
            <w:rStyle w:val="Hyperlink"/>
            <w:rFonts w:ascii="Times New Roman" w:hAnsi="Times New Roman" w:eastAsia="Times New Roman" w:cs="Times New Roman"/>
            <w:sz w:val="24"/>
            <w:szCs w:val="24"/>
          </w:rPr>
          <w:t>information</w:t>
        </w:r>
        <w:r w:rsidRPr="00163D39" w:rsidR="005855ED">
          <w:rPr>
            <w:rStyle w:val="Hyperlink"/>
            <w:rFonts w:ascii="Times New Roman" w:hAnsi="Times New Roman" w:eastAsia="Times New Roman" w:cs="Times New Roman"/>
            <w:sz w:val="24"/>
            <w:szCs w:val="24"/>
          </w:rPr>
          <w:t>-collections</w:t>
        </w:r>
      </w:hyperlink>
      <w:r w:rsidR="005855ED">
        <w:rPr>
          <w:rFonts w:ascii="Times New Roman" w:hAnsi="Times New Roman" w:eastAsia="Times New Roman" w:cs="Times New Roman"/>
          <w:sz w:val="24"/>
          <w:szCs w:val="24"/>
        </w:rPr>
        <w:t xml:space="preserve">. </w:t>
      </w:r>
      <w:r w:rsidR="00A043C1">
        <w:rPr>
          <w:rFonts w:ascii="Times New Roman" w:hAnsi="Times New Roman" w:eastAsia="Times New Roman" w:cs="Times New Roman"/>
          <w:sz w:val="24"/>
          <w:szCs w:val="24"/>
        </w:rPr>
        <w:t xml:space="preserve">  </w:t>
      </w:r>
    </w:p>
    <w:p w:rsidRPr="008B77CF" w:rsidR="000E152C" w:rsidP="000E152C" w:rsidRDefault="000E152C" w14:paraId="73468D2C"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8B77CF" w:rsidR="000E152C" w:rsidP="000E152C" w:rsidRDefault="000E152C" w14:paraId="73468D2D" w14:textId="77777777">
      <w:pPr>
        <w:widowControl w:val="0"/>
        <w:numPr>
          <w:ilvl w:val="0"/>
          <w:numId w:val="5"/>
        </w:numPr>
        <w:tabs>
          <w:tab w:val="num" w:pos="720"/>
        </w:tabs>
        <w:autoSpaceDE w:val="0"/>
        <w:autoSpaceDN w:val="0"/>
        <w:adjustRightInd w:val="0"/>
        <w:spacing w:after="0" w:line="240" w:lineRule="auto"/>
        <w:ind w:left="720" w:hanging="720"/>
        <w:rPr>
          <w:rFonts w:ascii="Times New Roman" w:hAnsi="Times New Roman" w:eastAsia="Times New Roman" w:cs="Times New Roman"/>
          <w:b/>
          <w:sz w:val="24"/>
          <w:szCs w:val="24"/>
        </w:rPr>
      </w:pPr>
      <w:r w:rsidRPr="008B77CF">
        <w:rPr>
          <w:rFonts w:ascii="Times New Roman" w:hAnsi="Times New Roman" w:eastAsia="Times New Roman" w:cs="Times New Roman"/>
          <w:b/>
          <w:sz w:val="24"/>
          <w:szCs w:val="24"/>
        </w:rPr>
        <w:t xml:space="preserve"> EXCEPTIONS TO THE CERTIFICATION STATEMENT</w:t>
      </w:r>
    </w:p>
    <w:p w:rsidRPr="008B77CF" w:rsidR="000E152C" w:rsidP="000E152C" w:rsidRDefault="000E152C" w14:paraId="73468D2E" w14:textId="77777777">
      <w:pPr>
        <w:autoSpaceDE w:val="0"/>
        <w:autoSpaceDN w:val="0"/>
        <w:adjustRightInd w:val="0"/>
        <w:spacing w:after="0" w:line="240" w:lineRule="auto"/>
        <w:ind w:left="720"/>
        <w:rPr>
          <w:rFonts w:ascii="Times New Roman" w:hAnsi="Times New Roman" w:eastAsia="Times New Roman" w:cs="Times New Roman"/>
          <w:b/>
          <w:sz w:val="24"/>
          <w:szCs w:val="24"/>
        </w:rPr>
      </w:pPr>
    </w:p>
    <w:p w:rsidRPr="008B77CF" w:rsidR="000E152C" w:rsidP="000E152C" w:rsidRDefault="000E152C" w14:paraId="73468D2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8B77CF">
        <w:rPr>
          <w:rFonts w:ascii="Times New Roman" w:hAnsi="Times New Roman" w:eastAsia="Times New Roman" w:cs="Times New Roman"/>
          <w:sz w:val="24"/>
          <w:szCs w:val="24"/>
        </w:rPr>
        <w:t>There are no exceptions.</w:t>
      </w:r>
    </w:p>
    <w:p w:rsidRPr="008B77CF" w:rsidR="000E152C" w:rsidP="000E152C" w:rsidRDefault="000E152C" w14:paraId="73468D30" w14:textId="77777777">
      <w:pPr>
        <w:autoSpaceDE w:val="0"/>
        <w:autoSpaceDN w:val="0"/>
        <w:adjustRightInd w:val="0"/>
        <w:spacing w:after="0" w:line="240" w:lineRule="auto"/>
        <w:ind w:firstLine="720"/>
        <w:rPr>
          <w:rFonts w:ascii="Times New Roman" w:hAnsi="Times New Roman" w:eastAsia="Times New Roman" w:cs="Times New Roman"/>
          <w:sz w:val="24"/>
          <w:szCs w:val="24"/>
        </w:rPr>
      </w:pPr>
    </w:p>
    <w:p w:rsidRPr="008B77CF" w:rsidR="00CC6EB8" w:rsidRDefault="00CC6EB8" w14:paraId="73468D31" w14:textId="77777777">
      <w:pPr>
        <w:rPr>
          <w:rFonts w:ascii="Times New Roman" w:hAnsi="Times New Roman" w:cs="Times New Roman"/>
          <w:sz w:val="24"/>
          <w:szCs w:val="24"/>
        </w:rPr>
      </w:pPr>
    </w:p>
    <w:sectPr w:rsidRPr="008B77CF" w:rsidR="00CC6EB8">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5781" w14:textId="77777777" w:rsidR="00C13064" w:rsidRDefault="00C13064" w:rsidP="000E152C">
      <w:pPr>
        <w:spacing w:after="0" w:line="240" w:lineRule="auto"/>
      </w:pPr>
      <w:r>
        <w:separator/>
      </w:r>
    </w:p>
  </w:endnote>
  <w:endnote w:type="continuationSeparator" w:id="0">
    <w:p w14:paraId="5AB53EFD" w14:textId="77777777" w:rsidR="00C13064" w:rsidRDefault="00C13064" w:rsidP="000E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D37" w14:textId="77777777" w:rsidR="00A7570B" w:rsidRDefault="00D64270"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468D38" w14:textId="77777777" w:rsidR="00A7570B" w:rsidRDefault="00C13064"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D39" w14:textId="77777777" w:rsidR="00A7570B" w:rsidRDefault="00D64270"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0075">
      <w:rPr>
        <w:rStyle w:val="PageNumber"/>
        <w:noProof/>
      </w:rPr>
      <w:t>1</w:t>
    </w:r>
    <w:r>
      <w:rPr>
        <w:rStyle w:val="PageNumber"/>
      </w:rPr>
      <w:fldChar w:fldCharType="end"/>
    </w:r>
  </w:p>
  <w:p w14:paraId="73468D3A" w14:textId="77777777" w:rsidR="00A7570B" w:rsidRDefault="00C13064"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6B33" w14:textId="77777777" w:rsidR="00C13064" w:rsidRDefault="00C13064" w:rsidP="000E152C">
      <w:pPr>
        <w:spacing w:after="0" w:line="240" w:lineRule="auto"/>
      </w:pPr>
      <w:r>
        <w:separator/>
      </w:r>
    </w:p>
  </w:footnote>
  <w:footnote w:type="continuationSeparator" w:id="0">
    <w:p w14:paraId="5422C9A6" w14:textId="77777777" w:rsidR="00C13064" w:rsidRDefault="00C13064" w:rsidP="000E152C">
      <w:pPr>
        <w:spacing w:after="0" w:line="240" w:lineRule="auto"/>
      </w:pPr>
      <w:r>
        <w:continuationSeparator/>
      </w:r>
    </w:p>
  </w:footnote>
  <w:footnote w:id="1">
    <w:p w14:paraId="0CB95272" w14:textId="77777777" w:rsidR="00E1743E" w:rsidRPr="00B04073" w:rsidRDefault="00E1743E" w:rsidP="00E1743E">
      <w:pPr>
        <w:pStyle w:val="FootnoteText"/>
        <w:rPr>
          <w:rFonts w:ascii="Times New Roman" w:hAnsi="Times New Roman" w:cs="Times New Roman"/>
        </w:rPr>
      </w:pPr>
      <w:r w:rsidRPr="00B04073">
        <w:rPr>
          <w:rStyle w:val="FootnoteReference"/>
          <w:rFonts w:cs="Times New Roman"/>
        </w:rPr>
        <w:footnoteRef/>
      </w:r>
      <w:r w:rsidRPr="00B04073">
        <w:rPr>
          <w:rFonts w:ascii="Times New Roman" w:hAnsi="Times New Roman" w:cs="Times New Roman"/>
        </w:rPr>
        <w:t xml:space="preserve"> </w:t>
      </w:r>
      <w:r w:rsidRPr="00CD211F">
        <w:rPr>
          <w:rFonts w:ascii="Times New Roman" w:hAnsi="Times New Roman" w:cs="Times New Roman"/>
          <w:sz w:val="24"/>
          <w:szCs w:val="24"/>
        </w:rPr>
        <w:t>18 CFR pt. 50</w:t>
      </w:r>
      <w:r>
        <w:rPr>
          <w:rFonts w:ascii="Times New Roman" w:hAnsi="Times New Roman" w:cs="Times New Roman"/>
          <w:sz w:val="24"/>
          <w:szCs w:val="24"/>
        </w:rPr>
        <w:t>.</w:t>
      </w:r>
    </w:p>
  </w:footnote>
  <w:footnote w:id="2">
    <w:p w14:paraId="144B1D5C" w14:textId="3F528E55" w:rsidR="00D26EFF" w:rsidRPr="00711E79" w:rsidRDefault="00D26EFF">
      <w:pPr>
        <w:pStyle w:val="Footnote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16 USC 824p.</w:t>
      </w:r>
    </w:p>
  </w:footnote>
  <w:footnote w:id="3">
    <w:p w14:paraId="266E64FB" w14:textId="3E1E0718" w:rsidR="00D70695" w:rsidRPr="00B04073" w:rsidRDefault="00D70695" w:rsidP="00D70695">
      <w:pPr>
        <w:pStyle w:val="FootnoteText"/>
        <w:rPr>
          <w:rFonts w:ascii="Times New Roman" w:hAnsi="Times New Roman" w:cs="Times New Roman"/>
        </w:rPr>
      </w:pPr>
      <w:r w:rsidRPr="00B04073">
        <w:rPr>
          <w:rStyle w:val="FootnoteReference"/>
          <w:rFonts w:cs="Times New Roman"/>
        </w:rPr>
        <w:footnoteRef/>
      </w:r>
      <w:r w:rsidRPr="00B04073">
        <w:rPr>
          <w:rFonts w:ascii="Times New Roman" w:hAnsi="Times New Roman" w:cs="Times New Roman"/>
        </w:rPr>
        <w:t xml:space="preserve"> </w:t>
      </w:r>
      <w:r w:rsidRPr="00737EFD">
        <w:rPr>
          <w:rFonts w:ascii="Times New Roman" w:hAnsi="Times New Roman" w:cs="Times New Roman"/>
          <w:sz w:val="24"/>
          <w:szCs w:val="24"/>
        </w:rPr>
        <w:t>18 CFR 50(c)</w:t>
      </w:r>
      <w:r w:rsidR="009D6548">
        <w:rPr>
          <w:rFonts w:ascii="Times New Roman" w:hAnsi="Times New Roman" w:cs="Times New Roman"/>
          <w:sz w:val="24"/>
          <w:szCs w:val="24"/>
        </w:rPr>
        <w:t>.</w:t>
      </w:r>
    </w:p>
  </w:footnote>
  <w:footnote w:id="4">
    <w:p w14:paraId="7424B750" w14:textId="7C387EE4" w:rsidR="00D70695" w:rsidRPr="00B04073" w:rsidRDefault="00D70695" w:rsidP="00D70695">
      <w:pPr>
        <w:pStyle w:val="FootnoteText"/>
        <w:rPr>
          <w:rFonts w:ascii="Times New Roman" w:hAnsi="Times New Roman" w:cs="Times New Roman"/>
        </w:rPr>
      </w:pPr>
      <w:r w:rsidRPr="00B04073">
        <w:rPr>
          <w:rStyle w:val="FootnoteReference"/>
          <w:rFonts w:cs="Times New Roman"/>
        </w:rPr>
        <w:footnoteRef/>
      </w:r>
      <w:r w:rsidRPr="00B04073">
        <w:rPr>
          <w:rFonts w:ascii="Times New Roman" w:hAnsi="Times New Roman" w:cs="Times New Roman"/>
        </w:rPr>
        <w:t xml:space="preserve"> </w:t>
      </w:r>
      <w:r w:rsidRPr="00737EFD">
        <w:rPr>
          <w:rFonts w:ascii="Times New Roman" w:hAnsi="Times New Roman" w:cs="Times New Roman"/>
          <w:sz w:val="24"/>
          <w:szCs w:val="24"/>
        </w:rPr>
        <w:t>18 CFR 50(e)</w:t>
      </w:r>
      <w:r w:rsidR="009D6548">
        <w:rPr>
          <w:rFonts w:ascii="Times New Roman" w:hAnsi="Times New Roman" w:cs="Times New Roman"/>
          <w:sz w:val="24"/>
          <w:szCs w:val="24"/>
        </w:rPr>
        <w:t>.</w:t>
      </w:r>
    </w:p>
  </w:footnote>
  <w:footnote w:id="5">
    <w:p w14:paraId="3F9978DD" w14:textId="0332194C" w:rsidR="00D70695" w:rsidRPr="00B04073" w:rsidRDefault="00D70695" w:rsidP="00D70695">
      <w:pPr>
        <w:pStyle w:val="FootnoteText"/>
        <w:rPr>
          <w:rFonts w:ascii="Times New Roman" w:hAnsi="Times New Roman" w:cs="Times New Roman"/>
        </w:rPr>
      </w:pPr>
      <w:r w:rsidRPr="00B04073">
        <w:rPr>
          <w:rStyle w:val="FootnoteReference"/>
          <w:rFonts w:cs="Times New Roman"/>
        </w:rPr>
        <w:footnoteRef/>
      </w:r>
      <w:r w:rsidRPr="00B04073">
        <w:rPr>
          <w:rFonts w:ascii="Times New Roman" w:hAnsi="Times New Roman" w:cs="Times New Roman"/>
        </w:rPr>
        <w:t xml:space="preserve"> </w:t>
      </w:r>
      <w:r w:rsidRPr="00737EFD">
        <w:rPr>
          <w:rFonts w:ascii="Times New Roman" w:hAnsi="Times New Roman" w:cs="Times New Roman"/>
          <w:sz w:val="24"/>
          <w:szCs w:val="24"/>
        </w:rPr>
        <w:t>18 CFR 50.6</w:t>
      </w:r>
      <w:r w:rsidR="009D6548">
        <w:rPr>
          <w:rFonts w:ascii="Times New Roman" w:hAnsi="Times New Roman" w:cs="Times New Roman"/>
          <w:sz w:val="24"/>
          <w:szCs w:val="24"/>
        </w:rPr>
        <w:t>.</w:t>
      </w:r>
    </w:p>
  </w:footnote>
  <w:footnote w:id="6">
    <w:p w14:paraId="7DBE9969" w14:textId="04C89F0F" w:rsidR="00D70695" w:rsidRPr="00B04073" w:rsidRDefault="00D70695" w:rsidP="00D70695">
      <w:pPr>
        <w:pStyle w:val="FootnoteText"/>
        <w:rPr>
          <w:rFonts w:ascii="Times New Roman" w:hAnsi="Times New Roman" w:cs="Times New Roman"/>
          <w:sz w:val="26"/>
          <w:szCs w:val="26"/>
        </w:rPr>
      </w:pPr>
      <w:r w:rsidRPr="00B04073">
        <w:rPr>
          <w:rStyle w:val="FootnoteReference"/>
          <w:rFonts w:cs="Times New Roman"/>
        </w:rPr>
        <w:footnoteRef/>
      </w:r>
      <w:r w:rsidRPr="00B04073">
        <w:rPr>
          <w:rFonts w:ascii="Times New Roman" w:hAnsi="Times New Roman" w:cs="Times New Roman"/>
        </w:rPr>
        <w:t xml:space="preserve"> </w:t>
      </w:r>
      <w:r w:rsidRPr="00737EFD">
        <w:rPr>
          <w:rFonts w:ascii="Times New Roman" w:hAnsi="Times New Roman" w:cs="Times New Roman"/>
          <w:sz w:val="24"/>
          <w:szCs w:val="24"/>
        </w:rPr>
        <w:t>18 CFR 50.7</w:t>
      </w:r>
      <w:r w:rsidR="009D6548">
        <w:rPr>
          <w:rFonts w:ascii="Times New Roman" w:hAnsi="Times New Roman" w:cs="Times New Roman"/>
          <w:sz w:val="24"/>
          <w:szCs w:val="24"/>
        </w:rPr>
        <w:t>.</w:t>
      </w:r>
    </w:p>
    <w:p w14:paraId="14105D43" w14:textId="77777777" w:rsidR="00D70695" w:rsidRDefault="00D70695" w:rsidP="00D70695">
      <w:pPr>
        <w:pStyle w:val="FootnoteText"/>
      </w:pPr>
    </w:p>
  </w:footnote>
  <w:footnote w:id="7">
    <w:p w14:paraId="1618A3F7" w14:textId="2FFEAE69" w:rsidR="0094698C" w:rsidRPr="00711E79" w:rsidRDefault="0094698C">
      <w:pPr>
        <w:pStyle w:val="Footnote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42 USC 4321-4370j.</w:t>
      </w:r>
    </w:p>
  </w:footnote>
  <w:footnote w:id="8">
    <w:p w14:paraId="7EBC47DB" w14:textId="77088835" w:rsidR="00E1743E" w:rsidRPr="00737EFD" w:rsidRDefault="00E1743E">
      <w:pPr>
        <w:pStyle w:val="FootnoteText"/>
        <w:rPr>
          <w:rFonts w:ascii="Times New Roman" w:hAnsi="Times New Roman" w:cs="Times New Roman"/>
          <w:sz w:val="24"/>
          <w:szCs w:val="24"/>
          <w:lang w:val="fr-FR"/>
        </w:rPr>
      </w:pPr>
      <w:r>
        <w:rPr>
          <w:rStyle w:val="FootnoteReference"/>
        </w:rPr>
        <w:footnoteRef/>
      </w:r>
      <w:r>
        <w:t xml:space="preserve"> </w:t>
      </w:r>
      <w:r w:rsidRPr="00737EFD">
        <w:rPr>
          <w:rFonts w:ascii="Times New Roman" w:hAnsi="Times New Roman" w:cs="Times New Roman"/>
          <w:sz w:val="24"/>
          <w:szCs w:val="24"/>
          <w:lang w:val="fr-FR"/>
        </w:rPr>
        <w:t>5 CFR 1320.5 (d)(2)(iii)</w:t>
      </w:r>
    </w:p>
  </w:footnote>
  <w:footnote w:id="9">
    <w:p w14:paraId="169837E2" w14:textId="57A1DB14" w:rsidR="00E1743E" w:rsidRDefault="00E1743E">
      <w:pPr>
        <w:pStyle w:val="FootnoteText"/>
      </w:pPr>
      <w:r>
        <w:rPr>
          <w:rStyle w:val="FootnoteReference"/>
        </w:rPr>
        <w:footnoteRef/>
      </w:r>
      <w:r>
        <w:t xml:space="preserve"> </w:t>
      </w:r>
      <w:r w:rsidRPr="00737EFD">
        <w:rPr>
          <w:rFonts w:ascii="Times New Roman" w:hAnsi="Times New Roman" w:cs="Times New Roman"/>
          <w:sz w:val="24"/>
          <w:szCs w:val="24"/>
          <w:lang w:val="fr-FR"/>
        </w:rPr>
        <w:t>18 CFR 50.3(b)</w:t>
      </w:r>
    </w:p>
  </w:footnote>
  <w:footnote w:id="10">
    <w:p w14:paraId="73468D49" w14:textId="115094F7" w:rsidR="000E152C" w:rsidRPr="000D6614" w:rsidRDefault="000E152C" w:rsidP="000E152C">
      <w:pPr>
        <w:pStyle w:val="FootnoteText"/>
        <w:rPr>
          <w:rFonts w:ascii="Times New Roman" w:hAnsi="Times New Roman" w:cs="Times New Roman"/>
          <w:sz w:val="24"/>
          <w:szCs w:val="24"/>
          <w:lang w:val="fr-FR"/>
        </w:rPr>
      </w:pPr>
      <w:r w:rsidRPr="000D6614">
        <w:rPr>
          <w:rStyle w:val="FootnoteReference"/>
          <w:sz w:val="24"/>
          <w:szCs w:val="24"/>
        </w:rPr>
        <w:footnoteRef/>
      </w:r>
      <w:r w:rsidRPr="000D6614">
        <w:rPr>
          <w:sz w:val="24"/>
          <w:szCs w:val="24"/>
          <w:lang w:val="fr-FR"/>
        </w:rPr>
        <w:t xml:space="preserve"> </w:t>
      </w:r>
      <w:r w:rsidRPr="000D6614">
        <w:rPr>
          <w:rFonts w:ascii="Times New Roman" w:hAnsi="Times New Roman" w:cs="Times New Roman"/>
          <w:sz w:val="24"/>
          <w:szCs w:val="24"/>
          <w:lang w:val="fr-FR"/>
        </w:rPr>
        <w:t>5 CFR 1320.8(d)</w:t>
      </w:r>
      <w:r w:rsidR="009D6548">
        <w:rPr>
          <w:rFonts w:ascii="Times New Roman" w:hAnsi="Times New Roman" w:cs="Times New Roman"/>
          <w:sz w:val="24"/>
          <w:szCs w:val="24"/>
          <w:lang w:val="fr-FR"/>
        </w:rPr>
        <w:t>.</w:t>
      </w:r>
    </w:p>
  </w:footnote>
  <w:footnote w:id="11">
    <w:p w14:paraId="73468D4A" w14:textId="49CD957B" w:rsidR="000E152C" w:rsidRPr="000D6614" w:rsidRDefault="000E152C" w:rsidP="000E152C">
      <w:pPr>
        <w:pStyle w:val="FootnoteText"/>
        <w:rPr>
          <w:rFonts w:ascii="Times New Roman" w:hAnsi="Times New Roman" w:cs="Times New Roman"/>
          <w:sz w:val="24"/>
          <w:szCs w:val="24"/>
          <w:lang w:val="fr-FR"/>
        </w:rPr>
      </w:pPr>
      <w:r w:rsidRPr="000D6614">
        <w:rPr>
          <w:rStyle w:val="FootnoteReference"/>
          <w:rFonts w:cs="Times New Roman"/>
          <w:sz w:val="24"/>
          <w:szCs w:val="24"/>
        </w:rPr>
        <w:footnoteRef/>
      </w:r>
      <w:r w:rsidRPr="000D6614">
        <w:rPr>
          <w:rFonts w:ascii="Times New Roman" w:hAnsi="Times New Roman" w:cs="Times New Roman"/>
          <w:sz w:val="24"/>
          <w:szCs w:val="24"/>
          <w:lang w:val="fr-FR"/>
        </w:rPr>
        <w:t xml:space="preserve"> 8</w:t>
      </w:r>
      <w:r w:rsidR="00FC171A">
        <w:rPr>
          <w:rFonts w:ascii="Times New Roman" w:hAnsi="Times New Roman" w:cs="Times New Roman"/>
          <w:sz w:val="24"/>
          <w:szCs w:val="24"/>
          <w:lang w:val="fr-FR"/>
        </w:rPr>
        <w:t>7</w:t>
      </w:r>
      <w:r w:rsidRPr="000D6614">
        <w:rPr>
          <w:rFonts w:ascii="Times New Roman" w:hAnsi="Times New Roman" w:cs="Times New Roman"/>
          <w:sz w:val="24"/>
          <w:szCs w:val="24"/>
          <w:lang w:val="fr-FR"/>
        </w:rPr>
        <w:t xml:space="preserve"> FR </w:t>
      </w:r>
      <w:r w:rsidR="00FC171A">
        <w:rPr>
          <w:rFonts w:ascii="Times New Roman" w:hAnsi="Times New Roman" w:cs="Times New Roman"/>
          <w:sz w:val="24"/>
          <w:szCs w:val="24"/>
          <w:lang w:val="fr-FR"/>
        </w:rPr>
        <w:t>22524</w:t>
      </w:r>
      <w:r w:rsidR="009D6548">
        <w:rPr>
          <w:rFonts w:ascii="Times New Roman" w:hAnsi="Times New Roman" w:cs="Times New Roman"/>
          <w:sz w:val="24"/>
          <w:szCs w:val="24"/>
          <w:lang w:val="fr-FR"/>
        </w:rPr>
        <w:t>.</w:t>
      </w:r>
    </w:p>
  </w:footnote>
  <w:footnote w:id="12">
    <w:p w14:paraId="543AD36E" w14:textId="72F1939D" w:rsidR="00A603F8" w:rsidRDefault="00A603F8">
      <w:pPr>
        <w:pStyle w:val="FootnoteText"/>
      </w:pPr>
      <w:r>
        <w:rPr>
          <w:rStyle w:val="FootnoteReference"/>
        </w:rPr>
        <w:footnoteRef/>
      </w:r>
      <w:r>
        <w:t xml:space="preserve"> </w:t>
      </w:r>
      <w:r w:rsidRPr="00A603F8">
        <w:rPr>
          <w:rFonts w:ascii="Times New Roman" w:hAnsi="Times New Roman" w:cs="Times New Roman"/>
          <w:sz w:val="24"/>
          <w:szCs w:val="24"/>
          <w:lang w:val="fr-FR"/>
        </w:rPr>
        <w:t>87 FR 39814</w:t>
      </w:r>
    </w:p>
  </w:footnote>
  <w:footnote w:id="13">
    <w:p w14:paraId="5DE46B8E" w14:textId="6EEC6DB7" w:rsidR="005740AD" w:rsidRDefault="005740AD" w:rsidP="005740AD">
      <w:pPr>
        <w:pStyle w:val="FootnoteText"/>
        <w:rPr>
          <w:sz w:val="26"/>
          <w:szCs w:val="26"/>
        </w:rPr>
      </w:pPr>
      <w:r>
        <w:rPr>
          <w:rStyle w:val="FootnoteReference"/>
        </w:rPr>
        <w:footnoteRef/>
      </w:r>
      <w:r>
        <w:rPr>
          <w:sz w:val="26"/>
          <w:szCs w:val="26"/>
        </w:rPr>
        <w:t xml:space="preserve"> </w:t>
      </w:r>
      <w:r w:rsidRPr="00711E79">
        <w:rPr>
          <w:rFonts w:ascii="Times New Roman" w:hAnsi="Times New Roman" w:cs="Times New Roman"/>
          <w:sz w:val="24"/>
          <w:szCs w:val="24"/>
        </w:rPr>
        <w:t>18 CFR 388.112</w:t>
      </w:r>
      <w:r w:rsidR="009D6548">
        <w:rPr>
          <w:rFonts w:ascii="Times New Roman" w:hAnsi="Times New Roman" w:cs="Times New Roman"/>
          <w:sz w:val="24"/>
          <w:szCs w:val="24"/>
        </w:rPr>
        <w:t>.</w:t>
      </w:r>
    </w:p>
  </w:footnote>
  <w:footnote w:id="14">
    <w:p w14:paraId="7A2EF20B" w14:textId="77777777" w:rsidR="009C3CC5" w:rsidRDefault="009C3CC5" w:rsidP="009C3CC5">
      <w:pPr>
        <w:pStyle w:val="FootnoteText"/>
        <w:rPr>
          <w:rFonts w:eastAsia="Times New Roman"/>
        </w:rPr>
      </w:pPr>
      <w:r w:rsidRPr="00711E79">
        <w:rPr>
          <w:rStyle w:val="FootnoteReference"/>
          <w:sz w:val="24"/>
          <w:szCs w:val="24"/>
        </w:rPr>
        <w:footnoteRef/>
      </w:r>
      <w:r>
        <w:t xml:space="preserve"> </w:t>
      </w:r>
      <w:r w:rsidRPr="00711E79">
        <w:rPr>
          <w:rFonts w:ascii="Times New Roman" w:hAnsi="Times New Roman" w:cs="Times New Roman"/>
          <w:sz w:val="24"/>
          <w:szCs w:val="24"/>
        </w:rPr>
        <w:t xml:space="preserve">FERC staff estimates that industry costs for salary plus benefits are </w:t>
      </w:r>
      <w:proofErr w:type="gramStart"/>
      <w:r w:rsidRPr="00711E79">
        <w:rPr>
          <w:rFonts w:ascii="Times New Roman" w:hAnsi="Times New Roman" w:cs="Times New Roman"/>
          <w:sz w:val="24"/>
          <w:szCs w:val="24"/>
        </w:rPr>
        <w:t>similar to</w:t>
      </w:r>
      <w:proofErr w:type="gramEnd"/>
      <w:r w:rsidRPr="00711E79">
        <w:rPr>
          <w:rFonts w:ascii="Times New Roman" w:hAnsi="Times New Roman" w:cs="Times New Roman"/>
          <w:sz w:val="24"/>
          <w:szCs w:val="24"/>
        </w:rPr>
        <w:t xml:space="preserve"> Commission costs.  The cost figure is the FY2021 FERC average annual salary plus benefits ($180,702/year or $87/hour).</w:t>
      </w:r>
    </w:p>
  </w:footnote>
  <w:footnote w:id="15">
    <w:p w14:paraId="73468D4D" w14:textId="0EF013AF" w:rsidR="000E152C" w:rsidRPr="00711E79" w:rsidRDefault="000E152C" w:rsidP="000E152C">
      <w:pPr>
        <w:pStyle w:val="FootnoteText"/>
        <w:rPr>
          <w:rFonts w:ascii="Times New Roman" w:hAnsi="Times New Roman" w:cs="Times New Roman"/>
          <w:sz w:val="24"/>
          <w:szCs w:val="24"/>
        </w:rPr>
      </w:pPr>
      <w:r w:rsidRPr="00711E79">
        <w:rPr>
          <w:rStyle w:val="FootnoteReference"/>
          <w:rFonts w:cs="Times New Roman"/>
          <w:bCs/>
          <w:sz w:val="24"/>
          <w:szCs w:val="24"/>
        </w:rPr>
        <w:footnoteRef/>
      </w:r>
      <w:r w:rsidRPr="009142A9">
        <w:rPr>
          <w:rFonts w:ascii="Times New Roman" w:hAnsi="Times New Roman" w:cs="Times New Roman"/>
          <w:bCs/>
          <w:sz w:val="24"/>
          <w:szCs w:val="24"/>
        </w:rPr>
        <w:t xml:space="preserve"> </w:t>
      </w:r>
      <w:r w:rsidR="00B120DC" w:rsidRPr="009142A9">
        <w:rPr>
          <w:rFonts w:ascii="Times New Roman" w:hAnsi="Times New Roman" w:cs="Times New Roman"/>
          <w:bCs/>
          <w:sz w:val="24"/>
          <w:szCs w:val="24"/>
        </w:rPr>
        <w:t xml:space="preserve">The </w:t>
      </w:r>
      <w:r w:rsidRPr="00711E79">
        <w:rPr>
          <w:rFonts w:ascii="Times New Roman" w:hAnsi="Times New Roman" w:cs="Times New Roman"/>
          <w:sz w:val="24"/>
          <w:szCs w:val="24"/>
        </w:rPr>
        <w:t>Paperwork Reduction Act of 1995 (PRA).</w:t>
      </w:r>
    </w:p>
  </w:footnote>
  <w:footnote w:id="16">
    <w:p w14:paraId="73468D4E" w14:textId="087D0E84" w:rsidR="000E152C" w:rsidRPr="009142A9" w:rsidRDefault="000E152C" w:rsidP="000E152C">
      <w:pPr>
        <w:pStyle w:val="FootnoteText"/>
        <w:rPr>
          <w:rFonts w:ascii="Times New Roman" w:eastAsia="Times New Roman" w:hAnsi="Times New Roman" w:cs="Times New Roman"/>
          <w:sz w:val="24"/>
          <w:szCs w:val="24"/>
        </w:rPr>
      </w:pPr>
      <w:r w:rsidRPr="00711E79">
        <w:rPr>
          <w:rStyle w:val="FootnoteReference"/>
          <w:rFonts w:cs="Times New Roman"/>
          <w:bCs/>
          <w:sz w:val="24"/>
          <w:szCs w:val="24"/>
        </w:rPr>
        <w:footnoteRef/>
      </w:r>
      <w:r w:rsidRPr="009142A9">
        <w:rPr>
          <w:rFonts w:ascii="Times New Roman" w:hAnsi="Times New Roman" w:cs="Times New Roman"/>
          <w:bCs/>
          <w:sz w:val="24"/>
          <w:szCs w:val="24"/>
        </w:rPr>
        <w:t xml:space="preserve"> </w:t>
      </w:r>
      <w:r w:rsidR="00F87544" w:rsidRPr="00711E79">
        <w:rPr>
          <w:rFonts w:ascii="Times New Roman" w:eastAsia="Times New Roman" w:hAnsi="Times New Roman" w:cs="Times New Roman"/>
          <w:sz w:val="24"/>
          <w:szCs w:val="24"/>
        </w:rPr>
        <w:t>The PRA Administration Cost includes preparing supporting statements, notices, and other activities associated with PRA compliance.</w:t>
      </w:r>
    </w:p>
  </w:footnote>
  <w:footnote w:id="17">
    <w:p w14:paraId="73468D4F" w14:textId="43EC8B7D" w:rsidR="000E152C" w:rsidRPr="009142A9" w:rsidRDefault="000E152C" w:rsidP="000E152C">
      <w:pPr>
        <w:pStyle w:val="FootnoteText"/>
        <w:rPr>
          <w:rFonts w:ascii="Times New Roman" w:eastAsia="Times New Roman" w:hAnsi="Times New Roman" w:cs="Times New Roman"/>
          <w:sz w:val="24"/>
          <w:szCs w:val="24"/>
        </w:rPr>
      </w:pPr>
      <w:r w:rsidRPr="009142A9">
        <w:rPr>
          <w:rStyle w:val="FootnoteReference"/>
          <w:rFonts w:cs="Times New Roman"/>
          <w:sz w:val="24"/>
          <w:szCs w:val="24"/>
        </w:rPr>
        <w:footnoteRef/>
      </w:r>
      <w:r w:rsidRPr="009142A9">
        <w:rPr>
          <w:rFonts w:ascii="Times New Roman" w:hAnsi="Times New Roman" w:cs="Times New Roman"/>
          <w:sz w:val="24"/>
          <w:szCs w:val="24"/>
        </w:rPr>
        <w:t xml:space="preserve"> </w:t>
      </w:r>
      <w:r w:rsidR="00F87544" w:rsidRPr="00711E79">
        <w:rPr>
          <w:rFonts w:ascii="Times New Roman" w:eastAsia="Times New Roman" w:hAnsi="Times New Roman" w:cs="Times New Roman"/>
          <w:sz w:val="24"/>
          <w:szCs w:val="24"/>
        </w:rPr>
        <w:t xml:space="preserve">The cost figure </w:t>
      </w:r>
      <w:r w:rsidR="00D739B0" w:rsidRPr="00711E79">
        <w:rPr>
          <w:rFonts w:ascii="Times New Roman" w:eastAsia="Times New Roman" w:hAnsi="Times New Roman" w:cs="Times New Roman"/>
          <w:sz w:val="24"/>
          <w:szCs w:val="24"/>
        </w:rPr>
        <w:t>i</w:t>
      </w:r>
      <w:r w:rsidR="00F87544" w:rsidRPr="00711E79">
        <w:rPr>
          <w:rFonts w:ascii="Times New Roman" w:eastAsia="Times New Roman" w:hAnsi="Times New Roman" w:cs="Times New Roman"/>
          <w:sz w:val="24"/>
          <w:szCs w:val="24"/>
        </w:rPr>
        <w:t xml:space="preserve">s the </w:t>
      </w:r>
      <w:r w:rsidR="00D739B0" w:rsidRPr="00711E79">
        <w:rPr>
          <w:rFonts w:ascii="Times New Roman" w:eastAsia="Times New Roman" w:hAnsi="Times New Roman" w:cs="Times New Roman"/>
          <w:sz w:val="24"/>
          <w:szCs w:val="24"/>
        </w:rPr>
        <w:t>FY</w:t>
      </w:r>
      <w:r w:rsidR="00F87544" w:rsidRPr="00711E79">
        <w:rPr>
          <w:rFonts w:ascii="Times New Roman" w:eastAsia="Times New Roman" w:hAnsi="Times New Roman" w:cs="Times New Roman"/>
          <w:sz w:val="24"/>
          <w:szCs w:val="24"/>
        </w:rPr>
        <w:t>20</w:t>
      </w:r>
      <w:r w:rsidR="00D739B0" w:rsidRPr="00711E79">
        <w:rPr>
          <w:rFonts w:ascii="Times New Roman" w:eastAsia="Times New Roman" w:hAnsi="Times New Roman" w:cs="Times New Roman"/>
          <w:sz w:val="24"/>
          <w:szCs w:val="24"/>
        </w:rPr>
        <w:t>2</w:t>
      </w:r>
      <w:r w:rsidR="00F87544" w:rsidRPr="00711E79">
        <w:rPr>
          <w:rFonts w:ascii="Times New Roman" w:eastAsia="Times New Roman" w:hAnsi="Times New Roman" w:cs="Times New Roman"/>
          <w:sz w:val="24"/>
          <w:szCs w:val="24"/>
        </w:rPr>
        <w:t xml:space="preserve">1 FERC average </w:t>
      </w:r>
      <w:r w:rsidR="00D739B0" w:rsidRPr="00711E79">
        <w:rPr>
          <w:rFonts w:ascii="Times New Roman" w:eastAsia="Times New Roman" w:hAnsi="Times New Roman" w:cs="Times New Roman"/>
          <w:sz w:val="24"/>
          <w:szCs w:val="24"/>
        </w:rPr>
        <w:t xml:space="preserve">annual </w:t>
      </w:r>
      <w:r w:rsidR="00F87544" w:rsidRPr="00711E79">
        <w:rPr>
          <w:rFonts w:ascii="Times New Roman" w:eastAsia="Times New Roman" w:hAnsi="Times New Roman" w:cs="Times New Roman"/>
          <w:sz w:val="24"/>
          <w:szCs w:val="24"/>
        </w:rPr>
        <w:t>salary plus benefits ($1</w:t>
      </w:r>
      <w:r w:rsidR="009C3CC5" w:rsidRPr="00711E79">
        <w:rPr>
          <w:rFonts w:ascii="Times New Roman" w:eastAsia="Times New Roman" w:hAnsi="Times New Roman" w:cs="Times New Roman"/>
          <w:sz w:val="24"/>
          <w:szCs w:val="24"/>
        </w:rPr>
        <w:t>80</w:t>
      </w:r>
      <w:r w:rsidR="00F87544" w:rsidRPr="00711E79">
        <w:rPr>
          <w:rFonts w:ascii="Times New Roman" w:eastAsia="Times New Roman" w:hAnsi="Times New Roman" w:cs="Times New Roman"/>
          <w:sz w:val="24"/>
          <w:szCs w:val="24"/>
        </w:rPr>
        <w:t>,</w:t>
      </w:r>
      <w:r w:rsidR="009C3CC5" w:rsidRPr="00711E79">
        <w:rPr>
          <w:rFonts w:ascii="Times New Roman" w:eastAsia="Times New Roman" w:hAnsi="Times New Roman" w:cs="Times New Roman"/>
          <w:sz w:val="24"/>
          <w:szCs w:val="24"/>
        </w:rPr>
        <w:t>70</w:t>
      </w:r>
      <w:r w:rsidR="00B04073">
        <w:rPr>
          <w:rFonts w:ascii="Times New Roman" w:eastAsia="Times New Roman" w:hAnsi="Times New Roman" w:cs="Times New Roman"/>
          <w:sz w:val="24"/>
          <w:szCs w:val="24"/>
        </w:rPr>
        <w:t>3</w:t>
      </w:r>
      <w:r w:rsidR="00F87544" w:rsidRPr="00711E79">
        <w:rPr>
          <w:rFonts w:ascii="Times New Roman" w:eastAsia="Times New Roman" w:hAnsi="Times New Roman" w:cs="Times New Roman"/>
          <w:sz w:val="24"/>
          <w:szCs w:val="24"/>
        </w:rPr>
        <w:t xml:space="preserve">/year or </w:t>
      </w:r>
      <w:r w:rsidR="009C3CC5" w:rsidRPr="00711E79">
        <w:rPr>
          <w:rFonts w:ascii="Times New Roman" w:eastAsia="Times New Roman" w:hAnsi="Times New Roman" w:cs="Times New Roman"/>
          <w:sz w:val="24"/>
          <w:szCs w:val="24"/>
        </w:rPr>
        <w:t>$87</w:t>
      </w:r>
      <w:r w:rsidR="00F87544" w:rsidRPr="00711E79">
        <w:rPr>
          <w:rFonts w:ascii="Times New Roman" w:eastAsia="Times New Roman" w:hAnsi="Times New Roman" w:cs="Times New Roman"/>
          <w:sz w:val="24"/>
          <w:szCs w:val="24"/>
        </w:rPr>
        <w:t>/hour)</w:t>
      </w:r>
      <w:r w:rsidRPr="00711E79">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D36" w14:textId="4ADDEBD0" w:rsidR="00A7570B" w:rsidRPr="008B77CF" w:rsidRDefault="00D64270">
    <w:pPr>
      <w:spacing w:line="240" w:lineRule="exact"/>
      <w:rPr>
        <w:rFonts w:ascii="Times New Roman" w:hAnsi="Times New Roman" w:cs="Times New Roman"/>
        <w:sz w:val="24"/>
        <w:szCs w:val="24"/>
      </w:rPr>
    </w:pPr>
    <w:r w:rsidRPr="008B77CF">
      <w:rPr>
        <w:rFonts w:ascii="Times New Roman" w:hAnsi="Times New Roman" w:cs="Times New Roman"/>
        <w:sz w:val="24"/>
        <w:szCs w:val="24"/>
      </w:rPr>
      <w:t>FERC-729 (OMB Control No. 1902-0238</w:t>
    </w:r>
    <w:r w:rsidR="00D83396">
      <w:rPr>
        <w:rFonts w:ascii="Times New Roman" w:hAnsi="Times New Roman" w:cs="Times New Roman"/>
        <w:sz w:val="24"/>
        <w:szCs w:val="24"/>
      </w:rPr>
      <w:t>)</w:t>
    </w: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1"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8F803E2"/>
    <w:multiLevelType w:val="hybridMultilevel"/>
    <w:tmpl w:val="0BE239CA"/>
    <w:lvl w:ilvl="0" w:tplc="FFFFFFFF">
      <w:start w:val="18"/>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2C"/>
    <w:rsid w:val="0000431C"/>
    <w:rsid w:val="00030F1B"/>
    <w:rsid w:val="000362D1"/>
    <w:rsid w:val="0008777E"/>
    <w:rsid w:val="000B693D"/>
    <w:rsid w:val="000B73F3"/>
    <w:rsid w:val="000D6614"/>
    <w:rsid w:val="000E0502"/>
    <w:rsid w:val="000E152C"/>
    <w:rsid w:val="001152E5"/>
    <w:rsid w:val="00140708"/>
    <w:rsid w:val="001456DA"/>
    <w:rsid w:val="00155FE0"/>
    <w:rsid w:val="00162D3A"/>
    <w:rsid w:val="00184338"/>
    <w:rsid w:val="001A2C34"/>
    <w:rsid w:val="001B4E64"/>
    <w:rsid w:val="001B63F5"/>
    <w:rsid w:val="00260075"/>
    <w:rsid w:val="002C5300"/>
    <w:rsid w:val="002D4E2B"/>
    <w:rsid w:val="0032569E"/>
    <w:rsid w:val="00335CE8"/>
    <w:rsid w:val="00343DC3"/>
    <w:rsid w:val="00367253"/>
    <w:rsid w:val="00393AD3"/>
    <w:rsid w:val="003C021A"/>
    <w:rsid w:val="003F2818"/>
    <w:rsid w:val="004160C9"/>
    <w:rsid w:val="00422DB5"/>
    <w:rsid w:val="00461638"/>
    <w:rsid w:val="004707B7"/>
    <w:rsid w:val="00493723"/>
    <w:rsid w:val="004A2F4D"/>
    <w:rsid w:val="004B7B5D"/>
    <w:rsid w:val="004B7E4A"/>
    <w:rsid w:val="004C3B69"/>
    <w:rsid w:val="004E3F75"/>
    <w:rsid w:val="004F3DE5"/>
    <w:rsid w:val="0051662E"/>
    <w:rsid w:val="00553CD7"/>
    <w:rsid w:val="0055690E"/>
    <w:rsid w:val="005740AD"/>
    <w:rsid w:val="005855ED"/>
    <w:rsid w:val="0059352D"/>
    <w:rsid w:val="00597B43"/>
    <w:rsid w:val="005E0CEE"/>
    <w:rsid w:val="00622C4F"/>
    <w:rsid w:val="006319CA"/>
    <w:rsid w:val="006426AB"/>
    <w:rsid w:val="00652820"/>
    <w:rsid w:val="006601E3"/>
    <w:rsid w:val="006774DF"/>
    <w:rsid w:val="006A1F49"/>
    <w:rsid w:val="006A298C"/>
    <w:rsid w:val="006B7811"/>
    <w:rsid w:val="006C307E"/>
    <w:rsid w:val="007015EC"/>
    <w:rsid w:val="007016EA"/>
    <w:rsid w:val="00711E79"/>
    <w:rsid w:val="00737EFD"/>
    <w:rsid w:val="00751793"/>
    <w:rsid w:val="00770A6D"/>
    <w:rsid w:val="007B6918"/>
    <w:rsid w:val="00802B46"/>
    <w:rsid w:val="0083132B"/>
    <w:rsid w:val="0089299F"/>
    <w:rsid w:val="008B77CF"/>
    <w:rsid w:val="008D47B3"/>
    <w:rsid w:val="008E6C35"/>
    <w:rsid w:val="008F7334"/>
    <w:rsid w:val="009142A9"/>
    <w:rsid w:val="009278D9"/>
    <w:rsid w:val="00940F98"/>
    <w:rsid w:val="0094698C"/>
    <w:rsid w:val="00950A11"/>
    <w:rsid w:val="00953826"/>
    <w:rsid w:val="00960DDA"/>
    <w:rsid w:val="0097032A"/>
    <w:rsid w:val="00974B92"/>
    <w:rsid w:val="00981D61"/>
    <w:rsid w:val="009841BA"/>
    <w:rsid w:val="009C3CC5"/>
    <w:rsid w:val="009D6548"/>
    <w:rsid w:val="009E0872"/>
    <w:rsid w:val="009E3798"/>
    <w:rsid w:val="00A043C1"/>
    <w:rsid w:val="00A41579"/>
    <w:rsid w:val="00A433D5"/>
    <w:rsid w:val="00A603F8"/>
    <w:rsid w:val="00A73935"/>
    <w:rsid w:val="00A9469D"/>
    <w:rsid w:val="00AD6113"/>
    <w:rsid w:val="00AE600E"/>
    <w:rsid w:val="00B04073"/>
    <w:rsid w:val="00B049B0"/>
    <w:rsid w:val="00B120DC"/>
    <w:rsid w:val="00B54E16"/>
    <w:rsid w:val="00B96467"/>
    <w:rsid w:val="00BD11E3"/>
    <w:rsid w:val="00C13064"/>
    <w:rsid w:val="00C13883"/>
    <w:rsid w:val="00C20A97"/>
    <w:rsid w:val="00C56656"/>
    <w:rsid w:val="00C570CC"/>
    <w:rsid w:val="00C6293B"/>
    <w:rsid w:val="00C7449E"/>
    <w:rsid w:val="00CA483B"/>
    <w:rsid w:val="00CC6EB8"/>
    <w:rsid w:val="00CD4A8F"/>
    <w:rsid w:val="00D04223"/>
    <w:rsid w:val="00D26EFF"/>
    <w:rsid w:val="00D46B16"/>
    <w:rsid w:val="00D547A7"/>
    <w:rsid w:val="00D619AF"/>
    <w:rsid w:val="00D64270"/>
    <w:rsid w:val="00D70695"/>
    <w:rsid w:val="00D739B0"/>
    <w:rsid w:val="00D7633D"/>
    <w:rsid w:val="00D83396"/>
    <w:rsid w:val="00D86D8B"/>
    <w:rsid w:val="00D9643F"/>
    <w:rsid w:val="00D973F2"/>
    <w:rsid w:val="00DC6019"/>
    <w:rsid w:val="00DD001B"/>
    <w:rsid w:val="00DE7DA5"/>
    <w:rsid w:val="00DF4370"/>
    <w:rsid w:val="00E02DA0"/>
    <w:rsid w:val="00E05112"/>
    <w:rsid w:val="00E12210"/>
    <w:rsid w:val="00E1743E"/>
    <w:rsid w:val="00E17F00"/>
    <w:rsid w:val="00E23FD0"/>
    <w:rsid w:val="00E448D1"/>
    <w:rsid w:val="00E861AE"/>
    <w:rsid w:val="00E90949"/>
    <w:rsid w:val="00EA60F1"/>
    <w:rsid w:val="00EC0D49"/>
    <w:rsid w:val="00F01D70"/>
    <w:rsid w:val="00F163BF"/>
    <w:rsid w:val="00F23613"/>
    <w:rsid w:val="00F87544"/>
    <w:rsid w:val="00FC171A"/>
    <w:rsid w:val="00FC241A"/>
    <w:rsid w:val="00FD6A8E"/>
    <w:rsid w:val="00FE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68C76"/>
  <w15:docId w15:val="{4E7CAA80-55AF-48FA-934B-DE506DCB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15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52C"/>
    <w:rPr>
      <w:sz w:val="20"/>
      <w:szCs w:val="20"/>
    </w:rPr>
  </w:style>
  <w:style w:type="paragraph" w:styleId="Footer">
    <w:name w:val="footer"/>
    <w:basedOn w:val="Normal"/>
    <w:link w:val="FooterChar"/>
    <w:uiPriority w:val="99"/>
    <w:unhideWhenUsed/>
    <w:rsid w:val="000E1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2C"/>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0E152C"/>
    <w:rPr>
      <w:rFonts w:ascii="Times New Roman" w:hAnsi="Times New Roman"/>
      <w:b/>
      <w:sz w:val="26"/>
      <w:szCs w:val="26"/>
      <w:vertAlign w:val="superscript"/>
    </w:rPr>
  </w:style>
  <w:style w:type="character" w:styleId="PageNumber">
    <w:name w:val="page number"/>
    <w:basedOn w:val="DefaultParagraphFont"/>
    <w:rsid w:val="000E152C"/>
  </w:style>
  <w:style w:type="character" w:styleId="Hyperlink">
    <w:name w:val="Hyperlink"/>
    <w:rsid w:val="000E152C"/>
    <w:rPr>
      <w:strike w:val="0"/>
      <w:dstrike w:val="0"/>
      <w:color w:val="000080"/>
      <w:u w:val="none"/>
      <w:effect w:val="none"/>
    </w:rPr>
  </w:style>
  <w:style w:type="paragraph" w:styleId="Header">
    <w:name w:val="header"/>
    <w:basedOn w:val="Normal"/>
    <w:link w:val="HeaderChar"/>
    <w:uiPriority w:val="99"/>
    <w:unhideWhenUsed/>
    <w:rsid w:val="00A94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9D"/>
  </w:style>
  <w:style w:type="character" w:styleId="CommentReference">
    <w:name w:val="annotation reference"/>
    <w:basedOn w:val="DefaultParagraphFont"/>
    <w:uiPriority w:val="99"/>
    <w:semiHidden/>
    <w:unhideWhenUsed/>
    <w:rsid w:val="004707B7"/>
    <w:rPr>
      <w:sz w:val="16"/>
      <w:szCs w:val="16"/>
    </w:rPr>
  </w:style>
  <w:style w:type="paragraph" w:styleId="CommentText">
    <w:name w:val="annotation text"/>
    <w:basedOn w:val="Normal"/>
    <w:link w:val="CommentTextChar"/>
    <w:uiPriority w:val="99"/>
    <w:unhideWhenUsed/>
    <w:rsid w:val="004707B7"/>
    <w:pPr>
      <w:spacing w:line="240" w:lineRule="auto"/>
    </w:pPr>
    <w:rPr>
      <w:sz w:val="20"/>
      <w:szCs w:val="20"/>
    </w:rPr>
  </w:style>
  <w:style w:type="character" w:customStyle="1" w:styleId="CommentTextChar">
    <w:name w:val="Comment Text Char"/>
    <w:basedOn w:val="DefaultParagraphFont"/>
    <w:link w:val="CommentText"/>
    <w:uiPriority w:val="99"/>
    <w:rsid w:val="004707B7"/>
    <w:rPr>
      <w:sz w:val="20"/>
      <w:szCs w:val="20"/>
    </w:rPr>
  </w:style>
  <w:style w:type="paragraph" w:styleId="CommentSubject">
    <w:name w:val="annotation subject"/>
    <w:basedOn w:val="CommentText"/>
    <w:next w:val="CommentText"/>
    <w:link w:val="CommentSubjectChar"/>
    <w:uiPriority w:val="99"/>
    <w:semiHidden/>
    <w:unhideWhenUsed/>
    <w:rsid w:val="004707B7"/>
    <w:rPr>
      <w:b/>
      <w:bCs/>
    </w:rPr>
  </w:style>
  <w:style w:type="character" w:customStyle="1" w:styleId="CommentSubjectChar">
    <w:name w:val="Comment Subject Char"/>
    <w:basedOn w:val="CommentTextChar"/>
    <w:link w:val="CommentSubject"/>
    <w:uiPriority w:val="99"/>
    <w:semiHidden/>
    <w:rsid w:val="004707B7"/>
    <w:rPr>
      <w:b/>
      <w:bCs/>
      <w:sz w:val="20"/>
      <w:szCs w:val="20"/>
    </w:rPr>
  </w:style>
  <w:style w:type="paragraph" w:styleId="BalloonText">
    <w:name w:val="Balloon Text"/>
    <w:basedOn w:val="Normal"/>
    <w:link w:val="BalloonTextChar"/>
    <w:uiPriority w:val="99"/>
    <w:semiHidden/>
    <w:unhideWhenUsed/>
    <w:rsid w:val="00470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B7"/>
    <w:rPr>
      <w:rFonts w:ascii="Segoe UI" w:hAnsi="Segoe UI" w:cs="Segoe UI"/>
      <w:sz w:val="18"/>
      <w:szCs w:val="18"/>
    </w:rPr>
  </w:style>
  <w:style w:type="character" w:styleId="FollowedHyperlink">
    <w:name w:val="FollowedHyperlink"/>
    <w:basedOn w:val="DefaultParagraphFont"/>
    <w:uiPriority w:val="99"/>
    <w:semiHidden/>
    <w:unhideWhenUsed/>
    <w:rsid w:val="00974B92"/>
    <w:rPr>
      <w:color w:val="954F72" w:themeColor="followedHyperlink"/>
      <w:u w:val="single"/>
    </w:rPr>
  </w:style>
  <w:style w:type="character" w:styleId="UnresolvedMention">
    <w:name w:val="Unresolved Mention"/>
    <w:basedOn w:val="DefaultParagraphFont"/>
    <w:uiPriority w:val="99"/>
    <w:semiHidden/>
    <w:unhideWhenUsed/>
    <w:rsid w:val="00A043C1"/>
    <w:rPr>
      <w:color w:val="605E5C"/>
      <w:shd w:val="clear" w:color="auto" w:fill="E1DFDD"/>
    </w:rPr>
  </w:style>
  <w:style w:type="paragraph" w:styleId="Revision">
    <w:name w:val="Revision"/>
    <w:hidden/>
    <w:uiPriority w:val="99"/>
    <w:semiHidden/>
    <w:rsid w:val="00AD6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8497">
      <w:bodyDiv w:val="1"/>
      <w:marLeft w:val="0"/>
      <w:marRight w:val="0"/>
      <w:marTop w:val="0"/>
      <w:marBottom w:val="0"/>
      <w:divBdr>
        <w:top w:val="none" w:sz="0" w:space="0" w:color="auto"/>
        <w:left w:val="none" w:sz="0" w:space="0" w:color="auto"/>
        <w:bottom w:val="none" w:sz="0" w:space="0" w:color="auto"/>
        <w:right w:val="none" w:sz="0" w:space="0" w:color="auto"/>
      </w:divBdr>
    </w:div>
    <w:div w:id="317223427">
      <w:bodyDiv w:val="1"/>
      <w:marLeft w:val="0"/>
      <w:marRight w:val="0"/>
      <w:marTop w:val="0"/>
      <w:marBottom w:val="0"/>
      <w:divBdr>
        <w:top w:val="none" w:sz="0" w:space="0" w:color="auto"/>
        <w:left w:val="none" w:sz="0" w:space="0" w:color="auto"/>
        <w:bottom w:val="none" w:sz="0" w:space="0" w:color="auto"/>
        <w:right w:val="none" w:sz="0" w:space="0" w:color="auto"/>
      </w:divBdr>
    </w:div>
    <w:div w:id="324749778">
      <w:bodyDiv w:val="1"/>
      <w:marLeft w:val="0"/>
      <w:marRight w:val="0"/>
      <w:marTop w:val="0"/>
      <w:marBottom w:val="0"/>
      <w:divBdr>
        <w:top w:val="none" w:sz="0" w:space="0" w:color="auto"/>
        <w:left w:val="none" w:sz="0" w:space="0" w:color="auto"/>
        <w:bottom w:val="none" w:sz="0" w:space="0" w:color="auto"/>
        <w:right w:val="none" w:sz="0" w:space="0" w:color="auto"/>
      </w:divBdr>
    </w:div>
    <w:div w:id="692264175">
      <w:bodyDiv w:val="1"/>
      <w:marLeft w:val="0"/>
      <w:marRight w:val="0"/>
      <w:marTop w:val="0"/>
      <w:marBottom w:val="0"/>
      <w:divBdr>
        <w:top w:val="none" w:sz="0" w:space="0" w:color="auto"/>
        <w:left w:val="none" w:sz="0" w:space="0" w:color="auto"/>
        <w:bottom w:val="none" w:sz="0" w:space="0" w:color="auto"/>
        <w:right w:val="none" w:sz="0" w:space="0" w:color="auto"/>
      </w:divBdr>
    </w:div>
    <w:div w:id="871845551">
      <w:bodyDiv w:val="1"/>
      <w:marLeft w:val="0"/>
      <w:marRight w:val="0"/>
      <w:marTop w:val="0"/>
      <w:marBottom w:val="0"/>
      <w:divBdr>
        <w:top w:val="none" w:sz="0" w:space="0" w:color="auto"/>
        <w:left w:val="none" w:sz="0" w:space="0" w:color="auto"/>
        <w:bottom w:val="none" w:sz="0" w:space="0" w:color="auto"/>
        <w:right w:val="none" w:sz="0" w:space="0" w:color="auto"/>
      </w:divBdr>
    </w:div>
    <w:div w:id="953638317">
      <w:bodyDiv w:val="1"/>
      <w:marLeft w:val="0"/>
      <w:marRight w:val="0"/>
      <w:marTop w:val="0"/>
      <w:marBottom w:val="0"/>
      <w:divBdr>
        <w:top w:val="none" w:sz="0" w:space="0" w:color="auto"/>
        <w:left w:val="none" w:sz="0" w:space="0" w:color="auto"/>
        <w:bottom w:val="none" w:sz="0" w:space="0" w:color="auto"/>
        <w:right w:val="none" w:sz="0" w:space="0" w:color="auto"/>
      </w:divBdr>
    </w:div>
    <w:div w:id="1684476096">
      <w:bodyDiv w:val="1"/>
      <w:marLeft w:val="0"/>
      <w:marRight w:val="0"/>
      <w:marTop w:val="0"/>
      <w:marBottom w:val="0"/>
      <w:divBdr>
        <w:top w:val="none" w:sz="0" w:space="0" w:color="auto"/>
        <w:left w:val="none" w:sz="0" w:space="0" w:color="auto"/>
        <w:bottom w:val="none" w:sz="0" w:space="0" w:color="auto"/>
        <w:right w:val="none" w:sz="0" w:space="0" w:color="auto"/>
      </w:divBdr>
    </w:div>
    <w:div w:id="2009020429">
      <w:bodyDiv w:val="1"/>
      <w:marLeft w:val="0"/>
      <w:marRight w:val="0"/>
      <w:marTop w:val="0"/>
      <w:marBottom w:val="0"/>
      <w:divBdr>
        <w:top w:val="none" w:sz="0" w:space="0" w:color="auto"/>
        <w:left w:val="none" w:sz="0" w:space="0" w:color="auto"/>
        <w:bottom w:val="none" w:sz="0" w:space="0" w:color="auto"/>
        <w:right w:val="none" w:sz="0" w:space="0" w:color="auto"/>
      </w:divBdr>
    </w:div>
    <w:div w:id="214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sites/default/files/2020-05/filing.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information-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729</_x0031__x002e__x0020_Collection_x0020_Number>
    <Date xmlns="d6eefc7d-9817-4fa6-84d5-3bc009be21b8">2019-07-05T04:00:00+00:00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IC19-6</_x0031__x002e__x0020_Docket_x0020_Number>
    <_x0033__x002e__x0020_Collection_x0020_Number xmlns="d6eefc7d-9817-4fa6-84d5-3bc009be21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2560FE57-6B70-47FE-97E5-F3D62C2D2891}">
  <ds:schemaRefs>
    <ds:schemaRef ds:uri="Microsoft.SharePoint.Taxonomy.ContentTypeSync"/>
  </ds:schemaRefs>
</ds:datastoreItem>
</file>

<file path=customXml/itemProps2.xml><?xml version="1.0" encoding="utf-8"?>
<ds:datastoreItem xmlns:ds="http://schemas.openxmlformats.org/officeDocument/2006/customXml" ds:itemID="{A8C5023F-CE30-4BA7-A4BB-3DAB31CD308D}">
  <ds:schemaRefs>
    <ds:schemaRef ds:uri="http://schemas.microsoft.com/sharepoint/v3/contenttype/forms"/>
  </ds:schemaRefs>
</ds:datastoreItem>
</file>

<file path=customXml/itemProps3.xml><?xml version="1.0" encoding="utf-8"?>
<ds:datastoreItem xmlns:ds="http://schemas.openxmlformats.org/officeDocument/2006/customXml" ds:itemID="{E99FDFA0-ABFF-4473-A672-4133F97DB920}">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7A02EFF5-F1A6-40FB-9094-864FC7BBD3B5}">
  <ds:schemaRefs>
    <ds:schemaRef ds:uri="http://schemas.openxmlformats.org/officeDocument/2006/bibliography"/>
  </ds:schemaRefs>
</ds:datastoreItem>
</file>

<file path=customXml/itemProps5.xml><?xml version="1.0" encoding="utf-8"?>
<ds:datastoreItem xmlns:ds="http://schemas.openxmlformats.org/officeDocument/2006/customXml" ds:itemID="{A28AF1E9-6EDF-4020-9F76-F26EC8E9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0BA933-CEB0-4C34-9F58-1C965B6A747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5671</TotalTime>
  <Pages>5</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Electric Transmission Facilities</vt:lpstr>
    </vt:vector>
  </TitlesOfParts>
  <Company>FERC</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Transmission Facilities</dc:title>
  <dc:subject/>
  <dc:creator>Michele Chambers</dc:creator>
  <cp:keywords/>
  <dc:description/>
  <cp:lastModifiedBy>Christopher Kozler</cp:lastModifiedBy>
  <cp:revision>6</cp:revision>
  <dcterms:created xsi:type="dcterms:W3CDTF">2022-07-01T14:26:00Z</dcterms:created>
  <dcterms:modified xsi:type="dcterms:W3CDTF">2022-07-05T12:56:00Z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2022-05-09T18:20:00Z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ed8e165d-de38-4e3f-b008-481db7c8f9d2</vt:lpwstr>
  </property>
  <property fmtid="{D5CDD505-2E9C-101B-9397-08002B2CF9AE}" pid="9" name="MSIP_Label_6155a89b-0f08-4a93-8ea2-8a916d6643b5_ContentBits">
    <vt:lpwstr>0</vt:lpwstr>
  </property>
</Properties>
</file>