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737" w:rsidR="002D6582" w:rsidP="002D6582" w:rsidRDefault="00533311" w14:paraId="01AD549C" w14:textId="77777777">
      <w:pPr>
        <w:spacing w:after="0"/>
        <w:ind w:left="6480"/>
        <w:rPr>
          <w:bCs/>
          <w:sz w:val="22"/>
          <w:szCs w:val="22"/>
        </w:rPr>
      </w:pPr>
      <w:r w:rsidRPr="00AA3737">
        <w:rPr>
          <w:bCs/>
          <w:sz w:val="22"/>
          <w:szCs w:val="22"/>
        </w:rPr>
        <w:t xml:space="preserve">June </w:t>
      </w:r>
      <w:r w:rsidRPr="00AA3737" w:rsidR="009D168A">
        <w:rPr>
          <w:bCs/>
          <w:sz w:val="22"/>
          <w:szCs w:val="22"/>
        </w:rPr>
        <w:t xml:space="preserve">16, </w:t>
      </w:r>
      <w:r w:rsidRPr="00AA3737" w:rsidR="00F51F56">
        <w:rPr>
          <w:bCs/>
          <w:sz w:val="22"/>
          <w:szCs w:val="22"/>
        </w:rPr>
        <w:t>202</w:t>
      </w:r>
      <w:r w:rsidRPr="00AA3737" w:rsidR="005424BA">
        <w:rPr>
          <w:bCs/>
          <w:sz w:val="22"/>
          <w:szCs w:val="22"/>
        </w:rPr>
        <w:t>2</w:t>
      </w:r>
      <w:r w:rsidRPr="00AA3737" w:rsidR="002D6582">
        <w:rPr>
          <w:bCs/>
          <w:sz w:val="22"/>
          <w:szCs w:val="22"/>
        </w:rPr>
        <w:cr/>
        <w:t>News Media Contact</w:t>
      </w:r>
      <w:r w:rsidRPr="00AA3737" w:rsidR="00F201ED">
        <w:rPr>
          <w:bCs/>
          <w:sz w:val="22"/>
          <w:szCs w:val="22"/>
        </w:rPr>
        <w:t>:</w:t>
      </w:r>
      <w:r w:rsidRPr="00AA3737" w:rsidR="002D6582">
        <w:rPr>
          <w:bCs/>
          <w:sz w:val="22"/>
          <w:szCs w:val="22"/>
        </w:rPr>
        <w:cr/>
      </w:r>
      <w:r w:rsidRPr="00AA3737" w:rsidR="001D7CEF">
        <w:rPr>
          <w:bCs/>
          <w:sz w:val="22"/>
          <w:szCs w:val="22"/>
        </w:rPr>
        <w:t>Mary O’Driscoll</w:t>
      </w:r>
      <w:r w:rsidRPr="00AA3737" w:rsidR="002D6582">
        <w:rPr>
          <w:bCs/>
          <w:sz w:val="22"/>
          <w:szCs w:val="22"/>
        </w:rPr>
        <w:t xml:space="preserve"> </w:t>
      </w:r>
    </w:p>
    <w:p w:rsidRPr="00AA3737" w:rsidR="002D6582" w:rsidP="002D6582" w:rsidRDefault="006C6BE8" w14:paraId="71939E84" w14:textId="12786FB2">
      <w:pPr>
        <w:spacing w:after="0"/>
        <w:ind w:left="6480"/>
        <w:rPr>
          <w:rStyle w:val="Hyperlink"/>
          <w:bCs/>
          <w:sz w:val="22"/>
          <w:szCs w:val="22"/>
        </w:rPr>
      </w:pPr>
      <w:hyperlink w:history="1" r:id="rId12">
        <w:r w:rsidRPr="00AA3737" w:rsidR="002D6582">
          <w:rPr>
            <w:rStyle w:val="Hyperlink"/>
            <w:bCs/>
            <w:sz w:val="22"/>
            <w:szCs w:val="22"/>
          </w:rPr>
          <w:t>MediaDL@ferc.gov</w:t>
        </w:r>
      </w:hyperlink>
    </w:p>
    <w:p w:rsidRPr="00AA3737" w:rsidR="00116C32" w:rsidP="002D6582" w:rsidRDefault="00116C32" w14:paraId="4735107C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Agenda Item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s</w:t>
      </w:r>
      <w:r w:rsidRPr="00AA3737">
        <w:rPr>
          <w:rStyle w:val="Hyperlink"/>
          <w:bCs/>
          <w:color w:val="auto"/>
          <w:sz w:val="22"/>
          <w:szCs w:val="22"/>
          <w:u w:val="none"/>
        </w:rPr>
        <w:t xml:space="preserve"> E-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2, E-3</w:t>
      </w:r>
    </w:p>
    <w:p w:rsidRPr="00AA3737" w:rsidR="00A61E7E" w:rsidP="002D6582" w:rsidRDefault="00116C32" w14:paraId="59C6506B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Docket No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s</w:t>
      </w:r>
      <w:r w:rsidRPr="00AA3737">
        <w:rPr>
          <w:rStyle w:val="Hyperlink"/>
          <w:bCs/>
          <w:color w:val="auto"/>
          <w:sz w:val="22"/>
          <w:szCs w:val="22"/>
          <w:u w:val="none"/>
        </w:rPr>
        <w:t>. RM22-1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 xml:space="preserve">0, </w:t>
      </w:r>
    </w:p>
    <w:p w:rsidRPr="00AA3737" w:rsidR="00116C32" w:rsidP="002D6582" w:rsidRDefault="00F54BE2" w14:paraId="2807FDE0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RM22-16 and AD21-13</w:t>
      </w:r>
    </w:p>
    <w:p w:rsidRPr="006C4A53" w:rsidR="00533311" w:rsidP="00702591" w:rsidRDefault="00533311" w14:paraId="55A34E85" w14:textId="77777777">
      <w:pPr>
        <w:pStyle w:val="Default"/>
        <w:rPr>
          <w:rFonts w:ascii="Source Sans Pro" w:hAnsi="Source Sans Pro"/>
        </w:rPr>
      </w:pPr>
    </w:p>
    <w:p w:rsidRPr="006C4A53" w:rsidR="00A87FE7" w:rsidP="003209A9" w:rsidRDefault="00D175D4" w14:paraId="75081D7A" w14:textId="77777777">
      <w:pPr>
        <w:pStyle w:val="paragraph"/>
        <w:jc w:val="center"/>
        <w:textAlignment w:val="baseline"/>
        <w:rPr>
          <w:rFonts w:ascii="Source Sans Pro" w:hAnsi="Source Sans Pro"/>
          <w:b/>
          <w:bCs/>
        </w:rPr>
      </w:pPr>
      <w:r w:rsidRPr="006C4A53">
        <w:rPr>
          <w:rFonts w:ascii="Source Sans Pro" w:hAnsi="Source Sans Pro"/>
          <w:b/>
          <w:bCs/>
        </w:rPr>
        <w:t>FERC</w:t>
      </w:r>
      <w:r w:rsidRPr="006C4A53" w:rsidR="00820B28">
        <w:rPr>
          <w:rFonts w:ascii="Source Sans Pro" w:hAnsi="Source Sans Pro"/>
          <w:b/>
          <w:bCs/>
        </w:rPr>
        <w:t xml:space="preserve"> </w:t>
      </w:r>
      <w:r w:rsidR="00F54BE2">
        <w:rPr>
          <w:rFonts w:ascii="Source Sans Pro" w:hAnsi="Source Sans Pro"/>
          <w:b/>
          <w:bCs/>
        </w:rPr>
        <w:t>Acts to Boost Grid Reliability Against Extreme Weather Conditions</w:t>
      </w:r>
    </w:p>
    <w:p w:rsidRPr="006C4A53" w:rsidR="003209A9" w:rsidP="003209A9" w:rsidRDefault="003209A9" w14:paraId="535FD75E" w14:textId="77777777">
      <w:pPr>
        <w:pStyle w:val="paragraph"/>
        <w:jc w:val="center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62EF9" w:rsidP="00C401DE" w:rsidRDefault="00E06875" w14:paraId="41AEC752" w14:textId="43B32A92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6C4A53">
        <w:rPr>
          <w:rStyle w:val="eop"/>
          <w:rFonts w:ascii="Source Sans Pro" w:hAnsi="Source Sans Pro"/>
          <w:sz w:val="22"/>
          <w:szCs w:val="22"/>
        </w:rPr>
        <w:t>FERC</w:t>
      </w:r>
      <w:r w:rsidRPr="006C4A53" w:rsidR="0057381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0E13E7">
        <w:rPr>
          <w:rStyle w:val="eop"/>
          <w:rFonts w:ascii="Source Sans Pro" w:hAnsi="Source Sans Pro"/>
          <w:sz w:val="22"/>
          <w:szCs w:val="22"/>
        </w:rPr>
        <w:t xml:space="preserve">today </w:t>
      </w:r>
      <w:r w:rsidR="00A12DC4">
        <w:rPr>
          <w:rStyle w:val="eop"/>
          <w:rFonts w:ascii="Source Sans Pro" w:hAnsi="Source Sans Pro"/>
          <w:sz w:val="22"/>
          <w:szCs w:val="22"/>
        </w:rPr>
        <w:t>initiat</w:t>
      </w:r>
      <w:r w:rsidR="0097541F">
        <w:rPr>
          <w:rStyle w:val="eop"/>
          <w:rFonts w:ascii="Source Sans Pro" w:hAnsi="Source Sans Pro"/>
          <w:sz w:val="22"/>
          <w:szCs w:val="22"/>
        </w:rPr>
        <w:t>ed</w:t>
      </w:r>
      <w:r w:rsidR="00A12DC4">
        <w:rPr>
          <w:rStyle w:val="eop"/>
          <w:rFonts w:ascii="Source Sans Pro" w:hAnsi="Source Sans Pro"/>
          <w:sz w:val="22"/>
          <w:szCs w:val="22"/>
        </w:rPr>
        <w:t xml:space="preserve"> two rulemakings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 aimed at </w:t>
      </w:r>
      <w:r w:rsidR="00A12DC4">
        <w:rPr>
          <w:rStyle w:val="eop"/>
          <w:rFonts w:ascii="Source Sans Pro" w:hAnsi="Source Sans Pro"/>
          <w:sz w:val="22"/>
          <w:szCs w:val="22"/>
        </w:rPr>
        <w:t>improving the reliability of the bulk power system against the threats of extreme weather.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9748CC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262EF9">
        <w:rPr>
          <w:rStyle w:val="eop"/>
          <w:rFonts w:ascii="Source Sans Pro" w:hAnsi="Source Sans Pro"/>
          <w:sz w:val="22"/>
          <w:szCs w:val="22"/>
        </w:rPr>
        <w:t>These are the first proposed rulemakings stemming from the Climate Change and Extreme Weather proceeding that</w:t>
      </w:r>
      <w:r w:rsidR="00633A89">
        <w:rPr>
          <w:rStyle w:val="eop"/>
          <w:rFonts w:ascii="Source Sans Pro" w:hAnsi="Source Sans Pro"/>
          <w:sz w:val="22"/>
          <w:szCs w:val="22"/>
        </w:rPr>
        <w:t xml:space="preserve"> the Commission</w:t>
      </w:r>
      <w:r w:rsidR="00262EF9">
        <w:rPr>
          <w:rStyle w:val="eop"/>
          <w:rFonts w:ascii="Source Sans Pro" w:hAnsi="Source Sans Pro"/>
          <w:sz w:val="22"/>
          <w:szCs w:val="22"/>
        </w:rPr>
        <w:t xml:space="preserve"> initiated in June 2021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and </w:t>
      </w:r>
      <w:r w:rsidR="00342E97">
        <w:rPr>
          <w:rStyle w:val="eop"/>
          <w:rFonts w:ascii="Source Sans Pro" w:hAnsi="Source Sans Pro"/>
          <w:sz w:val="22"/>
          <w:szCs w:val="22"/>
        </w:rPr>
        <w:t xml:space="preserve">they </w:t>
      </w:r>
      <w:r w:rsidR="00714A36">
        <w:rPr>
          <w:rStyle w:val="eop"/>
          <w:rFonts w:ascii="Source Sans Pro" w:hAnsi="Source Sans Pro"/>
          <w:sz w:val="22"/>
          <w:szCs w:val="22"/>
        </w:rPr>
        <w:t>respon</w:t>
      </w:r>
      <w:r w:rsidR="00C32B55">
        <w:rPr>
          <w:rStyle w:val="eop"/>
          <w:rFonts w:ascii="Source Sans Pro" w:hAnsi="Source Sans Pro"/>
          <w:sz w:val="22"/>
          <w:szCs w:val="22"/>
        </w:rPr>
        <w:t>d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to numerous extreme weather events that have resulted in load shed and in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some </w:t>
      </w:r>
      <w:r w:rsidR="00262EF9">
        <w:rPr>
          <w:rStyle w:val="eop"/>
          <w:rFonts w:ascii="Source Sans Pro" w:hAnsi="Source Sans Pro"/>
          <w:sz w:val="22"/>
          <w:szCs w:val="22"/>
        </w:rPr>
        <w:t>cases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Pr="004F7EB6" w:rsidR="00262EF9">
        <w:rPr>
          <w:rStyle w:val="eop"/>
          <w:rFonts w:ascii="Source Sans Pro" w:hAnsi="Source Sans Pro"/>
          <w:sz w:val="22"/>
          <w:szCs w:val="22"/>
        </w:rPr>
        <w:t xml:space="preserve"> nearly caused system collapse and uncontrolled blackouts</w:t>
      </w:r>
      <w:r w:rsidR="00262EF9">
        <w:rPr>
          <w:rStyle w:val="eop"/>
          <w:rFonts w:ascii="Source Sans Pro" w:hAnsi="Source Sans Pro"/>
          <w:sz w:val="22"/>
          <w:szCs w:val="22"/>
        </w:rPr>
        <w:t xml:space="preserve">. </w:t>
      </w:r>
    </w:p>
    <w:p w:rsidR="00714A36" w:rsidP="00C401DE" w:rsidRDefault="00714A36" w14:paraId="3A657600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B70819" w:rsidR="00262EF9" w:rsidP="00262EF9" w:rsidRDefault="00C401DE" w14:paraId="5B7ABD85" w14:textId="6929E528">
      <w:pPr>
        <w:pStyle w:val="paragraph"/>
        <w:textAlignment w:val="baseline"/>
        <w:rPr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“Given the importance of reliable </w:t>
      </w:r>
      <w:r w:rsidR="00B465B1">
        <w:rPr>
          <w:rStyle w:val="eop"/>
          <w:rFonts w:ascii="Source Sans Pro" w:hAnsi="Source Sans Pro"/>
          <w:sz w:val="22"/>
          <w:szCs w:val="22"/>
        </w:rPr>
        <w:t>power</w:t>
      </w:r>
      <w:r>
        <w:rPr>
          <w:rStyle w:val="eop"/>
          <w:rFonts w:ascii="Source Sans Pro" w:hAnsi="Source Sans Pro"/>
          <w:sz w:val="22"/>
          <w:szCs w:val="22"/>
        </w:rPr>
        <w:t xml:space="preserve"> to our way of life and </w:t>
      </w:r>
      <w:r w:rsidRPr="00A61E7E">
        <w:rPr>
          <w:rStyle w:val="eop"/>
          <w:rFonts w:ascii="Source Sans Pro" w:hAnsi="Source Sans Pro"/>
          <w:sz w:val="22"/>
          <w:szCs w:val="22"/>
        </w:rPr>
        <w:t>the</w:t>
      </w:r>
      <w:r w:rsidR="00DC44B1">
        <w:rPr>
          <w:rStyle w:val="eop"/>
          <w:rFonts w:ascii="Source Sans Pro" w:hAnsi="Source Sans Pro"/>
          <w:sz w:val="22"/>
          <w:szCs w:val="22"/>
        </w:rPr>
        <w:t xml:space="preserve"> potential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 impacts extreme weather</w:t>
      </w:r>
      <w:r w:rsidR="00504AC5">
        <w:rPr>
          <w:rStyle w:val="eop"/>
          <w:rFonts w:ascii="Source Sans Pro" w:hAnsi="Source Sans Pro"/>
          <w:sz w:val="22"/>
          <w:szCs w:val="22"/>
        </w:rPr>
        <w:t xml:space="preserve"> can have on grid reliability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, </w:t>
      </w:r>
      <w:r>
        <w:rPr>
          <w:rStyle w:val="eop"/>
          <w:rFonts w:ascii="Source Sans Pro" w:hAnsi="Source Sans Pro"/>
          <w:sz w:val="22"/>
          <w:szCs w:val="22"/>
        </w:rPr>
        <w:t>FERC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 </w:t>
      </w:r>
      <w:r>
        <w:rPr>
          <w:rStyle w:val="eop"/>
          <w:rFonts w:ascii="Source Sans Pro" w:hAnsi="Source Sans Pro"/>
          <w:sz w:val="22"/>
          <w:szCs w:val="22"/>
        </w:rPr>
        <w:t>is taking these additional proactive steps</w:t>
      </w:r>
      <w:r w:rsidR="0016174A">
        <w:rPr>
          <w:rStyle w:val="eop"/>
          <w:rFonts w:ascii="Source Sans Pro" w:hAnsi="Source Sans Pro"/>
          <w:sz w:val="22"/>
          <w:szCs w:val="22"/>
        </w:rPr>
        <w:t>,” FERC Chairman Rich Glick said. “</w:t>
      </w:r>
      <w:r w:rsidR="000551E2">
        <w:rPr>
          <w:rStyle w:val="eop"/>
          <w:rFonts w:ascii="Source Sans Pro" w:hAnsi="Source Sans Pro"/>
          <w:sz w:val="22"/>
          <w:szCs w:val="22"/>
        </w:rPr>
        <w:t>Increasingly frequent cold snaps, heat waves, drought and major storms</w:t>
      </w:r>
      <w:r w:rsidR="006230F3">
        <w:rPr>
          <w:rStyle w:val="eop"/>
          <w:rFonts w:ascii="Source Sans Pro" w:hAnsi="Source Sans Pro"/>
          <w:sz w:val="22"/>
          <w:szCs w:val="22"/>
        </w:rPr>
        <w:t xml:space="preserve"> </w:t>
      </w:r>
      <w:r>
        <w:rPr>
          <w:rStyle w:val="eop"/>
          <w:rFonts w:ascii="Source Sans Pro" w:hAnsi="Source Sans Pro"/>
          <w:sz w:val="22"/>
          <w:szCs w:val="22"/>
        </w:rPr>
        <w:t>continue to challenge the ability of our nation’s electric infrastructure to deliver reliable affordable energy to consumers. Today’s action</w:t>
      </w:r>
      <w:r w:rsidR="006F3632">
        <w:rPr>
          <w:rStyle w:val="eop"/>
          <w:rFonts w:ascii="Source Sans Pro" w:hAnsi="Source Sans Pro"/>
          <w:sz w:val="22"/>
          <w:szCs w:val="22"/>
        </w:rPr>
        <w:t xml:space="preserve">s are necessary to ensure that </w:t>
      </w:r>
      <w:r w:rsidR="00B465B1">
        <w:rPr>
          <w:rStyle w:val="eop"/>
          <w:rFonts w:ascii="Source Sans Pro" w:hAnsi="Source Sans Pro"/>
          <w:sz w:val="22"/>
          <w:szCs w:val="22"/>
        </w:rPr>
        <w:t>we are</w:t>
      </w:r>
      <w:r>
        <w:rPr>
          <w:rStyle w:val="eop"/>
          <w:rFonts w:ascii="Source Sans Pro" w:hAnsi="Source Sans Pro"/>
          <w:sz w:val="22"/>
          <w:szCs w:val="22"/>
        </w:rPr>
        <w:t xml:space="preserve"> prepar</w:t>
      </w:r>
      <w:r w:rsidR="00B465B1">
        <w:rPr>
          <w:rStyle w:val="eop"/>
          <w:rFonts w:ascii="Source Sans Pro" w:hAnsi="Source Sans Pro"/>
          <w:sz w:val="22"/>
          <w:szCs w:val="22"/>
        </w:rPr>
        <w:t>ed</w:t>
      </w:r>
      <w:r>
        <w:rPr>
          <w:rStyle w:val="eop"/>
          <w:rFonts w:ascii="Source Sans Pro" w:hAnsi="Source Sans Pro"/>
          <w:sz w:val="22"/>
          <w:szCs w:val="22"/>
        </w:rPr>
        <w:t xml:space="preserve"> for the challenges ahead</w:t>
      </w:r>
      <w:r w:rsidR="0016174A">
        <w:rPr>
          <w:rStyle w:val="eop"/>
          <w:rFonts w:ascii="Source Sans Pro" w:hAnsi="Source Sans Pro"/>
          <w:sz w:val="22"/>
          <w:szCs w:val="22"/>
        </w:rPr>
        <w:t>.</w:t>
      </w:r>
      <w:r>
        <w:rPr>
          <w:rStyle w:val="eop"/>
          <w:rFonts w:ascii="Source Sans Pro" w:hAnsi="Source Sans Pro"/>
          <w:sz w:val="22"/>
          <w:szCs w:val="22"/>
        </w:rPr>
        <w:t xml:space="preserve">” </w:t>
      </w:r>
      <w:r w:rsidRPr="00B70819" w:rsidR="00262EF9">
        <w:rPr>
          <w:rStyle w:val="eop"/>
          <w:rFonts w:ascii="Source Sans Pro" w:hAnsi="Source Sans Pro"/>
        </w:rPr>
        <w:t xml:space="preserve"> </w:t>
      </w:r>
    </w:p>
    <w:p w:rsidR="00C401DE" w:rsidP="00F54BE2" w:rsidRDefault="00C401DE" w14:paraId="4AE93615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62EF9" w:rsidP="00B70819" w:rsidRDefault="000F2197" w14:paraId="28E5326F" w14:textId="4B750D10">
      <w:pPr>
        <w:pStyle w:val="paragraph"/>
        <w:textAlignment w:val="baseline"/>
        <w:rPr>
          <w:rStyle w:val="eop"/>
          <w:rFonts w:ascii="Source Sans Pro" w:hAnsi="Source Sans Pro" w:eastAsia="Calibri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</w:t>
      </w:r>
      <w:r w:rsidR="00F54BE2">
        <w:rPr>
          <w:rStyle w:val="eop"/>
          <w:rFonts w:ascii="Source Sans Pro" w:hAnsi="Source Sans Pro"/>
          <w:sz w:val="22"/>
          <w:szCs w:val="22"/>
        </w:rPr>
        <w:t>Commission</w:t>
      </w:r>
      <w:r w:rsidR="006571ED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945092">
        <w:rPr>
          <w:rStyle w:val="eop"/>
          <w:rFonts w:ascii="Source Sans Pro" w:hAnsi="Source Sans Pro"/>
          <w:sz w:val="22"/>
          <w:szCs w:val="22"/>
        </w:rPr>
        <w:t xml:space="preserve">proposes to 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require </w:t>
      </w:r>
      <w:r w:rsidR="00F54BE2">
        <w:rPr>
          <w:rStyle w:val="eop"/>
          <w:rFonts w:ascii="Source Sans Pro" w:hAnsi="Source Sans Pro"/>
          <w:sz w:val="22"/>
          <w:szCs w:val="22"/>
        </w:rPr>
        <w:t>the North American Electric Reliability Corp</w:t>
      </w:r>
      <w:r>
        <w:rPr>
          <w:rStyle w:val="eop"/>
          <w:rFonts w:ascii="Source Sans Pro" w:hAnsi="Source Sans Pro"/>
          <w:sz w:val="22"/>
          <w:szCs w:val="22"/>
        </w:rPr>
        <w:t xml:space="preserve">oration (NERC)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to</w:t>
      </w:r>
      <w:r w:rsidR="00755295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develop 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reliability standard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modifications to require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 that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: </w:t>
      </w:r>
    </w:p>
    <w:p w:rsidR="00C7738B" w:rsidP="00C7738B" w:rsidRDefault="00262EF9" w14:paraId="5550278E" w14:textId="0FA98EEC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NERC </w:t>
      </w:r>
      <w:r w:rsidRPr="002948FF" w:rsidR="002948FF">
        <w:rPr>
          <w:rFonts w:ascii="Source Sans Pro" w:hAnsi="Source Sans Pro"/>
          <w:sz w:val="22"/>
          <w:szCs w:val="22"/>
        </w:rPr>
        <w:t>develop benchmark planning cases based on information such as major prior extreme heat and cold weather events or future meteorological projections</w:t>
      </w:r>
      <w:r w:rsidR="00B465B1">
        <w:rPr>
          <w:rFonts w:ascii="Source Sans Pro" w:hAnsi="Source Sans Pro"/>
          <w:sz w:val="22"/>
          <w:szCs w:val="22"/>
        </w:rPr>
        <w:t>;</w:t>
      </w:r>
    </w:p>
    <w:p w:rsidR="00C7738B" w:rsidP="00C7738B" w:rsidRDefault="00714A36" w14:paraId="7F0A4AD9" w14:textId="76DC9FCA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Transmission providers </w:t>
      </w:r>
      <w:r w:rsidR="002E5849">
        <w:rPr>
          <w:rStyle w:val="eop"/>
          <w:rFonts w:ascii="Source Sans Pro" w:hAnsi="Source Sans Pro"/>
          <w:sz w:val="22"/>
          <w:szCs w:val="22"/>
        </w:rPr>
        <w:t>conduct studies of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extreme heat and cold</w:t>
      </w:r>
      <w:r w:rsidR="002E5849">
        <w:rPr>
          <w:rStyle w:val="eop"/>
          <w:rFonts w:ascii="Source Sans Pro" w:hAnsi="Source Sans Pro"/>
          <w:sz w:val="22"/>
          <w:szCs w:val="22"/>
        </w:rPr>
        <w:t xml:space="preserve"> conditions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including the expected resource mix’s availability during </w:t>
      </w:r>
      <w:r>
        <w:rPr>
          <w:rStyle w:val="eop"/>
          <w:rFonts w:ascii="Source Sans Pro" w:hAnsi="Source Sans Pro"/>
          <w:sz w:val="22"/>
          <w:szCs w:val="22"/>
        </w:rPr>
        <w:t>such extreme conditions</w:t>
      </w:r>
      <w:r w:rsidR="00C7738B">
        <w:rPr>
          <w:rStyle w:val="eop"/>
          <w:rFonts w:ascii="Source Sans Pro" w:hAnsi="Source Sans Pro"/>
          <w:sz w:val="22"/>
          <w:szCs w:val="22"/>
        </w:rPr>
        <w:t>;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B465B1">
        <w:rPr>
          <w:rStyle w:val="eop"/>
          <w:rFonts w:ascii="Source Sans Pro" w:hAnsi="Source Sans Pro"/>
          <w:sz w:val="22"/>
          <w:szCs w:val="22"/>
        </w:rPr>
        <w:t>and</w:t>
      </w:r>
    </w:p>
    <w:p w:rsidR="002E5849" w:rsidP="00C7738B" w:rsidRDefault="00C32B55" w14:paraId="0746AFD8" w14:textId="7D91856C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>T</w:t>
      </w:r>
      <w:r w:rsidR="00714A36">
        <w:rPr>
          <w:rStyle w:val="eop"/>
          <w:rFonts w:ascii="Source Sans Pro" w:hAnsi="Source Sans Pro"/>
          <w:sz w:val="22"/>
          <w:szCs w:val="22"/>
        </w:rPr>
        <w:t>ransmission providers d</w:t>
      </w:r>
      <w:r w:rsidR="003B76FB">
        <w:rPr>
          <w:rStyle w:val="eop"/>
          <w:rFonts w:ascii="Source Sans Pro" w:hAnsi="Source Sans Pro"/>
          <w:sz w:val="22"/>
          <w:szCs w:val="22"/>
        </w:rPr>
        <w:t>evelop c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orrective action plans for any instances where performance requirements for extreme heat and cold events are not met.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</w:t>
      </w:r>
    </w:p>
    <w:p w:rsidR="00C32B55" w:rsidP="00C32B55" w:rsidRDefault="00C32B55" w14:paraId="366EAF61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F54BE2" w:rsidP="00B70819" w:rsidRDefault="002E5849" w14:paraId="48E665FC" w14:textId="17B5D9BC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proposed rule </w:t>
      </w:r>
      <w:r w:rsidR="00714A36">
        <w:rPr>
          <w:rStyle w:val="eop"/>
          <w:rFonts w:ascii="Source Sans Pro" w:hAnsi="Source Sans Pro"/>
          <w:sz w:val="22"/>
          <w:szCs w:val="22"/>
        </w:rPr>
        <w:t>also seeks comment on whether</w:t>
      </w:r>
      <w:r>
        <w:rPr>
          <w:rStyle w:val="eop"/>
          <w:rFonts w:ascii="Source Sans Pro" w:hAnsi="Source Sans Pro"/>
          <w:sz w:val="22"/>
          <w:szCs w:val="22"/>
        </w:rPr>
        <w:t xml:space="preserve"> to similarly require studies and corrective action plans for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drought conditions.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F54BE2">
        <w:rPr>
          <w:rStyle w:val="eop"/>
          <w:rFonts w:ascii="Source Sans Pro" w:hAnsi="Source Sans Pro"/>
          <w:sz w:val="22"/>
          <w:szCs w:val="22"/>
        </w:rPr>
        <w:t>(RM22-10)</w:t>
      </w:r>
    </w:p>
    <w:p w:rsidR="003852D9" w:rsidP="00F54BE2" w:rsidRDefault="003852D9" w14:paraId="49E357D4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91FFB" w:rsidP="00291FFB" w:rsidRDefault="00A54D5B" w14:paraId="31AD2D58" w14:textId="11B3D2F5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second proposed rule would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direct transmission providers to submit one-time reports describing their policies and processes for conducting extreme weather vulnerability assessments</w:t>
      </w:r>
      <w:r w:rsidR="00A12DC4">
        <w:rPr>
          <w:rStyle w:val="eop"/>
          <w:rFonts w:ascii="Source Sans Pro" w:hAnsi="Source Sans Pro"/>
          <w:sz w:val="22"/>
          <w:szCs w:val="22"/>
        </w:rPr>
        <w:t xml:space="preserve"> and identifying mitigation strategies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.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These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extreme weather vulnerability assessments </w:t>
      </w:r>
      <w:r w:rsidR="00F879C4">
        <w:rPr>
          <w:rStyle w:val="eop"/>
          <w:rFonts w:ascii="Source Sans Pro" w:hAnsi="Source Sans Pro"/>
          <w:sz w:val="22"/>
          <w:szCs w:val="22"/>
        </w:rPr>
        <w:t xml:space="preserve">will 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improve the Commission’s understanding of how transmission providers identify and mitigate </w:t>
      </w:r>
      <w:r w:rsidR="004A6A9B">
        <w:rPr>
          <w:rStyle w:val="eop"/>
          <w:rFonts w:ascii="Source Sans Pro" w:hAnsi="Source Sans Pro"/>
          <w:sz w:val="22"/>
          <w:szCs w:val="22"/>
        </w:rPr>
        <w:t xml:space="preserve">risks to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transmission assets and operations 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caused by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extreme weather events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.  </w:t>
      </w:r>
      <w:r w:rsidR="00F54BE2">
        <w:rPr>
          <w:rStyle w:val="eop"/>
          <w:rFonts w:ascii="Source Sans Pro" w:hAnsi="Source Sans Pro"/>
          <w:sz w:val="22"/>
          <w:szCs w:val="22"/>
        </w:rPr>
        <w:t>(RM22-16, AD21-13)</w:t>
      </w:r>
      <w:r w:rsidR="00291FFB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291FFB">
        <w:rPr>
          <w:rFonts w:ascii="Source Sans Pro" w:hAnsi="Source Sans Pro"/>
          <w:sz w:val="22"/>
          <w:szCs w:val="22"/>
        </w:rPr>
        <w:t xml:space="preserve"> </w:t>
      </w:r>
    </w:p>
    <w:p w:rsidR="00615325" w:rsidP="00F54BE2" w:rsidRDefault="00615325" w14:paraId="5BB14DD4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342E97" w:rsidP="0020276F" w:rsidRDefault="00F54BE2" w14:paraId="1E208B74" w14:textId="6192AC24">
      <w:pPr>
        <w:pStyle w:val="paragraph"/>
        <w:spacing w:after="80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>Comments on both proposal</w:t>
      </w:r>
      <w:r w:rsidR="00A61E7E">
        <w:rPr>
          <w:rStyle w:val="eop"/>
          <w:rFonts w:ascii="Source Sans Pro" w:hAnsi="Source Sans Pro"/>
          <w:sz w:val="22"/>
          <w:szCs w:val="22"/>
        </w:rPr>
        <w:t>s</w:t>
      </w:r>
      <w:r>
        <w:rPr>
          <w:rStyle w:val="eop"/>
          <w:rFonts w:ascii="Source Sans Pro" w:hAnsi="Source Sans Pro"/>
          <w:sz w:val="22"/>
          <w:szCs w:val="22"/>
        </w:rPr>
        <w:t xml:space="preserve"> are due 60 days after the date of publication in the </w:t>
      </w:r>
      <w:r w:rsidRPr="00F54BE2">
        <w:rPr>
          <w:rStyle w:val="eop"/>
          <w:rFonts w:ascii="Source Sans Pro" w:hAnsi="Source Sans Pro"/>
          <w:i/>
          <w:iCs/>
          <w:sz w:val="22"/>
          <w:szCs w:val="22"/>
        </w:rPr>
        <w:t>Federal Register</w:t>
      </w:r>
      <w:r>
        <w:rPr>
          <w:rStyle w:val="eop"/>
          <w:rFonts w:ascii="Source Sans Pro" w:hAnsi="Source Sans Pro"/>
          <w:sz w:val="22"/>
          <w:szCs w:val="22"/>
        </w:rPr>
        <w:t xml:space="preserve">. </w:t>
      </w:r>
    </w:p>
    <w:p w:rsidRPr="00A61E7E" w:rsidR="00BD4AB7" w:rsidP="00A61E7E" w:rsidRDefault="001D7CEF" w14:paraId="707B2303" w14:textId="08EB0119">
      <w:pPr>
        <w:rPr>
          <w:sz w:val="22"/>
          <w:szCs w:val="22"/>
        </w:rPr>
      </w:pPr>
      <w:r w:rsidRPr="00AB27A4">
        <w:rPr>
          <w:sz w:val="22"/>
          <w:szCs w:val="22"/>
        </w:rPr>
        <w:t>R22-</w:t>
      </w:r>
      <w:r w:rsidR="00342E97">
        <w:rPr>
          <w:sz w:val="22"/>
          <w:szCs w:val="22"/>
        </w:rPr>
        <w:t>35</w:t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20276F">
        <w:rPr>
          <w:sz w:val="22"/>
          <w:szCs w:val="22"/>
        </w:rPr>
        <w:t xml:space="preserve">       </w:t>
      </w:r>
      <w:r w:rsidRPr="003C7BD1" w:rsidR="00BD4AB7">
        <w:rPr>
          <w:rFonts w:ascii="Trebuchet MS" w:hAnsi="Trebuchet MS"/>
          <w:sz w:val="22"/>
          <w:szCs w:val="22"/>
        </w:rPr>
        <w:t>(30)</w:t>
      </w:r>
    </w:p>
    <w:sectPr w:rsidRPr="00A61E7E" w:rsidR="00BD4AB7" w:rsidSect="00180B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160" w:right="1440" w:bottom="1890" w:left="1440" w:header="90" w:footer="3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A7B4" w14:textId="77777777" w:rsidR="005C0784" w:rsidRDefault="005C0784" w:rsidP="00FC4202">
      <w:r>
        <w:separator/>
      </w:r>
    </w:p>
  </w:endnote>
  <w:endnote w:type="continuationSeparator" w:id="0">
    <w:p w14:paraId="54363617" w14:textId="77777777" w:rsidR="005C0784" w:rsidRDefault="005C0784" w:rsidP="00FC4202">
      <w:r>
        <w:continuationSeparator/>
      </w:r>
    </w:p>
  </w:endnote>
  <w:endnote w:type="continuationNotice" w:id="1">
    <w:p w14:paraId="487FDFCE" w14:textId="77777777" w:rsidR="005C0784" w:rsidRDefault="005C07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CEAA" w14:textId="77777777" w:rsidR="002F0B3C" w:rsidRDefault="002F0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B1C2" w14:textId="77777777" w:rsidR="006A463F" w:rsidRPr="0053655F" w:rsidRDefault="00573F06" w:rsidP="00FC4202">
    <w:pPr>
      <w:pStyle w:val="Footer"/>
      <w:jc w:val="center"/>
    </w:pPr>
    <w:r w:rsidRPr="003B47B1">
      <w:rPr>
        <w:noProof/>
      </w:rPr>
      <w:drawing>
        <wp:anchor distT="0" distB="0" distL="114300" distR="114300" simplePos="0" relativeHeight="251658241" behindDoc="0" locked="0" layoutInCell="1" allowOverlap="1" wp14:anchorId="62CFCDD5" wp14:editId="59184B08">
          <wp:simplePos x="0" y="0"/>
          <wp:positionH relativeFrom="margin">
            <wp:posOffset>-680720</wp:posOffset>
          </wp:positionH>
          <wp:positionV relativeFrom="paragraph">
            <wp:posOffset>-264589</wp:posOffset>
          </wp:positionV>
          <wp:extent cx="7305040" cy="188595"/>
          <wp:effectExtent l="0" t="0" r="0" b="1905"/>
          <wp:wrapThrough wrapText="bothSides">
            <wp:wrapPolygon edited="0">
              <wp:start x="0" y="0"/>
              <wp:lineTo x="0" y="19636"/>
              <wp:lineTo x="21517" y="19636"/>
              <wp:lineTo x="21517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63F" w:rsidRPr="0053655F">
      <w:t>888 First Street, NE #11-A | Washington, DC 20426 | 202.502.8000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3345" w14:textId="77777777" w:rsidR="00573F06" w:rsidRDefault="00573F06" w:rsidP="00FC4202">
    <w:pPr>
      <w:pStyle w:val="Footer"/>
      <w:tabs>
        <w:tab w:val="clear" w:pos="4680"/>
        <w:tab w:val="clear" w:pos="9360"/>
        <w:tab w:val="left" w:pos="4114"/>
      </w:tabs>
    </w:pPr>
    <w:r w:rsidRPr="003B47B1">
      <w:rPr>
        <w:noProof/>
      </w:rPr>
      <w:drawing>
        <wp:anchor distT="0" distB="0" distL="114300" distR="114300" simplePos="0" relativeHeight="251658240" behindDoc="0" locked="0" layoutInCell="1" allowOverlap="1" wp14:anchorId="2063C55F" wp14:editId="2E977E84">
          <wp:simplePos x="0" y="0"/>
          <wp:positionH relativeFrom="margin">
            <wp:posOffset>-680720</wp:posOffset>
          </wp:positionH>
          <wp:positionV relativeFrom="paragraph">
            <wp:posOffset>-64661</wp:posOffset>
          </wp:positionV>
          <wp:extent cx="7305040" cy="188595"/>
          <wp:effectExtent l="0" t="0" r="0" b="190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3BE46" w14:textId="77777777" w:rsidR="006A463F" w:rsidRPr="003B47B1" w:rsidRDefault="006A463F" w:rsidP="00FC4202">
    <w:pPr>
      <w:pStyle w:val="Footer"/>
      <w:jc w:val="center"/>
    </w:pPr>
    <w:r w:rsidRPr="003B47B1">
      <w:t>888 First Street, NE #11-A | Washington, DC 20426 | 202.502.8</w:t>
    </w:r>
    <w:r w:rsidR="002F0B3C">
      <w:t>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5C65" w14:textId="77777777" w:rsidR="005C0784" w:rsidRDefault="005C0784" w:rsidP="00FC4202">
      <w:r>
        <w:separator/>
      </w:r>
    </w:p>
  </w:footnote>
  <w:footnote w:type="continuationSeparator" w:id="0">
    <w:p w14:paraId="2DAFB377" w14:textId="77777777" w:rsidR="005C0784" w:rsidRDefault="005C0784" w:rsidP="00FC4202">
      <w:r>
        <w:continuationSeparator/>
      </w:r>
    </w:p>
  </w:footnote>
  <w:footnote w:type="continuationNotice" w:id="1">
    <w:p w14:paraId="2546EDDA" w14:textId="77777777" w:rsidR="005C0784" w:rsidRDefault="005C07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D45B" w14:textId="77777777" w:rsidR="002F0B3C" w:rsidRDefault="002F0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FC1D" w14:textId="77777777" w:rsidR="00702591" w:rsidRPr="00702591" w:rsidRDefault="00702591" w:rsidP="00FC420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4BB45D" wp14:editId="3C534D78">
          <wp:simplePos x="0" y="0"/>
          <wp:positionH relativeFrom="column">
            <wp:posOffset>-689932</wp:posOffset>
          </wp:positionH>
          <wp:positionV relativeFrom="paragraph">
            <wp:posOffset>7620</wp:posOffset>
          </wp:positionV>
          <wp:extent cx="7315200" cy="1173915"/>
          <wp:effectExtent l="0" t="0" r="0" b="762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8" r="2224"/>
                  <a:stretch/>
                </pic:blipFill>
                <pic:spPr bwMode="auto">
                  <a:xfrm>
                    <a:off x="0" y="0"/>
                    <a:ext cx="7315200" cy="117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6096" w14:textId="77777777" w:rsidR="00702591" w:rsidRDefault="00C712BA" w:rsidP="00FC4202">
    <w:pPr>
      <w:pStyle w:val="Header"/>
      <w:ind w:left="-1170"/>
    </w:pPr>
    <w:r>
      <w:rPr>
        <w:noProof/>
      </w:rPr>
      <w:drawing>
        <wp:inline distT="0" distB="0" distL="0" distR="0" wp14:anchorId="140345E7" wp14:editId="5C9D7A25">
          <wp:extent cx="7315835" cy="117030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9A3"/>
    <w:multiLevelType w:val="hybridMultilevel"/>
    <w:tmpl w:val="61D8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8AD"/>
    <w:multiLevelType w:val="hybridMultilevel"/>
    <w:tmpl w:val="9250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665F"/>
    <w:multiLevelType w:val="hybridMultilevel"/>
    <w:tmpl w:val="16B6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74E6"/>
    <w:multiLevelType w:val="hybridMultilevel"/>
    <w:tmpl w:val="D334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691F"/>
    <w:multiLevelType w:val="hybridMultilevel"/>
    <w:tmpl w:val="47A8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33F0"/>
    <w:multiLevelType w:val="hybridMultilevel"/>
    <w:tmpl w:val="280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7EA9"/>
    <w:multiLevelType w:val="hybridMultilevel"/>
    <w:tmpl w:val="E9D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A740F"/>
    <w:multiLevelType w:val="hybridMultilevel"/>
    <w:tmpl w:val="82B0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756"/>
    <w:multiLevelType w:val="hybridMultilevel"/>
    <w:tmpl w:val="FE0E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802"/>
    <w:multiLevelType w:val="hybridMultilevel"/>
    <w:tmpl w:val="1BCC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EB5"/>
    <w:multiLevelType w:val="hybridMultilevel"/>
    <w:tmpl w:val="0F30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7CDE"/>
    <w:multiLevelType w:val="hybridMultilevel"/>
    <w:tmpl w:val="3274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956F96"/>
    <w:multiLevelType w:val="hybridMultilevel"/>
    <w:tmpl w:val="3DFC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C2E96"/>
    <w:multiLevelType w:val="hybridMultilevel"/>
    <w:tmpl w:val="CE0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C30B2"/>
    <w:multiLevelType w:val="hybridMultilevel"/>
    <w:tmpl w:val="D818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376EB"/>
    <w:multiLevelType w:val="hybridMultilevel"/>
    <w:tmpl w:val="CA6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843EC"/>
    <w:multiLevelType w:val="hybridMultilevel"/>
    <w:tmpl w:val="D628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A4E0C"/>
    <w:multiLevelType w:val="hybridMultilevel"/>
    <w:tmpl w:val="F50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B2072"/>
    <w:multiLevelType w:val="hybridMultilevel"/>
    <w:tmpl w:val="CC86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B09D3"/>
    <w:multiLevelType w:val="hybridMultilevel"/>
    <w:tmpl w:val="EDDCD1C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0"/>
  </w:num>
  <w:num w:numId="5">
    <w:abstractNumId w:val="15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17"/>
  </w:num>
  <w:num w:numId="13">
    <w:abstractNumId w:val="6"/>
  </w:num>
  <w:num w:numId="14">
    <w:abstractNumId w:val="4"/>
  </w:num>
  <w:num w:numId="15">
    <w:abstractNumId w:val="9"/>
  </w:num>
  <w:num w:numId="16">
    <w:abstractNumId w:val="5"/>
  </w:num>
  <w:num w:numId="17">
    <w:abstractNumId w:val="14"/>
  </w:num>
  <w:num w:numId="18">
    <w:abstractNumId w:val="1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91"/>
    <w:rsid w:val="00025D72"/>
    <w:rsid w:val="00031E0F"/>
    <w:rsid w:val="0004610B"/>
    <w:rsid w:val="00047E99"/>
    <w:rsid w:val="000551E2"/>
    <w:rsid w:val="000716EE"/>
    <w:rsid w:val="00071E0D"/>
    <w:rsid w:val="00080B1F"/>
    <w:rsid w:val="00080C4B"/>
    <w:rsid w:val="00092FFB"/>
    <w:rsid w:val="00093C72"/>
    <w:rsid w:val="000A5C13"/>
    <w:rsid w:val="000B168C"/>
    <w:rsid w:val="000D4536"/>
    <w:rsid w:val="000D7711"/>
    <w:rsid w:val="000E13E7"/>
    <w:rsid w:val="000E7029"/>
    <w:rsid w:val="000F2197"/>
    <w:rsid w:val="0010182D"/>
    <w:rsid w:val="0010215F"/>
    <w:rsid w:val="00106773"/>
    <w:rsid w:val="00107C91"/>
    <w:rsid w:val="00112D9C"/>
    <w:rsid w:val="00113D0A"/>
    <w:rsid w:val="00116C32"/>
    <w:rsid w:val="0012546B"/>
    <w:rsid w:val="00130DE1"/>
    <w:rsid w:val="0013733A"/>
    <w:rsid w:val="001411CA"/>
    <w:rsid w:val="001455B9"/>
    <w:rsid w:val="0016174A"/>
    <w:rsid w:val="001804AA"/>
    <w:rsid w:val="00180632"/>
    <w:rsid w:val="00180B8D"/>
    <w:rsid w:val="00181338"/>
    <w:rsid w:val="001A07ED"/>
    <w:rsid w:val="001B1481"/>
    <w:rsid w:val="001B4514"/>
    <w:rsid w:val="001D7CEF"/>
    <w:rsid w:val="001E2AC9"/>
    <w:rsid w:val="0020276F"/>
    <w:rsid w:val="00203FF7"/>
    <w:rsid w:val="0020724E"/>
    <w:rsid w:val="00215A4E"/>
    <w:rsid w:val="00216A41"/>
    <w:rsid w:val="00220C5A"/>
    <w:rsid w:val="00223E12"/>
    <w:rsid w:val="0023098E"/>
    <w:rsid w:val="00233941"/>
    <w:rsid w:val="0024708D"/>
    <w:rsid w:val="00250674"/>
    <w:rsid w:val="00262EF9"/>
    <w:rsid w:val="002652E2"/>
    <w:rsid w:val="00270ABD"/>
    <w:rsid w:val="0028240F"/>
    <w:rsid w:val="0028790F"/>
    <w:rsid w:val="00291FFB"/>
    <w:rsid w:val="002948FF"/>
    <w:rsid w:val="002B2A1B"/>
    <w:rsid w:val="002D3EE0"/>
    <w:rsid w:val="002D53C4"/>
    <w:rsid w:val="002D6582"/>
    <w:rsid w:val="002E0F3A"/>
    <w:rsid w:val="002E1B97"/>
    <w:rsid w:val="002E5849"/>
    <w:rsid w:val="002F0B3C"/>
    <w:rsid w:val="002F5D89"/>
    <w:rsid w:val="003020A5"/>
    <w:rsid w:val="003209A9"/>
    <w:rsid w:val="00342E97"/>
    <w:rsid w:val="0034710D"/>
    <w:rsid w:val="003553C1"/>
    <w:rsid w:val="00366B53"/>
    <w:rsid w:val="00367721"/>
    <w:rsid w:val="00367984"/>
    <w:rsid w:val="00370AF6"/>
    <w:rsid w:val="0037705C"/>
    <w:rsid w:val="003852D9"/>
    <w:rsid w:val="0039715E"/>
    <w:rsid w:val="003B47B1"/>
    <w:rsid w:val="003B76FB"/>
    <w:rsid w:val="003C4D28"/>
    <w:rsid w:val="003C5B3A"/>
    <w:rsid w:val="003C7BD1"/>
    <w:rsid w:val="003E7402"/>
    <w:rsid w:val="003E7E82"/>
    <w:rsid w:val="00406E12"/>
    <w:rsid w:val="00423A34"/>
    <w:rsid w:val="00423EE4"/>
    <w:rsid w:val="0042402A"/>
    <w:rsid w:val="00427846"/>
    <w:rsid w:val="004423D1"/>
    <w:rsid w:val="00466D8B"/>
    <w:rsid w:val="00467481"/>
    <w:rsid w:val="00467E6E"/>
    <w:rsid w:val="00473DC2"/>
    <w:rsid w:val="00474205"/>
    <w:rsid w:val="00475080"/>
    <w:rsid w:val="004960AA"/>
    <w:rsid w:val="00497CC7"/>
    <w:rsid w:val="004A61ED"/>
    <w:rsid w:val="004A6A9B"/>
    <w:rsid w:val="004A757F"/>
    <w:rsid w:val="004B4EC8"/>
    <w:rsid w:val="004D51F5"/>
    <w:rsid w:val="004E3C01"/>
    <w:rsid w:val="00504AC5"/>
    <w:rsid w:val="0050583E"/>
    <w:rsid w:val="00506E86"/>
    <w:rsid w:val="00525DEE"/>
    <w:rsid w:val="00532B4D"/>
    <w:rsid w:val="00533311"/>
    <w:rsid w:val="0053655F"/>
    <w:rsid w:val="005424BA"/>
    <w:rsid w:val="00554352"/>
    <w:rsid w:val="005604F3"/>
    <w:rsid w:val="00573812"/>
    <w:rsid w:val="00573F06"/>
    <w:rsid w:val="005752D2"/>
    <w:rsid w:val="005805DC"/>
    <w:rsid w:val="005811CD"/>
    <w:rsid w:val="0058791E"/>
    <w:rsid w:val="005A1036"/>
    <w:rsid w:val="005A5352"/>
    <w:rsid w:val="005C0784"/>
    <w:rsid w:val="005C0931"/>
    <w:rsid w:val="005D6F9F"/>
    <w:rsid w:val="005E07B2"/>
    <w:rsid w:val="005F2317"/>
    <w:rsid w:val="00601208"/>
    <w:rsid w:val="00604DA8"/>
    <w:rsid w:val="006117A9"/>
    <w:rsid w:val="00615325"/>
    <w:rsid w:val="006230F3"/>
    <w:rsid w:val="00627E5A"/>
    <w:rsid w:val="00633921"/>
    <w:rsid w:val="00633A89"/>
    <w:rsid w:val="00652447"/>
    <w:rsid w:val="00653B66"/>
    <w:rsid w:val="006571ED"/>
    <w:rsid w:val="00660BF2"/>
    <w:rsid w:val="0066745A"/>
    <w:rsid w:val="00680C7C"/>
    <w:rsid w:val="006866D4"/>
    <w:rsid w:val="00696931"/>
    <w:rsid w:val="006A463F"/>
    <w:rsid w:val="006C4A53"/>
    <w:rsid w:val="006C6BE8"/>
    <w:rsid w:val="006D78E6"/>
    <w:rsid w:val="006E6DA0"/>
    <w:rsid w:val="006F3632"/>
    <w:rsid w:val="00702591"/>
    <w:rsid w:val="007075D1"/>
    <w:rsid w:val="00714A36"/>
    <w:rsid w:val="00715724"/>
    <w:rsid w:val="007336AF"/>
    <w:rsid w:val="007377ED"/>
    <w:rsid w:val="00741718"/>
    <w:rsid w:val="007422B6"/>
    <w:rsid w:val="00755295"/>
    <w:rsid w:val="00794FE9"/>
    <w:rsid w:val="007B27F7"/>
    <w:rsid w:val="007D2C83"/>
    <w:rsid w:val="007D4CEF"/>
    <w:rsid w:val="007E200E"/>
    <w:rsid w:val="007E4472"/>
    <w:rsid w:val="007E68C8"/>
    <w:rsid w:val="007F5620"/>
    <w:rsid w:val="007F608C"/>
    <w:rsid w:val="008007BB"/>
    <w:rsid w:val="008103F1"/>
    <w:rsid w:val="00820B28"/>
    <w:rsid w:val="008219F1"/>
    <w:rsid w:val="00822DBA"/>
    <w:rsid w:val="00832E37"/>
    <w:rsid w:val="00835E4C"/>
    <w:rsid w:val="00846320"/>
    <w:rsid w:val="008910A8"/>
    <w:rsid w:val="008A0B04"/>
    <w:rsid w:val="008A211E"/>
    <w:rsid w:val="008A4CF9"/>
    <w:rsid w:val="008A6460"/>
    <w:rsid w:val="008B399E"/>
    <w:rsid w:val="008B3F00"/>
    <w:rsid w:val="008D3E87"/>
    <w:rsid w:val="008D6D58"/>
    <w:rsid w:val="008E5B61"/>
    <w:rsid w:val="008F4644"/>
    <w:rsid w:val="008F712F"/>
    <w:rsid w:val="009020C7"/>
    <w:rsid w:val="00902D87"/>
    <w:rsid w:val="009059CB"/>
    <w:rsid w:val="00906114"/>
    <w:rsid w:val="00915F36"/>
    <w:rsid w:val="00917922"/>
    <w:rsid w:val="00934130"/>
    <w:rsid w:val="00934779"/>
    <w:rsid w:val="00945092"/>
    <w:rsid w:val="0094563B"/>
    <w:rsid w:val="00947387"/>
    <w:rsid w:val="0095438D"/>
    <w:rsid w:val="009557DF"/>
    <w:rsid w:val="009620A8"/>
    <w:rsid w:val="009748CC"/>
    <w:rsid w:val="0097541F"/>
    <w:rsid w:val="009A223A"/>
    <w:rsid w:val="009A6627"/>
    <w:rsid w:val="009B12B7"/>
    <w:rsid w:val="009B3416"/>
    <w:rsid w:val="009C3CE9"/>
    <w:rsid w:val="009C7552"/>
    <w:rsid w:val="009D168A"/>
    <w:rsid w:val="009E0FA4"/>
    <w:rsid w:val="009F1540"/>
    <w:rsid w:val="009F2DBA"/>
    <w:rsid w:val="009F4054"/>
    <w:rsid w:val="009F497F"/>
    <w:rsid w:val="00A057E7"/>
    <w:rsid w:val="00A129FB"/>
    <w:rsid w:val="00A12DC4"/>
    <w:rsid w:val="00A235B2"/>
    <w:rsid w:val="00A300C2"/>
    <w:rsid w:val="00A345C1"/>
    <w:rsid w:val="00A35F6C"/>
    <w:rsid w:val="00A46614"/>
    <w:rsid w:val="00A54D5B"/>
    <w:rsid w:val="00A61E7E"/>
    <w:rsid w:val="00A705BF"/>
    <w:rsid w:val="00A820A6"/>
    <w:rsid w:val="00A82A47"/>
    <w:rsid w:val="00A851E9"/>
    <w:rsid w:val="00A87FE7"/>
    <w:rsid w:val="00A932A6"/>
    <w:rsid w:val="00AA16A3"/>
    <w:rsid w:val="00AA3737"/>
    <w:rsid w:val="00AB27A4"/>
    <w:rsid w:val="00AB42BB"/>
    <w:rsid w:val="00AC346E"/>
    <w:rsid w:val="00AD1678"/>
    <w:rsid w:val="00B07327"/>
    <w:rsid w:val="00B12EDE"/>
    <w:rsid w:val="00B1438A"/>
    <w:rsid w:val="00B14AD7"/>
    <w:rsid w:val="00B30DDA"/>
    <w:rsid w:val="00B31CAB"/>
    <w:rsid w:val="00B32765"/>
    <w:rsid w:val="00B43070"/>
    <w:rsid w:val="00B44E3F"/>
    <w:rsid w:val="00B45EF5"/>
    <w:rsid w:val="00B45F6F"/>
    <w:rsid w:val="00B465B1"/>
    <w:rsid w:val="00B70819"/>
    <w:rsid w:val="00B73496"/>
    <w:rsid w:val="00B73DEF"/>
    <w:rsid w:val="00BA4322"/>
    <w:rsid w:val="00BB611F"/>
    <w:rsid w:val="00BB6AB9"/>
    <w:rsid w:val="00BC466F"/>
    <w:rsid w:val="00BD1183"/>
    <w:rsid w:val="00BD4AB7"/>
    <w:rsid w:val="00BE43C1"/>
    <w:rsid w:val="00C117DB"/>
    <w:rsid w:val="00C12FD7"/>
    <w:rsid w:val="00C17DE0"/>
    <w:rsid w:val="00C32B55"/>
    <w:rsid w:val="00C3388E"/>
    <w:rsid w:val="00C33F96"/>
    <w:rsid w:val="00C35DE2"/>
    <w:rsid w:val="00C35E84"/>
    <w:rsid w:val="00C401DE"/>
    <w:rsid w:val="00C47F1B"/>
    <w:rsid w:val="00C505A4"/>
    <w:rsid w:val="00C55B0A"/>
    <w:rsid w:val="00C57208"/>
    <w:rsid w:val="00C712BA"/>
    <w:rsid w:val="00C72099"/>
    <w:rsid w:val="00C747EB"/>
    <w:rsid w:val="00C7589F"/>
    <w:rsid w:val="00C7738B"/>
    <w:rsid w:val="00C85873"/>
    <w:rsid w:val="00C918C1"/>
    <w:rsid w:val="00CA6C7A"/>
    <w:rsid w:val="00CA6EE0"/>
    <w:rsid w:val="00CB3EAF"/>
    <w:rsid w:val="00CE1A07"/>
    <w:rsid w:val="00CE76F0"/>
    <w:rsid w:val="00CF09A3"/>
    <w:rsid w:val="00D055F9"/>
    <w:rsid w:val="00D06C74"/>
    <w:rsid w:val="00D175D4"/>
    <w:rsid w:val="00D1784F"/>
    <w:rsid w:val="00D2182C"/>
    <w:rsid w:val="00D22BE1"/>
    <w:rsid w:val="00D24C7F"/>
    <w:rsid w:val="00D353CB"/>
    <w:rsid w:val="00D42B6E"/>
    <w:rsid w:val="00D432E7"/>
    <w:rsid w:val="00D44685"/>
    <w:rsid w:val="00D45FF2"/>
    <w:rsid w:val="00D62D28"/>
    <w:rsid w:val="00D845A7"/>
    <w:rsid w:val="00D84F21"/>
    <w:rsid w:val="00DA65F1"/>
    <w:rsid w:val="00DB31B5"/>
    <w:rsid w:val="00DB705E"/>
    <w:rsid w:val="00DC44B1"/>
    <w:rsid w:val="00DC7C6C"/>
    <w:rsid w:val="00DD27B7"/>
    <w:rsid w:val="00DE0C48"/>
    <w:rsid w:val="00DE2B4C"/>
    <w:rsid w:val="00DE2C1D"/>
    <w:rsid w:val="00DE58B6"/>
    <w:rsid w:val="00E0329C"/>
    <w:rsid w:val="00E05CF6"/>
    <w:rsid w:val="00E05F59"/>
    <w:rsid w:val="00E06875"/>
    <w:rsid w:val="00E06FF2"/>
    <w:rsid w:val="00E11078"/>
    <w:rsid w:val="00E166F6"/>
    <w:rsid w:val="00E21B4B"/>
    <w:rsid w:val="00E52E16"/>
    <w:rsid w:val="00E576B2"/>
    <w:rsid w:val="00E6189D"/>
    <w:rsid w:val="00E6413D"/>
    <w:rsid w:val="00E714DD"/>
    <w:rsid w:val="00E73238"/>
    <w:rsid w:val="00E838DC"/>
    <w:rsid w:val="00E91616"/>
    <w:rsid w:val="00E94107"/>
    <w:rsid w:val="00E9599C"/>
    <w:rsid w:val="00EB0B6A"/>
    <w:rsid w:val="00EC2854"/>
    <w:rsid w:val="00EC3E2F"/>
    <w:rsid w:val="00EC665E"/>
    <w:rsid w:val="00ED3FB4"/>
    <w:rsid w:val="00EE4863"/>
    <w:rsid w:val="00EF1EAA"/>
    <w:rsid w:val="00F00025"/>
    <w:rsid w:val="00F01FCC"/>
    <w:rsid w:val="00F15206"/>
    <w:rsid w:val="00F201ED"/>
    <w:rsid w:val="00F22027"/>
    <w:rsid w:val="00F26C20"/>
    <w:rsid w:val="00F4230D"/>
    <w:rsid w:val="00F516B5"/>
    <w:rsid w:val="00F51F56"/>
    <w:rsid w:val="00F52629"/>
    <w:rsid w:val="00F54BE2"/>
    <w:rsid w:val="00F62500"/>
    <w:rsid w:val="00F819C9"/>
    <w:rsid w:val="00F852BC"/>
    <w:rsid w:val="00F8610A"/>
    <w:rsid w:val="00F879C4"/>
    <w:rsid w:val="00F916D3"/>
    <w:rsid w:val="00F923CC"/>
    <w:rsid w:val="00FA1E65"/>
    <w:rsid w:val="00FB7CC1"/>
    <w:rsid w:val="00FC3033"/>
    <w:rsid w:val="00FC4202"/>
    <w:rsid w:val="00FF555D"/>
    <w:rsid w:val="10ED5DE4"/>
    <w:rsid w:val="17B98FC4"/>
    <w:rsid w:val="18F86FC9"/>
    <w:rsid w:val="1B801597"/>
    <w:rsid w:val="1DCBE0EC"/>
    <w:rsid w:val="1E7BDBE0"/>
    <w:rsid w:val="2C34F97E"/>
    <w:rsid w:val="2D20CEEB"/>
    <w:rsid w:val="345CFCFE"/>
    <w:rsid w:val="3DEAB6E7"/>
    <w:rsid w:val="3EBB6121"/>
    <w:rsid w:val="405D58A0"/>
    <w:rsid w:val="42BE280A"/>
    <w:rsid w:val="45D8D731"/>
    <w:rsid w:val="492D698E"/>
    <w:rsid w:val="4BA00B47"/>
    <w:rsid w:val="53B30AB2"/>
    <w:rsid w:val="5485B7C2"/>
    <w:rsid w:val="5563DF28"/>
    <w:rsid w:val="5AF4F946"/>
    <w:rsid w:val="5D59ECF8"/>
    <w:rsid w:val="619A54C2"/>
    <w:rsid w:val="6D7010C2"/>
    <w:rsid w:val="6F0BE123"/>
    <w:rsid w:val="71824C1A"/>
    <w:rsid w:val="74B9ECDC"/>
    <w:rsid w:val="78E55091"/>
    <w:rsid w:val="78FA54A6"/>
    <w:rsid w:val="7CC4F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B2F621"/>
  <w15:chartTrackingRefBased/>
  <w15:docId w15:val="{D03FFDDE-D731-4D5B-81EA-B2D99DB4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02"/>
    <w:pPr>
      <w:spacing w:after="240" w:line="240" w:lineRule="auto"/>
    </w:pPr>
    <w:rPr>
      <w:rFonts w:ascii="Source Sans Pro" w:eastAsia="Calibri" w:hAnsi="Source Sans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basedOn w:val="Normal"/>
    <w:link w:val="headerChar"/>
    <w:autoRedefine/>
    <w:qFormat/>
    <w:rsid w:val="00702591"/>
    <w:pPr>
      <w:pBdr>
        <w:bottom w:val="single" w:sz="4" w:space="1" w:color="808080"/>
      </w:pBdr>
      <w:tabs>
        <w:tab w:val="left" w:pos="360"/>
        <w:tab w:val="center" w:pos="4680"/>
        <w:tab w:val="right" w:pos="9360"/>
      </w:tabs>
      <w:spacing w:before="120" w:after="120" w:line="360" w:lineRule="exact"/>
      <w:jc w:val="right"/>
    </w:pPr>
    <w:rPr>
      <w:rFonts w:ascii="Arial" w:eastAsia="Times New Roman" w:hAnsi="Arial" w:cs="Arial"/>
      <w:color w:val="A6A6A6"/>
      <w:kern w:val="28"/>
      <w:sz w:val="18"/>
      <w:szCs w:val="18"/>
    </w:rPr>
  </w:style>
  <w:style w:type="character" w:customStyle="1" w:styleId="headerChar">
    <w:name w:val="header Char"/>
    <w:basedOn w:val="DefaultParagraphFont"/>
    <w:link w:val="Header2"/>
    <w:rsid w:val="00702591"/>
    <w:rPr>
      <w:rFonts w:ascii="Arial" w:eastAsia="Times New Roman" w:hAnsi="Arial" w:cs="Arial"/>
      <w:color w:val="A6A6A6"/>
      <w:kern w:val="28"/>
      <w:sz w:val="18"/>
      <w:szCs w:val="18"/>
    </w:rPr>
  </w:style>
  <w:style w:type="paragraph" w:styleId="Header">
    <w:name w:val="header"/>
    <w:basedOn w:val="Normal"/>
    <w:link w:val="HeaderChar0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HeaderChar0">
    <w:name w:val="Header Char"/>
    <w:basedOn w:val="DefaultParagraphFont"/>
    <w:link w:val="Header"/>
    <w:uiPriority w:val="99"/>
    <w:rsid w:val="00702591"/>
  </w:style>
  <w:style w:type="paragraph" w:styleId="Footer">
    <w:name w:val="footer"/>
    <w:basedOn w:val="Normal"/>
    <w:link w:val="FooterChar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591"/>
  </w:style>
  <w:style w:type="paragraph" w:customStyle="1" w:styleId="Default">
    <w:name w:val="Default"/>
    <w:rsid w:val="00702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6582"/>
    <w:pPr>
      <w:spacing w:after="0"/>
    </w:pPr>
    <w:rPr>
      <w:rFonts w:ascii="Times New Roman" w:eastAsia="Times New Roman" w:hAnsi="Times New Roman"/>
    </w:rPr>
  </w:style>
  <w:style w:type="character" w:customStyle="1" w:styleId="normaltextrun1">
    <w:name w:val="normaltextrun1"/>
    <w:basedOn w:val="DefaultParagraphFont"/>
    <w:rsid w:val="002D6582"/>
  </w:style>
  <w:style w:type="character" w:customStyle="1" w:styleId="eop">
    <w:name w:val="eop"/>
    <w:basedOn w:val="DefaultParagraphFont"/>
    <w:rsid w:val="002D6582"/>
  </w:style>
  <w:style w:type="paragraph" w:customStyle="1" w:styleId="FERCparanumber">
    <w:name w:val="FERC paranumber"/>
    <w:basedOn w:val="Normal"/>
    <w:link w:val="FERCparanumberChar"/>
    <w:qFormat/>
    <w:rsid w:val="00025D72"/>
    <w:pPr>
      <w:numPr>
        <w:numId w:val="3"/>
      </w:numPr>
      <w:spacing w:after="0" w:line="480" w:lineRule="auto"/>
    </w:pPr>
    <w:rPr>
      <w:rFonts w:ascii="Times New Roman" w:eastAsiaTheme="minorHAnsi" w:hAnsi="Times New Roman"/>
      <w:sz w:val="26"/>
      <w:szCs w:val="22"/>
    </w:rPr>
  </w:style>
  <w:style w:type="character" w:customStyle="1" w:styleId="FERCparanumberChar">
    <w:name w:val="FERC paranumber Char"/>
    <w:basedOn w:val="DefaultParagraphFont"/>
    <w:link w:val="FERCparanumber"/>
    <w:rsid w:val="00025D72"/>
    <w:rPr>
      <w:rFonts w:ascii="Times New Roman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2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E7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20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A07"/>
    <w:rPr>
      <w:rFonts w:ascii="Source Sans Pro" w:eastAsia="Calibri" w:hAnsi="Source Sans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A07"/>
    <w:rPr>
      <w:rFonts w:ascii="Source Sans Pro" w:eastAsia="Calibri" w:hAnsi="Source Sans Pr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7ED"/>
    <w:pPr>
      <w:spacing w:after="0" w:line="240" w:lineRule="auto"/>
    </w:pPr>
    <w:rPr>
      <w:rFonts w:ascii="Source Sans Pro" w:eastAsia="Calibri" w:hAnsi="Source Sans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09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0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diadl@fer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4A196-EC37-4268-B7B9-D3851C147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7C50D-9511-4C02-BC71-4DD3A847F7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96F542-601A-45C9-A04F-ED13B453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BA359-B316-45DC-9F9D-87DA2DA823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8733a2-e908-454b-85cf-c9d17e1d0943"/>
  </ds:schemaRefs>
</ds:datastoreItem>
</file>

<file path=customXml/itemProps5.xml><?xml version="1.0" encoding="utf-8"?>
<ds:datastoreItem xmlns:ds="http://schemas.openxmlformats.org/officeDocument/2006/customXml" ds:itemID="{9C395C27-786A-425B-B38F-F579924E8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Manager/>
  <Company/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Sonneman</dc:creator>
  <cp:keywords/>
  <dc:description/>
  <cp:lastModifiedBy>Jean Sonneman</cp:lastModifiedBy>
  <cp:revision>2</cp:revision>
  <cp:lastPrinted>2022-06-16T03:30:00Z</cp:lastPrinted>
  <dcterms:created xsi:type="dcterms:W3CDTF">2022-06-17T12:29:00Z</dcterms:created>
  <dcterms:modified xsi:type="dcterms:W3CDTF">2022-06-17T12:29:00Z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2022-06-17T12:27:52Z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f4758b78-32f5-4c14-9a61-6a6971386c1d</vt:lpwstr>
  </property>
  <property fmtid="{D5CDD505-2E9C-101B-9397-08002B2CF9AE}" pid="8" name="MSIP_Label_6155a89b-0f08-4a93-8ea2-8a916d6643b5_ContentBits">
    <vt:lpwstr>0</vt:lpwstr>
  </property>
</Properties>
</file>