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0226F6" w:rsidR="00A57AF6" w:rsidP="00A57AF6" w:rsidRDefault="00A57AF6">
      <w:pPr>
        <w:jc w:val="center"/>
        <w:rPr>
          <w:szCs w:val="26"/>
        </w:rPr>
      </w:pPr>
      <w:bookmarkStart w:name="_GoBack" w:id="0"/>
      <w:bookmarkEnd w:id="0"/>
      <w:r w:rsidRPr="000226F6">
        <w:rPr>
          <w:szCs w:val="26"/>
        </w:rPr>
        <w:t>UNITED STATES OF AMERICA</w:t>
      </w:r>
    </w:p>
    <w:p w:rsidR="00A57AF6" w:rsidP="00A57AF6" w:rsidRDefault="00A57AF6">
      <w:pPr>
        <w:jc w:val="center"/>
        <w:rPr>
          <w:szCs w:val="26"/>
        </w:rPr>
      </w:pPr>
      <w:r w:rsidRPr="000226F6">
        <w:rPr>
          <w:szCs w:val="26"/>
        </w:rPr>
        <w:t>FEDERAL ENERGY REGULATORY COMMISSION</w:t>
      </w:r>
    </w:p>
    <w:p w:rsidRPr="000226F6" w:rsidR="00A57AF6" w:rsidP="00A57AF6" w:rsidRDefault="00A57AF6">
      <w:pPr>
        <w:jc w:val="center"/>
        <w:rPr>
          <w:szCs w:val="26"/>
        </w:rPr>
      </w:pPr>
    </w:p>
    <w:p w:rsidRPr="000226F6" w:rsidR="00A57AF6" w:rsidP="00A57AF6" w:rsidRDefault="00A57AF6">
      <w:pPr>
        <w:jc w:val="center"/>
        <w:rPr>
          <w:szCs w:val="26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32"/>
        <w:gridCol w:w="1898"/>
        <w:gridCol w:w="1530"/>
      </w:tblGrid>
      <w:tr w:rsidRPr="000226F6" w:rsidR="00A57AF6" w:rsidTr="00670823">
        <w:tc>
          <w:tcPr>
            <w:tcW w:w="5932" w:type="dxa"/>
            <w:shd w:val="clear" w:color="auto" w:fill="auto"/>
          </w:tcPr>
          <w:p w:rsidRPr="000226F6" w:rsidR="00A57AF6" w:rsidP="00670823" w:rsidRDefault="00A57AF6">
            <w:pPr>
              <w:widowControl/>
              <w:rPr>
                <w:szCs w:val="26"/>
              </w:rPr>
            </w:pPr>
            <w:r w:rsidRPr="000226F6">
              <w:rPr>
                <w:szCs w:val="26"/>
              </w:rPr>
              <w:t>Essential Reliability Services and the Evolving Bulk-Power System—Primary Frequency Response</w:t>
            </w:r>
          </w:p>
        </w:tc>
        <w:tc>
          <w:tcPr>
            <w:tcW w:w="1898" w:type="dxa"/>
            <w:shd w:val="clear" w:color="auto" w:fill="auto"/>
            <w:tcMar>
              <w:left w:w="72" w:type="dxa"/>
            </w:tcMar>
          </w:tcPr>
          <w:p w:rsidRPr="000226F6" w:rsidR="00A57AF6" w:rsidP="00670823" w:rsidRDefault="00A57AF6">
            <w:pPr>
              <w:widowControl/>
              <w:jc w:val="right"/>
              <w:rPr>
                <w:szCs w:val="26"/>
              </w:rPr>
            </w:pPr>
            <w:r w:rsidRPr="000226F6">
              <w:rPr>
                <w:szCs w:val="26"/>
              </w:rPr>
              <w:t>Docket No.</w:t>
            </w:r>
          </w:p>
        </w:tc>
        <w:tc>
          <w:tcPr>
            <w:tcW w:w="1530" w:type="dxa"/>
            <w:shd w:val="clear" w:color="auto" w:fill="auto"/>
            <w:tcMar>
              <w:left w:w="144" w:type="dxa"/>
            </w:tcMar>
          </w:tcPr>
          <w:p w:rsidRPr="000226F6" w:rsidR="00A57AF6" w:rsidP="00670823" w:rsidRDefault="00A57AF6">
            <w:pPr>
              <w:widowControl/>
              <w:ind w:left="-141"/>
              <w:rPr>
                <w:szCs w:val="26"/>
              </w:rPr>
            </w:pPr>
            <w:r w:rsidRPr="000226F6">
              <w:rPr>
                <w:szCs w:val="26"/>
              </w:rPr>
              <w:t xml:space="preserve"> RM16-6-000</w:t>
            </w:r>
          </w:p>
        </w:tc>
      </w:tr>
    </w:tbl>
    <w:p w:rsidR="002B4D81" w:rsidRDefault="00CB4DAA"/>
    <w:p w:rsidR="00A57AF6" w:rsidRDefault="00A57AF6"/>
    <w:p w:rsidR="00A57AF6" w:rsidRDefault="00A57AF6"/>
    <w:p w:rsidR="00A57AF6" w:rsidP="00A57AF6" w:rsidRDefault="00A57AF6">
      <w:pPr>
        <w:jc w:val="center"/>
      </w:pPr>
      <w:r>
        <w:t>ERRATA NOTICE</w:t>
      </w:r>
    </w:p>
    <w:p w:rsidR="00A57AF6" w:rsidP="00A57AF6" w:rsidRDefault="00A57AF6">
      <w:pPr>
        <w:jc w:val="center"/>
      </w:pPr>
    </w:p>
    <w:p w:rsidR="00A57AF6" w:rsidP="00AF28E8" w:rsidRDefault="00B81993">
      <w:pPr>
        <w:widowControl/>
        <w:jc w:val="center"/>
      </w:pPr>
      <w:r>
        <w:t>(March 5</w:t>
      </w:r>
      <w:r w:rsidRPr="00AF28E8" w:rsidR="00AF28E8">
        <w:t>, 2018)</w:t>
      </w:r>
    </w:p>
    <w:p w:rsidRPr="00AF28E8" w:rsidR="00AF28E8" w:rsidP="00AF28E8" w:rsidRDefault="00AF28E8">
      <w:pPr>
        <w:widowControl/>
      </w:pPr>
    </w:p>
    <w:p w:rsidR="00A57AF6" w:rsidP="00A57AF6" w:rsidRDefault="00A57AF6">
      <w:r>
        <w:tab/>
        <w:t>On February 15, 2018, the Commission i</w:t>
      </w:r>
      <w:r w:rsidR="00BF7B21">
        <w:t xml:space="preserve">ssued a </w:t>
      </w:r>
      <w:r w:rsidR="00B56F96">
        <w:t>“</w:t>
      </w:r>
      <w:r w:rsidR="00BF7B21">
        <w:t>Final Rule</w:t>
      </w:r>
      <w:r w:rsidR="00B56F96">
        <w:t>” in the above-</w:t>
      </w:r>
      <w:r>
        <w:t>captioned proceeding</w:t>
      </w:r>
      <w:r w:rsidR="00B56F96">
        <w:t xml:space="preserve">. </w:t>
      </w:r>
      <w:r w:rsidR="009D308A">
        <w:t xml:space="preserve"> </w:t>
      </w:r>
      <w:r w:rsidR="009D308A">
        <w:rPr>
          <w:i/>
        </w:rPr>
        <w:t>Essential Reliability Services and the Evolving Bulk-Power System—Primary Frequency Response</w:t>
      </w:r>
      <w:r w:rsidR="009D308A">
        <w:t xml:space="preserve">, </w:t>
      </w:r>
      <w:r w:rsidR="00B56F96">
        <w:t xml:space="preserve">Order No. 842, </w:t>
      </w:r>
      <w:r w:rsidR="009D308A">
        <w:t xml:space="preserve">162 FERC ¶ 61,128 </w:t>
      </w:r>
      <w:r w:rsidR="00540399">
        <w:t>(2018).  This E</w:t>
      </w:r>
      <w:r w:rsidR="00153E48">
        <w:t xml:space="preserve">rrata </w:t>
      </w:r>
      <w:r w:rsidR="00540399">
        <w:t>N</w:t>
      </w:r>
      <w:r w:rsidR="00153E48">
        <w:t xml:space="preserve">otice makes </w:t>
      </w:r>
      <w:r w:rsidR="0011641C">
        <w:t>the following c</w:t>
      </w:r>
      <w:r w:rsidR="00153E48">
        <w:t>orrections to the Final Rule as issued:</w:t>
      </w:r>
    </w:p>
    <w:p w:rsidR="00153E48" w:rsidP="00A57AF6" w:rsidRDefault="00153E48"/>
    <w:p w:rsidR="00153E48" w:rsidP="00153E48" w:rsidRDefault="00153E48">
      <w:pPr>
        <w:pStyle w:val="ListParagraph"/>
        <w:numPr>
          <w:ilvl w:val="0"/>
          <w:numId w:val="1"/>
        </w:numPr>
      </w:pPr>
      <w:r>
        <w:t>The last sentence of P 145 is revised to read as follows:  “This will allow the Commission to assess future standards directives, as necessary.”</w:t>
      </w:r>
    </w:p>
    <w:p w:rsidR="00153E48" w:rsidP="00153E48" w:rsidRDefault="00153E48">
      <w:pPr>
        <w:ind w:left="360"/>
      </w:pPr>
    </w:p>
    <w:p w:rsidR="00153E48" w:rsidP="00153E48" w:rsidRDefault="00153E48">
      <w:pPr>
        <w:pStyle w:val="ListParagraph"/>
        <w:numPr>
          <w:ilvl w:val="0"/>
          <w:numId w:val="1"/>
        </w:numPr>
      </w:pPr>
      <w:r>
        <w:t xml:space="preserve">The first sentence of P 250 is revised to read as follows:  “Similarly, the Commission is modifying the following sections of the </w:t>
      </w:r>
      <w:r>
        <w:rPr>
          <w:i/>
        </w:rPr>
        <w:t xml:space="preserve">pro forma </w:t>
      </w:r>
      <w:r w:rsidR="00CD02AE">
        <w:t>SGIP</w:t>
      </w:r>
      <w:r>
        <w:t xml:space="preserve"> as indicated below:”</w:t>
      </w:r>
    </w:p>
    <w:p w:rsidR="0011641C" w:rsidP="0011641C" w:rsidRDefault="0011641C">
      <w:pPr>
        <w:pStyle w:val="ListParagraph"/>
      </w:pPr>
    </w:p>
    <w:p w:rsidR="0011641C" w:rsidP="004D78E6" w:rsidRDefault="0011641C">
      <w:pPr>
        <w:ind w:firstLine="360"/>
      </w:pPr>
      <w:r>
        <w:t>This Errata Notice also corrects the paragraph numbering in the Table of Contents as follows:</w:t>
      </w:r>
    </w:p>
    <w:p w:rsidR="00993FCA" w:rsidP="00993FCA" w:rsidRDefault="00993FCA">
      <w:pPr>
        <w:pStyle w:val="ListParagraph"/>
      </w:pPr>
    </w:p>
    <w:p w:rsidR="0011641C" w:rsidP="0011641C" w:rsidRDefault="0011641C">
      <w:pPr>
        <w:tabs>
          <w:tab w:val="left" w:pos="0"/>
          <w:tab w:val="left" w:pos="540"/>
        </w:tabs>
        <w:jc w:val="center"/>
        <w:rPr>
          <w:szCs w:val="26"/>
        </w:rPr>
      </w:pPr>
    </w:p>
    <w:p w:rsidRPr="000226F6" w:rsidR="0011641C" w:rsidP="0011641C" w:rsidRDefault="0011641C">
      <w:pPr>
        <w:tabs>
          <w:tab w:val="left" w:pos="0"/>
          <w:tab w:val="left" w:pos="540"/>
        </w:tabs>
        <w:jc w:val="center"/>
        <w:rPr>
          <w:szCs w:val="26"/>
        </w:rPr>
      </w:pPr>
      <w:r w:rsidRPr="000226F6">
        <w:rPr>
          <w:szCs w:val="26"/>
        </w:rPr>
        <w:t>TABLE OF CONTENTS</w:t>
      </w:r>
    </w:p>
    <w:p w:rsidR="0011641C" w:rsidP="0011641C" w:rsidRDefault="0011641C">
      <w:pPr>
        <w:widowControl/>
        <w:tabs>
          <w:tab w:val="right" w:pos="9360"/>
        </w:tabs>
        <w:spacing w:after="160" w:line="259" w:lineRule="auto"/>
        <w:rPr>
          <w:szCs w:val="26"/>
          <w:u w:val="single"/>
        </w:rPr>
      </w:pPr>
      <w:r w:rsidRPr="000226F6">
        <w:rPr>
          <w:szCs w:val="26"/>
          <w:u w:val="single"/>
        </w:rPr>
        <w:tab/>
        <w:t>Paragraph Numbers</w:t>
      </w:r>
      <w:bookmarkStart w:name="_Start_TOC" w:id="1"/>
      <w:bookmarkEnd w:id="1"/>
    </w:p>
    <w:p w:rsidR="0011641C" w:rsidP="0011641C" w:rsidRDefault="0011641C">
      <w:pPr>
        <w:pStyle w:val="myTOC1"/>
      </w:pPr>
      <w:r>
        <w:t xml:space="preserve">I.  </w:t>
      </w:r>
      <w:r w:rsidRPr="000226F6">
        <w:t>Background</w:t>
      </w:r>
      <w:r>
        <w:tab/>
      </w:r>
      <w:hyperlink w:history="1" w:anchor="_bmk1">
        <w:r>
          <w:rPr>
            <w:rStyle w:val="Hyperlink"/>
            <w:rFonts w:eastAsiaTheme="minorHAnsi"/>
            <w:szCs w:val="22"/>
          </w:rPr>
          <w:t>4.</w:t>
        </w:r>
      </w:hyperlink>
    </w:p>
    <w:p w:rsidR="0011641C" w:rsidP="0011641C" w:rsidRDefault="0011641C">
      <w:pPr>
        <w:pStyle w:val="myTOC2"/>
      </w:pPr>
      <w:r>
        <w:t xml:space="preserve">A.  </w:t>
      </w:r>
      <w:r w:rsidRPr="000226F6">
        <w:t>Frequency Response</w:t>
      </w:r>
      <w:r>
        <w:tab/>
      </w:r>
      <w:hyperlink w:history="1" w:anchor="_bmk2">
        <w:r>
          <w:rPr>
            <w:rStyle w:val="Hyperlink"/>
            <w:rFonts w:eastAsiaTheme="minorHAnsi"/>
            <w:szCs w:val="22"/>
          </w:rPr>
          <w:t>4.</w:t>
        </w:r>
      </w:hyperlink>
    </w:p>
    <w:p w:rsidR="0011641C" w:rsidP="0011641C" w:rsidRDefault="0011641C">
      <w:pPr>
        <w:pStyle w:val="myTOC2"/>
      </w:pPr>
      <w:r>
        <w:t xml:space="preserve">B.  </w:t>
      </w:r>
      <w:r w:rsidRPr="000226F6">
        <w:t>Prior Commission Actions</w:t>
      </w:r>
      <w:r>
        <w:tab/>
      </w:r>
      <w:hyperlink w:history="1" w:anchor="_bmk3">
        <w:r>
          <w:rPr>
            <w:rStyle w:val="Hyperlink"/>
            <w:rFonts w:eastAsiaTheme="minorHAnsi"/>
            <w:szCs w:val="22"/>
          </w:rPr>
          <w:t>9.</w:t>
        </w:r>
      </w:hyperlink>
    </w:p>
    <w:p w:rsidR="0011641C" w:rsidP="0011641C" w:rsidRDefault="0011641C">
      <w:pPr>
        <w:pStyle w:val="myTOC2"/>
      </w:pPr>
      <w:r>
        <w:t xml:space="preserve">C.  </w:t>
      </w:r>
      <w:r w:rsidRPr="000226F6">
        <w:t>Notice of Inquiry</w:t>
      </w:r>
      <w:r>
        <w:tab/>
      </w:r>
      <w:hyperlink w:history="1" w:anchor="_bmk4">
        <w:r>
          <w:rPr>
            <w:rStyle w:val="Hyperlink"/>
            <w:rFonts w:eastAsiaTheme="minorHAnsi"/>
            <w:szCs w:val="22"/>
          </w:rPr>
          <w:t>10.</w:t>
        </w:r>
      </w:hyperlink>
    </w:p>
    <w:p w:rsidR="0011641C" w:rsidP="0011641C" w:rsidRDefault="0011641C">
      <w:pPr>
        <w:pStyle w:val="myTOC2"/>
      </w:pPr>
      <w:r>
        <w:t xml:space="preserve">D.  </w:t>
      </w:r>
      <w:r w:rsidRPr="000226F6">
        <w:t>Notice of Proposed Rulemaking</w:t>
      </w:r>
      <w:r>
        <w:tab/>
      </w:r>
      <w:hyperlink w:history="1" w:anchor="_bmk5">
        <w:r>
          <w:rPr>
            <w:rStyle w:val="Hyperlink"/>
            <w:rFonts w:eastAsiaTheme="minorHAnsi"/>
            <w:szCs w:val="22"/>
          </w:rPr>
          <w:t>13.</w:t>
        </w:r>
      </w:hyperlink>
    </w:p>
    <w:p w:rsidR="0011641C" w:rsidP="0011641C" w:rsidRDefault="0011641C">
      <w:pPr>
        <w:pStyle w:val="myTOC2"/>
      </w:pPr>
      <w:r>
        <w:t xml:space="preserve">E.  </w:t>
      </w:r>
      <w:r w:rsidRPr="000226F6">
        <w:t>Notice of Request for Supplemental Comments</w:t>
      </w:r>
      <w:r>
        <w:tab/>
      </w:r>
      <w:hyperlink w:history="1" w:anchor="_bmk6">
        <w:r>
          <w:rPr>
            <w:rStyle w:val="Hyperlink"/>
            <w:rFonts w:eastAsiaTheme="minorHAnsi"/>
            <w:szCs w:val="22"/>
          </w:rPr>
          <w:t>16.</w:t>
        </w:r>
      </w:hyperlink>
    </w:p>
    <w:p w:rsidR="0011641C" w:rsidP="0011641C" w:rsidRDefault="0011641C">
      <w:pPr>
        <w:pStyle w:val="myTOC1"/>
      </w:pPr>
      <w:r>
        <w:t xml:space="preserve">II.  </w:t>
      </w:r>
      <w:r w:rsidRPr="000226F6">
        <w:t>Discussion</w:t>
      </w:r>
      <w:r>
        <w:tab/>
      </w:r>
      <w:hyperlink w:history="1" w:anchor="_bmk7">
        <w:r>
          <w:rPr>
            <w:rStyle w:val="Hyperlink"/>
            <w:rFonts w:eastAsiaTheme="minorHAnsi"/>
            <w:szCs w:val="22"/>
          </w:rPr>
          <w:t>19.</w:t>
        </w:r>
      </w:hyperlink>
    </w:p>
    <w:p w:rsidR="0011641C" w:rsidP="0011641C" w:rsidRDefault="0011641C">
      <w:pPr>
        <w:pStyle w:val="myTOC2"/>
      </w:pPr>
      <w:r>
        <w:t xml:space="preserve">A.  </w:t>
      </w:r>
      <w:r w:rsidRPr="000226F6">
        <w:t>Requirement to Install, Maintain, and Operate Equipment Capable of Providing Primary Frequency Response</w:t>
      </w:r>
      <w:r>
        <w:tab/>
      </w:r>
      <w:hyperlink w:history="1" w:anchor="_bmk8">
        <w:r>
          <w:rPr>
            <w:rStyle w:val="Hyperlink"/>
            <w:rFonts w:eastAsiaTheme="minorHAnsi"/>
            <w:szCs w:val="22"/>
          </w:rPr>
          <w:t>28.</w:t>
        </w:r>
      </w:hyperlink>
    </w:p>
    <w:p w:rsidR="0011641C" w:rsidP="0011641C" w:rsidRDefault="0011641C">
      <w:pPr>
        <w:pStyle w:val="myTOC3"/>
      </w:pPr>
      <w:r>
        <w:t xml:space="preserve">1.  </w:t>
      </w:r>
      <w:r w:rsidRPr="000226F6">
        <w:t>NOPR Proposal</w:t>
      </w:r>
      <w:r>
        <w:tab/>
      </w:r>
      <w:hyperlink w:history="1" w:anchor="_bmk9">
        <w:r>
          <w:rPr>
            <w:rStyle w:val="Hyperlink"/>
            <w:rFonts w:eastAsiaTheme="minorHAnsi"/>
            <w:szCs w:val="22"/>
          </w:rPr>
          <w:t>28.</w:t>
        </w:r>
      </w:hyperlink>
    </w:p>
    <w:p w:rsidR="0011641C" w:rsidP="0011641C" w:rsidRDefault="0011641C">
      <w:pPr>
        <w:pStyle w:val="myTOC3"/>
      </w:pPr>
      <w:r>
        <w:t xml:space="preserve">2.  </w:t>
      </w:r>
      <w:r w:rsidRPr="000226F6">
        <w:t>Comments</w:t>
      </w:r>
      <w:r>
        <w:tab/>
      </w:r>
      <w:hyperlink w:history="1" w:anchor="_bmk10">
        <w:r>
          <w:rPr>
            <w:rStyle w:val="Hyperlink"/>
            <w:rFonts w:eastAsiaTheme="minorHAnsi"/>
            <w:szCs w:val="22"/>
          </w:rPr>
          <w:t>29.</w:t>
        </w:r>
      </w:hyperlink>
    </w:p>
    <w:p w:rsidR="0011641C" w:rsidP="0011641C" w:rsidRDefault="0011641C">
      <w:pPr>
        <w:pStyle w:val="myTOC3"/>
      </w:pPr>
      <w:r>
        <w:lastRenderedPageBreak/>
        <w:t xml:space="preserve">3.  </w:t>
      </w:r>
      <w:r w:rsidRPr="000226F6">
        <w:t>Commission Determination</w:t>
      </w:r>
      <w:r>
        <w:tab/>
      </w:r>
      <w:hyperlink w:history="1" w:anchor="_bmk11">
        <w:r>
          <w:rPr>
            <w:rStyle w:val="Hyperlink"/>
            <w:rFonts w:eastAsiaTheme="minorHAnsi"/>
            <w:szCs w:val="22"/>
          </w:rPr>
          <w:t>33.</w:t>
        </w:r>
      </w:hyperlink>
    </w:p>
    <w:p w:rsidR="0011641C" w:rsidP="0011641C" w:rsidRDefault="0011641C">
      <w:pPr>
        <w:pStyle w:val="myTOC2"/>
      </w:pPr>
      <w:r>
        <w:rPr>
          <w:rFonts w:eastAsia="Arial Unicode MS"/>
        </w:rPr>
        <w:t xml:space="preserve">B.  </w:t>
      </w:r>
      <w:r w:rsidRPr="000226F6">
        <w:rPr>
          <w:rFonts w:eastAsia="Arial Unicode MS"/>
        </w:rPr>
        <w:t xml:space="preserve">Including Operating Requirements for Droop and Deadband in the </w:t>
      </w:r>
      <w:r w:rsidRPr="000226F6">
        <w:rPr>
          <w:rFonts w:eastAsia="Arial Unicode MS"/>
          <w:i/>
        </w:rPr>
        <w:t xml:space="preserve">Pro Forma </w:t>
      </w:r>
      <w:r w:rsidRPr="000226F6">
        <w:rPr>
          <w:rFonts w:eastAsia="Arial Unicode MS"/>
        </w:rPr>
        <w:t xml:space="preserve">LGIA and </w:t>
      </w:r>
      <w:r w:rsidRPr="000226F6">
        <w:rPr>
          <w:rFonts w:eastAsia="Arial Unicode MS"/>
          <w:i/>
        </w:rPr>
        <w:t>Pro Forma</w:t>
      </w:r>
      <w:r w:rsidRPr="000226F6">
        <w:rPr>
          <w:rFonts w:eastAsia="Arial Unicode MS"/>
        </w:rPr>
        <w:t xml:space="preserve"> SGIA</w:t>
      </w:r>
      <w:r>
        <w:tab/>
      </w:r>
      <w:hyperlink w:history="1" w:anchor="_bmk12">
        <w:r>
          <w:rPr>
            <w:rStyle w:val="Hyperlink"/>
            <w:rFonts w:eastAsiaTheme="minorHAnsi"/>
            <w:szCs w:val="22"/>
          </w:rPr>
          <w:t>40.</w:t>
        </w:r>
      </w:hyperlink>
    </w:p>
    <w:p w:rsidR="0011641C" w:rsidP="0011641C" w:rsidRDefault="0011641C">
      <w:pPr>
        <w:pStyle w:val="myTOC3"/>
      </w:pPr>
      <w:r>
        <w:rPr>
          <w:rFonts w:eastAsia="Arial Unicode MS"/>
        </w:rPr>
        <w:t xml:space="preserve">1.  </w:t>
      </w:r>
      <w:r w:rsidRPr="000226F6">
        <w:rPr>
          <w:rFonts w:eastAsia="Arial Unicode MS"/>
        </w:rPr>
        <w:t>NOPR Proposal</w:t>
      </w:r>
      <w:r>
        <w:tab/>
      </w:r>
      <w:hyperlink w:history="1" w:anchor="_bmk13">
        <w:r>
          <w:rPr>
            <w:rStyle w:val="Hyperlink"/>
            <w:rFonts w:eastAsiaTheme="minorHAnsi"/>
            <w:szCs w:val="22"/>
          </w:rPr>
          <w:t>40.</w:t>
        </w:r>
      </w:hyperlink>
    </w:p>
    <w:p w:rsidR="0011641C" w:rsidP="0011641C" w:rsidRDefault="0011641C">
      <w:pPr>
        <w:pStyle w:val="myTOC3"/>
      </w:pPr>
      <w:r>
        <w:rPr>
          <w:rFonts w:eastAsia="Arial Unicode MS"/>
        </w:rPr>
        <w:t xml:space="preserve">2.  </w:t>
      </w:r>
      <w:r w:rsidRPr="000226F6">
        <w:rPr>
          <w:rFonts w:eastAsia="Arial Unicode MS"/>
        </w:rPr>
        <w:t>Comments</w:t>
      </w:r>
      <w:r>
        <w:tab/>
      </w:r>
      <w:hyperlink w:history="1" w:anchor="_bmk14">
        <w:r>
          <w:rPr>
            <w:rStyle w:val="Hyperlink"/>
            <w:rFonts w:eastAsiaTheme="minorHAnsi"/>
            <w:szCs w:val="22"/>
          </w:rPr>
          <w:t>43.</w:t>
        </w:r>
      </w:hyperlink>
    </w:p>
    <w:p w:rsidR="0011641C" w:rsidP="0011641C" w:rsidRDefault="0011641C">
      <w:pPr>
        <w:pStyle w:val="myTOC3"/>
      </w:pPr>
      <w:r>
        <w:rPr>
          <w:rFonts w:eastAsia="Arial Unicode MS"/>
        </w:rPr>
        <w:t xml:space="preserve">3.  </w:t>
      </w:r>
      <w:r w:rsidRPr="000226F6">
        <w:rPr>
          <w:rFonts w:eastAsia="Arial Unicode MS"/>
        </w:rPr>
        <w:t>Commission Determination</w:t>
      </w:r>
      <w:r>
        <w:tab/>
      </w:r>
      <w:hyperlink w:history="1" w:anchor="_bmk15">
        <w:r>
          <w:rPr>
            <w:rStyle w:val="Hyperlink"/>
            <w:rFonts w:eastAsiaTheme="minorHAnsi"/>
            <w:szCs w:val="22"/>
          </w:rPr>
          <w:t>56.</w:t>
        </w:r>
      </w:hyperlink>
    </w:p>
    <w:p w:rsidR="0011641C" w:rsidP="0011641C" w:rsidRDefault="0011641C">
      <w:pPr>
        <w:pStyle w:val="myTOC2"/>
      </w:pPr>
      <w:r>
        <w:rPr>
          <w:rFonts w:eastAsia="Arial Unicode MS"/>
        </w:rPr>
        <w:t xml:space="preserve">C.  </w:t>
      </w:r>
      <w:r w:rsidRPr="000226F6">
        <w:rPr>
          <w:rFonts w:eastAsia="Arial Unicode MS"/>
        </w:rPr>
        <w:t>Requirement to Ensure the Timely and Sustained Response to Frequency Deviations</w:t>
      </w:r>
      <w:r>
        <w:tab/>
      </w:r>
      <w:hyperlink w:history="1" w:anchor="_bmk16">
        <w:r>
          <w:rPr>
            <w:rStyle w:val="Hyperlink"/>
            <w:rFonts w:eastAsiaTheme="minorHAnsi"/>
            <w:szCs w:val="22"/>
          </w:rPr>
          <w:t>86.</w:t>
        </w:r>
      </w:hyperlink>
    </w:p>
    <w:p w:rsidR="0011641C" w:rsidP="0011641C" w:rsidRDefault="0011641C">
      <w:pPr>
        <w:pStyle w:val="myTOC3"/>
      </w:pPr>
      <w:r>
        <w:rPr>
          <w:rFonts w:eastAsia="Arial Unicode MS"/>
        </w:rPr>
        <w:t xml:space="preserve">1.  </w:t>
      </w:r>
      <w:r w:rsidRPr="000226F6">
        <w:rPr>
          <w:rFonts w:eastAsia="Arial Unicode MS"/>
        </w:rPr>
        <w:t>NOPR Proposal</w:t>
      </w:r>
      <w:r>
        <w:tab/>
      </w:r>
      <w:hyperlink w:history="1" w:anchor="_bmk17">
        <w:r>
          <w:rPr>
            <w:rStyle w:val="Hyperlink"/>
            <w:rFonts w:eastAsiaTheme="minorHAnsi"/>
            <w:szCs w:val="22"/>
          </w:rPr>
          <w:t>86.</w:t>
        </w:r>
      </w:hyperlink>
    </w:p>
    <w:p w:rsidR="0011641C" w:rsidP="0011641C" w:rsidRDefault="0011641C">
      <w:pPr>
        <w:pStyle w:val="myTOC3"/>
      </w:pPr>
      <w:r>
        <w:rPr>
          <w:rFonts w:eastAsia="Arial Unicode MS"/>
        </w:rPr>
        <w:t xml:space="preserve">2.  </w:t>
      </w:r>
      <w:r w:rsidRPr="000226F6">
        <w:rPr>
          <w:rFonts w:eastAsia="Arial Unicode MS"/>
        </w:rPr>
        <w:t>Comments</w:t>
      </w:r>
      <w:r>
        <w:tab/>
      </w:r>
      <w:hyperlink w:history="1" w:anchor="_bmk18">
        <w:r>
          <w:rPr>
            <w:rStyle w:val="Hyperlink"/>
            <w:rFonts w:eastAsiaTheme="minorHAnsi"/>
            <w:szCs w:val="22"/>
          </w:rPr>
          <w:t>88.</w:t>
        </w:r>
      </w:hyperlink>
    </w:p>
    <w:p w:rsidR="0011641C" w:rsidP="0011641C" w:rsidRDefault="0011641C">
      <w:pPr>
        <w:pStyle w:val="myTOC3"/>
      </w:pPr>
      <w:r>
        <w:rPr>
          <w:rFonts w:eastAsia="Arial Unicode MS"/>
        </w:rPr>
        <w:t xml:space="preserve">3.  </w:t>
      </w:r>
      <w:r w:rsidRPr="000226F6">
        <w:rPr>
          <w:rFonts w:eastAsia="Arial Unicode MS"/>
        </w:rPr>
        <w:t>Commission Determination</w:t>
      </w:r>
      <w:r>
        <w:tab/>
      </w:r>
      <w:hyperlink w:history="1" w:anchor="_bmk19">
        <w:r>
          <w:rPr>
            <w:rStyle w:val="Hyperlink"/>
            <w:rFonts w:eastAsiaTheme="minorHAnsi"/>
            <w:szCs w:val="22"/>
          </w:rPr>
          <w:t>94.</w:t>
        </w:r>
      </w:hyperlink>
    </w:p>
    <w:p w:rsidR="0011641C" w:rsidP="0011641C" w:rsidRDefault="0011641C">
      <w:pPr>
        <w:pStyle w:val="myTOC2"/>
      </w:pPr>
      <w:r>
        <w:t xml:space="preserve">D.  </w:t>
      </w:r>
      <w:r w:rsidRPr="000226F6">
        <w:t>Proposal not to Mandate Headroom</w:t>
      </w:r>
      <w:r>
        <w:tab/>
      </w:r>
      <w:hyperlink w:history="1" w:anchor="_bmk20">
        <w:r>
          <w:rPr>
            <w:rStyle w:val="Hyperlink"/>
            <w:rFonts w:eastAsiaTheme="minorHAnsi"/>
            <w:szCs w:val="22"/>
          </w:rPr>
          <w:t>106.</w:t>
        </w:r>
      </w:hyperlink>
    </w:p>
    <w:p w:rsidR="0011641C" w:rsidP="0011641C" w:rsidRDefault="0011641C">
      <w:pPr>
        <w:pStyle w:val="myTOC3"/>
      </w:pPr>
      <w:r>
        <w:t xml:space="preserve">1.  </w:t>
      </w:r>
      <w:r w:rsidRPr="000226F6">
        <w:t>NOPR</w:t>
      </w:r>
      <w:r w:rsidRPr="000226F6" w:rsidDel="0081053D">
        <w:t xml:space="preserve"> Proposal</w:t>
      </w:r>
      <w:r>
        <w:tab/>
      </w:r>
      <w:hyperlink w:history="1" w:anchor="_bmk21">
        <w:r>
          <w:rPr>
            <w:rStyle w:val="Hyperlink"/>
            <w:rFonts w:eastAsiaTheme="minorHAnsi"/>
            <w:szCs w:val="22"/>
          </w:rPr>
          <w:t>106.</w:t>
        </w:r>
      </w:hyperlink>
    </w:p>
    <w:p w:rsidR="0011641C" w:rsidP="0011641C" w:rsidRDefault="0011641C">
      <w:pPr>
        <w:pStyle w:val="myTOC3"/>
      </w:pPr>
      <w:r>
        <w:t xml:space="preserve">2.  </w:t>
      </w:r>
      <w:r w:rsidRPr="000226F6">
        <w:t>Comments</w:t>
      </w:r>
      <w:r>
        <w:tab/>
      </w:r>
      <w:hyperlink w:history="1" w:anchor="_bmk22">
        <w:r>
          <w:rPr>
            <w:rStyle w:val="Hyperlink"/>
            <w:rFonts w:eastAsiaTheme="minorHAnsi"/>
            <w:szCs w:val="22"/>
          </w:rPr>
          <w:t>107.</w:t>
        </w:r>
      </w:hyperlink>
    </w:p>
    <w:p w:rsidR="0011641C" w:rsidP="0011641C" w:rsidRDefault="0011641C">
      <w:pPr>
        <w:pStyle w:val="myTOC3"/>
      </w:pPr>
      <w:r>
        <w:t xml:space="preserve">3.  </w:t>
      </w:r>
      <w:r w:rsidRPr="000226F6">
        <w:t>Commission Determination</w:t>
      </w:r>
      <w:r>
        <w:tab/>
      </w:r>
      <w:hyperlink w:history="1" w:anchor="_bmk23">
        <w:r>
          <w:rPr>
            <w:rStyle w:val="Hyperlink"/>
            <w:rFonts w:eastAsiaTheme="minorHAnsi"/>
            <w:szCs w:val="22"/>
          </w:rPr>
          <w:t>109.</w:t>
        </w:r>
      </w:hyperlink>
    </w:p>
    <w:p w:rsidR="0011641C" w:rsidP="0011641C" w:rsidRDefault="0011641C">
      <w:pPr>
        <w:pStyle w:val="myTOC2"/>
      </w:pPr>
      <w:r>
        <w:t xml:space="preserve">E.  </w:t>
      </w:r>
      <w:r w:rsidRPr="000226F6">
        <w:t>Proposal not to Mandate Compensation</w:t>
      </w:r>
      <w:r>
        <w:tab/>
      </w:r>
      <w:hyperlink w:history="1" w:anchor="_bmk24">
        <w:r>
          <w:rPr>
            <w:rStyle w:val="Hyperlink"/>
            <w:rFonts w:eastAsiaTheme="minorHAnsi"/>
            <w:szCs w:val="22"/>
          </w:rPr>
          <w:t>111.</w:t>
        </w:r>
      </w:hyperlink>
    </w:p>
    <w:p w:rsidR="0011641C" w:rsidP="0011641C" w:rsidRDefault="0011641C">
      <w:pPr>
        <w:pStyle w:val="myTOC3"/>
      </w:pPr>
      <w:r>
        <w:t xml:space="preserve">1.  </w:t>
      </w:r>
      <w:r w:rsidRPr="000226F6">
        <w:t>NOPR Proposal</w:t>
      </w:r>
      <w:r>
        <w:tab/>
      </w:r>
      <w:hyperlink w:history="1" w:anchor="_bmk25">
        <w:r>
          <w:rPr>
            <w:rStyle w:val="Hyperlink"/>
            <w:rFonts w:eastAsiaTheme="minorHAnsi"/>
            <w:szCs w:val="22"/>
          </w:rPr>
          <w:t>111.</w:t>
        </w:r>
      </w:hyperlink>
    </w:p>
    <w:p w:rsidR="0011641C" w:rsidP="0011641C" w:rsidRDefault="0011641C">
      <w:pPr>
        <w:pStyle w:val="myTOC3"/>
      </w:pPr>
      <w:r>
        <w:t xml:space="preserve">2.  </w:t>
      </w:r>
      <w:r w:rsidRPr="000226F6">
        <w:t>Comments</w:t>
      </w:r>
      <w:r>
        <w:tab/>
      </w:r>
      <w:hyperlink w:history="1" w:anchor="_bmk26">
        <w:r>
          <w:rPr>
            <w:rStyle w:val="Hyperlink"/>
            <w:rFonts w:eastAsiaTheme="minorHAnsi"/>
            <w:szCs w:val="22"/>
          </w:rPr>
          <w:t>112.</w:t>
        </w:r>
      </w:hyperlink>
    </w:p>
    <w:p w:rsidR="0011641C" w:rsidP="0011641C" w:rsidRDefault="0011641C">
      <w:pPr>
        <w:pStyle w:val="myTOC3"/>
      </w:pPr>
      <w:r>
        <w:t xml:space="preserve">3.  </w:t>
      </w:r>
      <w:r w:rsidRPr="000226F6">
        <w:t>Commission Determination</w:t>
      </w:r>
      <w:r>
        <w:tab/>
      </w:r>
      <w:hyperlink w:history="1" w:anchor="_bmk27">
        <w:r>
          <w:rPr>
            <w:rStyle w:val="Hyperlink"/>
            <w:rFonts w:eastAsiaTheme="minorHAnsi"/>
            <w:szCs w:val="22"/>
          </w:rPr>
          <w:t>119.</w:t>
        </w:r>
      </w:hyperlink>
    </w:p>
    <w:p w:rsidR="0011641C" w:rsidP="0011641C" w:rsidRDefault="0011641C">
      <w:pPr>
        <w:pStyle w:val="myTOC2"/>
      </w:pPr>
      <w:r>
        <w:t xml:space="preserve">F.  </w:t>
      </w:r>
      <w:r w:rsidRPr="000226F6">
        <w:t>Application to Existing Generating Facilities that Submit New Interconnection Requests That Result in an Executed or Unexecuted Interconnection Agreement</w:t>
      </w:r>
      <w:r>
        <w:tab/>
      </w:r>
      <w:hyperlink w:history="1" w:anchor="_bmk28">
        <w:r>
          <w:rPr>
            <w:rStyle w:val="Hyperlink"/>
            <w:rFonts w:eastAsiaTheme="minorHAnsi"/>
            <w:szCs w:val="22"/>
          </w:rPr>
          <w:t>127.</w:t>
        </w:r>
      </w:hyperlink>
    </w:p>
    <w:p w:rsidR="0011641C" w:rsidP="0011641C" w:rsidRDefault="0011641C">
      <w:pPr>
        <w:pStyle w:val="myTOC3"/>
      </w:pPr>
      <w:r>
        <w:t xml:space="preserve">1.  </w:t>
      </w:r>
      <w:r w:rsidRPr="000226F6">
        <w:t>NOPR Proposal</w:t>
      </w:r>
      <w:r>
        <w:tab/>
      </w:r>
      <w:hyperlink w:history="1" w:anchor="_bmk29">
        <w:r>
          <w:rPr>
            <w:rStyle w:val="Hyperlink"/>
            <w:rFonts w:eastAsiaTheme="minorHAnsi"/>
            <w:szCs w:val="22"/>
          </w:rPr>
          <w:t>127.</w:t>
        </w:r>
      </w:hyperlink>
    </w:p>
    <w:p w:rsidR="0011641C" w:rsidP="0011641C" w:rsidRDefault="0011641C">
      <w:pPr>
        <w:pStyle w:val="myTOC3"/>
      </w:pPr>
      <w:r>
        <w:t xml:space="preserve">2.  </w:t>
      </w:r>
      <w:r w:rsidRPr="000226F6">
        <w:t>Comments</w:t>
      </w:r>
      <w:r>
        <w:tab/>
      </w:r>
      <w:hyperlink w:history="1" w:anchor="_bmk30">
        <w:r>
          <w:rPr>
            <w:rStyle w:val="Hyperlink"/>
            <w:rFonts w:eastAsiaTheme="minorHAnsi"/>
            <w:szCs w:val="22"/>
          </w:rPr>
          <w:t>128.</w:t>
        </w:r>
      </w:hyperlink>
    </w:p>
    <w:p w:rsidR="0011641C" w:rsidP="0011641C" w:rsidRDefault="0011641C">
      <w:pPr>
        <w:pStyle w:val="myTOC3"/>
      </w:pPr>
      <w:r>
        <w:t xml:space="preserve">3.  </w:t>
      </w:r>
      <w:r w:rsidRPr="000226F6">
        <w:t>Commission Determination</w:t>
      </w:r>
      <w:r>
        <w:tab/>
      </w:r>
      <w:hyperlink w:history="1" w:anchor="_bmk31">
        <w:r>
          <w:rPr>
            <w:rStyle w:val="Hyperlink"/>
            <w:rFonts w:eastAsiaTheme="minorHAnsi"/>
            <w:szCs w:val="22"/>
          </w:rPr>
          <w:t>132.</w:t>
        </w:r>
      </w:hyperlink>
    </w:p>
    <w:p w:rsidR="0011641C" w:rsidP="0011641C" w:rsidRDefault="0011641C">
      <w:pPr>
        <w:pStyle w:val="myTOC2"/>
      </w:pPr>
      <w:r>
        <w:t xml:space="preserve">G.  </w:t>
      </w:r>
      <w:r w:rsidRPr="000226F6">
        <w:t>Application to Existing Generating Facilities that do not Submit New Interconnection Requests that Result in an Executed or Unexecuted Interconnection Agreement</w:t>
      </w:r>
      <w:r>
        <w:tab/>
      </w:r>
      <w:hyperlink w:history="1" w:anchor="_bmk32">
        <w:r>
          <w:rPr>
            <w:rStyle w:val="Hyperlink"/>
            <w:rFonts w:eastAsiaTheme="minorHAnsi"/>
            <w:szCs w:val="22"/>
          </w:rPr>
          <w:t>136.</w:t>
        </w:r>
      </w:hyperlink>
    </w:p>
    <w:p w:rsidR="0011641C" w:rsidP="0011641C" w:rsidRDefault="0011641C">
      <w:pPr>
        <w:pStyle w:val="myTOC3"/>
      </w:pPr>
      <w:r>
        <w:t xml:space="preserve">1.  </w:t>
      </w:r>
      <w:r w:rsidRPr="000226F6">
        <w:t>NOPR Proposal</w:t>
      </w:r>
      <w:r>
        <w:tab/>
      </w:r>
      <w:hyperlink w:history="1" w:anchor="_bmk33">
        <w:r>
          <w:rPr>
            <w:rStyle w:val="Hyperlink"/>
            <w:rFonts w:eastAsiaTheme="minorHAnsi"/>
            <w:szCs w:val="22"/>
          </w:rPr>
          <w:t>136.</w:t>
        </w:r>
      </w:hyperlink>
    </w:p>
    <w:p w:rsidR="0011641C" w:rsidP="0011641C" w:rsidRDefault="0011641C">
      <w:pPr>
        <w:pStyle w:val="myTOC3"/>
      </w:pPr>
      <w:r>
        <w:t xml:space="preserve">2.  </w:t>
      </w:r>
      <w:r w:rsidRPr="000226F6">
        <w:t>Comments</w:t>
      </w:r>
      <w:r>
        <w:tab/>
      </w:r>
      <w:hyperlink w:history="1" w:anchor="_bmk34">
        <w:r>
          <w:rPr>
            <w:rStyle w:val="Hyperlink"/>
            <w:rFonts w:eastAsiaTheme="minorHAnsi"/>
            <w:szCs w:val="22"/>
          </w:rPr>
          <w:t>137.</w:t>
        </w:r>
      </w:hyperlink>
    </w:p>
    <w:p w:rsidR="0011641C" w:rsidP="0011641C" w:rsidRDefault="0011641C">
      <w:pPr>
        <w:pStyle w:val="myTOC3"/>
      </w:pPr>
      <w:r>
        <w:t xml:space="preserve">3.  </w:t>
      </w:r>
      <w:r w:rsidRPr="000226F6">
        <w:t>Commission Determination</w:t>
      </w:r>
      <w:r>
        <w:tab/>
      </w:r>
      <w:hyperlink w:history="1" w:anchor="_bmk35">
        <w:r>
          <w:rPr>
            <w:rStyle w:val="Hyperlink"/>
            <w:rFonts w:eastAsiaTheme="minorHAnsi"/>
            <w:szCs w:val="22"/>
          </w:rPr>
          <w:t>143.</w:t>
        </w:r>
      </w:hyperlink>
    </w:p>
    <w:p w:rsidR="0011641C" w:rsidP="0011641C" w:rsidRDefault="0011641C">
      <w:pPr>
        <w:pStyle w:val="myTOC2"/>
      </w:pPr>
      <w:r>
        <w:t xml:space="preserve">H.  </w:t>
      </w:r>
      <w:r w:rsidRPr="000226F6">
        <w:t>Requests for Exemption or Special Accommodation</w:t>
      </w:r>
      <w:r>
        <w:tab/>
      </w:r>
      <w:hyperlink w:history="1" w:anchor="_bmk36">
        <w:r>
          <w:rPr>
            <w:rStyle w:val="Hyperlink"/>
            <w:rFonts w:eastAsiaTheme="minorHAnsi"/>
            <w:szCs w:val="22"/>
          </w:rPr>
          <w:t>148.</w:t>
        </w:r>
      </w:hyperlink>
    </w:p>
    <w:p w:rsidR="0011641C" w:rsidP="0011641C" w:rsidRDefault="0011641C">
      <w:pPr>
        <w:pStyle w:val="myTOC3"/>
      </w:pPr>
      <w:r>
        <w:t xml:space="preserve">1.  </w:t>
      </w:r>
      <w:r w:rsidRPr="000226F6">
        <w:t>Combined Heat and Power Facilities</w:t>
      </w:r>
      <w:r>
        <w:tab/>
      </w:r>
      <w:hyperlink w:history="1" w:anchor="_bmk37">
        <w:r>
          <w:rPr>
            <w:rStyle w:val="Hyperlink"/>
            <w:rFonts w:eastAsiaTheme="minorHAnsi"/>
            <w:szCs w:val="22"/>
          </w:rPr>
          <w:t>148.</w:t>
        </w:r>
      </w:hyperlink>
    </w:p>
    <w:p w:rsidR="0011641C" w:rsidP="0011641C" w:rsidRDefault="0011641C">
      <w:pPr>
        <w:pStyle w:val="myTOC3"/>
      </w:pPr>
      <w:r>
        <w:t xml:space="preserve">2.  </w:t>
      </w:r>
      <w:r w:rsidRPr="000226F6">
        <w:t>Electric Storage Resources</w:t>
      </w:r>
      <w:r>
        <w:tab/>
      </w:r>
      <w:hyperlink w:history="1" w:anchor="_bmk38">
        <w:r>
          <w:rPr>
            <w:rStyle w:val="Hyperlink"/>
            <w:rFonts w:eastAsiaTheme="minorHAnsi"/>
            <w:szCs w:val="22"/>
          </w:rPr>
          <w:t>157.</w:t>
        </w:r>
      </w:hyperlink>
    </w:p>
    <w:p w:rsidR="0011641C" w:rsidP="0011641C" w:rsidRDefault="0011641C">
      <w:pPr>
        <w:pStyle w:val="myTOC3"/>
      </w:pPr>
      <w:r>
        <w:t xml:space="preserve">3.  </w:t>
      </w:r>
      <w:r w:rsidRPr="000226F6">
        <w:t>Distributed Energy Resources</w:t>
      </w:r>
      <w:r>
        <w:tab/>
      </w:r>
      <w:hyperlink w:history="1" w:anchor="_bmk39">
        <w:r>
          <w:rPr>
            <w:rStyle w:val="Hyperlink"/>
            <w:rFonts w:eastAsiaTheme="minorHAnsi"/>
            <w:szCs w:val="22"/>
          </w:rPr>
          <w:t>190.</w:t>
        </w:r>
      </w:hyperlink>
    </w:p>
    <w:p w:rsidR="0011641C" w:rsidP="0011641C" w:rsidRDefault="0011641C">
      <w:pPr>
        <w:pStyle w:val="myTOC3"/>
      </w:pPr>
      <w:r>
        <w:t xml:space="preserve">4.  </w:t>
      </w:r>
      <w:r w:rsidRPr="000226F6">
        <w:t>Nuclear Generating Facilities</w:t>
      </w:r>
      <w:r>
        <w:tab/>
      </w:r>
      <w:hyperlink w:history="1" w:anchor="_bmk40">
        <w:r>
          <w:rPr>
            <w:rStyle w:val="Hyperlink"/>
            <w:rFonts w:eastAsiaTheme="minorHAnsi"/>
            <w:szCs w:val="22"/>
          </w:rPr>
          <w:t>198.</w:t>
        </w:r>
      </w:hyperlink>
    </w:p>
    <w:p w:rsidR="0011641C" w:rsidP="0011641C" w:rsidRDefault="0011641C">
      <w:pPr>
        <w:pStyle w:val="myTOC3"/>
      </w:pPr>
      <w:r>
        <w:t xml:space="preserve">5.  </w:t>
      </w:r>
      <w:r w:rsidRPr="000226F6">
        <w:t>Wind Generating Facilities</w:t>
      </w:r>
      <w:r>
        <w:tab/>
      </w:r>
      <w:hyperlink w:history="1" w:anchor="_bmk41">
        <w:r>
          <w:rPr>
            <w:rStyle w:val="Hyperlink"/>
            <w:rFonts w:eastAsiaTheme="minorHAnsi"/>
            <w:szCs w:val="22"/>
          </w:rPr>
          <w:t>204.</w:t>
        </w:r>
      </w:hyperlink>
    </w:p>
    <w:p w:rsidR="0011641C" w:rsidP="0011641C" w:rsidRDefault="0011641C">
      <w:pPr>
        <w:pStyle w:val="myTOC3"/>
      </w:pPr>
      <w:r>
        <w:t xml:space="preserve">6.  </w:t>
      </w:r>
      <w:r w:rsidRPr="000226F6">
        <w:t>Surplus Interconnection</w:t>
      </w:r>
      <w:r>
        <w:tab/>
      </w:r>
      <w:hyperlink w:history="1" w:anchor="_bmk42">
        <w:r>
          <w:rPr>
            <w:rStyle w:val="Hyperlink"/>
            <w:rFonts w:eastAsiaTheme="minorHAnsi"/>
            <w:szCs w:val="22"/>
          </w:rPr>
          <w:t>208.</w:t>
        </w:r>
      </w:hyperlink>
    </w:p>
    <w:p w:rsidR="0011641C" w:rsidP="0011641C" w:rsidRDefault="0011641C">
      <w:pPr>
        <w:pStyle w:val="myTOC3"/>
      </w:pPr>
      <w:r>
        <w:t xml:space="preserve">7.  </w:t>
      </w:r>
      <w:r w:rsidRPr="000226F6">
        <w:t>Small Generating Facilities</w:t>
      </w:r>
      <w:r>
        <w:tab/>
      </w:r>
      <w:hyperlink w:history="1" w:anchor="_bmk43">
        <w:r>
          <w:rPr>
            <w:rStyle w:val="Hyperlink"/>
            <w:rFonts w:eastAsiaTheme="minorHAnsi"/>
            <w:szCs w:val="22"/>
          </w:rPr>
          <w:t>211.</w:t>
        </w:r>
      </w:hyperlink>
    </w:p>
    <w:p w:rsidR="0011641C" w:rsidP="0011641C" w:rsidRDefault="0011641C">
      <w:pPr>
        <w:pStyle w:val="myTOC3"/>
      </w:pPr>
      <w:r>
        <w:t xml:space="preserve">8.  </w:t>
      </w:r>
      <w:r w:rsidRPr="000226F6">
        <w:t>Requests to Establish a Waiver Process and Consider Potential Impact on Load and New Technology</w:t>
      </w:r>
      <w:r>
        <w:tab/>
      </w:r>
      <w:hyperlink w:history="1" w:anchor="_bmk44">
        <w:r>
          <w:rPr>
            <w:rStyle w:val="Hyperlink"/>
            <w:rFonts w:eastAsiaTheme="minorHAnsi"/>
            <w:szCs w:val="22"/>
          </w:rPr>
          <w:t>225.</w:t>
        </w:r>
      </w:hyperlink>
    </w:p>
    <w:p w:rsidR="0011641C" w:rsidP="0011641C" w:rsidRDefault="0011641C">
      <w:pPr>
        <w:pStyle w:val="myTOC2"/>
      </w:pPr>
      <w:r>
        <w:rPr>
          <w:rFonts w:eastAsia="Arial Unicode MS"/>
        </w:rPr>
        <w:t xml:space="preserve">I.  </w:t>
      </w:r>
      <w:r w:rsidRPr="000226F6">
        <w:rPr>
          <w:rFonts w:eastAsia="Arial Unicode MS"/>
        </w:rPr>
        <w:t xml:space="preserve">Regional Flexibility </w:t>
      </w:r>
      <w:r>
        <w:tab/>
      </w:r>
      <w:hyperlink w:history="1" w:anchor="_bmk45">
        <w:r>
          <w:rPr>
            <w:rStyle w:val="Hyperlink"/>
            <w:rFonts w:eastAsiaTheme="minorHAnsi"/>
            <w:szCs w:val="22"/>
          </w:rPr>
          <w:t>232.</w:t>
        </w:r>
      </w:hyperlink>
    </w:p>
    <w:p w:rsidR="0011641C" w:rsidP="0011641C" w:rsidRDefault="0011641C">
      <w:pPr>
        <w:pStyle w:val="myTOC3"/>
      </w:pPr>
      <w:r>
        <w:rPr>
          <w:rFonts w:eastAsia="Arial Unicode MS"/>
        </w:rPr>
        <w:t xml:space="preserve">1.  </w:t>
      </w:r>
      <w:r w:rsidRPr="000226F6">
        <w:rPr>
          <w:rFonts w:eastAsia="Arial Unicode MS"/>
        </w:rPr>
        <w:t>NOPR Proposal</w:t>
      </w:r>
      <w:r>
        <w:tab/>
      </w:r>
      <w:hyperlink w:history="1" w:anchor="_bmk46">
        <w:r>
          <w:rPr>
            <w:rStyle w:val="Hyperlink"/>
            <w:rFonts w:eastAsiaTheme="minorHAnsi"/>
            <w:szCs w:val="22"/>
          </w:rPr>
          <w:t>232.</w:t>
        </w:r>
      </w:hyperlink>
    </w:p>
    <w:p w:rsidR="0011641C" w:rsidP="0011641C" w:rsidRDefault="0011641C">
      <w:pPr>
        <w:pStyle w:val="myTOC3"/>
      </w:pPr>
      <w:r>
        <w:rPr>
          <w:rFonts w:eastAsia="Arial Unicode MS"/>
        </w:rPr>
        <w:t xml:space="preserve">2.  </w:t>
      </w:r>
      <w:r w:rsidRPr="000226F6">
        <w:rPr>
          <w:rFonts w:eastAsia="Arial Unicode MS"/>
        </w:rPr>
        <w:t>Comments</w:t>
      </w:r>
      <w:r>
        <w:tab/>
      </w:r>
      <w:hyperlink w:history="1" w:anchor="_bmk47">
        <w:r>
          <w:rPr>
            <w:rStyle w:val="Hyperlink"/>
            <w:rFonts w:eastAsiaTheme="minorHAnsi"/>
            <w:szCs w:val="22"/>
          </w:rPr>
          <w:t>233.</w:t>
        </w:r>
      </w:hyperlink>
    </w:p>
    <w:p w:rsidR="0011641C" w:rsidP="0011641C" w:rsidRDefault="0011641C">
      <w:pPr>
        <w:pStyle w:val="myTOC3"/>
      </w:pPr>
      <w:r>
        <w:rPr>
          <w:rFonts w:eastAsia="Arial Unicode MS"/>
        </w:rPr>
        <w:lastRenderedPageBreak/>
        <w:t xml:space="preserve">3.  </w:t>
      </w:r>
      <w:r w:rsidRPr="000226F6">
        <w:rPr>
          <w:rFonts w:eastAsia="Arial Unicode MS"/>
        </w:rPr>
        <w:t>Commission Determination</w:t>
      </w:r>
      <w:r>
        <w:tab/>
      </w:r>
      <w:hyperlink w:history="1" w:anchor="_bmk48">
        <w:r>
          <w:rPr>
            <w:rStyle w:val="Hyperlink"/>
            <w:rFonts w:eastAsiaTheme="minorHAnsi"/>
            <w:szCs w:val="22"/>
          </w:rPr>
          <w:t>234.</w:t>
        </w:r>
      </w:hyperlink>
    </w:p>
    <w:p w:rsidR="0011641C" w:rsidP="0011641C" w:rsidRDefault="0011641C">
      <w:pPr>
        <w:pStyle w:val="myTOC2"/>
      </w:pPr>
      <w:r>
        <w:t xml:space="preserve">J.  </w:t>
      </w:r>
      <w:r w:rsidRPr="000226F6">
        <w:t>Miscellaneous Comments</w:t>
      </w:r>
      <w:r>
        <w:tab/>
      </w:r>
      <w:hyperlink w:history="1" w:anchor="_bmk49">
        <w:r>
          <w:rPr>
            <w:rStyle w:val="Hyperlink"/>
            <w:rFonts w:eastAsiaTheme="minorHAnsi"/>
            <w:szCs w:val="22"/>
          </w:rPr>
          <w:t>236.</w:t>
        </w:r>
      </w:hyperlink>
    </w:p>
    <w:p w:rsidR="0011641C" w:rsidP="0011641C" w:rsidRDefault="0011641C">
      <w:pPr>
        <w:pStyle w:val="myTOC3"/>
      </w:pPr>
      <w:r>
        <w:t xml:space="preserve">1.  </w:t>
      </w:r>
      <w:r w:rsidRPr="000226F6">
        <w:t>Uniform System of Accounts</w:t>
      </w:r>
      <w:r>
        <w:tab/>
      </w:r>
      <w:hyperlink w:history="1" w:anchor="_bmk50">
        <w:r>
          <w:rPr>
            <w:rStyle w:val="Hyperlink"/>
            <w:rFonts w:eastAsiaTheme="minorHAnsi"/>
            <w:szCs w:val="22"/>
          </w:rPr>
          <w:t>236.</w:t>
        </w:r>
      </w:hyperlink>
    </w:p>
    <w:p w:rsidR="0011641C" w:rsidP="0011641C" w:rsidRDefault="0011641C">
      <w:pPr>
        <w:pStyle w:val="myTOC3"/>
      </w:pPr>
      <w:r>
        <w:t xml:space="preserve">2.  </w:t>
      </w:r>
      <w:r w:rsidRPr="000226F6">
        <w:t>Capability of Load to Provide Primary Frequency Response</w:t>
      </w:r>
      <w:r>
        <w:tab/>
      </w:r>
      <w:hyperlink w:history="1" w:anchor="_bmk51">
        <w:r>
          <w:rPr>
            <w:rStyle w:val="Hyperlink"/>
            <w:rFonts w:eastAsiaTheme="minorHAnsi"/>
            <w:szCs w:val="22"/>
          </w:rPr>
          <w:t>238.</w:t>
        </w:r>
      </w:hyperlink>
    </w:p>
    <w:p w:rsidR="0011641C" w:rsidP="0011641C" w:rsidRDefault="0011641C">
      <w:pPr>
        <w:pStyle w:val="myTOC3"/>
      </w:pPr>
      <w:r>
        <w:t xml:space="preserve">3.  </w:t>
      </w:r>
      <w:r w:rsidRPr="000226F6">
        <w:t>Primary Frequency Response Obligations and Pools</w:t>
      </w:r>
      <w:r>
        <w:tab/>
      </w:r>
      <w:hyperlink w:history="1" w:anchor="_bmk52">
        <w:r>
          <w:rPr>
            <w:rStyle w:val="Hyperlink"/>
            <w:rFonts w:eastAsiaTheme="minorHAnsi"/>
            <w:szCs w:val="22"/>
          </w:rPr>
          <w:t>240.</w:t>
        </w:r>
      </w:hyperlink>
    </w:p>
    <w:p w:rsidR="0011641C" w:rsidP="0011641C" w:rsidRDefault="0011641C">
      <w:pPr>
        <w:pStyle w:val="myTOC2"/>
      </w:pPr>
      <w:r>
        <w:t xml:space="preserve">K.  </w:t>
      </w:r>
      <w:r w:rsidRPr="000226F6">
        <w:t xml:space="preserve">Specific Revisions to the </w:t>
      </w:r>
      <w:r w:rsidRPr="000226F6">
        <w:rPr>
          <w:i/>
        </w:rPr>
        <w:t>Pro Forma</w:t>
      </w:r>
      <w:r w:rsidRPr="000226F6">
        <w:t xml:space="preserve"> LGIA and </w:t>
      </w:r>
      <w:r w:rsidRPr="000226F6">
        <w:rPr>
          <w:i/>
        </w:rPr>
        <w:t>Pro Forma</w:t>
      </w:r>
      <w:r w:rsidRPr="000226F6">
        <w:t xml:space="preserve"> SGIA </w:t>
      </w:r>
      <w:r>
        <w:tab/>
      </w:r>
      <w:hyperlink w:history="1" w:anchor="_bmk53">
        <w:r>
          <w:rPr>
            <w:rStyle w:val="Hyperlink"/>
            <w:rFonts w:eastAsiaTheme="minorHAnsi"/>
            <w:szCs w:val="22"/>
          </w:rPr>
          <w:t>242.</w:t>
        </w:r>
      </w:hyperlink>
    </w:p>
    <w:p w:rsidR="0011641C" w:rsidP="0011641C" w:rsidRDefault="0011641C">
      <w:pPr>
        <w:pStyle w:val="myTOC3"/>
      </w:pPr>
      <w:r>
        <w:t xml:space="preserve">1.  </w:t>
      </w:r>
      <w:r w:rsidRPr="000226F6">
        <w:t>NOPR Proposal</w:t>
      </w:r>
      <w:r>
        <w:tab/>
      </w:r>
      <w:hyperlink w:history="1" w:anchor="_bmk54">
        <w:r>
          <w:rPr>
            <w:rStyle w:val="Hyperlink"/>
            <w:rFonts w:eastAsiaTheme="minorHAnsi"/>
            <w:szCs w:val="22"/>
          </w:rPr>
          <w:t>242.</w:t>
        </w:r>
      </w:hyperlink>
    </w:p>
    <w:p w:rsidR="0011641C" w:rsidP="0011641C" w:rsidRDefault="0011641C">
      <w:pPr>
        <w:pStyle w:val="myTOC3"/>
      </w:pPr>
      <w:r>
        <w:t xml:space="preserve">2.  </w:t>
      </w:r>
      <w:r w:rsidRPr="000226F6">
        <w:t>Comments</w:t>
      </w:r>
      <w:r>
        <w:tab/>
      </w:r>
      <w:hyperlink w:history="1" w:anchor="_bmk55">
        <w:r>
          <w:rPr>
            <w:rStyle w:val="Hyperlink"/>
            <w:rFonts w:eastAsiaTheme="minorHAnsi"/>
            <w:szCs w:val="22"/>
          </w:rPr>
          <w:t>243.</w:t>
        </w:r>
      </w:hyperlink>
    </w:p>
    <w:p w:rsidR="0011641C" w:rsidP="0011641C" w:rsidRDefault="0011641C">
      <w:pPr>
        <w:pStyle w:val="myTOC3"/>
      </w:pPr>
      <w:r>
        <w:t xml:space="preserve">3.  </w:t>
      </w:r>
      <w:r w:rsidRPr="000226F6">
        <w:t>Commission Determination</w:t>
      </w:r>
      <w:r>
        <w:tab/>
      </w:r>
      <w:hyperlink w:history="1" w:anchor="_bmk56">
        <w:r>
          <w:rPr>
            <w:rStyle w:val="Hyperlink"/>
            <w:rFonts w:eastAsiaTheme="minorHAnsi"/>
            <w:szCs w:val="22"/>
          </w:rPr>
          <w:t>244.</w:t>
        </w:r>
      </w:hyperlink>
    </w:p>
    <w:p w:rsidR="0011641C" w:rsidP="0011641C" w:rsidRDefault="0011641C">
      <w:pPr>
        <w:pStyle w:val="myTOC1"/>
      </w:pPr>
      <w:r>
        <w:t xml:space="preserve">III.  </w:t>
      </w:r>
      <w:r w:rsidRPr="000226F6">
        <w:t>Compliance and Implementation</w:t>
      </w:r>
      <w:r>
        <w:tab/>
      </w:r>
      <w:hyperlink w:history="1" w:anchor="_bmk57">
        <w:r>
          <w:rPr>
            <w:rStyle w:val="Hyperlink"/>
            <w:rFonts w:eastAsiaTheme="minorHAnsi"/>
            <w:szCs w:val="22"/>
          </w:rPr>
          <w:t>251.</w:t>
        </w:r>
      </w:hyperlink>
    </w:p>
    <w:p w:rsidR="0011641C" w:rsidP="0011641C" w:rsidRDefault="0011641C">
      <w:pPr>
        <w:pStyle w:val="myTOC1"/>
      </w:pPr>
      <w:r>
        <w:t xml:space="preserve">IV.  </w:t>
      </w:r>
      <w:r w:rsidRPr="000226F6">
        <w:t>Information Collection Statement</w:t>
      </w:r>
      <w:r>
        <w:tab/>
      </w:r>
      <w:hyperlink w:history="1" w:anchor="_bmk58">
        <w:r>
          <w:rPr>
            <w:rStyle w:val="Hyperlink"/>
            <w:rFonts w:eastAsiaTheme="minorHAnsi"/>
            <w:szCs w:val="22"/>
          </w:rPr>
          <w:t>256.</w:t>
        </w:r>
      </w:hyperlink>
    </w:p>
    <w:p w:rsidR="0011641C" w:rsidP="0011641C" w:rsidRDefault="0011641C">
      <w:pPr>
        <w:pStyle w:val="myTOC1"/>
      </w:pPr>
      <w:r>
        <w:t xml:space="preserve">V.  </w:t>
      </w:r>
      <w:r w:rsidRPr="000226F6">
        <w:t>Regulatory Flexibility Act</w:t>
      </w:r>
      <w:r>
        <w:tab/>
      </w:r>
      <w:hyperlink w:history="1" w:anchor="_bmk59">
        <w:r>
          <w:rPr>
            <w:rStyle w:val="Hyperlink"/>
            <w:rFonts w:eastAsiaTheme="minorHAnsi"/>
            <w:szCs w:val="22"/>
          </w:rPr>
          <w:t>263.</w:t>
        </w:r>
      </w:hyperlink>
    </w:p>
    <w:p w:rsidR="0011641C" w:rsidP="0011641C" w:rsidRDefault="0011641C">
      <w:pPr>
        <w:pStyle w:val="myTOC1"/>
      </w:pPr>
      <w:r>
        <w:t xml:space="preserve">VI.  </w:t>
      </w:r>
      <w:r w:rsidRPr="000226F6">
        <w:t>Environmental Analysis</w:t>
      </w:r>
      <w:r>
        <w:tab/>
      </w:r>
      <w:hyperlink w:history="1" w:anchor="_bmk60">
        <w:r>
          <w:rPr>
            <w:rStyle w:val="Hyperlink"/>
            <w:rFonts w:eastAsiaTheme="minorHAnsi"/>
            <w:szCs w:val="22"/>
          </w:rPr>
          <w:t>267.</w:t>
        </w:r>
      </w:hyperlink>
    </w:p>
    <w:p w:rsidR="0011641C" w:rsidP="0011641C" w:rsidRDefault="0011641C">
      <w:pPr>
        <w:pStyle w:val="myTOC1"/>
      </w:pPr>
      <w:r>
        <w:t xml:space="preserve">VII.  </w:t>
      </w:r>
      <w:r w:rsidRPr="000226F6">
        <w:t>Document Availability</w:t>
      </w:r>
      <w:r>
        <w:tab/>
      </w:r>
      <w:hyperlink w:history="1" w:anchor="_bmk61">
        <w:r>
          <w:rPr>
            <w:rStyle w:val="Hyperlink"/>
            <w:rFonts w:eastAsiaTheme="minorHAnsi"/>
            <w:szCs w:val="22"/>
          </w:rPr>
          <w:t>269.</w:t>
        </w:r>
      </w:hyperlink>
    </w:p>
    <w:p w:rsidR="0011641C" w:rsidP="0011641C" w:rsidRDefault="0011641C">
      <w:pPr>
        <w:pStyle w:val="myTOC1"/>
      </w:pPr>
      <w:r>
        <w:t xml:space="preserve">VIII.  </w:t>
      </w:r>
      <w:r w:rsidRPr="000226F6">
        <w:t>Effective Date and Congressional Notification</w:t>
      </w:r>
      <w:r>
        <w:tab/>
      </w:r>
      <w:hyperlink w:history="1" w:anchor="_bmk62">
        <w:r>
          <w:rPr>
            <w:rStyle w:val="Hyperlink"/>
            <w:rFonts w:eastAsiaTheme="minorHAnsi"/>
            <w:szCs w:val="22"/>
          </w:rPr>
          <w:t>272.</w:t>
        </w:r>
      </w:hyperlink>
    </w:p>
    <w:p w:rsidR="0011641C" w:rsidP="0011641C" w:rsidRDefault="0011641C">
      <w:pPr>
        <w:pStyle w:val="myTOC1"/>
      </w:pPr>
      <w:r>
        <w:t xml:space="preserve">I.  </w:t>
      </w:r>
      <w:r w:rsidRPr="000226F6">
        <w:t>Appendix A: List of Substantive NOPR Commenters (RM16-6-000)</w:t>
      </w:r>
      <w:r>
        <w:t xml:space="preserve"> </w:t>
      </w:r>
    </w:p>
    <w:p w:rsidR="0011641C" w:rsidP="0011641C" w:rsidRDefault="0011641C">
      <w:pPr>
        <w:pStyle w:val="myTOC1"/>
      </w:pPr>
      <w:r>
        <w:t xml:space="preserve">II.  </w:t>
      </w:r>
      <w:r w:rsidRPr="000226F6">
        <w:t>Appendix B: List of Substantive Supplemental Commenters (RM16-6-000)</w:t>
      </w:r>
      <w:r>
        <w:t xml:space="preserve"> </w:t>
      </w:r>
    </w:p>
    <w:p w:rsidR="0011641C" w:rsidP="0011641C" w:rsidRDefault="0011641C">
      <w:pPr>
        <w:pStyle w:val="myTOC1"/>
      </w:pPr>
      <w:r>
        <w:t xml:space="preserve">III.  </w:t>
      </w:r>
      <w:r w:rsidRPr="000226F6">
        <w:t>Appendix C: Uniform System of Accounts</w:t>
      </w:r>
    </w:p>
    <w:p w:rsidRPr="00C060F5" w:rsidR="0011641C" w:rsidP="0011641C" w:rsidRDefault="0011641C">
      <w:pPr>
        <w:pStyle w:val="myTOC1"/>
      </w:pPr>
      <w:r>
        <w:t xml:space="preserve">IV.  </w:t>
      </w:r>
      <w:r w:rsidRPr="000226F6">
        <w:t>Appendix D: Modifications to NOPR Proposal</w:t>
      </w:r>
    </w:p>
    <w:p w:rsidR="00993FCA" w:rsidP="00993FCA" w:rsidRDefault="00993FCA"/>
    <w:p w:rsidR="005B44CE" w:rsidP="00993FCA" w:rsidRDefault="005B44CE"/>
    <w:p w:rsidR="005B44CE" w:rsidP="00993FCA" w:rsidRDefault="005B44CE"/>
    <w:p w:rsidR="00993FCA" w:rsidP="00083A5E" w:rsidRDefault="00993FCA">
      <w:pPr>
        <w:widowControl/>
      </w:pPr>
    </w:p>
    <w:p w:rsidR="00083A5E" w:rsidP="00083A5E" w:rsidRDefault="00083A5E">
      <w:pPr>
        <w:widowControl/>
      </w:pPr>
    </w:p>
    <w:p w:rsidR="00083A5E" w:rsidP="00083A5E" w:rsidRDefault="00083A5E">
      <w:pPr>
        <w:widowControl/>
      </w:pPr>
    </w:p>
    <w:p w:rsidR="00083A5E" w:rsidP="00083A5E" w:rsidRDefault="00083A5E">
      <w:pPr>
        <w:widowControl/>
      </w:pPr>
    </w:p>
    <w:p w:rsidRPr="00083A5E" w:rsidR="00083A5E" w:rsidP="00083A5E" w:rsidRDefault="00083A5E">
      <w:pPr>
        <w:widowControl/>
        <w:ind w:firstLine="2606"/>
        <w:jc w:val="center"/>
      </w:pPr>
      <w:r w:rsidRPr="00083A5E">
        <w:t>Nathaniel J. Davis, Sr.,</w:t>
      </w:r>
    </w:p>
    <w:p w:rsidRPr="00083A5E" w:rsidR="00083A5E" w:rsidP="00083A5E" w:rsidRDefault="00083A5E">
      <w:pPr>
        <w:widowControl/>
        <w:ind w:firstLine="2606"/>
        <w:jc w:val="center"/>
      </w:pPr>
      <w:r w:rsidRPr="00083A5E">
        <w:t>Deputy Secretary.</w:t>
      </w:r>
    </w:p>
    <w:p w:rsidRPr="009D308A" w:rsidR="00083A5E" w:rsidP="00083A5E" w:rsidRDefault="00083A5E">
      <w:pPr>
        <w:widowControl/>
      </w:pPr>
    </w:p>
    <w:sectPr w:rsidRPr="009D308A" w:rsidR="00083A5E" w:rsidSect="000C687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49A" w:rsidRDefault="0080649A" w:rsidP="0080649A">
      <w:r>
        <w:separator/>
      </w:r>
    </w:p>
  </w:endnote>
  <w:endnote w:type="continuationSeparator" w:id="0">
    <w:p w:rsidR="0080649A" w:rsidRDefault="0080649A" w:rsidP="00806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49A" w:rsidRDefault="0080649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49A" w:rsidRDefault="0080649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49A" w:rsidRDefault="008064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49A" w:rsidRDefault="0080649A" w:rsidP="0080649A">
      <w:r>
        <w:separator/>
      </w:r>
    </w:p>
  </w:footnote>
  <w:footnote w:type="continuationSeparator" w:id="0">
    <w:p w:rsidR="0080649A" w:rsidRDefault="0080649A" w:rsidP="008064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49A" w:rsidRDefault="008064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486415"/>
      <w:docPartObj>
        <w:docPartGallery w:val="Page Numbers (Top of Page)"/>
        <w:docPartUnique/>
      </w:docPartObj>
    </w:sdtPr>
    <w:sdtEndPr>
      <w:rPr>
        <w:noProof/>
      </w:rPr>
    </w:sdtEndPr>
    <w:sdtContent>
      <w:p w:rsidR="000C687B" w:rsidRDefault="000C687B" w:rsidP="000C687B">
        <w:pPr>
          <w:pStyle w:val="Header"/>
        </w:pPr>
        <w:r>
          <w:t>Docket No. RM16-6-000</w:t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4DAA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:rsidR="0080649A" w:rsidRDefault="0080649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49A" w:rsidRDefault="0080649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55AB3"/>
    <w:multiLevelType w:val="hybridMultilevel"/>
    <w:tmpl w:val="B824C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3B09D3"/>
    <w:multiLevelType w:val="hybridMultilevel"/>
    <w:tmpl w:val="CBA4F348"/>
    <w:lvl w:ilvl="0" w:tplc="A886A3F8">
      <w:start w:val="1"/>
      <w:numFmt w:val="decimal"/>
      <w:pStyle w:val="FERCparanumber"/>
      <w:lvlText w:val="%1."/>
      <w:lvlJc w:val="left"/>
      <w:pPr>
        <w:tabs>
          <w:tab w:val="num" w:pos="72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AF6"/>
    <w:rsid w:val="00083A5E"/>
    <w:rsid w:val="000C687B"/>
    <w:rsid w:val="0011641C"/>
    <w:rsid w:val="00153E48"/>
    <w:rsid w:val="002515C2"/>
    <w:rsid w:val="00340974"/>
    <w:rsid w:val="003F7721"/>
    <w:rsid w:val="004D78E6"/>
    <w:rsid w:val="00540399"/>
    <w:rsid w:val="005B44CE"/>
    <w:rsid w:val="00682C9F"/>
    <w:rsid w:val="006F1DD7"/>
    <w:rsid w:val="0080649A"/>
    <w:rsid w:val="008A06EF"/>
    <w:rsid w:val="00993FCA"/>
    <w:rsid w:val="009D308A"/>
    <w:rsid w:val="00A57AF6"/>
    <w:rsid w:val="00AF28E8"/>
    <w:rsid w:val="00B007B7"/>
    <w:rsid w:val="00B407BF"/>
    <w:rsid w:val="00B56F96"/>
    <w:rsid w:val="00B81993"/>
    <w:rsid w:val="00BF7B21"/>
    <w:rsid w:val="00CB4DAA"/>
    <w:rsid w:val="00CC6623"/>
    <w:rsid w:val="00CD02AE"/>
    <w:rsid w:val="00D7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AF6"/>
    <w:pPr>
      <w:widowControl w:val="0"/>
      <w:spacing w:after="0" w:line="240" w:lineRule="auto"/>
    </w:pPr>
    <w:rPr>
      <w:rFonts w:ascii="Times New Roman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7A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3E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1D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DD7"/>
    <w:rPr>
      <w:rFonts w:ascii="Segoe UI" w:hAnsi="Segoe UI" w:cs="Segoe UI"/>
      <w:sz w:val="18"/>
      <w:szCs w:val="18"/>
    </w:rPr>
  </w:style>
  <w:style w:type="paragraph" w:customStyle="1" w:styleId="myTOC1">
    <w:name w:val="myTOC 1"/>
    <w:basedOn w:val="Normal"/>
    <w:next w:val="Normal"/>
    <w:rsid w:val="0011641C"/>
    <w:pPr>
      <w:tabs>
        <w:tab w:val="right" w:leader="dot" w:pos="9360"/>
      </w:tabs>
      <w:autoSpaceDE w:val="0"/>
      <w:autoSpaceDN w:val="0"/>
      <w:adjustRightInd w:val="0"/>
      <w:spacing w:before="120"/>
    </w:pPr>
    <w:rPr>
      <w:rFonts w:eastAsia="Times New Roman"/>
      <w:szCs w:val="26"/>
    </w:rPr>
  </w:style>
  <w:style w:type="paragraph" w:customStyle="1" w:styleId="myTOC2">
    <w:name w:val="myTOC 2"/>
    <w:basedOn w:val="Normal"/>
    <w:next w:val="Normal"/>
    <w:rsid w:val="0011641C"/>
    <w:pPr>
      <w:tabs>
        <w:tab w:val="right" w:leader="dot" w:pos="9360"/>
      </w:tabs>
      <w:autoSpaceDE w:val="0"/>
      <w:autoSpaceDN w:val="0"/>
      <w:adjustRightInd w:val="0"/>
      <w:ind w:left="288"/>
    </w:pPr>
    <w:rPr>
      <w:rFonts w:eastAsia="Times New Roman"/>
      <w:szCs w:val="26"/>
    </w:rPr>
  </w:style>
  <w:style w:type="paragraph" w:customStyle="1" w:styleId="myTOC3">
    <w:name w:val="myTOC 3"/>
    <w:basedOn w:val="Normal"/>
    <w:next w:val="Normal"/>
    <w:rsid w:val="0011641C"/>
    <w:pPr>
      <w:tabs>
        <w:tab w:val="right" w:leader="dot" w:pos="9360"/>
      </w:tabs>
      <w:autoSpaceDE w:val="0"/>
      <w:autoSpaceDN w:val="0"/>
      <w:adjustRightInd w:val="0"/>
      <w:ind w:left="576"/>
    </w:pPr>
    <w:rPr>
      <w:rFonts w:eastAsia="Times New Roman"/>
      <w:szCs w:val="26"/>
    </w:rPr>
  </w:style>
  <w:style w:type="paragraph" w:customStyle="1" w:styleId="FERCparanumber">
    <w:name w:val="FERC paranumber"/>
    <w:basedOn w:val="Normal"/>
    <w:link w:val="FERCparanumberChar"/>
    <w:qFormat/>
    <w:rsid w:val="0011641C"/>
    <w:pPr>
      <w:numPr>
        <w:numId w:val="2"/>
      </w:numPr>
      <w:spacing w:line="480" w:lineRule="auto"/>
    </w:pPr>
  </w:style>
  <w:style w:type="character" w:customStyle="1" w:styleId="FERCparanumberChar">
    <w:name w:val="FERC paranumber Char"/>
    <w:basedOn w:val="DefaultParagraphFont"/>
    <w:link w:val="FERCparanumber"/>
    <w:rsid w:val="0011641C"/>
    <w:rPr>
      <w:rFonts w:ascii="Times New Roman" w:hAnsi="Times New Roman" w:cs="Times New Roman"/>
      <w:sz w:val="26"/>
    </w:rPr>
  </w:style>
  <w:style w:type="character" w:styleId="Hyperlink">
    <w:name w:val="Hyperlink"/>
    <w:basedOn w:val="DefaultParagraphFont"/>
    <w:uiPriority w:val="99"/>
    <w:unhideWhenUsed/>
    <w:rsid w:val="0011641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064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649A"/>
    <w:rPr>
      <w:rFonts w:ascii="Times New Roman" w:hAnsi="Times New Roman" w:cs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8064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649A"/>
    <w:rPr>
      <w:rFonts w:ascii="Times New Roman" w:hAnsi="Times New Roman" w:cs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AF6"/>
    <w:pPr>
      <w:widowControl w:val="0"/>
      <w:spacing w:after="0" w:line="240" w:lineRule="auto"/>
    </w:pPr>
    <w:rPr>
      <w:rFonts w:ascii="Times New Roman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7A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3E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1D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DD7"/>
    <w:rPr>
      <w:rFonts w:ascii="Segoe UI" w:hAnsi="Segoe UI" w:cs="Segoe UI"/>
      <w:sz w:val="18"/>
      <w:szCs w:val="18"/>
    </w:rPr>
  </w:style>
  <w:style w:type="paragraph" w:customStyle="1" w:styleId="myTOC1">
    <w:name w:val="myTOC 1"/>
    <w:basedOn w:val="Normal"/>
    <w:next w:val="Normal"/>
    <w:rsid w:val="0011641C"/>
    <w:pPr>
      <w:tabs>
        <w:tab w:val="right" w:leader="dot" w:pos="9360"/>
      </w:tabs>
      <w:autoSpaceDE w:val="0"/>
      <w:autoSpaceDN w:val="0"/>
      <w:adjustRightInd w:val="0"/>
      <w:spacing w:before="120"/>
    </w:pPr>
    <w:rPr>
      <w:rFonts w:eastAsia="Times New Roman"/>
      <w:szCs w:val="26"/>
    </w:rPr>
  </w:style>
  <w:style w:type="paragraph" w:customStyle="1" w:styleId="myTOC2">
    <w:name w:val="myTOC 2"/>
    <w:basedOn w:val="Normal"/>
    <w:next w:val="Normal"/>
    <w:rsid w:val="0011641C"/>
    <w:pPr>
      <w:tabs>
        <w:tab w:val="right" w:leader="dot" w:pos="9360"/>
      </w:tabs>
      <w:autoSpaceDE w:val="0"/>
      <w:autoSpaceDN w:val="0"/>
      <w:adjustRightInd w:val="0"/>
      <w:ind w:left="288"/>
    </w:pPr>
    <w:rPr>
      <w:rFonts w:eastAsia="Times New Roman"/>
      <w:szCs w:val="26"/>
    </w:rPr>
  </w:style>
  <w:style w:type="paragraph" w:customStyle="1" w:styleId="myTOC3">
    <w:name w:val="myTOC 3"/>
    <w:basedOn w:val="Normal"/>
    <w:next w:val="Normal"/>
    <w:rsid w:val="0011641C"/>
    <w:pPr>
      <w:tabs>
        <w:tab w:val="right" w:leader="dot" w:pos="9360"/>
      </w:tabs>
      <w:autoSpaceDE w:val="0"/>
      <w:autoSpaceDN w:val="0"/>
      <w:adjustRightInd w:val="0"/>
      <w:ind w:left="576"/>
    </w:pPr>
    <w:rPr>
      <w:rFonts w:eastAsia="Times New Roman"/>
      <w:szCs w:val="26"/>
    </w:rPr>
  </w:style>
  <w:style w:type="paragraph" w:customStyle="1" w:styleId="FERCparanumber">
    <w:name w:val="FERC paranumber"/>
    <w:basedOn w:val="Normal"/>
    <w:link w:val="FERCparanumberChar"/>
    <w:qFormat/>
    <w:rsid w:val="0011641C"/>
    <w:pPr>
      <w:numPr>
        <w:numId w:val="2"/>
      </w:numPr>
      <w:spacing w:line="480" w:lineRule="auto"/>
    </w:pPr>
  </w:style>
  <w:style w:type="character" w:customStyle="1" w:styleId="FERCparanumberChar">
    <w:name w:val="FERC paranumber Char"/>
    <w:basedOn w:val="DefaultParagraphFont"/>
    <w:link w:val="FERCparanumber"/>
    <w:rsid w:val="0011641C"/>
    <w:rPr>
      <w:rFonts w:ascii="Times New Roman" w:hAnsi="Times New Roman" w:cs="Times New Roman"/>
      <w:sz w:val="26"/>
    </w:rPr>
  </w:style>
  <w:style w:type="character" w:styleId="Hyperlink">
    <w:name w:val="Hyperlink"/>
    <w:basedOn w:val="DefaultParagraphFont"/>
    <w:uiPriority w:val="99"/>
    <w:unhideWhenUsed/>
    <w:rsid w:val="0011641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064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649A"/>
    <w:rPr>
      <w:rFonts w:ascii="Times New Roman" w:hAnsi="Times New Roman" w:cs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8064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649A"/>
    <w:rPr>
      <w:rFonts w:ascii="Times New Roman" w:hAnsi="Times New Roman" w:cs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74a4cd09-5f17-433b-814a-38e7e9115d16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BBA46C296F7C4CB651D6F7E4CC084A" ma:contentTypeVersion="6" ma:contentTypeDescription="Create a new document." ma:contentTypeScope="" ma:versionID="0f70db97750ef986ae0341d7ca06254e">
  <xsd:schema xmlns:xsd="http://www.w3.org/2001/XMLSchema" xmlns:xs="http://www.w3.org/2001/XMLSchema" xmlns:p="http://schemas.microsoft.com/office/2006/metadata/properties" xmlns:ns2="5e8733a2-e908-454b-85cf-c9d17e1d0943" targetNamespace="http://schemas.microsoft.com/office/2006/metadata/properties" ma:root="true" ma:fieldsID="de1f8b43b19bdf3d1502717f535efbd3" ns2:_="">
    <xsd:import namespace="5e8733a2-e908-454b-85cf-c9d17e1d0943"/>
    <xsd:element name="properties">
      <xsd:complexType>
        <xsd:sequence>
          <xsd:element name="documentManagement">
            <xsd:complexType>
              <xsd:all>
                <xsd:element ref="ns2:Security_x0020_Level" minOccurs="0"/>
                <xsd:element ref="ns2:Number_x0020_Of_x0020_Pages" minOccurs="0"/>
                <xsd:element ref="ns2:Doc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733a2-e908-454b-85cf-c9d17e1d0943" elementFormDefault="qualified">
    <xsd:import namespace="http://schemas.microsoft.com/office/2006/documentManagement/types"/>
    <xsd:import namespace="http://schemas.microsoft.com/office/infopath/2007/PartnerControls"/>
    <xsd:element name="Security_x0020_Level" ma:index="8" nillable="true" ma:displayName="Security Level" ma:internalName="Security_x0020_Level">
      <xsd:simpleType>
        <xsd:restriction base="dms:Text">
          <xsd:maxLength value="255"/>
        </xsd:restriction>
      </xsd:simpleType>
    </xsd:element>
    <xsd:element name="Number_x0020_Of_x0020_Pages" ma:index="9" nillable="true" ma:displayName="Number Of Pages" ma:internalName="Number_x0020_Of_x0020_Pages">
      <xsd:simpleType>
        <xsd:restriction base="dms:Number"/>
      </xsd:simpleType>
    </xsd:element>
    <xsd:element name="DocType" ma:index="10" nillable="true" ma:displayName="DocType" ma:internalName="DocTyp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ype xmlns="5e8733a2-e908-454b-85cf-c9d17e1d0943">Issuance</DocType>
    <Security_x0020_Level xmlns="5e8733a2-e908-454b-85cf-c9d17e1d0943">Public</Security_x0020_Level>
    <Number_x0020_Of_x0020_Pages xmlns="5e8733a2-e908-454b-85cf-c9d17e1d094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73B93-CAE0-4211-80DB-FD5529CE00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6DAD45-6BAC-4980-9A8E-C10FE558C40E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67B653D2-6978-4059-850A-5B8C9C1C68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8733a2-e908-454b-85cf-c9d17e1d09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A0395D-046E-46E9-9D14-4151CB0CCA3A}">
  <ds:schemaRefs>
    <ds:schemaRef ds:uri="http://schemas.microsoft.com/office/2006/metadata/properties"/>
    <ds:schemaRef ds:uri="http://schemas.microsoft.com/office/infopath/2007/PartnerControls"/>
    <ds:schemaRef ds:uri="5e8733a2-e908-454b-85cf-c9d17e1d0943"/>
  </ds:schemaRefs>
</ds:datastoreItem>
</file>

<file path=customXml/itemProps5.xml><?xml version="1.0" encoding="utf-8"?>
<ds:datastoreItem xmlns:ds="http://schemas.openxmlformats.org/officeDocument/2006/customXml" ds:itemID="{8EED35C1-4121-4D72-B402-68108B13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5419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2018-04-09T21:06:00Z</dcterms:created>
  <dcterms:modified xsi:type="dcterms:W3CDTF">2018-04-09T21:06:00Z</dcterms:modified>
  <cp:category/>
  <dc:identifier/>
  <cp:contentStatus/>
  <cp:version/>
</cp:coreProperties>
</file>