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EBE" w:rsidRDefault="00AD4824" w14:paraId="72B6C887" w14:textId="4D3DE833">
      <w:r w:rsidRPr="00AD4824">
        <w:t>Electronic Code of Federal Regulations</w:t>
      </w:r>
      <w:r>
        <w:t xml:space="preserve">, </w:t>
      </w:r>
      <w:r w:rsidRPr="00AD4824">
        <w:t>Title 18. Conservation of Power and Water Resources Chapter I. FEDERAL ENERGY REGULATORY COMMISSION, DEPARTMENT OF ENERGY Subchapter B. REGULATIONS UNDER THE FEDERAL POWER ACT</w:t>
      </w:r>
      <w:r>
        <w:t xml:space="preserve">, </w:t>
      </w:r>
      <w:r w:rsidRPr="00AD4824">
        <w:t>Part 38. STANDARDS FOR PUBLIC UTILITY BUSINESS OPERATIONS AND COMMUNICATIONS</w:t>
      </w:r>
    </w:p>
    <w:p w:rsidR="00AD4824" w:rsidRDefault="00AD4824" w14:paraId="5B01D3B4" w14:textId="218A7754">
      <w:r w:rsidRPr="00AD4824">
        <w:t>18 CFR § 38.1</w:t>
      </w:r>
      <w:r>
        <w:t xml:space="preserve">, </w:t>
      </w:r>
      <w:r w:rsidRPr="00AD4824">
        <w:t>Incorporation by reference of North American Energy Standards Board Wholesale Electric Quadrant standards.</w:t>
      </w:r>
    </w:p>
    <w:p w:rsidRPr="00AD4824" w:rsidR="00AD4824" w:rsidP="00AD4824" w:rsidRDefault="00AD4824" w14:paraId="3A1100A3" w14:textId="77777777">
      <w:pPr>
        <w:rPr>
          <w:b/>
          <w:bCs/>
        </w:rPr>
      </w:pPr>
      <w:r w:rsidRPr="00AD4824">
        <w:rPr>
          <w:b/>
          <w:bCs/>
        </w:rPr>
        <w:t>§ 38.1 Incorporation by reference of North American Energy Standards Board Wholesale Electric Quadrant standards.</w:t>
      </w:r>
    </w:p>
    <w:p w:rsidRPr="00AD4824" w:rsidR="00AD4824" w:rsidP="00AD4824" w:rsidRDefault="00AD4824" w14:paraId="395233A6" w14:textId="77777777">
      <w:r w:rsidRPr="00AD4824">
        <w:t>Link to an amendment published at </w:t>
      </w:r>
      <w:hyperlink w:history="1" r:id="rId4">
        <w:r w:rsidRPr="00AD4824">
          <w:rPr>
            <w:rStyle w:val="Hyperlink"/>
          </w:rPr>
          <w:t>86 FR 29502</w:t>
        </w:r>
      </w:hyperlink>
      <w:r w:rsidRPr="00AD4824">
        <w:t>, June 2, 2021.</w:t>
      </w:r>
    </w:p>
    <w:p w:rsidRPr="00AD4824" w:rsidR="00AD4824" w:rsidP="00AD4824" w:rsidRDefault="00AD4824" w14:paraId="21943741" w14:textId="77777777">
      <w:r w:rsidRPr="00AD4824">
        <w:rPr>
          <w:b/>
          <w:bCs/>
        </w:rPr>
        <w:t>(a)</w:t>
      </w:r>
      <w:r w:rsidRPr="00AD4824">
        <w:t> Any public utility that owns, operates, or controls facilities used for the </w:t>
      </w:r>
      <w:hyperlink w:history="1" r:id="rId5">
        <w:r w:rsidRPr="00AD4824">
          <w:rPr>
            <w:rStyle w:val="Hyperlink"/>
          </w:rPr>
          <w:t>transmission</w:t>
        </w:r>
      </w:hyperlink>
      <w:r w:rsidRPr="00AD4824">
        <w:t> of electric energy in interstate commerce or for the sale of electric energy at wholesale in interstate commerce and any non-public utility that seeks voluntary compliance with jurisdictional </w:t>
      </w:r>
      <w:hyperlink w:history="1" r:id="rId6">
        <w:r w:rsidRPr="00AD4824">
          <w:rPr>
            <w:rStyle w:val="Hyperlink"/>
          </w:rPr>
          <w:t>transmission</w:t>
        </w:r>
      </w:hyperlink>
      <w:r w:rsidRPr="00AD4824">
        <w:t> tariff reciprocity conditions must comply with the business practice and electronic communication standards promulgated by the North American Energy Standards Board (NAESB) Wholesale Electric Quadrant (WEQ) that are incorporated by reference in </w:t>
      </w:r>
      <w:hyperlink w:history="1" w:anchor="b" r:id="rId7">
        <w:r w:rsidRPr="00AD4824">
          <w:rPr>
            <w:rStyle w:val="Hyperlink"/>
          </w:rPr>
          <w:t>paragraph (b)</w:t>
        </w:r>
      </w:hyperlink>
      <w:r w:rsidRPr="00AD4824">
        <w:t> of this section.</w:t>
      </w:r>
    </w:p>
    <w:p w:rsidRPr="00AD4824" w:rsidR="00AD4824" w:rsidP="00AD4824" w:rsidRDefault="00AD4824" w14:paraId="4E188B2F" w14:textId="77777777">
      <w:r w:rsidRPr="00AD4824">
        <w:rPr>
          <w:b/>
          <w:bCs/>
        </w:rPr>
        <w:t>(b)</w:t>
      </w:r>
      <w:r w:rsidRPr="00AD4824">
        <w:t> The material cited in this paragraph (b) was approved by the Director of the Federal Register for incorporated by reference in this section in accordance with </w:t>
      </w:r>
      <w:hyperlink w:history="1" w:anchor="a" r:id="rId8">
        <w:r w:rsidRPr="00AD4824">
          <w:rPr>
            <w:rStyle w:val="Hyperlink"/>
          </w:rPr>
          <w:t>5 U.S.C. 552(a)</w:t>
        </w:r>
      </w:hyperlink>
      <w:r w:rsidRPr="00AD4824">
        <w:t> and </w:t>
      </w:r>
      <w:hyperlink w:history="1" r:id="rId9">
        <w:r w:rsidRPr="00AD4824">
          <w:rPr>
            <w:rStyle w:val="Hyperlink"/>
          </w:rPr>
          <w:t>1 CFR part 51</w:t>
        </w:r>
      </w:hyperlink>
      <w:r w:rsidRPr="00AD4824">
        <w:t>. Copies of the material may be obtained from North American Energy Standards Board (NAESB), 801 Travis Street, Suite 1675, Houston, TX 77002, Tel: (713) 356-0060. NAESB's website is at </w:t>
      </w:r>
      <w:r w:rsidRPr="00AD4824">
        <w:rPr>
          <w:i/>
          <w:iCs/>
        </w:rPr>
        <w:t>www.naesb.org/</w:t>
      </w:r>
      <w:r w:rsidRPr="00AD4824">
        <w:t>. The material may be inspected at the Federal Energy Regulatory Commission, Public Reference and Files Maintenance Branch, 888 First Street NE, Washington, DC 20426, Tel: (202) 02-8371, </w:t>
      </w:r>
      <w:r w:rsidRPr="00AD4824">
        <w:rPr>
          <w:i/>
          <w:iCs/>
        </w:rPr>
        <w:t>www.ferc.gov,</w:t>
      </w:r>
      <w:r w:rsidRPr="00AD4824">
        <w:t> or at the National Archives and Records Administration (NARA). For information on the availability of this material at NARA, email </w:t>
      </w:r>
      <w:r w:rsidRPr="00AD4824">
        <w:rPr>
          <w:i/>
          <w:iCs/>
        </w:rPr>
        <w:t>fedreg.legal@nara.gov,</w:t>
      </w:r>
      <w:r w:rsidRPr="00AD4824">
        <w:t> or go to: </w:t>
      </w:r>
      <w:r w:rsidRPr="00AD4824">
        <w:rPr>
          <w:i/>
          <w:iCs/>
        </w:rPr>
        <w:t>www.archives.gov/federal-register/cfr/ibr-locations.html</w:t>
      </w:r>
      <w:r w:rsidRPr="00AD4824">
        <w:t>. The NAESB WEQ Business Practice Standards; Standards and Models approved for incorporation by reference are:</w:t>
      </w:r>
    </w:p>
    <w:p w:rsidRPr="00AD4824" w:rsidR="00AD4824" w:rsidP="00AD4824" w:rsidRDefault="00AD4824" w14:paraId="1EA06A5C" w14:textId="77777777">
      <w:r w:rsidRPr="00AD4824">
        <w:rPr>
          <w:b/>
          <w:bCs/>
        </w:rPr>
        <w:t>(1)</w:t>
      </w:r>
      <w:r w:rsidRPr="00AD4824">
        <w:t> WEQ-000, Abbreviations, Acronyms, and Definition of Terms, standard WEQ-000-2 ([WEQ] Version 003.1, September 30, 2015), including only: the definitions of Interconnection Time Monitor, Time Error, and Time Error Correction;</w:t>
      </w:r>
    </w:p>
    <w:p w:rsidRPr="00AD4824" w:rsidR="00AD4824" w:rsidP="00AD4824" w:rsidRDefault="00AD4824" w14:paraId="0B1D0E90" w14:textId="77777777">
      <w:r w:rsidRPr="00AD4824">
        <w:rPr>
          <w:b/>
          <w:bCs/>
        </w:rPr>
        <w:t>(2)</w:t>
      </w:r>
      <w:r w:rsidRPr="00AD4824">
        <w:t xml:space="preserve"> WEQ-000, Abbreviations, Acronyms, and Definition of Terms, ([WEQ] Version 003.2, Dec. 8, </w:t>
      </w:r>
      <w:proofErr w:type="gramStart"/>
      <w:r w:rsidRPr="00AD4824">
        <w:t>2017)(</w:t>
      </w:r>
      <w:proofErr w:type="gramEnd"/>
      <w:r w:rsidRPr="00AD4824">
        <w:t>with minor correction applied July 23, 2019);</w:t>
      </w:r>
    </w:p>
    <w:p w:rsidRPr="00AD4824" w:rsidR="00AD4824" w:rsidP="00AD4824" w:rsidRDefault="00AD4824" w14:paraId="74C45432" w14:textId="77777777">
      <w:r w:rsidRPr="00AD4824">
        <w:rPr>
          <w:b/>
          <w:bCs/>
        </w:rPr>
        <w:t>(3)</w:t>
      </w:r>
      <w:r w:rsidRPr="00AD4824">
        <w:t> WEQ-001, Open Access Same-Time Information Systems (OASIS), [OASIS] Version 2.2 ([WEQ] Version 003.2, Dec. 8, 2017), excluding: standards WEQ-001-9 preamble text, WEQ-001-10 preamble text;</w:t>
      </w:r>
    </w:p>
    <w:p w:rsidRPr="00AD4824" w:rsidR="00AD4824" w:rsidP="00AD4824" w:rsidRDefault="00AD4824" w14:paraId="2ADEF09C" w14:textId="77777777">
      <w:r w:rsidRPr="00AD4824">
        <w:rPr>
          <w:b/>
          <w:bCs/>
        </w:rPr>
        <w:t>(4)</w:t>
      </w:r>
      <w:r w:rsidRPr="00AD4824">
        <w:t> WEQ-002, Open Access Same-Time Information Systems (OASIS) Business Practice Standards and Communication Protocols (S&amp;CP), [OASIS] Version 2.2 ([WEQ] Version 003.2, Dec. 8, 2017);</w:t>
      </w:r>
    </w:p>
    <w:p w:rsidRPr="00AD4824" w:rsidR="00AD4824" w:rsidP="00AD4824" w:rsidRDefault="00AD4824" w14:paraId="45C1609F" w14:textId="77777777">
      <w:r w:rsidRPr="00AD4824">
        <w:rPr>
          <w:b/>
          <w:bCs/>
        </w:rPr>
        <w:t>(5)</w:t>
      </w:r>
      <w:r w:rsidRPr="00AD4824">
        <w:t> WEQ-003, Open Access Same-Time Information Systems (OASIS) Data Dictionary, [OASIS] Version 2.2 ([WEQ] Version 003.2, Dec. 8, 2017) (with minor corrections applied July 23, 2019);</w:t>
      </w:r>
    </w:p>
    <w:p w:rsidRPr="00AD4824" w:rsidR="00AD4824" w:rsidP="00AD4824" w:rsidRDefault="00AD4824" w14:paraId="26A48656" w14:textId="77777777">
      <w:r w:rsidRPr="00AD4824">
        <w:rPr>
          <w:b/>
          <w:bCs/>
        </w:rPr>
        <w:t>(6)</w:t>
      </w:r>
      <w:r w:rsidRPr="00AD4824">
        <w:t> WEQ-004, Coordinate Interchange ([WEQ] Version 003.2, Dec. 8, 2017);</w:t>
      </w:r>
    </w:p>
    <w:p w:rsidRPr="00AD4824" w:rsidR="00AD4824" w:rsidP="00AD4824" w:rsidRDefault="00AD4824" w14:paraId="10C24B2A" w14:textId="77777777">
      <w:r w:rsidRPr="00AD4824">
        <w:rPr>
          <w:b/>
          <w:bCs/>
        </w:rPr>
        <w:t>(7)</w:t>
      </w:r>
      <w:r w:rsidRPr="00AD4824">
        <w:t> WEQ-005, Area Control Error (ACE) Equation Special Cases ([WEQ] Version 003.2, Dec. 8, 2017);</w:t>
      </w:r>
    </w:p>
    <w:p w:rsidRPr="00AD4824" w:rsidR="00AD4824" w:rsidP="00AD4824" w:rsidRDefault="00AD4824" w14:paraId="08CA4D66" w14:textId="77777777">
      <w:r w:rsidRPr="00AD4824">
        <w:rPr>
          <w:b/>
          <w:bCs/>
        </w:rPr>
        <w:lastRenderedPageBreak/>
        <w:t>(8)</w:t>
      </w:r>
      <w:r w:rsidRPr="00AD4824">
        <w:t> WEQ-006, Manual Time Error Correction ([WEQ] Version 003.1, Sept. 30, 2015);</w:t>
      </w:r>
    </w:p>
    <w:p w:rsidRPr="00AD4824" w:rsidR="00AD4824" w:rsidP="00AD4824" w:rsidRDefault="00AD4824" w14:paraId="5407EBF0" w14:textId="77777777">
      <w:r w:rsidRPr="00AD4824">
        <w:rPr>
          <w:b/>
          <w:bCs/>
        </w:rPr>
        <w:t>(9)</w:t>
      </w:r>
      <w:r w:rsidRPr="00AD4824">
        <w:t> WEQ-007, Inadvertent Interchange Payback ([WEQ] Version 003.2, Dec. 8, 2017);</w:t>
      </w:r>
    </w:p>
    <w:p w:rsidRPr="00AD4824" w:rsidR="00AD4824" w:rsidP="00AD4824" w:rsidRDefault="00AD4824" w14:paraId="4EF344A2" w14:textId="77777777">
      <w:r w:rsidRPr="00AD4824">
        <w:rPr>
          <w:b/>
          <w:bCs/>
        </w:rPr>
        <w:t>(10)</w:t>
      </w:r>
      <w:r w:rsidRPr="00AD4824">
        <w:t> WEQ-008, </w:t>
      </w:r>
      <w:hyperlink w:history="1" r:id="rId10">
        <w:r w:rsidRPr="00AD4824">
          <w:rPr>
            <w:rStyle w:val="Hyperlink"/>
          </w:rPr>
          <w:t>Transmission</w:t>
        </w:r>
      </w:hyperlink>
      <w:r w:rsidRPr="00AD4824">
        <w:t> Loading Relief (TLR) - Eastern Interconnection ([WEQ] Version 003.2, Dec. 8, 2017);</w:t>
      </w:r>
    </w:p>
    <w:p w:rsidRPr="00AD4824" w:rsidR="00AD4824" w:rsidP="00AD4824" w:rsidRDefault="00AD4824" w14:paraId="659CCAA6" w14:textId="77777777">
      <w:r w:rsidRPr="00AD4824">
        <w:rPr>
          <w:b/>
          <w:bCs/>
        </w:rPr>
        <w:t>(11)</w:t>
      </w:r>
      <w:r w:rsidRPr="00AD4824">
        <w:t> WEQ-011, Gas/Electric Coordination ([WEQ] Version 003.2, Dec. 8, 2017);</w:t>
      </w:r>
    </w:p>
    <w:p w:rsidRPr="00AD4824" w:rsidR="00AD4824" w:rsidP="00AD4824" w:rsidRDefault="00AD4824" w14:paraId="4B172D4D" w14:textId="77777777">
      <w:r w:rsidRPr="00AD4824">
        <w:rPr>
          <w:b/>
          <w:bCs/>
        </w:rPr>
        <w:t>(12)</w:t>
      </w:r>
      <w:r w:rsidRPr="00AD4824">
        <w:t> WEQ-012, Public Key Infrastructure (PKI) ([WEQ] Version 003.2, Dec. 8, 2017);</w:t>
      </w:r>
    </w:p>
    <w:p w:rsidRPr="00AD4824" w:rsidR="00AD4824" w:rsidP="00AD4824" w:rsidRDefault="00AD4824" w14:paraId="5331CB7F" w14:textId="77777777">
      <w:r w:rsidRPr="00AD4824">
        <w:rPr>
          <w:b/>
          <w:bCs/>
        </w:rPr>
        <w:t>(13)</w:t>
      </w:r>
      <w:r w:rsidRPr="00AD4824">
        <w:t> WEQ-013, Open Access Same-Time Information Systems (OASIS) Implementation Guide, [OASIS] Version 2.2 ([WEQ] Version 003.2, Dec. 8, 2017);</w:t>
      </w:r>
    </w:p>
    <w:p w:rsidRPr="00AD4824" w:rsidR="00AD4824" w:rsidP="00AD4824" w:rsidRDefault="00AD4824" w14:paraId="3858AFE3" w14:textId="77777777">
      <w:r w:rsidRPr="00AD4824">
        <w:rPr>
          <w:b/>
          <w:bCs/>
        </w:rPr>
        <w:t>(14)</w:t>
      </w:r>
      <w:r w:rsidRPr="00AD4824">
        <w:t> WEQ-015, Measurement and Verification of Wholesale Electricity Demand Response ([WEQ] Version 003.2, Dec. 8, 2017);</w:t>
      </w:r>
    </w:p>
    <w:p w:rsidRPr="00AD4824" w:rsidR="00AD4824" w:rsidP="00AD4824" w:rsidRDefault="00AD4824" w14:paraId="3D606EC2" w14:textId="77777777">
      <w:r w:rsidRPr="00AD4824">
        <w:rPr>
          <w:b/>
          <w:bCs/>
        </w:rPr>
        <w:t>(15)</w:t>
      </w:r>
      <w:r w:rsidRPr="00AD4824">
        <w:t xml:space="preserve"> WEQ-021, Measurement and Verification of Energy Efficiency Products ([WEQ] Version </w:t>
      </w:r>
      <w:proofErr w:type="gramStart"/>
      <w:r w:rsidRPr="00AD4824">
        <w:t>003.2,Dec.</w:t>
      </w:r>
      <w:proofErr w:type="gramEnd"/>
      <w:r w:rsidRPr="00AD4824">
        <w:t xml:space="preserve"> 8, 2017);</w:t>
      </w:r>
    </w:p>
    <w:p w:rsidRPr="00AD4824" w:rsidR="00AD4824" w:rsidP="00AD4824" w:rsidRDefault="00AD4824" w14:paraId="3785D368" w14:textId="77777777">
      <w:r w:rsidRPr="00AD4824">
        <w:rPr>
          <w:b/>
          <w:bCs/>
        </w:rPr>
        <w:t>(16)</w:t>
      </w:r>
      <w:r w:rsidRPr="00AD4824">
        <w:t> WEQ-022, Electric Industry Registry ([WEQ] Version 003.2, Dec. 8, 2017); and</w:t>
      </w:r>
    </w:p>
    <w:p w:rsidRPr="00AD4824" w:rsidR="00AD4824" w:rsidP="00AD4824" w:rsidRDefault="00AD4824" w14:paraId="240C08D6" w14:textId="77777777">
      <w:r w:rsidRPr="00AD4824">
        <w:rPr>
          <w:b/>
          <w:bCs/>
        </w:rPr>
        <w:t>(17)</w:t>
      </w:r>
      <w:r w:rsidRPr="00AD4824">
        <w:t> WEQ-023, Modeling ([WEQ] Version 003.2, Dec. 8, 2017), including only: standards WEQ-023-5; WEQ-023-5.1; WEQ-023-5.1.1; WEQ-023-5.1.2; WEQ-023-5.1.2.1; WEQ-023-5.1.2.2; WEQ-023-5.1.2.3; WEQ-023-5.1.3; WEQ-023-5.2; WEQ-023-6; WEQ-023-6.1; WEQ-023-6.1.1; WEQ-023-6.1.2; and WEQ-023-A Appendix A.</w:t>
      </w:r>
    </w:p>
    <w:p w:rsidRPr="00AD4824" w:rsidR="00AD4824" w:rsidP="00AD4824" w:rsidRDefault="00AD4824" w14:paraId="7CBBBB3A" w14:textId="77777777">
      <w:r w:rsidRPr="00AD4824">
        <w:t>[Order 676-I, </w:t>
      </w:r>
      <w:hyperlink w:history="1" r:id="rId11">
        <w:r w:rsidRPr="00AD4824">
          <w:rPr>
            <w:rStyle w:val="Hyperlink"/>
          </w:rPr>
          <w:t>85 FR 10585</w:t>
        </w:r>
      </w:hyperlink>
      <w:r w:rsidRPr="00AD4824">
        <w:t>, Feb. 25, 2020]</w:t>
      </w:r>
    </w:p>
    <w:p w:rsidR="00AD4824" w:rsidRDefault="00AD4824" w14:paraId="1CAFD7BB" w14:textId="33DFD753">
      <w:r>
        <w:t xml:space="preserve">------------------------------------------------------------ </w:t>
      </w:r>
    </w:p>
    <w:p w:rsidR="00AD4824" w:rsidRDefault="00AD4824" w14:paraId="2D5456AE" w14:textId="5EDA0784">
      <w:r w:rsidRPr="00AD4824">
        <w:t>18 CFR § 38.2 - Communication and information sharing among public utilities and pipelines.</w:t>
      </w:r>
    </w:p>
    <w:p w:rsidR="00AD4824" w:rsidP="00AD4824" w:rsidRDefault="00AD4824" w14:paraId="1274F5EE" w14:textId="77777777">
      <w:r>
        <w:t>§ 38.2 Communication and information sharing among public utilities and pipelines.</w:t>
      </w:r>
    </w:p>
    <w:p w:rsidR="00AD4824" w:rsidP="00AD4824" w:rsidRDefault="00AD4824" w14:paraId="2C0B57BF" w14:textId="77777777">
      <w:r>
        <w:t xml:space="preserve">(a) Any public utility that owns, operates, or controls facilities used for the transmission of electric energy in interstate commerce is authorized to share non-public, operational information with a pipeline, as defined in § 284.12(b)(4) of this chapter, or another public utility covered by this section for the purpose of promoting </w:t>
      </w:r>
      <w:bookmarkStart w:name="_GoBack" w:id="0"/>
      <w:bookmarkEnd w:id="0"/>
      <w:r>
        <w:t>reliable service or operational planning.</w:t>
      </w:r>
    </w:p>
    <w:p w:rsidR="00AD4824" w:rsidP="00AD4824" w:rsidRDefault="00AD4824" w14:paraId="4A31FB46" w14:textId="77777777"/>
    <w:p w:rsidR="00AD4824" w:rsidP="00AD4824" w:rsidRDefault="00AD4824" w14:paraId="7A8191CE" w14:textId="77777777">
      <w:r>
        <w:t>(b) Except as permitted in paragraph (a) of this section, a public utility, as defined in this section, and its employees, contractors, consultants, and agents are prohibited from disclosing, or using anyone as a conduit for the disclosure of, non-public, operational information received from a pipeline pursuant to § 284.12(b)(4) of this chapter to a third party or to its marketing function employees as that term is defined in § 358.3(d) of this chapter.</w:t>
      </w:r>
    </w:p>
    <w:p w:rsidR="00AD4824" w:rsidP="00AD4824" w:rsidRDefault="00AD4824" w14:paraId="57C382D2" w14:textId="77777777"/>
    <w:p w:rsidR="00AD4824" w:rsidP="00AD4824" w:rsidRDefault="00AD4824" w14:paraId="6D5F4BA9" w14:textId="027E9D37">
      <w:r>
        <w:t>[78 FR 70187, Nov. 22, 2013]</w:t>
      </w:r>
    </w:p>
    <w:sectPr w:rsidR="00AD4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24"/>
    <w:rsid w:val="00AD4824"/>
    <w:rsid w:val="00C7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BECF"/>
  <w15:chartTrackingRefBased/>
  <w15:docId w15:val="{C5D210DE-EF54-450C-A258-2F87A773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824"/>
    <w:rPr>
      <w:color w:val="0563C1" w:themeColor="hyperlink"/>
      <w:u w:val="single"/>
    </w:rPr>
  </w:style>
  <w:style w:type="character" w:styleId="UnresolvedMention">
    <w:name w:val="Unresolved Mention"/>
    <w:basedOn w:val="DefaultParagraphFont"/>
    <w:uiPriority w:val="99"/>
    <w:semiHidden/>
    <w:unhideWhenUsed/>
    <w:rsid w:val="00AD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84137">
      <w:bodyDiv w:val="1"/>
      <w:marLeft w:val="0"/>
      <w:marRight w:val="0"/>
      <w:marTop w:val="0"/>
      <w:marBottom w:val="0"/>
      <w:divBdr>
        <w:top w:val="none" w:sz="0" w:space="0" w:color="auto"/>
        <w:left w:val="none" w:sz="0" w:space="0" w:color="auto"/>
        <w:bottom w:val="none" w:sz="0" w:space="0" w:color="auto"/>
        <w:right w:val="none" w:sz="0" w:space="0" w:color="auto"/>
      </w:divBdr>
      <w:divsChild>
        <w:div w:id="1026949355">
          <w:marLeft w:val="0"/>
          <w:marRight w:val="0"/>
          <w:marTop w:val="0"/>
          <w:marBottom w:val="0"/>
          <w:divBdr>
            <w:top w:val="none" w:sz="0" w:space="0" w:color="auto"/>
            <w:left w:val="none" w:sz="0" w:space="0" w:color="auto"/>
            <w:bottom w:val="none" w:sz="0" w:space="0" w:color="auto"/>
            <w:right w:val="none" w:sz="0" w:space="0" w:color="auto"/>
          </w:divBdr>
          <w:divsChild>
            <w:div w:id="454838385">
              <w:marLeft w:val="0"/>
              <w:marRight w:val="0"/>
              <w:marTop w:val="0"/>
              <w:marBottom w:val="0"/>
              <w:divBdr>
                <w:top w:val="none" w:sz="0" w:space="0" w:color="auto"/>
                <w:left w:val="none" w:sz="0" w:space="0" w:color="auto"/>
                <w:bottom w:val="none" w:sz="0" w:space="0" w:color="auto"/>
                <w:right w:val="none" w:sz="0" w:space="0" w:color="auto"/>
              </w:divBdr>
              <w:divsChild>
                <w:div w:id="2004234991">
                  <w:marLeft w:val="-225"/>
                  <w:marRight w:val="-225"/>
                  <w:marTop w:val="0"/>
                  <w:marBottom w:val="0"/>
                  <w:divBdr>
                    <w:top w:val="none" w:sz="0" w:space="0" w:color="auto"/>
                    <w:left w:val="none" w:sz="0" w:space="0" w:color="auto"/>
                    <w:bottom w:val="none" w:sz="0" w:space="0" w:color="auto"/>
                    <w:right w:val="none" w:sz="0" w:space="0" w:color="auto"/>
                  </w:divBdr>
                  <w:divsChild>
                    <w:div w:id="726882713">
                      <w:marLeft w:val="0"/>
                      <w:marRight w:val="0"/>
                      <w:marTop w:val="0"/>
                      <w:marBottom w:val="0"/>
                      <w:divBdr>
                        <w:top w:val="single" w:sz="6" w:space="8" w:color="EEEEEE"/>
                        <w:left w:val="single" w:sz="6" w:space="8" w:color="EEEEEE"/>
                        <w:bottom w:val="single" w:sz="6" w:space="8" w:color="EEEEEE"/>
                        <w:right w:val="single" w:sz="6" w:space="8" w:color="EEEEEE"/>
                      </w:divBdr>
                      <w:divsChild>
                        <w:div w:id="1431505798">
                          <w:marLeft w:val="0"/>
                          <w:marRight w:val="0"/>
                          <w:marTop w:val="0"/>
                          <w:marBottom w:val="0"/>
                          <w:divBdr>
                            <w:top w:val="none" w:sz="0" w:space="0" w:color="auto"/>
                            <w:left w:val="none" w:sz="0" w:space="0" w:color="auto"/>
                            <w:bottom w:val="none" w:sz="0" w:space="0" w:color="auto"/>
                            <w:right w:val="none" w:sz="0" w:space="0" w:color="auto"/>
                          </w:divBdr>
                          <w:divsChild>
                            <w:div w:id="1200976182">
                              <w:marLeft w:val="0"/>
                              <w:marRight w:val="0"/>
                              <w:marTop w:val="0"/>
                              <w:marBottom w:val="0"/>
                              <w:divBdr>
                                <w:top w:val="single" w:sz="6" w:space="11" w:color="EEEEEE"/>
                                <w:left w:val="none" w:sz="0" w:space="0" w:color="auto"/>
                                <w:bottom w:val="none" w:sz="0" w:space="11" w:color="auto"/>
                                <w:right w:val="none" w:sz="0" w:space="0" w:color="auto"/>
                              </w:divBdr>
                              <w:divsChild>
                                <w:div w:id="1473133077">
                                  <w:marLeft w:val="0"/>
                                  <w:marRight w:val="0"/>
                                  <w:marTop w:val="0"/>
                                  <w:marBottom w:val="0"/>
                                  <w:divBdr>
                                    <w:top w:val="none" w:sz="0" w:space="0" w:color="auto"/>
                                    <w:left w:val="none" w:sz="0" w:space="0" w:color="auto"/>
                                    <w:bottom w:val="none" w:sz="0" w:space="0" w:color="auto"/>
                                    <w:right w:val="none" w:sz="0" w:space="0" w:color="auto"/>
                                  </w:divBdr>
                                  <w:divsChild>
                                    <w:div w:id="773598423">
                                      <w:marLeft w:val="0"/>
                                      <w:marRight w:val="0"/>
                                      <w:marTop w:val="240"/>
                                      <w:marBottom w:val="60"/>
                                      <w:divBdr>
                                        <w:top w:val="none" w:sz="0" w:space="0" w:color="auto"/>
                                        <w:left w:val="none" w:sz="0" w:space="0" w:color="auto"/>
                                        <w:bottom w:val="none" w:sz="0" w:space="0" w:color="auto"/>
                                        <w:right w:val="none" w:sz="0" w:space="0" w:color="auto"/>
                                      </w:divBdr>
                                      <w:divsChild>
                                        <w:div w:id="384528386">
                                          <w:marLeft w:val="0"/>
                                          <w:marRight w:val="0"/>
                                          <w:marTop w:val="0"/>
                                          <w:marBottom w:val="0"/>
                                          <w:divBdr>
                                            <w:top w:val="none" w:sz="0" w:space="0" w:color="auto"/>
                                            <w:left w:val="none" w:sz="0" w:space="0" w:color="auto"/>
                                            <w:bottom w:val="none" w:sz="0" w:space="0" w:color="auto"/>
                                            <w:right w:val="none" w:sz="0" w:space="0" w:color="auto"/>
                                          </w:divBdr>
                                          <w:divsChild>
                                            <w:div w:id="86124998">
                                              <w:marLeft w:val="0"/>
                                              <w:marRight w:val="0"/>
                                              <w:marTop w:val="0"/>
                                              <w:marBottom w:val="0"/>
                                              <w:divBdr>
                                                <w:top w:val="none" w:sz="0" w:space="0" w:color="auto"/>
                                                <w:left w:val="none" w:sz="0" w:space="0" w:color="auto"/>
                                                <w:bottom w:val="none" w:sz="0" w:space="0" w:color="auto"/>
                                                <w:right w:val="none" w:sz="0" w:space="0" w:color="auto"/>
                                              </w:divBdr>
                                            </w:div>
                                            <w:div w:id="385221459">
                                              <w:marLeft w:val="0"/>
                                              <w:marRight w:val="0"/>
                                              <w:marTop w:val="0"/>
                                              <w:marBottom w:val="0"/>
                                              <w:divBdr>
                                                <w:top w:val="none" w:sz="0" w:space="0" w:color="auto"/>
                                                <w:left w:val="none" w:sz="0" w:space="0" w:color="auto"/>
                                                <w:bottom w:val="none" w:sz="0" w:space="0" w:color="auto"/>
                                                <w:right w:val="none" w:sz="0" w:space="0" w:color="auto"/>
                                              </w:divBdr>
                                            </w:div>
                                            <w:div w:id="30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089747">
      <w:bodyDiv w:val="1"/>
      <w:marLeft w:val="0"/>
      <w:marRight w:val="0"/>
      <w:marTop w:val="0"/>
      <w:marBottom w:val="0"/>
      <w:divBdr>
        <w:top w:val="none" w:sz="0" w:space="0" w:color="auto"/>
        <w:left w:val="none" w:sz="0" w:space="0" w:color="auto"/>
        <w:bottom w:val="none" w:sz="0" w:space="0" w:color="auto"/>
        <w:right w:val="none" w:sz="0" w:space="0" w:color="auto"/>
      </w:divBdr>
      <w:divsChild>
        <w:div w:id="1287083964">
          <w:marLeft w:val="0"/>
          <w:marRight w:val="0"/>
          <w:marTop w:val="0"/>
          <w:marBottom w:val="0"/>
          <w:divBdr>
            <w:top w:val="none" w:sz="0" w:space="0" w:color="auto"/>
            <w:left w:val="none" w:sz="0" w:space="0" w:color="auto"/>
            <w:bottom w:val="none" w:sz="0" w:space="0" w:color="auto"/>
            <w:right w:val="none" w:sz="0" w:space="0" w:color="auto"/>
          </w:divBdr>
          <w:divsChild>
            <w:div w:id="1084424531">
              <w:marLeft w:val="0"/>
              <w:marRight w:val="0"/>
              <w:marTop w:val="0"/>
              <w:marBottom w:val="0"/>
              <w:divBdr>
                <w:top w:val="none" w:sz="0" w:space="0" w:color="auto"/>
                <w:left w:val="none" w:sz="0" w:space="0" w:color="auto"/>
                <w:bottom w:val="none" w:sz="0" w:space="0" w:color="auto"/>
                <w:right w:val="none" w:sz="0" w:space="0" w:color="auto"/>
              </w:divBdr>
              <w:divsChild>
                <w:div w:id="2073501947">
                  <w:marLeft w:val="-225"/>
                  <w:marRight w:val="-225"/>
                  <w:marTop w:val="0"/>
                  <w:marBottom w:val="0"/>
                  <w:divBdr>
                    <w:top w:val="none" w:sz="0" w:space="0" w:color="auto"/>
                    <w:left w:val="none" w:sz="0" w:space="0" w:color="auto"/>
                    <w:bottom w:val="none" w:sz="0" w:space="0" w:color="auto"/>
                    <w:right w:val="none" w:sz="0" w:space="0" w:color="auto"/>
                  </w:divBdr>
                  <w:divsChild>
                    <w:div w:id="31001751">
                      <w:marLeft w:val="0"/>
                      <w:marRight w:val="0"/>
                      <w:marTop w:val="0"/>
                      <w:marBottom w:val="0"/>
                      <w:divBdr>
                        <w:top w:val="single" w:sz="6" w:space="8" w:color="EEEEEE"/>
                        <w:left w:val="single" w:sz="6" w:space="8" w:color="EEEEEE"/>
                        <w:bottom w:val="single" w:sz="6" w:space="8" w:color="EEEEEE"/>
                        <w:right w:val="single" w:sz="6" w:space="8" w:color="EEEEEE"/>
                      </w:divBdr>
                      <w:divsChild>
                        <w:div w:id="366298487">
                          <w:marLeft w:val="0"/>
                          <w:marRight w:val="0"/>
                          <w:marTop w:val="0"/>
                          <w:marBottom w:val="0"/>
                          <w:divBdr>
                            <w:top w:val="none" w:sz="0" w:space="0" w:color="auto"/>
                            <w:left w:val="none" w:sz="0" w:space="0" w:color="auto"/>
                            <w:bottom w:val="none" w:sz="0" w:space="0" w:color="auto"/>
                            <w:right w:val="none" w:sz="0" w:space="0" w:color="auto"/>
                          </w:divBdr>
                          <w:divsChild>
                            <w:div w:id="2042393288">
                              <w:marLeft w:val="0"/>
                              <w:marRight w:val="0"/>
                              <w:marTop w:val="0"/>
                              <w:marBottom w:val="0"/>
                              <w:divBdr>
                                <w:top w:val="single" w:sz="6" w:space="11" w:color="EEEEEE"/>
                                <w:left w:val="none" w:sz="0" w:space="0" w:color="auto"/>
                                <w:bottom w:val="none" w:sz="0" w:space="11" w:color="auto"/>
                                <w:right w:val="none" w:sz="0" w:space="0" w:color="auto"/>
                              </w:divBdr>
                              <w:divsChild>
                                <w:div w:id="1397583940">
                                  <w:marLeft w:val="0"/>
                                  <w:marRight w:val="0"/>
                                  <w:marTop w:val="0"/>
                                  <w:marBottom w:val="0"/>
                                  <w:divBdr>
                                    <w:top w:val="none" w:sz="0" w:space="0" w:color="auto"/>
                                    <w:left w:val="none" w:sz="0" w:space="0" w:color="auto"/>
                                    <w:bottom w:val="none" w:sz="0" w:space="0" w:color="auto"/>
                                    <w:right w:val="none" w:sz="0" w:space="0" w:color="auto"/>
                                  </w:divBdr>
                                  <w:divsChild>
                                    <w:div w:id="265118646">
                                      <w:marLeft w:val="0"/>
                                      <w:marRight w:val="0"/>
                                      <w:marTop w:val="240"/>
                                      <w:marBottom w:val="60"/>
                                      <w:divBdr>
                                        <w:top w:val="none" w:sz="0" w:space="0" w:color="auto"/>
                                        <w:left w:val="none" w:sz="0" w:space="0" w:color="auto"/>
                                        <w:bottom w:val="none" w:sz="0" w:space="0" w:color="auto"/>
                                        <w:right w:val="none" w:sz="0" w:space="0" w:color="auto"/>
                                      </w:divBdr>
                                      <w:divsChild>
                                        <w:div w:id="887448877">
                                          <w:marLeft w:val="0"/>
                                          <w:marRight w:val="0"/>
                                          <w:marTop w:val="0"/>
                                          <w:marBottom w:val="0"/>
                                          <w:divBdr>
                                            <w:top w:val="none" w:sz="0" w:space="0" w:color="auto"/>
                                            <w:left w:val="none" w:sz="0" w:space="0" w:color="auto"/>
                                            <w:bottom w:val="none" w:sz="0" w:space="0" w:color="auto"/>
                                            <w:right w:val="none" w:sz="0" w:space="0" w:color="auto"/>
                                          </w:divBdr>
                                          <w:divsChild>
                                            <w:div w:id="1987004003">
                                              <w:marLeft w:val="0"/>
                                              <w:marRight w:val="0"/>
                                              <w:marTop w:val="0"/>
                                              <w:marBottom w:val="0"/>
                                              <w:divBdr>
                                                <w:top w:val="none" w:sz="0" w:space="0" w:color="auto"/>
                                                <w:left w:val="none" w:sz="0" w:space="0" w:color="auto"/>
                                                <w:bottom w:val="none" w:sz="0" w:space="0" w:color="auto"/>
                                                <w:right w:val="none" w:sz="0" w:space="0" w:color="auto"/>
                                              </w:divBdr>
                                            </w:div>
                                            <w:div w:id="1465808957">
                                              <w:marLeft w:val="0"/>
                                              <w:marRight w:val="0"/>
                                              <w:marTop w:val="0"/>
                                              <w:marBottom w:val="0"/>
                                              <w:divBdr>
                                                <w:top w:val="none" w:sz="0" w:space="0" w:color="auto"/>
                                                <w:left w:val="none" w:sz="0" w:space="0" w:color="auto"/>
                                                <w:bottom w:val="none" w:sz="0" w:space="0" w:color="auto"/>
                                                <w:right w:val="none" w:sz="0" w:space="0" w:color="auto"/>
                                              </w:divBdr>
                                            </w:div>
                                            <w:div w:id="15469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5/55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aw.cornell.edu/cfr/text/18/3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definitions/index.php?width=840&amp;height=800&amp;iframe=true&amp;def_id=8a058478b70cf1345b409a5932e31ffc&amp;term_occur=999&amp;term_src=Title:18:Chapter:I:Subchapter:B:Part:38:38.1" TargetMode="External"/><Relationship Id="rId11" Type="http://schemas.openxmlformats.org/officeDocument/2006/relationships/hyperlink" Target="https://www.law.cornell.edu/rio/citation/85_FR_10585" TargetMode="External"/><Relationship Id="rId5" Type="http://schemas.openxmlformats.org/officeDocument/2006/relationships/hyperlink" Target="https://www.law.cornell.edu/definitions/index.php?width=840&amp;height=800&amp;iframe=true&amp;def_id=8a058478b70cf1345b409a5932e31ffc&amp;term_occur=999&amp;term_src=Title:18:Chapter:I:Subchapter:B:Part:38:38.1" TargetMode="External"/><Relationship Id="rId10" Type="http://schemas.openxmlformats.org/officeDocument/2006/relationships/hyperlink" Target="https://www.law.cornell.edu/definitions/index.php?width=840&amp;height=800&amp;iframe=true&amp;def_id=8a058478b70cf1345b409a5932e31ffc&amp;term_occur=999&amp;term_src=Title:18:Chapter:I:Subchapter:B:Part:38:38.1" TargetMode="External"/><Relationship Id="rId4" Type="http://schemas.openxmlformats.org/officeDocument/2006/relationships/hyperlink" Target="https://www.law.cornell.edu/rio/citation/86_FR_29502" TargetMode="External"/><Relationship Id="rId9" Type="http://schemas.openxmlformats.org/officeDocument/2006/relationships/hyperlink" Target="https://www.law.cornell.edu/cfr/text/1/part-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969</Words>
  <Characters>5527</Characters>
  <Application>Microsoft Office Word</Application>
  <DocSecurity>0</DocSecurity>
  <Lines>46</Lines>
  <Paragraphs>12</Paragraphs>
  <ScaleCrop>false</ScaleCrop>
  <Company>Federal Energy Regulatory Commission</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Nour</dc:creator>
  <cp:keywords/>
  <dc:description/>
  <cp:lastModifiedBy>Lena Nour</cp:lastModifiedBy>
  <cp:revision>1</cp:revision>
  <dcterms:created xsi:type="dcterms:W3CDTF">2021-07-07T22:56:00Z</dcterms:created>
  <dcterms:modified xsi:type="dcterms:W3CDTF">2021-07-07T22:59:00Z</dcterms:modified>
</cp:coreProperties>
</file>