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2E03A3E4" w14:textId="77777777">
          <w:pPr>
            <w:rPr>
              <w:noProof/>
            </w:rPr>
          </w:pPr>
          <w:r>
            <w:rPr>
              <w:noProof/>
            </w:rPr>
            <mc:AlternateContent>
              <mc:Choice Requires="wps">
                <w:drawing>
                  <wp:anchor distT="0" distB="0" distL="114300" distR="114300" simplePos="0" relativeHeight="251676672" behindDoc="1" locked="0" layoutInCell="1" allowOverlap="1" wp14:editId="3AA3D2DF" wp14:anchorId="002F88E8">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64A54FB">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5C71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editId="01205F64" wp14:anchorId="39DD7D65">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editId="3923C19F" wp14:anchorId="51F82EAF">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726BD16">
                  <v:shapetype id="_x0000_t32" coordsize="21600,21600" o:oned="t" filled="f" o:spt="32" path="m,l21600,21600e" w14:anchorId="6733E8C8">
                    <v:path fillok="f" arrowok="t" o:connecttype="none"/>
                    <o:lock v:ext="edit" shapetype="t"/>
                  </v:shapetype>
                  <v:shape id="AutoShape 28"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5CB32184" w14:textId="77777777">
          <w:pPr>
            <w:ind w:left="1080"/>
          </w:pPr>
          <w:r>
            <w:rPr>
              <w:noProof/>
            </w:rPr>
            <w:softHyphen/>
          </w:r>
          <w:r>
            <w:rPr>
              <w:noProof/>
            </w:rPr>
            <w:softHyphen/>
          </w:r>
          <w:r>
            <w:rPr>
              <w:noProof/>
            </w:rPr>
            <w:softHyphen/>
          </w:r>
        </w:p>
      </w:sdtContent>
    </w:sdt>
    <w:p w:rsidR="00D928FD" w:rsidP="00D928FD" w:rsidRDefault="00D928FD" w14:paraId="5F19ADED"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E542B4" w14:paraId="7732494B"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 of U.S. Energy Information Administration’s (EIA) Oil and Gas Reserves System Surveys</w:t>
          </w:r>
        </w:p>
      </w:sdtContent>
    </w:sdt>
    <w:p w:rsidRPr="00EE2CAF" w:rsidR="0059212D" w:rsidP="00EE2CAF" w:rsidRDefault="00EE2CAF" w14:paraId="5F32A72C" w14:textId="77777777">
      <w:pPr>
        <w:pStyle w:val="Heading1"/>
      </w:pPr>
      <w:bookmarkStart w:name="_Toc492634199" w:id="0"/>
      <w:r w:rsidRPr="00EE2CAF">
        <w:t>Part A: Justification</w:t>
      </w:r>
      <w:bookmarkEnd w:id="0"/>
    </w:p>
    <w:p w:rsidRPr="00711414" w:rsidR="00711414" w:rsidP="00D928FD" w:rsidRDefault="007B28CB" w14:paraId="3544369A" w14:textId="77777777">
      <w:pPr>
        <w:rPr>
          <w:b/>
          <w:sz w:val="36"/>
          <w:szCs w:val="36"/>
        </w:rPr>
      </w:pPr>
      <w:r>
        <w:rPr>
          <w:noProof/>
        </w:rPr>
        <mc:AlternateContent>
          <mc:Choice Requires="wps">
            <w:drawing>
              <wp:anchor distT="0" distB="0" distL="114300" distR="114300" simplePos="0" relativeHeight="251693056" behindDoc="0" locked="0" layoutInCell="1" allowOverlap="1" wp14:editId="2BD3BAB0" wp14:anchorId="2BC7D218">
                <wp:simplePos x="0" y="0"/>
                <wp:positionH relativeFrom="margin">
                  <wp:posOffset>-17780</wp:posOffset>
                </wp:positionH>
                <wp:positionV relativeFrom="margin">
                  <wp:posOffset>3726180</wp:posOffset>
                </wp:positionV>
                <wp:extent cx="6019800" cy="2468880"/>
                <wp:effectExtent l="0" t="0" r="0" b="76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46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F3" w:rsidP="00FB6BF3" w:rsidRDefault="00FB6BF3" w14:paraId="2E4E0FCC" w14:textId="173628BA">
                            <w:pPr>
                              <w:rPr>
                                <w:i/>
                                <w:sz w:val="28"/>
                                <w:szCs w:val="28"/>
                              </w:rPr>
                            </w:pPr>
                            <w:r w:rsidRPr="0059212D">
                              <w:rPr>
                                <w:i/>
                                <w:sz w:val="28"/>
                                <w:szCs w:val="28"/>
                              </w:rPr>
                              <w:t>Form EIA-</w:t>
                            </w:r>
                            <w:r w:rsidR="00E542B4">
                              <w:rPr>
                                <w:i/>
                                <w:sz w:val="28"/>
                                <w:szCs w:val="28"/>
                              </w:rPr>
                              <w:t>23L</w:t>
                            </w:r>
                            <w:r w:rsidRPr="0059212D">
                              <w:rPr>
                                <w:i/>
                                <w:sz w:val="28"/>
                                <w:szCs w:val="28"/>
                              </w:rPr>
                              <w:t xml:space="preserve">, </w:t>
                            </w:r>
                            <w:r w:rsidR="00E542B4">
                              <w:rPr>
                                <w:i/>
                                <w:sz w:val="28"/>
                                <w:szCs w:val="28"/>
                              </w:rPr>
                              <w:t>Annual Report of Domestic Oil and Gas Reserves (</w:t>
                            </w:r>
                            <w:r w:rsidR="00A73221">
                              <w:rPr>
                                <w:i/>
                                <w:sz w:val="28"/>
                                <w:szCs w:val="28"/>
                              </w:rPr>
                              <w:t>State</w:t>
                            </w:r>
                            <w:r w:rsidR="00B361E2">
                              <w:rPr>
                                <w:i/>
                                <w:sz w:val="28"/>
                                <w:szCs w:val="28"/>
                              </w:rPr>
                              <w:t>/State Subdivision</w:t>
                            </w:r>
                            <w:r w:rsidR="00A73221">
                              <w:rPr>
                                <w:i/>
                                <w:sz w:val="28"/>
                                <w:szCs w:val="28"/>
                              </w:rPr>
                              <w:t xml:space="preserve"> </w:t>
                            </w:r>
                            <w:r w:rsidR="00E542B4">
                              <w:rPr>
                                <w:i/>
                                <w:sz w:val="28"/>
                                <w:szCs w:val="28"/>
                              </w:rPr>
                              <w:t xml:space="preserve">Version) — Extension of Collection </w:t>
                            </w:r>
                            <w:r w:rsidR="002930ED">
                              <w:rPr>
                                <w:i/>
                                <w:sz w:val="28"/>
                                <w:szCs w:val="28"/>
                              </w:rPr>
                              <w:t>w</w:t>
                            </w:r>
                            <w:r w:rsidR="00E542B4">
                              <w:rPr>
                                <w:i/>
                                <w:sz w:val="28"/>
                                <w:szCs w:val="28"/>
                              </w:rPr>
                              <w:t xml:space="preserve">ith </w:t>
                            </w:r>
                            <w:r w:rsidR="001635A7">
                              <w:rPr>
                                <w:i/>
                                <w:sz w:val="28"/>
                                <w:szCs w:val="28"/>
                              </w:rPr>
                              <w:t>C</w:t>
                            </w:r>
                            <w:r w:rsidR="00E542B4">
                              <w:rPr>
                                <w:i/>
                                <w:sz w:val="28"/>
                                <w:szCs w:val="28"/>
                              </w:rPr>
                              <w:t>hange</w:t>
                            </w:r>
                            <w:r w:rsidR="00A73221">
                              <w:rPr>
                                <w:i/>
                                <w:sz w:val="28"/>
                                <w:szCs w:val="28"/>
                              </w:rPr>
                              <w:t>s</w:t>
                            </w:r>
                          </w:p>
                          <w:p w:rsidR="00E542B4" w:rsidP="00FB6BF3" w:rsidRDefault="00E542B4" w14:paraId="03C0DD27" w14:textId="77777777">
                            <w:pPr>
                              <w:rPr>
                                <w:i/>
                                <w:sz w:val="28"/>
                                <w:szCs w:val="28"/>
                              </w:rPr>
                            </w:pPr>
                          </w:p>
                          <w:p w:rsidR="00E542B4" w:rsidP="00FB6BF3" w:rsidRDefault="00E542B4" w14:paraId="18F0E50E" w14:textId="77777777">
                            <w:pPr>
                              <w:rPr>
                                <w:i/>
                                <w:sz w:val="28"/>
                                <w:szCs w:val="28"/>
                              </w:rPr>
                            </w:pPr>
                            <w:r>
                              <w:rPr>
                                <w:i/>
                                <w:sz w:val="28"/>
                                <w:szCs w:val="28"/>
                              </w:rPr>
                              <w:t>Form EIA-23S, Annual Report of Domestic Oil and Gas Reserves (Summary Version) — Continuation of Suspension</w:t>
                            </w:r>
                          </w:p>
                          <w:p w:rsidR="00E542B4" w:rsidP="00FB6BF3" w:rsidRDefault="00E542B4" w14:paraId="6C90134A" w14:textId="77777777">
                            <w:pPr>
                              <w:rPr>
                                <w:i/>
                                <w:sz w:val="28"/>
                                <w:szCs w:val="28"/>
                              </w:rPr>
                            </w:pPr>
                          </w:p>
                          <w:p w:rsidRPr="0059212D" w:rsidR="00E542B4" w:rsidP="00FB6BF3" w:rsidRDefault="00E542B4" w14:paraId="6E40E97A" w14:textId="0B43F1B1">
                            <w:pPr>
                              <w:rPr>
                                <w:i/>
                                <w:sz w:val="28"/>
                                <w:szCs w:val="28"/>
                              </w:rPr>
                            </w:pPr>
                            <w:r>
                              <w:rPr>
                                <w:i/>
                                <w:sz w:val="28"/>
                                <w:szCs w:val="28"/>
                              </w:rPr>
                              <w:t xml:space="preserve">Form EIA-64A, Annual Report of the Origin of Natural Gas Liquids Production — Extension of Collection </w:t>
                            </w:r>
                            <w:r w:rsidR="002930ED">
                              <w:rPr>
                                <w:i/>
                                <w:sz w:val="28"/>
                                <w:szCs w:val="28"/>
                              </w:rPr>
                              <w:t>w</w:t>
                            </w:r>
                            <w:r>
                              <w:rPr>
                                <w:i/>
                                <w:sz w:val="28"/>
                                <w:szCs w:val="28"/>
                              </w:rPr>
                              <w:t xml:space="preserve">ithout </w:t>
                            </w:r>
                            <w:r w:rsidR="001635A7">
                              <w:rPr>
                                <w:i/>
                                <w:sz w:val="28"/>
                                <w:szCs w:val="28"/>
                              </w:rPr>
                              <w:t>C</w:t>
                            </w:r>
                            <w:r>
                              <w:rPr>
                                <w:i/>
                                <w:sz w:val="28"/>
                                <w:szCs w:val="28"/>
                              </w:rPr>
                              <w:t xml:space="preserve">hange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C7D218">
                <v:stroke joinstyle="miter"/>
                <v:path gradientshapeok="t" o:connecttype="rect"/>
              </v:shapetype>
              <v:shape id="Text Box 10" style="position:absolute;margin-left:-1.4pt;margin-top:293.4pt;width:474pt;height:194.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zyuAIAALg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">
                <v:textbox inset="0">
                  <w:txbxContent>
                    <w:p w:rsidR="00FB6BF3" w:rsidP="00FB6BF3" w:rsidRDefault="00FB6BF3" w14:paraId="2E4E0FCC" w14:textId="173628BA">
                      <w:pPr>
                        <w:rPr>
                          <w:i/>
                          <w:sz w:val="28"/>
                          <w:szCs w:val="28"/>
                        </w:rPr>
                      </w:pPr>
                      <w:r w:rsidRPr="0059212D">
                        <w:rPr>
                          <w:i/>
                          <w:sz w:val="28"/>
                          <w:szCs w:val="28"/>
                        </w:rPr>
                        <w:t>Form EIA-</w:t>
                      </w:r>
                      <w:r w:rsidR="00E542B4">
                        <w:rPr>
                          <w:i/>
                          <w:sz w:val="28"/>
                          <w:szCs w:val="28"/>
                        </w:rPr>
                        <w:t>23L</w:t>
                      </w:r>
                      <w:r w:rsidRPr="0059212D">
                        <w:rPr>
                          <w:i/>
                          <w:sz w:val="28"/>
                          <w:szCs w:val="28"/>
                        </w:rPr>
                        <w:t xml:space="preserve">, </w:t>
                      </w:r>
                      <w:r w:rsidR="00E542B4">
                        <w:rPr>
                          <w:i/>
                          <w:sz w:val="28"/>
                          <w:szCs w:val="28"/>
                        </w:rPr>
                        <w:t>Annual Report of Domestic Oil and Gas Reserves (</w:t>
                      </w:r>
                      <w:r w:rsidR="00A73221">
                        <w:rPr>
                          <w:i/>
                          <w:sz w:val="28"/>
                          <w:szCs w:val="28"/>
                        </w:rPr>
                        <w:t>State</w:t>
                      </w:r>
                      <w:r w:rsidR="00B361E2">
                        <w:rPr>
                          <w:i/>
                          <w:sz w:val="28"/>
                          <w:szCs w:val="28"/>
                        </w:rPr>
                        <w:t>/State Subdivision</w:t>
                      </w:r>
                      <w:r w:rsidR="00A73221">
                        <w:rPr>
                          <w:i/>
                          <w:sz w:val="28"/>
                          <w:szCs w:val="28"/>
                        </w:rPr>
                        <w:t xml:space="preserve"> </w:t>
                      </w:r>
                      <w:r w:rsidR="00E542B4">
                        <w:rPr>
                          <w:i/>
                          <w:sz w:val="28"/>
                          <w:szCs w:val="28"/>
                        </w:rPr>
                        <w:t xml:space="preserve">Version) — Extension of Collection </w:t>
                      </w:r>
                      <w:r w:rsidR="002930ED">
                        <w:rPr>
                          <w:i/>
                          <w:sz w:val="28"/>
                          <w:szCs w:val="28"/>
                        </w:rPr>
                        <w:t>w</w:t>
                      </w:r>
                      <w:r w:rsidR="00E542B4">
                        <w:rPr>
                          <w:i/>
                          <w:sz w:val="28"/>
                          <w:szCs w:val="28"/>
                        </w:rPr>
                        <w:t xml:space="preserve">ith </w:t>
                      </w:r>
                      <w:r w:rsidR="001635A7">
                        <w:rPr>
                          <w:i/>
                          <w:sz w:val="28"/>
                          <w:szCs w:val="28"/>
                        </w:rPr>
                        <w:t>C</w:t>
                      </w:r>
                      <w:r w:rsidR="00E542B4">
                        <w:rPr>
                          <w:i/>
                          <w:sz w:val="28"/>
                          <w:szCs w:val="28"/>
                        </w:rPr>
                        <w:t>hange</w:t>
                      </w:r>
                      <w:r w:rsidR="00A73221">
                        <w:rPr>
                          <w:i/>
                          <w:sz w:val="28"/>
                          <w:szCs w:val="28"/>
                        </w:rPr>
                        <w:t>s</w:t>
                      </w:r>
                    </w:p>
                    <w:p w:rsidR="00E542B4" w:rsidP="00FB6BF3" w:rsidRDefault="00E542B4" w14:paraId="03C0DD27" w14:textId="77777777">
                      <w:pPr>
                        <w:rPr>
                          <w:i/>
                          <w:sz w:val="28"/>
                          <w:szCs w:val="28"/>
                        </w:rPr>
                      </w:pPr>
                    </w:p>
                    <w:p w:rsidR="00E542B4" w:rsidP="00FB6BF3" w:rsidRDefault="00E542B4" w14:paraId="18F0E50E" w14:textId="77777777">
                      <w:pPr>
                        <w:rPr>
                          <w:i/>
                          <w:sz w:val="28"/>
                          <w:szCs w:val="28"/>
                        </w:rPr>
                      </w:pPr>
                      <w:r>
                        <w:rPr>
                          <w:i/>
                          <w:sz w:val="28"/>
                          <w:szCs w:val="28"/>
                        </w:rPr>
                        <w:t>Form EIA-23S, Annual Report of Domestic Oil and Gas Reserves (Summary Version) — Continuation of Suspension</w:t>
                      </w:r>
                    </w:p>
                    <w:p w:rsidR="00E542B4" w:rsidP="00FB6BF3" w:rsidRDefault="00E542B4" w14:paraId="6C90134A" w14:textId="77777777">
                      <w:pPr>
                        <w:rPr>
                          <w:i/>
                          <w:sz w:val="28"/>
                          <w:szCs w:val="28"/>
                        </w:rPr>
                      </w:pPr>
                    </w:p>
                    <w:p w:rsidRPr="0059212D" w:rsidR="00E542B4" w:rsidP="00FB6BF3" w:rsidRDefault="00E542B4" w14:paraId="6E40E97A" w14:textId="0B43F1B1">
                      <w:pPr>
                        <w:rPr>
                          <w:i/>
                          <w:sz w:val="28"/>
                          <w:szCs w:val="28"/>
                        </w:rPr>
                      </w:pPr>
                      <w:r>
                        <w:rPr>
                          <w:i/>
                          <w:sz w:val="28"/>
                          <w:szCs w:val="28"/>
                        </w:rPr>
                        <w:t xml:space="preserve">Form EIA-64A, Annual Report of the Origin of Natural Gas Liquids Production — Extension of Collection </w:t>
                      </w:r>
                      <w:r w:rsidR="002930ED">
                        <w:rPr>
                          <w:i/>
                          <w:sz w:val="28"/>
                          <w:szCs w:val="28"/>
                        </w:rPr>
                        <w:t>w</w:t>
                      </w:r>
                      <w:r>
                        <w:rPr>
                          <w:i/>
                          <w:sz w:val="28"/>
                          <w:szCs w:val="28"/>
                        </w:rPr>
                        <w:t xml:space="preserve">ithout </w:t>
                      </w:r>
                      <w:r w:rsidR="001635A7">
                        <w:rPr>
                          <w:i/>
                          <w:sz w:val="28"/>
                          <w:szCs w:val="28"/>
                        </w:rPr>
                        <w:t>C</w:t>
                      </w:r>
                      <w:r>
                        <w:rPr>
                          <w:i/>
                          <w:sz w:val="28"/>
                          <w:szCs w:val="28"/>
                        </w:rPr>
                        <w:t xml:space="preserve">hange </w:t>
                      </w:r>
                    </w:p>
                  </w:txbxContent>
                </v:textbox>
                <w10:wrap type="square" anchorx="margin" anchory="margin"/>
              </v:shape>
            </w:pict>
          </mc:Fallback>
        </mc:AlternateContent>
      </w:r>
      <w:r w:rsidRPr="00711414" w:rsidR="00711414">
        <w:rPr>
          <w:rFonts w:ascii="Times New Roman" w:hAnsi="Times New Roman" w:cs="Times New Roman"/>
          <w:b/>
          <w:sz w:val="36"/>
          <w:szCs w:val="36"/>
        </w:rPr>
        <w:t>OMB No. 1905-</w:t>
      </w:r>
      <w:r w:rsidR="00E542B4">
        <w:rPr>
          <w:rFonts w:ascii="Times New Roman" w:hAnsi="Times New Roman" w:cs="Times New Roman"/>
          <w:b/>
          <w:sz w:val="36"/>
          <w:szCs w:val="36"/>
        </w:rPr>
        <w:t>0057</w:t>
      </w:r>
    </w:p>
    <w:p w:rsidRPr="00711414" w:rsidR="001F3A8F" w:rsidP="00711414" w:rsidRDefault="00556D2C" w14:paraId="14EF6FD7" w14:textId="43C541CA">
      <w:pPr>
        <w:rPr>
          <w:i/>
          <w:sz w:val="28"/>
          <w:szCs w:val="28"/>
        </w:rPr>
      </w:pPr>
      <w:r>
        <w:rPr>
          <w:noProof/>
        </w:rPr>
        <w:drawing>
          <wp:anchor distT="0" distB="0" distL="114300" distR="114300" simplePos="0" relativeHeight="251658752" behindDoc="0" locked="0" layoutInCell="1" allowOverlap="1" wp14:editId="668BDD7F" wp14:anchorId="2376E310">
            <wp:simplePos x="0" y="0"/>
            <wp:positionH relativeFrom="page">
              <wp:posOffset>819150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B28CB">
        <w:rPr>
          <w:noProof/>
        </w:rPr>
        <mc:AlternateContent>
          <mc:Choice Requires="wps">
            <w:drawing>
              <wp:anchor distT="0" distB="0" distL="114300" distR="114300" simplePos="0" relativeHeight="251689984" behindDoc="1" locked="0" layoutInCell="1" allowOverlap="1" wp14:editId="4619D4E2" wp14:anchorId="74ADAEDA">
                <wp:simplePos x="0" y="0"/>
                <wp:positionH relativeFrom="column">
                  <wp:posOffset>-367030</wp:posOffset>
                </wp:positionH>
                <wp:positionV relativeFrom="paragraph">
                  <wp:posOffset>4134485</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1373800">
              <v:rect id="Rectangle 34" style="position:absolute;margin-left:-28.9pt;margin-top:325.55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BD31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">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editId="34B9C038" wp14:anchorId="6808CD52">
                <wp:simplePos x="0" y="0"/>
                <wp:positionH relativeFrom="margin">
                  <wp:posOffset>95250</wp:posOffset>
                </wp:positionH>
                <wp:positionV relativeFrom="margin">
                  <wp:posOffset>6393180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32F4A" w:rsidRDefault="002930ED" w14:paraId="6D388A4A" w14:textId="68DEB022">
                            <w:pPr>
                              <w:rPr>
                                <w:color w:val="A6A6A6" w:themeColor="background1" w:themeShade="A6"/>
                                <w:sz w:val="36"/>
                              </w:rPr>
                            </w:pPr>
                            <w:r>
                              <w:rPr>
                                <w:color w:val="A6A6A6" w:themeColor="background1" w:themeShade="A6"/>
                                <w:sz w:val="36"/>
                              </w:rPr>
                              <w:t>June</w:t>
                            </w:r>
                            <w:r>
                              <w:rPr>
                                <w:color w:val="A6A6A6" w:themeColor="background1" w:themeShade="A6"/>
                                <w:sz w:val="36"/>
                              </w:rPr>
                              <w:t xml:space="preserve"> </w:t>
                            </w:r>
                            <w:r w:rsidR="00E542B4">
                              <w:rPr>
                                <w:color w:val="A6A6A6" w:themeColor="background1" w:themeShade="A6"/>
                                <w:sz w:val="36"/>
                              </w:rPr>
                              <w:t>202</w:t>
                            </w:r>
                            <w:r w:rsidR="00A73221">
                              <w:rPr>
                                <w:color w:val="A6A6A6" w:themeColor="background1" w:themeShade="A6"/>
                                <w:sz w:val="36"/>
                              </w:rPr>
                              <w:t>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03.4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" w14:anchorId="6808CD52">
                <v:textbox style="mso-fit-shape-to-text:t" inset="0">
                  <w:txbxContent>
                    <w:p w:rsidRPr="009818F9" w:rsidR="00132F4A" w:rsidRDefault="002930ED" w14:paraId="6D388A4A" w14:textId="68DEB022">
                      <w:pPr>
                        <w:rPr>
                          <w:color w:val="A6A6A6" w:themeColor="background1" w:themeShade="A6"/>
                          <w:sz w:val="36"/>
                        </w:rPr>
                      </w:pPr>
                      <w:r>
                        <w:rPr>
                          <w:color w:val="A6A6A6" w:themeColor="background1" w:themeShade="A6"/>
                          <w:sz w:val="36"/>
                        </w:rPr>
                        <w:t>June</w:t>
                      </w:r>
                      <w:r>
                        <w:rPr>
                          <w:color w:val="A6A6A6" w:themeColor="background1" w:themeShade="A6"/>
                          <w:sz w:val="36"/>
                        </w:rPr>
                        <w:t xml:space="preserve"> </w:t>
                      </w:r>
                      <w:r w:rsidR="00E542B4">
                        <w:rPr>
                          <w:color w:val="A6A6A6" w:themeColor="background1" w:themeShade="A6"/>
                          <w:sz w:val="36"/>
                        </w:rPr>
                        <w:t>202</w:t>
                      </w:r>
                      <w:r w:rsidR="00A73221">
                        <w:rPr>
                          <w:color w:val="A6A6A6" w:themeColor="background1" w:themeShade="A6"/>
                          <w:sz w:val="36"/>
                        </w:rPr>
                        <w:t>2</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0179C957" wp14:anchorId="551000BB">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32F4A" w:rsidP="00D001E4" w:rsidRDefault="00132F4A" w14:paraId="76DDA839"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551000BB">
                <v:textbox inset="0">
                  <w:txbxContent>
                    <w:p w:rsidRPr="00AA3D91" w:rsidR="00132F4A" w:rsidP="00D001E4" w:rsidRDefault="00132F4A" w14:paraId="76DDA839"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2C5BAD56" wp14:anchorId="2864569E">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D300F4" w:rsidRDefault="00132F4A" w14:paraId="73EEF937"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31DBB069"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2864569E">
                <v:textbox inset="0,,0">
                  <w:txbxContent>
                    <w:p w:rsidRPr="008F4CBD" w:rsidR="00132F4A" w:rsidP="00D300F4" w:rsidRDefault="00132F4A" w14:paraId="73EEF937"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31DBB069"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5A457FA5" wp14:anchorId="54159016">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59876190"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39B6AFC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54159016">
                <v:textbox inset="0">
                  <w:txbxContent>
                    <w:p w:rsidRPr="008F4CBD" w:rsidR="00132F4A" w:rsidP="002556F3" w:rsidRDefault="00132F4A" w14:paraId="59876190"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39B6AFC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40A23FEE"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2B7B6979" w14:textId="77777777">
          <w:pPr>
            <w:pStyle w:val="TOCHeading"/>
          </w:pPr>
          <w:r>
            <w:t>Table of Contents</w:t>
          </w:r>
        </w:p>
        <w:p w:rsidR="00933D5D" w:rsidRDefault="0059212D" w14:paraId="388A22E5" w14:textId="77777777">
          <w:pPr>
            <w:pStyle w:val="TOC1"/>
            <w:rPr>
              <w:rFonts w:eastAsiaTheme="minorEastAsia"/>
              <w:noProof/>
              <w:color w:val="auto"/>
            </w:rPr>
          </w:pPr>
          <w:r>
            <w:fldChar w:fldCharType="begin"/>
          </w:r>
          <w:r>
            <w:instrText xml:space="preserve"> TOC \o "1-3" \h \z \u </w:instrText>
          </w:r>
          <w:r>
            <w:fldChar w:fldCharType="separate"/>
          </w:r>
          <w:hyperlink w:history="1" w:anchor="_Toc492634199">
            <w:r w:rsidRPr="00593C41" w:rsidR="00933D5D">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933D5D">
              <w:rPr>
                <w:noProof/>
                <w:webHidden/>
              </w:rPr>
              <w:t>i</w:t>
            </w:r>
            <w:r w:rsidR="00933D5D">
              <w:rPr>
                <w:noProof/>
                <w:webHidden/>
              </w:rPr>
              <w:fldChar w:fldCharType="end"/>
            </w:r>
          </w:hyperlink>
        </w:p>
        <w:p w:rsidR="00933D5D" w:rsidRDefault="002E101D" w14:paraId="26698029" w14:textId="77777777">
          <w:pPr>
            <w:pStyle w:val="TOC2"/>
            <w:rPr>
              <w:rFonts w:eastAsiaTheme="minorEastAsia"/>
              <w:noProof/>
              <w:color w:val="auto"/>
            </w:rPr>
          </w:pPr>
          <w:hyperlink w:history="1" w:anchor="_Toc492634200">
            <w:r w:rsidRPr="00593C41" w:rsidR="00933D5D">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933D5D">
              <w:rPr>
                <w:noProof/>
                <w:webHidden/>
              </w:rPr>
              <w:t>1</w:t>
            </w:r>
            <w:r w:rsidR="00933D5D">
              <w:rPr>
                <w:noProof/>
                <w:webHidden/>
              </w:rPr>
              <w:fldChar w:fldCharType="end"/>
            </w:r>
          </w:hyperlink>
        </w:p>
        <w:p w:rsidR="00933D5D" w:rsidRDefault="002E101D" w14:paraId="38667DFC" w14:textId="77777777">
          <w:pPr>
            <w:pStyle w:val="TOC2"/>
            <w:rPr>
              <w:rFonts w:eastAsiaTheme="minorEastAsia"/>
              <w:noProof/>
              <w:color w:val="auto"/>
            </w:rPr>
          </w:pPr>
          <w:hyperlink w:history="1" w:anchor="_Toc492634201">
            <w:r w:rsidRPr="00593C41" w:rsidR="00933D5D">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933D5D">
              <w:rPr>
                <w:noProof/>
                <w:webHidden/>
              </w:rPr>
              <w:t>1</w:t>
            </w:r>
            <w:r w:rsidR="00933D5D">
              <w:rPr>
                <w:noProof/>
                <w:webHidden/>
              </w:rPr>
              <w:fldChar w:fldCharType="end"/>
            </w:r>
          </w:hyperlink>
        </w:p>
        <w:p w:rsidR="00933D5D" w:rsidRDefault="002E101D" w14:paraId="4EFC0543" w14:textId="77777777">
          <w:pPr>
            <w:pStyle w:val="TOC2"/>
            <w:rPr>
              <w:rFonts w:eastAsiaTheme="minorEastAsia"/>
              <w:noProof/>
              <w:color w:val="auto"/>
            </w:rPr>
          </w:pPr>
          <w:hyperlink w:history="1" w:anchor="_Toc492634202">
            <w:r w:rsidRPr="00593C41" w:rsidR="00933D5D">
              <w:rPr>
                <w:rStyle w:val="Hyperlink"/>
                <w:noProof/>
              </w:rPr>
              <w:t>A.2. Needs and Uses of Data</w:t>
            </w:r>
            <w:r w:rsidR="00933D5D">
              <w:rPr>
                <w:noProof/>
                <w:webHidden/>
              </w:rPr>
              <w:tab/>
            </w:r>
            <w:r w:rsidR="00933D5D">
              <w:rPr>
                <w:noProof/>
                <w:webHidden/>
              </w:rPr>
              <w:fldChar w:fldCharType="begin"/>
            </w:r>
            <w:r w:rsidR="00933D5D">
              <w:rPr>
                <w:noProof/>
                <w:webHidden/>
              </w:rPr>
              <w:instrText xml:space="preserve"> PAGEREF _Toc492634202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2E101D" w14:paraId="3562B794" w14:textId="77777777">
          <w:pPr>
            <w:pStyle w:val="TOC2"/>
            <w:rPr>
              <w:rFonts w:eastAsiaTheme="minorEastAsia"/>
              <w:noProof/>
              <w:color w:val="auto"/>
            </w:rPr>
          </w:pPr>
          <w:hyperlink w:history="1" w:anchor="_Toc492634203">
            <w:r w:rsidRPr="00593C41" w:rsidR="00933D5D">
              <w:rPr>
                <w:rStyle w:val="Hyperlink"/>
                <w:noProof/>
              </w:rPr>
              <w:t>A.3. Use of Technology</w:t>
            </w:r>
            <w:r w:rsidR="00933D5D">
              <w:rPr>
                <w:noProof/>
                <w:webHidden/>
              </w:rPr>
              <w:tab/>
            </w:r>
            <w:r w:rsidR="00933D5D">
              <w:rPr>
                <w:noProof/>
                <w:webHidden/>
              </w:rPr>
              <w:fldChar w:fldCharType="begin"/>
            </w:r>
            <w:r w:rsidR="00933D5D">
              <w:rPr>
                <w:noProof/>
                <w:webHidden/>
              </w:rPr>
              <w:instrText xml:space="preserve"> PAGEREF _Toc492634203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2E101D" w14:paraId="2729733F" w14:textId="77777777">
          <w:pPr>
            <w:pStyle w:val="TOC2"/>
            <w:rPr>
              <w:rFonts w:eastAsiaTheme="minorEastAsia"/>
              <w:noProof/>
              <w:color w:val="auto"/>
            </w:rPr>
          </w:pPr>
          <w:hyperlink w:history="1" w:anchor="_Toc492634204">
            <w:r w:rsidRPr="00593C41" w:rsidR="00933D5D">
              <w:rPr>
                <w:rStyle w:val="Hyperlink"/>
                <w:noProof/>
              </w:rPr>
              <w:t>A.4. Efforts to Identify Duplication</w:t>
            </w:r>
            <w:r w:rsidR="00933D5D">
              <w:rPr>
                <w:noProof/>
                <w:webHidden/>
              </w:rPr>
              <w:tab/>
            </w:r>
            <w:r w:rsidR="00933D5D">
              <w:rPr>
                <w:noProof/>
                <w:webHidden/>
              </w:rPr>
              <w:fldChar w:fldCharType="begin"/>
            </w:r>
            <w:r w:rsidR="00933D5D">
              <w:rPr>
                <w:noProof/>
                <w:webHidden/>
              </w:rPr>
              <w:instrText xml:space="preserve"> PAGEREF _Toc492634204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2E101D" w14:paraId="7C37007D" w14:textId="77777777">
          <w:pPr>
            <w:pStyle w:val="TOC2"/>
            <w:rPr>
              <w:rFonts w:eastAsiaTheme="minorEastAsia"/>
              <w:noProof/>
              <w:color w:val="auto"/>
            </w:rPr>
          </w:pPr>
          <w:hyperlink w:history="1" w:anchor="_Toc492634205">
            <w:r w:rsidRPr="00593C41" w:rsidR="00933D5D">
              <w:rPr>
                <w:rStyle w:val="Hyperlink"/>
                <w:noProof/>
              </w:rPr>
              <w:t>A.5. Provisions for Reducing Burden on Small Businesses</w:t>
            </w:r>
            <w:r w:rsidR="00933D5D">
              <w:rPr>
                <w:noProof/>
                <w:webHidden/>
              </w:rPr>
              <w:tab/>
            </w:r>
            <w:r w:rsidR="00933D5D">
              <w:rPr>
                <w:noProof/>
                <w:webHidden/>
              </w:rPr>
              <w:fldChar w:fldCharType="begin"/>
            </w:r>
            <w:r w:rsidR="00933D5D">
              <w:rPr>
                <w:noProof/>
                <w:webHidden/>
              </w:rPr>
              <w:instrText xml:space="preserve"> PAGEREF _Toc492634205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2E101D" w14:paraId="651ABBFC" w14:textId="77777777">
          <w:pPr>
            <w:pStyle w:val="TOC2"/>
            <w:rPr>
              <w:rFonts w:eastAsiaTheme="minorEastAsia"/>
              <w:noProof/>
              <w:color w:val="auto"/>
            </w:rPr>
          </w:pPr>
          <w:hyperlink w:history="1" w:anchor="_Toc492634206">
            <w:r w:rsidRPr="00593C41" w:rsidR="00933D5D">
              <w:rPr>
                <w:rStyle w:val="Hyperlink"/>
                <w:noProof/>
              </w:rPr>
              <w:t>A.6. Consequences of Less-Frequent Reporting</w:t>
            </w:r>
            <w:r w:rsidR="00933D5D">
              <w:rPr>
                <w:noProof/>
                <w:webHidden/>
              </w:rPr>
              <w:tab/>
            </w:r>
            <w:r w:rsidR="00933D5D">
              <w:rPr>
                <w:noProof/>
                <w:webHidden/>
              </w:rPr>
              <w:fldChar w:fldCharType="begin"/>
            </w:r>
            <w:r w:rsidR="00933D5D">
              <w:rPr>
                <w:noProof/>
                <w:webHidden/>
              </w:rPr>
              <w:instrText xml:space="preserve"> PAGEREF _Toc492634206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2E101D" w14:paraId="4DAAA70F" w14:textId="77777777">
          <w:pPr>
            <w:pStyle w:val="TOC2"/>
            <w:rPr>
              <w:rFonts w:eastAsiaTheme="minorEastAsia"/>
              <w:noProof/>
              <w:color w:val="auto"/>
            </w:rPr>
          </w:pPr>
          <w:hyperlink w:history="1" w:anchor="_Toc492634207">
            <w:r w:rsidRPr="00593C41" w:rsidR="00933D5D">
              <w:rPr>
                <w:rStyle w:val="Hyperlink"/>
                <w:noProof/>
              </w:rPr>
              <w:t>A.7. Compliance with 5 CFR 1320.5</w:t>
            </w:r>
            <w:r w:rsidR="00933D5D">
              <w:rPr>
                <w:noProof/>
                <w:webHidden/>
              </w:rPr>
              <w:tab/>
            </w:r>
            <w:r w:rsidR="00933D5D">
              <w:rPr>
                <w:noProof/>
                <w:webHidden/>
              </w:rPr>
              <w:fldChar w:fldCharType="begin"/>
            </w:r>
            <w:r w:rsidR="00933D5D">
              <w:rPr>
                <w:noProof/>
                <w:webHidden/>
              </w:rPr>
              <w:instrText xml:space="preserve"> PAGEREF _Toc492634207 \h </w:instrText>
            </w:r>
            <w:r w:rsidR="00933D5D">
              <w:rPr>
                <w:noProof/>
                <w:webHidden/>
              </w:rPr>
            </w:r>
            <w:r w:rsidR="00933D5D">
              <w:rPr>
                <w:noProof/>
                <w:webHidden/>
              </w:rPr>
              <w:fldChar w:fldCharType="separate"/>
            </w:r>
            <w:r w:rsidR="00933D5D">
              <w:rPr>
                <w:noProof/>
                <w:webHidden/>
              </w:rPr>
              <w:t>3</w:t>
            </w:r>
            <w:r w:rsidR="00933D5D">
              <w:rPr>
                <w:noProof/>
                <w:webHidden/>
              </w:rPr>
              <w:fldChar w:fldCharType="end"/>
            </w:r>
          </w:hyperlink>
        </w:p>
        <w:p w:rsidR="00933D5D" w:rsidRDefault="002E101D" w14:paraId="26D7D599" w14:textId="77777777">
          <w:pPr>
            <w:pStyle w:val="TOC2"/>
            <w:rPr>
              <w:rFonts w:eastAsiaTheme="minorEastAsia"/>
              <w:noProof/>
              <w:color w:val="auto"/>
            </w:rPr>
          </w:pPr>
          <w:hyperlink w:history="1" w:anchor="_Toc492634208">
            <w:r w:rsidRPr="00593C41" w:rsidR="00933D5D">
              <w:rPr>
                <w:rStyle w:val="Hyperlink"/>
                <w:noProof/>
              </w:rPr>
              <w:t>A.8. Summary of Consultations Outside of the Agency</w:t>
            </w:r>
            <w:r w:rsidR="00933D5D">
              <w:rPr>
                <w:noProof/>
                <w:webHidden/>
              </w:rPr>
              <w:tab/>
            </w:r>
            <w:r w:rsidR="00933D5D">
              <w:rPr>
                <w:noProof/>
                <w:webHidden/>
              </w:rPr>
              <w:fldChar w:fldCharType="begin"/>
            </w:r>
            <w:r w:rsidR="00933D5D">
              <w:rPr>
                <w:noProof/>
                <w:webHidden/>
              </w:rPr>
              <w:instrText xml:space="preserve"> PAGEREF _Toc492634208 \h </w:instrText>
            </w:r>
            <w:r w:rsidR="00933D5D">
              <w:rPr>
                <w:noProof/>
                <w:webHidden/>
              </w:rPr>
            </w:r>
            <w:r w:rsidR="00933D5D">
              <w:rPr>
                <w:noProof/>
                <w:webHidden/>
              </w:rPr>
              <w:fldChar w:fldCharType="separate"/>
            </w:r>
            <w:r w:rsidR="00933D5D">
              <w:rPr>
                <w:noProof/>
                <w:webHidden/>
              </w:rPr>
              <w:t>3</w:t>
            </w:r>
            <w:r w:rsidR="00933D5D">
              <w:rPr>
                <w:noProof/>
                <w:webHidden/>
              </w:rPr>
              <w:fldChar w:fldCharType="end"/>
            </w:r>
          </w:hyperlink>
        </w:p>
        <w:p w:rsidR="00933D5D" w:rsidRDefault="002E101D" w14:paraId="412A1EAE" w14:textId="77777777">
          <w:pPr>
            <w:pStyle w:val="TOC2"/>
            <w:rPr>
              <w:rFonts w:eastAsiaTheme="minorEastAsia"/>
              <w:noProof/>
              <w:color w:val="auto"/>
            </w:rPr>
          </w:pPr>
          <w:hyperlink w:history="1" w:anchor="_Toc492634209">
            <w:r w:rsidRPr="00593C41" w:rsidR="00933D5D">
              <w:rPr>
                <w:rStyle w:val="Hyperlink"/>
                <w:noProof/>
              </w:rPr>
              <w:t>A.9. Payments or Gifts to Respondents</w:t>
            </w:r>
            <w:r w:rsidR="00933D5D">
              <w:rPr>
                <w:noProof/>
                <w:webHidden/>
              </w:rPr>
              <w:tab/>
            </w:r>
            <w:r w:rsidR="00933D5D">
              <w:rPr>
                <w:noProof/>
                <w:webHidden/>
              </w:rPr>
              <w:fldChar w:fldCharType="begin"/>
            </w:r>
            <w:r w:rsidR="00933D5D">
              <w:rPr>
                <w:noProof/>
                <w:webHidden/>
              </w:rPr>
              <w:instrText xml:space="preserve"> PAGEREF _Toc492634209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2E101D" w14:paraId="07E7D9B9" w14:textId="77777777">
          <w:pPr>
            <w:pStyle w:val="TOC2"/>
            <w:rPr>
              <w:rFonts w:eastAsiaTheme="minorEastAsia"/>
              <w:noProof/>
              <w:color w:val="auto"/>
            </w:rPr>
          </w:pPr>
          <w:hyperlink w:history="1" w:anchor="_Toc492634210">
            <w:r w:rsidRPr="00593C41" w:rsidR="00933D5D">
              <w:rPr>
                <w:rStyle w:val="Hyperlink"/>
                <w:noProof/>
              </w:rPr>
              <w:t>A.10. Provisions for Protection of Information</w:t>
            </w:r>
            <w:r w:rsidR="00933D5D">
              <w:rPr>
                <w:noProof/>
                <w:webHidden/>
              </w:rPr>
              <w:tab/>
            </w:r>
            <w:r w:rsidR="00933D5D">
              <w:rPr>
                <w:noProof/>
                <w:webHidden/>
              </w:rPr>
              <w:fldChar w:fldCharType="begin"/>
            </w:r>
            <w:r w:rsidR="00933D5D">
              <w:rPr>
                <w:noProof/>
                <w:webHidden/>
              </w:rPr>
              <w:instrText xml:space="preserve"> PAGEREF _Toc492634210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2E101D" w14:paraId="64983FE2" w14:textId="77777777">
          <w:pPr>
            <w:pStyle w:val="TOC2"/>
            <w:rPr>
              <w:rFonts w:eastAsiaTheme="minorEastAsia"/>
              <w:noProof/>
              <w:color w:val="auto"/>
            </w:rPr>
          </w:pPr>
          <w:hyperlink w:history="1" w:anchor="_Toc492634211">
            <w:r w:rsidRPr="00593C41" w:rsidR="00933D5D">
              <w:rPr>
                <w:rStyle w:val="Hyperlink"/>
                <w:noProof/>
              </w:rPr>
              <w:t>A.11. Justification for Sensitive Questions</w:t>
            </w:r>
            <w:r w:rsidR="00933D5D">
              <w:rPr>
                <w:noProof/>
                <w:webHidden/>
              </w:rPr>
              <w:tab/>
            </w:r>
            <w:r w:rsidR="00933D5D">
              <w:rPr>
                <w:noProof/>
                <w:webHidden/>
              </w:rPr>
              <w:fldChar w:fldCharType="begin"/>
            </w:r>
            <w:r w:rsidR="00933D5D">
              <w:rPr>
                <w:noProof/>
                <w:webHidden/>
              </w:rPr>
              <w:instrText xml:space="preserve"> PAGEREF _Toc492634211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2E101D" w14:paraId="3FD7AB5A" w14:textId="77777777">
          <w:pPr>
            <w:pStyle w:val="TOC2"/>
            <w:rPr>
              <w:rFonts w:eastAsiaTheme="minorEastAsia"/>
              <w:noProof/>
              <w:color w:val="auto"/>
            </w:rPr>
          </w:pPr>
          <w:hyperlink w:history="1" w:anchor="_Toc492634212">
            <w:r w:rsidRPr="00593C41" w:rsidR="00933D5D">
              <w:rPr>
                <w:rStyle w:val="Hyperlink"/>
                <w:noProof/>
              </w:rPr>
              <w:t>A.12. Estimate of Respondent Burden Hours and Cost</w:t>
            </w:r>
            <w:r w:rsidR="00933D5D">
              <w:rPr>
                <w:noProof/>
                <w:webHidden/>
              </w:rPr>
              <w:tab/>
            </w:r>
            <w:r w:rsidR="00933D5D">
              <w:rPr>
                <w:noProof/>
                <w:webHidden/>
              </w:rPr>
              <w:fldChar w:fldCharType="begin"/>
            </w:r>
            <w:r w:rsidR="00933D5D">
              <w:rPr>
                <w:noProof/>
                <w:webHidden/>
              </w:rPr>
              <w:instrText xml:space="preserve"> PAGEREF _Toc492634212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2E101D" w14:paraId="4FD564E6" w14:textId="77777777">
          <w:pPr>
            <w:pStyle w:val="TOC2"/>
            <w:rPr>
              <w:rFonts w:eastAsiaTheme="minorEastAsia"/>
              <w:noProof/>
              <w:color w:val="auto"/>
            </w:rPr>
          </w:pPr>
          <w:hyperlink w:history="1" w:anchor="_Toc492634213">
            <w:r w:rsidRPr="00593C41" w:rsidR="00933D5D">
              <w:rPr>
                <w:rStyle w:val="Hyperlink"/>
                <w:noProof/>
              </w:rPr>
              <w:t>A.13. Annual Cost to the Federal Government</w:t>
            </w:r>
            <w:r w:rsidR="00933D5D">
              <w:rPr>
                <w:noProof/>
                <w:webHidden/>
              </w:rPr>
              <w:tab/>
            </w:r>
            <w:r w:rsidR="00933D5D">
              <w:rPr>
                <w:noProof/>
                <w:webHidden/>
              </w:rPr>
              <w:fldChar w:fldCharType="begin"/>
            </w:r>
            <w:r w:rsidR="00933D5D">
              <w:rPr>
                <w:noProof/>
                <w:webHidden/>
              </w:rPr>
              <w:instrText xml:space="preserve"> PAGEREF _Toc492634213 \h </w:instrText>
            </w:r>
            <w:r w:rsidR="00933D5D">
              <w:rPr>
                <w:noProof/>
                <w:webHidden/>
              </w:rPr>
            </w:r>
            <w:r w:rsidR="00933D5D">
              <w:rPr>
                <w:noProof/>
                <w:webHidden/>
              </w:rPr>
              <w:fldChar w:fldCharType="separate"/>
            </w:r>
            <w:r w:rsidR="00933D5D">
              <w:rPr>
                <w:noProof/>
                <w:webHidden/>
              </w:rPr>
              <w:t>5</w:t>
            </w:r>
            <w:r w:rsidR="00933D5D">
              <w:rPr>
                <w:noProof/>
                <w:webHidden/>
              </w:rPr>
              <w:fldChar w:fldCharType="end"/>
            </w:r>
          </w:hyperlink>
        </w:p>
        <w:p w:rsidR="00933D5D" w:rsidRDefault="002E101D" w14:paraId="488CB727" w14:textId="77777777">
          <w:pPr>
            <w:pStyle w:val="TOC2"/>
            <w:rPr>
              <w:rFonts w:eastAsiaTheme="minorEastAsia"/>
              <w:noProof/>
              <w:color w:val="auto"/>
            </w:rPr>
          </w:pPr>
          <w:hyperlink w:history="1" w:anchor="_Toc492634214">
            <w:r w:rsidRPr="00593C41" w:rsidR="00933D5D">
              <w:rPr>
                <w:rStyle w:val="Hyperlink"/>
                <w:noProof/>
              </w:rPr>
              <w:t>A.14. Changes in Burden</w:t>
            </w:r>
            <w:r w:rsidR="00933D5D">
              <w:rPr>
                <w:noProof/>
                <w:webHidden/>
              </w:rPr>
              <w:tab/>
            </w:r>
            <w:r w:rsidR="00933D5D">
              <w:rPr>
                <w:noProof/>
                <w:webHidden/>
              </w:rPr>
              <w:fldChar w:fldCharType="begin"/>
            </w:r>
            <w:r w:rsidR="00933D5D">
              <w:rPr>
                <w:noProof/>
                <w:webHidden/>
              </w:rPr>
              <w:instrText xml:space="preserve"> PAGEREF _Toc492634214 \h </w:instrText>
            </w:r>
            <w:r w:rsidR="00933D5D">
              <w:rPr>
                <w:noProof/>
                <w:webHidden/>
              </w:rPr>
            </w:r>
            <w:r w:rsidR="00933D5D">
              <w:rPr>
                <w:noProof/>
                <w:webHidden/>
              </w:rPr>
              <w:fldChar w:fldCharType="separate"/>
            </w:r>
            <w:r w:rsidR="00933D5D">
              <w:rPr>
                <w:noProof/>
                <w:webHidden/>
              </w:rPr>
              <w:t>6</w:t>
            </w:r>
            <w:r w:rsidR="00933D5D">
              <w:rPr>
                <w:noProof/>
                <w:webHidden/>
              </w:rPr>
              <w:fldChar w:fldCharType="end"/>
            </w:r>
          </w:hyperlink>
        </w:p>
        <w:p w:rsidR="00933D5D" w:rsidRDefault="002E101D" w14:paraId="595B26B6" w14:textId="77777777">
          <w:pPr>
            <w:pStyle w:val="TOC2"/>
            <w:rPr>
              <w:rFonts w:eastAsiaTheme="minorEastAsia"/>
              <w:noProof/>
              <w:color w:val="auto"/>
            </w:rPr>
          </w:pPr>
          <w:hyperlink w:history="1" w:anchor="_Toc492634215">
            <w:r w:rsidRPr="00593C41" w:rsidR="00933D5D">
              <w:rPr>
                <w:rStyle w:val="Hyperlink"/>
                <w:noProof/>
              </w:rPr>
              <w:t>A.15. Reasons for Changes in Burden</w:t>
            </w:r>
            <w:r w:rsidR="00933D5D">
              <w:rPr>
                <w:noProof/>
                <w:webHidden/>
              </w:rPr>
              <w:tab/>
            </w:r>
            <w:r w:rsidR="00933D5D">
              <w:rPr>
                <w:noProof/>
                <w:webHidden/>
              </w:rPr>
              <w:fldChar w:fldCharType="begin"/>
            </w:r>
            <w:r w:rsidR="00933D5D">
              <w:rPr>
                <w:noProof/>
                <w:webHidden/>
              </w:rPr>
              <w:instrText xml:space="preserve"> PAGEREF _Toc492634215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2E101D" w14:paraId="18E90244" w14:textId="77777777">
          <w:pPr>
            <w:pStyle w:val="TOC2"/>
            <w:rPr>
              <w:rFonts w:eastAsiaTheme="minorEastAsia"/>
              <w:noProof/>
              <w:color w:val="auto"/>
            </w:rPr>
          </w:pPr>
          <w:hyperlink w:history="1" w:anchor="_Toc492634216">
            <w:r w:rsidRPr="00593C41" w:rsidR="00933D5D">
              <w:rPr>
                <w:rStyle w:val="Hyperlink"/>
                <w:noProof/>
              </w:rPr>
              <w:t>A.16. Collection, Tabulation, and Publication Plans</w:t>
            </w:r>
            <w:r w:rsidR="00933D5D">
              <w:rPr>
                <w:noProof/>
                <w:webHidden/>
              </w:rPr>
              <w:tab/>
            </w:r>
            <w:r w:rsidR="00933D5D">
              <w:rPr>
                <w:noProof/>
                <w:webHidden/>
              </w:rPr>
              <w:fldChar w:fldCharType="begin"/>
            </w:r>
            <w:r w:rsidR="00933D5D">
              <w:rPr>
                <w:noProof/>
                <w:webHidden/>
              </w:rPr>
              <w:instrText xml:space="preserve"> PAGEREF _Toc492634216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2E101D" w14:paraId="3E089EA1" w14:textId="77777777">
          <w:pPr>
            <w:pStyle w:val="TOC2"/>
            <w:rPr>
              <w:rFonts w:eastAsiaTheme="minorEastAsia"/>
              <w:noProof/>
              <w:color w:val="auto"/>
            </w:rPr>
          </w:pPr>
          <w:hyperlink w:history="1" w:anchor="_Toc492634217">
            <w:r w:rsidRPr="00593C41" w:rsidR="00933D5D">
              <w:rPr>
                <w:rStyle w:val="Hyperlink"/>
                <w:noProof/>
              </w:rPr>
              <w:t>A.17. OMB Number and Expiration Date</w:t>
            </w:r>
            <w:r w:rsidR="00933D5D">
              <w:rPr>
                <w:noProof/>
                <w:webHidden/>
              </w:rPr>
              <w:tab/>
            </w:r>
            <w:r w:rsidR="00933D5D">
              <w:rPr>
                <w:noProof/>
                <w:webHidden/>
              </w:rPr>
              <w:fldChar w:fldCharType="begin"/>
            </w:r>
            <w:r w:rsidR="00933D5D">
              <w:rPr>
                <w:noProof/>
                <w:webHidden/>
              </w:rPr>
              <w:instrText xml:space="preserve"> PAGEREF _Toc492634217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2E101D" w14:paraId="6BBA5B9B" w14:textId="77777777">
          <w:pPr>
            <w:pStyle w:val="TOC2"/>
            <w:rPr>
              <w:rFonts w:eastAsiaTheme="minorEastAsia"/>
              <w:noProof/>
              <w:color w:val="auto"/>
            </w:rPr>
          </w:pPr>
          <w:hyperlink w:history="1" w:anchor="_Toc492634218">
            <w:r w:rsidRPr="00593C41" w:rsidR="00933D5D">
              <w:rPr>
                <w:rStyle w:val="Hyperlink"/>
                <w:noProof/>
              </w:rPr>
              <w:t>A.18. Certification Statement</w:t>
            </w:r>
            <w:r w:rsidR="00933D5D">
              <w:rPr>
                <w:noProof/>
                <w:webHidden/>
              </w:rPr>
              <w:tab/>
            </w:r>
            <w:r w:rsidR="00933D5D">
              <w:rPr>
                <w:noProof/>
                <w:webHidden/>
              </w:rPr>
              <w:fldChar w:fldCharType="begin"/>
            </w:r>
            <w:r w:rsidR="00933D5D">
              <w:rPr>
                <w:noProof/>
                <w:webHidden/>
              </w:rPr>
              <w:instrText xml:space="preserve"> PAGEREF _Toc492634218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59212D" w:rsidRDefault="0059212D" w14:paraId="67593055" w14:textId="77777777">
          <w:r>
            <w:rPr>
              <w:b/>
              <w:bCs/>
              <w:noProof/>
            </w:rPr>
            <w:fldChar w:fldCharType="end"/>
          </w:r>
        </w:p>
      </w:sdtContent>
    </w:sdt>
    <w:p w:rsidR="001F3A8F" w:rsidP="00D928FD" w:rsidRDefault="001F3A8F" w14:paraId="63A023CA" w14:textId="77777777"/>
    <w:p w:rsidR="00D928FD" w:rsidP="00D928FD" w:rsidRDefault="00D928FD" w14:paraId="1189E057"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717028EB" w14:textId="77777777">
      <w:pPr>
        <w:spacing w:line="240" w:lineRule="auto"/>
      </w:pPr>
    </w:p>
    <w:p w:rsidR="00933D5D" w:rsidP="00933D5D" w:rsidRDefault="00933D5D" w14:paraId="76DEABDD" w14:textId="77777777">
      <w:pPr>
        <w:tabs>
          <w:tab w:val="left" w:pos="7365"/>
        </w:tabs>
      </w:pPr>
      <w:r>
        <w:tab/>
      </w:r>
    </w:p>
    <w:p w:rsidRPr="00933D5D" w:rsidR="00041909" w:rsidP="00933D5D" w:rsidRDefault="00933D5D" w14:paraId="57743E16" w14:textId="77777777">
      <w:pPr>
        <w:tabs>
          <w:tab w:val="left" w:pos="7365"/>
        </w:tabs>
        <w:sectPr w:rsidRPr="00933D5D"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rsidRDefault="008C734C" w14:paraId="217EB520" w14:textId="77777777">
      <w:pPr>
        <w:pStyle w:val="Heading2"/>
      </w:pPr>
      <w:bookmarkStart w:name="_Toc492634200" w:id="1"/>
      <w:r>
        <w:lastRenderedPageBreak/>
        <w:t>Introdu</w:t>
      </w:r>
      <w:r w:rsidR="00844524">
        <w:t>ction</w:t>
      </w:r>
      <w:bookmarkEnd w:id="1"/>
    </w:p>
    <w:p w:rsidRPr="0054274A" w:rsidR="0054274A" w:rsidP="0054274A" w:rsidRDefault="0054274A" w14:paraId="14F74C04" w14:textId="77777777">
      <w:r w:rsidRPr="0054274A">
        <w:t>The U.S. Energy Information Administration (EIA) is the statistical and analytical agency within the U.S. Department of Energy.  EIA collects, analyzes, and disseminates independent and impartial energy information to promote sound policymaking, efficient markets, and public understanding of energy and its interaction with the economy and the environment.  EIA is the nation's premier source of energy information and, by law, its data, analyses, and forecasts are independent of approval by any other officer or employee of the U.S. Government.</w:t>
      </w:r>
    </w:p>
    <w:p w:rsidRPr="0054274A" w:rsidR="0054274A" w:rsidP="0054274A" w:rsidRDefault="0054274A" w14:paraId="6E2C028D" w14:textId="77777777">
      <w:r w:rsidRPr="0054274A">
        <w:t>Request is made for approval of the EIA Oil and Gas Reserves System Surveys (OMB No. 1905-0057).  These surveys are:</w:t>
      </w:r>
    </w:p>
    <w:p w:rsidRPr="0054274A" w:rsidR="0054274A" w:rsidP="0054274A" w:rsidRDefault="0054274A" w14:paraId="296AD7E8" w14:textId="77777777">
      <w:r w:rsidRPr="0054274A">
        <w:t>•</w:t>
      </w:r>
      <w:r w:rsidRPr="0054274A">
        <w:tab/>
        <w:t xml:space="preserve">EIA 23L, </w:t>
      </w:r>
      <w:r w:rsidRPr="001E77F8">
        <w:rPr>
          <w:i/>
        </w:rPr>
        <w:t>Annual Report of Domestic Oil and Gas Reserves (</w:t>
      </w:r>
      <w:r w:rsidR="00B361E2">
        <w:rPr>
          <w:i/>
        </w:rPr>
        <w:t>State/state-subdivision</w:t>
      </w:r>
      <w:r w:rsidRPr="001E77F8">
        <w:rPr>
          <w:i/>
        </w:rPr>
        <w:t>-level Report)</w:t>
      </w:r>
    </w:p>
    <w:p w:rsidRPr="0054274A" w:rsidR="0054274A" w:rsidP="0054274A" w:rsidRDefault="0054274A" w14:paraId="02E99C5A" w14:textId="77777777">
      <w:r w:rsidRPr="0054274A">
        <w:t>•</w:t>
      </w:r>
      <w:r w:rsidRPr="0054274A">
        <w:tab/>
        <w:t xml:space="preserve">EIA-23S, </w:t>
      </w:r>
      <w:r w:rsidRPr="001E77F8">
        <w:rPr>
          <w:i/>
        </w:rPr>
        <w:t>Annual Report of Domestic Oil and Gas Reserves (Summary Version)</w:t>
      </w:r>
    </w:p>
    <w:p w:rsidR="00A41763" w:rsidP="0054274A" w:rsidRDefault="0054274A" w14:paraId="571FDD98" w14:textId="77777777">
      <w:r w:rsidRPr="0054274A">
        <w:t>•</w:t>
      </w:r>
      <w:r w:rsidRPr="0054274A">
        <w:tab/>
        <w:t xml:space="preserve">EIA-64A, </w:t>
      </w:r>
      <w:r w:rsidRPr="001E77F8">
        <w:rPr>
          <w:i/>
        </w:rPr>
        <w:t>Annual Report of the Origin of Natural Gas Liquids Production</w:t>
      </w:r>
      <w:r w:rsidR="001E77F8">
        <w:rPr>
          <w:i/>
        </w:rPr>
        <w:br/>
      </w:r>
    </w:p>
    <w:p w:rsidRPr="0054274A" w:rsidR="0054274A" w:rsidP="0054274A" w:rsidRDefault="0054274A" w14:paraId="7C84F333" w14:textId="77777777">
      <w:pPr>
        <w:rPr>
          <w:b/>
        </w:rPr>
      </w:pPr>
      <w:r w:rsidRPr="001E77F8">
        <w:rPr>
          <w:rFonts w:eastAsiaTheme="majorEastAsia" w:cstheme="majorBidi"/>
          <w:b/>
          <w:color w:val="1396D8"/>
          <w:sz w:val="28"/>
          <w:szCs w:val="26"/>
        </w:rPr>
        <w:t>Changes</w:t>
      </w:r>
      <w:r w:rsidR="001E77F8">
        <w:rPr>
          <w:rFonts w:eastAsiaTheme="majorEastAsia" w:cstheme="majorBidi"/>
          <w:b/>
          <w:color w:val="1396D8"/>
          <w:sz w:val="28"/>
          <w:szCs w:val="26"/>
        </w:rPr>
        <w:t xml:space="preserve"> </w:t>
      </w:r>
    </w:p>
    <w:p w:rsidR="0054274A" w:rsidP="0054274A" w:rsidRDefault="0054274A" w14:paraId="1372DA59" w14:textId="77777777">
      <w:r>
        <w:t xml:space="preserve">The requested approval is for a three-year extension with changes </w:t>
      </w:r>
      <w:r w:rsidR="00B361E2">
        <w:t>for</w:t>
      </w:r>
      <w:r>
        <w:t xml:space="preserve"> Form EIA-23L and </w:t>
      </w:r>
      <w:r w:rsidR="00B361E2">
        <w:t>wit</w:t>
      </w:r>
      <w:r w:rsidR="00D31E00">
        <w:t>h</w:t>
      </w:r>
      <w:r w:rsidR="00B361E2">
        <w:t xml:space="preserve">out changes for </w:t>
      </w:r>
      <w:r>
        <w:t>Form EIA-64A data collections, and continuation of the suspension of Form EIA-23S data collection, all starting in the year 2022.</w:t>
      </w:r>
    </w:p>
    <w:p w:rsidRPr="002930ED" w:rsidR="00D31E00" w:rsidP="00E46E58" w:rsidRDefault="002B2DD4" w14:paraId="382F54AF" w14:textId="021C4A3A">
      <w:pPr>
        <w:rPr>
          <w:color w:val="008080"/>
        </w:rPr>
      </w:pPr>
      <w:r>
        <w:t xml:space="preserve">Changes for Form EIA-23L include a new spreadsheet form that collects reserves and production data at the state/state subdivision level instead of county level.  Also the new form collects combined oil and condensate data and combined non-associated and associated-dissolved natural gas data.  </w:t>
      </w:r>
      <w:r w:rsidRPr="002930ED" w:rsidR="00E46E58">
        <w:t>The new form will no longer require reporting for three reservoir types (conventional, low permeability, and shale).  Respondents will report total reserves and the shale component.</w:t>
      </w:r>
      <w:r w:rsidR="00E46E58">
        <w:rPr>
          <w:color w:val="008080"/>
        </w:rPr>
        <w:t xml:space="preserve"> </w:t>
      </w:r>
      <w:r>
        <w:t>These changes will reduce the burden on respondents</w:t>
      </w:r>
      <w:r w:rsidR="00C578EE">
        <w:t>, while also meeting the needs of data users</w:t>
      </w:r>
      <w:r>
        <w:t>.</w:t>
      </w:r>
    </w:p>
    <w:p w:rsidR="008C734C" w:rsidP="008C734C" w:rsidRDefault="008C734C" w14:paraId="0AD09AF0" w14:textId="77777777">
      <w:pPr>
        <w:pStyle w:val="Heading2"/>
      </w:pPr>
      <w:bookmarkStart w:name="_Toc492634201" w:id="2"/>
      <w:r>
        <w:t>A.1. Legal Justification</w:t>
      </w:r>
      <w:bookmarkEnd w:id="2"/>
    </w:p>
    <w:p w:rsidRPr="00CE690D" w:rsidR="00CE690D" w:rsidP="00CE690D" w:rsidRDefault="00CE690D" w14:paraId="7FD4A919" w14:textId="77777777">
      <w:pPr>
        <w:rPr>
          <w:bCs/>
        </w:rPr>
      </w:pPr>
      <w:r w:rsidRPr="00CE690D">
        <w:rPr>
          <w:bCs/>
        </w:rPr>
        <w:t>The authority for this mandatory data collection is provided by the following provisions:</w:t>
      </w:r>
    </w:p>
    <w:p w:rsidRPr="007A0679" w:rsidR="007A0679" w:rsidP="007A0679" w:rsidRDefault="007A0679" w14:paraId="61EBBA33" w14:textId="77777777">
      <w:pPr>
        <w:numPr>
          <w:ilvl w:val="0"/>
          <w:numId w:val="10"/>
        </w:numPr>
        <w:spacing w:before="240"/>
        <w:contextualSpacing/>
        <w:jc w:val="both"/>
        <w:rPr>
          <w:rFonts w:ascii="Calibri" w:hAnsi="Calibri" w:eastAsia="Calibri" w:cs="Times New Roman"/>
        </w:rPr>
      </w:pPr>
      <w:r>
        <w:t>Title 15 U.S.C. §772(b)</w:t>
      </w:r>
      <w:r w:rsidRPr="007A0679">
        <w:t xml:space="preserve"> which establishes the mandatory reporting requirement of owners and operators of businesses in the U.S. to make available energy supply and consumption data to the EIA Administrator.</w:t>
      </w:r>
    </w:p>
    <w:p w:rsidRPr="007A0679" w:rsidR="007A0679" w:rsidP="007A0679" w:rsidRDefault="007A0679" w14:paraId="2B531C95" w14:textId="77777777">
      <w:pPr>
        <w:spacing w:before="240"/>
        <w:ind w:left="810"/>
        <w:contextualSpacing/>
        <w:jc w:val="both"/>
        <w:rPr>
          <w:rFonts w:ascii="Calibri" w:hAnsi="Calibri" w:eastAsia="Calibri" w:cs="Times New Roman"/>
        </w:rPr>
      </w:pPr>
    </w:p>
    <w:p w:rsidRPr="007A0679" w:rsidR="007A0679" w:rsidP="007A0679" w:rsidRDefault="007A0679" w14:paraId="2E7C42BE" w14:textId="77777777">
      <w:pPr>
        <w:numPr>
          <w:ilvl w:val="0"/>
          <w:numId w:val="10"/>
        </w:numPr>
        <w:spacing w:before="240"/>
        <w:contextualSpacing/>
        <w:jc w:val="both"/>
        <w:rPr>
          <w:rFonts w:ascii="Calibri" w:hAnsi="Calibri" w:eastAsia="Calibri" w:cs="Times New Roman"/>
        </w:rPr>
      </w:pPr>
      <w:r>
        <w:t>Title 15 U.S.C. §764(a,b)</w:t>
      </w:r>
      <w:r w:rsidRPr="007A0679">
        <w:t xml:space="preserve"> which establishes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Pr="007A0679" w:rsidR="007A0679" w:rsidP="007A0679" w:rsidRDefault="007A0679" w14:paraId="701938DB" w14:textId="77777777">
      <w:pPr>
        <w:ind w:left="810"/>
        <w:contextualSpacing/>
        <w:rPr>
          <w:rFonts w:ascii="Calibri" w:hAnsi="Calibri" w:eastAsia="Calibri" w:cs="Times New Roman"/>
        </w:rPr>
      </w:pPr>
    </w:p>
    <w:p w:rsidR="007A0679" w:rsidP="00556D2C" w:rsidRDefault="007A0679" w14:paraId="12A70E7D" w14:textId="77777777">
      <w:pPr>
        <w:numPr>
          <w:ilvl w:val="0"/>
          <w:numId w:val="10"/>
        </w:numPr>
        <w:spacing w:before="240"/>
        <w:contextualSpacing/>
        <w:jc w:val="both"/>
        <w:rPr>
          <w:rFonts w:ascii="Calibri" w:hAnsi="Calibri" w:eastAsia="Calibri" w:cs="Times New Roman"/>
        </w:rPr>
      </w:pPr>
      <w:r>
        <w:lastRenderedPageBreak/>
        <w:t>Title 15 U.S.C. §790(a)</w:t>
      </w:r>
      <w:r w:rsidRPr="007A0679">
        <w:t xml:space="preserve"> which establishes a National Energy Information System that is the enclave containing the energy data collected by EIA, which allows EIA to describe and analyze energy supply and consumption in the U.S.  This enclave allows EIA to perform statistical and forecasting activities to meet the needs of the Department of Energy, Congress, and the States.</w:t>
      </w:r>
    </w:p>
    <w:p w:rsidRPr="007A0679" w:rsidR="007A0679" w:rsidP="002930ED" w:rsidRDefault="007A0679" w14:paraId="2DE39EAA" w14:textId="77777777">
      <w:pPr>
        <w:rPr>
          <w:rFonts w:ascii="Calibri" w:hAnsi="Calibri" w:eastAsia="Times New Roman" w:cs="Calibri"/>
          <w:b/>
          <w:bCs/>
          <w:color w:val="000000"/>
        </w:rPr>
      </w:pPr>
    </w:p>
    <w:p w:rsidRPr="007A0679" w:rsidR="007A0679" w:rsidP="00556D2C" w:rsidRDefault="007A0679" w14:paraId="104A9DA7" w14:textId="5C7164A8">
      <w:pPr>
        <w:numPr>
          <w:ilvl w:val="0"/>
          <w:numId w:val="10"/>
        </w:numPr>
        <w:spacing w:before="240"/>
        <w:contextualSpacing/>
        <w:jc w:val="both"/>
        <w:rPr>
          <w:rFonts w:ascii="Calibri" w:hAnsi="Calibri" w:eastAsia="Calibri" w:cs="Times New Roman"/>
        </w:rPr>
      </w:pPr>
      <w:r w:rsidRPr="007A0679">
        <w:rPr>
          <w:rFonts w:ascii="Calibri" w:hAnsi="Calibri" w:eastAsia="Times New Roman" w:cs="Calibri"/>
          <w:bCs/>
          <w:color w:val="000000"/>
        </w:rPr>
        <w:t>Title 42 Section 6274 which continues Title 15 Section 772 in the context of transmitting data to the International Energy Agency</w:t>
      </w:r>
      <w:r w:rsidRPr="00276D29" w:rsidR="00276D29">
        <w:rPr>
          <w:rFonts w:ascii="Calibri" w:hAnsi="Calibri" w:eastAsia="Times New Roman" w:cs="Calibri"/>
          <w:bCs/>
          <w:color w:val="000000"/>
        </w:rPr>
        <w:t>,</w:t>
      </w:r>
      <w:r w:rsidRPr="007A0679">
        <w:rPr>
          <w:rFonts w:ascii="Calibri" w:hAnsi="Calibri" w:eastAsia="Times New Roman" w:cs="Calibri"/>
          <w:bCs/>
          <w:color w:val="000000"/>
        </w:rPr>
        <w:t xml:space="preserve"> subject to limitations on the disclosure of identifiable information</w:t>
      </w:r>
      <w:r>
        <w:rPr>
          <w:rFonts w:ascii="Calibri" w:hAnsi="Calibri" w:eastAsia="Times New Roman" w:cs="Calibri"/>
          <w:bCs/>
          <w:color w:val="000000"/>
        </w:rPr>
        <w:t>.</w:t>
      </w:r>
    </w:p>
    <w:p w:rsidRPr="00CE690D" w:rsidR="008C734C" w:rsidP="00B111BC" w:rsidRDefault="008C734C" w14:paraId="714E0666" w14:textId="3F864B87">
      <w:pPr>
        <w:ind w:firstLine="720"/>
      </w:pPr>
    </w:p>
    <w:p w:rsidR="008C734C" w:rsidP="008C734C" w:rsidRDefault="008C734C" w14:paraId="595865A6" w14:textId="77777777">
      <w:pPr>
        <w:pStyle w:val="Heading2"/>
      </w:pPr>
      <w:bookmarkStart w:name="_Toc492634202" w:id="3"/>
      <w:r>
        <w:t>A.2. Needs and Uses of Data</w:t>
      </w:r>
      <w:bookmarkEnd w:id="3"/>
    </w:p>
    <w:p w:rsidRPr="003E3129" w:rsidR="00E30D51" w:rsidP="00E30D51" w:rsidRDefault="00E30D51" w14:paraId="2F406F0B" w14:textId="77777777">
      <w:pPr>
        <w:rPr>
          <w:iCs/>
        </w:rPr>
      </w:pPr>
      <w:r w:rsidRPr="003E3129">
        <w:rPr>
          <w:iCs/>
        </w:rPr>
        <w:t>The information provided by the Oil and Gas Reserves System (OGRS) data collections is used by the Department of Energy as</w:t>
      </w:r>
      <w:r w:rsidRPr="003E3129" w:rsidDel="004E7093">
        <w:rPr>
          <w:iCs/>
        </w:rPr>
        <w:t xml:space="preserve"> </w:t>
      </w:r>
      <w:r w:rsidRPr="003E3129">
        <w:rPr>
          <w:iCs/>
        </w:rPr>
        <w:t>input into the following web products issued by EIA:</w:t>
      </w:r>
    </w:p>
    <w:p w:rsidRPr="003E3129" w:rsidR="00E30D51" w:rsidP="00D5491E" w:rsidRDefault="00E30D51" w14:paraId="55F0B563" w14:textId="77777777">
      <w:pPr>
        <w:numPr>
          <w:ilvl w:val="0"/>
          <w:numId w:val="8"/>
        </w:numPr>
        <w:rPr>
          <w:iCs/>
        </w:rPr>
      </w:pPr>
      <w:r w:rsidRPr="003E3129">
        <w:rPr>
          <w:iCs/>
        </w:rPr>
        <w:t xml:space="preserve">U.S. Crude Oil and Natural Gas Proved Reserves Annual Report, </w:t>
      </w:r>
      <w:hyperlink w:history="1" r:id="rId18">
        <w:r w:rsidRPr="003E3129">
          <w:rPr>
            <w:rStyle w:val="Hyperlink"/>
            <w:iCs/>
          </w:rPr>
          <w:t>http://www.eia.doe.gov/oil_gas/natural_gas/data_publications/crude_oil_natural_gas_reserves/cr.html</w:t>
        </w:r>
      </w:hyperlink>
    </w:p>
    <w:p w:rsidRPr="00D87114" w:rsidR="00E30D51" w:rsidP="00D5491E" w:rsidRDefault="00E30D51" w14:paraId="0E6B803E" w14:textId="77777777">
      <w:pPr>
        <w:numPr>
          <w:ilvl w:val="0"/>
          <w:numId w:val="8"/>
        </w:numPr>
        <w:rPr>
          <w:rStyle w:val="Hyperlink"/>
          <w:iCs/>
          <w:color w:val="auto"/>
          <w:u w:val="none"/>
        </w:rPr>
      </w:pPr>
      <w:r w:rsidRPr="003E3129">
        <w:rPr>
          <w:iCs/>
        </w:rPr>
        <w:t xml:space="preserve">Natural Gas Monthly, </w:t>
      </w:r>
      <w:hyperlink w:history="1" r:id="rId19">
        <w:r w:rsidRPr="00711941" w:rsidR="00BF76F2">
          <w:rPr>
            <w:rStyle w:val="Hyperlink"/>
            <w:iCs/>
          </w:rPr>
          <w:t>http://www.eia.gov/naturalgas/monthly</w:t>
        </w:r>
      </w:hyperlink>
    </w:p>
    <w:p w:rsidRPr="003E3129" w:rsidR="00E30D51" w:rsidP="00D5491E" w:rsidRDefault="00E30D51" w14:paraId="4D2385DE" w14:textId="77777777">
      <w:pPr>
        <w:numPr>
          <w:ilvl w:val="0"/>
          <w:numId w:val="8"/>
        </w:numPr>
        <w:rPr>
          <w:iCs/>
        </w:rPr>
      </w:pPr>
      <w:r w:rsidRPr="00E30D51">
        <w:rPr>
          <w:rStyle w:val="Hyperlink"/>
          <w:iCs/>
          <w:color w:val="auto"/>
          <w:u w:val="none"/>
        </w:rPr>
        <w:t>Natural Gas Annual,</w:t>
      </w:r>
      <w:r>
        <w:rPr>
          <w:rStyle w:val="Hyperlink"/>
          <w:iCs/>
          <w:u w:val="none"/>
        </w:rPr>
        <w:t xml:space="preserve"> </w:t>
      </w:r>
      <w:hyperlink w:history="1" r:id="rId20">
        <w:r w:rsidRPr="00BF76F2">
          <w:rPr>
            <w:rStyle w:val="Hyperlink"/>
            <w:iCs/>
          </w:rPr>
          <w:t>https://www.eia.gov/naturalgas/annual</w:t>
        </w:r>
      </w:hyperlink>
    </w:p>
    <w:p w:rsidRPr="003E3129" w:rsidR="00E30D51" w:rsidP="00D5491E" w:rsidRDefault="00E30D51" w14:paraId="66D36A17" w14:textId="77777777">
      <w:pPr>
        <w:numPr>
          <w:ilvl w:val="0"/>
          <w:numId w:val="8"/>
        </w:numPr>
        <w:rPr>
          <w:iCs/>
        </w:rPr>
      </w:pPr>
      <w:r w:rsidRPr="003E3129">
        <w:rPr>
          <w:iCs/>
        </w:rPr>
        <w:t xml:space="preserve">Annual Energy Review, </w:t>
      </w:r>
      <w:hyperlink w:history="1" r:id="rId21">
        <w:r w:rsidRPr="003E3129">
          <w:rPr>
            <w:rStyle w:val="Hyperlink"/>
            <w:iCs/>
          </w:rPr>
          <w:t>http://www.eia.gov/emeu/aer/contents.html</w:t>
        </w:r>
      </w:hyperlink>
    </w:p>
    <w:p w:rsidRPr="003E3129" w:rsidR="00E30D51" w:rsidP="00673951" w:rsidRDefault="00E30D51" w14:paraId="5799E964" w14:textId="77777777">
      <w:pPr>
        <w:numPr>
          <w:ilvl w:val="0"/>
          <w:numId w:val="8"/>
        </w:numPr>
        <w:rPr>
          <w:iCs/>
        </w:rPr>
      </w:pPr>
      <w:r w:rsidRPr="003E3129">
        <w:rPr>
          <w:iCs/>
        </w:rPr>
        <w:t>Annual Energy Outlook,</w:t>
      </w:r>
      <w:r w:rsidR="00673951">
        <w:rPr>
          <w:rStyle w:val="Hyperlink"/>
          <w:iCs/>
        </w:rPr>
        <w:t xml:space="preserve"> </w:t>
      </w:r>
      <w:r w:rsidRPr="00673951" w:rsidR="00673951">
        <w:rPr>
          <w:rStyle w:val="Hyperlink"/>
          <w:iCs/>
        </w:rPr>
        <w:t>https://www.eia.gov/outlooks/aeo/</w:t>
      </w:r>
    </w:p>
    <w:p w:rsidRPr="003E3129" w:rsidR="00E30D51" w:rsidP="00D5491E" w:rsidRDefault="00E30D51" w14:paraId="469B96E4" w14:textId="77777777">
      <w:pPr>
        <w:numPr>
          <w:ilvl w:val="0"/>
          <w:numId w:val="8"/>
        </w:numPr>
        <w:rPr>
          <w:iCs/>
        </w:rPr>
      </w:pPr>
      <w:r w:rsidRPr="003E3129">
        <w:rPr>
          <w:iCs/>
        </w:rPr>
        <w:t xml:space="preserve">Short-Term Energy Outlook, </w:t>
      </w:r>
      <w:hyperlink w:history="1" r:id="rId22">
        <w:r w:rsidRPr="003E3129">
          <w:rPr>
            <w:rStyle w:val="Hyperlink"/>
            <w:iCs/>
          </w:rPr>
          <w:t>http://www.eia.gov/forecasts/steo/</w:t>
        </w:r>
      </w:hyperlink>
    </w:p>
    <w:p w:rsidRPr="003E3129" w:rsidR="00E30D51" w:rsidP="00E30D51" w:rsidRDefault="00E30D51" w14:paraId="59F88271" w14:textId="3BD92D7F">
      <w:pPr>
        <w:rPr>
          <w:iCs/>
        </w:rPr>
      </w:pPr>
      <w:r w:rsidRPr="003E3129">
        <w:rPr>
          <w:iCs/>
        </w:rPr>
        <w:t>Form EIA-23L provides credible, verifiable national and regional data on the proved reserves of crude oil</w:t>
      </w:r>
      <w:r w:rsidR="00D31E00">
        <w:rPr>
          <w:iCs/>
        </w:rPr>
        <w:t xml:space="preserve"> and</w:t>
      </w:r>
      <w:r w:rsidRPr="003E3129">
        <w:rPr>
          <w:iCs/>
        </w:rPr>
        <w:t xml:space="preserve"> natural gas.  These data include proved reserves and production for crude oil</w:t>
      </w:r>
      <w:r w:rsidR="00946388">
        <w:rPr>
          <w:iCs/>
        </w:rPr>
        <w:t xml:space="preserve"> and</w:t>
      </w:r>
      <w:r w:rsidRPr="003E3129">
        <w:rPr>
          <w:iCs/>
        </w:rPr>
        <w:t xml:space="preserve"> lease condensate, and natural gas by state</w:t>
      </w:r>
      <w:r w:rsidR="00946388">
        <w:rPr>
          <w:iCs/>
        </w:rPr>
        <w:t>/state sub-division</w:t>
      </w:r>
      <w:r w:rsidRPr="003E3129">
        <w:rPr>
          <w:iCs/>
        </w:rPr>
        <w:t xml:space="preserve"> and federal offshore regions.</w:t>
      </w:r>
    </w:p>
    <w:p w:rsidRPr="003E3129" w:rsidR="00E30D51" w:rsidP="00E30D51" w:rsidRDefault="00E30D51" w14:paraId="2DB10C2F" w14:textId="77777777">
      <w:pPr>
        <w:rPr>
          <w:iCs/>
        </w:rPr>
      </w:pPr>
      <w:r w:rsidRPr="003E3129">
        <w:rPr>
          <w:iCs/>
        </w:rPr>
        <w:t>Form EIA-64A provides data that are used to estimate natural gas plant liquids production and reserves by state and federal offshore regions.  Data collected are plant and respondent identification, origin of natural gas received</w:t>
      </w:r>
      <w:r w:rsidR="009146A0">
        <w:rPr>
          <w:iCs/>
        </w:rPr>
        <w:t>,</w:t>
      </w:r>
      <w:r w:rsidRPr="003E3129">
        <w:rPr>
          <w:iCs/>
        </w:rPr>
        <w:t xml:space="preserve"> </w:t>
      </w:r>
      <w:r w:rsidR="009146A0">
        <w:rPr>
          <w:iCs/>
        </w:rPr>
        <w:t xml:space="preserve">dry natural gas produced, </w:t>
      </w:r>
      <w:r w:rsidRPr="003E3129">
        <w:rPr>
          <w:iCs/>
        </w:rPr>
        <w:t xml:space="preserve">natural gas liquids produced, plant fuel use, </w:t>
      </w:r>
      <w:r w:rsidR="009146A0">
        <w:rPr>
          <w:iCs/>
        </w:rPr>
        <w:t>and electricity purchased</w:t>
      </w:r>
      <w:r>
        <w:rPr>
          <w:iCs/>
        </w:rPr>
        <w:t>.</w:t>
      </w:r>
    </w:p>
    <w:p w:rsidRPr="000C7F74" w:rsidR="006B3643" w:rsidP="00233DF9" w:rsidRDefault="00E30D51" w14:paraId="2FC74346" w14:textId="53C25D41">
      <w:pPr>
        <w:rPr>
          <w:b/>
        </w:rPr>
      </w:pPr>
      <w:r w:rsidRPr="003E3129">
        <w:rPr>
          <w:iCs/>
        </w:rPr>
        <w:t>These data are used by EIA in many reports and analysis that discuss crude oil and natural gas reserves and production.  The EIA-64A data is used for generating estimates of EIA's dry natural gas production (natural gas that remains after natural gas liquids are extracted).  The estimate for production of total natural gas plant liquids (NGPL) generated from the EIA-64A data is used by EIA to calculate the extraction loss from wet natural gas production so that EIA may accurately estimate dry natural gas production.  All EIA publications are available on EIA’s Internet site (</w:t>
      </w:r>
      <w:hyperlink w:history="1" r:id="rId23">
        <w:r w:rsidRPr="003E3129">
          <w:rPr>
            <w:rStyle w:val="Hyperlink"/>
            <w:iCs/>
          </w:rPr>
          <w:t>http://www.eia.gov</w:t>
        </w:r>
      </w:hyperlink>
      <w:r w:rsidRPr="003E3129">
        <w:rPr>
          <w:iCs/>
        </w:rPr>
        <w:t>).</w:t>
      </w:r>
      <w:r w:rsidR="00D5491E">
        <w:rPr>
          <w:iCs/>
        </w:rPr>
        <w:br/>
      </w:r>
      <w:r w:rsidR="00D5491E">
        <w:rPr>
          <w:iCs/>
        </w:rPr>
        <w:br/>
      </w:r>
      <w:r w:rsidRPr="003E3129" w:rsidR="00D5491E">
        <w:rPr>
          <w:iCs/>
        </w:rPr>
        <w:t>Every year the Oil and Gas Journal (</w:t>
      </w:r>
      <w:r w:rsidRPr="00B7475D" w:rsidR="00B7475D">
        <w:rPr>
          <w:rStyle w:val="Hyperlink"/>
          <w:iCs/>
        </w:rPr>
        <w:t>https://www.ogj.com/</w:t>
      </w:r>
      <w:r w:rsidRPr="003E3129" w:rsidR="00D5491E">
        <w:rPr>
          <w:iCs/>
        </w:rPr>
        <w:t xml:space="preserve">) </w:t>
      </w:r>
      <w:r w:rsidR="00D5491E">
        <w:rPr>
          <w:iCs/>
        </w:rPr>
        <w:t xml:space="preserve">copies and </w:t>
      </w:r>
      <w:r w:rsidRPr="003E3129" w:rsidR="00D5491E">
        <w:rPr>
          <w:iCs/>
        </w:rPr>
        <w:t xml:space="preserve">publishes the </w:t>
      </w:r>
      <w:r w:rsidR="00D5491E">
        <w:rPr>
          <w:iCs/>
        </w:rPr>
        <w:t xml:space="preserve">EIA’s proved </w:t>
      </w:r>
      <w:r w:rsidRPr="003E3129" w:rsidR="00D5491E">
        <w:rPr>
          <w:iCs/>
        </w:rPr>
        <w:lastRenderedPageBreak/>
        <w:t>reserves estimates as the official reserve estimates for the U.S. as part of their coverage of international crude oil reserves.  EIA</w:t>
      </w:r>
      <w:r w:rsidR="00D5491E">
        <w:rPr>
          <w:iCs/>
        </w:rPr>
        <w:t>’s proved reserves</w:t>
      </w:r>
      <w:r w:rsidRPr="003E3129" w:rsidR="00D5491E">
        <w:rPr>
          <w:iCs/>
        </w:rPr>
        <w:t xml:space="preserve"> data series </w:t>
      </w:r>
      <w:r w:rsidR="00D5491E">
        <w:rPr>
          <w:iCs/>
        </w:rPr>
        <w:t xml:space="preserve">is </w:t>
      </w:r>
      <w:r w:rsidRPr="003E3129" w:rsidR="00D5491E">
        <w:rPr>
          <w:iCs/>
        </w:rPr>
        <w:t xml:space="preserve">widely used in the petroleum industry by consultants and the trade press. </w:t>
      </w:r>
    </w:p>
    <w:p w:rsidRPr="006B3643" w:rsidR="006B3643" w:rsidP="006B3643" w:rsidRDefault="006B3643" w14:paraId="0A6C988B" w14:textId="77777777">
      <w:pPr>
        <w:rPr>
          <w:iCs/>
        </w:rPr>
      </w:pPr>
      <w:r w:rsidRPr="006B3643">
        <w:rPr>
          <w:iCs/>
        </w:rPr>
        <w:t>The data series from these surveys provide additional benefits, such as:</w:t>
      </w:r>
    </w:p>
    <w:p w:rsidRPr="006B3643" w:rsidR="006B3643" w:rsidP="006B3643" w:rsidRDefault="006B3643" w14:paraId="0324C43F" w14:textId="77777777">
      <w:pPr>
        <w:ind w:firstLine="360"/>
        <w:rPr>
          <w:iCs/>
        </w:rPr>
      </w:pPr>
      <w:r w:rsidRPr="006B3643">
        <w:rPr>
          <w:iCs/>
        </w:rPr>
        <w:t>•</w:t>
      </w:r>
      <w:r w:rsidRPr="006B3643">
        <w:rPr>
          <w:iCs/>
        </w:rPr>
        <w:tab/>
        <w:t>Fulfilling EIA's mission to provide credible, reliable, and timely energy information</w:t>
      </w:r>
    </w:p>
    <w:p w:rsidRPr="006B3643" w:rsidR="006B3643" w:rsidP="006B3643" w:rsidRDefault="006B3643" w14:paraId="34895DC2" w14:textId="77777777">
      <w:pPr>
        <w:ind w:firstLine="360"/>
        <w:rPr>
          <w:iCs/>
        </w:rPr>
      </w:pPr>
      <w:r w:rsidRPr="006B3643">
        <w:rPr>
          <w:iCs/>
        </w:rPr>
        <w:t>•</w:t>
      </w:r>
      <w:r w:rsidRPr="006B3643">
        <w:rPr>
          <w:iCs/>
        </w:rPr>
        <w:tab/>
        <w:t>Providing a database for use in forecasting, policy making, planning and analysis activities</w:t>
      </w:r>
    </w:p>
    <w:p w:rsidRPr="006B3643" w:rsidR="006B3643" w:rsidP="006B3643" w:rsidRDefault="006B3643" w14:paraId="14DEB027" w14:textId="77777777">
      <w:pPr>
        <w:ind w:firstLine="360"/>
        <w:rPr>
          <w:iCs/>
        </w:rPr>
      </w:pPr>
      <w:r w:rsidRPr="006B3643">
        <w:rPr>
          <w:iCs/>
        </w:rPr>
        <w:t>•</w:t>
      </w:r>
      <w:r w:rsidRPr="006B3643">
        <w:rPr>
          <w:iCs/>
        </w:rPr>
        <w:tab/>
        <w:t>Serving as an official data bank available to Congress</w:t>
      </w:r>
      <w:r w:rsidR="00D31E00">
        <w:rPr>
          <w:iCs/>
        </w:rPr>
        <w:t>,</w:t>
      </w:r>
      <w:r w:rsidRPr="006B3643">
        <w:rPr>
          <w:iCs/>
        </w:rPr>
        <w:t xml:space="preserve"> other government agencies</w:t>
      </w:r>
      <w:r w:rsidR="00D31E00">
        <w:rPr>
          <w:iCs/>
        </w:rPr>
        <w:t>, and the public</w:t>
      </w:r>
      <w:r w:rsidRPr="006B3643">
        <w:rPr>
          <w:iCs/>
        </w:rPr>
        <w:t xml:space="preserve"> on the proved reserves of crude oil, natural gas, and natural gas liquids in the United States</w:t>
      </w:r>
    </w:p>
    <w:p w:rsidRPr="00A41763" w:rsidR="00A41763" w:rsidP="006B3643" w:rsidRDefault="006B3643" w14:paraId="3E187606" w14:textId="77777777">
      <w:pPr>
        <w:ind w:firstLine="360"/>
      </w:pPr>
      <w:r w:rsidRPr="006B3643">
        <w:rPr>
          <w:iCs/>
        </w:rPr>
        <w:t>•</w:t>
      </w:r>
      <w:r w:rsidRPr="006B3643">
        <w:rPr>
          <w:iCs/>
        </w:rPr>
        <w:tab/>
        <w:t>Providing a source of data for other government agencies, business firms, trade associations,</w:t>
      </w:r>
      <w:r w:rsidR="0040361A">
        <w:rPr>
          <w:iCs/>
        </w:rPr>
        <w:t xml:space="preserve"> financial institutions, academia,</w:t>
      </w:r>
      <w:r w:rsidRPr="006B3643">
        <w:rPr>
          <w:iCs/>
        </w:rPr>
        <w:t xml:space="preserve"> and private research and consulting organizations for analysis, projections, and monitoring purposes.</w:t>
      </w:r>
      <w:r w:rsidRPr="00A41763" w:rsidR="00A41763">
        <w:rPr>
          <w:i/>
          <w:iCs/>
        </w:rPr>
        <w:t xml:space="preserve"> </w:t>
      </w:r>
    </w:p>
    <w:p w:rsidR="008C734C" w:rsidP="008C734C" w:rsidRDefault="008C734C" w14:paraId="4B74A450" w14:textId="77777777">
      <w:pPr>
        <w:pStyle w:val="Heading2"/>
      </w:pPr>
      <w:bookmarkStart w:name="_Toc492634203" w:id="4"/>
      <w:r>
        <w:t>A.</w:t>
      </w:r>
      <w:r w:rsidRPr="00A41763" w:rsidR="00A41763">
        <w:t xml:space="preserve">3. </w:t>
      </w:r>
      <w:r>
        <w:t>Use of Technology</w:t>
      </w:r>
      <w:bookmarkEnd w:id="4"/>
    </w:p>
    <w:p w:rsidRPr="00540BB5" w:rsidR="00540BB5" w:rsidP="00540BB5" w:rsidRDefault="00540BB5" w14:paraId="54D06CA0" w14:textId="77777777">
      <w:pPr>
        <w:rPr>
          <w:bCs/>
        </w:rPr>
      </w:pPr>
      <w:r w:rsidRPr="00540BB5">
        <w:rPr>
          <w:bCs/>
        </w:rPr>
        <w:t>In an effort to reduce respondent burden, multiple reporting options for the Forms EIA-23L and EIA-64A are provided.</w:t>
      </w:r>
    </w:p>
    <w:p w:rsidRPr="00540BB5" w:rsidR="00540BB5" w:rsidP="00540BB5" w:rsidRDefault="002B2DD4" w14:paraId="5AE40E9D" w14:textId="77777777">
      <w:pPr>
        <w:rPr>
          <w:bCs/>
        </w:rPr>
      </w:pPr>
      <w:r>
        <w:rPr>
          <w:bCs/>
        </w:rPr>
        <w:t xml:space="preserve">The new spreadsheet version of Form 23L </w:t>
      </w:r>
      <w:r w:rsidRPr="00540BB5" w:rsidR="00540BB5">
        <w:rPr>
          <w:bCs/>
        </w:rPr>
        <w:t xml:space="preserve">is </w:t>
      </w:r>
      <w:r>
        <w:rPr>
          <w:bCs/>
        </w:rPr>
        <w:t>available</w:t>
      </w:r>
      <w:r w:rsidRPr="00540BB5" w:rsidR="00540BB5">
        <w:rPr>
          <w:bCs/>
        </w:rPr>
        <w:t xml:space="preserve"> on the EIA website as a download.  </w:t>
      </w:r>
      <w:r>
        <w:rPr>
          <w:bCs/>
        </w:rPr>
        <w:t xml:space="preserve">Respondents </w:t>
      </w:r>
      <w:r w:rsidRPr="00540BB5" w:rsidR="00540BB5">
        <w:rPr>
          <w:bCs/>
        </w:rPr>
        <w:t>may complete the Form EIA-23L using the</w:t>
      </w:r>
      <w:r>
        <w:rPr>
          <w:bCs/>
        </w:rPr>
        <w:t xml:space="preserve">ir own automated system or manually and submit the form using EIA’s </w:t>
      </w:r>
      <w:r w:rsidR="00453098">
        <w:rPr>
          <w:bCs/>
        </w:rPr>
        <w:t>S</w:t>
      </w:r>
      <w:r>
        <w:rPr>
          <w:bCs/>
        </w:rPr>
        <w:t xml:space="preserve">ecure </w:t>
      </w:r>
      <w:r w:rsidR="00453098">
        <w:rPr>
          <w:bCs/>
        </w:rPr>
        <w:t>F</w:t>
      </w:r>
      <w:r>
        <w:rPr>
          <w:bCs/>
        </w:rPr>
        <w:t xml:space="preserve">ile </w:t>
      </w:r>
      <w:r w:rsidR="00453098">
        <w:rPr>
          <w:bCs/>
        </w:rPr>
        <w:t>T</w:t>
      </w:r>
      <w:r>
        <w:rPr>
          <w:bCs/>
        </w:rPr>
        <w:t>ransfer website</w:t>
      </w:r>
      <w:r w:rsidR="00453098">
        <w:rPr>
          <w:bCs/>
        </w:rPr>
        <w:t>, fax, or U.S. Mail</w:t>
      </w:r>
      <w:r>
        <w:rPr>
          <w:bCs/>
        </w:rPr>
        <w:t>.</w:t>
      </w:r>
    </w:p>
    <w:p w:rsidRPr="00540BB5" w:rsidR="008C734C" w:rsidP="00540BB5" w:rsidRDefault="00540BB5" w14:paraId="7A118ABA" w14:textId="77777777">
      <w:r w:rsidRPr="00540BB5">
        <w:rPr>
          <w:bCs/>
        </w:rPr>
        <w:t xml:space="preserve">EIA </w:t>
      </w:r>
      <w:r w:rsidR="00453098">
        <w:rPr>
          <w:bCs/>
        </w:rPr>
        <w:t xml:space="preserve">also </w:t>
      </w:r>
      <w:r w:rsidRPr="00540BB5">
        <w:rPr>
          <w:bCs/>
        </w:rPr>
        <w:t xml:space="preserve">provides </w:t>
      </w:r>
      <w:r w:rsidR="00453098">
        <w:rPr>
          <w:bCs/>
        </w:rPr>
        <w:t xml:space="preserve">a </w:t>
      </w:r>
      <w:r w:rsidRPr="00540BB5">
        <w:rPr>
          <w:bCs/>
        </w:rPr>
        <w:t>spreadsheet version of th</w:t>
      </w:r>
      <w:r>
        <w:rPr>
          <w:bCs/>
        </w:rPr>
        <w:t>e EIA-64A on its website.  R</w:t>
      </w:r>
      <w:r w:rsidRPr="00540BB5">
        <w:rPr>
          <w:bCs/>
        </w:rPr>
        <w:t>espondents may download this version, complete it, and return it to EIA by Secure File Transfer, fax, or U.S. Mail.</w:t>
      </w:r>
    </w:p>
    <w:p w:rsidR="008C734C" w:rsidP="008C734C" w:rsidRDefault="008C734C" w14:paraId="0E03FEC7" w14:textId="77777777">
      <w:pPr>
        <w:pStyle w:val="Heading2"/>
      </w:pPr>
      <w:bookmarkStart w:name="_Toc492634204" w:id="5"/>
      <w:r>
        <w:t>A.</w:t>
      </w:r>
      <w:r w:rsidRPr="00A41763" w:rsidR="00A41763">
        <w:t xml:space="preserve">4. </w:t>
      </w:r>
      <w:r>
        <w:t>Efforts to Identify Duplication</w:t>
      </w:r>
      <w:bookmarkEnd w:id="5"/>
    </w:p>
    <w:p w:rsidRPr="003E3129" w:rsidR="00540BB5" w:rsidP="00540BB5" w:rsidRDefault="00540BB5" w14:paraId="4A51DFD9" w14:textId="77777777">
      <w:pPr>
        <w:rPr>
          <w:iCs/>
        </w:rPr>
      </w:pPr>
      <w:r w:rsidRPr="003E3129">
        <w:rPr>
          <w:iCs/>
        </w:rPr>
        <w:t>The OGRS data collections do not unnecessarily duplicate other information collected by EIA.  Also, EIA</w:t>
      </w:r>
      <w:r w:rsidRPr="003E3129">
        <w:rPr>
          <w:i/>
          <w:iCs/>
        </w:rPr>
        <w:t xml:space="preserve"> </w:t>
      </w:r>
      <w:r w:rsidRPr="003E3129">
        <w:rPr>
          <w:iCs/>
        </w:rPr>
        <w:t>staff is very familiar with U.S. oil and natural gas proved reserves data, and there are not any independent, reliable, and accurate data that can serve as a substitute for the</w:t>
      </w:r>
      <w:r>
        <w:rPr>
          <w:iCs/>
        </w:rPr>
        <w:t xml:space="preserve"> information collected on Forms EIA-23L and EIA-64A</w:t>
      </w:r>
      <w:r w:rsidRPr="003E3129">
        <w:rPr>
          <w:iCs/>
        </w:rPr>
        <w:t>.</w:t>
      </w:r>
    </w:p>
    <w:p w:rsidRPr="003E3129" w:rsidR="00540BB5" w:rsidP="00540BB5" w:rsidRDefault="00540BB5" w14:paraId="42057394" w14:textId="5E0B99D8">
      <w:pPr>
        <w:rPr>
          <w:iCs/>
        </w:rPr>
      </w:pPr>
      <w:r w:rsidRPr="003E3129">
        <w:rPr>
          <w:iCs/>
        </w:rPr>
        <w:t>Several sources collect production of natural gas and oil from the same respondents, but this data cannot replace the collection of production on the EIA-23</w:t>
      </w:r>
      <w:r>
        <w:rPr>
          <w:iCs/>
        </w:rPr>
        <w:t>L</w:t>
      </w:r>
      <w:r w:rsidRPr="003E3129">
        <w:rPr>
          <w:iCs/>
        </w:rPr>
        <w:t xml:space="preserve"> because it is critical that the production numbers collected reflect production from the reported reserves (See Supporting Statement Part B).  Matching reserves numbers reported on the EIA-23</w:t>
      </w:r>
      <w:r>
        <w:rPr>
          <w:iCs/>
        </w:rPr>
        <w:t>L</w:t>
      </w:r>
      <w:r w:rsidRPr="003E3129">
        <w:rPr>
          <w:iCs/>
        </w:rPr>
        <w:t xml:space="preserve"> to production numbers collected from another source would be invalid due to changes in operator holdings and estimates over time.  </w:t>
      </w:r>
    </w:p>
    <w:p w:rsidRPr="003E3129" w:rsidR="00540BB5" w:rsidP="00540BB5" w:rsidRDefault="00540BB5" w14:paraId="662FD63F" w14:textId="33FFE4F8">
      <w:pPr>
        <w:rPr>
          <w:iCs/>
        </w:rPr>
      </w:pPr>
      <w:r w:rsidRPr="003E3129">
        <w:rPr>
          <w:iCs/>
        </w:rPr>
        <w:t>Information from state, federal, or commercial listings of oil and gas well operators has failed to provide the information that the OGRS data collections provide.  At this time, state agencies do not collect proved reserves information from oil and gas well operators.</w:t>
      </w:r>
    </w:p>
    <w:p w:rsidRPr="003E3129" w:rsidR="00540BB5" w:rsidP="00540BB5" w:rsidRDefault="00540BB5" w14:paraId="543B14CA" w14:textId="77777777">
      <w:pPr>
        <w:rPr>
          <w:iCs/>
        </w:rPr>
      </w:pPr>
      <w:r w:rsidRPr="003E3129">
        <w:rPr>
          <w:iCs/>
        </w:rPr>
        <w:t xml:space="preserve">The Department of the Interior (DOI) and Bureau of Land Management (BLM) do not collect proved reserves information – their data collection is on acreage of land leased, drilling permits issued, and </w:t>
      </w:r>
      <w:r w:rsidRPr="003E3129">
        <w:rPr>
          <w:iCs/>
        </w:rPr>
        <w:lastRenderedPageBreak/>
        <w:t xml:space="preserve">production from leases on federal land.  The DOI Bureau of Ocean Energy Management (BOEM) collects proved reserves and water depth information on developments in the Federal Offshore region, but </w:t>
      </w:r>
      <w:r>
        <w:rPr>
          <w:iCs/>
        </w:rPr>
        <w:t>publishes its own reports one year later than EIA</w:t>
      </w:r>
      <w:r w:rsidRPr="003E3129">
        <w:rPr>
          <w:iCs/>
        </w:rPr>
        <w:t xml:space="preserve">.  Because of the limited geographic coverage and the delay in releasing reserves data, the DOI information is not an acceptable alternative to the Form EIA-23L </w:t>
      </w:r>
      <w:r>
        <w:rPr>
          <w:iCs/>
        </w:rPr>
        <w:t>report</w:t>
      </w:r>
      <w:r w:rsidRPr="003E3129">
        <w:rPr>
          <w:iCs/>
        </w:rPr>
        <w:t>.</w:t>
      </w:r>
    </w:p>
    <w:p w:rsidRPr="003E3129" w:rsidR="00540BB5" w:rsidP="00540BB5" w:rsidRDefault="00540BB5" w14:paraId="7999646B" w14:textId="77777777">
      <w:pPr>
        <w:rPr>
          <w:iCs/>
        </w:rPr>
      </w:pPr>
      <w:r w:rsidRPr="003E3129">
        <w:rPr>
          <w:iCs/>
        </w:rPr>
        <w:t xml:space="preserve">Oil and gas </w:t>
      </w:r>
      <w:r w:rsidRPr="00233DF9">
        <w:rPr>
          <w:iCs/>
        </w:rPr>
        <w:t>well</w:t>
      </w:r>
      <w:r w:rsidRPr="003E3129">
        <w:rPr>
          <w:iCs/>
        </w:rPr>
        <w:t xml:space="preserve"> operators who are publically-owned companies are required to file their estimate of proved reserves with the Securities and Exchange Commission (SEC).  However, these SEC estimates of proved reserves are not sufficient to replace EIA’s estimates for the entire U.S., because only publically-held companies file with the SEC (though many operators in the U.S. are privately-owned), and the companies report to the SEC only the percentage of the reserves they own, which can be an amount significantly less than the total volume of reserves within a field.</w:t>
      </w:r>
    </w:p>
    <w:p w:rsidRPr="00A41763" w:rsidR="008C734C" w:rsidP="00A41763" w:rsidRDefault="00540BB5" w14:paraId="0CAE5150" w14:textId="77777777">
      <w:r w:rsidRPr="003E3129">
        <w:rPr>
          <w:iCs/>
        </w:rPr>
        <w:t>EIA has determined that other sources of proved oil and gas reserve data cannot replace or approximate the information provided by the OGRS data collections, because of differences in classifying the data, inconsistent data quality, incomplete and infrequent reporting, and data unavailability.</w:t>
      </w:r>
      <w:r w:rsidR="003751F4">
        <w:rPr>
          <w:iCs/>
        </w:rPr>
        <w:t xml:space="preserve"> </w:t>
      </w:r>
      <w:r w:rsidRPr="003E3129">
        <w:rPr>
          <w:iCs/>
        </w:rPr>
        <w:t xml:space="preserve"> Form EIA-64A is the only source of natural gas liquids production data </w:t>
      </w:r>
      <w:r>
        <w:rPr>
          <w:iCs/>
        </w:rPr>
        <w:t xml:space="preserve">by area of origin </w:t>
      </w:r>
      <w:r w:rsidRPr="003E3129">
        <w:rPr>
          <w:iCs/>
        </w:rPr>
        <w:t>known to EIA.</w:t>
      </w:r>
    </w:p>
    <w:p w:rsidR="008C734C" w:rsidP="008C734C" w:rsidRDefault="008C734C" w14:paraId="16722808" w14:textId="77777777">
      <w:pPr>
        <w:pStyle w:val="Heading2"/>
      </w:pPr>
      <w:bookmarkStart w:name="_Toc492634205" w:id="6"/>
      <w:r>
        <w:t>A.</w:t>
      </w:r>
      <w:r w:rsidRPr="00A41763" w:rsidR="00A41763">
        <w:t xml:space="preserve">5. </w:t>
      </w:r>
      <w:r w:rsidRPr="008C734C">
        <w:t>Provisions for Reducing Burden on Small Businesses</w:t>
      </w:r>
      <w:bookmarkEnd w:id="6"/>
      <w:r w:rsidRPr="008C734C">
        <w:t xml:space="preserve"> </w:t>
      </w:r>
    </w:p>
    <w:p w:rsidRPr="00A41763" w:rsidR="008C734C" w:rsidP="00A41763" w:rsidRDefault="00540BB5" w14:paraId="347676B3" w14:textId="77777777">
      <w:r w:rsidRPr="003E3129">
        <w:rPr>
          <w:iCs/>
        </w:rPr>
        <w:t xml:space="preserve">The largest respondents to the Form EIA-23L </w:t>
      </w:r>
      <w:r>
        <w:rPr>
          <w:iCs/>
        </w:rPr>
        <w:t xml:space="preserve">will </w:t>
      </w:r>
      <w:r w:rsidRPr="003E3129">
        <w:rPr>
          <w:iCs/>
        </w:rPr>
        <w:t xml:space="preserve">have </w:t>
      </w:r>
      <w:r w:rsidRPr="00233DF9">
        <w:rPr>
          <w:iCs/>
        </w:rPr>
        <w:t>wells</w:t>
      </w:r>
      <w:r>
        <w:rPr>
          <w:iCs/>
        </w:rPr>
        <w:t xml:space="preserve"> in </w:t>
      </w:r>
      <w:r w:rsidR="003751F4">
        <w:rPr>
          <w:iCs/>
        </w:rPr>
        <w:t>more than half a dozen states</w:t>
      </w:r>
      <w:r>
        <w:rPr>
          <w:iCs/>
        </w:rPr>
        <w:t xml:space="preserve"> across the </w:t>
      </w:r>
      <w:r w:rsidR="009754FE">
        <w:rPr>
          <w:iCs/>
        </w:rPr>
        <w:t>country</w:t>
      </w:r>
      <w:r w:rsidRPr="003E3129">
        <w:rPr>
          <w:iCs/>
        </w:rPr>
        <w:t xml:space="preserve">, while the smallest respondents will have </w:t>
      </w:r>
      <w:r w:rsidRPr="00233DF9">
        <w:rPr>
          <w:iCs/>
        </w:rPr>
        <w:t>wells</w:t>
      </w:r>
      <w:r>
        <w:rPr>
          <w:iCs/>
        </w:rPr>
        <w:t xml:space="preserve"> in </w:t>
      </w:r>
      <w:r w:rsidR="003751F4">
        <w:rPr>
          <w:iCs/>
        </w:rPr>
        <w:t>only one state</w:t>
      </w:r>
      <w:r w:rsidRPr="003E3129">
        <w:rPr>
          <w:iCs/>
        </w:rPr>
        <w:t xml:space="preserve">.  The </w:t>
      </w:r>
      <w:r>
        <w:rPr>
          <w:iCs/>
        </w:rPr>
        <w:t>r</w:t>
      </w:r>
      <w:r w:rsidRPr="003E3129">
        <w:rPr>
          <w:iCs/>
        </w:rPr>
        <w:t xml:space="preserve">eporting burden for the small operators </w:t>
      </w:r>
      <w:r w:rsidR="0052323E">
        <w:rPr>
          <w:iCs/>
        </w:rPr>
        <w:t xml:space="preserve">at state/state subdivision level reporting </w:t>
      </w:r>
      <w:r w:rsidR="003751F4">
        <w:rPr>
          <w:iCs/>
        </w:rPr>
        <w:t xml:space="preserve">on the new Form EIA-23L </w:t>
      </w:r>
      <w:r w:rsidRPr="003E3129">
        <w:rPr>
          <w:iCs/>
        </w:rPr>
        <w:t xml:space="preserve">is slightly less than the old burden for small operators </w:t>
      </w:r>
      <w:r w:rsidR="0052323E">
        <w:rPr>
          <w:iCs/>
        </w:rPr>
        <w:t xml:space="preserve">reporting at the county level. </w:t>
      </w:r>
      <w:r w:rsidRPr="003E3129">
        <w:rPr>
          <w:iCs/>
        </w:rPr>
        <w:t xml:space="preserve"> </w:t>
      </w:r>
      <w:r w:rsidR="0052323E">
        <w:rPr>
          <w:iCs/>
        </w:rPr>
        <w:t>B</w:t>
      </w:r>
      <w:r w:rsidRPr="003E3129">
        <w:rPr>
          <w:iCs/>
        </w:rPr>
        <w:t xml:space="preserve">ut </w:t>
      </w:r>
      <w:r w:rsidR="0052323E">
        <w:rPr>
          <w:iCs/>
        </w:rPr>
        <w:t>larger operators should see a greater reduction in burden</w:t>
      </w:r>
      <w:r w:rsidRPr="003E3129">
        <w:rPr>
          <w:iCs/>
        </w:rPr>
        <w:t>.</w:t>
      </w:r>
    </w:p>
    <w:p w:rsidR="008C734C" w:rsidP="008C734C" w:rsidRDefault="008C734C" w14:paraId="3FB488EB" w14:textId="77777777">
      <w:pPr>
        <w:pStyle w:val="Heading2"/>
      </w:pPr>
      <w:bookmarkStart w:name="_Toc492634206" w:id="7"/>
      <w:r>
        <w:t>A.</w:t>
      </w:r>
      <w:r w:rsidRPr="00A41763" w:rsidR="00A41763">
        <w:t xml:space="preserve">6. </w:t>
      </w:r>
      <w:r w:rsidRPr="008C734C">
        <w:t>Consequences of Less-Frequent Reporting</w:t>
      </w:r>
      <w:bookmarkEnd w:id="7"/>
    </w:p>
    <w:p w:rsidRPr="00A41763" w:rsidR="008C734C" w:rsidP="00A41763" w:rsidRDefault="00540BB5" w14:paraId="0BF57BB0" w14:textId="77777777">
      <w:r w:rsidRPr="000F4C1F">
        <w:t>Less frequent reporting from survey respondents would not permit EIA to meet its mandate of providing timely, reliable information on oil and gas reserves.</w:t>
      </w:r>
    </w:p>
    <w:p w:rsidR="008C734C" w:rsidP="008C734C" w:rsidRDefault="008C734C" w14:paraId="6396BA05" w14:textId="77777777">
      <w:pPr>
        <w:pStyle w:val="Heading2"/>
      </w:pPr>
      <w:bookmarkStart w:name="_Toc492634207" w:id="8"/>
      <w:r>
        <w:t>A.</w:t>
      </w:r>
      <w:r w:rsidRPr="00A41763" w:rsidR="00A41763">
        <w:t xml:space="preserve">7. </w:t>
      </w:r>
      <w:r w:rsidRPr="008C734C">
        <w:t>Compliance with 5 CFR 1320.5</w:t>
      </w:r>
      <w:bookmarkEnd w:id="8"/>
    </w:p>
    <w:p w:rsidR="008C734C" w:rsidP="00A41763" w:rsidRDefault="00540BB5" w14:paraId="286B3CAA" w14:textId="77777777">
      <w:pPr>
        <w:rPr>
          <w:b/>
          <w:bCs/>
        </w:rPr>
      </w:pPr>
      <w:r w:rsidRPr="000F4C1F">
        <w:rPr>
          <w:iCs/>
        </w:rPr>
        <w:t>The data are being collected consistent with the guidelines in 5 C.F.R. 1320.6, to reduce the public’s paperwork burden.</w:t>
      </w:r>
    </w:p>
    <w:p w:rsidR="008C734C" w:rsidP="008C734C" w:rsidRDefault="008C734C" w14:paraId="35032059" w14:textId="77777777">
      <w:pPr>
        <w:pStyle w:val="Heading2"/>
      </w:pPr>
      <w:bookmarkStart w:name="_Toc492634208" w:id="9"/>
      <w:r>
        <w:t>A.</w:t>
      </w:r>
      <w:r w:rsidRPr="00A41763" w:rsidR="00A41763">
        <w:t xml:space="preserve">8. </w:t>
      </w:r>
      <w:r w:rsidRPr="008C734C">
        <w:t>Summary of Consultations Outside of the Agency</w:t>
      </w:r>
      <w:bookmarkEnd w:id="9"/>
    </w:p>
    <w:p w:rsidR="008C734C" w:rsidP="00A41763" w:rsidRDefault="00F45C5B" w14:paraId="53FCC0F6" w14:textId="0C7CCFCC">
      <w:r>
        <w:t xml:space="preserve">On </w:t>
      </w:r>
      <w:r w:rsidRPr="00CA4F75">
        <w:t>November 17</w:t>
      </w:r>
      <w:r>
        <w:t xml:space="preserve">, 2021, EIA published a Federal Register Notice (Volume </w:t>
      </w:r>
      <w:r w:rsidRPr="00CA4F75">
        <w:t>86, Number 219, page 64192</w:t>
      </w:r>
      <w:r>
        <w:t xml:space="preserve">) inviting public comments on the proposed extension of the survey forms.  In addition, </w:t>
      </w:r>
      <w:r w:rsidR="003E35A5">
        <w:t xml:space="preserve">EIA placed </w:t>
      </w:r>
      <w:r>
        <w:t xml:space="preserve">a copy of the notice on EIA’s website.  </w:t>
      </w:r>
      <w:r w:rsidR="003E35A5">
        <w:t>EIA received and addressed three public comments in response to the 60 Day FRN.</w:t>
      </w:r>
    </w:p>
    <w:p w:rsidR="0052323E" w:rsidP="00A41763" w:rsidRDefault="003E35A5" w14:paraId="228373E9" w14:textId="51335645">
      <w:pPr>
        <w:rPr>
          <w:iCs/>
        </w:rPr>
      </w:pPr>
      <w:r>
        <w:rPr>
          <w:iCs/>
        </w:rPr>
        <w:t>EIA conducted a</w:t>
      </w:r>
      <w:r w:rsidR="0052323E">
        <w:rPr>
          <w:iCs/>
        </w:rPr>
        <w:t xml:space="preserve"> small survey of </w:t>
      </w:r>
      <w:r w:rsidR="00E934B2">
        <w:rPr>
          <w:iCs/>
        </w:rPr>
        <w:t xml:space="preserve">12 </w:t>
      </w:r>
      <w:r w:rsidR="0052323E">
        <w:rPr>
          <w:iCs/>
        </w:rPr>
        <w:t>reserves data customers</w:t>
      </w:r>
      <w:r w:rsidR="00A50A7C">
        <w:rPr>
          <w:iCs/>
        </w:rPr>
        <w:t xml:space="preserve"> </w:t>
      </w:r>
      <w:r w:rsidRPr="002930ED" w:rsidR="00A50A7C">
        <w:rPr>
          <w:iCs/>
        </w:rPr>
        <w:t>(nine private sector data customers and three federal data customers)</w:t>
      </w:r>
      <w:r w:rsidR="0052323E">
        <w:rPr>
          <w:iCs/>
        </w:rPr>
        <w:t xml:space="preserve"> to acquire information on the utility of the published oil and gas reserves data based on these surveys.</w:t>
      </w:r>
      <w:r w:rsidR="00E934B2">
        <w:rPr>
          <w:iCs/>
        </w:rPr>
        <w:t xml:space="preserve">  Nearly all </w:t>
      </w:r>
      <w:r>
        <w:rPr>
          <w:iCs/>
        </w:rPr>
        <w:t xml:space="preserve">respondents </w:t>
      </w:r>
      <w:r w:rsidR="00E934B2">
        <w:rPr>
          <w:iCs/>
        </w:rPr>
        <w:t>said they used it as a main source of reserves info</w:t>
      </w:r>
      <w:r>
        <w:rPr>
          <w:iCs/>
        </w:rPr>
        <w:t>rmation</w:t>
      </w:r>
      <w:r w:rsidR="00E934B2">
        <w:rPr>
          <w:iCs/>
        </w:rPr>
        <w:t xml:space="preserve"> in their work.</w:t>
      </w:r>
    </w:p>
    <w:p w:rsidR="00E934B2" w:rsidP="00A41763" w:rsidRDefault="003E35A5" w14:paraId="0380134D" w14:textId="18AE0DEA">
      <w:pPr>
        <w:rPr>
          <w:b/>
          <w:bCs/>
        </w:rPr>
      </w:pPr>
      <w:r>
        <w:lastRenderedPageBreak/>
        <w:t>EIA then conducted a</w:t>
      </w:r>
      <w:r w:rsidR="00E934B2">
        <w:t xml:space="preserve">nother small survey of </w:t>
      </w:r>
      <w:r>
        <w:t>nine (</w:t>
      </w:r>
      <w:r w:rsidR="00E934B2">
        <w:t>9</w:t>
      </w:r>
      <w:r>
        <w:t>)</w:t>
      </w:r>
      <w:r w:rsidR="00E934B2">
        <w:t xml:space="preserve"> respondents to the EIA-23L survey to gauge the reduction in burden.  Nearly all said they liked the new spreadsheet form and that it would reduce their burden.</w:t>
      </w:r>
    </w:p>
    <w:p w:rsidR="008C734C" w:rsidP="008C734C" w:rsidRDefault="008C734C" w14:paraId="63712EB6" w14:textId="77777777">
      <w:pPr>
        <w:pStyle w:val="Heading2"/>
      </w:pPr>
      <w:bookmarkStart w:name="_Toc492634209" w:id="10"/>
      <w:r>
        <w:t>A.</w:t>
      </w:r>
      <w:r w:rsidRPr="00A41763" w:rsidR="00A41763">
        <w:t xml:space="preserve">9. </w:t>
      </w:r>
      <w:r w:rsidRPr="008C734C">
        <w:t>Payments or Gifts to Respondents</w:t>
      </w:r>
      <w:bookmarkEnd w:id="10"/>
      <w:r w:rsidRPr="008C734C">
        <w:t xml:space="preserve"> </w:t>
      </w:r>
    </w:p>
    <w:p w:rsidR="008C734C" w:rsidP="00A41763" w:rsidRDefault="00F45C5B" w14:paraId="660EBD30" w14:textId="68588E31">
      <w:pPr>
        <w:rPr>
          <w:b/>
          <w:bCs/>
        </w:rPr>
      </w:pPr>
      <w:r w:rsidRPr="000F4C1F">
        <w:rPr>
          <w:iCs/>
        </w:rPr>
        <w:t>Payments or gifts will not be provided to respondents as incentives to report data to EIA.</w:t>
      </w:r>
    </w:p>
    <w:p w:rsidR="008C734C" w:rsidP="008C734C" w:rsidRDefault="008C734C" w14:paraId="5E7CB5A0" w14:textId="77777777">
      <w:pPr>
        <w:pStyle w:val="Heading2"/>
      </w:pPr>
      <w:bookmarkStart w:name="_Toc492634210" w:id="11"/>
      <w:r>
        <w:t>A.</w:t>
      </w:r>
      <w:r w:rsidRPr="00A41763" w:rsidR="00A41763">
        <w:t xml:space="preserve">10. </w:t>
      </w:r>
      <w:r w:rsidRPr="008C734C">
        <w:t>Provisions for Protection of Information</w:t>
      </w:r>
      <w:bookmarkEnd w:id="11"/>
      <w:r w:rsidRPr="008C734C">
        <w:t xml:space="preserve"> </w:t>
      </w:r>
    </w:p>
    <w:p w:rsidRPr="000F4C1F" w:rsidR="00F45C5B" w:rsidP="00F45C5B" w:rsidRDefault="00F45C5B" w14:paraId="71509722" w14:textId="77777777">
      <w:pPr>
        <w:rPr>
          <w:bCs/>
          <w:u w:val="single"/>
        </w:rPr>
      </w:pPr>
      <w:r w:rsidRPr="000F4C1F">
        <w:rPr>
          <w:bCs/>
          <w:u w:val="single"/>
        </w:rPr>
        <w:t>Form EIA-23L</w:t>
      </w:r>
    </w:p>
    <w:p w:rsidRPr="000F4C1F" w:rsidR="00F45C5B" w:rsidP="00F45C5B" w:rsidRDefault="00F45C5B" w14:paraId="3BC2F5A7" w14:textId="77777777">
      <w:pPr>
        <w:rPr>
          <w:b/>
          <w:bCs/>
        </w:rPr>
      </w:pPr>
      <w:r w:rsidRPr="000F4C1F">
        <w:rPr>
          <w:bCs/>
        </w:rPr>
        <w:t>The annual data on the production of crude oil, lease condensate, and natural gas reported on Form EIA-23L are considered public information.  These data elements may be released in company-identifiable form and will not be protected from disclosure in identifiable form when releasing statistical aggregate information.  All other information reported on Form EIA-23L will be protected and not disclosed to the public, to the extent that the information satisfies the criteria for exemption under the Freedom of Information Act (FOIA), 5 U.S.C. §552, the DOE regulations, 10 C.F.R. §1004.11, implementing the FOIA, and the Trade Secrets Act, 18 U.S.C. §1905.</w:t>
      </w:r>
    </w:p>
    <w:p w:rsidRPr="000F4C1F" w:rsidR="00F45C5B" w:rsidP="00F45C5B" w:rsidRDefault="00F45C5B" w14:paraId="4156DCB6" w14:textId="77777777">
      <w:pPr>
        <w:rPr>
          <w:b/>
          <w:bCs/>
        </w:rPr>
      </w:pPr>
      <w:r w:rsidRPr="000F4C1F">
        <w:rPr>
          <w:bCs/>
        </w:rPr>
        <w:t>The Federal Energy Administration Act requires EIA to provide company-specific data to other federal agencies when requested for official use.  The information reported on the Form EIA-23L may also be made available, upon request, to another component of the Department of Energy (DOE); to any Committee of Congress, to the Government Accountability Office, or to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Pr="000F4C1F" w:rsidR="00F45C5B" w:rsidP="00F45C5B" w:rsidRDefault="00F45C5B" w14:paraId="3C5E122D" w14:textId="77777777">
      <w:pPr>
        <w:rPr>
          <w:b/>
          <w:bCs/>
        </w:rPr>
      </w:pPr>
      <w:r w:rsidRPr="000F4C1F">
        <w:rPr>
          <w:bCs/>
        </w:rPr>
        <w:t>Disclosure limitation procedures are applied to the protected statistical data published from Form EIA-23L survey information to ensure that the risk of disclosure of identifiable information is very small.</w:t>
      </w:r>
    </w:p>
    <w:p w:rsidRPr="000F4C1F" w:rsidR="00F45C5B" w:rsidP="00F45C5B" w:rsidRDefault="00F45C5B" w14:paraId="7FEC1CF0" w14:textId="77777777">
      <w:pPr>
        <w:rPr>
          <w:b/>
          <w:bCs/>
        </w:rPr>
      </w:pPr>
      <w:r w:rsidRPr="000F4C1F">
        <w:rPr>
          <w:bCs/>
        </w:rPr>
        <w:t>Confidential information collected on Form EIA-23L may be provided to United States Department of the Interior offices (BOEM and the United States Geological Survey [USGS]) for statistical purposes, only, in conducting their resource estimation activities.</w:t>
      </w:r>
    </w:p>
    <w:p w:rsidRPr="000F4C1F" w:rsidR="00F45C5B" w:rsidP="00F45C5B" w:rsidRDefault="00F45C5B" w14:paraId="201F262A" w14:textId="77777777">
      <w:pPr>
        <w:rPr>
          <w:bCs/>
        </w:rPr>
      </w:pPr>
      <w:r w:rsidRPr="000F4C1F">
        <w:rPr>
          <w:bCs/>
          <w:u w:val="single"/>
        </w:rPr>
        <w:t>Form EIA-64A</w:t>
      </w:r>
    </w:p>
    <w:p w:rsidRPr="000F4C1F" w:rsidR="00F45C5B" w:rsidP="00F45C5B" w:rsidRDefault="00F45C5B" w14:paraId="6607E037" w14:textId="77777777">
      <w:pPr>
        <w:rPr>
          <w:b/>
          <w:bCs/>
        </w:rPr>
      </w:pPr>
      <w:r w:rsidRPr="000F4C1F">
        <w:rPr>
          <w:bCs/>
        </w:rPr>
        <w:t>The data reported on Form EIA-64A will be protected and not disclosed to the public, to the extent that it satisfies the criteria for exemption under the Freedom of Information Act (FOIA), 5 U.S.C. §552, the DOE regulations, 10 C.F.R. §1004.11, implementing the FOIA, and the Trade Secrets Act, 18 U.S.C. §1905.</w:t>
      </w:r>
    </w:p>
    <w:p w:rsidRPr="000F4C1F" w:rsidR="00F45C5B" w:rsidP="00F45C5B" w:rsidRDefault="00F45C5B" w14:paraId="57317858" w14:textId="2279F031">
      <w:pPr>
        <w:rPr>
          <w:b/>
          <w:bCs/>
        </w:rPr>
      </w:pPr>
      <w:r w:rsidRPr="000F4C1F">
        <w:rPr>
          <w:bCs/>
        </w:rPr>
        <w:t xml:space="preserve">The Federal Energy Administration Act requires EIA to provide company-specific data to other federal agencies when requested for official use.  The information reported on </w:t>
      </w:r>
      <w:r w:rsidR="00D025B1">
        <w:rPr>
          <w:bCs/>
        </w:rPr>
        <w:t>Form EIA-64A</w:t>
      </w:r>
      <w:r w:rsidRPr="000F4C1F">
        <w:rPr>
          <w:bCs/>
        </w:rPr>
        <w:t xml:space="preserve"> may also be made available, upon request, to another component of the Department of Energy (DOE); to any Committee of Congress, the Government Accountability Office, or to other federal agencies authorized by law to receive such information.  A court of competent jurisdiction may obtain this information in response to </w:t>
      </w:r>
      <w:r w:rsidRPr="000F4C1F">
        <w:rPr>
          <w:bCs/>
        </w:rPr>
        <w:lastRenderedPageBreak/>
        <w:t>an order.  The information may be used for any non-statistical purposes such as administrative, regulatory, law enforcement, or adjudicatory purposes.</w:t>
      </w:r>
    </w:p>
    <w:p w:rsidRPr="000F4C1F" w:rsidR="00F45C5B" w:rsidP="00F45C5B" w:rsidRDefault="00F45C5B" w14:paraId="1FE2A40F" w14:textId="77777777">
      <w:pPr>
        <w:rPr>
          <w:b/>
          <w:bCs/>
        </w:rPr>
      </w:pPr>
      <w:r w:rsidRPr="000F4C1F">
        <w:rPr>
          <w:bCs/>
        </w:rPr>
        <w:t>Disclosure limitation procedures are applied to the statistical data published from Form EIA-64A survey information to ensure that the risk of disclosure of identifiable information is very small.</w:t>
      </w:r>
    </w:p>
    <w:p w:rsidR="00F056C3" w:rsidP="00A41763" w:rsidRDefault="00F45C5B" w14:paraId="60ECD41F" w14:textId="2853D2E1">
      <w:pPr>
        <w:rPr>
          <w:b/>
          <w:bCs/>
        </w:rPr>
      </w:pPr>
      <w:r w:rsidRPr="000F4C1F">
        <w:rPr>
          <w:bCs/>
        </w:rPr>
        <w:t>Confidential identifiable information collected on Form EIA-64A may be provided to United States Department of Interior offices (BOEM and USGS) for statistical purposes, only, in conducting their resource estimation activities.</w:t>
      </w:r>
    </w:p>
    <w:p w:rsidR="00F056C3" w:rsidP="00F056C3" w:rsidRDefault="00F056C3" w14:paraId="789282B9" w14:textId="77777777">
      <w:pPr>
        <w:pStyle w:val="Heading2"/>
      </w:pPr>
      <w:bookmarkStart w:name="_Toc492634211" w:id="12"/>
      <w:r>
        <w:t>A.</w:t>
      </w:r>
      <w:r w:rsidRPr="00A41763" w:rsidR="00A41763">
        <w:t xml:space="preserve">11. </w:t>
      </w:r>
      <w:r w:rsidRPr="00F056C3">
        <w:t>Justification for Sensitive Questions</w:t>
      </w:r>
      <w:bookmarkEnd w:id="12"/>
      <w:r w:rsidRPr="00F056C3">
        <w:t xml:space="preserve"> </w:t>
      </w:r>
    </w:p>
    <w:p w:rsidR="00F056C3" w:rsidP="00A41763" w:rsidRDefault="00F45C5B" w14:paraId="27ADEEC4" w14:textId="77777777">
      <w:pPr>
        <w:rPr>
          <w:b/>
          <w:bCs/>
        </w:rPr>
      </w:pPr>
      <w:r w:rsidRPr="000F4C1F">
        <w:t>There are not any questions of a sensitive nature in the OGRS data collections.</w:t>
      </w:r>
    </w:p>
    <w:p w:rsidR="00F056C3" w:rsidP="00F056C3" w:rsidRDefault="00F056C3" w14:paraId="56AD9CE9" w14:textId="77777777">
      <w:pPr>
        <w:pStyle w:val="Heading2"/>
      </w:pPr>
      <w:bookmarkStart w:name="_Toc492634212" w:id="13"/>
      <w:r>
        <w:t>A.</w:t>
      </w:r>
      <w:r w:rsidRPr="00A41763" w:rsidR="00A41763">
        <w:t xml:space="preserve">12. </w:t>
      </w:r>
      <w:r w:rsidRPr="00F056C3">
        <w:t>Estimate of Respondent Burden Hours and Cost</w:t>
      </w:r>
      <w:bookmarkEnd w:id="13"/>
      <w:r w:rsidRPr="00F056C3">
        <w:t xml:space="preserve"> </w:t>
      </w:r>
    </w:p>
    <w:p w:rsidRPr="00F45C5B" w:rsidR="00F45C5B" w:rsidP="00F45C5B" w:rsidRDefault="00F45C5B" w14:paraId="5D6969F7" w14:textId="409049A3">
      <w:pPr>
        <w:rPr>
          <w:bCs/>
        </w:rPr>
      </w:pPr>
      <w:r w:rsidRPr="00F45C5B">
        <w:rPr>
          <w:bCs/>
        </w:rPr>
        <w:t xml:space="preserve">The overall annual burden for the OGRS data collections is estimated to be </w:t>
      </w:r>
      <w:r w:rsidR="00B54A1D">
        <w:rPr>
          <w:bCs/>
        </w:rPr>
        <w:t>19,100</w:t>
      </w:r>
      <w:r w:rsidRPr="00F45C5B">
        <w:rPr>
          <w:bCs/>
        </w:rPr>
        <w:t xml:space="preserve"> hours.  This total is based on the following per response burden hours:  For the EIA-23L</w:t>
      </w:r>
      <w:r w:rsidR="00B15072">
        <w:rPr>
          <w:bCs/>
        </w:rPr>
        <w:t>,</w:t>
      </w:r>
      <w:r w:rsidRPr="00F45C5B">
        <w:rPr>
          <w:bCs/>
        </w:rPr>
        <w:t xml:space="preserve"> </w:t>
      </w:r>
      <w:r w:rsidR="00B15072">
        <w:rPr>
          <w:bCs/>
        </w:rPr>
        <w:t xml:space="preserve">up to 500 respondents with an average burden of </w:t>
      </w:r>
      <w:r w:rsidR="00B64D5C">
        <w:rPr>
          <w:bCs/>
        </w:rPr>
        <w:t>31</w:t>
      </w:r>
      <w:r w:rsidRPr="00F45C5B">
        <w:rPr>
          <w:bCs/>
        </w:rPr>
        <w:t xml:space="preserve"> hours per response</w:t>
      </w:r>
      <w:r w:rsidR="00B64D5C">
        <w:rPr>
          <w:bCs/>
        </w:rPr>
        <w:t xml:space="preserve">.  </w:t>
      </w:r>
      <w:r w:rsidRPr="00F45C5B">
        <w:rPr>
          <w:bCs/>
        </w:rPr>
        <w:t xml:space="preserve">There are </w:t>
      </w:r>
      <w:r w:rsidR="00624F82">
        <w:rPr>
          <w:bCs/>
        </w:rPr>
        <w:t xml:space="preserve">up to </w:t>
      </w:r>
      <w:r w:rsidRPr="00F45C5B">
        <w:rPr>
          <w:bCs/>
        </w:rPr>
        <w:t>600 respondents to the EIA-64A, with a</w:t>
      </w:r>
      <w:r w:rsidR="00B15072">
        <w:rPr>
          <w:bCs/>
        </w:rPr>
        <w:t>n average</w:t>
      </w:r>
      <w:r w:rsidRPr="00F45C5B">
        <w:rPr>
          <w:bCs/>
        </w:rPr>
        <w:t xml:space="preserve"> </w:t>
      </w:r>
      <w:r w:rsidR="00B15072">
        <w:rPr>
          <w:bCs/>
        </w:rPr>
        <w:t>b</w:t>
      </w:r>
      <w:r w:rsidRPr="00F45C5B">
        <w:rPr>
          <w:bCs/>
        </w:rPr>
        <w:t xml:space="preserve">urden of </w:t>
      </w:r>
      <w:r w:rsidR="00624F82">
        <w:rPr>
          <w:bCs/>
        </w:rPr>
        <w:t>6</w:t>
      </w:r>
      <w:r w:rsidRPr="00F45C5B" w:rsidR="00624F82">
        <w:rPr>
          <w:bCs/>
        </w:rPr>
        <w:t xml:space="preserve"> </w:t>
      </w:r>
      <w:r w:rsidRPr="00F45C5B">
        <w:rPr>
          <w:bCs/>
        </w:rPr>
        <w:t>hours</w:t>
      </w:r>
      <w:r w:rsidR="00B15072">
        <w:rPr>
          <w:bCs/>
        </w:rPr>
        <w:t xml:space="preserve"> per response</w:t>
      </w:r>
      <w:r w:rsidRPr="00F45C5B">
        <w:rPr>
          <w:bCs/>
        </w:rPr>
        <w:t xml:space="preserve"> </w:t>
      </w:r>
      <w:r w:rsidR="00B15072">
        <w:rPr>
          <w:bCs/>
        </w:rPr>
        <w:t>(see Table A1)</w:t>
      </w:r>
      <w:r w:rsidRPr="00F45C5B">
        <w:rPr>
          <w:bCs/>
        </w:rPr>
        <w:t>.</w:t>
      </w:r>
    </w:p>
    <w:p w:rsidR="00F056C3" w:rsidP="00A41763" w:rsidRDefault="00F45C5B" w14:paraId="643F6DBE" w14:textId="32CDDCDA">
      <w:pPr>
        <w:rPr>
          <w:b/>
          <w:bCs/>
        </w:rPr>
      </w:pPr>
      <w:r w:rsidRPr="00F45C5B">
        <w:rPr>
          <w:bCs/>
        </w:rPr>
        <w:t>The table below shows the burden hours calculated for the proposed OGRS surveys package.</w:t>
      </w:r>
      <w:r w:rsidRPr="00F45C5B">
        <w:rPr>
          <w:b/>
          <w:bCs/>
        </w:rPr>
        <w:t xml:space="preserve"> </w:t>
      </w:r>
      <w:bookmarkStart w:name="_MON_1539789608" w:id="14"/>
      <w:bookmarkEnd w:id="14"/>
      <w:r w:rsidRPr="00F45C5B" w:rsidR="00B54A1D">
        <w:rPr>
          <w:b/>
          <w:bCs/>
        </w:rPr>
        <w:object w:dxaOrig="9222" w:dyaOrig="3371" w14:anchorId="373ECD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5pt;height:183.5pt" o:ole="" type="#_x0000_t75">
            <v:imagedata o:title="" r:id="rId24"/>
          </v:shape>
          <o:OLEObject Type="Embed" ProgID="Excel.Sheet.12" ShapeID="_x0000_i1025" DrawAspect="Content" ObjectID="_1716095423" r:id="rId25"/>
        </w:object>
      </w:r>
    </w:p>
    <w:p w:rsidR="00F056C3" w:rsidP="00F056C3" w:rsidRDefault="00F056C3" w14:paraId="70620C61" w14:textId="77777777">
      <w:pPr>
        <w:pStyle w:val="Heading2"/>
      </w:pPr>
      <w:bookmarkStart w:name="_Toc492634213" w:id="15"/>
      <w:r>
        <w:t>A.</w:t>
      </w:r>
      <w:r w:rsidRPr="00A41763" w:rsidR="00A41763">
        <w:t xml:space="preserve">13. </w:t>
      </w:r>
      <w:r w:rsidRPr="00F056C3">
        <w:t>Annual Cost to the Federal Government</w:t>
      </w:r>
      <w:bookmarkEnd w:id="15"/>
    </w:p>
    <w:p w:rsidR="0091409C" w:rsidP="002F599D" w:rsidRDefault="002F599D" w14:paraId="7C81D6D4" w14:textId="55EAFB6B">
      <w:pPr>
        <w:rPr>
          <w:iCs/>
        </w:rPr>
      </w:pPr>
      <w:r w:rsidRPr="002F599D">
        <w:rPr>
          <w:iCs/>
        </w:rPr>
        <w:t>The annual costs of the OGRS data collections to EIA, including personnel, for development</w:t>
      </w:r>
      <w:r w:rsidR="00276D29">
        <w:rPr>
          <w:iCs/>
        </w:rPr>
        <w:t xml:space="preserve"> and </w:t>
      </w:r>
      <w:r w:rsidRPr="002F599D">
        <w:rPr>
          <w:iCs/>
        </w:rPr>
        <w:t>maintenance, collection, processing, analysis, and publication, are estimated to be $1,400,000.</w:t>
      </w:r>
    </w:p>
    <w:p w:rsidR="002930ED" w:rsidP="002F599D" w:rsidRDefault="002930ED" w14:paraId="489BC13B" w14:textId="77777777">
      <w:pPr>
        <w:sectPr w:rsidR="002930ED" w:rsidSect="008F4CBD">
          <w:headerReference w:type="even" r:id="rId26"/>
          <w:headerReference w:type="default" r:id="rId27"/>
          <w:footerReference w:type="even" r:id="rId28"/>
          <w:headerReference w:type="first" r:id="rId29"/>
          <w:footerReference w:type="first" r:id="rId30"/>
          <w:pgSz w:w="12240" w:h="15840"/>
          <w:pgMar w:top="1440" w:right="1440" w:bottom="1440" w:left="1440" w:header="720" w:footer="720" w:gutter="0"/>
          <w:pgNumType w:start="1"/>
          <w:cols w:space="720"/>
          <w:docGrid w:linePitch="360"/>
        </w:sectPr>
      </w:pPr>
    </w:p>
    <w:p w:rsidR="002930ED" w:rsidP="002930ED" w:rsidRDefault="002930ED" w14:paraId="1C0371F0" w14:textId="77777777">
      <w:pPr>
        <w:pStyle w:val="Heading2"/>
      </w:pPr>
      <w:bookmarkStart w:name="_Toc492634215" w:id="16"/>
      <w:bookmarkStart w:name="_GoBack" w:id="17"/>
      <w:bookmarkEnd w:id="17"/>
      <w:r>
        <w:lastRenderedPageBreak/>
        <w:t>A.</w:t>
      </w:r>
      <w:r w:rsidRPr="00A41763">
        <w:t xml:space="preserve">14. </w:t>
      </w:r>
      <w:r w:rsidRPr="00F056C3">
        <w:t xml:space="preserve">Changes in Burden </w:t>
      </w:r>
    </w:p>
    <w:p w:rsidR="002930ED" w:rsidP="002930ED" w:rsidRDefault="002930ED" w14:paraId="4B36B63D" w14:textId="77777777">
      <w:pPr>
        <w:rPr>
          <w:b/>
          <w:bCs/>
        </w:rPr>
      </w:pPr>
      <w:r w:rsidRPr="002930ED">
        <w:rPr>
          <w:bCs/>
        </w:rPr>
        <w:t>All burdens associated with this collection are hourly burdens.</w:t>
      </w:r>
      <w:r>
        <w:rPr>
          <w:bCs/>
        </w:rPr>
        <w:t xml:space="preserve"> T</w:t>
      </w:r>
      <w:r w:rsidRPr="002F599D">
        <w:rPr>
          <w:bCs/>
        </w:rPr>
        <w:t>he proposed 3-year renewal is with changes</w:t>
      </w:r>
      <w:r>
        <w:rPr>
          <w:bCs/>
        </w:rPr>
        <w:t xml:space="preserve"> to Form EIA-23L</w:t>
      </w:r>
      <w:r w:rsidRPr="002F599D">
        <w:rPr>
          <w:bCs/>
        </w:rPr>
        <w:t xml:space="preserve">. The burden remains unchanged </w:t>
      </w:r>
      <w:r>
        <w:rPr>
          <w:bCs/>
        </w:rPr>
        <w:t>for Form EIA-64A.</w:t>
      </w:r>
      <w:r w:rsidRPr="002F599D" w:rsidDel="002930ED">
        <w:rPr>
          <w:i/>
          <w:iCs/>
        </w:rPr>
        <w:t xml:space="preserve"> </w:t>
      </w:r>
    </w:p>
    <w:p w:rsidR="002930ED" w:rsidP="006D42EC" w:rsidRDefault="002930ED" w14:paraId="317870BD" w14:textId="77777777">
      <w:pPr>
        <w:pStyle w:val="Heading2"/>
      </w:pPr>
    </w:p>
    <w:p w:rsidR="006D42EC" w:rsidP="006D42EC" w:rsidRDefault="00F056C3" w14:paraId="6475B987" w14:textId="77777777">
      <w:pPr>
        <w:pStyle w:val="Heading2"/>
      </w:pPr>
      <w:r>
        <w:t>A.</w:t>
      </w:r>
      <w:r w:rsidRPr="00A41763" w:rsidR="00A41763">
        <w:t xml:space="preserve">15. </w:t>
      </w:r>
      <w:r w:rsidR="006D42EC">
        <w:t>Reasons for Changes in Burden</w:t>
      </w:r>
      <w:bookmarkEnd w:id="16"/>
    </w:p>
    <w:p w:rsidRPr="002F599D" w:rsidR="00A41763" w:rsidP="00A41763" w:rsidRDefault="002F599D" w14:paraId="135B6994" w14:textId="4824D668">
      <w:pPr>
        <w:rPr>
          <w:i/>
          <w:iCs/>
        </w:rPr>
      </w:pPr>
      <w:r w:rsidRPr="002F599D">
        <w:rPr>
          <w:bCs/>
        </w:rPr>
        <w:t xml:space="preserve">There are changes in respondent burden for </w:t>
      </w:r>
      <w:r w:rsidR="00754942">
        <w:rPr>
          <w:bCs/>
        </w:rPr>
        <w:t xml:space="preserve">only the EIA-23L survey for </w:t>
      </w:r>
      <w:r w:rsidRPr="002F599D">
        <w:rPr>
          <w:bCs/>
        </w:rPr>
        <w:t>this proposed 3-year extension.</w:t>
      </w:r>
    </w:p>
    <w:tbl>
      <w:tblPr>
        <w:tblW w:w="9360" w:type="dxa"/>
        <w:jc w:val="center"/>
        <w:tblLayout w:type="fixed"/>
        <w:tblCellMar>
          <w:left w:w="115" w:type="dxa"/>
          <w:right w:w="115" w:type="dxa"/>
        </w:tblCellMar>
        <w:tblLook w:val="04A0" w:firstRow="1" w:lastRow="0" w:firstColumn="1" w:lastColumn="0" w:noHBand="0" w:noVBand="1"/>
      </w:tblPr>
      <w:tblGrid>
        <w:gridCol w:w="1872"/>
        <w:gridCol w:w="1818"/>
        <w:gridCol w:w="1926"/>
        <w:gridCol w:w="1872"/>
        <w:gridCol w:w="1872"/>
      </w:tblGrid>
      <w:tr w:rsidRPr="00812C91" w:rsidR="008A7E5F" w:rsidTr="00545C0F" w14:paraId="2E046112"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233DF9" w:rsidRDefault="008A7E5F" w14:paraId="34EE1E12" w14:textId="34935E6E">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 xml:space="preserve">Table </w:t>
            </w:r>
            <w:r w:rsidRPr="00812C91" w:rsidR="00233DF9">
              <w:rPr>
                <w:rFonts w:ascii="Arial" w:hAnsi="Arial" w:eastAsia="Times New Roman" w:cs="Arial"/>
                <w:b/>
                <w:color w:val="0070C0"/>
                <w:sz w:val="28"/>
                <w:szCs w:val="28"/>
              </w:rPr>
              <w:t>A</w:t>
            </w:r>
            <w:r w:rsidR="00233DF9">
              <w:rPr>
                <w:rFonts w:ascii="Arial" w:hAnsi="Arial" w:eastAsia="Times New Roman" w:cs="Arial"/>
                <w:b/>
                <w:color w:val="0070C0"/>
                <w:sz w:val="28"/>
                <w:szCs w:val="28"/>
              </w:rPr>
              <w:t>2</w:t>
            </w:r>
            <w:r w:rsidRPr="00812C91">
              <w:rPr>
                <w:rFonts w:ascii="Arial" w:hAnsi="Arial" w:eastAsia="Times New Roman" w:cs="Arial"/>
                <w:b/>
                <w:color w:val="0070C0"/>
                <w:sz w:val="28"/>
                <w:szCs w:val="28"/>
              </w:rPr>
              <w:t>. ICR Summary of Burden</w:t>
            </w:r>
          </w:p>
        </w:tc>
      </w:tr>
      <w:tr w:rsidRPr="00812C91" w:rsidR="00545C0F" w:rsidTr="00B67C29" w14:paraId="64BBAA55"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343EB3" w:rsidRDefault="008A7E5F" w14:paraId="790CC2C8"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18"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343EB3" w:rsidRDefault="008A7E5F" w14:paraId="79996B4A"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926"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343EB3" w:rsidRDefault="008A7E5F" w14:paraId="0DB5E0CF"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343EB3" w:rsidRDefault="008A7E5F" w14:paraId="157E2078"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343EB3" w:rsidRDefault="008A7E5F" w14:paraId="22B06912"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1455B5" w14:paraId="1D4E1B5A"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343EB3" w:rsidRDefault="00A874E4" w14:paraId="0E827412"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1818" w:type="dxa"/>
            <w:tcBorders>
              <w:top w:val="nil"/>
              <w:left w:val="nil"/>
              <w:bottom w:val="single" w:color="auto" w:sz="4" w:space="0"/>
              <w:right w:val="single" w:color="auto" w:sz="4" w:space="0"/>
            </w:tcBorders>
            <w:shd w:val="clear" w:color="auto" w:fill="auto"/>
            <w:vAlign w:val="center"/>
          </w:tcPr>
          <w:p w:rsidRPr="00AA03BA" w:rsidR="008A7E5F" w:rsidP="00AA03BA" w:rsidRDefault="001455B5" w14:paraId="7E62CB50" w14:textId="1DE64457">
            <w:pPr>
              <w:spacing w:after="0" w:line="240" w:lineRule="auto"/>
              <w:jc w:val="center"/>
            </w:pPr>
            <w:r w:rsidRPr="001455B5">
              <w:rPr>
                <w:rFonts w:ascii="Calibri" w:hAnsi="Calibri" w:eastAsia="Times New Roman" w:cs="Arial"/>
                <w:b/>
                <w:bCs/>
                <w:color w:val="576170"/>
                <w:sz w:val="20"/>
                <w:szCs w:val="20"/>
              </w:rPr>
              <w:t>1,100</w:t>
            </w:r>
          </w:p>
        </w:tc>
        <w:tc>
          <w:tcPr>
            <w:tcW w:w="1926" w:type="dxa"/>
            <w:tcBorders>
              <w:top w:val="nil"/>
              <w:left w:val="nil"/>
              <w:bottom w:val="single" w:color="auto" w:sz="4" w:space="0"/>
              <w:right w:val="single" w:color="auto" w:sz="4" w:space="0"/>
            </w:tcBorders>
            <w:shd w:val="clear" w:color="auto" w:fill="auto"/>
            <w:vAlign w:val="center"/>
            <w:hideMark/>
          </w:tcPr>
          <w:p w:rsidRPr="007B28CB" w:rsidR="007B28CB" w:rsidP="00AA03BA" w:rsidRDefault="00B67C29" w14:paraId="2F1EC974" w14:textId="0B95F494">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3E35A5">
              <w:rPr>
                <w:rFonts w:ascii="Calibri" w:hAnsi="Calibri" w:eastAsia="Times New Roman" w:cs="Arial"/>
                <w:color w:val="576170"/>
                <w:sz w:val="20"/>
                <w:szCs w:val="20"/>
              </w:rPr>
              <w:instrText xml:space="preserve">Excel.Sheet.12 "\\\\eianas01\\OES\\sgg\\Documents\\ARR Forms Clearance\\2022RenewalFiles\\Supporting Statement A Template.docx" "_1566376226!Table A2. Changes in Burden!R11C11"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7B28CB" w:rsidR="007B28CB" w:rsidP="007B28CB" w:rsidRDefault="007B28CB" w14:paraId="4B2337B0" w14:textId="77777777">
            <w:pPr>
              <w:spacing w:after="0" w:line="240" w:lineRule="auto"/>
              <w:jc w:val="center"/>
              <w:rPr>
                <w:rFonts w:ascii="Calibri" w:hAnsi="Calibri" w:eastAsia="Times New Roman" w:cs="Arial"/>
                <w:b/>
                <w:bCs/>
                <w:color w:val="576170"/>
                <w:sz w:val="20"/>
                <w:szCs w:val="20"/>
              </w:rPr>
            </w:pPr>
            <w:r w:rsidRPr="007B28CB">
              <w:rPr>
                <w:rFonts w:ascii="Calibri" w:hAnsi="Calibri" w:eastAsia="Times New Roman" w:cs="Arial"/>
                <w:b/>
                <w:bCs/>
                <w:color w:val="576170"/>
                <w:sz w:val="20"/>
                <w:szCs w:val="20"/>
              </w:rPr>
              <w:t>0</w:t>
            </w:r>
          </w:p>
          <w:p w:rsidRPr="00AA03BA" w:rsidR="008A7E5F" w:rsidP="00AA03BA" w:rsidRDefault="00B67C29" w14:paraId="211C3EE5"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7B28CB" w:rsidR="007B28CB" w:rsidP="00AA03BA" w:rsidRDefault="00B67C29" w14:paraId="53A59681" w14:textId="72F28B3B">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3E35A5">
              <w:rPr>
                <w:rFonts w:ascii="Calibri" w:hAnsi="Calibri" w:eastAsia="Times New Roman" w:cs="Arial"/>
                <w:color w:val="576170"/>
                <w:sz w:val="20"/>
                <w:szCs w:val="20"/>
              </w:rPr>
              <w:instrText xml:space="preserve">Excel.Sheet.12 "\\\\eianas01\\OES\\sgg\\Documents\\ARR Forms Clearance\\2022RenewalFiles\\Supporting Statement A Template.docx" "_1566376226!Table A2. Changes in Burden!R11C12"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7B28CB" w:rsidR="007B28CB" w:rsidP="007B28CB" w:rsidRDefault="007B28CB" w14:paraId="128BBF5D" w14:textId="77777777">
            <w:pPr>
              <w:spacing w:after="0" w:line="240" w:lineRule="auto"/>
              <w:jc w:val="center"/>
              <w:rPr>
                <w:rFonts w:ascii="Calibri" w:hAnsi="Calibri" w:eastAsia="Times New Roman" w:cs="Arial"/>
                <w:b/>
                <w:bCs/>
                <w:color w:val="576170"/>
                <w:sz w:val="20"/>
                <w:szCs w:val="20"/>
              </w:rPr>
            </w:pPr>
            <w:r w:rsidRPr="007B28CB">
              <w:rPr>
                <w:rFonts w:ascii="Calibri" w:hAnsi="Calibri" w:eastAsia="Times New Roman" w:cs="Arial"/>
                <w:b/>
                <w:bCs/>
                <w:color w:val="576170"/>
                <w:sz w:val="20"/>
                <w:szCs w:val="20"/>
              </w:rPr>
              <w:t>0</w:t>
            </w:r>
          </w:p>
          <w:p w:rsidRPr="00AA03BA" w:rsidR="008A7E5F" w:rsidP="00AA03BA" w:rsidRDefault="00B67C29" w14:paraId="163906DD"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7B28CB" w:rsidR="007B28CB" w:rsidP="00AA03BA" w:rsidRDefault="00B67C29" w14:paraId="24C908FB" w14:textId="1DF56027">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3E35A5">
              <w:rPr>
                <w:rFonts w:ascii="Calibri" w:hAnsi="Calibri" w:eastAsia="Times New Roman" w:cs="Arial"/>
                <w:color w:val="576170"/>
                <w:sz w:val="20"/>
                <w:szCs w:val="20"/>
              </w:rPr>
              <w:instrText xml:space="preserve">Excel.Sheet.12 "\\\\eianas01\\OES\\sgg\\Documents\\ARR Forms Clearance\\2022RenewalFiles\\Supporting Statement A Template.docx" "_1566376226!Table A2. Changes in Burden!R11C5"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7B28CB" w:rsidR="007B28CB" w:rsidP="007B28CB" w:rsidRDefault="007B28CB" w14:paraId="4F6A3D9B" w14:textId="77777777">
            <w:pPr>
              <w:spacing w:after="0" w:line="240" w:lineRule="auto"/>
              <w:jc w:val="center"/>
              <w:rPr>
                <w:rFonts w:ascii="Calibri" w:hAnsi="Calibri" w:eastAsia="Times New Roman" w:cs="Arial"/>
                <w:b/>
                <w:bCs/>
                <w:color w:val="576170"/>
                <w:sz w:val="20"/>
                <w:szCs w:val="20"/>
              </w:rPr>
            </w:pPr>
            <w:r w:rsidRPr="007B28CB">
              <w:rPr>
                <w:rFonts w:ascii="Calibri" w:hAnsi="Calibri" w:eastAsia="Times New Roman" w:cs="Arial"/>
                <w:b/>
                <w:bCs/>
                <w:color w:val="576170"/>
                <w:sz w:val="20"/>
                <w:szCs w:val="20"/>
              </w:rPr>
              <w:t>0</w:t>
            </w:r>
          </w:p>
          <w:p w:rsidRPr="00A017C3" w:rsidR="008A7E5F" w:rsidP="00AA03BA" w:rsidRDefault="00B67C29" w14:paraId="39CA3488" w14:textId="77777777">
            <w:pPr>
              <w:spacing w:after="0" w:line="240" w:lineRule="auto"/>
              <w:jc w:val="center"/>
            </w:pPr>
            <w:r>
              <w:rPr>
                <w:rFonts w:ascii="Calibri" w:hAnsi="Calibri" w:eastAsia="Times New Roman" w:cs="Arial"/>
                <w:color w:val="576170"/>
                <w:sz w:val="20"/>
                <w:szCs w:val="20"/>
              </w:rPr>
              <w:fldChar w:fldCharType="end"/>
            </w:r>
          </w:p>
        </w:tc>
      </w:tr>
      <w:tr w:rsidRPr="00812C91" w:rsidR="008A7E5F" w:rsidTr="00AA03BA" w14:paraId="424845C2"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343EB3" w:rsidRDefault="00A874E4" w14:paraId="587C0C48"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p>
        </w:tc>
        <w:tc>
          <w:tcPr>
            <w:tcW w:w="1818" w:type="dxa"/>
            <w:tcBorders>
              <w:top w:val="nil"/>
              <w:left w:val="nil"/>
              <w:bottom w:val="single" w:color="auto" w:sz="4" w:space="0"/>
              <w:right w:val="single" w:color="auto" w:sz="4" w:space="0"/>
            </w:tcBorders>
            <w:shd w:val="clear" w:color="auto" w:fill="auto"/>
            <w:vAlign w:val="center"/>
            <w:hideMark/>
          </w:tcPr>
          <w:p w:rsidRPr="007B28CB" w:rsidR="007B28CB" w:rsidP="00AA03BA" w:rsidRDefault="00B67C29" w14:paraId="29F01607" w14:textId="16A25A51">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3E35A5">
              <w:rPr>
                <w:rFonts w:ascii="Calibri" w:hAnsi="Calibri" w:eastAsia="Times New Roman" w:cs="Arial"/>
                <w:color w:val="576170"/>
                <w:sz w:val="20"/>
                <w:szCs w:val="20"/>
              </w:rPr>
              <w:instrText xml:space="preserve">Excel.Sheet.12 "\\\\eianas01\\OES\\sgg\\Documents\\ARR Forms Clearance\\2022RenewalFiles\\Supporting Statement A Template.docx" "_1566376226!Table A2. Changes in Burden!R11C10"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7B28CB" w:rsidR="007B28CB" w:rsidP="007B28CB" w:rsidRDefault="0040357A" w14:paraId="7A89C549" w14:textId="5114D6A5">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19,100</w:t>
            </w:r>
          </w:p>
          <w:p w:rsidRPr="00A017C3" w:rsidR="008A7E5F" w:rsidP="00AA03BA" w:rsidRDefault="00B67C29" w14:paraId="12626AF2" w14:textId="77777777">
            <w:pPr>
              <w:spacing w:after="0" w:line="240" w:lineRule="auto"/>
              <w:jc w:val="center"/>
            </w:pPr>
            <w:r>
              <w:rPr>
                <w:rFonts w:ascii="Calibri" w:hAnsi="Calibri" w:eastAsia="Times New Roman" w:cs="Arial"/>
                <w:color w:val="576170"/>
                <w:sz w:val="20"/>
                <w:szCs w:val="20"/>
              </w:rPr>
              <w:fldChar w:fldCharType="end"/>
            </w:r>
          </w:p>
        </w:tc>
        <w:tc>
          <w:tcPr>
            <w:tcW w:w="1926" w:type="dxa"/>
            <w:tcBorders>
              <w:top w:val="nil"/>
              <w:left w:val="nil"/>
              <w:bottom w:val="single" w:color="auto" w:sz="4" w:space="0"/>
              <w:right w:val="single" w:color="auto" w:sz="4" w:space="0"/>
            </w:tcBorders>
            <w:shd w:val="clear" w:color="auto" w:fill="auto"/>
            <w:vAlign w:val="center"/>
            <w:hideMark/>
          </w:tcPr>
          <w:p w:rsidRPr="007B28CB" w:rsidR="007B28CB" w:rsidP="00AA03BA" w:rsidRDefault="00B67C29" w14:paraId="64AD8F44" w14:textId="1FDFC081">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3E35A5">
              <w:rPr>
                <w:rFonts w:ascii="Calibri" w:hAnsi="Calibri" w:eastAsia="Times New Roman" w:cs="Arial"/>
                <w:color w:val="576170"/>
                <w:sz w:val="20"/>
                <w:szCs w:val="20"/>
              </w:rPr>
              <w:instrText xml:space="preserve">Excel.Sheet.12 "\\\\eianas01\\OES\\sgg\\Documents\\ARR Forms Clearance\\2022RenewalFiles\\Supporting Statement A Template.docx" "_1566376226!Table A2. Changes in Burden!R11C14"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7B28CB" w:rsidR="007B28CB" w:rsidP="007B28CB" w:rsidRDefault="007B28CB" w14:paraId="715E1D3C" w14:textId="77777777">
            <w:pPr>
              <w:spacing w:after="0" w:line="240" w:lineRule="auto"/>
              <w:jc w:val="center"/>
              <w:rPr>
                <w:rFonts w:ascii="Calibri" w:hAnsi="Calibri" w:eastAsia="Times New Roman" w:cs="Arial"/>
                <w:b/>
                <w:bCs/>
                <w:color w:val="576170"/>
                <w:sz w:val="20"/>
                <w:szCs w:val="20"/>
              </w:rPr>
            </w:pPr>
            <w:r w:rsidRPr="007B28CB">
              <w:rPr>
                <w:rFonts w:ascii="Calibri" w:hAnsi="Calibri" w:eastAsia="Times New Roman" w:cs="Arial"/>
                <w:b/>
                <w:bCs/>
                <w:color w:val="576170"/>
                <w:sz w:val="20"/>
                <w:szCs w:val="20"/>
              </w:rPr>
              <w:t>0</w:t>
            </w:r>
          </w:p>
          <w:p w:rsidRPr="00A017C3" w:rsidR="008A7E5F" w:rsidP="00AA03BA" w:rsidRDefault="00B67C29" w14:paraId="42947877"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1455B5" w:rsidR="0020617B" w:rsidP="00AA03BA" w:rsidRDefault="00B67C29" w14:paraId="2DAB672F" w14:textId="1707FCDF">
            <w:pPr>
              <w:spacing w:after="0" w:line="240" w:lineRule="auto"/>
              <w:jc w:val="cente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3E35A5">
              <w:rPr>
                <w:rFonts w:ascii="Calibri" w:hAnsi="Calibri" w:eastAsia="Times New Roman" w:cs="Arial"/>
                <w:color w:val="576170"/>
                <w:sz w:val="20"/>
                <w:szCs w:val="20"/>
              </w:rPr>
              <w:instrText xml:space="preserve">Excel.Sheet.12 "\\\\eianas01\\OES\\sgg\\Documents\\ARR Forms Clearance\\2022RenewalFiles\\Supporting Statement A Template.docx" "_1566376226!Table A2. Changes in Burden!R11C15"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AD781A" w:rsidR="00AD781A" w:rsidP="00AD781A" w:rsidRDefault="0040357A" w14:paraId="6BC42CF4" w14:textId="689FE210">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-7,000</w:t>
            </w:r>
          </w:p>
          <w:p w:rsidRPr="00A017C3" w:rsidR="008A7E5F" w:rsidP="00AA03BA" w:rsidRDefault="00B67C29" w14:paraId="5FFD8127"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1455B5" w:rsidR="0020617B" w:rsidP="00AA03BA" w:rsidRDefault="00B67C29" w14:paraId="16F9446B" w14:textId="34FA4CDB">
            <w:pPr>
              <w:spacing w:after="0" w:line="240" w:lineRule="auto"/>
              <w:jc w:val="cente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3E35A5">
              <w:rPr>
                <w:rFonts w:ascii="Calibri" w:hAnsi="Calibri" w:eastAsia="Times New Roman" w:cs="Arial"/>
                <w:color w:val="576170"/>
                <w:sz w:val="20"/>
                <w:szCs w:val="20"/>
              </w:rPr>
              <w:instrText xml:space="preserve">Excel.Sheet.12 "\\\\eianas01\\OES\\sgg\\Documents\\ARR Forms Clearance\\2022RenewalFiles\\Supporting Statement A Template.docx" "_1566376226!Table A2. Changes in Burden!R11C9"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1455B5" w:rsidR="00AD781A" w:rsidP="001455B5" w:rsidRDefault="0040357A" w14:paraId="7F25F364" w14:textId="68827E4B">
            <w:pPr>
              <w:spacing w:after="0" w:line="240" w:lineRule="auto"/>
              <w:jc w:val="center"/>
              <w:rPr>
                <w:rFonts w:ascii="Calibri" w:hAnsi="Calibri" w:cs="Calibri"/>
                <w:b/>
                <w:bCs/>
                <w:color w:val="000000"/>
                <w:sz w:val="20"/>
                <w:szCs w:val="20"/>
              </w:rPr>
            </w:pPr>
            <w:r>
              <w:rPr>
                <w:rFonts w:ascii="Calibri" w:hAnsi="Calibri" w:eastAsia="Times New Roman" w:cs="Arial"/>
                <w:b/>
                <w:bCs/>
                <w:color w:val="576170"/>
                <w:sz w:val="20"/>
                <w:szCs w:val="20"/>
              </w:rPr>
              <w:t>26,100</w:t>
            </w:r>
          </w:p>
          <w:p w:rsidRPr="00A017C3" w:rsidR="008A7E5F" w:rsidP="00AA03BA" w:rsidRDefault="00B67C29" w14:paraId="6DF74613" w14:textId="77777777">
            <w:pPr>
              <w:spacing w:after="0" w:line="240" w:lineRule="auto"/>
              <w:jc w:val="center"/>
            </w:pPr>
            <w:r>
              <w:rPr>
                <w:rFonts w:ascii="Calibri" w:hAnsi="Calibri" w:eastAsia="Times New Roman" w:cs="Arial"/>
                <w:color w:val="576170"/>
                <w:sz w:val="20"/>
                <w:szCs w:val="20"/>
              </w:rPr>
              <w:fldChar w:fldCharType="end"/>
            </w:r>
          </w:p>
        </w:tc>
      </w:tr>
    </w:tbl>
    <w:p w:rsidRPr="00A41763" w:rsidR="00D854D8" w:rsidP="00A41763" w:rsidRDefault="00D854D8" w14:paraId="69A8EAE2" w14:textId="77777777"/>
    <w:p w:rsidR="00F056C3" w:rsidP="00F056C3" w:rsidRDefault="00F056C3" w14:paraId="1047BDEA" w14:textId="77777777">
      <w:pPr>
        <w:pStyle w:val="Heading2"/>
      </w:pPr>
      <w:bookmarkStart w:name="_Toc492634216" w:id="18"/>
      <w:r>
        <w:t>A.</w:t>
      </w:r>
      <w:r w:rsidRPr="00A41763" w:rsidR="00A41763">
        <w:t xml:space="preserve">16. </w:t>
      </w:r>
      <w:r w:rsidRPr="00F056C3">
        <w:t>Collection, Tabulation, and Publication Plans</w:t>
      </w:r>
      <w:bookmarkEnd w:id="18"/>
      <w:r w:rsidRPr="00F056C3">
        <w:t xml:space="preserve"> </w:t>
      </w:r>
    </w:p>
    <w:p w:rsidRPr="002F599D" w:rsidR="002F599D" w:rsidP="002F599D" w:rsidRDefault="002F599D" w14:paraId="2B4D7D5F" w14:textId="77777777">
      <w:pPr>
        <w:rPr>
          <w:b/>
          <w:bCs/>
          <w:iCs/>
        </w:rPr>
      </w:pPr>
      <w:r w:rsidRPr="002F599D">
        <w:rPr>
          <w:iCs/>
        </w:rPr>
        <w:t>Plans to tabulate and publish data collected by the OGRS surveys are as follows:</w:t>
      </w:r>
    </w:p>
    <w:p w:rsidRPr="002F599D" w:rsidR="002F599D" w:rsidP="002F599D" w:rsidRDefault="002F599D" w14:paraId="56CF644D" w14:textId="77777777">
      <w:pPr>
        <w:tabs>
          <w:tab w:val="left" w:pos="5760"/>
        </w:tabs>
        <w:rPr>
          <w:b/>
          <w:iCs/>
        </w:rPr>
      </w:pPr>
      <w:r w:rsidRPr="002F599D">
        <w:rPr>
          <w:b/>
          <w:iCs/>
        </w:rPr>
        <w:t>Approximate Time Survey Forms are Initially Made Available:</w:t>
      </w:r>
    </w:p>
    <w:p w:rsidRPr="002F599D" w:rsidR="002F599D" w:rsidP="002F599D" w:rsidRDefault="002F599D" w14:paraId="6D47C00D" w14:textId="77777777">
      <w:pPr>
        <w:pBdr>
          <w:bottom w:val="single" w:color="auto" w:sz="4" w:space="1"/>
        </w:pBdr>
        <w:tabs>
          <w:tab w:val="left" w:pos="5760"/>
        </w:tabs>
        <w:spacing w:after="120"/>
        <w:rPr>
          <w:b/>
          <w:iCs/>
        </w:rPr>
      </w:pPr>
      <w:r w:rsidRPr="002F599D">
        <w:rPr>
          <w:b/>
          <w:iCs/>
        </w:rPr>
        <w:t>Item</w:t>
      </w:r>
      <w:r w:rsidRPr="002F599D">
        <w:rPr>
          <w:b/>
          <w:iCs/>
        </w:rPr>
        <w:tab/>
        <w:t>Date:</w:t>
      </w:r>
    </w:p>
    <w:p w:rsidRPr="002F599D" w:rsidR="002F599D" w:rsidP="002F599D" w:rsidRDefault="002F599D" w14:paraId="749FAA01" w14:textId="77777777">
      <w:pPr>
        <w:tabs>
          <w:tab w:val="left" w:pos="5760"/>
        </w:tabs>
        <w:rPr>
          <w:iCs/>
        </w:rPr>
      </w:pPr>
      <w:r w:rsidRPr="002F599D">
        <w:rPr>
          <w:iCs/>
        </w:rPr>
        <w:t>EIA 64A</w:t>
      </w:r>
      <w:r w:rsidRPr="002F599D">
        <w:rPr>
          <w:iCs/>
        </w:rPr>
        <w:tab/>
        <w:t>February</w:t>
      </w:r>
    </w:p>
    <w:p w:rsidRPr="002F599D" w:rsidR="002F599D" w:rsidP="002F599D" w:rsidRDefault="002F599D" w14:paraId="2C49EF29" w14:textId="356E202D">
      <w:pPr>
        <w:tabs>
          <w:tab w:val="left" w:pos="5760"/>
        </w:tabs>
        <w:rPr>
          <w:iCs/>
        </w:rPr>
      </w:pPr>
      <w:r w:rsidRPr="002F599D">
        <w:rPr>
          <w:iCs/>
        </w:rPr>
        <w:t>EIA 23L (</w:t>
      </w:r>
      <w:r w:rsidR="0040357A">
        <w:rPr>
          <w:iCs/>
        </w:rPr>
        <w:t>State/</w:t>
      </w:r>
      <w:r w:rsidR="00233DF9">
        <w:rPr>
          <w:iCs/>
        </w:rPr>
        <w:t>s</w:t>
      </w:r>
      <w:r w:rsidR="0040357A">
        <w:rPr>
          <w:iCs/>
        </w:rPr>
        <w:t xml:space="preserve">tate </w:t>
      </w:r>
      <w:r w:rsidR="00233DF9">
        <w:rPr>
          <w:iCs/>
        </w:rPr>
        <w:t>s</w:t>
      </w:r>
      <w:r w:rsidR="0040357A">
        <w:rPr>
          <w:iCs/>
        </w:rPr>
        <w:t>ubdivision</w:t>
      </w:r>
      <w:r w:rsidRPr="002F599D">
        <w:rPr>
          <w:iCs/>
        </w:rPr>
        <w:t>-level version)</w:t>
      </w:r>
      <w:r w:rsidRPr="002F599D">
        <w:rPr>
          <w:iCs/>
        </w:rPr>
        <w:tab/>
        <w:t xml:space="preserve">February  </w:t>
      </w:r>
    </w:p>
    <w:p w:rsidRPr="002F599D" w:rsidR="002F599D" w:rsidP="002F599D" w:rsidRDefault="002F599D" w14:paraId="2B68C90B" w14:textId="77777777">
      <w:pPr>
        <w:tabs>
          <w:tab w:val="left" w:pos="5760"/>
        </w:tabs>
        <w:rPr>
          <w:b/>
          <w:iCs/>
        </w:rPr>
      </w:pPr>
      <w:r>
        <w:rPr>
          <w:b/>
          <w:iCs/>
        </w:rPr>
        <w:t>Due Date f</w:t>
      </w:r>
      <w:r w:rsidRPr="002F599D">
        <w:rPr>
          <w:b/>
          <w:iCs/>
        </w:rPr>
        <w:t>or Response:</w:t>
      </w:r>
    </w:p>
    <w:p w:rsidRPr="002F599D" w:rsidR="002F599D" w:rsidP="002F599D" w:rsidRDefault="002F599D" w14:paraId="6DF579F8" w14:textId="77777777">
      <w:pPr>
        <w:pBdr>
          <w:bottom w:val="single" w:color="auto" w:sz="4" w:space="1"/>
        </w:pBdr>
        <w:tabs>
          <w:tab w:val="left" w:pos="5760"/>
        </w:tabs>
        <w:spacing w:after="120"/>
        <w:rPr>
          <w:b/>
          <w:iCs/>
        </w:rPr>
      </w:pPr>
      <w:r w:rsidRPr="002F599D">
        <w:rPr>
          <w:b/>
          <w:iCs/>
        </w:rPr>
        <w:t>Item</w:t>
      </w:r>
      <w:r w:rsidRPr="002F599D">
        <w:rPr>
          <w:b/>
          <w:iCs/>
        </w:rPr>
        <w:tab/>
        <w:t>Date:</w:t>
      </w:r>
    </w:p>
    <w:p w:rsidRPr="002F599D" w:rsidR="002F599D" w:rsidP="002F599D" w:rsidRDefault="002F599D" w14:paraId="7D550A2A" w14:textId="77777777">
      <w:pPr>
        <w:tabs>
          <w:tab w:val="left" w:pos="5760"/>
        </w:tabs>
        <w:rPr>
          <w:iCs/>
        </w:rPr>
      </w:pPr>
      <w:r w:rsidRPr="002F599D">
        <w:rPr>
          <w:iCs/>
        </w:rPr>
        <w:t>EIA 64A</w:t>
      </w:r>
      <w:r w:rsidRPr="002F599D">
        <w:rPr>
          <w:iCs/>
        </w:rPr>
        <w:tab/>
        <w:t>April</w:t>
      </w:r>
    </w:p>
    <w:p w:rsidRPr="002F599D" w:rsidR="002F599D" w:rsidP="002F599D" w:rsidRDefault="002F599D" w14:paraId="4273DCD4" w14:textId="255EB146">
      <w:pPr>
        <w:tabs>
          <w:tab w:val="left" w:pos="5760"/>
        </w:tabs>
        <w:rPr>
          <w:iCs/>
        </w:rPr>
      </w:pPr>
      <w:r w:rsidRPr="002F599D">
        <w:rPr>
          <w:iCs/>
        </w:rPr>
        <w:t>EIA 23L (</w:t>
      </w:r>
      <w:r w:rsidR="0040357A">
        <w:rPr>
          <w:iCs/>
        </w:rPr>
        <w:t>State/</w:t>
      </w:r>
      <w:r w:rsidR="00233DF9">
        <w:rPr>
          <w:iCs/>
        </w:rPr>
        <w:t>s</w:t>
      </w:r>
      <w:r w:rsidR="0040357A">
        <w:rPr>
          <w:iCs/>
        </w:rPr>
        <w:t xml:space="preserve">tate </w:t>
      </w:r>
      <w:r w:rsidR="00233DF9">
        <w:rPr>
          <w:iCs/>
        </w:rPr>
        <w:t>s</w:t>
      </w:r>
      <w:r w:rsidR="0040357A">
        <w:rPr>
          <w:iCs/>
        </w:rPr>
        <w:t>ubdivision</w:t>
      </w:r>
      <w:r w:rsidRPr="002F599D">
        <w:rPr>
          <w:iCs/>
        </w:rPr>
        <w:t>-level version)</w:t>
      </w:r>
      <w:r w:rsidRPr="002F599D">
        <w:rPr>
          <w:iCs/>
        </w:rPr>
        <w:tab/>
        <w:t>April</w:t>
      </w:r>
    </w:p>
    <w:p w:rsidRPr="002F599D" w:rsidR="002F599D" w:rsidP="002F599D" w:rsidRDefault="002F599D" w14:paraId="71EB7652" w14:textId="77777777">
      <w:pPr>
        <w:tabs>
          <w:tab w:val="left" w:pos="5760"/>
        </w:tabs>
        <w:rPr>
          <w:bCs/>
          <w:iCs/>
          <w:u w:val="single"/>
        </w:rPr>
      </w:pPr>
      <w:r w:rsidRPr="002F599D">
        <w:rPr>
          <w:iCs/>
        </w:rPr>
        <w:t>Final data for tabulation (EIA-64A)</w:t>
      </w:r>
      <w:r w:rsidRPr="002F599D">
        <w:rPr>
          <w:iCs/>
        </w:rPr>
        <w:tab/>
        <w:t xml:space="preserve">June </w:t>
      </w:r>
    </w:p>
    <w:p w:rsidRPr="002F599D" w:rsidR="002F599D" w:rsidP="002F599D" w:rsidRDefault="002F599D" w14:paraId="712728AA" w14:textId="77777777">
      <w:pPr>
        <w:tabs>
          <w:tab w:val="left" w:pos="5760"/>
        </w:tabs>
        <w:rPr>
          <w:b/>
          <w:bCs/>
          <w:iCs/>
        </w:rPr>
      </w:pPr>
      <w:r w:rsidRPr="002F599D">
        <w:rPr>
          <w:iCs/>
        </w:rPr>
        <w:t>Final data for tabulation (EIA-23)</w:t>
      </w:r>
      <w:r w:rsidRPr="002F599D">
        <w:rPr>
          <w:iCs/>
        </w:rPr>
        <w:tab/>
        <w:t xml:space="preserve">September </w:t>
      </w:r>
    </w:p>
    <w:p w:rsidRPr="002F599D" w:rsidR="002F599D" w:rsidP="002F599D" w:rsidRDefault="002F599D" w14:paraId="064FEBC9" w14:textId="77777777">
      <w:pPr>
        <w:tabs>
          <w:tab w:val="left" w:pos="5760"/>
        </w:tabs>
        <w:rPr>
          <w:b/>
          <w:iCs/>
        </w:rPr>
      </w:pPr>
      <w:r w:rsidRPr="002F599D">
        <w:rPr>
          <w:b/>
          <w:iCs/>
        </w:rPr>
        <w:t>Publication Schedule:</w:t>
      </w:r>
    </w:p>
    <w:p w:rsidRPr="002F599D" w:rsidR="002F599D" w:rsidP="002F599D" w:rsidRDefault="002F599D" w14:paraId="43153265" w14:textId="77777777">
      <w:pPr>
        <w:pBdr>
          <w:bottom w:val="single" w:color="auto" w:sz="4" w:space="1"/>
        </w:pBdr>
        <w:tabs>
          <w:tab w:val="left" w:pos="5760"/>
        </w:tabs>
        <w:spacing w:after="120"/>
        <w:rPr>
          <w:b/>
          <w:iCs/>
        </w:rPr>
      </w:pPr>
      <w:r w:rsidRPr="002F599D">
        <w:rPr>
          <w:b/>
          <w:iCs/>
        </w:rPr>
        <w:t>Item</w:t>
      </w:r>
      <w:r w:rsidRPr="002F599D">
        <w:rPr>
          <w:b/>
          <w:iCs/>
        </w:rPr>
        <w:tab/>
        <w:t>Date:</w:t>
      </w:r>
    </w:p>
    <w:p w:rsidRPr="002F599D" w:rsidR="002F599D" w:rsidP="002F599D" w:rsidRDefault="002F599D" w14:paraId="1F3B2542" w14:textId="77777777">
      <w:pPr>
        <w:tabs>
          <w:tab w:val="left" w:pos="5760"/>
        </w:tabs>
        <w:rPr>
          <w:b/>
          <w:bCs/>
          <w:iCs/>
        </w:rPr>
      </w:pPr>
      <w:r w:rsidRPr="002F599D">
        <w:rPr>
          <w:iCs/>
        </w:rPr>
        <w:t>Reserves Report</w:t>
      </w:r>
      <w:r w:rsidRPr="002F599D">
        <w:rPr>
          <w:iCs/>
        </w:rPr>
        <w:tab/>
      </w:r>
      <w:r>
        <w:rPr>
          <w:iCs/>
        </w:rPr>
        <w:t>November</w:t>
      </w:r>
      <w:r w:rsidRPr="002F599D">
        <w:rPr>
          <w:iCs/>
        </w:rPr>
        <w:t xml:space="preserve"> 3</w:t>
      </w:r>
      <w:r>
        <w:rPr>
          <w:iCs/>
        </w:rPr>
        <w:t>0</w:t>
      </w:r>
    </w:p>
    <w:p w:rsidRPr="00A41763" w:rsidR="00F056C3" w:rsidP="002F599D" w:rsidRDefault="002F599D" w14:paraId="3B112347" w14:textId="77777777">
      <w:r w:rsidRPr="002F599D">
        <w:rPr>
          <w:iCs/>
        </w:rPr>
        <w:lastRenderedPageBreak/>
        <w:t>Supporting materials</w:t>
      </w:r>
      <w:r w:rsidRPr="002F599D">
        <w:rPr>
          <w:iCs/>
        </w:rPr>
        <w:tab/>
      </w:r>
      <w:r>
        <w:rPr>
          <w:iCs/>
        </w:rPr>
        <w:tab/>
      </w:r>
      <w:r>
        <w:rPr>
          <w:iCs/>
        </w:rPr>
        <w:tab/>
      </w:r>
      <w:r>
        <w:rPr>
          <w:iCs/>
        </w:rPr>
        <w:tab/>
      </w:r>
      <w:r>
        <w:rPr>
          <w:iCs/>
        </w:rPr>
        <w:tab/>
      </w:r>
      <w:r>
        <w:rPr>
          <w:iCs/>
        </w:rPr>
        <w:tab/>
        <w:t>December</w:t>
      </w:r>
    </w:p>
    <w:p w:rsidR="00F056C3" w:rsidP="00F056C3" w:rsidRDefault="00F056C3" w14:paraId="1B832D84" w14:textId="77777777">
      <w:pPr>
        <w:pStyle w:val="Heading2"/>
      </w:pPr>
      <w:bookmarkStart w:name="_Toc492634217" w:id="19"/>
      <w:r>
        <w:t>A.</w:t>
      </w:r>
      <w:r w:rsidRPr="00A41763" w:rsidR="00A41763">
        <w:t xml:space="preserve">17. </w:t>
      </w:r>
      <w:r w:rsidRPr="00F056C3">
        <w:t>OMB Number and Expiration Date</w:t>
      </w:r>
      <w:bookmarkEnd w:id="19"/>
      <w:r w:rsidRPr="00F056C3">
        <w:t xml:space="preserve"> </w:t>
      </w:r>
    </w:p>
    <w:p w:rsidR="00F056C3" w:rsidP="00A41763" w:rsidRDefault="002F599D" w14:paraId="1275E8D0" w14:textId="77777777">
      <w:pPr>
        <w:rPr>
          <w:b/>
          <w:bCs/>
        </w:rPr>
      </w:pPr>
      <w:r w:rsidRPr="000F4C1F">
        <w:rPr>
          <w:iCs/>
        </w:rPr>
        <w:t>The OMB approval expiration date and OMB number will be displayed on all of the Oil and Gas Reserves System survey forms (Forms EIA-23L and EIA-64A).</w:t>
      </w:r>
    </w:p>
    <w:p w:rsidR="00F056C3" w:rsidP="00F056C3" w:rsidRDefault="00F056C3" w14:paraId="50712E75" w14:textId="77777777">
      <w:pPr>
        <w:pStyle w:val="Heading2"/>
      </w:pPr>
      <w:bookmarkStart w:name="_Toc492634218" w:id="20"/>
      <w:r>
        <w:t>A.</w:t>
      </w:r>
      <w:r w:rsidRPr="00A41763" w:rsidR="00A41763">
        <w:t xml:space="preserve">18. </w:t>
      </w:r>
      <w:r w:rsidRPr="00F056C3">
        <w:t>Certification Statement</w:t>
      </w:r>
      <w:bookmarkEnd w:id="20"/>
      <w:r w:rsidRPr="00F056C3">
        <w:t xml:space="preserve"> </w:t>
      </w:r>
    </w:p>
    <w:p w:rsidR="00A41763" w:rsidP="00A41763" w:rsidRDefault="00554B60" w14:paraId="21100F81" w14:textId="77777777">
      <w:pPr>
        <w:rPr>
          <w:bCs/>
        </w:rPr>
      </w:pPr>
      <w:r w:rsidRPr="00554B60">
        <w:rPr>
          <w:bCs/>
        </w:rPr>
        <w:t>There are no</w:t>
      </w:r>
      <w:r w:rsidRPr="00554B60" w:rsidR="00A41763">
        <w:rPr>
          <w:bCs/>
        </w:rPr>
        <w:t xml:space="preserve"> exception</w:t>
      </w:r>
      <w:r w:rsidRPr="00554B60">
        <w:rPr>
          <w:bCs/>
        </w:rPr>
        <w:t>s</w:t>
      </w:r>
      <w:r w:rsidRPr="00554B60" w:rsidR="00A41763">
        <w:rPr>
          <w:bCs/>
        </w:rPr>
        <w:t xml:space="preserve"> to the certification statement identified in Item 19 of OMB Form 83-I. </w:t>
      </w:r>
    </w:p>
    <w:p w:rsidRPr="00554B60" w:rsidR="00754942" w:rsidP="00A41763" w:rsidRDefault="00754942" w14:paraId="58775A2C" w14:textId="77777777"/>
    <w:sectPr w:rsidRPr="00554B60" w:rsidR="00754942" w:rsidSect="00933D5D">
      <w:footerReference w:type="default" r:id="rId31"/>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493F12" w16cex:dateUtc="2022-02-24T13:53:45.292Z"/>
</w16cex:commentsExtensible>
</file>

<file path=word/commentsIds.xml><?xml version="1.0" encoding="utf-8"?>
<w16cid:commentsIds xmlns:mc="http://schemas.openxmlformats.org/markup-compatibility/2006" xmlns:w16cid="http://schemas.microsoft.com/office/word/2016/wordml/cid" mc:Ignorable="w16cid">
  <w16cid:commentId w16cid:paraId="643A7E14" w16cid:durableId="064A54FB"/>
  <w16cid:commentId w16cid:paraId="3303B356" w16cid:durableId="2726BD16"/>
  <w16cid:commentId w16cid:paraId="3003BD90" w16cid:durableId="4E4600C7"/>
  <w16cid:commentId w16cid:paraId="0DC6B920" w16cid:durableId="07493F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9B578" w14:textId="77777777" w:rsidR="002E101D" w:rsidRDefault="002E101D" w:rsidP="00536CE1">
      <w:pPr>
        <w:spacing w:after="0" w:line="240" w:lineRule="auto"/>
      </w:pPr>
      <w:r>
        <w:separator/>
      </w:r>
    </w:p>
  </w:endnote>
  <w:endnote w:type="continuationSeparator" w:id="0">
    <w:p w14:paraId="78C3C547" w14:textId="77777777" w:rsidR="002E101D" w:rsidRDefault="002E101D"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11673" w14:textId="77777777"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E542B4">
          <w:t>Supporting Statement for Survey Clearance of U.S. Energy Information Administration’s (EIA) Oil and Gas Reserves System Surveys</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2930ED">
      <w:rPr>
        <w:noProof/>
      </w:rPr>
      <w:t>1</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3E58E" w14:textId="77777777" w:rsidR="00132F4A" w:rsidRDefault="002E101D" w:rsidP="00760677">
    <w:pPr>
      <w:pStyle w:val="Footer"/>
    </w:pPr>
    <w:sdt>
      <w:sdtPr>
        <w:id w:val="272451101"/>
        <w:docPartObj>
          <w:docPartGallery w:val="Page Numbers (Bottom of Page)"/>
          <w:docPartUnique/>
        </w:docPartObj>
      </w:sdtPr>
      <w:sdtEndPr/>
      <w:sdtContent>
        <w:r w:rsidR="00132F4A"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508A417E"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3422A" w14:textId="77777777" w:rsidR="00132F4A" w:rsidRDefault="002E101D" w:rsidP="00760677">
    <w:pPr>
      <w:pStyle w:val="Footer"/>
    </w:pPr>
    <w:sdt>
      <w:sdtPr>
        <w:id w:val="-22715443"/>
        <w:docPartObj>
          <w:docPartGallery w:val="Page Numbers (Bottom of Page)"/>
          <w:docPartUnique/>
        </w:docPartObj>
      </w:sdtPr>
      <w:sdtEndPr/>
      <w:sdtContent>
        <w:r w:rsidR="00132F4A"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1BBE31E8"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72489"/>
      <w:docPartObj>
        <w:docPartGallery w:val="Page Numbers (Bottom of Page)"/>
        <w:docPartUnique/>
      </w:docPartObj>
    </w:sdtPr>
    <w:sdtEndPr/>
    <w:sdtContent>
      <w:p w14:paraId="2CCA4E45"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AA495" w14:textId="77777777" w:rsidR="00132F4A" w:rsidRDefault="002E101D" w:rsidP="00760677">
    <w:pPr>
      <w:pStyle w:val="Footer"/>
    </w:pPr>
    <w:sdt>
      <w:sdtPr>
        <w:id w:val="-2118122873"/>
        <w:docPartObj>
          <w:docPartGallery w:val="Page Numbers (Bottom of Page)"/>
          <w:docPartUnique/>
        </w:docPartObj>
      </w:sdtPr>
      <w:sdtEndPr/>
      <w:sdtContent>
        <w:r w:rsidR="00132F4A" w:rsidRPr="00CB180D">
          <w:t xml:space="preserve">U.S. Energy Information Administration   |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2D58C99D" w14:textId="77777777" w:rsidR="00132F4A" w:rsidRDefault="00132F4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2170" w14:textId="77777777" w:rsidR="00933D5D" w:rsidRPr="001F3A8F" w:rsidRDefault="00933D5D" w:rsidP="00616E46">
    <w:pPr>
      <w:pStyle w:val="Footer"/>
      <w:tabs>
        <w:tab w:val="clear" w:pos="9720"/>
        <w:tab w:val="left" w:pos="8655"/>
      </w:tabs>
    </w:pPr>
    <w:r w:rsidRPr="00CB180D">
      <w:t>U.S. Energy Information Administration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E542B4">
          <w:t>Supporting Statement for Survey Clearance of U.S. Energy Information Administration’s (EIA) Oil and Gas Reserves System Surveys</w:t>
        </w:r>
      </w:sdtContent>
    </w:sdt>
    <w:r>
      <w:t xml:space="preserve"> </w:t>
    </w:r>
    <w:r>
      <w:tab/>
      <w:t xml:space="preserve"> </w:t>
    </w:r>
    <w:r>
      <w:fldChar w:fldCharType="begin"/>
    </w:r>
    <w:r>
      <w:instrText xml:space="preserve"> PAGE   \* MERGEFORMAT </w:instrText>
    </w:r>
    <w:r>
      <w:fldChar w:fldCharType="separate"/>
    </w:r>
    <w:r w:rsidR="002930ED">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841A" w14:textId="77777777" w:rsidR="002E101D" w:rsidRDefault="002E101D" w:rsidP="00536CE1">
      <w:pPr>
        <w:spacing w:after="0" w:line="240" w:lineRule="auto"/>
      </w:pPr>
      <w:r>
        <w:separator/>
      </w:r>
    </w:p>
  </w:footnote>
  <w:footnote w:type="continuationSeparator" w:id="0">
    <w:p w14:paraId="55DBFE11" w14:textId="77777777" w:rsidR="002E101D" w:rsidRDefault="002E101D"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366EA"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FECD"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8B22" w14:textId="01A5247F" w:rsidR="00132F4A" w:rsidRPr="00F8298C" w:rsidRDefault="002930ED" w:rsidP="00041909">
    <w:pPr>
      <w:pStyle w:val="Header"/>
    </w:pPr>
    <w:r>
      <w:t>June</w:t>
    </w:r>
    <w:r>
      <w:t xml:space="preserve"> </w:t>
    </w:r>
    <w:r w:rsidR="009009D3">
      <w:t>202</w:t>
    </w:r>
    <w:r w:rsidR="00B361E2">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F1440"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39286216"/>
    <w:multiLevelType w:val="hybridMultilevel"/>
    <w:tmpl w:val="7BB080AE"/>
    <w:lvl w:ilvl="0" w:tplc="9E0240D0">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ED411F"/>
    <w:multiLevelType w:val="hybridMultilevel"/>
    <w:tmpl w:val="35F45CD0"/>
    <w:lvl w:ilvl="0" w:tplc="EADC8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352BA"/>
    <w:multiLevelType w:val="hybridMultilevel"/>
    <w:tmpl w:val="176C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9"/>
  </w:num>
  <w:num w:numId="8">
    <w:abstractNumId w:val="6"/>
  </w:num>
  <w:num w:numId="9">
    <w:abstractNumId w:val="7"/>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B3FBE"/>
    <w:rsid w:val="000C28E1"/>
    <w:rsid w:val="000C5311"/>
    <w:rsid w:val="000C7F74"/>
    <w:rsid w:val="000F040A"/>
    <w:rsid w:val="000F1753"/>
    <w:rsid w:val="001034E8"/>
    <w:rsid w:val="00112A69"/>
    <w:rsid w:val="0011541D"/>
    <w:rsid w:val="00132F4A"/>
    <w:rsid w:val="001455B5"/>
    <w:rsid w:val="00154192"/>
    <w:rsid w:val="00160BC8"/>
    <w:rsid w:val="001618CC"/>
    <w:rsid w:val="001635A7"/>
    <w:rsid w:val="00167425"/>
    <w:rsid w:val="001807A3"/>
    <w:rsid w:val="001947D5"/>
    <w:rsid w:val="001A625A"/>
    <w:rsid w:val="001A6E1E"/>
    <w:rsid w:val="001B0E69"/>
    <w:rsid w:val="001B6585"/>
    <w:rsid w:val="001D03A8"/>
    <w:rsid w:val="001E6FAD"/>
    <w:rsid w:val="001E77F8"/>
    <w:rsid w:val="001F3A8F"/>
    <w:rsid w:val="002008B4"/>
    <w:rsid w:val="00201F24"/>
    <w:rsid w:val="0020617B"/>
    <w:rsid w:val="002127CE"/>
    <w:rsid w:val="00215842"/>
    <w:rsid w:val="002207DF"/>
    <w:rsid w:val="00221AC2"/>
    <w:rsid w:val="00227E4B"/>
    <w:rsid w:val="0023015A"/>
    <w:rsid w:val="00233DF9"/>
    <w:rsid w:val="0023708A"/>
    <w:rsid w:val="0025022D"/>
    <w:rsid w:val="002530BB"/>
    <w:rsid w:val="002556F3"/>
    <w:rsid w:val="00260EDF"/>
    <w:rsid w:val="00264148"/>
    <w:rsid w:val="002722D9"/>
    <w:rsid w:val="00274179"/>
    <w:rsid w:val="00276D29"/>
    <w:rsid w:val="002930ED"/>
    <w:rsid w:val="002B0FD2"/>
    <w:rsid w:val="002B2DD4"/>
    <w:rsid w:val="002C378C"/>
    <w:rsid w:val="002D6B45"/>
    <w:rsid w:val="002E101D"/>
    <w:rsid w:val="002E3FD5"/>
    <w:rsid w:val="002E7A38"/>
    <w:rsid w:val="002F599D"/>
    <w:rsid w:val="00306516"/>
    <w:rsid w:val="003469CB"/>
    <w:rsid w:val="00350C8B"/>
    <w:rsid w:val="00351313"/>
    <w:rsid w:val="00363331"/>
    <w:rsid w:val="00364BBA"/>
    <w:rsid w:val="00371E14"/>
    <w:rsid w:val="00373208"/>
    <w:rsid w:val="003751F4"/>
    <w:rsid w:val="00383DB3"/>
    <w:rsid w:val="003854B2"/>
    <w:rsid w:val="00385AE6"/>
    <w:rsid w:val="00387C8D"/>
    <w:rsid w:val="00392DD0"/>
    <w:rsid w:val="00396BCB"/>
    <w:rsid w:val="00397825"/>
    <w:rsid w:val="003A1073"/>
    <w:rsid w:val="003A10F3"/>
    <w:rsid w:val="003A3906"/>
    <w:rsid w:val="003A4311"/>
    <w:rsid w:val="003A55A9"/>
    <w:rsid w:val="003B03A4"/>
    <w:rsid w:val="003B7B62"/>
    <w:rsid w:val="003C03EA"/>
    <w:rsid w:val="003C690C"/>
    <w:rsid w:val="003E35A5"/>
    <w:rsid w:val="003E40FA"/>
    <w:rsid w:val="003F24ED"/>
    <w:rsid w:val="003F3F76"/>
    <w:rsid w:val="003F529E"/>
    <w:rsid w:val="0040357A"/>
    <w:rsid w:val="0040361A"/>
    <w:rsid w:val="00407CCE"/>
    <w:rsid w:val="00410145"/>
    <w:rsid w:val="00426481"/>
    <w:rsid w:val="00432966"/>
    <w:rsid w:val="00433CEC"/>
    <w:rsid w:val="00453098"/>
    <w:rsid w:val="0045608E"/>
    <w:rsid w:val="0045662F"/>
    <w:rsid w:val="00466959"/>
    <w:rsid w:val="0047784B"/>
    <w:rsid w:val="004946F0"/>
    <w:rsid w:val="00497C2A"/>
    <w:rsid w:val="004B1075"/>
    <w:rsid w:val="004C277B"/>
    <w:rsid w:val="004D05FB"/>
    <w:rsid w:val="004D11CC"/>
    <w:rsid w:val="004D29C7"/>
    <w:rsid w:val="00504119"/>
    <w:rsid w:val="005065CF"/>
    <w:rsid w:val="00506714"/>
    <w:rsid w:val="00506BB4"/>
    <w:rsid w:val="0050705F"/>
    <w:rsid w:val="005170D3"/>
    <w:rsid w:val="0052323E"/>
    <w:rsid w:val="0052493A"/>
    <w:rsid w:val="0052783E"/>
    <w:rsid w:val="00535CAF"/>
    <w:rsid w:val="00536054"/>
    <w:rsid w:val="005360B3"/>
    <w:rsid w:val="0053654B"/>
    <w:rsid w:val="00536CE1"/>
    <w:rsid w:val="00540BB5"/>
    <w:rsid w:val="0054180D"/>
    <w:rsid w:val="0054274A"/>
    <w:rsid w:val="00544096"/>
    <w:rsid w:val="00545C0F"/>
    <w:rsid w:val="00547B53"/>
    <w:rsid w:val="005515CD"/>
    <w:rsid w:val="0055430F"/>
    <w:rsid w:val="00554B60"/>
    <w:rsid w:val="00556D2C"/>
    <w:rsid w:val="00571D8F"/>
    <w:rsid w:val="0057367D"/>
    <w:rsid w:val="00585BE3"/>
    <w:rsid w:val="0059212D"/>
    <w:rsid w:val="005B2B58"/>
    <w:rsid w:val="005C00FA"/>
    <w:rsid w:val="005C2D89"/>
    <w:rsid w:val="005C485B"/>
    <w:rsid w:val="005C6880"/>
    <w:rsid w:val="005D39D7"/>
    <w:rsid w:val="005D5956"/>
    <w:rsid w:val="005D6625"/>
    <w:rsid w:val="005D6F63"/>
    <w:rsid w:val="005F4848"/>
    <w:rsid w:val="005F65A8"/>
    <w:rsid w:val="00616E46"/>
    <w:rsid w:val="0062008C"/>
    <w:rsid w:val="00620797"/>
    <w:rsid w:val="00624F82"/>
    <w:rsid w:val="00626494"/>
    <w:rsid w:val="00641DE2"/>
    <w:rsid w:val="00643384"/>
    <w:rsid w:val="0065406F"/>
    <w:rsid w:val="00663EC4"/>
    <w:rsid w:val="00673951"/>
    <w:rsid w:val="00677C5F"/>
    <w:rsid w:val="006A0BC7"/>
    <w:rsid w:val="006B3643"/>
    <w:rsid w:val="006C0062"/>
    <w:rsid w:val="006C097E"/>
    <w:rsid w:val="006C2DC3"/>
    <w:rsid w:val="006D0439"/>
    <w:rsid w:val="006D42EC"/>
    <w:rsid w:val="006F2D68"/>
    <w:rsid w:val="00704B7D"/>
    <w:rsid w:val="00705F12"/>
    <w:rsid w:val="00711414"/>
    <w:rsid w:val="00725453"/>
    <w:rsid w:val="00730DA0"/>
    <w:rsid w:val="00736969"/>
    <w:rsid w:val="00737591"/>
    <w:rsid w:val="007438F2"/>
    <w:rsid w:val="00754942"/>
    <w:rsid w:val="00755C3D"/>
    <w:rsid w:val="007576EF"/>
    <w:rsid w:val="00760677"/>
    <w:rsid w:val="00761C12"/>
    <w:rsid w:val="007658BA"/>
    <w:rsid w:val="00776CF4"/>
    <w:rsid w:val="00777E63"/>
    <w:rsid w:val="00777F34"/>
    <w:rsid w:val="00784F89"/>
    <w:rsid w:val="00786336"/>
    <w:rsid w:val="007951D6"/>
    <w:rsid w:val="007A0679"/>
    <w:rsid w:val="007A0E7F"/>
    <w:rsid w:val="007A4378"/>
    <w:rsid w:val="007B28CB"/>
    <w:rsid w:val="007C28DD"/>
    <w:rsid w:val="007C5CE9"/>
    <w:rsid w:val="007D111B"/>
    <w:rsid w:val="007D39CC"/>
    <w:rsid w:val="007D6AAF"/>
    <w:rsid w:val="007E1B67"/>
    <w:rsid w:val="007E29F8"/>
    <w:rsid w:val="007E5A11"/>
    <w:rsid w:val="007E73E6"/>
    <w:rsid w:val="007F1954"/>
    <w:rsid w:val="007F21D7"/>
    <w:rsid w:val="008057F8"/>
    <w:rsid w:val="00811910"/>
    <w:rsid w:val="00812C91"/>
    <w:rsid w:val="008213F9"/>
    <w:rsid w:val="008307E1"/>
    <w:rsid w:val="00836D62"/>
    <w:rsid w:val="00844524"/>
    <w:rsid w:val="00852281"/>
    <w:rsid w:val="00867160"/>
    <w:rsid w:val="0087205B"/>
    <w:rsid w:val="00874FB8"/>
    <w:rsid w:val="00886EA2"/>
    <w:rsid w:val="00895669"/>
    <w:rsid w:val="00897946"/>
    <w:rsid w:val="008A3276"/>
    <w:rsid w:val="008A3447"/>
    <w:rsid w:val="008A7E5F"/>
    <w:rsid w:val="008C734C"/>
    <w:rsid w:val="008E4BF2"/>
    <w:rsid w:val="008F4CBD"/>
    <w:rsid w:val="009009D3"/>
    <w:rsid w:val="009017AD"/>
    <w:rsid w:val="00901BED"/>
    <w:rsid w:val="00905735"/>
    <w:rsid w:val="009131B9"/>
    <w:rsid w:val="0091409C"/>
    <w:rsid w:val="009146A0"/>
    <w:rsid w:val="0093308E"/>
    <w:rsid w:val="00933D5D"/>
    <w:rsid w:val="00935805"/>
    <w:rsid w:val="009368F3"/>
    <w:rsid w:val="00941BD4"/>
    <w:rsid w:val="00946388"/>
    <w:rsid w:val="00947C42"/>
    <w:rsid w:val="00950489"/>
    <w:rsid w:val="00957DE9"/>
    <w:rsid w:val="009616F7"/>
    <w:rsid w:val="00965A44"/>
    <w:rsid w:val="00967D7C"/>
    <w:rsid w:val="00975045"/>
    <w:rsid w:val="0097548D"/>
    <w:rsid w:val="009754FE"/>
    <w:rsid w:val="009757AD"/>
    <w:rsid w:val="00980B6A"/>
    <w:rsid w:val="009818F9"/>
    <w:rsid w:val="0098618F"/>
    <w:rsid w:val="00987C32"/>
    <w:rsid w:val="00991646"/>
    <w:rsid w:val="00992B7D"/>
    <w:rsid w:val="0099448B"/>
    <w:rsid w:val="00997347"/>
    <w:rsid w:val="009A31C1"/>
    <w:rsid w:val="009B19CE"/>
    <w:rsid w:val="009C202F"/>
    <w:rsid w:val="009C77F7"/>
    <w:rsid w:val="009E48F1"/>
    <w:rsid w:val="009E5ABC"/>
    <w:rsid w:val="009E5B9C"/>
    <w:rsid w:val="009F4ED1"/>
    <w:rsid w:val="00A00D71"/>
    <w:rsid w:val="00A00EDF"/>
    <w:rsid w:val="00A017C3"/>
    <w:rsid w:val="00A26A17"/>
    <w:rsid w:val="00A30169"/>
    <w:rsid w:val="00A312A3"/>
    <w:rsid w:val="00A33D9F"/>
    <w:rsid w:val="00A37229"/>
    <w:rsid w:val="00A41763"/>
    <w:rsid w:val="00A418C9"/>
    <w:rsid w:val="00A50A7C"/>
    <w:rsid w:val="00A72AA8"/>
    <w:rsid w:val="00A73221"/>
    <w:rsid w:val="00A74C9B"/>
    <w:rsid w:val="00A874E4"/>
    <w:rsid w:val="00A93478"/>
    <w:rsid w:val="00A97FE7"/>
    <w:rsid w:val="00AA03BA"/>
    <w:rsid w:val="00AA3FD0"/>
    <w:rsid w:val="00AA46CA"/>
    <w:rsid w:val="00AA7EFA"/>
    <w:rsid w:val="00AB46D2"/>
    <w:rsid w:val="00AB61B3"/>
    <w:rsid w:val="00AC1D23"/>
    <w:rsid w:val="00AC323A"/>
    <w:rsid w:val="00AD6357"/>
    <w:rsid w:val="00AD781A"/>
    <w:rsid w:val="00AD7F81"/>
    <w:rsid w:val="00AE4CA9"/>
    <w:rsid w:val="00AF367D"/>
    <w:rsid w:val="00AF45FD"/>
    <w:rsid w:val="00B111BC"/>
    <w:rsid w:val="00B15072"/>
    <w:rsid w:val="00B2386E"/>
    <w:rsid w:val="00B35E2A"/>
    <w:rsid w:val="00B361E2"/>
    <w:rsid w:val="00B4263D"/>
    <w:rsid w:val="00B468DD"/>
    <w:rsid w:val="00B54A1D"/>
    <w:rsid w:val="00B56F49"/>
    <w:rsid w:val="00B64D5C"/>
    <w:rsid w:val="00B67C29"/>
    <w:rsid w:val="00B7442A"/>
    <w:rsid w:val="00B7475D"/>
    <w:rsid w:val="00B97002"/>
    <w:rsid w:val="00BB2F70"/>
    <w:rsid w:val="00BB6CF4"/>
    <w:rsid w:val="00BC14C3"/>
    <w:rsid w:val="00BC1ABE"/>
    <w:rsid w:val="00BD2F20"/>
    <w:rsid w:val="00BD4F62"/>
    <w:rsid w:val="00BE2521"/>
    <w:rsid w:val="00BE4AFD"/>
    <w:rsid w:val="00BF76F2"/>
    <w:rsid w:val="00C00590"/>
    <w:rsid w:val="00C04647"/>
    <w:rsid w:val="00C058CF"/>
    <w:rsid w:val="00C12551"/>
    <w:rsid w:val="00C211CD"/>
    <w:rsid w:val="00C25328"/>
    <w:rsid w:val="00C27FCD"/>
    <w:rsid w:val="00C3744D"/>
    <w:rsid w:val="00C43A84"/>
    <w:rsid w:val="00C578EE"/>
    <w:rsid w:val="00C64137"/>
    <w:rsid w:val="00C658E4"/>
    <w:rsid w:val="00C711A2"/>
    <w:rsid w:val="00C7266E"/>
    <w:rsid w:val="00C76C66"/>
    <w:rsid w:val="00C82DF9"/>
    <w:rsid w:val="00C87190"/>
    <w:rsid w:val="00CA1564"/>
    <w:rsid w:val="00CA2E48"/>
    <w:rsid w:val="00CA4F75"/>
    <w:rsid w:val="00CA6AC5"/>
    <w:rsid w:val="00CA7C8A"/>
    <w:rsid w:val="00CB44E8"/>
    <w:rsid w:val="00CB7978"/>
    <w:rsid w:val="00CC1D12"/>
    <w:rsid w:val="00CD68A8"/>
    <w:rsid w:val="00CE42E9"/>
    <w:rsid w:val="00CE690D"/>
    <w:rsid w:val="00D001E4"/>
    <w:rsid w:val="00D00AA8"/>
    <w:rsid w:val="00D025B1"/>
    <w:rsid w:val="00D02778"/>
    <w:rsid w:val="00D1258B"/>
    <w:rsid w:val="00D13E84"/>
    <w:rsid w:val="00D17918"/>
    <w:rsid w:val="00D300F4"/>
    <w:rsid w:val="00D31E00"/>
    <w:rsid w:val="00D3344B"/>
    <w:rsid w:val="00D36E66"/>
    <w:rsid w:val="00D40175"/>
    <w:rsid w:val="00D5491E"/>
    <w:rsid w:val="00D55243"/>
    <w:rsid w:val="00D62F90"/>
    <w:rsid w:val="00D63E74"/>
    <w:rsid w:val="00D715C4"/>
    <w:rsid w:val="00D854D8"/>
    <w:rsid w:val="00D928FD"/>
    <w:rsid w:val="00DC10C7"/>
    <w:rsid w:val="00DC79E3"/>
    <w:rsid w:val="00DD51E1"/>
    <w:rsid w:val="00DE2D54"/>
    <w:rsid w:val="00E02BB0"/>
    <w:rsid w:val="00E03CE6"/>
    <w:rsid w:val="00E13716"/>
    <w:rsid w:val="00E266FF"/>
    <w:rsid w:val="00E27661"/>
    <w:rsid w:val="00E30D51"/>
    <w:rsid w:val="00E43CDA"/>
    <w:rsid w:val="00E46E58"/>
    <w:rsid w:val="00E47DB3"/>
    <w:rsid w:val="00E509A9"/>
    <w:rsid w:val="00E51F8B"/>
    <w:rsid w:val="00E5242A"/>
    <w:rsid w:val="00E53398"/>
    <w:rsid w:val="00E542B4"/>
    <w:rsid w:val="00E66AE2"/>
    <w:rsid w:val="00E74DA4"/>
    <w:rsid w:val="00E77F40"/>
    <w:rsid w:val="00E81B89"/>
    <w:rsid w:val="00E91432"/>
    <w:rsid w:val="00E91B5A"/>
    <w:rsid w:val="00E934B2"/>
    <w:rsid w:val="00ED6E45"/>
    <w:rsid w:val="00EE2CAF"/>
    <w:rsid w:val="00EE43E4"/>
    <w:rsid w:val="00F001EA"/>
    <w:rsid w:val="00F056C3"/>
    <w:rsid w:val="00F16B90"/>
    <w:rsid w:val="00F34F19"/>
    <w:rsid w:val="00F36E29"/>
    <w:rsid w:val="00F44A21"/>
    <w:rsid w:val="00F45C5B"/>
    <w:rsid w:val="00F575F0"/>
    <w:rsid w:val="00F6664C"/>
    <w:rsid w:val="00F750E7"/>
    <w:rsid w:val="00F80AF1"/>
    <w:rsid w:val="00F8298C"/>
    <w:rsid w:val="00F90245"/>
    <w:rsid w:val="00F920D9"/>
    <w:rsid w:val="00F94781"/>
    <w:rsid w:val="00FA5388"/>
    <w:rsid w:val="00FB08E3"/>
    <w:rsid w:val="00FB6BAA"/>
    <w:rsid w:val="00FB6BF3"/>
    <w:rsid w:val="00FD397B"/>
    <w:rsid w:val="00FD40FA"/>
    <w:rsid w:val="00FD4B01"/>
    <w:rsid w:val="00FD52F2"/>
    <w:rsid w:val="00FD7CDC"/>
    <w:rsid w:val="00FE58E0"/>
    <w:rsid w:val="00FE74D0"/>
    <w:rsid w:val="36B40AD1"/>
    <w:rsid w:val="4622212D"/>
    <w:rsid w:val="7B68C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78A6E36A"/>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C7F74"/>
    <w:pPr>
      <w:numPr>
        <w:numId w:val="9"/>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FollowedHyperlink">
    <w:name w:val="FollowedHyperlink"/>
    <w:basedOn w:val="DefaultParagraphFont"/>
    <w:uiPriority w:val="99"/>
    <w:semiHidden/>
    <w:unhideWhenUsed/>
    <w:locked/>
    <w:rsid w:val="00BF76F2"/>
    <w:rPr>
      <w:color w:val="5D9732" w:themeColor="followedHyperlink"/>
      <w:u w:val="single"/>
    </w:rPr>
  </w:style>
  <w:style w:type="character" w:styleId="CommentReference">
    <w:name w:val="annotation reference"/>
    <w:basedOn w:val="DefaultParagraphFont"/>
    <w:uiPriority w:val="99"/>
    <w:semiHidden/>
    <w:unhideWhenUsed/>
    <w:locked/>
    <w:rsid w:val="002F599D"/>
    <w:rPr>
      <w:sz w:val="16"/>
      <w:szCs w:val="16"/>
    </w:rPr>
  </w:style>
  <w:style w:type="paragraph" w:styleId="CommentText">
    <w:name w:val="annotation text"/>
    <w:basedOn w:val="Normal"/>
    <w:link w:val="CommentTextChar"/>
    <w:uiPriority w:val="99"/>
    <w:semiHidden/>
    <w:unhideWhenUsed/>
    <w:locked/>
    <w:rsid w:val="002F599D"/>
    <w:pPr>
      <w:spacing w:line="240" w:lineRule="auto"/>
    </w:pPr>
    <w:rPr>
      <w:sz w:val="20"/>
      <w:szCs w:val="20"/>
    </w:rPr>
  </w:style>
  <w:style w:type="character" w:customStyle="1" w:styleId="CommentTextChar">
    <w:name w:val="Comment Text Char"/>
    <w:basedOn w:val="DefaultParagraphFont"/>
    <w:link w:val="CommentText"/>
    <w:uiPriority w:val="99"/>
    <w:semiHidden/>
    <w:rsid w:val="002F599D"/>
    <w:rPr>
      <w:sz w:val="20"/>
      <w:szCs w:val="20"/>
    </w:rPr>
  </w:style>
  <w:style w:type="paragraph" w:styleId="CommentSubject">
    <w:name w:val="annotation subject"/>
    <w:basedOn w:val="CommentText"/>
    <w:next w:val="CommentText"/>
    <w:link w:val="CommentSubjectChar"/>
    <w:uiPriority w:val="99"/>
    <w:semiHidden/>
    <w:unhideWhenUsed/>
    <w:locked/>
    <w:rsid w:val="002F599D"/>
    <w:rPr>
      <w:b/>
      <w:bCs/>
    </w:rPr>
  </w:style>
  <w:style w:type="character" w:customStyle="1" w:styleId="CommentSubjectChar">
    <w:name w:val="Comment Subject Char"/>
    <w:basedOn w:val="CommentTextChar"/>
    <w:link w:val="CommentSubject"/>
    <w:uiPriority w:val="99"/>
    <w:semiHidden/>
    <w:rsid w:val="002F59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08">
      <w:bodyDiv w:val="1"/>
      <w:marLeft w:val="0"/>
      <w:marRight w:val="0"/>
      <w:marTop w:val="0"/>
      <w:marBottom w:val="0"/>
      <w:divBdr>
        <w:top w:val="none" w:sz="0" w:space="0" w:color="auto"/>
        <w:left w:val="none" w:sz="0" w:space="0" w:color="auto"/>
        <w:bottom w:val="none" w:sz="0" w:space="0" w:color="auto"/>
        <w:right w:val="none" w:sz="0" w:space="0" w:color="auto"/>
      </w:divBdr>
    </w:div>
    <w:div w:id="8341439">
      <w:bodyDiv w:val="1"/>
      <w:marLeft w:val="0"/>
      <w:marRight w:val="0"/>
      <w:marTop w:val="0"/>
      <w:marBottom w:val="0"/>
      <w:divBdr>
        <w:top w:val="none" w:sz="0" w:space="0" w:color="auto"/>
        <w:left w:val="none" w:sz="0" w:space="0" w:color="auto"/>
        <w:bottom w:val="none" w:sz="0" w:space="0" w:color="auto"/>
        <w:right w:val="none" w:sz="0" w:space="0" w:color="auto"/>
      </w:divBdr>
    </w:div>
    <w:div w:id="9991995">
      <w:bodyDiv w:val="1"/>
      <w:marLeft w:val="0"/>
      <w:marRight w:val="0"/>
      <w:marTop w:val="0"/>
      <w:marBottom w:val="0"/>
      <w:divBdr>
        <w:top w:val="none" w:sz="0" w:space="0" w:color="auto"/>
        <w:left w:val="none" w:sz="0" w:space="0" w:color="auto"/>
        <w:bottom w:val="none" w:sz="0" w:space="0" w:color="auto"/>
        <w:right w:val="none" w:sz="0" w:space="0" w:color="auto"/>
      </w:divBdr>
    </w:div>
    <w:div w:id="28724773">
      <w:bodyDiv w:val="1"/>
      <w:marLeft w:val="0"/>
      <w:marRight w:val="0"/>
      <w:marTop w:val="0"/>
      <w:marBottom w:val="0"/>
      <w:divBdr>
        <w:top w:val="none" w:sz="0" w:space="0" w:color="auto"/>
        <w:left w:val="none" w:sz="0" w:space="0" w:color="auto"/>
        <w:bottom w:val="none" w:sz="0" w:space="0" w:color="auto"/>
        <w:right w:val="none" w:sz="0" w:space="0" w:color="auto"/>
      </w:divBdr>
    </w:div>
    <w:div w:id="33509630">
      <w:bodyDiv w:val="1"/>
      <w:marLeft w:val="0"/>
      <w:marRight w:val="0"/>
      <w:marTop w:val="0"/>
      <w:marBottom w:val="0"/>
      <w:divBdr>
        <w:top w:val="none" w:sz="0" w:space="0" w:color="auto"/>
        <w:left w:val="none" w:sz="0" w:space="0" w:color="auto"/>
        <w:bottom w:val="none" w:sz="0" w:space="0" w:color="auto"/>
        <w:right w:val="none" w:sz="0" w:space="0" w:color="auto"/>
      </w:divBdr>
    </w:div>
    <w:div w:id="61106690">
      <w:bodyDiv w:val="1"/>
      <w:marLeft w:val="0"/>
      <w:marRight w:val="0"/>
      <w:marTop w:val="0"/>
      <w:marBottom w:val="0"/>
      <w:divBdr>
        <w:top w:val="none" w:sz="0" w:space="0" w:color="auto"/>
        <w:left w:val="none" w:sz="0" w:space="0" w:color="auto"/>
        <w:bottom w:val="none" w:sz="0" w:space="0" w:color="auto"/>
        <w:right w:val="none" w:sz="0" w:space="0" w:color="auto"/>
      </w:divBdr>
    </w:div>
    <w:div w:id="69893680">
      <w:bodyDiv w:val="1"/>
      <w:marLeft w:val="0"/>
      <w:marRight w:val="0"/>
      <w:marTop w:val="0"/>
      <w:marBottom w:val="0"/>
      <w:divBdr>
        <w:top w:val="none" w:sz="0" w:space="0" w:color="auto"/>
        <w:left w:val="none" w:sz="0" w:space="0" w:color="auto"/>
        <w:bottom w:val="none" w:sz="0" w:space="0" w:color="auto"/>
        <w:right w:val="none" w:sz="0" w:space="0" w:color="auto"/>
      </w:divBdr>
    </w:div>
    <w:div w:id="86200455">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5974358">
      <w:bodyDiv w:val="1"/>
      <w:marLeft w:val="0"/>
      <w:marRight w:val="0"/>
      <w:marTop w:val="0"/>
      <w:marBottom w:val="0"/>
      <w:divBdr>
        <w:top w:val="none" w:sz="0" w:space="0" w:color="auto"/>
        <w:left w:val="none" w:sz="0" w:space="0" w:color="auto"/>
        <w:bottom w:val="none" w:sz="0" w:space="0" w:color="auto"/>
        <w:right w:val="none" w:sz="0" w:space="0" w:color="auto"/>
      </w:divBdr>
    </w:div>
    <w:div w:id="106781533">
      <w:bodyDiv w:val="1"/>
      <w:marLeft w:val="0"/>
      <w:marRight w:val="0"/>
      <w:marTop w:val="0"/>
      <w:marBottom w:val="0"/>
      <w:divBdr>
        <w:top w:val="none" w:sz="0" w:space="0" w:color="auto"/>
        <w:left w:val="none" w:sz="0" w:space="0" w:color="auto"/>
        <w:bottom w:val="none" w:sz="0" w:space="0" w:color="auto"/>
        <w:right w:val="none" w:sz="0" w:space="0" w:color="auto"/>
      </w:divBdr>
    </w:div>
    <w:div w:id="147675299">
      <w:bodyDiv w:val="1"/>
      <w:marLeft w:val="0"/>
      <w:marRight w:val="0"/>
      <w:marTop w:val="0"/>
      <w:marBottom w:val="0"/>
      <w:divBdr>
        <w:top w:val="none" w:sz="0" w:space="0" w:color="auto"/>
        <w:left w:val="none" w:sz="0" w:space="0" w:color="auto"/>
        <w:bottom w:val="none" w:sz="0" w:space="0" w:color="auto"/>
        <w:right w:val="none" w:sz="0" w:space="0" w:color="auto"/>
      </w:divBdr>
    </w:div>
    <w:div w:id="159466170">
      <w:bodyDiv w:val="1"/>
      <w:marLeft w:val="0"/>
      <w:marRight w:val="0"/>
      <w:marTop w:val="0"/>
      <w:marBottom w:val="0"/>
      <w:divBdr>
        <w:top w:val="none" w:sz="0" w:space="0" w:color="auto"/>
        <w:left w:val="none" w:sz="0" w:space="0" w:color="auto"/>
        <w:bottom w:val="none" w:sz="0" w:space="0" w:color="auto"/>
        <w:right w:val="none" w:sz="0" w:space="0" w:color="auto"/>
      </w:divBdr>
    </w:div>
    <w:div w:id="161939820">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71529459">
      <w:bodyDiv w:val="1"/>
      <w:marLeft w:val="0"/>
      <w:marRight w:val="0"/>
      <w:marTop w:val="0"/>
      <w:marBottom w:val="0"/>
      <w:divBdr>
        <w:top w:val="none" w:sz="0" w:space="0" w:color="auto"/>
        <w:left w:val="none" w:sz="0" w:space="0" w:color="auto"/>
        <w:bottom w:val="none" w:sz="0" w:space="0" w:color="auto"/>
        <w:right w:val="none" w:sz="0" w:space="0" w:color="auto"/>
      </w:divBdr>
    </w:div>
    <w:div w:id="184682326">
      <w:bodyDiv w:val="1"/>
      <w:marLeft w:val="0"/>
      <w:marRight w:val="0"/>
      <w:marTop w:val="0"/>
      <w:marBottom w:val="0"/>
      <w:divBdr>
        <w:top w:val="none" w:sz="0" w:space="0" w:color="auto"/>
        <w:left w:val="none" w:sz="0" w:space="0" w:color="auto"/>
        <w:bottom w:val="none" w:sz="0" w:space="0" w:color="auto"/>
        <w:right w:val="none" w:sz="0" w:space="0" w:color="auto"/>
      </w:divBdr>
    </w:div>
    <w:div w:id="198470681">
      <w:bodyDiv w:val="1"/>
      <w:marLeft w:val="0"/>
      <w:marRight w:val="0"/>
      <w:marTop w:val="0"/>
      <w:marBottom w:val="0"/>
      <w:divBdr>
        <w:top w:val="none" w:sz="0" w:space="0" w:color="auto"/>
        <w:left w:val="none" w:sz="0" w:space="0" w:color="auto"/>
        <w:bottom w:val="none" w:sz="0" w:space="0" w:color="auto"/>
        <w:right w:val="none" w:sz="0" w:space="0" w:color="auto"/>
      </w:divBdr>
    </w:div>
    <w:div w:id="198856328">
      <w:bodyDiv w:val="1"/>
      <w:marLeft w:val="0"/>
      <w:marRight w:val="0"/>
      <w:marTop w:val="0"/>
      <w:marBottom w:val="0"/>
      <w:divBdr>
        <w:top w:val="none" w:sz="0" w:space="0" w:color="auto"/>
        <w:left w:val="none" w:sz="0" w:space="0" w:color="auto"/>
        <w:bottom w:val="none" w:sz="0" w:space="0" w:color="auto"/>
        <w:right w:val="none" w:sz="0" w:space="0" w:color="auto"/>
      </w:divBdr>
    </w:div>
    <w:div w:id="207643881">
      <w:bodyDiv w:val="1"/>
      <w:marLeft w:val="0"/>
      <w:marRight w:val="0"/>
      <w:marTop w:val="0"/>
      <w:marBottom w:val="0"/>
      <w:divBdr>
        <w:top w:val="none" w:sz="0" w:space="0" w:color="auto"/>
        <w:left w:val="none" w:sz="0" w:space="0" w:color="auto"/>
        <w:bottom w:val="none" w:sz="0" w:space="0" w:color="auto"/>
        <w:right w:val="none" w:sz="0" w:space="0" w:color="auto"/>
      </w:divBdr>
    </w:div>
    <w:div w:id="217984683">
      <w:bodyDiv w:val="1"/>
      <w:marLeft w:val="0"/>
      <w:marRight w:val="0"/>
      <w:marTop w:val="0"/>
      <w:marBottom w:val="0"/>
      <w:divBdr>
        <w:top w:val="none" w:sz="0" w:space="0" w:color="auto"/>
        <w:left w:val="none" w:sz="0" w:space="0" w:color="auto"/>
        <w:bottom w:val="none" w:sz="0" w:space="0" w:color="auto"/>
        <w:right w:val="none" w:sz="0" w:space="0" w:color="auto"/>
      </w:divBdr>
    </w:div>
    <w:div w:id="224799205">
      <w:bodyDiv w:val="1"/>
      <w:marLeft w:val="0"/>
      <w:marRight w:val="0"/>
      <w:marTop w:val="0"/>
      <w:marBottom w:val="0"/>
      <w:divBdr>
        <w:top w:val="none" w:sz="0" w:space="0" w:color="auto"/>
        <w:left w:val="none" w:sz="0" w:space="0" w:color="auto"/>
        <w:bottom w:val="none" w:sz="0" w:space="0" w:color="auto"/>
        <w:right w:val="none" w:sz="0" w:space="0" w:color="auto"/>
      </w:divBdr>
    </w:div>
    <w:div w:id="231430227">
      <w:bodyDiv w:val="1"/>
      <w:marLeft w:val="0"/>
      <w:marRight w:val="0"/>
      <w:marTop w:val="0"/>
      <w:marBottom w:val="0"/>
      <w:divBdr>
        <w:top w:val="none" w:sz="0" w:space="0" w:color="auto"/>
        <w:left w:val="none" w:sz="0" w:space="0" w:color="auto"/>
        <w:bottom w:val="none" w:sz="0" w:space="0" w:color="auto"/>
        <w:right w:val="none" w:sz="0" w:space="0" w:color="auto"/>
      </w:divBdr>
    </w:div>
    <w:div w:id="233856640">
      <w:bodyDiv w:val="1"/>
      <w:marLeft w:val="0"/>
      <w:marRight w:val="0"/>
      <w:marTop w:val="0"/>
      <w:marBottom w:val="0"/>
      <w:divBdr>
        <w:top w:val="none" w:sz="0" w:space="0" w:color="auto"/>
        <w:left w:val="none" w:sz="0" w:space="0" w:color="auto"/>
        <w:bottom w:val="none" w:sz="0" w:space="0" w:color="auto"/>
        <w:right w:val="none" w:sz="0" w:space="0" w:color="auto"/>
      </w:divBdr>
    </w:div>
    <w:div w:id="241184622">
      <w:bodyDiv w:val="1"/>
      <w:marLeft w:val="0"/>
      <w:marRight w:val="0"/>
      <w:marTop w:val="0"/>
      <w:marBottom w:val="0"/>
      <w:divBdr>
        <w:top w:val="none" w:sz="0" w:space="0" w:color="auto"/>
        <w:left w:val="none" w:sz="0" w:space="0" w:color="auto"/>
        <w:bottom w:val="none" w:sz="0" w:space="0" w:color="auto"/>
        <w:right w:val="none" w:sz="0" w:space="0" w:color="auto"/>
      </w:divBdr>
    </w:div>
    <w:div w:id="241329872">
      <w:bodyDiv w:val="1"/>
      <w:marLeft w:val="0"/>
      <w:marRight w:val="0"/>
      <w:marTop w:val="0"/>
      <w:marBottom w:val="0"/>
      <w:divBdr>
        <w:top w:val="none" w:sz="0" w:space="0" w:color="auto"/>
        <w:left w:val="none" w:sz="0" w:space="0" w:color="auto"/>
        <w:bottom w:val="none" w:sz="0" w:space="0" w:color="auto"/>
        <w:right w:val="none" w:sz="0" w:space="0" w:color="auto"/>
      </w:divBdr>
    </w:div>
    <w:div w:id="2479291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57057798">
      <w:bodyDiv w:val="1"/>
      <w:marLeft w:val="0"/>
      <w:marRight w:val="0"/>
      <w:marTop w:val="0"/>
      <w:marBottom w:val="0"/>
      <w:divBdr>
        <w:top w:val="none" w:sz="0" w:space="0" w:color="auto"/>
        <w:left w:val="none" w:sz="0" w:space="0" w:color="auto"/>
        <w:bottom w:val="none" w:sz="0" w:space="0" w:color="auto"/>
        <w:right w:val="none" w:sz="0" w:space="0" w:color="auto"/>
      </w:divBdr>
    </w:div>
    <w:div w:id="261033115">
      <w:bodyDiv w:val="1"/>
      <w:marLeft w:val="0"/>
      <w:marRight w:val="0"/>
      <w:marTop w:val="0"/>
      <w:marBottom w:val="0"/>
      <w:divBdr>
        <w:top w:val="none" w:sz="0" w:space="0" w:color="auto"/>
        <w:left w:val="none" w:sz="0" w:space="0" w:color="auto"/>
        <w:bottom w:val="none" w:sz="0" w:space="0" w:color="auto"/>
        <w:right w:val="none" w:sz="0" w:space="0" w:color="auto"/>
      </w:divBdr>
    </w:div>
    <w:div w:id="263536102">
      <w:bodyDiv w:val="1"/>
      <w:marLeft w:val="0"/>
      <w:marRight w:val="0"/>
      <w:marTop w:val="0"/>
      <w:marBottom w:val="0"/>
      <w:divBdr>
        <w:top w:val="none" w:sz="0" w:space="0" w:color="auto"/>
        <w:left w:val="none" w:sz="0" w:space="0" w:color="auto"/>
        <w:bottom w:val="none" w:sz="0" w:space="0" w:color="auto"/>
        <w:right w:val="none" w:sz="0" w:space="0" w:color="auto"/>
      </w:divBdr>
    </w:div>
    <w:div w:id="275337601">
      <w:bodyDiv w:val="1"/>
      <w:marLeft w:val="0"/>
      <w:marRight w:val="0"/>
      <w:marTop w:val="0"/>
      <w:marBottom w:val="0"/>
      <w:divBdr>
        <w:top w:val="none" w:sz="0" w:space="0" w:color="auto"/>
        <w:left w:val="none" w:sz="0" w:space="0" w:color="auto"/>
        <w:bottom w:val="none" w:sz="0" w:space="0" w:color="auto"/>
        <w:right w:val="none" w:sz="0" w:space="0" w:color="auto"/>
      </w:divBdr>
    </w:div>
    <w:div w:id="307251000">
      <w:bodyDiv w:val="1"/>
      <w:marLeft w:val="0"/>
      <w:marRight w:val="0"/>
      <w:marTop w:val="0"/>
      <w:marBottom w:val="0"/>
      <w:divBdr>
        <w:top w:val="none" w:sz="0" w:space="0" w:color="auto"/>
        <w:left w:val="none" w:sz="0" w:space="0" w:color="auto"/>
        <w:bottom w:val="none" w:sz="0" w:space="0" w:color="auto"/>
        <w:right w:val="none" w:sz="0" w:space="0" w:color="auto"/>
      </w:divBdr>
    </w:div>
    <w:div w:id="326522043">
      <w:bodyDiv w:val="1"/>
      <w:marLeft w:val="0"/>
      <w:marRight w:val="0"/>
      <w:marTop w:val="0"/>
      <w:marBottom w:val="0"/>
      <w:divBdr>
        <w:top w:val="none" w:sz="0" w:space="0" w:color="auto"/>
        <w:left w:val="none" w:sz="0" w:space="0" w:color="auto"/>
        <w:bottom w:val="none" w:sz="0" w:space="0" w:color="auto"/>
        <w:right w:val="none" w:sz="0" w:space="0" w:color="auto"/>
      </w:divBdr>
    </w:div>
    <w:div w:id="328756783">
      <w:bodyDiv w:val="1"/>
      <w:marLeft w:val="0"/>
      <w:marRight w:val="0"/>
      <w:marTop w:val="0"/>
      <w:marBottom w:val="0"/>
      <w:divBdr>
        <w:top w:val="none" w:sz="0" w:space="0" w:color="auto"/>
        <w:left w:val="none" w:sz="0" w:space="0" w:color="auto"/>
        <w:bottom w:val="none" w:sz="0" w:space="0" w:color="auto"/>
        <w:right w:val="none" w:sz="0" w:space="0" w:color="auto"/>
      </w:divBdr>
    </w:div>
    <w:div w:id="334842401">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8428315">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2392132">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52387952">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76205483">
      <w:bodyDiv w:val="1"/>
      <w:marLeft w:val="0"/>
      <w:marRight w:val="0"/>
      <w:marTop w:val="0"/>
      <w:marBottom w:val="0"/>
      <w:divBdr>
        <w:top w:val="none" w:sz="0" w:space="0" w:color="auto"/>
        <w:left w:val="none" w:sz="0" w:space="0" w:color="auto"/>
        <w:bottom w:val="none" w:sz="0" w:space="0" w:color="auto"/>
        <w:right w:val="none" w:sz="0" w:space="0" w:color="auto"/>
      </w:divBdr>
    </w:div>
    <w:div w:id="394549290">
      <w:bodyDiv w:val="1"/>
      <w:marLeft w:val="0"/>
      <w:marRight w:val="0"/>
      <w:marTop w:val="0"/>
      <w:marBottom w:val="0"/>
      <w:divBdr>
        <w:top w:val="none" w:sz="0" w:space="0" w:color="auto"/>
        <w:left w:val="none" w:sz="0" w:space="0" w:color="auto"/>
        <w:bottom w:val="none" w:sz="0" w:space="0" w:color="auto"/>
        <w:right w:val="none" w:sz="0" w:space="0" w:color="auto"/>
      </w:divBdr>
    </w:div>
    <w:div w:id="404380666">
      <w:bodyDiv w:val="1"/>
      <w:marLeft w:val="0"/>
      <w:marRight w:val="0"/>
      <w:marTop w:val="0"/>
      <w:marBottom w:val="0"/>
      <w:divBdr>
        <w:top w:val="none" w:sz="0" w:space="0" w:color="auto"/>
        <w:left w:val="none" w:sz="0" w:space="0" w:color="auto"/>
        <w:bottom w:val="none" w:sz="0" w:space="0" w:color="auto"/>
        <w:right w:val="none" w:sz="0" w:space="0" w:color="auto"/>
      </w:divBdr>
    </w:div>
    <w:div w:id="408044075">
      <w:bodyDiv w:val="1"/>
      <w:marLeft w:val="0"/>
      <w:marRight w:val="0"/>
      <w:marTop w:val="0"/>
      <w:marBottom w:val="0"/>
      <w:divBdr>
        <w:top w:val="none" w:sz="0" w:space="0" w:color="auto"/>
        <w:left w:val="none" w:sz="0" w:space="0" w:color="auto"/>
        <w:bottom w:val="none" w:sz="0" w:space="0" w:color="auto"/>
        <w:right w:val="none" w:sz="0" w:space="0" w:color="auto"/>
      </w:divBdr>
    </w:div>
    <w:div w:id="411970579">
      <w:bodyDiv w:val="1"/>
      <w:marLeft w:val="0"/>
      <w:marRight w:val="0"/>
      <w:marTop w:val="0"/>
      <w:marBottom w:val="0"/>
      <w:divBdr>
        <w:top w:val="none" w:sz="0" w:space="0" w:color="auto"/>
        <w:left w:val="none" w:sz="0" w:space="0" w:color="auto"/>
        <w:bottom w:val="none" w:sz="0" w:space="0" w:color="auto"/>
        <w:right w:val="none" w:sz="0" w:space="0" w:color="auto"/>
      </w:divBdr>
    </w:div>
    <w:div w:id="417215831">
      <w:bodyDiv w:val="1"/>
      <w:marLeft w:val="0"/>
      <w:marRight w:val="0"/>
      <w:marTop w:val="0"/>
      <w:marBottom w:val="0"/>
      <w:divBdr>
        <w:top w:val="none" w:sz="0" w:space="0" w:color="auto"/>
        <w:left w:val="none" w:sz="0" w:space="0" w:color="auto"/>
        <w:bottom w:val="none" w:sz="0" w:space="0" w:color="auto"/>
        <w:right w:val="none" w:sz="0" w:space="0" w:color="auto"/>
      </w:divBdr>
    </w:div>
    <w:div w:id="427192841">
      <w:bodyDiv w:val="1"/>
      <w:marLeft w:val="0"/>
      <w:marRight w:val="0"/>
      <w:marTop w:val="0"/>
      <w:marBottom w:val="0"/>
      <w:divBdr>
        <w:top w:val="none" w:sz="0" w:space="0" w:color="auto"/>
        <w:left w:val="none" w:sz="0" w:space="0" w:color="auto"/>
        <w:bottom w:val="none" w:sz="0" w:space="0" w:color="auto"/>
        <w:right w:val="none" w:sz="0" w:space="0" w:color="auto"/>
      </w:divBdr>
    </w:div>
    <w:div w:id="428895925">
      <w:bodyDiv w:val="1"/>
      <w:marLeft w:val="0"/>
      <w:marRight w:val="0"/>
      <w:marTop w:val="0"/>
      <w:marBottom w:val="0"/>
      <w:divBdr>
        <w:top w:val="none" w:sz="0" w:space="0" w:color="auto"/>
        <w:left w:val="none" w:sz="0" w:space="0" w:color="auto"/>
        <w:bottom w:val="none" w:sz="0" w:space="0" w:color="auto"/>
        <w:right w:val="none" w:sz="0" w:space="0" w:color="auto"/>
      </w:divBdr>
    </w:div>
    <w:div w:id="432475263">
      <w:bodyDiv w:val="1"/>
      <w:marLeft w:val="0"/>
      <w:marRight w:val="0"/>
      <w:marTop w:val="0"/>
      <w:marBottom w:val="0"/>
      <w:divBdr>
        <w:top w:val="none" w:sz="0" w:space="0" w:color="auto"/>
        <w:left w:val="none" w:sz="0" w:space="0" w:color="auto"/>
        <w:bottom w:val="none" w:sz="0" w:space="0" w:color="auto"/>
        <w:right w:val="none" w:sz="0" w:space="0" w:color="auto"/>
      </w:divBdr>
    </w:div>
    <w:div w:id="440533093">
      <w:bodyDiv w:val="1"/>
      <w:marLeft w:val="0"/>
      <w:marRight w:val="0"/>
      <w:marTop w:val="0"/>
      <w:marBottom w:val="0"/>
      <w:divBdr>
        <w:top w:val="none" w:sz="0" w:space="0" w:color="auto"/>
        <w:left w:val="none" w:sz="0" w:space="0" w:color="auto"/>
        <w:bottom w:val="none" w:sz="0" w:space="0" w:color="auto"/>
        <w:right w:val="none" w:sz="0" w:space="0" w:color="auto"/>
      </w:divBdr>
    </w:div>
    <w:div w:id="442112480">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48820451">
      <w:bodyDiv w:val="1"/>
      <w:marLeft w:val="0"/>
      <w:marRight w:val="0"/>
      <w:marTop w:val="0"/>
      <w:marBottom w:val="0"/>
      <w:divBdr>
        <w:top w:val="none" w:sz="0" w:space="0" w:color="auto"/>
        <w:left w:val="none" w:sz="0" w:space="0" w:color="auto"/>
        <w:bottom w:val="none" w:sz="0" w:space="0" w:color="auto"/>
        <w:right w:val="none" w:sz="0" w:space="0" w:color="auto"/>
      </w:divBdr>
    </w:div>
    <w:div w:id="453329609">
      <w:bodyDiv w:val="1"/>
      <w:marLeft w:val="0"/>
      <w:marRight w:val="0"/>
      <w:marTop w:val="0"/>
      <w:marBottom w:val="0"/>
      <w:divBdr>
        <w:top w:val="none" w:sz="0" w:space="0" w:color="auto"/>
        <w:left w:val="none" w:sz="0" w:space="0" w:color="auto"/>
        <w:bottom w:val="none" w:sz="0" w:space="0" w:color="auto"/>
        <w:right w:val="none" w:sz="0" w:space="0" w:color="auto"/>
      </w:divBdr>
    </w:div>
    <w:div w:id="460926269">
      <w:bodyDiv w:val="1"/>
      <w:marLeft w:val="0"/>
      <w:marRight w:val="0"/>
      <w:marTop w:val="0"/>
      <w:marBottom w:val="0"/>
      <w:divBdr>
        <w:top w:val="none" w:sz="0" w:space="0" w:color="auto"/>
        <w:left w:val="none" w:sz="0" w:space="0" w:color="auto"/>
        <w:bottom w:val="none" w:sz="0" w:space="0" w:color="auto"/>
        <w:right w:val="none" w:sz="0" w:space="0" w:color="auto"/>
      </w:divBdr>
    </w:div>
    <w:div w:id="468089137">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2673796">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09376233">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25411041">
      <w:bodyDiv w:val="1"/>
      <w:marLeft w:val="0"/>
      <w:marRight w:val="0"/>
      <w:marTop w:val="0"/>
      <w:marBottom w:val="0"/>
      <w:divBdr>
        <w:top w:val="none" w:sz="0" w:space="0" w:color="auto"/>
        <w:left w:val="none" w:sz="0" w:space="0" w:color="auto"/>
        <w:bottom w:val="none" w:sz="0" w:space="0" w:color="auto"/>
        <w:right w:val="none" w:sz="0" w:space="0" w:color="auto"/>
      </w:divBdr>
    </w:div>
    <w:div w:id="537935857">
      <w:bodyDiv w:val="1"/>
      <w:marLeft w:val="0"/>
      <w:marRight w:val="0"/>
      <w:marTop w:val="0"/>
      <w:marBottom w:val="0"/>
      <w:divBdr>
        <w:top w:val="none" w:sz="0" w:space="0" w:color="auto"/>
        <w:left w:val="none" w:sz="0" w:space="0" w:color="auto"/>
        <w:bottom w:val="none" w:sz="0" w:space="0" w:color="auto"/>
        <w:right w:val="none" w:sz="0" w:space="0" w:color="auto"/>
      </w:divBdr>
    </w:div>
    <w:div w:id="539590488">
      <w:bodyDiv w:val="1"/>
      <w:marLeft w:val="0"/>
      <w:marRight w:val="0"/>
      <w:marTop w:val="0"/>
      <w:marBottom w:val="0"/>
      <w:divBdr>
        <w:top w:val="none" w:sz="0" w:space="0" w:color="auto"/>
        <w:left w:val="none" w:sz="0" w:space="0" w:color="auto"/>
        <w:bottom w:val="none" w:sz="0" w:space="0" w:color="auto"/>
        <w:right w:val="none" w:sz="0" w:space="0" w:color="auto"/>
      </w:divBdr>
    </w:div>
    <w:div w:id="553203091">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2199988">
      <w:bodyDiv w:val="1"/>
      <w:marLeft w:val="0"/>
      <w:marRight w:val="0"/>
      <w:marTop w:val="0"/>
      <w:marBottom w:val="0"/>
      <w:divBdr>
        <w:top w:val="none" w:sz="0" w:space="0" w:color="auto"/>
        <w:left w:val="none" w:sz="0" w:space="0" w:color="auto"/>
        <w:bottom w:val="none" w:sz="0" w:space="0" w:color="auto"/>
        <w:right w:val="none" w:sz="0" w:space="0" w:color="auto"/>
      </w:divBdr>
    </w:div>
    <w:div w:id="57451692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10433323">
      <w:bodyDiv w:val="1"/>
      <w:marLeft w:val="0"/>
      <w:marRight w:val="0"/>
      <w:marTop w:val="0"/>
      <w:marBottom w:val="0"/>
      <w:divBdr>
        <w:top w:val="none" w:sz="0" w:space="0" w:color="auto"/>
        <w:left w:val="none" w:sz="0" w:space="0" w:color="auto"/>
        <w:bottom w:val="none" w:sz="0" w:space="0" w:color="auto"/>
        <w:right w:val="none" w:sz="0" w:space="0" w:color="auto"/>
      </w:divBdr>
    </w:div>
    <w:div w:id="610624356">
      <w:bodyDiv w:val="1"/>
      <w:marLeft w:val="0"/>
      <w:marRight w:val="0"/>
      <w:marTop w:val="0"/>
      <w:marBottom w:val="0"/>
      <w:divBdr>
        <w:top w:val="none" w:sz="0" w:space="0" w:color="auto"/>
        <w:left w:val="none" w:sz="0" w:space="0" w:color="auto"/>
        <w:bottom w:val="none" w:sz="0" w:space="0" w:color="auto"/>
        <w:right w:val="none" w:sz="0" w:space="0" w:color="auto"/>
      </w:divBdr>
    </w:div>
    <w:div w:id="616063549">
      <w:bodyDiv w:val="1"/>
      <w:marLeft w:val="0"/>
      <w:marRight w:val="0"/>
      <w:marTop w:val="0"/>
      <w:marBottom w:val="0"/>
      <w:divBdr>
        <w:top w:val="none" w:sz="0" w:space="0" w:color="auto"/>
        <w:left w:val="none" w:sz="0" w:space="0" w:color="auto"/>
        <w:bottom w:val="none" w:sz="0" w:space="0" w:color="auto"/>
        <w:right w:val="none" w:sz="0" w:space="0" w:color="auto"/>
      </w:divBdr>
    </w:div>
    <w:div w:id="618875977">
      <w:bodyDiv w:val="1"/>
      <w:marLeft w:val="0"/>
      <w:marRight w:val="0"/>
      <w:marTop w:val="0"/>
      <w:marBottom w:val="0"/>
      <w:divBdr>
        <w:top w:val="none" w:sz="0" w:space="0" w:color="auto"/>
        <w:left w:val="none" w:sz="0" w:space="0" w:color="auto"/>
        <w:bottom w:val="none" w:sz="0" w:space="0" w:color="auto"/>
        <w:right w:val="none" w:sz="0" w:space="0" w:color="auto"/>
      </w:divBdr>
    </w:div>
    <w:div w:id="631860554">
      <w:bodyDiv w:val="1"/>
      <w:marLeft w:val="0"/>
      <w:marRight w:val="0"/>
      <w:marTop w:val="0"/>
      <w:marBottom w:val="0"/>
      <w:divBdr>
        <w:top w:val="none" w:sz="0" w:space="0" w:color="auto"/>
        <w:left w:val="none" w:sz="0" w:space="0" w:color="auto"/>
        <w:bottom w:val="none" w:sz="0" w:space="0" w:color="auto"/>
        <w:right w:val="none" w:sz="0" w:space="0" w:color="auto"/>
      </w:divBdr>
    </w:div>
    <w:div w:id="638531412">
      <w:bodyDiv w:val="1"/>
      <w:marLeft w:val="0"/>
      <w:marRight w:val="0"/>
      <w:marTop w:val="0"/>
      <w:marBottom w:val="0"/>
      <w:divBdr>
        <w:top w:val="none" w:sz="0" w:space="0" w:color="auto"/>
        <w:left w:val="none" w:sz="0" w:space="0" w:color="auto"/>
        <w:bottom w:val="none" w:sz="0" w:space="0" w:color="auto"/>
        <w:right w:val="none" w:sz="0" w:space="0" w:color="auto"/>
      </w:divBdr>
    </w:div>
    <w:div w:id="654649872">
      <w:bodyDiv w:val="1"/>
      <w:marLeft w:val="0"/>
      <w:marRight w:val="0"/>
      <w:marTop w:val="0"/>
      <w:marBottom w:val="0"/>
      <w:divBdr>
        <w:top w:val="none" w:sz="0" w:space="0" w:color="auto"/>
        <w:left w:val="none" w:sz="0" w:space="0" w:color="auto"/>
        <w:bottom w:val="none" w:sz="0" w:space="0" w:color="auto"/>
        <w:right w:val="none" w:sz="0" w:space="0" w:color="auto"/>
      </w:divBdr>
    </w:div>
    <w:div w:id="657878643">
      <w:bodyDiv w:val="1"/>
      <w:marLeft w:val="0"/>
      <w:marRight w:val="0"/>
      <w:marTop w:val="0"/>
      <w:marBottom w:val="0"/>
      <w:divBdr>
        <w:top w:val="none" w:sz="0" w:space="0" w:color="auto"/>
        <w:left w:val="none" w:sz="0" w:space="0" w:color="auto"/>
        <w:bottom w:val="none" w:sz="0" w:space="0" w:color="auto"/>
        <w:right w:val="none" w:sz="0" w:space="0" w:color="auto"/>
      </w:divBdr>
    </w:div>
    <w:div w:id="665328181">
      <w:bodyDiv w:val="1"/>
      <w:marLeft w:val="0"/>
      <w:marRight w:val="0"/>
      <w:marTop w:val="0"/>
      <w:marBottom w:val="0"/>
      <w:divBdr>
        <w:top w:val="none" w:sz="0" w:space="0" w:color="auto"/>
        <w:left w:val="none" w:sz="0" w:space="0" w:color="auto"/>
        <w:bottom w:val="none" w:sz="0" w:space="0" w:color="auto"/>
        <w:right w:val="none" w:sz="0" w:space="0" w:color="auto"/>
      </w:divBdr>
    </w:div>
    <w:div w:id="678510149">
      <w:bodyDiv w:val="1"/>
      <w:marLeft w:val="0"/>
      <w:marRight w:val="0"/>
      <w:marTop w:val="0"/>
      <w:marBottom w:val="0"/>
      <w:divBdr>
        <w:top w:val="none" w:sz="0" w:space="0" w:color="auto"/>
        <w:left w:val="none" w:sz="0" w:space="0" w:color="auto"/>
        <w:bottom w:val="none" w:sz="0" w:space="0" w:color="auto"/>
        <w:right w:val="none" w:sz="0" w:space="0" w:color="auto"/>
      </w:divBdr>
    </w:div>
    <w:div w:id="694233091">
      <w:bodyDiv w:val="1"/>
      <w:marLeft w:val="0"/>
      <w:marRight w:val="0"/>
      <w:marTop w:val="0"/>
      <w:marBottom w:val="0"/>
      <w:divBdr>
        <w:top w:val="none" w:sz="0" w:space="0" w:color="auto"/>
        <w:left w:val="none" w:sz="0" w:space="0" w:color="auto"/>
        <w:bottom w:val="none" w:sz="0" w:space="0" w:color="auto"/>
        <w:right w:val="none" w:sz="0" w:space="0" w:color="auto"/>
      </w:divBdr>
    </w:div>
    <w:div w:id="704597297">
      <w:bodyDiv w:val="1"/>
      <w:marLeft w:val="0"/>
      <w:marRight w:val="0"/>
      <w:marTop w:val="0"/>
      <w:marBottom w:val="0"/>
      <w:divBdr>
        <w:top w:val="none" w:sz="0" w:space="0" w:color="auto"/>
        <w:left w:val="none" w:sz="0" w:space="0" w:color="auto"/>
        <w:bottom w:val="none" w:sz="0" w:space="0" w:color="auto"/>
        <w:right w:val="none" w:sz="0" w:space="0" w:color="auto"/>
      </w:divBdr>
    </w:div>
    <w:div w:id="719866249">
      <w:bodyDiv w:val="1"/>
      <w:marLeft w:val="0"/>
      <w:marRight w:val="0"/>
      <w:marTop w:val="0"/>
      <w:marBottom w:val="0"/>
      <w:divBdr>
        <w:top w:val="none" w:sz="0" w:space="0" w:color="auto"/>
        <w:left w:val="none" w:sz="0" w:space="0" w:color="auto"/>
        <w:bottom w:val="none" w:sz="0" w:space="0" w:color="auto"/>
        <w:right w:val="none" w:sz="0" w:space="0" w:color="auto"/>
      </w:divBdr>
    </w:div>
    <w:div w:id="734164136">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60762041">
      <w:bodyDiv w:val="1"/>
      <w:marLeft w:val="0"/>
      <w:marRight w:val="0"/>
      <w:marTop w:val="0"/>
      <w:marBottom w:val="0"/>
      <w:divBdr>
        <w:top w:val="none" w:sz="0" w:space="0" w:color="auto"/>
        <w:left w:val="none" w:sz="0" w:space="0" w:color="auto"/>
        <w:bottom w:val="none" w:sz="0" w:space="0" w:color="auto"/>
        <w:right w:val="none" w:sz="0" w:space="0" w:color="auto"/>
      </w:divBdr>
    </w:div>
    <w:div w:id="768353194">
      <w:bodyDiv w:val="1"/>
      <w:marLeft w:val="0"/>
      <w:marRight w:val="0"/>
      <w:marTop w:val="0"/>
      <w:marBottom w:val="0"/>
      <w:divBdr>
        <w:top w:val="none" w:sz="0" w:space="0" w:color="auto"/>
        <w:left w:val="none" w:sz="0" w:space="0" w:color="auto"/>
        <w:bottom w:val="none" w:sz="0" w:space="0" w:color="auto"/>
        <w:right w:val="none" w:sz="0" w:space="0" w:color="auto"/>
      </w:divBdr>
    </w:div>
    <w:div w:id="790635307">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0026998">
      <w:bodyDiv w:val="1"/>
      <w:marLeft w:val="0"/>
      <w:marRight w:val="0"/>
      <w:marTop w:val="0"/>
      <w:marBottom w:val="0"/>
      <w:divBdr>
        <w:top w:val="none" w:sz="0" w:space="0" w:color="auto"/>
        <w:left w:val="none" w:sz="0" w:space="0" w:color="auto"/>
        <w:bottom w:val="none" w:sz="0" w:space="0" w:color="auto"/>
        <w:right w:val="none" w:sz="0" w:space="0" w:color="auto"/>
      </w:divBdr>
    </w:div>
    <w:div w:id="827745108">
      <w:bodyDiv w:val="1"/>
      <w:marLeft w:val="0"/>
      <w:marRight w:val="0"/>
      <w:marTop w:val="0"/>
      <w:marBottom w:val="0"/>
      <w:divBdr>
        <w:top w:val="none" w:sz="0" w:space="0" w:color="auto"/>
        <w:left w:val="none" w:sz="0" w:space="0" w:color="auto"/>
        <w:bottom w:val="none" w:sz="0" w:space="0" w:color="auto"/>
        <w:right w:val="none" w:sz="0" w:space="0" w:color="auto"/>
      </w:divBdr>
    </w:div>
    <w:div w:id="852110354">
      <w:bodyDiv w:val="1"/>
      <w:marLeft w:val="0"/>
      <w:marRight w:val="0"/>
      <w:marTop w:val="0"/>
      <w:marBottom w:val="0"/>
      <w:divBdr>
        <w:top w:val="none" w:sz="0" w:space="0" w:color="auto"/>
        <w:left w:val="none" w:sz="0" w:space="0" w:color="auto"/>
        <w:bottom w:val="none" w:sz="0" w:space="0" w:color="auto"/>
        <w:right w:val="none" w:sz="0" w:space="0" w:color="auto"/>
      </w:divBdr>
    </w:div>
    <w:div w:id="852378061">
      <w:bodyDiv w:val="1"/>
      <w:marLeft w:val="0"/>
      <w:marRight w:val="0"/>
      <w:marTop w:val="0"/>
      <w:marBottom w:val="0"/>
      <w:divBdr>
        <w:top w:val="none" w:sz="0" w:space="0" w:color="auto"/>
        <w:left w:val="none" w:sz="0" w:space="0" w:color="auto"/>
        <w:bottom w:val="none" w:sz="0" w:space="0" w:color="auto"/>
        <w:right w:val="none" w:sz="0" w:space="0" w:color="auto"/>
      </w:divBdr>
    </w:div>
    <w:div w:id="854151467">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3299472">
      <w:bodyDiv w:val="1"/>
      <w:marLeft w:val="0"/>
      <w:marRight w:val="0"/>
      <w:marTop w:val="0"/>
      <w:marBottom w:val="0"/>
      <w:divBdr>
        <w:top w:val="none" w:sz="0" w:space="0" w:color="auto"/>
        <w:left w:val="none" w:sz="0" w:space="0" w:color="auto"/>
        <w:bottom w:val="none" w:sz="0" w:space="0" w:color="auto"/>
        <w:right w:val="none" w:sz="0" w:space="0" w:color="auto"/>
      </w:divBdr>
    </w:div>
    <w:div w:id="883323724">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09927046">
      <w:bodyDiv w:val="1"/>
      <w:marLeft w:val="0"/>
      <w:marRight w:val="0"/>
      <w:marTop w:val="0"/>
      <w:marBottom w:val="0"/>
      <w:divBdr>
        <w:top w:val="none" w:sz="0" w:space="0" w:color="auto"/>
        <w:left w:val="none" w:sz="0" w:space="0" w:color="auto"/>
        <w:bottom w:val="none" w:sz="0" w:space="0" w:color="auto"/>
        <w:right w:val="none" w:sz="0" w:space="0" w:color="auto"/>
      </w:divBdr>
    </w:div>
    <w:div w:id="910113503">
      <w:bodyDiv w:val="1"/>
      <w:marLeft w:val="0"/>
      <w:marRight w:val="0"/>
      <w:marTop w:val="0"/>
      <w:marBottom w:val="0"/>
      <w:divBdr>
        <w:top w:val="none" w:sz="0" w:space="0" w:color="auto"/>
        <w:left w:val="none" w:sz="0" w:space="0" w:color="auto"/>
        <w:bottom w:val="none" w:sz="0" w:space="0" w:color="auto"/>
        <w:right w:val="none" w:sz="0" w:space="0" w:color="auto"/>
      </w:divBdr>
    </w:div>
    <w:div w:id="913706222">
      <w:bodyDiv w:val="1"/>
      <w:marLeft w:val="0"/>
      <w:marRight w:val="0"/>
      <w:marTop w:val="0"/>
      <w:marBottom w:val="0"/>
      <w:divBdr>
        <w:top w:val="none" w:sz="0" w:space="0" w:color="auto"/>
        <w:left w:val="none" w:sz="0" w:space="0" w:color="auto"/>
        <w:bottom w:val="none" w:sz="0" w:space="0" w:color="auto"/>
        <w:right w:val="none" w:sz="0" w:space="0" w:color="auto"/>
      </w:divBdr>
    </w:div>
    <w:div w:id="916402363">
      <w:bodyDiv w:val="1"/>
      <w:marLeft w:val="0"/>
      <w:marRight w:val="0"/>
      <w:marTop w:val="0"/>
      <w:marBottom w:val="0"/>
      <w:divBdr>
        <w:top w:val="none" w:sz="0" w:space="0" w:color="auto"/>
        <w:left w:val="none" w:sz="0" w:space="0" w:color="auto"/>
        <w:bottom w:val="none" w:sz="0" w:space="0" w:color="auto"/>
        <w:right w:val="none" w:sz="0" w:space="0" w:color="auto"/>
      </w:divBdr>
    </w:div>
    <w:div w:id="928852065">
      <w:bodyDiv w:val="1"/>
      <w:marLeft w:val="0"/>
      <w:marRight w:val="0"/>
      <w:marTop w:val="0"/>
      <w:marBottom w:val="0"/>
      <w:divBdr>
        <w:top w:val="none" w:sz="0" w:space="0" w:color="auto"/>
        <w:left w:val="none" w:sz="0" w:space="0" w:color="auto"/>
        <w:bottom w:val="none" w:sz="0" w:space="0" w:color="auto"/>
        <w:right w:val="none" w:sz="0" w:space="0" w:color="auto"/>
      </w:divBdr>
    </w:div>
    <w:div w:id="930426790">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81497782">
      <w:bodyDiv w:val="1"/>
      <w:marLeft w:val="0"/>
      <w:marRight w:val="0"/>
      <w:marTop w:val="0"/>
      <w:marBottom w:val="0"/>
      <w:divBdr>
        <w:top w:val="none" w:sz="0" w:space="0" w:color="auto"/>
        <w:left w:val="none" w:sz="0" w:space="0" w:color="auto"/>
        <w:bottom w:val="none" w:sz="0" w:space="0" w:color="auto"/>
        <w:right w:val="none" w:sz="0" w:space="0" w:color="auto"/>
      </w:divBdr>
    </w:div>
    <w:div w:id="985551178">
      <w:bodyDiv w:val="1"/>
      <w:marLeft w:val="0"/>
      <w:marRight w:val="0"/>
      <w:marTop w:val="0"/>
      <w:marBottom w:val="0"/>
      <w:divBdr>
        <w:top w:val="none" w:sz="0" w:space="0" w:color="auto"/>
        <w:left w:val="none" w:sz="0" w:space="0" w:color="auto"/>
        <w:bottom w:val="none" w:sz="0" w:space="0" w:color="auto"/>
        <w:right w:val="none" w:sz="0" w:space="0" w:color="auto"/>
      </w:divBdr>
    </w:div>
    <w:div w:id="992567943">
      <w:bodyDiv w:val="1"/>
      <w:marLeft w:val="0"/>
      <w:marRight w:val="0"/>
      <w:marTop w:val="0"/>
      <w:marBottom w:val="0"/>
      <w:divBdr>
        <w:top w:val="none" w:sz="0" w:space="0" w:color="auto"/>
        <w:left w:val="none" w:sz="0" w:space="0" w:color="auto"/>
        <w:bottom w:val="none" w:sz="0" w:space="0" w:color="auto"/>
        <w:right w:val="none" w:sz="0" w:space="0" w:color="auto"/>
      </w:divBdr>
    </w:div>
    <w:div w:id="1010838879">
      <w:bodyDiv w:val="1"/>
      <w:marLeft w:val="0"/>
      <w:marRight w:val="0"/>
      <w:marTop w:val="0"/>
      <w:marBottom w:val="0"/>
      <w:divBdr>
        <w:top w:val="none" w:sz="0" w:space="0" w:color="auto"/>
        <w:left w:val="none" w:sz="0" w:space="0" w:color="auto"/>
        <w:bottom w:val="none" w:sz="0" w:space="0" w:color="auto"/>
        <w:right w:val="none" w:sz="0" w:space="0" w:color="auto"/>
      </w:divBdr>
    </w:div>
    <w:div w:id="1068378217">
      <w:bodyDiv w:val="1"/>
      <w:marLeft w:val="0"/>
      <w:marRight w:val="0"/>
      <w:marTop w:val="0"/>
      <w:marBottom w:val="0"/>
      <w:divBdr>
        <w:top w:val="none" w:sz="0" w:space="0" w:color="auto"/>
        <w:left w:val="none" w:sz="0" w:space="0" w:color="auto"/>
        <w:bottom w:val="none" w:sz="0" w:space="0" w:color="auto"/>
        <w:right w:val="none" w:sz="0" w:space="0" w:color="auto"/>
      </w:divBdr>
    </w:div>
    <w:div w:id="1070345516">
      <w:bodyDiv w:val="1"/>
      <w:marLeft w:val="0"/>
      <w:marRight w:val="0"/>
      <w:marTop w:val="0"/>
      <w:marBottom w:val="0"/>
      <w:divBdr>
        <w:top w:val="none" w:sz="0" w:space="0" w:color="auto"/>
        <w:left w:val="none" w:sz="0" w:space="0" w:color="auto"/>
        <w:bottom w:val="none" w:sz="0" w:space="0" w:color="auto"/>
        <w:right w:val="none" w:sz="0" w:space="0" w:color="auto"/>
      </w:divBdr>
    </w:div>
    <w:div w:id="1106921055">
      <w:bodyDiv w:val="1"/>
      <w:marLeft w:val="0"/>
      <w:marRight w:val="0"/>
      <w:marTop w:val="0"/>
      <w:marBottom w:val="0"/>
      <w:divBdr>
        <w:top w:val="none" w:sz="0" w:space="0" w:color="auto"/>
        <w:left w:val="none" w:sz="0" w:space="0" w:color="auto"/>
        <w:bottom w:val="none" w:sz="0" w:space="0" w:color="auto"/>
        <w:right w:val="none" w:sz="0" w:space="0" w:color="auto"/>
      </w:divBdr>
    </w:div>
    <w:div w:id="1122726081">
      <w:bodyDiv w:val="1"/>
      <w:marLeft w:val="0"/>
      <w:marRight w:val="0"/>
      <w:marTop w:val="0"/>
      <w:marBottom w:val="0"/>
      <w:divBdr>
        <w:top w:val="none" w:sz="0" w:space="0" w:color="auto"/>
        <w:left w:val="none" w:sz="0" w:space="0" w:color="auto"/>
        <w:bottom w:val="none" w:sz="0" w:space="0" w:color="auto"/>
        <w:right w:val="none" w:sz="0" w:space="0" w:color="auto"/>
      </w:divBdr>
    </w:div>
    <w:div w:id="1123617919">
      <w:bodyDiv w:val="1"/>
      <w:marLeft w:val="0"/>
      <w:marRight w:val="0"/>
      <w:marTop w:val="0"/>
      <w:marBottom w:val="0"/>
      <w:divBdr>
        <w:top w:val="none" w:sz="0" w:space="0" w:color="auto"/>
        <w:left w:val="none" w:sz="0" w:space="0" w:color="auto"/>
        <w:bottom w:val="none" w:sz="0" w:space="0" w:color="auto"/>
        <w:right w:val="none" w:sz="0" w:space="0" w:color="auto"/>
      </w:divBdr>
    </w:div>
    <w:div w:id="1131900259">
      <w:bodyDiv w:val="1"/>
      <w:marLeft w:val="0"/>
      <w:marRight w:val="0"/>
      <w:marTop w:val="0"/>
      <w:marBottom w:val="0"/>
      <w:divBdr>
        <w:top w:val="none" w:sz="0" w:space="0" w:color="auto"/>
        <w:left w:val="none" w:sz="0" w:space="0" w:color="auto"/>
        <w:bottom w:val="none" w:sz="0" w:space="0" w:color="auto"/>
        <w:right w:val="none" w:sz="0" w:space="0" w:color="auto"/>
      </w:divBdr>
    </w:div>
    <w:div w:id="1156070143">
      <w:bodyDiv w:val="1"/>
      <w:marLeft w:val="0"/>
      <w:marRight w:val="0"/>
      <w:marTop w:val="0"/>
      <w:marBottom w:val="0"/>
      <w:divBdr>
        <w:top w:val="none" w:sz="0" w:space="0" w:color="auto"/>
        <w:left w:val="none" w:sz="0" w:space="0" w:color="auto"/>
        <w:bottom w:val="none" w:sz="0" w:space="0" w:color="auto"/>
        <w:right w:val="none" w:sz="0" w:space="0" w:color="auto"/>
      </w:divBdr>
    </w:div>
    <w:div w:id="1166286666">
      <w:bodyDiv w:val="1"/>
      <w:marLeft w:val="0"/>
      <w:marRight w:val="0"/>
      <w:marTop w:val="0"/>
      <w:marBottom w:val="0"/>
      <w:divBdr>
        <w:top w:val="none" w:sz="0" w:space="0" w:color="auto"/>
        <w:left w:val="none" w:sz="0" w:space="0" w:color="auto"/>
        <w:bottom w:val="none" w:sz="0" w:space="0" w:color="auto"/>
        <w:right w:val="none" w:sz="0" w:space="0" w:color="auto"/>
      </w:divBdr>
    </w:div>
    <w:div w:id="1172451503">
      <w:bodyDiv w:val="1"/>
      <w:marLeft w:val="0"/>
      <w:marRight w:val="0"/>
      <w:marTop w:val="0"/>
      <w:marBottom w:val="0"/>
      <w:divBdr>
        <w:top w:val="none" w:sz="0" w:space="0" w:color="auto"/>
        <w:left w:val="none" w:sz="0" w:space="0" w:color="auto"/>
        <w:bottom w:val="none" w:sz="0" w:space="0" w:color="auto"/>
        <w:right w:val="none" w:sz="0" w:space="0" w:color="auto"/>
      </w:divBdr>
    </w:div>
    <w:div w:id="1175149734">
      <w:bodyDiv w:val="1"/>
      <w:marLeft w:val="0"/>
      <w:marRight w:val="0"/>
      <w:marTop w:val="0"/>
      <w:marBottom w:val="0"/>
      <w:divBdr>
        <w:top w:val="none" w:sz="0" w:space="0" w:color="auto"/>
        <w:left w:val="none" w:sz="0" w:space="0" w:color="auto"/>
        <w:bottom w:val="none" w:sz="0" w:space="0" w:color="auto"/>
        <w:right w:val="none" w:sz="0" w:space="0" w:color="auto"/>
      </w:divBdr>
    </w:div>
    <w:div w:id="1178932124">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196306857">
      <w:bodyDiv w:val="1"/>
      <w:marLeft w:val="0"/>
      <w:marRight w:val="0"/>
      <w:marTop w:val="0"/>
      <w:marBottom w:val="0"/>
      <w:divBdr>
        <w:top w:val="none" w:sz="0" w:space="0" w:color="auto"/>
        <w:left w:val="none" w:sz="0" w:space="0" w:color="auto"/>
        <w:bottom w:val="none" w:sz="0" w:space="0" w:color="auto"/>
        <w:right w:val="none" w:sz="0" w:space="0" w:color="auto"/>
      </w:divBdr>
    </w:div>
    <w:div w:id="1205142783">
      <w:bodyDiv w:val="1"/>
      <w:marLeft w:val="0"/>
      <w:marRight w:val="0"/>
      <w:marTop w:val="0"/>
      <w:marBottom w:val="0"/>
      <w:divBdr>
        <w:top w:val="none" w:sz="0" w:space="0" w:color="auto"/>
        <w:left w:val="none" w:sz="0" w:space="0" w:color="auto"/>
        <w:bottom w:val="none" w:sz="0" w:space="0" w:color="auto"/>
        <w:right w:val="none" w:sz="0" w:space="0" w:color="auto"/>
      </w:divBdr>
    </w:div>
    <w:div w:id="1220364084">
      <w:bodyDiv w:val="1"/>
      <w:marLeft w:val="0"/>
      <w:marRight w:val="0"/>
      <w:marTop w:val="0"/>
      <w:marBottom w:val="0"/>
      <w:divBdr>
        <w:top w:val="none" w:sz="0" w:space="0" w:color="auto"/>
        <w:left w:val="none" w:sz="0" w:space="0" w:color="auto"/>
        <w:bottom w:val="none" w:sz="0" w:space="0" w:color="auto"/>
        <w:right w:val="none" w:sz="0" w:space="0" w:color="auto"/>
      </w:divBdr>
    </w:div>
    <w:div w:id="1246956109">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51235375">
      <w:bodyDiv w:val="1"/>
      <w:marLeft w:val="0"/>
      <w:marRight w:val="0"/>
      <w:marTop w:val="0"/>
      <w:marBottom w:val="0"/>
      <w:divBdr>
        <w:top w:val="none" w:sz="0" w:space="0" w:color="auto"/>
        <w:left w:val="none" w:sz="0" w:space="0" w:color="auto"/>
        <w:bottom w:val="none" w:sz="0" w:space="0" w:color="auto"/>
        <w:right w:val="none" w:sz="0" w:space="0" w:color="auto"/>
      </w:divBdr>
    </w:div>
    <w:div w:id="1262487683">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9184733">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05641357">
      <w:bodyDiv w:val="1"/>
      <w:marLeft w:val="0"/>
      <w:marRight w:val="0"/>
      <w:marTop w:val="0"/>
      <w:marBottom w:val="0"/>
      <w:divBdr>
        <w:top w:val="none" w:sz="0" w:space="0" w:color="auto"/>
        <w:left w:val="none" w:sz="0" w:space="0" w:color="auto"/>
        <w:bottom w:val="none" w:sz="0" w:space="0" w:color="auto"/>
        <w:right w:val="none" w:sz="0" w:space="0" w:color="auto"/>
      </w:divBdr>
    </w:div>
    <w:div w:id="1472942324">
      <w:bodyDiv w:val="1"/>
      <w:marLeft w:val="0"/>
      <w:marRight w:val="0"/>
      <w:marTop w:val="0"/>
      <w:marBottom w:val="0"/>
      <w:divBdr>
        <w:top w:val="none" w:sz="0" w:space="0" w:color="auto"/>
        <w:left w:val="none" w:sz="0" w:space="0" w:color="auto"/>
        <w:bottom w:val="none" w:sz="0" w:space="0" w:color="auto"/>
        <w:right w:val="none" w:sz="0" w:space="0" w:color="auto"/>
      </w:divBdr>
    </w:div>
    <w:div w:id="1479541580">
      <w:bodyDiv w:val="1"/>
      <w:marLeft w:val="0"/>
      <w:marRight w:val="0"/>
      <w:marTop w:val="0"/>
      <w:marBottom w:val="0"/>
      <w:divBdr>
        <w:top w:val="none" w:sz="0" w:space="0" w:color="auto"/>
        <w:left w:val="none" w:sz="0" w:space="0" w:color="auto"/>
        <w:bottom w:val="none" w:sz="0" w:space="0" w:color="auto"/>
        <w:right w:val="none" w:sz="0" w:space="0" w:color="auto"/>
      </w:divBdr>
    </w:div>
    <w:div w:id="1497651940">
      <w:bodyDiv w:val="1"/>
      <w:marLeft w:val="0"/>
      <w:marRight w:val="0"/>
      <w:marTop w:val="0"/>
      <w:marBottom w:val="0"/>
      <w:divBdr>
        <w:top w:val="none" w:sz="0" w:space="0" w:color="auto"/>
        <w:left w:val="none" w:sz="0" w:space="0" w:color="auto"/>
        <w:bottom w:val="none" w:sz="0" w:space="0" w:color="auto"/>
        <w:right w:val="none" w:sz="0" w:space="0" w:color="auto"/>
      </w:divBdr>
    </w:div>
    <w:div w:id="1508014516">
      <w:bodyDiv w:val="1"/>
      <w:marLeft w:val="0"/>
      <w:marRight w:val="0"/>
      <w:marTop w:val="0"/>
      <w:marBottom w:val="0"/>
      <w:divBdr>
        <w:top w:val="none" w:sz="0" w:space="0" w:color="auto"/>
        <w:left w:val="none" w:sz="0" w:space="0" w:color="auto"/>
        <w:bottom w:val="none" w:sz="0" w:space="0" w:color="auto"/>
        <w:right w:val="none" w:sz="0" w:space="0" w:color="auto"/>
      </w:divBdr>
    </w:div>
    <w:div w:id="1509445326">
      <w:bodyDiv w:val="1"/>
      <w:marLeft w:val="0"/>
      <w:marRight w:val="0"/>
      <w:marTop w:val="0"/>
      <w:marBottom w:val="0"/>
      <w:divBdr>
        <w:top w:val="none" w:sz="0" w:space="0" w:color="auto"/>
        <w:left w:val="none" w:sz="0" w:space="0" w:color="auto"/>
        <w:bottom w:val="none" w:sz="0" w:space="0" w:color="auto"/>
        <w:right w:val="none" w:sz="0" w:space="0" w:color="auto"/>
      </w:divBdr>
    </w:div>
    <w:div w:id="1514568810">
      <w:bodyDiv w:val="1"/>
      <w:marLeft w:val="0"/>
      <w:marRight w:val="0"/>
      <w:marTop w:val="0"/>
      <w:marBottom w:val="0"/>
      <w:divBdr>
        <w:top w:val="none" w:sz="0" w:space="0" w:color="auto"/>
        <w:left w:val="none" w:sz="0" w:space="0" w:color="auto"/>
        <w:bottom w:val="none" w:sz="0" w:space="0" w:color="auto"/>
        <w:right w:val="none" w:sz="0" w:space="0" w:color="auto"/>
      </w:divBdr>
    </w:div>
    <w:div w:id="1516000540">
      <w:bodyDiv w:val="1"/>
      <w:marLeft w:val="0"/>
      <w:marRight w:val="0"/>
      <w:marTop w:val="0"/>
      <w:marBottom w:val="0"/>
      <w:divBdr>
        <w:top w:val="none" w:sz="0" w:space="0" w:color="auto"/>
        <w:left w:val="none" w:sz="0" w:space="0" w:color="auto"/>
        <w:bottom w:val="none" w:sz="0" w:space="0" w:color="auto"/>
        <w:right w:val="none" w:sz="0" w:space="0" w:color="auto"/>
      </w:divBdr>
    </w:div>
    <w:div w:id="1528445468">
      <w:bodyDiv w:val="1"/>
      <w:marLeft w:val="0"/>
      <w:marRight w:val="0"/>
      <w:marTop w:val="0"/>
      <w:marBottom w:val="0"/>
      <w:divBdr>
        <w:top w:val="none" w:sz="0" w:space="0" w:color="auto"/>
        <w:left w:val="none" w:sz="0" w:space="0" w:color="auto"/>
        <w:bottom w:val="none" w:sz="0" w:space="0" w:color="auto"/>
        <w:right w:val="none" w:sz="0" w:space="0" w:color="auto"/>
      </w:divBdr>
    </w:div>
    <w:div w:id="153526404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38423681">
      <w:bodyDiv w:val="1"/>
      <w:marLeft w:val="0"/>
      <w:marRight w:val="0"/>
      <w:marTop w:val="0"/>
      <w:marBottom w:val="0"/>
      <w:divBdr>
        <w:top w:val="none" w:sz="0" w:space="0" w:color="auto"/>
        <w:left w:val="none" w:sz="0" w:space="0" w:color="auto"/>
        <w:bottom w:val="none" w:sz="0" w:space="0" w:color="auto"/>
        <w:right w:val="none" w:sz="0" w:space="0" w:color="auto"/>
      </w:divBdr>
    </w:div>
    <w:div w:id="1548300607">
      <w:bodyDiv w:val="1"/>
      <w:marLeft w:val="0"/>
      <w:marRight w:val="0"/>
      <w:marTop w:val="0"/>
      <w:marBottom w:val="0"/>
      <w:divBdr>
        <w:top w:val="none" w:sz="0" w:space="0" w:color="auto"/>
        <w:left w:val="none" w:sz="0" w:space="0" w:color="auto"/>
        <w:bottom w:val="none" w:sz="0" w:space="0" w:color="auto"/>
        <w:right w:val="none" w:sz="0" w:space="0" w:color="auto"/>
      </w:divBdr>
    </w:div>
    <w:div w:id="1549221315">
      <w:bodyDiv w:val="1"/>
      <w:marLeft w:val="0"/>
      <w:marRight w:val="0"/>
      <w:marTop w:val="0"/>
      <w:marBottom w:val="0"/>
      <w:divBdr>
        <w:top w:val="none" w:sz="0" w:space="0" w:color="auto"/>
        <w:left w:val="none" w:sz="0" w:space="0" w:color="auto"/>
        <w:bottom w:val="none" w:sz="0" w:space="0" w:color="auto"/>
        <w:right w:val="none" w:sz="0" w:space="0" w:color="auto"/>
      </w:divBdr>
    </w:div>
    <w:div w:id="1554922720">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69077873">
      <w:bodyDiv w:val="1"/>
      <w:marLeft w:val="0"/>
      <w:marRight w:val="0"/>
      <w:marTop w:val="0"/>
      <w:marBottom w:val="0"/>
      <w:divBdr>
        <w:top w:val="none" w:sz="0" w:space="0" w:color="auto"/>
        <w:left w:val="none" w:sz="0" w:space="0" w:color="auto"/>
        <w:bottom w:val="none" w:sz="0" w:space="0" w:color="auto"/>
        <w:right w:val="none" w:sz="0" w:space="0" w:color="auto"/>
      </w:divBdr>
    </w:div>
    <w:div w:id="1574512187">
      <w:bodyDiv w:val="1"/>
      <w:marLeft w:val="0"/>
      <w:marRight w:val="0"/>
      <w:marTop w:val="0"/>
      <w:marBottom w:val="0"/>
      <w:divBdr>
        <w:top w:val="none" w:sz="0" w:space="0" w:color="auto"/>
        <w:left w:val="none" w:sz="0" w:space="0" w:color="auto"/>
        <w:bottom w:val="none" w:sz="0" w:space="0" w:color="auto"/>
        <w:right w:val="none" w:sz="0" w:space="0" w:color="auto"/>
      </w:divBdr>
    </w:div>
    <w:div w:id="1574702023">
      <w:bodyDiv w:val="1"/>
      <w:marLeft w:val="0"/>
      <w:marRight w:val="0"/>
      <w:marTop w:val="0"/>
      <w:marBottom w:val="0"/>
      <w:divBdr>
        <w:top w:val="none" w:sz="0" w:space="0" w:color="auto"/>
        <w:left w:val="none" w:sz="0" w:space="0" w:color="auto"/>
        <w:bottom w:val="none" w:sz="0" w:space="0" w:color="auto"/>
        <w:right w:val="none" w:sz="0" w:space="0" w:color="auto"/>
      </w:divBdr>
    </w:div>
    <w:div w:id="1579368496">
      <w:bodyDiv w:val="1"/>
      <w:marLeft w:val="0"/>
      <w:marRight w:val="0"/>
      <w:marTop w:val="0"/>
      <w:marBottom w:val="0"/>
      <w:divBdr>
        <w:top w:val="none" w:sz="0" w:space="0" w:color="auto"/>
        <w:left w:val="none" w:sz="0" w:space="0" w:color="auto"/>
        <w:bottom w:val="none" w:sz="0" w:space="0" w:color="auto"/>
        <w:right w:val="none" w:sz="0" w:space="0" w:color="auto"/>
      </w:divBdr>
    </w:div>
    <w:div w:id="1589385263">
      <w:bodyDiv w:val="1"/>
      <w:marLeft w:val="0"/>
      <w:marRight w:val="0"/>
      <w:marTop w:val="0"/>
      <w:marBottom w:val="0"/>
      <w:divBdr>
        <w:top w:val="none" w:sz="0" w:space="0" w:color="auto"/>
        <w:left w:val="none" w:sz="0" w:space="0" w:color="auto"/>
        <w:bottom w:val="none" w:sz="0" w:space="0" w:color="auto"/>
        <w:right w:val="none" w:sz="0" w:space="0" w:color="auto"/>
      </w:divBdr>
    </w:div>
    <w:div w:id="1609120159">
      <w:bodyDiv w:val="1"/>
      <w:marLeft w:val="0"/>
      <w:marRight w:val="0"/>
      <w:marTop w:val="0"/>
      <w:marBottom w:val="0"/>
      <w:divBdr>
        <w:top w:val="none" w:sz="0" w:space="0" w:color="auto"/>
        <w:left w:val="none" w:sz="0" w:space="0" w:color="auto"/>
        <w:bottom w:val="none" w:sz="0" w:space="0" w:color="auto"/>
        <w:right w:val="none" w:sz="0" w:space="0" w:color="auto"/>
      </w:divBdr>
    </w:div>
    <w:div w:id="1611815506">
      <w:bodyDiv w:val="1"/>
      <w:marLeft w:val="0"/>
      <w:marRight w:val="0"/>
      <w:marTop w:val="0"/>
      <w:marBottom w:val="0"/>
      <w:divBdr>
        <w:top w:val="none" w:sz="0" w:space="0" w:color="auto"/>
        <w:left w:val="none" w:sz="0" w:space="0" w:color="auto"/>
        <w:bottom w:val="none" w:sz="0" w:space="0" w:color="auto"/>
        <w:right w:val="none" w:sz="0" w:space="0" w:color="auto"/>
      </w:divBdr>
    </w:div>
    <w:div w:id="1613783972">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24383122">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55913623">
      <w:bodyDiv w:val="1"/>
      <w:marLeft w:val="0"/>
      <w:marRight w:val="0"/>
      <w:marTop w:val="0"/>
      <w:marBottom w:val="0"/>
      <w:divBdr>
        <w:top w:val="none" w:sz="0" w:space="0" w:color="auto"/>
        <w:left w:val="none" w:sz="0" w:space="0" w:color="auto"/>
        <w:bottom w:val="none" w:sz="0" w:space="0" w:color="auto"/>
        <w:right w:val="none" w:sz="0" w:space="0" w:color="auto"/>
      </w:divBdr>
    </w:div>
    <w:div w:id="1656572747">
      <w:bodyDiv w:val="1"/>
      <w:marLeft w:val="0"/>
      <w:marRight w:val="0"/>
      <w:marTop w:val="0"/>
      <w:marBottom w:val="0"/>
      <w:divBdr>
        <w:top w:val="none" w:sz="0" w:space="0" w:color="auto"/>
        <w:left w:val="none" w:sz="0" w:space="0" w:color="auto"/>
        <w:bottom w:val="none" w:sz="0" w:space="0" w:color="auto"/>
        <w:right w:val="none" w:sz="0" w:space="0" w:color="auto"/>
      </w:divBdr>
    </w:div>
    <w:div w:id="1658025222">
      <w:bodyDiv w:val="1"/>
      <w:marLeft w:val="0"/>
      <w:marRight w:val="0"/>
      <w:marTop w:val="0"/>
      <w:marBottom w:val="0"/>
      <w:divBdr>
        <w:top w:val="none" w:sz="0" w:space="0" w:color="auto"/>
        <w:left w:val="none" w:sz="0" w:space="0" w:color="auto"/>
        <w:bottom w:val="none" w:sz="0" w:space="0" w:color="auto"/>
        <w:right w:val="none" w:sz="0" w:space="0" w:color="auto"/>
      </w:divBdr>
    </w:div>
    <w:div w:id="1659268086">
      <w:bodyDiv w:val="1"/>
      <w:marLeft w:val="0"/>
      <w:marRight w:val="0"/>
      <w:marTop w:val="0"/>
      <w:marBottom w:val="0"/>
      <w:divBdr>
        <w:top w:val="none" w:sz="0" w:space="0" w:color="auto"/>
        <w:left w:val="none" w:sz="0" w:space="0" w:color="auto"/>
        <w:bottom w:val="none" w:sz="0" w:space="0" w:color="auto"/>
        <w:right w:val="none" w:sz="0" w:space="0" w:color="auto"/>
      </w:divBdr>
    </w:div>
    <w:div w:id="1686399316">
      <w:bodyDiv w:val="1"/>
      <w:marLeft w:val="0"/>
      <w:marRight w:val="0"/>
      <w:marTop w:val="0"/>
      <w:marBottom w:val="0"/>
      <w:divBdr>
        <w:top w:val="none" w:sz="0" w:space="0" w:color="auto"/>
        <w:left w:val="none" w:sz="0" w:space="0" w:color="auto"/>
        <w:bottom w:val="none" w:sz="0" w:space="0" w:color="auto"/>
        <w:right w:val="none" w:sz="0" w:space="0" w:color="auto"/>
      </w:divBdr>
    </w:div>
    <w:div w:id="1687946916">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5960037">
      <w:bodyDiv w:val="1"/>
      <w:marLeft w:val="0"/>
      <w:marRight w:val="0"/>
      <w:marTop w:val="0"/>
      <w:marBottom w:val="0"/>
      <w:divBdr>
        <w:top w:val="none" w:sz="0" w:space="0" w:color="auto"/>
        <w:left w:val="none" w:sz="0" w:space="0" w:color="auto"/>
        <w:bottom w:val="none" w:sz="0" w:space="0" w:color="auto"/>
        <w:right w:val="none" w:sz="0" w:space="0" w:color="auto"/>
      </w:divBdr>
    </w:div>
    <w:div w:id="1720589178">
      <w:bodyDiv w:val="1"/>
      <w:marLeft w:val="0"/>
      <w:marRight w:val="0"/>
      <w:marTop w:val="0"/>
      <w:marBottom w:val="0"/>
      <w:divBdr>
        <w:top w:val="none" w:sz="0" w:space="0" w:color="auto"/>
        <w:left w:val="none" w:sz="0" w:space="0" w:color="auto"/>
        <w:bottom w:val="none" w:sz="0" w:space="0" w:color="auto"/>
        <w:right w:val="none" w:sz="0" w:space="0" w:color="auto"/>
      </w:divBdr>
    </w:div>
    <w:div w:id="1721663399">
      <w:bodyDiv w:val="1"/>
      <w:marLeft w:val="0"/>
      <w:marRight w:val="0"/>
      <w:marTop w:val="0"/>
      <w:marBottom w:val="0"/>
      <w:divBdr>
        <w:top w:val="none" w:sz="0" w:space="0" w:color="auto"/>
        <w:left w:val="none" w:sz="0" w:space="0" w:color="auto"/>
        <w:bottom w:val="none" w:sz="0" w:space="0" w:color="auto"/>
        <w:right w:val="none" w:sz="0" w:space="0" w:color="auto"/>
      </w:divBdr>
    </w:div>
    <w:div w:id="1727489065">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33693815">
      <w:bodyDiv w:val="1"/>
      <w:marLeft w:val="0"/>
      <w:marRight w:val="0"/>
      <w:marTop w:val="0"/>
      <w:marBottom w:val="0"/>
      <w:divBdr>
        <w:top w:val="none" w:sz="0" w:space="0" w:color="auto"/>
        <w:left w:val="none" w:sz="0" w:space="0" w:color="auto"/>
        <w:bottom w:val="none" w:sz="0" w:space="0" w:color="auto"/>
        <w:right w:val="none" w:sz="0" w:space="0" w:color="auto"/>
      </w:divBdr>
    </w:div>
    <w:div w:id="1755937047">
      <w:bodyDiv w:val="1"/>
      <w:marLeft w:val="0"/>
      <w:marRight w:val="0"/>
      <w:marTop w:val="0"/>
      <w:marBottom w:val="0"/>
      <w:divBdr>
        <w:top w:val="none" w:sz="0" w:space="0" w:color="auto"/>
        <w:left w:val="none" w:sz="0" w:space="0" w:color="auto"/>
        <w:bottom w:val="none" w:sz="0" w:space="0" w:color="auto"/>
        <w:right w:val="none" w:sz="0" w:space="0" w:color="auto"/>
      </w:divBdr>
    </w:div>
    <w:div w:id="1768841666">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73277588">
      <w:bodyDiv w:val="1"/>
      <w:marLeft w:val="0"/>
      <w:marRight w:val="0"/>
      <w:marTop w:val="0"/>
      <w:marBottom w:val="0"/>
      <w:divBdr>
        <w:top w:val="none" w:sz="0" w:space="0" w:color="auto"/>
        <w:left w:val="none" w:sz="0" w:space="0" w:color="auto"/>
        <w:bottom w:val="none" w:sz="0" w:space="0" w:color="auto"/>
        <w:right w:val="none" w:sz="0" w:space="0" w:color="auto"/>
      </w:divBdr>
    </w:div>
    <w:div w:id="1786658351">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793941865">
      <w:bodyDiv w:val="1"/>
      <w:marLeft w:val="0"/>
      <w:marRight w:val="0"/>
      <w:marTop w:val="0"/>
      <w:marBottom w:val="0"/>
      <w:divBdr>
        <w:top w:val="none" w:sz="0" w:space="0" w:color="auto"/>
        <w:left w:val="none" w:sz="0" w:space="0" w:color="auto"/>
        <w:bottom w:val="none" w:sz="0" w:space="0" w:color="auto"/>
        <w:right w:val="none" w:sz="0" w:space="0" w:color="auto"/>
      </w:divBdr>
    </w:div>
    <w:div w:id="1800295777">
      <w:bodyDiv w:val="1"/>
      <w:marLeft w:val="0"/>
      <w:marRight w:val="0"/>
      <w:marTop w:val="0"/>
      <w:marBottom w:val="0"/>
      <w:divBdr>
        <w:top w:val="none" w:sz="0" w:space="0" w:color="auto"/>
        <w:left w:val="none" w:sz="0" w:space="0" w:color="auto"/>
        <w:bottom w:val="none" w:sz="0" w:space="0" w:color="auto"/>
        <w:right w:val="none" w:sz="0" w:space="0" w:color="auto"/>
      </w:divBdr>
    </w:div>
    <w:div w:id="1801681781">
      <w:bodyDiv w:val="1"/>
      <w:marLeft w:val="0"/>
      <w:marRight w:val="0"/>
      <w:marTop w:val="0"/>
      <w:marBottom w:val="0"/>
      <w:divBdr>
        <w:top w:val="none" w:sz="0" w:space="0" w:color="auto"/>
        <w:left w:val="none" w:sz="0" w:space="0" w:color="auto"/>
        <w:bottom w:val="none" w:sz="0" w:space="0" w:color="auto"/>
        <w:right w:val="none" w:sz="0" w:space="0" w:color="auto"/>
      </w:divBdr>
    </w:div>
    <w:div w:id="1831167872">
      <w:bodyDiv w:val="1"/>
      <w:marLeft w:val="0"/>
      <w:marRight w:val="0"/>
      <w:marTop w:val="0"/>
      <w:marBottom w:val="0"/>
      <w:divBdr>
        <w:top w:val="none" w:sz="0" w:space="0" w:color="auto"/>
        <w:left w:val="none" w:sz="0" w:space="0" w:color="auto"/>
        <w:bottom w:val="none" w:sz="0" w:space="0" w:color="auto"/>
        <w:right w:val="none" w:sz="0" w:space="0" w:color="auto"/>
      </w:divBdr>
    </w:div>
    <w:div w:id="1838957022">
      <w:bodyDiv w:val="1"/>
      <w:marLeft w:val="0"/>
      <w:marRight w:val="0"/>
      <w:marTop w:val="0"/>
      <w:marBottom w:val="0"/>
      <w:divBdr>
        <w:top w:val="none" w:sz="0" w:space="0" w:color="auto"/>
        <w:left w:val="none" w:sz="0" w:space="0" w:color="auto"/>
        <w:bottom w:val="none" w:sz="0" w:space="0" w:color="auto"/>
        <w:right w:val="none" w:sz="0" w:space="0" w:color="auto"/>
      </w:divBdr>
    </w:div>
    <w:div w:id="1846703832">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7846155">
      <w:bodyDiv w:val="1"/>
      <w:marLeft w:val="0"/>
      <w:marRight w:val="0"/>
      <w:marTop w:val="0"/>
      <w:marBottom w:val="0"/>
      <w:divBdr>
        <w:top w:val="none" w:sz="0" w:space="0" w:color="auto"/>
        <w:left w:val="none" w:sz="0" w:space="0" w:color="auto"/>
        <w:bottom w:val="none" w:sz="0" w:space="0" w:color="auto"/>
        <w:right w:val="none" w:sz="0" w:space="0" w:color="auto"/>
      </w:divBdr>
    </w:div>
    <w:div w:id="1858302767">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79277354">
      <w:bodyDiv w:val="1"/>
      <w:marLeft w:val="0"/>
      <w:marRight w:val="0"/>
      <w:marTop w:val="0"/>
      <w:marBottom w:val="0"/>
      <w:divBdr>
        <w:top w:val="none" w:sz="0" w:space="0" w:color="auto"/>
        <w:left w:val="none" w:sz="0" w:space="0" w:color="auto"/>
        <w:bottom w:val="none" w:sz="0" w:space="0" w:color="auto"/>
        <w:right w:val="none" w:sz="0" w:space="0" w:color="auto"/>
      </w:divBdr>
    </w:div>
    <w:div w:id="1895699084">
      <w:bodyDiv w:val="1"/>
      <w:marLeft w:val="0"/>
      <w:marRight w:val="0"/>
      <w:marTop w:val="0"/>
      <w:marBottom w:val="0"/>
      <w:divBdr>
        <w:top w:val="none" w:sz="0" w:space="0" w:color="auto"/>
        <w:left w:val="none" w:sz="0" w:space="0" w:color="auto"/>
        <w:bottom w:val="none" w:sz="0" w:space="0" w:color="auto"/>
        <w:right w:val="none" w:sz="0" w:space="0" w:color="auto"/>
      </w:divBdr>
    </w:div>
    <w:div w:id="1898324175">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4143071">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53126829">
      <w:bodyDiv w:val="1"/>
      <w:marLeft w:val="0"/>
      <w:marRight w:val="0"/>
      <w:marTop w:val="0"/>
      <w:marBottom w:val="0"/>
      <w:divBdr>
        <w:top w:val="none" w:sz="0" w:space="0" w:color="auto"/>
        <w:left w:val="none" w:sz="0" w:space="0" w:color="auto"/>
        <w:bottom w:val="none" w:sz="0" w:space="0" w:color="auto"/>
        <w:right w:val="none" w:sz="0" w:space="0" w:color="auto"/>
      </w:divBdr>
    </w:div>
    <w:div w:id="1953197149">
      <w:bodyDiv w:val="1"/>
      <w:marLeft w:val="0"/>
      <w:marRight w:val="0"/>
      <w:marTop w:val="0"/>
      <w:marBottom w:val="0"/>
      <w:divBdr>
        <w:top w:val="none" w:sz="0" w:space="0" w:color="auto"/>
        <w:left w:val="none" w:sz="0" w:space="0" w:color="auto"/>
        <w:bottom w:val="none" w:sz="0" w:space="0" w:color="auto"/>
        <w:right w:val="none" w:sz="0" w:space="0" w:color="auto"/>
      </w:divBdr>
    </w:div>
    <w:div w:id="195423890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06976857">
      <w:bodyDiv w:val="1"/>
      <w:marLeft w:val="0"/>
      <w:marRight w:val="0"/>
      <w:marTop w:val="0"/>
      <w:marBottom w:val="0"/>
      <w:divBdr>
        <w:top w:val="none" w:sz="0" w:space="0" w:color="auto"/>
        <w:left w:val="none" w:sz="0" w:space="0" w:color="auto"/>
        <w:bottom w:val="none" w:sz="0" w:space="0" w:color="auto"/>
        <w:right w:val="none" w:sz="0" w:space="0" w:color="auto"/>
      </w:divBdr>
    </w:div>
    <w:div w:id="2010061605">
      <w:bodyDiv w:val="1"/>
      <w:marLeft w:val="0"/>
      <w:marRight w:val="0"/>
      <w:marTop w:val="0"/>
      <w:marBottom w:val="0"/>
      <w:divBdr>
        <w:top w:val="none" w:sz="0" w:space="0" w:color="auto"/>
        <w:left w:val="none" w:sz="0" w:space="0" w:color="auto"/>
        <w:bottom w:val="none" w:sz="0" w:space="0" w:color="auto"/>
        <w:right w:val="none" w:sz="0" w:space="0" w:color="auto"/>
      </w:divBdr>
    </w:div>
    <w:div w:id="2010906928">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63868230">
      <w:bodyDiv w:val="1"/>
      <w:marLeft w:val="0"/>
      <w:marRight w:val="0"/>
      <w:marTop w:val="0"/>
      <w:marBottom w:val="0"/>
      <w:divBdr>
        <w:top w:val="none" w:sz="0" w:space="0" w:color="auto"/>
        <w:left w:val="none" w:sz="0" w:space="0" w:color="auto"/>
        <w:bottom w:val="none" w:sz="0" w:space="0" w:color="auto"/>
        <w:right w:val="none" w:sz="0" w:space="0" w:color="auto"/>
      </w:divBdr>
    </w:div>
    <w:div w:id="2069839732">
      <w:bodyDiv w:val="1"/>
      <w:marLeft w:val="0"/>
      <w:marRight w:val="0"/>
      <w:marTop w:val="0"/>
      <w:marBottom w:val="0"/>
      <w:divBdr>
        <w:top w:val="none" w:sz="0" w:space="0" w:color="auto"/>
        <w:left w:val="none" w:sz="0" w:space="0" w:color="auto"/>
        <w:bottom w:val="none" w:sz="0" w:space="0" w:color="auto"/>
        <w:right w:val="none" w:sz="0" w:space="0" w:color="auto"/>
      </w:divBdr>
    </w:div>
    <w:div w:id="2072799819">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89187128">
      <w:bodyDiv w:val="1"/>
      <w:marLeft w:val="0"/>
      <w:marRight w:val="0"/>
      <w:marTop w:val="0"/>
      <w:marBottom w:val="0"/>
      <w:divBdr>
        <w:top w:val="none" w:sz="0" w:space="0" w:color="auto"/>
        <w:left w:val="none" w:sz="0" w:space="0" w:color="auto"/>
        <w:bottom w:val="none" w:sz="0" w:space="0" w:color="auto"/>
        <w:right w:val="none" w:sz="0" w:space="0" w:color="auto"/>
      </w:divBdr>
    </w:div>
    <w:div w:id="2101023176">
      <w:bodyDiv w:val="1"/>
      <w:marLeft w:val="0"/>
      <w:marRight w:val="0"/>
      <w:marTop w:val="0"/>
      <w:marBottom w:val="0"/>
      <w:divBdr>
        <w:top w:val="none" w:sz="0" w:space="0" w:color="auto"/>
        <w:left w:val="none" w:sz="0" w:space="0" w:color="auto"/>
        <w:bottom w:val="none" w:sz="0" w:space="0" w:color="auto"/>
        <w:right w:val="none" w:sz="0" w:space="0" w:color="auto"/>
      </w:divBdr>
    </w:div>
    <w:div w:id="2110463745">
      <w:bodyDiv w:val="1"/>
      <w:marLeft w:val="0"/>
      <w:marRight w:val="0"/>
      <w:marTop w:val="0"/>
      <w:marBottom w:val="0"/>
      <w:divBdr>
        <w:top w:val="none" w:sz="0" w:space="0" w:color="auto"/>
        <w:left w:val="none" w:sz="0" w:space="0" w:color="auto"/>
        <w:bottom w:val="none" w:sz="0" w:space="0" w:color="auto"/>
        <w:right w:val="none" w:sz="0" w:space="0" w:color="auto"/>
      </w:divBdr>
    </w:div>
    <w:div w:id="2110738240">
      <w:bodyDiv w:val="1"/>
      <w:marLeft w:val="0"/>
      <w:marRight w:val="0"/>
      <w:marTop w:val="0"/>
      <w:marBottom w:val="0"/>
      <w:divBdr>
        <w:top w:val="none" w:sz="0" w:space="0" w:color="auto"/>
        <w:left w:val="none" w:sz="0" w:space="0" w:color="auto"/>
        <w:bottom w:val="none" w:sz="0" w:space="0" w:color="auto"/>
        <w:right w:val="none" w:sz="0" w:space="0" w:color="auto"/>
      </w:divBdr>
    </w:div>
    <w:div w:id="2115594659">
      <w:bodyDiv w:val="1"/>
      <w:marLeft w:val="0"/>
      <w:marRight w:val="0"/>
      <w:marTop w:val="0"/>
      <w:marBottom w:val="0"/>
      <w:divBdr>
        <w:top w:val="none" w:sz="0" w:space="0" w:color="auto"/>
        <w:left w:val="none" w:sz="0" w:space="0" w:color="auto"/>
        <w:bottom w:val="none" w:sz="0" w:space="0" w:color="auto"/>
        <w:right w:val="none" w:sz="0" w:space="0" w:color="auto"/>
      </w:divBdr>
    </w:div>
    <w:div w:id="21263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ia.doe.gov/oil_gas/natural_gas/data_publications/crude_oil_natural_gas_reserves/cr.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ia.gov/emeu/aer/contents.html" TargetMode="External"/><Relationship Id="rId34" Type="http://schemas.openxmlformats.org/officeDocument/2006/relationships/theme" Target="theme/theme1.xml"/><Relationship Id="R8165e586c2aa4f9b"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package" Target="embeddings/Microsoft_Excel_Worksheet1.xls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ia.gov/naturalgas/annua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eia.gov"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ia.gov/naturalgas/monthly" TargetMode="External"/><Relationship Id="rId31" Type="http://schemas.openxmlformats.org/officeDocument/2006/relationships/footer" Target="footer6.xml"/><Relationship Id="R77e3306c4e8d43c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ia.gov/forecasts/steo/"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120EAC"/>
    <w:rsid w:val="001E7AA9"/>
    <w:rsid w:val="00387AEC"/>
    <w:rsid w:val="005C26A9"/>
    <w:rsid w:val="0097548D"/>
    <w:rsid w:val="009E75B6"/>
    <w:rsid w:val="00D17918"/>
    <w:rsid w:val="00DF4219"/>
    <w:rsid w:val="00EF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13C684EDE2454BBEAFB6106D43B06E" ma:contentTypeVersion="2" ma:contentTypeDescription="Create a new document." ma:contentTypeScope="" ma:versionID="0e0c7e2595d8c319703e917aa619e43e">
  <xsd:schema xmlns:xsd="http://www.w3.org/2001/XMLSchema" xmlns:xs="http://www.w3.org/2001/XMLSchema" xmlns:p="http://schemas.microsoft.com/office/2006/metadata/properties" xmlns:ns2="daadace3-742b-4fd8-81ce-edb4ba0d511e" targetNamespace="http://schemas.microsoft.com/office/2006/metadata/properties" ma:root="true" ma:fieldsID="8b3d9a5fd4c3d9609365247780e505c4" ns2:_="">
    <xsd:import namespace="daadace3-742b-4fd8-81ce-edb4ba0d51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dace3-742b-4fd8-81ce-edb4ba0d5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75F3D2-9435-43AC-91FF-2160984F3E0F}">
  <ds:schemaRefs>
    <ds:schemaRef ds:uri="http://schemas.microsoft.com/sharepoint/v3/contenttype/forms"/>
  </ds:schemaRefs>
</ds:datastoreItem>
</file>

<file path=customXml/itemProps3.xml><?xml version="1.0" encoding="utf-8"?>
<ds:datastoreItem xmlns:ds="http://schemas.openxmlformats.org/officeDocument/2006/customXml" ds:itemID="{4696803D-B520-4FE3-8C1A-9806B0FDA6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23044-3820-4CAD-9AB0-337D71892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dace3-742b-4fd8-81ce-edb4ba0d5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480FD-0546-45E5-8C7F-DC98E20E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Survey Clearance of U.S. Energy Information Administration’s (EIA) Oil and Gas Reserves System Surveys</vt:lpstr>
    </vt:vector>
  </TitlesOfParts>
  <Company/>
  <LinksUpToDate>false</LinksUpToDate>
  <CharactersWithSpaces>20901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 of U.S. Energy Information Administration’s (EIA) Oil and Gas Reserves System Surveys</dc:title>
  <dc:subject>Improving the Quality and Scope of EIA Data</dc:subject>
  <dc:creator>Stroud, Lawrence</dc:creator>
  <cp:keywords/>
  <dc:description/>
  <cp:lastModifiedBy>Aloulou, Faouzi</cp:lastModifiedBy>
  <cp:revision>2</cp:revision>
  <cp:lastPrinted>2011-12-12T20:42:00Z</cp:lastPrinted>
  <dcterms:created xsi:type="dcterms:W3CDTF">2022-06-07T12:24:00Z</dcterms:created>
  <dcterms:modified xsi:type="dcterms:W3CDTF">2022-06-07T12:24:00Z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0x0101007613C684EDE2454BBEAFB6106D43B06E</vt:lpwstr>
  </property>
</Properties>
</file>