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72C5" w:rsidR="004772C5" w:rsidP="7CBD38D5" w:rsidRDefault="004772C5" w14:paraId="5A9EF9E2" w14:textId="1C1C8E4E">
      <w:pPr>
        <w:spacing w:after="100" w:afterAutospacing="1"/>
        <w:jc w:val="center"/>
        <w:rPr>
          <w:b/>
          <w:bCs/>
        </w:rPr>
      </w:pPr>
      <w:r w:rsidRPr="7CBD38D5">
        <w:rPr>
          <w:b/>
          <w:bCs/>
        </w:rPr>
        <w:t xml:space="preserve">Supporting Statement for </w:t>
      </w:r>
      <w:r w:rsidRPr="7CBD38D5" w:rsidR="007D7B75">
        <w:rPr>
          <w:b/>
          <w:bCs/>
        </w:rPr>
        <w:t xml:space="preserve">Renewable Fuel Standard (RFS) Program: Alternative </w:t>
      </w:r>
      <w:r w:rsidRPr="7CBD38D5" w:rsidR="006A5867">
        <w:rPr>
          <w:b/>
          <w:bCs/>
        </w:rPr>
        <w:t>RIN Retirement</w:t>
      </w:r>
      <w:r w:rsidRPr="7CBD38D5" w:rsidR="007D7B75">
        <w:rPr>
          <w:b/>
          <w:bCs/>
        </w:rPr>
        <w:t xml:space="preserve"> Schedule for Small Refineries</w:t>
      </w:r>
    </w:p>
    <w:p w:rsidR="6AB033C2" w:rsidP="2A1646D5" w:rsidRDefault="6AB033C2" w14:paraId="2793B508" w14:textId="04CE41B7">
      <w:pPr>
        <w:spacing w:afterAutospacing="1"/>
        <w:rPr>
          <w:rFonts w:eastAsia="Calibri" w:cs="Arial"/>
          <w:color w:val="FF0000"/>
          <w:szCs w:val="24"/>
          <w:highlight w:val="yellow"/>
        </w:rPr>
      </w:pPr>
    </w:p>
    <w:p w:rsidR="00590EB4" w:rsidP="00590EB4" w:rsidRDefault="00590EB4" w14:paraId="7F380508" w14:textId="77777777">
      <w:pPr>
        <w:outlineLvl w:val="0"/>
        <w:rPr>
          <w:b/>
        </w:rPr>
      </w:pPr>
      <w:r>
        <w:rPr>
          <w:b/>
        </w:rPr>
        <w:t>1.</w:t>
      </w:r>
      <w:r>
        <w:rPr>
          <w:b/>
        </w:rPr>
        <w:tab/>
      </w:r>
      <w:r>
        <w:rPr>
          <w:b/>
          <w:u w:val="single"/>
        </w:rPr>
        <w:t>Identification of the Information Collection</w:t>
      </w:r>
    </w:p>
    <w:p w:rsidR="00590EB4" w:rsidP="00590EB4" w:rsidRDefault="00590EB4" w14:paraId="2325FD98" w14:textId="77777777">
      <w:pPr>
        <w:rPr>
          <w:b/>
        </w:rPr>
      </w:pPr>
    </w:p>
    <w:p w:rsidR="00590EB4" w:rsidP="00590EB4" w:rsidRDefault="00590EB4" w14:paraId="037E6319" w14:textId="77777777">
      <w:pPr>
        <w:ind w:firstLine="720"/>
        <w:outlineLvl w:val="1"/>
        <w:rPr>
          <w:b/>
        </w:rPr>
      </w:pPr>
      <w:r>
        <w:rPr>
          <w:b/>
        </w:rPr>
        <w:t>1(a)</w:t>
      </w:r>
      <w:r>
        <w:rPr>
          <w:b/>
        </w:rPr>
        <w:tab/>
        <w:t>Title of the Information Collection</w:t>
      </w:r>
    </w:p>
    <w:p w:rsidR="00590EB4" w:rsidP="00590EB4" w:rsidRDefault="00590EB4" w14:paraId="22AC765F" w14:textId="77777777">
      <w:pPr>
        <w:ind w:firstLine="720"/>
      </w:pPr>
    </w:p>
    <w:p w:rsidR="00590EB4" w:rsidP="00590EB4" w:rsidRDefault="007D7B75" w14:paraId="4D45EE81" w14:textId="5B00F76E">
      <w:pPr>
        <w:ind w:firstLine="720"/>
      </w:pPr>
      <w:r>
        <w:t xml:space="preserve">Renewable Fuel Standard (RFS) Program: Alternative </w:t>
      </w:r>
      <w:r w:rsidR="003B0AF1">
        <w:t xml:space="preserve">RIN Retirement </w:t>
      </w:r>
      <w:r>
        <w:t>Schedule for Small Refineries</w:t>
      </w:r>
      <w:r w:rsidR="00306CDD">
        <w:t xml:space="preserve">, </w:t>
      </w:r>
      <w:r w:rsidR="00590EB4">
        <w:t>EPA ICR No.</w:t>
      </w:r>
      <w:r w:rsidR="004B60D7">
        <w:t xml:space="preserve"> </w:t>
      </w:r>
      <w:r w:rsidR="00590EB4">
        <w:t>2718</w:t>
      </w:r>
      <w:r w:rsidRPr="15B8A513" w:rsidR="00590EB4">
        <w:rPr>
          <w:rFonts w:cs="Times New Roman"/>
          <w:color w:val="000000" w:themeColor="text1"/>
        </w:rPr>
        <w:t>.0</w:t>
      </w:r>
      <w:r w:rsidRPr="15B8A513">
        <w:rPr>
          <w:rFonts w:cs="Times New Roman"/>
          <w:color w:val="000000" w:themeColor="text1"/>
        </w:rPr>
        <w:t>1</w:t>
      </w:r>
      <w:r w:rsidR="00590EB4">
        <w:t>, OMB Control Number 2060-NEW.</w:t>
      </w:r>
    </w:p>
    <w:p w:rsidR="00590EB4" w:rsidP="00590EB4" w:rsidRDefault="00590EB4" w14:paraId="0EDBBC75" w14:textId="77777777">
      <w:pPr>
        <w:ind w:firstLine="720"/>
      </w:pPr>
      <w:r>
        <w:t xml:space="preserve"> </w:t>
      </w:r>
    </w:p>
    <w:p w:rsidR="2A1646D5" w:rsidP="004772C5" w:rsidRDefault="00590EB4" w14:paraId="79D6A582" w14:textId="54A961CD">
      <w:pPr>
        <w:spacing w:after="100" w:afterAutospacing="1"/>
        <w:ind w:firstLine="720"/>
        <w:rPr>
          <w:rFonts w:eastAsia="Calibri" w:cs="Arial"/>
          <w:b/>
          <w:bCs/>
          <w:szCs w:val="24"/>
        </w:rPr>
      </w:pPr>
      <w:r w:rsidRPr="2A1646D5">
        <w:rPr>
          <w:b/>
          <w:bCs/>
        </w:rPr>
        <w:t>1(b)</w:t>
      </w:r>
      <w:r>
        <w:tab/>
      </w:r>
      <w:r w:rsidRPr="2A1646D5">
        <w:rPr>
          <w:b/>
          <w:bCs/>
        </w:rPr>
        <w:t>Short characterization:</w:t>
      </w:r>
      <w:r w:rsidRPr="2A1646D5" w:rsidR="00475142">
        <w:rPr>
          <w:b/>
          <w:bCs/>
        </w:rPr>
        <w:t xml:space="preserve"> </w:t>
      </w:r>
    </w:p>
    <w:p w:rsidR="007C207D" w:rsidP="15B8A513" w:rsidRDefault="006C74BB" w14:paraId="3D5BB481" w14:textId="71DD4617">
      <w:pPr>
        <w:tabs>
          <w:tab w:val="left" w:pos="6840"/>
        </w:tabs>
        <w:spacing w:after="100" w:afterAutospacing="1"/>
        <w:ind w:firstLine="720"/>
      </w:pPr>
      <w:r>
        <w:t xml:space="preserve">This </w:t>
      </w:r>
      <w:r w:rsidR="00F44157">
        <w:t xml:space="preserve">ICR </w:t>
      </w:r>
      <w:r w:rsidR="00381314">
        <w:t xml:space="preserve">covers a notification </w:t>
      </w:r>
      <w:r w:rsidR="007C207D">
        <w:t xml:space="preserve">and associated recordkeeping </w:t>
      </w:r>
      <w:r w:rsidR="00381314">
        <w:t>provision</w:t>
      </w:r>
      <w:r w:rsidR="007C207D">
        <w:t>s</w:t>
      </w:r>
      <w:r w:rsidR="00381314">
        <w:t xml:space="preserve"> in a proposed rule for </w:t>
      </w:r>
      <w:r w:rsidR="007C207D">
        <w:t>an</w:t>
      </w:r>
      <w:r w:rsidR="0007150C">
        <w:t xml:space="preserve"> alternative </w:t>
      </w:r>
      <w:r w:rsidRPr="15B8A513" w:rsidR="00516B73">
        <w:rPr>
          <w:rFonts w:cs="Times New Roman"/>
        </w:rPr>
        <w:t>renewable identification number (</w:t>
      </w:r>
      <w:r w:rsidR="00204319">
        <w:t>RIN</w:t>
      </w:r>
      <w:r w:rsidR="00516B73">
        <w:t>)</w:t>
      </w:r>
      <w:r w:rsidR="00204319">
        <w:t xml:space="preserve"> retirement </w:t>
      </w:r>
      <w:r w:rsidR="0007150C">
        <w:t xml:space="preserve">schedule for </w:t>
      </w:r>
      <w:r w:rsidR="007C207D">
        <w:t xml:space="preserve">obligated parties that own/operate </w:t>
      </w:r>
      <w:r w:rsidR="0007150C">
        <w:t xml:space="preserve">refineries </w:t>
      </w:r>
      <w:r w:rsidR="007C207D">
        <w:t>that meet the definition of a small refinery under 40 CFR 80.1441</w:t>
      </w:r>
      <w:r w:rsidRPr="15B8A513" w:rsidR="007C207D">
        <w:rPr>
          <w:rFonts w:cs="Times New Roman"/>
        </w:rPr>
        <w:t xml:space="preserve">(e)(2)(iii) (“small refineries”) </w:t>
      </w:r>
      <w:r w:rsidR="0007150C">
        <w:t xml:space="preserve">under the RFS program for the 2020 compliance year. </w:t>
      </w:r>
      <w:r w:rsidR="00381314">
        <w:t xml:space="preserve">There </w:t>
      </w:r>
      <w:r w:rsidR="00381314">
        <w:lastRenderedPageBreak/>
        <w:t xml:space="preserve">are no other information collections proposed with this action. </w:t>
      </w:r>
    </w:p>
    <w:p w:rsidR="004772C5" w:rsidP="15B8A513" w:rsidRDefault="007947A6" w14:paraId="7B33F383" w14:textId="35B96BAE">
      <w:pPr>
        <w:tabs>
          <w:tab w:val="left" w:pos="6840"/>
        </w:tabs>
        <w:spacing w:after="100" w:afterAutospacing="1"/>
        <w:ind w:firstLine="720"/>
      </w:pPr>
      <w:r w:rsidRPr="15B8A513">
        <w:rPr>
          <w:rFonts w:cs="Times New Roman"/>
        </w:rPr>
        <w:t xml:space="preserve">The Environmental Protection Agency (EPA) is proposing an alternative RIN retirement schedule for small refineries under the RFS program for the 2020 compliance year. To provide small refineries with more time to comply with their 2020 RFS obligations (including any RIN deficits from 2019 carried forward into the 2020 compliance year), EPA is proposing a quarterly RIN retirement schedule by which a small refinery must comply with certain percentages of its 2020 RFS obligations. EPA is proposing this action because small refineries need more time to plan for compliance with their RFS obligations given EPA’s delay in deciding small refinery exemption (SRE) petitions and setting the associated compliance deadlines. </w:t>
      </w:r>
      <w:r w:rsidR="005172F8">
        <w:t xml:space="preserve">The information to be collected is necessary to implement the proposed alternative </w:t>
      </w:r>
      <w:r>
        <w:t xml:space="preserve">RIN retirement </w:t>
      </w:r>
      <w:r w:rsidR="005172F8">
        <w:t xml:space="preserve">schedule for small refineries. As part of this proposal, a small refinery would submit a notification to EPA indicating that the small refinery </w:t>
      </w:r>
      <w:r w:rsidR="000E42FE">
        <w:t xml:space="preserve">intends to </w:t>
      </w:r>
      <w:r w:rsidR="005172F8">
        <w:t xml:space="preserve">use the alternative </w:t>
      </w:r>
      <w:r w:rsidR="000E42FE">
        <w:t>RIN retirement</w:t>
      </w:r>
      <w:r w:rsidR="005172F8">
        <w:t xml:space="preserve"> schedule and maintain records related to the determination and </w:t>
      </w:r>
      <w:r w:rsidR="005172F8">
        <w:lastRenderedPageBreak/>
        <w:t xml:space="preserve">retirement of RINs under the alternative </w:t>
      </w:r>
      <w:r w:rsidR="000F7E17">
        <w:t xml:space="preserve">RIN retirement </w:t>
      </w:r>
      <w:r w:rsidR="005172F8">
        <w:t>schedule.</w:t>
      </w:r>
    </w:p>
    <w:p w:rsidR="00717F40" w:rsidP="15B8A513" w:rsidRDefault="00E23CE9" w14:paraId="3D74971A" w14:textId="2FC37F75">
      <w:pPr>
        <w:ind w:firstLine="720"/>
      </w:pPr>
      <w:r>
        <w:t>T</w:t>
      </w:r>
      <w:r w:rsidR="00717F40">
        <w:t xml:space="preserve">his information collection request is related to </w:t>
      </w:r>
      <w:r>
        <w:t xml:space="preserve">the following </w:t>
      </w:r>
      <w:r w:rsidR="00717F40">
        <w:t>approved information collection requests for the RFS program</w:t>
      </w:r>
      <w:r>
        <w:t>:</w:t>
      </w:r>
      <w:r w:rsidR="00717F40">
        <w:t xml:space="preserve"> </w:t>
      </w:r>
      <w:r w:rsidR="001A358F">
        <w:t>2060-0723 (expiring</w:t>
      </w:r>
      <w:r w:rsidR="00954D7D">
        <w:t xml:space="preserve"> 11/30/2022)</w:t>
      </w:r>
      <w:r w:rsidR="0069541B">
        <w:t xml:space="preserve">, </w:t>
      </w:r>
      <w:r w:rsidR="00954D7D">
        <w:t>2060-0725 (expiring 08/31/2022)</w:t>
      </w:r>
      <w:r w:rsidR="0069541B">
        <w:t xml:space="preserve"> and 2060-0728 (expiring </w:t>
      </w:r>
      <w:r w:rsidR="00C25114">
        <w:t>12/31/2023)</w:t>
      </w:r>
      <w:r w:rsidR="00954D7D">
        <w:t xml:space="preserve">. </w:t>
      </w:r>
      <w:r w:rsidR="00A27845">
        <w:t xml:space="preserve">EPA recently published a Federal Register notice on </w:t>
      </w:r>
      <w:r w:rsidR="009110EF">
        <w:t xml:space="preserve">February 11, 2022 </w:t>
      </w:r>
      <w:r w:rsidR="00955CCA">
        <w:t xml:space="preserve">(87 FR 8013) </w:t>
      </w:r>
      <w:r w:rsidR="00A27845">
        <w:t>to renew these</w:t>
      </w:r>
      <w:r w:rsidR="001F5D37">
        <w:t xml:space="preserve"> existing</w:t>
      </w:r>
      <w:r w:rsidR="00A27845">
        <w:t xml:space="preserve"> collections</w:t>
      </w:r>
      <w:r w:rsidR="001F5D37">
        <w:t xml:space="preserve"> together under the single control number of 2060-0725</w:t>
      </w:r>
      <w:r w:rsidR="001534D2">
        <w:t xml:space="preserve">. </w:t>
      </w:r>
      <w:r w:rsidR="00885438">
        <w:t xml:space="preserve">It </w:t>
      </w:r>
      <w:r w:rsidR="002C4DA7">
        <w:t>may be</w:t>
      </w:r>
      <w:r w:rsidR="00885438">
        <w:t xml:space="preserve"> helpful </w:t>
      </w:r>
      <w:r w:rsidR="002C4DA7">
        <w:t xml:space="preserve">for interested parties </w:t>
      </w:r>
      <w:r w:rsidR="00885438">
        <w:t xml:space="preserve">to look at these </w:t>
      </w:r>
      <w:r w:rsidR="000A24EC">
        <w:t xml:space="preserve">existing </w:t>
      </w:r>
      <w:r w:rsidR="00885438">
        <w:t xml:space="preserve">ICRs, </w:t>
      </w:r>
      <w:r w:rsidR="001534D2">
        <w:t xml:space="preserve">and the referenced notice, </w:t>
      </w:r>
      <w:r w:rsidR="00885438">
        <w:t>since</w:t>
      </w:r>
      <w:r w:rsidR="00D23201">
        <w:t xml:space="preserve"> small refine</w:t>
      </w:r>
      <w:r w:rsidR="00DF7C70">
        <w:t>rie</w:t>
      </w:r>
      <w:r w:rsidR="00D23201">
        <w:t xml:space="preserve">s </w:t>
      </w:r>
      <w:r w:rsidR="00885438">
        <w:t xml:space="preserve">are existing respondents </w:t>
      </w:r>
      <w:r w:rsidR="00C806BB">
        <w:t xml:space="preserve">(obligated parties) </w:t>
      </w:r>
      <w:r w:rsidR="00885438">
        <w:t xml:space="preserve">under these collections and have certain </w:t>
      </w:r>
      <w:r w:rsidR="002C4DA7">
        <w:t xml:space="preserve">existing </w:t>
      </w:r>
      <w:r w:rsidR="00885438">
        <w:t xml:space="preserve">recordkeeping and reporting items described in each of these ICRs. </w:t>
      </w:r>
      <w:r w:rsidR="00EC7B5B">
        <w:t xml:space="preserve">The </w:t>
      </w:r>
      <w:r w:rsidR="00527B48">
        <w:t>existing</w:t>
      </w:r>
      <w:r w:rsidR="00717F40">
        <w:t xml:space="preserve"> information collection requests are available at</w:t>
      </w:r>
      <w:r w:rsidR="00F63B15">
        <w:t xml:space="preserve"> </w:t>
      </w:r>
      <w:r w:rsidR="001377BA">
        <w:t>the OMB Paperwork Reduction Act page (</w:t>
      </w:r>
      <w:hyperlink r:id="rId12">
        <w:r w:rsidRPr="15B8A513" w:rsidR="00EC7B5B">
          <w:rPr>
            <w:rStyle w:val="Hyperlink"/>
          </w:rPr>
          <w:t>https://www.reginfo.gov/public/do/PRAMain</w:t>
        </w:r>
      </w:hyperlink>
      <w:r w:rsidR="001377BA">
        <w:t>)</w:t>
      </w:r>
      <w:r w:rsidR="00EC7B5B">
        <w:t xml:space="preserve"> and are searchable by their OMB control numbers (e.g., 2060-0</w:t>
      </w:r>
      <w:r w:rsidR="00257840">
        <w:t>725)</w:t>
      </w:r>
      <w:r w:rsidR="00717F40">
        <w:t xml:space="preserve">. </w:t>
      </w:r>
    </w:p>
    <w:p w:rsidR="00DC077E" w:rsidP="009F129F" w:rsidRDefault="00DC077E" w14:paraId="7CC6BA6A" w14:textId="77777777">
      <w:pPr>
        <w:spacing w:after="100" w:afterAutospacing="1"/>
        <w:ind w:firstLine="720"/>
      </w:pPr>
    </w:p>
    <w:p w:rsidR="003166C3" w:rsidP="003166C3" w:rsidRDefault="003166C3" w14:paraId="61101129" w14:textId="77777777">
      <w:pPr>
        <w:pStyle w:val="Standard"/>
        <w:outlineLvl w:val="0"/>
        <w:rPr>
          <w:b/>
          <w:u w:val="single"/>
        </w:rPr>
      </w:pPr>
      <w:r>
        <w:rPr>
          <w:b/>
        </w:rPr>
        <w:t>2.</w:t>
      </w:r>
      <w:r>
        <w:rPr>
          <w:b/>
        </w:rPr>
        <w:tab/>
      </w:r>
      <w:r>
        <w:rPr>
          <w:b/>
          <w:u w:val="single"/>
        </w:rPr>
        <w:t>Need For, and Use of, the Collection</w:t>
      </w:r>
    </w:p>
    <w:p w:rsidR="003166C3" w:rsidP="003166C3" w:rsidRDefault="003166C3" w14:paraId="406F2F55" w14:textId="77777777">
      <w:pPr>
        <w:pStyle w:val="Standard"/>
        <w:ind w:firstLine="720"/>
        <w:rPr>
          <w:b/>
          <w:u w:val="single"/>
        </w:rPr>
      </w:pPr>
    </w:p>
    <w:p w:rsidR="003166C3" w:rsidP="003166C3" w:rsidRDefault="003166C3" w14:paraId="047796C4" w14:textId="77777777">
      <w:pPr>
        <w:pStyle w:val="Standard"/>
        <w:ind w:firstLine="720"/>
        <w:outlineLvl w:val="1"/>
        <w:rPr>
          <w:b/>
        </w:rPr>
      </w:pPr>
      <w:r>
        <w:rPr>
          <w:b/>
        </w:rPr>
        <w:lastRenderedPageBreak/>
        <w:t>2(a)</w:t>
      </w:r>
      <w:r>
        <w:rPr>
          <w:b/>
        </w:rPr>
        <w:tab/>
        <w:t>Authority for the Collection</w:t>
      </w:r>
    </w:p>
    <w:p w:rsidR="003166C3" w:rsidP="003166C3" w:rsidRDefault="003166C3" w14:paraId="7ADF8A3B" w14:textId="77777777">
      <w:pPr>
        <w:pStyle w:val="Standard"/>
        <w:ind w:left="720"/>
      </w:pPr>
    </w:p>
    <w:p w:rsidR="003166C3" w:rsidP="003166C3" w:rsidRDefault="003166C3" w14:paraId="6CC70001" w14:textId="51071238">
      <w:pPr>
        <w:pStyle w:val="Standard"/>
        <w:ind w:firstLine="720"/>
      </w:pPr>
      <w:r>
        <w:t xml:space="preserve">Sections 114 and 208 of the </w:t>
      </w:r>
      <w:r w:rsidR="00475142">
        <w:t>Clean Air Act (</w:t>
      </w:r>
      <w:r>
        <w:t>CAA</w:t>
      </w:r>
      <w:r w:rsidR="00475142">
        <w:t>)</w:t>
      </w:r>
      <w:r>
        <w:t>, 42 U.S.C. §§ 7414 and 7542, authorize EPA to require recordkeeping and reporting regarding enforcement of the provisions of Title II of the CAA.</w:t>
      </w:r>
    </w:p>
    <w:p w:rsidR="003166C3" w:rsidP="003166C3" w:rsidRDefault="003166C3" w14:paraId="295808E5" w14:textId="77777777">
      <w:pPr>
        <w:pStyle w:val="Standard"/>
        <w:ind w:firstLine="720"/>
      </w:pPr>
    </w:p>
    <w:p w:rsidR="003166C3" w:rsidP="003166C3" w:rsidRDefault="003166C3" w14:paraId="315A0DA3" w14:textId="77777777">
      <w:pPr>
        <w:pStyle w:val="Standard"/>
        <w:ind w:firstLine="720"/>
        <w:outlineLvl w:val="1"/>
        <w:rPr>
          <w:b/>
        </w:rPr>
      </w:pPr>
      <w:r>
        <w:rPr>
          <w:b/>
        </w:rPr>
        <w:t>2(b)</w:t>
      </w:r>
      <w:r>
        <w:rPr>
          <w:b/>
        </w:rPr>
        <w:tab/>
        <w:t>Practical Utility/Uses of the Data</w:t>
      </w:r>
    </w:p>
    <w:p w:rsidR="003166C3" w:rsidP="003166C3" w:rsidRDefault="003166C3" w14:paraId="66C9F4E3" w14:textId="77777777">
      <w:pPr>
        <w:pStyle w:val="Standard"/>
        <w:ind w:firstLine="720"/>
      </w:pPr>
    </w:p>
    <w:p w:rsidR="003166C3" w:rsidP="003166C3" w:rsidRDefault="003166C3" w14:paraId="6CC49E06" w14:textId="777521EC">
      <w:pPr>
        <w:pStyle w:val="Standard"/>
        <w:ind w:firstLine="720"/>
      </w:pPr>
      <w:bookmarkStart w:name="_Hlk73611395" w:id="0"/>
      <w:r>
        <w:t xml:space="preserve">The recordkeeping and reporting requirements of this regulation </w:t>
      </w:r>
      <w:r w:rsidR="008469DE">
        <w:t xml:space="preserve">are necessary for </w:t>
      </w:r>
      <w:r>
        <w:t xml:space="preserve">EPA to </w:t>
      </w:r>
      <w:r w:rsidR="00190B91">
        <w:t>allow</w:t>
      </w:r>
      <w:r w:rsidR="00D310F9">
        <w:t xml:space="preserve"> small refiner</w:t>
      </w:r>
      <w:r w:rsidR="00037B87">
        <w:t>ie</w:t>
      </w:r>
      <w:r w:rsidR="00D310F9">
        <w:t xml:space="preserve">s </w:t>
      </w:r>
      <w:r w:rsidR="00190B91">
        <w:t>to use the alternative RIN retirement schedule</w:t>
      </w:r>
      <w:r w:rsidR="00D310F9">
        <w:t xml:space="preserve"> </w:t>
      </w:r>
      <w:r w:rsidR="00FC7162">
        <w:t xml:space="preserve">under </w:t>
      </w:r>
      <w:r>
        <w:t>the</w:t>
      </w:r>
      <w:r w:rsidR="00037B87">
        <w:t xml:space="preserve"> proposed rule</w:t>
      </w:r>
      <w:r>
        <w:t>.</w:t>
      </w:r>
      <w:r w:rsidR="00E11823">
        <w:t xml:space="preserve"> </w:t>
      </w:r>
      <w:r w:rsidR="00C806BB">
        <w:t>The only information to be collected</w:t>
      </w:r>
      <w:r w:rsidR="00812C12">
        <w:t xml:space="preserve"> and retained</w:t>
      </w:r>
      <w:r w:rsidR="00C806BB">
        <w:t xml:space="preserve"> is a notification letter</w:t>
      </w:r>
      <w:r w:rsidR="00EA4D80">
        <w:t xml:space="preserve"> and records associated with determining the number of RINs </w:t>
      </w:r>
      <w:r w:rsidR="004B72B8">
        <w:t>that a small refinery</w:t>
      </w:r>
      <w:r w:rsidR="001870D6">
        <w:t xml:space="preserve"> would</w:t>
      </w:r>
      <w:r w:rsidR="004B72B8">
        <w:t xml:space="preserve"> </w:t>
      </w:r>
      <w:r w:rsidR="00EA4D80">
        <w:t xml:space="preserve">need to retire </w:t>
      </w:r>
      <w:r w:rsidR="009D19C2">
        <w:t xml:space="preserve">under the alternative RIN retirement schedule </w:t>
      </w:r>
      <w:r w:rsidR="004B72B8">
        <w:t xml:space="preserve">for the 2020 compliance </w:t>
      </w:r>
      <w:r w:rsidR="009D19C2">
        <w:t>year</w:t>
      </w:r>
      <w:r w:rsidR="00037B87">
        <w:t xml:space="preserve">. </w:t>
      </w:r>
    </w:p>
    <w:bookmarkEnd w:id="0"/>
    <w:p w:rsidR="003166C3" w:rsidP="003166C3" w:rsidRDefault="003166C3" w14:paraId="4DEF4C28" w14:textId="77777777">
      <w:pPr>
        <w:ind w:firstLine="720"/>
      </w:pPr>
    </w:p>
    <w:p w:rsidR="003166C3" w:rsidP="003166C3" w:rsidRDefault="003166C3" w14:paraId="70497DA9" w14:textId="77777777">
      <w:pPr>
        <w:pStyle w:val="Standard"/>
        <w:outlineLvl w:val="0"/>
        <w:rPr>
          <w:b/>
        </w:rPr>
      </w:pPr>
      <w:r>
        <w:rPr>
          <w:b/>
        </w:rPr>
        <w:t>3.</w:t>
      </w:r>
      <w:r>
        <w:rPr>
          <w:b/>
        </w:rPr>
        <w:tab/>
      </w:r>
      <w:r>
        <w:rPr>
          <w:b/>
          <w:u w:val="single"/>
        </w:rPr>
        <w:t>Non-duplication, Consultation, and other Collection Criteria</w:t>
      </w:r>
    </w:p>
    <w:p w:rsidR="003166C3" w:rsidP="003166C3" w:rsidRDefault="003166C3" w14:paraId="4E66A226" w14:textId="77777777">
      <w:pPr>
        <w:pStyle w:val="Standard"/>
        <w:ind w:firstLine="720"/>
        <w:rPr>
          <w:b/>
          <w:u w:val="single"/>
        </w:rPr>
      </w:pPr>
    </w:p>
    <w:p w:rsidR="003166C3" w:rsidP="003166C3" w:rsidRDefault="003166C3" w14:paraId="5267590E" w14:textId="77777777">
      <w:pPr>
        <w:pStyle w:val="Standard"/>
        <w:ind w:firstLine="720"/>
        <w:outlineLvl w:val="1"/>
        <w:rPr>
          <w:b/>
        </w:rPr>
      </w:pPr>
      <w:r>
        <w:rPr>
          <w:b/>
        </w:rPr>
        <w:t>3(a)</w:t>
      </w:r>
      <w:r>
        <w:rPr>
          <w:b/>
        </w:rPr>
        <w:tab/>
      </w:r>
      <w:proofErr w:type="gramStart"/>
      <w:r>
        <w:rPr>
          <w:b/>
        </w:rPr>
        <w:t>Non-duplication</w:t>
      </w:r>
      <w:proofErr w:type="gramEnd"/>
    </w:p>
    <w:p w:rsidR="003166C3" w:rsidP="003166C3" w:rsidRDefault="003166C3" w14:paraId="61D05257" w14:textId="77777777">
      <w:pPr>
        <w:pStyle w:val="Standard"/>
        <w:ind w:firstLine="720"/>
      </w:pPr>
    </w:p>
    <w:p w:rsidR="003166C3" w:rsidP="003166C3" w:rsidRDefault="003166C3" w14:paraId="0FF3AECC" w14:textId="2A471848">
      <w:pPr>
        <w:pStyle w:val="Standard"/>
        <w:ind w:firstLine="720"/>
      </w:pPr>
      <w:r>
        <w:lastRenderedPageBreak/>
        <w:t>Efforts have been made to eliminate duplication in this information collection</w:t>
      </w:r>
      <w:r w:rsidR="00964657">
        <w:t>,</w:t>
      </w:r>
      <w:r w:rsidR="001D76AF">
        <w:t xml:space="preserve"> and </w:t>
      </w:r>
      <w:r w:rsidR="00836953">
        <w:t xml:space="preserve">EPA is only requesting information necessary </w:t>
      </w:r>
      <w:r w:rsidR="005243B2">
        <w:t>to</w:t>
      </w:r>
      <w:r w:rsidR="00836953">
        <w:t xml:space="preserve"> implement</w:t>
      </w:r>
      <w:r w:rsidR="001F6156">
        <w:t xml:space="preserve"> a proposed notification option</w:t>
      </w:r>
      <w:r w:rsidR="00FC7162">
        <w:t>.</w:t>
      </w:r>
      <w:r w:rsidR="00836953">
        <w:t xml:space="preserve"> We are not </w:t>
      </w:r>
      <w:r w:rsidR="00F34AB3">
        <w:t xml:space="preserve">seeking to collect </w:t>
      </w:r>
      <w:r w:rsidR="00836953">
        <w:t>information readily available to us in any other manner.</w:t>
      </w:r>
      <w:r w:rsidR="00FC7162">
        <w:t xml:space="preserve"> </w:t>
      </w:r>
      <w:r w:rsidR="00F337D8">
        <w:t>Some of t</w:t>
      </w:r>
      <w:r w:rsidR="003167D6">
        <w:t xml:space="preserve">he information </w:t>
      </w:r>
      <w:r w:rsidR="00AE07C6">
        <w:t xml:space="preserve">contained in records </w:t>
      </w:r>
      <w:r w:rsidR="001F6156">
        <w:t xml:space="preserve">may be </w:t>
      </w:r>
      <w:r w:rsidR="003167D6">
        <w:t xml:space="preserve">claimed as confidential business information (CBI) by the </w:t>
      </w:r>
      <w:r w:rsidR="00AE07C6">
        <w:t xml:space="preserve">respondent </w:t>
      </w:r>
      <w:r w:rsidR="00E603A5">
        <w:t xml:space="preserve">and, as such, is not </w:t>
      </w:r>
      <w:r w:rsidR="007D3A7D">
        <w:t xml:space="preserve">readily or </w:t>
      </w:r>
      <w:r w:rsidR="00E603A5">
        <w:t>publicly available</w:t>
      </w:r>
      <w:r w:rsidR="007D3A7D">
        <w:t xml:space="preserve">. </w:t>
      </w:r>
    </w:p>
    <w:p w:rsidR="003166C3" w:rsidP="003166C3" w:rsidRDefault="003166C3" w14:paraId="12857DC3" w14:textId="77777777">
      <w:pPr>
        <w:pStyle w:val="Standard"/>
        <w:ind w:firstLine="720"/>
      </w:pPr>
    </w:p>
    <w:p w:rsidR="003166C3" w:rsidP="003166C3" w:rsidRDefault="003166C3" w14:paraId="2636576A" w14:textId="77777777">
      <w:pPr>
        <w:pStyle w:val="Standard"/>
        <w:ind w:firstLine="720"/>
        <w:outlineLvl w:val="1"/>
        <w:rPr>
          <w:b/>
        </w:rPr>
      </w:pPr>
      <w:r>
        <w:rPr>
          <w:b/>
        </w:rPr>
        <w:t>3(b)</w:t>
      </w:r>
      <w:r>
        <w:rPr>
          <w:b/>
        </w:rPr>
        <w:tab/>
        <w:t>Public Notice</w:t>
      </w:r>
    </w:p>
    <w:p w:rsidR="003166C3" w:rsidP="003166C3" w:rsidRDefault="003166C3" w14:paraId="0DC4527B" w14:textId="77777777">
      <w:pPr>
        <w:pStyle w:val="Standard"/>
        <w:ind w:firstLine="720"/>
      </w:pPr>
    </w:p>
    <w:p w:rsidR="003166C3" w:rsidP="003166C3" w:rsidRDefault="00A2620E" w14:paraId="3F9CEB69" w14:textId="5C674B48">
      <w:pPr>
        <w:ind w:firstLine="720"/>
      </w:pPr>
      <w:r>
        <w:rPr>
          <w:color w:val="000000"/>
        </w:rPr>
        <w:t xml:space="preserve">EPA will docket this supporting statement </w:t>
      </w:r>
      <w:r w:rsidR="00812C12">
        <w:rPr>
          <w:color w:val="000000"/>
        </w:rPr>
        <w:t xml:space="preserve">and the estimates </w:t>
      </w:r>
      <w:r>
        <w:rPr>
          <w:color w:val="000000"/>
        </w:rPr>
        <w:t>with the proposed rule and will seek comment upon it</w:t>
      </w:r>
      <w:r w:rsidR="00321EC9">
        <w:rPr>
          <w:color w:val="000000"/>
        </w:rPr>
        <w:t>.</w:t>
      </w:r>
    </w:p>
    <w:p w:rsidR="003166C3" w:rsidP="003166C3" w:rsidRDefault="003166C3" w14:paraId="01FFF3DD" w14:textId="77777777">
      <w:pPr>
        <w:pStyle w:val="Standard"/>
        <w:ind w:firstLine="720"/>
      </w:pPr>
    </w:p>
    <w:p w:rsidR="003166C3" w:rsidP="003166C3" w:rsidRDefault="003166C3" w14:paraId="533B1B28" w14:textId="77777777">
      <w:pPr>
        <w:pStyle w:val="Standard"/>
        <w:ind w:firstLine="720"/>
        <w:outlineLvl w:val="1"/>
        <w:rPr>
          <w:b/>
        </w:rPr>
      </w:pPr>
      <w:r>
        <w:rPr>
          <w:b/>
        </w:rPr>
        <w:t>3(c)</w:t>
      </w:r>
      <w:r>
        <w:rPr>
          <w:b/>
        </w:rPr>
        <w:tab/>
        <w:t>Consultations</w:t>
      </w:r>
    </w:p>
    <w:p w:rsidR="003166C3" w:rsidP="003166C3" w:rsidRDefault="003166C3" w14:paraId="1D8DBE61" w14:textId="77777777">
      <w:pPr>
        <w:pStyle w:val="Standard"/>
        <w:ind w:firstLine="720"/>
      </w:pPr>
    </w:p>
    <w:p w:rsidR="003166C3" w:rsidP="003166C3" w:rsidRDefault="003166C3" w14:paraId="1B628E32" w14:textId="5E9D820B">
      <w:pPr>
        <w:pStyle w:val="Standard"/>
        <w:ind w:firstLine="720"/>
      </w:pPr>
      <w:r>
        <w:t xml:space="preserve">We have drawn upon our experience with RFS implementation and with similar fuels regulations to develop the estimates in this supporting statement. </w:t>
      </w:r>
      <w:r w:rsidR="00B515ED">
        <w:t xml:space="preserve">We have assumed that 13 </w:t>
      </w:r>
      <w:r w:rsidR="00AC2660">
        <w:t>small refineries may submit notifications</w:t>
      </w:r>
      <w:r w:rsidR="005D651A">
        <w:t xml:space="preserve">, and these 13 would keep records. </w:t>
      </w:r>
      <w:r w:rsidR="33309203">
        <w:t xml:space="preserve">We </w:t>
      </w:r>
      <w:r w:rsidR="33309203">
        <w:lastRenderedPageBreak/>
        <w:t xml:space="preserve">encourage interested parties and those who may be respondents to this ICR to provide </w:t>
      </w:r>
      <w:r w:rsidR="32E79EB1">
        <w:t>comments</w:t>
      </w:r>
      <w:r w:rsidR="33309203">
        <w:t xml:space="preserve"> on these estimates</w:t>
      </w:r>
      <w:r w:rsidR="00EE016C">
        <w:t xml:space="preserve"> via the </w:t>
      </w:r>
      <w:r w:rsidR="6A0EEB88">
        <w:t xml:space="preserve">docket for the </w:t>
      </w:r>
      <w:r w:rsidR="00EE016C">
        <w:t xml:space="preserve">notice of proposed rulemaking. </w:t>
      </w:r>
    </w:p>
    <w:p w:rsidR="00C26B49" w:rsidP="003166C3" w:rsidRDefault="00C26B49" w14:paraId="28919A5E" w14:textId="77777777">
      <w:pPr>
        <w:pStyle w:val="Standard"/>
        <w:ind w:firstLine="720"/>
      </w:pPr>
    </w:p>
    <w:p w:rsidR="003166C3" w:rsidP="003166C3" w:rsidRDefault="003166C3" w14:paraId="2EF5E324" w14:textId="77777777">
      <w:pPr>
        <w:pStyle w:val="Standard"/>
        <w:ind w:firstLine="720"/>
        <w:outlineLvl w:val="1"/>
        <w:rPr>
          <w:b/>
        </w:rPr>
      </w:pPr>
      <w:r>
        <w:rPr>
          <w:b/>
        </w:rPr>
        <w:t>3(d)</w:t>
      </w:r>
      <w:r>
        <w:rPr>
          <w:b/>
        </w:rPr>
        <w:tab/>
        <w:t>Effects of Less Frequent Data Collection</w:t>
      </w:r>
    </w:p>
    <w:p w:rsidR="003166C3" w:rsidP="003166C3" w:rsidRDefault="003166C3" w14:paraId="2A17A0CA" w14:textId="77777777">
      <w:pPr>
        <w:pStyle w:val="Standard"/>
        <w:ind w:firstLine="720"/>
      </w:pPr>
    </w:p>
    <w:p w:rsidR="003166C3" w:rsidP="003166C3" w:rsidRDefault="006816E7" w14:paraId="67802E83" w14:textId="25A752A0">
      <w:pPr>
        <w:pStyle w:val="Standard"/>
        <w:ind w:firstLine="720"/>
      </w:pPr>
      <w:r>
        <w:t xml:space="preserve">This proposed information collection includes a </w:t>
      </w:r>
      <w:r w:rsidR="001D72F0">
        <w:t xml:space="preserve">one-time </w:t>
      </w:r>
      <w:r>
        <w:t>notification that we only expect to receive from 13 or fewer respondents</w:t>
      </w:r>
      <w:r w:rsidR="00F72A0F">
        <w:t xml:space="preserve"> and</w:t>
      </w:r>
      <w:r w:rsidR="000A2D4D">
        <w:t xml:space="preserve"> a</w:t>
      </w:r>
      <w:r>
        <w:t xml:space="preserve"> one</w:t>
      </w:r>
      <w:r w:rsidR="000A2D4D">
        <w:t>-</w:t>
      </w:r>
      <w:r>
        <w:t>time</w:t>
      </w:r>
      <w:r w:rsidR="005D651A">
        <w:t xml:space="preserve"> </w:t>
      </w:r>
      <w:r w:rsidR="009B75DE">
        <w:t xml:space="preserve">creation and maintenance of </w:t>
      </w:r>
      <w:r w:rsidR="005D651A">
        <w:t>record</w:t>
      </w:r>
      <w:r w:rsidR="009B75DE">
        <w:t>s related to the small refiner</w:t>
      </w:r>
      <w:r w:rsidR="00A23E0C">
        <w:t>y</w:t>
      </w:r>
      <w:r w:rsidR="009B75DE">
        <w:t>’s use of the proposed alternative RIN retirement schedule</w:t>
      </w:r>
      <w:r>
        <w:t xml:space="preserve">. </w:t>
      </w:r>
      <w:r w:rsidR="003166C3">
        <w:t xml:space="preserve">Less frequent collection of data would make it difficult to properly implement the proposed </w:t>
      </w:r>
      <w:r w:rsidR="00C113AA">
        <w:t>alternative RIN retirement schedule</w:t>
      </w:r>
      <w:r w:rsidR="003166C3">
        <w:t>.</w:t>
      </w:r>
    </w:p>
    <w:p w:rsidR="003166C3" w:rsidP="003166C3" w:rsidRDefault="003166C3" w14:paraId="3B853C38" w14:textId="77777777">
      <w:pPr>
        <w:pStyle w:val="Standard"/>
        <w:ind w:firstLine="720"/>
      </w:pPr>
    </w:p>
    <w:p w:rsidR="003166C3" w:rsidP="003166C3" w:rsidRDefault="003166C3" w14:paraId="01640804" w14:textId="77777777">
      <w:pPr>
        <w:pStyle w:val="Standard"/>
        <w:ind w:firstLine="720"/>
        <w:outlineLvl w:val="1"/>
        <w:rPr>
          <w:b/>
        </w:rPr>
      </w:pPr>
      <w:r>
        <w:rPr>
          <w:b/>
        </w:rPr>
        <w:t>3(e)</w:t>
      </w:r>
      <w:r>
        <w:rPr>
          <w:b/>
        </w:rPr>
        <w:tab/>
        <w:t>General Guidelines</w:t>
      </w:r>
    </w:p>
    <w:p w:rsidR="003166C3" w:rsidP="003166C3" w:rsidRDefault="003166C3" w14:paraId="7594227E" w14:textId="77777777">
      <w:pPr>
        <w:pStyle w:val="Standard"/>
        <w:ind w:firstLine="720"/>
      </w:pPr>
    </w:p>
    <w:p w:rsidR="003166C3" w:rsidP="003166C3" w:rsidRDefault="003166C3" w14:paraId="4EFC3FF3" w14:textId="128C63A8">
      <w:pPr>
        <w:ind w:firstLine="720"/>
      </w:pPr>
      <w:r>
        <w:t xml:space="preserve">This information collection activity complies with 5 CFR 1320.6, except respondents </w:t>
      </w:r>
      <w:r w:rsidR="00E33D21">
        <w:t xml:space="preserve">are </w:t>
      </w:r>
      <w:r>
        <w:t xml:space="preserve">required to keep certain records for longer than three years. </w:t>
      </w:r>
      <w:r w:rsidR="006602F8">
        <w:t>Under e</w:t>
      </w:r>
      <w:r w:rsidR="00172C30">
        <w:t xml:space="preserve">xisting 40 CFR part 80 and all existing RFS-related ICRs, parties are required to retain records related to </w:t>
      </w:r>
      <w:r w:rsidR="00172C30">
        <w:lastRenderedPageBreak/>
        <w:t xml:space="preserve">compliance for </w:t>
      </w:r>
      <w:r>
        <w:t xml:space="preserve">five (5) years. Five years is the applicable statute of limitations for other EPA fuels programs. </w:t>
      </w:r>
      <w:r>
        <w:rPr>
          <w:i/>
          <w:iCs/>
        </w:rPr>
        <w:t>See</w:t>
      </w:r>
      <w:r>
        <w:t xml:space="preserve"> 28 U.S.C. 2462. </w:t>
      </w:r>
      <w:r w:rsidR="00F3250E">
        <w:t xml:space="preserve">The </w:t>
      </w:r>
      <w:r>
        <w:t xml:space="preserve">recordkeeping requirements under the requirements </w:t>
      </w:r>
      <w:r w:rsidR="00EA3FE7">
        <w:t xml:space="preserve">of this </w:t>
      </w:r>
      <w:r w:rsidR="00F3250E">
        <w:t xml:space="preserve">proposed </w:t>
      </w:r>
      <w:r w:rsidR="00EA3FE7">
        <w:t xml:space="preserve">rule </w:t>
      </w:r>
      <w:r>
        <w:t xml:space="preserve">should impose </w:t>
      </w:r>
      <w:r w:rsidR="00F3250E">
        <w:t xml:space="preserve">miniscule </w:t>
      </w:r>
      <w:r>
        <w:t xml:space="preserve">additional burden. </w:t>
      </w:r>
    </w:p>
    <w:p w:rsidR="003166C3" w:rsidP="003166C3" w:rsidRDefault="003166C3" w14:paraId="3E2E1C2D" w14:textId="77777777">
      <w:pPr>
        <w:pStyle w:val="Standard"/>
        <w:ind w:firstLine="720"/>
      </w:pPr>
    </w:p>
    <w:p w:rsidR="003166C3" w:rsidP="003166C3" w:rsidRDefault="003166C3" w14:paraId="09FBCE75" w14:textId="77777777">
      <w:pPr>
        <w:pStyle w:val="Standard"/>
        <w:ind w:firstLine="720"/>
        <w:outlineLvl w:val="1"/>
        <w:rPr>
          <w:b/>
        </w:rPr>
      </w:pPr>
      <w:r>
        <w:rPr>
          <w:b/>
        </w:rPr>
        <w:t>3(f)</w:t>
      </w:r>
      <w:r>
        <w:rPr>
          <w:b/>
        </w:rPr>
        <w:tab/>
        <w:t>Confidentiality</w:t>
      </w:r>
    </w:p>
    <w:p w:rsidR="003166C3" w:rsidP="003166C3" w:rsidRDefault="003166C3" w14:paraId="1C2C0565" w14:textId="77777777">
      <w:pPr>
        <w:pStyle w:val="Standard"/>
        <w:ind w:firstLine="720"/>
      </w:pPr>
    </w:p>
    <w:p w:rsidR="003166C3" w:rsidP="003166C3" w:rsidRDefault="003166C3" w14:paraId="5FD7B195" w14:textId="588307AA">
      <w:pPr>
        <w:pStyle w:val="Standard"/>
        <w:ind w:firstLine="720"/>
      </w:pPr>
      <w:r>
        <w:t>We inform respondents that they may assert claims of CBI for information they submit. Any information claimed as confidential would be treated in accordance with 40 CFR part 2</w:t>
      </w:r>
      <w:r w:rsidR="000C1A1C">
        <w:t>, 40 CFR 80.</w:t>
      </w:r>
      <w:r w:rsidR="00107440">
        <w:t xml:space="preserve">11 </w:t>
      </w:r>
      <w:r w:rsidR="00332C93">
        <w:t>and 80.</w:t>
      </w:r>
      <w:r w:rsidR="003A13D5">
        <w:t>1402</w:t>
      </w:r>
      <w:r w:rsidR="005760AF">
        <w:t>,</w:t>
      </w:r>
      <w:r>
        <w:t xml:space="preserve"> and established EPA procedures. Information that is received without a claim of confidentiality may be made available to the public without further notice to the submitter under 40 CFR 2.203.</w:t>
      </w:r>
    </w:p>
    <w:p w:rsidR="003166C3" w:rsidP="003166C3" w:rsidRDefault="003166C3" w14:paraId="70C47C50" w14:textId="77777777">
      <w:pPr>
        <w:ind w:firstLine="720"/>
      </w:pPr>
    </w:p>
    <w:p w:rsidR="003166C3" w:rsidP="003166C3" w:rsidRDefault="003166C3" w14:paraId="3CE20B70" w14:textId="77777777">
      <w:pPr>
        <w:pStyle w:val="Standard"/>
        <w:ind w:firstLine="720"/>
        <w:outlineLvl w:val="1"/>
        <w:rPr>
          <w:b/>
        </w:rPr>
      </w:pPr>
      <w:r>
        <w:rPr>
          <w:b/>
        </w:rPr>
        <w:t>3(g)</w:t>
      </w:r>
      <w:r>
        <w:rPr>
          <w:b/>
        </w:rPr>
        <w:tab/>
        <w:t>Sensitive Information</w:t>
      </w:r>
    </w:p>
    <w:p w:rsidR="003166C3" w:rsidP="003166C3" w:rsidRDefault="003166C3" w14:paraId="46DDA3A0" w14:textId="77777777">
      <w:pPr>
        <w:pStyle w:val="Standard"/>
        <w:ind w:firstLine="720"/>
      </w:pPr>
    </w:p>
    <w:p w:rsidR="003166C3" w:rsidP="003166C3" w:rsidRDefault="003166C3" w14:paraId="3FDB0618" w14:textId="7D918373">
      <w:pPr>
        <w:pStyle w:val="Standard"/>
        <w:ind w:firstLine="720"/>
      </w:pPr>
      <w:r>
        <w:t xml:space="preserve">This information collection does not require submission of any sensitive </w:t>
      </w:r>
      <w:r w:rsidR="000D24E3">
        <w:t xml:space="preserve">or personal </w:t>
      </w:r>
      <w:r>
        <w:t>information (e.g., social security numbers, dates of birth, etc.).</w:t>
      </w:r>
    </w:p>
    <w:p w:rsidR="003166C3" w:rsidP="003166C3" w:rsidRDefault="003166C3" w14:paraId="50859FCF" w14:textId="77777777">
      <w:pPr>
        <w:ind w:firstLine="720"/>
      </w:pPr>
    </w:p>
    <w:p w:rsidR="003166C3" w:rsidP="003166C3" w:rsidRDefault="003166C3" w14:paraId="3150A0EA" w14:textId="77777777">
      <w:pPr>
        <w:pStyle w:val="Standard"/>
        <w:outlineLvl w:val="0"/>
        <w:rPr>
          <w:b/>
          <w:u w:val="single"/>
        </w:rPr>
      </w:pPr>
      <w:r>
        <w:rPr>
          <w:b/>
        </w:rPr>
        <w:lastRenderedPageBreak/>
        <w:t>4.</w:t>
      </w:r>
      <w:r>
        <w:rPr>
          <w:b/>
        </w:rPr>
        <w:tab/>
      </w:r>
      <w:r>
        <w:rPr>
          <w:b/>
          <w:u w:val="single"/>
        </w:rPr>
        <w:t>The Respondents and the Information Requested</w:t>
      </w:r>
    </w:p>
    <w:p w:rsidR="003166C3" w:rsidP="003166C3" w:rsidRDefault="003166C3" w14:paraId="7D3A0D3E" w14:textId="77777777">
      <w:pPr>
        <w:pStyle w:val="Standard"/>
        <w:ind w:firstLine="720"/>
        <w:rPr>
          <w:b/>
        </w:rPr>
      </w:pPr>
    </w:p>
    <w:p w:rsidR="003166C3" w:rsidP="003166C3" w:rsidRDefault="003166C3" w14:paraId="371AF45E" w14:textId="77777777">
      <w:pPr>
        <w:pStyle w:val="Standard"/>
        <w:ind w:firstLine="720"/>
        <w:outlineLvl w:val="1"/>
        <w:rPr>
          <w:b/>
        </w:rPr>
      </w:pPr>
      <w:r>
        <w:rPr>
          <w:b/>
        </w:rPr>
        <w:t>4(a)</w:t>
      </w:r>
      <w:r>
        <w:rPr>
          <w:b/>
        </w:rPr>
        <w:tab/>
        <w:t>Respondents with NAICS/SIC Codes</w:t>
      </w:r>
    </w:p>
    <w:p w:rsidR="003166C3" w:rsidP="003166C3" w:rsidRDefault="003166C3" w14:paraId="201D82E8" w14:textId="77777777">
      <w:pPr>
        <w:pStyle w:val="Standard"/>
        <w:ind w:firstLine="720"/>
      </w:pPr>
    </w:p>
    <w:p w:rsidR="003166C3" w:rsidP="003166C3" w:rsidRDefault="003166C3" w14:paraId="2733C012" w14:textId="71C32403">
      <w:pPr>
        <w:pStyle w:val="Standard"/>
        <w:ind w:firstLine="720"/>
      </w:pPr>
      <w:r>
        <w:t>The respondents to this information collection fall into the following general industry categor</w:t>
      </w:r>
      <w:r w:rsidR="000F1115">
        <w:t>y</w:t>
      </w:r>
      <w:r>
        <w:t>: petroleum refineries (324110/2911)</w:t>
      </w:r>
      <w:r w:rsidR="00086213">
        <w:t>.</w:t>
      </w:r>
      <w:r w:rsidR="00AA2B86">
        <w:t xml:space="preserve"> </w:t>
      </w:r>
    </w:p>
    <w:p w:rsidR="003166C3" w:rsidP="003166C3" w:rsidRDefault="003166C3" w14:paraId="075C3873" w14:textId="77777777">
      <w:pPr>
        <w:pStyle w:val="Standard"/>
        <w:ind w:firstLine="720"/>
      </w:pPr>
    </w:p>
    <w:p w:rsidR="003166C3" w:rsidP="003166C3" w:rsidRDefault="003166C3" w14:paraId="280833EC" w14:textId="77777777">
      <w:pPr>
        <w:pStyle w:val="Standard"/>
        <w:ind w:firstLine="720"/>
      </w:pPr>
    </w:p>
    <w:p w:rsidR="003166C3" w:rsidP="6AB033C2" w:rsidRDefault="003166C3" w14:paraId="5DBCBF79" w14:textId="77777777">
      <w:pPr>
        <w:pStyle w:val="Standard"/>
        <w:ind w:firstLine="720"/>
        <w:outlineLvl w:val="1"/>
        <w:rPr>
          <w:b/>
          <w:bCs/>
        </w:rPr>
      </w:pPr>
      <w:r w:rsidRPr="798239CD">
        <w:rPr>
          <w:b/>
          <w:bCs/>
        </w:rPr>
        <w:t>4(b)</w:t>
      </w:r>
      <w:r>
        <w:tab/>
      </w:r>
      <w:r w:rsidRPr="798239CD">
        <w:rPr>
          <w:b/>
          <w:bCs/>
        </w:rPr>
        <w:t>Information Requested</w:t>
      </w:r>
    </w:p>
    <w:p w:rsidR="798239CD" w:rsidP="7CBD38D5" w:rsidRDefault="798239CD" w14:paraId="73F4CAD7" w14:textId="03E13600"/>
    <w:p w:rsidR="00D17BF4" w:rsidP="7CBD38D5" w:rsidRDefault="00D17BF4" w14:paraId="71E15AC4" w14:textId="5A357891">
      <w:r>
        <w:t xml:space="preserve">The information requested </w:t>
      </w:r>
      <w:r w:rsidR="00A17DE0">
        <w:t>consists of notification letters submitted to EPA by a responsible corporate officer (RCO)</w:t>
      </w:r>
      <w:r w:rsidR="00F45497">
        <w:t xml:space="preserve"> or their delegate; and </w:t>
      </w:r>
      <w:r w:rsidR="00CE6C5D">
        <w:t>records related to the notific</w:t>
      </w:r>
      <w:r w:rsidR="00F553DA">
        <w:t xml:space="preserve">ation and </w:t>
      </w:r>
      <w:r w:rsidR="00BF5971">
        <w:t>the</w:t>
      </w:r>
      <w:r w:rsidR="00F553DA">
        <w:t xml:space="preserve"> </w:t>
      </w:r>
      <w:r w:rsidR="008B65EA">
        <w:t xml:space="preserve">methods </w:t>
      </w:r>
      <w:r w:rsidR="00D16EF4">
        <w:t>and variables used to calculate RIN retirements</w:t>
      </w:r>
      <w:r w:rsidR="00BF5971">
        <w:t xml:space="preserve"> under the proposed alternative RIN retirement schedule</w:t>
      </w:r>
      <w:r w:rsidR="00F553DA">
        <w:t xml:space="preserve">, </w:t>
      </w:r>
      <w:r w:rsidR="00F45497">
        <w:t>must be retained and produced upon request by EPA</w:t>
      </w:r>
      <w:r w:rsidR="00A17DE0">
        <w:t xml:space="preserve">. There are no forms </w:t>
      </w:r>
      <w:r w:rsidR="003F2C65">
        <w:t xml:space="preserve">associated </w:t>
      </w:r>
      <w:r w:rsidR="00581909">
        <w:t>with this proposed ICR</w:t>
      </w:r>
      <w:r w:rsidR="00A15E65">
        <w:t>,</w:t>
      </w:r>
      <w:r w:rsidR="00581909">
        <w:t xml:space="preserve"> </w:t>
      </w:r>
      <w:r w:rsidR="00A17DE0">
        <w:t xml:space="preserve">and the letter may be sent to EPA </w:t>
      </w:r>
      <w:r w:rsidR="004F681B">
        <w:t xml:space="preserve">on company letterhead, using customary business practice (CBP). </w:t>
      </w:r>
    </w:p>
    <w:p w:rsidR="00D17BF4" w:rsidP="7CBD38D5" w:rsidRDefault="00BF7320" w14:paraId="0B6C33DD" w14:textId="4F97F444">
      <w:r>
        <w:t xml:space="preserve"> </w:t>
      </w:r>
    </w:p>
    <w:p w:rsidRPr="003B425A" w:rsidR="003B425A" w:rsidP="7CBD38D5" w:rsidRDefault="003B425A" w14:paraId="203AA6B3" w14:textId="0295249C">
      <w:pPr>
        <w:rPr>
          <w:lang w:eastAsia="zh-CN" w:bidi="hi-IN"/>
        </w:rPr>
      </w:pPr>
    </w:p>
    <w:p w:rsidRPr="003B425A" w:rsidR="003B425A" w:rsidP="003B425A" w:rsidRDefault="003B425A" w14:paraId="0519F613" w14:textId="77777777">
      <w:pPr>
        <w:widowControl w:val="0"/>
        <w:suppressAutoHyphens/>
        <w:autoSpaceDN w:val="0"/>
        <w:ind w:left="720" w:hanging="720"/>
        <w:outlineLvl w:val="0"/>
        <w:rPr>
          <w:rFonts w:eastAsia="SimSun" w:cs="Mangal"/>
          <w:b/>
          <w:kern w:val="3"/>
          <w:szCs w:val="24"/>
          <w:u w:val="single"/>
          <w:lang w:eastAsia="zh-CN" w:bidi="hi-IN"/>
        </w:rPr>
      </w:pPr>
      <w:r w:rsidRPr="003B425A">
        <w:rPr>
          <w:rFonts w:eastAsia="SimSun" w:cs="Mangal"/>
          <w:b/>
          <w:kern w:val="3"/>
          <w:szCs w:val="24"/>
          <w:lang w:eastAsia="zh-CN" w:bidi="hi-IN"/>
        </w:rPr>
        <w:t>5.</w:t>
      </w:r>
      <w:r w:rsidRPr="003B425A">
        <w:rPr>
          <w:rFonts w:eastAsia="SimSun" w:cs="Mangal"/>
          <w:b/>
          <w:kern w:val="3"/>
          <w:szCs w:val="24"/>
          <w:lang w:eastAsia="zh-CN" w:bidi="hi-IN"/>
        </w:rPr>
        <w:tab/>
      </w:r>
      <w:r w:rsidRPr="003B425A">
        <w:rPr>
          <w:rFonts w:eastAsia="SimSun" w:cs="Mangal"/>
          <w:b/>
          <w:kern w:val="3"/>
          <w:szCs w:val="24"/>
          <w:u w:val="single"/>
          <w:lang w:eastAsia="zh-CN" w:bidi="hi-IN"/>
        </w:rPr>
        <w:t>The Information Collected, Agency Activities, Collection Methodology, and Information Management</w:t>
      </w:r>
    </w:p>
    <w:p w:rsidRPr="003B425A" w:rsidR="003B425A" w:rsidP="003B425A" w:rsidRDefault="003B425A" w14:paraId="5001F099"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7577F22C"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5(a)</w:t>
      </w:r>
      <w:r w:rsidRPr="003B425A">
        <w:rPr>
          <w:rFonts w:eastAsia="SimSun" w:cs="Mangal"/>
          <w:b/>
          <w:kern w:val="3"/>
          <w:szCs w:val="24"/>
          <w:lang w:eastAsia="zh-CN" w:bidi="hi-IN"/>
        </w:rPr>
        <w:tab/>
        <w:t>Agency Activities</w:t>
      </w:r>
    </w:p>
    <w:p w:rsidRPr="003B425A" w:rsidR="003B425A" w:rsidP="003B425A" w:rsidRDefault="003B425A" w14:paraId="159284F6" w14:textId="77777777">
      <w:pPr>
        <w:widowControl w:val="0"/>
        <w:suppressAutoHyphens/>
        <w:autoSpaceDN w:val="0"/>
        <w:ind w:firstLine="720"/>
        <w:rPr>
          <w:rFonts w:eastAsia="SimSun" w:cs="Mangal"/>
          <w:kern w:val="3"/>
          <w:szCs w:val="24"/>
          <w:lang w:eastAsia="zh-CN" w:bidi="hi-IN"/>
        </w:rPr>
      </w:pPr>
    </w:p>
    <w:p w:rsidRPr="003B425A" w:rsidR="003B425A" w:rsidP="003B425A" w:rsidRDefault="00581909" w14:paraId="3F56DE0A" w14:textId="24B17B45">
      <w:pPr>
        <w:widowControl w:val="0"/>
        <w:numPr>
          <w:ilvl w:val="0"/>
          <w:numId w:val="8"/>
        </w:numPr>
        <w:suppressAutoHyphens/>
        <w:autoSpaceDN w:val="0"/>
        <w:ind w:left="1080"/>
        <w:rPr>
          <w:rFonts w:eastAsia="SimSun" w:cs="Mangal"/>
          <w:kern w:val="3"/>
          <w:lang w:eastAsia="zh-CN" w:bidi="hi-IN"/>
        </w:rPr>
      </w:pPr>
      <w:r w:rsidRPr="585DF882">
        <w:rPr>
          <w:rFonts w:eastAsia="SimSun" w:cs="Mangal"/>
          <w:kern w:val="3"/>
          <w:lang w:eastAsia="zh-CN" w:bidi="hi-IN"/>
        </w:rPr>
        <w:t>EPA will receive and review submitted notifications</w:t>
      </w:r>
      <w:r w:rsidRPr="585DF882" w:rsidDel="000B38A6">
        <w:rPr>
          <w:rFonts w:eastAsia="SimSun" w:cs="Mangal"/>
          <w:kern w:val="3"/>
          <w:lang w:eastAsia="zh-CN" w:bidi="hi-IN"/>
        </w:rPr>
        <w:t xml:space="preserve">. </w:t>
      </w:r>
    </w:p>
    <w:p w:rsidRPr="001E351F" w:rsidR="003B425A" w:rsidP="003B425A" w:rsidRDefault="003B425A" w14:paraId="0291089E" w14:textId="795B035C">
      <w:pPr>
        <w:widowControl w:val="0"/>
        <w:numPr>
          <w:ilvl w:val="0"/>
          <w:numId w:val="8"/>
        </w:numPr>
        <w:suppressAutoHyphens/>
        <w:autoSpaceDN w:val="0"/>
        <w:ind w:left="1080"/>
        <w:rPr>
          <w:rFonts w:eastAsia="SimSun" w:cs="Mangal"/>
          <w:kern w:val="3"/>
          <w:lang w:eastAsia="zh-CN" w:bidi="hi-IN"/>
        </w:rPr>
      </w:pPr>
      <w:r w:rsidRPr="001E351F">
        <w:rPr>
          <w:rFonts w:eastAsia="SimSun" w:cs="Mangal"/>
          <w:kern w:val="3"/>
          <w:lang w:eastAsia="zh-CN" w:bidi="hi-IN"/>
        </w:rPr>
        <w:t>EPA will</w:t>
      </w:r>
      <w:r w:rsidRPr="001E351F" w:rsidR="00A64674">
        <w:rPr>
          <w:rFonts w:eastAsia="SimSun" w:cs="Mangal"/>
          <w:kern w:val="3"/>
          <w:lang w:eastAsia="zh-CN" w:bidi="hi-IN"/>
        </w:rPr>
        <w:t xml:space="preserve"> </w:t>
      </w:r>
      <w:r w:rsidRPr="001E351F" w:rsidR="001A19FD">
        <w:rPr>
          <w:rFonts w:eastAsia="SimSun" w:cs="Mangal"/>
          <w:kern w:val="3"/>
          <w:lang w:eastAsia="zh-CN" w:bidi="hi-IN"/>
        </w:rPr>
        <w:t>acknowledge receipt of the small refinery’s election.</w:t>
      </w:r>
    </w:p>
    <w:p w:rsidRPr="003B425A" w:rsidR="003B425A" w:rsidP="003B425A" w:rsidRDefault="003B425A" w14:paraId="110446DB" w14:textId="10A249F7">
      <w:pPr>
        <w:widowControl w:val="0"/>
        <w:suppressAutoHyphens/>
        <w:autoSpaceDN w:val="0"/>
        <w:ind w:firstLine="720"/>
        <w:rPr>
          <w:rFonts w:eastAsia="SimSun" w:cs="Mangal"/>
          <w:kern w:val="3"/>
          <w:lang w:eastAsia="zh-CN" w:bidi="hi-IN"/>
        </w:rPr>
      </w:pPr>
    </w:p>
    <w:p w:rsidRPr="003B425A" w:rsidR="003B425A" w:rsidP="003B425A" w:rsidRDefault="003B425A" w14:paraId="6C1EEE8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 xml:space="preserve">5(b) </w:t>
      </w:r>
      <w:r w:rsidRPr="003B425A">
        <w:rPr>
          <w:rFonts w:eastAsia="SimSun" w:cs="Mangal"/>
          <w:b/>
          <w:kern w:val="3"/>
          <w:szCs w:val="24"/>
          <w:lang w:eastAsia="zh-CN" w:bidi="hi-IN"/>
        </w:rPr>
        <w:tab/>
        <w:t>Collection Methodology and Management</w:t>
      </w:r>
    </w:p>
    <w:p w:rsidRPr="003B425A" w:rsidR="003B425A" w:rsidP="003B425A" w:rsidRDefault="003B425A" w14:paraId="79B210B3" w14:textId="77777777">
      <w:pPr>
        <w:suppressAutoHyphens/>
        <w:autoSpaceDN w:val="0"/>
        <w:ind w:firstLine="720"/>
        <w:rPr>
          <w:rFonts w:eastAsia="SimSun" w:cs="Mangal"/>
          <w:kern w:val="3"/>
          <w:szCs w:val="24"/>
          <w:lang w:eastAsia="zh-CN" w:bidi="hi-IN"/>
        </w:rPr>
      </w:pPr>
    </w:p>
    <w:p w:rsidRPr="003B425A" w:rsidR="003B425A" w:rsidP="003B425A" w:rsidRDefault="00581909" w14:paraId="3F37AADF" w14:textId="3EEF9EF7">
      <w:pPr>
        <w:autoSpaceDE w:val="0"/>
        <w:autoSpaceDN w:val="0"/>
        <w:adjustRightInd w:val="0"/>
        <w:ind w:firstLine="720"/>
        <w:rPr>
          <w:rFonts w:eastAsia="SimSun" w:cs="Times New Roman"/>
          <w:kern w:val="3"/>
          <w:lang w:eastAsia="zh-CN" w:bidi="hi-IN"/>
        </w:rPr>
      </w:pPr>
      <w:r w:rsidRPr="585DF882">
        <w:rPr>
          <w:rFonts w:eastAsia="SimSun" w:cs="Mangal"/>
          <w:kern w:val="3"/>
          <w:lang w:eastAsia="zh-CN" w:bidi="hi-IN"/>
        </w:rPr>
        <w:t xml:space="preserve">EPA expects to receive these notifications </w:t>
      </w:r>
      <w:r w:rsidRPr="585DF882" w:rsidR="00CC338E">
        <w:rPr>
          <w:rFonts w:eastAsia="SimSun" w:cs="Mangal"/>
          <w:kern w:val="3"/>
          <w:lang w:eastAsia="zh-CN" w:bidi="hi-IN"/>
        </w:rPr>
        <w:t>electronically</w:t>
      </w:r>
      <w:r w:rsidR="000E1C49">
        <w:rPr>
          <w:rFonts w:eastAsia="SimSun" w:cs="Mangal"/>
          <w:kern w:val="3"/>
          <w:lang w:eastAsia="zh-CN" w:bidi="hi-IN"/>
        </w:rPr>
        <w:t xml:space="preserve">. </w:t>
      </w:r>
    </w:p>
    <w:p w:rsidRPr="003B425A" w:rsidR="003B425A" w:rsidP="003B425A" w:rsidRDefault="003B425A" w14:paraId="55A312FD"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6C1C55EA"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5(c)</w:t>
      </w:r>
      <w:r w:rsidRPr="003B425A">
        <w:rPr>
          <w:rFonts w:eastAsia="SimSun" w:cs="Mangal"/>
          <w:b/>
          <w:kern w:val="3"/>
          <w:szCs w:val="24"/>
          <w:lang w:eastAsia="zh-CN" w:bidi="hi-IN"/>
        </w:rPr>
        <w:tab/>
        <w:t>Small Entity Flexibility</w:t>
      </w:r>
    </w:p>
    <w:p w:rsidRPr="003B425A" w:rsidR="003B425A" w:rsidP="003B425A" w:rsidRDefault="003B425A" w14:paraId="1618E254"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53AF6EC8" w14:textId="574013BD">
      <w:pPr>
        <w:widowControl w:val="0"/>
        <w:suppressAutoHyphens/>
        <w:autoSpaceDN w:val="0"/>
        <w:ind w:firstLine="720"/>
        <w:rPr>
          <w:rFonts w:eastAsia="SimSun" w:cs="Mangal"/>
          <w:kern w:val="3"/>
          <w:szCs w:val="24"/>
          <w:lang w:eastAsia="zh-CN" w:bidi="hi-IN"/>
        </w:rPr>
      </w:pPr>
      <w:r w:rsidRPr="003B425A">
        <w:rPr>
          <w:rFonts w:eastAsia="SimSun" w:cs="Mangal"/>
          <w:kern w:val="3"/>
          <w:szCs w:val="24"/>
          <w:lang w:eastAsia="zh-CN" w:bidi="hi-IN"/>
        </w:rPr>
        <w:t>This collection would not adversely affect small entities</w:t>
      </w:r>
      <w:r w:rsidR="00575C8B">
        <w:rPr>
          <w:rFonts w:eastAsia="SimSun" w:cs="Mangal"/>
          <w:kern w:val="3"/>
          <w:szCs w:val="24"/>
          <w:lang w:eastAsia="zh-CN" w:bidi="hi-IN"/>
        </w:rPr>
        <w:t xml:space="preserve"> and may benefit small entities</w:t>
      </w:r>
      <w:r w:rsidR="00ED53DD">
        <w:rPr>
          <w:rFonts w:eastAsia="SimSun" w:cs="Mangal"/>
          <w:kern w:val="3"/>
          <w:szCs w:val="24"/>
          <w:lang w:eastAsia="zh-CN" w:bidi="hi-IN"/>
        </w:rPr>
        <w:t xml:space="preserve"> </w:t>
      </w:r>
      <w:r w:rsidR="00CC338E">
        <w:rPr>
          <w:rFonts w:eastAsia="SimSun" w:cs="Mangal"/>
          <w:kern w:val="3"/>
          <w:szCs w:val="24"/>
          <w:lang w:eastAsia="zh-CN" w:bidi="hi-IN"/>
        </w:rPr>
        <w:t>who take advantage of flexibilit</w:t>
      </w:r>
      <w:r w:rsidR="00632B67">
        <w:rPr>
          <w:rFonts w:eastAsia="SimSun" w:cs="Mangal"/>
          <w:kern w:val="3"/>
          <w:szCs w:val="24"/>
          <w:lang w:eastAsia="zh-CN" w:bidi="hi-IN"/>
        </w:rPr>
        <w:t>y</w:t>
      </w:r>
      <w:r w:rsidR="00575C8B">
        <w:rPr>
          <w:rFonts w:eastAsia="SimSun" w:cs="Mangal"/>
          <w:kern w:val="3"/>
          <w:szCs w:val="24"/>
          <w:lang w:eastAsia="zh-CN" w:bidi="hi-IN"/>
        </w:rPr>
        <w:t xml:space="preserve">. </w:t>
      </w:r>
    </w:p>
    <w:p w:rsidRPr="003B425A" w:rsidR="003B425A" w:rsidP="003B425A" w:rsidRDefault="003B425A" w14:paraId="0C39C653" w14:textId="77777777">
      <w:pPr>
        <w:widowControl w:val="0"/>
        <w:suppressAutoHyphens/>
        <w:autoSpaceDN w:val="0"/>
        <w:ind w:firstLine="720"/>
        <w:rPr>
          <w:rFonts w:eastAsia="SimSun" w:cs="Mangal"/>
          <w:kern w:val="3"/>
          <w:szCs w:val="24"/>
          <w:lang w:eastAsia="zh-CN" w:bidi="hi-IN"/>
        </w:rPr>
      </w:pPr>
    </w:p>
    <w:p w:rsidRPr="003B425A" w:rsidR="003B425A" w:rsidP="003B425A" w:rsidRDefault="003B425A" w14:paraId="1F7A2590" w14:textId="7777777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5(d)</w:t>
      </w:r>
      <w:r w:rsidRPr="003B425A">
        <w:rPr>
          <w:rFonts w:eastAsia="SimSun" w:cs="Mangal"/>
          <w:b/>
          <w:kern w:val="3"/>
          <w:szCs w:val="24"/>
          <w:lang w:eastAsia="zh-CN" w:bidi="hi-IN"/>
        </w:rPr>
        <w:tab/>
        <w:t>Collection Schedule</w:t>
      </w:r>
    </w:p>
    <w:p w:rsidRPr="003B425A" w:rsidR="003B425A" w:rsidP="003B425A" w:rsidRDefault="003B425A" w14:paraId="2BFFBCC3" w14:textId="77777777">
      <w:pPr>
        <w:widowControl w:val="0"/>
        <w:suppressAutoHyphens/>
        <w:autoSpaceDN w:val="0"/>
        <w:ind w:firstLine="720"/>
        <w:rPr>
          <w:rFonts w:eastAsia="SimSun" w:cs="Mangal"/>
          <w:kern w:val="3"/>
          <w:szCs w:val="24"/>
          <w:lang w:eastAsia="zh-CN" w:bidi="hi-IN"/>
        </w:rPr>
      </w:pPr>
    </w:p>
    <w:p w:rsidRPr="003B425A" w:rsidR="003B425A" w:rsidP="003B425A" w:rsidRDefault="00CC338E" w14:paraId="0CF94834" w14:textId="546F304B">
      <w:pPr>
        <w:suppressAutoHyphens/>
        <w:autoSpaceDN w:val="0"/>
        <w:ind w:firstLine="720"/>
        <w:rPr>
          <w:rFonts w:eastAsia="SimSun" w:cs="Mangal"/>
          <w:kern w:val="3"/>
          <w:szCs w:val="24"/>
          <w:lang w:eastAsia="zh-CN" w:bidi="hi-IN"/>
        </w:rPr>
      </w:pPr>
      <w:r>
        <w:rPr>
          <w:rFonts w:eastAsia="SimSun" w:cs="Mangal"/>
          <w:kern w:val="3"/>
          <w:szCs w:val="24"/>
          <w:lang w:eastAsia="zh-CN" w:bidi="hi-IN"/>
        </w:rPr>
        <w:t>We expect to receive one notification per respondent</w:t>
      </w:r>
      <w:r w:rsidR="00FD5FD5">
        <w:rPr>
          <w:rFonts w:eastAsia="SimSun" w:cs="Mangal"/>
          <w:kern w:val="3"/>
          <w:szCs w:val="24"/>
          <w:lang w:eastAsia="zh-CN" w:bidi="hi-IN"/>
        </w:rPr>
        <w:t xml:space="preserve"> (i.e., one time). </w:t>
      </w:r>
      <w:r w:rsidR="00736434">
        <w:rPr>
          <w:rFonts w:eastAsia="SimSun" w:cs="Mangal"/>
          <w:kern w:val="3"/>
          <w:szCs w:val="24"/>
          <w:lang w:eastAsia="zh-CN" w:bidi="hi-IN"/>
        </w:rPr>
        <w:t>Records are r</w:t>
      </w:r>
      <w:r w:rsidR="00773F74">
        <w:rPr>
          <w:rFonts w:eastAsia="SimSun" w:cs="Mangal"/>
          <w:kern w:val="3"/>
          <w:szCs w:val="24"/>
          <w:lang w:eastAsia="zh-CN" w:bidi="hi-IN"/>
        </w:rPr>
        <w:t xml:space="preserve">etained as </w:t>
      </w:r>
      <w:r w:rsidR="00B05007">
        <w:rPr>
          <w:rFonts w:eastAsia="SimSun" w:cs="Mangal"/>
          <w:kern w:val="3"/>
          <w:szCs w:val="24"/>
          <w:lang w:eastAsia="zh-CN" w:bidi="hi-IN"/>
        </w:rPr>
        <w:t xml:space="preserve">generated by respondents </w:t>
      </w:r>
      <w:r w:rsidR="008C0762">
        <w:rPr>
          <w:rFonts w:eastAsia="SimSun" w:cs="Mangal"/>
          <w:kern w:val="3"/>
          <w:szCs w:val="24"/>
          <w:lang w:eastAsia="zh-CN" w:bidi="hi-IN"/>
        </w:rPr>
        <w:t xml:space="preserve">and </w:t>
      </w:r>
      <w:r w:rsidR="006B3499">
        <w:rPr>
          <w:rFonts w:eastAsia="SimSun" w:cs="Mangal"/>
          <w:kern w:val="3"/>
          <w:szCs w:val="24"/>
          <w:lang w:eastAsia="zh-CN" w:bidi="hi-IN"/>
        </w:rPr>
        <w:t xml:space="preserve">shown to EPA </w:t>
      </w:r>
      <w:r w:rsidR="00706EF8">
        <w:rPr>
          <w:rFonts w:eastAsia="SimSun" w:cs="Mangal"/>
          <w:kern w:val="3"/>
          <w:szCs w:val="24"/>
          <w:lang w:eastAsia="zh-CN" w:bidi="hi-IN"/>
        </w:rPr>
        <w:t xml:space="preserve">upon request. </w:t>
      </w:r>
      <w:r w:rsidR="006B3499">
        <w:rPr>
          <w:rFonts w:eastAsia="SimSun" w:cs="Mangal"/>
          <w:kern w:val="3"/>
          <w:szCs w:val="24"/>
          <w:lang w:eastAsia="zh-CN" w:bidi="hi-IN"/>
        </w:rPr>
        <w:t xml:space="preserve"> </w:t>
      </w:r>
    </w:p>
    <w:p w:rsidRPr="003B425A" w:rsidR="003B425A" w:rsidP="003B425A" w:rsidRDefault="003B425A" w14:paraId="5253B1AE" w14:textId="77777777">
      <w:pPr>
        <w:widowControl w:val="0"/>
        <w:suppressAutoHyphens/>
        <w:autoSpaceDE w:val="0"/>
        <w:autoSpaceDN w:val="0"/>
        <w:adjustRightInd w:val="0"/>
        <w:ind w:firstLine="720"/>
        <w:rPr>
          <w:rFonts w:eastAsia="SimSun" w:cs="Mangal"/>
          <w:kern w:val="3"/>
          <w:szCs w:val="24"/>
          <w:lang w:eastAsia="zh-CN" w:bidi="hi-IN"/>
        </w:rPr>
      </w:pPr>
    </w:p>
    <w:p w:rsidRPr="003B425A" w:rsidR="003B425A" w:rsidP="003B425A" w:rsidRDefault="003B425A" w14:paraId="6FD4424A" w14:textId="77777777">
      <w:pPr>
        <w:widowControl w:val="0"/>
        <w:suppressAutoHyphens/>
        <w:autoSpaceDN w:val="0"/>
        <w:outlineLvl w:val="0"/>
        <w:rPr>
          <w:rFonts w:eastAsia="SimSun" w:cs="Mangal"/>
          <w:b/>
          <w:kern w:val="3"/>
          <w:szCs w:val="24"/>
          <w:lang w:eastAsia="zh-CN" w:bidi="hi-IN"/>
        </w:rPr>
      </w:pPr>
      <w:r w:rsidRPr="003B425A">
        <w:rPr>
          <w:rFonts w:eastAsia="SimSun" w:cs="Mangal"/>
          <w:b/>
          <w:kern w:val="3"/>
          <w:szCs w:val="24"/>
          <w:lang w:eastAsia="zh-CN" w:bidi="hi-IN"/>
        </w:rPr>
        <w:t>6.</w:t>
      </w:r>
      <w:r w:rsidRPr="003B425A">
        <w:rPr>
          <w:rFonts w:eastAsia="SimSun" w:cs="Mangal"/>
          <w:b/>
          <w:kern w:val="3"/>
          <w:szCs w:val="24"/>
          <w:lang w:eastAsia="zh-CN" w:bidi="hi-IN"/>
        </w:rPr>
        <w:tab/>
      </w:r>
      <w:r w:rsidRPr="003B425A">
        <w:rPr>
          <w:rFonts w:eastAsia="SimSun" w:cs="Mangal"/>
          <w:b/>
          <w:kern w:val="3"/>
          <w:szCs w:val="24"/>
          <w:u w:val="single"/>
          <w:lang w:eastAsia="zh-CN" w:bidi="hi-IN"/>
        </w:rPr>
        <w:t>Estimating the Burden and Cost of Collection</w:t>
      </w:r>
    </w:p>
    <w:p w:rsidRPr="003B425A" w:rsidR="003B425A" w:rsidP="003B425A" w:rsidRDefault="003B425A" w14:paraId="3D00082B" w14:textId="77777777">
      <w:pPr>
        <w:widowControl w:val="0"/>
        <w:suppressAutoHyphens/>
        <w:autoSpaceDN w:val="0"/>
        <w:ind w:firstLine="720"/>
        <w:rPr>
          <w:rFonts w:eastAsia="SimSun" w:cs="Mangal"/>
          <w:b/>
          <w:kern w:val="3"/>
          <w:szCs w:val="24"/>
          <w:lang w:eastAsia="zh-CN" w:bidi="hi-IN"/>
        </w:rPr>
      </w:pPr>
    </w:p>
    <w:p w:rsidRPr="003B425A" w:rsidR="003B425A" w:rsidP="003B425A" w:rsidRDefault="003B425A" w14:paraId="19BC3382" w14:textId="48A94D87">
      <w:pPr>
        <w:widowControl w:val="0"/>
        <w:suppressAutoHyphens/>
        <w:autoSpaceDN w:val="0"/>
        <w:ind w:firstLine="720"/>
        <w:outlineLvl w:val="1"/>
        <w:rPr>
          <w:rFonts w:eastAsia="SimSun" w:cs="Mangal"/>
          <w:b/>
          <w:kern w:val="3"/>
          <w:szCs w:val="24"/>
          <w:lang w:eastAsia="zh-CN" w:bidi="hi-IN"/>
        </w:rPr>
      </w:pPr>
      <w:r w:rsidRPr="003B425A">
        <w:rPr>
          <w:rFonts w:eastAsia="SimSun" w:cs="Mangal"/>
          <w:b/>
          <w:kern w:val="3"/>
          <w:szCs w:val="24"/>
          <w:lang w:eastAsia="zh-CN" w:bidi="hi-IN"/>
        </w:rPr>
        <w:t>6(</w:t>
      </w:r>
      <w:r w:rsidR="00A46155">
        <w:rPr>
          <w:rFonts w:eastAsia="SimSun" w:cs="Mangal"/>
          <w:b/>
          <w:kern w:val="3"/>
          <w:szCs w:val="24"/>
          <w:lang w:eastAsia="zh-CN" w:bidi="hi-IN"/>
        </w:rPr>
        <w:t>a</w:t>
      </w:r>
      <w:r w:rsidRPr="003B425A">
        <w:rPr>
          <w:rFonts w:eastAsia="SimSun" w:cs="Mangal"/>
          <w:b/>
          <w:kern w:val="3"/>
          <w:szCs w:val="24"/>
          <w:lang w:eastAsia="zh-CN" w:bidi="hi-IN"/>
        </w:rPr>
        <w:t>)</w:t>
      </w:r>
      <w:r w:rsidRPr="003B425A">
        <w:rPr>
          <w:rFonts w:eastAsia="SimSun" w:cs="Mangal"/>
          <w:b/>
          <w:kern w:val="3"/>
          <w:szCs w:val="24"/>
          <w:lang w:eastAsia="zh-CN" w:bidi="hi-IN"/>
        </w:rPr>
        <w:tab/>
        <w:t>Estimating the Respondent Burden and Cost</w:t>
      </w:r>
    </w:p>
    <w:p w:rsidRPr="003B425A" w:rsidR="003B425A" w:rsidP="003B425A" w:rsidRDefault="003B425A" w14:paraId="6410D027" w14:textId="77777777">
      <w:pPr>
        <w:widowControl w:val="0"/>
        <w:suppressAutoHyphens/>
        <w:autoSpaceDN w:val="0"/>
        <w:ind w:firstLine="720"/>
        <w:rPr>
          <w:rFonts w:eastAsia="SimSun" w:cs="Mangal"/>
          <w:kern w:val="3"/>
          <w:szCs w:val="24"/>
          <w:lang w:eastAsia="zh-CN" w:bidi="hi-IN"/>
        </w:rPr>
      </w:pPr>
    </w:p>
    <w:p w:rsidR="00B97520" w:rsidP="00B97520" w:rsidRDefault="00B97520" w14:paraId="65EEFABB" w14:textId="024F51A0">
      <w:pPr>
        <w:ind w:firstLine="720"/>
      </w:pPr>
      <w:r>
        <w:t xml:space="preserve">Detailed estimates, by respondent, and listed by collection activity/regulatory citations are found in Appendix A. </w:t>
      </w:r>
      <w:r w:rsidR="003044F2">
        <w:t>Notification letters are</w:t>
      </w:r>
      <w:r w:rsidR="00D13329">
        <w:t xml:space="preserve"> expected to be one-time reporting</w:t>
      </w:r>
      <w:r w:rsidR="009A0BC3">
        <w:t xml:space="preserve"> and </w:t>
      </w:r>
      <w:r w:rsidR="00FD2574">
        <w:t xml:space="preserve">performed </w:t>
      </w:r>
      <w:r w:rsidR="00B67F83">
        <w:t>as needed</w:t>
      </w:r>
      <w:r w:rsidR="00FD2574">
        <w:t xml:space="preserve">. </w:t>
      </w:r>
    </w:p>
    <w:p w:rsidR="003B425A" w:rsidP="003B425A" w:rsidRDefault="003B425A" w14:paraId="26E58E16" w14:textId="2CD5592E">
      <w:pPr>
        <w:suppressAutoHyphens/>
        <w:autoSpaceDN w:val="0"/>
        <w:ind w:firstLine="720"/>
        <w:rPr>
          <w:rFonts w:eastAsia="SimSun" w:cs="Times New Roman"/>
          <w:strike/>
          <w:kern w:val="3"/>
          <w:sz w:val="18"/>
          <w:szCs w:val="18"/>
          <w:lang w:eastAsia="zh-CN" w:bidi="hi-IN"/>
        </w:rPr>
      </w:pPr>
    </w:p>
    <w:p w:rsidR="00A43F6E" w:rsidP="006A751A" w:rsidRDefault="00A43F6E" w14:paraId="3258E5DC" w14:textId="2210057E">
      <w:pPr>
        <w:ind w:firstLine="720"/>
        <w:outlineLvl w:val="1"/>
        <w:rPr>
          <w:b/>
        </w:rPr>
      </w:pPr>
      <w:r>
        <w:rPr>
          <w:b/>
        </w:rPr>
        <w:t>6(</w:t>
      </w:r>
      <w:r w:rsidR="00A46155">
        <w:rPr>
          <w:b/>
        </w:rPr>
        <w:t>b)</w:t>
      </w:r>
      <w:r>
        <w:rPr>
          <w:b/>
        </w:rPr>
        <w:tab/>
        <w:t xml:space="preserve">Estimating the Agency Burden and Costs </w:t>
      </w:r>
    </w:p>
    <w:p w:rsidR="006A751A" w:rsidP="7CBD38D5" w:rsidRDefault="006A751A" w14:paraId="2CBD22C4" w14:textId="77777777"/>
    <w:p w:rsidR="007771A4" w:rsidP="007771A4" w:rsidRDefault="006202E1" w14:paraId="47DEBA96" w14:textId="41F68F9D">
      <w:pPr>
        <w:ind w:firstLine="720"/>
      </w:pPr>
      <w:r>
        <w:t xml:space="preserve">The </w:t>
      </w:r>
      <w:r w:rsidR="00630BFC">
        <w:t>Agency costs for the RFS program are already estimated in the ICRs discussed above</w:t>
      </w:r>
      <w:r w:rsidR="007476C9">
        <w:t xml:space="preserve"> in Section 1.</w:t>
      </w:r>
      <w:r w:rsidR="00630BFC">
        <w:t xml:space="preserve"> We </w:t>
      </w:r>
      <w:r w:rsidR="00630BFC">
        <w:lastRenderedPageBreak/>
        <w:t xml:space="preserve">do not anticipate any real increase in burden or cost associated with </w:t>
      </w:r>
      <w:r w:rsidR="007476C9">
        <w:t xml:space="preserve">reviewing 13 notifications. </w:t>
      </w:r>
    </w:p>
    <w:p w:rsidR="00A43F6E" w:rsidP="007771A4" w:rsidRDefault="007771A4" w14:paraId="1776F93F" w14:textId="29768ACF">
      <w:pPr>
        <w:ind w:firstLine="720"/>
      </w:pPr>
      <w:r>
        <w:tab/>
      </w:r>
    </w:p>
    <w:p w:rsidR="00A43F6E" w:rsidP="00A43F6E" w:rsidRDefault="00A43F6E" w14:paraId="45BADC76" w14:textId="77777777">
      <w:pPr>
        <w:ind w:firstLine="720"/>
      </w:pPr>
    </w:p>
    <w:p w:rsidR="00A43F6E" w:rsidP="15B8A513" w:rsidRDefault="00A43F6E" w14:paraId="2CA862A6" w14:textId="5BAF7742">
      <w:pPr>
        <w:ind w:firstLine="720"/>
        <w:outlineLvl w:val="1"/>
        <w:rPr>
          <w:b/>
          <w:bCs/>
        </w:rPr>
      </w:pPr>
      <w:r w:rsidRPr="15B8A513">
        <w:rPr>
          <w:b/>
          <w:bCs/>
        </w:rPr>
        <w:t>6(</w:t>
      </w:r>
      <w:r w:rsidR="00A46155">
        <w:rPr>
          <w:b/>
          <w:bCs/>
        </w:rPr>
        <w:t>c</w:t>
      </w:r>
      <w:r w:rsidRPr="15B8A513">
        <w:rPr>
          <w:b/>
          <w:bCs/>
        </w:rPr>
        <w:t>)</w:t>
      </w:r>
      <w:r>
        <w:tab/>
      </w:r>
      <w:r w:rsidRPr="15B8A513">
        <w:rPr>
          <w:b/>
          <w:bCs/>
        </w:rPr>
        <w:t xml:space="preserve">Estimating the Respondent Universe </w:t>
      </w:r>
    </w:p>
    <w:p w:rsidR="00A43F6E" w:rsidP="00A43F6E" w:rsidRDefault="00A43F6E" w14:paraId="52DD5498" w14:textId="77777777">
      <w:pPr>
        <w:ind w:firstLine="720"/>
      </w:pPr>
    </w:p>
    <w:p w:rsidR="00A43F6E" w:rsidP="00A43F6E" w:rsidRDefault="00A43F6E" w14:paraId="10032057" w14:textId="419F07D6">
      <w:pPr>
        <w:ind w:firstLine="720"/>
      </w:pPr>
      <w:r>
        <w:t>We estimated the number of regulated entities for this ICR by drawing upon our experience regulating the same or similar entities under the RFS program.</w:t>
      </w:r>
      <w:r w:rsidR="002117CE">
        <w:t xml:space="preserve"> We estimated 13 small refineries would use the proposed alternative RIN retirement schedule because this is the number of small refineries that are currently carrying a full RIN deficit from the 2019 compliance year into the 2020 compliance year (i.e., they have not retired any RINs towards their 2019 RFS obligations) and thus are more likely to need additional time to comply with their 2020 RFS obligations. </w:t>
      </w:r>
      <w:r>
        <w:t xml:space="preserve"> </w:t>
      </w:r>
    </w:p>
    <w:p w:rsidR="00AF0ACF" w:rsidRDefault="00AF0ACF" w14:paraId="62FC6A44" w14:textId="68F616CC">
      <w:pPr>
        <w:spacing w:after="160" w:line="259" w:lineRule="auto"/>
      </w:pPr>
      <w:r>
        <w:br w:type="page"/>
      </w:r>
    </w:p>
    <w:p w:rsidR="00A43F6E" w:rsidP="00A43F6E" w:rsidRDefault="00A43F6E" w14:paraId="43D5787C" w14:textId="77777777">
      <w:pPr>
        <w:ind w:firstLine="720"/>
      </w:pPr>
    </w:p>
    <w:p w:rsidR="00A43F6E" w:rsidP="00A43F6E" w:rsidRDefault="00A43F6E" w14:paraId="0885A98B" w14:textId="048D24FC">
      <w:pPr>
        <w:ind w:firstLine="720"/>
        <w:outlineLvl w:val="1"/>
        <w:rPr>
          <w:b/>
        </w:rPr>
      </w:pPr>
      <w:r>
        <w:rPr>
          <w:b/>
        </w:rPr>
        <w:t>6(</w:t>
      </w:r>
      <w:r w:rsidR="00A46155">
        <w:rPr>
          <w:b/>
        </w:rPr>
        <w:t>d</w:t>
      </w:r>
      <w:r>
        <w:rPr>
          <w:b/>
        </w:rPr>
        <w:t>)</w:t>
      </w:r>
      <w:r>
        <w:rPr>
          <w:b/>
        </w:rPr>
        <w:tab/>
        <w:t>Bottom Line Burden Hours and Costs</w:t>
      </w:r>
    </w:p>
    <w:p w:rsidR="00A43F6E" w:rsidP="00A43F6E" w:rsidRDefault="00A43F6E" w14:paraId="0AC5F01F" w14:textId="77777777">
      <w:pPr>
        <w:ind w:firstLine="720"/>
      </w:pPr>
    </w:p>
    <w:p w:rsidR="00A43F6E" w:rsidP="00A43F6E" w:rsidRDefault="00A43F6E" w14:paraId="669998B2" w14:textId="3F08FECF">
      <w:pPr>
        <w:ind w:firstLine="720"/>
      </w:pPr>
      <w:r>
        <w:t>From the tables, we estimate the following annual totals:</w:t>
      </w:r>
    </w:p>
    <w:tbl>
      <w:tblPr>
        <w:tblStyle w:val="TableGrid"/>
        <w:tblW w:w="0" w:type="auto"/>
        <w:tblInd w:w="0" w:type="dxa"/>
        <w:tblLook w:val="04A0" w:firstRow="1" w:lastRow="0" w:firstColumn="1" w:lastColumn="0" w:noHBand="0" w:noVBand="1"/>
      </w:tblPr>
      <w:tblGrid>
        <w:gridCol w:w="4675"/>
        <w:gridCol w:w="4675"/>
      </w:tblGrid>
      <w:tr w:rsidR="006B0010" w:rsidTr="006B0010" w14:paraId="23A713F6" w14:textId="77777777">
        <w:tc>
          <w:tcPr>
            <w:tcW w:w="4675" w:type="dxa"/>
          </w:tcPr>
          <w:p w:rsidR="006B0010" w:rsidP="00A43F6E" w:rsidRDefault="006B0010" w14:paraId="1C710088" w14:textId="6659821B">
            <w:r>
              <w:t>TOTAL NUMBER OF RESPONDENTS</w:t>
            </w:r>
          </w:p>
        </w:tc>
        <w:tc>
          <w:tcPr>
            <w:tcW w:w="4675" w:type="dxa"/>
          </w:tcPr>
          <w:p w:rsidR="006B0010" w:rsidP="00A43F6E" w:rsidRDefault="008C531B" w14:paraId="362E2751" w14:textId="09B231D1">
            <w:r>
              <w:t xml:space="preserve"> </w:t>
            </w:r>
            <w:r w:rsidR="009715AE">
              <w:t>39</w:t>
            </w:r>
          </w:p>
        </w:tc>
      </w:tr>
      <w:tr w:rsidR="006B0010" w:rsidTr="006B0010" w14:paraId="02293DFC" w14:textId="77777777">
        <w:tc>
          <w:tcPr>
            <w:tcW w:w="4675" w:type="dxa"/>
          </w:tcPr>
          <w:p w:rsidR="006B0010" w:rsidP="00A43F6E" w:rsidRDefault="006B0010" w14:paraId="5BB58D6C" w14:textId="7BFD9AC1">
            <w:r>
              <w:t>TOTAL NUMBER OF RESPONSES</w:t>
            </w:r>
          </w:p>
        </w:tc>
        <w:tc>
          <w:tcPr>
            <w:tcW w:w="4675" w:type="dxa"/>
          </w:tcPr>
          <w:p w:rsidR="006B0010" w:rsidP="00A43F6E" w:rsidRDefault="00A86E33" w14:paraId="5EFF45E5" w14:textId="142DC85D">
            <w:r>
              <w:t xml:space="preserve"> </w:t>
            </w:r>
            <w:r w:rsidR="000F7FE3">
              <w:t>78</w:t>
            </w:r>
          </w:p>
        </w:tc>
      </w:tr>
      <w:tr w:rsidR="006B0010" w:rsidTr="006B0010" w14:paraId="4839E407" w14:textId="77777777">
        <w:tc>
          <w:tcPr>
            <w:tcW w:w="4675" w:type="dxa"/>
          </w:tcPr>
          <w:p w:rsidR="006B0010" w:rsidP="00A43F6E" w:rsidRDefault="006B0010" w14:paraId="033B8D38" w14:textId="70DC5C37">
            <w:r>
              <w:t>TOTAL BURDEN HOURS</w:t>
            </w:r>
          </w:p>
        </w:tc>
        <w:tc>
          <w:tcPr>
            <w:tcW w:w="4675" w:type="dxa"/>
          </w:tcPr>
          <w:p w:rsidR="006B0010" w:rsidP="00A43F6E" w:rsidRDefault="00233201" w14:paraId="1EA55851" w14:textId="3B6C5C6C">
            <w:r>
              <w:t xml:space="preserve"> </w:t>
            </w:r>
            <w:r w:rsidR="00D10EAF">
              <w:t xml:space="preserve"> </w:t>
            </w:r>
            <w:r w:rsidR="009F2710">
              <w:t>19</w:t>
            </w:r>
          </w:p>
        </w:tc>
      </w:tr>
      <w:tr w:rsidR="006B0010" w:rsidTr="006B0010" w14:paraId="6A861E7F" w14:textId="77777777">
        <w:tc>
          <w:tcPr>
            <w:tcW w:w="4675" w:type="dxa"/>
          </w:tcPr>
          <w:p w:rsidR="006B0010" w:rsidP="00A43F6E" w:rsidRDefault="006B0010" w14:paraId="6FEDB31D" w14:textId="6CF5505A">
            <w:r>
              <w:lastRenderedPageBreak/>
              <w:t>TOTAL COST TO RESPONDENTS</w:t>
            </w:r>
          </w:p>
        </w:tc>
        <w:tc>
          <w:tcPr>
            <w:tcW w:w="4675" w:type="dxa"/>
          </w:tcPr>
          <w:p w:rsidR="006B0010" w:rsidP="00A43F6E" w:rsidRDefault="006B0010" w14:paraId="0CFD3FD2" w14:textId="07490E89">
            <w:r w:rsidRPr="006B0010">
              <w:t>$</w:t>
            </w:r>
            <w:r w:rsidR="00D10EAF">
              <w:t xml:space="preserve"> </w:t>
            </w:r>
            <w:r w:rsidR="00F8135C">
              <w:t>0</w:t>
            </w:r>
            <w:r w:rsidR="00F8135C">
              <w:rPr>
                <w:rStyle w:val="FootnoteReference"/>
              </w:rPr>
              <w:footnoteReference w:id="2"/>
            </w:r>
          </w:p>
        </w:tc>
      </w:tr>
    </w:tbl>
    <w:p w:rsidR="006B0010" w:rsidP="00A43F6E" w:rsidRDefault="006B0010" w14:paraId="659CB98F" w14:textId="77777777">
      <w:pPr>
        <w:ind w:firstLine="720"/>
      </w:pPr>
    </w:p>
    <w:p w:rsidR="00A43F6E" w:rsidDel="002117CE" w:rsidP="00A43F6E" w:rsidRDefault="00A43F6E" w14:paraId="2D83D0C9" w14:textId="11CDF72E">
      <w:pPr>
        <w:ind w:firstLine="720"/>
      </w:pPr>
    </w:p>
    <w:p w:rsidR="00A43F6E" w:rsidP="15B8A513" w:rsidRDefault="00A43F6E" w14:paraId="4A6C7DB9" w14:textId="08309271">
      <w:pPr>
        <w:ind w:firstLine="720"/>
        <w:rPr>
          <w:b/>
          <w:bCs/>
        </w:rPr>
      </w:pPr>
      <w:r w:rsidRPr="15B8A513">
        <w:rPr>
          <w:b/>
          <w:bCs/>
        </w:rPr>
        <w:t>6(f)</w:t>
      </w:r>
      <w:r>
        <w:tab/>
      </w:r>
      <w:r w:rsidRPr="15B8A513">
        <w:rPr>
          <w:b/>
          <w:bCs/>
        </w:rPr>
        <w:t>Burden Statement</w:t>
      </w:r>
    </w:p>
    <w:p w:rsidR="00A43F6E" w:rsidP="00A43F6E" w:rsidRDefault="00A43F6E" w14:paraId="3F200842" w14:textId="77777777">
      <w:pPr>
        <w:ind w:firstLine="720"/>
      </w:pPr>
    </w:p>
    <w:p w:rsidR="00A43F6E" w:rsidP="00A43F6E" w:rsidRDefault="00A43F6E" w14:paraId="4AE9B4F3" w14:textId="5F67F06A">
      <w:pPr>
        <w:ind w:firstLine="720"/>
      </w:pPr>
      <w:r>
        <w:t xml:space="preserve">The annual burden is estimated to </w:t>
      </w:r>
      <w:r w:rsidR="00423B9C">
        <w:t xml:space="preserve">average </w:t>
      </w:r>
      <w:r w:rsidR="00B97520">
        <w:t xml:space="preserve">less than one hour </w:t>
      </w:r>
      <w:r>
        <w:t>per respondent.</w:t>
      </w:r>
    </w:p>
    <w:p w:rsidR="00A43F6E" w:rsidP="00A43F6E" w:rsidRDefault="00A43F6E" w14:paraId="02CFBA7A" w14:textId="77777777">
      <w:pPr>
        <w:ind w:firstLine="720"/>
      </w:pPr>
    </w:p>
    <w:p w:rsidR="00A43F6E" w:rsidP="00A43F6E" w:rsidRDefault="00A43F6E" w14:paraId="763198E2" w14:textId="00962826">
      <w:pPr>
        <w:ind w:firstLine="720"/>
      </w:pPr>
      <w:r>
        <w:t xml:space="preserve">Burden means the total time, effort, or financial resources expended by persons to generate, maintain, retain, or disclose or provide information to or for a </w:t>
      </w:r>
      <w:r w:rsidR="005243B2">
        <w:t>federal</w:t>
      </w:r>
      <w: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w:t>
      </w:r>
      <w:r>
        <w:lastRenderedPageBreak/>
        <w:t>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the EPA’s regulations are listed in 40 CFR part 9 and 48 CFR chapter 15.</w:t>
      </w:r>
    </w:p>
    <w:p w:rsidR="00A43F6E" w:rsidP="00A43F6E" w:rsidRDefault="00A43F6E" w14:paraId="67C309A4" w14:textId="77777777">
      <w:pPr>
        <w:ind w:firstLine="720"/>
      </w:pPr>
    </w:p>
    <w:p w:rsidR="00A43F6E" w:rsidP="00A43F6E" w:rsidRDefault="00A43F6E" w14:paraId="4055CCF1" w14:textId="427DEC0F">
      <w:pPr>
        <w:ind w:firstLine="720"/>
      </w:pPr>
      <w:r>
        <w:t>To comment on the EPA’s need for this information, the accuracy of the provided burden estimates, and any suggested methods for minimizing respondent burden, including the use of automated collection techniques, EPA has established a public docket for this ICR under Docket ID No. EPA-HQ-OAR-</w:t>
      </w:r>
      <w:r w:rsidR="00B97520">
        <w:t>2022</w:t>
      </w:r>
      <w:r w:rsidR="00F113D2">
        <w:t>-</w:t>
      </w:r>
      <w:r w:rsidRPr="00882FD6" w:rsidR="00882FD6">
        <w:t>0434</w:t>
      </w:r>
      <w:r>
        <w:t xml:space="preserve">which is available for online viewing at </w:t>
      </w:r>
      <w:r>
        <w:rPr>
          <w:u w:val="single"/>
        </w:rPr>
        <w:t>www.regulations.gov</w:t>
      </w:r>
      <w:r>
        <w:t xml:space="preserve">, or in-person viewing at the Air and Radiation Docket and Information Center in the EPA Docket Center (EPA/DC). The docket </w:t>
      </w:r>
      <w:r w:rsidR="00BF67BA">
        <w:t>is in</w:t>
      </w:r>
      <w:r>
        <w:t xml:space="preserve"> the William Jefferson Clinton Building West, 1301 Constitution Avenue, NW, Room 3334, Washington, DC, and is open from </w:t>
      </w:r>
      <w:r>
        <w:lastRenderedPageBreak/>
        <w:t>8:30 a.m. to 4:30 p.m., Eastern Standard Time, Monday through Friday, excluding legal holidays. The telephone number for the Reading Room is (202) 566-1744, and the telephone number for the Air and Radiation Docket and Information Center is (202) 566-1742.</w:t>
      </w:r>
    </w:p>
    <w:p w:rsidR="00A43F6E" w:rsidP="00A43F6E" w:rsidRDefault="00A43F6E" w14:paraId="36A416C3" w14:textId="77777777">
      <w:pPr>
        <w:ind w:firstLine="720"/>
      </w:pPr>
    </w:p>
    <w:p w:rsidR="00A43F6E" w:rsidP="00A43F6E" w:rsidRDefault="00A43F6E" w14:paraId="500A0F2E" w14:textId="6F3BB458">
      <w:pPr>
        <w:ind w:firstLine="720"/>
      </w:pPr>
      <w:r>
        <w:t xml:space="preserve">An electronic version of the public docket is available at </w:t>
      </w:r>
      <w:r w:rsidRPr="6AB033C2">
        <w:rPr>
          <w:u w:val="single"/>
        </w:rPr>
        <w:t>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No. identified above. Also, you can send comments to the Office of Information and Regulatory Affairs, Office of Management and Budget, 725 17th Street, NW, Washington, D.C. 20503, Attention: Desk Officer for EPA. Please include the EPA Docket ID No. EPA-HQ-OAR</w:t>
      </w:r>
      <w:r w:rsidR="007400B4">
        <w:t>-</w:t>
      </w:r>
      <w:r w:rsidR="00881B9D">
        <w:t>202</w:t>
      </w:r>
      <w:r w:rsidR="006202E1">
        <w:t>2</w:t>
      </w:r>
      <w:r w:rsidR="00881B9D">
        <w:t>-</w:t>
      </w:r>
      <w:r w:rsidRPr="00882FD6" w:rsidR="00882FD6">
        <w:t>0434</w:t>
      </w:r>
      <w:r w:rsidR="001D79BC">
        <w:t xml:space="preserve"> </w:t>
      </w:r>
      <w:r>
        <w:t>and OMB Control Number 2060-</w:t>
      </w:r>
      <w:r w:rsidR="001D79BC">
        <w:t>NEW</w:t>
      </w:r>
      <w:r>
        <w:t xml:space="preserve"> in any correspondence.</w:t>
      </w:r>
    </w:p>
    <w:p w:rsidR="006D52B3" w:rsidP="003C6960" w:rsidRDefault="006D52B3" w14:paraId="63DFB9B4" w14:textId="77777777">
      <w:pPr>
        <w:ind w:firstLine="720"/>
      </w:pPr>
    </w:p>
    <w:p w:rsidRPr="003C6960" w:rsidR="7AE107E8" w:rsidP="003C6960" w:rsidRDefault="7AE107E8" w14:paraId="3FC12C52" w14:textId="1BFD3210">
      <w:pPr>
        <w:rPr>
          <w:b/>
          <w:bCs/>
        </w:rPr>
      </w:pPr>
      <w:r w:rsidRPr="003C6960">
        <w:rPr>
          <w:b/>
          <w:bCs/>
        </w:rPr>
        <w:t xml:space="preserve">Appendix A – Detailed Burden Estimates </w:t>
      </w:r>
    </w:p>
    <w:p w:rsidR="006D52B3" w:rsidP="003C6960" w:rsidRDefault="006D52B3" w14:paraId="0A85E531" w14:textId="6F7E167D">
      <w:pPr>
        <w:ind w:firstLine="720"/>
        <w:rPr>
          <w:rFonts w:eastAsia="SimSun" w:cs="Times New Roman"/>
          <w:strike/>
          <w:kern w:val="3"/>
          <w:sz w:val="18"/>
          <w:szCs w:val="18"/>
          <w:lang w:eastAsia="zh-CN" w:bidi="hi-IN"/>
        </w:rPr>
      </w:pPr>
    </w:p>
    <w:p w:rsidRPr="003C6960" w:rsidR="00CC0C04" w:rsidP="003C6960" w:rsidRDefault="00CC0C04" w14:paraId="5331BAE3" w14:textId="34AE4C81">
      <w:pPr>
        <w:rPr>
          <w:rFonts w:eastAsia="SimSun" w:cs="Times New Roman"/>
          <w:kern w:val="3"/>
          <w:szCs w:val="24"/>
          <w:lang w:eastAsia="zh-CN" w:bidi="hi-IN"/>
        </w:rPr>
      </w:pPr>
      <w:r w:rsidRPr="003C6960">
        <w:rPr>
          <w:rFonts w:eastAsia="SimSun" w:cs="Times New Roman"/>
          <w:kern w:val="3"/>
          <w:szCs w:val="24"/>
          <w:lang w:eastAsia="zh-CN" w:bidi="hi-IN"/>
        </w:rPr>
        <w:t>See a</w:t>
      </w:r>
      <w:r>
        <w:rPr>
          <w:rFonts w:eastAsia="SimSun" w:cs="Times New Roman"/>
          <w:kern w:val="3"/>
          <w:szCs w:val="24"/>
          <w:lang w:eastAsia="zh-CN" w:bidi="hi-IN"/>
        </w:rPr>
        <w:t>ttached file “2718_appendix A_01.”</w:t>
      </w:r>
    </w:p>
    <w:sectPr w:rsidRPr="003C6960" w:rsidR="00CC0C0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6EEE" w14:textId="77777777" w:rsidR="00646584" w:rsidRDefault="00646584" w:rsidP="008E1572">
      <w:r>
        <w:separator/>
      </w:r>
    </w:p>
  </w:endnote>
  <w:endnote w:type="continuationSeparator" w:id="0">
    <w:p w14:paraId="062C8936" w14:textId="77777777" w:rsidR="00646584" w:rsidRDefault="00646584" w:rsidP="008E1572">
      <w:r>
        <w:continuationSeparator/>
      </w:r>
    </w:p>
  </w:endnote>
  <w:endnote w:type="continuationNotice" w:id="1">
    <w:p w14:paraId="7921B749" w14:textId="77777777" w:rsidR="00646584" w:rsidRDefault="00646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968754"/>
      <w:docPartObj>
        <w:docPartGallery w:val="Page Numbers (Bottom of Page)"/>
        <w:docPartUnique/>
      </w:docPartObj>
    </w:sdtPr>
    <w:sdtEndPr>
      <w:rPr>
        <w:noProof/>
      </w:rPr>
    </w:sdtEndPr>
    <w:sdtContent>
      <w:p w14:paraId="1CA1BE3E" w14:textId="5DF66F2B" w:rsidR="00437362" w:rsidRDefault="00437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EE8AB" w14:textId="77777777" w:rsidR="00437362" w:rsidRDefault="0043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0030" w14:textId="77777777" w:rsidR="00646584" w:rsidRDefault="00646584" w:rsidP="008E1572">
      <w:r>
        <w:separator/>
      </w:r>
    </w:p>
  </w:footnote>
  <w:footnote w:type="continuationSeparator" w:id="0">
    <w:p w14:paraId="1907F2DC" w14:textId="77777777" w:rsidR="00646584" w:rsidRDefault="00646584" w:rsidP="008E1572">
      <w:r>
        <w:continuationSeparator/>
      </w:r>
    </w:p>
  </w:footnote>
  <w:footnote w:type="continuationNotice" w:id="1">
    <w:p w14:paraId="56552C35" w14:textId="77777777" w:rsidR="00646584" w:rsidRDefault="00646584"/>
  </w:footnote>
  <w:footnote w:id="2">
    <w:p w14:paraId="18BF44E3" w14:textId="60827C31" w:rsidR="00F8135C" w:rsidRDefault="00F8135C">
      <w:pPr>
        <w:pStyle w:val="FootnoteText"/>
      </w:pPr>
      <w:r>
        <w:rPr>
          <w:rStyle w:val="FootnoteReference"/>
        </w:rPr>
        <w:footnoteRef/>
      </w:r>
      <w:r>
        <w:t xml:space="preserve"> There are labor costs of $</w:t>
      </w:r>
      <w:r w:rsidR="009F2710">
        <w:t>1,710</w:t>
      </w:r>
      <w:r w:rsidR="00A606B1">
        <w:t>.00 estimated for this proposed ICR; however</w:t>
      </w:r>
      <w:r w:rsidR="008242B5">
        <w:t>,</w:t>
      </w:r>
      <w:r w:rsidR="00A606B1">
        <w:t xml:space="preserve"> the non-labor costs that go into the OMB inventory are estimated at $0.00. </w:t>
      </w:r>
      <w:r w:rsidR="008242B5">
        <w:t xml:space="preserve">There are no purchased services, or new O&amp;M costs anticipated </w:t>
      </w:r>
      <w:proofErr w:type="gramStart"/>
      <w:r w:rsidR="008242B5">
        <w:t>as a result of</w:t>
      </w:r>
      <w:proofErr w:type="gramEnd"/>
      <w:r w:rsidR="008242B5">
        <w:t xml:space="preserve"> this proposed rule.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7040" w14:textId="13CBC5E4" w:rsidR="008E1572" w:rsidRDefault="008E1572" w:rsidP="6AB033C2">
    <w:pPr>
      <w:pStyle w:val="Header"/>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5FC"/>
    <w:multiLevelType w:val="hybridMultilevel"/>
    <w:tmpl w:val="5650C8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33B7C"/>
    <w:multiLevelType w:val="hybridMultilevel"/>
    <w:tmpl w:val="6C26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83400"/>
    <w:multiLevelType w:val="hybridMultilevel"/>
    <w:tmpl w:val="29A4F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3E4D29"/>
    <w:multiLevelType w:val="hybridMultilevel"/>
    <w:tmpl w:val="E9F03C90"/>
    <w:styleLink w:val="WWNum19"/>
    <w:lvl w:ilvl="0" w:tplc="ADD4145E">
      <w:numFmt w:val="bullet"/>
      <w:lvlText w:val=""/>
      <w:lvlJc w:val="left"/>
      <w:pPr>
        <w:ind w:left="0" w:firstLine="0"/>
      </w:pPr>
      <w:rPr>
        <w:rFonts w:ascii="Symbol" w:hAnsi="Symbol"/>
      </w:rPr>
    </w:lvl>
    <w:lvl w:ilvl="1" w:tplc="9CA6056A">
      <w:numFmt w:val="bullet"/>
      <w:lvlText w:val="o"/>
      <w:lvlJc w:val="left"/>
      <w:pPr>
        <w:ind w:left="0" w:firstLine="0"/>
      </w:pPr>
      <w:rPr>
        <w:rFonts w:ascii="Courier New" w:hAnsi="Courier New" w:cs="Courier New"/>
      </w:rPr>
    </w:lvl>
    <w:lvl w:ilvl="2" w:tplc="F904A6B4">
      <w:numFmt w:val="bullet"/>
      <w:lvlText w:val=""/>
      <w:lvlJc w:val="left"/>
      <w:pPr>
        <w:ind w:left="0" w:firstLine="0"/>
      </w:pPr>
      <w:rPr>
        <w:rFonts w:ascii="Wingdings" w:hAnsi="Wingdings"/>
      </w:rPr>
    </w:lvl>
    <w:lvl w:ilvl="3" w:tplc="B66CEC4A">
      <w:numFmt w:val="bullet"/>
      <w:lvlText w:val=""/>
      <w:lvlJc w:val="left"/>
      <w:pPr>
        <w:ind w:left="0" w:firstLine="0"/>
      </w:pPr>
      <w:rPr>
        <w:rFonts w:ascii="Symbol" w:hAnsi="Symbol"/>
      </w:rPr>
    </w:lvl>
    <w:lvl w:ilvl="4" w:tplc="630C1B46">
      <w:numFmt w:val="bullet"/>
      <w:lvlText w:val="o"/>
      <w:lvlJc w:val="left"/>
      <w:pPr>
        <w:ind w:left="0" w:firstLine="0"/>
      </w:pPr>
      <w:rPr>
        <w:rFonts w:ascii="Courier New" w:hAnsi="Courier New" w:cs="Courier New"/>
      </w:rPr>
    </w:lvl>
    <w:lvl w:ilvl="5" w:tplc="AEE87D9E">
      <w:numFmt w:val="bullet"/>
      <w:lvlText w:val=""/>
      <w:lvlJc w:val="left"/>
      <w:pPr>
        <w:ind w:left="0" w:firstLine="0"/>
      </w:pPr>
      <w:rPr>
        <w:rFonts w:ascii="Wingdings" w:hAnsi="Wingdings"/>
      </w:rPr>
    </w:lvl>
    <w:lvl w:ilvl="6" w:tplc="B3D46994">
      <w:numFmt w:val="bullet"/>
      <w:lvlText w:val=""/>
      <w:lvlJc w:val="left"/>
      <w:pPr>
        <w:ind w:left="0" w:firstLine="0"/>
      </w:pPr>
      <w:rPr>
        <w:rFonts w:ascii="Symbol" w:hAnsi="Symbol"/>
      </w:rPr>
    </w:lvl>
    <w:lvl w:ilvl="7" w:tplc="E0CED706">
      <w:numFmt w:val="bullet"/>
      <w:lvlText w:val="o"/>
      <w:lvlJc w:val="left"/>
      <w:pPr>
        <w:ind w:left="0" w:firstLine="0"/>
      </w:pPr>
      <w:rPr>
        <w:rFonts w:ascii="Courier New" w:hAnsi="Courier New" w:cs="Courier New"/>
      </w:rPr>
    </w:lvl>
    <w:lvl w:ilvl="8" w:tplc="957C5576">
      <w:numFmt w:val="bullet"/>
      <w:lvlText w:val=""/>
      <w:lvlJc w:val="left"/>
      <w:pPr>
        <w:ind w:left="0" w:firstLine="0"/>
      </w:pPr>
      <w:rPr>
        <w:rFonts w:ascii="Wingdings" w:hAnsi="Wingdings"/>
      </w:rPr>
    </w:lvl>
  </w:abstractNum>
  <w:abstractNum w:abstractNumId="4" w15:restartNumberingAfterBreak="0">
    <w:nsid w:val="36C8479E"/>
    <w:multiLevelType w:val="hybridMultilevel"/>
    <w:tmpl w:val="04090001"/>
    <w:lvl w:ilvl="0" w:tplc="63DAFAB2">
      <w:start w:val="1"/>
      <w:numFmt w:val="bullet"/>
      <w:lvlText w:val=""/>
      <w:lvlJc w:val="left"/>
      <w:pPr>
        <w:tabs>
          <w:tab w:val="num" w:pos="360"/>
        </w:tabs>
        <w:ind w:left="360" w:hanging="360"/>
      </w:pPr>
      <w:rPr>
        <w:rFonts w:ascii="Symbol" w:hAnsi="Symbol" w:hint="default"/>
      </w:rPr>
    </w:lvl>
    <w:lvl w:ilvl="1" w:tplc="0ED2F69A">
      <w:numFmt w:val="decimal"/>
      <w:lvlText w:val=""/>
      <w:lvlJc w:val="left"/>
    </w:lvl>
    <w:lvl w:ilvl="2" w:tplc="295AE322">
      <w:numFmt w:val="decimal"/>
      <w:lvlText w:val=""/>
      <w:lvlJc w:val="left"/>
    </w:lvl>
    <w:lvl w:ilvl="3" w:tplc="52F60FDA">
      <w:numFmt w:val="decimal"/>
      <w:lvlText w:val=""/>
      <w:lvlJc w:val="left"/>
    </w:lvl>
    <w:lvl w:ilvl="4" w:tplc="5FF24298">
      <w:numFmt w:val="decimal"/>
      <w:lvlText w:val=""/>
      <w:lvlJc w:val="left"/>
    </w:lvl>
    <w:lvl w:ilvl="5" w:tplc="2E109844">
      <w:numFmt w:val="decimal"/>
      <w:lvlText w:val=""/>
      <w:lvlJc w:val="left"/>
    </w:lvl>
    <w:lvl w:ilvl="6" w:tplc="E0780870">
      <w:numFmt w:val="decimal"/>
      <w:lvlText w:val=""/>
      <w:lvlJc w:val="left"/>
    </w:lvl>
    <w:lvl w:ilvl="7" w:tplc="12FA810C">
      <w:numFmt w:val="decimal"/>
      <w:lvlText w:val=""/>
      <w:lvlJc w:val="left"/>
    </w:lvl>
    <w:lvl w:ilvl="8" w:tplc="298E8EFC">
      <w:numFmt w:val="decimal"/>
      <w:lvlText w:val=""/>
      <w:lvlJc w:val="left"/>
    </w:lvl>
  </w:abstractNum>
  <w:abstractNum w:abstractNumId="5" w15:restartNumberingAfterBreak="0">
    <w:nsid w:val="38B94F90"/>
    <w:multiLevelType w:val="hybridMultilevel"/>
    <w:tmpl w:val="2EFC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DA637E"/>
    <w:multiLevelType w:val="hybridMultilevel"/>
    <w:tmpl w:val="2886EFF4"/>
    <w:lvl w:ilvl="0" w:tplc="E9A28788">
      <w:start w:val="1"/>
      <w:numFmt w:val="decimal"/>
      <w:lvlText w:val="%1."/>
      <w:lvlJc w:val="left"/>
      <w:pPr>
        <w:ind w:left="720" w:hanging="360"/>
      </w:pPr>
    </w:lvl>
    <w:lvl w:ilvl="1" w:tplc="DFDE0B08">
      <w:start w:val="1"/>
      <w:numFmt w:val="lowerLetter"/>
      <w:lvlText w:val="%2."/>
      <w:lvlJc w:val="left"/>
      <w:pPr>
        <w:ind w:left="1440" w:hanging="360"/>
      </w:pPr>
    </w:lvl>
    <w:lvl w:ilvl="2" w:tplc="B2389E2C">
      <w:start w:val="1"/>
      <w:numFmt w:val="lowerRoman"/>
      <w:lvlText w:val="%3."/>
      <w:lvlJc w:val="right"/>
      <w:pPr>
        <w:ind w:left="2160" w:hanging="180"/>
      </w:pPr>
    </w:lvl>
    <w:lvl w:ilvl="3" w:tplc="9CCA66DE">
      <w:start w:val="1"/>
      <w:numFmt w:val="decimal"/>
      <w:lvlText w:val="%4."/>
      <w:lvlJc w:val="left"/>
      <w:pPr>
        <w:ind w:left="2880" w:hanging="360"/>
      </w:pPr>
    </w:lvl>
    <w:lvl w:ilvl="4" w:tplc="E0CC7578">
      <w:start w:val="1"/>
      <w:numFmt w:val="lowerLetter"/>
      <w:lvlText w:val="%5."/>
      <w:lvlJc w:val="left"/>
      <w:pPr>
        <w:ind w:left="3600" w:hanging="360"/>
      </w:pPr>
    </w:lvl>
    <w:lvl w:ilvl="5" w:tplc="1EAE778A">
      <w:start w:val="1"/>
      <w:numFmt w:val="lowerRoman"/>
      <w:lvlText w:val="%6."/>
      <w:lvlJc w:val="right"/>
      <w:pPr>
        <w:ind w:left="4320" w:hanging="180"/>
      </w:pPr>
    </w:lvl>
    <w:lvl w:ilvl="6" w:tplc="817C0448">
      <w:start w:val="1"/>
      <w:numFmt w:val="decimal"/>
      <w:lvlText w:val="%7."/>
      <w:lvlJc w:val="left"/>
      <w:pPr>
        <w:ind w:left="5040" w:hanging="360"/>
      </w:pPr>
    </w:lvl>
    <w:lvl w:ilvl="7" w:tplc="818A0FF8">
      <w:start w:val="1"/>
      <w:numFmt w:val="lowerLetter"/>
      <w:lvlText w:val="%8."/>
      <w:lvlJc w:val="left"/>
      <w:pPr>
        <w:ind w:left="5760" w:hanging="360"/>
      </w:pPr>
    </w:lvl>
    <w:lvl w:ilvl="8" w:tplc="DEACEE6E">
      <w:start w:val="1"/>
      <w:numFmt w:val="lowerRoman"/>
      <w:lvlText w:val="%9."/>
      <w:lvlJc w:val="right"/>
      <w:pPr>
        <w:ind w:left="6480" w:hanging="180"/>
      </w:pPr>
    </w:lvl>
  </w:abstractNum>
  <w:abstractNum w:abstractNumId="7" w15:restartNumberingAfterBreak="0">
    <w:nsid w:val="45D829B4"/>
    <w:multiLevelType w:val="hybridMultilevel"/>
    <w:tmpl w:val="22FC7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B524C"/>
    <w:multiLevelType w:val="hybridMultilevel"/>
    <w:tmpl w:val="76E4892E"/>
    <w:lvl w:ilvl="0" w:tplc="F134FCCA">
      <w:start w:val="1"/>
      <w:numFmt w:val="bullet"/>
      <w:lvlText w:val=""/>
      <w:lvlJc w:val="left"/>
      <w:pPr>
        <w:ind w:left="720" w:hanging="360"/>
      </w:pPr>
      <w:rPr>
        <w:rFonts w:ascii="Symbol" w:hAnsi="Symbol" w:hint="default"/>
      </w:rPr>
    </w:lvl>
    <w:lvl w:ilvl="1" w:tplc="86AA9C24">
      <w:start w:val="1"/>
      <w:numFmt w:val="bullet"/>
      <w:lvlText w:val=""/>
      <w:lvlJc w:val="left"/>
      <w:pPr>
        <w:ind w:left="1440" w:hanging="360"/>
      </w:pPr>
      <w:rPr>
        <w:rFonts w:ascii="Symbol" w:hAnsi="Symbol" w:hint="default"/>
      </w:rPr>
    </w:lvl>
    <w:lvl w:ilvl="2" w:tplc="7F82313C">
      <w:start w:val="1"/>
      <w:numFmt w:val="bullet"/>
      <w:lvlText w:val=""/>
      <w:lvlJc w:val="left"/>
      <w:pPr>
        <w:ind w:left="2160" w:hanging="360"/>
      </w:pPr>
      <w:rPr>
        <w:rFonts w:ascii="Wingdings" w:hAnsi="Wingdings" w:hint="default"/>
      </w:rPr>
    </w:lvl>
    <w:lvl w:ilvl="3" w:tplc="11E62314">
      <w:start w:val="1"/>
      <w:numFmt w:val="bullet"/>
      <w:lvlText w:val=""/>
      <w:lvlJc w:val="left"/>
      <w:pPr>
        <w:ind w:left="2880" w:hanging="360"/>
      </w:pPr>
      <w:rPr>
        <w:rFonts w:ascii="Symbol" w:hAnsi="Symbol" w:hint="default"/>
      </w:rPr>
    </w:lvl>
    <w:lvl w:ilvl="4" w:tplc="40347A8C">
      <w:start w:val="1"/>
      <w:numFmt w:val="bullet"/>
      <w:lvlText w:val="o"/>
      <w:lvlJc w:val="left"/>
      <w:pPr>
        <w:ind w:left="3600" w:hanging="360"/>
      </w:pPr>
      <w:rPr>
        <w:rFonts w:ascii="Courier New" w:hAnsi="Courier New" w:hint="default"/>
      </w:rPr>
    </w:lvl>
    <w:lvl w:ilvl="5" w:tplc="E5B6323C">
      <w:start w:val="1"/>
      <w:numFmt w:val="bullet"/>
      <w:lvlText w:val=""/>
      <w:lvlJc w:val="left"/>
      <w:pPr>
        <w:ind w:left="4320" w:hanging="360"/>
      </w:pPr>
      <w:rPr>
        <w:rFonts w:ascii="Wingdings" w:hAnsi="Wingdings" w:hint="default"/>
      </w:rPr>
    </w:lvl>
    <w:lvl w:ilvl="6" w:tplc="7DB8600E">
      <w:start w:val="1"/>
      <w:numFmt w:val="bullet"/>
      <w:lvlText w:val=""/>
      <w:lvlJc w:val="left"/>
      <w:pPr>
        <w:ind w:left="5040" w:hanging="360"/>
      </w:pPr>
      <w:rPr>
        <w:rFonts w:ascii="Symbol" w:hAnsi="Symbol" w:hint="default"/>
      </w:rPr>
    </w:lvl>
    <w:lvl w:ilvl="7" w:tplc="5CF69CE8">
      <w:start w:val="1"/>
      <w:numFmt w:val="bullet"/>
      <w:lvlText w:val="o"/>
      <w:lvlJc w:val="left"/>
      <w:pPr>
        <w:ind w:left="5760" w:hanging="360"/>
      </w:pPr>
      <w:rPr>
        <w:rFonts w:ascii="Courier New" w:hAnsi="Courier New" w:hint="default"/>
      </w:rPr>
    </w:lvl>
    <w:lvl w:ilvl="8" w:tplc="FA4E2F50">
      <w:start w:val="1"/>
      <w:numFmt w:val="bullet"/>
      <w:lvlText w:val=""/>
      <w:lvlJc w:val="left"/>
      <w:pPr>
        <w:ind w:left="6480" w:hanging="360"/>
      </w:pPr>
      <w:rPr>
        <w:rFonts w:ascii="Wingdings" w:hAnsi="Wingdings" w:hint="default"/>
      </w:rPr>
    </w:lvl>
  </w:abstractNum>
  <w:abstractNum w:abstractNumId="9" w15:restartNumberingAfterBreak="0">
    <w:nsid w:val="5AB80DA0"/>
    <w:multiLevelType w:val="hybridMultilevel"/>
    <w:tmpl w:val="C9380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B312904"/>
    <w:multiLevelType w:val="hybridMultilevel"/>
    <w:tmpl w:val="5E66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324D9"/>
    <w:multiLevelType w:val="hybridMultilevel"/>
    <w:tmpl w:val="C3F28E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F02B00"/>
    <w:multiLevelType w:val="hybridMultilevel"/>
    <w:tmpl w:val="AB349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1"/>
  </w:num>
  <w:num w:numId="4">
    <w:abstractNumId w:val="12"/>
  </w:num>
  <w:num w:numId="5">
    <w:abstractNumId w:val="2"/>
  </w:num>
  <w:num w:numId="6">
    <w:abstractNumId w:val="3"/>
  </w:num>
  <w:num w:numId="7">
    <w:abstractNumId w:val="3"/>
  </w:num>
  <w:num w:numId="8">
    <w:abstractNumId w:val="4"/>
  </w:num>
  <w:num w:numId="9">
    <w:abstractNumId w:val="0"/>
  </w:num>
  <w:num w:numId="10">
    <w:abstractNumId w:val="5"/>
  </w:num>
  <w:num w:numId="11">
    <w:abstractNumId w:val="10"/>
  </w:num>
  <w:num w:numId="12">
    <w:abstractNumId w:val="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F6"/>
    <w:rsid w:val="00000355"/>
    <w:rsid w:val="00006B44"/>
    <w:rsid w:val="0001127C"/>
    <w:rsid w:val="00022A44"/>
    <w:rsid w:val="00030A89"/>
    <w:rsid w:val="00035B78"/>
    <w:rsid w:val="00035FA6"/>
    <w:rsid w:val="00037B87"/>
    <w:rsid w:val="00045E1B"/>
    <w:rsid w:val="00060F70"/>
    <w:rsid w:val="00070920"/>
    <w:rsid w:val="0007150C"/>
    <w:rsid w:val="00073409"/>
    <w:rsid w:val="00082ACF"/>
    <w:rsid w:val="000857AA"/>
    <w:rsid w:val="00086213"/>
    <w:rsid w:val="00095524"/>
    <w:rsid w:val="00097F69"/>
    <w:rsid w:val="000A24EC"/>
    <w:rsid w:val="000A2D4D"/>
    <w:rsid w:val="000B20E8"/>
    <w:rsid w:val="000B38A6"/>
    <w:rsid w:val="000B7D81"/>
    <w:rsid w:val="000C0C2A"/>
    <w:rsid w:val="000C17A0"/>
    <w:rsid w:val="000C1A1C"/>
    <w:rsid w:val="000C3F78"/>
    <w:rsid w:val="000C570E"/>
    <w:rsid w:val="000C5F16"/>
    <w:rsid w:val="000D1C61"/>
    <w:rsid w:val="000D24E3"/>
    <w:rsid w:val="000D4108"/>
    <w:rsid w:val="000D5AD0"/>
    <w:rsid w:val="000D61E4"/>
    <w:rsid w:val="000E11A9"/>
    <w:rsid w:val="000E1C49"/>
    <w:rsid w:val="000E3EC6"/>
    <w:rsid w:val="000E42FE"/>
    <w:rsid w:val="000F1115"/>
    <w:rsid w:val="000F1A9F"/>
    <w:rsid w:val="000F7E17"/>
    <w:rsid w:val="000F7FE3"/>
    <w:rsid w:val="001008F3"/>
    <w:rsid w:val="00107440"/>
    <w:rsid w:val="00107624"/>
    <w:rsid w:val="00111ACA"/>
    <w:rsid w:val="001132B9"/>
    <w:rsid w:val="00117E7C"/>
    <w:rsid w:val="00121178"/>
    <w:rsid w:val="0012296C"/>
    <w:rsid w:val="001244B5"/>
    <w:rsid w:val="00125F10"/>
    <w:rsid w:val="00126EFC"/>
    <w:rsid w:val="001336EA"/>
    <w:rsid w:val="00134931"/>
    <w:rsid w:val="001351EE"/>
    <w:rsid w:val="001354CD"/>
    <w:rsid w:val="001377BA"/>
    <w:rsid w:val="0014490B"/>
    <w:rsid w:val="00144E19"/>
    <w:rsid w:val="00145CF9"/>
    <w:rsid w:val="00147F0D"/>
    <w:rsid w:val="001534D2"/>
    <w:rsid w:val="00167EC8"/>
    <w:rsid w:val="00172C30"/>
    <w:rsid w:val="0017462F"/>
    <w:rsid w:val="001870D6"/>
    <w:rsid w:val="001876CE"/>
    <w:rsid w:val="00190B91"/>
    <w:rsid w:val="00191425"/>
    <w:rsid w:val="00191AC6"/>
    <w:rsid w:val="00191D45"/>
    <w:rsid w:val="001A1810"/>
    <w:rsid w:val="001A19FD"/>
    <w:rsid w:val="001A358F"/>
    <w:rsid w:val="001A4CAF"/>
    <w:rsid w:val="001B5111"/>
    <w:rsid w:val="001C25EF"/>
    <w:rsid w:val="001D1719"/>
    <w:rsid w:val="001D72F0"/>
    <w:rsid w:val="001D76AF"/>
    <w:rsid w:val="001D79BC"/>
    <w:rsid w:val="001E351F"/>
    <w:rsid w:val="001E46CC"/>
    <w:rsid w:val="001F106B"/>
    <w:rsid w:val="001F108A"/>
    <w:rsid w:val="001F1499"/>
    <w:rsid w:val="001F5D37"/>
    <w:rsid w:val="001F6156"/>
    <w:rsid w:val="00201FCE"/>
    <w:rsid w:val="002024C1"/>
    <w:rsid w:val="00204319"/>
    <w:rsid w:val="002060FF"/>
    <w:rsid w:val="002062B5"/>
    <w:rsid w:val="002117CE"/>
    <w:rsid w:val="00233201"/>
    <w:rsid w:val="002378D3"/>
    <w:rsid w:val="002400BC"/>
    <w:rsid w:val="0024478F"/>
    <w:rsid w:val="00257840"/>
    <w:rsid w:val="00271C4A"/>
    <w:rsid w:val="00273639"/>
    <w:rsid w:val="00273F8C"/>
    <w:rsid w:val="002810F2"/>
    <w:rsid w:val="002812ED"/>
    <w:rsid w:val="002846FD"/>
    <w:rsid w:val="002A0320"/>
    <w:rsid w:val="002A2168"/>
    <w:rsid w:val="002A29D9"/>
    <w:rsid w:val="002A3E7D"/>
    <w:rsid w:val="002A55AA"/>
    <w:rsid w:val="002B00FF"/>
    <w:rsid w:val="002B13F5"/>
    <w:rsid w:val="002B34F6"/>
    <w:rsid w:val="002B3D80"/>
    <w:rsid w:val="002C13FC"/>
    <w:rsid w:val="002C3F8B"/>
    <w:rsid w:val="002C4DA7"/>
    <w:rsid w:val="002D6ABB"/>
    <w:rsid w:val="002E04C2"/>
    <w:rsid w:val="002E122F"/>
    <w:rsid w:val="002E19D8"/>
    <w:rsid w:val="002E4E79"/>
    <w:rsid w:val="00303A33"/>
    <w:rsid w:val="003044F2"/>
    <w:rsid w:val="00306CDD"/>
    <w:rsid w:val="00311471"/>
    <w:rsid w:val="003166C3"/>
    <w:rsid w:val="003167D6"/>
    <w:rsid w:val="00321EC9"/>
    <w:rsid w:val="00324346"/>
    <w:rsid w:val="00332A09"/>
    <w:rsid w:val="00332C93"/>
    <w:rsid w:val="003367AD"/>
    <w:rsid w:val="0034152D"/>
    <w:rsid w:val="00367B11"/>
    <w:rsid w:val="00376466"/>
    <w:rsid w:val="00381314"/>
    <w:rsid w:val="00384D8B"/>
    <w:rsid w:val="003863AB"/>
    <w:rsid w:val="003A13D5"/>
    <w:rsid w:val="003A5FCB"/>
    <w:rsid w:val="003B0AF1"/>
    <w:rsid w:val="003B425A"/>
    <w:rsid w:val="003C058A"/>
    <w:rsid w:val="003C3CB0"/>
    <w:rsid w:val="003C6960"/>
    <w:rsid w:val="003C7E68"/>
    <w:rsid w:val="003F2C65"/>
    <w:rsid w:val="003F2CC9"/>
    <w:rsid w:val="00400D46"/>
    <w:rsid w:val="004023E5"/>
    <w:rsid w:val="00406F46"/>
    <w:rsid w:val="00410048"/>
    <w:rsid w:val="00414EA3"/>
    <w:rsid w:val="004168C5"/>
    <w:rsid w:val="0041745A"/>
    <w:rsid w:val="00423B9C"/>
    <w:rsid w:val="00425D8A"/>
    <w:rsid w:val="004317EF"/>
    <w:rsid w:val="00431C0F"/>
    <w:rsid w:val="00437362"/>
    <w:rsid w:val="00444A2B"/>
    <w:rsid w:val="0045170A"/>
    <w:rsid w:val="00453260"/>
    <w:rsid w:val="00454174"/>
    <w:rsid w:val="004574AC"/>
    <w:rsid w:val="00457A65"/>
    <w:rsid w:val="00462969"/>
    <w:rsid w:val="00464155"/>
    <w:rsid w:val="00466273"/>
    <w:rsid w:val="004675DF"/>
    <w:rsid w:val="00472750"/>
    <w:rsid w:val="004731EA"/>
    <w:rsid w:val="00475142"/>
    <w:rsid w:val="004772C5"/>
    <w:rsid w:val="00496814"/>
    <w:rsid w:val="0049743E"/>
    <w:rsid w:val="004A1AB4"/>
    <w:rsid w:val="004B60D7"/>
    <w:rsid w:val="004B72B8"/>
    <w:rsid w:val="004C5FE7"/>
    <w:rsid w:val="004D46B5"/>
    <w:rsid w:val="004D5EBE"/>
    <w:rsid w:val="004E43C6"/>
    <w:rsid w:val="004F681B"/>
    <w:rsid w:val="00503A15"/>
    <w:rsid w:val="00506C14"/>
    <w:rsid w:val="0050748B"/>
    <w:rsid w:val="00512947"/>
    <w:rsid w:val="00512FF1"/>
    <w:rsid w:val="00516719"/>
    <w:rsid w:val="00516B73"/>
    <w:rsid w:val="005172F8"/>
    <w:rsid w:val="0052042F"/>
    <w:rsid w:val="00520856"/>
    <w:rsid w:val="00521B23"/>
    <w:rsid w:val="005243B2"/>
    <w:rsid w:val="00526B0B"/>
    <w:rsid w:val="00527B48"/>
    <w:rsid w:val="00535212"/>
    <w:rsid w:val="00537FCD"/>
    <w:rsid w:val="00544400"/>
    <w:rsid w:val="00550DBC"/>
    <w:rsid w:val="00556AAC"/>
    <w:rsid w:val="0056466E"/>
    <w:rsid w:val="00567DAD"/>
    <w:rsid w:val="00571485"/>
    <w:rsid w:val="00572787"/>
    <w:rsid w:val="00573E8D"/>
    <w:rsid w:val="00575C8B"/>
    <w:rsid w:val="005760AF"/>
    <w:rsid w:val="00576385"/>
    <w:rsid w:val="00581909"/>
    <w:rsid w:val="00582CA6"/>
    <w:rsid w:val="00586D91"/>
    <w:rsid w:val="00590CC7"/>
    <w:rsid w:val="00590EB4"/>
    <w:rsid w:val="00591902"/>
    <w:rsid w:val="005924BA"/>
    <w:rsid w:val="00594AB6"/>
    <w:rsid w:val="005A71F6"/>
    <w:rsid w:val="005A77D8"/>
    <w:rsid w:val="005B1FCA"/>
    <w:rsid w:val="005B76A3"/>
    <w:rsid w:val="005C32AF"/>
    <w:rsid w:val="005C37A0"/>
    <w:rsid w:val="005C60E4"/>
    <w:rsid w:val="005D651A"/>
    <w:rsid w:val="005F0321"/>
    <w:rsid w:val="005F1337"/>
    <w:rsid w:val="005F63F9"/>
    <w:rsid w:val="00603879"/>
    <w:rsid w:val="006054C8"/>
    <w:rsid w:val="00612463"/>
    <w:rsid w:val="0061480C"/>
    <w:rsid w:val="006179EB"/>
    <w:rsid w:val="006202E1"/>
    <w:rsid w:val="00630BFC"/>
    <w:rsid w:val="00631412"/>
    <w:rsid w:val="00631A7B"/>
    <w:rsid w:val="00632B67"/>
    <w:rsid w:val="00646584"/>
    <w:rsid w:val="00657774"/>
    <w:rsid w:val="006601D7"/>
    <w:rsid w:val="006602F8"/>
    <w:rsid w:val="006619B4"/>
    <w:rsid w:val="00665BAA"/>
    <w:rsid w:val="0067005B"/>
    <w:rsid w:val="00676D5B"/>
    <w:rsid w:val="006816E7"/>
    <w:rsid w:val="006837A1"/>
    <w:rsid w:val="00691CD3"/>
    <w:rsid w:val="0069541B"/>
    <w:rsid w:val="006A0A23"/>
    <w:rsid w:val="006A5867"/>
    <w:rsid w:val="006A68A3"/>
    <w:rsid w:val="006A751A"/>
    <w:rsid w:val="006B0010"/>
    <w:rsid w:val="006B3499"/>
    <w:rsid w:val="006B3C4F"/>
    <w:rsid w:val="006B3DB2"/>
    <w:rsid w:val="006B5A1C"/>
    <w:rsid w:val="006C1490"/>
    <w:rsid w:val="006C1D83"/>
    <w:rsid w:val="006C69E0"/>
    <w:rsid w:val="006C74BB"/>
    <w:rsid w:val="006D52B3"/>
    <w:rsid w:val="006E0613"/>
    <w:rsid w:val="006F6AAA"/>
    <w:rsid w:val="006F7EE7"/>
    <w:rsid w:val="00703E91"/>
    <w:rsid w:val="0070504C"/>
    <w:rsid w:val="00706EF8"/>
    <w:rsid w:val="00712B13"/>
    <w:rsid w:val="00714D54"/>
    <w:rsid w:val="00717F40"/>
    <w:rsid w:val="0072256D"/>
    <w:rsid w:val="00725B9D"/>
    <w:rsid w:val="00726203"/>
    <w:rsid w:val="00736434"/>
    <w:rsid w:val="007400B4"/>
    <w:rsid w:val="00745501"/>
    <w:rsid w:val="007476C9"/>
    <w:rsid w:val="00747C49"/>
    <w:rsid w:val="00750386"/>
    <w:rsid w:val="00751456"/>
    <w:rsid w:val="0075198B"/>
    <w:rsid w:val="00751DF5"/>
    <w:rsid w:val="007522A5"/>
    <w:rsid w:val="00764F73"/>
    <w:rsid w:val="00773535"/>
    <w:rsid w:val="00773B56"/>
    <w:rsid w:val="00773F74"/>
    <w:rsid w:val="007740A3"/>
    <w:rsid w:val="007771A4"/>
    <w:rsid w:val="007865C0"/>
    <w:rsid w:val="007901F3"/>
    <w:rsid w:val="007947A6"/>
    <w:rsid w:val="00795159"/>
    <w:rsid w:val="00797E33"/>
    <w:rsid w:val="007B531E"/>
    <w:rsid w:val="007B613D"/>
    <w:rsid w:val="007B6BA0"/>
    <w:rsid w:val="007B6C11"/>
    <w:rsid w:val="007C207D"/>
    <w:rsid w:val="007D04D2"/>
    <w:rsid w:val="007D1C4C"/>
    <w:rsid w:val="007D3A7D"/>
    <w:rsid w:val="007D6286"/>
    <w:rsid w:val="007D7B75"/>
    <w:rsid w:val="007D7F09"/>
    <w:rsid w:val="007E243C"/>
    <w:rsid w:val="007F2C39"/>
    <w:rsid w:val="007F62C9"/>
    <w:rsid w:val="0080588D"/>
    <w:rsid w:val="008058A8"/>
    <w:rsid w:val="00807DE7"/>
    <w:rsid w:val="00812C12"/>
    <w:rsid w:val="008214BC"/>
    <w:rsid w:val="008242B5"/>
    <w:rsid w:val="00834D50"/>
    <w:rsid w:val="00836953"/>
    <w:rsid w:val="00836B4C"/>
    <w:rsid w:val="008416CA"/>
    <w:rsid w:val="008469DE"/>
    <w:rsid w:val="00854D8F"/>
    <w:rsid w:val="00857796"/>
    <w:rsid w:val="0086070D"/>
    <w:rsid w:val="00860EF3"/>
    <w:rsid w:val="008661B1"/>
    <w:rsid w:val="00870A10"/>
    <w:rsid w:val="00873467"/>
    <w:rsid w:val="00876E4E"/>
    <w:rsid w:val="008803D5"/>
    <w:rsid w:val="00881B9D"/>
    <w:rsid w:val="00882FD6"/>
    <w:rsid w:val="00885438"/>
    <w:rsid w:val="00892FC2"/>
    <w:rsid w:val="00893D08"/>
    <w:rsid w:val="0089601B"/>
    <w:rsid w:val="008967B0"/>
    <w:rsid w:val="008A54BC"/>
    <w:rsid w:val="008B58EA"/>
    <w:rsid w:val="008B65EA"/>
    <w:rsid w:val="008C021A"/>
    <w:rsid w:val="008C0762"/>
    <w:rsid w:val="008C1525"/>
    <w:rsid w:val="008C531B"/>
    <w:rsid w:val="008D304D"/>
    <w:rsid w:val="008E1572"/>
    <w:rsid w:val="008E5F97"/>
    <w:rsid w:val="008F510C"/>
    <w:rsid w:val="008F5AE6"/>
    <w:rsid w:val="0090188F"/>
    <w:rsid w:val="009027D9"/>
    <w:rsid w:val="00904CAC"/>
    <w:rsid w:val="009110EF"/>
    <w:rsid w:val="00920191"/>
    <w:rsid w:val="009202F8"/>
    <w:rsid w:val="00923597"/>
    <w:rsid w:val="00924F6C"/>
    <w:rsid w:val="00926CCF"/>
    <w:rsid w:val="0093717F"/>
    <w:rsid w:val="00942517"/>
    <w:rsid w:val="00944E12"/>
    <w:rsid w:val="009535E6"/>
    <w:rsid w:val="00954D7D"/>
    <w:rsid w:val="00955CCA"/>
    <w:rsid w:val="0095604D"/>
    <w:rsid w:val="00957116"/>
    <w:rsid w:val="00964657"/>
    <w:rsid w:val="009650B2"/>
    <w:rsid w:val="00970FCD"/>
    <w:rsid w:val="009715AE"/>
    <w:rsid w:val="009759FF"/>
    <w:rsid w:val="00980E2C"/>
    <w:rsid w:val="00986AE7"/>
    <w:rsid w:val="0098761C"/>
    <w:rsid w:val="009914EE"/>
    <w:rsid w:val="009A0BC3"/>
    <w:rsid w:val="009A280F"/>
    <w:rsid w:val="009A3D4D"/>
    <w:rsid w:val="009A3F13"/>
    <w:rsid w:val="009A40B2"/>
    <w:rsid w:val="009B75DE"/>
    <w:rsid w:val="009C1674"/>
    <w:rsid w:val="009C285D"/>
    <w:rsid w:val="009C352D"/>
    <w:rsid w:val="009C6B38"/>
    <w:rsid w:val="009D19C2"/>
    <w:rsid w:val="009E0B2E"/>
    <w:rsid w:val="009E1F69"/>
    <w:rsid w:val="009E4E22"/>
    <w:rsid w:val="009F129F"/>
    <w:rsid w:val="009F1F60"/>
    <w:rsid w:val="009F2710"/>
    <w:rsid w:val="00A03B8F"/>
    <w:rsid w:val="00A06C59"/>
    <w:rsid w:val="00A1357E"/>
    <w:rsid w:val="00A15E65"/>
    <w:rsid w:val="00A17DE0"/>
    <w:rsid w:val="00A23E0C"/>
    <w:rsid w:val="00A2620E"/>
    <w:rsid w:val="00A27845"/>
    <w:rsid w:val="00A32A4E"/>
    <w:rsid w:val="00A368B5"/>
    <w:rsid w:val="00A41569"/>
    <w:rsid w:val="00A42283"/>
    <w:rsid w:val="00A43F6E"/>
    <w:rsid w:val="00A46155"/>
    <w:rsid w:val="00A50DD8"/>
    <w:rsid w:val="00A51228"/>
    <w:rsid w:val="00A606B1"/>
    <w:rsid w:val="00A61F22"/>
    <w:rsid w:val="00A64674"/>
    <w:rsid w:val="00A65BC6"/>
    <w:rsid w:val="00A7516B"/>
    <w:rsid w:val="00A8052C"/>
    <w:rsid w:val="00A81C1D"/>
    <w:rsid w:val="00A83369"/>
    <w:rsid w:val="00A86E33"/>
    <w:rsid w:val="00A879AC"/>
    <w:rsid w:val="00A90AAA"/>
    <w:rsid w:val="00A97E9F"/>
    <w:rsid w:val="00AA1B7E"/>
    <w:rsid w:val="00AA2B86"/>
    <w:rsid w:val="00AB6AB7"/>
    <w:rsid w:val="00AC00B1"/>
    <w:rsid w:val="00AC22BD"/>
    <w:rsid w:val="00AC2660"/>
    <w:rsid w:val="00AC4C71"/>
    <w:rsid w:val="00AD02F8"/>
    <w:rsid w:val="00AD0D9F"/>
    <w:rsid w:val="00AE07C6"/>
    <w:rsid w:val="00AE10A0"/>
    <w:rsid w:val="00AE14B5"/>
    <w:rsid w:val="00AE4308"/>
    <w:rsid w:val="00AE4ABA"/>
    <w:rsid w:val="00AE567E"/>
    <w:rsid w:val="00AF022E"/>
    <w:rsid w:val="00AF0ACF"/>
    <w:rsid w:val="00AF0B80"/>
    <w:rsid w:val="00AF705D"/>
    <w:rsid w:val="00B01D73"/>
    <w:rsid w:val="00B0329D"/>
    <w:rsid w:val="00B05007"/>
    <w:rsid w:val="00B067B3"/>
    <w:rsid w:val="00B07A66"/>
    <w:rsid w:val="00B114DE"/>
    <w:rsid w:val="00B214F2"/>
    <w:rsid w:val="00B23109"/>
    <w:rsid w:val="00B24E47"/>
    <w:rsid w:val="00B2704D"/>
    <w:rsid w:val="00B30CC9"/>
    <w:rsid w:val="00B427DB"/>
    <w:rsid w:val="00B44D58"/>
    <w:rsid w:val="00B507C4"/>
    <w:rsid w:val="00B515ED"/>
    <w:rsid w:val="00B631E4"/>
    <w:rsid w:val="00B63B71"/>
    <w:rsid w:val="00B64B15"/>
    <w:rsid w:val="00B64B46"/>
    <w:rsid w:val="00B67F83"/>
    <w:rsid w:val="00B72645"/>
    <w:rsid w:val="00B72DE8"/>
    <w:rsid w:val="00B731FD"/>
    <w:rsid w:val="00B77D47"/>
    <w:rsid w:val="00B862F7"/>
    <w:rsid w:val="00B90C17"/>
    <w:rsid w:val="00B9615D"/>
    <w:rsid w:val="00B97520"/>
    <w:rsid w:val="00B97825"/>
    <w:rsid w:val="00BA2052"/>
    <w:rsid w:val="00BB1817"/>
    <w:rsid w:val="00BB5DD9"/>
    <w:rsid w:val="00BB7DEF"/>
    <w:rsid w:val="00BC3676"/>
    <w:rsid w:val="00BD20C1"/>
    <w:rsid w:val="00BD458F"/>
    <w:rsid w:val="00BE1BC6"/>
    <w:rsid w:val="00BF4259"/>
    <w:rsid w:val="00BF5971"/>
    <w:rsid w:val="00BF67BA"/>
    <w:rsid w:val="00BF7320"/>
    <w:rsid w:val="00C113AA"/>
    <w:rsid w:val="00C16450"/>
    <w:rsid w:val="00C20F13"/>
    <w:rsid w:val="00C239BF"/>
    <w:rsid w:val="00C24141"/>
    <w:rsid w:val="00C25114"/>
    <w:rsid w:val="00C25BFC"/>
    <w:rsid w:val="00C26B49"/>
    <w:rsid w:val="00C30336"/>
    <w:rsid w:val="00C30A1F"/>
    <w:rsid w:val="00C3600A"/>
    <w:rsid w:val="00C37D48"/>
    <w:rsid w:val="00C4025A"/>
    <w:rsid w:val="00C41DC2"/>
    <w:rsid w:val="00C51167"/>
    <w:rsid w:val="00C64072"/>
    <w:rsid w:val="00C664EC"/>
    <w:rsid w:val="00C67FA2"/>
    <w:rsid w:val="00C70B9F"/>
    <w:rsid w:val="00C72982"/>
    <w:rsid w:val="00C75949"/>
    <w:rsid w:val="00C77A83"/>
    <w:rsid w:val="00C806BB"/>
    <w:rsid w:val="00C808AD"/>
    <w:rsid w:val="00C85145"/>
    <w:rsid w:val="00C94E0F"/>
    <w:rsid w:val="00C96C88"/>
    <w:rsid w:val="00C978A9"/>
    <w:rsid w:val="00C97A2D"/>
    <w:rsid w:val="00CA1641"/>
    <w:rsid w:val="00CA41CB"/>
    <w:rsid w:val="00CB0D63"/>
    <w:rsid w:val="00CB3AB0"/>
    <w:rsid w:val="00CC0C04"/>
    <w:rsid w:val="00CC2062"/>
    <w:rsid w:val="00CC338E"/>
    <w:rsid w:val="00CC42DC"/>
    <w:rsid w:val="00CC4795"/>
    <w:rsid w:val="00CC4AEB"/>
    <w:rsid w:val="00CD056E"/>
    <w:rsid w:val="00CD311A"/>
    <w:rsid w:val="00CD7D4D"/>
    <w:rsid w:val="00CE6C5D"/>
    <w:rsid w:val="00D04446"/>
    <w:rsid w:val="00D10EAF"/>
    <w:rsid w:val="00D13329"/>
    <w:rsid w:val="00D16EF4"/>
    <w:rsid w:val="00D16F0B"/>
    <w:rsid w:val="00D17BF4"/>
    <w:rsid w:val="00D21913"/>
    <w:rsid w:val="00D2282D"/>
    <w:rsid w:val="00D23201"/>
    <w:rsid w:val="00D310F9"/>
    <w:rsid w:val="00D452C2"/>
    <w:rsid w:val="00D45C6C"/>
    <w:rsid w:val="00D51159"/>
    <w:rsid w:val="00D52D73"/>
    <w:rsid w:val="00D55910"/>
    <w:rsid w:val="00D63188"/>
    <w:rsid w:val="00D64A25"/>
    <w:rsid w:val="00D66440"/>
    <w:rsid w:val="00D778CD"/>
    <w:rsid w:val="00D80410"/>
    <w:rsid w:val="00D92C96"/>
    <w:rsid w:val="00DA2841"/>
    <w:rsid w:val="00DA6708"/>
    <w:rsid w:val="00DB2BA4"/>
    <w:rsid w:val="00DB5298"/>
    <w:rsid w:val="00DC069D"/>
    <w:rsid w:val="00DC077E"/>
    <w:rsid w:val="00DC12F4"/>
    <w:rsid w:val="00DE0ED9"/>
    <w:rsid w:val="00DE14DA"/>
    <w:rsid w:val="00DE181A"/>
    <w:rsid w:val="00DE24B4"/>
    <w:rsid w:val="00DE414D"/>
    <w:rsid w:val="00DE451F"/>
    <w:rsid w:val="00DE5945"/>
    <w:rsid w:val="00DE67C7"/>
    <w:rsid w:val="00DE70C4"/>
    <w:rsid w:val="00DE7A5A"/>
    <w:rsid w:val="00DF2BAF"/>
    <w:rsid w:val="00DF7C70"/>
    <w:rsid w:val="00DF7D63"/>
    <w:rsid w:val="00E041E7"/>
    <w:rsid w:val="00E05D46"/>
    <w:rsid w:val="00E1040B"/>
    <w:rsid w:val="00E11823"/>
    <w:rsid w:val="00E12F66"/>
    <w:rsid w:val="00E14A63"/>
    <w:rsid w:val="00E23CE9"/>
    <w:rsid w:val="00E269A0"/>
    <w:rsid w:val="00E33D21"/>
    <w:rsid w:val="00E40E57"/>
    <w:rsid w:val="00E42D19"/>
    <w:rsid w:val="00E435B4"/>
    <w:rsid w:val="00E43C8E"/>
    <w:rsid w:val="00E44935"/>
    <w:rsid w:val="00E44BB5"/>
    <w:rsid w:val="00E4568A"/>
    <w:rsid w:val="00E46048"/>
    <w:rsid w:val="00E514AA"/>
    <w:rsid w:val="00E53A78"/>
    <w:rsid w:val="00E603A5"/>
    <w:rsid w:val="00E606F4"/>
    <w:rsid w:val="00E71754"/>
    <w:rsid w:val="00E7694D"/>
    <w:rsid w:val="00E8025F"/>
    <w:rsid w:val="00E872DA"/>
    <w:rsid w:val="00E912D1"/>
    <w:rsid w:val="00E94A4D"/>
    <w:rsid w:val="00E95D23"/>
    <w:rsid w:val="00EA3FE7"/>
    <w:rsid w:val="00EA4D80"/>
    <w:rsid w:val="00EB152D"/>
    <w:rsid w:val="00EC7B5B"/>
    <w:rsid w:val="00ED12D4"/>
    <w:rsid w:val="00ED2585"/>
    <w:rsid w:val="00ED53DD"/>
    <w:rsid w:val="00EE016C"/>
    <w:rsid w:val="00EE22FD"/>
    <w:rsid w:val="00EE46A8"/>
    <w:rsid w:val="00EE5031"/>
    <w:rsid w:val="00F022CD"/>
    <w:rsid w:val="00F05B8A"/>
    <w:rsid w:val="00F113D2"/>
    <w:rsid w:val="00F166B3"/>
    <w:rsid w:val="00F209B4"/>
    <w:rsid w:val="00F25998"/>
    <w:rsid w:val="00F3250E"/>
    <w:rsid w:val="00F337D8"/>
    <w:rsid w:val="00F34AB3"/>
    <w:rsid w:val="00F35EC7"/>
    <w:rsid w:val="00F36143"/>
    <w:rsid w:val="00F44157"/>
    <w:rsid w:val="00F45497"/>
    <w:rsid w:val="00F456F0"/>
    <w:rsid w:val="00F4628A"/>
    <w:rsid w:val="00F54DF1"/>
    <w:rsid w:val="00F553DA"/>
    <w:rsid w:val="00F63B15"/>
    <w:rsid w:val="00F70971"/>
    <w:rsid w:val="00F709D7"/>
    <w:rsid w:val="00F717DE"/>
    <w:rsid w:val="00F72A0F"/>
    <w:rsid w:val="00F74E32"/>
    <w:rsid w:val="00F76602"/>
    <w:rsid w:val="00F8135C"/>
    <w:rsid w:val="00F847FB"/>
    <w:rsid w:val="00F92E4C"/>
    <w:rsid w:val="00F934FE"/>
    <w:rsid w:val="00FB2F94"/>
    <w:rsid w:val="00FC1870"/>
    <w:rsid w:val="00FC4AF7"/>
    <w:rsid w:val="00FC5399"/>
    <w:rsid w:val="00FC7162"/>
    <w:rsid w:val="00FD2574"/>
    <w:rsid w:val="00FD4583"/>
    <w:rsid w:val="00FD528C"/>
    <w:rsid w:val="00FD5FD5"/>
    <w:rsid w:val="00FE236B"/>
    <w:rsid w:val="00FF38D5"/>
    <w:rsid w:val="026A4831"/>
    <w:rsid w:val="0381249F"/>
    <w:rsid w:val="03E5BEDB"/>
    <w:rsid w:val="0446884F"/>
    <w:rsid w:val="04AEBE56"/>
    <w:rsid w:val="07009665"/>
    <w:rsid w:val="086CB12B"/>
    <w:rsid w:val="09202F45"/>
    <w:rsid w:val="09701B5E"/>
    <w:rsid w:val="098C4095"/>
    <w:rsid w:val="0B730E27"/>
    <w:rsid w:val="0C7A2726"/>
    <w:rsid w:val="108491FE"/>
    <w:rsid w:val="1129DEA5"/>
    <w:rsid w:val="1291B327"/>
    <w:rsid w:val="14C5E9B6"/>
    <w:rsid w:val="15B8A513"/>
    <w:rsid w:val="180A40E9"/>
    <w:rsid w:val="1882A50B"/>
    <w:rsid w:val="1A54B3E5"/>
    <w:rsid w:val="1AE12483"/>
    <w:rsid w:val="1B14636E"/>
    <w:rsid w:val="1BA68833"/>
    <w:rsid w:val="1C360531"/>
    <w:rsid w:val="1E8E6882"/>
    <w:rsid w:val="21A75428"/>
    <w:rsid w:val="223EEE21"/>
    <w:rsid w:val="23064CF6"/>
    <w:rsid w:val="24EC3D94"/>
    <w:rsid w:val="25D71A6B"/>
    <w:rsid w:val="26880DF5"/>
    <w:rsid w:val="272D02D9"/>
    <w:rsid w:val="2776FEEC"/>
    <w:rsid w:val="278C1056"/>
    <w:rsid w:val="28E1861B"/>
    <w:rsid w:val="29A3EDEB"/>
    <w:rsid w:val="29B89E0D"/>
    <w:rsid w:val="2A1646D5"/>
    <w:rsid w:val="2A30E87E"/>
    <w:rsid w:val="2BBEC732"/>
    <w:rsid w:val="2C0E9596"/>
    <w:rsid w:val="2D5D4FAC"/>
    <w:rsid w:val="2FC1C4B0"/>
    <w:rsid w:val="30161A6C"/>
    <w:rsid w:val="3178B81C"/>
    <w:rsid w:val="32A2B435"/>
    <w:rsid w:val="32E79EB1"/>
    <w:rsid w:val="33309203"/>
    <w:rsid w:val="340A89C2"/>
    <w:rsid w:val="352CDDCE"/>
    <w:rsid w:val="35481978"/>
    <w:rsid w:val="3571B19C"/>
    <w:rsid w:val="35CFB34A"/>
    <w:rsid w:val="35F2417E"/>
    <w:rsid w:val="364C89B7"/>
    <w:rsid w:val="3A143F5C"/>
    <w:rsid w:val="3F997CD1"/>
    <w:rsid w:val="4006A7A5"/>
    <w:rsid w:val="421E125F"/>
    <w:rsid w:val="42675513"/>
    <w:rsid w:val="44032574"/>
    <w:rsid w:val="44BD4F90"/>
    <w:rsid w:val="44FD696D"/>
    <w:rsid w:val="45036321"/>
    <w:rsid w:val="4947F390"/>
    <w:rsid w:val="49F916B4"/>
    <w:rsid w:val="4B4646D4"/>
    <w:rsid w:val="4BC9A824"/>
    <w:rsid w:val="4C837725"/>
    <w:rsid w:val="4DCF8998"/>
    <w:rsid w:val="4DE0B26A"/>
    <w:rsid w:val="4F4BCC68"/>
    <w:rsid w:val="5018931C"/>
    <w:rsid w:val="515FCF10"/>
    <w:rsid w:val="51D34F15"/>
    <w:rsid w:val="5611310E"/>
    <w:rsid w:val="585DF882"/>
    <w:rsid w:val="5A40D14C"/>
    <w:rsid w:val="5A7F7709"/>
    <w:rsid w:val="5BB656AB"/>
    <w:rsid w:val="5D0760AD"/>
    <w:rsid w:val="5D4ADD14"/>
    <w:rsid w:val="5D52270C"/>
    <w:rsid w:val="5DB8FA59"/>
    <w:rsid w:val="5E47DD7E"/>
    <w:rsid w:val="5E5C281F"/>
    <w:rsid w:val="5E5E4998"/>
    <w:rsid w:val="5EBEC869"/>
    <w:rsid w:val="5F92F2E4"/>
    <w:rsid w:val="5F96A869"/>
    <w:rsid w:val="5FB01B4B"/>
    <w:rsid w:val="607CAC5E"/>
    <w:rsid w:val="61C333F3"/>
    <w:rsid w:val="63550EE0"/>
    <w:rsid w:val="63F18B68"/>
    <w:rsid w:val="654DCF9D"/>
    <w:rsid w:val="65DB2F08"/>
    <w:rsid w:val="662F81F9"/>
    <w:rsid w:val="66A68782"/>
    <w:rsid w:val="67AF03AE"/>
    <w:rsid w:val="68539F92"/>
    <w:rsid w:val="6A0EEB88"/>
    <w:rsid w:val="6AB033C2"/>
    <w:rsid w:val="6B07AAF3"/>
    <w:rsid w:val="6B969F64"/>
    <w:rsid w:val="6C5C0314"/>
    <w:rsid w:val="6D744C7C"/>
    <w:rsid w:val="6D7E5720"/>
    <w:rsid w:val="6E2D170E"/>
    <w:rsid w:val="6E5C0DC9"/>
    <w:rsid w:val="717A862E"/>
    <w:rsid w:val="7262F340"/>
    <w:rsid w:val="7301C337"/>
    <w:rsid w:val="7316568F"/>
    <w:rsid w:val="738888EC"/>
    <w:rsid w:val="73A36DCC"/>
    <w:rsid w:val="748A152C"/>
    <w:rsid w:val="75269E66"/>
    <w:rsid w:val="75E2430A"/>
    <w:rsid w:val="765DAACD"/>
    <w:rsid w:val="76B5602A"/>
    <w:rsid w:val="76F1C50F"/>
    <w:rsid w:val="7705B3B8"/>
    <w:rsid w:val="77CB29B6"/>
    <w:rsid w:val="77E27DBA"/>
    <w:rsid w:val="794A8229"/>
    <w:rsid w:val="798239CD"/>
    <w:rsid w:val="7AE107E8"/>
    <w:rsid w:val="7B02CA78"/>
    <w:rsid w:val="7CBD38D5"/>
    <w:rsid w:val="7CFDA28E"/>
    <w:rsid w:val="7D7147E9"/>
    <w:rsid w:val="7D99B49E"/>
    <w:rsid w:val="7E7B1679"/>
    <w:rsid w:val="7F0F0392"/>
    <w:rsid w:val="7FB5B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70C3F"/>
  <w15:chartTrackingRefBased/>
  <w15:docId w15:val="{5A7B11EF-36B1-43FC-8543-2300B96B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F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4F6"/>
    <w:rPr>
      <w:rFonts w:ascii="Segoe UI" w:hAnsi="Segoe UI" w:cs="Segoe UI"/>
      <w:sz w:val="18"/>
      <w:szCs w:val="18"/>
    </w:rPr>
  </w:style>
  <w:style w:type="paragraph" w:styleId="ListParagraph">
    <w:name w:val="List Paragraph"/>
    <w:basedOn w:val="Normal"/>
    <w:uiPriority w:val="34"/>
    <w:qFormat/>
    <w:rsid w:val="00795159"/>
    <w:pPr>
      <w:ind w:left="720"/>
      <w:contextualSpacing/>
    </w:pPr>
  </w:style>
  <w:style w:type="character" w:styleId="CommentReference">
    <w:name w:val="annotation reference"/>
    <w:basedOn w:val="DefaultParagraphFont"/>
    <w:uiPriority w:val="99"/>
    <w:semiHidden/>
    <w:unhideWhenUsed/>
    <w:rsid w:val="001F106B"/>
    <w:rPr>
      <w:sz w:val="16"/>
      <w:szCs w:val="16"/>
    </w:rPr>
  </w:style>
  <w:style w:type="paragraph" w:styleId="CommentText">
    <w:name w:val="annotation text"/>
    <w:basedOn w:val="Normal"/>
    <w:link w:val="CommentTextChar"/>
    <w:uiPriority w:val="99"/>
    <w:semiHidden/>
    <w:unhideWhenUsed/>
    <w:rsid w:val="001F106B"/>
    <w:rPr>
      <w:sz w:val="20"/>
      <w:szCs w:val="20"/>
    </w:rPr>
  </w:style>
  <w:style w:type="character" w:customStyle="1" w:styleId="CommentTextChar">
    <w:name w:val="Comment Text Char"/>
    <w:basedOn w:val="DefaultParagraphFont"/>
    <w:link w:val="CommentText"/>
    <w:uiPriority w:val="99"/>
    <w:semiHidden/>
    <w:rsid w:val="001F1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106B"/>
    <w:rPr>
      <w:b/>
      <w:bCs/>
    </w:rPr>
  </w:style>
  <w:style w:type="character" w:customStyle="1" w:styleId="CommentSubjectChar">
    <w:name w:val="Comment Subject Char"/>
    <w:basedOn w:val="CommentTextChar"/>
    <w:link w:val="CommentSubject"/>
    <w:uiPriority w:val="99"/>
    <w:semiHidden/>
    <w:rsid w:val="001F106B"/>
    <w:rPr>
      <w:rFonts w:ascii="Times New Roman" w:hAnsi="Times New Roman"/>
      <w:b/>
      <w:bCs/>
      <w:sz w:val="20"/>
      <w:szCs w:val="20"/>
    </w:rPr>
  </w:style>
  <w:style w:type="character" w:customStyle="1" w:styleId="normaltextrun">
    <w:name w:val="normaltextrun"/>
    <w:basedOn w:val="DefaultParagraphFont"/>
    <w:rsid w:val="00A1357E"/>
  </w:style>
  <w:style w:type="character" w:customStyle="1" w:styleId="eop">
    <w:name w:val="eop"/>
    <w:basedOn w:val="DefaultParagraphFont"/>
    <w:rsid w:val="00A1357E"/>
  </w:style>
  <w:style w:type="paragraph" w:customStyle="1" w:styleId="Standard">
    <w:name w:val="Standard"/>
    <w:rsid w:val="003166C3"/>
    <w:pPr>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9">
    <w:name w:val="WWNum19"/>
    <w:rsid w:val="003166C3"/>
    <w:pPr>
      <w:numPr>
        <w:numId w:val="6"/>
      </w:numPr>
    </w:pPr>
  </w:style>
  <w:style w:type="paragraph" w:styleId="Header">
    <w:name w:val="header"/>
    <w:basedOn w:val="Normal"/>
    <w:link w:val="HeaderChar"/>
    <w:uiPriority w:val="99"/>
    <w:unhideWhenUsed/>
    <w:rsid w:val="008E1572"/>
    <w:pPr>
      <w:tabs>
        <w:tab w:val="center" w:pos="4680"/>
        <w:tab w:val="right" w:pos="9360"/>
      </w:tabs>
    </w:pPr>
  </w:style>
  <w:style w:type="character" w:customStyle="1" w:styleId="HeaderChar">
    <w:name w:val="Header Char"/>
    <w:basedOn w:val="DefaultParagraphFont"/>
    <w:link w:val="Header"/>
    <w:uiPriority w:val="99"/>
    <w:rsid w:val="008E1572"/>
    <w:rPr>
      <w:rFonts w:ascii="Times New Roman" w:hAnsi="Times New Roman"/>
      <w:sz w:val="24"/>
    </w:rPr>
  </w:style>
  <w:style w:type="paragraph" w:styleId="Footer">
    <w:name w:val="footer"/>
    <w:basedOn w:val="Normal"/>
    <w:link w:val="FooterChar"/>
    <w:uiPriority w:val="99"/>
    <w:unhideWhenUsed/>
    <w:rsid w:val="008E1572"/>
    <w:pPr>
      <w:tabs>
        <w:tab w:val="center" w:pos="4680"/>
        <w:tab w:val="right" w:pos="9360"/>
      </w:tabs>
    </w:pPr>
  </w:style>
  <w:style w:type="character" w:customStyle="1" w:styleId="FooterChar">
    <w:name w:val="Footer Char"/>
    <w:basedOn w:val="DefaultParagraphFont"/>
    <w:link w:val="Footer"/>
    <w:uiPriority w:val="99"/>
    <w:rsid w:val="008E1572"/>
    <w:rPr>
      <w:rFonts w:ascii="Times New Roman" w:hAnsi="Times New Roman"/>
      <w:sz w:val="24"/>
    </w:rPr>
  </w:style>
  <w:style w:type="character" w:customStyle="1" w:styleId="FootnoteTextChar">
    <w:name w:val="Footnote Text Char"/>
    <w:aliases w:val="Char Char,Char1 Char,Footnote Text - Preamble Char,Char2 Char,Footnote Text - Preamble1 Char,Char3 Char,Char11 Char,Footnote Text - Preamble2 Char,Char21 Char,Footnote Text - Preamble11 Char,Char4 Char,Char5 Char,Char6 Char,Char7 Char"/>
    <w:basedOn w:val="DefaultParagraphFont"/>
    <w:link w:val="FootnoteText"/>
    <w:semiHidden/>
    <w:locked/>
    <w:rsid w:val="00A43F6E"/>
    <w:rPr>
      <w:rFonts w:ascii="Times New Roman" w:hAnsi="Times New Roman" w:cs="Calibri"/>
      <w:sz w:val="20"/>
      <w:szCs w:val="20"/>
    </w:rPr>
  </w:style>
  <w:style w:type="paragraph" w:styleId="FootnoteText">
    <w:name w:val="footnote text"/>
    <w:aliases w:val="Char,Char1,Footnote Text - Preamble,Char2,Footnote Text - Preamble1,Char3,Char11,Footnote Text - Preamble2,Char21,Footnote Text - Preamble11,Char4,Char5,Footnote Text - Preamble3,Char6,Footnote Text - Preamble4,Char7,Char12,Cha"/>
    <w:basedOn w:val="Normal"/>
    <w:link w:val="FootnoteTextChar"/>
    <w:semiHidden/>
    <w:unhideWhenUsed/>
    <w:qFormat/>
    <w:rsid w:val="00A43F6E"/>
    <w:rPr>
      <w:rFonts w:cs="Calibri"/>
      <w:sz w:val="20"/>
      <w:szCs w:val="20"/>
    </w:rPr>
  </w:style>
  <w:style w:type="character" w:customStyle="1" w:styleId="FootnoteTextChar1">
    <w:name w:val="Footnote Text Char1"/>
    <w:basedOn w:val="DefaultParagraphFont"/>
    <w:uiPriority w:val="99"/>
    <w:semiHidden/>
    <w:rsid w:val="00A43F6E"/>
    <w:rPr>
      <w:rFonts w:ascii="Times New Roman" w:hAnsi="Times New Roman"/>
      <w:sz w:val="20"/>
      <w:szCs w:val="20"/>
    </w:rPr>
  </w:style>
  <w:style w:type="character" w:styleId="FootnoteReference">
    <w:name w:val="footnote reference"/>
    <w:basedOn w:val="DefaultParagraphFont"/>
    <w:uiPriority w:val="99"/>
    <w:semiHidden/>
    <w:unhideWhenUsed/>
    <w:rsid w:val="00A43F6E"/>
    <w:rPr>
      <w:vertAlign w:val="superscript"/>
    </w:rPr>
  </w:style>
  <w:style w:type="table" w:styleId="TableGrid">
    <w:name w:val="Table Grid"/>
    <w:basedOn w:val="TableNormal"/>
    <w:uiPriority w:val="39"/>
    <w:rsid w:val="00A43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5B"/>
    <w:rPr>
      <w:color w:val="0563C1" w:themeColor="hyperlink"/>
      <w:u w:val="single"/>
    </w:rPr>
  </w:style>
  <w:style w:type="character" w:styleId="UnresolvedMention">
    <w:name w:val="Unresolved Mention"/>
    <w:basedOn w:val="DefaultParagraphFont"/>
    <w:uiPriority w:val="99"/>
    <w:unhideWhenUsed/>
    <w:rsid w:val="00EC7B5B"/>
    <w:rPr>
      <w:color w:val="605E5C"/>
      <w:shd w:val="clear" w:color="auto" w:fill="E1DFDD"/>
    </w:rPr>
  </w:style>
  <w:style w:type="character" w:styleId="Mention">
    <w:name w:val="Mention"/>
    <w:basedOn w:val="DefaultParagraphFont"/>
    <w:uiPriority w:val="99"/>
    <w:unhideWhenUsed/>
    <w:rsid w:val="009914EE"/>
    <w:rPr>
      <w:color w:val="2B579A"/>
      <w:shd w:val="clear" w:color="auto" w:fill="E1DFDD"/>
    </w:rPr>
  </w:style>
  <w:style w:type="paragraph" w:styleId="Revision">
    <w:name w:val="Revision"/>
    <w:hidden/>
    <w:uiPriority w:val="99"/>
    <w:semiHidden/>
    <w:rsid w:val="00A23E0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0079">
      <w:bodyDiv w:val="1"/>
      <w:marLeft w:val="0"/>
      <w:marRight w:val="0"/>
      <w:marTop w:val="0"/>
      <w:marBottom w:val="0"/>
      <w:divBdr>
        <w:top w:val="none" w:sz="0" w:space="0" w:color="auto"/>
        <w:left w:val="none" w:sz="0" w:space="0" w:color="auto"/>
        <w:bottom w:val="none" w:sz="0" w:space="0" w:color="auto"/>
        <w:right w:val="none" w:sz="0" w:space="0" w:color="auto"/>
      </w:divBdr>
    </w:div>
    <w:div w:id="79259927">
      <w:bodyDiv w:val="1"/>
      <w:marLeft w:val="0"/>
      <w:marRight w:val="0"/>
      <w:marTop w:val="0"/>
      <w:marBottom w:val="0"/>
      <w:divBdr>
        <w:top w:val="none" w:sz="0" w:space="0" w:color="auto"/>
        <w:left w:val="none" w:sz="0" w:space="0" w:color="auto"/>
        <w:bottom w:val="none" w:sz="0" w:space="0" w:color="auto"/>
        <w:right w:val="none" w:sz="0" w:space="0" w:color="auto"/>
      </w:divBdr>
    </w:div>
    <w:div w:id="593057363">
      <w:bodyDiv w:val="1"/>
      <w:marLeft w:val="0"/>
      <w:marRight w:val="0"/>
      <w:marTop w:val="0"/>
      <w:marBottom w:val="0"/>
      <w:divBdr>
        <w:top w:val="none" w:sz="0" w:space="0" w:color="auto"/>
        <w:left w:val="none" w:sz="0" w:space="0" w:color="auto"/>
        <w:bottom w:val="none" w:sz="0" w:space="0" w:color="auto"/>
        <w:right w:val="none" w:sz="0" w:space="0" w:color="auto"/>
      </w:divBdr>
    </w:div>
    <w:div w:id="629437428">
      <w:bodyDiv w:val="1"/>
      <w:marLeft w:val="0"/>
      <w:marRight w:val="0"/>
      <w:marTop w:val="0"/>
      <w:marBottom w:val="0"/>
      <w:divBdr>
        <w:top w:val="none" w:sz="0" w:space="0" w:color="auto"/>
        <w:left w:val="none" w:sz="0" w:space="0" w:color="auto"/>
        <w:bottom w:val="none" w:sz="0" w:space="0" w:color="auto"/>
        <w:right w:val="none" w:sz="0" w:space="0" w:color="auto"/>
      </w:divBdr>
    </w:div>
    <w:div w:id="649096787">
      <w:bodyDiv w:val="1"/>
      <w:marLeft w:val="0"/>
      <w:marRight w:val="0"/>
      <w:marTop w:val="0"/>
      <w:marBottom w:val="0"/>
      <w:divBdr>
        <w:top w:val="none" w:sz="0" w:space="0" w:color="auto"/>
        <w:left w:val="none" w:sz="0" w:space="0" w:color="auto"/>
        <w:bottom w:val="none" w:sz="0" w:space="0" w:color="auto"/>
        <w:right w:val="none" w:sz="0" w:space="0" w:color="auto"/>
      </w:divBdr>
    </w:div>
    <w:div w:id="1256674992">
      <w:bodyDiv w:val="1"/>
      <w:marLeft w:val="0"/>
      <w:marRight w:val="0"/>
      <w:marTop w:val="0"/>
      <w:marBottom w:val="0"/>
      <w:divBdr>
        <w:top w:val="none" w:sz="0" w:space="0" w:color="auto"/>
        <w:left w:val="none" w:sz="0" w:space="0" w:color="auto"/>
        <w:bottom w:val="none" w:sz="0" w:space="0" w:color="auto"/>
        <w:right w:val="none" w:sz="0" w:space="0" w:color="auto"/>
      </w:divBdr>
    </w:div>
    <w:div w:id="1506093387">
      <w:bodyDiv w:val="1"/>
      <w:marLeft w:val="0"/>
      <w:marRight w:val="0"/>
      <w:marTop w:val="0"/>
      <w:marBottom w:val="0"/>
      <w:divBdr>
        <w:top w:val="none" w:sz="0" w:space="0" w:color="auto"/>
        <w:left w:val="none" w:sz="0" w:space="0" w:color="auto"/>
        <w:bottom w:val="none" w:sz="0" w:space="0" w:color="auto"/>
        <w:right w:val="none" w:sz="0" w:space="0" w:color="auto"/>
      </w:divBdr>
    </w:div>
    <w:div w:id="1608928223">
      <w:bodyDiv w:val="1"/>
      <w:marLeft w:val="0"/>
      <w:marRight w:val="0"/>
      <w:marTop w:val="0"/>
      <w:marBottom w:val="0"/>
      <w:divBdr>
        <w:top w:val="none" w:sz="0" w:space="0" w:color="auto"/>
        <w:left w:val="none" w:sz="0" w:space="0" w:color="auto"/>
        <w:bottom w:val="none" w:sz="0" w:space="0" w:color="auto"/>
        <w:right w:val="none" w:sz="0" w:space="0" w:color="auto"/>
      </w:divBdr>
    </w:div>
    <w:div w:id="1648048936">
      <w:bodyDiv w:val="1"/>
      <w:marLeft w:val="0"/>
      <w:marRight w:val="0"/>
      <w:marTop w:val="0"/>
      <w:marBottom w:val="0"/>
      <w:divBdr>
        <w:top w:val="none" w:sz="0" w:space="0" w:color="auto"/>
        <w:left w:val="none" w:sz="0" w:space="0" w:color="auto"/>
        <w:bottom w:val="none" w:sz="0" w:space="0" w:color="auto"/>
        <w:right w:val="none" w:sz="0" w:space="0" w:color="auto"/>
      </w:divBdr>
    </w:div>
    <w:div w:id="1666933125">
      <w:bodyDiv w:val="1"/>
      <w:marLeft w:val="0"/>
      <w:marRight w:val="0"/>
      <w:marTop w:val="0"/>
      <w:marBottom w:val="0"/>
      <w:divBdr>
        <w:top w:val="none" w:sz="0" w:space="0" w:color="auto"/>
        <w:left w:val="none" w:sz="0" w:space="0" w:color="auto"/>
        <w:bottom w:val="none" w:sz="0" w:space="0" w:color="auto"/>
        <w:right w:val="none" w:sz="0" w:space="0" w:color="auto"/>
      </w:divBdr>
    </w:div>
    <w:div w:id="20100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info.gov/public/do/PRAMa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2021-05-04T21:20:06+00:00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87B5260BD15C44495D3C02D071CF4F8" ma:contentTypeVersion="6" ma:contentTypeDescription="Create a new document." ma:contentTypeScope="" ma:versionID="800693b022eb6de97c25ab3262fe751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ad2773d-1859-41f0-a27a-8ad8cda8d800" xmlns:ns6="843abc47-319f-4a77-b6a5-5f283e9f5a73" targetNamespace="http://schemas.microsoft.com/office/2006/metadata/properties" ma:root="true" ma:fieldsID="af1694fde06f6a98ddccaeba7e449838" ns1:_="" ns2:_="" ns3:_="" ns4:_="" ns5:_="" ns6:_="">
    <xsd:import namespace="http://schemas.microsoft.com/sharepoint/v3"/>
    <xsd:import namespace="4ffa91fb-a0ff-4ac5-b2db-65c790d184a4"/>
    <xsd:import namespace="http://schemas.microsoft.com/sharepoint.v3"/>
    <xsd:import namespace="http://schemas.microsoft.com/sharepoint/v3/fields"/>
    <xsd:import namespace="4ad2773d-1859-41f0-a27a-8ad8cda8d800"/>
    <xsd:import namespace="843abc47-319f-4a77-b6a5-5f283e9f5a7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b2a092d-c16d-4392-ab1e-3ab52f1eb100}" ma:internalName="TaxCatchAllLabel" ma:readOnly="true" ma:showField="CatchAllDataLabel" ma:web="843abc47-319f-4a77-b6a5-5f283e9f5a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b2a092d-c16d-4392-ab1e-3ab52f1eb100}" ma:internalName="TaxCatchAll" ma:showField="CatchAllData" ma:web="843abc47-319f-4a77-b6a5-5f283e9f5a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2773d-1859-41f0-a27a-8ad8cda8d80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abc47-319f-4a77-b6a5-5f283e9f5a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1B636-6C6B-412E-BC17-032CEF22F8F0}">
  <ds:schemaRefs>
    <ds:schemaRef ds:uri="http://schemas.openxmlformats.org/officeDocument/2006/bibliography"/>
  </ds:schemaRefs>
</ds:datastoreItem>
</file>

<file path=customXml/itemProps2.xml><?xml version="1.0" encoding="utf-8"?>
<ds:datastoreItem xmlns:ds="http://schemas.openxmlformats.org/officeDocument/2006/customXml" ds:itemID="{004DE3C0-0013-48DE-85D0-84FCC290C6A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6BF0F9D9-78F9-46C3-A69D-9569CB0A650E}">
  <ds:schemaRefs>
    <ds:schemaRef ds:uri="http://schemas.microsoft.com/sharepoint/v3/contenttype/forms"/>
  </ds:schemaRefs>
</ds:datastoreItem>
</file>

<file path=customXml/itemProps4.xml><?xml version="1.0" encoding="utf-8"?>
<ds:datastoreItem xmlns:ds="http://schemas.openxmlformats.org/officeDocument/2006/customXml" ds:itemID="{E12F7CD8-6B44-4D0E-B450-3780DCAE5182}">
  <ds:schemaRefs>
    <ds:schemaRef ds:uri="Microsoft.SharePoint.Taxonomy.ContentTypeSync"/>
  </ds:schemaRefs>
</ds:datastoreItem>
</file>

<file path=customXml/itemProps5.xml><?xml version="1.0" encoding="utf-8"?>
<ds:datastoreItem xmlns:ds="http://schemas.openxmlformats.org/officeDocument/2006/customXml" ds:itemID="{062B0473-9F69-447D-8E17-A39D9661D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ad2773d-1859-41f0-a27a-8ad8cda8d800"/>
    <ds:schemaRef ds:uri="843abc47-319f-4a77-b6a5-5f283e9f5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Pastorkovich, Anne-Marie</dc:creator>
  <cp:keywords/>
  <dc:description/>
  <cp:lastModifiedBy>Schultz, Eric</cp:lastModifiedBy>
  <cp:revision>3</cp:revision>
  <dcterms:created xsi:type="dcterms:W3CDTF">2022-06-15T00:46:00Z</dcterms:created>
  <dcterms:modified xsi:type="dcterms:W3CDTF">2022-06-15T00:48:00Z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0x010100787B5260BD15C44495D3C02D071CF4F8</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