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C27" w:rsidP="00935C27" w:rsidRDefault="00935C27" w14:paraId="24FC33DF" w14:textId="2359D913">
      <w:pPr>
        <w:jc w:val="center"/>
        <w:rPr>
          <w:rFonts w:eastAsia="Calibri"/>
          <w:b/>
        </w:rPr>
      </w:pPr>
      <w:r>
        <w:rPr>
          <w:rFonts w:eastAsia="Calibri"/>
          <w:b/>
        </w:rPr>
        <w:t>Information Collection Request Supporting</w:t>
      </w:r>
      <w:r>
        <w:rPr>
          <w:b/>
        </w:rPr>
        <w:t xml:space="preserve"> Statements</w:t>
      </w:r>
      <w:r>
        <w:rPr>
          <w:rFonts w:eastAsia="Calibri"/>
          <w:b/>
        </w:rPr>
        <w:t xml:space="preserve">: Part </w:t>
      </w:r>
      <w:r w:rsidR="00225816">
        <w:rPr>
          <w:rFonts w:eastAsia="Calibri"/>
          <w:b/>
        </w:rPr>
        <w:t>B</w:t>
      </w:r>
      <w:r>
        <w:rPr>
          <w:rFonts w:eastAsia="Calibri"/>
          <w:b/>
        </w:rPr>
        <w:t xml:space="preserve"> </w:t>
      </w:r>
    </w:p>
    <w:p w:rsidR="00935C27" w:rsidP="00935C27" w:rsidRDefault="00935C27" w14:paraId="7A5EC315" w14:textId="77777777">
      <w:pPr>
        <w:jc w:val="center"/>
        <w:rPr>
          <w:rFonts w:eastAsia="Calibri"/>
          <w:b/>
        </w:rPr>
      </w:pPr>
      <w:r>
        <w:rPr>
          <w:rFonts w:eastAsia="Calibri"/>
          <w:b/>
        </w:rPr>
        <w:t xml:space="preserve">National Survey of Pedestrian and Bicyclist Attitudes, Knowledge, and Behaviors </w:t>
      </w:r>
    </w:p>
    <w:p w:rsidR="00935C27" w:rsidP="00935C27" w:rsidRDefault="00935C27" w14:paraId="206EEB00" w14:textId="77777777">
      <w:pPr>
        <w:jc w:val="center"/>
        <w:rPr>
          <w:rFonts w:eastAsiaTheme="minorHAnsi" w:cstheme="minorBidi"/>
          <w:b/>
          <w:szCs w:val="22"/>
        </w:rPr>
      </w:pPr>
      <w:r>
        <w:rPr>
          <w:b/>
        </w:rPr>
        <w:t xml:space="preserve">OMB Control </w:t>
      </w:r>
      <w:r>
        <w:rPr>
          <w:rFonts w:eastAsia="Calibri"/>
          <w:b/>
        </w:rPr>
        <w:t>No.</w:t>
      </w:r>
      <w:r>
        <w:rPr>
          <w:b/>
        </w:rPr>
        <w:t xml:space="preserve"> 2127</w:t>
      </w:r>
      <w:r>
        <w:rPr>
          <w:rFonts w:eastAsia="Calibri"/>
          <w:b/>
        </w:rPr>
        <w:t>-0684</w:t>
      </w:r>
    </w:p>
    <w:p w:rsidR="00F74D60" w:rsidP="003D2A3F" w:rsidRDefault="00F74D60" w14:paraId="5D736A36" w14:textId="77777777">
      <w:pPr>
        <w:widowControl w:val="0"/>
        <w:tabs>
          <w:tab w:val="left" w:pos="720"/>
        </w:tabs>
        <w:autoSpaceDE w:val="0"/>
        <w:autoSpaceDN w:val="0"/>
        <w:adjustRightInd w:val="0"/>
        <w:ind w:left="720" w:hanging="720"/>
        <w:rPr>
          <w:b/>
          <w:bCs/>
        </w:rPr>
      </w:pPr>
    </w:p>
    <w:p w:rsidR="00D84C32" w:rsidP="00D84C32" w:rsidRDefault="00A2317F" w14:paraId="2920AD69" w14:textId="59BFB2BF">
      <w:pPr>
        <w:autoSpaceDE w:val="0"/>
        <w:autoSpaceDN w:val="0"/>
        <w:adjustRightInd w:val="0"/>
      </w:pPr>
      <w:r w:rsidRPr="00935C27">
        <w:rPr>
          <w:b/>
          <w:bCs/>
          <w:iCs/>
        </w:rPr>
        <w:t>Abstract</w:t>
      </w:r>
      <w:r w:rsidRPr="00935C27" w:rsidR="00F53792">
        <w:rPr>
          <w:b/>
          <w:bCs/>
          <w:iCs/>
        </w:rPr>
        <w:t>:</w:t>
      </w:r>
      <w:r w:rsidRPr="00F53792" w:rsidR="00863D15">
        <w:rPr>
          <w:rStyle w:val="FootnoteReference"/>
        </w:rPr>
        <w:footnoteReference w:id="1"/>
      </w:r>
      <w:r w:rsidRPr="00A2317F">
        <w:rPr>
          <w:i/>
        </w:rPr>
        <w:t xml:space="preserve">  </w:t>
      </w:r>
      <w:r w:rsidR="00D84C32">
        <w:t>The National Highway Traffic Safety Administration (NHTSA) of the U.S. Department of Transportation is seeking approval to reinstate with modification a previously approved information collection</w:t>
      </w:r>
      <w:r w:rsidR="0000568E">
        <w:t xml:space="preserve"> (OMB</w:t>
      </w:r>
      <w:r w:rsidR="009560A3">
        <w:t xml:space="preserve"> Control No.</w:t>
      </w:r>
      <w:r w:rsidR="0000568E">
        <w:t xml:space="preserve"> 2127-0684)</w:t>
      </w:r>
      <w:r w:rsidR="00D84C32">
        <w:t xml:space="preserve"> to conduct the National Survey of Bicyclist and Pedestrian Attitudes and Behaviors (NSBPAB) by contacting an estimated 22,943 households by mail for participation. The push-to-web with mail supplement survey will be completed by a national probability sample of at least 7,500 U.S adults (aged 18 and older). Participation by respondents would be voluntary. </w:t>
      </w:r>
      <w:r w:rsidR="00D84C32">
        <w:rPr>
          <w:bCs/>
        </w:rPr>
        <w:t xml:space="preserve">This collection only asks respondents to report their answers; there are no record-keeping costs to the respondents. </w:t>
      </w:r>
      <w:r w:rsidR="00D670AE">
        <w:rPr>
          <w:bCs/>
        </w:rPr>
        <w:t xml:space="preserve">The survey was reviewed by an IRB and determined to be exempt. </w:t>
      </w:r>
      <w:r w:rsidR="00D84C32">
        <w:rPr>
          <w:bCs/>
        </w:rPr>
        <w:t>NHTSA will use the information to produce a technical report that presents the results of the survey. The technical report will provide aggregate (summary) statistics and tables as well as the results of statistical analysis of the information, but it will not include any personally identifiable information.</w:t>
      </w:r>
      <w:r w:rsidR="00D84C32">
        <w:t xml:space="preserve"> </w:t>
      </w:r>
      <w:r w:rsidR="00D84C32">
        <w:rPr>
          <w:bCs/>
        </w:rPr>
        <w:t xml:space="preserve">The purpose of the survey is to obtain up-to-date information about </w:t>
      </w:r>
      <w:r w:rsidR="00D84C32">
        <w:t xml:space="preserve">bicyclist and pedestrian attitudes and behaviors, biking and walking frequency, use of e-bikes and e-scooters, and perceptions of community investments in bicycle and pedestrian infrastructure. </w:t>
      </w:r>
    </w:p>
    <w:p w:rsidR="00D84C32" w:rsidP="00D84C32" w:rsidRDefault="00D84C32" w14:paraId="08A6F189" w14:textId="77777777">
      <w:pPr>
        <w:autoSpaceDE w:val="0"/>
        <w:autoSpaceDN w:val="0"/>
        <w:adjustRightInd w:val="0"/>
        <w:rPr>
          <w:bCs/>
          <w:szCs w:val="22"/>
        </w:rPr>
      </w:pPr>
    </w:p>
    <w:p w:rsidR="00D84C32" w:rsidP="00D84C32" w:rsidRDefault="00D84C32" w14:paraId="65A961B8" w14:textId="078CBFC8">
      <w:bookmarkStart w:name="_Hlk73455822" w:id="0"/>
      <w:r>
        <w:rPr>
          <w:bCs/>
        </w:rPr>
        <w:t xml:space="preserve">The technical report will be shared with State highway safety offices, local governments, </w:t>
      </w:r>
      <w:r>
        <w:t xml:space="preserve">transportation planners, engineers, policymakers, researchers, educators, advocates, and others who use the data from this survey to support their work. </w:t>
      </w:r>
      <w:r>
        <w:rPr>
          <w:bCs/>
        </w:rPr>
        <w:t>The total estimated burden for contacting 15,443 potential participant non-responders (</w:t>
      </w:r>
      <w:r>
        <w:t xml:space="preserve">1,469 </w:t>
      </w:r>
      <w:r>
        <w:rPr>
          <w:bCs/>
        </w:rPr>
        <w:t>hours) and 309 potential pilot participant non-responders (32 hours) and contacting and recruiting 7,500 participants (2,626 hours) and 150 pilot participants (55 hours) to complete the study is 4,182 total hours. All estimates were rounded up to the nearest whole hour.</w:t>
      </w:r>
      <w:r>
        <w:t xml:space="preserve"> </w:t>
      </w:r>
    </w:p>
    <w:p w:rsidR="00D84C32" w:rsidP="00D84C32" w:rsidRDefault="00D84C32" w14:paraId="3DA6192C" w14:textId="77777777"/>
    <w:bookmarkEnd w:id="0"/>
    <w:p w:rsidR="00D84C32" w:rsidP="00D84C32" w:rsidRDefault="00D84C32" w14:paraId="2E16C21C" w14:textId="2707B0BF">
      <w:r>
        <w:t xml:space="preserve">When NHTSA last received approval of this information collection, the estimated burden was 3,005 hours. The increase in burden of 1,177 hours is a result of using a larger sample and including burden not just for the estimated number of completed surveys, but also for the estimated number of contacts of potential respondents. NHTSA has conducted the NSBPAB on </w:t>
      </w:r>
      <w:r>
        <w:lastRenderedPageBreak/>
        <w:t>two previous occasions—first in 2002</w:t>
      </w:r>
      <w:r>
        <w:rPr>
          <w:rStyle w:val="FootnoteReference"/>
        </w:rPr>
        <w:footnoteReference w:id="2"/>
      </w:r>
      <w:r>
        <w:t xml:space="preserve"> and again in 2012.</w:t>
      </w:r>
      <w:r>
        <w:rPr>
          <w:rStyle w:val="FootnoteReference"/>
        </w:rPr>
        <w:footnoteReference w:id="3"/>
      </w:r>
      <w:r>
        <w:t xml:space="preserve"> (The final reports for the 2012 administration of the survey are included as Supplemental Documents.) </w:t>
      </w:r>
      <w:r w:rsidR="00366160">
        <w:t xml:space="preserve"> NHTSA is seeking approval for reinstatement of the information collection because u</w:t>
      </w:r>
      <w:r>
        <w:t>p-to-date information is needed to identify trends across time as well as to understand emerging trends such as the rapid deployment of e-bikes and e</w:t>
      </w:r>
      <w:r>
        <w:noBreakHyphen/>
        <w:t xml:space="preserve">scooters throughout American communities and increasing levels of distraction or inattention associated with smartphone use among all travelers. Study results should produce useful information to bicycle and pedestrian safety stakeholders. </w:t>
      </w:r>
      <w:r>
        <w:rPr>
          <w:bCs/>
        </w:rPr>
        <w:t xml:space="preserve">The legacy study is being redesigned to sample respondents </w:t>
      </w:r>
      <w:r>
        <w:t xml:space="preserve">using address data from the most recent U.S. Postal Service (USPS) computerized Delivery Sequence File (DSF) of residential addresses, and administer the survey via web and mail (replacing the former random-digit dial computer-assisted telephone interview design). </w:t>
      </w:r>
    </w:p>
    <w:p w:rsidR="00091531" w:rsidP="00D84C32" w:rsidRDefault="00091531" w14:paraId="3AEF83B1" w14:textId="3A218616">
      <w:pPr>
        <w:rPr>
          <w:b/>
          <w:bCs/>
        </w:rPr>
      </w:pPr>
    </w:p>
    <w:p w:rsidR="007A63B0" w:rsidP="007A63B0" w:rsidRDefault="007A63B0" w14:paraId="119BE3D0" w14:textId="77777777">
      <w:pPr>
        <w:widowControl w:val="0"/>
        <w:tabs>
          <w:tab w:val="left" w:pos="720"/>
        </w:tabs>
        <w:autoSpaceDE w:val="0"/>
        <w:autoSpaceDN w:val="0"/>
        <w:adjustRightInd w:val="0"/>
        <w:ind w:left="720" w:hanging="720"/>
        <w:rPr>
          <w:b/>
          <w:bCs/>
        </w:rPr>
      </w:pPr>
      <w:r>
        <w:rPr>
          <w:b/>
          <w:bCs/>
        </w:rPr>
        <w:t>B.1.</w:t>
      </w:r>
      <w:r>
        <w:rPr>
          <w:b/>
          <w:bCs/>
        </w:rPr>
        <w:tab/>
        <w:t>Describe the potential respondent universe and any sampling or other respondent selection method to be used.</w:t>
      </w:r>
    </w:p>
    <w:p w:rsidR="006672EA" w:rsidP="007A63B0" w:rsidRDefault="006672EA" w14:paraId="247F531E" w14:textId="77777777">
      <w:pPr>
        <w:widowControl w:val="0"/>
        <w:tabs>
          <w:tab w:val="left" w:pos="720"/>
        </w:tabs>
        <w:autoSpaceDE w:val="0"/>
        <w:autoSpaceDN w:val="0"/>
        <w:adjustRightInd w:val="0"/>
        <w:ind w:left="720" w:hanging="720"/>
      </w:pPr>
    </w:p>
    <w:p w:rsidR="006672EA" w:rsidP="001F7A9D" w:rsidRDefault="000218FB" w14:paraId="17105AFE" w14:textId="1748599F">
      <w:pPr>
        <w:autoSpaceDE w:val="0"/>
        <w:autoSpaceDN w:val="0"/>
        <w:adjustRightInd w:val="0"/>
      </w:pPr>
      <w:r w:rsidRPr="00C220CC">
        <w:t xml:space="preserve">The National Survey </w:t>
      </w:r>
      <w:r>
        <w:t>of</w:t>
      </w:r>
      <w:r w:rsidRPr="00C220CC">
        <w:t xml:space="preserve"> Bicyclist and Pedestrian Attitudes and Behavior</w:t>
      </w:r>
      <w:r w:rsidR="00075FE5">
        <w:t>s</w:t>
      </w:r>
      <w:r w:rsidRPr="00C220CC">
        <w:t xml:space="preserve"> (NSBPAB) collects critical population-level data that will help NHTSA understand the habits and behaviors of bicyclists</w:t>
      </w:r>
      <w:r>
        <w:t xml:space="preserve"> and pedestrians</w:t>
      </w:r>
      <w:r w:rsidRPr="00C220CC">
        <w:t xml:space="preserve">, quantify the magnitude of bicycle and pedestrian activity across the country, and gauge the safety needs of this population. </w:t>
      </w:r>
      <w:r w:rsidR="006672EA">
        <w:t>The study will</w:t>
      </w:r>
      <w:r w:rsidRPr="00F74D60" w:rsidR="006672EA">
        <w:t xml:space="preserve"> collect information from</w:t>
      </w:r>
      <w:r w:rsidR="006672EA">
        <w:t xml:space="preserve"> 7,</w:t>
      </w:r>
      <w:r>
        <w:t>5</w:t>
      </w:r>
      <w:r w:rsidR="006672EA">
        <w:t xml:space="preserve">00 </w:t>
      </w:r>
      <w:r>
        <w:t>adults</w:t>
      </w:r>
      <w:r w:rsidRPr="00F74D60" w:rsidR="006672EA">
        <w:t xml:space="preserve"> (18 years old and older) </w:t>
      </w:r>
      <w:r>
        <w:t>in the United States</w:t>
      </w:r>
      <w:r w:rsidRPr="00F74D60" w:rsidR="006672EA">
        <w:t>.</w:t>
      </w:r>
      <w:r>
        <w:t xml:space="preserve"> </w:t>
      </w:r>
      <w:r w:rsidR="006672EA">
        <w:t xml:space="preserve">The proposed study will employ statistical sampling methods to collect information from the target population and draw inferences from the sample to the target population. </w:t>
      </w:r>
      <w:r w:rsidR="00935C27">
        <w:rPr>
          <w:bCs/>
        </w:rPr>
        <w:t xml:space="preserve">The technical report will be shared with State highway safety offices, local governments, </w:t>
      </w:r>
      <w:r w:rsidR="00935C27">
        <w:t>transportation planners, engineers, policymakers, researchers, educators, advocates, and others who use the data from this survey to support their work.</w:t>
      </w:r>
    </w:p>
    <w:p w:rsidR="001F7A9D" w:rsidP="001F7A9D" w:rsidRDefault="001F7A9D" w14:paraId="440A005E" w14:textId="77777777">
      <w:pPr>
        <w:autoSpaceDE w:val="0"/>
        <w:autoSpaceDN w:val="0"/>
        <w:adjustRightInd w:val="0"/>
      </w:pPr>
    </w:p>
    <w:p w:rsidRPr="004F4783" w:rsidR="007A63B0" w:rsidP="00F53792" w:rsidRDefault="001478A4" w14:paraId="697F81E3" w14:textId="77777777">
      <w:pPr>
        <w:spacing w:after="120"/>
        <w:rPr>
          <w:u w:val="single"/>
        </w:rPr>
      </w:pPr>
      <w:r w:rsidRPr="004F4783">
        <w:rPr>
          <w:u w:val="single"/>
        </w:rPr>
        <w:t>B.1.</w:t>
      </w:r>
      <w:r w:rsidRPr="004F4783" w:rsidR="007A63B0">
        <w:rPr>
          <w:u w:val="single"/>
        </w:rPr>
        <w:t>a.</w:t>
      </w:r>
      <w:r w:rsidRPr="004F4783" w:rsidR="007A63B0">
        <w:rPr>
          <w:u w:val="single"/>
        </w:rPr>
        <w:tab/>
        <w:t>Respondent Universe</w:t>
      </w:r>
    </w:p>
    <w:p w:rsidR="009538A4" w:rsidP="00F53792" w:rsidRDefault="007A63B0" w14:paraId="5BA6C378" w14:textId="76606D4B">
      <w:pPr>
        <w:spacing w:after="120"/>
      </w:pPr>
      <w:r w:rsidRPr="00BC3459">
        <w:lastRenderedPageBreak/>
        <w:t xml:space="preserve">The </w:t>
      </w:r>
      <w:r>
        <w:t>20</w:t>
      </w:r>
      <w:r w:rsidR="00F4017B">
        <w:t>2</w:t>
      </w:r>
      <w:r w:rsidR="000218FB">
        <w:t>2</w:t>
      </w:r>
      <w:r>
        <w:t xml:space="preserve"> </w:t>
      </w:r>
      <w:r w:rsidRPr="00C220CC" w:rsidR="000218FB">
        <w:t>NSBPAB</w:t>
      </w:r>
      <w:r w:rsidRPr="00BC3459">
        <w:t xml:space="preserve"> will be conducted with a national sample of </w:t>
      </w:r>
      <w:r>
        <w:t>7</w:t>
      </w:r>
      <w:r w:rsidR="00F8004F">
        <w:t>,</w:t>
      </w:r>
      <w:r w:rsidR="000218FB">
        <w:t>5</w:t>
      </w:r>
      <w:r w:rsidR="00454A92">
        <w:t>00</w:t>
      </w:r>
      <w:r w:rsidR="000218FB">
        <w:t xml:space="preserve"> adults</w:t>
      </w:r>
      <w:r w:rsidRPr="00BC3459">
        <w:t xml:space="preserve"> age</w:t>
      </w:r>
      <w:r>
        <w:t>s 18</w:t>
      </w:r>
      <w:r w:rsidRPr="00BC3459">
        <w:t xml:space="preserve"> years and older</w:t>
      </w:r>
      <w:r>
        <w:t>, residing in the 50 States and the District of Columbia</w:t>
      </w:r>
      <w:r w:rsidRPr="00BC3459">
        <w:t xml:space="preserve">. </w:t>
      </w:r>
      <w:r>
        <w:t xml:space="preserve"> </w:t>
      </w:r>
    </w:p>
    <w:p w:rsidR="007A63B0" w:rsidP="00F53792" w:rsidRDefault="007A63B0" w14:paraId="27A5C2EA" w14:textId="48E96BDE">
      <w:pPr>
        <w:spacing w:after="120"/>
      </w:pPr>
      <w:r>
        <w:t xml:space="preserve">We will </w:t>
      </w:r>
      <w:r w:rsidR="001E762A">
        <w:t>conduct</w:t>
      </w:r>
      <w:r>
        <w:t xml:space="preserve"> a web and mail multi-</w:t>
      </w:r>
      <w:r w:rsidRPr="00437C03">
        <w:t>mode survey with households randomly selected from an address-based sampling (ABS) frame.</w:t>
      </w:r>
      <w:r w:rsidRPr="00437C03" w:rsidR="005D4122">
        <w:t xml:space="preserve"> </w:t>
      </w:r>
      <w:r w:rsidRPr="00437C03" w:rsidR="001E762A">
        <w:t>We will stratify the ABS frame</w:t>
      </w:r>
      <w:r w:rsidRPr="00437C03">
        <w:t xml:space="preserve"> based on the </w:t>
      </w:r>
      <w:r w:rsidR="006672EA">
        <w:t>10 NHTSA reg</w:t>
      </w:r>
      <w:r w:rsidRPr="00437C03" w:rsidR="00437C03">
        <w:t xml:space="preserve">ions </w:t>
      </w:r>
      <w:r w:rsidRPr="00437C03" w:rsidR="001E762A">
        <w:t>and proportionally allocate t</w:t>
      </w:r>
      <w:r w:rsidRPr="00437C03">
        <w:t xml:space="preserve">he total sample of addresses </w:t>
      </w:r>
      <w:r w:rsidRPr="00437C03" w:rsidR="001E762A">
        <w:t>to</w:t>
      </w:r>
      <w:r w:rsidRPr="00437C03">
        <w:t xml:space="preserve"> the total number of residential addresses in each region. </w:t>
      </w:r>
      <w:r w:rsidRPr="00437C03" w:rsidR="001E762A">
        <w:t xml:space="preserve">Two oversamples will be incorporated into the national sample, one to increase the number of </w:t>
      </w:r>
      <w:r w:rsidR="00DD1488">
        <w:t>Hispanic</w:t>
      </w:r>
      <w:r w:rsidRPr="00437C03" w:rsidR="001E762A">
        <w:t xml:space="preserve"> households and one to increase the number of </w:t>
      </w:r>
      <w:r w:rsidR="0067184E">
        <w:t>young adults</w:t>
      </w:r>
      <w:r w:rsidRPr="00437C03" w:rsidR="001E762A">
        <w:t xml:space="preserve"> aged 18-34 years old.</w:t>
      </w:r>
      <w:r w:rsidRPr="00BC3459" w:rsidR="001E762A">
        <w:t xml:space="preserve"> </w:t>
      </w:r>
      <w:r w:rsidR="001E762A">
        <w:t xml:space="preserve"> </w:t>
      </w:r>
      <w:r w:rsidRPr="005B2AC8" w:rsidR="005B2AC8">
        <w:t>Data will be collected in English and Spanish; those who speak neither language will be excluded.</w:t>
      </w:r>
    </w:p>
    <w:p w:rsidRPr="004F4783" w:rsidR="007A63B0" w:rsidP="00F53792" w:rsidRDefault="001478A4" w14:paraId="1D334933" w14:textId="77777777">
      <w:pPr>
        <w:spacing w:after="120"/>
        <w:rPr>
          <w:u w:val="single"/>
        </w:rPr>
      </w:pPr>
      <w:r w:rsidRPr="004F4783">
        <w:rPr>
          <w:u w:val="single"/>
        </w:rPr>
        <w:t>B.1.</w:t>
      </w:r>
      <w:r w:rsidRPr="004F4783" w:rsidR="007A63B0">
        <w:rPr>
          <w:u w:val="single"/>
        </w:rPr>
        <w:t>b.</w:t>
      </w:r>
      <w:r w:rsidRPr="004F4783" w:rsidR="007A63B0">
        <w:rPr>
          <w:u w:val="single"/>
        </w:rPr>
        <w:tab/>
        <w:t>Respondent Sampling</w:t>
      </w:r>
    </w:p>
    <w:p w:rsidRPr="0072092F" w:rsidR="00EB4FEE" w:rsidP="00F53792" w:rsidRDefault="007A63B0" w14:paraId="538BFA39" w14:textId="6D14566B">
      <w:pPr>
        <w:spacing w:after="120"/>
      </w:pPr>
      <w:r>
        <w:t xml:space="preserve">The survey will use an ABS approach to sample selection. </w:t>
      </w:r>
      <w:r w:rsidRPr="0072092F" w:rsidR="00EB4FEE">
        <w:t xml:space="preserve">The sampling frame will be based on address data from the U.S. Postal Service (USPS) </w:t>
      </w:r>
      <w:r w:rsidR="001B42C5">
        <w:t>c</w:t>
      </w:r>
      <w:r w:rsidR="00EB4FEE">
        <w:t xml:space="preserve">omputerized </w:t>
      </w:r>
      <w:r w:rsidRPr="0072092F" w:rsidR="00EB4FEE">
        <w:t>D</w:t>
      </w:r>
      <w:r w:rsidR="00EB4FEE">
        <w:t xml:space="preserve">elivery </w:t>
      </w:r>
      <w:r w:rsidRPr="0072092F" w:rsidR="00EB4FEE">
        <w:t>S</w:t>
      </w:r>
      <w:r w:rsidR="00EB4FEE">
        <w:t xml:space="preserve">equence </w:t>
      </w:r>
      <w:r w:rsidRPr="0072092F" w:rsidR="00EB4FEE">
        <w:t>F</w:t>
      </w:r>
      <w:r w:rsidR="00EB4FEE">
        <w:t>ile (DSF)</w:t>
      </w:r>
      <w:r w:rsidRPr="0072092F" w:rsidR="00EB4FEE">
        <w:t xml:space="preserve"> of residential addresses. The DSF is derived from mailing addresses maintained and updated by USPS and available from commercial vendors</w:t>
      </w:r>
      <w:r w:rsidR="009C5F50">
        <w:t>.</w:t>
      </w:r>
      <w:r w:rsidR="00952709">
        <w:rPr>
          <w:rStyle w:val="FootnoteReference"/>
        </w:rPr>
        <w:footnoteReference w:id="4"/>
      </w:r>
      <w:r w:rsidR="009C5F50">
        <w:rPr>
          <w:vertAlign w:val="superscript"/>
        </w:rPr>
        <w:t>,</w:t>
      </w:r>
      <w:r w:rsidR="00952709">
        <w:rPr>
          <w:rStyle w:val="FootnoteReference"/>
        </w:rPr>
        <w:footnoteReference w:id="5"/>
      </w:r>
      <w:r w:rsidRPr="004F4783" w:rsidR="00EB4FEE">
        <w:t xml:space="preserve"> </w:t>
      </w:r>
      <w:r w:rsidRPr="0072092F" w:rsidR="00EB4FEE">
        <w:t>With 1</w:t>
      </w:r>
      <w:r w:rsidR="00A50FF3">
        <w:t>4</w:t>
      </w:r>
      <w:r w:rsidR="00BD3823">
        <w:t>7</w:t>
      </w:r>
      <w:r w:rsidRPr="0072092F" w:rsidR="00EB4FEE">
        <w:t xml:space="preserve">-million residential addresses nationally, the DSF provides a comprehensive frame that will reach the entire population living at an address that receives mail delivery. </w:t>
      </w:r>
    </w:p>
    <w:p w:rsidRPr="004F4783" w:rsidR="0050753F" w:rsidP="00F53792" w:rsidRDefault="001478A4" w14:paraId="3C0B4E99" w14:textId="77777777">
      <w:pPr>
        <w:spacing w:after="120"/>
        <w:rPr>
          <w:u w:val="single"/>
        </w:rPr>
      </w:pPr>
      <w:r w:rsidRPr="004F4783">
        <w:rPr>
          <w:u w:val="single"/>
        </w:rPr>
        <w:t xml:space="preserve">B.1.b.1 </w:t>
      </w:r>
      <w:r w:rsidRPr="004F4783" w:rsidR="0050753F">
        <w:rPr>
          <w:u w:val="single"/>
        </w:rPr>
        <w:t>Sampling Frame</w:t>
      </w:r>
    </w:p>
    <w:p w:rsidR="004F4783" w:rsidP="00F53792" w:rsidRDefault="00202B50" w14:paraId="18D32105" w14:textId="135922E3">
      <w:pPr>
        <w:spacing w:after="120"/>
      </w:pPr>
      <w:r w:rsidRPr="0072092F">
        <w:t xml:space="preserve">The sampling frame will be based on address data from the USPS </w:t>
      </w:r>
      <w:r w:rsidR="001B42C5">
        <w:t>c</w:t>
      </w:r>
      <w:r>
        <w:t>omputerized DSF</w:t>
      </w:r>
      <w:r w:rsidRPr="0072092F">
        <w:t xml:space="preserve"> of residential addresses. </w:t>
      </w:r>
      <w:r w:rsidR="007A63B0">
        <w:t xml:space="preserve">The </w:t>
      </w:r>
      <w:r>
        <w:t>DSF</w:t>
      </w:r>
      <w:r w:rsidR="007A63B0">
        <w:t xml:space="preserve"> is a computerized file that contains all delivery point addresses serviced by the USPS </w:t>
      </w:r>
      <w:proofErr w:type="gramStart"/>
      <w:r w:rsidR="007A63B0">
        <w:t>with the exception of</w:t>
      </w:r>
      <w:proofErr w:type="gramEnd"/>
      <w:r w:rsidR="007A63B0">
        <w:t xml:space="preserve"> general delivery.  Each delivery point is a separate record that conforms to all USPS-addressing standards.  The initial studies of the DSF estimated that it provided coverage of approximately 97</w:t>
      </w:r>
      <w:r w:rsidR="005D4DA4">
        <w:t>-98</w:t>
      </w:r>
      <w:r w:rsidR="007A63B0">
        <w:t>% of the household population</w:t>
      </w:r>
      <w:r w:rsidR="007D2A5D">
        <w:t>.</w:t>
      </w:r>
      <w:r w:rsidRPr="007A1F5E" w:rsidR="007A63B0">
        <w:rPr>
          <w:vertAlign w:val="superscript"/>
        </w:rPr>
        <w:footnoteReference w:id="6"/>
      </w:r>
      <w:r w:rsidRPr="00155521" w:rsidR="007D2A5D">
        <w:rPr>
          <w:vertAlign w:val="superscript"/>
        </w:rPr>
        <w:t>,</w:t>
      </w:r>
      <w:r w:rsidR="007D2A5D">
        <w:rPr>
          <w:rStyle w:val="FootnoteReference"/>
        </w:rPr>
        <w:footnoteReference w:id="7"/>
      </w:r>
      <w:r w:rsidR="005D4DA4">
        <w:t xml:space="preserve"> </w:t>
      </w:r>
      <w:r w:rsidR="0050753F">
        <w:t>T</w:t>
      </w:r>
      <w:r w:rsidR="007A63B0">
        <w:t>he DSF coverage in rural areas tends to be lower than in urban areas</w:t>
      </w:r>
      <w:r w:rsidR="007D2A5D">
        <w:rPr>
          <w:rStyle w:val="FootnoteReference"/>
        </w:rPr>
        <w:footnoteReference w:id="8"/>
      </w:r>
      <w:r w:rsidRPr="007A1F5E" w:rsidR="0050753F">
        <w:rPr>
          <w:vertAlign w:val="superscript"/>
        </w:rPr>
        <w:t xml:space="preserve"> </w:t>
      </w:r>
      <w:r w:rsidR="0050753F">
        <w:t>but is increasing as more rural areas are converted to city-style addresses for 911 services.</w:t>
      </w:r>
      <w:r w:rsidRPr="007A1F5E" w:rsidR="0050753F">
        <w:rPr>
          <w:vertAlign w:val="superscript"/>
        </w:rPr>
        <w:footnoteReference w:id="9"/>
      </w:r>
      <w:r w:rsidRPr="007A1F5E" w:rsidR="007A63B0">
        <w:rPr>
          <w:vertAlign w:val="superscript"/>
        </w:rPr>
        <w:t xml:space="preserve">  </w:t>
      </w:r>
      <w:r w:rsidR="007A63B0">
        <w:t>Nonetheless, the DSF address frame provides a near complete sampling frame for household population surveys in the United States.</w:t>
      </w:r>
      <w:r w:rsidRPr="004F4783">
        <w:t xml:space="preserve"> </w:t>
      </w:r>
      <w:r w:rsidRPr="0072092F">
        <w:t>With 1</w:t>
      </w:r>
      <w:r w:rsidR="00D34408">
        <w:t>47</w:t>
      </w:r>
      <w:r w:rsidRPr="0072092F">
        <w:t xml:space="preserve">-million residential addresses nationally, the DSF provides a comprehensive frame that will reach the entire population living at an address that receives mail delivery. </w:t>
      </w:r>
    </w:p>
    <w:p w:rsidR="007A63B0" w:rsidP="00F53792" w:rsidRDefault="007A63B0" w14:paraId="76A683B2" w14:textId="4601CC63">
      <w:pPr>
        <w:spacing w:after="120"/>
      </w:pPr>
      <w:r>
        <w:t xml:space="preserve">The DSF cannot be obtained directly from the USPS. It must be purchased through a licensing agreement with private vendors. These vendors are responsible for updating the address listing from the USPS, and augmenting the addresses with information (e.g., name, telephone number) </w:t>
      </w:r>
      <w:r>
        <w:lastRenderedPageBreak/>
        <w:t xml:space="preserve">from other data sources.  </w:t>
      </w:r>
      <w:r w:rsidR="0043753F">
        <w:t>ICF, t</w:t>
      </w:r>
      <w:r>
        <w:t xml:space="preserve">he Contractor that will implement the </w:t>
      </w:r>
      <w:r w:rsidR="000218FB">
        <w:t>NSBPAB</w:t>
      </w:r>
      <w:r w:rsidR="0043753F">
        <w:t xml:space="preserve"> for NHTSA</w:t>
      </w:r>
      <w:r>
        <w:t xml:space="preserve">, will obtain the DSF augmented sample from Marketing Systems Group (MSG).  </w:t>
      </w:r>
      <w:r w:rsidRPr="00A569E9">
        <w:t>By geocoding an address to a Census bl</w:t>
      </w:r>
      <w:r>
        <w:t xml:space="preserve">ock, the MSG file augments the </w:t>
      </w:r>
      <w:r w:rsidRPr="00A569E9">
        <w:t xml:space="preserve">DSF by merging Census and other auxiliary information from the Census data files and other external data sources. MSG appends household, geographic, and demographic data to the frame.   </w:t>
      </w:r>
    </w:p>
    <w:p w:rsidR="007A63B0" w:rsidP="00F53792" w:rsidRDefault="007A63B0" w14:paraId="6D173D6C" w14:textId="77777777">
      <w:pPr>
        <w:spacing w:after="120"/>
      </w:pPr>
      <w:r>
        <w:t xml:space="preserve">MSG maintains a monthly updated, internal installation of the DSF from the Postal Service.  By applying a series of enhancements to the DSF, MSG evolves this database of mail delivery into a sampling frame capable of accommodating multiple layers of stratification or clustering when selecting probability-based samples. </w:t>
      </w:r>
      <w:r w:rsidR="00055DB8">
        <w:t>A</w:t>
      </w:r>
      <w:r>
        <w:t xml:space="preserve">ddress enhancements provided by MSG include amelioration of some of the known coverage problems associated with the DSF, particularly in rural areas where more households rely on P.O. Boxes and inconsistent address formats.  </w:t>
      </w:r>
    </w:p>
    <w:p w:rsidR="006708E0" w:rsidP="00F53792" w:rsidRDefault="007A63B0" w14:paraId="2F9C3885" w14:textId="11C16AB2">
      <w:pPr>
        <w:spacing w:after="120"/>
      </w:pPr>
      <w:r>
        <w:t xml:space="preserve">There were </w:t>
      </w:r>
      <w:r w:rsidR="00CB3CAB">
        <w:t>approximately 1</w:t>
      </w:r>
      <w:r w:rsidR="008300A3">
        <w:t>4</w:t>
      </w:r>
      <w:r w:rsidR="00BD3823">
        <w:t>7</w:t>
      </w:r>
      <w:r w:rsidR="00DE033E">
        <w:t>-</w:t>
      </w:r>
      <w:r>
        <w:t xml:space="preserve">million residential addresses in the DSF as of </w:t>
      </w:r>
      <w:r w:rsidR="00BD3823">
        <w:t>Dec</w:t>
      </w:r>
      <w:r w:rsidR="008300A3">
        <w:t>ember</w:t>
      </w:r>
      <w:r>
        <w:t xml:space="preserve"> 20</w:t>
      </w:r>
      <w:r w:rsidR="00BD3823">
        <w:t>20</w:t>
      </w:r>
      <w:r>
        <w:t xml:space="preserve">.  This excludes business addresses.  It also excludes addresses labeled as “No Stat” which are generally </w:t>
      </w:r>
      <w:r w:rsidR="00CB3CAB">
        <w:t xml:space="preserve">addresses where there is no mail delivery, such as </w:t>
      </w:r>
      <w:r>
        <w:t xml:space="preserve">buildings for which building permits have been obtained but mail delivery has not commenced.  </w:t>
      </w:r>
    </w:p>
    <w:p w:rsidR="007A63B0" w:rsidP="00F53792" w:rsidRDefault="006708E0" w14:paraId="17310988" w14:textId="6A0DC253">
      <w:pPr>
        <w:spacing w:after="120"/>
      </w:pPr>
      <w:r>
        <w:t xml:space="preserve">The sampling frame for the </w:t>
      </w:r>
      <w:r w:rsidR="000218FB">
        <w:t>NSBPAB</w:t>
      </w:r>
      <w:r w:rsidRPr="0072092F">
        <w:t xml:space="preserve"> will include all residential addresses, including city-style addresses (</w:t>
      </w:r>
      <w:r>
        <w:t>89</w:t>
      </w:r>
      <w:r w:rsidRPr="0072092F">
        <w:t>.</w:t>
      </w:r>
      <w:r w:rsidR="000208D2">
        <w:t>3</w:t>
      </w:r>
      <w:r w:rsidRPr="0072092F">
        <w:t>%), P</w:t>
      </w:r>
      <w:r w:rsidR="00EF4726">
        <w:t>.</w:t>
      </w:r>
      <w:r w:rsidRPr="0072092F">
        <w:t>O</w:t>
      </w:r>
      <w:r w:rsidR="00EF4726">
        <w:t>.</w:t>
      </w:r>
      <w:r w:rsidRPr="0072092F">
        <w:t xml:space="preserve"> </w:t>
      </w:r>
      <w:r w:rsidR="0049368D">
        <w:t>B</w:t>
      </w:r>
      <w:r w:rsidRPr="0072092F">
        <w:t>oxes (1</w:t>
      </w:r>
      <w:r>
        <w:t>0.</w:t>
      </w:r>
      <w:r w:rsidR="000208D2">
        <w:t>7</w:t>
      </w:r>
      <w:r w:rsidRPr="0072092F">
        <w:t>%), rural routes (&lt;0.1%), and highway contracts (&lt;0.1%).</w:t>
      </w:r>
      <w:r w:rsidR="00C855EE">
        <w:t xml:space="preserve"> The frame will exclude</w:t>
      </w:r>
      <w:r>
        <w:t xml:space="preserve"> </w:t>
      </w:r>
      <w:r w:rsidR="00C855EE">
        <w:t>P</w:t>
      </w:r>
      <w:r w:rsidR="00EF4726">
        <w:t>.</w:t>
      </w:r>
      <w:r w:rsidR="00C855EE">
        <w:t>O</w:t>
      </w:r>
      <w:r w:rsidR="00EF4726">
        <w:t>.</w:t>
      </w:r>
      <w:r w:rsidR="00C855EE">
        <w:t xml:space="preserve"> </w:t>
      </w:r>
      <w:r w:rsidR="0049368D">
        <w:t>B</w:t>
      </w:r>
      <w:r w:rsidR="00C855EE">
        <w:t>oxes where the household also receives home delivery.  T</w:t>
      </w:r>
      <w:r>
        <w:t>he DSF classifies P</w:t>
      </w:r>
      <w:r w:rsidR="00EF4726">
        <w:t>.</w:t>
      </w:r>
      <w:r>
        <w:t>O</w:t>
      </w:r>
      <w:r w:rsidR="00EF4726">
        <w:t>.</w:t>
      </w:r>
      <w:r>
        <w:t xml:space="preserve"> Boxes as Only Way to Get Mail (</w:t>
      </w:r>
      <w:r w:rsidR="00C855EE">
        <w:t>1.4 million</w:t>
      </w:r>
      <w:r>
        <w:t>)</w:t>
      </w:r>
      <w:r w:rsidR="00C855EE">
        <w:t xml:space="preserve"> or traditional Post Office Box where the household also receives </w:t>
      </w:r>
      <w:r>
        <w:t>delivery at a street address</w:t>
      </w:r>
      <w:r w:rsidR="00C855EE">
        <w:t xml:space="preserve"> (14.3 million</w:t>
      </w:r>
      <w:r>
        <w:t xml:space="preserve">).  The </w:t>
      </w:r>
      <w:r w:rsidR="000218FB">
        <w:t>NSBPAB</w:t>
      </w:r>
      <w:r>
        <w:t xml:space="preserve"> will </w:t>
      </w:r>
      <w:r w:rsidR="00C855EE">
        <w:t xml:space="preserve">only include the Only Way to Get Mail </w:t>
      </w:r>
      <w:r w:rsidR="004F4783">
        <w:t>(OWGM)</w:t>
      </w:r>
      <w:r w:rsidR="00C855EE">
        <w:t xml:space="preserve"> P</w:t>
      </w:r>
      <w:r w:rsidR="00EF4726">
        <w:t>.</w:t>
      </w:r>
      <w:r w:rsidR="00C855EE">
        <w:t>O</w:t>
      </w:r>
      <w:r w:rsidR="00EF4726">
        <w:t>.</w:t>
      </w:r>
      <w:r w:rsidR="00C855EE">
        <w:t xml:space="preserve"> Boxes </w:t>
      </w:r>
      <w:r>
        <w:t>since people having the latter are represented in the sampling frame based on their home delivery address.</w:t>
      </w:r>
      <w:r w:rsidR="000208D2">
        <w:t xml:space="preserve"> In total, the frame for NSBPAB include</w:t>
      </w:r>
      <w:r w:rsidR="005B2AC8">
        <w:t>s</w:t>
      </w:r>
      <w:r w:rsidR="000208D2">
        <w:t xml:space="preserve"> </w:t>
      </w:r>
      <w:r w:rsidR="00DE033E">
        <w:t>133 million</w:t>
      </w:r>
      <w:r w:rsidR="000208D2">
        <w:t xml:space="preserve"> mailable addresses.</w:t>
      </w:r>
    </w:p>
    <w:p w:rsidR="007A63B0" w:rsidP="00F53792" w:rsidRDefault="00C855EE" w14:paraId="4F475742" w14:textId="0D3D3A91">
      <w:pPr>
        <w:spacing w:after="120"/>
      </w:pPr>
      <w:r>
        <w:t xml:space="preserve">The DSF includes flags identifying the address as seasonal (&lt;0.1%) or vacant (7.0%). To maximize coverage of the population, the </w:t>
      </w:r>
      <w:r w:rsidR="000218FB">
        <w:t>NSBPAB</w:t>
      </w:r>
      <w:r>
        <w:t xml:space="preserve"> frame will include these addresses.</w:t>
      </w:r>
    </w:p>
    <w:p w:rsidR="007A63B0" w:rsidP="00F53792" w:rsidRDefault="007A63B0" w14:paraId="7EEB694C" w14:textId="3EED7F74">
      <w:pPr>
        <w:spacing w:after="120"/>
      </w:pPr>
      <w:r>
        <w:t xml:space="preserve">Drop points are building addresses with multiple deliveries and no separate addresses within the building (i.e., apartment numbers).  Drop units --- the number of delivery units within drop points --- represent </w:t>
      </w:r>
      <w:r w:rsidR="000E07F3">
        <w:t>less than 1</w:t>
      </w:r>
      <w:r w:rsidR="00EF4726">
        <w:t>%</w:t>
      </w:r>
      <w:r>
        <w:t xml:space="preserve"> of all residential addresses.  In actual mail delivery, the drop units have names attached so that mail can be appropriately routed within the building by tenant or landlord. However, the commercial DSF file only provides the number of drop units within a drop point address. The most common approaches to handling drop points in address based samples are to either exclude the drop points (or those with more than a few drop units) or include all drop units for any selected drop point since there is no basis for selection within the drop unit. </w:t>
      </w:r>
      <w:r w:rsidR="000218FB">
        <w:t>NSBPAB</w:t>
      </w:r>
      <w:r w:rsidR="005D4DA4">
        <w:t xml:space="preserve"> </w:t>
      </w:r>
      <w:r>
        <w:t>will include drop points in the sampling frame</w:t>
      </w:r>
      <w:r w:rsidR="005D4DA4">
        <w:t>. The drop points will be expanded based on the number of units at that location. If a drop point is selected, research on the units will be conducted to determine the unit identifiers for the building</w:t>
      </w:r>
      <w:r>
        <w:t xml:space="preserve">.  </w:t>
      </w:r>
    </w:p>
    <w:p w:rsidRPr="00437C03" w:rsidR="007A63B0" w:rsidP="00F53792" w:rsidRDefault="007A63B0" w14:paraId="28337F26" w14:textId="73C6A25C">
      <w:pPr>
        <w:spacing w:after="120"/>
      </w:pPr>
      <w:r>
        <w:t>Some addresses are classified as educational (</w:t>
      </w:r>
      <w:r w:rsidR="00C855EE">
        <w:t>&lt;0.1%</w:t>
      </w:r>
      <w:r w:rsidR="00B14691">
        <w:t>), which represents student housing</w:t>
      </w:r>
      <w:r>
        <w:t xml:space="preserve">. They are effectively a special type of drop point since there are not individual unit addresses within the buildings. </w:t>
      </w:r>
      <w:r w:rsidRPr="00437C03">
        <w:t xml:space="preserve">They will be included in the sample, like drop points, particularly given the importance of the young adult sample to this survey and its under-representation in most population surveys.  </w:t>
      </w:r>
    </w:p>
    <w:p w:rsidRPr="00437C03" w:rsidR="009A24C0" w:rsidP="00F53792" w:rsidRDefault="001478A4" w14:paraId="5AA19611" w14:textId="77777777">
      <w:pPr>
        <w:spacing w:after="120"/>
        <w:rPr>
          <w:u w:val="single"/>
        </w:rPr>
      </w:pPr>
      <w:bookmarkStart w:name="_Toc435994296" w:id="4"/>
      <w:r w:rsidRPr="00437C03">
        <w:rPr>
          <w:u w:val="single"/>
        </w:rPr>
        <w:t>B.1.b.</w:t>
      </w:r>
      <w:r w:rsidRPr="00437C03" w:rsidR="004F4783">
        <w:rPr>
          <w:u w:val="single"/>
        </w:rPr>
        <w:t>2</w:t>
      </w:r>
      <w:r w:rsidRPr="00437C03">
        <w:rPr>
          <w:u w:val="single"/>
        </w:rPr>
        <w:t xml:space="preserve"> </w:t>
      </w:r>
      <w:r w:rsidRPr="00437C03" w:rsidR="00CB3CAB">
        <w:rPr>
          <w:u w:val="single"/>
        </w:rPr>
        <w:t>Sample Sizes</w:t>
      </w:r>
      <w:bookmarkEnd w:id="4"/>
      <w:r w:rsidRPr="00437C03" w:rsidR="00CB3CAB">
        <w:rPr>
          <w:u w:val="single"/>
        </w:rPr>
        <w:t xml:space="preserve"> </w:t>
      </w:r>
    </w:p>
    <w:p w:rsidR="00437C03" w:rsidP="00F53792" w:rsidRDefault="00437C03" w14:paraId="0406EC09" w14:textId="7F0A97F9">
      <w:pPr>
        <w:spacing w:after="120"/>
      </w:pPr>
      <w:r w:rsidRPr="00437C03">
        <w:lastRenderedPageBreak/>
        <w:t xml:space="preserve">The </w:t>
      </w:r>
      <w:r w:rsidR="000218FB">
        <w:t>NSBPAB</w:t>
      </w:r>
      <w:r w:rsidRPr="00437C03">
        <w:t xml:space="preserve"> frame will be stratified into the 10 NHTSA regions and the overall sample of 7,</w:t>
      </w:r>
      <w:r w:rsidR="001E5311">
        <w:t>5</w:t>
      </w:r>
      <w:r w:rsidRPr="00437C03">
        <w:t>00 will be allocated</w:t>
      </w:r>
      <w:r>
        <w:t xml:space="preserve"> based on the total number of residential addresses in each region with a minimum of 500 per region. Assuming a 1.75 design effect due to weighting, we expect national estimates to have a margin of error of +/–1.5 percentage points at the 95% confidence level and error margins for regional estimates ranging from +/-4.</w:t>
      </w:r>
      <w:r w:rsidR="00BD3823">
        <w:t>1</w:t>
      </w:r>
      <w:r>
        <w:t>% to +/-5.8%.</w:t>
      </w:r>
      <w:r>
        <w:rPr>
          <w:vertAlign w:val="superscript"/>
        </w:rPr>
        <w:footnoteReference w:id="10"/>
      </w:r>
      <w:r>
        <w:rPr>
          <w:vertAlign w:val="superscript"/>
        </w:rPr>
        <w:t xml:space="preserve">  </w:t>
      </w:r>
      <w:r>
        <w:t xml:space="preserve">Table 1 contains the total number of occupied housing units, total addresses on the DSF, and the target sample size by region. </w:t>
      </w:r>
    </w:p>
    <w:p w:rsidR="00437C03" w:rsidP="00437C03" w:rsidRDefault="00437C03" w14:paraId="1899D14A" w14:textId="77777777">
      <w:pPr>
        <w:pStyle w:val="BodyText"/>
        <w:ind w:firstLine="720"/>
        <w:rPr>
          <w:i/>
        </w:rPr>
      </w:pPr>
    </w:p>
    <w:p w:rsidR="00437C03" w:rsidP="00437C03" w:rsidRDefault="00437C03" w14:paraId="5FFECA50" w14:textId="77777777">
      <w:pPr>
        <w:widowControl w:val="0"/>
        <w:autoSpaceDE w:val="0"/>
        <w:autoSpaceDN w:val="0"/>
        <w:adjustRightInd w:val="0"/>
        <w:jc w:val="center"/>
        <w:rPr>
          <w:i/>
        </w:rPr>
      </w:pPr>
      <w:r>
        <w:rPr>
          <w:i/>
        </w:rPr>
        <w:t xml:space="preserve">Table 1. Regional Frame Counts and Sample Size </w:t>
      </w:r>
    </w:p>
    <w:tbl>
      <w:tblPr>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2"/>
        <w:gridCol w:w="1587"/>
        <w:gridCol w:w="1346"/>
        <w:gridCol w:w="1171"/>
        <w:gridCol w:w="1206"/>
        <w:gridCol w:w="900"/>
      </w:tblGrid>
      <w:tr w:rsidRPr="00B90FA4" w:rsidR="00BD3823" w:rsidTr="009B1704" w14:paraId="6013C365" w14:textId="77777777">
        <w:trPr>
          <w:trHeight w:val="610"/>
          <w:jc w:val="center"/>
        </w:trPr>
        <w:tc>
          <w:tcPr>
            <w:tcW w:w="3412" w:type="dxa"/>
            <w:shd w:val="clear" w:color="auto" w:fill="4F81BD" w:themeFill="accent1"/>
            <w:noWrap/>
            <w:vAlign w:val="center"/>
            <w:hideMark/>
          </w:tcPr>
          <w:p w:rsidRPr="00B90FA4" w:rsidR="00BD3823" w:rsidP="00C7742A" w:rsidRDefault="00BD3823" w14:paraId="2E9D4D5F" w14:textId="1739B682">
            <w:pPr>
              <w:jc w:val="center"/>
              <w:rPr>
                <w:b/>
                <w:bCs/>
                <w:color w:val="FFFFFF"/>
                <w:sz w:val="22"/>
                <w:szCs w:val="22"/>
              </w:rPr>
            </w:pPr>
            <w:r w:rsidRPr="00BD3823">
              <w:rPr>
                <w:b/>
                <w:bCs/>
                <w:color w:val="FFFFFF"/>
                <w:sz w:val="22"/>
                <w:szCs w:val="22"/>
              </w:rPr>
              <w:t>NHTSA Region</w:t>
            </w:r>
            <w:r w:rsidR="00C7742A">
              <w:rPr>
                <w:b/>
                <w:bCs/>
                <w:color w:val="FFFFFF"/>
                <w:sz w:val="22"/>
                <w:szCs w:val="22"/>
              </w:rPr>
              <w:t>/States</w:t>
            </w:r>
          </w:p>
        </w:tc>
        <w:tc>
          <w:tcPr>
            <w:tcW w:w="1619" w:type="dxa"/>
            <w:shd w:val="clear" w:color="auto" w:fill="4F81BD" w:themeFill="accent1"/>
            <w:vAlign w:val="center"/>
            <w:hideMark/>
          </w:tcPr>
          <w:p w:rsidRPr="00B90FA4" w:rsidR="00BD3823" w:rsidP="00C7742A" w:rsidRDefault="00BD3823" w14:paraId="63AE0336" w14:textId="4BD9E2C0">
            <w:pPr>
              <w:jc w:val="center"/>
              <w:rPr>
                <w:b/>
                <w:bCs/>
                <w:color w:val="FFFFFF"/>
                <w:sz w:val="22"/>
                <w:szCs w:val="22"/>
              </w:rPr>
            </w:pPr>
            <w:r w:rsidRPr="00B90FA4">
              <w:rPr>
                <w:b/>
                <w:bCs/>
                <w:color w:val="FFFFFF"/>
                <w:sz w:val="22"/>
                <w:szCs w:val="22"/>
              </w:rPr>
              <w:t>201</w:t>
            </w:r>
            <w:r w:rsidR="000E07F3">
              <w:rPr>
                <w:b/>
                <w:bCs/>
                <w:color w:val="FFFFFF"/>
                <w:sz w:val="22"/>
                <w:szCs w:val="22"/>
              </w:rPr>
              <w:t>9</w:t>
            </w:r>
            <w:r w:rsidRPr="00B90FA4">
              <w:rPr>
                <w:b/>
                <w:bCs/>
                <w:color w:val="FFFFFF"/>
                <w:sz w:val="22"/>
                <w:szCs w:val="22"/>
              </w:rPr>
              <w:t xml:space="preserve"> ACS Occupied H</w:t>
            </w:r>
            <w:r w:rsidR="005B2AC8">
              <w:rPr>
                <w:b/>
                <w:bCs/>
                <w:color w:val="FFFFFF"/>
                <w:sz w:val="22"/>
                <w:szCs w:val="22"/>
              </w:rPr>
              <w:t>U</w:t>
            </w:r>
            <w:r w:rsidRPr="00B90FA4">
              <w:rPr>
                <w:b/>
                <w:bCs/>
                <w:color w:val="FFFFFF"/>
                <w:sz w:val="22"/>
                <w:szCs w:val="22"/>
              </w:rPr>
              <w:t>s</w:t>
            </w:r>
            <w:r w:rsidRPr="00BD3823">
              <w:rPr>
                <w:b/>
                <w:bCs/>
                <w:color w:val="FFFFFF"/>
                <w:sz w:val="22"/>
                <w:szCs w:val="22"/>
              </w:rPr>
              <w:t xml:space="preserve"> (household units)</w:t>
            </w:r>
          </w:p>
        </w:tc>
        <w:tc>
          <w:tcPr>
            <w:tcW w:w="1350" w:type="dxa"/>
            <w:shd w:val="clear" w:color="auto" w:fill="4F81BD" w:themeFill="accent1"/>
            <w:vAlign w:val="center"/>
            <w:hideMark/>
          </w:tcPr>
          <w:p w:rsidRPr="00B90FA4" w:rsidR="00BD3823" w:rsidP="00C7742A" w:rsidRDefault="00BD3823" w14:paraId="25BE1652" w14:textId="77777777">
            <w:pPr>
              <w:jc w:val="center"/>
              <w:rPr>
                <w:b/>
                <w:bCs/>
                <w:color w:val="FFFFFF"/>
                <w:sz w:val="22"/>
                <w:szCs w:val="22"/>
              </w:rPr>
            </w:pPr>
            <w:r w:rsidRPr="00B90FA4">
              <w:rPr>
                <w:b/>
                <w:bCs/>
                <w:color w:val="FFFFFF"/>
                <w:sz w:val="22"/>
                <w:szCs w:val="22"/>
              </w:rPr>
              <w:t>Addresses (Dec 2020)</w:t>
            </w:r>
          </w:p>
        </w:tc>
        <w:tc>
          <w:tcPr>
            <w:tcW w:w="1171" w:type="dxa"/>
            <w:shd w:val="clear" w:color="auto" w:fill="4F81BD" w:themeFill="accent1"/>
            <w:vAlign w:val="center"/>
          </w:tcPr>
          <w:p w:rsidRPr="00B90FA4" w:rsidR="00BD3823" w:rsidP="00C7742A" w:rsidRDefault="00BD3823" w14:paraId="010EDB1D" w14:textId="1E9C3822">
            <w:pPr>
              <w:jc w:val="center"/>
              <w:rPr>
                <w:b/>
                <w:bCs/>
                <w:color w:val="FFFFFF"/>
                <w:sz w:val="22"/>
                <w:szCs w:val="22"/>
              </w:rPr>
            </w:pPr>
            <w:r>
              <w:rPr>
                <w:b/>
                <w:bCs/>
                <w:color w:val="FFFFFF"/>
                <w:sz w:val="22"/>
                <w:szCs w:val="22"/>
              </w:rPr>
              <w:t>Selected Addresses</w:t>
            </w:r>
          </w:p>
        </w:tc>
        <w:tc>
          <w:tcPr>
            <w:tcW w:w="1170" w:type="dxa"/>
            <w:shd w:val="clear" w:color="auto" w:fill="4F81BD" w:themeFill="accent1"/>
            <w:vAlign w:val="center"/>
            <w:hideMark/>
          </w:tcPr>
          <w:p w:rsidRPr="00B90FA4" w:rsidR="00BD3823" w:rsidP="00C7742A" w:rsidRDefault="00BD3823" w14:paraId="086B0A41" w14:textId="6168CF3B">
            <w:pPr>
              <w:jc w:val="center"/>
              <w:rPr>
                <w:b/>
                <w:bCs/>
                <w:color w:val="FFFFFF"/>
                <w:sz w:val="22"/>
                <w:szCs w:val="22"/>
              </w:rPr>
            </w:pPr>
            <w:r w:rsidRPr="00B90FA4">
              <w:rPr>
                <w:b/>
                <w:bCs/>
                <w:color w:val="FFFFFF"/>
                <w:sz w:val="22"/>
                <w:szCs w:val="22"/>
              </w:rPr>
              <w:t xml:space="preserve">Expected </w:t>
            </w:r>
            <w:r w:rsidR="005A64B3">
              <w:rPr>
                <w:b/>
                <w:bCs/>
                <w:color w:val="FFFFFF"/>
                <w:sz w:val="22"/>
                <w:szCs w:val="22"/>
              </w:rPr>
              <w:t>C</w:t>
            </w:r>
            <w:r w:rsidRPr="00B90FA4">
              <w:rPr>
                <w:b/>
                <w:bCs/>
                <w:color w:val="FFFFFF"/>
                <w:sz w:val="22"/>
                <w:szCs w:val="22"/>
              </w:rPr>
              <w:t>ompletes</w:t>
            </w:r>
          </w:p>
        </w:tc>
        <w:tc>
          <w:tcPr>
            <w:tcW w:w="900" w:type="dxa"/>
            <w:shd w:val="clear" w:color="auto" w:fill="4F81BD" w:themeFill="accent1"/>
            <w:noWrap/>
            <w:vAlign w:val="center"/>
            <w:hideMark/>
          </w:tcPr>
          <w:p w:rsidRPr="00B90FA4" w:rsidR="00BD3823" w:rsidP="00C7742A" w:rsidRDefault="00BD3823" w14:paraId="0D751783" w14:textId="77777777">
            <w:pPr>
              <w:jc w:val="center"/>
              <w:rPr>
                <w:b/>
                <w:bCs/>
                <w:color w:val="FFFFFF"/>
                <w:sz w:val="22"/>
                <w:szCs w:val="22"/>
              </w:rPr>
            </w:pPr>
            <w:r w:rsidRPr="00B90FA4">
              <w:rPr>
                <w:b/>
                <w:bCs/>
                <w:color w:val="FFFFFF"/>
                <w:sz w:val="22"/>
                <w:szCs w:val="22"/>
              </w:rPr>
              <w:t>+/–95% CI</w:t>
            </w:r>
          </w:p>
        </w:tc>
      </w:tr>
      <w:tr w:rsidRPr="00B90FA4" w:rsidR="00BD3823" w:rsidTr="005B2AC8" w14:paraId="1FD801F6" w14:textId="77777777">
        <w:trPr>
          <w:trHeight w:val="320"/>
          <w:jc w:val="center"/>
        </w:trPr>
        <w:tc>
          <w:tcPr>
            <w:tcW w:w="3412" w:type="dxa"/>
            <w:shd w:val="clear" w:color="auto" w:fill="auto"/>
            <w:noWrap/>
            <w:vAlign w:val="center"/>
            <w:hideMark/>
          </w:tcPr>
          <w:p w:rsidRPr="00B90FA4" w:rsidR="00BD3823" w:rsidP="00BD3823" w:rsidRDefault="00BD3823" w14:paraId="713BEC7B" w14:textId="0F4CB9B9">
            <w:pPr>
              <w:rPr>
                <w:color w:val="000000"/>
                <w:sz w:val="22"/>
                <w:szCs w:val="22"/>
              </w:rPr>
            </w:pPr>
            <w:r w:rsidRPr="00B90FA4">
              <w:rPr>
                <w:color w:val="000000"/>
                <w:sz w:val="22"/>
                <w:szCs w:val="22"/>
              </w:rPr>
              <w:t>United States</w:t>
            </w:r>
            <w:r w:rsidR="00C7742A">
              <w:rPr>
                <w:color w:val="000000"/>
                <w:sz w:val="22"/>
                <w:szCs w:val="22"/>
              </w:rPr>
              <w:t xml:space="preserve"> - Total</w:t>
            </w:r>
          </w:p>
        </w:tc>
        <w:tc>
          <w:tcPr>
            <w:tcW w:w="1619" w:type="dxa"/>
            <w:shd w:val="clear" w:color="auto" w:fill="auto"/>
            <w:vAlign w:val="center"/>
            <w:hideMark/>
          </w:tcPr>
          <w:p w:rsidRPr="00B90FA4" w:rsidR="00BD3823" w:rsidP="00BD3823" w:rsidRDefault="00BD3823" w14:paraId="22EC0F04" w14:textId="77777777">
            <w:pPr>
              <w:jc w:val="right"/>
              <w:rPr>
                <w:color w:val="000000"/>
                <w:sz w:val="22"/>
                <w:szCs w:val="22"/>
              </w:rPr>
            </w:pPr>
            <w:r w:rsidRPr="00B90FA4">
              <w:rPr>
                <w:color w:val="000000"/>
                <w:sz w:val="22"/>
                <w:szCs w:val="22"/>
              </w:rPr>
              <w:t>120,756,048</w:t>
            </w:r>
          </w:p>
        </w:tc>
        <w:tc>
          <w:tcPr>
            <w:tcW w:w="1350" w:type="dxa"/>
            <w:shd w:val="clear" w:color="auto" w:fill="auto"/>
            <w:vAlign w:val="center"/>
            <w:hideMark/>
          </w:tcPr>
          <w:p w:rsidRPr="00B90FA4" w:rsidR="00BD3823" w:rsidP="00BD3823" w:rsidRDefault="00BD3823" w14:paraId="5508C852" w14:textId="77777777">
            <w:pPr>
              <w:jc w:val="right"/>
              <w:rPr>
                <w:color w:val="000000"/>
                <w:sz w:val="22"/>
                <w:szCs w:val="22"/>
              </w:rPr>
            </w:pPr>
            <w:r w:rsidRPr="00B90FA4">
              <w:rPr>
                <w:color w:val="000000"/>
                <w:sz w:val="22"/>
                <w:szCs w:val="22"/>
              </w:rPr>
              <w:t>133,090,025</w:t>
            </w:r>
          </w:p>
        </w:tc>
        <w:tc>
          <w:tcPr>
            <w:tcW w:w="1171" w:type="dxa"/>
            <w:vAlign w:val="center"/>
          </w:tcPr>
          <w:p w:rsidRPr="00BD3823" w:rsidR="00BD3823" w:rsidP="00BD3823" w:rsidRDefault="00BD3823" w14:paraId="28BE9B02" w14:textId="4FB4B724">
            <w:pPr>
              <w:jc w:val="right"/>
              <w:rPr>
                <w:color w:val="000000"/>
                <w:sz w:val="22"/>
                <w:szCs w:val="22"/>
              </w:rPr>
            </w:pPr>
            <w:r w:rsidRPr="00BD3823">
              <w:rPr>
                <w:color w:val="000000"/>
                <w:sz w:val="22"/>
                <w:szCs w:val="22"/>
              </w:rPr>
              <w:t>25,000</w:t>
            </w:r>
          </w:p>
        </w:tc>
        <w:tc>
          <w:tcPr>
            <w:tcW w:w="1170" w:type="dxa"/>
            <w:shd w:val="clear" w:color="auto" w:fill="auto"/>
            <w:noWrap/>
            <w:vAlign w:val="center"/>
            <w:hideMark/>
          </w:tcPr>
          <w:p w:rsidRPr="00B90FA4" w:rsidR="00BD3823" w:rsidP="00BD3823" w:rsidRDefault="00BD3823" w14:paraId="4CF9D0A6" w14:textId="31F896D1">
            <w:pPr>
              <w:jc w:val="right"/>
              <w:rPr>
                <w:color w:val="000000"/>
                <w:sz w:val="22"/>
                <w:szCs w:val="22"/>
              </w:rPr>
            </w:pPr>
            <w:r w:rsidRPr="00B90FA4">
              <w:rPr>
                <w:color w:val="000000"/>
                <w:sz w:val="22"/>
                <w:szCs w:val="22"/>
              </w:rPr>
              <w:t>7,500</w:t>
            </w:r>
          </w:p>
        </w:tc>
        <w:tc>
          <w:tcPr>
            <w:tcW w:w="900" w:type="dxa"/>
            <w:shd w:val="clear" w:color="auto" w:fill="auto"/>
            <w:noWrap/>
            <w:vAlign w:val="center"/>
            <w:hideMark/>
          </w:tcPr>
          <w:p w:rsidRPr="00B90FA4" w:rsidR="00BD3823" w:rsidP="00BD3823" w:rsidRDefault="00BD3823" w14:paraId="26C6487F" w14:textId="77777777">
            <w:pPr>
              <w:jc w:val="right"/>
              <w:rPr>
                <w:color w:val="000000"/>
                <w:sz w:val="22"/>
                <w:szCs w:val="22"/>
              </w:rPr>
            </w:pPr>
            <w:r w:rsidRPr="00B90FA4">
              <w:rPr>
                <w:color w:val="000000"/>
                <w:sz w:val="22"/>
                <w:szCs w:val="22"/>
              </w:rPr>
              <w:t>1.5%</w:t>
            </w:r>
          </w:p>
        </w:tc>
      </w:tr>
      <w:tr w:rsidRPr="00B90FA4" w:rsidR="00BD3823" w:rsidTr="005B2AC8" w14:paraId="453CD135" w14:textId="77777777">
        <w:trPr>
          <w:trHeight w:val="320"/>
          <w:jc w:val="center"/>
        </w:trPr>
        <w:tc>
          <w:tcPr>
            <w:tcW w:w="3412" w:type="dxa"/>
            <w:shd w:val="clear" w:color="auto" w:fill="auto"/>
            <w:noWrap/>
            <w:vAlign w:val="center"/>
            <w:hideMark/>
          </w:tcPr>
          <w:p w:rsidRPr="00B90FA4" w:rsidR="00BD3823" w:rsidP="005B2AC8" w:rsidRDefault="00BD3823" w14:paraId="3CCFFB55" w14:textId="04E0E36C">
            <w:pPr>
              <w:ind w:left="420" w:hanging="420"/>
              <w:rPr>
                <w:color w:val="000000"/>
                <w:sz w:val="22"/>
                <w:szCs w:val="22"/>
              </w:rPr>
            </w:pPr>
            <w:r w:rsidRPr="00B90FA4">
              <w:rPr>
                <w:color w:val="000000"/>
                <w:sz w:val="22"/>
                <w:szCs w:val="22"/>
              </w:rPr>
              <w:t xml:space="preserve">1 </w:t>
            </w:r>
            <w:r w:rsidR="005B2AC8">
              <w:rPr>
                <w:color w:val="000000"/>
                <w:sz w:val="22"/>
                <w:szCs w:val="22"/>
              </w:rPr>
              <w:t xml:space="preserve">    </w:t>
            </w:r>
            <w:r w:rsidRPr="00B90FA4">
              <w:rPr>
                <w:color w:val="000000"/>
                <w:sz w:val="22"/>
                <w:szCs w:val="22"/>
              </w:rPr>
              <w:t>Maine, Massachusetts, New Hampshire, Rhode Island, Vermont</w:t>
            </w:r>
          </w:p>
        </w:tc>
        <w:tc>
          <w:tcPr>
            <w:tcW w:w="1619" w:type="dxa"/>
            <w:shd w:val="clear" w:color="auto" w:fill="auto"/>
            <w:vAlign w:val="center"/>
            <w:hideMark/>
          </w:tcPr>
          <w:p w:rsidRPr="00B90FA4" w:rsidR="00BD3823" w:rsidP="00BD3823" w:rsidRDefault="00BD3823" w14:paraId="11E9B1DD" w14:textId="77777777">
            <w:pPr>
              <w:jc w:val="right"/>
              <w:rPr>
                <w:color w:val="000000"/>
                <w:sz w:val="22"/>
                <w:szCs w:val="22"/>
              </w:rPr>
            </w:pPr>
            <w:r w:rsidRPr="00B90FA4">
              <w:rPr>
                <w:color w:val="000000"/>
                <w:sz w:val="22"/>
                <w:szCs w:val="22"/>
              </w:rPr>
              <w:t>4,379,973</w:t>
            </w:r>
          </w:p>
        </w:tc>
        <w:tc>
          <w:tcPr>
            <w:tcW w:w="1350" w:type="dxa"/>
            <w:shd w:val="clear" w:color="auto" w:fill="auto"/>
            <w:vAlign w:val="center"/>
            <w:hideMark/>
          </w:tcPr>
          <w:p w:rsidRPr="00B90FA4" w:rsidR="00BD3823" w:rsidP="00BD3823" w:rsidRDefault="00BD3823" w14:paraId="4D5937C9" w14:textId="77777777">
            <w:pPr>
              <w:jc w:val="right"/>
              <w:rPr>
                <w:color w:val="000000"/>
                <w:sz w:val="22"/>
                <w:szCs w:val="22"/>
              </w:rPr>
            </w:pPr>
            <w:r w:rsidRPr="00B90FA4">
              <w:rPr>
                <w:color w:val="000000"/>
                <w:sz w:val="22"/>
                <w:szCs w:val="22"/>
              </w:rPr>
              <w:t>4,697,848</w:t>
            </w:r>
          </w:p>
        </w:tc>
        <w:tc>
          <w:tcPr>
            <w:tcW w:w="1171" w:type="dxa"/>
            <w:vAlign w:val="center"/>
          </w:tcPr>
          <w:p w:rsidRPr="00BD3823" w:rsidR="00BD3823" w:rsidP="00BD3823" w:rsidRDefault="00BD3823" w14:paraId="39A34B74" w14:textId="62E2B4E5">
            <w:pPr>
              <w:jc w:val="right"/>
              <w:rPr>
                <w:color w:val="000000"/>
                <w:sz w:val="22"/>
                <w:szCs w:val="22"/>
              </w:rPr>
            </w:pPr>
            <w:r w:rsidRPr="00BD3823">
              <w:rPr>
                <w:color w:val="000000"/>
                <w:sz w:val="22"/>
                <w:szCs w:val="22"/>
              </w:rPr>
              <w:t>1,667</w:t>
            </w:r>
          </w:p>
        </w:tc>
        <w:tc>
          <w:tcPr>
            <w:tcW w:w="1170" w:type="dxa"/>
            <w:shd w:val="clear" w:color="auto" w:fill="auto"/>
            <w:noWrap/>
            <w:vAlign w:val="center"/>
            <w:hideMark/>
          </w:tcPr>
          <w:p w:rsidRPr="00B90FA4" w:rsidR="00BD3823" w:rsidP="00BD3823" w:rsidRDefault="00BD3823" w14:paraId="72BE0550" w14:textId="334D5ADB">
            <w:pPr>
              <w:jc w:val="right"/>
              <w:rPr>
                <w:color w:val="000000"/>
                <w:sz w:val="22"/>
                <w:szCs w:val="22"/>
              </w:rPr>
            </w:pPr>
            <w:r w:rsidRPr="00B90FA4">
              <w:rPr>
                <w:color w:val="000000"/>
                <w:sz w:val="22"/>
                <w:szCs w:val="22"/>
              </w:rPr>
              <w:t>500</w:t>
            </w:r>
          </w:p>
        </w:tc>
        <w:tc>
          <w:tcPr>
            <w:tcW w:w="900" w:type="dxa"/>
            <w:shd w:val="clear" w:color="auto" w:fill="auto"/>
            <w:noWrap/>
            <w:vAlign w:val="center"/>
            <w:hideMark/>
          </w:tcPr>
          <w:p w:rsidRPr="00B90FA4" w:rsidR="00BD3823" w:rsidP="00BD3823" w:rsidRDefault="00BD3823" w14:paraId="7EDED275" w14:textId="77777777">
            <w:pPr>
              <w:jc w:val="right"/>
              <w:rPr>
                <w:color w:val="000000"/>
                <w:sz w:val="22"/>
                <w:szCs w:val="22"/>
              </w:rPr>
            </w:pPr>
            <w:r w:rsidRPr="00B90FA4">
              <w:rPr>
                <w:color w:val="000000"/>
                <w:sz w:val="22"/>
                <w:szCs w:val="22"/>
              </w:rPr>
              <w:t>5.8%</w:t>
            </w:r>
          </w:p>
        </w:tc>
      </w:tr>
      <w:tr w:rsidRPr="00B90FA4" w:rsidR="00BD3823" w:rsidTr="005B2AC8" w14:paraId="38C6EBBD" w14:textId="77777777">
        <w:trPr>
          <w:trHeight w:val="320"/>
          <w:jc w:val="center"/>
        </w:trPr>
        <w:tc>
          <w:tcPr>
            <w:tcW w:w="3412" w:type="dxa"/>
            <w:shd w:val="clear" w:color="auto" w:fill="auto"/>
            <w:noWrap/>
            <w:vAlign w:val="center"/>
            <w:hideMark/>
          </w:tcPr>
          <w:p w:rsidRPr="00B90FA4" w:rsidR="00BD3823" w:rsidP="005B2AC8" w:rsidRDefault="00BD3823" w14:paraId="4932BE16" w14:textId="21F31C03">
            <w:pPr>
              <w:ind w:left="420" w:hanging="420"/>
              <w:rPr>
                <w:color w:val="000000"/>
                <w:sz w:val="22"/>
                <w:szCs w:val="22"/>
              </w:rPr>
            </w:pPr>
            <w:r w:rsidRPr="00B90FA4">
              <w:rPr>
                <w:color w:val="000000"/>
                <w:sz w:val="22"/>
                <w:szCs w:val="22"/>
              </w:rPr>
              <w:t>2</w:t>
            </w:r>
            <w:r w:rsidR="005B2AC8">
              <w:rPr>
                <w:color w:val="000000"/>
                <w:sz w:val="22"/>
                <w:szCs w:val="22"/>
              </w:rPr>
              <w:t xml:space="preserve">    </w:t>
            </w:r>
            <w:r w:rsidRPr="00B90FA4">
              <w:rPr>
                <w:color w:val="000000"/>
                <w:sz w:val="22"/>
                <w:szCs w:val="22"/>
              </w:rPr>
              <w:t xml:space="preserve"> Connecticut, New Jersey, New York, Pennsylvania</w:t>
            </w:r>
          </w:p>
        </w:tc>
        <w:tc>
          <w:tcPr>
            <w:tcW w:w="1619" w:type="dxa"/>
            <w:shd w:val="clear" w:color="auto" w:fill="auto"/>
            <w:vAlign w:val="center"/>
            <w:hideMark/>
          </w:tcPr>
          <w:p w:rsidRPr="00B90FA4" w:rsidR="00BD3823" w:rsidP="00BD3823" w:rsidRDefault="00BD3823" w14:paraId="3AB3380C" w14:textId="77777777">
            <w:pPr>
              <w:jc w:val="right"/>
              <w:rPr>
                <w:color w:val="000000"/>
                <w:sz w:val="22"/>
                <w:szCs w:val="22"/>
              </w:rPr>
            </w:pPr>
            <w:r w:rsidRPr="00B90FA4">
              <w:rPr>
                <w:color w:val="000000"/>
                <w:sz w:val="22"/>
                <w:szCs w:val="22"/>
              </w:rPr>
              <w:t>16,998,960</w:t>
            </w:r>
          </w:p>
        </w:tc>
        <w:tc>
          <w:tcPr>
            <w:tcW w:w="1350" w:type="dxa"/>
            <w:shd w:val="clear" w:color="auto" w:fill="auto"/>
            <w:vAlign w:val="center"/>
            <w:hideMark/>
          </w:tcPr>
          <w:p w:rsidRPr="00B90FA4" w:rsidR="00BD3823" w:rsidP="00BD3823" w:rsidRDefault="00BD3823" w14:paraId="0879E6F9" w14:textId="77777777">
            <w:pPr>
              <w:jc w:val="right"/>
              <w:rPr>
                <w:color w:val="000000"/>
                <w:sz w:val="22"/>
                <w:szCs w:val="22"/>
              </w:rPr>
            </w:pPr>
            <w:r w:rsidRPr="00B90FA4">
              <w:rPr>
                <w:color w:val="000000"/>
                <w:sz w:val="22"/>
                <w:szCs w:val="22"/>
              </w:rPr>
              <w:t>18,080,973</w:t>
            </w:r>
          </w:p>
        </w:tc>
        <w:tc>
          <w:tcPr>
            <w:tcW w:w="1171" w:type="dxa"/>
            <w:vAlign w:val="center"/>
          </w:tcPr>
          <w:p w:rsidRPr="00BD3823" w:rsidR="00BD3823" w:rsidP="00BD3823" w:rsidRDefault="00BD3823" w14:paraId="35471F2F" w14:textId="2E42A6B6">
            <w:pPr>
              <w:jc w:val="right"/>
              <w:rPr>
                <w:color w:val="000000"/>
                <w:sz w:val="22"/>
                <w:szCs w:val="22"/>
              </w:rPr>
            </w:pPr>
            <w:r w:rsidRPr="00BD3823">
              <w:rPr>
                <w:color w:val="000000"/>
                <w:sz w:val="22"/>
                <w:szCs w:val="22"/>
              </w:rPr>
              <w:t>3,000</w:t>
            </w:r>
          </w:p>
        </w:tc>
        <w:tc>
          <w:tcPr>
            <w:tcW w:w="1170" w:type="dxa"/>
            <w:shd w:val="clear" w:color="auto" w:fill="auto"/>
            <w:noWrap/>
            <w:vAlign w:val="center"/>
            <w:hideMark/>
          </w:tcPr>
          <w:p w:rsidRPr="00B90FA4" w:rsidR="00BD3823" w:rsidP="00BD3823" w:rsidRDefault="00BD3823" w14:paraId="479EA44A" w14:textId="489272B3">
            <w:pPr>
              <w:jc w:val="right"/>
              <w:rPr>
                <w:color w:val="000000"/>
                <w:sz w:val="22"/>
                <w:szCs w:val="22"/>
              </w:rPr>
            </w:pPr>
            <w:r w:rsidRPr="00B90FA4">
              <w:rPr>
                <w:color w:val="000000"/>
                <w:sz w:val="22"/>
                <w:szCs w:val="22"/>
              </w:rPr>
              <w:t>900</w:t>
            </w:r>
          </w:p>
        </w:tc>
        <w:tc>
          <w:tcPr>
            <w:tcW w:w="900" w:type="dxa"/>
            <w:shd w:val="clear" w:color="auto" w:fill="auto"/>
            <w:noWrap/>
            <w:vAlign w:val="center"/>
            <w:hideMark/>
          </w:tcPr>
          <w:p w:rsidRPr="00B90FA4" w:rsidR="00BD3823" w:rsidP="00BD3823" w:rsidRDefault="00BD3823" w14:paraId="2C118FD0" w14:textId="77777777">
            <w:pPr>
              <w:jc w:val="right"/>
              <w:rPr>
                <w:color w:val="000000"/>
                <w:sz w:val="22"/>
                <w:szCs w:val="22"/>
              </w:rPr>
            </w:pPr>
            <w:r w:rsidRPr="00B90FA4">
              <w:rPr>
                <w:color w:val="000000"/>
                <w:sz w:val="22"/>
                <w:szCs w:val="22"/>
              </w:rPr>
              <w:t>4.3%</w:t>
            </w:r>
          </w:p>
        </w:tc>
      </w:tr>
      <w:tr w:rsidRPr="00B90FA4" w:rsidR="00BD3823" w:rsidTr="005B2AC8" w14:paraId="41E52033" w14:textId="77777777">
        <w:trPr>
          <w:trHeight w:val="320"/>
          <w:jc w:val="center"/>
        </w:trPr>
        <w:tc>
          <w:tcPr>
            <w:tcW w:w="3412" w:type="dxa"/>
            <w:shd w:val="clear" w:color="auto" w:fill="auto"/>
            <w:noWrap/>
            <w:vAlign w:val="center"/>
            <w:hideMark/>
          </w:tcPr>
          <w:p w:rsidRPr="00B90FA4" w:rsidR="00BD3823" w:rsidP="005B2AC8" w:rsidRDefault="00BD3823" w14:paraId="424E8EF2" w14:textId="1EBA4A26">
            <w:pPr>
              <w:ind w:left="420" w:hanging="420"/>
              <w:rPr>
                <w:color w:val="000000"/>
                <w:sz w:val="22"/>
                <w:szCs w:val="22"/>
              </w:rPr>
            </w:pPr>
            <w:r w:rsidRPr="00B90FA4">
              <w:rPr>
                <w:color w:val="000000"/>
                <w:sz w:val="22"/>
                <w:szCs w:val="22"/>
              </w:rPr>
              <w:t xml:space="preserve">3 </w:t>
            </w:r>
            <w:r w:rsidR="005B2AC8">
              <w:rPr>
                <w:color w:val="000000"/>
                <w:sz w:val="22"/>
                <w:szCs w:val="22"/>
              </w:rPr>
              <w:t xml:space="preserve">    </w:t>
            </w:r>
            <w:r w:rsidRPr="00B90FA4">
              <w:rPr>
                <w:color w:val="000000"/>
                <w:sz w:val="22"/>
                <w:szCs w:val="22"/>
              </w:rPr>
              <w:t>Delaware, District of Columbia, Kentucky, Maryland, N</w:t>
            </w:r>
            <w:r w:rsidR="005B2AC8">
              <w:rPr>
                <w:color w:val="000000"/>
                <w:sz w:val="22"/>
                <w:szCs w:val="22"/>
              </w:rPr>
              <w:t>orth</w:t>
            </w:r>
            <w:r w:rsidRPr="00B90FA4">
              <w:rPr>
                <w:color w:val="000000"/>
                <w:sz w:val="22"/>
                <w:szCs w:val="22"/>
              </w:rPr>
              <w:t xml:space="preserve"> Carolina, Virginia, West Virginia</w:t>
            </w:r>
          </w:p>
        </w:tc>
        <w:tc>
          <w:tcPr>
            <w:tcW w:w="1619" w:type="dxa"/>
            <w:shd w:val="clear" w:color="auto" w:fill="auto"/>
            <w:vAlign w:val="center"/>
            <w:hideMark/>
          </w:tcPr>
          <w:p w:rsidRPr="00B90FA4" w:rsidR="00BD3823" w:rsidP="00BD3823" w:rsidRDefault="00BD3823" w14:paraId="5ACEB939" w14:textId="77777777">
            <w:pPr>
              <w:jc w:val="right"/>
              <w:rPr>
                <w:color w:val="000000"/>
                <w:sz w:val="22"/>
                <w:szCs w:val="22"/>
              </w:rPr>
            </w:pPr>
            <w:r w:rsidRPr="00B90FA4">
              <w:rPr>
                <w:color w:val="000000"/>
                <w:sz w:val="22"/>
                <w:szCs w:val="22"/>
              </w:rPr>
              <w:t>12,436,642</w:t>
            </w:r>
          </w:p>
        </w:tc>
        <w:tc>
          <w:tcPr>
            <w:tcW w:w="1350" w:type="dxa"/>
            <w:shd w:val="clear" w:color="auto" w:fill="auto"/>
            <w:vAlign w:val="center"/>
            <w:hideMark/>
          </w:tcPr>
          <w:p w:rsidRPr="00B90FA4" w:rsidR="00BD3823" w:rsidP="00BD3823" w:rsidRDefault="00BD3823" w14:paraId="47A49B58" w14:textId="77777777">
            <w:pPr>
              <w:jc w:val="right"/>
              <w:rPr>
                <w:color w:val="000000"/>
                <w:sz w:val="22"/>
                <w:szCs w:val="22"/>
              </w:rPr>
            </w:pPr>
            <w:r w:rsidRPr="00B90FA4">
              <w:rPr>
                <w:color w:val="000000"/>
                <w:sz w:val="22"/>
                <w:szCs w:val="22"/>
              </w:rPr>
              <w:t>13,870,631</w:t>
            </w:r>
          </w:p>
        </w:tc>
        <w:tc>
          <w:tcPr>
            <w:tcW w:w="1171" w:type="dxa"/>
            <w:vAlign w:val="center"/>
          </w:tcPr>
          <w:p w:rsidRPr="00BD3823" w:rsidR="00BD3823" w:rsidP="00BD3823" w:rsidRDefault="00BD3823" w14:paraId="5CB1510A" w14:textId="4E024EB6">
            <w:pPr>
              <w:jc w:val="right"/>
              <w:rPr>
                <w:color w:val="000000"/>
                <w:sz w:val="22"/>
                <w:szCs w:val="22"/>
              </w:rPr>
            </w:pPr>
            <w:r w:rsidRPr="00BD3823">
              <w:rPr>
                <w:color w:val="000000"/>
                <w:sz w:val="22"/>
                <w:szCs w:val="22"/>
              </w:rPr>
              <w:t>2,667</w:t>
            </w:r>
          </w:p>
        </w:tc>
        <w:tc>
          <w:tcPr>
            <w:tcW w:w="1170" w:type="dxa"/>
            <w:shd w:val="clear" w:color="auto" w:fill="auto"/>
            <w:noWrap/>
            <w:vAlign w:val="center"/>
            <w:hideMark/>
          </w:tcPr>
          <w:p w:rsidRPr="00B90FA4" w:rsidR="00BD3823" w:rsidP="00BD3823" w:rsidRDefault="00BD3823" w14:paraId="10E85E6E" w14:textId="048425F8">
            <w:pPr>
              <w:jc w:val="right"/>
              <w:rPr>
                <w:color w:val="000000"/>
                <w:sz w:val="22"/>
                <w:szCs w:val="22"/>
              </w:rPr>
            </w:pPr>
            <w:r w:rsidRPr="00B90FA4">
              <w:rPr>
                <w:color w:val="000000"/>
                <w:sz w:val="22"/>
                <w:szCs w:val="22"/>
              </w:rPr>
              <w:t>800</w:t>
            </w:r>
          </w:p>
        </w:tc>
        <w:tc>
          <w:tcPr>
            <w:tcW w:w="900" w:type="dxa"/>
            <w:shd w:val="clear" w:color="auto" w:fill="auto"/>
            <w:noWrap/>
            <w:vAlign w:val="center"/>
            <w:hideMark/>
          </w:tcPr>
          <w:p w:rsidRPr="00B90FA4" w:rsidR="00BD3823" w:rsidP="00BD3823" w:rsidRDefault="00BD3823" w14:paraId="3D7B652C" w14:textId="77777777">
            <w:pPr>
              <w:jc w:val="right"/>
              <w:rPr>
                <w:color w:val="000000"/>
                <w:sz w:val="22"/>
                <w:szCs w:val="22"/>
              </w:rPr>
            </w:pPr>
            <w:r w:rsidRPr="00B90FA4">
              <w:rPr>
                <w:color w:val="000000"/>
                <w:sz w:val="22"/>
                <w:szCs w:val="22"/>
              </w:rPr>
              <w:t>4.6%</w:t>
            </w:r>
          </w:p>
        </w:tc>
      </w:tr>
      <w:tr w:rsidRPr="00B90FA4" w:rsidR="00BD3823" w:rsidTr="005B2AC8" w14:paraId="2F479972" w14:textId="77777777">
        <w:trPr>
          <w:trHeight w:val="320"/>
          <w:jc w:val="center"/>
        </w:trPr>
        <w:tc>
          <w:tcPr>
            <w:tcW w:w="3412" w:type="dxa"/>
            <w:shd w:val="clear" w:color="auto" w:fill="auto"/>
            <w:noWrap/>
            <w:vAlign w:val="center"/>
            <w:hideMark/>
          </w:tcPr>
          <w:p w:rsidRPr="00B90FA4" w:rsidR="00BD3823" w:rsidP="005B2AC8" w:rsidRDefault="00BD3823" w14:paraId="0E112EDB" w14:textId="1098A858">
            <w:pPr>
              <w:ind w:left="420" w:hanging="420"/>
              <w:rPr>
                <w:color w:val="000000"/>
                <w:sz w:val="22"/>
                <w:szCs w:val="22"/>
              </w:rPr>
            </w:pPr>
            <w:r w:rsidRPr="00B90FA4">
              <w:rPr>
                <w:color w:val="000000"/>
                <w:sz w:val="22"/>
                <w:szCs w:val="22"/>
              </w:rPr>
              <w:t xml:space="preserve">4 </w:t>
            </w:r>
            <w:r w:rsidR="005B2AC8">
              <w:rPr>
                <w:color w:val="000000"/>
                <w:sz w:val="22"/>
                <w:szCs w:val="22"/>
              </w:rPr>
              <w:t xml:space="preserve">    </w:t>
            </w:r>
            <w:r w:rsidRPr="00B90FA4">
              <w:rPr>
                <w:color w:val="000000"/>
                <w:sz w:val="22"/>
                <w:szCs w:val="22"/>
              </w:rPr>
              <w:t>Alabama, Florida, Georgia, S</w:t>
            </w:r>
            <w:r w:rsidR="005B2AC8">
              <w:rPr>
                <w:color w:val="000000"/>
                <w:sz w:val="22"/>
                <w:szCs w:val="22"/>
              </w:rPr>
              <w:t>outh</w:t>
            </w:r>
            <w:r w:rsidRPr="00B90FA4">
              <w:rPr>
                <w:color w:val="000000"/>
                <w:sz w:val="22"/>
                <w:szCs w:val="22"/>
              </w:rPr>
              <w:t xml:space="preserve"> Carolina, Tennessee</w:t>
            </w:r>
          </w:p>
        </w:tc>
        <w:tc>
          <w:tcPr>
            <w:tcW w:w="1619" w:type="dxa"/>
            <w:shd w:val="clear" w:color="auto" w:fill="auto"/>
            <w:vAlign w:val="center"/>
            <w:hideMark/>
          </w:tcPr>
          <w:p w:rsidRPr="00B90FA4" w:rsidR="00BD3823" w:rsidP="00BD3823" w:rsidRDefault="00BD3823" w14:paraId="443F315E" w14:textId="77777777">
            <w:pPr>
              <w:jc w:val="right"/>
              <w:rPr>
                <w:color w:val="000000"/>
                <w:sz w:val="22"/>
                <w:szCs w:val="22"/>
              </w:rPr>
            </w:pPr>
            <w:r w:rsidRPr="00B90FA4">
              <w:rPr>
                <w:color w:val="000000"/>
                <w:sz w:val="22"/>
                <w:szCs w:val="22"/>
              </w:rPr>
              <w:t>17,882,156</w:t>
            </w:r>
          </w:p>
        </w:tc>
        <w:tc>
          <w:tcPr>
            <w:tcW w:w="1350" w:type="dxa"/>
            <w:shd w:val="clear" w:color="auto" w:fill="auto"/>
            <w:vAlign w:val="center"/>
            <w:hideMark/>
          </w:tcPr>
          <w:p w:rsidRPr="00B90FA4" w:rsidR="00BD3823" w:rsidP="00BD3823" w:rsidRDefault="00BD3823" w14:paraId="4755CAA0" w14:textId="77777777">
            <w:pPr>
              <w:jc w:val="right"/>
              <w:rPr>
                <w:color w:val="000000"/>
                <w:sz w:val="22"/>
                <w:szCs w:val="22"/>
              </w:rPr>
            </w:pPr>
            <w:r w:rsidRPr="00B90FA4">
              <w:rPr>
                <w:color w:val="000000"/>
                <w:sz w:val="22"/>
                <w:szCs w:val="22"/>
              </w:rPr>
              <w:t>21,092,577</w:t>
            </w:r>
          </w:p>
        </w:tc>
        <w:tc>
          <w:tcPr>
            <w:tcW w:w="1171" w:type="dxa"/>
            <w:vAlign w:val="center"/>
          </w:tcPr>
          <w:p w:rsidRPr="00BD3823" w:rsidR="00BD3823" w:rsidP="00BD3823" w:rsidRDefault="00BD3823" w14:paraId="340EADE6" w14:textId="4992779B">
            <w:pPr>
              <w:jc w:val="right"/>
              <w:rPr>
                <w:color w:val="000000"/>
                <w:sz w:val="22"/>
                <w:szCs w:val="22"/>
              </w:rPr>
            </w:pPr>
            <w:r w:rsidRPr="00BD3823">
              <w:rPr>
                <w:color w:val="000000"/>
                <w:sz w:val="22"/>
                <w:szCs w:val="22"/>
              </w:rPr>
              <w:t>3,333</w:t>
            </w:r>
          </w:p>
        </w:tc>
        <w:tc>
          <w:tcPr>
            <w:tcW w:w="1170" w:type="dxa"/>
            <w:shd w:val="clear" w:color="auto" w:fill="auto"/>
            <w:noWrap/>
            <w:vAlign w:val="center"/>
            <w:hideMark/>
          </w:tcPr>
          <w:p w:rsidRPr="00B90FA4" w:rsidR="00BD3823" w:rsidP="00BD3823" w:rsidRDefault="00BD3823" w14:paraId="414B300C" w14:textId="197EE472">
            <w:pPr>
              <w:jc w:val="right"/>
              <w:rPr>
                <w:color w:val="000000"/>
                <w:sz w:val="22"/>
                <w:szCs w:val="22"/>
              </w:rPr>
            </w:pPr>
            <w:r w:rsidRPr="00B90FA4">
              <w:rPr>
                <w:color w:val="000000"/>
                <w:sz w:val="22"/>
                <w:szCs w:val="22"/>
              </w:rPr>
              <w:t>1,000</w:t>
            </w:r>
          </w:p>
        </w:tc>
        <w:tc>
          <w:tcPr>
            <w:tcW w:w="900" w:type="dxa"/>
            <w:shd w:val="clear" w:color="auto" w:fill="auto"/>
            <w:noWrap/>
            <w:vAlign w:val="center"/>
            <w:hideMark/>
          </w:tcPr>
          <w:p w:rsidRPr="00B90FA4" w:rsidR="00BD3823" w:rsidP="00BD3823" w:rsidRDefault="00BD3823" w14:paraId="7C7F009E" w14:textId="77777777">
            <w:pPr>
              <w:jc w:val="right"/>
              <w:rPr>
                <w:color w:val="000000"/>
                <w:sz w:val="22"/>
                <w:szCs w:val="22"/>
              </w:rPr>
            </w:pPr>
            <w:r w:rsidRPr="00B90FA4">
              <w:rPr>
                <w:color w:val="000000"/>
                <w:sz w:val="22"/>
                <w:szCs w:val="22"/>
              </w:rPr>
              <w:t>4.1%</w:t>
            </w:r>
          </w:p>
        </w:tc>
      </w:tr>
      <w:tr w:rsidRPr="00B90FA4" w:rsidR="00BD3823" w:rsidTr="005B2AC8" w14:paraId="2BE0B88D" w14:textId="77777777">
        <w:trPr>
          <w:trHeight w:val="320"/>
          <w:jc w:val="center"/>
        </w:trPr>
        <w:tc>
          <w:tcPr>
            <w:tcW w:w="3412" w:type="dxa"/>
            <w:shd w:val="clear" w:color="auto" w:fill="auto"/>
            <w:noWrap/>
            <w:vAlign w:val="center"/>
            <w:hideMark/>
          </w:tcPr>
          <w:p w:rsidRPr="00B90FA4" w:rsidR="00BD3823" w:rsidP="005B2AC8" w:rsidRDefault="00BD3823" w14:paraId="68D6818E" w14:textId="23A6406C">
            <w:pPr>
              <w:ind w:left="420" w:hanging="420"/>
              <w:rPr>
                <w:color w:val="000000"/>
                <w:sz w:val="22"/>
                <w:szCs w:val="22"/>
              </w:rPr>
            </w:pPr>
            <w:r w:rsidRPr="00B90FA4">
              <w:rPr>
                <w:color w:val="000000"/>
                <w:sz w:val="22"/>
                <w:szCs w:val="22"/>
              </w:rPr>
              <w:t xml:space="preserve">5 </w:t>
            </w:r>
            <w:r w:rsidR="005B2AC8">
              <w:rPr>
                <w:color w:val="000000"/>
                <w:sz w:val="22"/>
                <w:szCs w:val="22"/>
              </w:rPr>
              <w:t xml:space="preserve">    </w:t>
            </w:r>
            <w:r w:rsidRPr="00B90FA4">
              <w:rPr>
                <w:color w:val="000000"/>
                <w:sz w:val="22"/>
                <w:szCs w:val="22"/>
              </w:rPr>
              <w:t>Illinois, Indiana, Michigan, Minnesota, Ohio, Wisconsin</w:t>
            </w:r>
          </w:p>
        </w:tc>
        <w:tc>
          <w:tcPr>
            <w:tcW w:w="1619" w:type="dxa"/>
            <w:shd w:val="clear" w:color="auto" w:fill="auto"/>
            <w:vAlign w:val="center"/>
            <w:hideMark/>
          </w:tcPr>
          <w:p w:rsidRPr="00B90FA4" w:rsidR="00BD3823" w:rsidP="00BD3823" w:rsidRDefault="00BD3823" w14:paraId="083507F2" w14:textId="77777777">
            <w:pPr>
              <w:jc w:val="right"/>
              <w:rPr>
                <w:color w:val="000000"/>
                <w:sz w:val="22"/>
                <w:szCs w:val="22"/>
              </w:rPr>
            </w:pPr>
            <w:r w:rsidRPr="00B90FA4">
              <w:rPr>
                <w:color w:val="000000"/>
                <w:sz w:val="22"/>
                <w:szCs w:val="22"/>
              </w:rPr>
              <w:t>20,571,711</w:t>
            </w:r>
          </w:p>
        </w:tc>
        <w:tc>
          <w:tcPr>
            <w:tcW w:w="1350" w:type="dxa"/>
            <w:shd w:val="clear" w:color="auto" w:fill="auto"/>
            <w:vAlign w:val="center"/>
            <w:hideMark/>
          </w:tcPr>
          <w:p w:rsidRPr="00B90FA4" w:rsidR="00BD3823" w:rsidP="00BD3823" w:rsidRDefault="00BD3823" w14:paraId="757E7CD8" w14:textId="77777777">
            <w:pPr>
              <w:jc w:val="right"/>
              <w:rPr>
                <w:color w:val="000000"/>
                <w:sz w:val="22"/>
                <w:szCs w:val="22"/>
              </w:rPr>
            </w:pPr>
            <w:r w:rsidRPr="00B90FA4">
              <w:rPr>
                <w:color w:val="000000"/>
                <w:sz w:val="22"/>
                <w:szCs w:val="22"/>
              </w:rPr>
              <w:t>22,422,898</w:t>
            </w:r>
          </w:p>
        </w:tc>
        <w:tc>
          <w:tcPr>
            <w:tcW w:w="1171" w:type="dxa"/>
            <w:vAlign w:val="center"/>
          </w:tcPr>
          <w:p w:rsidRPr="00BD3823" w:rsidR="00BD3823" w:rsidP="00BD3823" w:rsidRDefault="00BD3823" w14:paraId="49ADF512" w14:textId="130346D5">
            <w:pPr>
              <w:jc w:val="right"/>
              <w:rPr>
                <w:color w:val="000000"/>
                <w:sz w:val="22"/>
                <w:szCs w:val="22"/>
              </w:rPr>
            </w:pPr>
            <w:r w:rsidRPr="00BD3823">
              <w:rPr>
                <w:color w:val="000000"/>
                <w:sz w:val="22"/>
                <w:szCs w:val="22"/>
              </w:rPr>
              <w:t>3,333</w:t>
            </w:r>
          </w:p>
        </w:tc>
        <w:tc>
          <w:tcPr>
            <w:tcW w:w="1170" w:type="dxa"/>
            <w:shd w:val="clear" w:color="auto" w:fill="auto"/>
            <w:noWrap/>
            <w:vAlign w:val="center"/>
            <w:hideMark/>
          </w:tcPr>
          <w:p w:rsidRPr="00B90FA4" w:rsidR="00BD3823" w:rsidP="00BD3823" w:rsidRDefault="00BD3823" w14:paraId="10885193" w14:textId="32322B25">
            <w:pPr>
              <w:jc w:val="right"/>
              <w:rPr>
                <w:color w:val="000000"/>
                <w:sz w:val="22"/>
                <w:szCs w:val="22"/>
              </w:rPr>
            </w:pPr>
            <w:r w:rsidRPr="00B90FA4">
              <w:rPr>
                <w:color w:val="000000"/>
                <w:sz w:val="22"/>
                <w:szCs w:val="22"/>
              </w:rPr>
              <w:t>1,000</w:t>
            </w:r>
          </w:p>
        </w:tc>
        <w:tc>
          <w:tcPr>
            <w:tcW w:w="900" w:type="dxa"/>
            <w:shd w:val="clear" w:color="auto" w:fill="auto"/>
            <w:noWrap/>
            <w:vAlign w:val="center"/>
            <w:hideMark/>
          </w:tcPr>
          <w:p w:rsidRPr="00B90FA4" w:rsidR="00BD3823" w:rsidP="00BD3823" w:rsidRDefault="00BD3823" w14:paraId="58AE257B" w14:textId="77777777">
            <w:pPr>
              <w:jc w:val="right"/>
              <w:rPr>
                <w:color w:val="000000"/>
                <w:sz w:val="22"/>
                <w:szCs w:val="22"/>
              </w:rPr>
            </w:pPr>
            <w:r w:rsidRPr="00B90FA4">
              <w:rPr>
                <w:color w:val="000000"/>
                <w:sz w:val="22"/>
                <w:szCs w:val="22"/>
              </w:rPr>
              <w:t>4.1%</w:t>
            </w:r>
          </w:p>
        </w:tc>
      </w:tr>
      <w:tr w:rsidRPr="00B90FA4" w:rsidR="00BD3823" w:rsidTr="005B2AC8" w14:paraId="76124452" w14:textId="77777777">
        <w:trPr>
          <w:trHeight w:val="320"/>
          <w:jc w:val="center"/>
        </w:trPr>
        <w:tc>
          <w:tcPr>
            <w:tcW w:w="3412" w:type="dxa"/>
            <w:shd w:val="clear" w:color="auto" w:fill="auto"/>
            <w:noWrap/>
            <w:vAlign w:val="center"/>
            <w:hideMark/>
          </w:tcPr>
          <w:p w:rsidRPr="00B90FA4" w:rsidR="00BD3823" w:rsidP="005B2AC8" w:rsidRDefault="00BD3823" w14:paraId="6714BD08" w14:textId="3B2BE63A">
            <w:pPr>
              <w:ind w:left="420" w:hanging="420"/>
              <w:rPr>
                <w:color w:val="000000"/>
                <w:sz w:val="22"/>
                <w:szCs w:val="22"/>
              </w:rPr>
            </w:pPr>
            <w:r w:rsidRPr="00B90FA4">
              <w:rPr>
                <w:color w:val="000000"/>
                <w:sz w:val="22"/>
                <w:szCs w:val="22"/>
              </w:rPr>
              <w:t xml:space="preserve">6 </w:t>
            </w:r>
            <w:r w:rsidR="005B2AC8">
              <w:rPr>
                <w:color w:val="000000"/>
                <w:sz w:val="22"/>
                <w:szCs w:val="22"/>
              </w:rPr>
              <w:t xml:space="preserve">    </w:t>
            </w:r>
            <w:r w:rsidRPr="00B90FA4">
              <w:rPr>
                <w:color w:val="000000"/>
                <w:sz w:val="22"/>
                <w:szCs w:val="22"/>
              </w:rPr>
              <w:t>Louisiana, New Mexico, Mississippi, Oklahoma, Texas</w:t>
            </w:r>
          </w:p>
        </w:tc>
        <w:tc>
          <w:tcPr>
            <w:tcW w:w="1619" w:type="dxa"/>
            <w:shd w:val="clear" w:color="auto" w:fill="auto"/>
            <w:vAlign w:val="center"/>
            <w:hideMark/>
          </w:tcPr>
          <w:p w:rsidRPr="00B90FA4" w:rsidR="00BD3823" w:rsidP="00BD3823" w:rsidRDefault="00BD3823" w14:paraId="21A4C482" w14:textId="77777777">
            <w:pPr>
              <w:jc w:val="right"/>
              <w:rPr>
                <w:color w:val="000000"/>
                <w:sz w:val="22"/>
                <w:szCs w:val="22"/>
              </w:rPr>
            </w:pPr>
            <w:r w:rsidRPr="00B90FA4">
              <w:rPr>
                <w:color w:val="000000"/>
                <w:sz w:val="22"/>
                <w:szCs w:val="22"/>
              </w:rPr>
              <w:t>14,795,848</w:t>
            </w:r>
          </w:p>
        </w:tc>
        <w:tc>
          <w:tcPr>
            <w:tcW w:w="1350" w:type="dxa"/>
            <w:shd w:val="clear" w:color="auto" w:fill="auto"/>
            <w:vAlign w:val="center"/>
            <w:hideMark/>
          </w:tcPr>
          <w:p w:rsidRPr="00B90FA4" w:rsidR="00BD3823" w:rsidP="00BD3823" w:rsidRDefault="00BD3823" w14:paraId="49137895" w14:textId="77777777">
            <w:pPr>
              <w:jc w:val="right"/>
              <w:rPr>
                <w:color w:val="000000"/>
                <w:sz w:val="22"/>
                <w:szCs w:val="22"/>
              </w:rPr>
            </w:pPr>
            <w:r w:rsidRPr="00B90FA4">
              <w:rPr>
                <w:color w:val="000000"/>
                <w:sz w:val="22"/>
                <w:szCs w:val="22"/>
              </w:rPr>
              <w:t>16,977,435</w:t>
            </w:r>
          </w:p>
        </w:tc>
        <w:tc>
          <w:tcPr>
            <w:tcW w:w="1171" w:type="dxa"/>
            <w:vAlign w:val="center"/>
          </w:tcPr>
          <w:p w:rsidRPr="00BD3823" w:rsidR="00BD3823" w:rsidP="00BD3823" w:rsidRDefault="00BD3823" w14:paraId="5081199A" w14:textId="7FC124D4">
            <w:pPr>
              <w:jc w:val="right"/>
              <w:rPr>
                <w:color w:val="000000"/>
                <w:sz w:val="22"/>
                <w:szCs w:val="22"/>
              </w:rPr>
            </w:pPr>
            <w:r w:rsidRPr="00BD3823">
              <w:rPr>
                <w:color w:val="000000"/>
                <w:sz w:val="22"/>
                <w:szCs w:val="22"/>
              </w:rPr>
              <w:t>3,000</w:t>
            </w:r>
          </w:p>
        </w:tc>
        <w:tc>
          <w:tcPr>
            <w:tcW w:w="1170" w:type="dxa"/>
            <w:shd w:val="clear" w:color="auto" w:fill="auto"/>
            <w:noWrap/>
            <w:vAlign w:val="center"/>
            <w:hideMark/>
          </w:tcPr>
          <w:p w:rsidRPr="00B90FA4" w:rsidR="00BD3823" w:rsidP="00BD3823" w:rsidRDefault="00BD3823" w14:paraId="0B05BF4E" w14:textId="319F8A15">
            <w:pPr>
              <w:jc w:val="right"/>
              <w:rPr>
                <w:color w:val="000000"/>
                <w:sz w:val="22"/>
                <w:szCs w:val="22"/>
              </w:rPr>
            </w:pPr>
            <w:r w:rsidRPr="00B90FA4">
              <w:rPr>
                <w:color w:val="000000"/>
                <w:sz w:val="22"/>
                <w:szCs w:val="22"/>
              </w:rPr>
              <w:t>900</w:t>
            </w:r>
          </w:p>
        </w:tc>
        <w:tc>
          <w:tcPr>
            <w:tcW w:w="900" w:type="dxa"/>
            <w:shd w:val="clear" w:color="auto" w:fill="auto"/>
            <w:noWrap/>
            <w:vAlign w:val="center"/>
            <w:hideMark/>
          </w:tcPr>
          <w:p w:rsidRPr="00B90FA4" w:rsidR="00BD3823" w:rsidP="00BD3823" w:rsidRDefault="00BD3823" w14:paraId="7688B846" w14:textId="77777777">
            <w:pPr>
              <w:jc w:val="right"/>
              <w:rPr>
                <w:color w:val="000000"/>
                <w:sz w:val="22"/>
                <w:szCs w:val="22"/>
              </w:rPr>
            </w:pPr>
            <w:r w:rsidRPr="00B90FA4">
              <w:rPr>
                <w:color w:val="000000"/>
                <w:sz w:val="22"/>
                <w:szCs w:val="22"/>
              </w:rPr>
              <w:t>4.3%</w:t>
            </w:r>
          </w:p>
        </w:tc>
      </w:tr>
      <w:tr w:rsidRPr="00B90FA4" w:rsidR="00BD3823" w:rsidTr="005B2AC8" w14:paraId="254278C2" w14:textId="77777777">
        <w:trPr>
          <w:trHeight w:val="320"/>
          <w:jc w:val="center"/>
        </w:trPr>
        <w:tc>
          <w:tcPr>
            <w:tcW w:w="3412" w:type="dxa"/>
            <w:shd w:val="clear" w:color="auto" w:fill="auto"/>
            <w:noWrap/>
            <w:vAlign w:val="center"/>
            <w:hideMark/>
          </w:tcPr>
          <w:p w:rsidRPr="00B90FA4" w:rsidR="00BD3823" w:rsidP="005B2AC8" w:rsidRDefault="00BD3823" w14:paraId="35D3F766" w14:textId="04EE3C0B">
            <w:pPr>
              <w:ind w:left="420" w:hanging="420"/>
              <w:rPr>
                <w:color w:val="000000"/>
                <w:sz w:val="22"/>
                <w:szCs w:val="22"/>
              </w:rPr>
            </w:pPr>
            <w:r w:rsidRPr="00B90FA4">
              <w:rPr>
                <w:color w:val="000000"/>
                <w:sz w:val="22"/>
                <w:szCs w:val="22"/>
              </w:rPr>
              <w:t xml:space="preserve">7 </w:t>
            </w:r>
            <w:r w:rsidR="005B2AC8">
              <w:rPr>
                <w:color w:val="000000"/>
                <w:sz w:val="22"/>
                <w:szCs w:val="22"/>
              </w:rPr>
              <w:t xml:space="preserve">    </w:t>
            </w:r>
            <w:r w:rsidRPr="00B90FA4">
              <w:rPr>
                <w:color w:val="000000"/>
                <w:sz w:val="22"/>
                <w:szCs w:val="22"/>
              </w:rPr>
              <w:t>Arkansas, Iowa, Kansas, Missouri, Nebraska</w:t>
            </w:r>
          </w:p>
        </w:tc>
        <w:tc>
          <w:tcPr>
            <w:tcW w:w="1619" w:type="dxa"/>
            <w:shd w:val="clear" w:color="auto" w:fill="auto"/>
            <w:vAlign w:val="center"/>
            <w:hideMark/>
          </w:tcPr>
          <w:p w:rsidRPr="00B90FA4" w:rsidR="00BD3823" w:rsidP="00BD3823" w:rsidRDefault="00BD3823" w14:paraId="1FC6D667" w14:textId="77777777">
            <w:pPr>
              <w:jc w:val="right"/>
              <w:rPr>
                <w:color w:val="000000"/>
                <w:sz w:val="22"/>
                <w:szCs w:val="22"/>
              </w:rPr>
            </w:pPr>
            <w:r w:rsidRPr="00B90FA4">
              <w:rPr>
                <w:color w:val="000000"/>
                <w:sz w:val="22"/>
                <w:szCs w:val="22"/>
              </w:rPr>
              <w:t>6,726,468</w:t>
            </w:r>
          </w:p>
        </w:tc>
        <w:tc>
          <w:tcPr>
            <w:tcW w:w="1350" w:type="dxa"/>
            <w:shd w:val="clear" w:color="auto" w:fill="auto"/>
            <w:vAlign w:val="center"/>
            <w:hideMark/>
          </w:tcPr>
          <w:p w:rsidRPr="00B90FA4" w:rsidR="00BD3823" w:rsidP="00BD3823" w:rsidRDefault="00BD3823" w14:paraId="2A1BF8CC" w14:textId="77777777">
            <w:pPr>
              <w:jc w:val="right"/>
              <w:rPr>
                <w:color w:val="000000"/>
                <w:sz w:val="22"/>
                <w:szCs w:val="22"/>
              </w:rPr>
            </w:pPr>
            <w:r w:rsidRPr="00B90FA4">
              <w:rPr>
                <w:color w:val="000000"/>
                <w:sz w:val="22"/>
                <w:szCs w:val="22"/>
              </w:rPr>
              <w:t>7,299,000</w:t>
            </w:r>
          </w:p>
        </w:tc>
        <w:tc>
          <w:tcPr>
            <w:tcW w:w="1171" w:type="dxa"/>
            <w:vAlign w:val="center"/>
          </w:tcPr>
          <w:p w:rsidRPr="00BD3823" w:rsidR="00BD3823" w:rsidP="00BD3823" w:rsidRDefault="00BD3823" w14:paraId="7693FD92" w14:textId="2FAED5D9">
            <w:pPr>
              <w:jc w:val="right"/>
              <w:rPr>
                <w:color w:val="000000"/>
                <w:sz w:val="22"/>
                <w:szCs w:val="22"/>
              </w:rPr>
            </w:pPr>
            <w:r w:rsidRPr="00BD3823">
              <w:rPr>
                <w:color w:val="000000"/>
                <w:sz w:val="22"/>
                <w:szCs w:val="22"/>
              </w:rPr>
              <w:t>1,667</w:t>
            </w:r>
          </w:p>
        </w:tc>
        <w:tc>
          <w:tcPr>
            <w:tcW w:w="1170" w:type="dxa"/>
            <w:shd w:val="clear" w:color="auto" w:fill="auto"/>
            <w:noWrap/>
            <w:vAlign w:val="center"/>
            <w:hideMark/>
          </w:tcPr>
          <w:p w:rsidRPr="00B90FA4" w:rsidR="00BD3823" w:rsidP="00BD3823" w:rsidRDefault="00BD3823" w14:paraId="0E24799D" w14:textId="03BFF7D9">
            <w:pPr>
              <w:jc w:val="right"/>
              <w:rPr>
                <w:color w:val="000000"/>
                <w:sz w:val="22"/>
                <w:szCs w:val="22"/>
              </w:rPr>
            </w:pPr>
            <w:r w:rsidRPr="00B90FA4">
              <w:rPr>
                <w:color w:val="000000"/>
                <w:sz w:val="22"/>
                <w:szCs w:val="22"/>
              </w:rPr>
              <w:t>500</w:t>
            </w:r>
          </w:p>
        </w:tc>
        <w:tc>
          <w:tcPr>
            <w:tcW w:w="900" w:type="dxa"/>
            <w:shd w:val="clear" w:color="auto" w:fill="auto"/>
            <w:noWrap/>
            <w:vAlign w:val="center"/>
            <w:hideMark/>
          </w:tcPr>
          <w:p w:rsidRPr="00B90FA4" w:rsidR="00BD3823" w:rsidP="00BD3823" w:rsidRDefault="00BD3823" w14:paraId="285A24CC" w14:textId="77777777">
            <w:pPr>
              <w:jc w:val="right"/>
              <w:rPr>
                <w:color w:val="000000"/>
                <w:sz w:val="22"/>
                <w:szCs w:val="22"/>
              </w:rPr>
            </w:pPr>
            <w:r w:rsidRPr="00B90FA4">
              <w:rPr>
                <w:color w:val="000000"/>
                <w:sz w:val="22"/>
                <w:szCs w:val="22"/>
              </w:rPr>
              <w:t>5.8%</w:t>
            </w:r>
          </w:p>
        </w:tc>
      </w:tr>
      <w:tr w:rsidRPr="00B90FA4" w:rsidR="00BD3823" w:rsidTr="005B2AC8" w14:paraId="7D667353" w14:textId="77777777">
        <w:trPr>
          <w:trHeight w:val="320"/>
          <w:jc w:val="center"/>
        </w:trPr>
        <w:tc>
          <w:tcPr>
            <w:tcW w:w="3412" w:type="dxa"/>
            <w:shd w:val="clear" w:color="auto" w:fill="auto"/>
            <w:noWrap/>
            <w:vAlign w:val="center"/>
            <w:hideMark/>
          </w:tcPr>
          <w:p w:rsidRPr="00B90FA4" w:rsidR="00BD3823" w:rsidP="005B2AC8" w:rsidRDefault="00BD3823" w14:paraId="021F6B5E" w14:textId="0AA8A188">
            <w:pPr>
              <w:ind w:left="420" w:hanging="420"/>
              <w:rPr>
                <w:color w:val="000000"/>
                <w:sz w:val="22"/>
                <w:szCs w:val="22"/>
              </w:rPr>
            </w:pPr>
            <w:r w:rsidRPr="00B90FA4">
              <w:rPr>
                <w:color w:val="000000"/>
                <w:sz w:val="22"/>
                <w:szCs w:val="22"/>
              </w:rPr>
              <w:t xml:space="preserve">8 </w:t>
            </w:r>
            <w:r w:rsidR="005B2AC8">
              <w:rPr>
                <w:color w:val="000000"/>
                <w:sz w:val="22"/>
                <w:szCs w:val="22"/>
              </w:rPr>
              <w:t xml:space="preserve">    </w:t>
            </w:r>
            <w:r w:rsidRPr="00B90FA4">
              <w:rPr>
                <w:color w:val="000000"/>
                <w:sz w:val="22"/>
                <w:szCs w:val="22"/>
              </w:rPr>
              <w:t>Colorado, Nevada, North Dakota, South Dakota, Utah, Wyoming</w:t>
            </w:r>
          </w:p>
        </w:tc>
        <w:tc>
          <w:tcPr>
            <w:tcW w:w="1619" w:type="dxa"/>
            <w:shd w:val="clear" w:color="auto" w:fill="auto"/>
            <w:vAlign w:val="center"/>
            <w:hideMark/>
          </w:tcPr>
          <w:p w:rsidRPr="00B90FA4" w:rsidR="00BD3823" w:rsidP="00BD3823" w:rsidRDefault="00BD3823" w14:paraId="0A66B42B" w14:textId="77777777">
            <w:pPr>
              <w:jc w:val="right"/>
              <w:rPr>
                <w:color w:val="000000"/>
                <w:sz w:val="22"/>
                <w:szCs w:val="22"/>
              </w:rPr>
            </w:pPr>
            <w:r w:rsidRPr="00B90FA4">
              <w:rPr>
                <w:color w:val="000000"/>
                <w:sz w:val="22"/>
                <w:szCs w:val="22"/>
              </w:rPr>
              <w:t>5,117,729</w:t>
            </w:r>
          </w:p>
        </w:tc>
        <w:tc>
          <w:tcPr>
            <w:tcW w:w="1350" w:type="dxa"/>
            <w:shd w:val="clear" w:color="auto" w:fill="auto"/>
            <w:vAlign w:val="center"/>
            <w:hideMark/>
          </w:tcPr>
          <w:p w:rsidRPr="00B90FA4" w:rsidR="00BD3823" w:rsidP="00BD3823" w:rsidRDefault="00BD3823" w14:paraId="211A7FE3" w14:textId="77777777">
            <w:pPr>
              <w:jc w:val="right"/>
              <w:rPr>
                <w:color w:val="000000"/>
                <w:sz w:val="22"/>
                <w:szCs w:val="22"/>
              </w:rPr>
            </w:pPr>
            <w:r w:rsidRPr="00B90FA4">
              <w:rPr>
                <w:color w:val="000000"/>
                <w:sz w:val="22"/>
                <w:szCs w:val="22"/>
              </w:rPr>
              <w:t>5,478,304</w:t>
            </w:r>
          </w:p>
        </w:tc>
        <w:tc>
          <w:tcPr>
            <w:tcW w:w="1171" w:type="dxa"/>
            <w:vAlign w:val="center"/>
          </w:tcPr>
          <w:p w:rsidRPr="00BD3823" w:rsidR="00BD3823" w:rsidP="00BD3823" w:rsidRDefault="00BD3823" w14:paraId="413F93FF" w14:textId="614EB0FC">
            <w:pPr>
              <w:jc w:val="right"/>
              <w:rPr>
                <w:color w:val="000000"/>
                <w:sz w:val="22"/>
                <w:szCs w:val="22"/>
              </w:rPr>
            </w:pPr>
            <w:r w:rsidRPr="00BD3823">
              <w:rPr>
                <w:color w:val="000000"/>
                <w:sz w:val="22"/>
                <w:szCs w:val="22"/>
              </w:rPr>
              <w:t>1,667</w:t>
            </w:r>
          </w:p>
        </w:tc>
        <w:tc>
          <w:tcPr>
            <w:tcW w:w="1170" w:type="dxa"/>
            <w:shd w:val="clear" w:color="auto" w:fill="auto"/>
            <w:noWrap/>
            <w:vAlign w:val="center"/>
            <w:hideMark/>
          </w:tcPr>
          <w:p w:rsidRPr="00B90FA4" w:rsidR="00BD3823" w:rsidP="00BD3823" w:rsidRDefault="00BD3823" w14:paraId="10A8DCA8" w14:textId="2673BDA8">
            <w:pPr>
              <w:jc w:val="right"/>
              <w:rPr>
                <w:color w:val="000000"/>
                <w:sz w:val="22"/>
                <w:szCs w:val="22"/>
              </w:rPr>
            </w:pPr>
            <w:r w:rsidRPr="00B90FA4">
              <w:rPr>
                <w:color w:val="000000"/>
                <w:sz w:val="22"/>
                <w:szCs w:val="22"/>
              </w:rPr>
              <w:t>500</w:t>
            </w:r>
          </w:p>
        </w:tc>
        <w:tc>
          <w:tcPr>
            <w:tcW w:w="900" w:type="dxa"/>
            <w:shd w:val="clear" w:color="auto" w:fill="auto"/>
            <w:noWrap/>
            <w:vAlign w:val="center"/>
            <w:hideMark/>
          </w:tcPr>
          <w:p w:rsidRPr="00B90FA4" w:rsidR="00BD3823" w:rsidP="00BD3823" w:rsidRDefault="00BD3823" w14:paraId="3925E246" w14:textId="77777777">
            <w:pPr>
              <w:jc w:val="right"/>
              <w:rPr>
                <w:color w:val="000000"/>
                <w:sz w:val="22"/>
                <w:szCs w:val="22"/>
              </w:rPr>
            </w:pPr>
            <w:r w:rsidRPr="00B90FA4">
              <w:rPr>
                <w:color w:val="000000"/>
                <w:sz w:val="22"/>
                <w:szCs w:val="22"/>
              </w:rPr>
              <w:t>5.8%</w:t>
            </w:r>
          </w:p>
        </w:tc>
      </w:tr>
      <w:tr w:rsidRPr="00B90FA4" w:rsidR="00BD3823" w:rsidTr="005B2AC8" w14:paraId="58A2EDAF" w14:textId="77777777">
        <w:trPr>
          <w:trHeight w:val="320"/>
          <w:jc w:val="center"/>
        </w:trPr>
        <w:tc>
          <w:tcPr>
            <w:tcW w:w="3412" w:type="dxa"/>
            <w:shd w:val="clear" w:color="auto" w:fill="auto"/>
            <w:noWrap/>
            <w:vAlign w:val="center"/>
            <w:hideMark/>
          </w:tcPr>
          <w:p w:rsidRPr="00B90FA4" w:rsidR="00BD3823" w:rsidP="005B2AC8" w:rsidRDefault="00BD3823" w14:paraId="5E634238" w14:textId="4DBA0A02">
            <w:pPr>
              <w:ind w:left="420" w:hanging="420"/>
              <w:rPr>
                <w:color w:val="000000"/>
                <w:sz w:val="22"/>
                <w:szCs w:val="22"/>
              </w:rPr>
            </w:pPr>
            <w:r w:rsidRPr="00B90FA4">
              <w:rPr>
                <w:color w:val="000000"/>
                <w:sz w:val="22"/>
                <w:szCs w:val="22"/>
              </w:rPr>
              <w:t xml:space="preserve">9 </w:t>
            </w:r>
            <w:r w:rsidR="005B2AC8">
              <w:rPr>
                <w:color w:val="000000"/>
                <w:sz w:val="22"/>
                <w:szCs w:val="22"/>
              </w:rPr>
              <w:t xml:space="preserve">    </w:t>
            </w:r>
            <w:r w:rsidRPr="00B90FA4">
              <w:rPr>
                <w:color w:val="000000"/>
                <w:sz w:val="22"/>
                <w:szCs w:val="22"/>
              </w:rPr>
              <w:t>Arizona, California, Hawaii</w:t>
            </w:r>
          </w:p>
        </w:tc>
        <w:tc>
          <w:tcPr>
            <w:tcW w:w="1619" w:type="dxa"/>
            <w:shd w:val="clear" w:color="auto" w:fill="auto"/>
            <w:vAlign w:val="center"/>
            <w:hideMark/>
          </w:tcPr>
          <w:p w:rsidRPr="00B90FA4" w:rsidR="00BD3823" w:rsidP="00BD3823" w:rsidRDefault="00BD3823" w14:paraId="20F03CFB" w14:textId="77777777">
            <w:pPr>
              <w:jc w:val="right"/>
              <w:rPr>
                <w:color w:val="000000"/>
                <w:sz w:val="22"/>
                <w:szCs w:val="22"/>
              </w:rPr>
            </w:pPr>
            <w:r w:rsidRPr="00B90FA4">
              <w:rPr>
                <w:color w:val="000000"/>
                <w:sz w:val="22"/>
                <w:szCs w:val="22"/>
              </w:rPr>
              <w:t>16,074,958</w:t>
            </w:r>
          </w:p>
        </w:tc>
        <w:tc>
          <w:tcPr>
            <w:tcW w:w="1350" w:type="dxa"/>
            <w:shd w:val="clear" w:color="auto" w:fill="auto"/>
            <w:vAlign w:val="center"/>
            <w:hideMark/>
          </w:tcPr>
          <w:p w:rsidRPr="00B90FA4" w:rsidR="00BD3823" w:rsidP="00BD3823" w:rsidRDefault="00BD3823" w14:paraId="3B602C78" w14:textId="77777777">
            <w:pPr>
              <w:jc w:val="right"/>
              <w:rPr>
                <w:color w:val="000000"/>
                <w:sz w:val="22"/>
                <w:szCs w:val="22"/>
              </w:rPr>
            </w:pPr>
            <w:r w:rsidRPr="00B90FA4">
              <w:rPr>
                <w:color w:val="000000"/>
                <w:sz w:val="22"/>
                <w:szCs w:val="22"/>
              </w:rPr>
              <w:t>17,138,384</w:t>
            </w:r>
          </w:p>
        </w:tc>
        <w:tc>
          <w:tcPr>
            <w:tcW w:w="1171" w:type="dxa"/>
            <w:vAlign w:val="center"/>
          </w:tcPr>
          <w:p w:rsidRPr="00B90FA4" w:rsidR="00BD3823" w:rsidP="00BD3823" w:rsidRDefault="00BD3823" w14:paraId="69BC66A2" w14:textId="22E89482">
            <w:pPr>
              <w:jc w:val="right"/>
              <w:rPr>
                <w:color w:val="000000"/>
                <w:sz w:val="22"/>
                <w:szCs w:val="22"/>
              </w:rPr>
            </w:pPr>
            <w:r w:rsidRPr="00BD3823">
              <w:rPr>
                <w:color w:val="000000"/>
              </w:rPr>
              <w:t>3,000</w:t>
            </w:r>
          </w:p>
        </w:tc>
        <w:tc>
          <w:tcPr>
            <w:tcW w:w="1170" w:type="dxa"/>
            <w:shd w:val="clear" w:color="auto" w:fill="auto"/>
            <w:noWrap/>
            <w:vAlign w:val="center"/>
            <w:hideMark/>
          </w:tcPr>
          <w:p w:rsidRPr="00B90FA4" w:rsidR="00BD3823" w:rsidP="00BD3823" w:rsidRDefault="00BD3823" w14:paraId="7396D5C7" w14:textId="3F1D7FCB">
            <w:pPr>
              <w:jc w:val="right"/>
              <w:rPr>
                <w:color w:val="000000"/>
                <w:sz w:val="22"/>
                <w:szCs w:val="22"/>
              </w:rPr>
            </w:pPr>
            <w:r w:rsidRPr="00B90FA4">
              <w:rPr>
                <w:color w:val="000000"/>
                <w:sz w:val="22"/>
                <w:szCs w:val="22"/>
              </w:rPr>
              <w:t>900</w:t>
            </w:r>
          </w:p>
        </w:tc>
        <w:tc>
          <w:tcPr>
            <w:tcW w:w="900" w:type="dxa"/>
            <w:shd w:val="clear" w:color="auto" w:fill="auto"/>
            <w:noWrap/>
            <w:vAlign w:val="center"/>
            <w:hideMark/>
          </w:tcPr>
          <w:p w:rsidRPr="00B90FA4" w:rsidR="00BD3823" w:rsidP="00BD3823" w:rsidRDefault="00BD3823" w14:paraId="7C94197E" w14:textId="77777777">
            <w:pPr>
              <w:jc w:val="right"/>
              <w:rPr>
                <w:color w:val="000000"/>
                <w:sz w:val="22"/>
                <w:szCs w:val="22"/>
              </w:rPr>
            </w:pPr>
            <w:r w:rsidRPr="00B90FA4">
              <w:rPr>
                <w:color w:val="000000"/>
                <w:sz w:val="22"/>
                <w:szCs w:val="22"/>
              </w:rPr>
              <w:t>4.3%</w:t>
            </w:r>
          </w:p>
        </w:tc>
      </w:tr>
      <w:tr w:rsidRPr="00B90FA4" w:rsidR="00BD3823" w:rsidTr="005B2AC8" w14:paraId="63856094" w14:textId="77777777">
        <w:trPr>
          <w:trHeight w:val="320"/>
          <w:jc w:val="center"/>
        </w:trPr>
        <w:tc>
          <w:tcPr>
            <w:tcW w:w="3412" w:type="dxa"/>
            <w:shd w:val="clear" w:color="auto" w:fill="auto"/>
            <w:noWrap/>
            <w:vAlign w:val="center"/>
            <w:hideMark/>
          </w:tcPr>
          <w:p w:rsidRPr="00B90FA4" w:rsidR="00BD3823" w:rsidP="005B2AC8" w:rsidRDefault="00BD3823" w14:paraId="7D85369A" w14:textId="692AA914">
            <w:pPr>
              <w:ind w:left="420" w:hanging="420"/>
              <w:rPr>
                <w:color w:val="000000"/>
                <w:sz w:val="22"/>
                <w:szCs w:val="22"/>
              </w:rPr>
            </w:pPr>
            <w:r w:rsidRPr="00B90FA4">
              <w:rPr>
                <w:color w:val="000000"/>
                <w:sz w:val="22"/>
                <w:szCs w:val="22"/>
              </w:rPr>
              <w:t xml:space="preserve">10 </w:t>
            </w:r>
            <w:r w:rsidR="005B2AC8">
              <w:rPr>
                <w:color w:val="000000"/>
                <w:sz w:val="22"/>
                <w:szCs w:val="22"/>
              </w:rPr>
              <w:t xml:space="preserve">   </w:t>
            </w:r>
            <w:r w:rsidRPr="00B90FA4">
              <w:rPr>
                <w:color w:val="000000"/>
                <w:sz w:val="22"/>
                <w:szCs w:val="22"/>
              </w:rPr>
              <w:t>Alaska, Idaho, Montana, Oregon, Washington</w:t>
            </w:r>
          </w:p>
        </w:tc>
        <w:tc>
          <w:tcPr>
            <w:tcW w:w="1619" w:type="dxa"/>
            <w:shd w:val="clear" w:color="auto" w:fill="auto"/>
            <w:vAlign w:val="center"/>
            <w:hideMark/>
          </w:tcPr>
          <w:p w:rsidRPr="00B90FA4" w:rsidR="00BD3823" w:rsidP="00BD3823" w:rsidRDefault="00BD3823" w14:paraId="7A8C9E97" w14:textId="77777777">
            <w:pPr>
              <w:jc w:val="right"/>
              <w:rPr>
                <w:color w:val="000000"/>
                <w:sz w:val="22"/>
                <w:szCs w:val="22"/>
              </w:rPr>
            </w:pPr>
            <w:r w:rsidRPr="00B90FA4">
              <w:rPr>
                <w:color w:val="000000"/>
                <w:sz w:val="22"/>
                <w:szCs w:val="22"/>
              </w:rPr>
              <w:t>5,771,603</w:t>
            </w:r>
          </w:p>
        </w:tc>
        <w:tc>
          <w:tcPr>
            <w:tcW w:w="1350" w:type="dxa"/>
            <w:shd w:val="clear" w:color="auto" w:fill="auto"/>
            <w:vAlign w:val="center"/>
            <w:hideMark/>
          </w:tcPr>
          <w:p w:rsidRPr="00B90FA4" w:rsidR="00BD3823" w:rsidP="00BD3823" w:rsidRDefault="00BD3823" w14:paraId="7FACEF60" w14:textId="77777777">
            <w:pPr>
              <w:jc w:val="right"/>
              <w:rPr>
                <w:color w:val="000000"/>
                <w:sz w:val="22"/>
                <w:szCs w:val="22"/>
              </w:rPr>
            </w:pPr>
            <w:r w:rsidRPr="00B90FA4">
              <w:rPr>
                <w:color w:val="000000"/>
                <w:sz w:val="22"/>
                <w:szCs w:val="22"/>
              </w:rPr>
              <w:t>6,031,975</w:t>
            </w:r>
          </w:p>
        </w:tc>
        <w:tc>
          <w:tcPr>
            <w:tcW w:w="1171" w:type="dxa"/>
            <w:vAlign w:val="center"/>
          </w:tcPr>
          <w:p w:rsidRPr="00B90FA4" w:rsidR="00BD3823" w:rsidP="00BD3823" w:rsidRDefault="00BD3823" w14:paraId="36BCA77E" w14:textId="4F95F45A">
            <w:pPr>
              <w:jc w:val="right"/>
              <w:rPr>
                <w:color w:val="000000"/>
                <w:sz w:val="22"/>
                <w:szCs w:val="22"/>
              </w:rPr>
            </w:pPr>
            <w:r w:rsidRPr="00BD3823">
              <w:rPr>
                <w:color w:val="000000"/>
              </w:rPr>
              <w:t>1,667</w:t>
            </w:r>
          </w:p>
        </w:tc>
        <w:tc>
          <w:tcPr>
            <w:tcW w:w="1170" w:type="dxa"/>
            <w:shd w:val="clear" w:color="auto" w:fill="auto"/>
            <w:noWrap/>
            <w:vAlign w:val="center"/>
            <w:hideMark/>
          </w:tcPr>
          <w:p w:rsidRPr="00B90FA4" w:rsidR="00BD3823" w:rsidP="00BD3823" w:rsidRDefault="00BD3823" w14:paraId="28684511" w14:textId="7BBA5786">
            <w:pPr>
              <w:jc w:val="right"/>
              <w:rPr>
                <w:color w:val="000000"/>
                <w:sz w:val="22"/>
                <w:szCs w:val="22"/>
              </w:rPr>
            </w:pPr>
            <w:r w:rsidRPr="00B90FA4">
              <w:rPr>
                <w:color w:val="000000"/>
                <w:sz w:val="22"/>
                <w:szCs w:val="22"/>
              </w:rPr>
              <w:t>500</w:t>
            </w:r>
          </w:p>
        </w:tc>
        <w:tc>
          <w:tcPr>
            <w:tcW w:w="900" w:type="dxa"/>
            <w:shd w:val="clear" w:color="auto" w:fill="auto"/>
            <w:noWrap/>
            <w:vAlign w:val="center"/>
            <w:hideMark/>
          </w:tcPr>
          <w:p w:rsidRPr="00B90FA4" w:rsidR="00BD3823" w:rsidP="00BD3823" w:rsidRDefault="00BD3823" w14:paraId="432E5526" w14:textId="77777777">
            <w:pPr>
              <w:jc w:val="right"/>
              <w:rPr>
                <w:color w:val="000000"/>
                <w:sz w:val="22"/>
                <w:szCs w:val="22"/>
              </w:rPr>
            </w:pPr>
            <w:r w:rsidRPr="00B90FA4">
              <w:rPr>
                <w:color w:val="000000"/>
                <w:sz w:val="22"/>
                <w:szCs w:val="22"/>
              </w:rPr>
              <w:t>5.8%</w:t>
            </w:r>
          </w:p>
        </w:tc>
      </w:tr>
    </w:tbl>
    <w:p w:rsidR="00B90FA4" w:rsidP="004F4783" w:rsidRDefault="00B90FA4" w14:paraId="68A5C78F" w14:textId="77777777">
      <w:pPr>
        <w:pStyle w:val="BodyText"/>
        <w:spacing w:before="120"/>
      </w:pPr>
    </w:p>
    <w:p w:rsidR="007A63B0" w:rsidP="004F4783" w:rsidRDefault="00C27730" w14:paraId="301CBBB3" w14:textId="6AAF7844">
      <w:pPr>
        <w:pStyle w:val="BodyText"/>
        <w:spacing w:before="120"/>
      </w:pPr>
      <w:r>
        <w:t>Addresses from the DSF are drawn based on a 1-in-k systematic sample so that each address has an equal probability of selection within each strat</w:t>
      </w:r>
      <w:r w:rsidR="00F124A1">
        <w:t>um</w:t>
      </w:r>
      <w:r>
        <w:t xml:space="preserve">. </w:t>
      </w:r>
      <w:r w:rsidRPr="00C27730">
        <w:t>The ABS database is sorted by ZIP+4 within state</w:t>
      </w:r>
      <w:r>
        <w:t xml:space="preserve"> to ensure a geographically proportional allocation</w:t>
      </w:r>
      <w:r w:rsidRPr="00C27730">
        <w:t>.</w:t>
      </w:r>
      <w:r w:rsidRPr="00AE1E16">
        <w:t xml:space="preserve"> </w:t>
      </w:r>
    </w:p>
    <w:p w:rsidRPr="004F4783" w:rsidR="00D51E2C" w:rsidP="004F4783" w:rsidRDefault="00D51E2C" w14:paraId="595980E4" w14:textId="2AC0FB82">
      <w:pPr>
        <w:pStyle w:val="BodyText"/>
        <w:spacing w:before="120"/>
      </w:pPr>
      <w:r w:rsidRPr="0072092F">
        <w:t xml:space="preserve">To oversample </w:t>
      </w:r>
      <w:r w:rsidR="00DD1488">
        <w:t>Hispanic</w:t>
      </w:r>
      <w:r w:rsidRPr="0072092F">
        <w:t xml:space="preserve"> households, we will geographically stratify block groups with high percentages of </w:t>
      </w:r>
      <w:r w:rsidR="00DD1488">
        <w:t>Hispanic</w:t>
      </w:r>
      <w:r w:rsidRPr="0072092F">
        <w:t xml:space="preserve"> households as identified in the 201</w:t>
      </w:r>
      <w:r w:rsidR="00225816">
        <w:t>5</w:t>
      </w:r>
      <w:r w:rsidRPr="0072092F">
        <w:t>–201</w:t>
      </w:r>
      <w:r w:rsidR="00B608EB">
        <w:t>9</w:t>
      </w:r>
      <w:r w:rsidRPr="0072092F">
        <w:t xml:space="preserve"> </w:t>
      </w:r>
      <w:r>
        <w:t xml:space="preserve">American Community </w:t>
      </w:r>
      <w:r>
        <w:lastRenderedPageBreak/>
        <w:t>Survey (</w:t>
      </w:r>
      <w:r w:rsidRPr="0072092F">
        <w:t>ACS</w:t>
      </w:r>
      <w:r>
        <w:t>)</w:t>
      </w:r>
      <w:r w:rsidRPr="0072092F">
        <w:t>.</w:t>
      </w:r>
      <w:r w:rsidR="00B34C30">
        <w:rPr>
          <w:rStyle w:val="FootnoteReference"/>
        </w:rPr>
        <w:footnoteReference w:id="11"/>
      </w:r>
      <w:r w:rsidRPr="0072092F">
        <w:t xml:space="preserve"> </w:t>
      </w:r>
    </w:p>
    <w:p w:rsidR="00A542A8" w:rsidP="004F4783" w:rsidRDefault="00D51E2C" w14:paraId="59B293E0" w14:textId="77777777">
      <w:pPr>
        <w:pStyle w:val="BodyText"/>
        <w:spacing w:before="120"/>
      </w:pPr>
      <w:r w:rsidRPr="0072092F">
        <w:t>To oversample young adults, we will use a two-phase sample, called double sampling, for stratification. We will first select a national sample of addresses from the DSF as described above. We will then append a model-based age indicator (provided by MSG), identifying addresses where the head of household is likely to be aged between 18 and 34 years. We will stratify the sample based on the 18–34 indicator and select the second-phase sample by oversampling addresses in the 18–34 stratum relative to the non-18–34 stratum. While agreement rates tend to be low on telephones</w:t>
      </w:r>
      <w:r w:rsidR="005D4122">
        <w:t>,</w:t>
      </w:r>
      <w:r w:rsidR="005D4122">
        <w:rPr>
          <w:rStyle w:val="FootnoteReference"/>
        </w:rPr>
        <w:footnoteReference w:id="12"/>
      </w:r>
      <w:r w:rsidRPr="0072092F">
        <w:t xml:space="preserve"> they tend to be higher on addresses.</w:t>
      </w:r>
      <w:r w:rsidR="005D4122">
        <w:rPr>
          <w:rStyle w:val="FootnoteReference"/>
        </w:rPr>
        <w:footnoteReference w:id="13"/>
      </w:r>
      <w:r w:rsidRPr="0072092F">
        <w:t xml:space="preserve"> Thus, we expect that stratifying by the “likely 18–34” indicator will increase the number of young adult respondents in the sample. We will correct for the oversampling of addresses in this stratum in the weighting. </w:t>
      </w:r>
    </w:p>
    <w:p w:rsidRPr="004F4783" w:rsidR="00A542A8" w:rsidP="004F4783" w:rsidRDefault="004F4783" w14:paraId="32DFEB8A" w14:textId="77777777">
      <w:pPr>
        <w:pStyle w:val="BodyText"/>
        <w:spacing w:before="120"/>
        <w:rPr>
          <w:u w:val="single"/>
        </w:rPr>
      </w:pPr>
      <w:r w:rsidRPr="004F4783">
        <w:rPr>
          <w:u w:val="single"/>
        </w:rPr>
        <w:t>B.1.b.</w:t>
      </w:r>
      <w:r w:rsidR="001920BC">
        <w:rPr>
          <w:u w:val="single"/>
        </w:rPr>
        <w:t>3</w:t>
      </w:r>
      <w:r w:rsidRPr="004F4783">
        <w:rPr>
          <w:u w:val="single"/>
        </w:rPr>
        <w:t xml:space="preserve"> </w:t>
      </w:r>
      <w:r w:rsidRPr="004F4783" w:rsidR="00A542A8">
        <w:rPr>
          <w:u w:val="single"/>
        </w:rPr>
        <w:t xml:space="preserve">Within-Household Selection </w:t>
      </w:r>
    </w:p>
    <w:p w:rsidRPr="0072092F" w:rsidR="00A542A8" w:rsidP="004F4783" w:rsidRDefault="00A542A8" w14:paraId="535BEDF0" w14:textId="566B5840">
      <w:pPr>
        <w:pStyle w:val="BodyText"/>
        <w:spacing w:before="120"/>
      </w:pPr>
      <w:r w:rsidRPr="0072092F">
        <w:t>A number of respondent selection methods have been tested for ABS mail surveys, including for the Behavioral Risk Factor Surveillance System (BRFSS).</w:t>
      </w:r>
      <w:r w:rsidR="00E43B5B">
        <w:rPr>
          <w:rStyle w:val="FootnoteReference"/>
        </w:rPr>
        <w:footnoteReference w:id="14"/>
      </w:r>
      <w:r w:rsidRPr="0072092F">
        <w:t xml:space="preserve"> </w:t>
      </w:r>
      <w:r w:rsidR="00D5525C">
        <w:t>Although p</w:t>
      </w:r>
      <w:r w:rsidRPr="0072092F">
        <w:t xml:space="preserve">ast studies have </w:t>
      </w:r>
      <w:r w:rsidR="00D5525C">
        <w:t>indicated</w:t>
      </w:r>
      <w:r w:rsidRPr="0072092F" w:rsidR="00D5525C">
        <w:t xml:space="preserve"> </w:t>
      </w:r>
      <w:r w:rsidR="00D5525C">
        <w:t xml:space="preserve">a tendency for the wrong person to complete the survey when applying </w:t>
      </w:r>
      <w:r w:rsidRPr="0072092F">
        <w:t>birthday methods of within-household selection</w:t>
      </w:r>
      <w:r w:rsidR="00D57D5F">
        <w:t>,</w:t>
      </w:r>
      <w:r w:rsidR="00E43B5B">
        <w:rPr>
          <w:rStyle w:val="FootnoteReference"/>
        </w:rPr>
        <w:footnoteReference w:id="15"/>
      </w:r>
      <w:r w:rsidR="00D5525C">
        <w:t xml:space="preserve"> a </w:t>
      </w:r>
      <w:r>
        <w:t xml:space="preserve">recent evaluation of </w:t>
      </w:r>
      <w:r w:rsidRPr="0072092F">
        <w:t>birthday select</w:t>
      </w:r>
      <w:r>
        <w:t>ion methods for ABS surveys found a</w:t>
      </w:r>
      <w:r w:rsidRPr="0072092F">
        <w:t xml:space="preserve"> </w:t>
      </w:r>
      <w:r>
        <w:t xml:space="preserve">small </w:t>
      </w:r>
      <w:r w:rsidRPr="0072092F">
        <w:t>degree of self-selection in larger households</w:t>
      </w:r>
      <w:r w:rsidR="00375709">
        <w:t>;</w:t>
      </w:r>
      <w:r w:rsidRPr="0072092F">
        <w:t xml:space="preserve"> </w:t>
      </w:r>
      <w:r w:rsidR="00375709">
        <w:t>h</w:t>
      </w:r>
      <w:r w:rsidRPr="0072092F">
        <w:t>owever, the impact on the substantive estimates was small.</w:t>
      </w:r>
      <w:r w:rsidR="00E43B5B">
        <w:rPr>
          <w:rStyle w:val="FootnoteReference"/>
        </w:rPr>
        <w:footnoteReference w:id="16"/>
      </w:r>
      <w:r w:rsidRPr="0072092F">
        <w:t xml:space="preserve"> Considering the low impact of the overall estimates and the simplicity of implementing the birthday methods, we </w:t>
      </w:r>
      <w:r>
        <w:t>will</w:t>
      </w:r>
      <w:r w:rsidRPr="0072092F">
        <w:t xml:space="preserve"> select the adult within the household who has the next birthday to </w:t>
      </w:r>
      <w:r w:rsidR="00D86781">
        <w:t>c</w:t>
      </w:r>
      <w:r w:rsidR="00A50FF3">
        <w:t>o</w:t>
      </w:r>
      <w:r w:rsidR="00D86781">
        <w:t>mplete</w:t>
      </w:r>
      <w:r w:rsidRPr="0072092F" w:rsidR="00D86781">
        <w:t xml:space="preserve"> </w:t>
      </w:r>
      <w:r w:rsidRPr="0072092F">
        <w:t>the survey</w:t>
      </w:r>
      <w:r>
        <w:t xml:space="preserve"> (as opposed to the last birthday or a split next/last sample)</w:t>
      </w:r>
      <w:r w:rsidRPr="0072092F">
        <w:t>. The within-household selection instructions will be included in all contacts with the household.</w:t>
      </w:r>
    </w:p>
    <w:p w:rsidR="00D51E2C" w:rsidP="007A63B0" w:rsidRDefault="00D51E2C" w14:paraId="08C4041B" w14:textId="77777777">
      <w:pPr>
        <w:widowControl w:val="0"/>
        <w:autoSpaceDE w:val="0"/>
        <w:autoSpaceDN w:val="0"/>
        <w:adjustRightInd w:val="0"/>
      </w:pPr>
    </w:p>
    <w:p w:rsidRPr="004F4783" w:rsidR="007A63B0" w:rsidP="007A63B0" w:rsidRDefault="004F4783" w14:paraId="62DE3335" w14:textId="77777777">
      <w:pPr>
        <w:widowControl w:val="0"/>
        <w:autoSpaceDE w:val="0"/>
        <w:autoSpaceDN w:val="0"/>
        <w:adjustRightInd w:val="0"/>
        <w:rPr>
          <w:u w:val="single"/>
        </w:rPr>
      </w:pPr>
      <w:r w:rsidRPr="004F4783">
        <w:rPr>
          <w:u w:val="single"/>
        </w:rPr>
        <w:t>B.1.</w:t>
      </w:r>
      <w:r w:rsidR="001920BC">
        <w:rPr>
          <w:u w:val="single"/>
        </w:rPr>
        <w:t>c</w:t>
      </w:r>
      <w:r w:rsidRPr="004F4783">
        <w:rPr>
          <w:u w:val="single"/>
        </w:rPr>
        <w:t>.</w:t>
      </w:r>
      <w:r w:rsidRPr="004F4783">
        <w:rPr>
          <w:u w:val="single"/>
        </w:rPr>
        <w:tab/>
      </w:r>
      <w:r w:rsidRPr="004F4783" w:rsidR="007A63B0">
        <w:rPr>
          <w:u w:val="single"/>
        </w:rPr>
        <w:t>Response Rate</w:t>
      </w:r>
    </w:p>
    <w:p w:rsidRPr="00995039" w:rsidR="00C27730" w:rsidP="004F4783" w:rsidRDefault="00220547" w14:paraId="015F6953" w14:textId="29A1933D">
      <w:pPr>
        <w:pStyle w:val="BodyText"/>
        <w:spacing w:before="120"/>
      </w:pPr>
      <w:r w:rsidRPr="00995039">
        <w:t xml:space="preserve">Table </w:t>
      </w:r>
      <w:r w:rsidRPr="00995039" w:rsidR="00C27730">
        <w:t xml:space="preserve">2 details our assumptions for sample size and response rate by data collection wave. These assumptions are based on similar contact waves and response rates achieved for the </w:t>
      </w:r>
      <w:r w:rsidRPr="00995039" w:rsidR="00921DDF">
        <w:t>2016</w:t>
      </w:r>
      <w:r w:rsidRPr="00995039" w:rsidR="00EF568D">
        <w:t xml:space="preserve"> </w:t>
      </w:r>
      <w:r w:rsidRPr="00995039" w:rsidR="00C27730">
        <w:t>Motor</w:t>
      </w:r>
      <w:r w:rsidRPr="00995039" w:rsidR="00375709">
        <w:t xml:space="preserve"> </w:t>
      </w:r>
      <w:r w:rsidRPr="00995039" w:rsidR="00C27730">
        <w:t>Vehicle Occupan</w:t>
      </w:r>
      <w:r w:rsidRPr="00995039">
        <w:t>t</w:t>
      </w:r>
      <w:r w:rsidRPr="00995039" w:rsidR="00C27730">
        <w:t xml:space="preserve"> Safety Survey (</w:t>
      </w:r>
      <w:r w:rsidRPr="00995039" w:rsidR="002A50E8">
        <w:t>MVOSS-</w:t>
      </w:r>
      <w:r w:rsidRPr="00995039" w:rsidR="00C27730">
        <w:t xml:space="preserve">Version A), a national survey about driving behaviors and attitudes similar in length to the </w:t>
      </w:r>
      <w:r w:rsidR="000218FB">
        <w:t>NSBPAB</w:t>
      </w:r>
      <w:r w:rsidRPr="00995039" w:rsidR="00C27730">
        <w:t xml:space="preserve">.  </w:t>
      </w:r>
      <w:r w:rsidRPr="00C220CC" w:rsidR="00094881">
        <w:t>We expect to draw an initial sample of 25,000 addresses and assume 2,05</w:t>
      </w:r>
      <w:r w:rsidR="00094881">
        <w:t>7</w:t>
      </w:r>
      <w:r w:rsidRPr="00C220CC" w:rsidR="00094881">
        <w:t xml:space="preserve"> </w:t>
      </w:r>
      <w:r w:rsidR="00094881">
        <w:t xml:space="preserve">(8%) </w:t>
      </w:r>
      <w:r w:rsidRPr="00C220CC" w:rsidR="00094881">
        <w:t xml:space="preserve">of these records will be non-deliverable </w:t>
      </w:r>
      <w:r w:rsidR="00094881">
        <w:t>as determined from returned mail after the first two mailings</w:t>
      </w:r>
      <w:r w:rsidRPr="00C220CC" w:rsidR="00094881">
        <w:t xml:space="preserve">. </w:t>
      </w:r>
      <w:r w:rsidRPr="00995039" w:rsidR="00C27730">
        <w:t xml:space="preserve">We expect the </w:t>
      </w:r>
      <w:r w:rsidRPr="00995039" w:rsidR="00901136">
        <w:t>2</w:t>
      </w:r>
      <w:r w:rsidR="00094881">
        <w:t>2</w:t>
      </w:r>
      <w:r w:rsidR="00F8004F">
        <w:t>,</w:t>
      </w:r>
      <w:r w:rsidR="00094881">
        <w:t>943</w:t>
      </w:r>
      <w:r w:rsidRPr="00995039" w:rsidR="00901136">
        <w:t xml:space="preserve"> </w:t>
      </w:r>
      <w:r w:rsidRPr="00995039" w:rsidR="00C27730">
        <w:t xml:space="preserve">remaining valid records—following the five-contact protocol—will result in </w:t>
      </w:r>
      <w:r w:rsidR="006A0024">
        <w:t>an estimated</w:t>
      </w:r>
      <w:r w:rsidRPr="00995039" w:rsidR="00C27730">
        <w:t xml:space="preserve"> 7,</w:t>
      </w:r>
      <w:r w:rsidR="00094881">
        <w:t>523</w:t>
      </w:r>
      <w:r w:rsidRPr="00995039" w:rsidR="00284CB0">
        <w:t xml:space="preserve"> returned </w:t>
      </w:r>
      <w:r w:rsidRPr="00995039" w:rsidR="00C27730">
        <w:t xml:space="preserve">surveys for a response rate of </w:t>
      </w:r>
      <w:r w:rsidR="00FD0EAF">
        <w:t>3</w:t>
      </w:r>
      <w:r w:rsidR="00094881">
        <w:t>0</w:t>
      </w:r>
      <w:r w:rsidRPr="00995039" w:rsidR="00C27730">
        <w:t xml:space="preserve">% based on the American Association of Public Opinion Research (AAPOR) response rate formula #1 (RR1). </w:t>
      </w:r>
      <w:r w:rsidR="003233D1">
        <w:t xml:space="preserve">(Previous </w:t>
      </w:r>
      <w:r w:rsidR="000218FB">
        <w:t>NSBPAB</w:t>
      </w:r>
      <w:r w:rsidR="003233D1">
        <w:t xml:space="preserve"> surveys were administered using random digit dialing telephone sampling instead of the current mode of mail with push to web. As a </w:t>
      </w:r>
      <w:r w:rsidR="003233D1">
        <w:lastRenderedPageBreak/>
        <w:t xml:space="preserve">comparison to the current study, the </w:t>
      </w:r>
      <w:r w:rsidR="00094881">
        <w:t>2002</w:t>
      </w:r>
      <w:r w:rsidR="003233D1">
        <w:t xml:space="preserve"> survey achieved a </w:t>
      </w:r>
      <w:r w:rsidR="005664C8">
        <w:t>27</w:t>
      </w:r>
      <w:r w:rsidR="003233D1">
        <w:t>% response rate</w:t>
      </w:r>
      <w:r w:rsidR="005664C8">
        <w:t>, while</w:t>
      </w:r>
      <w:r w:rsidR="003233D1">
        <w:t xml:space="preserve"> the 20</w:t>
      </w:r>
      <w:r w:rsidR="00094881">
        <w:t>1</w:t>
      </w:r>
      <w:r w:rsidR="003233D1">
        <w:t xml:space="preserve">2 survey had a </w:t>
      </w:r>
      <w:r w:rsidR="005664C8">
        <w:t>25.32</w:t>
      </w:r>
      <w:r w:rsidR="003233D1">
        <w:t>% response rate</w:t>
      </w:r>
      <w:r w:rsidR="005664C8">
        <w:t xml:space="preserve"> for the landline cross-section, 13.81% for the cell phone sample, and 22.99% for the landline oversample</w:t>
      </w:r>
      <w:r w:rsidR="00094881">
        <w:t>.</w:t>
      </w:r>
      <w:r w:rsidR="005A64B3">
        <w:t>)</w:t>
      </w:r>
      <w:r w:rsidR="003233D1">
        <w:t xml:space="preserve"> </w:t>
      </w:r>
    </w:p>
    <w:p w:rsidRPr="00E61939" w:rsidR="00C27730" w:rsidP="00C27730" w:rsidRDefault="00C27730" w14:paraId="44584C4D" w14:textId="77777777">
      <w:pPr>
        <w:pStyle w:val="ExhibitCaption"/>
        <w:tabs>
          <w:tab w:val="left" w:pos="810"/>
        </w:tabs>
        <w:jc w:val="center"/>
        <w:rPr>
          <w:highlight w:val="yellow"/>
        </w:rPr>
      </w:pPr>
    </w:p>
    <w:p w:rsidR="007A63B0" w:rsidP="001B42C5" w:rsidRDefault="00220547" w14:paraId="0A73F3D4" w14:textId="1509E898">
      <w:pPr>
        <w:widowControl w:val="0"/>
        <w:autoSpaceDE w:val="0"/>
        <w:autoSpaceDN w:val="0"/>
        <w:adjustRightInd w:val="0"/>
        <w:jc w:val="center"/>
        <w:rPr>
          <w:i/>
        </w:rPr>
      </w:pPr>
      <w:r w:rsidRPr="00995039">
        <w:rPr>
          <w:i/>
        </w:rPr>
        <w:t xml:space="preserve">Table </w:t>
      </w:r>
      <w:r w:rsidRPr="00995039" w:rsidR="00C27730">
        <w:rPr>
          <w:i/>
        </w:rPr>
        <w:t>2. Expected Data Collection Quantities and Response Rates</w:t>
      </w:r>
    </w:p>
    <w:tbl>
      <w:tblPr>
        <w:tblStyle w:val="ICFDarkBlueStyle"/>
        <w:tblW w:w="7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2875"/>
        <w:gridCol w:w="1260"/>
        <w:gridCol w:w="1800"/>
        <w:gridCol w:w="1800"/>
      </w:tblGrid>
      <w:tr w:rsidRPr="00C220CC" w:rsidR="00C7742A" w:rsidTr="009B1704" w14:paraId="171D65C0" w14:textId="2967C7C1">
        <w:trPr>
          <w:cnfStyle w:val="100000000000" w:firstRow="1" w:lastRow="0" w:firstColumn="0" w:lastColumn="0" w:oddVBand="0" w:evenVBand="0" w:oddHBand="0" w:evenHBand="0" w:firstRowFirstColumn="0" w:firstRowLastColumn="0" w:lastRowFirstColumn="0" w:lastRowLastColumn="0"/>
          <w:trHeight w:val="276"/>
          <w:jc w:val="center"/>
        </w:trPr>
        <w:tc>
          <w:tcPr>
            <w:tcW w:w="2875" w:type="dxa"/>
            <w:vMerge w:val="restart"/>
            <w:noWrap/>
            <w:vAlign w:val="bottom"/>
            <w:hideMark/>
          </w:tcPr>
          <w:p w:rsidR="00C7742A" w:rsidP="006C1794" w:rsidRDefault="00C7742A" w14:paraId="201B3822" w14:textId="1AA18AE7">
            <w:pPr>
              <w:pStyle w:val="TableColumnHeading"/>
            </w:pPr>
            <w:r w:rsidRPr="00C220CC">
              <w:t>Contact Wave</w:t>
            </w:r>
          </w:p>
          <w:p w:rsidR="009B1704" w:rsidP="006C1794" w:rsidRDefault="009B1704" w14:paraId="425A85E7" w14:textId="77777777">
            <w:pPr>
              <w:pStyle w:val="TableColumnHeading"/>
            </w:pPr>
          </w:p>
          <w:p w:rsidRPr="00C220CC" w:rsidR="007643DA" w:rsidP="006C1794" w:rsidRDefault="007643DA" w14:paraId="292D2D37" w14:textId="6CA20EB5">
            <w:pPr>
              <w:pStyle w:val="TableColumnHeading"/>
              <w:rPr>
                <w:rFonts w:eastAsia="Times New Roman"/>
                <w:b w:val="0"/>
                <w:color w:val="FFFFFF"/>
              </w:rPr>
            </w:pPr>
          </w:p>
        </w:tc>
        <w:tc>
          <w:tcPr>
            <w:tcW w:w="1260" w:type="dxa"/>
            <w:vMerge w:val="restart"/>
            <w:hideMark/>
          </w:tcPr>
          <w:p w:rsidRPr="00C220CC" w:rsidR="00C7742A" w:rsidP="006C1794" w:rsidRDefault="00C7742A" w14:paraId="452C673B" w14:textId="77777777">
            <w:pPr>
              <w:pStyle w:val="TableColumnHeading"/>
              <w:rPr>
                <w:rFonts w:eastAsia="Times New Roman"/>
                <w:b w:val="0"/>
                <w:color w:val="FFFFFF"/>
              </w:rPr>
            </w:pPr>
            <w:r w:rsidRPr="00C220CC">
              <w:t>Number of Records</w:t>
            </w:r>
          </w:p>
        </w:tc>
        <w:tc>
          <w:tcPr>
            <w:tcW w:w="1800" w:type="dxa"/>
            <w:vMerge w:val="restart"/>
            <w:hideMark/>
          </w:tcPr>
          <w:p w:rsidRPr="00C220CC" w:rsidR="00C7742A" w:rsidP="006C1794" w:rsidRDefault="00C7742A" w14:paraId="53810A84" w14:textId="77777777">
            <w:pPr>
              <w:pStyle w:val="TableColumnHeading"/>
              <w:rPr>
                <w:rFonts w:eastAsia="Times New Roman"/>
                <w:b w:val="0"/>
                <w:color w:val="FFFFFF"/>
              </w:rPr>
            </w:pPr>
            <w:r w:rsidRPr="00C220CC">
              <w:t>Expected Response Rate</w:t>
            </w:r>
          </w:p>
        </w:tc>
        <w:tc>
          <w:tcPr>
            <w:tcW w:w="1800" w:type="dxa"/>
            <w:vMerge w:val="restart"/>
          </w:tcPr>
          <w:p w:rsidRPr="00C220CC" w:rsidR="00C7742A" w:rsidP="006C1794" w:rsidRDefault="00C7742A" w14:paraId="0D66FC47" w14:textId="68482F85">
            <w:pPr>
              <w:pStyle w:val="TableColumnHeading"/>
            </w:pPr>
            <w:r>
              <w:t>Total</w:t>
            </w:r>
          </w:p>
        </w:tc>
      </w:tr>
      <w:tr w:rsidRPr="00C220CC" w:rsidR="00C7742A" w:rsidTr="009B1704" w14:paraId="6BF8662E" w14:textId="77777777">
        <w:trPr>
          <w:trHeight w:val="575"/>
          <w:jc w:val="center"/>
        </w:trPr>
        <w:tc>
          <w:tcPr>
            <w:tcW w:w="2875" w:type="dxa"/>
            <w:vMerge/>
            <w:shd w:val="clear" w:color="auto" w:fill="4F81BD" w:themeFill="accent1"/>
            <w:noWrap/>
          </w:tcPr>
          <w:p w:rsidRPr="00C220CC" w:rsidR="00C7742A" w:rsidP="006C1794" w:rsidRDefault="00C7742A" w14:paraId="5DD538E9" w14:textId="77777777">
            <w:pPr>
              <w:pStyle w:val="TableColumnHeading"/>
            </w:pPr>
          </w:p>
        </w:tc>
        <w:tc>
          <w:tcPr>
            <w:tcW w:w="1260" w:type="dxa"/>
            <w:vMerge/>
            <w:shd w:val="clear" w:color="auto" w:fill="4F81BD" w:themeFill="accent1"/>
          </w:tcPr>
          <w:p w:rsidRPr="00C220CC" w:rsidR="00C7742A" w:rsidP="006C1794" w:rsidRDefault="00C7742A" w14:paraId="57F52B65" w14:textId="77777777">
            <w:pPr>
              <w:pStyle w:val="TableColumnHeading"/>
            </w:pPr>
          </w:p>
        </w:tc>
        <w:tc>
          <w:tcPr>
            <w:tcW w:w="1800" w:type="dxa"/>
            <w:vMerge/>
            <w:shd w:val="clear" w:color="auto" w:fill="4F81BD" w:themeFill="accent1"/>
          </w:tcPr>
          <w:p w:rsidRPr="00C220CC" w:rsidR="00C7742A" w:rsidP="006C1794" w:rsidRDefault="00C7742A" w14:paraId="738E98FB" w14:textId="77777777">
            <w:pPr>
              <w:pStyle w:val="TableColumnHeading"/>
            </w:pPr>
          </w:p>
        </w:tc>
        <w:tc>
          <w:tcPr>
            <w:tcW w:w="1800" w:type="dxa"/>
            <w:vMerge/>
            <w:shd w:val="clear" w:color="auto" w:fill="4F81BD" w:themeFill="accent1"/>
          </w:tcPr>
          <w:p w:rsidRPr="00C220CC" w:rsidR="00C7742A" w:rsidP="006C1794" w:rsidRDefault="00C7742A" w14:paraId="7966D6A0" w14:textId="77777777">
            <w:pPr>
              <w:pStyle w:val="TableColumnHeading"/>
            </w:pPr>
          </w:p>
        </w:tc>
      </w:tr>
      <w:tr w:rsidRPr="00C220CC" w:rsidR="00C7742A" w:rsidTr="009B1704" w14:paraId="5E0C9938" w14:textId="77777777">
        <w:trPr>
          <w:trHeight w:val="20"/>
          <w:jc w:val="center"/>
        </w:trPr>
        <w:tc>
          <w:tcPr>
            <w:tcW w:w="2875" w:type="dxa"/>
            <w:shd w:val="clear" w:color="auto" w:fill="auto"/>
            <w:noWrap/>
            <w:hideMark/>
          </w:tcPr>
          <w:p w:rsidRPr="00C220CC" w:rsidR="00C7742A" w:rsidP="006C1794" w:rsidRDefault="00C7742A" w14:paraId="3374EF18" w14:textId="7F727742">
            <w:pPr>
              <w:pStyle w:val="TableText"/>
            </w:pPr>
            <w:r w:rsidRPr="00C220CC">
              <w:t xml:space="preserve">Web </w:t>
            </w:r>
            <w:r>
              <w:t xml:space="preserve">letter </w:t>
            </w:r>
            <w:r w:rsidRPr="00C220CC">
              <w:t xml:space="preserve">invitation </w:t>
            </w:r>
          </w:p>
        </w:tc>
        <w:tc>
          <w:tcPr>
            <w:tcW w:w="1260" w:type="dxa"/>
            <w:shd w:val="clear" w:color="auto" w:fill="auto"/>
            <w:noWrap/>
            <w:vAlign w:val="center"/>
            <w:hideMark/>
          </w:tcPr>
          <w:p w:rsidRPr="00C220CC" w:rsidR="00C7742A" w:rsidP="006C1794" w:rsidRDefault="00C7742A" w14:paraId="28053347" w14:textId="77777777">
            <w:pPr>
              <w:pStyle w:val="TableText"/>
              <w:tabs>
                <w:tab w:val="decimal" w:pos="782"/>
              </w:tabs>
              <w:jc w:val="center"/>
            </w:pPr>
            <w:r w:rsidRPr="00C220CC">
              <w:rPr>
                <w:color w:val="000000"/>
              </w:rPr>
              <w:t>25,000</w:t>
            </w:r>
          </w:p>
        </w:tc>
        <w:tc>
          <w:tcPr>
            <w:tcW w:w="1800" w:type="dxa"/>
            <w:shd w:val="clear" w:color="auto" w:fill="auto"/>
            <w:noWrap/>
            <w:vAlign w:val="center"/>
            <w:hideMark/>
          </w:tcPr>
          <w:p w:rsidRPr="00C220CC" w:rsidR="00C7742A" w:rsidP="006C1794" w:rsidRDefault="00C7742A" w14:paraId="6A8CF02D" w14:textId="77777777">
            <w:pPr>
              <w:pStyle w:val="TableText"/>
              <w:tabs>
                <w:tab w:val="decimal" w:pos="513"/>
              </w:tabs>
              <w:jc w:val="center"/>
            </w:pPr>
            <w:r w:rsidRPr="00C220CC">
              <w:rPr>
                <w:lang w:eastAsia="zh-TW"/>
              </w:rPr>
              <w:t>10%</w:t>
            </w:r>
          </w:p>
        </w:tc>
        <w:tc>
          <w:tcPr>
            <w:tcW w:w="1800" w:type="dxa"/>
            <w:shd w:val="clear" w:color="auto" w:fill="auto"/>
          </w:tcPr>
          <w:p w:rsidRPr="00C220CC" w:rsidR="00C7742A" w:rsidP="006C1794" w:rsidRDefault="00C7742A" w14:paraId="5C63200F" w14:textId="21E3D0FA">
            <w:pPr>
              <w:pStyle w:val="TableText"/>
              <w:tabs>
                <w:tab w:val="decimal" w:pos="874"/>
              </w:tabs>
              <w:jc w:val="center"/>
              <w:rPr>
                <w:lang w:eastAsia="zh-TW"/>
              </w:rPr>
            </w:pPr>
            <w:r>
              <w:rPr>
                <w:lang w:eastAsia="zh-TW"/>
              </w:rPr>
              <w:t>2,500</w:t>
            </w:r>
          </w:p>
        </w:tc>
      </w:tr>
      <w:tr w:rsidRPr="00C220CC" w:rsidR="00C7742A" w:rsidTr="009B1704" w14:paraId="3F6FED9C" w14:textId="77777777">
        <w:trPr>
          <w:trHeight w:val="20"/>
          <w:jc w:val="center"/>
        </w:trPr>
        <w:tc>
          <w:tcPr>
            <w:tcW w:w="2875" w:type="dxa"/>
            <w:shd w:val="clear" w:color="auto" w:fill="auto"/>
            <w:noWrap/>
            <w:hideMark/>
          </w:tcPr>
          <w:p w:rsidRPr="00C220CC" w:rsidR="00C7742A" w:rsidP="006C1794" w:rsidRDefault="00C7742A" w14:paraId="245EDDAD" w14:textId="65561343">
            <w:pPr>
              <w:pStyle w:val="TableText"/>
            </w:pPr>
            <w:r w:rsidRPr="00C220CC">
              <w:t xml:space="preserve">Reminder postcard </w:t>
            </w:r>
            <w:r>
              <w:t>#</w:t>
            </w:r>
            <w:r w:rsidRPr="00C220CC">
              <w:t>1</w:t>
            </w:r>
          </w:p>
        </w:tc>
        <w:tc>
          <w:tcPr>
            <w:tcW w:w="1260" w:type="dxa"/>
            <w:shd w:val="clear" w:color="auto" w:fill="auto"/>
            <w:noWrap/>
            <w:vAlign w:val="center"/>
            <w:hideMark/>
          </w:tcPr>
          <w:p w:rsidRPr="00C220CC" w:rsidR="00C7742A" w:rsidP="006C1794" w:rsidRDefault="00C7742A" w14:paraId="666AF1A3" w14:textId="77777777">
            <w:pPr>
              <w:pStyle w:val="TableText"/>
              <w:tabs>
                <w:tab w:val="decimal" w:pos="782"/>
              </w:tabs>
              <w:jc w:val="center"/>
            </w:pPr>
            <w:r w:rsidRPr="00C220CC">
              <w:rPr>
                <w:color w:val="000000"/>
              </w:rPr>
              <w:t>25,000</w:t>
            </w:r>
          </w:p>
        </w:tc>
        <w:tc>
          <w:tcPr>
            <w:tcW w:w="1800" w:type="dxa"/>
            <w:shd w:val="clear" w:color="auto" w:fill="auto"/>
            <w:noWrap/>
            <w:vAlign w:val="center"/>
            <w:hideMark/>
          </w:tcPr>
          <w:p w:rsidRPr="00C220CC" w:rsidR="00C7742A" w:rsidP="006C1794" w:rsidRDefault="00C7742A" w14:paraId="2FC4F878" w14:textId="77777777">
            <w:pPr>
              <w:pStyle w:val="TableText"/>
              <w:tabs>
                <w:tab w:val="decimal" w:pos="513"/>
              </w:tabs>
              <w:jc w:val="center"/>
            </w:pPr>
            <w:r w:rsidRPr="00C220CC">
              <w:rPr>
                <w:lang w:eastAsia="zh-TW"/>
              </w:rPr>
              <w:t>6%</w:t>
            </w:r>
          </w:p>
        </w:tc>
        <w:tc>
          <w:tcPr>
            <w:tcW w:w="1800" w:type="dxa"/>
            <w:shd w:val="clear" w:color="auto" w:fill="auto"/>
          </w:tcPr>
          <w:p w:rsidRPr="00C220CC" w:rsidR="00C7742A" w:rsidP="006C1794" w:rsidRDefault="00C7742A" w14:paraId="4511A550" w14:textId="1A4D5A8D">
            <w:pPr>
              <w:pStyle w:val="TableText"/>
              <w:tabs>
                <w:tab w:val="decimal" w:pos="874"/>
              </w:tabs>
              <w:jc w:val="center"/>
              <w:rPr>
                <w:color w:val="000000"/>
              </w:rPr>
            </w:pPr>
            <w:r>
              <w:rPr>
                <w:color w:val="000000"/>
              </w:rPr>
              <w:t>1,500</w:t>
            </w:r>
          </w:p>
        </w:tc>
      </w:tr>
      <w:tr w:rsidRPr="00C220CC" w:rsidR="00C7742A" w:rsidTr="009B1704" w14:paraId="1DE6DD6A" w14:textId="77777777">
        <w:trPr>
          <w:trHeight w:val="20"/>
          <w:jc w:val="center"/>
        </w:trPr>
        <w:tc>
          <w:tcPr>
            <w:tcW w:w="2875" w:type="dxa"/>
            <w:shd w:val="clear" w:color="auto" w:fill="auto"/>
            <w:noWrap/>
          </w:tcPr>
          <w:p w:rsidRPr="00C220CC" w:rsidR="00C7742A" w:rsidP="006C1794" w:rsidRDefault="00C7742A" w14:paraId="43FB523D" w14:textId="77777777">
            <w:pPr>
              <w:pStyle w:val="TableText"/>
            </w:pPr>
            <w:r w:rsidRPr="00C220CC">
              <w:t>Non-deliverable</w:t>
            </w:r>
          </w:p>
        </w:tc>
        <w:tc>
          <w:tcPr>
            <w:tcW w:w="1260" w:type="dxa"/>
            <w:shd w:val="clear" w:color="auto" w:fill="auto"/>
            <w:noWrap/>
            <w:vAlign w:val="center"/>
          </w:tcPr>
          <w:p w:rsidRPr="00C220CC" w:rsidR="00C7742A" w:rsidP="006C1794" w:rsidRDefault="00C7742A" w14:paraId="1B8EBC76" w14:textId="77777777">
            <w:pPr>
              <w:pStyle w:val="TableText"/>
              <w:tabs>
                <w:tab w:val="decimal" w:pos="782"/>
              </w:tabs>
              <w:jc w:val="center"/>
              <w:rPr>
                <w:color w:val="000000"/>
              </w:rPr>
            </w:pPr>
            <w:r w:rsidRPr="00C220CC">
              <w:rPr>
                <w:color w:val="000000"/>
              </w:rPr>
              <w:t>(-2,057)</w:t>
            </w:r>
          </w:p>
        </w:tc>
        <w:tc>
          <w:tcPr>
            <w:tcW w:w="1800" w:type="dxa"/>
            <w:shd w:val="clear" w:color="auto" w:fill="auto"/>
            <w:noWrap/>
            <w:vAlign w:val="center"/>
          </w:tcPr>
          <w:p w:rsidRPr="00C220CC" w:rsidR="00C7742A" w:rsidP="006C1794" w:rsidRDefault="00C7742A" w14:paraId="4DE0CD96" w14:textId="77777777">
            <w:pPr>
              <w:pStyle w:val="TableText"/>
              <w:tabs>
                <w:tab w:val="decimal" w:pos="513"/>
              </w:tabs>
              <w:jc w:val="center"/>
              <w:rPr>
                <w:lang w:eastAsia="zh-TW"/>
              </w:rPr>
            </w:pPr>
          </w:p>
        </w:tc>
        <w:tc>
          <w:tcPr>
            <w:tcW w:w="1800" w:type="dxa"/>
            <w:shd w:val="clear" w:color="auto" w:fill="auto"/>
          </w:tcPr>
          <w:p w:rsidRPr="00C220CC" w:rsidR="00C7742A" w:rsidP="006C1794" w:rsidRDefault="00C7742A" w14:paraId="0222DDE2" w14:textId="77777777">
            <w:pPr>
              <w:pStyle w:val="TableText"/>
              <w:tabs>
                <w:tab w:val="decimal" w:pos="874"/>
              </w:tabs>
              <w:jc w:val="center"/>
              <w:rPr>
                <w:color w:val="000000"/>
              </w:rPr>
            </w:pPr>
          </w:p>
        </w:tc>
      </w:tr>
      <w:tr w:rsidRPr="00C220CC" w:rsidR="00C7742A" w:rsidTr="009B1704" w14:paraId="711BA33D" w14:textId="77777777">
        <w:trPr>
          <w:trHeight w:val="20"/>
          <w:jc w:val="center"/>
        </w:trPr>
        <w:tc>
          <w:tcPr>
            <w:tcW w:w="2875" w:type="dxa"/>
            <w:shd w:val="clear" w:color="auto" w:fill="auto"/>
            <w:noWrap/>
            <w:hideMark/>
          </w:tcPr>
          <w:p w:rsidRPr="00C220CC" w:rsidR="00C7742A" w:rsidP="006C1794" w:rsidRDefault="00C7742A" w14:paraId="3CC8F876" w14:textId="77777777">
            <w:pPr>
              <w:pStyle w:val="TableText"/>
            </w:pPr>
            <w:r w:rsidRPr="00C220CC">
              <w:t>First survey mailing</w:t>
            </w:r>
          </w:p>
        </w:tc>
        <w:tc>
          <w:tcPr>
            <w:tcW w:w="1260" w:type="dxa"/>
            <w:shd w:val="clear" w:color="auto" w:fill="auto"/>
            <w:noWrap/>
            <w:vAlign w:val="center"/>
            <w:hideMark/>
          </w:tcPr>
          <w:p w:rsidRPr="00C220CC" w:rsidR="00C7742A" w:rsidP="006C1794" w:rsidRDefault="00C7742A" w14:paraId="04F08F40" w14:textId="77777777">
            <w:pPr>
              <w:pStyle w:val="TableText"/>
              <w:tabs>
                <w:tab w:val="decimal" w:pos="782"/>
              </w:tabs>
              <w:jc w:val="center"/>
            </w:pPr>
            <w:r w:rsidRPr="00C220CC">
              <w:rPr>
                <w:color w:val="000000"/>
              </w:rPr>
              <w:t>18,943</w:t>
            </w:r>
          </w:p>
        </w:tc>
        <w:tc>
          <w:tcPr>
            <w:tcW w:w="1800" w:type="dxa"/>
            <w:shd w:val="clear" w:color="auto" w:fill="auto"/>
            <w:noWrap/>
            <w:vAlign w:val="center"/>
            <w:hideMark/>
          </w:tcPr>
          <w:p w:rsidRPr="00C220CC" w:rsidR="00C7742A" w:rsidP="006C1794" w:rsidRDefault="00C7742A" w14:paraId="1BB44F90" w14:textId="77777777">
            <w:pPr>
              <w:pStyle w:val="TableText"/>
              <w:tabs>
                <w:tab w:val="decimal" w:pos="513"/>
              </w:tabs>
              <w:jc w:val="center"/>
            </w:pPr>
            <w:r w:rsidRPr="00C220CC">
              <w:rPr>
                <w:lang w:eastAsia="zh-TW"/>
              </w:rPr>
              <w:t>10%</w:t>
            </w:r>
          </w:p>
        </w:tc>
        <w:tc>
          <w:tcPr>
            <w:tcW w:w="1800" w:type="dxa"/>
            <w:shd w:val="clear" w:color="auto" w:fill="auto"/>
          </w:tcPr>
          <w:p w:rsidRPr="00C220CC" w:rsidR="00C7742A" w:rsidP="006C1794" w:rsidRDefault="00C7742A" w14:paraId="32EB2821" w14:textId="21306BFF">
            <w:pPr>
              <w:pStyle w:val="TableText"/>
              <w:tabs>
                <w:tab w:val="decimal" w:pos="874"/>
              </w:tabs>
              <w:jc w:val="center"/>
              <w:rPr>
                <w:color w:val="000000"/>
              </w:rPr>
            </w:pPr>
            <w:r>
              <w:rPr>
                <w:color w:val="000000"/>
              </w:rPr>
              <w:t>1,894</w:t>
            </w:r>
          </w:p>
        </w:tc>
      </w:tr>
      <w:tr w:rsidRPr="00C220CC" w:rsidR="00C7742A" w:rsidTr="009B1704" w14:paraId="5B552F85" w14:textId="77777777">
        <w:trPr>
          <w:trHeight w:val="20"/>
          <w:jc w:val="center"/>
        </w:trPr>
        <w:tc>
          <w:tcPr>
            <w:tcW w:w="2875" w:type="dxa"/>
            <w:shd w:val="clear" w:color="auto" w:fill="auto"/>
            <w:noWrap/>
            <w:hideMark/>
          </w:tcPr>
          <w:p w:rsidRPr="00C220CC" w:rsidR="00C7742A" w:rsidP="006C1794" w:rsidRDefault="00C7742A" w14:paraId="4C524FD3" w14:textId="322DEDF2">
            <w:pPr>
              <w:pStyle w:val="TableText"/>
            </w:pPr>
            <w:r w:rsidRPr="00C220CC">
              <w:t xml:space="preserve">Reminder postcard </w:t>
            </w:r>
            <w:r>
              <w:t>#</w:t>
            </w:r>
            <w:r w:rsidRPr="00C220CC">
              <w:t>2</w:t>
            </w:r>
          </w:p>
        </w:tc>
        <w:tc>
          <w:tcPr>
            <w:tcW w:w="1260" w:type="dxa"/>
            <w:shd w:val="clear" w:color="auto" w:fill="auto"/>
            <w:noWrap/>
            <w:vAlign w:val="center"/>
            <w:hideMark/>
          </w:tcPr>
          <w:p w:rsidRPr="00C220CC" w:rsidR="00C7742A" w:rsidP="006C1794" w:rsidRDefault="00C7742A" w14:paraId="0CCD2474" w14:textId="77777777">
            <w:pPr>
              <w:pStyle w:val="TableText"/>
              <w:tabs>
                <w:tab w:val="decimal" w:pos="782"/>
              </w:tabs>
              <w:jc w:val="center"/>
            </w:pPr>
            <w:r w:rsidRPr="00C220CC">
              <w:rPr>
                <w:color w:val="000000"/>
              </w:rPr>
              <w:t>18,943</w:t>
            </w:r>
          </w:p>
        </w:tc>
        <w:tc>
          <w:tcPr>
            <w:tcW w:w="1800" w:type="dxa"/>
            <w:shd w:val="clear" w:color="auto" w:fill="auto"/>
            <w:noWrap/>
            <w:vAlign w:val="center"/>
            <w:hideMark/>
          </w:tcPr>
          <w:p w:rsidRPr="00C220CC" w:rsidR="00C7742A" w:rsidP="006C1794" w:rsidRDefault="00C7742A" w14:paraId="34FC1E9A" w14:textId="77777777">
            <w:pPr>
              <w:pStyle w:val="TableText"/>
              <w:tabs>
                <w:tab w:val="decimal" w:pos="513"/>
              </w:tabs>
              <w:jc w:val="center"/>
            </w:pPr>
            <w:r w:rsidRPr="00C220CC">
              <w:rPr>
                <w:lang w:eastAsia="zh-TW"/>
              </w:rPr>
              <w:t>5%</w:t>
            </w:r>
          </w:p>
        </w:tc>
        <w:tc>
          <w:tcPr>
            <w:tcW w:w="1800" w:type="dxa"/>
            <w:shd w:val="clear" w:color="auto" w:fill="auto"/>
          </w:tcPr>
          <w:p w:rsidRPr="00C220CC" w:rsidR="00C7742A" w:rsidP="006C1794" w:rsidRDefault="00C7742A" w14:paraId="03182764" w14:textId="08FC58F0">
            <w:pPr>
              <w:pStyle w:val="TableText"/>
              <w:tabs>
                <w:tab w:val="decimal" w:pos="874"/>
              </w:tabs>
              <w:jc w:val="center"/>
              <w:rPr>
                <w:color w:val="000000"/>
              </w:rPr>
            </w:pPr>
            <w:r>
              <w:rPr>
                <w:color w:val="000000"/>
              </w:rPr>
              <w:t>947</w:t>
            </w:r>
          </w:p>
        </w:tc>
      </w:tr>
      <w:tr w:rsidRPr="00C220CC" w:rsidR="00C7742A" w:rsidTr="009B1704" w14:paraId="2F644F06" w14:textId="77777777">
        <w:trPr>
          <w:trHeight w:val="20"/>
          <w:jc w:val="center"/>
        </w:trPr>
        <w:tc>
          <w:tcPr>
            <w:tcW w:w="2875" w:type="dxa"/>
            <w:shd w:val="clear" w:color="auto" w:fill="auto"/>
            <w:noWrap/>
            <w:hideMark/>
          </w:tcPr>
          <w:p w:rsidRPr="00C220CC" w:rsidR="00C7742A" w:rsidP="006C1794" w:rsidRDefault="00C7742A" w14:paraId="6E0CF8E6" w14:textId="77777777">
            <w:pPr>
              <w:pStyle w:val="TableText"/>
            </w:pPr>
            <w:r w:rsidRPr="00C220CC">
              <w:t>Second survey mailing</w:t>
            </w:r>
          </w:p>
        </w:tc>
        <w:tc>
          <w:tcPr>
            <w:tcW w:w="1260" w:type="dxa"/>
            <w:shd w:val="clear" w:color="auto" w:fill="auto"/>
            <w:noWrap/>
            <w:vAlign w:val="center"/>
            <w:hideMark/>
          </w:tcPr>
          <w:p w:rsidRPr="00C220CC" w:rsidR="00C7742A" w:rsidP="006C1794" w:rsidRDefault="00C7742A" w14:paraId="02B58BDD" w14:textId="77777777">
            <w:pPr>
              <w:pStyle w:val="TableText"/>
              <w:tabs>
                <w:tab w:val="decimal" w:pos="782"/>
              </w:tabs>
              <w:jc w:val="center"/>
            </w:pPr>
            <w:r w:rsidRPr="00C220CC">
              <w:rPr>
                <w:color w:val="000000"/>
              </w:rPr>
              <w:t>17,049</w:t>
            </w:r>
          </w:p>
        </w:tc>
        <w:tc>
          <w:tcPr>
            <w:tcW w:w="1800" w:type="dxa"/>
            <w:shd w:val="clear" w:color="auto" w:fill="auto"/>
            <w:noWrap/>
            <w:vAlign w:val="center"/>
            <w:hideMark/>
          </w:tcPr>
          <w:p w:rsidRPr="00C220CC" w:rsidR="00C7742A" w:rsidP="006C1794" w:rsidRDefault="00C7742A" w14:paraId="09C35DF4" w14:textId="77777777">
            <w:pPr>
              <w:pStyle w:val="TableText"/>
              <w:tabs>
                <w:tab w:val="decimal" w:pos="513"/>
              </w:tabs>
              <w:jc w:val="center"/>
            </w:pPr>
            <w:r w:rsidRPr="00C220CC">
              <w:rPr>
                <w:lang w:eastAsia="zh-TW"/>
              </w:rPr>
              <w:t>4%</w:t>
            </w:r>
          </w:p>
        </w:tc>
        <w:tc>
          <w:tcPr>
            <w:tcW w:w="1800" w:type="dxa"/>
            <w:shd w:val="clear" w:color="auto" w:fill="auto"/>
          </w:tcPr>
          <w:p w:rsidRPr="00C220CC" w:rsidR="00C7742A" w:rsidP="006C1794" w:rsidRDefault="00C7742A" w14:paraId="6C381687" w14:textId="021381B6">
            <w:pPr>
              <w:pStyle w:val="TableText"/>
              <w:tabs>
                <w:tab w:val="decimal" w:pos="874"/>
              </w:tabs>
              <w:jc w:val="center"/>
              <w:rPr>
                <w:color w:val="000000"/>
              </w:rPr>
            </w:pPr>
            <w:r>
              <w:rPr>
                <w:color w:val="000000"/>
              </w:rPr>
              <w:t>682</w:t>
            </w:r>
          </w:p>
        </w:tc>
      </w:tr>
      <w:tr w:rsidRPr="00C220CC" w:rsidR="00C7742A" w:rsidTr="009B1704" w14:paraId="1708752D" w14:textId="77777777">
        <w:trPr>
          <w:trHeight w:val="20"/>
          <w:jc w:val="center"/>
        </w:trPr>
        <w:tc>
          <w:tcPr>
            <w:tcW w:w="2875" w:type="dxa"/>
            <w:shd w:val="clear" w:color="auto" w:fill="D8E0E3"/>
            <w:noWrap/>
            <w:hideMark/>
          </w:tcPr>
          <w:p w:rsidRPr="00C220CC" w:rsidR="00C7742A" w:rsidP="006C1794" w:rsidRDefault="00C7742A" w14:paraId="36385E87" w14:textId="77777777">
            <w:pPr>
              <w:pStyle w:val="TableText"/>
              <w:rPr>
                <w:b/>
              </w:rPr>
            </w:pPr>
            <w:r w:rsidRPr="00C220CC">
              <w:rPr>
                <w:b/>
              </w:rPr>
              <w:t>TOTAL RESPONDENTS</w:t>
            </w:r>
          </w:p>
        </w:tc>
        <w:tc>
          <w:tcPr>
            <w:tcW w:w="1260" w:type="dxa"/>
            <w:shd w:val="clear" w:color="auto" w:fill="D8E0E3"/>
            <w:noWrap/>
            <w:vAlign w:val="center"/>
            <w:hideMark/>
          </w:tcPr>
          <w:p w:rsidRPr="00C220CC" w:rsidR="00C7742A" w:rsidP="006C1794" w:rsidRDefault="00C7742A" w14:paraId="2B8F2BDC" w14:textId="77777777">
            <w:pPr>
              <w:pStyle w:val="TableText"/>
              <w:tabs>
                <w:tab w:val="decimal" w:pos="782"/>
              </w:tabs>
              <w:jc w:val="center"/>
              <w:rPr>
                <w:b/>
              </w:rPr>
            </w:pPr>
          </w:p>
        </w:tc>
        <w:tc>
          <w:tcPr>
            <w:tcW w:w="1800" w:type="dxa"/>
            <w:shd w:val="clear" w:color="auto" w:fill="D8E0E3"/>
            <w:noWrap/>
            <w:vAlign w:val="center"/>
            <w:hideMark/>
          </w:tcPr>
          <w:p w:rsidRPr="00C220CC" w:rsidR="00C7742A" w:rsidP="006C1794" w:rsidRDefault="00C7742A" w14:paraId="2E926BBE" w14:textId="77777777">
            <w:pPr>
              <w:pStyle w:val="TableText"/>
              <w:tabs>
                <w:tab w:val="decimal" w:pos="513"/>
              </w:tabs>
              <w:jc w:val="center"/>
              <w:rPr>
                <w:b/>
              </w:rPr>
            </w:pPr>
            <w:r w:rsidRPr="00C220CC">
              <w:rPr>
                <w:b/>
              </w:rPr>
              <w:t>30.0%</w:t>
            </w:r>
          </w:p>
        </w:tc>
        <w:tc>
          <w:tcPr>
            <w:tcW w:w="1800" w:type="dxa"/>
            <w:shd w:val="clear" w:color="auto" w:fill="D8E0E3"/>
          </w:tcPr>
          <w:p w:rsidRPr="00C220CC" w:rsidR="00C7742A" w:rsidP="006C1794" w:rsidRDefault="00C7742A" w14:paraId="2FAAB234" w14:textId="31FCDE8E">
            <w:pPr>
              <w:pStyle w:val="TableText"/>
              <w:tabs>
                <w:tab w:val="decimal" w:pos="874"/>
              </w:tabs>
              <w:jc w:val="center"/>
              <w:rPr>
                <w:b/>
                <w:lang w:eastAsia="zh-TW"/>
              </w:rPr>
            </w:pPr>
            <w:r>
              <w:rPr>
                <w:b/>
                <w:lang w:eastAsia="zh-TW"/>
              </w:rPr>
              <w:t>7,523</w:t>
            </w:r>
          </w:p>
        </w:tc>
      </w:tr>
    </w:tbl>
    <w:p w:rsidRPr="00995039" w:rsidR="00094881" w:rsidP="001B42C5" w:rsidRDefault="00094881" w14:paraId="382CC924" w14:textId="77777777">
      <w:pPr>
        <w:widowControl w:val="0"/>
        <w:autoSpaceDE w:val="0"/>
        <w:autoSpaceDN w:val="0"/>
        <w:adjustRightInd w:val="0"/>
        <w:jc w:val="center"/>
      </w:pPr>
    </w:p>
    <w:p w:rsidR="00C7742A" w:rsidP="007A63B0" w:rsidRDefault="00C7742A" w14:paraId="67BBF742" w14:textId="77777777">
      <w:pPr>
        <w:widowControl w:val="0"/>
        <w:autoSpaceDE w:val="0"/>
        <w:autoSpaceDN w:val="0"/>
        <w:adjustRightInd w:val="0"/>
        <w:rPr>
          <w:b/>
          <w:bCs/>
        </w:rPr>
      </w:pPr>
    </w:p>
    <w:p w:rsidR="007A63B0" w:rsidP="007A63B0" w:rsidRDefault="007A63B0" w14:paraId="2A61D4EE" w14:textId="270E3961">
      <w:pPr>
        <w:widowControl w:val="0"/>
        <w:autoSpaceDE w:val="0"/>
        <w:autoSpaceDN w:val="0"/>
        <w:adjustRightInd w:val="0"/>
      </w:pPr>
      <w:r>
        <w:rPr>
          <w:b/>
          <w:bCs/>
        </w:rPr>
        <w:t>B.2. Describe the procedures for the collection of information.</w:t>
      </w:r>
    </w:p>
    <w:p w:rsidRPr="004F4783" w:rsidR="004F4783" w:rsidP="004F4783" w:rsidRDefault="004F4783" w14:paraId="06326753" w14:textId="77777777">
      <w:pPr>
        <w:pStyle w:val="BodyText"/>
        <w:spacing w:before="120"/>
        <w:rPr>
          <w:u w:val="single"/>
        </w:rPr>
      </w:pPr>
      <w:r w:rsidRPr="004F4783">
        <w:rPr>
          <w:u w:val="single"/>
        </w:rPr>
        <w:t>B.2.a Data Collection Protocol</w:t>
      </w:r>
    </w:p>
    <w:p w:rsidR="007A63B0" w:rsidP="004F4783" w:rsidRDefault="007A63B0" w14:paraId="56B2A093" w14:textId="77777777">
      <w:pPr>
        <w:pStyle w:val="BodyText"/>
        <w:spacing w:before="120"/>
      </w:pPr>
      <w:r>
        <w:t xml:space="preserve">The Contractor, ICF, will select </w:t>
      </w:r>
      <w:r w:rsidR="00A542A8">
        <w:t>a</w:t>
      </w:r>
      <w:r>
        <w:t xml:space="preserve"> national, stratified random sample of households from the DSF, as described in the previous section.  Each household will be mailed an initial letter requesting participation in the survey.  </w:t>
      </w:r>
      <w:r w:rsidR="00491448">
        <w:t>T</w:t>
      </w:r>
      <w:r>
        <w:t xml:space="preserve">he survey will employ </w:t>
      </w:r>
      <w:r w:rsidR="00E35DFD">
        <w:t>the next birthday method</w:t>
      </w:r>
      <w:r>
        <w:t xml:space="preserve"> for random selection of on</w:t>
      </w:r>
      <w:r w:rsidR="00E35DFD">
        <w:t xml:space="preserve">e respondent </w:t>
      </w:r>
      <w:r w:rsidR="00F55563">
        <w:t xml:space="preserve">aged 18 or over </w:t>
      </w:r>
      <w:r w:rsidR="00E35DFD">
        <w:t xml:space="preserve">from the household. </w:t>
      </w:r>
    </w:p>
    <w:p w:rsidR="007A63B0" w:rsidP="004F4783" w:rsidRDefault="007A63B0" w14:paraId="1DC6F930" w14:textId="77777777">
      <w:pPr>
        <w:pStyle w:val="BodyText"/>
        <w:spacing w:before="120"/>
      </w:pPr>
      <w:r>
        <w:t xml:space="preserve">Web response is NHTSA’s preferred method for the survey.  Therefore, the survey will initially offer only a </w:t>
      </w:r>
      <w:r w:rsidR="007D0C76">
        <w:t>w</w:t>
      </w:r>
      <w:r>
        <w:t xml:space="preserve">eb response mode, where the letter requests the selected household member to go to a designated </w:t>
      </w:r>
      <w:r w:rsidR="007D0C76">
        <w:t>w</w:t>
      </w:r>
      <w:r>
        <w:t>ebsite to take the survey.</w:t>
      </w:r>
      <w:r w:rsidR="00BC1C08">
        <w:t xml:space="preserve"> Each letter/address will contain a unique </w:t>
      </w:r>
      <w:r w:rsidR="0089004D">
        <w:t>Master ID</w:t>
      </w:r>
      <w:r w:rsidR="00BC1C08">
        <w:t xml:space="preserve"> that will be used to access the website and will help track whether someone from a household completed the survey.</w:t>
      </w:r>
      <w:r>
        <w:t xml:space="preserve">  For those that do not respond, there will be a series of additional contact waves that will add alternative modes of responding.  The contact waves </w:t>
      </w:r>
      <w:r w:rsidR="007D0C76">
        <w:t xml:space="preserve">are presented in Table 3.  </w:t>
      </w:r>
      <w:r w:rsidR="00F24852">
        <w:t>Households that respond or refuse the survey will be removed from subsequent contacts.</w:t>
      </w:r>
      <w:r w:rsidR="007D0C76">
        <w:t xml:space="preserve"> </w:t>
      </w:r>
    </w:p>
    <w:p w:rsidR="00155521" w:rsidP="004F4783" w:rsidRDefault="00155521" w14:paraId="65C9FC2E" w14:textId="77777777">
      <w:pPr>
        <w:pStyle w:val="BodyText"/>
        <w:spacing w:before="120"/>
      </w:pPr>
    </w:p>
    <w:p w:rsidRPr="00B00051" w:rsidR="001478A4" w:rsidP="00B00051" w:rsidRDefault="007D0C76" w14:paraId="77AE655E" w14:textId="5D148E19">
      <w:pPr>
        <w:widowControl w:val="0"/>
        <w:autoSpaceDE w:val="0"/>
        <w:autoSpaceDN w:val="0"/>
        <w:adjustRightInd w:val="0"/>
        <w:jc w:val="center"/>
        <w:rPr>
          <w:i/>
        </w:rPr>
      </w:pPr>
      <w:r w:rsidRPr="00B00051">
        <w:rPr>
          <w:i/>
        </w:rPr>
        <w:t xml:space="preserve">Table 3. </w:t>
      </w:r>
      <w:r w:rsidR="000218FB">
        <w:rPr>
          <w:i/>
        </w:rPr>
        <w:t>NSBPAB</w:t>
      </w:r>
      <w:r w:rsidRPr="00B00051">
        <w:rPr>
          <w:i/>
        </w:rPr>
        <w:t xml:space="preserve"> Contact Protocol</w:t>
      </w:r>
    </w:p>
    <w:tbl>
      <w:tblPr>
        <w:tblpPr w:leftFromText="180" w:rightFromText="180" w:vertAnchor="text" w:tblpXSpec="center" w:tblpY="1"/>
        <w:tblOverlap w:val="nev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888"/>
        <w:gridCol w:w="3069"/>
        <w:gridCol w:w="4247"/>
        <w:gridCol w:w="1136"/>
      </w:tblGrid>
      <w:tr w:rsidRPr="004B29E7" w:rsidR="001478A4" w:rsidTr="00091531" w14:paraId="37397DA5" w14:textId="77777777">
        <w:tc>
          <w:tcPr>
            <w:tcW w:w="890" w:type="dxa"/>
            <w:tcBorders>
              <w:bottom w:val="single" w:color="auto" w:sz="8" w:space="0"/>
            </w:tcBorders>
            <w:shd w:val="clear" w:color="auto" w:fill="4F81BD" w:themeFill="accent1"/>
            <w:hideMark/>
          </w:tcPr>
          <w:p w:rsidRPr="004B29E7" w:rsidR="001478A4" w:rsidP="004F4783" w:rsidRDefault="001478A4" w14:paraId="7873CF24" w14:textId="77777777">
            <w:pPr>
              <w:pStyle w:val="ProposalTableHeading"/>
              <w:spacing w:line="19" w:lineRule="atLeast"/>
              <w:rPr>
                <w:sz w:val="22"/>
                <w:szCs w:val="22"/>
              </w:rPr>
            </w:pPr>
            <w:r w:rsidRPr="004B29E7">
              <w:rPr>
                <w:sz w:val="22"/>
                <w:szCs w:val="22"/>
              </w:rPr>
              <w:t>Wave</w:t>
            </w:r>
          </w:p>
        </w:tc>
        <w:tc>
          <w:tcPr>
            <w:tcW w:w="3103" w:type="dxa"/>
            <w:shd w:val="clear" w:color="auto" w:fill="4F81BD" w:themeFill="accent1"/>
            <w:hideMark/>
          </w:tcPr>
          <w:p w:rsidRPr="004B29E7" w:rsidR="001478A4" w:rsidP="004F4783" w:rsidRDefault="001478A4" w14:paraId="0DDE8BFF" w14:textId="77777777">
            <w:pPr>
              <w:pStyle w:val="ProposalTableHeading"/>
              <w:spacing w:line="19" w:lineRule="atLeast"/>
              <w:rPr>
                <w:sz w:val="22"/>
                <w:szCs w:val="22"/>
              </w:rPr>
            </w:pPr>
            <w:r w:rsidRPr="004B29E7">
              <w:rPr>
                <w:sz w:val="22"/>
                <w:szCs w:val="22"/>
              </w:rPr>
              <w:t>Step and Mode</w:t>
            </w:r>
          </w:p>
        </w:tc>
        <w:tc>
          <w:tcPr>
            <w:tcW w:w="4300" w:type="dxa"/>
            <w:shd w:val="clear" w:color="auto" w:fill="4F81BD" w:themeFill="accent1"/>
          </w:tcPr>
          <w:p w:rsidRPr="004B29E7" w:rsidR="001478A4" w:rsidP="004F4783" w:rsidRDefault="001478A4" w14:paraId="2DAD691D" w14:textId="77777777">
            <w:pPr>
              <w:pStyle w:val="ProposalTableHeading"/>
              <w:spacing w:line="19" w:lineRule="atLeast"/>
              <w:rPr>
                <w:sz w:val="22"/>
                <w:szCs w:val="22"/>
              </w:rPr>
            </w:pPr>
            <w:r w:rsidRPr="004B29E7">
              <w:rPr>
                <w:sz w:val="22"/>
                <w:szCs w:val="22"/>
              </w:rPr>
              <w:t>Contents</w:t>
            </w:r>
          </w:p>
        </w:tc>
        <w:tc>
          <w:tcPr>
            <w:tcW w:w="1137" w:type="dxa"/>
            <w:shd w:val="clear" w:color="auto" w:fill="4F81BD" w:themeFill="accent1"/>
            <w:hideMark/>
          </w:tcPr>
          <w:p w:rsidRPr="004B29E7" w:rsidR="001478A4" w:rsidP="004F4783" w:rsidRDefault="001478A4" w14:paraId="70A64F34" w14:textId="77777777">
            <w:pPr>
              <w:pStyle w:val="ProposalTableHeading"/>
              <w:spacing w:line="19" w:lineRule="atLeast"/>
              <w:rPr>
                <w:sz w:val="22"/>
                <w:szCs w:val="22"/>
              </w:rPr>
            </w:pPr>
            <w:r w:rsidRPr="004B29E7">
              <w:rPr>
                <w:sz w:val="22"/>
                <w:szCs w:val="22"/>
              </w:rPr>
              <w:t>Schedule</w:t>
            </w:r>
          </w:p>
        </w:tc>
      </w:tr>
      <w:tr w:rsidRPr="004B29E7" w:rsidR="001478A4" w:rsidTr="004F4783" w14:paraId="56BA9727" w14:textId="77777777">
        <w:tc>
          <w:tcPr>
            <w:tcW w:w="890" w:type="dxa"/>
            <w:shd w:val="clear" w:color="auto" w:fill="auto"/>
            <w:vAlign w:val="center"/>
            <w:hideMark/>
          </w:tcPr>
          <w:p w:rsidRPr="004B29E7" w:rsidR="001478A4" w:rsidP="004F4783" w:rsidRDefault="001478A4" w14:paraId="3395F13E" w14:textId="77777777">
            <w:pPr>
              <w:pStyle w:val="ProposalTableText"/>
              <w:spacing w:line="19" w:lineRule="atLeast"/>
              <w:jc w:val="center"/>
              <w:rPr>
                <w:sz w:val="22"/>
                <w:szCs w:val="22"/>
              </w:rPr>
            </w:pPr>
            <w:r w:rsidRPr="004B29E7">
              <w:rPr>
                <w:sz w:val="22"/>
                <w:szCs w:val="22"/>
              </w:rPr>
              <w:t>1</w:t>
            </w:r>
          </w:p>
        </w:tc>
        <w:tc>
          <w:tcPr>
            <w:tcW w:w="3103" w:type="dxa"/>
            <w:shd w:val="clear" w:color="auto" w:fill="auto"/>
            <w:vAlign w:val="center"/>
            <w:hideMark/>
          </w:tcPr>
          <w:p w:rsidRPr="004B29E7" w:rsidR="001478A4" w:rsidP="004F4783" w:rsidRDefault="001478A4" w14:paraId="1A54AA3F" w14:textId="77777777">
            <w:pPr>
              <w:pStyle w:val="ProposalTableText"/>
              <w:spacing w:line="19" w:lineRule="atLeast"/>
              <w:rPr>
                <w:sz w:val="22"/>
                <w:szCs w:val="22"/>
              </w:rPr>
            </w:pPr>
            <w:r w:rsidRPr="004B29E7">
              <w:rPr>
                <w:sz w:val="22"/>
                <w:szCs w:val="22"/>
              </w:rPr>
              <w:t xml:space="preserve">An invitation letter offering web response </w:t>
            </w:r>
          </w:p>
        </w:tc>
        <w:tc>
          <w:tcPr>
            <w:tcW w:w="4300" w:type="dxa"/>
            <w:shd w:val="clear" w:color="auto" w:fill="auto"/>
            <w:vAlign w:val="center"/>
          </w:tcPr>
          <w:p w:rsidRPr="004B29E7" w:rsidR="001478A4" w:rsidP="004F4783" w:rsidRDefault="001478A4" w14:paraId="3D13FABE" w14:textId="77777777">
            <w:pPr>
              <w:pStyle w:val="ProposalTableText"/>
              <w:spacing w:line="19" w:lineRule="atLeast"/>
              <w:rPr>
                <w:sz w:val="22"/>
                <w:szCs w:val="22"/>
              </w:rPr>
            </w:pPr>
            <w:r w:rsidRPr="004B29E7">
              <w:rPr>
                <w:sz w:val="22"/>
                <w:szCs w:val="22"/>
              </w:rPr>
              <w:t>Cover letter with PIN, hyperlink to web survey, instructions, $1 pre-incentive</w:t>
            </w:r>
          </w:p>
        </w:tc>
        <w:tc>
          <w:tcPr>
            <w:tcW w:w="1137" w:type="dxa"/>
            <w:shd w:val="clear" w:color="auto" w:fill="auto"/>
            <w:vAlign w:val="center"/>
            <w:hideMark/>
          </w:tcPr>
          <w:p w:rsidRPr="004B29E7" w:rsidR="001478A4" w:rsidP="004F4783" w:rsidRDefault="001478A4" w14:paraId="42872C48" w14:textId="77777777">
            <w:pPr>
              <w:pStyle w:val="ProposalTableText"/>
              <w:spacing w:line="19" w:lineRule="atLeast"/>
              <w:jc w:val="center"/>
              <w:rPr>
                <w:sz w:val="22"/>
                <w:szCs w:val="22"/>
              </w:rPr>
            </w:pPr>
            <w:r w:rsidRPr="004B29E7">
              <w:rPr>
                <w:sz w:val="22"/>
                <w:szCs w:val="22"/>
              </w:rPr>
              <w:t>Day 1</w:t>
            </w:r>
          </w:p>
        </w:tc>
      </w:tr>
      <w:tr w:rsidRPr="004B29E7" w:rsidR="001478A4" w:rsidTr="004F4783" w14:paraId="54D0811E" w14:textId="77777777">
        <w:tc>
          <w:tcPr>
            <w:tcW w:w="890" w:type="dxa"/>
            <w:shd w:val="clear" w:color="auto" w:fill="auto"/>
            <w:vAlign w:val="center"/>
            <w:hideMark/>
          </w:tcPr>
          <w:p w:rsidRPr="004B29E7" w:rsidR="001478A4" w:rsidP="004F4783" w:rsidRDefault="001478A4" w14:paraId="4F459A92" w14:textId="77777777">
            <w:pPr>
              <w:pStyle w:val="ProposalTableText"/>
              <w:spacing w:line="19" w:lineRule="atLeast"/>
              <w:jc w:val="center"/>
              <w:rPr>
                <w:sz w:val="22"/>
                <w:szCs w:val="22"/>
              </w:rPr>
            </w:pPr>
            <w:r w:rsidRPr="004B29E7">
              <w:rPr>
                <w:sz w:val="22"/>
                <w:szCs w:val="22"/>
              </w:rPr>
              <w:t>2</w:t>
            </w:r>
          </w:p>
        </w:tc>
        <w:tc>
          <w:tcPr>
            <w:tcW w:w="3103" w:type="dxa"/>
            <w:shd w:val="clear" w:color="auto" w:fill="auto"/>
            <w:vAlign w:val="center"/>
            <w:hideMark/>
          </w:tcPr>
          <w:p w:rsidRPr="004B29E7" w:rsidR="001478A4" w:rsidP="004F4783" w:rsidRDefault="001478A4" w14:paraId="3C479FFE" w14:textId="77777777">
            <w:pPr>
              <w:pStyle w:val="ProposalTableText"/>
              <w:spacing w:line="19" w:lineRule="atLeast"/>
              <w:rPr>
                <w:sz w:val="22"/>
                <w:szCs w:val="22"/>
              </w:rPr>
            </w:pPr>
            <w:r w:rsidRPr="004B29E7">
              <w:rPr>
                <w:sz w:val="22"/>
                <w:szCs w:val="22"/>
              </w:rPr>
              <w:t>Reminder postcard #1</w:t>
            </w:r>
          </w:p>
        </w:tc>
        <w:tc>
          <w:tcPr>
            <w:tcW w:w="4300" w:type="dxa"/>
            <w:shd w:val="clear" w:color="auto" w:fill="auto"/>
            <w:vAlign w:val="center"/>
          </w:tcPr>
          <w:p w:rsidRPr="004B29E7" w:rsidR="001478A4" w:rsidP="004F4783" w:rsidRDefault="001478A4" w14:paraId="22D19BA8" w14:textId="77777777">
            <w:pPr>
              <w:pStyle w:val="ProposalTableText"/>
              <w:spacing w:line="19" w:lineRule="atLeast"/>
              <w:rPr>
                <w:sz w:val="22"/>
                <w:szCs w:val="22"/>
              </w:rPr>
            </w:pPr>
            <w:r w:rsidRPr="004B29E7">
              <w:rPr>
                <w:sz w:val="22"/>
                <w:szCs w:val="22"/>
              </w:rPr>
              <w:t>Postcard, black and white</w:t>
            </w:r>
          </w:p>
        </w:tc>
        <w:tc>
          <w:tcPr>
            <w:tcW w:w="1137" w:type="dxa"/>
            <w:shd w:val="clear" w:color="auto" w:fill="auto"/>
            <w:vAlign w:val="center"/>
            <w:hideMark/>
          </w:tcPr>
          <w:p w:rsidRPr="004B29E7" w:rsidR="001478A4" w:rsidP="004F4783" w:rsidRDefault="001478A4" w14:paraId="5E4D4157" w14:textId="77777777">
            <w:pPr>
              <w:pStyle w:val="ProposalTableText"/>
              <w:spacing w:line="19" w:lineRule="atLeast"/>
              <w:jc w:val="center"/>
              <w:rPr>
                <w:sz w:val="22"/>
                <w:szCs w:val="22"/>
              </w:rPr>
            </w:pPr>
            <w:r w:rsidRPr="004B29E7">
              <w:rPr>
                <w:sz w:val="22"/>
                <w:szCs w:val="22"/>
              </w:rPr>
              <w:t>Day 7</w:t>
            </w:r>
          </w:p>
        </w:tc>
      </w:tr>
      <w:tr w:rsidRPr="004B29E7" w:rsidR="001478A4" w:rsidTr="004F4783" w14:paraId="4BCAF0B4" w14:textId="77777777">
        <w:tc>
          <w:tcPr>
            <w:tcW w:w="890" w:type="dxa"/>
            <w:shd w:val="clear" w:color="auto" w:fill="auto"/>
            <w:vAlign w:val="center"/>
            <w:hideMark/>
          </w:tcPr>
          <w:p w:rsidRPr="004B29E7" w:rsidR="001478A4" w:rsidP="004F4783" w:rsidRDefault="001478A4" w14:paraId="5DF645EC" w14:textId="77777777">
            <w:pPr>
              <w:pStyle w:val="ProposalTableText"/>
              <w:spacing w:line="19" w:lineRule="atLeast"/>
              <w:jc w:val="center"/>
              <w:rPr>
                <w:sz w:val="22"/>
                <w:szCs w:val="22"/>
              </w:rPr>
            </w:pPr>
            <w:r w:rsidRPr="004B29E7">
              <w:rPr>
                <w:sz w:val="22"/>
                <w:szCs w:val="22"/>
              </w:rPr>
              <w:t>3</w:t>
            </w:r>
          </w:p>
        </w:tc>
        <w:tc>
          <w:tcPr>
            <w:tcW w:w="3103" w:type="dxa"/>
            <w:shd w:val="clear" w:color="auto" w:fill="auto"/>
            <w:vAlign w:val="center"/>
            <w:hideMark/>
          </w:tcPr>
          <w:p w:rsidRPr="004B29E7" w:rsidR="001478A4" w:rsidP="004F4783" w:rsidRDefault="001478A4" w14:paraId="4BE54966" w14:textId="77777777">
            <w:pPr>
              <w:pStyle w:val="ProposalTableText"/>
              <w:spacing w:line="19" w:lineRule="atLeast"/>
              <w:rPr>
                <w:sz w:val="22"/>
                <w:szCs w:val="22"/>
              </w:rPr>
            </w:pPr>
            <w:r w:rsidRPr="004B29E7">
              <w:rPr>
                <w:sz w:val="22"/>
                <w:szCs w:val="22"/>
              </w:rPr>
              <w:t>A mailed package offering mail response</w:t>
            </w:r>
          </w:p>
        </w:tc>
        <w:tc>
          <w:tcPr>
            <w:tcW w:w="4300" w:type="dxa"/>
            <w:shd w:val="clear" w:color="auto" w:fill="auto"/>
            <w:vAlign w:val="center"/>
          </w:tcPr>
          <w:p w:rsidRPr="004B29E7" w:rsidR="001478A4" w:rsidP="004F4783" w:rsidRDefault="001478A4" w14:paraId="363D9FA7" w14:textId="77777777">
            <w:pPr>
              <w:pStyle w:val="ProposalTableText"/>
              <w:spacing w:line="19" w:lineRule="atLeast"/>
              <w:rPr>
                <w:sz w:val="22"/>
                <w:szCs w:val="22"/>
              </w:rPr>
            </w:pPr>
            <w:r w:rsidRPr="004B29E7">
              <w:rPr>
                <w:sz w:val="22"/>
                <w:szCs w:val="22"/>
              </w:rPr>
              <w:t xml:space="preserve">Cover letter, 16-page printed questionnaire, prepaid return envelope </w:t>
            </w:r>
          </w:p>
        </w:tc>
        <w:tc>
          <w:tcPr>
            <w:tcW w:w="1137" w:type="dxa"/>
            <w:shd w:val="clear" w:color="auto" w:fill="auto"/>
            <w:vAlign w:val="center"/>
            <w:hideMark/>
          </w:tcPr>
          <w:p w:rsidRPr="004B29E7" w:rsidR="001478A4" w:rsidP="004F4783" w:rsidRDefault="001478A4" w14:paraId="75229C16" w14:textId="77777777">
            <w:pPr>
              <w:pStyle w:val="ProposalTableText"/>
              <w:spacing w:line="19" w:lineRule="atLeast"/>
              <w:jc w:val="center"/>
              <w:rPr>
                <w:sz w:val="22"/>
                <w:szCs w:val="22"/>
              </w:rPr>
            </w:pPr>
            <w:r w:rsidRPr="004B29E7">
              <w:rPr>
                <w:sz w:val="22"/>
                <w:szCs w:val="22"/>
              </w:rPr>
              <w:t>Day 28</w:t>
            </w:r>
          </w:p>
        </w:tc>
      </w:tr>
      <w:tr w:rsidRPr="004B29E7" w:rsidR="001478A4" w:rsidTr="004F4783" w14:paraId="39332805" w14:textId="77777777">
        <w:trPr>
          <w:trHeight w:val="295"/>
        </w:trPr>
        <w:tc>
          <w:tcPr>
            <w:tcW w:w="890" w:type="dxa"/>
            <w:shd w:val="clear" w:color="auto" w:fill="auto"/>
            <w:vAlign w:val="center"/>
            <w:hideMark/>
          </w:tcPr>
          <w:p w:rsidRPr="004B29E7" w:rsidR="001478A4" w:rsidP="004F4783" w:rsidRDefault="001478A4" w14:paraId="4380F4D8" w14:textId="77777777">
            <w:pPr>
              <w:pStyle w:val="ProposalTableText"/>
              <w:spacing w:line="19" w:lineRule="atLeast"/>
              <w:jc w:val="center"/>
              <w:rPr>
                <w:sz w:val="22"/>
                <w:szCs w:val="22"/>
              </w:rPr>
            </w:pPr>
            <w:r w:rsidRPr="004B29E7">
              <w:rPr>
                <w:sz w:val="22"/>
                <w:szCs w:val="22"/>
              </w:rPr>
              <w:t>4</w:t>
            </w:r>
          </w:p>
        </w:tc>
        <w:tc>
          <w:tcPr>
            <w:tcW w:w="3103" w:type="dxa"/>
            <w:shd w:val="clear" w:color="auto" w:fill="auto"/>
            <w:vAlign w:val="center"/>
            <w:hideMark/>
          </w:tcPr>
          <w:p w:rsidRPr="004B29E7" w:rsidR="001478A4" w:rsidP="004F4783" w:rsidRDefault="001478A4" w14:paraId="453DD8F0" w14:textId="77777777">
            <w:pPr>
              <w:pStyle w:val="ProposalTableText"/>
              <w:spacing w:line="19" w:lineRule="atLeast"/>
              <w:rPr>
                <w:sz w:val="22"/>
                <w:szCs w:val="22"/>
              </w:rPr>
            </w:pPr>
            <w:r w:rsidRPr="004B29E7">
              <w:rPr>
                <w:sz w:val="22"/>
                <w:szCs w:val="22"/>
              </w:rPr>
              <w:t>Reminder postcard #2</w:t>
            </w:r>
          </w:p>
        </w:tc>
        <w:tc>
          <w:tcPr>
            <w:tcW w:w="4300" w:type="dxa"/>
            <w:shd w:val="clear" w:color="auto" w:fill="auto"/>
            <w:vAlign w:val="center"/>
          </w:tcPr>
          <w:p w:rsidRPr="004B29E7" w:rsidR="001478A4" w:rsidP="004F4783" w:rsidRDefault="001478A4" w14:paraId="70B83A30" w14:textId="77777777">
            <w:pPr>
              <w:pStyle w:val="ProposalTableText"/>
              <w:spacing w:line="19" w:lineRule="atLeast"/>
              <w:rPr>
                <w:sz w:val="22"/>
                <w:szCs w:val="22"/>
              </w:rPr>
            </w:pPr>
            <w:r w:rsidRPr="004B29E7">
              <w:rPr>
                <w:sz w:val="22"/>
                <w:szCs w:val="22"/>
              </w:rPr>
              <w:t>Postcard, black and white</w:t>
            </w:r>
          </w:p>
        </w:tc>
        <w:tc>
          <w:tcPr>
            <w:tcW w:w="1137" w:type="dxa"/>
            <w:shd w:val="clear" w:color="auto" w:fill="auto"/>
            <w:vAlign w:val="center"/>
            <w:hideMark/>
          </w:tcPr>
          <w:p w:rsidRPr="004B29E7" w:rsidR="001478A4" w:rsidP="004F4783" w:rsidRDefault="001478A4" w14:paraId="669D3CD2" w14:textId="77777777">
            <w:pPr>
              <w:pStyle w:val="ProposalTableText"/>
              <w:spacing w:line="19" w:lineRule="atLeast"/>
              <w:jc w:val="center"/>
              <w:rPr>
                <w:sz w:val="22"/>
                <w:szCs w:val="22"/>
              </w:rPr>
            </w:pPr>
            <w:r w:rsidRPr="004B29E7">
              <w:rPr>
                <w:sz w:val="22"/>
                <w:szCs w:val="22"/>
              </w:rPr>
              <w:t>Day 35</w:t>
            </w:r>
          </w:p>
        </w:tc>
      </w:tr>
      <w:tr w:rsidRPr="004B29E7" w:rsidR="001478A4" w:rsidTr="004F4783" w14:paraId="7A40DF0A" w14:textId="77777777">
        <w:tc>
          <w:tcPr>
            <w:tcW w:w="890" w:type="dxa"/>
            <w:shd w:val="clear" w:color="auto" w:fill="auto"/>
            <w:vAlign w:val="center"/>
            <w:hideMark/>
          </w:tcPr>
          <w:p w:rsidRPr="004B29E7" w:rsidR="001478A4" w:rsidP="004F4783" w:rsidRDefault="001478A4" w14:paraId="7A931896" w14:textId="77777777">
            <w:pPr>
              <w:pStyle w:val="ProposalTableText"/>
              <w:spacing w:line="19" w:lineRule="atLeast"/>
              <w:jc w:val="center"/>
              <w:rPr>
                <w:sz w:val="22"/>
                <w:szCs w:val="22"/>
              </w:rPr>
            </w:pPr>
            <w:r w:rsidRPr="004B29E7">
              <w:rPr>
                <w:sz w:val="22"/>
                <w:szCs w:val="22"/>
              </w:rPr>
              <w:t>5</w:t>
            </w:r>
          </w:p>
        </w:tc>
        <w:tc>
          <w:tcPr>
            <w:tcW w:w="3103" w:type="dxa"/>
            <w:shd w:val="clear" w:color="auto" w:fill="auto"/>
            <w:vAlign w:val="center"/>
            <w:hideMark/>
          </w:tcPr>
          <w:p w:rsidRPr="004B29E7" w:rsidR="001478A4" w:rsidP="004F4783" w:rsidRDefault="001478A4" w14:paraId="78232B59" w14:textId="77777777">
            <w:pPr>
              <w:pStyle w:val="ProposalTableText"/>
              <w:spacing w:line="19" w:lineRule="atLeast"/>
              <w:rPr>
                <w:sz w:val="22"/>
                <w:szCs w:val="22"/>
              </w:rPr>
            </w:pPr>
            <w:r w:rsidRPr="004B29E7">
              <w:rPr>
                <w:sz w:val="22"/>
                <w:szCs w:val="22"/>
              </w:rPr>
              <w:t>A mailed replacement package offering mail response</w:t>
            </w:r>
          </w:p>
        </w:tc>
        <w:tc>
          <w:tcPr>
            <w:tcW w:w="4300" w:type="dxa"/>
            <w:shd w:val="clear" w:color="auto" w:fill="auto"/>
            <w:vAlign w:val="center"/>
          </w:tcPr>
          <w:p w:rsidRPr="004B29E7" w:rsidR="001478A4" w:rsidP="004F4783" w:rsidRDefault="001478A4" w14:paraId="7842F515" w14:textId="77777777">
            <w:pPr>
              <w:pStyle w:val="ProposalTableText"/>
              <w:spacing w:line="19" w:lineRule="atLeast"/>
              <w:rPr>
                <w:sz w:val="22"/>
                <w:szCs w:val="22"/>
              </w:rPr>
            </w:pPr>
            <w:r w:rsidRPr="004B29E7">
              <w:rPr>
                <w:sz w:val="22"/>
                <w:szCs w:val="22"/>
              </w:rPr>
              <w:t>Cover letter, 16-page printed questionnaire, prepaid return envelope</w:t>
            </w:r>
          </w:p>
        </w:tc>
        <w:tc>
          <w:tcPr>
            <w:tcW w:w="1137" w:type="dxa"/>
            <w:shd w:val="clear" w:color="auto" w:fill="auto"/>
            <w:vAlign w:val="center"/>
            <w:hideMark/>
          </w:tcPr>
          <w:p w:rsidRPr="004B29E7" w:rsidR="001478A4" w:rsidP="004F4783" w:rsidRDefault="001478A4" w14:paraId="3BC11B4B" w14:textId="77777777">
            <w:pPr>
              <w:pStyle w:val="ProposalTableText"/>
              <w:spacing w:line="19" w:lineRule="atLeast"/>
              <w:jc w:val="center"/>
              <w:rPr>
                <w:sz w:val="22"/>
                <w:szCs w:val="22"/>
              </w:rPr>
            </w:pPr>
            <w:r w:rsidRPr="004B29E7">
              <w:rPr>
                <w:sz w:val="22"/>
                <w:szCs w:val="22"/>
              </w:rPr>
              <w:t>Day 49</w:t>
            </w:r>
          </w:p>
        </w:tc>
      </w:tr>
      <w:tr w:rsidRPr="004B29E7" w:rsidR="001478A4" w:rsidTr="004F4783" w14:paraId="634F76F8" w14:textId="77777777">
        <w:tc>
          <w:tcPr>
            <w:tcW w:w="8293" w:type="dxa"/>
            <w:gridSpan w:val="3"/>
            <w:shd w:val="clear" w:color="auto" w:fill="DBE5F1" w:themeFill="accent1" w:themeFillTint="33"/>
            <w:vAlign w:val="center"/>
          </w:tcPr>
          <w:p w:rsidRPr="004B29E7" w:rsidR="001478A4" w:rsidP="004F4783" w:rsidRDefault="001478A4" w14:paraId="25B977D3" w14:textId="77777777">
            <w:pPr>
              <w:widowControl w:val="0"/>
              <w:spacing w:before="40" w:line="19" w:lineRule="atLeast"/>
              <w:jc w:val="center"/>
              <w:rPr>
                <w:b/>
              </w:rPr>
            </w:pPr>
            <w:r w:rsidRPr="004B29E7">
              <w:rPr>
                <w:b/>
              </w:rPr>
              <w:t>Close data collection</w:t>
            </w:r>
          </w:p>
        </w:tc>
        <w:tc>
          <w:tcPr>
            <w:tcW w:w="1137" w:type="dxa"/>
            <w:shd w:val="clear" w:color="auto" w:fill="auto"/>
            <w:vAlign w:val="center"/>
          </w:tcPr>
          <w:p w:rsidRPr="004B29E7" w:rsidR="001478A4" w:rsidP="004F4783" w:rsidRDefault="001478A4" w14:paraId="5736906D" w14:textId="77777777">
            <w:pPr>
              <w:pStyle w:val="ProposalTableText"/>
              <w:spacing w:line="19" w:lineRule="atLeast"/>
              <w:jc w:val="center"/>
              <w:rPr>
                <w:sz w:val="22"/>
                <w:szCs w:val="22"/>
              </w:rPr>
            </w:pPr>
            <w:r w:rsidRPr="004B29E7">
              <w:rPr>
                <w:sz w:val="22"/>
                <w:szCs w:val="22"/>
              </w:rPr>
              <w:t>Day 91</w:t>
            </w:r>
          </w:p>
        </w:tc>
      </w:tr>
    </w:tbl>
    <w:p w:rsidR="007A63B0" w:rsidP="007A63B0" w:rsidRDefault="007A63B0" w14:paraId="7A93EBF8" w14:textId="77777777">
      <w:pPr>
        <w:widowControl w:val="0"/>
        <w:autoSpaceDE w:val="0"/>
        <w:autoSpaceDN w:val="0"/>
        <w:adjustRightInd w:val="0"/>
      </w:pPr>
    </w:p>
    <w:p w:rsidR="00F53792" w:rsidP="007A63B0" w:rsidRDefault="00F53792" w14:paraId="17D08E2B" w14:textId="77777777">
      <w:pPr>
        <w:widowControl w:val="0"/>
        <w:autoSpaceDE w:val="0"/>
        <w:autoSpaceDN w:val="0"/>
        <w:adjustRightInd w:val="0"/>
      </w:pPr>
    </w:p>
    <w:p w:rsidR="00991D8A" w:rsidP="004F4783" w:rsidRDefault="00991D8A" w14:paraId="4CC1FE09" w14:textId="77777777">
      <w:pPr>
        <w:pStyle w:val="BodyText"/>
        <w:spacing w:before="120"/>
        <w:rPr>
          <w:u w:val="single"/>
        </w:rPr>
      </w:pPr>
      <w:bookmarkStart w:name="_Toc520905766" w:id="5"/>
    </w:p>
    <w:p w:rsidRPr="004F4783" w:rsidR="001478A4" w:rsidP="004F4783" w:rsidRDefault="004F4783" w14:paraId="36EAD1E0" w14:textId="7E102756">
      <w:pPr>
        <w:pStyle w:val="BodyText"/>
        <w:spacing w:before="120"/>
        <w:rPr>
          <w:u w:val="single"/>
        </w:rPr>
      </w:pPr>
      <w:r>
        <w:rPr>
          <w:u w:val="single"/>
        </w:rPr>
        <w:t xml:space="preserve">B.2.b </w:t>
      </w:r>
      <w:r w:rsidRPr="004F4783" w:rsidR="001478A4">
        <w:rPr>
          <w:u w:val="single"/>
        </w:rPr>
        <w:t>Spanish-Language Data Collection</w:t>
      </w:r>
      <w:bookmarkEnd w:id="5"/>
    </w:p>
    <w:p w:rsidRPr="0072092F" w:rsidR="001478A4" w:rsidP="00266929" w:rsidRDefault="001478A4" w14:paraId="69825870" w14:textId="77777777">
      <w:pPr>
        <w:pStyle w:val="BodyText"/>
        <w:spacing w:before="120"/>
      </w:pPr>
      <w:r w:rsidRPr="0072092F">
        <w:t>We will send materials in both Spanish and English to households</w:t>
      </w:r>
      <w:r w:rsidR="00266929">
        <w:t xml:space="preserve"> highly likely to speak Spanish</w:t>
      </w:r>
      <w:r w:rsidRPr="0072092F">
        <w:t xml:space="preserve">. </w:t>
      </w:r>
      <w:r w:rsidR="00266929">
        <w:t xml:space="preserve">Bilingual materials will be sent to households in block groups where the </w:t>
      </w:r>
      <w:r w:rsidRPr="0072092F">
        <w:t>percentage of limited English-speaking households</w:t>
      </w:r>
      <w:r w:rsidRPr="004F4783">
        <w:rPr>
          <w:vertAlign w:val="superscript"/>
        </w:rPr>
        <w:footnoteReference w:id="17"/>
      </w:r>
      <w:r w:rsidRPr="0072092F">
        <w:t xml:space="preserve"> </w:t>
      </w:r>
      <w:r w:rsidR="00266929">
        <w:t xml:space="preserve">is </w:t>
      </w:r>
      <w:r w:rsidRPr="0072092F">
        <w:t xml:space="preserve">at least 15% of the </w:t>
      </w:r>
      <w:r w:rsidR="00266929">
        <w:t xml:space="preserve">total </w:t>
      </w:r>
      <w:r w:rsidRPr="0072092F">
        <w:t xml:space="preserve">households </w:t>
      </w:r>
      <w:r w:rsidR="00266929">
        <w:t xml:space="preserve">in the block group.  We estimate that these block groups represent over 50% of the Spanish language isolate population. Areas outside these block groups </w:t>
      </w:r>
      <w:r w:rsidRPr="0072092F">
        <w:t xml:space="preserve">will receive an English-language letter that contains information at the bottom, in Spanish, on how to access and complete the survey in Spanish. </w:t>
      </w:r>
      <w:r w:rsidR="00266929">
        <w:t>T</w:t>
      </w:r>
      <w:r w:rsidRPr="0072092F">
        <w:t xml:space="preserve">his approach </w:t>
      </w:r>
      <w:r w:rsidR="00266929">
        <w:t xml:space="preserve">is based on </w:t>
      </w:r>
      <w:r w:rsidRPr="0072092F">
        <w:t>evidence from the Health Information National Trends Survey (HINTS) indicat</w:t>
      </w:r>
      <w:r w:rsidR="002A50E8">
        <w:t>ing</w:t>
      </w:r>
      <w:r w:rsidRPr="0072092F">
        <w:t xml:space="preserve"> that sending English and Spanish materials to everyone depresses response rates compared to sending Spanish- and English-language materials only to households most likely to speak Spanish</w:t>
      </w:r>
      <w:r>
        <w:t xml:space="preserve"> (</w:t>
      </w:r>
      <w:proofErr w:type="spellStart"/>
      <w:r>
        <w:t>Westat</w:t>
      </w:r>
      <w:proofErr w:type="spellEnd"/>
      <w:r>
        <w:t>, 2014)</w:t>
      </w:r>
      <w:r w:rsidRPr="0072092F">
        <w:t xml:space="preserve">. </w:t>
      </w:r>
      <w:r w:rsidR="00FD0EAF">
        <w:t>The web survey will have the option to complete the survey in English or Spanish.</w:t>
      </w:r>
    </w:p>
    <w:p w:rsidR="007A63B0" w:rsidP="007A63B0" w:rsidRDefault="007A63B0" w14:paraId="4887A744" w14:textId="77777777">
      <w:pPr>
        <w:widowControl w:val="0"/>
        <w:autoSpaceDE w:val="0"/>
        <w:autoSpaceDN w:val="0"/>
        <w:adjustRightInd w:val="0"/>
      </w:pPr>
      <w:r>
        <w:tab/>
      </w:r>
    </w:p>
    <w:p w:rsidR="007A63B0" w:rsidP="007A63B0" w:rsidRDefault="00813D48" w14:paraId="1728A8BB" w14:textId="77777777">
      <w:pPr>
        <w:widowControl w:val="0"/>
        <w:tabs>
          <w:tab w:val="left" w:pos="360"/>
        </w:tabs>
        <w:autoSpaceDE w:val="0"/>
        <w:autoSpaceDN w:val="0"/>
        <w:adjustRightInd w:val="0"/>
      </w:pPr>
      <w:r>
        <w:rPr>
          <w:u w:val="single"/>
        </w:rPr>
        <w:t xml:space="preserve">B.2.c </w:t>
      </w:r>
      <w:r w:rsidRPr="00813D48" w:rsidR="007A63B0">
        <w:rPr>
          <w:u w:val="single"/>
        </w:rPr>
        <w:t xml:space="preserve">Precision of </w:t>
      </w:r>
      <w:r w:rsidR="00404431">
        <w:rPr>
          <w:u w:val="single"/>
        </w:rPr>
        <w:t>S</w:t>
      </w:r>
      <w:r w:rsidRPr="00813D48" w:rsidR="007A63B0">
        <w:rPr>
          <w:u w:val="single"/>
        </w:rPr>
        <w:t xml:space="preserve">ample </w:t>
      </w:r>
      <w:r w:rsidR="00404431">
        <w:rPr>
          <w:u w:val="single"/>
        </w:rPr>
        <w:t>E</w:t>
      </w:r>
      <w:r w:rsidRPr="00813D48" w:rsidR="007A63B0">
        <w:rPr>
          <w:u w:val="single"/>
        </w:rPr>
        <w:t>stimates</w:t>
      </w:r>
    </w:p>
    <w:p w:rsidR="00813D48" w:rsidP="00813D48" w:rsidRDefault="00813D48" w14:paraId="0DDDDD49" w14:textId="77777777">
      <w:pPr>
        <w:widowControl w:val="0"/>
        <w:autoSpaceDE w:val="0"/>
        <w:autoSpaceDN w:val="0"/>
        <w:adjustRightInd w:val="0"/>
        <w:jc w:val="both"/>
      </w:pPr>
      <w:r>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p>
    <w:p w:rsidR="00813D48" w:rsidP="00813D48" w:rsidRDefault="00813D48" w14:paraId="137EFAB6" w14:textId="77777777">
      <w:pPr>
        <w:widowControl w:val="0"/>
        <w:autoSpaceDE w:val="0"/>
        <w:autoSpaceDN w:val="0"/>
        <w:adjustRightInd w:val="0"/>
        <w:jc w:val="both"/>
      </w:pPr>
    </w:p>
    <w:p w:rsidR="00813D48" w:rsidP="00813D48" w:rsidRDefault="00813D48" w14:paraId="0964CCA5" w14:textId="77777777">
      <w:pPr>
        <w:widowControl w:val="0"/>
        <w:autoSpaceDE w:val="0"/>
        <w:autoSpaceDN w:val="0"/>
        <w:adjustRightInd w:val="0"/>
        <w:jc w:val="both"/>
      </w:pPr>
      <w:r>
        <w:t>The margin of error, d, of the sample estimate of a population proportion, P, equals:</w:t>
      </w:r>
    </w:p>
    <w:p w:rsidR="00813D48" w:rsidP="00813D48" w:rsidRDefault="00813D48" w14:paraId="7B0B9614" w14:textId="77777777">
      <w:pPr>
        <w:widowControl w:val="0"/>
        <w:autoSpaceDE w:val="0"/>
        <w:autoSpaceDN w:val="0"/>
        <w:adjustRightInd w:val="0"/>
        <w:jc w:val="both"/>
      </w:pPr>
    </w:p>
    <w:p w:rsidRPr="003555EE" w:rsidR="00813D48" w:rsidP="00813D48" w:rsidRDefault="00813D48" w14:paraId="068969B1" w14:textId="77777777">
      <w:pPr>
        <w:widowControl w:val="0"/>
        <w:autoSpaceDE w:val="0"/>
        <w:autoSpaceDN w:val="0"/>
        <w:adjustRightInd w:val="0"/>
        <w:ind w:firstLine="720"/>
      </w:pPr>
      <w:r w:rsidRPr="008D4D5A">
        <w:rPr>
          <w:position w:val="-12"/>
          <w:lang w:val="pt-BR"/>
        </w:rPr>
        <w:object w:dxaOrig="1340" w:dyaOrig="360" w14:anchorId="2524EC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4.5pt;height:18.75pt" o:ole="" type="#_x0000_t75">
            <v:imagedata o:title="" r:id="rId8"/>
          </v:shape>
          <o:OLEObject Type="Embed" ProgID="Equation.3" ShapeID="_x0000_i1025" DrawAspect="Content" ObjectID="_1716104807" r:id="rId9"/>
        </w:object>
      </w:r>
      <w:r w:rsidRPr="003555EE">
        <w:t xml:space="preserve"> </w:t>
      </w:r>
    </w:p>
    <w:p w:rsidR="00813D48" w:rsidP="00813D48" w:rsidRDefault="00813D48" w14:paraId="60A8587B" w14:textId="77777777">
      <w:pPr>
        <w:widowControl w:val="0"/>
        <w:autoSpaceDE w:val="0"/>
        <w:autoSpaceDN w:val="0"/>
        <w:adjustRightInd w:val="0"/>
        <w:ind w:firstLine="720"/>
      </w:pPr>
    </w:p>
    <w:p w:rsidRPr="008D4D5A" w:rsidR="00813D48" w:rsidP="00813D48" w:rsidRDefault="00813D48" w14:paraId="355754D4" w14:textId="77777777">
      <w:pPr>
        <w:widowControl w:val="0"/>
        <w:autoSpaceDE w:val="0"/>
        <w:autoSpaceDN w:val="0"/>
        <w:adjustRightInd w:val="0"/>
        <w:ind w:firstLine="720"/>
      </w:pPr>
      <w:r>
        <w:t xml:space="preserve">Where </w:t>
      </w:r>
      <w:r w:rsidRPr="008D4D5A">
        <w:rPr>
          <w:i/>
        </w:rPr>
        <w:t>t</w:t>
      </w:r>
      <w:r w:rsidRPr="008D4D5A">
        <w:rPr>
          <w:i/>
          <w:vertAlign w:val="subscript"/>
        </w:rPr>
        <w:t>α</w:t>
      </w:r>
      <w:r>
        <w:t xml:space="preserve"> equals 1.96 for </w:t>
      </w:r>
      <w:r w:rsidRPr="00BB6D08">
        <w:rPr>
          <w:i/>
        </w:rPr>
        <w:t>1-α</w:t>
      </w:r>
      <w:r>
        <w:t xml:space="preserve"> = 0.95, and the standard error of P equals:</w:t>
      </w:r>
    </w:p>
    <w:p w:rsidRPr="003555EE" w:rsidR="00813D48" w:rsidP="00813D48" w:rsidRDefault="00813D48" w14:paraId="725E234D" w14:textId="77777777">
      <w:pPr>
        <w:widowControl w:val="0"/>
        <w:autoSpaceDE w:val="0"/>
        <w:autoSpaceDN w:val="0"/>
        <w:adjustRightInd w:val="0"/>
        <w:ind w:firstLine="720"/>
      </w:pPr>
      <w:r w:rsidRPr="002448F0">
        <w:rPr>
          <w:position w:val="-26"/>
          <w:lang w:val="pt-BR"/>
        </w:rPr>
        <w:object w:dxaOrig="2439" w:dyaOrig="700" w14:anchorId="1482D919">
          <v:shape id="_x0000_i1026" style="width:122.25pt;height:36.75pt" o:ole="" type="#_x0000_t75">
            <v:imagedata o:title="" r:id="rId10"/>
          </v:shape>
          <o:OLEObject Type="Embed" ProgID="Equation.3" ShapeID="_x0000_i1026" DrawAspect="Content" ObjectID="_1716104808" r:id="rId11"/>
        </w:object>
      </w:r>
      <w:r w:rsidRPr="003555EE">
        <w:t xml:space="preserve"> </w:t>
      </w:r>
    </w:p>
    <w:p w:rsidRPr="003555EE" w:rsidR="00813D48" w:rsidP="00813D48" w:rsidRDefault="00813D48" w14:paraId="207D3C75" w14:textId="77777777">
      <w:pPr>
        <w:widowControl w:val="0"/>
        <w:autoSpaceDE w:val="0"/>
        <w:autoSpaceDN w:val="0"/>
        <w:adjustRightInd w:val="0"/>
      </w:pPr>
    </w:p>
    <w:p w:rsidRPr="003555EE" w:rsidR="00813D48" w:rsidP="00813D48" w:rsidRDefault="00813D48" w14:paraId="7F85152A" w14:textId="77777777">
      <w:pPr>
        <w:widowControl w:val="0"/>
        <w:autoSpaceDE w:val="0"/>
        <w:autoSpaceDN w:val="0"/>
        <w:adjustRightInd w:val="0"/>
      </w:pPr>
      <w:r w:rsidRPr="003555EE">
        <w:t>Where:</w:t>
      </w:r>
    </w:p>
    <w:p w:rsidR="00813D48" w:rsidP="00813D48" w:rsidRDefault="00921DDF" w14:paraId="2F89E318" w14:textId="77777777">
      <w:pPr>
        <w:pStyle w:val="Footer"/>
        <w:widowControl w:val="0"/>
        <w:tabs>
          <w:tab w:val="clear" w:pos="4320"/>
          <w:tab w:val="clear" w:pos="8640"/>
        </w:tabs>
        <w:autoSpaceDE w:val="0"/>
        <w:autoSpaceDN w:val="0"/>
        <w:adjustRightInd w:val="0"/>
        <w:ind w:left="720" w:hanging="720"/>
      </w:pPr>
      <m:oMath>
        <m:r>
          <w:rPr>
            <w:rFonts w:ascii="Cambria Math" w:hAnsi="Cambria Math"/>
          </w:rPr>
          <m:t>deff</m:t>
        </m:r>
      </m:oMath>
      <w:r w:rsidR="00813D48">
        <w:t xml:space="preserve"> = design effect arising from the combined imp</w:t>
      </w:r>
      <w:r w:rsidR="00734944">
        <w:t xml:space="preserve">act of the random selection of </w:t>
      </w:r>
      <w:r w:rsidR="00813D48">
        <w:t xml:space="preserve">one eligible individual from a sample household, and unequal weights from other aspects of the sample design and weighting methodology, and </w:t>
      </w:r>
    </w:p>
    <w:p w:rsidR="00813D48" w:rsidP="00813D48" w:rsidRDefault="00921DDF" w14:paraId="57D9ECDA" w14:textId="77777777">
      <w:pPr>
        <w:widowControl w:val="0"/>
        <w:autoSpaceDE w:val="0"/>
        <w:autoSpaceDN w:val="0"/>
        <w:adjustRightInd w:val="0"/>
        <w:ind w:left="720" w:hanging="720"/>
      </w:pPr>
      <m:oMath>
        <m:r>
          <w:rPr>
            <w:rFonts w:ascii="Cambria Math" w:hAnsi="Cambria Math"/>
          </w:rPr>
          <m:t>n</m:t>
        </m:r>
      </m:oMath>
      <w:r w:rsidR="00813D48">
        <w:t xml:space="preserve"> = the size of the sample (i.e., number of interviews)</w:t>
      </w:r>
    </w:p>
    <w:p w:rsidR="00813D48" w:rsidP="00813D48" w:rsidRDefault="00813D48" w14:paraId="5E605EEE" w14:textId="77777777">
      <w:pPr>
        <w:widowControl w:val="0"/>
        <w:autoSpaceDE w:val="0"/>
        <w:autoSpaceDN w:val="0"/>
        <w:adjustRightInd w:val="0"/>
      </w:pPr>
    </w:p>
    <w:p w:rsidRPr="00921DDF" w:rsidR="00813D48" w:rsidP="00921DDF" w:rsidRDefault="00813D48" w14:paraId="3226B457" w14:textId="493B7968">
      <w:pPr>
        <w:widowControl w:val="0"/>
        <w:autoSpaceDE w:val="0"/>
        <w:autoSpaceDN w:val="0"/>
        <w:adjustRightInd w:val="0"/>
        <w:jc w:val="both"/>
      </w:pPr>
      <w:r w:rsidRPr="00BF68CC">
        <w:t xml:space="preserve">Using these formulas, the margin of error for a sample size of </w:t>
      </w:r>
      <w:r w:rsidR="00734944">
        <w:t>7</w:t>
      </w:r>
      <w:r w:rsidRPr="00BF68CC">
        <w:t>,</w:t>
      </w:r>
      <w:r w:rsidR="006C1794">
        <w:t>5</w:t>
      </w:r>
      <w:r w:rsidR="00454A92">
        <w:t>00</w:t>
      </w:r>
      <w:r w:rsidRPr="00BF68CC">
        <w:t xml:space="preserve"> interviews is </w:t>
      </w:r>
      <w:r w:rsidRPr="00921DDF">
        <w:t>d</w:t>
      </w:r>
      <w:r w:rsidRPr="00BF68CC">
        <w:t xml:space="preserve"> = 0.01</w:t>
      </w:r>
      <w:r w:rsidR="00734944">
        <w:t>5</w:t>
      </w:r>
      <w:r w:rsidRPr="00BF68CC">
        <w:t xml:space="preserve">, using an average </w:t>
      </w:r>
      <m:oMath>
        <m:r>
          <w:rPr>
            <w:rFonts w:ascii="Cambria Math" w:hAnsi="Cambria Math"/>
          </w:rPr>
          <m:t>deff</m:t>
        </m:r>
      </m:oMath>
      <w:r w:rsidRPr="00BF68CC">
        <w:t xml:space="preserve"> of 1.</w:t>
      </w:r>
      <w:r w:rsidR="00734944">
        <w:t>7</w:t>
      </w:r>
      <w:r w:rsidRPr="00BF68CC">
        <w:t xml:space="preserve">5. and setting </w:t>
      </w:r>
      <m:oMath>
        <m:r>
          <w:rPr>
            <w:rFonts w:ascii="Cambria Math" w:hAnsi="Cambria Math"/>
          </w:rPr>
          <m:t>P</m:t>
        </m:r>
      </m:oMath>
      <w:r w:rsidRPr="00BF68CC">
        <w:t xml:space="preserve"> equal to 0.50.  </w:t>
      </w:r>
      <w:r w:rsidRPr="00921DDF" w:rsidR="00734944">
        <w:t xml:space="preserve">We expect the design effect for the </w:t>
      </w:r>
      <w:r w:rsidR="000218FB">
        <w:t>NSBPAB</w:t>
      </w:r>
      <w:r w:rsidRPr="00921DDF" w:rsidR="00734944">
        <w:t xml:space="preserve"> to be </w:t>
      </w:r>
      <w:proofErr w:type="gramStart"/>
      <w:r w:rsidRPr="00921DDF" w:rsidR="00734944">
        <w:t>similar to</w:t>
      </w:r>
      <w:proofErr w:type="gramEnd"/>
      <w:r w:rsidRPr="00921DDF" w:rsidR="00734944">
        <w:t xml:space="preserve"> the design effect for MVOSS, which was 1.73 and 1.76 for the two survey versions.  </w:t>
      </w:r>
    </w:p>
    <w:p w:rsidR="00813D48" w:rsidP="00813D48" w:rsidRDefault="00813D48" w14:paraId="11E14C51" w14:textId="77777777">
      <w:pPr>
        <w:widowControl w:val="0"/>
        <w:autoSpaceDE w:val="0"/>
        <w:autoSpaceDN w:val="0"/>
        <w:adjustRightInd w:val="0"/>
      </w:pPr>
    </w:p>
    <w:p w:rsidR="00813D48" w:rsidP="00813D48" w:rsidRDefault="00813D48" w14:paraId="0B3989AF" w14:textId="626DBFBF">
      <w:pPr>
        <w:widowControl w:val="0"/>
        <w:autoSpaceDE w:val="0"/>
        <w:autoSpaceDN w:val="0"/>
        <w:adjustRightInd w:val="0"/>
        <w:jc w:val="both"/>
      </w:pPr>
      <w:r>
        <w:t xml:space="preserve">The total sample size for the survey is also large enough to permit estimates for subgroup analysis including age, gender, </w:t>
      </w:r>
      <w:r w:rsidR="0033712D">
        <w:t>race/ethnicity</w:t>
      </w:r>
      <w:r w:rsidR="001205CA">
        <w:t>, bi</w:t>
      </w:r>
      <w:r w:rsidR="00991D8A">
        <w:t>cycl</w:t>
      </w:r>
      <w:r w:rsidR="009B1704">
        <w:t>ist</w:t>
      </w:r>
      <w:r w:rsidR="001205CA">
        <w:t xml:space="preserve"> and </w:t>
      </w:r>
      <w:r w:rsidR="00991D8A">
        <w:t>pedestrian</w:t>
      </w:r>
      <w:r w:rsidR="001205CA">
        <w:t xml:space="preserve"> status</w:t>
      </w:r>
      <w:r w:rsidR="00991D8A">
        <w:t>,</w:t>
      </w:r>
      <w:r w:rsidR="0033712D">
        <w:t xml:space="preserve"> and </w:t>
      </w:r>
      <w:r>
        <w:t xml:space="preserve">other demographics.  </w:t>
      </w:r>
      <w:r w:rsidR="008E7971">
        <w:t xml:space="preserve">A </w:t>
      </w:r>
      <w:r w:rsidR="008E7971">
        <w:lastRenderedPageBreak/>
        <w:t>subgroup that represents at least 10% of the total sample will have a 95% confidence interval of +/-</w:t>
      </w:r>
      <w:r w:rsidR="001205CA">
        <w:t>4.7</w:t>
      </w:r>
      <w:r w:rsidR="008E7971">
        <w:t xml:space="preserve">%. </w:t>
      </w:r>
      <w:r w:rsidR="007D0C76">
        <w:t>Table 4</w:t>
      </w:r>
      <w:r w:rsidR="0033712D">
        <w:t xml:space="preserve"> includes expected 95% error margins for demographic groups assuming the sample size is proportional to the population.  </w:t>
      </w:r>
    </w:p>
    <w:p w:rsidR="00155521" w:rsidP="00813D48" w:rsidRDefault="00155521" w14:paraId="0CD2F09D" w14:textId="77777777">
      <w:pPr>
        <w:widowControl w:val="0"/>
        <w:autoSpaceDE w:val="0"/>
        <w:autoSpaceDN w:val="0"/>
        <w:adjustRightInd w:val="0"/>
        <w:jc w:val="both"/>
      </w:pPr>
    </w:p>
    <w:p w:rsidR="00B51A80" w:rsidP="001E15D6" w:rsidRDefault="00E1001D" w14:paraId="3963B247" w14:textId="65F001A4">
      <w:pPr>
        <w:widowControl w:val="0"/>
        <w:autoSpaceDE w:val="0"/>
        <w:autoSpaceDN w:val="0"/>
        <w:adjustRightInd w:val="0"/>
        <w:jc w:val="center"/>
        <w:rPr>
          <w:i/>
        </w:rPr>
      </w:pPr>
      <w:r w:rsidRPr="001E15D6">
        <w:rPr>
          <w:i/>
        </w:rPr>
        <w:t xml:space="preserve">Table </w:t>
      </w:r>
      <w:r w:rsidR="007D0C76">
        <w:rPr>
          <w:i/>
        </w:rPr>
        <w:t>4</w:t>
      </w:r>
      <w:r w:rsidRPr="001E15D6" w:rsidR="00B51A80">
        <w:rPr>
          <w:i/>
        </w:rPr>
        <w:t>. Expected 95% Error Margins for Subgroups</w:t>
      </w:r>
    </w:p>
    <w:tbl>
      <w:tblPr>
        <w:tblStyle w:val="ListTable3-Accent11"/>
        <w:tblW w:w="7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1350"/>
        <w:gridCol w:w="1376"/>
      </w:tblGrid>
      <w:tr w:rsidRPr="001205CA" w:rsidR="001205CA" w:rsidTr="009B1704" w14:paraId="61B6DE7E" w14:textId="77777777">
        <w:trPr>
          <w:cnfStyle w:val="100000000000" w:firstRow="1" w:lastRow="0" w:firstColumn="0" w:lastColumn="0" w:oddVBand="0" w:evenVBand="0" w:oddHBand="0" w:evenHBand="0" w:firstRowFirstColumn="0" w:firstRowLastColumn="0" w:lastRowFirstColumn="0" w:lastRowLastColumn="0"/>
          <w:trHeight w:val="610"/>
          <w:jc w:val="center"/>
        </w:trPr>
        <w:tc>
          <w:tcPr>
            <w:cnfStyle w:val="001000000100" w:firstRow="0" w:lastRow="0" w:firstColumn="1" w:lastColumn="0" w:oddVBand="0" w:evenVBand="0" w:oddHBand="0" w:evenHBand="0" w:firstRowFirstColumn="1" w:firstRowLastColumn="0" w:lastRowFirstColumn="0" w:lastRowLastColumn="0"/>
            <w:tcW w:w="5305" w:type="dxa"/>
            <w:tcBorders>
              <w:bottom w:val="none" w:color="auto" w:sz="0" w:space="0"/>
              <w:right w:val="none" w:color="auto" w:sz="0" w:space="0"/>
            </w:tcBorders>
            <w:noWrap/>
            <w:hideMark/>
          </w:tcPr>
          <w:p w:rsidRPr="001205CA" w:rsidR="001205CA" w:rsidP="001205CA" w:rsidRDefault="001205CA" w14:paraId="6150230C" w14:textId="4CE33B0E">
            <w:pPr>
              <w:rPr>
                <w:color w:val="000000"/>
              </w:rPr>
            </w:pPr>
            <w:r w:rsidRPr="009B1704">
              <w:t> </w:t>
            </w:r>
            <w:r w:rsidRPr="009B1704" w:rsidR="009B1704">
              <w:t>Demographic</w:t>
            </w:r>
          </w:p>
        </w:tc>
        <w:tc>
          <w:tcPr>
            <w:tcW w:w="1350" w:type="dxa"/>
            <w:hideMark/>
          </w:tcPr>
          <w:p w:rsidRPr="001205CA" w:rsidR="001205CA" w:rsidP="001205CA" w:rsidRDefault="001205CA" w14:paraId="5A5D7A45" w14:textId="77777777">
            <w:pPr>
              <w:jc w:val="right"/>
              <w:cnfStyle w:val="100000000000" w:firstRow="1" w:lastRow="0" w:firstColumn="0" w:lastColumn="0" w:oddVBand="0" w:evenVBand="0" w:oddHBand="0" w:evenHBand="0" w:firstRowFirstColumn="0" w:firstRowLastColumn="0" w:lastRowFirstColumn="0" w:lastRowLastColumn="0"/>
              <w:rPr>
                <w:color w:val="FFFFFF"/>
              </w:rPr>
            </w:pPr>
            <w:r w:rsidRPr="001205CA">
              <w:t>Population Percentage</w:t>
            </w:r>
          </w:p>
        </w:tc>
        <w:tc>
          <w:tcPr>
            <w:tcW w:w="1080" w:type="dxa"/>
            <w:hideMark/>
          </w:tcPr>
          <w:p w:rsidRPr="001205CA" w:rsidR="001205CA" w:rsidP="001205CA" w:rsidRDefault="001205CA" w14:paraId="4F288D05" w14:textId="46FFF5A4">
            <w:pPr>
              <w:jc w:val="center"/>
              <w:cnfStyle w:val="100000000000" w:firstRow="1" w:lastRow="0" w:firstColumn="0" w:lastColumn="0" w:oddVBand="0" w:evenVBand="0" w:oddHBand="0" w:evenHBand="0" w:firstRowFirstColumn="0" w:firstRowLastColumn="0" w:lastRowFirstColumn="0" w:lastRowLastColumn="0"/>
              <w:rPr>
                <w:color w:val="FFFFFF"/>
              </w:rPr>
            </w:pPr>
            <w:r w:rsidRPr="001205CA">
              <w:t>+/–95% C</w:t>
            </w:r>
            <w:r w:rsidR="00195396">
              <w:t xml:space="preserve">onfidence </w:t>
            </w:r>
            <w:r w:rsidRPr="001205CA">
              <w:t>I</w:t>
            </w:r>
            <w:r w:rsidR="00195396">
              <w:t>nterval</w:t>
            </w:r>
          </w:p>
        </w:tc>
      </w:tr>
      <w:tr w:rsidRPr="001205CA" w:rsidR="001205CA" w:rsidTr="00A453FD" w14:paraId="759CCE27"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3F827445" w14:textId="77777777">
            <w:pPr>
              <w:rPr>
                <w:b w:val="0"/>
                <w:bCs w:val="0"/>
                <w:color w:val="000000"/>
                <w:u w:val="single"/>
              </w:rPr>
            </w:pPr>
            <w:r w:rsidRPr="009B1704">
              <w:rPr>
                <w:b w:val="0"/>
                <w:bCs w:val="0"/>
                <w:color w:val="000000"/>
                <w:u w:val="single"/>
              </w:rPr>
              <w:t>Gender</w:t>
            </w:r>
          </w:p>
        </w:tc>
        <w:tc>
          <w:tcPr>
            <w:tcW w:w="1350" w:type="dxa"/>
            <w:tcBorders>
              <w:top w:val="none" w:color="auto" w:sz="0" w:space="0"/>
              <w:bottom w:val="none" w:color="auto" w:sz="0" w:space="0"/>
            </w:tcBorders>
            <w:noWrap/>
            <w:hideMark/>
          </w:tcPr>
          <w:p w:rsidRPr="001205CA" w:rsidR="001205CA" w:rsidP="001205CA" w:rsidRDefault="001205CA" w14:paraId="0AB35582"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 </w:t>
            </w:r>
          </w:p>
        </w:tc>
        <w:tc>
          <w:tcPr>
            <w:tcW w:w="1080" w:type="dxa"/>
            <w:tcBorders>
              <w:top w:val="none" w:color="auto" w:sz="0" w:space="0"/>
              <w:bottom w:val="none" w:color="auto" w:sz="0" w:space="0"/>
            </w:tcBorders>
            <w:noWrap/>
            <w:hideMark/>
          </w:tcPr>
          <w:p w:rsidRPr="001205CA" w:rsidR="001205CA" w:rsidP="001205CA" w:rsidRDefault="001205CA" w14:paraId="1CE418EC"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 </w:t>
            </w:r>
          </w:p>
        </w:tc>
      </w:tr>
      <w:tr w:rsidRPr="001205CA" w:rsidR="001205CA" w:rsidTr="009B1704" w14:paraId="4180D423"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1B9DA5C2" w14:textId="77777777">
            <w:pPr>
              <w:rPr>
                <w:b w:val="0"/>
                <w:bCs w:val="0"/>
                <w:color w:val="000000"/>
              </w:rPr>
            </w:pPr>
            <w:r w:rsidRPr="009B1704">
              <w:rPr>
                <w:b w:val="0"/>
                <w:bCs w:val="0"/>
                <w:color w:val="000000"/>
              </w:rPr>
              <w:t xml:space="preserve">     Male</w:t>
            </w:r>
          </w:p>
        </w:tc>
        <w:tc>
          <w:tcPr>
            <w:tcW w:w="1350" w:type="dxa"/>
            <w:noWrap/>
            <w:hideMark/>
          </w:tcPr>
          <w:p w:rsidRPr="001205CA" w:rsidR="001205CA" w:rsidP="001205CA" w:rsidRDefault="001205CA" w14:paraId="09ECB30F"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49%</w:t>
            </w:r>
          </w:p>
        </w:tc>
        <w:tc>
          <w:tcPr>
            <w:tcW w:w="1080" w:type="dxa"/>
            <w:noWrap/>
            <w:hideMark/>
          </w:tcPr>
          <w:p w:rsidRPr="001205CA" w:rsidR="001205CA" w:rsidP="001205CA" w:rsidRDefault="001205CA" w14:paraId="589E0709"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2.1%</w:t>
            </w:r>
          </w:p>
        </w:tc>
      </w:tr>
      <w:tr w:rsidRPr="001205CA" w:rsidR="001205CA" w:rsidTr="009B1704" w14:paraId="75241E0A"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065723D3" w14:textId="77777777">
            <w:pPr>
              <w:rPr>
                <w:b w:val="0"/>
                <w:bCs w:val="0"/>
                <w:color w:val="000000"/>
              </w:rPr>
            </w:pPr>
            <w:r w:rsidRPr="009B1704">
              <w:rPr>
                <w:b w:val="0"/>
                <w:bCs w:val="0"/>
                <w:color w:val="000000"/>
              </w:rPr>
              <w:t xml:space="preserve">     Female</w:t>
            </w:r>
          </w:p>
        </w:tc>
        <w:tc>
          <w:tcPr>
            <w:tcW w:w="1350" w:type="dxa"/>
            <w:tcBorders>
              <w:top w:val="none" w:color="auto" w:sz="0" w:space="0"/>
              <w:bottom w:val="none" w:color="auto" w:sz="0" w:space="0"/>
            </w:tcBorders>
            <w:noWrap/>
            <w:hideMark/>
          </w:tcPr>
          <w:p w:rsidRPr="001205CA" w:rsidR="001205CA" w:rsidP="001205CA" w:rsidRDefault="001205CA" w14:paraId="580618B6"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51%</w:t>
            </w:r>
          </w:p>
        </w:tc>
        <w:tc>
          <w:tcPr>
            <w:tcW w:w="1080" w:type="dxa"/>
            <w:tcBorders>
              <w:top w:val="none" w:color="auto" w:sz="0" w:space="0"/>
              <w:bottom w:val="none" w:color="auto" w:sz="0" w:space="0"/>
            </w:tcBorders>
            <w:noWrap/>
            <w:hideMark/>
          </w:tcPr>
          <w:p w:rsidRPr="001205CA" w:rsidR="001205CA" w:rsidP="001205CA" w:rsidRDefault="001205CA" w14:paraId="7CEEEDC2"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2.1%</w:t>
            </w:r>
          </w:p>
        </w:tc>
      </w:tr>
      <w:tr w:rsidRPr="001205CA" w:rsidR="001205CA" w:rsidTr="009B1704" w14:paraId="286896B1" w14:textId="77777777">
        <w:trPr>
          <w:trHeight w:val="31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05A15B80" w14:textId="77777777">
            <w:pPr>
              <w:rPr>
                <w:b w:val="0"/>
                <w:bCs w:val="0"/>
                <w:color w:val="000000"/>
                <w:u w:val="single"/>
              </w:rPr>
            </w:pPr>
            <w:r w:rsidRPr="009B1704">
              <w:rPr>
                <w:b w:val="0"/>
                <w:bCs w:val="0"/>
                <w:color w:val="000000"/>
                <w:u w:val="single"/>
              </w:rPr>
              <w:t>Age Group</w:t>
            </w:r>
          </w:p>
        </w:tc>
        <w:tc>
          <w:tcPr>
            <w:tcW w:w="1350" w:type="dxa"/>
            <w:noWrap/>
            <w:hideMark/>
          </w:tcPr>
          <w:p w:rsidRPr="001205CA" w:rsidR="001205CA" w:rsidP="001205CA" w:rsidRDefault="001205CA" w14:paraId="1A3FE657" w14:textId="77777777">
            <w:pPr>
              <w:cnfStyle w:val="000000000000" w:firstRow="0" w:lastRow="0" w:firstColumn="0" w:lastColumn="0" w:oddVBand="0" w:evenVBand="0" w:oddHBand="0" w:evenHBand="0" w:firstRowFirstColumn="0" w:firstRowLastColumn="0" w:lastRowFirstColumn="0" w:lastRowLastColumn="0"/>
              <w:rPr>
                <w:b/>
                <w:bCs/>
                <w:color w:val="000000"/>
                <w:u w:val="single"/>
              </w:rPr>
            </w:pPr>
          </w:p>
        </w:tc>
        <w:tc>
          <w:tcPr>
            <w:tcW w:w="1080" w:type="dxa"/>
            <w:noWrap/>
            <w:hideMark/>
          </w:tcPr>
          <w:p w:rsidRPr="001205CA" w:rsidR="001205CA" w:rsidP="001205CA" w:rsidRDefault="001205CA" w14:paraId="20744A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205CA">
              <w:rPr>
                <w:rFonts w:ascii="Calibri" w:hAnsi="Calibri" w:cs="Calibri"/>
                <w:color w:val="000000"/>
                <w:sz w:val="20"/>
                <w:szCs w:val="20"/>
              </w:rPr>
              <w:t> </w:t>
            </w:r>
          </w:p>
        </w:tc>
      </w:tr>
      <w:tr w:rsidRPr="001205CA" w:rsidR="001205CA" w:rsidTr="009B1704" w14:paraId="543C1ABA"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4F69C3B1" w14:textId="77777777">
            <w:pPr>
              <w:rPr>
                <w:b w:val="0"/>
                <w:bCs w:val="0"/>
                <w:color w:val="000000"/>
              </w:rPr>
            </w:pPr>
            <w:r w:rsidRPr="009B1704">
              <w:rPr>
                <w:b w:val="0"/>
                <w:bCs w:val="0"/>
                <w:color w:val="000000"/>
              </w:rPr>
              <w:t xml:space="preserve">     18-34</w:t>
            </w:r>
          </w:p>
        </w:tc>
        <w:tc>
          <w:tcPr>
            <w:tcW w:w="1350" w:type="dxa"/>
            <w:tcBorders>
              <w:top w:val="none" w:color="auto" w:sz="0" w:space="0"/>
              <w:bottom w:val="none" w:color="auto" w:sz="0" w:space="0"/>
            </w:tcBorders>
            <w:noWrap/>
            <w:hideMark/>
          </w:tcPr>
          <w:p w:rsidRPr="001205CA" w:rsidR="001205CA" w:rsidP="001205CA" w:rsidRDefault="001205CA" w14:paraId="27852A67"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30%</w:t>
            </w:r>
          </w:p>
        </w:tc>
        <w:tc>
          <w:tcPr>
            <w:tcW w:w="1080" w:type="dxa"/>
            <w:tcBorders>
              <w:top w:val="none" w:color="auto" w:sz="0" w:space="0"/>
              <w:bottom w:val="none" w:color="auto" w:sz="0" w:space="0"/>
            </w:tcBorders>
            <w:noWrap/>
            <w:hideMark/>
          </w:tcPr>
          <w:p w:rsidRPr="001205CA" w:rsidR="001205CA" w:rsidP="001205CA" w:rsidRDefault="001205CA" w14:paraId="3AB887BC"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2.7%</w:t>
            </w:r>
          </w:p>
        </w:tc>
      </w:tr>
      <w:tr w:rsidRPr="001205CA" w:rsidR="001205CA" w:rsidTr="009B1704" w14:paraId="5E8F1080"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20DA2CD6" w14:textId="77777777">
            <w:pPr>
              <w:rPr>
                <w:b w:val="0"/>
                <w:bCs w:val="0"/>
                <w:color w:val="000000"/>
              </w:rPr>
            </w:pPr>
            <w:r w:rsidRPr="009B1704">
              <w:rPr>
                <w:b w:val="0"/>
                <w:bCs w:val="0"/>
                <w:color w:val="000000"/>
              </w:rPr>
              <w:t xml:space="preserve">     35-54</w:t>
            </w:r>
          </w:p>
        </w:tc>
        <w:tc>
          <w:tcPr>
            <w:tcW w:w="1350" w:type="dxa"/>
            <w:noWrap/>
            <w:hideMark/>
          </w:tcPr>
          <w:p w:rsidRPr="001205CA" w:rsidR="001205CA" w:rsidP="001205CA" w:rsidRDefault="001205CA" w14:paraId="6CF6CA5B"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33%</w:t>
            </w:r>
          </w:p>
        </w:tc>
        <w:tc>
          <w:tcPr>
            <w:tcW w:w="1080" w:type="dxa"/>
            <w:noWrap/>
            <w:hideMark/>
          </w:tcPr>
          <w:p w:rsidRPr="001205CA" w:rsidR="001205CA" w:rsidP="001205CA" w:rsidRDefault="001205CA" w14:paraId="52BE033D"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2.6%</w:t>
            </w:r>
          </w:p>
        </w:tc>
      </w:tr>
      <w:tr w:rsidRPr="001205CA" w:rsidR="001205CA" w:rsidTr="009B1704" w14:paraId="76E4F98E"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3178FA6F" w14:textId="77777777">
            <w:pPr>
              <w:rPr>
                <w:b w:val="0"/>
                <w:bCs w:val="0"/>
                <w:color w:val="000000"/>
              </w:rPr>
            </w:pPr>
            <w:r w:rsidRPr="009B1704">
              <w:rPr>
                <w:b w:val="0"/>
                <w:bCs w:val="0"/>
                <w:color w:val="000000"/>
              </w:rPr>
              <w:t xml:space="preserve">     55+</w:t>
            </w:r>
          </w:p>
        </w:tc>
        <w:tc>
          <w:tcPr>
            <w:tcW w:w="1350" w:type="dxa"/>
            <w:tcBorders>
              <w:top w:val="none" w:color="auto" w:sz="0" w:space="0"/>
              <w:bottom w:val="none" w:color="auto" w:sz="0" w:space="0"/>
            </w:tcBorders>
            <w:noWrap/>
            <w:hideMark/>
          </w:tcPr>
          <w:p w:rsidRPr="001205CA" w:rsidR="001205CA" w:rsidP="001205CA" w:rsidRDefault="001205CA" w14:paraId="092C3870"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37%</w:t>
            </w:r>
          </w:p>
        </w:tc>
        <w:tc>
          <w:tcPr>
            <w:tcW w:w="1080" w:type="dxa"/>
            <w:tcBorders>
              <w:top w:val="none" w:color="auto" w:sz="0" w:space="0"/>
              <w:bottom w:val="none" w:color="auto" w:sz="0" w:space="0"/>
            </w:tcBorders>
            <w:noWrap/>
            <w:hideMark/>
          </w:tcPr>
          <w:p w:rsidRPr="001205CA" w:rsidR="001205CA" w:rsidP="001205CA" w:rsidRDefault="001205CA" w14:paraId="007DD870"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2.5%</w:t>
            </w:r>
          </w:p>
        </w:tc>
      </w:tr>
      <w:tr w:rsidRPr="001205CA" w:rsidR="001205CA" w:rsidTr="009B1704" w14:paraId="0D54D0B8" w14:textId="77777777">
        <w:trPr>
          <w:trHeight w:val="31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4946B79E" w14:textId="77777777">
            <w:pPr>
              <w:rPr>
                <w:b w:val="0"/>
                <w:bCs w:val="0"/>
                <w:color w:val="000000"/>
                <w:u w:val="single"/>
              </w:rPr>
            </w:pPr>
            <w:r w:rsidRPr="009B1704">
              <w:rPr>
                <w:b w:val="0"/>
                <w:bCs w:val="0"/>
                <w:color w:val="000000"/>
                <w:u w:val="single"/>
              </w:rPr>
              <w:t>Race/Ethnicity</w:t>
            </w:r>
          </w:p>
        </w:tc>
        <w:tc>
          <w:tcPr>
            <w:tcW w:w="1350" w:type="dxa"/>
            <w:noWrap/>
            <w:hideMark/>
          </w:tcPr>
          <w:p w:rsidRPr="001205CA" w:rsidR="001205CA" w:rsidP="001205CA" w:rsidRDefault="001205CA" w14:paraId="38FF1785" w14:textId="77777777">
            <w:pPr>
              <w:cnfStyle w:val="000000000000" w:firstRow="0" w:lastRow="0" w:firstColumn="0" w:lastColumn="0" w:oddVBand="0" w:evenVBand="0" w:oddHBand="0" w:evenHBand="0" w:firstRowFirstColumn="0" w:firstRowLastColumn="0" w:lastRowFirstColumn="0" w:lastRowLastColumn="0"/>
              <w:rPr>
                <w:b/>
                <w:bCs/>
                <w:color w:val="000000"/>
                <w:u w:val="single"/>
              </w:rPr>
            </w:pPr>
          </w:p>
        </w:tc>
        <w:tc>
          <w:tcPr>
            <w:tcW w:w="1080" w:type="dxa"/>
            <w:noWrap/>
            <w:hideMark/>
          </w:tcPr>
          <w:p w:rsidRPr="001205CA" w:rsidR="001205CA" w:rsidP="001205CA" w:rsidRDefault="001205CA" w14:paraId="2D360B1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205CA">
              <w:rPr>
                <w:rFonts w:ascii="Calibri" w:hAnsi="Calibri" w:cs="Calibri"/>
                <w:color w:val="000000"/>
                <w:sz w:val="20"/>
                <w:szCs w:val="20"/>
              </w:rPr>
              <w:t> </w:t>
            </w:r>
          </w:p>
        </w:tc>
      </w:tr>
      <w:tr w:rsidRPr="001205CA" w:rsidR="001205CA" w:rsidTr="009B1704" w14:paraId="3F41FC12"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09D7E861" w14:textId="77777777">
            <w:pPr>
              <w:rPr>
                <w:b w:val="0"/>
                <w:bCs w:val="0"/>
                <w:color w:val="000000"/>
              </w:rPr>
            </w:pPr>
            <w:r w:rsidRPr="009B1704">
              <w:rPr>
                <w:b w:val="0"/>
                <w:bCs w:val="0"/>
                <w:color w:val="000000"/>
              </w:rPr>
              <w:t xml:space="preserve">     Hispanic</w:t>
            </w:r>
          </w:p>
        </w:tc>
        <w:tc>
          <w:tcPr>
            <w:tcW w:w="1350" w:type="dxa"/>
            <w:tcBorders>
              <w:top w:val="none" w:color="auto" w:sz="0" w:space="0"/>
              <w:bottom w:val="none" w:color="auto" w:sz="0" w:space="0"/>
            </w:tcBorders>
            <w:noWrap/>
            <w:hideMark/>
          </w:tcPr>
          <w:p w:rsidRPr="001205CA" w:rsidR="001205CA" w:rsidP="001205CA" w:rsidRDefault="001205CA" w14:paraId="3AFA9A4B"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16%</w:t>
            </w:r>
          </w:p>
        </w:tc>
        <w:tc>
          <w:tcPr>
            <w:tcW w:w="1080" w:type="dxa"/>
            <w:tcBorders>
              <w:top w:val="none" w:color="auto" w:sz="0" w:space="0"/>
              <w:bottom w:val="none" w:color="auto" w:sz="0" w:space="0"/>
            </w:tcBorders>
            <w:noWrap/>
            <w:hideMark/>
          </w:tcPr>
          <w:p w:rsidRPr="001205CA" w:rsidR="001205CA" w:rsidP="001205CA" w:rsidRDefault="001205CA" w14:paraId="3AFE0CE8"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3.7%</w:t>
            </w:r>
          </w:p>
        </w:tc>
      </w:tr>
      <w:tr w:rsidRPr="001205CA" w:rsidR="001205CA" w:rsidTr="009B1704" w14:paraId="3889DA9A"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61700592" w14:textId="77777777">
            <w:pPr>
              <w:rPr>
                <w:b w:val="0"/>
                <w:bCs w:val="0"/>
                <w:color w:val="000000"/>
              </w:rPr>
            </w:pPr>
            <w:r w:rsidRPr="009B1704">
              <w:rPr>
                <w:b w:val="0"/>
                <w:bCs w:val="0"/>
                <w:color w:val="000000"/>
              </w:rPr>
              <w:t xml:space="preserve">     Non-Hispanic White</w:t>
            </w:r>
          </w:p>
        </w:tc>
        <w:tc>
          <w:tcPr>
            <w:tcW w:w="1350" w:type="dxa"/>
            <w:noWrap/>
            <w:hideMark/>
          </w:tcPr>
          <w:p w:rsidRPr="001205CA" w:rsidR="001205CA" w:rsidP="001205CA" w:rsidRDefault="001205CA" w14:paraId="21929360"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64%</w:t>
            </w:r>
          </w:p>
        </w:tc>
        <w:tc>
          <w:tcPr>
            <w:tcW w:w="1080" w:type="dxa"/>
            <w:noWrap/>
            <w:hideMark/>
          </w:tcPr>
          <w:p w:rsidRPr="001205CA" w:rsidR="001205CA" w:rsidP="001205CA" w:rsidRDefault="001205CA" w14:paraId="0F2C7B7B"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1.9%</w:t>
            </w:r>
          </w:p>
        </w:tc>
      </w:tr>
      <w:tr w:rsidRPr="001205CA" w:rsidR="001205CA" w:rsidTr="009B1704" w14:paraId="10C990AB"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1B941346" w14:textId="77777777">
            <w:pPr>
              <w:rPr>
                <w:b w:val="0"/>
                <w:bCs w:val="0"/>
                <w:color w:val="000000"/>
              </w:rPr>
            </w:pPr>
            <w:r w:rsidRPr="009B1704">
              <w:rPr>
                <w:b w:val="0"/>
                <w:bCs w:val="0"/>
                <w:color w:val="000000"/>
              </w:rPr>
              <w:t xml:space="preserve">     Non-Hispanic Black</w:t>
            </w:r>
          </w:p>
        </w:tc>
        <w:tc>
          <w:tcPr>
            <w:tcW w:w="1350" w:type="dxa"/>
            <w:tcBorders>
              <w:top w:val="none" w:color="auto" w:sz="0" w:space="0"/>
              <w:bottom w:val="none" w:color="auto" w:sz="0" w:space="0"/>
            </w:tcBorders>
            <w:noWrap/>
            <w:hideMark/>
          </w:tcPr>
          <w:p w:rsidRPr="001205CA" w:rsidR="001205CA" w:rsidP="001205CA" w:rsidRDefault="001205CA" w14:paraId="1AB4294B"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12%</w:t>
            </w:r>
          </w:p>
        </w:tc>
        <w:tc>
          <w:tcPr>
            <w:tcW w:w="1080" w:type="dxa"/>
            <w:tcBorders>
              <w:top w:val="none" w:color="auto" w:sz="0" w:space="0"/>
              <w:bottom w:val="none" w:color="auto" w:sz="0" w:space="0"/>
            </w:tcBorders>
            <w:noWrap/>
            <w:hideMark/>
          </w:tcPr>
          <w:p w:rsidRPr="001205CA" w:rsidR="001205CA" w:rsidP="001205CA" w:rsidRDefault="001205CA" w14:paraId="0CA0D2F4"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4.3%</w:t>
            </w:r>
          </w:p>
        </w:tc>
      </w:tr>
      <w:tr w:rsidRPr="001205CA" w:rsidR="001205CA" w:rsidTr="009B1704" w14:paraId="712C01BC"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1FBFA22D" w14:textId="77777777">
            <w:pPr>
              <w:rPr>
                <w:b w:val="0"/>
                <w:bCs w:val="0"/>
                <w:color w:val="000000"/>
              </w:rPr>
            </w:pPr>
            <w:r w:rsidRPr="009B1704">
              <w:rPr>
                <w:b w:val="0"/>
                <w:bCs w:val="0"/>
                <w:color w:val="000000"/>
              </w:rPr>
              <w:t xml:space="preserve">     Non-Hispanic Other</w:t>
            </w:r>
          </w:p>
        </w:tc>
        <w:tc>
          <w:tcPr>
            <w:tcW w:w="1350" w:type="dxa"/>
            <w:noWrap/>
            <w:hideMark/>
          </w:tcPr>
          <w:p w:rsidRPr="001205CA" w:rsidR="001205CA" w:rsidP="001205CA" w:rsidRDefault="001205CA" w14:paraId="15BD58B7"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9%</w:t>
            </w:r>
          </w:p>
        </w:tc>
        <w:tc>
          <w:tcPr>
            <w:tcW w:w="1080" w:type="dxa"/>
            <w:noWrap/>
            <w:hideMark/>
          </w:tcPr>
          <w:p w:rsidRPr="001205CA" w:rsidR="001205CA" w:rsidP="001205CA" w:rsidRDefault="001205CA" w14:paraId="1C011915"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5.0%</w:t>
            </w:r>
          </w:p>
        </w:tc>
      </w:tr>
      <w:tr w:rsidRPr="001205CA" w:rsidR="001205CA" w:rsidTr="009B1704" w14:paraId="537AFA6B" w14:textId="777777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404B7199" w14:textId="15373AA1">
            <w:pPr>
              <w:rPr>
                <w:b w:val="0"/>
                <w:bCs w:val="0"/>
                <w:color w:val="000000"/>
                <w:u w:val="single"/>
              </w:rPr>
            </w:pPr>
            <w:r w:rsidRPr="009B1704">
              <w:rPr>
                <w:b w:val="0"/>
                <w:bCs w:val="0"/>
                <w:color w:val="000000"/>
                <w:u w:val="single"/>
              </w:rPr>
              <w:t>Biker/Walker status†</w:t>
            </w:r>
          </w:p>
        </w:tc>
        <w:tc>
          <w:tcPr>
            <w:tcW w:w="1350" w:type="dxa"/>
            <w:tcBorders>
              <w:top w:val="none" w:color="auto" w:sz="0" w:space="0"/>
              <w:bottom w:val="none" w:color="auto" w:sz="0" w:space="0"/>
            </w:tcBorders>
            <w:noWrap/>
            <w:hideMark/>
          </w:tcPr>
          <w:p w:rsidRPr="001205CA" w:rsidR="001205CA" w:rsidP="001205CA" w:rsidRDefault="001205CA" w14:paraId="2951CE6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205CA">
              <w:rPr>
                <w:rFonts w:ascii="Calibri" w:hAnsi="Calibri" w:cs="Calibri"/>
                <w:color w:val="000000"/>
                <w:sz w:val="20"/>
                <w:szCs w:val="20"/>
              </w:rPr>
              <w:t> </w:t>
            </w:r>
          </w:p>
        </w:tc>
        <w:tc>
          <w:tcPr>
            <w:tcW w:w="1080" w:type="dxa"/>
            <w:tcBorders>
              <w:top w:val="none" w:color="auto" w:sz="0" w:space="0"/>
              <w:bottom w:val="none" w:color="auto" w:sz="0" w:space="0"/>
            </w:tcBorders>
            <w:noWrap/>
            <w:hideMark/>
          </w:tcPr>
          <w:p w:rsidRPr="001205CA" w:rsidR="001205CA" w:rsidP="001205CA" w:rsidRDefault="001205CA" w14:paraId="42690F4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205CA">
              <w:rPr>
                <w:rFonts w:ascii="Calibri" w:hAnsi="Calibri" w:cs="Calibri"/>
                <w:color w:val="000000"/>
                <w:sz w:val="20"/>
                <w:szCs w:val="20"/>
              </w:rPr>
              <w:t> </w:t>
            </w:r>
          </w:p>
        </w:tc>
      </w:tr>
      <w:tr w:rsidRPr="001205CA" w:rsidR="001205CA" w:rsidTr="009B1704" w14:paraId="27087A70"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2FE5B17D" w14:textId="77777777">
            <w:pPr>
              <w:ind w:firstLine="480" w:firstLineChars="200"/>
              <w:rPr>
                <w:b w:val="0"/>
                <w:bCs w:val="0"/>
                <w:color w:val="000000"/>
              </w:rPr>
            </w:pPr>
            <w:r w:rsidRPr="009B1704">
              <w:rPr>
                <w:b w:val="0"/>
                <w:bCs w:val="0"/>
                <w:color w:val="000000"/>
              </w:rPr>
              <w:t>Walked and biked in past year</w:t>
            </w:r>
          </w:p>
        </w:tc>
        <w:tc>
          <w:tcPr>
            <w:tcW w:w="1350" w:type="dxa"/>
            <w:noWrap/>
            <w:hideMark/>
          </w:tcPr>
          <w:p w:rsidRPr="001205CA" w:rsidR="001205CA" w:rsidP="001205CA" w:rsidRDefault="001205CA" w14:paraId="19D6E15A"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35%</w:t>
            </w:r>
          </w:p>
        </w:tc>
        <w:tc>
          <w:tcPr>
            <w:tcW w:w="1080" w:type="dxa"/>
            <w:noWrap/>
            <w:hideMark/>
          </w:tcPr>
          <w:p w:rsidRPr="001205CA" w:rsidR="001205CA" w:rsidP="001205CA" w:rsidRDefault="001205CA" w14:paraId="63900479"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2.5%</w:t>
            </w:r>
          </w:p>
        </w:tc>
      </w:tr>
      <w:tr w:rsidRPr="001205CA" w:rsidR="001205CA" w:rsidTr="009B1704" w14:paraId="0FEA1EA5"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0B4DE46C" w14:textId="77777777">
            <w:pPr>
              <w:ind w:firstLine="480" w:firstLineChars="200"/>
              <w:rPr>
                <w:b w:val="0"/>
                <w:bCs w:val="0"/>
                <w:color w:val="000000"/>
              </w:rPr>
            </w:pPr>
            <w:r w:rsidRPr="009B1704">
              <w:rPr>
                <w:b w:val="0"/>
                <w:bCs w:val="0"/>
                <w:color w:val="000000"/>
              </w:rPr>
              <w:t>Walked in past year, biked over a year ago</w:t>
            </w:r>
          </w:p>
        </w:tc>
        <w:tc>
          <w:tcPr>
            <w:tcW w:w="1350" w:type="dxa"/>
            <w:tcBorders>
              <w:top w:val="none" w:color="auto" w:sz="0" w:space="0"/>
              <w:bottom w:val="none" w:color="auto" w:sz="0" w:space="0"/>
            </w:tcBorders>
            <w:noWrap/>
            <w:hideMark/>
          </w:tcPr>
          <w:p w:rsidRPr="001205CA" w:rsidR="001205CA" w:rsidP="001205CA" w:rsidRDefault="001205CA" w14:paraId="4640AC85"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45%</w:t>
            </w:r>
          </w:p>
        </w:tc>
        <w:tc>
          <w:tcPr>
            <w:tcW w:w="1080" w:type="dxa"/>
            <w:tcBorders>
              <w:top w:val="none" w:color="auto" w:sz="0" w:space="0"/>
              <w:bottom w:val="none" w:color="auto" w:sz="0" w:space="0"/>
            </w:tcBorders>
            <w:noWrap/>
            <w:hideMark/>
          </w:tcPr>
          <w:p w:rsidRPr="001205CA" w:rsidR="001205CA" w:rsidP="001205CA" w:rsidRDefault="001205CA" w14:paraId="3A274761"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2.2%</w:t>
            </w:r>
          </w:p>
        </w:tc>
      </w:tr>
      <w:tr w:rsidRPr="001205CA" w:rsidR="001205CA" w:rsidTr="009B1704" w14:paraId="2E20AB04"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right w:val="none" w:color="auto" w:sz="0" w:space="0"/>
            </w:tcBorders>
            <w:noWrap/>
            <w:hideMark/>
          </w:tcPr>
          <w:p w:rsidRPr="009B1704" w:rsidR="001205CA" w:rsidP="001205CA" w:rsidRDefault="001205CA" w14:paraId="23A66195" w14:textId="77777777">
            <w:pPr>
              <w:ind w:firstLine="480" w:firstLineChars="200"/>
              <w:rPr>
                <w:b w:val="0"/>
                <w:bCs w:val="0"/>
                <w:color w:val="000000"/>
              </w:rPr>
            </w:pPr>
            <w:r w:rsidRPr="009B1704">
              <w:rPr>
                <w:b w:val="0"/>
                <w:bCs w:val="0"/>
                <w:color w:val="000000"/>
              </w:rPr>
              <w:t>Walked in past year, never ridden bike</w:t>
            </w:r>
          </w:p>
        </w:tc>
        <w:tc>
          <w:tcPr>
            <w:tcW w:w="1350" w:type="dxa"/>
            <w:noWrap/>
            <w:hideMark/>
          </w:tcPr>
          <w:p w:rsidRPr="001205CA" w:rsidR="001205CA" w:rsidP="001205CA" w:rsidRDefault="001205CA" w14:paraId="40FA491A"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10%</w:t>
            </w:r>
          </w:p>
        </w:tc>
        <w:tc>
          <w:tcPr>
            <w:tcW w:w="1080" w:type="dxa"/>
            <w:noWrap/>
            <w:hideMark/>
          </w:tcPr>
          <w:p w:rsidRPr="001205CA" w:rsidR="001205CA" w:rsidP="001205CA" w:rsidRDefault="001205CA" w14:paraId="5CD33838"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1205CA">
              <w:rPr>
                <w:color w:val="000000"/>
              </w:rPr>
              <w:t>4.7%</w:t>
            </w:r>
          </w:p>
        </w:tc>
      </w:tr>
      <w:tr w:rsidRPr="001205CA" w:rsidR="001205CA" w:rsidTr="009B1704" w14:paraId="5D65B4A6" w14:textId="7777777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bottom w:val="none" w:color="auto" w:sz="0" w:space="0"/>
              <w:right w:val="none" w:color="auto" w:sz="0" w:space="0"/>
            </w:tcBorders>
            <w:noWrap/>
            <w:hideMark/>
          </w:tcPr>
          <w:p w:rsidRPr="009B1704" w:rsidR="001205CA" w:rsidP="001205CA" w:rsidRDefault="001205CA" w14:paraId="364D76CB" w14:textId="527AC8E2">
            <w:pPr>
              <w:ind w:firstLine="480" w:firstLineChars="200"/>
              <w:rPr>
                <w:b w:val="0"/>
                <w:bCs w:val="0"/>
                <w:color w:val="000000"/>
              </w:rPr>
            </w:pPr>
            <w:r w:rsidRPr="009B1704">
              <w:rPr>
                <w:b w:val="0"/>
                <w:bCs w:val="0"/>
                <w:color w:val="000000"/>
              </w:rPr>
              <w:t>Never-walked, never biked (Disabled)</w:t>
            </w:r>
          </w:p>
        </w:tc>
        <w:tc>
          <w:tcPr>
            <w:tcW w:w="1350" w:type="dxa"/>
            <w:tcBorders>
              <w:top w:val="none" w:color="auto" w:sz="0" w:space="0"/>
              <w:bottom w:val="none" w:color="auto" w:sz="0" w:space="0"/>
            </w:tcBorders>
            <w:noWrap/>
            <w:hideMark/>
          </w:tcPr>
          <w:p w:rsidRPr="001205CA" w:rsidR="001205CA" w:rsidP="001205CA" w:rsidRDefault="001205CA" w14:paraId="54D32861"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10%</w:t>
            </w:r>
          </w:p>
        </w:tc>
        <w:tc>
          <w:tcPr>
            <w:tcW w:w="1080" w:type="dxa"/>
            <w:tcBorders>
              <w:top w:val="none" w:color="auto" w:sz="0" w:space="0"/>
              <w:bottom w:val="none" w:color="auto" w:sz="0" w:space="0"/>
            </w:tcBorders>
            <w:noWrap/>
            <w:hideMark/>
          </w:tcPr>
          <w:p w:rsidRPr="001205CA" w:rsidR="001205CA" w:rsidP="001205CA" w:rsidRDefault="001205CA" w14:paraId="43C0FAE3"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1205CA">
              <w:rPr>
                <w:color w:val="000000"/>
              </w:rPr>
              <w:t>4.7%</w:t>
            </w:r>
          </w:p>
        </w:tc>
      </w:tr>
    </w:tbl>
    <w:p w:rsidRPr="005B20B8" w:rsidR="0033712D" w:rsidP="001E15D6" w:rsidRDefault="0033712D" w14:paraId="696DC671" w14:textId="00435AC6">
      <w:pPr>
        <w:widowControl w:val="0"/>
        <w:autoSpaceDE w:val="0"/>
        <w:autoSpaceDN w:val="0"/>
        <w:adjustRightInd w:val="0"/>
        <w:jc w:val="center"/>
      </w:pPr>
      <w:r w:rsidRPr="001E15D6">
        <w:rPr>
          <w:color w:val="000000"/>
        </w:rPr>
        <w:t>†</w:t>
      </w:r>
      <w:r w:rsidRPr="001205CA" w:rsidR="001205CA">
        <w:rPr>
          <w:color w:val="000000"/>
        </w:rPr>
        <w:t>Bi</w:t>
      </w:r>
      <w:r w:rsidR="00991D8A">
        <w:rPr>
          <w:color w:val="000000"/>
        </w:rPr>
        <w:t>cycl</w:t>
      </w:r>
      <w:r w:rsidR="009B1704">
        <w:rPr>
          <w:color w:val="000000"/>
        </w:rPr>
        <w:t>ist</w:t>
      </w:r>
      <w:r w:rsidRPr="001205CA" w:rsidR="001205CA">
        <w:rPr>
          <w:color w:val="000000"/>
        </w:rPr>
        <w:t>/</w:t>
      </w:r>
      <w:r w:rsidR="00991D8A">
        <w:rPr>
          <w:color w:val="000000"/>
        </w:rPr>
        <w:t>Pedestrian</w:t>
      </w:r>
      <w:r w:rsidRPr="001205CA" w:rsidR="001205CA">
        <w:rPr>
          <w:color w:val="000000"/>
        </w:rPr>
        <w:t xml:space="preserve"> status </w:t>
      </w:r>
      <w:r w:rsidRPr="001E15D6">
        <w:rPr>
          <w:color w:val="000000"/>
        </w:rPr>
        <w:t xml:space="preserve">distribution based on </w:t>
      </w:r>
      <w:proofErr w:type="gramStart"/>
      <w:r w:rsidR="001205CA">
        <w:rPr>
          <w:color w:val="000000"/>
        </w:rPr>
        <w:t>a number of</w:t>
      </w:r>
      <w:proofErr w:type="gramEnd"/>
      <w:r w:rsidR="001205CA">
        <w:rPr>
          <w:color w:val="000000"/>
        </w:rPr>
        <w:t xml:space="preserve"> sources</w:t>
      </w:r>
      <w:r w:rsidR="001205CA">
        <w:t>.</w:t>
      </w:r>
      <w:r w:rsidR="001205CA">
        <w:rPr>
          <w:rStyle w:val="FootnoteReference"/>
        </w:rPr>
        <w:footnoteReference w:id="18"/>
      </w:r>
    </w:p>
    <w:p w:rsidR="007A63B0" w:rsidP="007A63B0" w:rsidRDefault="007A63B0" w14:paraId="3362D9E2" w14:textId="48FE5DCA">
      <w:pPr>
        <w:widowControl w:val="0"/>
        <w:autoSpaceDE w:val="0"/>
        <w:autoSpaceDN w:val="0"/>
        <w:adjustRightInd w:val="0"/>
      </w:pPr>
    </w:p>
    <w:p w:rsidRPr="00921DDF" w:rsidR="007A63B0" w:rsidP="00921DDF" w:rsidRDefault="00921DDF" w14:paraId="724D7E1A" w14:textId="77777777">
      <w:pPr>
        <w:spacing w:after="120"/>
        <w:jc w:val="both"/>
        <w:rPr>
          <w:u w:val="single"/>
        </w:rPr>
      </w:pPr>
      <w:bookmarkStart w:name="_Hlk31897226" w:id="6"/>
      <w:r w:rsidRPr="00921DDF">
        <w:rPr>
          <w:u w:val="single"/>
        </w:rPr>
        <w:t xml:space="preserve">B.2.d </w:t>
      </w:r>
      <w:r w:rsidRPr="00921DDF" w:rsidR="007A63B0">
        <w:rPr>
          <w:u w:val="single"/>
        </w:rPr>
        <w:t>Sample Weighting</w:t>
      </w:r>
    </w:p>
    <w:p w:rsidRPr="0072092F" w:rsidR="00B51A80" w:rsidP="008E7971" w:rsidRDefault="00B51A80" w14:paraId="21EBA4D5" w14:textId="78C854BC">
      <w:pPr>
        <w:pStyle w:val="BodyText"/>
        <w:spacing w:before="120"/>
      </w:pPr>
      <w:r>
        <w:t xml:space="preserve">The </w:t>
      </w:r>
      <w:r w:rsidR="000218FB">
        <w:t>NSBPAB</w:t>
      </w:r>
      <w:r>
        <w:t xml:space="preserve"> will be weighted to </w:t>
      </w:r>
      <w:r w:rsidRPr="0072092F">
        <w:t xml:space="preserve">reduce </w:t>
      </w:r>
      <w:r>
        <w:t xml:space="preserve">any potential </w:t>
      </w:r>
      <w:r w:rsidRPr="0072092F">
        <w:t xml:space="preserve">bias </w:t>
      </w:r>
      <w:r>
        <w:t xml:space="preserve">related to </w:t>
      </w:r>
      <w:r w:rsidRPr="0072092F">
        <w:t xml:space="preserve">differential </w:t>
      </w:r>
      <w:r w:rsidR="00B72AD6">
        <w:t>selection probabilities and non-</w:t>
      </w:r>
      <w:r w:rsidRPr="0072092F">
        <w:t>response</w:t>
      </w:r>
      <w:r>
        <w:t xml:space="preserve">. </w:t>
      </w:r>
      <w:r w:rsidRPr="0072092F">
        <w:t>The weighting process will compute:</w:t>
      </w:r>
    </w:p>
    <w:p w:rsidRPr="0072092F" w:rsidR="00B51A80" w:rsidP="008E7971" w:rsidRDefault="00B51A80" w14:paraId="681F3CBE" w14:textId="77777777">
      <w:pPr>
        <w:pStyle w:val="BodyText"/>
        <w:numPr>
          <w:ilvl w:val="0"/>
          <w:numId w:val="13"/>
        </w:numPr>
        <w:spacing w:before="120"/>
      </w:pPr>
      <w:r w:rsidRPr="0072092F">
        <w:t xml:space="preserve">Sampling weights that incorporate the probability of selection for households and the probability of selection of a respondent within a sample </w:t>
      </w:r>
      <w:proofErr w:type="gramStart"/>
      <w:r w:rsidRPr="0072092F">
        <w:t>household</w:t>
      </w:r>
      <w:r w:rsidRPr="0072092F" w:rsidDel="00AD5309">
        <w:t>;</w:t>
      </w:r>
      <w:proofErr w:type="gramEnd"/>
      <w:r w:rsidRPr="0072092F">
        <w:t xml:space="preserve"> </w:t>
      </w:r>
    </w:p>
    <w:p w:rsidRPr="0072092F" w:rsidR="00B51A80" w:rsidP="008E7971" w:rsidRDefault="00B72AD6" w14:paraId="116A3C2A" w14:textId="77777777">
      <w:pPr>
        <w:pStyle w:val="BodyText"/>
        <w:numPr>
          <w:ilvl w:val="0"/>
          <w:numId w:val="13"/>
        </w:numPr>
        <w:spacing w:before="120"/>
      </w:pPr>
      <w:r>
        <w:t>Weight adjustments for non-</w:t>
      </w:r>
      <w:r w:rsidRPr="0072092F" w:rsidR="00B51A80">
        <w:t>response</w:t>
      </w:r>
      <w:r w:rsidRPr="0072092F" w:rsidDel="00AD5309" w:rsidR="00B51A80">
        <w:t>; and</w:t>
      </w:r>
    </w:p>
    <w:p w:rsidRPr="0072092F" w:rsidR="00B51A80" w:rsidP="008E7971" w:rsidRDefault="00421150" w14:paraId="3392C364" w14:textId="77777777">
      <w:pPr>
        <w:pStyle w:val="BodyText"/>
        <w:numPr>
          <w:ilvl w:val="0"/>
          <w:numId w:val="13"/>
        </w:numPr>
        <w:spacing w:before="120"/>
      </w:pPr>
      <w:r>
        <w:t>Population calibration</w:t>
      </w:r>
      <w:r w:rsidRPr="0072092F" w:rsidDel="00AD5309" w:rsidR="00B51A80">
        <w:t>.</w:t>
      </w:r>
    </w:p>
    <w:p w:rsidRPr="00421150" w:rsidR="00B51A80" w:rsidP="008E7971" w:rsidRDefault="00B51A80" w14:paraId="205EACA5" w14:textId="69F781C9">
      <w:pPr>
        <w:pStyle w:val="BodyText"/>
        <w:spacing w:before="120"/>
        <w:rPr>
          <w:color w:val="000000"/>
        </w:rPr>
      </w:pPr>
      <w:r w:rsidRPr="0072092F">
        <w:t xml:space="preserve">Sampling weights are the products of the reciprocals of the probabilities of selections associated with two sampling stages: (1) the selection of households from the ABS frame and (2) the selection of respondents within a household. </w:t>
      </w:r>
      <w:r w:rsidR="00421150">
        <w:t xml:space="preserve"> </w:t>
      </w:r>
      <w:r w:rsidRPr="0072092F">
        <w:t xml:space="preserve">The first-stage probabilities will be unequal to the extent that the sample allocation oversamples some of the regional strata based on age and </w:t>
      </w:r>
      <w:r w:rsidR="00DD1488">
        <w:rPr>
          <w:color w:val="000000"/>
        </w:rPr>
        <w:t>Hispanic household</w:t>
      </w:r>
      <w:r w:rsidRPr="00421150">
        <w:rPr>
          <w:color w:val="000000"/>
        </w:rPr>
        <w:t xml:space="preserve"> likelihood. The address probability of selection is multiplied by the within-household probability of selection based on the number of adults in the household</w:t>
      </w:r>
      <w:r w:rsidR="006E2480">
        <w:rPr>
          <w:color w:val="000000"/>
        </w:rPr>
        <w:t xml:space="preserve"> as reported in the survey</w:t>
      </w:r>
      <w:r w:rsidRPr="00421150">
        <w:rPr>
          <w:color w:val="000000"/>
        </w:rPr>
        <w:t>.</w:t>
      </w:r>
      <w:bookmarkEnd w:id="6"/>
    </w:p>
    <w:p w:rsidRPr="00421150" w:rsidR="00421150" w:rsidP="00421150" w:rsidRDefault="00421150" w14:paraId="6B11FD32" w14:textId="77777777">
      <w:pPr>
        <w:pStyle w:val="BodyText"/>
        <w:spacing w:before="120"/>
        <w:rPr>
          <w:color w:val="000000"/>
        </w:rPr>
      </w:pPr>
      <w:r w:rsidRPr="00421150">
        <w:rPr>
          <w:color w:val="000000"/>
        </w:rPr>
        <w:t>We will apply weighting class adjustments designed to minimize the potential for non-response bias. These adjustments will be informed by the non-response analysis described previously. Specifically, we will select the variables used to define weight adjustment classes (or cells) using the propensity models in that analysis, as those predictors are most significant in the models. In general, adjustment classes will be homogeneous in terms of response behavior.</w:t>
      </w:r>
    </w:p>
    <w:p w:rsidRPr="0072092F" w:rsidR="00B51A80" w:rsidP="008E7971" w:rsidRDefault="008E7971" w14:paraId="2C2B5D67" w14:textId="77777777">
      <w:pPr>
        <w:pStyle w:val="BodyText"/>
        <w:spacing w:before="120"/>
      </w:pPr>
      <w:r>
        <w:t>The weights will be calibrated based on</w:t>
      </w:r>
      <w:r w:rsidRPr="0072092F" w:rsidR="00B51A80">
        <w:t xml:space="preserve"> known population totals for key demographics such as gender, age categories, education, </w:t>
      </w:r>
      <w:r>
        <w:t xml:space="preserve">marital </w:t>
      </w:r>
      <w:proofErr w:type="gramStart"/>
      <w:r>
        <w:t>status</w:t>
      </w:r>
      <w:proofErr w:type="gramEnd"/>
      <w:r>
        <w:t xml:space="preserve"> </w:t>
      </w:r>
      <w:r w:rsidRPr="0072092F" w:rsidR="00B51A80">
        <w:t xml:space="preserve">and race/ethnicity.  </w:t>
      </w:r>
      <w:r>
        <w:t>The calibration will be based on r</w:t>
      </w:r>
      <w:r w:rsidRPr="0072092F" w:rsidR="00B51A80">
        <w:t xml:space="preserve">aking, an iterative </w:t>
      </w:r>
      <w:r>
        <w:t xml:space="preserve">ratio adjustment of the sample to the population based on multiple dimensions.  </w:t>
      </w:r>
      <w:r w:rsidRPr="0072092F" w:rsidR="00B51A80">
        <w:t xml:space="preserve">Because this step will align the survey respondents with the population, we will include non-drivers and drivers in the adjustment. Therefore, it is critical to collect basic demographic information from the non-drivers selected in the sample. </w:t>
      </w:r>
    </w:p>
    <w:p w:rsidR="007A63B0" w:rsidP="007A63B0" w:rsidRDefault="007A63B0" w14:paraId="16AB042C" w14:textId="77777777">
      <w:pPr>
        <w:widowControl w:val="0"/>
        <w:autoSpaceDE w:val="0"/>
        <w:autoSpaceDN w:val="0"/>
        <w:adjustRightInd w:val="0"/>
      </w:pPr>
      <w:r>
        <w:tab/>
      </w:r>
    </w:p>
    <w:p w:rsidR="00195396" w:rsidP="007A63B0" w:rsidRDefault="00195396" w14:paraId="755EAF56" w14:textId="77777777">
      <w:pPr>
        <w:widowControl w:val="0"/>
        <w:autoSpaceDE w:val="0"/>
        <w:autoSpaceDN w:val="0"/>
        <w:adjustRightInd w:val="0"/>
        <w:rPr>
          <w:b/>
          <w:bCs/>
        </w:rPr>
      </w:pPr>
    </w:p>
    <w:p w:rsidR="007A63B0" w:rsidP="007A63B0" w:rsidRDefault="007A63B0" w14:paraId="5C28D940" w14:textId="77777777">
      <w:pPr>
        <w:widowControl w:val="0"/>
        <w:autoSpaceDE w:val="0"/>
        <w:autoSpaceDN w:val="0"/>
        <w:adjustRightInd w:val="0"/>
      </w:pPr>
      <w:r>
        <w:rPr>
          <w:b/>
          <w:bCs/>
        </w:rPr>
        <w:t>B.3. Describe methods to maximize response rates.</w:t>
      </w:r>
    </w:p>
    <w:p w:rsidRPr="00421150" w:rsidR="00421150" w:rsidP="00421150" w:rsidRDefault="00421150" w14:paraId="262340C5" w14:textId="77777777">
      <w:pPr>
        <w:pStyle w:val="BodyText"/>
        <w:spacing w:before="120"/>
        <w:rPr>
          <w:color w:val="000000"/>
          <w:u w:val="single"/>
        </w:rPr>
      </w:pPr>
      <w:r w:rsidRPr="00421150">
        <w:rPr>
          <w:color w:val="000000"/>
          <w:u w:val="single"/>
        </w:rPr>
        <w:t>B.3.1 Maximizing Response</w:t>
      </w:r>
    </w:p>
    <w:p w:rsidR="007A63B0" w:rsidP="00421150" w:rsidRDefault="007A63B0" w14:paraId="31789B36" w14:textId="51C029FD">
      <w:pPr>
        <w:pStyle w:val="BodyText"/>
        <w:spacing w:before="120"/>
        <w:rPr>
          <w:color w:val="000000"/>
        </w:rPr>
      </w:pPr>
      <w:r w:rsidRPr="00421150">
        <w:rPr>
          <w:color w:val="000000"/>
        </w:rPr>
        <w:t xml:space="preserve">NHTSA is taking </w:t>
      </w:r>
      <w:proofErr w:type="gramStart"/>
      <w:r w:rsidRPr="00421150">
        <w:rPr>
          <w:color w:val="000000"/>
        </w:rPr>
        <w:t>a number of</w:t>
      </w:r>
      <w:proofErr w:type="gramEnd"/>
      <w:r w:rsidRPr="00421150">
        <w:rPr>
          <w:color w:val="000000"/>
        </w:rPr>
        <w:t xml:space="preserve"> steps to boost the </w:t>
      </w:r>
      <w:r w:rsidR="000218FB">
        <w:rPr>
          <w:color w:val="000000"/>
        </w:rPr>
        <w:t>NSBPAB</w:t>
      </w:r>
      <w:r w:rsidRPr="00421150" w:rsidR="002E49C7">
        <w:rPr>
          <w:color w:val="000000"/>
        </w:rPr>
        <w:t xml:space="preserve"> </w:t>
      </w:r>
      <w:r w:rsidRPr="00421150">
        <w:rPr>
          <w:color w:val="000000"/>
        </w:rPr>
        <w:t xml:space="preserve">response rate.  Foremost will be NHTSA’s use of the multi-mode approach, where different options for responding are </w:t>
      </w:r>
      <w:r w:rsidRPr="00421150" w:rsidR="00421150">
        <w:rPr>
          <w:color w:val="000000"/>
        </w:rPr>
        <w:t xml:space="preserve">sequentially </w:t>
      </w:r>
      <w:r w:rsidRPr="00421150">
        <w:rPr>
          <w:color w:val="000000"/>
        </w:rPr>
        <w:t>presented to pro</w:t>
      </w:r>
      <w:r w:rsidRPr="00421150" w:rsidR="00421150">
        <w:rPr>
          <w:color w:val="000000"/>
        </w:rPr>
        <w:t>spective respondents (web and mail</w:t>
      </w:r>
      <w:r w:rsidRPr="00421150">
        <w:rPr>
          <w:color w:val="000000"/>
        </w:rPr>
        <w:t>).  This offers greater opportunity for people to use a response mode that they prefer and with which they are comfortable, which should enhance participation.</w:t>
      </w:r>
    </w:p>
    <w:p w:rsidR="00421150" w:rsidP="00421150" w:rsidRDefault="00421150" w14:paraId="7AE731B1" w14:textId="6AB4A195">
      <w:pPr>
        <w:pStyle w:val="BodyText"/>
        <w:spacing w:before="120"/>
        <w:rPr>
          <w:color w:val="000000"/>
        </w:rPr>
      </w:pPr>
      <w:r>
        <w:rPr>
          <w:color w:val="000000"/>
        </w:rPr>
        <w:t>The protocol includes up to five mailings to non</w:t>
      </w:r>
      <w:r w:rsidR="00B72AD6">
        <w:rPr>
          <w:color w:val="000000"/>
        </w:rPr>
        <w:t>-</w:t>
      </w:r>
      <w:r>
        <w:rPr>
          <w:color w:val="000000"/>
        </w:rPr>
        <w:t xml:space="preserve">response households. </w:t>
      </w:r>
      <w:r w:rsidR="00195396">
        <w:rPr>
          <w:color w:val="000000"/>
        </w:rPr>
        <w:t>An incentive experiment done for MVOSS found that a $1 pre-incentive and $5 promised incentive provided the most cost-efficient way to increase response when compared to $2 pre-incentive and $10 post incentive.</w:t>
      </w:r>
      <w:r w:rsidR="00195396">
        <w:rPr>
          <w:rStyle w:val="FootnoteReference"/>
          <w:color w:val="000000"/>
        </w:rPr>
        <w:footnoteReference w:id="19"/>
      </w:r>
      <w:r w:rsidR="00195396">
        <w:rPr>
          <w:color w:val="000000"/>
        </w:rPr>
        <w:t xml:space="preserve"> Thus, t</w:t>
      </w:r>
      <w:r>
        <w:rPr>
          <w:color w:val="000000"/>
        </w:rPr>
        <w:t>he first contact will include a</w:t>
      </w:r>
      <w:r w:rsidR="000A76CA">
        <w:rPr>
          <w:color w:val="000000"/>
        </w:rPr>
        <w:t xml:space="preserve"> $1 pre-incentive and a $5 promised incentive </w:t>
      </w:r>
      <w:r w:rsidR="000A76CA">
        <w:rPr>
          <w:color w:val="000000"/>
        </w:rPr>
        <w:lastRenderedPageBreak/>
        <w:t>upon completion</w:t>
      </w:r>
      <w:r w:rsidR="00195396">
        <w:rPr>
          <w:color w:val="000000"/>
        </w:rPr>
        <w:t xml:space="preserve">. As the MVOSS incentive results are now dated, </w:t>
      </w:r>
      <w:r w:rsidR="009A6F16">
        <w:rPr>
          <w:color w:val="000000"/>
        </w:rPr>
        <w:t>a $10 post-incentive will also be tested during the Mini-Pilot</w:t>
      </w:r>
      <w:r w:rsidR="000A76CA">
        <w:rPr>
          <w:color w:val="000000"/>
        </w:rPr>
        <w:t xml:space="preserve">. </w:t>
      </w:r>
      <w:r w:rsidR="00195396">
        <w:rPr>
          <w:color w:val="000000"/>
        </w:rPr>
        <w:t xml:space="preserve">The results of the Mini-Pilot will determine if a $1 pre-incentive followed by a $10 post incentive is more appropriate for increasing response than a $1 pre-incentive followed by a $5 post incentive. </w:t>
      </w:r>
    </w:p>
    <w:p w:rsidRPr="00421150" w:rsidR="007A63B0" w:rsidP="00421150" w:rsidRDefault="007A63B0" w14:paraId="126A53A8" w14:textId="11E62299">
      <w:pPr>
        <w:pStyle w:val="BodyText"/>
        <w:spacing w:before="120"/>
        <w:rPr>
          <w:color w:val="000000"/>
        </w:rPr>
      </w:pPr>
      <w:r w:rsidRPr="00421150">
        <w:rPr>
          <w:color w:val="000000"/>
        </w:rPr>
        <w:t xml:space="preserve">In contacting respondents, </w:t>
      </w:r>
      <w:r w:rsidR="0067184E">
        <w:rPr>
          <w:color w:val="000000"/>
        </w:rPr>
        <w:t>ICF</w:t>
      </w:r>
      <w:r w:rsidRPr="00421150">
        <w:rPr>
          <w:color w:val="000000"/>
        </w:rPr>
        <w:t xml:space="preserve"> will use </w:t>
      </w:r>
      <w:r w:rsidR="0067184E">
        <w:rPr>
          <w:color w:val="000000"/>
        </w:rPr>
        <w:t xml:space="preserve">NHTSA logos and branding </w:t>
      </w:r>
      <w:r w:rsidR="00040121">
        <w:rPr>
          <w:color w:val="000000"/>
        </w:rPr>
        <w:t xml:space="preserve">on </w:t>
      </w:r>
      <w:r w:rsidR="0067184E">
        <w:rPr>
          <w:color w:val="000000"/>
        </w:rPr>
        <w:t xml:space="preserve">all outgoing mail materials, including letters, postcards, and envelopes.  </w:t>
      </w:r>
      <w:r w:rsidRPr="00421150">
        <w:rPr>
          <w:color w:val="000000"/>
        </w:rPr>
        <w:t>People will often open government envelopes out of curiosity as to why they are being contacted by the government.  As stated in the previous section</w:t>
      </w:r>
      <w:r w:rsidR="00040121">
        <w:rPr>
          <w:color w:val="000000"/>
        </w:rPr>
        <w:t xml:space="preserve"> (B.2.b)</w:t>
      </w:r>
      <w:r w:rsidRPr="00421150">
        <w:rPr>
          <w:color w:val="000000"/>
        </w:rPr>
        <w:t xml:space="preserve">, the invitation to participate in the survey will include wording in Spanish for those who are entirely or predominantly Spanish speaking so that they are not excluded from the survey.  </w:t>
      </w:r>
    </w:p>
    <w:p w:rsidRPr="00421150" w:rsidR="007A63B0" w:rsidP="00421150" w:rsidRDefault="007A63B0" w14:paraId="14180D5B" w14:textId="77777777">
      <w:pPr>
        <w:pStyle w:val="BodyText"/>
        <w:spacing w:before="120"/>
        <w:rPr>
          <w:color w:val="000000"/>
        </w:rPr>
      </w:pPr>
      <w:r w:rsidRPr="00421150">
        <w:rPr>
          <w:color w:val="000000"/>
        </w:rPr>
        <w:t xml:space="preserve">In adapting the questionnaires to multi-mode administration, the project team will apply principles of heuristics that people follow in interpreting visual cues in visually laying out the questions.  </w:t>
      </w:r>
    </w:p>
    <w:p w:rsidRPr="00421150" w:rsidR="007A63B0" w:rsidP="00421150" w:rsidRDefault="007A63B0" w14:paraId="79C50DCF" w14:textId="77777777">
      <w:pPr>
        <w:pStyle w:val="BodyText"/>
        <w:spacing w:before="120"/>
        <w:rPr>
          <w:color w:val="000000"/>
        </w:rPr>
      </w:pPr>
      <w:r w:rsidRPr="00421150">
        <w:rPr>
          <w:color w:val="000000"/>
        </w:rPr>
        <w:t xml:space="preserve">Another facilitator of response will be adaption of the </w:t>
      </w:r>
      <w:r w:rsidR="00421150">
        <w:rPr>
          <w:color w:val="000000"/>
        </w:rPr>
        <w:t>w</w:t>
      </w:r>
      <w:r w:rsidRPr="00421150">
        <w:rPr>
          <w:color w:val="000000"/>
        </w:rPr>
        <w:t>eb-based questionnaires for mobile platforms (e.g., smartphones, tablets) so that prospective respondents who wish to use such devices when taking the survey are not deterred.  Once a questionnaire is programmed, the platform will automatically adapt the presentation to optimize completion on a mobile device.</w:t>
      </w:r>
    </w:p>
    <w:p w:rsidR="00421150" w:rsidP="00421150" w:rsidRDefault="007A63B0" w14:paraId="17AFAF6B" w14:textId="77777777">
      <w:pPr>
        <w:pStyle w:val="BodyText"/>
        <w:spacing w:before="120"/>
        <w:rPr>
          <w:color w:val="000000"/>
        </w:rPr>
      </w:pPr>
      <w:r w:rsidRPr="00421150">
        <w:rPr>
          <w:color w:val="000000"/>
        </w:rPr>
        <w:t>The survey will include assistance devices for respondents so that they do</w:t>
      </w:r>
      <w:r w:rsidR="00ED5D50">
        <w:rPr>
          <w:color w:val="000000"/>
        </w:rPr>
        <w:t xml:space="preserve"> </w:t>
      </w:r>
      <w:r w:rsidRPr="00421150" w:rsidR="00ED5D50">
        <w:rPr>
          <w:color w:val="000000"/>
        </w:rPr>
        <w:t>n</w:t>
      </w:r>
      <w:r w:rsidR="00ED5D50">
        <w:rPr>
          <w:color w:val="000000"/>
        </w:rPr>
        <w:t>o</w:t>
      </w:r>
      <w:r w:rsidRPr="00421150" w:rsidR="00ED5D50">
        <w:rPr>
          <w:color w:val="000000"/>
        </w:rPr>
        <w:t xml:space="preserve">t </w:t>
      </w:r>
      <w:r w:rsidRPr="00421150">
        <w:rPr>
          <w:color w:val="000000"/>
        </w:rPr>
        <w:t xml:space="preserve">become frustrated and terminate their participation prior to submission of a completed questionnaire.  </w:t>
      </w:r>
      <w:r w:rsidR="00F50CF3">
        <w:rPr>
          <w:color w:val="000000"/>
        </w:rPr>
        <w:t>F</w:t>
      </w:r>
      <w:r w:rsidRPr="00421150" w:rsidR="00F50CF3">
        <w:rPr>
          <w:color w:val="000000"/>
        </w:rPr>
        <w:t xml:space="preserve">or the </w:t>
      </w:r>
      <w:r w:rsidR="00F50CF3">
        <w:rPr>
          <w:color w:val="000000"/>
        </w:rPr>
        <w:t>w</w:t>
      </w:r>
      <w:r w:rsidRPr="00421150" w:rsidR="00F50CF3">
        <w:rPr>
          <w:color w:val="000000"/>
        </w:rPr>
        <w:t>eb response mode</w:t>
      </w:r>
      <w:r w:rsidR="00F50CF3">
        <w:rPr>
          <w:color w:val="000000"/>
        </w:rPr>
        <w:t>,</w:t>
      </w:r>
      <w:r w:rsidRPr="00421150" w:rsidR="00F50CF3">
        <w:rPr>
          <w:color w:val="000000"/>
        </w:rPr>
        <w:t xml:space="preserve"> </w:t>
      </w:r>
      <w:r w:rsidR="00A50FF3">
        <w:rPr>
          <w:color w:val="000000"/>
        </w:rPr>
        <w:t>t</w:t>
      </w:r>
      <w:r w:rsidRPr="00421150">
        <w:rPr>
          <w:color w:val="000000"/>
        </w:rPr>
        <w:t xml:space="preserve">his will include easy navigation from page to page, and the capability for respondents to pause and leave the system and then re-enter at the departure point without losing any previously inserted information.  </w:t>
      </w:r>
    </w:p>
    <w:p w:rsidRPr="00421150" w:rsidR="00421150" w:rsidP="00421150" w:rsidRDefault="00421150" w14:paraId="49E96108" w14:textId="77777777">
      <w:pPr>
        <w:pStyle w:val="BodyText"/>
        <w:spacing w:before="120"/>
        <w:rPr>
          <w:color w:val="000000"/>
        </w:rPr>
      </w:pPr>
      <w:r w:rsidRPr="0072092F">
        <w:t xml:space="preserve">During administration, </w:t>
      </w:r>
      <w:r w:rsidR="003F61D3">
        <w:t xml:space="preserve">ICF </w:t>
      </w:r>
      <w:r>
        <w:t>will maintain support for the respondents via an</w:t>
      </w:r>
      <w:r w:rsidRPr="0072092F">
        <w:t xml:space="preserve"> </w:t>
      </w:r>
      <w:r w:rsidRPr="00BD0FA6">
        <w:t>e-mail help desk</w:t>
      </w:r>
      <w:r w:rsidRPr="0072092F">
        <w:t xml:space="preserve"> and</w:t>
      </w:r>
      <w:r>
        <w:t xml:space="preserve"> a</w:t>
      </w:r>
      <w:r w:rsidRPr="0072092F">
        <w:t xml:space="preserve"> </w:t>
      </w:r>
      <w:r w:rsidRPr="00BD0FA6">
        <w:t xml:space="preserve">toll-free </w:t>
      </w:r>
      <w:r>
        <w:t>phone</w:t>
      </w:r>
      <w:r w:rsidRPr="0072092F">
        <w:t xml:space="preserve"> </w:t>
      </w:r>
      <w:r w:rsidRPr="00572936">
        <w:t>number.</w:t>
      </w:r>
      <w:r w:rsidRPr="0072092F">
        <w:t xml:space="preserve"> </w:t>
      </w:r>
      <w:r>
        <w:t>Clear</w:t>
      </w:r>
      <w:r w:rsidRPr="0072092F">
        <w:t xml:space="preserve"> instructions for accessing </w:t>
      </w:r>
      <w:r>
        <w:t xml:space="preserve">this </w:t>
      </w:r>
      <w:r w:rsidRPr="0072092F">
        <w:t xml:space="preserve">support </w:t>
      </w:r>
      <w:r>
        <w:t xml:space="preserve">will be provided </w:t>
      </w:r>
      <w:r w:rsidRPr="0072092F">
        <w:t xml:space="preserve">on paper materials and the web survey. </w:t>
      </w:r>
    </w:p>
    <w:p w:rsidRPr="00421150" w:rsidR="00421150" w:rsidP="00421150" w:rsidRDefault="000A76CA" w14:paraId="193C3C7C" w14:textId="77777777">
      <w:pPr>
        <w:pStyle w:val="BodyText"/>
        <w:spacing w:before="120"/>
        <w:rPr>
          <w:color w:val="000000"/>
        </w:rPr>
      </w:pPr>
      <w:r w:rsidRPr="00421150">
        <w:rPr>
          <w:color w:val="000000"/>
          <w:u w:val="single"/>
        </w:rPr>
        <w:t>B.3.</w:t>
      </w:r>
      <w:r>
        <w:rPr>
          <w:color w:val="000000"/>
          <w:u w:val="single"/>
        </w:rPr>
        <w:t>2</w:t>
      </w:r>
      <w:r w:rsidRPr="00421150">
        <w:rPr>
          <w:color w:val="000000"/>
          <w:u w:val="single"/>
        </w:rPr>
        <w:t xml:space="preserve"> </w:t>
      </w:r>
      <w:r>
        <w:rPr>
          <w:color w:val="000000"/>
          <w:u w:val="single"/>
        </w:rPr>
        <w:t>Non</w:t>
      </w:r>
      <w:r w:rsidR="00B72AD6">
        <w:rPr>
          <w:color w:val="000000"/>
          <w:u w:val="single"/>
        </w:rPr>
        <w:t>-</w:t>
      </w:r>
      <w:r>
        <w:rPr>
          <w:color w:val="000000"/>
          <w:u w:val="single"/>
        </w:rPr>
        <w:t>response Analysis</w:t>
      </w:r>
    </w:p>
    <w:p w:rsidRPr="00C72FF8" w:rsidR="00C72FF8" w:rsidP="00C72FF8" w:rsidRDefault="00C72FF8" w14:paraId="36E92CF3" w14:textId="77777777">
      <w:pPr>
        <w:pStyle w:val="BodyText"/>
        <w:spacing w:before="120"/>
        <w:rPr>
          <w:color w:val="000000"/>
        </w:rPr>
      </w:pPr>
      <w:r w:rsidRPr="00C72FF8">
        <w:rPr>
          <w:color w:val="000000"/>
        </w:rPr>
        <w:t>Non</w:t>
      </w:r>
      <w:r w:rsidR="00B72AD6">
        <w:rPr>
          <w:color w:val="000000"/>
        </w:rPr>
        <w:t>-</w:t>
      </w:r>
      <w:r w:rsidRPr="00C72FF8">
        <w:rPr>
          <w:color w:val="000000"/>
        </w:rPr>
        <w:t>response bias will occur if there are differential response rates for certain subgroups of the sample and these subgroups differ with respect to the substantive survey data.  Differential response occurs when one subgroup responds to the survey at a higher rate than another subgroup (e.g.</w:t>
      </w:r>
      <w:r w:rsidR="003F61D3">
        <w:rPr>
          <w:color w:val="000000"/>
        </w:rPr>
        <w:t>,</w:t>
      </w:r>
      <w:r w:rsidRPr="00C72FF8">
        <w:rPr>
          <w:color w:val="000000"/>
        </w:rPr>
        <w:t xml:space="preserve"> males </w:t>
      </w:r>
      <w:r w:rsidR="003F61D3">
        <w:rPr>
          <w:color w:val="000000"/>
        </w:rPr>
        <w:t>vs.</w:t>
      </w:r>
      <w:r w:rsidRPr="00C72FF8" w:rsidR="003F61D3">
        <w:rPr>
          <w:color w:val="000000"/>
        </w:rPr>
        <w:t xml:space="preserve"> </w:t>
      </w:r>
      <w:r w:rsidRPr="00C72FF8">
        <w:rPr>
          <w:color w:val="000000"/>
        </w:rPr>
        <w:t>females). Therefore, the non</w:t>
      </w:r>
      <w:r w:rsidR="00B72AD6">
        <w:rPr>
          <w:color w:val="000000"/>
        </w:rPr>
        <w:t>-</w:t>
      </w:r>
      <w:r w:rsidRPr="00C72FF8">
        <w:rPr>
          <w:color w:val="000000"/>
        </w:rPr>
        <w:t xml:space="preserve">response analysis will focus on the distribution of respondents as compared to the expected distribution based on the population.  </w:t>
      </w:r>
    </w:p>
    <w:p w:rsidRPr="00C72FF8" w:rsidR="00421150" w:rsidP="00C72FF8" w:rsidRDefault="00421150" w14:paraId="2A6E4031" w14:textId="2DDC3AF4">
      <w:pPr>
        <w:pStyle w:val="BodyText"/>
        <w:spacing w:before="120"/>
        <w:rPr>
          <w:color w:val="000000"/>
        </w:rPr>
      </w:pPr>
      <w:r w:rsidRPr="00C72FF8">
        <w:rPr>
          <w:color w:val="000000"/>
        </w:rPr>
        <w:t xml:space="preserve">The analysis of non-response bias for the </w:t>
      </w:r>
      <w:r w:rsidR="000218FB">
        <w:rPr>
          <w:color w:val="000000"/>
        </w:rPr>
        <w:t>NSBPAB</w:t>
      </w:r>
      <w:r w:rsidRPr="00C72FF8" w:rsidR="003F61D3">
        <w:rPr>
          <w:color w:val="000000"/>
        </w:rPr>
        <w:t xml:space="preserve"> </w:t>
      </w:r>
      <w:r w:rsidRPr="00C72FF8">
        <w:rPr>
          <w:color w:val="000000"/>
        </w:rPr>
        <w:t>will follow three tracks.</w:t>
      </w:r>
    </w:p>
    <w:p w:rsidR="00C72FF8" w:rsidP="00C72FF8" w:rsidRDefault="00C72FF8" w14:paraId="62A17070" w14:textId="77777777">
      <w:pPr>
        <w:pStyle w:val="BodyText"/>
        <w:numPr>
          <w:ilvl w:val="0"/>
          <w:numId w:val="14"/>
        </w:numPr>
        <w:spacing w:before="120"/>
        <w:rPr>
          <w:color w:val="000000"/>
        </w:rPr>
      </w:pPr>
      <w:r>
        <w:rPr>
          <w:color w:val="000000"/>
        </w:rPr>
        <w:t>B</w:t>
      </w:r>
      <w:r w:rsidRPr="00C72FF8" w:rsidR="00421150">
        <w:rPr>
          <w:color w:val="000000"/>
        </w:rPr>
        <w:t xml:space="preserve">ivariate analyses. First, the analysis will compare the distribution of survey respondents with known population distributions. This comparison will focus on key demographic variables such as race/ethnicity, gender, age groups, and education. Because many of these same factors will be used during post-stratification in the survey weighting process, the analysis will consider un-weighted data and data that are weighted prior to the post-stratification step, as well as using the final adjusted weights. Note that these analyses will capitalize on the augmented frame data </w:t>
      </w:r>
      <w:r w:rsidRPr="00C72FF8">
        <w:rPr>
          <w:color w:val="000000"/>
        </w:rPr>
        <w:t>(e.g.</w:t>
      </w:r>
      <w:r w:rsidR="003F61D3">
        <w:rPr>
          <w:color w:val="000000"/>
        </w:rPr>
        <w:t>,</w:t>
      </w:r>
      <w:r w:rsidRPr="00C72FF8">
        <w:rPr>
          <w:color w:val="000000"/>
        </w:rPr>
        <w:t xml:space="preserve"> age flags used in the oversampling of young adults) </w:t>
      </w:r>
      <w:r w:rsidRPr="00C72FF8" w:rsidR="00421150">
        <w:rPr>
          <w:color w:val="000000"/>
        </w:rPr>
        <w:t>as well as on Census data.</w:t>
      </w:r>
    </w:p>
    <w:p w:rsidRPr="003233D1" w:rsidR="00C72FF8" w:rsidP="00F53792" w:rsidRDefault="003233D1" w14:paraId="66637451" w14:textId="5AFD8F72">
      <w:pPr>
        <w:pStyle w:val="BodyText"/>
        <w:numPr>
          <w:ilvl w:val="0"/>
          <w:numId w:val="14"/>
        </w:numPr>
        <w:spacing w:before="120"/>
        <w:rPr>
          <w:color w:val="000000"/>
        </w:rPr>
      </w:pPr>
      <w:r>
        <w:rPr>
          <w:color w:val="000000"/>
        </w:rPr>
        <w:lastRenderedPageBreak/>
        <w:t xml:space="preserve">Multivariate analyses. </w:t>
      </w:r>
      <w:r w:rsidRPr="00A70BE5" w:rsidR="00421150">
        <w:rPr>
          <w:color w:val="000000"/>
        </w:rPr>
        <w:t xml:space="preserve">The demographic variables found to be significant in these bivariate analyses (or </w:t>
      </w:r>
      <w:r w:rsidRPr="00A70BE5" w:rsidR="008719D6">
        <w:rPr>
          <w:color w:val="000000"/>
        </w:rPr>
        <w:t>subgroup</w:t>
      </w:r>
      <w:r w:rsidRPr="003233D1" w:rsidR="00421150">
        <w:rPr>
          <w:color w:val="000000"/>
        </w:rPr>
        <w:t xml:space="preserve"> analyses) will then be included in multivariate logistic models. In these logistic models, usually called propensity models, the dependent variable is a dichotomous (0-1) indicator for response so the logistic model may be expressed in terms of the probability of a response. The variables that turn out to be significant in these propensity models will be considered for weight adjustments for non-response (i.e., will be candidates for defining weight adjustment classes). This approach will ensure that weight adjustments minimize the p</w:t>
      </w:r>
      <w:r w:rsidRPr="003233D1" w:rsidR="00C72FF8">
        <w:rPr>
          <w:color w:val="000000"/>
        </w:rPr>
        <w:t>otential for non-response bias.</w:t>
      </w:r>
    </w:p>
    <w:p w:rsidRPr="00C72FF8" w:rsidR="00421150" w:rsidP="00C72FF8" w:rsidRDefault="00421150" w14:paraId="10723C64" w14:textId="77777777">
      <w:pPr>
        <w:pStyle w:val="BodyText"/>
        <w:numPr>
          <w:ilvl w:val="0"/>
          <w:numId w:val="14"/>
        </w:numPr>
        <w:spacing w:before="120"/>
        <w:rPr>
          <w:color w:val="000000"/>
        </w:rPr>
      </w:pPr>
      <w:r w:rsidRPr="00C72FF8">
        <w:rPr>
          <w:color w:val="000000"/>
        </w:rPr>
        <w:t xml:space="preserve">Comparisons across waves of respondents. The </w:t>
      </w:r>
      <w:r w:rsidRPr="00C72FF8" w:rsidR="00C72FF8">
        <w:rPr>
          <w:color w:val="000000"/>
        </w:rPr>
        <w:t>second</w:t>
      </w:r>
      <w:r w:rsidRPr="00C72FF8">
        <w:rPr>
          <w:color w:val="000000"/>
        </w:rPr>
        <w:t xml:space="preserve"> set of analyses will compare responses obtained using different levels of effort. This approach typically compares early respondents to the initial survey waves (Waves 1 to 3) to respondents to the later waves (Waves 4 and 5). The idea is that the late respondents—a group of reluctant or perhaps recalc</w:t>
      </w:r>
      <w:r w:rsidR="00A41CA4">
        <w:rPr>
          <w:color w:val="000000"/>
        </w:rPr>
        <w:t>itrant respondents—resemble non</w:t>
      </w:r>
      <w:r w:rsidR="00B72AD6">
        <w:rPr>
          <w:color w:val="000000"/>
        </w:rPr>
        <w:t>-</w:t>
      </w:r>
      <w:r w:rsidRPr="00C72FF8">
        <w:rPr>
          <w:color w:val="000000"/>
        </w:rPr>
        <w:t>respondents statistically.</w:t>
      </w:r>
    </w:p>
    <w:p w:rsidR="007A63B0" w:rsidP="00C72FF8" w:rsidRDefault="00C72FF8" w14:paraId="09839090" w14:textId="77777777">
      <w:pPr>
        <w:pStyle w:val="BodyText"/>
        <w:spacing w:before="120"/>
        <w:rPr>
          <w:color w:val="000000"/>
        </w:rPr>
      </w:pPr>
      <w:r w:rsidRPr="00C72FF8">
        <w:rPr>
          <w:color w:val="000000"/>
        </w:rPr>
        <w:t>The non</w:t>
      </w:r>
      <w:r w:rsidR="00B72AD6">
        <w:rPr>
          <w:color w:val="000000"/>
        </w:rPr>
        <w:t>-</w:t>
      </w:r>
      <w:r w:rsidRPr="00C72FF8">
        <w:rPr>
          <w:color w:val="000000"/>
        </w:rPr>
        <w:t>response analysis will inform the weighting adjustments to correct for a sample that is disproportionate from the population.</w:t>
      </w:r>
      <w:r>
        <w:rPr>
          <w:color w:val="000000"/>
        </w:rPr>
        <w:t xml:space="preserve">  These weighting adjustments will mitigate the risk on non</w:t>
      </w:r>
      <w:r w:rsidR="00B72AD6">
        <w:rPr>
          <w:color w:val="000000"/>
        </w:rPr>
        <w:t>-</w:t>
      </w:r>
      <w:r>
        <w:rPr>
          <w:color w:val="000000"/>
        </w:rPr>
        <w:t>response bias to the extent that the substantive survey data is correlated with the observed differences in respondents and non</w:t>
      </w:r>
      <w:r w:rsidR="00B72AD6">
        <w:rPr>
          <w:color w:val="000000"/>
        </w:rPr>
        <w:t>-</w:t>
      </w:r>
      <w:r>
        <w:rPr>
          <w:color w:val="000000"/>
        </w:rPr>
        <w:t>respondents.</w:t>
      </w:r>
    </w:p>
    <w:p w:rsidR="00091531" w:rsidP="00E5762B" w:rsidRDefault="00091531" w14:paraId="174D9BB0" w14:textId="77777777">
      <w:pPr>
        <w:pStyle w:val="BodyText"/>
        <w:spacing w:before="120"/>
        <w:rPr>
          <w:b/>
          <w:color w:val="000000"/>
        </w:rPr>
      </w:pPr>
    </w:p>
    <w:p w:rsidRPr="00E5762B" w:rsidR="007A63B0" w:rsidP="00E5762B" w:rsidRDefault="007A63B0" w14:paraId="175A6B55" w14:textId="77777777">
      <w:pPr>
        <w:pStyle w:val="BodyText"/>
        <w:spacing w:before="120"/>
        <w:rPr>
          <w:b/>
          <w:color w:val="000000"/>
        </w:rPr>
      </w:pPr>
      <w:r w:rsidRPr="00E5762B">
        <w:rPr>
          <w:b/>
          <w:color w:val="000000"/>
        </w:rPr>
        <w:t>B.4. Describe any tests of procedures or methods to be undertaken.</w:t>
      </w:r>
    </w:p>
    <w:p w:rsidR="005664C8" w:rsidP="00E5762B" w:rsidRDefault="005664C8" w14:paraId="5F991E82" w14:textId="77777777">
      <w:pPr>
        <w:pStyle w:val="BodyText"/>
        <w:spacing w:before="120"/>
        <w:rPr>
          <w:color w:val="000000"/>
        </w:rPr>
      </w:pPr>
      <w:r w:rsidRPr="00E5762B">
        <w:rPr>
          <w:color w:val="000000"/>
        </w:rPr>
        <w:t xml:space="preserve">The questions on the </w:t>
      </w:r>
      <w:r>
        <w:rPr>
          <w:color w:val="000000"/>
        </w:rPr>
        <w:t>NSBPAB</w:t>
      </w:r>
      <w:r w:rsidRPr="00E5762B">
        <w:rPr>
          <w:color w:val="000000"/>
        </w:rPr>
        <w:t xml:space="preserve"> have been cognitively tested and the web and paper survey instruments </w:t>
      </w:r>
      <w:r>
        <w:rPr>
          <w:color w:val="000000"/>
        </w:rPr>
        <w:t>will be</w:t>
      </w:r>
      <w:r w:rsidRPr="00E5762B">
        <w:rPr>
          <w:color w:val="000000"/>
        </w:rPr>
        <w:t xml:space="preserve"> subject</w:t>
      </w:r>
      <w:r>
        <w:rPr>
          <w:color w:val="000000"/>
        </w:rPr>
        <w:t>ed</w:t>
      </w:r>
      <w:r w:rsidRPr="00E5762B">
        <w:rPr>
          <w:color w:val="000000"/>
        </w:rPr>
        <w:t xml:space="preserve"> to usability testing</w:t>
      </w:r>
      <w:r>
        <w:rPr>
          <w:color w:val="000000"/>
        </w:rPr>
        <w:t xml:space="preserve"> with 18 participants</w:t>
      </w:r>
      <w:r w:rsidRPr="00E5762B">
        <w:rPr>
          <w:color w:val="000000"/>
        </w:rPr>
        <w:t xml:space="preserve">. </w:t>
      </w:r>
    </w:p>
    <w:p w:rsidRPr="00E5762B" w:rsidR="00E5762B" w:rsidP="00E5762B" w:rsidRDefault="005664C8" w14:paraId="02D45ECB" w14:textId="07A0DBD1">
      <w:pPr>
        <w:pStyle w:val="BodyText"/>
        <w:spacing w:before="120"/>
        <w:rPr>
          <w:color w:val="000000"/>
        </w:rPr>
      </w:pPr>
      <w:r>
        <w:rPr>
          <w:color w:val="000000"/>
        </w:rPr>
        <w:t>Additionally, a methodological experiment is planned for the Mini-Pilot Study</w:t>
      </w:r>
      <w:r w:rsidR="009A6F16">
        <w:rPr>
          <w:color w:val="000000"/>
        </w:rPr>
        <w:t xml:space="preserve"> (see Section B.4.4).</w:t>
      </w:r>
    </w:p>
    <w:p w:rsidR="005664C8" w:rsidP="00E5762B" w:rsidRDefault="00E5762B" w14:paraId="4245E4C2" w14:textId="36B25D51">
      <w:pPr>
        <w:pStyle w:val="BodyText"/>
        <w:spacing w:before="120"/>
        <w:rPr>
          <w:color w:val="000000"/>
          <w:u w:val="single"/>
        </w:rPr>
      </w:pPr>
      <w:r w:rsidRPr="00E5762B">
        <w:rPr>
          <w:color w:val="000000"/>
          <w:u w:val="single"/>
        </w:rPr>
        <w:t xml:space="preserve">B.4.1 </w:t>
      </w:r>
      <w:r w:rsidR="005664C8">
        <w:rPr>
          <w:color w:val="000000"/>
          <w:u w:val="single"/>
        </w:rPr>
        <w:t>Cognitive Testing of the Draft Survey Instrument</w:t>
      </w:r>
    </w:p>
    <w:p w:rsidR="00DB2AB4" w:rsidP="005664C8" w:rsidRDefault="005664C8" w14:paraId="4D11A390" w14:textId="44C9F9E5">
      <w:pPr>
        <w:pStyle w:val="BodyText"/>
        <w:spacing w:before="120"/>
        <w:rPr>
          <w:color w:val="000000"/>
        </w:rPr>
      </w:pPr>
      <w:r w:rsidRPr="005664C8">
        <w:rPr>
          <w:color w:val="000000"/>
        </w:rPr>
        <w:t>Cognitive testing uses in-depth interviewing to understand the mental processes respondents use to answer survey questions, evaluate questions against measurement objectives, and measure the accuracy of their response data</w:t>
      </w:r>
      <w:r>
        <w:rPr>
          <w:color w:val="000000"/>
        </w:rPr>
        <w:t>. In March of 2021, ICF cognitively tested the</w:t>
      </w:r>
      <w:r w:rsidRPr="005664C8">
        <w:rPr>
          <w:color w:val="000000"/>
        </w:rPr>
        <w:t xml:space="preserve"> </w:t>
      </w:r>
      <w:r>
        <w:rPr>
          <w:color w:val="000000"/>
        </w:rPr>
        <w:t>latest version of NSBPAB</w:t>
      </w:r>
      <w:r w:rsidRPr="005664C8">
        <w:rPr>
          <w:color w:val="000000"/>
        </w:rPr>
        <w:t xml:space="preserve"> </w:t>
      </w:r>
      <w:r>
        <w:rPr>
          <w:color w:val="000000"/>
        </w:rPr>
        <w:t>questionnaire</w:t>
      </w:r>
      <w:r w:rsidR="00DB2AB4">
        <w:rPr>
          <w:color w:val="000000"/>
        </w:rPr>
        <w:t xml:space="preserve"> by recruiting adult</w:t>
      </w:r>
      <w:r w:rsidRPr="005664C8">
        <w:rPr>
          <w:color w:val="000000"/>
        </w:rPr>
        <w:t xml:space="preserve"> participants using free and/or paid platforms to ensure nine completed interviews. </w:t>
      </w:r>
      <w:r w:rsidR="00DB2AB4">
        <w:t>A total of five cyclists, three non-cyclists</w:t>
      </w:r>
      <w:r w:rsidR="00040121">
        <w:t>,</w:t>
      </w:r>
      <w:r w:rsidR="00DB2AB4">
        <w:t xml:space="preserve"> and one person with a physical disability were invited to participate in a cognitive interview.</w:t>
      </w:r>
      <w:r w:rsidRPr="005664C8">
        <w:rPr>
          <w:color w:val="000000"/>
        </w:rPr>
        <w:t xml:space="preserve"> </w:t>
      </w:r>
    </w:p>
    <w:p w:rsidRPr="005664C8" w:rsidR="005664C8" w:rsidP="005664C8" w:rsidRDefault="00DB2AB4" w14:paraId="37FF6FF5" w14:textId="3F0AA45E">
      <w:pPr>
        <w:pStyle w:val="BodyText"/>
        <w:spacing w:before="120"/>
        <w:rPr>
          <w:color w:val="000000"/>
        </w:rPr>
      </w:pPr>
      <w:r>
        <w:rPr>
          <w:color w:val="000000"/>
        </w:rPr>
        <w:t>ICF conducted</w:t>
      </w:r>
      <w:r w:rsidRPr="005664C8" w:rsidR="005664C8">
        <w:rPr>
          <w:color w:val="000000"/>
        </w:rPr>
        <w:t xml:space="preserve"> the interviews remotely using screensharing and audioconference software. Each interview </w:t>
      </w:r>
      <w:r>
        <w:rPr>
          <w:color w:val="000000"/>
        </w:rPr>
        <w:t>lasted</w:t>
      </w:r>
      <w:r w:rsidRPr="005664C8" w:rsidR="005664C8">
        <w:rPr>
          <w:color w:val="000000"/>
        </w:rPr>
        <w:t xml:space="preserve"> between 60 and 90 minutes, and participants </w:t>
      </w:r>
      <w:r>
        <w:rPr>
          <w:color w:val="000000"/>
        </w:rPr>
        <w:t>were provided with a</w:t>
      </w:r>
      <w:r w:rsidRPr="005664C8" w:rsidR="005664C8">
        <w:rPr>
          <w:color w:val="000000"/>
        </w:rPr>
        <w:t xml:space="preserve"> $75 </w:t>
      </w:r>
      <w:r w:rsidR="0067184E">
        <w:rPr>
          <w:color w:val="000000"/>
        </w:rPr>
        <w:t>gift code</w:t>
      </w:r>
      <w:r>
        <w:rPr>
          <w:color w:val="000000"/>
        </w:rPr>
        <w:t xml:space="preserve"> as a thank you for their participation</w:t>
      </w:r>
      <w:r w:rsidRPr="005664C8" w:rsidR="005664C8">
        <w:rPr>
          <w:color w:val="000000"/>
        </w:rPr>
        <w:t xml:space="preserve">. </w:t>
      </w:r>
      <w:r>
        <w:rPr>
          <w:color w:val="000000"/>
        </w:rPr>
        <w:t>C</w:t>
      </w:r>
      <w:r w:rsidRPr="005664C8" w:rsidR="005664C8">
        <w:rPr>
          <w:color w:val="000000"/>
        </w:rPr>
        <w:t xml:space="preserve">ognitive interview results </w:t>
      </w:r>
      <w:r>
        <w:rPr>
          <w:color w:val="000000"/>
        </w:rPr>
        <w:t>were compiled</w:t>
      </w:r>
      <w:r w:rsidRPr="005664C8" w:rsidR="005664C8">
        <w:rPr>
          <w:color w:val="000000"/>
        </w:rPr>
        <w:t xml:space="preserve"> </w:t>
      </w:r>
      <w:r w:rsidR="00512A46">
        <w:rPr>
          <w:color w:val="000000"/>
        </w:rPr>
        <w:t xml:space="preserve">in </w:t>
      </w:r>
      <w:r w:rsidRPr="005664C8" w:rsidR="005664C8">
        <w:rPr>
          <w:color w:val="000000"/>
        </w:rPr>
        <w:t>a report with recommended changes to the questionnaire</w:t>
      </w:r>
      <w:r w:rsidR="00D34408">
        <w:rPr>
          <w:color w:val="000000"/>
        </w:rPr>
        <w:t xml:space="preserve"> such as refining images and making wording changes</w:t>
      </w:r>
      <w:r w:rsidRPr="005664C8" w:rsidR="005664C8">
        <w:rPr>
          <w:color w:val="000000"/>
        </w:rPr>
        <w:t>.</w:t>
      </w:r>
      <w:r w:rsidR="00D34408">
        <w:rPr>
          <w:color w:val="000000"/>
        </w:rPr>
        <w:t xml:space="preserve"> </w:t>
      </w:r>
      <w:r w:rsidR="00647C66">
        <w:rPr>
          <w:color w:val="000000"/>
        </w:rPr>
        <w:t>The questionnaire was revised based on the recommended changes</w:t>
      </w:r>
      <w:r w:rsidR="00D34408">
        <w:rPr>
          <w:color w:val="000000"/>
        </w:rPr>
        <w:t xml:space="preserve">. </w:t>
      </w:r>
      <w:r w:rsidRPr="005664C8" w:rsidR="005664C8">
        <w:rPr>
          <w:color w:val="000000"/>
        </w:rPr>
        <w:t xml:space="preserve"> </w:t>
      </w:r>
    </w:p>
    <w:p w:rsidR="005664C8" w:rsidP="00E5762B" w:rsidRDefault="005664C8" w14:paraId="73B2C477" w14:textId="77777777">
      <w:pPr>
        <w:pStyle w:val="BodyText"/>
        <w:spacing w:before="120"/>
        <w:rPr>
          <w:color w:val="000000"/>
          <w:u w:val="single"/>
        </w:rPr>
      </w:pPr>
    </w:p>
    <w:p w:rsidRPr="00E5762B" w:rsidR="00E5762B" w:rsidP="00E5762B" w:rsidRDefault="008719D6" w14:paraId="28454D17" w14:textId="00842924">
      <w:pPr>
        <w:pStyle w:val="BodyText"/>
        <w:spacing w:before="120"/>
        <w:rPr>
          <w:color w:val="000000"/>
          <w:u w:val="single"/>
        </w:rPr>
      </w:pPr>
      <w:r w:rsidRPr="00E5762B">
        <w:rPr>
          <w:color w:val="000000"/>
          <w:u w:val="single"/>
        </w:rPr>
        <w:t xml:space="preserve">B.4.2 </w:t>
      </w:r>
      <w:r w:rsidR="00AD16F2">
        <w:rPr>
          <w:color w:val="000000"/>
          <w:u w:val="single"/>
        </w:rPr>
        <w:t>Web-based</w:t>
      </w:r>
      <w:r w:rsidRPr="00E5762B" w:rsidR="00AD16F2">
        <w:rPr>
          <w:color w:val="000000"/>
          <w:u w:val="single"/>
        </w:rPr>
        <w:t xml:space="preserve"> </w:t>
      </w:r>
      <w:r w:rsidRPr="00E5762B" w:rsidR="00E5762B">
        <w:rPr>
          <w:color w:val="000000"/>
          <w:u w:val="single"/>
        </w:rPr>
        <w:t>Questionnaire Usability Testing</w:t>
      </w:r>
    </w:p>
    <w:p w:rsidRPr="00E5762B" w:rsidR="00E5762B" w:rsidP="00E5762B" w:rsidRDefault="00E5762B" w14:paraId="05AB3FCE" w14:textId="1A454490">
      <w:pPr>
        <w:pStyle w:val="BodyText"/>
        <w:spacing w:before="120"/>
        <w:rPr>
          <w:color w:val="000000"/>
        </w:rPr>
      </w:pPr>
      <w:r w:rsidRPr="00E5762B">
        <w:rPr>
          <w:color w:val="000000"/>
        </w:rPr>
        <w:t>During an in-person session</w:t>
      </w:r>
      <w:r w:rsidR="00DB2AB4">
        <w:rPr>
          <w:color w:val="000000"/>
        </w:rPr>
        <w:t xml:space="preserve"> </w:t>
      </w:r>
      <w:r w:rsidR="00822F03">
        <w:rPr>
          <w:color w:val="000000"/>
        </w:rPr>
        <w:t>scheduled for</w:t>
      </w:r>
      <w:r w:rsidR="00DB2AB4">
        <w:rPr>
          <w:color w:val="000000"/>
        </w:rPr>
        <w:t xml:space="preserve"> </w:t>
      </w:r>
      <w:r w:rsidR="0023425E">
        <w:rPr>
          <w:color w:val="000000"/>
        </w:rPr>
        <w:t>early 2022</w:t>
      </w:r>
      <w:r w:rsidRPr="00E5762B">
        <w:rPr>
          <w:color w:val="000000"/>
        </w:rPr>
        <w:t xml:space="preserve">, </w:t>
      </w:r>
      <w:r w:rsidR="00822F03">
        <w:rPr>
          <w:color w:val="000000"/>
        </w:rPr>
        <w:t xml:space="preserve">up to </w:t>
      </w:r>
      <w:r w:rsidR="00DB2AB4">
        <w:rPr>
          <w:color w:val="000000"/>
        </w:rPr>
        <w:t>nine</w:t>
      </w:r>
      <w:r w:rsidRPr="00E5762B">
        <w:rPr>
          <w:color w:val="000000"/>
        </w:rPr>
        <w:t xml:space="preserve"> </w:t>
      </w:r>
      <w:r w:rsidR="0023425E">
        <w:rPr>
          <w:color w:val="000000"/>
        </w:rPr>
        <w:t xml:space="preserve">mode-specific </w:t>
      </w:r>
      <w:r w:rsidRPr="00E5762B">
        <w:rPr>
          <w:color w:val="000000"/>
        </w:rPr>
        <w:t>participant</w:t>
      </w:r>
      <w:r w:rsidR="00DB2AB4">
        <w:rPr>
          <w:color w:val="000000"/>
        </w:rPr>
        <w:t>s</w:t>
      </w:r>
      <w:r w:rsidRPr="00E5762B">
        <w:rPr>
          <w:color w:val="000000"/>
        </w:rPr>
        <w:t xml:space="preserve"> </w:t>
      </w:r>
      <w:r w:rsidR="005664C8">
        <w:rPr>
          <w:color w:val="000000"/>
        </w:rPr>
        <w:t>will</w:t>
      </w:r>
      <w:r w:rsidR="00DB2AB4">
        <w:rPr>
          <w:color w:val="000000"/>
        </w:rPr>
        <w:t xml:space="preserve"> be</w:t>
      </w:r>
      <w:r w:rsidRPr="00E5762B">
        <w:rPr>
          <w:color w:val="000000"/>
        </w:rPr>
        <w:t xml:space="preserve"> asked to follow the instructions in the invitation letter as if </w:t>
      </w:r>
      <w:r w:rsidR="00822F03">
        <w:rPr>
          <w:color w:val="000000"/>
        </w:rPr>
        <w:t>they</w:t>
      </w:r>
      <w:r w:rsidRPr="00E5762B">
        <w:rPr>
          <w:color w:val="000000"/>
        </w:rPr>
        <w:t xml:space="preserve"> were at home, starting with going to the website and accessing the survey. The individual w</w:t>
      </w:r>
      <w:r w:rsidR="00DB2AB4">
        <w:rPr>
          <w:color w:val="000000"/>
        </w:rPr>
        <w:t>ill</w:t>
      </w:r>
      <w:r w:rsidRPr="00E5762B">
        <w:rPr>
          <w:color w:val="000000"/>
        </w:rPr>
        <w:t xml:space="preserve"> then ask to complete specific survey portions while thinking aloud. The facilitator</w:t>
      </w:r>
      <w:r w:rsidR="00DB2AB4">
        <w:rPr>
          <w:color w:val="000000"/>
        </w:rPr>
        <w:t xml:space="preserve"> will</w:t>
      </w:r>
      <w:r w:rsidRPr="00E5762B">
        <w:rPr>
          <w:color w:val="000000"/>
        </w:rPr>
        <w:t xml:space="preserve"> note errors and watch for hesitation, </w:t>
      </w:r>
      <w:r w:rsidRPr="00E5762B">
        <w:rPr>
          <w:color w:val="000000"/>
        </w:rPr>
        <w:lastRenderedPageBreak/>
        <w:t xml:space="preserve">confusion, or frustration. Web-based questionnaire testing will include both desktop and mobile devices. Tests </w:t>
      </w:r>
      <w:r w:rsidR="00DB2AB4">
        <w:rPr>
          <w:color w:val="000000"/>
        </w:rPr>
        <w:t>will be</w:t>
      </w:r>
      <w:r w:rsidRPr="00E5762B">
        <w:rPr>
          <w:color w:val="000000"/>
        </w:rPr>
        <w:t xml:space="preserve"> recorded </w:t>
      </w:r>
      <w:r w:rsidR="00DB2AB4">
        <w:rPr>
          <w:color w:val="000000"/>
        </w:rPr>
        <w:t>to identify</w:t>
      </w:r>
      <w:r w:rsidRPr="00E5762B">
        <w:rPr>
          <w:color w:val="000000"/>
        </w:rPr>
        <w:t>:</w:t>
      </w:r>
    </w:p>
    <w:p w:rsidRPr="00E5762B" w:rsidR="00E5762B" w:rsidP="00AA2649" w:rsidRDefault="00E5762B" w14:paraId="15BB8127" w14:textId="77777777">
      <w:pPr>
        <w:pStyle w:val="BodyText"/>
        <w:numPr>
          <w:ilvl w:val="0"/>
          <w:numId w:val="15"/>
        </w:numPr>
        <w:spacing w:before="120"/>
        <w:rPr>
          <w:color w:val="000000"/>
        </w:rPr>
      </w:pPr>
      <w:r w:rsidRPr="00E5762B">
        <w:rPr>
          <w:color w:val="000000"/>
        </w:rPr>
        <w:t xml:space="preserve">Problems with following invitation letter instructions and/or accessing the </w:t>
      </w:r>
      <w:proofErr w:type="gramStart"/>
      <w:r w:rsidRPr="00E5762B">
        <w:rPr>
          <w:color w:val="000000"/>
        </w:rPr>
        <w:t>survey</w:t>
      </w:r>
      <w:r w:rsidRPr="00E5762B" w:rsidDel="00515938">
        <w:rPr>
          <w:color w:val="000000"/>
        </w:rPr>
        <w:t>;</w:t>
      </w:r>
      <w:proofErr w:type="gramEnd"/>
    </w:p>
    <w:p w:rsidRPr="00E5762B" w:rsidR="00E5762B" w:rsidP="00AA2649" w:rsidRDefault="00E5762B" w14:paraId="55567B4D" w14:textId="77777777">
      <w:pPr>
        <w:pStyle w:val="BodyText"/>
        <w:numPr>
          <w:ilvl w:val="0"/>
          <w:numId w:val="15"/>
        </w:numPr>
        <w:spacing w:before="120"/>
        <w:rPr>
          <w:color w:val="000000"/>
        </w:rPr>
      </w:pPr>
      <w:r w:rsidRPr="00E5762B">
        <w:rPr>
          <w:color w:val="000000"/>
        </w:rPr>
        <w:t xml:space="preserve">Problems with navigating screens, sections, and </w:t>
      </w:r>
      <w:proofErr w:type="gramStart"/>
      <w:r w:rsidRPr="00E5762B">
        <w:rPr>
          <w:color w:val="000000"/>
        </w:rPr>
        <w:t>questions</w:t>
      </w:r>
      <w:r w:rsidRPr="00E5762B" w:rsidDel="00515938">
        <w:rPr>
          <w:color w:val="000000"/>
        </w:rPr>
        <w:t>;</w:t>
      </w:r>
      <w:proofErr w:type="gramEnd"/>
    </w:p>
    <w:p w:rsidRPr="00E5762B" w:rsidR="00E5762B" w:rsidP="00AA2649" w:rsidRDefault="00E5762B" w14:paraId="71C51369" w14:textId="77777777">
      <w:pPr>
        <w:pStyle w:val="BodyText"/>
        <w:numPr>
          <w:ilvl w:val="0"/>
          <w:numId w:val="15"/>
        </w:numPr>
        <w:spacing w:before="120"/>
        <w:rPr>
          <w:color w:val="000000"/>
        </w:rPr>
      </w:pPr>
      <w:r w:rsidRPr="00E5762B">
        <w:rPr>
          <w:color w:val="000000"/>
        </w:rPr>
        <w:t>Confusion about where and when responses are saved and returning to the survey later</w:t>
      </w:r>
      <w:r w:rsidRPr="00E5762B" w:rsidDel="00515938">
        <w:rPr>
          <w:color w:val="000000"/>
        </w:rPr>
        <w:t>; and</w:t>
      </w:r>
    </w:p>
    <w:p w:rsidRPr="00E5762B" w:rsidR="00E5762B" w:rsidP="00AA2649" w:rsidRDefault="00E5762B" w14:paraId="30868633" w14:textId="2F1B2FAC">
      <w:pPr>
        <w:pStyle w:val="BodyText"/>
        <w:numPr>
          <w:ilvl w:val="0"/>
          <w:numId w:val="15"/>
        </w:numPr>
        <w:spacing w:before="120"/>
        <w:rPr>
          <w:color w:val="000000"/>
        </w:rPr>
      </w:pPr>
      <w:r w:rsidRPr="00E5762B">
        <w:rPr>
          <w:color w:val="000000"/>
        </w:rPr>
        <w:t xml:space="preserve">Interface elements (e.g., icons, menus, buttons, forms, messages, warnings, alerts) </w:t>
      </w:r>
      <w:r w:rsidR="00822F03">
        <w:rPr>
          <w:color w:val="000000"/>
        </w:rPr>
        <w:t>that participants did not notice or understand or that do not behave as participants expect.</w:t>
      </w:r>
    </w:p>
    <w:p w:rsidRPr="00157C96" w:rsidR="00D31AF9" w:rsidP="00E5762B" w:rsidRDefault="00D31AF9" w14:paraId="33D73176" w14:textId="3482BBEA">
      <w:pPr>
        <w:pStyle w:val="BodyText"/>
        <w:spacing w:before="120"/>
        <w:rPr>
          <w:color w:val="000000"/>
        </w:rPr>
      </w:pPr>
      <w:r w:rsidRPr="00157C96">
        <w:rPr>
          <w:color w:val="000000"/>
        </w:rPr>
        <w:t xml:space="preserve">Adjustments </w:t>
      </w:r>
      <w:r w:rsidR="00DB2AB4">
        <w:rPr>
          <w:color w:val="000000"/>
        </w:rPr>
        <w:t xml:space="preserve">will be </w:t>
      </w:r>
      <w:r w:rsidRPr="00157C96">
        <w:rPr>
          <w:color w:val="000000"/>
        </w:rPr>
        <w:t xml:space="preserve">made to the </w:t>
      </w:r>
      <w:r w:rsidR="00157C96">
        <w:rPr>
          <w:color w:val="000000"/>
        </w:rPr>
        <w:t xml:space="preserve">web </w:t>
      </w:r>
      <w:r w:rsidRPr="00157C96">
        <w:rPr>
          <w:color w:val="000000"/>
        </w:rPr>
        <w:t>instrument based on the findings of this usability testing to correct for the above issues.</w:t>
      </w:r>
    </w:p>
    <w:p w:rsidRPr="00E5762B" w:rsidR="00E5762B" w:rsidP="00E5762B" w:rsidRDefault="00E5762B" w14:paraId="205DE93F" w14:textId="73913078">
      <w:pPr>
        <w:pStyle w:val="BodyText"/>
        <w:spacing w:before="120"/>
        <w:rPr>
          <w:color w:val="000000"/>
          <w:u w:val="single"/>
        </w:rPr>
      </w:pPr>
      <w:r w:rsidRPr="00E5762B">
        <w:rPr>
          <w:color w:val="000000"/>
          <w:u w:val="single"/>
        </w:rPr>
        <w:t>B.4.</w:t>
      </w:r>
      <w:r w:rsidR="008719D6">
        <w:rPr>
          <w:color w:val="000000"/>
          <w:u w:val="single"/>
        </w:rPr>
        <w:t>3</w:t>
      </w:r>
      <w:r w:rsidRPr="00E5762B">
        <w:rPr>
          <w:color w:val="000000"/>
          <w:u w:val="single"/>
        </w:rPr>
        <w:t xml:space="preserve"> Paper Questionnaire Usability Testing</w:t>
      </w:r>
    </w:p>
    <w:p w:rsidRPr="00E5762B" w:rsidR="00E5762B" w:rsidP="00E5762B" w:rsidRDefault="00E5762B" w14:paraId="4DC9D739" w14:textId="2939D8AC">
      <w:pPr>
        <w:pStyle w:val="BodyText"/>
        <w:spacing w:before="120"/>
        <w:rPr>
          <w:color w:val="000000"/>
        </w:rPr>
      </w:pPr>
      <w:r w:rsidRPr="00E5762B">
        <w:rPr>
          <w:color w:val="000000"/>
        </w:rPr>
        <w:t xml:space="preserve">During these in-person sessions, </w:t>
      </w:r>
      <w:r w:rsidR="00822F03">
        <w:rPr>
          <w:color w:val="000000"/>
        </w:rPr>
        <w:t xml:space="preserve">up to </w:t>
      </w:r>
      <w:r w:rsidR="00DB2AB4">
        <w:rPr>
          <w:color w:val="000000"/>
        </w:rPr>
        <w:t>nine</w:t>
      </w:r>
      <w:r w:rsidRPr="00E5762B">
        <w:rPr>
          <w:color w:val="000000"/>
        </w:rPr>
        <w:t xml:space="preserve"> participant</w:t>
      </w:r>
      <w:r w:rsidR="00DB2AB4">
        <w:rPr>
          <w:color w:val="000000"/>
        </w:rPr>
        <w:t>s</w:t>
      </w:r>
      <w:r w:rsidRPr="00E5762B">
        <w:rPr>
          <w:color w:val="000000"/>
        </w:rPr>
        <w:t xml:space="preserve"> </w:t>
      </w:r>
      <w:r w:rsidR="00DB2AB4">
        <w:rPr>
          <w:color w:val="000000"/>
        </w:rPr>
        <w:t>will be</w:t>
      </w:r>
      <w:r w:rsidRPr="00E5762B">
        <w:rPr>
          <w:color w:val="000000"/>
        </w:rPr>
        <w:t xml:space="preserve"> given a copy of the appropriate invitation/reminder letter and the paper survey packet and asked to complete survey items while thinking aloud. </w:t>
      </w:r>
      <w:r w:rsidR="008D6DA3">
        <w:rPr>
          <w:color w:val="000000"/>
        </w:rPr>
        <w:t>Test</w:t>
      </w:r>
      <w:r w:rsidR="00157C96">
        <w:rPr>
          <w:color w:val="000000"/>
        </w:rPr>
        <w:t>s</w:t>
      </w:r>
      <w:r w:rsidR="008D6DA3">
        <w:rPr>
          <w:color w:val="000000"/>
        </w:rPr>
        <w:t xml:space="preserve"> </w:t>
      </w:r>
      <w:r w:rsidR="00DB2AB4">
        <w:rPr>
          <w:color w:val="000000"/>
        </w:rPr>
        <w:t>will be</w:t>
      </w:r>
      <w:r w:rsidR="008D6DA3">
        <w:rPr>
          <w:color w:val="000000"/>
        </w:rPr>
        <w:t xml:space="preserve"> recorded </w:t>
      </w:r>
      <w:r w:rsidR="00DB2AB4">
        <w:rPr>
          <w:color w:val="000000"/>
        </w:rPr>
        <w:t>to identify</w:t>
      </w:r>
      <w:r w:rsidR="008D6DA3">
        <w:rPr>
          <w:color w:val="000000"/>
        </w:rPr>
        <w:t xml:space="preserve">: </w:t>
      </w:r>
    </w:p>
    <w:p w:rsidRPr="00E5762B" w:rsidR="00E5762B" w:rsidP="00AA2649" w:rsidRDefault="00E5762B" w14:paraId="53528E88" w14:textId="77777777">
      <w:pPr>
        <w:pStyle w:val="BodyText"/>
        <w:numPr>
          <w:ilvl w:val="0"/>
          <w:numId w:val="16"/>
        </w:numPr>
        <w:spacing w:before="120"/>
        <w:rPr>
          <w:color w:val="000000"/>
        </w:rPr>
      </w:pPr>
      <w:r w:rsidRPr="00E5762B">
        <w:rPr>
          <w:color w:val="000000"/>
        </w:rPr>
        <w:t xml:space="preserve">Not marking answers in the correct location or answers not fitting in the space </w:t>
      </w:r>
      <w:proofErr w:type="gramStart"/>
      <w:r w:rsidRPr="00E5762B">
        <w:rPr>
          <w:color w:val="000000"/>
        </w:rPr>
        <w:t>provided;</w:t>
      </w:r>
      <w:proofErr w:type="gramEnd"/>
    </w:p>
    <w:p w:rsidRPr="00E5762B" w:rsidR="00E5762B" w:rsidP="00AA2649" w:rsidRDefault="00E5762B" w14:paraId="2132D5AB" w14:textId="77777777">
      <w:pPr>
        <w:pStyle w:val="BodyText"/>
        <w:numPr>
          <w:ilvl w:val="0"/>
          <w:numId w:val="16"/>
        </w:numPr>
        <w:spacing w:before="120"/>
        <w:rPr>
          <w:color w:val="000000"/>
        </w:rPr>
      </w:pPr>
      <w:r w:rsidRPr="00E5762B">
        <w:rPr>
          <w:color w:val="000000"/>
        </w:rPr>
        <w:t>Missing or misunderstanding instructions (e.g., choosing multiple responses in a case where only one response is allowed); and</w:t>
      </w:r>
    </w:p>
    <w:p w:rsidRPr="00E5762B" w:rsidR="00E5762B" w:rsidP="00AA2649" w:rsidRDefault="00E5762B" w14:paraId="363BC7EE" w14:textId="77777777">
      <w:pPr>
        <w:pStyle w:val="BodyText"/>
        <w:numPr>
          <w:ilvl w:val="0"/>
          <w:numId w:val="16"/>
        </w:numPr>
        <w:spacing w:before="120"/>
        <w:rPr>
          <w:color w:val="000000"/>
        </w:rPr>
      </w:pPr>
      <w:r w:rsidRPr="00E5762B">
        <w:rPr>
          <w:color w:val="000000"/>
        </w:rPr>
        <w:t>Difficulty following skip patterns or answering questions as “not applicable.”</w:t>
      </w:r>
    </w:p>
    <w:p w:rsidR="00D31AF9" w:rsidP="00D31AF9" w:rsidRDefault="00D31AF9" w14:paraId="2E71C1E4" w14:textId="01094D16">
      <w:pPr>
        <w:pStyle w:val="BodyText"/>
        <w:spacing w:before="120"/>
        <w:rPr>
          <w:color w:val="000000"/>
        </w:rPr>
      </w:pPr>
      <w:r w:rsidRPr="00157C96">
        <w:rPr>
          <w:color w:val="000000"/>
        </w:rPr>
        <w:t xml:space="preserve">Adjustments </w:t>
      </w:r>
      <w:r w:rsidR="008719D6">
        <w:rPr>
          <w:color w:val="000000"/>
        </w:rPr>
        <w:t>will be</w:t>
      </w:r>
      <w:r w:rsidRPr="00157C96">
        <w:rPr>
          <w:color w:val="000000"/>
        </w:rPr>
        <w:t xml:space="preserve"> made to the </w:t>
      </w:r>
      <w:r w:rsidR="00157C96">
        <w:rPr>
          <w:color w:val="000000"/>
        </w:rPr>
        <w:t xml:space="preserve">paper </w:t>
      </w:r>
      <w:r w:rsidRPr="00157C96">
        <w:rPr>
          <w:color w:val="000000"/>
        </w:rPr>
        <w:t>instrument based on the findings of this usability testing to correct for the above issues.</w:t>
      </w:r>
    </w:p>
    <w:p w:rsidRPr="009A6F16" w:rsidR="009A6F16" w:rsidP="009A6F16" w:rsidRDefault="009A6F16" w14:paraId="6B49EAD9" w14:textId="77777777">
      <w:pPr>
        <w:pStyle w:val="BodyText"/>
        <w:spacing w:before="120"/>
        <w:rPr>
          <w:color w:val="000000"/>
          <w:u w:val="single"/>
        </w:rPr>
      </w:pPr>
      <w:r w:rsidRPr="009A6F16">
        <w:rPr>
          <w:color w:val="000000"/>
          <w:u w:val="single"/>
        </w:rPr>
        <w:t>B.4.4 Pilot Testing</w:t>
      </w:r>
    </w:p>
    <w:p w:rsidRPr="009A6F16" w:rsidR="009A6F16" w:rsidP="009A6F16" w:rsidRDefault="009A6F16" w14:paraId="0DC3647F" w14:textId="77777777">
      <w:pPr>
        <w:pStyle w:val="BodyText"/>
        <w:spacing w:before="120"/>
        <w:rPr>
          <w:color w:val="000000"/>
        </w:rPr>
      </w:pPr>
      <w:r w:rsidRPr="009A6F16">
        <w:rPr>
          <w:color w:val="000000"/>
        </w:rPr>
        <w:t>The pilot test will be used to test the entire survey administration system prior to launching the full study. We propose conducting a Mini-Pilot using the approved web and paper survey prototypes with 150 respondents in both English and Spanish. We will administer the survey with 150 respondents using the same data collection protocols as the full study. While all records will receive a $1 pre-incentive, we will include two experimental conditions varying the post-incentive—one group will receive $5 and one group will receive $10. We will equally split the sample across the two conditions to evaluate the most effective approach.</w:t>
      </w:r>
    </w:p>
    <w:p w:rsidR="007A63B0" w:rsidP="00E5762B" w:rsidRDefault="007A63B0" w14:paraId="5D2805CB" w14:textId="77777777">
      <w:pPr>
        <w:pStyle w:val="BodyText"/>
        <w:spacing w:before="120"/>
        <w:rPr>
          <w:color w:val="000000"/>
        </w:rPr>
      </w:pPr>
    </w:p>
    <w:p w:rsidRPr="00AA2649" w:rsidR="007A63B0" w:rsidP="00E5762B" w:rsidRDefault="007A63B0" w14:paraId="63731EE6" w14:textId="77777777">
      <w:pPr>
        <w:pStyle w:val="BodyText"/>
        <w:spacing w:before="120"/>
        <w:rPr>
          <w:b/>
          <w:color w:val="000000"/>
        </w:rPr>
      </w:pPr>
      <w:r w:rsidRPr="00AA2649">
        <w:rPr>
          <w:b/>
          <w:color w:val="000000"/>
        </w:rPr>
        <w:t>B.5. Provide the name and telephone number of individuals consulted on statistical aspects of the design.</w:t>
      </w:r>
    </w:p>
    <w:p w:rsidR="007A63B0" w:rsidP="007A63B0" w:rsidRDefault="007A63B0" w14:paraId="52755BCF" w14:textId="77777777">
      <w:pPr>
        <w:widowControl w:val="0"/>
        <w:autoSpaceDE w:val="0"/>
        <w:autoSpaceDN w:val="0"/>
        <w:adjustRightInd w:val="0"/>
      </w:pPr>
    </w:p>
    <w:p w:rsidR="007A63B0" w:rsidP="007A63B0" w:rsidRDefault="007A63B0" w14:paraId="7B4FF082" w14:textId="4A5BA21D">
      <w:pPr>
        <w:widowControl w:val="0"/>
        <w:autoSpaceDE w:val="0"/>
        <w:autoSpaceDN w:val="0"/>
        <w:adjustRightInd w:val="0"/>
      </w:pPr>
      <w:r>
        <w:t>The following individuals have reviewed technical and statistical aspects of procedures that will be used to conduct the 20</w:t>
      </w:r>
      <w:r w:rsidR="00AD16F2">
        <w:t>20</w:t>
      </w:r>
      <w:r>
        <w:t xml:space="preserve"> </w:t>
      </w:r>
      <w:r w:rsidR="000218FB">
        <w:t>NSBPAB</w:t>
      </w:r>
      <w:r>
        <w:t>:</w:t>
      </w:r>
    </w:p>
    <w:p w:rsidR="007A63B0" w:rsidP="007A63B0" w:rsidRDefault="007A63B0" w14:paraId="44CAA309" w14:textId="77777777">
      <w:pPr>
        <w:widowControl w:val="0"/>
        <w:autoSpaceDE w:val="0"/>
        <w:autoSpaceDN w:val="0"/>
        <w:adjustRightInd w:val="0"/>
      </w:pPr>
    </w:p>
    <w:tbl>
      <w:tblPr>
        <w:tblStyle w:val="TableGrid"/>
        <w:tblW w:w="4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546CFD" w:rsidR="00AD16F2" w:rsidTr="001E15D6" w14:paraId="714AC9F0" w14:textId="77777777">
        <w:trPr>
          <w:trHeight w:val="648"/>
        </w:trPr>
        <w:tc>
          <w:tcPr>
            <w:tcW w:w="4675" w:type="dxa"/>
          </w:tcPr>
          <w:p w:rsidR="00AD16F2" w:rsidP="001920BC" w:rsidRDefault="00AD16F2" w14:paraId="2CDD7B32" w14:textId="77777777">
            <w:pPr>
              <w:widowControl w:val="0"/>
              <w:autoSpaceDE w:val="0"/>
              <w:autoSpaceDN w:val="0"/>
              <w:adjustRightInd w:val="0"/>
              <w:jc w:val="both"/>
            </w:pPr>
            <w:r>
              <w:t>Kristie Johnson</w:t>
            </w:r>
          </w:p>
          <w:p w:rsidR="00AD16F2" w:rsidP="001920BC" w:rsidRDefault="00AD16F2" w14:paraId="47CBE85B" w14:textId="77777777">
            <w:pPr>
              <w:widowControl w:val="0"/>
              <w:autoSpaceDE w:val="0"/>
              <w:autoSpaceDN w:val="0"/>
              <w:adjustRightInd w:val="0"/>
              <w:jc w:val="both"/>
            </w:pPr>
            <w:r>
              <w:t>NHTSA Project Manager / COR(TO)</w:t>
            </w:r>
          </w:p>
          <w:p w:rsidR="00AD16F2" w:rsidP="001920BC" w:rsidRDefault="00AD16F2" w14:paraId="749DD7ED" w14:textId="77777777">
            <w:pPr>
              <w:widowControl w:val="0"/>
              <w:autoSpaceDE w:val="0"/>
              <w:autoSpaceDN w:val="0"/>
              <w:adjustRightInd w:val="0"/>
              <w:jc w:val="both"/>
            </w:pPr>
            <w:r>
              <w:t>Research Psychologist</w:t>
            </w:r>
          </w:p>
          <w:p w:rsidR="00AD16F2" w:rsidP="001920BC" w:rsidRDefault="00AD16F2" w14:paraId="66719C60" w14:textId="77777777">
            <w:pPr>
              <w:widowControl w:val="0"/>
              <w:autoSpaceDE w:val="0"/>
              <w:autoSpaceDN w:val="0"/>
              <w:adjustRightInd w:val="0"/>
              <w:jc w:val="both"/>
            </w:pPr>
            <w:r>
              <w:t>1200 New Jersey Avenue, SE</w:t>
            </w:r>
          </w:p>
          <w:p w:rsidR="00AD16F2" w:rsidP="001920BC" w:rsidRDefault="00AD16F2" w14:paraId="2F8903B1" w14:textId="77777777">
            <w:pPr>
              <w:widowControl w:val="0"/>
              <w:autoSpaceDE w:val="0"/>
              <w:autoSpaceDN w:val="0"/>
              <w:adjustRightInd w:val="0"/>
              <w:jc w:val="both"/>
            </w:pPr>
            <w:r>
              <w:lastRenderedPageBreak/>
              <w:t>Washington, DC 20590</w:t>
            </w:r>
          </w:p>
          <w:p w:rsidR="00AD16F2" w:rsidP="001920BC" w:rsidRDefault="00AD16F2" w14:paraId="365F5799" w14:textId="77777777">
            <w:pPr>
              <w:widowControl w:val="0"/>
              <w:autoSpaceDE w:val="0"/>
              <w:autoSpaceDN w:val="0"/>
              <w:adjustRightInd w:val="0"/>
              <w:jc w:val="both"/>
            </w:pPr>
            <w:r>
              <w:t>202-366-2755</w:t>
            </w:r>
          </w:p>
          <w:p w:rsidR="00AD16F2" w:rsidP="001920BC" w:rsidRDefault="00AD16F2" w14:paraId="02B04833" w14:textId="77777777">
            <w:pPr>
              <w:widowControl w:val="0"/>
              <w:autoSpaceDE w:val="0"/>
              <w:autoSpaceDN w:val="0"/>
              <w:adjustRightInd w:val="0"/>
              <w:jc w:val="both"/>
            </w:pPr>
            <w:r>
              <w:t>E-mail: kristie.johnson@dot.gov</w:t>
            </w:r>
          </w:p>
          <w:p w:rsidR="00AD16F2" w:rsidP="001920BC" w:rsidRDefault="00AD16F2" w14:paraId="3FCE882C" w14:textId="77777777">
            <w:pPr>
              <w:widowControl w:val="0"/>
              <w:autoSpaceDE w:val="0"/>
              <w:autoSpaceDN w:val="0"/>
              <w:adjustRightInd w:val="0"/>
              <w:jc w:val="both"/>
            </w:pPr>
          </w:p>
        </w:tc>
      </w:tr>
      <w:tr w:rsidRPr="00546CFD" w:rsidR="00AD16F2" w:rsidTr="001E15D6" w14:paraId="7281ECBB" w14:textId="77777777">
        <w:trPr>
          <w:trHeight w:val="648"/>
        </w:trPr>
        <w:tc>
          <w:tcPr>
            <w:tcW w:w="4675" w:type="dxa"/>
          </w:tcPr>
          <w:p w:rsidR="00AD16F2" w:rsidP="001920BC" w:rsidRDefault="00CE608E" w14:paraId="5D31F7BE" w14:textId="2B81A571">
            <w:pPr>
              <w:widowControl w:val="0"/>
              <w:autoSpaceDE w:val="0"/>
              <w:autoSpaceDN w:val="0"/>
              <w:adjustRightInd w:val="0"/>
              <w:jc w:val="both"/>
            </w:pPr>
            <w:r>
              <w:lastRenderedPageBreak/>
              <w:t>Olivia Saucier</w:t>
            </w:r>
          </w:p>
          <w:p w:rsidR="00AD16F2" w:rsidP="001920BC" w:rsidRDefault="00AD16F2" w14:paraId="60FA2217" w14:textId="3A4131B0">
            <w:pPr>
              <w:widowControl w:val="0"/>
              <w:autoSpaceDE w:val="0"/>
              <w:autoSpaceDN w:val="0"/>
              <w:adjustRightInd w:val="0"/>
              <w:jc w:val="both"/>
            </w:pPr>
            <w:r>
              <w:t>ICF</w:t>
            </w:r>
            <w:r w:rsidR="007D0C76">
              <w:t xml:space="preserve">, </w:t>
            </w:r>
            <w:r w:rsidR="005664C8">
              <w:t>Survey Manager</w:t>
            </w:r>
            <w:r w:rsidR="00BB309A">
              <w:t xml:space="preserve"> (Contractor)</w:t>
            </w:r>
          </w:p>
          <w:p w:rsidR="00AD16F2" w:rsidP="001920BC" w:rsidRDefault="00AD16F2" w14:paraId="76FAC609" w14:textId="77777777">
            <w:pPr>
              <w:widowControl w:val="0"/>
              <w:autoSpaceDE w:val="0"/>
              <w:autoSpaceDN w:val="0"/>
              <w:adjustRightInd w:val="0"/>
              <w:jc w:val="both"/>
            </w:pPr>
            <w:r>
              <w:t>126 College St</w:t>
            </w:r>
          </w:p>
          <w:p w:rsidR="00AD16F2" w:rsidP="001920BC" w:rsidRDefault="00AD16F2" w14:paraId="0D8C46E0" w14:textId="77777777">
            <w:pPr>
              <w:widowControl w:val="0"/>
              <w:autoSpaceDE w:val="0"/>
              <w:autoSpaceDN w:val="0"/>
              <w:adjustRightInd w:val="0"/>
              <w:jc w:val="both"/>
            </w:pPr>
            <w:r>
              <w:t>Burlington, VT 05401</w:t>
            </w:r>
          </w:p>
          <w:p w:rsidR="00CE608E" w:rsidP="001920BC" w:rsidRDefault="00CE608E" w14:paraId="0FD9A155" w14:textId="77777777">
            <w:pPr>
              <w:widowControl w:val="0"/>
              <w:autoSpaceDE w:val="0"/>
              <w:autoSpaceDN w:val="0"/>
              <w:adjustRightInd w:val="0"/>
              <w:jc w:val="both"/>
            </w:pPr>
            <w:r w:rsidRPr="00CE608E">
              <w:t>703-934-3004</w:t>
            </w:r>
          </w:p>
          <w:p w:rsidR="007D0C76" w:rsidP="001920BC" w:rsidRDefault="00497F8A" w14:paraId="47D3909F" w14:textId="4ED75DBE">
            <w:pPr>
              <w:widowControl w:val="0"/>
              <w:autoSpaceDE w:val="0"/>
              <w:autoSpaceDN w:val="0"/>
              <w:adjustRightInd w:val="0"/>
              <w:jc w:val="both"/>
            </w:pPr>
            <w:r>
              <w:t>olivia.saucier</w:t>
            </w:r>
            <w:r w:rsidR="007D0C76">
              <w:t>@icf.com</w:t>
            </w:r>
          </w:p>
          <w:p w:rsidR="00AD16F2" w:rsidP="00AA2649" w:rsidRDefault="00AD16F2" w14:paraId="1A60113C" w14:textId="77777777">
            <w:pPr>
              <w:widowControl w:val="0"/>
              <w:autoSpaceDE w:val="0"/>
              <w:autoSpaceDN w:val="0"/>
              <w:adjustRightInd w:val="0"/>
              <w:jc w:val="both"/>
            </w:pPr>
          </w:p>
        </w:tc>
      </w:tr>
      <w:tr w:rsidRPr="005664C8" w:rsidR="00AD16F2" w:rsidTr="001E15D6" w14:paraId="55D30121" w14:textId="77777777">
        <w:trPr>
          <w:trHeight w:val="648"/>
        </w:trPr>
        <w:tc>
          <w:tcPr>
            <w:tcW w:w="4675" w:type="dxa"/>
          </w:tcPr>
          <w:p w:rsidR="00AD16F2" w:rsidP="00AA2649" w:rsidRDefault="00AD16F2" w14:paraId="7D63BC23" w14:textId="77777777">
            <w:pPr>
              <w:widowControl w:val="0"/>
              <w:autoSpaceDE w:val="0"/>
              <w:autoSpaceDN w:val="0"/>
              <w:adjustRightInd w:val="0"/>
              <w:jc w:val="both"/>
            </w:pPr>
            <w:r>
              <w:t>Kisha Bailly</w:t>
            </w:r>
          </w:p>
          <w:p w:rsidR="00AD16F2" w:rsidP="00AA2649" w:rsidRDefault="00AD16F2" w14:paraId="763594CE" w14:textId="42A92F42">
            <w:pPr>
              <w:widowControl w:val="0"/>
              <w:autoSpaceDE w:val="0"/>
              <w:autoSpaceDN w:val="0"/>
              <w:adjustRightInd w:val="0"/>
              <w:jc w:val="both"/>
            </w:pPr>
            <w:r>
              <w:t>ICF</w:t>
            </w:r>
            <w:r w:rsidR="007D0C76">
              <w:t xml:space="preserve">, </w:t>
            </w:r>
            <w:r w:rsidR="005664C8">
              <w:t>Quality Assurance Reviewer</w:t>
            </w:r>
            <w:r w:rsidR="00BB309A">
              <w:t xml:space="preserve"> (Contractor)</w:t>
            </w:r>
          </w:p>
          <w:p w:rsidR="00AD16F2" w:rsidP="00AA2649" w:rsidRDefault="00AD16F2" w14:paraId="009A9A0D" w14:textId="77777777">
            <w:pPr>
              <w:widowControl w:val="0"/>
              <w:autoSpaceDE w:val="0"/>
              <w:autoSpaceDN w:val="0"/>
              <w:adjustRightInd w:val="0"/>
              <w:jc w:val="both"/>
            </w:pPr>
            <w:r>
              <w:t>530 Gaither Road, Suite 500</w:t>
            </w:r>
          </w:p>
          <w:p w:rsidRPr="005664C8" w:rsidR="00AD16F2" w:rsidP="00AA2649" w:rsidRDefault="00AD16F2" w14:paraId="461497E6" w14:textId="77777777">
            <w:pPr>
              <w:widowControl w:val="0"/>
              <w:autoSpaceDE w:val="0"/>
              <w:autoSpaceDN w:val="0"/>
              <w:adjustRightInd w:val="0"/>
              <w:jc w:val="both"/>
            </w:pPr>
            <w:r w:rsidRPr="005664C8">
              <w:t>Rockville, MD 20850</w:t>
            </w:r>
          </w:p>
          <w:p w:rsidRPr="005664C8" w:rsidR="00AD16F2" w:rsidP="00AA2649" w:rsidRDefault="008B12ED" w14:paraId="1F142EB8" w14:textId="50E83AE4">
            <w:pPr>
              <w:widowControl w:val="0"/>
              <w:autoSpaceDE w:val="0"/>
              <w:autoSpaceDN w:val="0"/>
              <w:adjustRightInd w:val="0"/>
              <w:jc w:val="both"/>
            </w:pPr>
            <w:r>
              <w:t>612-455-7471</w:t>
            </w:r>
          </w:p>
          <w:p w:rsidRPr="005664C8" w:rsidR="007D0C76" w:rsidP="00AA2649" w:rsidRDefault="007D0C76" w14:paraId="645117D1" w14:textId="77777777">
            <w:pPr>
              <w:widowControl w:val="0"/>
              <w:autoSpaceDE w:val="0"/>
              <w:autoSpaceDN w:val="0"/>
              <w:adjustRightInd w:val="0"/>
              <w:jc w:val="both"/>
            </w:pPr>
            <w:r w:rsidRPr="005664C8">
              <w:t>kisha.bailly@icf.com</w:t>
            </w:r>
          </w:p>
          <w:p w:rsidRPr="005664C8" w:rsidR="00AD16F2" w:rsidP="005B20B8" w:rsidRDefault="00AD16F2" w14:paraId="160B9800" w14:textId="77777777">
            <w:pPr>
              <w:pStyle w:val="L1-FlLSp12"/>
              <w:spacing w:line="240" w:lineRule="auto"/>
              <w:rPr>
                <w:sz w:val="20"/>
              </w:rPr>
            </w:pPr>
          </w:p>
        </w:tc>
      </w:tr>
      <w:tr w:rsidRPr="00546CFD" w:rsidR="00AD16F2" w:rsidTr="001E15D6" w14:paraId="094CEEF7" w14:textId="77777777">
        <w:tc>
          <w:tcPr>
            <w:tcW w:w="4675" w:type="dxa"/>
          </w:tcPr>
          <w:p w:rsidR="00AD16F2" w:rsidP="001920BC" w:rsidRDefault="00AD16F2" w14:paraId="1ADF339F" w14:textId="77777777">
            <w:pPr>
              <w:widowControl w:val="0"/>
              <w:autoSpaceDE w:val="0"/>
              <w:autoSpaceDN w:val="0"/>
              <w:adjustRightInd w:val="0"/>
              <w:jc w:val="both"/>
            </w:pPr>
            <w:r>
              <w:t>Randy ZuWallack</w:t>
            </w:r>
          </w:p>
          <w:p w:rsidR="00AD16F2" w:rsidP="001920BC" w:rsidRDefault="00AD16F2" w14:paraId="7FCC0C10" w14:textId="77777777">
            <w:pPr>
              <w:widowControl w:val="0"/>
              <w:autoSpaceDE w:val="0"/>
              <w:autoSpaceDN w:val="0"/>
              <w:adjustRightInd w:val="0"/>
              <w:jc w:val="both"/>
            </w:pPr>
            <w:r>
              <w:t>ICF</w:t>
            </w:r>
            <w:r w:rsidR="007D0C76">
              <w:t>, S</w:t>
            </w:r>
            <w:r w:rsidR="00BB309A">
              <w:t>enio</w:t>
            </w:r>
            <w:r w:rsidR="007D0C76">
              <w:t>r Statistician</w:t>
            </w:r>
            <w:r w:rsidR="00BB309A">
              <w:t xml:space="preserve"> (Contractor)</w:t>
            </w:r>
          </w:p>
          <w:p w:rsidR="00AD16F2" w:rsidP="001920BC" w:rsidRDefault="00AD16F2" w14:paraId="51F7AF95" w14:textId="77777777">
            <w:pPr>
              <w:widowControl w:val="0"/>
              <w:autoSpaceDE w:val="0"/>
              <w:autoSpaceDN w:val="0"/>
              <w:adjustRightInd w:val="0"/>
              <w:jc w:val="both"/>
            </w:pPr>
            <w:r>
              <w:t>126 College St</w:t>
            </w:r>
          </w:p>
          <w:p w:rsidR="00AD16F2" w:rsidP="001920BC" w:rsidRDefault="00AD16F2" w14:paraId="2617C504" w14:textId="77777777">
            <w:pPr>
              <w:widowControl w:val="0"/>
              <w:autoSpaceDE w:val="0"/>
              <w:autoSpaceDN w:val="0"/>
              <w:adjustRightInd w:val="0"/>
              <w:jc w:val="both"/>
            </w:pPr>
            <w:r>
              <w:t>Burlington, VT 05401</w:t>
            </w:r>
          </w:p>
          <w:p w:rsidR="00AD16F2" w:rsidP="001920BC" w:rsidRDefault="00AD16F2" w14:paraId="78EDF4C7" w14:textId="77777777">
            <w:pPr>
              <w:widowControl w:val="0"/>
              <w:autoSpaceDE w:val="0"/>
              <w:autoSpaceDN w:val="0"/>
              <w:adjustRightInd w:val="0"/>
              <w:jc w:val="both"/>
            </w:pPr>
            <w:r>
              <w:t>802-264-3724</w:t>
            </w:r>
          </w:p>
          <w:p w:rsidR="007D0C76" w:rsidP="001920BC" w:rsidRDefault="007D0C76" w14:paraId="5BD47DB0" w14:textId="77777777">
            <w:pPr>
              <w:widowControl w:val="0"/>
              <w:autoSpaceDE w:val="0"/>
              <w:autoSpaceDN w:val="0"/>
              <w:adjustRightInd w:val="0"/>
              <w:jc w:val="both"/>
            </w:pPr>
            <w:r>
              <w:t>randy.zuwallack@icf.com</w:t>
            </w:r>
          </w:p>
          <w:p w:rsidRPr="00546CFD" w:rsidR="00AD16F2" w:rsidP="005B20B8" w:rsidRDefault="00AD16F2" w14:paraId="01E6AB79" w14:textId="77777777">
            <w:pPr>
              <w:pStyle w:val="L1-FlLSp12"/>
              <w:spacing w:line="240" w:lineRule="auto"/>
              <w:rPr>
                <w:sz w:val="20"/>
              </w:rPr>
            </w:pPr>
          </w:p>
        </w:tc>
      </w:tr>
    </w:tbl>
    <w:p w:rsidR="00AA2649" w:rsidP="00AA2649" w:rsidRDefault="00AA2649" w14:paraId="67784170" w14:textId="77777777">
      <w:pPr>
        <w:widowControl w:val="0"/>
        <w:autoSpaceDE w:val="0"/>
        <w:autoSpaceDN w:val="0"/>
        <w:adjustRightInd w:val="0"/>
        <w:jc w:val="both"/>
      </w:pPr>
    </w:p>
    <w:p w:rsidR="00AA2649" w:rsidP="00AA2649" w:rsidRDefault="00AA2649" w14:paraId="0B735001" w14:textId="77777777">
      <w:pPr>
        <w:widowControl w:val="0"/>
        <w:autoSpaceDE w:val="0"/>
        <w:autoSpaceDN w:val="0"/>
        <w:adjustRightInd w:val="0"/>
        <w:jc w:val="both"/>
      </w:pPr>
    </w:p>
    <w:p w:rsidR="007A63B0" w:rsidP="007A63B0" w:rsidRDefault="007A63B0" w14:paraId="61D0F740" w14:textId="77777777">
      <w:pPr>
        <w:widowControl w:val="0"/>
        <w:autoSpaceDE w:val="0"/>
        <w:autoSpaceDN w:val="0"/>
        <w:adjustRightInd w:val="0"/>
        <w:jc w:val="both"/>
      </w:pPr>
      <w:r>
        <w:t xml:space="preserve"> </w:t>
      </w:r>
    </w:p>
    <w:p w:rsidR="00C92CB1" w:rsidP="007A63B0" w:rsidRDefault="00C92CB1" w14:paraId="28AA37A1" w14:textId="77777777">
      <w:pPr>
        <w:pStyle w:val="Heading4"/>
        <w:spacing w:after="120" w:line="316" w:lineRule="exact"/>
        <w:jc w:val="both"/>
      </w:pPr>
    </w:p>
    <w:sectPr w:rsidR="00C92CB1" w:rsidSect="00091531">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1458" w14:textId="77777777" w:rsidR="009B20EE" w:rsidRDefault="009B20EE" w:rsidP="003D2A3F">
      <w:r>
        <w:separator/>
      </w:r>
    </w:p>
  </w:endnote>
  <w:endnote w:type="continuationSeparator" w:id="0">
    <w:p w14:paraId="487BDB40" w14:textId="77777777" w:rsidR="009B20EE" w:rsidRDefault="009B20EE" w:rsidP="003D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53B0" w14:textId="04C2E109" w:rsidR="00040121" w:rsidRDefault="00040121" w:rsidP="007643DA">
    <w:pPr>
      <w:pStyle w:val="Footer"/>
      <w:jc w:val="right"/>
    </w:pPr>
    <w:r>
      <w:rPr>
        <w:noProof/>
      </w:rPr>
      <w:fldChar w:fldCharType="begin"/>
    </w:r>
    <w:r>
      <w:rPr>
        <w:noProof/>
      </w:rPr>
      <w:instrText xml:space="preserve"> PAGE   \* MERGEFORMAT </w:instrText>
    </w:r>
    <w:r>
      <w:rPr>
        <w:noProof/>
      </w:rPr>
      <w:fldChar w:fldCharType="separate"/>
    </w:r>
    <w:r>
      <w:rPr>
        <w:noProof/>
      </w:rPr>
      <w:t>13</w:t>
    </w:r>
    <w:r>
      <w:rPr>
        <w:noProof/>
      </w:rPr>
      <w:fldChar w:fldCharType="end"/>
    </w:r>
  </w:p>
  <w:p w14:paraId="695F4666" w14:textId="77777777" w:rsidR="00040121" w:rsidRDefault="00040121" w:rsidP="006A0F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2A78" w14:textId="77777777" w:rsidR="009B20EE" w:rsidRDefault="009B20EE" w:rsidP="003D2A3F">
      <w:r>
        <w:separator/>
      </w:r>
    </w:p>
  </w:footnote>
  <w:footnote w:type="continuationSeparator" w:id="0">
    <w:p w14:paraId="1801ADAA" w14:textId="77777777" w:rsidR="009B20EE" w:rsidRDefault="009B20EE" w:rsidP="003D2A3F">
      <w:r>
        <w:continuationSeparator/>
      </w:r>
    </w:p>
  </w:footnote>
  <w:footnote w:id="1">
    <w:p w14:paraId="0E5A4048" w14:textId="264F9551" w:rsidR="00040121" w:rsidRPr="000F5382" w:rsidRDefault="00040121" w:rsidP="000F5382">
      <w:pPr>
        <w:rPr>
          <w:i/>
        </w:rPr>
      </w:pPr>
      <w:r w:rsidRPr="00F53792">
        <w:rPr>
          <w:rStyle w:val="FootnoteReference"/>
          <w:sz w:val="20"/>
          <w:szCs w:val="20"/>
        </w:rPr>
        <w:footnoteRef/>
      </w:r>
      <w:r w:rsidRPr="00F53792">
        <w:rPr>
          <w:sz w:val="20"/>
          <w:szCs w:val="20"/>
        </w:rPr>
        <w:t xml:space="preserve"> </w:t>
      </w:r>
      <w:r w:rsidRPr="00C12D83">
        <w:rPr>
          <w:sz w:val="20"/>
          <w:szCs w:val="20"/>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w:t>
      </w:r>
      <w:r w:rsidR="009560A3" w:rsidRPr="009560A3">
        <w:rPr>
          <w:sz w:val="20"/>
          <w:szCs w:val="20"/>
        </w:rPr>
        <w:t xml:space="preserve">if the information collection involves approval by an institutional review board, include a statement to that effect; </w:t>
      </w:r>
      <w:r w:rsidR="009560A3">
        <w:rPr>
          <w:sz w:val="20"/>
          <w:szCs w:val="20"/>
        </w:rPr>
        <w:t xml:space="preserve">(8) </w:t>
      </w:r>
      <w:r w:rsidRPr="00C12D83">
        <w:rPr>
          <w:sz w:val="20"/>
          <w:szCs w:val="20"/>
        </w:rPr>
        <w:t>the purpose of the collection; and (</w:t>
      </w:r>
      <w:r w:rsidR="009560A3">
        <w:rPr>
          <w:sz w:val="20"/>
          <w:szCs w:val="20"/>
        </w:rPr>
        <w:t>9</w:t>
      </w:r>
      <w:r w:rsidRPr="00C12D83">
        <w:rPr>
          <w:sz w:val="20"/>
          <w:szCs w:val="20"/>
        </w:rPr>
        <w:t>) if a revision, a description of the revision and the change in burden.</w:t>
      </w:r>
    </w:p>
  </w:footnote>
  <w:footnote w:id="2">
    <w:p w14:paraId="3321D2A2" w14:textId="77777777" w:rsidR="00040121" w:rsidRDefault="00040121" w:rsidP="00D84C32">
      <w:pPr>
        <w:pStyle w:val="Heading1"/>
        <w:shd w:val="clear" w:color="auto" w:fill="FFFFFF"/>
        <w:spacing w:before="0" w:after="60" w:line="240" w:lineRule="auto"/>
        <w:textAlignment w:val="baseline"/>
        <w:rPr>
          <w:rFonts w:ascii="Times New Roman" w:hAnsi="Times New Roman" w:cs="Times New Roman"/>
          <w:sz w:val="20"/>
          <w:szCs w:val="20"/>
        </w:rPr>
      </w:pPr>
      <w:r>
        <w:rPr>
          <w:rStyle w:val="FootnoteReference"/>
          <w:rFonts w:ascii="Times New Roman" w:hAnsi="Times New Roman"/>
          <w:color w:val="auto"/>
          <w:sz w:val="20"/>
          <w:szCs w:val="20"/>
        </w:rPr>
        <w:footnoteRef/>
      </w:r>
      <w:r>
        <w:rPr>
          <w:rStyle w:val="FootnoteReference"/>
          <w:rFonts w:ascii="Times New Roman" w:hAnsi="Times New Roman"/>
          <w:color w:val="auto"/>
          <w:sz w:val="20"/>
          <w:szCs w:val="20"/>
        </w:rPr>
        <w:t xml:space="preserve"> </w:t>
      </w:r>
      <w:bookmarkStart w:id="1" w:name="_Hlk75937482"/>
      <w:bookmarkStart w:id="2" w:name="_Hlk75937553"/>
      <w:r>
        <w:rPr>
          <w:rFonts w:ascii="Times New Roman" w:hAnsi="Times New Roman" w:cs="Times New Roman"/>
          <w:color w:val="auto"/>
          <w:sz w:val="20"/>
          <w:szCs w:val="20"/>
        </w:rPr>
        <w:t xml:space="preserve">  </w:t>
      </w:r>
      <w:r>
        <w:rPr>
          <w:rFonts w:ascii="Times New Roman" w:hAnsi="Times New Roman" w:cs="Times New Roman"/>
          <w:color w:val="000000" w:themeColor="text1"/>
          <w:sz w:val="20"/>
          <w:szCs w:val="20"/>
        </w:rPr>
        <w:t>Royal, D. &amp; Miller-</w:t>
      </w:r>
      <w:proofErr w:type="spellStart"/>
      <w:r>
        <w:rPr>
          <w:rFonts w:ascii="Times New Roman" w:hAnsi="Times New Roman" w:cs="Times New Roman"/>
          <w:color w:val="000000" w:themeColor="text1"/>
          <w:sz w:val="20"/>
          <w:szCs w:val="20"/>
        </w:rPr>
        <w:t>Steiger</w:t>
      </w:r>
      <w:proofErr w:type="spellEnd"/>
      <w:r>
        <w:rPr>
          <w:rFonts w:ascii="Times New Roman" w:hAnsi="Times New Roman" w:cs="Times New Roman"/>
          <w:color w:val="000000" w:themeColor="text1"/>
          <w:sz w:val="20"/>
          <w:szCs w:val="20"/>
        </w:rPr>
        <w:t xml:space="preserve">, D. (2008, August). </w:t>
      </w:r>
      <w:r>
        <w:rPr>
          <w:rFonts w:ascii="Times New Roman" w:hAnsi="Times New Roman" w:cs="Times New Roman"/>
          <w:i/>
          <w:iCs/>
          <w:color w:val="000000" w:themeColor="text1"/>
          <w:sz w:val="20"/>
          <w:szCs w:val="20"/>
        </w:rPr>
        <w:t>National survey of bicyclist and pedestrian attitudes and behavior, volume II: Findings report</w:t>
      </w:r>
      <w:r>
        <w:rPr>
          <w:rFonts w:ascii="Times New Roman" w:hAnsi="Times New Roman" w:cs="Times New Roman"/>
          <w:color w:val="000000" w:themeColor="text1"/>
          <w:sz w:val="20"/>
          <w:szCs w:val="20"/>
        </w:rPr>
        <w:t xml:space="preserve"> (Report No. DOT HS 810 972). National </w:t>
      </w:r>
      <w:r>
        <w:rPr>
          <w:rFonts w:ascii="Times New Roman" w:hAnsi="Times New Roman" w:cs="Times New Roman"/>
          <w:color w:val="auto"/>
          <w:sz w:val="20"/>
          <w:szCs w:val="20"/>
        </w:rPr>
        <w:t>Highway Traffic Safety Administration</w:t>
      </w:r>
      <w:r>
        <w:rPr>
          <w:rFonts w:ascii="Times New Roman" w:hAnsi="Times New Roman" w:cs="Times New Roman"/>
          <w:sz w:val="20"/>
          <w:szCs w:val="20"/>
        </w:rPr>
        <w:t xml:space="preserve">.  </w:t>
      </w:r>
      <w:bookmarkEnd w:id="1"/>
      <w:r>
        <w:fldChar w:fldCharType="begin"/>
      </w:r>
      <w:r>
        <w:instrText xml:space="preserve"> HYPERLINK "https://rosap.ntl.bts.gov/view/dot/1845" </w:instrText>
      </w:r>
      <w:r>
        <w:fldChar w:fldCharType="separate"/>
      </w:r>
      <w:r>
        <w:rPr>
          <w:rStyle w:val="Hyperlink"/>
          <w:sz w:val="20"/>
          <w:szCs w:val="20"/>
        </w:rPr>
        <w:t>https://rosap.ntl.bts.gov/view/dot/1845</w:t>
      </w:r>
      <w:r>
        <w:fldChar w:fldCharType="end"/>
      </w:r>
      <w:r>
        <w:rPr>
          <w:rFonts w:ascii="Times New Roman" w:hAnsi="Times New Roman" w:cs="Times New Roman"/>
          <w:sz w:val="20"/>
          <w:szCs w:val="20"/>
        </w:rPr>
        <w:t xml:space="preserve"> </w:t>
      </w:r>
    </w:p>
    <w:bookmarkEnd w:id="2"/>
    <w:p w14:paraId="339A661F" w14:textId="77777777" w:rsidR="00040121" w:rsidRDefault="00040121" w:rsidP="00D84C32">
      <w:pPr>
        <w:spacing w:after="60"/>
        <w:rPr>
          <w:sz w:val="20"/>
          <w:szCs w:val="20"/>
        </w:rPr>
      </w:pPr>
      <w:r>
        <w:rPr>
          <w:sz w:val="20"/>
          <w:szCs w:val="20"/>
        </w:rPr>
        <w:t>Royal, D. &amp; Miller-</w:t>
      </w:r>
      <w:proofErr w:type="spellStart"/>
      <w:r>
        <w:rPr>
          <w:sz w:val="20"/>
          <w:szCs w:val="20"/>
        </w:rPr>
        <w:t>Steiger</w:t>
      </w:r>
      <w:proofErr w:type="spellEnd"/>
      <w:r>
        <w:rPr>
          <w:sz w:val="20"/>
          <w:szCs w:val="20"/>
        </w:rPr>
        <w:t xml:space="preserve">, D. (2008, August). </w:t>
      </w:r>
      <w:r>
        <w:rPr>
          <w:i/>
          <w:iCs/>
          <w:sz w:val="20"/>
          <w:szCs w:val="20"/>
        </w:rPr>
        <w:t>National survey of bicyclist and pedestrian attitudes and behavior, volume 1: Summary report</w:t>
      </w:r>
      <w:r>
        <w:rPr>
          <w:sz w:val="20"/>
          <w:szCs w:val="20"/>
        </w:rPr>
        <w:t xml:space="preserve"> (Report No. DOT HS 810 971). National Highway Traffic Safety Administration. </w:t>
      </w:r>
      <w:hyperlink r:id="rId1" w:history="1">
        <w:r>
          <w:rPr>
            <w:rStyle w:val="Hyperlink"/>
            <w:sz w:val="20"/>
            <w:szCs w:val="20"/>
          </w:rPr>
          <w:t>https://rosap.ntl.bts.gov/view/dot/1844</w:t>
        </w:r>
      </w:hyperlink>
    </w:p>
    <w:p w14:paraId="454C81DD" w14:textId="77777777" w:rsidR="00040121" w:rsidRDefault="00040121" w:rsidP="00D84C32">
      <w:pPr>
        <w:spacing w:after="60"/>
        <w:rPr>
          <w:rFonts w:cstheme="minorBidi"/>
          <w:szCs w:val="22"/>
        </w:rPr>
      </w:pPr>
      <w:r>
        <w:rPr>
          <w:sz w:val="20"/>
          <w:szCs w:val="20"/>
        </w:rPr>
        <w:t>Royal, D. &amp; Miller-</w:t>
      </w:r>
      <w:proofErr w:type="spellStart"/>
      <w:r>
        <w:rPr>
          <w:sz w:val="20"/>
          <w:szCs w:val="20"/>
        </w:rPr>
        <w:t>Steiger</w:t>
      </w:r>
      <w:proofErr w:type="spellEnd"/>
      <w:r>
        <w:rPr>
          <w:sz w:val="20"/>
          <w:szCs w:val="20"/>
        </w:rPr>
        <w:t xml:space="preserve">, D. (2008, August). </w:t>
      </w:r>
      <w:r>
        <w:rPr>
          <w:i/>
          <w:iCs/>
          <w:sz w:val="20"/>
          <w:szCs w:val="20"/>
        </w:rPr>
        <w:t>National survey of bicyclist and pedestrian attitudes and behavior, volume III: Methods report</w:t>
      </w:r>
      <w:r>
        <w:rPr>
          <w:sz w:val="20"/>
          <w:szCs w:val="20"/>
        </w:rPr>
        <w:t xml:space="preserve"> (Report No. DOT HS 810 972). National Highway Traffic Safety Administration.  </w:t>
      </w:r>
      <w:hyperlink r:id="rId2" w:history="1">
        <w:r>
          <w:rPr>
            <w:rStyle w:val="Hyperlink"/>
            <w:sz w:val="20"/>
            <w:szCs w:val="20"/>
          </w:rPr>
          <w:t>https://rosap.ntl.bts.gov/view/dot/1845</w:t>
        </w:r>
      </w:hyperlink>
      <w:r>
        <w:rPr>
          <w:sz w:val="20"/>
          <w:szCs w:val="20"/>
        </w:rPr>
        <w:t xml:space="preserve"> </w:t>
      </w:r>
    </w:p>
  </w:footnote>
  <w:footnote w:id="3">
    <w:p w14:paraId="231EC385" w14:textId="77777777" w:rsidR="00040121" w:rsidRDefault="00040121" w:rsidP="00D84C32">
      <w:pPr>
        <w:pStyle w:val="Heading1"/>
        <w:shd w:val="clear" w:color="auto" w:fill="FFFFFF"/>
        <w:spacing w:before="0" w:after="60" w:line="240" w:lineRule="auto"/>
        <w:textAlignment w:val="baseline"/>
        <w:rPr>
          <w:rFonts w:ascii="Times New Roman" w:hAnsi="Times New Roman" w:cs="Times New Roman"/>
          <w:sz w:val="20"/>
          <w:szCs w:val="20"/>
        </w:rPr>
      </w:pPr>
      <w:r>
        <w:rPr>
          <w:rStyle w:val="FootnoteReference"/>
          <w:rFonts w:ascii="Times New Roman" w:hAnsi="Times New Roman"/>
          <w:color w:val="000000" w:themeColor="text1"/>
          <w:sz w:val="20"/>
          <w:szCs w:val="20"/>
        </w:rPr>
        <w:footnoteRef/>
      </w:r>
      <w:r>
        <w:rPr>
          <w:color w:val="000000" w:themeColor="text1"/>
          <w:sz w:val="18"/>
          <w:szCs w:val="18"/>
        </w:rPr>
        <w:t xml:space="preserve"> </w:t>
      </w:r>
      <w:bookmarkStart w:id="3" w:name="_Hlk75937349"/>
      <w:r>
        <w:rPr>
          <w:color w:val="000000" w:themeColor="text1"/>
          <w:sz w:val="18"/>
          <w:szCs w:val="18"/>
        </w:rPr>
        <w:t xml:space="preserve">  </w:t>
      </w:r>
      <w:r>
        <w:rPr>
          <w:rFonts w:ascii="Times New Roman" w:hAnsi="Times New Roman" w:cs="Times New Roman"/>
          <w:color w:val="auto"/>
          <w:sz w:val="20"/>
          <w:szCs w:val="20"/>
        </w:rPr>
        <w:t xml:space="preserve">Schroeder, P. &amp; Wilbur, M. (2013, October). </w:t>
      </w:r>
      <w:r>
        <w:rPr>
          <w:rFonts w:ascii="Times New Roman" w:hAnsi="Times New Roman" w:cs="Times New Roman"/>
          <w:i/>
          <w:iCs/>
          <w:color w:val="auto"/>
          <w:sz w:val="20"/>
          <w:szCs w:val="20"/>
        </w:rPr>
        <w:t>2012 National survey of bicyclist and pedestrian attitudes and behavior, volume 1: Summary report</w:t>
      </w:r>
      <w:r>
        <w:rPr>
          <w:rFonts w:ascii="Times New Roman" w:hAnsi="Times New Roman" w:cs="Times New Roman"/>
          <w:color w:val="auto"/>
          <w:sz w:val="20"/>
          <w:szCs w:val="20"/>
        </w:rPr>
        <w:t xml:space="preserve"> (Report No. DOT HS 811 841 A). National Highway Traffic Safety Administration</w:t>
      </w:r>
      <w:bookmarkEnd w:id="3"/>
      <w:r>
        <w:rPr>
          <w:rFonts w:ascii="Times New Roman" w:hAnsi="Times New Roman" w:cs="Times New Roman"/>
          <w:color w:val="auto"/>
          <w:sz w:val="20"/>
          <w:szCs w:val="20"/>
        </w:rPr>
        <w:t>.</w:t>
      </w:r>
      <w:r>
        <w:rPr>
          <w:rFonts w:ascii="Times New Roman" w:hAnsi="Times New Roman" w:cs="Times New Roman"/>
          <w:sz w:val="20"/>
          <w:szCs w:val="20"/>
        </w:rPr>
        <w:t xml:space="preserve"> </w:t>
      </w:r>
      <w:hyperlink r:id="rId3" w:history="1">
        <w:r>
          <w:rPr>
            <w:rStyle w:val="Hyperlink"/>
            <w:sz w:val="20"/>
            <w:szCs w:val="20"/>
          </w:rPr>
          <w:t>https://rosap.ntl.bts.gov/view/dot/1956</w:t>
        </w:r>
      </w:hyperlink>
      <w:r>
        <w:rPr>
          <w:rFonts w:ascii="Times New Roman" w:hAnsi="Times New Roman" w:cs="Times New Roman"/>
          <w:sz w:val="20"/>
          <w:szCs w:val="20"/>
        </w:rPr>
        <w:t xml:space="preserve"> </w:t>
      </w:r>
    </w:p>
    <w:p w14:paraId="6E3F7CB0" w14:textId="77777777" w:rsidR="00040121" w:rsidRDefault="00040121" w:rsidP="00D84C32">
      <w:pPr>
        <w:spacing w:after="60"/>
        <w:rPr>
          <w:sz w:val="20"/>
          <w:szCs w:val="20"/>
        </w:rPr>
      </w:pPr>
      <w:r>
        <w:rPr>
          <w:sz w:val="20"/>
          <w:szCs w:val="20"/>
        </w:rPr>
        <w:t xml:space="preserve">Schroeder, P. &amp; Wilbur, M. (2013, October). </w:t>
      </w:r>
      <w:r>
        <w:rPr>
          <w:i/>
          <w:iCs/>
          <w:sz w:val="20"/>
          <w:szCs w:val="20"/>
        </w:rPr>
        <w:t xml:space="preserve">2012 National survey of bicyclist and pedestrian attitudes and behavior, volume 2: Findings report </w:t>
      </w:r>
      <w:r>
        <w:rPr>
          <w:sz w:val="20"/>
          <w:szCs w:val="20"/>
        </w:rPr>
        <w:t xml:space="preserve">(Report No. DOT HS 811 841 B). National Highway Traffic Safety Administration. </w:t>
      </w:r>
      <w:hyperlink r:id="rId4" w:history="1">
        <w:r>
          <w:rPr>
            <w:rStyle w:val="Hyperlink"/>
            <w:sz w:val="20"/>
            <w:szCs w:val="20"/>
          </w:rPr>
          <w:t>https://rosap.ntl.bts.gov/view/dot/1957</w:t>
        </w:r>
      </w:hyperlink>
      <w:r>
        <w:rPr>
          <w:sz w:val="20"/>
          <w:szCs w:val="20"/>
        </w:rPr>
        <w:t xml:space="preserve"> </w:t>
      </w:r>
    </w:p>
    <w:p w14:paraId="149F4EB2" w14:textId="77777777" w:rsidR="00040121" w:rsidRDefault="00040121" w:rsidP="00D84C32">
      <w:pPr>
        <w:spacing w:after="60"/>
        <w:rPr>
          <w:sz w:val="20"/>
          <w:szCs w:val="20"/>
        </w:rPr>
      </w:pPr>
      <w:r>
        <w:rPr>
          <w:sz w:val="20"/>
          <w:szCs w:val="20"/>
        </w:rPr>
        <w:t xml:space="preserve">Schroeder, P. &amp; Wilbur, M. (2013, October). </w:t>
      </w:r>
      <w:r>
        <w:rPr>
          <w:i/>
          <w:iCs/>
          <w:sz w:val="20"/>
          <w:szCs w:val="20"/>
        </w:rPr>
        <w:t>2012 National survey of bicyclist and pedestrian attitudes and behavior, volume 3: Methodology report</w:t>
      </w:r>
      <w:r>
        <w:rPr>
          <w:sz w:val="20"/>
          <w:szCs w:val="20"/>
        </w:rPr>
        <w:t xml:space="preserve"> (Report No. DOT HS 811 841 C). National Highway Traffic Safety Administration.</w:t>
      </w:r>
      <w:r>
        <w:t xml:space="preserve"> </w:t>
      </w:r>
      <w:hyperlink r:id="rId5" w:history="1">
        <w:r>
          <w:rPr>
            <w:rStyle w:val="Hyperlink"/>
            <w:sz w:val="20"/>
            <w:szCs w:val="20"/>
          </w:rPr>
          <w:t>https://rosap.ntl.bts.gov/view/dot/1958</w:t>
        </w:r>
      </w:hyperlink>
      <w:r>
        <w:rPr>
          <w:sz w:val="20"/>
          <w:szCs w:val="20"/>
        </w:rPr>
        <w:t xml:space="preserve"> </w:t>
      </w:r>
    </w:p>
  </w:footnote>
  <w:footnote w:id="4">
    <w:p w14:paraId="5F5C7746" w14:textId="77777777" w:rsidR="00040121" w:rsidRDefault="00040121">
      <w:pPr>
        <w:pStyle w:val="FootnoteText"/>
      </w:pPr>
      <w:r>
        <w:rPr>
          <w:rStyle w:val="FootnoteReference"/>
        </w:rPr>
        <w:footnoteRef/>
      </w:r>
      <w:r>
        <w:t xml:space="preserve"> Link, M. W., </w:t>
      </w:r>
      <w:r w:rsidRPr="005D4DA4">
        <w:t xml:space="preserve">Battaglia, </w:t>
      </w:r>
      <w:r>
        <w:t xml:space="preserve">M. P., </w:t>
      </w:r>
      <w:r w:rsidRPr="005D4DA4">
        <w:t xml:space="preserve">Frankel, </w:t>
      </w:r>
      <w:r>
        <w:t xml:space="preserve">M. R., </w:t>
      </w:r>
      <w:r w:rsidRPr="005D4DA4">
        <w:t xml:space="preserve">Osborn, </w:t>
      </w:r>
      <w:r>
        <w:t>L., &amp;</w:t>
      </w:r>
      <w:r w:rsidRPr="005D4DA4">
        <w:t xml:space="preserve"> </w:t>
      </w:r>
      <w:proofErr w:type="spellStart"/>
      <w:r w:rsidRPr="005D4DA4">
        <w:t>Mokdad</w:t>
      </w:r>
      <w:proofErr w:type="spellEnd"/>
      <w:r>
        <w:t>, A. H</w:t>
      </w:r>
      <w:r w:rsidRPr="005D4DA4">
        <w:t xml:space="preserve">. </w:t>
      </w:r>
      <w:r>
        <w:t>(</w:t>
      </w:r>
      <w:r w:rsidRPr="005D4DA4">
        <w:t>2008</w:t>
      </w:r>
      <w:r>
        <w:t>)</w:t>
      </w:r>
      <w:r w:rsidRPr="005D4DA4">
        <w:t xml:space="preserve">. A comparison of address-based sampling (ABS) versus random-digit dialing (RDD) for general population surveys. </w:t>
      </w:r>
      <w:r w:rsidRPr="003E190A">
        <w:rPr>
          <w:i/>
        </w:rPr>
        <w:t>Public Opinion Quarterly, 72</w:t>
      </w:r>
      <w:r>
        <w:t xml:space="preserve">, </w:t>
      </w:r>
      <w:r w:rsidRPr="005D4DA4">
        <w:t>6-27.</w:t>
      </w:r>
    </w:p>
  </w:footnote>
  <w:footnote w:id="5">
    <w:p w14:paraId="7958963D" w14:textId="77777777" w:rsidR="00040121" w:rsidRDefault="00040121">
      <w:pPr>
        <w:pStyle w:val="FootnoteText"/>
      </w:pPr>
      <w:r>
        <w:rPr>
          <w:rStyle w:val="FootnoteReference"/>
        </w:rPr>
        <w:footnoteRef/>
      </w:r>
      <w:r>
        <w:t xml:space="preserve"> </w:t>
      </w:r>
      <w:proofErr w:type="spellStart"/>
      <w:r>
        <w:t>Iannacchione</w:t>
      </w:r>
      <w:proofErr w:type="spellEnd"/>
      <w:r>
        <w:t xml:space="preserve">, V. G.  (2011). The changing role of address-based sampling in survey research. </w:t>
      </w:r>
      <w:r w:rsidRPr="003E190A">
        <w:rPr>
          <w:i/>
        </w:rPr>
        <w:t xml:space="preserve">Public Opinion Quarterly, </w:t>
      </w:r>
      <w:r>
        <w:rPr>
          <w:i/>
        </w:rPr>
        <w:t>75</w:t>
      </w:r>
      <w:r>
        <w:t>(3), 556-575.</w:t>
      </w:r>
    </w:p>
  </w:footnote>
  <w:footnote w:id="6">
    <w:p w14:paraId="56888BE2" w14:textId="4EABE217" w:rsidR="00040121" w:rsidRDefault="00040121" w:rsidP="007A63B0">
      <w:pPr>
        <w:pStyle w:val="FootnoteText"/>
      </w:pPr>
      <w:r>
        <w:rPr>
          <w:rStyle w:val="FootnoteReference"/>
        </w:rPr>
        <w:footnoteRef/>
      </w:r>
      <w:r>
        <w:t xml:space="preserve"> </w:t>
      </w:r>
      <w:proofErr w:type="spellStart"/>
      <w:r>
        <w:t>Iannacchione</w:t>
      </w:r>
      <w:proofErr w:type="spellEnd"/>
      <w:r>
        <w:t xml:space="preserve">, V. G., </w:t>
      </w:r>
      <w:proofErr w:type="spellStart"/>
      <w:r>
        <w:t>Staab</w:t>
      </w:r>
      <w:proofErr w:type="spellEnd"/>
      <w:r>
        <w:t xml:space="preserve">, J. M., &amp; Redden, D. T.  (2003). Evaluating the use of residential mailing addresses in a metropolitan household survey. </w:t>
      </w:r>
      <w:r w:rsidRPr="003E190A">
        <w:rPr>
          <w:i/>
        </w:rPr>
        <w:t>Public Opinion Quarterly, 67</w:t>
      </w:r>
      <w:r>
        <w:t xml:space="preserve">(2), 202-210. </w:t>
      </w:r>
    </w:p>
  </w:footnote>
  <w:footnote w:id="7">
    <w:p w14:paraId="6255377D" w14:textId="63A3BCAC" w:rsidR="00040121" w:rsidRDefault="00040121">
      <w:pPr>
        <w:pStyle w:val="FootnoteText"/>
      </w:pPr>
      <w:r>
        <w:rPr>
          <w:rStyle w:val="FootnoteReference"/>
        </w:rPr>
        <w:footnoteRef/>
      </w:r>
      <w:r>
        <w:t xml:space="preserve"> Link, M. W., </w:t>
      </w:r>
      <w:r w:rsidRPr="005D4DA4">
        <w:t xml:space="preserve">Battaglia, </w:t>
      </w:r>
      <w:r>
        <w:t xml:space="preserve">M. P., </w:t>
      </w:r>
      <w:r w:rsidRPr="005D4DA4">
        <w:t xml:space="preserve">Frankel, </w:t>
      </w:r>
      <w:r>
        <w:t xml:space="preserve">M. R., </w:t>
      </w:r>
      <w:r w:rsidRPr="005D4DA4">
        <w:t xml:space="preserve">Osborn, </w:t>
      </w:r>
      <w:r>
        <w:t>L., &amp;</w:t>
      </w:r>
      <w:r w:rsidRPr="005D4DA4">
        <w:t xml:space="preserve"> </w:t>
      </w:r>
      <w:proofErr w:type="spellStart"/>
      <w:r w:rsidRPr="005D4DA4">
        <w:t>Mokdad</w:t>
      </w:r>
      <w:proofErr w:type="spellEnd"/>
      <w:r>
        <w:t>, A. H</w:t>
      </w:r>
      <w:r w:rsidRPr="005D4DA4">
        <w:t xml:space="preserve">. </w:t>
      </w:r>
      <w:r>
        <w:t>(</w:t>
      </w:r>
      <w:r w:rsidRPr="005D4DA4">
        <w:t>2008</w:t>
      </w:r>
      <w:r>
        <w:t>)</w:t>
      </w:r>
      <w:r w:rsidRPr="005D4DA4">
        <w:t xml:space="preserve">. A comparison of address-based sampling (ABS) versus random-digit dialing (RDD) for general population surveys. </w:t>
      </w:r>
      <w:r w:rsidRPr="003E190A">
        <w:rPr>
          <w:i/>
        </w:rPr>
        <w:t>Public Opinion Quarterly, 72</w:t>
      </w:r>
      <w:r>
        <w:t xml:space="preserve">, </w:t>
      </w:r>
      <w:r w:rsidRPr="005D4DA4">
        <w:t>6-27.</w:t>
      </w:r>
    </w:p>
  </w:footnote>
  <w:footnote w:id="8">
    <w:p w14:paraId="47D9D75F" w14:textId="39C48AEB" w:rsidR="00040121" w:rsidRDefault="00040121">
      <w:pPr>
        <w:pStyle w:val="FootnoteText"/>
      </w:pPr>
      <w:r>
        <w:rPr>
          <w:rStyle w:val="FootnoteReference"/>
        </w:rPr>
        <w:footnoteRef/>
      </w:r>
      <w:r>
        <w:t xml:space="preserve"> </w:t>
      </w:r>
      <w:proofErr w:type="spellStart"/>
      <w:r>
        <w:t>Iannacchione</w:t>
      </w:r>
      <w:proofErr w:type="spellEnd"/>
      <w:r>
        <w:t xml:space="preserve">, V. G.  (2011). The changing role of address-based sampling in survey research. </w:t>
      </w:r>
      <w:r w:rsidRPr="003E190A">
        <w:rPr>
          <w:i/>
        </w:rPr>
        <w:t xml:space="preserve">Public Opinion Quarterly, </w:t>
      </w:r>
      <w:r>
        <w:rPr>
          <w:i/>
        </w:rPr>
        <w:t>75</w:t>
      </w:r>
      <w:r>
        <w:t>(3), 556-575.</w:t>
      </w:r>
    </w:p>
  </w:footnote>
  <w:footnote w:id="9">
    <w:p w14:paraId="4F6B4254" w14:textId="77777777" w:rsidR="00040121" w:rsidRDefault="00040121">
      <w:pPr>
        <w:pStyle w:val="FootnoteText"/>
      </w:pPr>
      <w:r>
        <w:rPr>
          <w:rStyle w:val="FootnoteReference"/>
        </w:rPr>
        <w:footnoteRef/>
      </w:r>
      <w:r>
        <w:t xml:space="preserve"> American Association of Public Opinion Research (AAPOR), Task Force on Address-based Sampling. (2016) </w:t>
      </w:r>
      <w:r w:rsidRPr="005A5809">
        <w:rPr>
          <w:i/>
        </w:rPr>
        <w:t>Address-</w:t>
      </w:r>
      <w:r>
        <w:rPr>
          <w:i/>
        </w:rPr>
        <w:t>b</w:t>
      </w:r>
      <w:r w:rsidRPr="005A5809">
        <w:rPr>
          <w:i/>
        </w:rPr>
        <w:t xml:space="preserve">ased </w:t>
      </w:r>
      <w:r>
        <w:rPr>
          <w:i/>
        </w:rPr>
        <w:t>s</w:t>
      </w:r>
      <w:r w:rsidRPr="005A5809">
        <w:rPr>
          <w:i/>
        </w:rPr>
        <w:t>ampling</w:t>
      </w:r>
      <w:r>
        <w:t xml:space="preserve">. Retrieved from </w:t>
      </w:r>
      <w:hyperlink r:id="rId6" w:history="1">
        <w:r w:rsidRPr="00D5795F">
          <w:rPr>
            <w:rStyle w:val="Hyperlink"/>
          </w:rPr>
          <w:t>www.aapor.org/Education-Resources/Reports/Address-based-Sampling.aspx</w:t>
        </w:r>
      </w:hyperlink>
      <w:r>
        <w:t xml:space="preserve"> </w:t>
      </w:r>
    </w:p>
  </w:footnote>
  <w:footnote w:id="10">
    <w:p w14:paraId="60DC7990" w14:textId="77777777" w:rsidR="00040121" w:rsidRDefault="00040121" w:rsidP="00437C03">
      <w:pPr>
        <w:pStyle w:val="FootnoteText"/>
      </w:pPr>
      <w:r>
        <w:rPr>
          <w:rFonts w:eastAsiaTheme="majorEastAsia"/>
          <w:szCs w:val="24"/>
          <w:vertAlign w:val="superscript"/>
        </w:rPr>
        <w:footnoteRef/>
      </w:r>
      <w:r>
        <w:rPr>
          <w:szCs w:val="24"/>
        </w:rPr>
        <w:t xml:space="preserve"> The calculation for the maximum possible error, achieved for an estimated percentage of 50%, is also premised on a design effect of 1.75 due to weighting.</w:t>
      </w:r>
    </w:p>
  </w:footnote>
  <w:footnote w:id="11">
    <w:p w14:paraId="487D7C33" w14:textId="6EF191B2" w:rsidR="00B34C30" w:rsidRDefault="00B34C30">
      <w:pPr>
        <w:pStyle w:val="FootnoteText"/>
      </w:pPr>
      <w:r>
        <w:rPr>
          <w:rStyle w:val="FootnoteReference"/>
        </w:rPr>
        <w:footnoteRef/>
      </w:r>
      <w:r>
        <w:t xml:space="preserve"> United States Census Bureau. (2021). American Community Survey Data. </w:t>
      </w:r>
      <w:r w:rsidRPr="00B34C30">
        <w:t>www.census.gov/programs-surveys/acs</w:t>
      </w:r>
    </w:p>
  </w:footnote>
  <w:footnote w:id="12">
    <w:p w14:paraId="05307C7B" w14:textId="77777777" w:rsidR="00040121" w:rsidRPr="001C2513" w:rsidRDefault="00040121" w:rsidP="00264339">
      <w:pPr>
        <w:pStyle w:val="FootnoteText"/>
        <w:ind w:left="180" w:hanging="180"/>
      </w:pPr>
      <w:r w:rsidRPr="001C2513">
        <w:rPr>
          <w:rStyle w:val="FootnoteReference"/>
        </w:rPr>
        <w:footnoteRef/>
      </w:r>
      <w:r w:rsidRPr="001C2513">
        <w:t xml:space="preserve"> Boyle, J., Weiss, A., Schroeder, P., Meyers, M., &amp; Johnson, K. (2013). </w:t>
      </w:r>
      <w:r w:rsidRPr="001C2513">
        <w:rPr>
          <w:i/>
        </w:rPr>
        <w:t>Reliability of auxiliary data in RDD surveys: NHTSA 2012 Distracted Driving Survey.</w:t>
      </w:r>
      <w:r w:rsidRPr="001C2513">
        <w:t xml:space="preserve"> Presented at the 68th annual conference of the AAPOR, Boston, MA.</w:t>
      </w:r>
    </w:p>
  </w:footnote>
  <w:footnote w:id="13">
    <w:p w14:paraId="30243521" w14:textId="77777777" w:rsidR="00040121" w:rsidRPr="001C2513" w:rsidRDefault="00040121" w:rsidP="00264339">
      <w:pPr>
        <w:pStyle w:val="FootnoteText"/>
        <w:ind w:left="180" w:hanging="180"/>
      </w:pPr>
      <w:r w:rsidRPr="001C2513">
        <w:rPr>
          <w:rStyle w:val="FootnoteReference"/>
        </w:rPr>
        <w:footnoteRef/>
      </w:r>
      <w:r w:rsidRPr="001C2513">
        <w:t xml:space="preserve"> </w:t>
      </w:r>
      <w:proofErr w:type="spellStart"/>
      <w:r w:rsidRPr="001C2513">
        <w:t>DiSogra</w:t>
      </w:r>
      <w:proofErr w:type="spellEnd"/>
      <w:r w:rsidRPr="001C2513">
        <w:t xml:space="preserve">, C., Dennis, J. M., &amp; </w:t>
      </w:r>
      <w:proofErr w:type="spellStart"/>
      <w:r w:rsidRPr="001C2513">
        <w:t>Fahimi</w:t>
      </w:r>
      <w:proofErr w:type="spellEnd"/>
      <w:r w:rsidRPr="001C2513">
        <w:t xml:space="preserve">, M. (2010). On the quality of ancillary data available for address-based sampling. In </w:t>
      </w:r>
      <w:r w:rsidRPr="001C2513">
        <w:rPr>
          <w:i/>
          <w:iCs/>
        </w:rPr>
        <w:t>Proceedings of the Survey Research Methods Section of the Joint Statistical Meetings</w:t>
      </w:r>
      <w:r w:rsidRPr="001C2513">
        <w:t xml:space="preserve">, </w:t>
      </w:r>
      <w:r w:rsidRPr="001C2513">
        <w:rPr>
          <w:i/>
        </w:rPr>
        <w:t>417483</w:t>
      </w:r>
      <w:r w:rsidRPr="001C2513">
        <w:t>.</w:t>
      </w:r>
    </w:p>
  </w:footnote>
  <w:footnote w:id="14">
    <w:p w14:paraId="78170089" w14:textId="77777777" w:rsidR="00040121" w:rsidRPr="001C2513" w:rsidRDefault="00040121" w:rsidP="00264339">
      <w:pPr>
        <w:pStyle w:val="BodyText"/>
        <w:ind w:left="180" w:hanging="180"/>
        <w:rPr>
          <w:sz w:val="20"/>
          <w:szCs w:val="20"/>
        </w:rPr>
      </w:pPr>
      <w:r w:rsidRPr="001C2513">
        <w:rPr>
          <w:rStyle w:val="FootnoteReference"/>
          <w:sz w:val="20"/>
          <w:szCs w:val="20"/>
        </w:rPr>
        <w:footnoteRef/>
      </w:r>
      <w:r w:rsidRPr="001C2513">
        <w:rPr>
          <w:sz w:val="20"/>
          <w:szCs w:val="20"/>
        </w:rPr>
        <w:t xml:space="preserve"> Battaglia, M. P., Link, M. W., Frankel, M. R., Osborn, L., &amp; </w:t>
      </w:r>
      <w:proofErr w:type="spellStart"/>
      <w:r w:rsidRPr="001C2513">
        <w:rPr>
          <w:sz w:val="20"/>
          <w:szCs w:val="20"/>
        </w:rPr>
        <w:t>Mokdad</w:t>
      </w:r>
      <w:proofErr w:type="spellEnd"/>
      <w:r w:rsidRPr="001C2513">
        <w:rPr>
          <w:sz w:val="20"/>
          <w:szCs w:val="20"/>
        </w:rPr>
        <w:t>, A. H. (2008). An evaluation of respondent</w:t>
      </w:r>
      <w:r>
        <w:rPr>
          <w:sz w:val="20"/>
          <w:szCs w:val="20"/>
        </w:rPr>
        <w:t xml:space="preserve"> </w:t>
      </w:r>
      <w:r w:rsidRPr="001C2513">
        <w:rPr>
          <w:sz w:val="20"/>
          <w:szCs w:val="20"/>
        </w:rPr>
        <w:t xml:space="preserve">selection methods for household mail survey. </w:t>
      </w:r>
      <w:r w:rsidRPr="001C2513">
        <w:rPr>
          <w:i/>
          <w:sz w:val="20"/>
          <w:szCs w:val="20"/>
        </w:rPr>
        <w:t>Public Opinion Quarterly, 72</w:t>
      </w:r>
      <w:r w:rsidRPr="001C2513">
        <w:rPr>
          <w:sz w:val="20"/>
          <w:szCs w:val="20"/>
        </w:rPr>
        <w:t>(3), 459–469.</w:t>
      </w:r>
    </w:p>
  </w:footnote>
  <w:footnote w:id="15">
    <w:p w14:paraId="257C87E6" w14:textId="77777777" w:rsidR="00040121" w:rsidRPr="001C2513" w:rsidRDefault="00040121" w:rsidP="005365A7">
      <w:pPr>
        <w:pStyle w:val="BodyText"/>
        <w:ind w:left="180" w:hanging="180"/>
        <w:rPr>
          <w:sz w:val="20"/>
          <w:szCs w:val="20"/>
        </w:rPr>
      </w:pPr>
      <w:r w:rsidRPr="001C2513">
        <w:rPr>
          <w:rStyle w:val="FootnoteReference"/>
          <w:sz w:val="20"/>
          <w:szCs w:val="20"/>
        </w:rPr>
        <w:footnoteRef/>
      </w:r>
      <w:r w:rsidRPr="001C2513">
        <w:rPr>
          <w:sz w:val="20"/>
          <w:szCs w:val="20"/>
        </w:rPr>
        <w:t xml:space="preserve"> </w:t>
      </w:r>
      <w:hyperlink r:id="rId7" w:history="1">
        <w:r w:rsidRPr="001C2513">
          <w:rPr>
            <w:sz w:val="20"/>
            <w:szCs w:val="20"/>
          </w:rPr>
          <w:t>Olson</w:t>
        </w:r>
      </w:hyperlink>
      <w:r w:rsidRPr="001C2513">
        <w:rPr>
          <w:sz w:val="20"/>
          <w:szCs w:val="20"/>
        </w:rPr>
        <w:t xml:space="preserve">, K., </w:t>
      </w:r>
      <w:proofErr w:type="spellStart"/>
      <w:r w:rsidRPr="001C2513">
        <w:rPr>
          <w:sz w:val="20"/>
          <w:szCs w:val="20"/>
        </w:rPr>
        <w:t>Stange</w:t>
      </w:r>
      <w:proofErr w:type="spellEnd"/>
      <w:r w:rsidRPr="001C2513">
        <w:rPr>
          <w:sz w:val="20"/>
          <w:szCs w:val="20"/>
        </w:rPr>
        <w:t xml:space="preserve">, M., &amp; </w:t>
      </w:r>
      <w:hyperlink r:id="rId8" w:history="1">
        <w:r w:rsidRPr="001C2513">
          <w:rPr>
            <w:sz w:val="20"/>
            <w:szCs w:val="20"/>
          </w:rPr>
          <w:t>Smyth</w:t>
        </w:r>
      </w:hyperlink>
      <w:r w:rsidRPr="001C2513">
        <w:rPr>
          <w:sz w:val="20"/>
          <w:szCs w:val="20"/>
        </w:rPr>
        <w:t xml:space="preserve">, J. (2014). Assessing within-household selection methods in household mail surveys. </w:t>
      </w:r>
      <w:r w:rsidRPr="001C2513">
        <w:rPr>
          <w:i/>
          <w:iCs/>
          <w:sz w:val="20"/>
          <w:szCs w:val="20"/>
          <w:bdr w:val="none" w:sz="0" w:space="0" w:color="auto" w:frame="1"/>
        </w:rPr>
        <w:t>Public Opinion Quarterly,</w:t>
      </w:r>
      <w:r w:rsidRPr="001C2513">
        <w:rPr>
          <w:sz w:val="20"/>
          <w:szCs w:val="20"/>
        </w:rPr>
        <w:t xml:space="preserve"> </w:t>
      </w:r>
      <w:r w:rsidRPr="001C2513">
        <w:rPr>
          <w:i/>
          <w:sz w:val="20"/>
          <w:szCs w:val="20"/>
        </w:rPr>
        <w:t>78</w:t>
      </w:r>
      <w:r w:rsidRPr="001C2513">
        <w:rPr>
          <w:sz w:val="20"/>
          <w:szCs w:val="20"/>
        </w:rPr>
        <w:t>(3), 656–678.</w:t>
      </w:r>
    </w:p>
  </w:footnote>
  <w:footnote w:id="16">
    <w:p w14:paraId="35764D69" w14:textId="77777777" w:rsidR="00040121" w:rsidRPr="001C2513" w:rsidRDefault="00040121" w:rsidP="00196E24">
      <w:pPr>
        <w:pStyle w:val="BodyText"/>
        <w:ind w:left="180" w:hanging="180"/>
        <w:rPr>
          <w:sz w:val="20"/>
          <w:szCs w:val="20"/>
        </w:rPr>
      </w:pPr>
      <w:r w:rsidRPr="001C2513">
        <w:rPr>
          <w:rStyle w:val="FootnoteReference"/>
          <w:sz w:val="20"/>
          <w:szCs w:val="20"/>
        </w:rPr>
        <w:footnoteRef/>
      </w:r>
      <w:r w:rsidRPr="001C2513">
        <w:rPr>
          <w:sz w:val="20"/>
          <w:szCs w:val="20"/>
        </w:rPr>
        <w:t xml:space="preserve"> Boyle, J., Tortora, R., Higgins, B., &amp; </w:t>
      </w:r>
      <w:proofErr w:type="spellStart"/>
      <w:r w:rsidRPr="001C2513">
        <w:rPr>
          <w:sz w:val="20"/>
          <w:szCs w:val="20"/>
        </w:rPr>
        <w:t>Freedner</w:t>
      </w:r>
      <w:proofErr w:type="spellEnd"/>
      <w:r w:rsidRPr="001C2513">
        <w:rPr>
          <w:sz w:val="20"/>
          <w:szCs w:val="20"/>
        </w:rPr>
        <w:t xml:space="preserve">-Maguire, N (2017). </w:t>
      </w:r>
      <w:r>
        <w:rPr>
          <w:i/>
          <w:sz w:val="20"/>
          <w:szCs w:val="20"/>
        </w:rPr>
        <w:t>Mode effects within the s</w:t>
      </w:r>
      <w:r w:rsidRPr="001C2513">
        <w:rPr>
          <w:i/>
          <w:sz w:val="20"/>
          <w:szCs w:val="20"/>
        </w:rPr>
        <w:t>am</w:t>
      </w:r>
      <w:r>
        <w:rPr>
          <w:i/>
          <w:sz w:val="20"/>
          <w:szCs w:val="20"/>
        </w:rPr>
        <w:t>e individual between web and mail a</w:t>
      </w:r>
      <w:r w:rsidRPr="001C2513">
        <w:rPr>
          <w:i/>
          <w:sz w:val="20"/>
          <w:szCs w:val="20"/>
        </w:rPr>
        <w:t xml:space="preserve">dministration. </w:t>
      </w:r>
      <w:r w:rsidRPr="001C2513">
        <w:rPr>
          <w:sz w:val="20"/>
          <w:szCs w:val="20"/>
        </w:rPr>
        <w:t>AAPOR 72nd annual conference, May 18-21, 2017.</w:t>
      </w:r>
    </w:p>
  </w:footnote>
  <w:footnote w:id="17">
    <w:p w14:paraId="7351EF0A" w14:textId="77777777" w:rsidR="00040121" w:rsidRPr="00B47927" w:rsidRDefault="00040121" w:rsidP="001478A4">
      <w:pPr>
        <w:pStyle w:val="FootnoteText"/>
        <w:rPr>
          <w:sz w:val="24"/>
          <w:szCs w:val="24"/>
        </w:rPr>
      </w:pPr>
      <w:r w:rsidRPr="001C2513">
        <w:rPr>
          <w:rStyle w:val="FootnoteReference"/>
          <w:szCs w:val="24"/>
        </w:rPr>
        <w:footnoteRef/>
      </w:r>
      <w:r w:rsidRPr="001C2513">
        <w:rPr>
          <w:szCs w:val="24"/>
        </w:rPr>
        <w:t xml:space="preserve"> The U.S. Census Bureau considers this to be households where no residents aged 14 years or older speak English well.</w:t>
      </w:r>
    </w:p>
  </w:footnote>
  <w:footnote w:id="18">
    <w:p w14:paraId="311B32FC" w14:textId="7D006FB2" w:rsidR="00040121" w:rsidRPr="00991D8A" w:rsidRDefault="00040121" w:rsidP="00991D8A">
      <w:pPr>
        <w:pStyle w:val="Heading1"/>
        <w:shd w:val="clear" w:color="auto" w:fill="FFFFFF"/>
        <w:spacing w:before="0" w:after="60" w:line="240" w:lineRule="auto"/>
        <w:rPr>
          <w:rFonts w:ascii="Times New Roman" w:hAnsi="Times New Roman" w:cs="Times New Roman"/>
          <w:color w:val="auto"/>
          <w:sz w:val="20"/>
          <w:szCs w:val="20"/>
        </w:rPr>
      </w:pPr>
      <w:r w:rsidRPr="008B12ED">
        <w:rPr>
          <w:rStyle w:val="FootnoteReference"/>
          <w:rFonts w:ascii="Times New Roman" w:hAnsi="Times New Roman"/>
          <w:color w:val="auto"/>
          <w:sz w:val="20"/>
          <w:szCs w:val="18"/>
        </w:rPr>
        <w:footnoteRef/>
      </w:r>
      <w:r>
        <w:rPr>
          <w:rFonts w:ascii="Times New Roman" w:hAnsi="Times New Roman" w:cs="Times New Roman"/>
          <w:color w:val="auto"/>
          <w:sz w:val="20"/>
          <w:szCs w:val="20"/>
        </w:rPr>
        <w:t xml:space="preserve"> </w:t>
      </w:r>
      <w:r w:rsidRPr="00991D8A">
        <w:rPr>
          <w:rFonts w:ascii="Times New Roman" w:hAnsi="Times New Roman" w:cs="Times New Roman"/>
          <w:color w:val="auto"/>
          <w:sz w:val="20"/>
          <w:szCs w:val="20"/>
        </w:rPr>
        <w:t xml:space="preserve">Schroeder, P. &amp; Wilbur, M. (2013, October). </w:t>
      </w:r>
      <w:r w:rsidRPr="00991D8A">
        <w:rPr>
          <w:rFonts w:ascii="Times New Roman" w:hAnsi="Times New Roman" w:cs="Times New Roman"/>
          <w:i/>
          <w:iCs/>
          <w:color w:val="auto"/>
          <w:sz w:val="20"/>
          <w:szCs w:val="20"/>
        </w:rPr>
        <w:t>2012 National survey of bicyclist and pedestrian attitudes and behavior, volume 2: Findings report</w:t>
      </w:r>
      <w:r w:rsidRPr="00991D8A">
        <w:rPr>
          <w:rFonts w:ascii="Times New Roman" w:hAnsi="Times New Roman" w:cs="Times New Roman"/>
          <w:color w:val="auto"/>
          <w:sz w:val="20"/>
          <w:szCs w:val="20"/>
        </w:rPr>
        <w:t xml:space="preserve"> (Report No. DOT HS 811 841 B). National Highway Traffic Safety Administration. https://rosap.ntl.bts.gov/view/dot/1957 </w:t>
      </w:r>
    </w:p>
    <w:p w14:paraId="7B7FB985" w14:textId="77777777" w:rsidR="00040121" w:rsidRPr="00991D8A" w:rsidRDefault="00040121" w:rsidP="00991D8A">
      <w:pPr>
        <w:pStyle w:val="Heading1"/>
        <w:shd w:val="clear" w:color="auto" w:fill="FFFFFF"/>
        <w:spacing w:before="0" w:after="60" w:line="240" w:lineRule="auto"/>
        <w:rPr>
          <w:rFonts w:ascii="Times New Roman" w:eastAsia="Times New Roman" w:hAnsi="Times New Roman" w:cs="Times New Roman"/>
          <w:sz w:val="20"/>
          <w:szCs w:val="20"/>
        </w:rPr>
      </w:pPr>
      <w:r w:rsidRPr="00991D8A">
        <w:rPr>
          <w:rFonts w:ascii="Times New Roman" w:hAnsi="Times New Roman" w:cs="Times New Roman"/>
          <w:color w:val="auto"/>
          <w:sz w:val="20"/>
          <w:szCs w:val="20"/>
        </w:rPr>
        <w:t xml:space="preserve">Bialik, K. (2017, July 27).  </w:t>
      </w:r>
      <w:r w:rsidRPr="00991D8A">
        <w:rPr>
          <w:rFonts w:ascii="Times New Roman" w:hAnsi="Times New Roman" w:cs="Times New Roman"/>
          <w:i/>
          <w:iCs/>
          <w:color w:val="auto"/>
          <w:sz w:val="20"/>
          <w:szCs w:val="20"/>
        </w:rPr>
        <w:t>7 facts about Americans with disabilities</w:t>
      </w:r>
      <w:r w:rsidRPr="00991D8A">
        <w:rPr>
          <w:rFonts w:ascii="Times New Roman" w:hAnsi="Times New Roman" w:cs="Times New Roman"/>
          <w:color w:val="auto"/>
          <w:sz w:val="20"/>
          <w:szCs w:val="20"/>
        </w:rPr>
        <w:t xml:space="preserve">. Pew Research Center. </w:t>
      </w:r>
      <w:hyperlink r:id="rId9" w:history="1">
        <w:r w:rsidRPr="00991D8A">
          <w:rPr>
            <w:rStyle w:val="Hyperlink"/>
            <w:rFonts w:ascii="Times New Roman" w:hAnsi="Times New Roman"/>
            <w:sz w:val="20"/>
            <w:szCs w:val="20"/>
          </w:rPr>
          <w:t>www.pewresearch.org/fact-tank/2017/07/27/7-facts-about-americans-with-disabilities</w:t>
        </w:r>
      </w:hyperlink>
      <w:r w:rsidRPr="00991D8A">
        <w:rPr>
          <w:rFonts w:ascii="Times New Roman" w:eastAsia="Times New Roman" w:hAnsi="Times New Roman" w:cs="Times New Roman"/>
          <w:sz w:val="20"/>
          <w:szCs w:val="20"/>
        </w:rPr>
        <w:t xml:space="preserve"> </w:t>
      </w:r>
    </w:p>
    <w:p w14:paraId="6DFD2A8F" w14:textId="77777777" w:rsidR="00040121" w:rsidRPr="00991D8A" w:rsidRDefault="00040121" w:rsidP="00991D8A">
      <w:pPr>
        <w:pStyle w:val="Heading1"/>
        <w:shd w:val="clear" w:color="auto" w:fill="FFFFFF"/>
        <w:spacing w:before="0" w:after="60" w:line="240" w:lineRule="auto"/>
        <w:rPr>
          <w:rFonts w:ascii="Times New Roman" w:eastAsia="Times New Roman" w:hAnsi="Times New Roman" w:cs="Times New Roman"/>
          <w:sz w:val="20"/>
          <w:szCs w:val="20"/>
        </w:rPr>
      </w:pPr>
      <w:r w:rsidRPr="00991D8A">
        <w:rPr>
          <w:rFonts w:ascii="Times New Roman" w:hAnsi="Times New Roman" w:cs="Times New Roman"/>
          <w:color w:val="auto"/>
          <w:sz w:val="20"/>
          <w:szCs w:val="20"/>
        </w:rPr>
        <w:t xml:space="preserve">Chalabi, M. (2015, April 16). </w:t>
      </w:r>
      <w:r w:rsidRPr="00991D8A">
        <w:rPr>
          <w:rFonts w:ascii="Times New Roman" w:hAnsi="Times New Roman" w:cs="Times New Roman"/>
          <w:i/>
          <w:iCs/>
          <w:color w:val="auto"/>
          <w:sz w:val="20"/>
          <w:szCs w:val="20"/>
        </w:rPr>
        <w:t>How many Americans don’t know how to ride a bike?</w:t>
      </w:r>
      <w:r w:rsidRPr="00991D8A">
        <w:rPr>
          <w:rFonts w:ascii="Times New Roman" w:hAnsi="Times New Roman" w:cs="Times New Roman"/>
          <w:color w:val="auto"/>
          <w:sz w:val="20"/>
          <w:szCs w:val="20"/>
        </w:rPr>
        <w:t xml:space="preserve">  FiveThirtyEight.</w:t>
      </w:r>
      <w:r w:rsidRPr="00991D8A">
        <w:rPr>
          <w:rFonts w:ascii="Times New Roman" w:hAnsi="Times New Roman" w:cs="Times New Roman"/>
          <w:sz w:val="20"/>
          <w:szCs w:val="20"/>
        </w:rPr>
        <w:t xml:space="preserve"> </w:t>
      </w:r>
      <w:hyperlink r:id="rId10" w:history="1">
        <w:r w:rsidRPr="00991D8A">
          <w:rPr>
            <w:rStyle w:val="Hyperlink"/>
            <w:rFonts w:ascii="Times New Roman" w:hAnsi="Times New Roman"/>
            <w:sz w:val="20"/>
            <w:szCs w:val="20"/>
          </w:rPr>
          <w:t>https://fivethirtyeight.com/features/how-many-americans-dont-know-how-to-ride-a-bike/</w:t>
        </w:r>
      </w:hyperlink>
      <w:r w:rsidRPr="00991D8A">
        <w:rPr>
          <w:rFonts w:ascii="Times New Roman" w:eastAsia="Times New Roman" w:hAnsi="Times New Roman" w:cs="Times New Roman"/>
          <w:sz w:val="20"/>
          <w:szCs w:val="20"/>
        </w:rPr>
        <w:t xml:space="preserve">; </w:t>
      </w:r>
    </w:p>
    <w:p w14:paraId="2456AAE9" w14:textId="77777777" w:rsidR="00040121" w:rsidRPr="00991D8A" w:rsidRDefault="00040121" w:rsidP="00991D8A">
      <w:pPr>
        <w:pStyle w:val="Heading1"/>
        <w:shd w:val="clear" w:color="auto" w:fill="FFFFFF"/>
        <w:spacing w:before="0" w:after="60" w:line="240" w:lineRule="auto"/>
        <w:rPr>
          <w:rFonts w:ascii="Times New Roman" w:hAnsi="Times New Roman" w:cs="Times New Roman"/>
          <w:sz w:val="20"/>
          <w:szCs w:val="20"/>
        </w:rPr>
      </w:pPr>
      <w:r w:rsidRPr="00991D8A">
        <w:rPr>
          <w:rFonts w:ascii="Times New Roman" w:eastAsia="Times New Roman" w:hAnsi="Times New Roman" w:cs="Times New Roman"/>
          <w:color w:val="auto"/>
          <w:sz w:val="20"/>
          <w:szCs w:val="20"/>
        </w:rPr>
        <w:t xml:space="preserve">Lange, D. (2021, March 4).  </w:t>
      </w:r>
      <w:r w:rsidRPr="00991D8A">
        <w:rPr>
          <w:rFonts w:ascii="Times New Roman" w:hAnsi="Times New Roman" w:cs="Times New Roman"/>
          <w:i/>
          <w:iCs/>
          <w:color w:val="auto"/>
          <w:sz w:val="20"/>
          <w:szCs w:val="20"/>
        </w:rPr>
        <w:t>Cycling - Statistics &amp; facts</w:t>
      </w:r>
      <w:r w:rsidRPr="00991D8A">
        <w:rPr>
          <w:rFonts w:ascii="Times New Roman" w:hAnsi="Times New Roman" w:cs="Times New Roman"/>
          <w:color w:val="auto"/>
          <w:sz w:val="20"/>
          <w:szCs w:val="20"/>
        </w:rPr>
        <w:t xml:space="preserve">.  </w:t>
      </w:r>
      <w:r w:rsidRPr="00991D8A">
        <w:rPr>
          <w:rFonts w:ascii="Times New Roman" w:eastAsia="Times New Roman" w:hAnsi="Times New Roman" w:cs="Times New Roman"/>
          <w:color w:val="auto"/>
          <w:sz w:val="20"/>
          <w:szCs w:val="20"/>
        </w:rPr>
        <w:t>Statista.</w:t>
      </w:r>
      <w:r w:rsidRPr="00991D8A">
        <w:rPr>
          <w:rFonts w:ascii="Times New Roman" w:hAnsi="Times New Roman" w:cs="Times New Roman"/>
          <w:sz w:val="20"/>
          <w:szCs w:val="20"/>
        </w:rPr>
        <w:t xml:space="preserve"> </w:t>
      </w:r>
      <w:hyperlink r:id="rId11" w:anchor="dossierSummary" w:history="1">
        <w:r w:rsidRPr="00991D8A">
          <w:rPr>
            <w:rStyle w:val="Hyperlink"/>
            <w:rFonts w:ascii="Times New Roman" w:hAnsi="Times New Roman"/>
            <w:sz w:val="20"/>
            <w:szCs w:val="20"/>
          </w:rPr>
          <w:t>www.statista.com/topics/1686/cycling/#dossierSummary</w:t>
        </w:r>
      </w:hyperlink>
      <w:r w:rsidRPr="00991D8A">
        <w:rPr>
          <w:rFonts w:ascii="Times New Roman" w:hAnsi="Times New Roman" w:cs="Times New Roman"/>
          <w:sz w:val="20"/>
          <w:szCs w:val="20"/>
        </w:rPr>
        <w:t xml:space="preserve"> </w:t>
      </w:r>
    </w:p>
    <w:p w14:paraId="2BE762F8" w14:textId="77777777" w:rsidR="00040121" w:rsidRPr="00991D8A" w:rsidRDefault="00040121" w:rsidP="00991D8A">
      <w:pPr>
        <w:pStyle w:val="Heading1"/>
        <w:shd w:val="clear" w:color="auto" w:fill="FFFFFF"/>
        <w:spacing w:before="0" w:after="60" w:line="240" w:lineRule="auto"/>
        <w:rPr>
          <w:rFonts w:ascii="Times New Roman" w:hAnsi="Times New Roman" w:cs="Times New Roman"/>
          <w:color w:val="000000"/>
          <w:sz w:val="20"/>
          <w:szCs w:val="20"/>
        </w:rPr>
      </w:pPr>
      <w:r w:rsidRPr="00991D8A">
        <w:rPr>
          <w:rFonts w:ascii="Times New Roman" w:hAnsi="Times New Roman" w:cs="Times New Roman"/>
          <w:color w:val="auto"/>
          <w:sz w:val="20"/>
          <w:szCs w:val="20"/>
        </w:rPr>
        <w:t xml:space="preserve">Schmitt, A. (2015, March 4). </w:t>
      </w:r>
      <w:r w:rsidRPr="00991D8A">
        <w:rPr>
          <w:rFonts w:ascii="Times New Roman" w:hAnsi="Times New Roman" w:cs="Times New Roman"/>
          <w:i/>
          <w:iCs/>
          <w:color w:val="auto"/>
          <w:sz w:val="20"/>
          <w:szCs w:val="20"/>
        </w:rPr>
        <w:t>Survey: 100 million Americans bike each year, but few make it a habit</w:t>
      </w:r>
      <w:r w:rsidRPr="00991D8A">
        <w:rPr>
          <w:rFonts w:ascii="Times New Roman" w:hAnsi="Times New Roman" w:cs="Times New Roman"/>
          <w:color w:val="auto"/>
          <w:sz w:val="20"/>
          <w:szCs w:val="20"/>
        </w:rPr>
        <w:t xml:space="preserve">. </w:t>
      </w:r>
      <w:proofErr w:type="spellStart"/>
      <w:r w:rsidRPr="00991D8A">
        <w:rPr>
          <w:rFonts w:ascii="Times New Roman" w:hAnsi="Times New Roman" w:cs="Times New Roman"/>
          <w:color w:val="auto"/>
          <w:sz w:val="20"/>
          <w:szCs w:val="20"/>
        </w:rPr>
        <w:t>StreetsBlogUSA</w:t>
      </w:r>
      <w:proofErr w:type="spellEnd"/>
      <w:r w:rsidRPr="00991D8A">
        <w:rPr>
          <w:rFonts w:ascii="Times New Roman" w:hAnsi="Times New Roman" w:cs="Times New Roman"/>
          <w:color w:val="auto"/>
          <w:sz w:val="20"/>
          <w:szCs w:val="20"/>
        </w:rPr>
        <w:t xml:space="preserve">. </w:t>
      </w:r>
      <w:hyperlink r:id="rId12" w:history="1">
        <w:r w:rsidRPr="00991D8A">
          <w:rPr>
            <w:rStyle w:val="Hyperlink"/>
            <w:rFonts w:ascii="Times New Roman" w:hAnsi="Times New Roman"/>
            <w:sz w:val="20"/>
            <w:szCs w:val="20"/>
          </w:rPr>
          <w:t>https://usa.streetsblog.org/2015/03/04/survey-100-million-americans-bike-each-year-but-few-make-it-a-habit/</w:t>
        </w:r>
      </w:hyperlink>
      <w:r w:rsidRPr="00991D8A">
        <w:rPr>
          <w:rFonts w:ascii="Times New Roman" w:hAnsi="Times New Roman" w:cs="Times New Roman"/>
          <w:color w:val="000000"/>
          <w:sz w:val="20"/>
          <w:szCs w:val="20"/>
        </w:rPr>
        <w:t xml:space="preserve"> </w:t>
      </w:r>
    </w:p>
    <w:p w14:paraId="66CC9204" w14:textId="77777777" w:rsidR="00040121" w:rsidRPr="00991D8A" w:rsidRDefault="00040121" w:rsidP="00991D8A">
      <w:pPr>
        <w:pStyle w:val="Heading1"/>
        <w:shd w:val="clear" w:color="auto" w:fill="FFFFFF"/>
        <w:spacing w:before="0" w:after="60" w:line="240" w:lineRule="auto"/>
        <w:rPr>
          <w:rFonts w:ascii="Times New Roman" w:hAnsi="Times New Roman" w:cs="Times New Roman"/>
          <w:color w:val="000000"/>
          <w:sz w:val="20"/>
          <w:szCs w:val="20"/>
        </w:rPr>
      </w:pPr>
      <w:r w:rsidRPr="00991D8A">
        <w:rPr>
          <w:rFonts w:ascii="Times New Roman" w:hAnsi="Times New Roman" w:cs="Times New Roman"/>
          <w:color w:val="000000"/>
          <w:sz w:val="20"/>
          <w:szCs w:val="20"/>
        </w:rPr>
        <w:t xml:space="preserve">Burrows, M. (2019, May 14).  </w:t>
      </w:r>
      <w:r w:rsidRPr="00991D8A">
        <w:rPr>
          <w:rFonts w:ascii="Times New Roman" w:hAnsi="Times New Roman" w:cs="Times New Roman"/>
          <w:i/>
          <w:iCs/>
          <w:color w:val="000000"/>
          <w:sz w:val="20"/>
          <w:szCs w:val="20"/>
        </w:rPr>
        <w:t>Younger workers in cities more likely to bike to work</w:t>
      </w:r>
      <w:r w:rsidRPr="00991D8A">
        <w:rPr>
          <w:rFonts w:ascii="Times New Roman" w:hAnsi="Times New Roman" w:cs="Times New Roman"/>
          <w:color w:val="000000"/>
          <w:sz w:val="20"/>
          <w:szCs w:val="20"/>
        </w:rPr>
        <w:t xml:space="preserve">.  U.S. Census Bureau. </w:t>
      </w:r>
      <w:r w:rsidRPr="00991D8A">
        <w:rPr>
          <w:rFonts w:ascii="Times New Roman" w:hAnsi="Times New Roman" w:cs="Times New Roman"/>
          <w:sz w:val="20"/>
          <w:szCs w:val="20"/>
        </w:rPr>
        <w:t xml:space="preserve"> </w:t>
      </w:r>
      <w:hyperlink r:id="rId13" w:history="1">
        <w:r w:rsidRPr="00991D8A">
          <w:rPr>
            <w:rStyle w:val="Hyperlink"/>
            <w:rFonts w:ascii="Times New Roman" w:hAnsi="Times New Roman"/>
            <w:sz w:val="20"/>
            <w:szCs w:val="20"/>
          </w:rPr>
          <w:t>www.census.gov/library/stories/2019/05/younger-workers-in-cities-more-likely-to-bike-to-work.html</w:t>
        </w:r>
      </w:hyperlink>
      <w:r w:rsidRPr="00991D8A">
        <w:rPr>
          <w:rFonts w:ascii="Times New Roman" w:hAnsi="Times New Roman" w:cs="Times New Roman"/>
          <w:color w:val="000000"/>
          <w:sz w:val="20"/>
          <w:szCs w:val="20"/>
        </w:rPr>
        <w:t xml:space="preserve"> </w:t>
      </w:r>
    </w:p>
    <w:p w14:paraId="60E98CFD" w14:textId="0D397C3E" w:rsidR="00040121" w:rsidRPr="00991D8A" w:rsidRDefault="00040121" w:rsidP="00991D8A">
      <w:pPr>
        <w:pStyle w:val="Heading1"/>
        <w:shd w:val="clear" w:color="auto" w:fill="FFFFFF"/>
        <w:spacing w:before="0" w:after="60" w:line="240" w:lineRule="auto"/>
        <w:rPr>
          <w:rFonts w:ascii="Times New Roman" w:hAnsi="Times New Roman" w:cs="Times New Roman"/>
          <w:color w:val="0F2741"/>
          <w:sz w:val="20"/>
          <w:szCs w:val="20"/>
        </w:rPr>
      </w:pPr>
      <w:r w:rsidRPr="00991D8A">
        <w:rPr>
          <w:rFonts w:ascii="Times New Roman" w:hAnsi="Times New Roman" w:cs="Times New Roman"/>
          <w:color w:val="auto"/>
          <w:sz w:val="20"/>
          <w:szCs w:val="20"/>
        </w:rPr>
        <w:t xml:space="preserve">Wilson, K. (2020, November 25).  </w:t>
      </w:r>
      <w:r w:rsidRPr="00991D8A">
        <w:rPr>
          <w:rFonts w:ascii="Times New Roman" w:hAnsi="Times New Roman" w:cs="Times New Roman"/>
          <w:i/>
          <w:iCs/>
          <w:color w:val="auto"/>
          <w:sz w:val="20"/>
          <w:szCs w:val="20"/>
        </w:rPr>
        <w:t>Study: The biggest COVID-19 bike booms weren’t where you think</w:t>
      </w:r>
      <w:r w:rsidRPr="00991D8A">
        <w:rPr>
          <w:rFonts w:ascii="Times New Roman" w:hAnsi="Times New Roman" w:cs="Times New Roman"/>
          <w:color w:val="auto"/>
          <w:sz w:val="20"/>
          <w:szCs w:val="20"/>
        </w:rPr>
        <w:t xml:space="preserve">. </w:t>
      </w:r>
      <w:proofErr w:type="spellStart"/>
      <w:r w:rsidRPr="00991D8A">
        <w:rPr>
          <w:rFonts w:ascii="Times New Roman" w:hAnsi="Times New Roman" w:cs="Times New Roman"/>
          <w:color w:val="auto"/>
          <w:sz w:val="20"/>
          <w:szCs w:val="20"/>
        </w:rPr>
        <w:t>StreetsBlogUSA</w:t>
      </w:r>
      <w:proofErr w:type="spellEnd"/>
      <w:r w:rsidRPr="00991D8A">
        <w:rPr>
          <w:rFonts w:ascii="Times New Roman" w:hAnsi="Times New Roman" w:cs="Times New Roman"/>
          <w:color w:val="auto"/>
          <w:sz w:val="20"/>
          <w:szCs w:val="20"/>
        </w:rPr>
        <w:t>.</w:t>
      </w:r>
      <w:r w:rsidRPr="00991D8A">
        <w:rPr>
          <w:rFonts w:ascii="Times New Roman" w:hAnsi="Times New Roman" w:cs="Times New Roman"/>
          <w:sz w:val="20"/>
          <w:szCs w:val="20"/>
        </w:rPr>
        <w:t xml:space="preserve"> </w:t>
      </w:r>
      <w:hyperlink r:id="rId14" w:history="1">
        <w:r w:rsidRPr="00991D8A">
          <w:rPr>
            <w:rStyle w:val="Hyperlink"/>
            <w:rFonts w:ascii="Times New Roman" w:hAnsi="Times New Roman"/>
            <w:sz w:val="20"/>
            <w:szCs w:val="20"/>
          </w:rPr>
          <w:t>https://usa.streetsblog.org/2020/11/25/study-the-biggest-covid-19-bike-booms-werent-where-you-think/</w:t>
        </w:r>
      </w:hyperlink>
      <w:r w:rsidRPr="00991D8A">
        <w:rPr>
          <w:rFonts w:ascii="Times New Roman" w:hAnsi="Times New Roman" w:cs="Times New Roman"/>
          <w:color w:val="auto"/>
          <w:sz w:val="20"/>
          <w:szCs w:val="20"/>
        </w:rPr>
        <w:t xml:space="preserve"> </w:t>
      </w:r>
    </w:p>
  </w:footnote>
  <w:footnote w:id="19">
    <w:p w14:paraId="7DC11758" w14:textId="77777777" w:rsidR="00195396" w:rsidRDefault="00195396" w:rsidP="00195396">
      <w:pPr>
        <w:pStyle w:val="FootnoteText"/>
      </w:pPr>
      <w:r>
        <w:rPr>
          <w:rStyle w:val="FootnoteReference"/>
        </w:rPr>
        <w:footnoteRef/>
      </w:r>
      <w:r>
        <w:t xml:space="preserve"> Bailly, K., Higgins, B., </w:t>
      </w:r>
      <w:proofErr w:type="spellStart"/>
      <w:r w:rsidRPr="001C2513">
        <w:t>Freedner</w:t>
      </w:r>
      <w:proofErr w:type="spellEnd"/>
      <w:r w:rsidRPr="001C2513">
        <w:t>-Maguire, N</w:t>
      </w:r>
      <w:r>
        <w:t xml:space="preserve">., &amp; Boyle, J. </w:t>
      </w:r>
      <w:r w:rsidRPr="001C2513">
        <w:t>(2017)</w:t>
      </w:r>
      <w:r>
        <w:t xml:space="preserve">. </w:t>
      </w:r>
      <w:r w:rsidRPr="001C2513">
        <w:rPr>
          <w:i/>
        </w:rPr>
        <w:t xml:space="preserve">Impact of </w:t>
      </w:r>
      <w:r>
        <w:rPr>
          <w:i/>
        </w:rPr>
        <w:t>p</w:t>
      </w:r>
      <w:r w:rsidRPr="001C2513">
        <w:rPr>
          <w:i/>
        </w:rPr>
        <w:t xml:space="preserve">re- and </w:t>
      </w:r>
      <w:r>
        <w:rPr>
          <w:i/>
        </w:rPr>
        <w:t>p</w:t>
      </w:r>
      <w:r w:rsidRPr="001C2513">
        <w:rPr>
          <w:i/>
        </w:rPr>
        <w:t xml:space="preserve">ost-incentives on </w:t>
      </w:r>
      <w:r>
        <w:rPr>
          <w:i/>
        </w:rPr>
        <w:t>r</w:t>
      </w:r>
      <w:r w:rsidRPr="001C2513">
        <w:rPr>
          <w:i/>
        </w:rPr>
        <w:t xml:space="preserve">esponse </w:t>
      </w:r>
      <w:r>
        <w:rPr>
          <w:i/>
        </w:rPr>
        <w:t>r</w:t>
      </w:r>
      <w:r w:rsidRPr="001C2513">
        <w:rPr>
          <w:i/>
        </w:rPr>
        <w:t xml:space="preserve">ates to a </w:t>
      </w:r>
      <w:r>
        <w:rPr>
          <w:i/>
        </w:rPr>
        <w:t>w</w:t>
      </w:r>
      <w:r w:rsidRPr="001C2513">
        <w:rPr>
          <w:i/>
        </w:rPr>
        <w:t xml:space="preserve">eb and </w:t>
      </w:r>
      <w:r>
        <w:rPr>
          <w:i/>
        </w:rPr>
        <w:t>m</w:t>
      </w:r>
      <w:r w:rsidRPr="001C2513">
        <w:rPr>
          <w:i/>
        </w:rPr>
        <w:t xml:space="preserve">ail </w:t>
      </w:r>
      <w:r>
        <w:rPr>
          <w:i/>
        </w:rPr>
        <w:t>s</w:t>
      </w:r>
      <w:r w:rsidRPr="001C2513">
        <w:rPr>
          <w:i/>
        </w:rPr>
        <w:t xml:space="preserve">urvey using an </w:t>
      </w:r>
      <w:r>
        <w:rPr>
          <w:i/>
        </w:rPr>
        <w:t>a</w:t>
      </w:r>
      <w:r w:rsidRPr="001C2513">
        <w:rPr>
          <w:i/>
        </w:rPr>
        <w:t xml:space="preserve">ddress-based </w:t>
      </w:r>
      <w:r>
        <w:rPr>
          <w:i/>
        </w:rPr>
        <w:t>s</w:t>
      </w:r>
      <w:r w:rsidRPr="001C2513">
        <w:rPr>
          <w:i/>
        </w:rPr>
        <w:t xml:space="preserve">ample </w:t>
      </w:r>
      <w:r>
        <w:rPr>
          <w:i/>
        </w:rPr>
        <w:t>f</w:t>
      </w:r>
      <w:r w:rsidRPr="001C2513">
        <w:rPr>
          <w:i/>
        </w:rPr>
        <w:t>rame</w:t>
      </w:r>
      <w:r>
        <w:rPr>
          <w:i/>
        </w:rPr>
        <w:t xml:space="preserve">. </w:t>
      </w:r>
      <w:r w:rsidRPr="001C2513">
        <w:t>AAPOR 72nd annual conference, May 18-21, 2017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7DDB" w14:textId="663F4DA0" w:rsidR="00040121" w:rsidRPr="005664C8" w:rsidRDefault="00040121">
    <w:pPr>
      <w:pStyle w:val="Header"/>
      <w:jc w:val="right"/>
      <w:rPr>
        <w:lang w:val="fr-FR"/>
      </w:rPr>
    </w:pPr>
    <w:r>
      <w:rPr>
        <w:lang w:val="fr-FR"/>
      </w:rPr>
      <w:t>NSBPAB</w:t>
    </w:r>
  </w:p>
  <w:p w14:paraId="54CC1094" w14:textId="43F08E82" w:rsidR="00040121" w:rsidRPr="009A6F16" w:rsidRDefault="00040121">
    <w:pPr>
      <w:pStyle w:val="Header"/>
      <w:jc w:val="right"/>
      <w:rPr>
        <w:lang w:val="fr-FR"/>
      </w:rPr>
    </w:pPr>
    <w:r w:rsidRPr="005664C8">
      <w:rPr>
        <w:lang w:val="fr-FR"/>
      </w:rPr>
      <w:t xml:space="preserve">ICR </w:t>
    </w:r>
    <w:r w:rsidR="007643DA">
      <w:rPr>
        <w:lang w:val="fr-FR"/>
      </w:rPr>
      <w:t>Part</w:t>
    </w:r>
    <w:r w:rsidRPr="005664C8">
      <w:rPr>
        <w:lang w:val="fr-FR"/>
      </w:rPr>
      <w:t xml:space="preserve"> B</w:t>
    </w:r>
  </w:p>
  <w:p w14:paraId="33A4DC54" w14:textId="77777777" w:rsidR="00040121" w:rsidRPr="009A6F16" w:rsidRDefault="0004012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7EC"/>
    <w:multiLevelType w:val="hybridMultilevel"/>
    <w:tmpl w:val="7FCE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11AD"/>
    <w:multiLevelType w:val="hybridMultilevel"/>
    <w:tmpl w:val="B488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75069"/>
    <w:multiLevelType w:val="hybridMultilevel"/>
    <w:tmpl w:val="48E600B6"/>
    <w:lvl w:ilvl="0" w:tplc="1116E532">
      <w:start w:val="3"/>
      <w:numFmt w:val="lowerLetter"/>
      <w:lvlText w:val="%1."/>
      <w:lvlJc w:val="left"/>
      <w:pPr>
        <w:ind w:left="720" w:hanging="360"/>
      </w:pPr>
      <w:rPr>
        <w:rFonts w:hint="default"/>
      </w:rPr>
    </w:lvl>
    <w:lvl w:ilvl="1" w:tplc="80EEB0D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01750"/>
    <w:multiLevelType w:val="hybridMultilevel"/>
    <w:tmpl w:val="2D7A2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7BB580E"/>
    <w:multiLevelType w:val="hybridMultilevel"/>
    <w:tmpl w:val="C71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44378"/>
    <w:multiLevelType w:val="hybridMultilevel"/>
    <w:tmpl w:val="3C4A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C5199"/>
    <w:multiLevelType w:val="hybridMultilevel"/>
    <w:tmpl w:val="0038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D6477"/>
    <w:multiLevelType w:val="hybridMultilevel"/>
    <w:tmpl w:val="E2A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91260"/>
    <w:multiLevelType w:val="hybridMultilevel"/>
    <w:tmpl w:val="985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62F90"/>
    <w:multiLevelType w:val="hybridMultilevel"/>
    <w:tmpl w:val="A3823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9B4F1E"/>
    <w:multiLevelType w:val="hybridMultilevel"/>
    <w:tmpl w:val="F4FA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637EE"/>
    <w:multiLevelType w:val="hybridMultilevel"/>
    <w:tmpl w:val="E1D2CAEC"/>
    <w:lvl w:ilvl="0" w:tplc="62C2346C">
      <w:start w:val="1"/>
      <w:numFmt w:val="bullet"/>
      <w:pStyle w:val="NHTSA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F3C9F"/>
    <w:multiLevelType w:val="hybridMultilevel"/>
    <w:tmpl w:val="33082554"/>
    <w:lvl w:ilvl="0" w:tplc="0FB867D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273F9"/>
    <w:multiLevelType w:val="hybridMultilevel"/>
    <w:tmpl w:val="B344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14823"/>
    <w:multiLevelType w:val="hybridMultilevel"/>
    <w:tmpl w:val="6F7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06531"/>
    <w:multiLevelType w:val="hybridMultilevel"/>
    <w:tmpl w:val="9C46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3"/>
  </w:num>
  <w:num w:numId="5">
    <w:abstractNumId w:val="13"/>
  </w:num>
  <w:num w:numId="6">
    <w:abstractNumId w:val="9"/>
  </w:num>
  <w:num w:numId="7">
    <w:abstractNumId w:val="4"/>
  </w:num>
  <w:num w:numId="8">
    <w:abstractNumId w:val="0"/>
  </w:num>
  <w:num w:numId="9">
    <w:abstractNumId w:val="14"/>
  </w:num>
  <w:num w:numId="10">
    <w:abstractNumId w:val="7"/>
  </w:num>
  <w:num w:numId="11">
    <w:abstractNumId w:val="11"/>
  </w:num>
  <w:num w:numId="12">
    <w:abstractNumId w:val="10"/>
  </w:num>
  <w:num w:numId="13">
    <w:abstractNumId w:val="5"/>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3F"/>
    <w:rsid w:val="00000C92"/>
    <w:rsid w:val="000013AB"/>
    <w:rsid w:val="0000568E"/>
    <w:rsid w:val="00010A70"/>
    <w:rsid w:val="000208D2"/>
    <w:rsid w:val="000218FB"/>
    <w:rsid w:val="000343C0"/>
    <w:rsid w:val="00040121"/>
    <w:rsid w:val="000452E9"/>
    <w:rsid w:val="00055DB8"/>
    <w:rsid w:val="00075FE5"/>
    <w:rsid w:val="00090523"/>
    <w:rsid w:val="00091531"/>
    <w:rsid w:val="00094881"/>
    <w:rsid w:val="000A70B2"/>
    <w:rsid w:val="000A7177"/>
    <w:rsid w:val="000A76CA"/>
    <w:rsid w:val="000C5662"/>
    <w:rsid w:val="000E05EE"/>
    <w:rsid w:val="000E07F3"/>
    <w:rsid w:val="000E10A4"/>
    <w:rsid w:val="000F5382"/>
    <w:rsid w:val="001205CA"/>
    <w:rsid w:val="00125DB4"/>
    <w:rsid w:val="00127F62"/>
    <w:rsid w:val="001478A4"/>
    <w:rsid w:val="00155521"/>
    <w:rsid w:val="00157728"/>
    <w:rsid w:val="00157C96"/>
    <w:rsid w:val="00184CBC"/>
    <w:rsid w:val="001920BC"/>
    <w:rsid w:val="00195396"/>
    <w:rsid w:val="00196E24"/>
    <w:rsid w:val="001B42C5"/>
    <w:rsid w:val="001C0DFF"/>
    <w:rsid w:val="001C2513"/>
    <w:rsid w:val="001D305B"/>
    <w:rsid w:val="001E15D6"/>
    <w:rsid w:val="001E5311"/>
    <w:rsid w:val="001E762A"/>
    <w:rsid w:val="001F7A9D"/>
    <w:rsid w:val="00202B50"/>
    <w:rsid w:val="00216E70"/>
    <w:rsid w:val="00220547"/>
    <w:rsid w:val="00225816"/>
    <w:rsid w:val="0023425E"/>
    <w:rsid w:val="00234D4A"/>
    <w:rsid w:val="002637EB"/>
    <w:rsid w:val="00264339"/>
    <w:rsid w:val="00266929"/>
    <w:rsid w:val="00282F4B"/>
    <w:rsid w:val="00284CB0"/>
    <w:rsid w:val="002A32BF"/>
    <w:rsid w:val="002A50E8"/>
    <w:rsid w:val="002B3D2C"/>
    <w:rsid w:val="002B753C"/>
    <w:rsid w:val="002D4062"/>
    <w:rsid w:val="002E49C7"/>
    <w:rsid w:val="002F1DC5"/>
    <w:rsid w:val="003233D1"/>
    <w:rsid w:val="00323CCB"/>
    <w:rsid w:val="00327551"/>
    <w:rsid w:val="00327DB0"/>
    <w:rsid w:val="0033712D"/>
    <w:rsid w:val="00344429"/>
    <w:rsid w:val="003534B1"/>
    <w:rsid w:val="00361DEA"/>
    <w:rsid w:val="00366160"/>
    <w:rsid w:val="00375709"/>
    <w:rsid w:val="0039452F"/>
    <w:rsid w:val="00394AD0"/>
    <w:rsid w:val="003D2A3F"/>
    <w:rsid w:val="003D4DB2"/>
    <w:rsid w:val="003D5250"/>
    <w:rsid w:val="003D5FE0"/>
    <w:rsid w:val="003E190A"/>
    <w:rsid w:val="003E1C1F"/>
    <w:rsid w:val="003E6300"/>
    <w:rsid w:val="003F242E"/>
    <w:rsid w:val="003F61D3"/>
    <w:rsid w:val="00404431"/>
    <w:rsid w:val="00421150"/>
    <w:rsid w:val="00425EAD"/>
    <w:rsid w:val="00432391"/>
    <w:rsid w:val="0043753F"/>
    <w:rsid w:val="00437C03"/>
    <w:rsid w:val="004507FD"/>
    <w:rsid w:val="00454A92"/>
    <w:rsid w:val="004912F8"/>
    <w:rsid w:val="00491448"/>
    <w:rsid w:val="0049368D"/>
    <w:rsid w:val="0049420B"/>
    <w:rsid w:val="00497F8A"/>
    <w:rsid w:val="004E027F"/>
    <w:rsid w:val="004E1E64"/>
    <w:rsid w:val="004E4107"/>
    <w:rsid w:val="004F4783"/>
    <w:rsid w:val="004F5A5C"/>
    <w:rsid w:val="004F7C62"/>
    <w:rsid w:val="0050753F"/>
    <w:rsid w:val="00511F66"/>
    <w:rsid w:val="00512A46"/>
    <w:rsid w:val="0052270B"/>
    <w:rsid w:val="005238F9"/>
    <w:rsid w:val="005279F6"/>
    <w:rsid w:val="00530B7D"/>
    <w:rsid w:val="00530D2B"/>
    <w:rsid w:val="005365A7"/>
    <w:rsid w:val="0056014B"/>
    <w:rsid w:val="005664C8"/>
    <w:rsid w:val="00571376"/>
    <w:rsid w:val="00572822"/>
    <w:rsid w:val="005A5809"/>
    <w:rsid w:val="005A64B3"/>
    <w:rsid w:val="005B20B8"/>
    <w:rsid w:val="005B2AC8"/>
    <w:rsid w:val="005C5C22"/>
    <w:rsid w:val="005D2B86"/>
    <w:rsid w:val="005D2E15"/>
    <w:rsid w:val="005D4122"/>
    <w:rsid w:val="005D4DA4"/>
    <w:rsid w:val="005E4BEE"/>
    <w:rsid w:val="0062004B"/>
    <w:rsid w:val="00624814"/>
    <w:rsid w:val="00645A49"/>
    <w:rsid w:val="006477FE"/>
    <w:rsid w:val="00647C66"/>
    <w:rsid w:val="006672EA"/>
    <w:rsid w:val="006708E0"/>
    <w:rsid w:val="0067184E"/>
    <w:rsid w:val="00696C66"/>
    <w:rsid w:val="006A0024"/>
    <w:rsid w:val="006A0F56"/>
    <w:rsid w:val="006B35B0"/>
    <w:rsid w:val="006C1794"/>
    <w:rsid w:val="006D0532"/>
    <w:rsid w:val="006D4A21"/>
    <w:rsid w:val="006E2480"/>
    <w:rsid w:val="006F7D8C"/>
    <w:rsid w:val="0071200F"/>
    <w:rsid w:val="00734944"/>
    <w:rsid w:val="0074180D"/>
    <w:rsid w:val="007643DA"/>
    <w:rsid w:val="007A1F5E"/>
    <w:rsid w:val="007A48BA"/>
    <w:rsid w:val="007A63B0"/>
    <w:rsid w:val="007C02FB"/>
    <w:rsid w:val="007D0C76"/>
    <w:rsid w:val="007D1FD3"/>
    <w:rsid w:val="007D2A5D"/>
    <w:rsid w:val="007F241D"/>
    <w:rsid w:val="0080442D"/>
    <w:rsid w:val="00813D48"/>
    <w:rsid w:val="00822F03"/>
    <w:rsid w:val="0082594C"/>
    <w:rsid w:val="008300A3"/>
    <w:rsid w:val="00837453"/>
    <w:rsid w:val="00837EA3"/>
    <w:rsid w:val="00863D15"/>
    <w:rsid w:val="008719D6"/>
    <w:rsid w:val="0089004D"/>
    <w:rsid w:val="008A3AE9"/>
    <w:rsid w:val="008A4039"/>
    <w:rsid w:val="008B12ED"/>
    <w:rsid w:val="008B524D"/>
    <w:rsid w:val="008C142E"/>
    <w:rsid w:val="008C247D"/>
    <w:rsid w:val="008C2D88"/>
    <w:rsid w:val="008D17F1"/>
    <w:rsid w:val="008D6DA3"/>
    <w:rsid w:val="008E7971"/>
    <w:rsid w:val="008F2955"/>
    <w:rsid w:val="008F3BE9"/>
    <w:rsid w:val="00901136"/>
    <w:rsid w:val="00903F7F"/>
    <w:rsid w:val="0091598F"/>
    <w:rsid w:val="00921DDF"/>
    <w:rsid w:val="00931DDF"/>
    <w:rsid w:val="00935C27"/>
    <w:rsid w:val="00952709"/>
    <w:rsid w:val="009538A4"/>
    <w:rsid w:val="009560A3"/>
    <w:rsid w:val="00962045"/>
    <w:rsid w:val="009711E1"/>
    <w:rsid w:val="00973C28"/>
    <w:rsid w:val="009856EE"/>
    <w:rsid w:val="00991D8A"/>
    <w:rsid w:val="00995039"/>
    <w:rsid w:val="009965E1"/>
    <w:rsid w:val="009A24C0"/>
    <w:rsid w:val="009A30B6"/>
    <w:rsid w:val="009A45F8"/>
    <w:rsid w:val="009A6F16"/>
    <w:rsid w:val="009B1704"/>
    <w:rsid w:val="009B20EE"/>
    <w:rsid w:val="009C5F50"/>
    <w:rsid w:val="009D03C8"/>
    <w:rsid w:val="009D0937"/>
    <w:rsid w:val="009D7003"/>
    <w:rsid w:val="009F028A"/>
    <w:rsid w:val="00A0420E"/>
    <w:rsid w:val="00A2317F"/>
    <w:rsid w:val="00A41CA4"/>
    <w:rsid w:val="00A453FD"/>
    <w:rsid w:val="00A50FF3"/>
    <w:rsid w:val="00A542A8"/>
    <w:rsid w:val="00A55373"/>
    <w:rsid w:val="00A703BB"/>
    <w:rsid w:val="00A70BE5"/>
    <w:rsid w:val="00AA2649"/>
    <w:rsid w:val="00AC046D"/>
    <w:rsid w:val="00AD16F2"/>
    <w:rsid w:val="00AF022B"/>
    <w:rsid w:val="00B00051"/>
    <w:rsid w:val="00B02875"/>
    <w:rsid w:val="00B05B63"/>
    <w:rsid w:val="00B07105"/>
    <w:rsid w:val="00B14691"/>
    <w:rsid w:val="00B17713"/>
    <w:rsid w:val="00B17C1E"/>
    <w:rsid w:val="00B17CD9"/>
    <w:rsid w:val="00B34C30"/>
    <w:rsid w:val="00B34C75"/>
    <w:rsid w:val="00B46DA2"/>
    <w:rsid w:val="00B4792D"/>
    <w:rsid w:val="00B51A80"/>
    <w:rsid w:val="00B608EB"/>
    <w:rsid w:val="00B62478"/>
    <w:rsid w:val="00B72AD6"/>
    <w:rsid w:val="00B7683E"/>
    <w:rsid w:val="00B90FA4"/>
    <w:rsid w:val="00BB309A"/>
    <w:rsid w:val="00BC1C08"/>
    <w:rsid w:val="00BC1D58"/>
    <w:rsid w:val="00BC506A"/>
    <w:rsid w:val="00BD3823"/>
    <w:rsid w:val="00BE4C43"/>
    <w:rsid w:val="00BF68CC"/>
    <w:rsid w:val="00C12D83"/>
    <w:rsid w:val="00C24879"/>
    <w:rsid w:val="00C27730"/>
    <w:rsid w:val="00C31769"/>
    <w:rsid w:val="00C44244"/>
    <w:rsid w:val="00C62D16"/>
    <w:rsid w:val="00C72FF8"/>
    <w:rsid w:val="00C7742A"/>
    <w:rsid w:val="00C855EE"/>
    <w:rsid w:val="00C92CB1"/>
    <w:rsid w:val="00CB3CAB"/>
    <w:rsid w:val="00CB3D00"/>
    <w:rsid w:val="00CD54AA"/>
    <w:rsid w:val="00CD6D36"/>
    <w:rsid w:val="00CE1154"/>
    <w:rsid w:val="00CE4EF5"/>
    <w:rsid w:val="00CE608E"/>
    <w:rsid w:val="00D06C9F"/>
    <w:rsid w:val="00D240FD"/>
    <w:rsid w:val="00D31AF9"/>
    <w:rsid w:val="00D34408"/>
    <w:rsid w:val="00D42C27"/>
    <w:rsid w:val="00D43697"/>
    <w:rsid w:val="00D51E2C"/>
    <w:rsid w:val="00D5525C"/>
    <w:rsid w:val="00D57D5F"/>
    <w:rsid w:val="00D635EB"/>
    <w:rsid w:val="00D670AE"/>
    <w:rsid w:val="00D7669B"/>
    <w:rsid w:val="00D84C32"/>
    <w:rsid w:val="00D86781"/>
    <w:rsid w:val="00DA5CA8"/>
    <w:rsid w:val="00DA71FD"/>
    <w:rsid w:val="00DB2AB4"/>
    <w:rsid w:val="00DD1488"/>
    <w:rsid w:val="00DE033E"/>
    <w:rsid w:val="00DF2ACB"/>
    <w:rsid w:val="00E07A3B"/>
    <w:rsid w:val="00E1001D"/>
    <w:rsid w:val="00E15B7E"/>
    <w:rsid w:val="00E31AB7"/>
    <w:rsid w:val="00E35DFD"/>
    <w:rsid w:val="00E43B5B"/>
    <w:rsid w:val="00E5762B"/>
    <w:rsid w:val="00E61939"/>
    <w:rsid w:val="00E850C5"/>
    <w:rsid w:val="00E951F3"/>
    <w:rsid w:val="00EA509C"/>
    <w:rsid w:val="00EA5746"/>
    <w:rsid w:val="00EB00B8"/>
    <w:rsid w:val="00EB4FEE"/>
    <w:rsid w:val="00EB6CAD"/>
    <w:rsid w:val="00EC6749"/>
    <w:rsid w:val="00ED5D50"/>
    <w:rsid w:val="00EE07F3"/>
    <w:rsid w:val="00EF4726"/>
    <w:rsid w:val="00EF4AF3"/>
    <w:rsid w:val="00EF568D"/>
    <w:rsid w:val="00F01650"/>
    <w:rsid w:val="00F0364D"/>
    <w:rsid w:val="00F04BC6"/>
    <w:rsid w:val="00F068D7"/>
    <w:rsid w:val="00F124A1"/>
    <w:rsid w:val="00F24852"/>
    <w:rsid w:val="00F37318"/>
    <w:rsid w:val="00F4017B"/>
    <w:rsid w:val="00F44C7E"/>
    <w:rsid w:val="00F50CF3"/>
    <w:rsid w:val="00F53792"/>
    <w:rsid w:val="00F55563"/>
    <w:rsid w:val="00F659BA"/>
    <w:rsid w:val="00F74D60"/>
    <w:rsid w:val="00F8004F"/>
    <w:rsid w:val="00F83518"/>
    <w:rsid w:val="00F91452"/>
    <w:rsid w:val="00FA0B3F"/>
    <w:rsid w:val="00FA0CC4"/>
    <w:rsid w:val="00FA106F"/>
    <w:rsid w:val="00FB13ED"/>
    <w:rsid w:val="00FD0EAF"/>
    <w:rsid w:val="00FD7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B6FF5E"/>
  <w15:docId w15:val="{6B0277E0-D186-4A00-AEDE-B450F618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3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205CA"/>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576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78A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3D2A3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D2A3F"/>
    <w:rPr>
      <w:rFonts w:ascii="Times New Roman" w:eastAsia="Times New Roman" w:hAnsi="Times New Roman" w:cs="Times New Roman"/>
      <w:b/>
      <w:bCs/>
      <w:sz w:val="28"/>
      <w:szCs w:val="28"/>
    </w:rPr>
  </w:style>
  <w:style w:type="paragraph" w:styleId="BodyText">
    <w:name w:val="Body Text"/>
    <w:basedOn w:val="Normal"/>
    <w:link w:val="BodyTextChar"/>
    <w:rsid w:val="003D2A3F"/>
    <w:pPr>
      <w:widowControl w:val="0"/>
      <w:autoSpaceDE w:val="0"/>
      <w:autoSpaceDN w:val="0"/>
      <w:adjustRightInd w:val="0"/>
    </w:pPr>
  </w:style>
  <w:style w:type="character" w:customStyle="1" w:styleId="BodyTextChar">
    <w:name w:val="Body Text Char"/>
    <w:basedOn w:val="DefaultParagraphFont"/>
    <w:link w:val="BodyText"/>
    <w:rsid w:val="003D2A3F"/>
    <w:rPr>
      <w:rFonts w:ascii="Times New Roman" w:eastAsia="Times New Roman" w:hAnsi="Times New Roman" w:cs="Times New Roman"/>
      <w:sz w:val="24"/>
      <w:szCs w:val="24"/>
    </w:rPr>
  </w:style>
  <w:style w:type="character" w:styleId="Hyperlink">
    <w:name w:val="Hyperlink"/>
    <w:basedOn w:val="DefaultParagraphFont"/>
    <w:rsid w:val="003D2A3F"/>
    <w:rPr>
      <w:rFonts w:cs="Times New Roman"/>
      <w:color w:val="000099"/>
      <w:u w:val="none"/>
      <w:effect w:val="none"/>
    </w:rPr>
  </w:style>
  <w:style w:type="paragraph" w:customStyle="1" w:styleId="Default">
    <w:name w:val="Default"/>
    <w:link w:val="DefaultChar"/>
    <w:rsid w:val="003D2A3F"/>
    <w:pPr>
      <w:autoSpaceDE w:val="0"/>
      <w:autoSpaceDN w:val="0"/>
      <w:adjustRightInd w:val="0"/>
    </w:pPr>
    <w:rPr>
      <w:rFonts w:ascii="Times New Roman" w:eastAsia="Times New Roman" w:hAnsi="Times New Roman"/>
      <w:color w:val="000000"/>
      <w:sz w:val="24"/>
      <w:szCs w:val="24"/>
      <w:lang w:eastAsia="en-US"/>
    </w:rPr>
  </w:style>
  <w:style w:type="paragraph" w:styleId="Footer">
    <w:name w:val="footer"/>
    <w:basedOn w:val="Normal"/>
    <w:link w:val="FooterChar"/>
    <w:uiPriority w:val="99"/>
    <w:rsid w:val="003D2A3F"/>
    <w:pPr>
      <w:tabs>
        <w:tab w:val="center" w:pos="4320"/>
        <w:tab w:val="right" w:pos="8640"/>
      </w:tabs>
    </w:pPr>
  </w:style>
  <w:style w:type="character" w:customStyle="1" w:styleId="FooterChar">
    <w:name w:val="Footer Char"/>
    <w:basedOn w:val="DefaultParagraphFont"/>
    <w:link w:val="Footer"/>
    <w:uiPriority w:val="99"/>
    <w:rsid w:val="003D2A3F"/>
    <w:rPr>
      <w:rFonts w:ascii="Times New Roman" w:eastAsia="Times New Roman" w:hAnsi="Times New Roman" w:cs="Times New Roman"/>
      <w:sz w:val="24"/>
      <w:szCs w:val="24"/>
    </w:rPr>
  </w:style>
  <w:style w:type="character" w:styleId="FootnoteReference">
    <w:name w:val="footnote reference"/>
    <w:aliases w:val="Footnote Reference VA,Footnote Reference CH"/>
    <w:basedOn w:val="DefaultParagraphFont"/>
    <w:uiPriority w:val="99"/>
    <w:qFormat/>
    <w:rsid w:val="003D2A3F"/>
    <w:rPr>
      <w:rFonts w:cs="Times New Roman"/>
      <w:vertAlign w:val="superscript"/>
    </w:rPr>
  </w:style>
  <w:style w:type="paragraph" w:styleId="FootnoteText">
    <w:name w:val="footnote text"/>
    <w:aliases w:val="Proposal Footnote Text"/>
    <w:basedOn w:val="Normal"/>
    <w:link w:val="FootnoteTextChar"/>
    <w:rsid w:val="003D2A3F"/>
    <w:pPr>
      <w:widowControl w:val="0"/>
      <w:autoSpaceDE w:val="0"/>
      <w:autoSpaceDN w:val="0"/>
      <w:adjustRightInd w:val="0"/>
    </w:pPr>
    <w:rPr>
      <w:sz w:val="20"/>
      <w:szCs w:val="20"/>
    </w:rPr>
  </w:style>
  <w:style w:type="character" w:customStyle="1" w:styleId="FootnoteTextChar">
    <w:name w:val="Footnote Text Char"/>
    <w:aliases w:val="Proposal Footnote Text Char"/>
    <w:basedOn w:val="DefaultParagraphFont"/>
    <w:link w:val="FootnoteText"/>
    <w:rsid w:val="003D2A3F"/>
    <w:rPr>
      <w:rFonts w:ascii="Times New Roman" w:eastAsia="Times New Roman" w:hAnsi="Times New Roman" w:cs="Times New Roman"/>
      <w:sz w:val="20"/>
      <w:szCs w:val="20"/>
    </w:rPr>
  </w:style>
  <w:style w:type="character" w:customStyle="1" w:styleId="AbtHeadE">
    <w:name w:val="AbtHead E"/>
    <w:basedOn w:val="DefaultParagraphFont"/>
    <w:rsid w:val="003D2A3F"/>
    <w:rPr>
      <w:rFonts w:ascii="Arial" w:hAnsi="Arial" w:cs="Times New Roman"/>
      <w:b/>
      <w:sz w:val="20"/>
    </w:rPr>
  </w:style>
  <w:style w:type="paragraph" w:styleId="Header">
    <w:name w:val="header"/>
    <w:basedOn w:val="Normal"/>
    <w:link w:val="HeaderChar"/>
    <w:uiPriority w:val="99"/>
    <w:unhideWhenUsed/>
    <w:rsid w:val="006A0F56"/>
    <w:pPr>
      <w:tabs>
        <w:tab w:val="center" w:pos="4680"/>
        <w:tab w:val="right" w:pos="9360"/>
      </w:tabs>
    </w:pPr>
  </w:style>
  <w:style w:type="character" w:customStyle="1" w:styleId="HeaderChar">
    <w:name w:val="Header Char"/>
    <w:basedOn w:val="DefaultParagraphFont"/>
    <w:link w:val="Header"/>
    <w:uiPriority w:val="99"/>
    <w:rsid w:val="006A0F56"/>
    <w:rPr>
      <w:rFonts w:ascii="Times New Roman" w:eastAsia="Times New Roman" w:hAnsi="Times New Roman" w:cs="Times New Roman"/>
      <w:sz w:val="24"/>
      <w:szCs w:val="24"/>
    </w:rPr>
  </w:style>
  <w:style w:type="character" w:styleId="CommentReference">
    <w:name w:val="annotation reference"/>
    <w:uiPriority w:val="99"/>
    <w:rsid w:val="007A63B0"/>
    <w:rPr>
      <w:sz w:val="16"/>
      <w:szCs w:val="16"/>
    </w:rPr>
  </w:style>
  <w:style w:type="paragraph" w:styleId="CommentText">
    <w:name w:val="annotation text"/>
    <w:basedOn w:val="Normal"/>
    <w:link w:val="CommentTextChar"/>
    <w:uiPriority w:val="99"/>
    <w:rsid w:val="007A63B0"/>
    <w:rPr>
      <w:sz w:val="20"/>
      <w:szCs w:val="20"/>
    </w:rPr>
  </w:style>
  <w:style w:type="character" w:customStyle="1" w:styleId="CommentTextChar">
    <w:name w:val="Comment Text Char"/>
    <w:basedOn w:val="DefaultParagraphFont"/>
    <w:link w:val="CommentText"/>
    <w:uiPriority w:val="99"/>
    <w:rsid w:val="007A63B0"/>
    <w:rPr>
      <w:rFonts w:ascii="Times New Roman" w:eastAsia="Times New Roman" w:hAnsi="Times New Roman"/>
      <w:lang w:eastAsia="en-US"/>
    </w:rPr>
  </w:style>
  <w:style w:type="paragraph" w:styleId="ListParagraph">
    <w:name w:val="List Paragraph"/>
    <w:basedOn w:val="Normal"/>
    <w:uiPriority w:val="34"/>
    <w:qFormat/>
    <w:rsid w:val="007A63B0"/>
    <w:pPr>
      <w:spacing w:before="120" w:after="120"/>
      <w:ind w:left="720"/>
      <w:contextualSpacing/>
    </w:pPr>
    <w:rPr>
      <w:rFonts w:ascii="Cambria" w:eastAsia="Calibri" w:hAnsi="Cambria"/>
      <w:sz w:val="22"/>
      <w:szCs w:val="22"/>
      <w:lang w:bidi="en-US"/>
    </w:rPr>
  </w:style>
  <w:style w:type="character" w:customStyle="1" w:styleId="DefaultChar">
    <w:name w:val="Default Char"/>
    <w:link w:val="Default"/>
    <w:rsid w:val="007A63B0"/>
    <w:rPr>
      <w:rFonts w:ascii="Times New Roman" w:eastAsia="Times New Roman" w:hAnsi="Times New Roman"/>
      <w:color w:val="000000"/>
      <w:sz w:val="24"/>
      <w:szCs w:val="24"/>
      <w:lang w:eastAsia="en-US"/>
    </w:rPr>
  </w:style>
  <w:style w:type="paragraph" w:customStyle="1" w:styleId="ResumePublicationPresentations">
    <w:name w:val="Resume Publication/Presentations"/>
    <w:basedOn w:val="Normal"/>
    <w:rsid w:val="007A63B0"/>
    <w:pPr>
      <w:tabs>
        <w:tab w:val="left" w:pos="2160"/>
        <w:tab w:val="right" w:pos="9360"/>
      </w:tabs>
      <w:spacing w:after="120"/>
      <w:ind w:left="720" w:hanging="720"/>
      <w:jc w:val="both"/>
    </w:pPr>
    <w:rPr>
      <w:kern w:val="16"/>
      <w:sz w:val="20"/>
      <w:szCs w:val="22"/>
    </w:rPr>
  </w:style>
  <w:style w:type="paragraph" w:styleId="BalloonText">
    <w:name w:val="Balloon Text"/>
    <w:basedOn w:val="Normal"/>
    <w:link w:val="BalloonTextChar"/>
    <w:uiPriority w:val="99"/>
    <w:semiHidden/>
    <w:unhideWhenUsed/>
    <w:rsid w:val="007A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B0"/>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7A63B0"/>
    <w:rPr>
      <w:b/>
      <w:bCs/>
    </w:rPr>
  </w:style>
  <w:style w:type="character" w:customStyle="1" w:styleId="CommentSubjectChar">
    <w:name w:val="Comment Subject Char"/>
    <w:basedOn w:val="CommentTextChar"/>
    <w:link w:val="CommentSubject"/>
    <w:uiPriority w:val="99"/>
    <w:semiHidden/>
    <w:rsid w:val="007A63B0"/>
    <w:rPr>
      <w:rFonts w:ascii="Times New Roman" w:eastAsia="Times New Roman" w:hAnsi="Times New Roman"/>
      <w:b/>
      <w:bCs/>
      <w:lang w:eastAsia="en-US"/>
    </w:rPr>
  </w:style>
  <w:style w:type="paragraph" w:customStyle="1" w:styleId="ExhibitCaption">
    <w:name w:val="Exhibit Caption"/>
    <w:basedOn w:val="BodyText"/>
    <w:uiPriority w:val="3"/>
    <w:qFormat/>
    <w:rsid w:val="00CB3CAB"/>
    <w:pPr>
      <w:widowControl/>
      <w:autoSpaceDE/>
      <w:autoSpaceDN/>
      <w:adjustRightInd/>
      <w:spacing w:line="216" w:lineRule="auto"/>
    </w:pPr>
    <w:rPr>
      <w:rFonts w:eastAsiaTheme="minorHAnsi"/>
      <w:b/>
      <w:i/>
    </w:rPr>
  </w:style>
  <w:style w:type="paragraph" w:customStyle="1" w:styleId="ProposalTableHeading">
    <w:name w:val="Proposal Table Heading"/>
    <w:qFormat/>
    <w:rsid w:val="00CB3CAB"/>
    <w:pPr>
      <w:jc w:val="center"/>
    </w:pPr>
    <w:rPr>
      <w:rFonts w:ascii="Times New Roman" w:eastAsiaTheme="minorEastAsia" w:hAnsi="Times New Roman"/>
      <w:b/>
      <w:color w:val="FFFFFF" w:themeColor="background1"/>
      <w:sz w:val="24"/>
      <w:szCs w:val="24"/>
      <w:lang w:eastAsia="en-US"/>
    </w:rPr>
  </w:style>
  <w:style w:type="character" w:customStyle="1" w:styleId="ProposalTableTextChar">
    <w:name w:val="Proposal Table Text Char"/>
    <w:link w:val="ProposalTableText"/>
    <w:locked/>
    <w:rsid w:val="00CB3CAB"/>
    <w:rPr>
      <w:rFonts w:ascii="Times New Roman" w:hAnsi="Times New Roman"/>
      <w:sz w:val="24"/>
      <w:szCs w:val="24"/>
    </w:rPr>
  </w:style>
  <w:style w:type="paragraph" w:customStyle="1" w:styleId="ProposalTableText">
    <w:name w:val="Proposal Table Text"/>
    <w:link w:val="ProposalTableTextChar"/>
    <w:qFormat/>
    <w:rsid w:val="00CB3CAB"/>
    <w:rPr>
      <w:rFonts w:ascii="Times New Roman" w:hAnsi="Times New Roman"/>
      <w:sz w:val="24"/>
      <w:szCs w:val="24"/>
    </w:rPr>
  </w:style>
  <w:style w:type="paragraph" w:customStyle="1" w:styleId="ProposalTableTextcentered">
    <w:name w:val="Proposal Table Text_centered"/>
    <w:basedOn w:val="Normal"/>
    <w:uiPriority w:val="99"/>
    <w:qFormat/>
    <w:rsid w:val="00CB3CAB"/>
    <w:pPr>
      <w:jc w:val="center"/>
    </w:pPr>
    <w:rPr>
      <w:color w:val="000000"/>
    </w:rPr>
  </w:style>
  <w:style w:type="paragraph" w:customStyle="1" w:styleId="PropoalTableTextcenteredbold">
    <w:name w:val="Propoal Table Text_centered bold"/>
    <w:basedOn w:val="Normal"/>
    <w:uiPriority w:val="99"/>
    <w:qFormat/>
    <w:rsid w:val="00CB3CAB"/>
    <w:pPr>
      <w:widowControl w:val="0"/>
      <w:jc w:val="center"/>
    </w:pPr>
    <w:rPr>
      <w:b/>
      <w:color w:val="000000"/>
    </w:rPr>
  </w:style>
  <w:style w:type="character" w:customStyle="1" w:styleId="Heading3Char">
    <w:name w:val="Heading 3 Char"/>
    <w:basedOn w:val="DefaultParagraphFont"/>
    <w:link w:val="Heading3"/>
    <w:uiPriority w:val="9"/>
    <w:semiHidden/>
    <w:rsid w:val="001478A4"/>
    <w:rPr>
      <w:rFonts w:asciiTheme="majorHAnsi" w:eastAsiaTheme="majorEastAsia" w:hAnsiTheme="majorHAnsi" w:cstheme="majorBidi"/>
      <w:color w:val="243F60" w:themeColor="accent1" w:themeShade="7F"/>
      <w:sz w:val="24"/>
      <w:szCs w:val="24"/>
      <w:lang w:eastAsia="en-US"/>
    </w:rPr>
  </w:style>
  <w:style w:type="paragraph" w:customStyle="1" w:styleId="NHTSABullet1">
    <w:name w:val="NHTSA Bullet 1"/>
    <w:basedOn w:val="Normal"/>
    <w:uiPriority w:val="99"/>
    <w:qFormat/>
    <w:rsid w:val="00B51A80"/>
    <w:pPr>
      <w:numPr>
        <w:numId w:val="11"/>
      </w:numPr>
      <w:tabs>
        <w:tab w:val="left" w:pos="540"/>
      </w:tabs>
      <w:spacing w:after="120" w:line="204" w:lineRule="auto"/>
      <w:ind w:left="547" w:hanging="187"/>
    </w:pPr>
    <w:rPr>
      <w:rFonts w:eastAsia="Calibri"/>
    </w:rPr>
  </w:style>
  <w:style w:type="paragraph" w:customStyle="1" w:styleId="OMBBody">
    <w:name w:val="OMB Body"/>
    <w:basedOn w:val="Normal"/>
    <w:qFormat/>
    <w:rsid w:val="00C72FF8"/>
    <w:pPr>
      <w:spacing w:after="240" w:line="300" w:lineRule="atLeast"/>
      <w:jc w:val="both"/>
    </w:pPr>
    <w:rPr>
      <w:szCs w:val="20"/>
    </w:rPr>
  </w:style>
  <w:style w:type="character" w:customStyle="1" w:styleId="Heading2Char">
    <w:name w:val="Heading 2 Char"/>
    <w:basedOn w:val="DefaultParagraphFont"/>
    <w:link w:val="Heading2"/>
    <w:uiPriority w:val="9"/>
    <w:semiHidden/>
    <w:rsid w:val="00E5762B"/>
    <w:rPr>
      <w:rFonts w:asciiTheme="majorHAnsi" w:eastAsiaTheme="majorEastAsia" w:hAnsiTheme="majorHAnsi" w:cstheme="majorBidi"/>
      <w:color w:val="365F91" w:themeColor="accent1" w:themeShade="BF"/>
      <w:sz w:val="26"/>
      <w:szCs w:val="26"/>
      <w:lang w:eastAsia="en-US"/>
    </w:rPr>
  </w:style>
  <w:style w:type="paragraph" w:customStyle="1" w:styleId="TextBoxHeading">
    <w:name w:val="Text Box Heading"/>
    <w:basedOn w:val="Normal"/>
    <w:link w:val="TextBoxHeadingChar"/>
    <w:uiPriority w:val="3"/>
    <w:rsid w:val="00E5762B"/>
    <w:pPr>
      <w:spacing w:before="60" w:after="60"/>
      <w:jc w:val="center"/>
    </w:pPr>
    <w:rPr>
      <w:rFonts w:ascii="Arial Narrow" w:eastAsiaTheme="minorHAnsi" w:hAnsi="Arial Narrow" w:cstheme="minorBidi"/>
      <w:b/>
      <w:color w:val="4F81BD" w:themeColor="accent1"/>
      <w:szCs w:val="22"/>
    </w:rPr>
  </w:style>
  <w:style w:type="character" w:customStyle="1" w:styleId="TextBoxHeadingChar">
    <w:name w:val="Text Box Heading Char"/>
    <w:basedOn w:val="DefaultParagraphFont"/>
    <w:link w:val="TextBoxHeading"/>
    <w:uiPriority w:val="3"/>
    <w:rsid w:val="00E5762B"/>
    <w:rPr>
      <w:rFonts w:ascii="Arial Narrow" w:eastAsiaTheme="minorHAnsi" w:hAnsi="Arial Narrow" w:cstheme="minorBidi"/>
      <w:b/>
      <w:color w:val="4F81BD" w:themeColor="accent1"/>
      <w:sz w:val="24"/>
      <w:szCs w:val="22"/>
      <w:lang w:eastAsia="en-US"/>
    </w:rPr>
  </w:style>
  <w:style w:type="paragraph" w:customStyle="1" w:styleId="ProposalTextboxText">
    <w:name w:val="Proposal Textbox Text"/>
    <w:basedOn w:val="Normal"/>
    <w:qFormat/>
    <w:rsid w:val="00E5762B"/>
    <w:pPr>
      <w:widowControl w:val="0"/>
      <w:autoSpaceDE w:val="0"/>
      <w:autoSpaceDN w:val="0"/>
      <w:adjustRightInd w:val="0"/>
    </w:pPr>
    <w:rPr>
      <w:rFonts w:eastAsiaTheme="minorHAnsi"/>
    </w:rPr>
  </w:style>
  <w:style w:type="table" w:styleId="TableGrid">
    <w:name w:val="Table Grid"/>
    <w:basedOn w:val="TableNormal"/>
    <w:uiPriority w:val="39"/>
    <w:rsid w:val="00AA2649"/>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AA2649"/>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AA2649"/>
    <w:rPr>
      <w:rFonts w:ascii="Times New Roman" w:eastAsia="Times New Roman" w:hAnsi="Times New Roman"/>
      <w:sz w:val="22"/>
      <w:lang w:eastAsia="en-US"/>
    </w:rPr>
  </w:style>
  <w:style w:type="table" w:customStyle="1" w:styleId="ListTable3-Accent11">
    <w:name w:val="List Table 3 - Accent 11"/>
    <w:basedOn w:val="TableNormal"/>
    <w:uiPriority w:val="48"/>
    <w:rsid w:val="00E100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1">
    <w:name w:val="Mention1"/>
    <w:basedOn w:val="DefaultParagraphFont"/>
    <w:uiPriority w:val="99"/>
    <w:semiHidden/>
    <w:unhideWhenUsed/>
    <w:rsid w:val="005A5809"/>
    <w:rPr>
      <w:color w:val="2B579A"/>
      <w:shd w:val="clear" w:color="auto" w:fill="E6E6E6"/>
    </w:rPr>
  </w:style>
  <w:style w:type="paragraph" w:styleId="BodyTextIndent2">
    <w:name w:val="Body Text Indent 2"/>
    <w:basedOn w:val="Normal"/>
    <w:link w:val="BodyTextIndent2Char"/>
    <w:uiPriority w:val="99"/>
    <w:semiHidden/>
    <w:unhideWhenUsed/>
    <w:rsid w:val="00196E24"/>
    <w:pPr>
      <w:spacing w:after="120" w:line="480" w:lineRule="auto"/>
      <w:ind w:left="360"/>
    </w:pPr>
  </w:style>
  <w:style w:type="character" w:customStyle="1" w:styleId="BodyTextIndent2Char">
    <w:name w:val="Body Text Indent 2 Char"/>
    <w:basedOn w:val="DefaultParagraphFont"/>
    <w:link w:val="BodyTextIndent2"/>
    <w:rsid w:val="00196E24"/>
    <w:rPr>
      <w:rFonts w:ascii="Times New Roman" w:eastAsia="Times New Roman" w:hAnsi="Times New Roman"/>
      <w:sz w:val="24"/>
      <w:szCs w:val="24"/>
      <w:lang w:eastAsia="en-US"/>
    </w:rPr>
  </w:style>
  <w:style w:type="character" w:styleId="Mention">
    <w:name w:val="Mention"/>
    <w:basedOn w:val="DefaultParagraphFont"/>
    <w:uiPriority w:val="99"/>
    <w:semiHidden/>
    <w:unhideWhenUsed/>
    <w:rsid w:val="00196E24"/>
    <w:rPr>
      <w:color w:val="2B579A"/>
      <w:shd w:val="clear" w:color="auto" w:fill="E6E6E6"/>
    </w:rPr>
  </w:style>
  <w:style w:type="table" w:customStyle="1" w:styleId="ICFDarkBlueStyle">
    <w:name w:val="ICF Dark Blue Style"/>
    <w:basedOn w:val="TableNormal"/>
    <w:uiPriority w:val="99"/>
    <w:rsid w:val="00094881"/>
    <w:pPr>
      <w:spacing w:before="120"/>
    </w:pPr>
    <w:rPr>
      <w:rFonts w:ascii="Arial Narrow" w:eastAsiaTheme="minorHAnsi" w:hAnsi="Arial Narrow" w:cstheme="minorBidi"/>
      <w:szCs w:val="22"/>
      <w:lang w:eastAsia="en-US"/>
    </w:rPr>
    <w:tblPr>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Pr>
    <w:trPr>
      <w:cantSplit/>
    </w:trPr>
    <w:tblStylePr w:type="firstRow">
      <w:pPr>
        <w:wordWrap/>
        <w:spacing w:beforeLines="0" w:before="0" w:beforeAutospacing="0" w:afterLines="0" w:after="0" w:afterAutospacing="0" w:line="240" w:lineRule="auto"/>
        <w:jc w:val="center"/>
      </w:pPr>
      <w:rPr>
        <w:rFonts w:ascii="Yu Gothic UI Light" w:hAnsi="Yu Gothic UI Light"/>
        <w:b w:val="0"/>
        <w:color w:val="FFFFFF" w:themeColor="background1"/>
        <w:sz w:val="20"/>
      </w:rPr>
      <w:tblPr/>
      <w:trPr>
        <w:tblHeader/>
      </w:trPr>
      <w:tcPr>
        <w:shd w:val="clear" w:color="auto" w:fill="4F81BD" w:themeFill="accent1"/>
        <w:vAlign w:val="center"/>
      </w:tcPr>
    </w:tblStylePr>
  </w:style>
  <w:style w:type="paragraph" w:customStyle="1" w:styleId="TableColumnHeading">
    <w:name w:val="Table Column Heading"/>
    <w:basedOn w:val="Normal"/>
    <w:link w:val="TableColumnHeadingChar"/>
    <w:uiPriority w:val="3"/>
    <w:qFormat/>
    <w:rsid w:val="00094881"/>
    <w:pPr>
      <w:jc w:val="center"/>
    </w:pPr>
    <w:rPr>
      <w:rFonts w:eastAsiaTheme="minorHAnsi"/>
      <w:b/>
      <w:color w:val="FFFFFF" w:themeColor="background1"/>
    </w:rPr>
  </w:style>
  <w:style w:type="character" w:customStyle="1" w:styleId="TableColumnHeadingChar">
    <w:name w:val="Table Column Heading Char"/>
    <w:basedOn w:val="DefaultParagraphFont"/>
    <w:link w:val="TableColumnHeading"/>
    <w:uiPriority w:val="3"/>
    <w:rsid w:val="00094881"/>
    <w:rPr>
      <w:rFonts w:ascii="Times New Roman" w:eastAsiaTheme="minorHAnsi" w:hAnsi="Times New Roman"/>
      <w:b/>
      <w:color w:val="FFFFFF" w:themeColor="background1"/>
      <w:sz w:val="24"/>
      <w:szCs w:val="24"/>
      <w:lang w:eastAsia="en-US"/>
    </w:rPr>
  </w:style>
  <w:style w:type="paragraph" w:customStyle="1" w:styleId="TableText">
    <w:name w:val="Table Text"/>
    <w:basedOn w:val="Normal"/>
    <w:link w:val="TableTextChar"/>
    <w:uiPriority w:val="3"/>
    <w:qFormat/>
    <w:rsid w:val="00094881"/>
    <w:pPr>
      <w:spacing w:line="216" w:lineRule="auto"/>
    </w:pPr>
    <w:rPr>
      <w:rFonts w:eastAsiaTheme="minorHAnsi"/>
    </w:rPr>
  </w:style>
  <w:style w:type="character" w:customStyle="1" w:styleId="TableTextChar">
    <w:name w:val="Table Text Char"/>
    <w:basedOn w:val="DefaultParagraphFont"/>
    <w:link w:val="TableText"/>
    <w:uiPriority w:val="3"/>
    <w:rsid w:val="00094881"/>
    <w:rPr>
      <w:rFonts w:ascii="Times New Roman" w:eastAsiaTheme="minorHAnsi" w:hAnsi="Times New Roman"/>
      <w:sz w:val="24"/>
      <w:szCs w:val="24"/>
      <w:lang w:eastAsia="en-US"/>
    </w:rPr>
  </w:style>
  <w:style w:type="character" w:customStyle="1" w:styleId="Heading1Char">
    <w:name w:val="Heading 1 Char"/>
    <w:basedOn w:val="DefaultParagraphFont"/>
    <w:link w:val="Heading1"/>
    <w:uiPriority w:val="9"/>
    <w:rsid w:val="001205C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38758">
      <w:bodyDiv w:val="1"/>
      <w:marLeft w:val="0"/>
      <w:marRight w:val="0"/>
      <w:marTop w:val="0"/>
      <w:marBottom w:val="0"/>
      <w:divBdr>
        <w:top w:val="none" w:sz="0" w:space="0" w:color="auto"/>
        <w:left w:val="none" w:sz="0" w:space="0" w:color="auto"/>
        <w:bottom w:val="none" w:sz="0" w:space="0" w:color="auto"/>
        <w:right w:val="none" w:sz="0" w:space="0" w:color="auto"/>
      </w:divBdr>
    </w:div>
    <w:div w:id="271397196">
      <w:bodyDiv w:val="1"/>
      <w:marLeft w:val="0"/>
      <w:marRight w:val="0"/>
      <w:marTop w:val="0"/>
      <w:marBottom w:val="0"/>
      <w:divBdr>
        <w:top w:val="none" w:sz="0" w:space="0" w:color="auto"/>
        <w:left w:val="none" w:sz="0" w:space="0" w:color="auto"/>
        <w:bottom w:val="none" w:sz="0" w:space="0" w:color="auto"/>
        <w:right w:val="none" w:sz="0" w:space="0" w:color="auto"/>
      </w:divBdr>
    </w:div>
    <w:div w:id="286591815">
      <w:bodyDiv w:val="1"/>
      <w:marLeft w:val="0"/>
      <w:marRight w:val="0"/>
      <w:marTop w:val="0"/>
      <w:marBottom w:val="0"/>
      <w:divBdr>
        <w:top w:val="none" w:sz="0" w:space="0" w:color="auto"/>
        <w:left w:val="none" w:sz="0" w:space="0" w:color="auto"/>
        <w:bottom w:val="none" w:sz="0" w:space="0" w:color="auto"/>
        <w:right w:val="none" w:sz="0" w:space="0" w:color="auto"/>
      </w:divBdr>
    </w:div>
    <w:div w:id="309361552">
      <w:bodyDiv w:val="1"/>
      <w:marLeft w:val="0"/>
      <w:marRight w:val="0"/>
      <w:marTop w:val="0"/>
      <w:marBottom w:val="0"/>
      <w:divBdr>
        <w:top w:val="none" w:sz="0" w:space="0" w:color="auto"/>
        <w:left w:val="none" w:sz="0" w:space="0" w:color="auto"/>
        <w:bottom w:val="none" w:sz="0" w:space="0" w:color="auto"/>
        <w:right w:val="none" w:sz="0" w:space="0" w:color="auto"/>
      </w:divBdr>
    </w:div>
    <w:div w:id="751900461">
      <w:bodyDiv w:val="1"/>
      <w:marLeft w:val="0"/>
      <w:marRight w:val="0"/>
      <w:marTop w:val="0"/>
      <w:marBottom w:val="0"/>
      <w:divBdr>
        <w:top w:val="none" w:sz="0" w:space="0" w:color="auto"/>
        <w:left w:val="none" w:sz="0" w:space="0" w:color="auto"/>
        <w:bottom w:val="none" w:sz="0" w:space="0" w:color="auto"/>
        <w:right w:val="none" w:sz="0" w:space="0" w:color="auto"/>
      </w:divBdr>
    </w:div>
    <w:div w:id="898397565">
      <w:bodyDiv w:val="1"/>
      <w:marLeft w:val="0"/>
      <w:marRight w:val="0"/>
      <w:marTop w:val="0"/>
      <w:marBottom w:val="0"/>
      <w:divBdr>
        <w:top w:val="none" w:sz="0" w:space="0" w:color="auto"/>
        <w:left w:val="none" w:sz="0" w:space="0" w:color="auto"/>
        <w:bottom w:val="none" w:sz="0" w:space="0" w:color="auto"/>
        <w:right w:val="none" w:sz="0" w:space="0" w:color="auto"/>
      </w:divBdr>
    </w:div>
    <w:div w:id="1120420303">
      <w:bodyDiv w:val="1"/>
      <w:marLeft w:val="0"/>
      <w:marRight w:val="0"/>
      <w:marTop w:val="0"/>
      <w:marBottom w:val="0"/>
      <w:divBdr>
        <w:top w:val="none" w:sz="0" w:space="0" w:color="auto"/>
        <w:left w:val="none" w:sz="0" w:space="0" w:color="auto"/>
        <w:bottom w:val="none" w:sz="0" w:space="0" w:color="auto"/>
        <w:right w:val="none" w:sz="0" w:space="0" w:color="auto"/>
      </w:divBdr>
    </w:div>
    <w:div w:id="1227758620">
      <w:bodyDiv w:val="1"/>
      <w:marLeft w:val="0"/>
      <w:marRight w:val="0"/>
      <w:marTop w:val="0"/>
      <w:marBottom w:val="0"/>
      <w:divBdr>
        <w:top w:val="none" w:sz="0" w:space="0" w:color="auto"/>
        <w:left w:val="none" w:sz="0" w:space="0" w:color="auto"/>
        <w:bottom w:val="none" w:sz="0" w:space="0" w:color="auto"/>
        <w:right w:val="none" w:sz="0" w:space="0" w:color="auto"/>
      </w:divBdr>
    </w:div>
    <w:div w:id="1440904852">
      <w:bodyDiv w:val="1"/>
      <w:marLeft w:val="0"/>
      <w:marRight w:val="0"/>
      <w:marTop w:val="0"/>
      <w:marBottom w:val="0"/>
      <w:divBdr>
        <w:top w:val="none" w:sz="0" w:space="0" w:color="auto"/>
        <w:left w:val="none" w:sz="0" w:space="0" w:color="auto"/>
        <w:bottom w:val="none" w:sz="0" w:space="0" w:color="auto"/>
        <w:right w:val="none" w:sz="0" w:space="0" w:color="auto"/>
      </w:divBdr>
    </w:div>
    <w:div w:id="1475835419">
      <w:bodyDiv w:val="1"/>
      <w:marLeft w:val="0"/>
      <w:marRight w:val="0"/>
      <w:marTop w:val="0"/>
      <w:marBottom w:val="0"/>
      <w:divBdr>
        <w:top w:val="none" w:sz="0" w:space="0" w:color="auto"/>
        <w:left w:val="none" w:sz="0" w:space="0" w:color="auto"/>
        <w:bottom w:val="none" w:sz="0" w:space="0" w:color="auto"/>
        <w:right w:val="none" w:sz="0" w:space="0" w:color="auto"/>
      </w:divBdr>
    </w:div>
    <w:div w:id="1478372550">
      <w:bodyDiv w:val="1"/>
      <w:marLeft w:val="0"/>
      <w:marRight w:val="0"/>
      <w:marTop w:val="0"/>
      <w:marBottom w:val="0"/>
      <w:divBdr>
        <w:top w:val="none" w:sz="0" w:space="0" w:color="auto"/>
        <w:left w:val="none" w:sz="0" w:space="0" w:color="auto"/>
        <w:bottom w:val="none" w:sz="0" w:space="0" w:color="auto"/>
        <w:right w:val="none" w:sz="0" w:space="0" w:color="auto"/>
      </w:divBdr>
    </w:div>
    <w:div w:id="1583829102">
      <w:bodyDiv w:val="1"/>
      <w:marLeft w:val="0"/>
      <w:marRight w:val="0"/>
      <w:marTop w:val="0"/>
      <w:marBottom w:val="0"/>
      <w:divBdr>
        <w:top w:val="none" w:sz="0" w:space="0" w:color="auto"/>
        <w:left w:val="none" w:sz="0" w:space="0" w:color="auto"/>
        <w:bottom w:val="none" w:sz="0" w:space="0" w:color="auto"/>
        <w:right w:val="none" w:sz="0" w:space="0" w:color="auto"/>
      </w:divBdr>
    </w:div>
    <w:div w:id="1606813654">
      <w:bodyDiv w:val="1"/>
      <w:marLeft w:val="0"/>
      <w:marRight w:val="0"/>
      <w:marTop w:val="0"/>
      <w:marBottom w:val="0"/>
      <w:divBdr>
        <w:top w:val="none" w:sz="0" w:space="0" w:color="auto"/>
        <w:left w:val="none" w:sz="0" w:space="0" w:color="auto"/>
        <w:bottom w:val="none" w:sz="0" w:space="0" w:color="auto"/>
        <w:right w:val="none" w:sz="0" w:space="0" w:color="auto"/>
      </w:divBdr>
    </w:div>
    <w:div w:id="17898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www.census.gov/library/stories/2019/05/younger-workers-in-cities-more-likely-to-bike-to-work.html" TargetMode="External"/><Relationship Id="rId3" Type="http://schemas.openxmlformats.org/officeDocument/2006/relationships/hyperlink" Target="https://rosap.ntl.bts.gov/view/dot/1956" TargetMode="External"/><Relationship Id="rId7" Type="http://schemas.openxmlformats.org/officeDocument/2006/relationships/hyperlink" Target="javascript:;" TargetMode="External"/><Relationship Id="rId12" Type="http://schemas.openxmlformats.org/officeDocument/2006/relationships/hyperlink" Target="https://usa.streetsblog.org/2015/03/04/survey-100-million-americans-bike-each-year-but-few-make-it-a-habit/" TargetMode="External"/><Relationship Id="rId2" Type="http://schemas.openxmlformats.org/officeDocument/2006/relationships/hyperlink" Target="https://rosap.ntl.bts.gov/view/dot/1845" TargetMode="External"/><Relationship Id="rId1" Type="http://schemas.openxmlformats.org/officeDocument/2006/relationships/hyperlink" Target="https://rosap.ntl.bts.gov/view/dot/1844" TargetMode="External"/><Relationship Id="rId6" Type="http://schemas.openxmlformats.org/officeDocument/2006/relationships/hyperlink" Target="http://www.aapor.org/Education-Resources/Reports/Address-based-Sampling.aspx" TargetMode="External"/><Relationship Id="rId11" Type="http://schemas.openxmlformats.org/officeDocument/2006/relationships/hyperlink" Target="http://www.statista.com/topics/1686/cycling/" TargetMode="External"/><Relationship Id="rId5" Type="http://schemas.openxmlformats.org/officeDocument/2006/relationships/hyperlink" Target="https://rosap.ntl.bts.gov/view/dot/1958" TargetMode="External"/><Relationship Id="rId10" Type="http://schemas.openxmlformats.org/officeDocument/2006/relationships/hyperlink" Target="https://fivethirtyeight.com/features/how-many-americans-dont-know-how-to-ride-a-bike/" TargetMode="External"/><Relationship Id="rId4" Type="http://schemas.openxmlformats.org/officeDocument/2006/relationships/hyperlink" Target="https://rosap.ntl.bts.gov/view/dot/1957" TargetMode="External"/><Relationship Id="rId9" Type="http://schemas.openxmlformats.org/officeDocument/2006/relationships/hyperlink" Target="http://www.pewresearch.org/fact-tank/2017/07/27/7-facts-about-americans-with-disabilities" TargetMode="External"/><Relationship Id="rId14" Type="http://schemas.openxmlformats.org/officeDocument/2006/relationships/hyperlink" Target="https://usa.streetsblog.org/2020/11/25/study-the-biggest-covid-19-bike-booms-werent-where-you-th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0903-AE27-452C-A5FD-3266E22B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33188</CharactersWithSpaces>
  <SharedDoc>false</SharedDoc>
  <HLinks>
    <vt:vector size="12" baseType="variant">
      <vt:variant>
        <vt:i4>2097217</vt:i4>
      </vt:variant>
      <vt:variant>
        <vt:i4>18</vt:i4>
      </vt:variant>
      <vt:variant>
        <vt:i4>0</vt:i4>
      </vt:variant>
      <vt:variant>
        <vt:i4>5</vt:i4>
      </vt:variant>
      <vt:variant>
        <vt:lpwstr>mailto:randolph.atkins@dot.gov</vt:lpwstr>
      </vt:variant>
      <vt:variant>
        <vt:lpwstr/>
      </vt:variant>
      <vt:variant>
        <vt:i4>5832733</vt:i4>
      </vt:variant>
      <vt:variant>
        <vt:i4>0</vt:i4>
      </vt:variant>
      <vt:variant>
        <vt:i4>0</vt:i4>
      </vt:variant>
      <vt:variant>
        <vt:i4>5</vt:i4>
      </vt:variant>
      <vt:variant>
        <vt:lpwstr>http://www.census.gov/popest/national/asrh/files/NC-EST2007-ALLDATA-N-File19.csv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randolph.atkins</dc:creator>
  <cp:lastModifiedBy>Johnson, Kristie (NHTSA)</cp:lastModifiedBy>
  <cp:revision>2</cp:revision>
  <cp:lastPrinted>2020-02-13T17:27:00Z</cp:lastPrinted>
  <dcterms:created xsi:type="dcterms:W3CDTF">2022-06-07T15:00:00Z</dcterms:created>
  <dcterms:modified xsi:type="dcterms:W3CDTF">2022-06-07T15:00:00Z</dcterms:modified>
</cp:coreProperties>
</file>