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35CD" w:rsidR="00316DC5" w:rsidP="00586061" w:rsidRDefault="00316DC5" w14:paraId="6DC78596" w14:textId="78C78A69">
      <w:pPr>
        <w:spacing w:after="0"/>
        <w:jc w:val="center"/>
        <w:rPr>
          <w:b/>
          <w:bCs/>
        </w:rPr>
      </w:pPr>
      <w:r w:rsidRPr="002335CD">
        <w:rPr>
          <w:b/>
          <w:bCs/>
        </w:rPr>
        <w:t>Information Collection Request Supporting Statement</w:t>
      </w:r>
      <w:r w:rsidR="00580E33">
        <w:rPr>
          <w:b/>
          <w:bCs/>
        </w:rPr>
        <w:t>s</w:t>
      </w:r>
      <w:r w:rsidRPr="002335CD">
        <w:rPr>
          <w:b/>
          <w:bCs/>
        </w:rPr>
        <w:t xml:space="preserve">: </w:t>
      </w:r>
      <w:r w:rsidR="00580E33">
        <w:rPr>
          <w:b/>
          <w:bCs/>
        </w:rPr>
        <w:t>Part</w:t>
      </w:r>
      <w:r w:rsidRPr="002335CD" w:rsidR="00580E33">
        <w:rPr>
          <w:b/>
          <w:bCs/>
        </w:rPr>
        <w:t xml:space="preserve"> </w:t>
      </w:r>
      <w:r w:rsidRPr="002335CD">
        <w:rPr>
          <w:b/>
          <w:bCs/>
        </w:rPr>
        <w:t>A</w:t>
      </w:r>
    </w:p>
    <w:p w:rsidR="00C01F22" w:rsidP="00586061" w:rsidRDefault="000A1F54" w14:paraId="1A5CCAB9" w14:textId="423BBFDC">
      <w:pPr>
        <w:spacing w:after="0"/>
        <w:jc w:val="center"/>
        <w:rPr>
          <w:b/>
          <w:bCs/>
          <w:i/>
          <w:iCs/>
        </w:rPr>
      </w:pPr>
      <w:r w:rsidRPr="002335CD">
        <w:rPr>
          <w:b/>
          <w:bCs/>
          <w:i/>
          <w:iCs/>
        </w:rPr>
        <w:t xml:space="preserve">Survey on Driver </w:t>
      </w:r>
      <w:r w:rsidRPr="002335CD" w:rsidR="00701BA6">
        <w:rPr>
          <w:b/>
          <w:bCs/>
          <w:i/>
          <w:iCs/>
        </w:rPr>
        <w:t>A</w:t>
      </w:r>
      <w:r w:rsidRPr="002335CD">
        <w:rPr>
          <w:b/>
          <w:bCs/>
          <w:i/>
          <w:iCs/>
        </w:rPr>
        <w:t xml:space="preserve">wareness of </w:t>
      </w:r>
      <w:r w:rsidRPr="002335CD" w:rsidR="007237B0">
        <w:rPr>
          <w:b/>
          <w:bCs/>
          <w:i/>
          <w:iCs/>
        </w:rPr>
        <w:t>Motorcycle</w:t>
      </w:r>
      <w:r w:rsidRPr="002335CD">
        <w:rPr>
          <w:b/>
          <w:bCs/>
          <w:i/>
          <w:iCs/>
        </w:rPr>
        <w:t>s</w:t>
      </w:r>
    </w:p>
    <w:p w:rsidRPr="00723B65" w:rsidR="002335CD" w:rsidP="00586061" w:rsidRDefault="00580E33" w14:paraId="093C1FEF" w14:textId="3153A772">
      <w:pPr>
        <w:spacing w:after="240"/>
        <w:jc w:val="center"/>
        <w:rPr>
          <w:rFonts w:eastAsiaTheme="minorHAnsi"/>
          <w:b/>
          <w:bCs/>
        </w:rPr>
      </w:pPr>
      <w:r>
        <w:rPr>
          <w:rFonts w:eastAsiaTheme="minorHAnsi"/>
          <w:b/>
          <w:bCs/>
        </w:rPr>
        <w:t xml:space="preserve">OMB Control No. </w:t>
      </w:r>
      <w:r w:rsidRPr="007C740D" w:rsidR="00E84091">
        <w:rPr>
          <w:rFonts w:eastAsiaTheme="minorHAnsi"/>
          <w:b/>
          <w:bCs/>
        </w:rPr>
        <w:t>New</w:t>
      </w:r>
    </w:p>
    <w:p w:rsidR="00442D43" w:rsidP="00D02D94" w:rsidRDefault="008E285B" w14:paraId="712C9EAF" w14:textId="3A81998A">
      <w:bookmarkStart w:name="_Hlk81561799" w:id="0"/>
      <w:r w:rsidRPr="00723B65">
        <w:rPr>
          <w:b/>
          <w:bCs/>
          <w:i/>
        </w:rPr>
        <w:t>Abstract</w:t>
      </w:r>
      <w:r w:rsidRPr="002335CD">
        <w:rPr>
          <w:i/>
        </w:rPr>
        <w:t xml:space="preserve">: </w:t>
      </w:r>
      <w:r w:rsidRPr="002335CD" w:rsidR="009054FC">
        <w:t xml:space="preserve"> </w:t>
      </w:r>
      <w:bookmarkStart w:name="_Hlk80611291" w:id="1"/>
      <w:r w:rsidRPr="002335CD" w:rsidR="00D02D94">
        <w:t xml:space="preserve">The National Highway Traffic Safety Administration (NHTSA) of the U.S. Department of Transportation is seeking approval to </w:t>
      </w:r>
      <w:r w:rsidR="00586061">
        <w:t xml:space="preserve">conduct a </w:t>
      </w:r>
      <w:r w:rsidR="00A30492">
        <w:t xml:space="preserve">one-time </w:t>
      </w:r>
      <w:r w:rsidR="00586061">
        <w:t xml:space="preserve">survey </w:t>
      </w:r>
      <w:r w:rsidR="00D02D94">
        <w:t>of randomly selected</w:t>
      </w:r>
      <w:r w:rsidRPr="002335CD" w:rsidR="00D02D94">
        <w:t xml:space="preserve"> adults </w:t>
      </w:r>
      <w:r w:rsidR="00D02D94">
        <w:t>aged 1</w:t>
      </w:r>
      <w:r w:rsidRPr="002335CD" w:rsidR="00D02D94">
        <w:t xml:space="preserve">8 years or older </w:t>
      </w:r>
      <w:r w:rsidR="00D02D94">
        <w:t xml:space="preserve">and </w:t>
      </w:r>
      <w:r w:rsidR="00A30492">
        <w:t xml:space="preserve">who </w:t>
      </w:r>
      <w:r w:rsidRPr="00730DE6" w:rsidR="00D02D94">
        <w:t>have driv</w:t>
      </w:r>
      <w:r w:rsidRPr="00250BE8" w:rsidR="00D02D94">
        <w:t>en a mo</w:t>
      </w:r>
      <w:r w:rsidRPr="002335CD" w:rsidR="00D02D94">
        <w:t>tor vehicle at least once in the past three months</w:t>
      </w:r>
      <w:r w:rsidR="00D02D94">
        <w:t xml:space="preserve"> to report their </w:t>
      </w:r>
      <w:r w:rsidRPr="002335CD" w:rsidR="00D02D94">
        <w:t xml:space="preserve">knowledge, attitudes, and awareness of safe-driving behaviors towards motorcycles. </w:t>
      </w:r>
      <w:r w:rsidR="00D02D94">
        <w:t>One sample consists of adult</w:t>
      </w:r>
      <w:r w:rsidR="00580E33">
        <w:t xml:space="preserve"> driver</w:t>
      </w:r>
      <w:r w:rsidR="00D02D94">
        <w:t>s residing in Florida and the other sample consists of</w:t>
      </w:r>
      <w:r w:rsidR="00580E33">
        <w:t xml:space="preserve"> adult drivers</w:t>
      </w:r>
      <w:r w:rsidR="00D02D94">
        <w:t xml:space="preserve"> residing in Pennsylvania. </w:t>
      </w:r>
      <w:r w:rsidRPr="002335CD" w:rsidR="00D02D94">
        <w:t xml:space="preserve">NHTSA will contact </w:t>
      </w:r>
      <w:r w:rsidR="00D02D94">
        <w:t xml:space="preserve">a total of </w:t>
      </w:r>
      <w:r w:rsidRPr="002335CD" w:rsidR="00D02D94">
        <w:t xml:space="preserve">33,460 to achieve a target of at least 2,486 complete voluntary responses consisting of 1,243 completed instruments from </w:t>
      </w:r>
      <w:r w:rsidR="00D02D94">
        <w:t xml:space="preserve">the Florida </w:t>
      </w:r>
      <w:r w:rsidRPr="002335CD" w:rsidR="00D02D94">
        <w:t xml:space="preserve">sample and 1,243 completed instruments from </w:t>
      </w:r>
      <w:r w:rsidR="00D02D94">
        <w:t xml:space="preserve">the </w:t>
      </w:r>
      <w:r w:rsidRPr="002335CD" w:rsidR="00D02D94">
        <w:t>Pennsylvania</w:t>
      </w:r>
      <w:r w:rsidR="00D02D94">
        <w:t xml:space="preserve"> sample. The </w:t>
      </w:r>
      <w:r w:rsidRPr="002335CD" w:rsidR="00D02D94">
        <w:t xml:space="preserve">large geographic and </w:t>
      </w:r>
      <w:r w:rsidR="00D02D94">
        <w:t>demographic sizes of Florida and Pennsylvania allow for complex driving environment</w:t>
      </w:r>
      <w:r w:rsidR="00580E33">
        <w:t>s</w:t>
      </w:r>
      <w:r w:rsidR="00D02D94">
        <w:t xml:space="preserve"> in which motorcycles and passenger </w:t>
      </w:r>
      <w:r w:rsidRPr="002335CD" w:rsidR="00D02D94">
        <w:t>vehicles</w:t>
      </w:r>
      <w:r w:rsidR="00D02D94">
        <w:t xml:space="preserve"> operate in a range of traffic conditions</w:t>
      </w:r>
      <w:r w:rsidRPr="002335CD" w:rsidR="00D02D94">
        <w:t xml:space="preserve">. </w:t>
      </w:r>
      <w:r w:rsidR="00D02D94">
        <w:t xml:space="preserve">Notably, neither State has </w:t>
      </w:r>
      <w:r w:rsidRPr="002335CD" w:rsidR="00D02D94">
        <w:t xml:space="preserve">a universal </w:t>
      </w:r>
      <w:r w:rsidR="00D02D94">
        <w:t xml:space="preserve">motorcycle </w:t>
      </w:r>
      <w:r w:rsidRPr="002335CD" w:rsidR="00D02D94">
        <w:t>helmet</w:t>
      </w:r>
      <w:r w:rsidR="00D02D94">
        <w:t xml:space="preserve"> use</w:t>
      </w:r>
      <w:r w:rsidRPr="002335CD" w:rsidR="00D02D94">
        <w:t xml:space="preserve"> law,</w:t>
      </w:r>
      <w:r w:rsidR="00D02D94">
        <w:t xml:space="preserve"> but each has a sizable population of registered motorcycles and varied helmet use rates. For example, in 2019, 52 percent of motorcyclists killed in Florida and 51 percent of motorcyclists killed in Pennsylvania were not helmeted.</w:t>
      </w:r>
      <w:r w:rsidR="00D02D94">
        <w:rPr>
          <w:rStyle w:val="FootnoteReference"/>
        </w:rPr>
        <w:footnoteReference w:id="1"/>
      </w:r>
      <w:r w:rsidR="00D02D94">
        <w:t xml:space="preserve"> </w:t>
      </w:r>
      <w:r w:rsidRPr="002335CD" w:rsidR="00D02D94">
        <w:t xml:space="preserve">The estimated burden </w:t>
      </w:r>
      <w:r w:rsidR="00D02D94">
        <w:t>of</w:t>
      </w:r>
      <w:r w:rsidRPr="002335CD" w:rsidR="00D02D94">
        <w:t xml:space="preserve"> this collection is 3,</w:t>
      </w:r>
      <w:r w:rsidRPr="002335CD" w:rsidR="00A30492">
        <w:t>2</w:t>
      </w:r>
      <w:r w:rsidR="00A30492">
        <w:t>89</w:t>
      </w:r>
      <w:r w:rsidRPr="002335CD" w:rsidR="00A30492">
        <w:t xml:space="preserve"> </w:t>
      </w:r>
      <w:r w:rsidRPr="002335CD" w:rsidR="00D02D94">
        <w:t>hours</w:t>
      </w:r>
      <w:r w:rsidR="00D02D94">
        <w:t xml:space="preserve"> with </w:t>
      </w:r>
      <w:r w:rsidRPr="002335CD" w:rsidR="00D02D94">
        <w:t>2,709 hours associated with survey invitations and reminders and 580 hours associated with survey</w:t>
      </w:r>
      <w:r w:rsidR="00D02D94">
        <w:t xml:space="preserve"> completions.</w:t>
      </w:r>
    </w:p>
    <w:p w:rsidR="00D02D94" w:rsidP="00442D43" w:rsidRDefault="00D02D94" w14:paraId="6886C6F0" w14:textId="049F5FD8">
      <w:pPr>
        <w:spacing w:after="240"/>
      </w:pPr>
      <w:r>
        <w:t>N</w:t>
      </w:r>
      <w:r w:rsidRPr="002335CD">
        <w:t xml:space="preserve">HTSA will summarize the results of the collection using aggregate statistics in a final report to be distributed to NHTSA program and regional offices, State Highway Safety Offices, and other traffic safety </w:t>
      </w:r>
      <w:r>
        <w:t xml:space="preserve">and motorcycle safety </w:t>
      </w:r>
      <w:r w:rsidRPr="002335CD">
        <w:t xml:space="preserve">stakeholders. This collection </w:t>
      </w:r>
      <w:r>
        <w:t xml:space="preserve">supports NHTSA’s mission by obtaining information needed for </w:t>
      </w:r>
      <w:r w:rsidRPr="002335CD">
        <w:t xml:space="preserve">the development of </w:t>
      </w:r>
      <w:r>
        <w:t xml:space="preserve">traffic safety </w:t>
      </w:r>
      <w:r w:rsidRPr="002335CD">
        <w:t>countermeasures</w:t>
      </w:r>
      <w:r w:rsidR="009639ED">
        <w:t>,</w:t>
      </w:r>
      <w:r w:rsidRPr="002335CD">
        <w:t xml:space="preserve"> particularly in </w:t>
      </w:r>
      <w:r>
        <w:t xml:space="preserve">the areas of </w:t>
      </w:r>
      <w:r w:rsidRPr="002335CD">
        <w:t xml:space="preserve">communications and outreach, </w:t>
      </w:r>
      <w:r>
        <w:t xml:space="preserve">for the purpose of reducing </w:t>
      </w:r>
      <w:r w:rsidRPr="002335CD">
        <w:t>fatalities, injuries</w:t>
      </w:r>
      <w:r>
        <w:t>,</w:t>
      </w:r>
      <w:r w:rsidRPr="002335CD">
        <w:t xml:space="preserve"> and crashes associated with multi-vehicle motorcycle crashes.</w:t>
      </w:r>
    </w:p>
    <w:p w:rsidRPr="005271A9" w:rsidR="00580E33" w:rsidP="00442D43" w:rsidRDefault="00580E33" w14:paraId="2875546A" w14:textId="77777777">
      <w:pPr>
        <w:pStyle w:val="ListParagraph"/>
        <w:keepNext/>
        <w:numPr>
          <w:ilvl w:val="0"/>
          <w:numId w:val="38"/>
        </w:numPr>
        <w:tabs>
          <w:tab w:val="left" w:pos="360"/>
        </w:tabs>
        <w:autoSpaceDE w:val="0"/>
        <w:autoSpaceDN w:val="0"/>
        <w:adjustRightInd w:val="0"/>
        <w:ind w:left="360" w:firstLine="0"/>
        <w:outlineLvl w:val="0"/>
        <w:rPr>
          <w:b/>
          <w:bCs/>
          <w:szCs w:val="16"/>
          <w:u w:val="single"/>
        </w:rPr>
      </w:pPr>
      <w:r>
        <w:rPr>
          <w:b/>
          <w:bCs/>
          <w:szCs w:val="16"/>
          <w:u w:val="single"/>
        </w:rPr>
        <w:t>Justification</w:t>
      </w:r>
    </w:p>
    <w:p w:rsidRPr="00442D43" w:rsidR="00442D43" w:rsidP="00442D43" w:rsidRDefault="00442D43" w14:paraId="4B5EEFC5" w14:textId="6437A5FE">
      <w:pPr>
        <w:pStyle w:val="ListParagraph"/>
        <w:numPr>
          <w:ilvl w:val="0"/>
          <w:numId w:val="40"/>
        </w:numPr>
        <w:autoSpaceDE w:val="0"/>
        <w:autoSpaceDN w:val="0"/>
        <w:adjustRightInd w:val="0"/>
        <w:spacing w:before="240" w:line="240" w:lineRule="auto"/>
        <w:contextualSpacing w:val="0"/>
        <w:rPr>
          <w:b/>
        </w:rPr>
      </w:pPr>
      <w:bookmarkStart w:name="_Hlk51324508" w:id="2"/>
      <w:r w:rsidRPr="00442D43">
        <w:rPr>
          <w:b/>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p w:rsidRPr="006100DB" w:rsidR="00C01F22" w:rsidP="00442D43" w:rsidRDefault="00635770" w14:paraId="2734F0D7" w14:textId="77777777">
      <w:pPr>
        <w:pStyle w:val="Heading3"/>
      </w:pPr>
      <w:bookmarkStart w:name="_Toc6900676" w:id="3"/>
      <w:bookmarkEnd w:id="0"/>
      <w:bookmarkEnd w:id="1"/>
      <w:bookmarkEnd w:id="2"/>
      <w:r w:rsidRPr="006100DB">
        <w:t>a. Circumstances making the collection necessary</w:t>
      </w:r>
      <w:bookmarkEnd w:id="3"/>
    </w:p>
    <w:p w:rsidR="00442D43" w:rsidP="0091369C" w:rsidRDefault="00442D43" w14:paraId="6CA30215" w14:textId="629C15E3">
      <w:pPr>
        <w:rPr>
          <w:lang w:eastAsia="ar-SA"/>
        </w:rPr>
      </w:pPr>
      <w:bookmarkStart w:name="_Hlk81562181" w:id="4"/>
      <w:r w:rsidRPr="00242A7E">
        <w:rPr>
          <w:lang w:eastAsia="ar-SA"/>
        </w:rPr>
        <w:t xml:space="preserve">NHTSA was established </w:t>
      </w:r>
      <w:r w:rsidRPr="00A75F6A">
        <w:rPr>
          <w:lang w:eastAsia="ar-SA"/>
        </w:rPr>
        <w:t xml:space="preserve">by the Highway Safety Act of 1970 and its mission is </w:t>
      </w:r>
      <w:r w:rsidRPr="00242A7E">
        <w:rPr>
          <w:lang w:eastAsia="ar-SA"/>
        </w:rPr>
        <w:t xml:space="preserve">to reduce deaths, injuries, and economic losses resulting from motor vehicle crashes on the </w:t>
      </w:r>
      <w:r>
        <w:rPr>
          <w:lang w:eastAsia="ar-SA"/>
        </w:rPr>
        <w:t>n</w:t>
      </w:r>
      <w:r w:rsidRPr="00242A7E">
        <w:rPr>
          <w:lang w:eastAsia="ar-SA"/>
        </w:rPr>
        <w:t>ation's highways.</w:t>
      </w:r>
      <w:r>
        <w:rPr>
          <w:lang w:eastAsia="ar-SA"/>
        </w:rPr>
        <w:t xml:space="preserve"> To </w:t>
      </w:r>
      <w:r>
        <w:rPr>
          <w:lang w:eastAsia="ar-SA"/>
        </w:rPr>
        <w:lastRenderedPageBreak/>
        <w:t>further this mission</w:t>
      </w:r>
      <w:r w:rsidRPr="00242A7E">
        <w:rPr>
          <w:lang w:eastAsia="ar-SA"/>
        </w:rPr>
        <w:t>, NHTSA is authorized to conduct research for the development of traffic safety programs.</w:t>
      </w:r>
    </w:p>
    <w:p w:rsidR="00442D43" w:rsidP="00782F44" w:rsidRDefault="00926C82" w14:paraId="61C4F3D6" w14:textId="4F3AA54F">
      <w:pPr>
        <w:rPr>
          <w:spacing w:val="-1"/>
        </w:rPr>
      </w:pPr>
      <w:r>
        <w:rPr>
          <w:lang w:eastAsia="ar-SA"/>
        </w:rPr>
        <w:t>M</w:t>
      </w:r>
      <w:r w:rsidRPr="002335CD" w:rsidR="00AF354D">
        <w:rPr>
          <w:lang w:eastAsia="ar-SA"/>
        </w:rPr>
        <w:t>otorcycling has become increasingly popular</w:t>
      </w:r>
      <w:r>
        <w:rPr>
          <w:lang w:eastAsia="ar-SA"/>
        </w:rPr>
        <w:t xml:space="preserve"> over the past 20 years</w:t>
      </w:r>
      <w:r w:rsidR="006854D7">
        <w:rPr>
          <w:lang w:eastAsia="ar-SA"/>
        </w:rPr>
        <w:t xml:space="preserve"> and w</w:t>
      </w:r>
      <w:r w:rsidRPr="002335CD" w:rsidR="00AF354D">
        <w:rPr>
          <w:lang w:eastAsia="ar-SA"/>
        </w:rPr>
        <w:t xml:space="preserve">ith </w:t>
      </w:r>
      <w:r w:rsidRPr="002335CD" w:rsidR="00861955">
        <w:rPr>
          <w:lang w:eastAsia="ar-SA"/>
        </w:rPr>
        <w:t>th</w:t>
      </w:r>
      <w:r w:rsidR="00BC6FAF">
        <w:rPr>
          <w:lang w:eastAsia="ar-SA"/>
        </w:rPr>
        <w:t>is</w:t>
      </w:r>
      <w:r w:rsidRPr="002335CD" w:rsidR="00861955">
        <w:rPr>
          <w:lang w:eastAsia="ar-SA"/>
        </w:rPr>
        <w:t xml:space="preserve"> </w:t>
      </w:r>
      <w:r w:rsidRPr="002335CD" w:rsidR="00AF354D">
        <w:rPr>
          <w:lang w:eastAsia="ar-SA"/>
        </w:rPr>
        <w:t xml:space="preserve">growth </w:t>
      </w:r>
      <w:r w:rsidR="003D3C89">
        <w:rPr>
          <w:lang w:eastAsia="ar-SA"/>
        </w:rPr>
        <w:t xml:space="preserve">has </w:t>
      </w:r>
      <w:r w:rsidR="006854D7">
        <w:rPr>
          <w:lang w:eastAsia="ar-SA"/>
        </w:rPr>
        <w:t xml:space="preserve">also </w:t>
      </w:r>
      <w:r w:rsidR="00BC6FAF">
        <w:rPr>
          <w:lang w:eastAsia="ar-SA"/>
        </w:rPr>
        <w:t xml:space="preserve">been </w:t>
      </w:r>
      <w:r w:rsidR="003D3C89">
        <w:rPr>
          <w:lang w:eastAsia="ar-SA"/>
        </w:rPr>
        <w:t xml:space="preserve">an </w:t>
      </w:r>
      <w:r w:rsidRPr="002335CD" w:rsidR="00AF354D">
        <w:rPr>
          <w:lang w:eastAsia="ar-SA"/>
        </w:rPr>
        <w:t>increase in motorcycl</w:t>
      </w:r>
      <w:r w:rsidRPr="002335CD" w:rsidR="00861955">
        <w:rPr>
          <w:lang w:eastAsia="ar-SA"/>
        </w:rPr>
        <w:t>e</w:t>
      </w:r>
      <w:r w:rsidRPr="002335CD" w:rsidR="00AF354D">
        <w:rPr>
          <w:lang w:eastAsia="ar-SA"/>
        </w:rPr>
        <w:t xml:space="preserve"> crashes and </w:t>
      </w:r>
      <w:r w:rsidR="003D3C89">
        <w:rPr>
          <w:lang w:eastAsia="ar-SA"/>
        </w:rPr>
        <w:t xml:space="preserve">motorcyclist </w:t>
      </w:r>
      <w:r w:rsidRPr="002335CD" w:rsidR="00AF354D">
        <w:rPr>
          <w:lang w:eastAsia="ar-SA"/>
        </w:rPr>
        <w:t xml:space="preserve">fatalities. </w:t>
      </w:r>
      <w:r w:rsidR="00BC6FAF">
        <w:rPr>
          <w:lang w:eastAsia="ar-SA"/>
        </w:rPr>
        <w:t>For example, in 2019</w:t>
      </w:r>
      <w:r w:rsidR="00EB1D82">
        <w:rPr>
          <w:lang w:eastAsia="ar-SA"/>
        </w:rPr>
        <w:t>,</w:t>
      </w:r>
      <w:r w:rsidR="00BC6FAF">
        <w:rPr>
          <w:lang w:eastAsia="ar-SA"/>
        </w:rPr>
        <w:t xml:space="preserve"> </w:t>
      </w:r>
      <w:r w:rsidR="00021F94">
        <w:rPr>
          <w:lang w:eastAsia="ar-SA"/>
        </w:rPr>
        <w:t xml:space="preserve">there were 5,104 </w:t>
      </w:r>
      <w:r w:rsidR="006A2C01">
        <w:rPr>
          <w:lang w:eastAsia="ar-SA"/>
        </w:rPr>
        <w:t xml:space="preserve">motorcyclist fatalities </w:t>
      </w:r>
      <w:r w:rsidR="003D3C89">
        <w:rPr>
          <w:lang w:eastAsia="ar-SA"/>
        </w:rPr>
        <w:t xml:space="preserve">accounting </w:t>
      </w:r>
      <w:r w:rsidR="006A2C01">
        <w:t xml:space="preserve">for </w:t>
      </w:r>
      <w:r w:rsidRPr="002335CD" w:rsidR="006A2C01">
        <w:t>14</w:t>
      </w:r>
      <w:r w:rsidR="006A2C01">
        <w:t> </w:t>
      </w:r>
      <w:r w:rsidRPr="002335CD" w:rsidR="006A2C01">
        <w:t xml:space="preserve">percent of </w:t>
      </w:r>
      <w:r w:rsidR="006A2C01">
        <w:t xml:space="preserve">all </w:t>
      </w:r>
      <w:r w:rsidRPr="002335CD" w:rsidR="006A2C01">
        <w:t>traffic fatalities</w:t>
      </w:r>
      <w:r w:rsidR="006A2C01">
        <w:t xml:space="preserve"> </w:t>
      </w:r>
      <w:r w:rsidR="00EB1D82">
        <w:t xml:space="preserve">that year and </w:t>
      </w:r>
      <w:r w:rsidR="003D3C89">
        <w:t xml:space="preserve">occurring </w:t>
      </w:r>
      <w:r w:rsidRPr="002335CD" w:rsidR="006A2C01">
        <w:t>29 times more frequent</w:t>
      </w:r>
      <w:r w:rsidR="003D3C89">
        <w:t>ly</w:t>
      </w:r>
      <w:r w:rsidRPr="002335CD" w:rsidR="006A2C01">
        <w:t xml:space="preserve"> than passenger car occupant fatalities</w:t>
      </w:r>
      <w:r w:rsidR="00EB1D82">
        <w:t xml:space="preserve"> </w:t>
      </w:r>
      <w:r w:rsidR="00021F94">
        <w:t>per vehicle miles traveled</w:t>
      </w:r>
      <w:r w:rsidRPr="002335CD" w:rsidR="00AF354D">
        <w:rPr>
          <w:sz w:val="22"/>
          <w:szCs w:val="22"/>
          <w:lang w:eastAsia="ar-SA"/>
        </w:rPr>
        <w:t>.</w:t>
      </w:r>
      <w:r w:rsidRPr="002335CD" w:rsidR="004D3E84">
        <w:rPr>
          <w:rStyle w:val="FootnoteReference"/>
          <w:spacing w:val="-1"/>
        </w:rPr>
        <w:footnoteReference w:id="2"/>
      </w:r>
      <w:r w:rsidRPr="002335CD" w:rsidR="004D3E84">
        <w:rPr>
          <w:spacing w:val="-1"/>
        </w:rPr>
        <w:t xml:space="preserve"> </w:t>
      </w:r>
      <w:r w:rsidR="001626D7">
        <w:rPr>
          <w:spacing w:val="-1"/>
        </w:rPr>
        <w:t>The high proportion of motorcyclist</w:t>
      </w:r>
      <w:r w:rsidR="003D3C89">
        <w:rPr>
          <w:spacing w:val="-1"/>
        </w:rPr>
        <w:t xml:space="preserve"> fatalities </w:t>
      </w:r>
      <w:r w:rsidR="00954AE3">
        <w:rPr>
          <w:spacing w:val="-1"/>
        </w:rPr>
        <w:t xml:space="preserve">relative to </w:t>
      </w:r>
      <w:r w:rsidR="003D3C89">
        <w:rPr>
          <w:spacing w:val="-1"/>
        </w:rPr>
        <w:t>other types of road user</w:t>
      </w:r>
      <w:r w:rsidR="0058419A">
        <w:rPr>
          <w:spacing w:val="-1"/>
        </w:rPr>
        <w:t>s</w:t>
      </w:r>
      <w:r w:rsidR="003D3C89">
        <w:rPr>
          <w:spacing w:val="-1"/>
        </w:rPr>
        <w:t xml:space="preserve"> </w:t>
      </w:r>
      <w:r w:rsidR="00021F94">
        <w:rPr>
          <w:spacing w:val="-1"/>
        </w:rPr>
        <w:t xml:space="preserve">demonstrates the </w:t>
      </w:r>
      <w:r w:rsidR="003D3C89">
        <w:rPr>
          <w:spacing w:val="-1"/>
        </w:rPr>
        <w:t xml:space="preserve">greater </w:t>
      </w:r>
      <w:r w:rsidR="00021F94">
        <w:rPr>
          <w:spacing w:val="-1"/>
        </w:rPr>
        <w:t xml:space="preserve">risk of motorcycle travel and </w:t>
      </w:r>
      <w:r w:rsidR="003D3C89">
        <w:rPr>
          <w:spacing w:val="-1"/>
        </w:rPr>
        <w:t xml:space="preserve">suggests the challenges associated with </w:t>
      </w:r>
      <w:r w:rsidR="00494B31">
        <w:rPr>
          <w:spacing w:val="-1"/>
        </w:rPr>
        <w:t>improv</w:t>
      </w:r>
      <w:r w:rsidR="003D3C89">
        <w:rPr>
          <w:spacing w:val="-1"/>
        </w:rPr>
        <w:t>ing</w:t>
      </w:r>
      <w:r w:rsidR="00494B31">
        <w:rPr>
          <w:spacing w:val="-1"/>
        </w:rPr>
        <w:t xml:space="preserve"> motorcycle safety. </w:t>
      </w:r>
      <w:r w:rsidR="003D3C89">
        <w:rPr>
          <w:spacing w:val="-1"/>
        </w:rPr>
        <w:t>NHTSA conduct</w:t>
      </w:r>
      <w:r w:rsidR="006854D7">
        <w:rPr>
          <w:spacing w:val="-1"/>
        </w:rPr>
        <w:t>s</w:t>
      </w:r>
      <w:r w:rsidR="003D3C89">
        <w:rPr>
          <w:spacing w:val="-1"/>
        </w:rPr>
        <w:t xml:space="preserve"> research in behavioral </w:t>
      </w:r>
      <w:r w:rsidR="00337BA0">
        <w:rPr>
          <w:spacing w:val="-1"/>
        </w:rPr>
        <w:t xml:space="preserve">traffic safety and </w:t>
      </w:r>
      <w:r w:rsidR="003D3C89">
        <w:rPr>
          <w:spacing w:val="-1"/>
        </w:rPr>
        <w:t xml:space="preserve">vehicle safety </w:t>
      </w:r>
      <w:r w:rsidR="009B3A9E">
        <w:rPr>
          <w:spacing w:val="-1"/>
        </w:rPr>
        <w:t xml:space="preserve">to identify </w:t>
      </w:r>
      <w:r w:rsidR="00773492">
        <w:rPr>
          <w:spacing w:val="-1"/>
        </w:rPr>
        <w:t xml:space="preserve">countermeasures for </w:t>
      </w:r>
      <w:r w:rsidR="009B3A9E">
        <w:rPr>
          <w:spacing w:val="-1"/>
        </w:rPr>
        <w:t>problems and areas needing improvement</w:t>
      </w:r>
      <w:r w:rsidR="00333303">
        <w:rPr>
          <w:spacing w:val="-1"/>
        </w:rPr>
        <w:t>.</w:t>
      </w:r>
      <w:r w:rsidR="00337BA0">
        <w:rPr>
          <w:spacing w:val="-1"/>
        </w:rPr>
        <w:t xml:space="preserve"> </w:t>
      </w:r>
      <w:r w:rsidR="006854D7">
        <w:rPr>
          <w:spacing w:val="-1"/>
        </w:rPr>
        <w:t>NHTSA works with State highway safety office</w:t>
      </w:r>
      <w:r w:rsidR="00DA7798">
        <w:rPr>
          <w:spacing w:val="-1"/>
        </w:rPr>
        <w:t>s</w:t>
      </w:r>
      <w:r w:rsidR="006854D7">
        <w:rPr>
          <w:spacing w:val="-1"/>
        </w:rPr>
        <w:t xml:space="preserve"> </w:t>
      </w:r>
      <w:r w:rsidR="00773492">
        <w:rPr>
          <w:spacing w:val="-1"/>
        </w:rPr>
        <w:t xml:space="preserve">to identify </w:t>
      </w:r>
      <w:r w:rsidR="006854D7">
        <w:rPr>
          <w:spacing w:val="-1"/>
        </w:rPr>
        <w:t xml:space="preserve">ways </w:t>
      </w:r>
      <w:r w:rsidR="00773492">
        <w:rPr>
          <w:spacing w:val="-1"/>
        </w:rPr>
        <w:t xml:space="preserve">of </w:t>
      </w:r>
      <w:r w:rsidR="006854D7">
        <w:rPr>
          <w:spacing w:val="-1"/>
        </w:rPr>
        <w:t>lower</w:t>
      </w:r>
      <w:r w:rsidR="00773492">
        <w:rPr>
          <w:spacing w:val="-1"/>
        </w:rPr>
        <w:t>ing</w:t>
      </w:r>
      <w:r w:rsidR="006854D7">
        <w:rPr>
          <w:spacing w:val="-1"/>
        </w:rPr>
        <w:t xml:space="preserve"> </w:t>
      </w:r>
      <w:r w:rsidR="000606AC">
        <w:rPr>
          <w:spacing w:val="-1"/>
        </w:rPr>
        <w:t xml:space="preserve">the risk of motorcycle </w:t>
      </w:r>
      <w:r w:rsidR="006854D7">
        <w:rPr>
          <w:spacing w:val="-1"/>
        </w:rPr>
        <w:t>crash</w:t>
      </w:r>
      <w:r w:rsidR="000606AC">
        <w:rPr>
          <w:spacing w:val="-1"/>
        </w:rPr>
        <w:t>es</w:t>
      </w:r>
      <w:r w:rsidR="006854D7">
        <w:rPr>
          <w:spacing w:val="-1"/>
        </w:rPr>
        <w:t xml:space="preserve"> and improv</w:t>
      </w:r>
      <w:r w:rsidR="00773492">
        <w:rPr>
          <w:spacing w:val="-1"/>
        </w:rPr>
        <w:t>ing</w:t>
      </w:r>
      <w:r w:rsidR="006854D7">
        <w:rPr>
          <w:spacing w:val="-1"/>
        </w:rPr>
        <w:t xml:space="preserve"> </w:t>
      </w:r>
      <w:r w:rsidR="00773492">
        <w:rPr>
          <w:spacing w:val="-1"/>
        </w:rPr>
        <w:t xml:space="preserve">the </w:t>
      </w:r>
      <w:r w:rsidR="006854D7">
        <w:rPr>
          <w:spacing w:val="-1"/>
        </w:rPr>
        <w:t>survivability of motorcycle crashes</w:t>
      </w:r>
      <w:r w:rsidR="000606AC">
        <w:rPr>
          <w:spacing w:val="-1"/>
        </w:rPr>
        <w:t>.</w:t>
      </w:r>
    </w:p>
    <w:p w:rsidRPr="002335CD" w:rsidR="007A7B2F" w:rsidP="00782F44" w:rsidRDefault="00637566" w14:paraId="233F6451" w14:textId="77D4BC1F">
      <w:pPr>
        <w:rPr>
          <w:color w:val="000000"/>
        </w:rPr>
      </w:pPr>
      <w:r>
        <w:rPr>
          <w:spacing w:val="-1"/>
        </w:rPr>
        <w:t xml:space="preserve">This information collection </w:t>
      </w:r>
      <w:r w:rsidR="009B3A9E">
        <w:rPr>
          <w:spacing w:val="-1"/>
        </w:rPr>
        <w:t>addresses</w:t>
      </w:r>
      <w:r w:rsidR="00442D43">
        <w:rPr>
          <w:spacing w:val="-1"/>
        </w:rPr>
        <w:t xml:space="preserve"> interactions between </w:t>
      </w:r>
      <w:r w:rsidR="000606AC">
        <w:rPr>
          <w:spacing w:val="-1"/>
        </w:rPr>
        <w:t>motorcycle</w:t>
      </w:r>
      <w:r w:rsidR="00442D43">
        <w:rPr>
          <w:spacing w:val="-1"/>
        </w:rPr>
        <w:t>s</w:t>
      </w:r>
      <w:r w:rsidR="000606AC">
        <w:rPr>
          <w:spacing w:val="-1"/>
        </w:rPr>
        <w:t xml:space="preserve"> </w:t>
      </w:r>
      <w:r w:rsidR="00442D43">
        <w:rPr>
          <w:spacing w:val="-1"/>
        </w:rPr>
        <w:t xml:space="preserve">and </w:t>
      </w:r>
      <w:r w:rsidR="000606AC">
        <w:rPr>
          <w:spacing w:val="-1"/>
        </w:rPr>
        <w:t xml:space="preserve">other </w:t>
      </w:r>
      <w:r w:rsidR="00442D43">
        <w:rPr>
          <w:spacing w:val="-1"/>
        </w:rPr>
        <w:t xml:space="preserve">vehicles </w:t>
      </w:r>
      <w:r w:rsidR="00773492">
        <w:rPr>
          <w:spacing w:val="-1"/>
        </w:rPr>
        <w:t xml:space="preserve">that </w:t>
      </w:r>
      <w:r w:rsidR="000606AC">
        <w:rPr>
          <w:spacing w:val="-1"/>
        </w:rPr>
        <w:t xml:space="preserve">can </w:t>
      </w:r>
      <w:r w:rsidR="00442D43">
        <w:rPr>
          <w:spacing w:val="-1"/>
        </w:rPr>
        <w:t xml:space="preserve">increase the risk of </w:t>
      </w:r>
      <w:r w:rsidR="000606AC">
        <w:rPr>
          <w:spacing w:val="-1"/>
        </w:rPr>
        <w:t xml:space="preserve">multi-vehicle crashes. </w:t>
      </w:r>
      <w:r w:rsidR="00337BA0">
        <w:rPr>
          <w:spacing w:val="-1"/>
        </w:rPr>
        <w:t xml:space="preserve">The goal of the information collection is to advance our understanding of </w:t>
      </w:r>
      <w:r w:rsidR="000606AC">
        <w:rPr>
          <w:spacing w:val="-1"/>
        </w:rPr>
        <w:t xml:space="preserve">the behavioral factors underlying </w:t>
      </w:r>
      <w:r w:rsidR="00442D43">
        <w:rPr>
          <w:spacing w:val="-1"/>
        </w:rPr>
        <w:t xml:space="preserve">safe and unsafe (riskier) </w:t>
      </w:r>
      <w:r w:rsidR="000606AC">
        <w:rPr>
          <w:spacing w:val="-1"/>
        </w:rPr>
        <w:t>i</w:t>
      </w:r>
      <w:r w:rsidRPr="002335CD" w:rsidR="000606AC">
        <w:rPr>
          <w:spacing w:val="-1"/>
        </w:rPr>
        <w:t>nteraction</w:t>
      </w:r>
      <w:r w:rsidR="000606AC">
        <w:rPr>
          <w:spacing w:val="-1"/>
        </w:rPr>
        <w:t>s</w:t>
      </w:r>
      <w:r w:rsidRPr="002335CD" w:rsidR="000606AC">
        <w:rPr>
          <w:spacing w:val="-1"/>
        </w:rPr>
        <w:t xml:space="preserve"> between </w:t>
      </w:r>
      <w:r w:rsidR="000606AC">
        <w:rPr>
          <w:spacing w:val="-1"/>
        </w:rPr>
        <w:t xml:space="preserve">motorcyclists and other motorists. For example, </w:t>
      </w:r>
      <w:r w:rsidR="00110DC6">
        <w:rPr>
          <w:spacing w:val="-1"/>
        </w:rPr>
        <w:t xml:space="preserve">multi-vehicle crashes involving a motorcycle </w:t>
      </w:r>
      <w:r w:rsidR="000606AC">
        <w:rPr>
          <w:spacing w:val="-1"/>
        </w:rPr>
        <w:t xml:space="preserve">can </w:t>
      </w:r>
      <w:r w:rsidR="00110DC6">
        <w:rPr>
          <w:spacing w:val="-1"/>
        </w:rPr>
        <w:t xml:space="preserve">result </w:t>
      </w:r>
      <w:r w:rsidR="000606AC">
        <w:rPr>
          <w:spacing w:val="-1"/>
        </w:rPr>
        <w:t xml:space="preserve">when the other </w:t>
      </w:r>
      <w:r w:rsidR="00110DC6">
        <w:rPr>
          <w:spacing w:val="-1"/>
        </w:rPr>
        <w:t xml:space="preserve">driver </w:t>
      </w:r>
      <w:r w:rsidRPr="00110DC6" w:rsidR="00110DC6">
        <w:rPr>
          <w:spacing w:val="-1"/>
        </w:rPr>
        <w:t xml:space="preserve">“looked but did not see” the motorcycle or misjudged the </w:t>
      </w:r>
      <w:r w:rsidR="000606AC">
        <w:rPr>
          <w:spacing w:val="-1"/>
        </w:rPr>
        <w:t xml:space="preserve">motorcycle’s </w:t>
      </w:r>
      <w:r w:rsidRPr="00110DC6" w:rsidR="00110DC6">
        <w:rPr>
          <w:spacing w:val="-1"/>
        </w:rPr>
        <w:t xml:space="preserve">distance </w:t>
      </w:r>
      <w:r w:rsidR="000606AC">
        <w:rPr>
          <w:spacing w:val="-1"/>
        </w:rPr>
        <w:t>or</w:t>
      </w:r>
      <w:r w:rsidRPr="00110DC6" w:rsidR="00110DC6">
        <w:rPr>
          <w:spacing w:val="-1"/>
        </w:rPr>
        <w:t xml:space="preserve"> speed. Aside from the perceptual </w:t>
      </w:r>
      <w:r w:rsidR="00110DC6">
        <w:rPr>
          <w:spacing w:val="-1"/>
        </w:rPr>
        <w:t xml:space="preserve">challenges associated with </w:t>
      </w:r>
      <w:r w:rsidRPr="00110DC6" w:rsidR="00110DC6">
        <w:rPr>
          <w:spacing w:val="-1"/>
        </w:rPr>
        <w:t>detecting motorcycles</w:t>
      </w:r>
      <w:r w:rsidR="000606AC">
        <w:rPr>
          <w:spacing w:val="-1"/>
        </w:rPr>
        <w:t xml:space="preserve"> due to their smaller size relative to other motor vehicles</w:t>
      </w:r>
      <w:r w:rsidRPr="00110DC6" w:rsidR="00110DC6">
        <w:rPr>
          <w:spacing w:val="-1"/>
        </w:rPr>
        <w:t xml:space="preserve">, motorists </w:t>
      </w:r>
      <w:r w:rsidR="000606AC">
        <w:rPr>
          <w:spacing w:val="-1"/>
        </w:rPr>
        <w:t>un</w:t>
      </w:r>
      <w:r w:rsidRPr="00110DC6" w:rsidR="00110DC6">
        <w:rPr>
          <w:spacing w:val="-1"/>
        </w:rPr>
        <w:t xml:space="preserve">familiar with motorcycles </w:t>
      </w:r>
      <w:r w:rsidR="000606AC">
        <w:rPr>
          <w:spacing w:val="-1"/>
        </w:rPr>
        <w:t xml:space="preserve">may be less likely to practice or be aware of safe behaviors toward </w:t>
      </w:r>
      <w:r w:rsidRPr="00110DC6" w:rsidR="00110DC6">
        <w:rPr>
          <w:spacing w:val="-1"/>
        </w:rPr>
        <w:t>motorcycl</w:t>
      </w:r>
      <w:r w:rsidR="000606AC">
        <w:rPr>
          <w:spacing w:val="-1"/>
        </w:rPr>
        <w:t>es</w:t>
      </w:r>
      <w:r w:rsidRPr="00110DC6" w:rsidR="00110DC6">
        <w:rPr>
          <w:spacing w:val="-1"/>
        </w:rPr>
        <w:t>.</w:t>
      </w:r>
      <w:r w:rsidR="00110DC6">
        <w:rPr>
          <w:rStyle w:val="FootnoteReference"/>
          <w:spacing w:val="-1"/>
        </w:rPr>
        <w:footnoteReference w:id="3"/>
      </w:r>
      <w:r w:rsidRPr="00110DC6" w:rsidR="00110DC6">
        <w:rPr>
          <w:spacing w:val="-1"/>
        </w:rPr>
        <w:t xml:space="preserve"> </w:t>
      </w:r>
      <w:r w:rsidR="000606AC">
        <w:rPr>
          <w:spacing w:val="-1"/>
        </w:rPr>
        <w:t xml:space="preserve">This information collection supports </w:t>
      </w:r>
      <w:r w:rsidRPr="00250BE8" w:rsidR="00DD3657">
        <w:rPr>
          <w:rFonts w:eastAsiaTheme="minorHAnsi"/>
        </w:rPr>
        <w:t>NHTSA</w:t>
      </w:r>
      <w:r w:rsidR="000606AC">
        <w:rPr>
          <w:rFonts w:eastAsiaTheme="minorHAnsi"/>
        </w:rPr>
        <w:t xml:space="preserve">’s mission by providing data </w:t>
      </w:r>
      <w:r w:rsidRPr="002335CD" w:rsidR="00DD3657">
        <w:rPr>
          <w:rFonts w:eastAsiaTheme="minorHAnsi"/>
        </w:rPr>
        <w:t xml:space="preserve">on what motorists know about motorcycles and </w:t>
      </w:r>
      <w:r w:rsidRPr="002335CD" w:rsidR="00897B3F">
        <w:rPr>
          <w:rFonts w:eastAsiaTheme="minorHAnsi"/>
        </w:rPr>
        <w:t xml:space="preserve">how that knowledge may influence </w:t>
      </w:r>
      <w:r w:rsidRPr="002335CD" w:rsidR="00DD3657">
        <w:rPr>
          <w:rFonts w:eastAsiaTheme="minorHAnsi"/>
        </w:rPr>
        <w:t xml:space="preserve">their </w:t>
      </w:r>
      <w:r w:rsidRPr="002335CD" w:rsidR="00897B3F">
        <w:rPr>
          <w:rFonts w:eastAsiaTheme="minorHAnsi"/>
        </w:rPr>
        <w:t xml:space="preserve">interactions </w:t>
      </w:r>
      <w:r w:rsidRPr="002335CD" w:rsidR="00DD3657">
        <w:rPr>
          <w:rFonts w:eastAsiaTheme="minorHAnsi"/>
        </w:rPr>
        <w:t>with motorcycles</w:t>
      </w:r>
      <w:r w:rsidRPr="002335CD" w:rsidR="0098441F">
        <w:rPr>
          <w:rFonts w:eastAsiaTheme="minorHAnsi"/>
        </w:rPr>
        <w:t xml:space="preserve">. </w:t>
      </w:r>
      <w:r w:rsidR="000606AC">
        <w:rPr>
          <w:rFonts w:eastAsiaTheme="minorHAnsi"/>
        </w:rPr>
        <w:t xml:space="preserve">The collected information will enable </w:t>
      </w:r>
      <w:r w:rsidRPr="002335CD" w:rsidR="00EE165B">
        <w:t xml:space="preserve">NHTSA </w:t>
      </w:r>
      <w:r w:rsidR="000606AC">
        <w:t xml:space="preserve">and stakeholders </w:t>
      </w:r>
      <w:r w:rsidRPr="002335CD" w:rsidR="00EE165B">
        <w:t xml:space="preserve">to </w:t>
      </w:r>
      <w:r w:rsidR="00A80C58">
        <w:t>advance our understanding of the factors involved in driver perception of motorcycles and driver behaviors toward motorcycles</w:t>
      </w:r>
      <w:r w:rsidR="000606AC">
        <w:t xml:space="preserve"> and </w:t>
      </w:r>
      <w:r w:rsidR="00442D43">
        <w:t xml:space="preserve">help determine </w:t>
      </w:r>
      <w:r w:rsidR="000606AC">
        <w:t xml:space="preserve">what is needed </w:t>
      </w:r>
      <w:r w:rsidR="00442D43">
        <w:t xml:space="preserve">in terms of outreach and education </w:t>
      </w:r>
      <w:r w:rsidR="000606AC">
        <w:t xml:space="preserve">to </w:t>
      </w:r>
      <w:r w:rsidR="00442D43">
        <w:t xml:space="preserve">reduce unsafe </w:t>
      </w:r>
      <w:r w:rsidR="000606AC">
        <w:t>interactions between these vehicle types</w:t>
      </w:r>
      <w:r w:rsidR="0030245C">
        <w:t>.</w:t>
      </w:r>
    </w:p>
    <w:p w:rsidRPr="006100DB" w:rsidR="00C01F22" w:rsidP="00513B7A" w:rsidRDefault="00635770" w14:paraId="3AEB7690" w14:textId="4716EA26">
      <w:pPr>
        <w:pStyle w:val="Heading3"/>
        <w:spacing w:before="240" w:after="160"/>
      </w:pPr>
      <w:bookmarkStart w:name="_Toc6900677" w:id="5"/>
      <w:bookmarkEnd w:id="4"/>
      <w:r w:rsidRPr="006100DB">
        <w:t xml:space="preserve">b. </w:t>
      </w:r>
      <w:bookmarkEnd w:id="5"/>
      <w:r w:rsidRPr="00442D43" w:rsidR="00442D43">
        <w:t>Statute authorizing the collection of information</w:t>
      </w:r>
    </w:p>
    <w:p w:rsidRPr="00730DE6" w:rsidR="00B36864" w:rsidP="00110DC6" w:rsidRDefault="00B36864" w14:paraId="76303A64" w14:textId="33D2E31D">
      <w:pPr>
        <w:rPr>
          <w:bCs/>
        </w:rPr>
      </w:pPr>
      <w:r w:rsidRPr="002B6556">
        <w:t>Title 23, United States Code, Chapter 4, Section 403</w:t>
      </w:r>
      <w:r w:rsidRPr="002335CD">
        <w:rPr>
          <w:b/>
          <w:bCs/>
        </w:rPr>
        <w:t xml:space="preserve"> </w:t>
      </w:r>
      <w:r w:rsidR="00FA0032">
        <w:t xml:space="preserve">authorizes </w:t>
      </w:r>
      <w:r w:rsidRPr="002335CD" w:rsidR="00BD0005">
        <w:t>the Secretary</w:t>
      </w:r>
      <w:r w:rsidR="009D7726">
        <w:t xml:space="preserve"> (NHTSA by delegation)</w:t>
      </w:r>
      <w:r w:rsidRPr="002335CD" w:rsidR="00BD0005">
        <w:t xml:space="preserve"> to use funds appropriated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w:t>
      </w:r>
      <w:r w:rsidRPr="00730DE6" w:rsidR="00BD0005">
        <w:t xml:space="preserve">, driver, passenger, motorcyclist, bicyclist, and pedestrian characteristics; accident causation and investigations; and </w:t>
      </w:r>
      <w:r w:rsidRPr="00730DE6" w:rsidR="00BD0005">
        <w:lastRenderedPageBreak/>
        <w:t>human behavioral factors and their effect on highway and traffic safety.</w:t>
      </w:r>
      <w:r w:rsidR="002B6556">
        <w:t xml:space="preserve"> </w:t>
      </w:r>
      <w:r w:rsidRPr="00B36864" w:rsidR="002B6556">
        <w:t>[</w:t>
      </w:r>
      <w:r w:rsidRPr="00B30BFB" w:rsidR="002B6556">
        <w:rPr>
          <w:i/>
        </w:rPr>
        <w:t>See</w:t>
      </w:r>
      <w:r w:rsidRPr="00B36864" w:rsidR="002B6556">
        <w:t xml:space="preserve"> 23 U.S.C. 403(b)(1)(A)(i)</w:t>
      </w:r>
      <w:r w:rsidR="002B6556">
        <w:t>-</w:t>
      </w:r>
      <w:r w:rsidRPr="00B36864" w:rsidR="002B6556">
        <w:t>(ii)</w:t>
      </w:r>
      <w:r w:rsidR="002B6556">
        <w:t>;</w:t>
      </w:r>
      <w:r w:rsidRPr="00B36864" w:rsidR="002B6556">
        <w:t xml:space="preserve"> 23 U.S.C. 403(b)(1)(B)]</w:t>
      </w:r>
      <w:r w:rsidR="002B6556">
        <w:t>.</w:t>
      </w:r>
      <w:r w:rsidR="002B6556">
        <w:rPr>
          <w:rStyle w:val="FootnoteReference"/>
        </w:rPr>
        <w:footnoteReference w:id="4"/>
      </w:r>
    </w:p>
    <w:p w:rsidRPr="005271A9" w:rsidR="002B6556" w:rsidP="002B6556" w:rsidRDefault="002B6556" w14:paraId="1F306CD0" w14:textId="77777777">
      <w:pPr>
        <w:pStyle w:val="ListParagraph"/>
        <w:numPr>
          <w:ilvl w:val="0"/>
          <w:numId w:val="40"/>
        </w:numPr>
        <w:spacing w:before="240"/>
        <w:rPr>
          <w:b/>
        </w:rPr>
      </w:pPr>
      <w:bookmarkStart w:name="_Hlk51325321" w:id="6"/>
      <w:r w:rsidRPr="005271A9">
        <w:rPr>
          <w:b/>
        </w:rPr>
        <w:t>Indicate how, by whom, and for what purpose the information is to be used. Except for a new collection, indicate the actual use the agency has made of the information received from the current collection</w:t>
      </w:r>
      <w:bookmarkEnd w:id="6"/>
      <w:r w:rsidRPr="005271A9">
        <w:rPr>
          <w:b/>
        </w:rPr>
        <w:t>.</w:t>
      </w:r>
    </w:p>
    <w:p w:rsidR="00D82866" w:rsidP="002335CD" w:rsidRDefault="00BD0005" w14:paraId="1CA65A62" w14:textId="77777777">
      <w:r w:rsidRPr="002335CD">
        <w:t>This is a new collection. It will provide critical information needed by NHTSA to develop, implement, and m</w:t>
      </w:r>
      <w:r w:rsidRPr="00730DE6">
        <w:t xml:space="preserve">aintain effective </w:t>
      </w:r>
      <w:r w:rsidR="009D7726">
        <w:t>traffic safety programs (</w:t>
      </w:r>
      <w:r w:rsidRPr="00730DE6">
        <w:t>countermeasures</w:t>
      </w:r>
      <w:r w:rsidR="009D7726">
        <w:t>)</w:t>
      </w:r>
      <w:r w:rsidRPr="00730DE6">
        <w:t xml:space="preserve"> that meet the Agency’s </w:t>
      </w:r>
      <w:r w:rsidR="009D7726">
        <w:t>mission</w:t>
      </w:r>
      <w:r w:rsidRPr="00730DE6" w:rsidR="009D7726">
        <w:t xml:space="preserve"> </w:t>
      </w:r>
      <w:r w:rsidRPr="00730DE6">
        <w:t xml:space="preserve">to improve traffic safety. </w:t>
      </w:r>
      <w:bookmarkStart w:name="_Hlk94903962" w:id="7"/>
      <w:r w:rsidRPr="00730DE6" w:rsidR="00423077">
        <w:t xml:space="preserve">NHTSA </w:t>
      </w:r>
      <w:r w:rsidRPr="00250BE8" w:rsidR="00423077">
        <w:t>conduct</w:t>
      </w:r>
      <w:r w:rsidR="002B6556">
        <w:t>s</w:t>
      </w:r>
      <w:r w:rsidRPr="002335CD" w:rsidR="00423077">
        <w:t xml:space="preserve"> </w:t>
      </w:r>
      <w:r w:rsidRPr="002335CD" w:rsidR="006C44AF">
        <w:t xml:space="preserve">research </w:t>
      </w:r>
      <w:r w:rsidRPr="002335CD" w:rsidR="00697DC1">
        <w:t>on motorcycle safety</w:t>
      </w:r>
      <w:r w:rsidR="00AB743E">
        <w:t xml:space="preserve">-related issues including </w:t>
      </w:r>
      <w:r w:rsidRPr="002335CD" w:rsidR="00697DC1">
        <w:t xml:space="preserve">training and licensing, impaired driving, and </w:t>
      </w:r>
      <w:r w:rsidR="00AB743E">
        <w:t>the use of personal protective gear</w:t>
      </w:r>
      <w:r w:rsidR="002B6556">
        <w:t xml:space="preserve">. This information collection </w:t>
      </w:r>
      <w:bookmarkStart w:name="_Hlk94904189" w:id="8"/>
      <w:bookmarkEnd w:id="7"/>
      <w:r w:rsidR="002B6556">
        <w:t>addresses multi-vehicle crashes between passenger vehicles and motorcycles by seeking insight into perception and awareness of other motorists towards motorcycles.</w:t>
      </w:r>
      <w:r w:rsidRPr="002335CD" w:rsidR="00697DC1">
        <w:t xml:space="preserve"> T</w:t>
      </w:r>
      <w:r w:rsidR="00C9717E">
        <w:t>h</w:t>
      </w:r>
      <w:r w:rsidR="002B6556">
        <w:t>e information collected</w:t>
      </w:r>
      <w:r w:rsidR="00C9717E">
        <w:t xml:space="preserve"> will</w:t>
      </w:r>
      <w:r w:rsidRPr="002335CD" w:rsidR="00697DC1">
        <w:t xml:space="preserve"> expand our understanding of the beliefs, attitudes, </w:t>
      </w:r>
      <w:r w:rsidRPr="002335CD" w:rsidR="007921CF">
        <w:t xml:space="preserve">and </w:t>
      </w:r>
      <w:r w:rsidRPr="002335CD" w:rsidR="00697DC1">
        <w:t>perceptions</w:t>
      </w:r>
      <w:r w:rsidRPr="002335CD" w:rsidR="007921CF">
        <w:t xml:space="preserve"> </w:t>
      </w:r>
      <w:r w:rsidRPr="002335CD" w:rsidR="00697DC1">
        <w:t>underlying driving behaviors</w:t>
      </w:r>
      <w:r w:rsidRPr="002335CD" w:rsidR="007921CF">
        <w:t xml:space="preserve"> towards</w:t>
      </w:r>
      <w:r w:rsidRPr="002335CD" w:rsidR="00697DC1">
        <w:t xml:space="preserve"> motorcycles</w:t>
      </w:r>
      <w:r w:rsidR="0087785C">
        <w:t xml:space="preserve"> and </w:t>
      </w:r>
      <w:r w:rsidR="002B6556">
        <w:t xml:space="preserve">will </w:t>
      </w:r>
      <w:r w:rsidR="0087785C">
        <w:t xml:space="preserve">inform </w:t>
      </w:r>
      <w:r w:rsidRPr="002335CD" w:rsidR="007921CF">
        <w:t xml:space="preserve">the development of </w:t>
      </w:r>
      <w:r w:rsidR="002B6556">
        <w:t xml:space="preserve">safety </w:t>
      </w:r>
      <w:r w:rsidRPr="002335CD" w:rsidR="007921CF">
        <w:t xml:space="preserve">countermeasures. </w:t>
      </w:r>
      <w:bookmarkEnd w:id="8"/>
      <w:r w:rsidRPr="002335CD" w:rsidR="00E524B9">
        <w:t>A significant portion of motorcycle crashes involve other vehicles in which the motorist violated the motorcyclist’s right of way. In many of these cases, it appears that the motorists “looked but did not see” the motorcycle or misjudged the distance or speed of the motorcycle. Aside from the perceptual processes involved in detecting motorcycles, familiar</w:t>
      </w:r>
      <w:r w:rsidR="00B2120D">
        <w:t>ity</w:t>
      </w:r>
      <w:r w:rsidRPr="002335CD" w:rsidR="00E524B9">
        <w:t xml:space="preserve"> with motorcycles or motorcyclists </w:t>
      </w:r>
      <w:r w:rsidR="00B2120D">
        <w:t xml:space="preserve">may be associated with having fewer </w:t>
      </w:r>
      <w:r w:rsidRPr="002335CD" w:rsidR="00E524B9">
        <w:t>crash</w:t>
      </w:r>
      <w:r w:rsidR="00B2120D">
        <w:t>es</w:t>
      </w:r>
      <w:r w:rsidRPr="002335CD" w:rsidR="00E524B9">
        <w:t xml:space="preserve"> with motorcycle</w:t>
      </w:r>
      <w:r w:rsidR="00B2120D">
        <w:t>s</w:t>
      </w:r>
      <w:r w:rsidRPr="002335CD" w:rsidR="00E524B9">
        <w:t>.</w:t>
      </w:r>
      <w:bookmarkStart w:name="_Ref484535453" w:id="9"/>
      <w:r w:rsidRPr="002335CD" w:rsidR="00E524B9">
        <w:rPr>
          <w:rStyle w:val="FootnoteReference"/>
        </w:rPr>
        <w:footnoteReference w:id="5"/>
      </w:r>
      <w:bookmarkEnd w:id="9"/>
      <w:r w:rsidRPr="002335CD" w:rsidR="00E524B9">
        <w:t xml:space="preserve"> </w:t>
      </w:r>
      <w:r w:rsidR="00B2120D">
        <w:t>Therefore, a</w:t>
      </w:r>
      <w:r w:rsidRPr="002335CD" w:rsidR="00E524B9">
        <w:t xml:space="preserve">wareness and knowledge of motorcycles </w:t>
      </w:r>
      <w:r w:rsidR="00B2120D">
        <w:t xml:space="preserve">appears to </w:t>
      </w:r>
      <w:r w:rsidR="00723B65">
        <w:t>influence</w:t>
      </w:r>
      <w:r w:rsidRPr="002335CD" w:rsidR="00723B65">
        <w:t xml:space="preserve"> </w:t>
      </w:r>
      <w:r w:rsidR="00B455CF">
        <w:t xml:space="preserve">driver perception and </w:t>
      </w:r>
      <w:r w:rsidR="00B2120D">
        <w:t xml:space="preserve">decision-making </w:t>
      </w:r>
      <w:r w:rsidR="00B455CF">
        <w:t xml:space="preserve">regarding motorcycles. In addition, some types of motorcycle </w:t>
      </w:r>
      <w:r w:rsidRPr="002335CD" w:rsidR="00E524B9">
        <w:t>maneuvers</w:t>
      </w:r>
      <w:r w:rsidR="00B455CF">
        <w:t xml:space="preserve"> may </w:t>
      </w:r>
      <w:r w:rsidR="00D82866">
        <w:t>be subject to misinterpretation by drivers unfamiliar with motorcycling</w:t>
      </w:r>
      <w:r w:rsidRPr="002335CD" w:rsidR="00E524B9">
        <w:t xml:space="preserve">. For instance, </w:t>
      </w:r>
      <w:r w:rsidR="00D82866">
        <w:t>a</w:t>
      </w:r>
      <w:r w:rsidRPr="00730DE6" w:rsidR="00E524B9">
        <w:t xml:space="preserve"> motorist </w:t>
      </w:r>
      <w:r w:rsidR="00D82866">
        <w:t xml:space="preserve">observing a </w:t>
      </w:r>
      <w:r w:rsidRPr="002335CD" w:rsidR="00D82866">
        <w:t xml:space="preserve">motorcycle </w:t>
      </w:r>
      <w:r w:rsidR="00D82866">
        <w:t xml:space="preserve">that swerves to </w:t>
      </w:r>
      <w:r w:rsidRPr="00730DE6" w:rsidR="00D82866">
        <w:t>avoid a hazard</w:t>
      </w:r>
      <w:r w:rsidR="00D82866">
        <w:t>,</w:t>
      </w:r>
      <w:r w:rsidRPr="00730DE6" w:rsidR="00D82866">
        <w:t xml:space="preserve"> such as a pile of wet leaves or a pothole</w:t>
      </w:r>
      <w:r w:rsidR="00D82866">
        <w:t xml:space="preserve">, </w:t>
      </w:r>
      <w:r w:rsidRPr="00730DE6" w:rsidR="00E524B9">
        <w:t>could interpret the</w:t>
      </w:r>
      <w:r w:rsidR="00D82866">
        <w:t xml:space="preserve"> move </w:t>
      </w:r>
      <w:r w:rsidRPr="00730DE6" w:rsidR="00E524B9">
        <w:t>as reckless or erratic. Similarly, a motorcycl</w:t>
      </w:r>
      <w:r w:rsidR="00D82866">
        <w:t xml:space="preserve">e traveling </w:t>
      </w:r>
      <w:r w:rsidRPr="00730DE6" w:rsidR="00E524B9">
        <w:t xml:space="preserve">behind a car on a highway </w:t>
      </w:r>
      <w:r w:rsidR="00D82866">
        <w:t xml:space="preserve">may choose to ride near </w:t>
      </w:r>
      <w:r w:rsidRPr="00730DE6" w:rsidR="00E524B9">
        <w:t xml:space="preserve">the edge of the lane </w:t>
      </w:r>
      <w:r w:rsidR="00D82866">
        <w:t xml:space="preserve">for the purpose of being </w:t>
      </w:r>
      <w:r w:rsidRPr="00730DE6" w:rsidR="00E524B9">
        <w:t xml:space="preserve">seen in the leading vehicle’s rearview mirror. A motorist who is not aware of this tactic could interpret it as menacing </w:t>
      </w:r>
      <w:r w:rsidR="00D82866">
        <w:t>or aggressive</w:t>
      </w:r>
      <w:r w:rsidRPr="00250BE8" w:rsidR="00E524B9">
        <w:t>. Drivers who interpret the actions of other motorists as offensive may react aggress</w:t>
      </w:r>
      <w:r w:rsidRPr="002335CD" w:rsidR="00E524B9">
        <w:t>ively.</w:t>
      </w:r>
      <w:r w:rsidRPr="002335CD" w:rsidR="00E524B9">
        <w:rPr>
          <w:rStyle w:val="FootnoteReference"/>
        </w:rPr>
        <w:footnoteReference w:id="6"/>
      </w:r>
      <w:r w:rsidRPr="002335CD" w:rsidR="00E524B9">
        <w:t xml:space="preserve"> </w:t>
      </w:r>
    </w:p>
    <w:p w:rsidRPr="002335CD" w:rsidR="00E524B9" w:rsidP="002335CD" w:rsidRDefault="00E524B9" w14:paraId="5C48E121" w14:textId="34E63479">
      <w:r w:rsidRPr="002335CD">
        <w:t xml:space="preserve">It is important to understand driver attitudes and beliefs, as these factors influence safe driving behaviors and interactions with other motorists. Drivers with greater awareness of motorcycles or empathy with motorcyclists may practice safer driving behaviors around them. </w:t>
      </w:r>
      <w:r w:rsidRPr="00730DE6" w:rsidR="00F66F12">
        <w:t xml:space="preserve">NHTSA will use the collected information </w:t>
      </w:r>
      <w:r w:rsidRPr="00250BE8">
        <w:t xml:space="preserve">to </w:t>
      </w:r>
      <w:r w:rsidRPr="00250BE8" w:rsidR="00F66F12">
        <w:t xml:space="preserve">assess </w:t>
      </w:r>
      <w:r w:rsidRPr="002335CD">
        <w:t xml:space="preserve">the extent to which the motoring public is aware of safe </w:t>
      </w:r>
      <w:r w:rsidRPr="002335CD">
        <w:lastRenderedPageBreak/>
        <w:t>driving behaviors towards motorcycles</w:t>
      </w:r>
      <w:r w:rsidRPr="002335CD" w:rsidR="00F66F12">
        <w:t xml:space="preserve"> and identify areas needing improvement in outreach and education.</w:t>
      </w:r>
    </w:p>
    <w:p w:rsidRPr="002335CD" w:rsidR="00C01F22" w:rsidP="002335CD" w:rsidRDefault="00F66F12" w14:paraId="7F100BA0" w14:textId="35039AD2">
      <w:bookmarkStart w:name="_Hlk94904312" w:id="10"/>
      <w:r w:rsidRPr="002335CD">
        <w:t>The survey data will be used to assist NHTSA in its ongoing responsibilities for: (a) planning and designing research and program activities to improve motorcycle safety; (b) providing support to groups involved in developing and implementing motorcycle safety outreach programs and driver safety campaigns; and (c) identifying areas in driver awareness and knowledge that need attention.</w:t>
      </w:r>
      <w:r w:rsidR="0087785C">
        <w:t xml:space="preserve"> </w:t>
      </w:r>
      <w:r w:rsidRPr="002335CD">
        <w:t>In addition to using the collected information for its own program development and technical assistance activities, NHTSA will disseminate the information to</w:t>
      </w:r>
      <w:r w:rsidR="00D82866">
        <w:t xml:space="preserve"> </w:t>
      </w:r>
      <w:r w:rsidR="003B0269">
        <w:t>S</w:t>
      </w:r>
      <w:r w:rsidRPr="002335CD">
        <w:t>tate and local highway safety authorities who may use it to develop, improve, and target their own programs and activities;</w:t>
      </w:r>
      <w:r w:rsidR="0087785C">
        <w:t xml:space="preserve"> </w:t>
      </w:r>
      <w:r w:rsidRPr="002335CD">
        <w:t>interested safety organizations so that this information can be used to develop, improve and target their own programs and activities, especially for public information and education campaigns; and</w:t>
      </w:r>
      <w:r w:rsidR="0087785C">
        <w:t xml:space="preserve"> </w:t>
      </w:r>
      <w:r w:rsidRPr="002335CD">
        <w:t>academics concerned with traffic safety issues through a peer-reviewed journal article, so that it can be used as a baseline for future studies.</w:t>
      </w:r>
      <w:bookmarkEnd w:id="10"/>
    </w:p>
    <w:p w:rsidR="003B0269" w:rsidP="003B0269" w:rsidRDefault="003B0269" w14:paraId="2D13CDA5" w14:textId="77777777">
      <w:pPr>
        <w:numPr>
          <w:ilvl w:val="0"/>
          <w:numId w:val="40"/>
        </w:numPr>
        <w:rPr>
          <w:b/>
        </w:rPr>
      </w:pPr>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335CD" w:rsidR="00864685" w:rsidP="0028489D" w:rsidRDefault="00F66F12" w14:paraId="3F527A6C" w14:textId="16D11313">
      <w:r w:rsidRPr="002335CD">
        <w:t xml:space="preserve">The proposed </w:t>
      </w:r>
      <w:r w:rsidRPr="002335CD" w:rsidR="00272D46">
        <w:t xml:space="preserve">methodology is a </w:t>
      </w:r>
      <w:r w:rsidR="003B0269">
        <w:t xml:space="preserve">self-administered </w:t>
      </w:r>
      <w:r w:rsidRPr="002335CD" w:rsidR="00272D46">
        <w:t xml:space="preserve">web-based survey </w:t>
      </w:r>
      <w:r w:rsidRPr="003B0269" w:rsidR="003B0269">
        <w:t>with paper versions available if the participant does not respond</w:t>
      </w:r>
      <w:r w:rsidR="003B0269">
        <w:t xml:space="preserve"> to the web survey</w:t>
      </w:r>
      <w:r w:rsidRPr="002335CD" w:rsidR="00272D46">
        <w:t xml:space="preserve">. </w:t>
      </w:r>
      <w:r w:rsidR="000517F3">
        <w:t xml:space="preserve">The design of the web survey and the paper version is based on standard practices for survey instruments. </w:t>
      </w:r>
      <w:r w:rsidRPr="002335CD" w:rsidR="00170D5E">
        <w:t xml:space="preserve">The following are features </w:t>
      </w:r>
      <w:r w:rsidRPr="002335CD" w:rsidR="00A12E03">
        <w:t xml:space="preserve">of </w:t>
      </w:r>
      <w:r w:rsidRPr="002335CD" w:rsidR="00170D5E">
        <w:t xml:space="preserve">the </w:t>
      </w:r>
      <w:r w:rsidRPr="002335CD" w:rsidR="00352BAF">
        <w:t>web</w:t>
      </w:r>
      <w:r w:rsidRPr="002335CD" w:rsidR="00170D5E">
        <w:t xml:space="preserve"> survey</w:t>
      </w:r>
      <w:r w:rsidRPr="002335CD" w:rsidR="00A12E03">
        <w:t xml:space="preserve"> designed to improve efficiency and reduce burden</w:t>
      </w:r>
      <w:r w:rsidRPr="002335CD" w:rsidR="00170D5E">
        <w:t>:</w:t>
      </w:r>
    </w:p>
    <w:p w:rsidRPr="006100DB" w:rsidR="003B214E" w:rsidP="00385885" w:rsidRDefault="00A12E03" w14:paraId="7630EE26" w14:textId="001F6760">
      <w:pPr>
        <w:pStyle w:val="ListParagraph"/>
        <w:numPr>
          <w:ilvl w:val="0"/>
          <w:numId w:val="31"/>
        </w:numPr>
        <w:tabs>
          <w:tab w:val="clear" w:pos="1080"/>
          <w:tab w:val="num" w:pos="720"/>
        </w:tabs>
        <w:ind w:left="720" w:hanging="360"/>
      </w:pPr>
      <w:r>
        <w:rPr>
          <w:rFonts w:eastAsia="Calibri"/>
        </w:rPr>
        <w:t>A brief</w:t>
      </w:r>
      <w:r w:rsidRPr="006100DB" w:rsidR="003B214E">
        <w:rPr>
          <w:rFonts w:eastAsia="Calibri"/>
        </w:rPr>
        <w:t xml:space="preserve"> introduction that explains the survey’s purpose and encourages</w:t>
      </w:r>
      <w:r w:rsidRPr="006100DB" w:rsidR="003B214E">
        <w:t xml:space="preserve"> participation</w:t>
      </w:r>
      <w:r>
        <w:t>;</w:t>
      </w:r>
    </w:p>
    <w:p w:rsidRPr="006100DB" w:rsidR="003B214E" w:rsidP="00385885" w:rsidRDefault="003B214E" w14:paraId="36253DE2" w14:textId="5EE634B5">
      <w:pPr>
        <w:pStyle w:val="ListParagraph"/>
        <w:numPr>
          <w:ilvl w:val="0"/>
          <w:numId w:val="31"/>
        </w:numPr>
        <w:tabs>
          <w:tab w:val="clear" w:pos="1080"/>
          <w:tab w:val="num" w:pos="720"/>
        </w:tabs>
        <w:ind w:left="720" w:hanging="360"/>
      </w:pPr>
      <w:r w:rsidRPr="006100DB">
        <w:rPr>
          <w:rFonts w:eastAsia="Calibri"/>
        </w:rPr>
        <w:t xml:space="preserve">Instructions that are </w:t>
      </w:r>
      <w:r w:rsidR="00A12E03">
        <w:rPr>
          <w:rFonts w:eastAsia="Calibri"/>
        </w:rPr>
        <w:t xml:space="preserve">clear and </w:t>
      </w:r>
      <w:r w:rsidRPr="006100DB">
        <w:rPr>
          <w:rFonts w:eastAsia="Calibri"/>
        </w:rPr>
        <w:t xml:space="preserve">easily understood </w:t>
      </w:r>
      <w:r w:rsidR="00A12E03">
        <w:rPr>
          <w:rFonts w:eastAsia="Calibri"/>
        </w:rPr>
        <w:t xml:space="preserve">on </w:t>
      </w:r>
      <w:r w:rsidRPr="006100DB">
        <w:rPr>
          <w:rFonts w:eastAsia="Calibri"/>
        </w:rPr>
        <w:t xml:space="preserve">how to progress through the </w:t>
      </w:r>
      <w:r w:rsidRPr="006100DB">
        <w:t>survey</w:t>
      </w:r>
      <w:r w:rsidR="00A12E03">
        <w:t>;</w:t>
      </w:r>
    </w:p>
    <w:p w:rsidRPr="006100DB" w:rsidR="003B214E" w:rsidP="00385885" w:rsidRDefault="003B214E" w14:paraId="4DC3E6DC" w14:textId="6AE6D540">
      <w:pPr>
        <w:pStyle w:val="ListParagraph"/>
        <w:numPr>
          <w:ilvl w:val="0"/>
          <w:numId w:val="31"/>
        </w:numPr>
        <w:tabs>
          <w:tab w:val="clear" w:pos="1080"/>
          <w:tab w:val="num" w:pos="720"/>
        </w:tabs>
        <w:ind w:left="720" w:hanging="360"/>
      </w:pPr>
      <w:r w:rsidRPr="006100DB">
        <w:t>Navigational ease from page to page</w:t>
      </w:r>
      <w:r w:rsidR="00A12E03">
        <w:t xml:space="preserve">, and </w:t>
      </w:r>
      <w:r w:rsidRPr="006100DB">
        <w:t>section to section</w:t>
      </w:r>
      <w:r w:rsidR="00A12E03">
        <w:t>;</w:t>
      </w:r>
    </w:p>
    <w:p w:rsidRPr="006100DB" w:rsidR="003B214E" w:rsidP="00385885" w:rsidRDefault="003B214E" w14:paraId="6F7C6501" w14:textId="659F3B4C">
      <w:pPr>
        <w:pStyle w:val="ListParagraph"/>
        <w:numPr>
          <w:ilvl w:val="0"/>
          <w:numId w:val="31"/>
        </w:numPr>
        <w:tabs>
          <w:tab w:val="clear" w:pos="1080"/>
          <w:tab w:val="num" w:pos="720"/>
        </w:tabs>
        <w:ind w:left="720" w:hanging="360"/>
      </w:pPr>
      <w:r w:rsidRPr="006100DB">
        <w:t>User assistance tools such as help screens and/or text boxes where necessary</w:t>
      </w:r>
      <w:r w:rsidR="00A12E03">
        <w:t>;</w:t>
      </w:r>
    </w:p>
    <w:p w:rsidR="0087785C" w:rsidP="0028489D" w:rsidRDefault="003B214E" w14:paraId="0C45A1AF" w14:textId="77777777">
      <w:pPr>
        <w:pStyle w:val="ListParagraph"/>
        <w:numPr>
          <w:ilvl w:val="0"/>
          <w:numId w:val="31"/>
        </w:numPr>
        <w:tabs>
          <w:tab w:val="clear" w:pos="1080"/>
          <w:tab w:val="num" w:pos="720"/>
        </w:tabs>
        <w:ind w:left="720" w:hanging="360"/>
      </w:pPr>
      <w:r w:rsidRPr="006100DB">
        <w:t>A review and edit feature that allows the participant to adjust responses prior to submitting the survey</w:t>
      </w:r>
      <w:r w:rsidR="00A12E03">
        <w:t>; and</w:t>
      </w:r>
    </w:p>
    <w:p w:rsidRPr="00730DE6" w:rsidR="00864685" w:rsidP="00542CF3" w:rsidRDefault="00864685" w14:paraId="5A2F5E5E" w14:textId="3D9F4B08">
      <w:pPr>
        <w:pStyle w:val="ListParagraph"/>
        <w:numPr>
          <w:ilvl w:val="0"/>
          <w:numId w:val="31"/>
        </w:numPr>
        <w:tabs>
          <w:tab w:val="clear" w:pos="1080"/>
          <w:tab w:val="num" w:pos="720"/>
        </w:tabs>
        <w:ind w:left="720" w:hanging="360"/>
      </w:pPr>
      <w:r w:rsidRPr="002335CD">
        <w:t>Automatic</w:t>
      </w:r>
      <w:r w:rsidRPr="002335CD" w:rsidR="00A12E03">
        <w:t>ally executed</w:t>
      </w:r>
      <w:r w:rsidRPr="002335CD">
        <w:t xml:space="preserve"> skip patterns based on prior question answers</w:t>
      </w:r>
      <w:r w:rsidRPr="002335CD" w:rsidR="00A12E03">
        <w:t xml:space="preserve">, </w:t>
      </w:r>
      <w:r w:rsidRPr="002335CD">
        <w:t xml:space="preserve">which decreases </w:t>
      </w:r>
      <w:r w:rsidR="00097907">
        <w:t>survey-taking</w:t>
      </w:r>
      <w:r w:rsidRPr="002335CD" w:rsidR="00097907">
        <w:t xml:space="preserve"> </w:t>
      </w:r>
      <w:r w:rsidRPr="002335CD">
        <w:t>time and burden on respondents</w:t>
      </w:r>
      <w:r w:rsidRPr="00730DE6" w:rsidR="00A12E03">
        <w:t>.</w:t>
      </w:r>
      <w:r w:rsidR="0087785C">
        <w:t xml:space="preserve"> </w:t>
      </w:r>
    </w:p>
    <w:p w:rsidRPr="002335CD" w:rsidR="00F4565F" w:rsidP="0028489D" w:rsidRDefault="00170D5E" w14:paraId="4D92B97A" w14:textId="691EA265">
      <w:r w:rsidRPr="00250BE8">
        <w:t xml:space="preserve">The </w:t>
      </w:r>
      <w:r w:rsidRPr="00250BE8" w:rsidR="00352BAF">
        <w:t>web</w:t>
      </w:r>
      <w:r w:rsidRPr="002335CD" w:rsidR="00864685">
        <w:t xml:space="preserve"> survey will be considered the </w:t>
      </w:r>
      <w:r w:rsidRPr="002335CD" w:rsidR="003B214E">
        <w:t xml:space="preserve">default due to the efficiencies </w:t>
      </w:r>
      <w:r w:rsidRPr="002335CD" w:rsidR="00A12E03">
        <w:t>it</w:t>
      </w:r>
      <w:r w:rsidRPr="002335CD" w:rsidR="003B214E">
        <w:t xml:space="preserve"> provides</w:t>
      </w:r>
      <w:r w:rsidRPr="002335CD" w:rsidR="00864685">
        <w:t>.</w:t>
      </w:r>
      <w:r w:rsidRPr="002335CD" w:rsidR="003B214E">
        <w:t xml:space="preserve"> Paper surveys will be made available for potential participants who are unable or unwilling to complete </w:t>
      </w:r>
      <w:r w:rsidRPr="002335CD" w:rsidR="00A12E03">
        <w:t xml:space="preserve">the </w:t>
      </w:r>
      <w:r w:rsidRPr="002335CD" w:rsidR="003B214E">
        <w:t>web-based survey.</w:t>
      </w:r>
      <w:r w:rsidRPr="002335CD" w:rsidR="00864685">
        <w:t xml:space="preserve"> </w:t>
      </w:r>
      <w:bookmarkStart w:name="_Hlk73673885" w:id="11"/>
      <w:r w:rsidRPr="002335CD" w:rsidR="00864685">
        <w:t xml:space="preserve">Paper surveys will be </w:t>
      </w:r>
      <w:r w:rsidRPr="002335CD" w:rsidR="00CA27EE">
        <w:t>designed to work with optical mark recognition and image scanning to facilitate ease of use and data accuracy.</w:t>
      </w:r>
      <w:bookmarkEnd w:id="11"/>
    </w:p>
    <w:p w:rsidRPr="005271A9" w:rsidR="00E52096" w:rsidP="00E52096" w:rsidRDefault="00E52096" w14:paraId="4CA91554" w14:textId="77777777">
      <w:pPr>
        <w:pStyle w:val="ListParagraph"/>
        <w:numPr>
          <w:ilvl w:val="0"/>
          <w:numId w:val="40"/>
        </w:numPr>
        <w:autoSpaceDE w:val="0"/>
        <w:autoSpaceDN w:val="0"/>
        <w:adjustRightInd w:val="0"/>
        <w:spacing w:after="0" w:line="240" w:lineRule="auto"/>
        <w:rPr>
          <w:b/>
        </w:rPr>
      </w:pPr>
      <w:bookmarkStart w:name="_Hlk51330199" w:id="12"/>
      <w:bookmarkStart w:name="_Toc6900681" w:id="13"/>
      <w:r w:rsidRPr="005271A9">
        <w:rPr>
          <w:b/>
        </w:rPr>
        <w:t xml:space="preserve">Describe efforts to identify duplication. </w:t>
      </w:r>
      <w:bookmarkStart w:name="_Hlk45117781" w:id="14"/>
      <w:r w:rsidRPr="005271A9">
        <w:rPr>
          <w:b/>
        </w:rPr>
        <w:t>Show specifically why any similar information already available cannot be used or modified for use for the purposes described in Item 2 above.</w:t>
      </w:r>
      <w:bookmarkEnd w:id="14"/>
    </w:p>
    <w:bookmarkEnd w:id="12"/>
    <w:p w:rsidRPr="002335CD" w:rsidR="00542681" w:rsidP="00C842BF" w:rsidRDefault="005F61AA" w14:paraId="01963997" w14:textId="78252BA4">
      <w:pPr>
        <w:spacing w:before="120"/>
      </w:pPr>
      <w:r>
        <w:lastRenderedPageBreak/>
        <w:t>NHTSA has not previously conducted a similar information collection and a review of</w:t>
      </w:r>
      <w:r w:rsidRPr="002335CD" w:rsidR="006C0BF8">
        <w:t xml:space="preserve"> </w:t>
      </w:r>
      <w:r w:rsidRPr="002335CD" w:rsidR="000328B8">
        <w:t>previous research projects</w:t>
      </w:r>
      <w:r w:rsidR="00C842BF">
        <w:t xml:space="preserve"> did not </w:t>
      </w:r>
      <w:r w:rsidRPr="002335CD" w:rsidR="000328B8">
        <w:t>f</w:t>
      </w:r>
      <w:r w:rsidR="00697E04">
        <w:t>i</w:t>
      </w:r>
      <w:r w:rsidRPr="002335CD" w:rsidR="000328B8">
        <w:t xml:space="preserve">nd </w:t>
      </w:r>
      <w:r w:rsidR="00C842BF">
        <w:t>a</w:t>
      </w:r>
      <w:r w:rsidRPr="002335CD" w:rsidR="000328B8">
        <w:t xml:space="preserve"> </w:t>
      </w:r>
      <w:r w:rsidR="0061397B">
        <w:t xml:space="preserve">citation for a </w:t>
      </w:r>
      <w:r>
        <w:t xml:space="preserve">similar </w:t>
      </w:r>
      <w:r w:rsidR="0061397B">
        <w:t>probability survey</w:t>
      </w:r>
      <w:r w:rsidRPr="00730DE6" w:rsidR="000328B8">
        <w:t xml:space="preserve"> in the United States</w:t>
      </w:r>
      <w:r w:rsidRPr="00730DE6" w:rsidR="00A12E03">
        <w:t xml:space="preserve">, which indicates </w:t>
      </w:r>
      <w:r w:rsidRPr="00250BE8" w:rsidR="000328B8">
        <w:t>that th</w:t>
      </w:r>
      <w:r w:rsidRPr="00250BE8" w:rsidR="00542681">
        <w:t xml:space="preserve">is data collection </w:t>
      </w:r>
      <w:r w:rsidRPr="002335CD" w:rsidR="00A12E03">
        <w:t xml:space="preserve">does </w:t>
      </w:r>
      <w:r w:rsidRPr="002335CD" w:rsidR="000328B8">
        <w:t xml:space="preserve">not </w:t>
      </w:r>
      <w:r w:rsidRPr="002335CD" w:rsidR="00542681">
        <w:t xml:space="preserve">entail duplication. </w:t>
      </w:r>
      <w:r w:rsidRPr="002335CD" w:rsidR="008666C5">
        <w:t xml:space="preserve">The work to identify duplication </w:t>
      </w:r>
      <w:r w:rsidRPr="002335CD" w:rsidR="00BC2BEB">
        <w:t xml:space="preserve">showed </w:t>
      </w:r>
      <w:r w:rsidRPr="002335CD" w:rsidR="008666C5">
        <w:t>that this project</w:t>
      </w:r>
      <w:r w:rsidRPr="002335CD" w:rsidR="000328B8">
        <w:t xml:space="preserve"> would be </w:t>
      </w:r>
      <w:r w:rsidRPr="002335CD" w:rsidR="008666C5">
        <w:t>unique, especially as it</w:t>
      </w:r>
      <w:r w:rsidRPr="002335CD" w:rsidR="00F4565F">
        <w:t xml:space="preserve"> addresses th</w:t>
      </w:r>
      <w:r w:rsidRPr="002335CD" w:rsidR="008666C5">
        <w:t>e</w:t>
      </w:r>
      <w:r w:rsidRPr="002335CD" w:rsidR="00F4565F">
        <w:t xml:space="preserve"> specific concern regarding </w:t>
      </w:r>
      <w:r w:rsidRPr="002335CD" w:rsidR="008666C5">
        <w:t>self-report</w:t>
      </w:r>
      <w:r w:rsidRPr="002335CD" w:rsidR="00BC2BEB">
        <w:t xml:space="preserve">s of driving </w:t>
      </w:r>
      <w:r w:rsidRPr="002335CD" w:rsidR="008666C5">
        <w:t xml:space="preserve">behaviors in relation to </w:t>
      </w:r>
      <w:r w:rsidRPr="002335CD" w:rsidR="00F4565F">
        <w:t xml:space="preserve">motorcycles. </w:t>
      </w:r>
      <w:r w:rsidRPr="002335CD" w:rsidR="008666C5">
        <w:t xml:space="preserve">The lack of data on this topic </w:t>
      </w:r>
      <w:r w:rsidRPr="002335CD" w:rsidR="00BC2BEB">
        <w:t xml:space="preserve">produces </w:t>
      </w:r>
      <w:r w:rsidRPr="002335CD" w:rsidR="008666C5">
        <w:t xml:space="preserve">a knowledge gap in </w:t>
      </w:r>
      <w:r w:rsidRPr="002335CD" w:rsidR="00BC2BEB">
        <w:t xml:space="preserve">motorcycle </w:t>
      </w:r>
      <w:r w:rsidRPr="002335CD" w:rsidR="008666C5">
        <w:t xml:space="preserve">safety, </w:t>
      </w:r>
      <w:r w:rsidRPr="002335CD" w:rsidR="00BC2BEB">
        <w:t xml:space="preserve">which limits </w:t>
      </w:r>
      <w:r w:rsidRPr="002335CD" w:rsidR="008666C5">
        <w:t xml:space="preserve">the ability </w:t>
      </w:r>
      <w:r w:rsidRPr="002335CD" w:rsidR="00BC2BEB">
        <w:t xml:space="preserve">of NHTSA and stakeholders in highway traffic safety </w:t>
      </w:r>
      <w:r w:rsidRPr="002335CD" w:rsidR="008666C5">
        <w:t xml:space="preserve">to </w:t>
      </w:r>
      <w:r w:rsidRPr="002335CD" w:rsidR="00BC2BEB">
        <w:t xml:space="preserve">develop and implement </w:t>
      </w:r>
      <w:r w:rsidRPr="002335CD" w:rsidR="00BE72BB">
        <w:t xml:space="preserve">effective </w:t>
      </w:r>
      <w:r w:rsidRPr="002335CD" w:rsidR="00BC2BEB">
        <w:t>countermeasures</w:t>
      </w:r>
      <w:r w:rsidRPr="002335CD" w:rsidR="00542681">
        <w:t>.</w:t>
      </w:r>
    </w:p>
    <w:p w:rsidRPr="00EC5B02" w:rsidR="00C01F22" w:rsidP="00C842BF" w:rsidRDefault="008B7DD5" w14:paraId="657CDBE2" w14:textId="6E2B0085">
      <w:pPr>
        <w:pStyle w:val="ListParagraph"/>
        <w:numPr>
          <w:ilvl w:val="0"/>
          <w:numId w:val="40"/>
        </w:numPr>
        <w:autoSpaceDE w:val="0"/>
        <w:autoSpaceDN w:val="0"/>
        <w:adjustRightInd w:val="0"/>
        <w:spacing w:after="240" w:line="240" w:lineRule="auto"/>
        <w:rPr>
          <w:rStyle w:val="Heading1Char"/>
          <w:b w:val="0"/>
          <w:bCs w:val="0"/>
        </w:rPr>
      </w:pPr>
      <w:r w:rsidRPr="00EC5B02">
        <w:rPr>
          <w:rStyle w:val="Heading1Char"/>
        </w:rPr>
        <w:t xml:space="preserve">If the collection of information involves small businesses or other small entities, describe the methods used to </w:t>
      </w:r>
      <w:r w:rsidRPr="00653DC7">
        <w:rPr>
          <w:rStyle w:val="Heading1Char"/>
        </w:rPr>
        <w:t>minimize</w:t>
      </w:r>
      <w:r w:rsidRPr="00EC5B02">
        <w:rPr>
          <w:rStyle w:val="Heading1Char"/>
        </w:rPr>
        <w:t xml:space="preserve"> burden</w:t>
      </w:r>
      <w:bookmarkEnd w:id="13"/>
      <w:r w:rsidRPr="00EC5B02" w:rsidR="00C01F22">
        <w:rPr>
          <w:rStyle w:val="Heading1Char"/>
        </w:rPr>
        <w:t xml:space="preserve">. </w:t>
      </w:r>
    </w:p>
    <w:p w:rsidRPr="00250BE8" w:rsidR="00C01F22" w:rsidP="002335CD" w:rsidRDefault="002A1FFC" w14:paraId="020C5F39" w14:textId="7E57727B">
      <w:r w:rsidRPr="002335CD">
        <w:t>Questionnaire</w:t>
      </w:r>
      <w:r w:rsidRPr="002335CD" w:rsidR="006B0E7E">
        <w:t xml:space="preserve"> information for this study will only be collected from individuals. There is no burden on small b</w:t>
      </w:r>
      <w:r w:rsidRPr="002335CD" w:rsidR="00DA4709">
        <w:t>usinesses for th</w:t>
      </w:r>
      <w:r w:rsidRPr="00730DE6" w:rsidR="007E529A">
        <w:t>is</w:t>
      </w:r>
      <w:r w:rsidRPr="00730DE6" w:rsidR="00DA4709">
        <w:t xml:space="preserve"> </w:t>
      </w:r>
      <w:r w:rsidRPr="00730DE6" w:rsidR="00230D63">
        <w:t xml:space="preserve">collection of </w:t>
      </w:r>
      <w:r w:rsidRPr="00250BE8" w:rsidR="00DA4709">
        <w:t>information request.</w:t>
      </w:r>
    </w:p>
    <w:p w:rsidRPr="00EC5B02" w:rsidR="00C01F22" w:rsidP="00915510" w:rsidRDefault="0048641A" w14:paraId="35C531AD" w14:textId="2BF0E51C">
      <w:pPr>
        <w:pStyle w:val="ListParagraph"/>
        <w:numPr>
          <w:ilvl w:val="0"/>
          <w:numId w:val="40"/>
        </w:numPr>
        <w:autoSpaceDE w:val="0"/>
        <w:autoSpaceDN w:val="0"/>
        <w:adjustRightInd w:val="0"/>
        <w:spacing w:after="240" w:line="240" w:lineRule="auto"/>
      </w:pPr>
      <w:bookmarkStart w:name="_Toc6900682" w:id="15"/>
      <w:r w:rsidRPr="00EC5B02">
        <w:rPr>
          <w:rStyle w:val="Heading1Char"/>
        </w:rPr>
        <w:t>Describe the consequences to Federal program or policy activities if the collection is not collected or collected less frequently</w:t>
      </w:r>
      <w:bookmarkEnd w:id="15"/>
      <w:r w:rsidRPr="00EC5B02" w:rsidR="004F552B">
        <w:rPr>
          <w:rStyle w:val="Heading1Char"/>
        </w:rPr>
        <w:t>, as well as any technical or legal obstacles to reducing burden.</w:t>
      </w:r>
    </w:p>
    <w:p w:rsidR="00DF149A" w:rsidP="0028489D" w:rsidRDefault="006A6654" w14:paraId="690F7F01" w14:textId="56AAC7A2">
      <w:r w:rsidRPr="002335CD">
        <w:t>Understanding the factors that contribute to driver-related motorcycle accidents is essential to the sound development of programs aimed at increasing motorcycle awareness and safe driving behaviors in the presence of motorcycles. While research focused on driver attitudes toward and beliefs about motorcycles and motorcyclists has increased in recent years, much of it has relied on non-U</w:t>
      </w:r>
      <w:r w:rsidRPr="00730DE6" w:rsidR="004F552B">
        <w:t>.</w:t>
      </w:r>
      <w:r w:rsidRPr="00730DE6">
        <w:t>S</w:t>
      </w:r>
      <w:r w:rsidRPr="00250BE8" w:rsidR="004F552B">
        <w:t>.</w:t>
      </w:r>
      <w:r w:rsidRPr="00250BE8">
        <w:t xml:space="preserve"> populations making it unsuitable for guiding the development of programs intende</w:t>
      </w:r>
      <w:r w:rsidRPr="002335CD">
        <w:t xml:space="preserve">d to educate drivers </w:t>
      </w:r>
      <w:r w:rsidRPr="002335CD" w:rsidR="004F552B">
        <w:t>in the U</w:t>
      </w:r>
      <w:r w:rsidR="001765C9">
        <w:t>nited</w:t>
      </w:r>
      <w:r w:rsidR="00E97867">
        <w:t xml:space="preserve"> </w:t>
      </w:r>
      <w:r w:rsidRPr="002335CD" w:rsidR="004F552B">
        <w:t>S</w:t>
      </w:r>
      <w:r w:rsidR="001765C9">
        <w:t>tates</w:t>
      </w:r>
      <w:r w:rsidRPr="002335CD" w:rsidR="004F552B">
        <w:t xml:space="preserve"> </w:t>
      </w:r>
      <w:r w:rsidRPr="002335CD">
        <w:t xml:space="preserve">about safe driving practices or increase empathy and positive attitudes toward motorcycles and motorcyclists. Furthermore, research linking attitudes and beliefs to driver behavior is limited. The ability to develop approaches to driver education that increase empathy and positive attitudes toward motorcycles and motorcyclists that will promote drivers’ positive behavioral change requires </w:t>
      </w:r>
      <w:r w:rsidRPr="001A0EDB">
        <w:t>data that will support identifying correlations between attitudes, beliefs, and driver behavior when interacting with motorcycles on the road</w:t>
      </w:r>
      <w:r w:rsidRPr="002335CD">
        <w:t>.</w:t>
      </w:r>
      <w:bookmarkStart w:name="_Hlk73674389" w:id="16"/>
      <w:r w:rsidR="00542CF3">
        <w:t xml:space="preserve"> </w:t>
      </w:r>
      <w:r w:rsidRPr="002335CD" w:rsidR="00CD7489">
        <w:t xml:space="preserve">In the absence of this data collection, we will be less able to thoroughly assess </w:t>
      </w:r>
      <w:r w:rsidRPr="002335CD" w:rsidR="00F70D9A">
        <w:t>the extent of driver awareness and practices of safe driving behaviors towards motorcycles.</w:t>
      </w:r>
    </w:p>
    <w:p w:rsidRPr="005271A9" w:rsidR="00915510" w:rsidP="00915510" w:rsidRDefault="00915510" w14:paraId="21AC73D8" w14:textId="77777777">
      <w:pPr>
        <w:pStyle w:val="ListParagraph"/>
        <w:numPr>
          <w:ilvl w:val="0"/>
          <w:numId w:val="40"/>
        </w:numPr>
        <w:autoSpaceDE w:val="0"/>
        <w:autoSpaceDN w:val="0"/>
        <w:adjustRightInd w:val="0"/>
        <w:spacing w:after="0" w:line="240" w:lineRule="auto"/>
        <w:rPr>
          <w:b/>
        </w:rPr>
      </w:pPr>
      <w:r w:rsidRPr="005271A9">
        <w:rPr>
          <w:b/>
        </w:rPr>
        <w:t>Explain any special circumstances that would cause an information collection to be conducted in a manner:</w:t>
      </w:r>
    </w:p>
    <w:bookmarkEnd w:id="16"/>
    <w:p w:rsidRPr="005271A9" w:rsidR="00915510" w:rsidP="00915510" w:rsidRDefault="00915510" w14:paraId="391CA0A8" w14:textId="77777777">
      <w:pPr>
        <w:pStyle w:val="ListParagraph"/>
        <w:numPr>
          <w:ilvl w:val="1"/>
          <w:numId w:val="40"/>
        </w:numPr>
        <w:autoSpaceDE w:val="0"/>
        <w:autoSpaceDN w:val="0"/>
        <w:adjustRightInd w:val="0"/>
        <w:spacing w:after="0" w:line="240" w:lineRule="auto"/>
        <w:rPr>
          <w:b/>
        </w:rPr>
      </w:pPr>
      <w:r w:rsidRPr="005271A9">
        <w:rPr>
          <w:b/>
        </w:rPr>
        <w:t>requiring respondents to report information to the agency more often than quarterly;</w:t>
      </w:r>
    </w:p>
    <w:p w:rsidRPr="005271A9" w:rsidR="00915510" w:rsidP="00915510" w:rsidRDefault="00915510" w14:paraId="1A4C2BAB" w14:textId="77777777">
      <w:pPr>
        <w:pStyle w:val="ListParagraph"/>
        <w:numPr>
          <w:ilvl w:val="1"/>
          <w:numId w:val="40"/>
        </w:numPr>
        <w:autoSpaceDE w:val="0"/>
        <w:autoSpaceDN w:val="0"/>
        <w:adjustRightInd w:val="0"/>
        <w:spacing w:after="0" w:line="240" w:lineRule="auto"/>
        <w:rPr>
          <w:b/>
        </w:rPr>
      </w:pPr>
      <w:r w:rsidRPr="005271A9">
        <w:rPr>
          <w:b/>
        </w:rPr>
        <w:t>requiring respondents to prepare a written response to a collection of information in fewer than 30 days after receipt of it;</w:t>
      </w:r>
    </w:p>
    <w:p w:rsidRPr="005271A9" w:rsidR="00915510" w:rsidP="00915510" w:rsidRDefault="00915510" w14:paraId="77340267" w14:textId="77777777">
      <w:pPr>
        <w:pStyle w:val="ListParagraph"/>
        <w:numPr>
          <w:ilvl w:val="1"/>
          <w:numId w:val="40"/>
        </w:numPr>
        <w:autoSpaceDE w:val="0"/>
        <w:autoSpaceDN w:val="0"/>
        <w:adjustRightInd w:val="0"/>
        <w:spacing w:after="0" w:line="240" w:lineRule="auto"/>
        <w:rPr>
          <w:b/>
        </w:rPr>
      </w:pPr>
      <w:r w:rsidRPr="005271A9">
        <w:rPr>
          <w:b/>
        </w:rPr>
        <w:t>requiring respondents to submit more than an original and two copies of any document;</w:t>
      </w:r>
    </w:p>
    <w:p w:rsidRPr="005271A9" w:rsidR="00915510" w:rsidP="00915510" w:rsidRDefault="00915510" w14:paraId="214D2DF8" w14:textId="77777777">
      <w:pPr>
        <w:pStyle w:val="ListParagraph"/>
        <w:numPr>
          <w:ilvl w:val="1"/>
          <w:numId w:val="40"/>
        </w:numPr>
        <w:autoSpaceDE w:val="0"/>
        <w:autoSpaceDN w:val="0"/>
        <w:adjustRightInd w:val="0"/>
        <w:spacing w:after="0" w:line="240" w:lineRule="auto"/>
        <w:rPr>
          <w:b/>
        </w:rPr>
      </w:pPr>
      <w:r w:rsidRPr="005271A9">
        <w:rPr>
          <w:b/>
        </w:rPr>
        <w:t>requiring respondents to retain records, other than health, medical, government contract, grant-in-aid, or tax records, for more than three years;</w:t>
      </w:r>
    </w:p>
    <w:p w:rsidRPr="005271A9" w:rsidR="00915510" w:rsidP="00915510" w:rsidRDefault="00915510" w14:paraId="28E94302" w14:textId="77777777">
      <w:pPr>
        <w:pStyle w:val="ListParagraph"/>
        <w:numPr>
          <w:ilvl w:val="1"/>
          <w:numId w:val="40"/>
        </w:numPr>
        <w:autoSpaceDE w:val="0"/>
        <w:autoSpaceDN w:val="0"/>
        <w:adjustRightInd w:val="0"/>
        <w:spacing w:after="0" w:line="240" w:lineRule="auto"/>
        <w:rPr>
          <w:b/>
        </w:rPr>
      </w:pPr>
      <w:r w:rsidRPr="005271A9">
        <w:rPr>
          <w:b/>
        </w:rPr>
        <w:t>in connection with a statistical survey, that is not designed to produce valid and reliable results that can be generalized to the universe of study;</w:t>
      </w:r>
    </w:p>
    <w:p w:rsidRPr="005271A9" w:rsidR="00915510" w:rsidP="00915510" w:rsidRDefault="00915510" w14:paraId="17BC7B3F" w14:textId="77777777">
      <w:pPr>
        <w:pStyle w:val="ListParagraph"/>
        <w:numPr>
          <w:ilvl w:val="1"/>
          <w:numId w:val="40"/>
        </w:numPr>
        <w:autoSpaceDE w:val="0"/>
        <w:autoSpaceDN w:val="0"/>
        <w:adjustRightInd w:val="0"/>
        <w:spacing w:after="0" w:line="240" w:lineRule="auto"/>
        <w:rPr>
          <w:b/>
        </w:rPr>
      </w:pPr>
      <w:r w:rsidRPr="005271A9">
        <w:rPr>
          <w:b/>
        </w:rPr>
        <w:lastRenderedPageBreak/>
        <w:t>requiring the use of a statistical data classification that has not been reviewed and approved by OMB;</w:t>
      </w:r>
    </w:p>
    <w:p w:rsidRPr="005271A9" w:rsidR="00915510" w:rsidP="00915510" w:rsidRDefault="00915510" w14:paraId="34D0D95C" w14:textId="77777777">
      <w:pPr>
        <w:pStyle w:val="ListParagraph"/>
        <w:numPr>
          <w:ilvl w:val="1"/>
          <w:numId w:val="40"/>
        </w:numPr>
        <w:autoSpaceDE w:val="0"/>
        <w:autoSpaceDN w:val="0"/>
        <w:adjustRightInd w:val="0"/>
        <w:spacing w:after="0" w:line="240" w:lineRule="auto"/>
        <w:rPr>
          <w:b/>
        </w:rPr>
      </w:pPr>
      <w:r w:rsidRPr="005271A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915510" w:rsidP="00915510" w:rsidRDefault="00915510" w14:paraId="4B2F5E1C" w14:textId="77777777">
      <w:pPr>
        <w:pStyle w:val="ListParagraph"/>
        <w:numPr>
          <w:ilvl w:val="1"/>
          <w:numId w:val="40"/>
        </w:numPr>
        <w:autoSpaceDE w:val="0"/>
        <w:autoSpaceDN w:val="0"/>
        <w:adjustRightInd w:val="0"/>
        <w:spacing w:after="0" w:line="240" w:lineRule="auto"/>
        <w:rPr>
          <w:b/>
        </w:rPr>
      </w:pPr>
      <w:bookmarkStart w:name="_Hlk45117573" w:id="17"/>
      <w:r w:rsidRPr="005271A9">
        <w:rPr>
          <w:b/>
        </w:rPr>
        <w:t>requiring respondents to submit proprietary trade secrets, or other confidential information unless the agency can demonstrate that it has instituted procedures to protect the information's confidentiality to the extent permitted by law.</w:t>
      </w:r>
    </w:p>
    <w:bookmarkEnd w:id="17"/>
    <w:p w:rsidRPr="002335CD" w:rsidR="00C01F22" w:rsidP="00C842BF" w:rsidRDefault="0048641A" w14:paraId="7AA62612" w14:textId="3D15A815">
      <w:pPr>
        <w:spacing w:before="120"/>
      </w:pPr>
      <w:r w:rsidRPr="002335CD">
        <w:t>N</w:t>
      </w:r>
      <w:r w:rsidRPr="002335CD" w:rsidR="00C01F22">
        <w:t xml:space="preserve">o special circumstances </w:t>
      </w:r>
      <w:r w:rsidRPr="002335CD">
        <w:t>require</w:t>
      </w:r>
      <w:r w:rsidRPr="002335CD" w:rsidR="00C01F22">
        <w:t xml:space="preserve"> this collection to be conducted in a manner inconsistent with </w:t>
      </w:r>
      <w:r w:rsidRPr="0028489D" w:rsidR="00B37BF1">
        <w:rPr>
          <w:bCs/>
          <w:spacing w:val="15"/>
        </w:rPr>
        <w:t>5 CFR 1320.5(d)(2).</w:t>
      </w:r>
      <w:r w:rsidRPr="002335CD" w:rsidR="00C01F22">
        <w:t xml:space="preserve"> </w:t>
      </w:r>
    </w:p>
    <w:p w:rsidRPr="005271A9" w:rsidR="00915510" w:rsidP="00915510" w:rsidRDefault="00915510" w14:paraId="64255838" w14:textId="77777777">
      <w:pPr>
        <w:numPr>
          <w:ilvl w:val="0"/>
          <w:numId w:val="40"/>
        </w:numPr>
        <w:spacing w:before="240"/>
        <w:rPr>
          <w:b/>
        </w:rPr>
      </w:pPr>
      <w:bookmarkStart w:name="_Hlk51330779" w:id="18"/>
      <w:r w:rsidRPr="005271A9">
        <w:rPr>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 </w:t>
      </w:r>
    </w:p>
    <w:bookmarkEnd w:id="18"/>
    <w:p w:rsidRPr="002335CD" w:rsidR="00641082" w:rsidP="002335CD" w:rsidRDefault="00A8671C" w14:paraId="5E6B29AC" w14:textId="12C42D3F">
      <w:r>
        <w:t>NHTSA published a</w:t>
      </w:r>
      <w:r w:rsidRPr="002335CD" w:rsidR="00641082">
        <w:t xml:space="preserve"> 60-day Federal Register Notice, which notified the public of NHTSA’s intent to conduct this </w:t>
      </w:r>
      <w:r w:rsidRPr="002335CD" w:rsidR="00230D63">
        <w:t xml:space="preserve">collection of </w:t>
      </w:r>
      <w:r w:rsidRPr="00730DE6" w:rsidR="00641082">
        <w:t xml:space="preserve">information and provided a 60-day comment period, on </w:t>
      </w:r>
      <w:r w:rsidR="0095323B">
        <w:t xml:space="preserve">April 07, 2022 </w:t>
      </w:r>
      <w:r w:rsidRPr="0095323B" w:rsidR="00641082">
        <w:t xml:space="preserve">(Vol. </w:t>
      </w:r>
      <w:r w:rsidRPr="0095323B" w:rsidR="0095323B">
        <w:t>87</w:t>
      </w:r>
      <w:r w:rsidRPr="0095323B" w:rsidR="00641082">
        <w:t xml:space="preserve">, No. </w:t>
      </w:r>
      <w:r w:rsidRPr="0095323B" w:rsidR="0095323B">
        <w:t>67</w:t>
      </w:r>
      <w:r w:rsidRPr="0095323B" w:rsidR="00641082">
        <w:t xml:space="preserve">, Pages </w:t>
      </w:r>
      <w:r w:rsidR="007C740D">
        <w:t>20</w:t>
      </w:r>
      <w:r w:rsidRPr="0095323B" w:rsidR="0095323B">
        <w:t>501</w:t>
      </w:r>
      <w:r w:rsidR="0095323B">
        <w:t>-</w:t>
      </w:r>
      <w:r w:rsidR="007C740D">
        <w:t>2050</w:t>
      </w:r>
      <w:r w:rsidR="0095323B">
        <w:t>4</w:t>
      </w:r>
      <w:r w:rsidRPr="00730DE6" w:rsidR="00641082">
        <w:t xml:space="preserve">). </w:t>
      </w:r>
      <w:r w:rsidRPr="00211245" w:rsidR="00211245">
        <w:t xml:space="preserve">NHTSA received six comments and one letter from the National Association of Mutual Insurance Companies </w:t>
      </w:r>
      <w:r w:rsidR="00211245">
        <w:t>supportive of</w:t>
      </w:r>
      <w:r w:rsidRPr="00211245" w:rsidR="00211245">
        <w:t xml:space="preserve"> the proposed information collection. </w:t>
      </w:r>
      <w:r w:rsidR="00211245">
        <w:t xml:space="preserve">None of the comments necessitate a revision of the materials or protocol. Two individuals </w:t>
      </w:r>
      <w:r w:rsidRPr="00211245" w:rsidR="00211245">
        <w:t xml:space="preserve">provided </w:t>
      </w:r>
      <w:r w:rsidR="00211245">
        <w:t xml:space="preserve">supportive </w:t>
      </w:r>
      <w:r w:rsidRPr="00211245" w:rsidR="00211245">
        <w:t xml:space="preserve">comments of the information collection. A third commented that “… the most dangerous part about [riding a motorcycle] is other vehicle operators.” A fourth anonymous post was that “…many riders are most concerned about the use of additional ethenol [sic] in our gasoline” but the issue of gasoline is not addressed in the proposed information collection. A fifth comment was about training of automobile drivers and motorcycle operators </w:t>
      </w:r>
      <w:r w:rsidR="00211245">
        <w:t>and a</w:t>
      </w:r>
      <w:r w:rsidRPr="00211245" w:rsidR="00211245">
        <w:t xml:space="preserve"> sixth comment was that “…the greatest danger to a modern motorcyclist are [sic] the other motor vehicle (cars, trucks, SUVs) drivers on their cell phones.”</w:t>
      </w:r>
    </w:p>
    <w:p w:rsidRPr="002335CD" w:rsidR="00C01F22" w:rsidP="0061397B" w:rsidRDefault="00641082" w14:paraId="502A95F5" w14:textId="26CF9AF0">
      <w:pPr>
        <w:spacing w:after="240"/>
      </w:pPr>
      <w:r w:rsidRPr="002335CD">
        <w:t>A copy of a second, 30-day Federal Register Notice (</w:t>
      </w:r>
      <w:r w:rsidRPr="007C740D">
        <w:t xml:space="preserve">Vol. </w:t>
      </w:r>
      <w:r w:rsidRPr="007C740D" w:rsidR="007C740D">
        <w:t>87</w:t>
      </w:r>
      <w:r w:rsidRPr="007C740D">
        <w:t xml:space="preserve">, No. </w:t>
      </w:r>
      <w:r w:rsidRPr="007C740D" w:rsidR="007C740D">
        <w:t>123</w:t>
      </w:r>
      <w:r w:rsidRPr="007C740D">
        <w:t xml:space="preserve">, Pages </w:t>
      </w:r>
      <w:r w:rsidR="007C740D">
        <w:t>38452-38455</w:t>
      </w:r>
      <w:r w:rsidRPr="002335CD">
        <w:t xml:space="preserve">), which announced that this information collection request will be forwarded to OMB, was published on </w:t>
      </w:r>
      <w:r w:rsidR="007C740D">
        <w:t>June 28, 2022.</w:t>
      </w:r>
      <w:r w:rsidRPr="002335CD">
        <w:t xml:space="preserve">  </w:t>
      </w:r>
    </w:p>
    <w:p w:rsidRPr="00EC5B02" w:rsidR="00FD5514" w:rsidP="00915510" w:rsidRDefault="00641082" w14:paraId="64A255C4" w14:textId="271812D6">
      <w:pPr>
        <w:pStyle w:val="Heading1"/>
        <w:framePr w:wrap="auto" w:vAnchor="margin" w:yAlign="inline"/>
        <w:numPr>
          <w:ilvl w:val="0"/>
          <w:numId w:val="40"/>
        </w:numPr>
        <w:rPr>
          <w:rStyle w:val="Heading1Char"/>
          <w:b/>
          <w:bCs/>
        </w:rPr>
      </w:pPr>
      <w:bookmarkStart w:name="_Toc6900685" w:id="19"/>
      <w:r w:rsidRPr="00EC5B02">
        <w:rPr>
          <w:rStyle w:val="Heading1Char"/>
          <w:b/>
          <w:bCs/>
        </w:rPr>
        <w:lastRenderedPageBreak/>
        <w:t>Explain any decisions to provide any payment or gift to respondents, other than remuneration of contractors or grantees</w:t>
      </w:r>
      <w:bookmarkEnd w:id="19"/>
      <w:r w:rsidRPr="00EC5B02" w:rsidR="00C01F22">
        <w:rPr>
          <w:rStyle w:val="Heading1Char"/>
          <w:b/>
          <w:bCs/>
        </w:rPr>
        <w:t>.</w:t>
      </w:r>
    </w:p>
    <w:p w:rsidR="000517F3" w:rsidP="002335CD" w:rsidRDefault="00272D46" w14:paraId="0B968ECD" w14:textId="1511AC27">
      <w:pPr>
        <w:rPr>
          <w:color w:val="000000"/>
        </w:rPr>
      </w:pPr>
      <w:r w:rsidRPr="002335CD">
        <w:t>Because of the general decline in people’s willingness to take surveys in all modes, researchers are challenged with finding ways to increase response rates.</w:t>
      </w:r>
      <w:r w:rsidRPr="002335CD">
        <w:rPr>
          <w:rStyle w:val="FootnoteReference"/>
        </w:rPr>
        <w:footnoteReference w:id="7"/>
      </w:r>
      <w:r w:rsidRPr="002335CD">
        <w:t xml:space="preserve"> A lower response rate increases the risk of non-response </w:t>
      </w:r>
      <w:r w:rsidR="004269B2">
        <w:t>bias</w:t>
      </w:r>
      <w:r w:rsidRPr="002335CD">
        <w:t>, which occurs when sampled units who respond differ from those who do not respond in a way that impacts the survey’s estimates.</w:t>
      </w:r>
      <w:r w:rsidRPr="002335CD">
        <w:rPr>
          <w:rStyle w:val="FootnoteReference"/>
        </w:rPr>
        <w:footnoteReference w:id="8"/>
      </w:r>
      <w:r w:rsidRPr="002335CD">
        <w:t xml:space="preserve"> Consequently, a low response rate can lead to biased research findings despite selecting a well-representative sample. Offering a non</w:t>
      </w:r>
      <w:r w:rsidRPr="00730DE6">
        <w:t>-contingent incentive is one m</w:t>
      </w:r>
      <w:r w:rsidRPr="00250BE8">
        <w:t>ethod that researchers have used to improve survey response rates.</w:t>
      </w:r>
      <w:r w:rsidRPr="002335CD">
        <w:rPr>
          <w:rStyle w:val="FootnoteReference"/>
          <w:color w:val="000000"/>
        </w:rPr>
        <w:footnoteReference w:id="9"/>
      </w:r>
      <w:r w:rsidRPr="002335CD">
        <w:rPr>
          <w:color w:val="000000"/>
        </w:rPr>
        <w:t xml:space="preserve">  Ryu et al. (2006)</w:t>
      </w:r>
      <w:r w:rsidRPr="002335CD">
        <w:rPr>
          <w:rStyle w:val="FootnoteReference"/>
          <w:color w:val="000000"/>
        </w:rPr>
        <w:footnoteReference w:id="10"/>
      </w:r>
      <w:r w:rsidRPr="002335CD">
        <w:rPr>
          <w:color w:val="000000"/>
        </w:rPr>
        <w:t xml:space="preserve"> found that pre-paid monetary incentives were associated with higher rates of response to mail surveys. Millar and Dillman (2011)</w:t>
      </w:r>
      <w:r w:rsidRPr="002335CD">
        <w:rPr>
          <w:rStyle w:val="FootnoteReference"/>
          <w:color w:val="000000"/>
        </w:rPr>
        <w:footnoteReference w:id="11"/>
      </w:r>
      <w:r w:rsidRPr="002335CD">
        <w:rPr>
          <w:color w:val="000000"/>
        </w:rPr>
        <w:t xml:space="preserve"> found that mailing a pre-paid cash incentive induced response to a web survey, and Messer and Dillman (2011)</w:t>
      </w:r>
      <w:r w:rsidRPr="002335CD">
        <w:rPr>
          <w:rStyle w:val="FootnoteReference"/>
          <w:color w:val="000000"/>
        </w:rPr>
        <w:footnoteReference w:id="12"/>
      </w:r>
      <w:r w:rsidRPr="002335CD">
        <w:rPr>
          <w:color w:val="000000"/>
        </w:rPr>
        <w:t xml:space="preserve"> saw similar findings with both mail and web responses to a mixed mode survey in which some participants were contacted in both modes and others were contacted by mail only.</w:t>
      </w:r>
      <w:r w:rsidR="00130270">
        <w:rPr>
          <w:color w:val="000000"/>
        </w:rPr>
        <w:t xml:space="preserve"> </w:t>
      </w:r>
    </w:p>
    <w:p w:rsidRPr="002335CD" w:rsidR="00031D41" w:rsidP="002335CD" w:rsidRDefault="00272D46" w14:paraId="666BF0AE" w14:textId="0DF920C5">
      <w:pPr>
        <w:rPr>
          <w:color w:val="000000"/>
        </w:rPr>
      </w:pPr>
      <w:r w:rsidRPr="002335CD">
        <w:t>The methodology include</w:t>
      </w:r>
      <w:r w:rsidR="00130270">
        <w:t>s</w:t>
      </w:r>
      <w:r w:rsidRPr="002335CD">
        <w:t xml:space="preserve"> </w:t>
      </w:r>
      <w:r w:rsidRPr="002335CD" w:rsidR="00FB4165">
        <w:t>a</w:t>
      </w:r>
      <w:r w:rsidRPr="002335CD" w:rsidR="00DE6AA8">
        <w:t xml:space="preserve"> $</w:t>
      </w:r>
      <w:r w:rsidRPr="002335CD" w:rsidR="00FB4165">
        <w:t xml:space="preserve">1 </w:t>
      </w:r>
      <w:r w:rsidRPr="002335CD">
        <w:t xml:space="preserve">non-contingent </w:t>
      </w:r>
      <w:r w:rsidRPr="002335CD" w:rsidR="004B12DC">
        <w:t>incentive.</w:t>
      </w:r>
      <w:r w:rsidR="00A11737">
        <w:rPr>
          <w:rStyle w:val="FootnoteReference"/>
        </w:rPr>
        <w:footnoteReference w:id="13"/>
      </w:r>
      <w:r w:rsidRPr="002335CD" w:rsidR="004B12DC">
        <w:t xml:space="preserve"> </w:t>
      </w:r>
      <w:r w:rsidRPr="002335CD">
        <w:t>Based on research of social exchange theory, non-contingent incentives have been shown to increase response rates by engendering good will.</w:t>
      </w:r>
      <w:r w:rsidRPr="002335CD">
        <w:rPr>
          <w:rStyle w:val="FootnoteReference"/>
        </w:rPr>
        <w:footnoteReference w:id="14"/>
      </w:r>
      <w:r w:rsidRPr="002335CD">
        <w:t xml:space="preserve"> The </w:t>
      </w:r>
      <w:r w:rsidRPr="00730DE6">
        <w:t xml:space="preserve">norm of reciprocity anticipates that some people will feel more obligated </w:t>
      </w:r>
      <w:r w:rsidRPr="00250BE8">
        <w:t>to complete the survey—that is, to reciprocate the extra effort on the</w:t>
      </w:r>
      <w:r w:rsidRPr="002335CD">
        <w:t xml:space="preserve"> part of the researcher—than they otherwise would, leading to a higher response rate.</w:t>
      </w:r>
      <w:r w:rsidRPr="002335CD">
        <w:rPr>
          <w:rStyle w:val="FootnoteReference"/>
        </w:rPr>
        <w:footnoteReference w:id="15"/>
      </w:r>
      <w:r w:rsidRPr="002335CD">
        <w:t xml:space="preserve"> Thus, a</w:t>
      </w:r>
      <w:r w:rsidRPr="002335CD" w:rsidR="00E975A2">
        <w:t xml:space="preserve"> dollar bill will be included in </w:t>
      </w:r>
      <w:r w:rsidRPr="002335CD" w:rsidR="0066307D">
        <w:t xml:space="preserve">the </w:t>
      </w:r>
      <w:r w:rsidRPr="002335CD">
        <w:t>survey invitation letter</w:t>
      </w:r>
      <w:r w:rsidRPr="002335CD" w:rsidR="00E975A2">
        <w:t xml:space="preserve"> </w:t>
      </w:r>
      <w:r w:rsidRPr="002335CD">
        <w:t xml:space="preserve">(NHTSA Form 1578) </w:t>
      </w:r>
      <w:r w:rsidRPr="002335CD" w:rsidR="00E975A2">
        <w:t xml:space="preserve">as </w:t>
      </w:r>
      <w:r w:rsidRPr="002335CD" w:rsidR="00930EC3">
        <w:t>motivation</w:t>
      </w:r>
      <w:r w:rsidRPr="002335CD" w:rsidR="00E975A2">
        <w:t xml:space="preserve"> to complete the survey. </w:t>
      </w:r>
      <w:r w:rsidRPr="002335CD" w:rsidR="00D21F62">
        <w:t xml:space="preserve">This letter will be on NHTSA letterhead and describe the purpose of the study in a clear and relatable </w:t>
      </w:r>
      <w:r w:rsidRPr="002335CD" w:rsidR="00D21F62">
        <w:lastRenderedPageBreak/>
        <w:t xml:space="preserve">way.  </w:t>
      </w:r>
      <w:r w:rsidRPr="002335CD" w:rsidR="004B12DC">
        <w:t xml:space="preserve">Eligible respondents who complete the survey </w:t>
      </w:r>
      <w:r w:rsidRPr="002335CD">
        <w:t xml:space="preserve">will </w:t>
      </w:r>
      <w:r w:rsidRPr="002335CD" w:rsidR="00930EC3">
        <w:t>have the option to</w:t>
      </w:r>
      <w:r w:rsidRPr="002335CD" w:rsidR="004B12DC">
        <w:t xml:space="preserve"> receive</w:t>
      </w:r>
      <w:r w:rsidRPr="002335CD" w:rsidR="00FB4165">
        <w:t xml:space="preserve"> a</w:t>
      </w:r>
      <w:r w:rsidRPr="002335CD" w:rsidR="004B12DC">
        <w:t xml:space="preserve"> </w:t>
      </w:r>
      <w:r w:rsidRPr="002335CD" w:rsidR="00FB4165">
        <w:t>$</w:t>
      </w:r>
      <w:r w:rsidRPr="002335CD" w:rsidR="000B0469">
        <w:t xml:space="preserve">10 </w:t>
      </w:r>
      <w:r w:rsidRPr="002335CD" w:rsidR="005A2493">
        <w:t xml:space="preserve">cash </w:t>
      </w:r>
      <w:r w:rsidRPr="002335CD" w:rsidR="00FB4165">
        <w:t>post-</w:t>
      </w:r>
      <w:r w:rsidRPr="002335CD" w:rsidR="004B12DC">
        <w:t xml:space="preserve">survey </w:t>
      </w:r>
      <w:r w:rsidRPr="002335CD" w:rsidR="00FB4165">
        <w:t>incentive</w:t>
      </w:r>
      <w:r w:rsidRPr="002335CD" w:rsidR="00DE6AA8">
        <w:t xml:space="preserve">. </w:t>
      </w:r>
      <w:r w:rsidRPr="002335CD" w:rsidR="003D4A44">
        <w:rPr>
          <w:color w:val="000000"/>
        </w:rPr>
        <w:t xml:space="preserve">Our experience indicates that anything less than the proposed compensation would likely result in failure to </w:t>
      </w:r>
      <w:r w:rsidRPr="002335CD" w:rsidR="009023F8">
        <w:rPr>
          <w:color w:val="000000"/>
        </w:rPr>
        <w:t>survey</w:t>
      </w:r>
      <w:r w:rsidRPr="002335CD" w:rsidR="003D4A44">
        <w:rPr>
          <w:color w:val="000000"/>
        </w:rPr>
        <w:t xml:space="preserve"> enough participants to provide adequate statistical power. </w:t>
      </w:r>
      <w:bookmarkStart w:name="_Toc6900686" w:id="21"/>
      <w:r w:rsidRPr="002335CD" w:rsidR="00031D41">
        <w:rPr>
          <w:color w:val="000000"/>
        </w:rPr>
        <w:t>Recent studies by NHTSA (2127-0704, 2127-0645) have confirmed that this level of compensation is necessary to meet recruiting requirements.</w:t>
      </w:r>
      <w:r w:rsidRPr="002335CD" w:rsidR="00031D41">
        <w:rPr>
          <w:rStyle w:val="FootnoteReference"/>
          <w:color w:val="000000"/>
        </w:rPr>
        <w:footnoteReference w:id="16"/>
      </w:r>
      <w:r w:rsidRPr="002335CD" w:rsidR="00031D41">
        <w:rPr>
          <w:color w:val="000000"/>
          <w:vertAlign w:val="superscript"/>
        </w:rPr>
        <w:t>,</w:t>
      </w:r>
      <w:r w:rsidRPr="002335CD" w:rsidR="00031D41">
        <w:rPr>
          <w:rStyle w:val="FootnoteReference"/>
          <w:color w:val="000000"/>
        </w:rPr>
        <w:footnoteReference w:id="17"/>
      </w:r>
      <w:r w:rsidRPr="002335CD" w:rsidR="005A246F">
        <w:rPr>
          <w:color w:val="000000"/>
        </w:rPr>
        <w:t xml:space="preserve"> </w:t>
      </w:r>
    </w:p>
    <w:p w:rsidRPr="002335CD" w:rsidR="00665D62" w:rsidP="002335CD" w:rsidRDefault="002C669C" w14:paraId="1EBD01FB" w14:textId="52108280">
      <w:r w:rsidRPr="002335CD">
        <w:t>T</w:t>
      </w:r>
      <w:r w:rsidRPr="002335CD" w:rsidR="000E2119">
        <w:t>he survey literature</w:t>
      </w:r>
      <w:r w:rsidRPr="002335CD" w:rsidR="00015E0F">
        <w:rPr>
          <w:rStyle w:val="FootnoteReference"/>
          <w:color w:val="000000"/>
        </w:rPr>
        <w:footnoteReference w:id="18"/>
      </w:r>
      <w:r w:rsidRPr="002335CD" w:rsidR="005A246F">
        <w:rPr>
          <w:vertAlign w:val="superscript"/>
        </w:rPr>
        <w:t>,</w:t>
      </w:r>
      <w:r w:rsidRPr="002335CD" w:rsidR="00015E0F">
        <w:rPr>
          <w:rStyle w:val="FootnoteReference"/>
          <w:color w:val="000000"/>
        </w:rPr>
        <w:footnoteReference w:id="19"/>
      </w:r>
      <w:r w:rsidRPr="002335CD" w:rsidR="005A246F">
        <w:rPr>
          <w:vertAlign w:val="superscript"/>
        </w:rPr>
        <w:t>,</w:t>
      </w:r>
      <w:r w:rsidRPr="002335CD" w:rsidR="00015E0F">
        <w:rPr>
          <w:rStyle w:val="FootnoteReference"/>
          <w:color w:val="000000"/>
        </w:rPr>
        <w:footnoteReference w:id="20"/>
      </w:r>
      <w:r w:rsidRPr="002335CD" w:rsidR="000E2119">
        <w:t xml:space="preserve"> provides further evidence that a pre-incentive along with a substantial post-incentive provides the most efficient path towards a strong response rate for both mail and web survey modes. </w:t>
      </w:r>
      <w:r w:rsidRPr="002335CD" w:rsidR="00272D46">
        <w:t xml:space="preserve">This trend is likely to </w:t>
      </w:r>
      <w:r w:rsidRPr="002335CD" w:rsidR="000E2119">
        <w:t>hold true in a general population study of driver</w:t>
      </w:r>
      <w:r w:rsidR="00F27FE8">
        <w:t>s</w:t>
      </w:r>
      <w:r w:rsidRPr="002335CD" w:rsidR="000E2119">
        <w:t xml:space="preserve"> 18 years of age or older.</w:t>
      </w:r>
      <w:r w:rsidRPr="002335CD" w:rsidR="007C3331">
        <w:t xml:space="preserve"> </w:t>
      </w:r>
    </w:p>
    <w:p w:rsidRPr="00EC5B02" w:rsidR="00C01F22" w:rsidP="00915510" w:rsidRDefault="00641082" w14:paraId="306B1FA4" w14:textId="5FC29722">
      <w:pPr>
        <w:pStyle w:val="Heading1"/>
        <w:framePr w:wrap="auto" w:vAnchor="margin" w:yAlign="inline"/>
        <w:numPr>
          <w:ilvl w:val="0"/>
          <w:numId w:val="40"/>
        </w:numPr>
      </w:pPr>
      <w:r w:rsidRPr="00EC5B02">
        <w:rPr>
          <w:rStyle w:val="Heading1Char"/>
          <w:b/>
          <w:bCs/>
        </w:rPr>
        <w:t>Describe any assurance of confidentiality provided to respondents</w:t>
      </w:r>
      <w:bookmarkEnd w:id="21"/>
      <w:r w:rsidRPr="00EC5B02" w:rsidR="005331C3">
        <w:rPr>
          <w:rStyle w:val="Heading1Char"/>
          <w:b/>
          <w:bCs/>
        </w:rPr>
        <w:t xml:space="preserve"> and the basis for the assurance in statute, regulation, or agency policy. If the collection requires a system of records notice (SORN) or privacy impact assessment (PIA), those should be cited and described here.</w:t>
      </w:r>
    </w:p>
    <w:p w:rsidRPr="002335CD" w:rsidR="005C04FE" w:rsidP="002335CD" w:rsidRDefault="00915510" w14:paraId="18A9AF25" w14:textId="770F87A9">
      <w:r>
        <w:t xml:space="preserve">In a letter mailed to all sampled households, we </w:t>
      </w:r>
      <w:r w:rsidR="00DE3EF0">
        <w:t>inform the respondent</w:t>
      </w:r>
      <w:r>
        <w:t xml:space="preserve"> that the data will be kept private, </w:t>
      </w:r>
      <w:r w:rsidR="00DE3EF0">
        <w:t xml:space="preserve">are to be </w:t>
      </w:r>
      <w:r>
        <w:t>used only for statistical purposes, and</w:t>
      </w:r>
      <w:r w:rsidR="00DE3EF0">
        <w:t xml:space="preserve"> are </w:t>
      </w:r>
      <w:r>
        <w:t>protected to the full extent of the law.</w:t>
      </w:r>
      <w:r w:rsidRPr="002335CD" w:rsidR="00586D85">
        <w:t xml:space="preserve"> Surveys are self-administered and all respondents can stop taking the survey at any time. The household contact materials </w:t>
      </w:r>
      <w:r w:rsidRPr="002335CD" w:rsidR="00D21F62">
        <w:t xml:space="preserve">emphasize </w:t>
      </w:r>
      <w:r w:rsidRPr="002335CD" w:rsidR="00586D85">
        <w:t xml:space="preserve">the need for privacy and the protection of survey data. </w:t>
      </w:r>
      <w:r w:rsidRPr="002335CD" w:rsidR="0060045C">
        <w:t>The survey front matter includes a</w:t>
      </w:r>
      <w:r w:rsidR="00773492">
        <w:t xml:space="preserve"> </w:t>
      </w:r>
      <w:r w:rsidRPr="002335CD" w:rsidR="0060045C">
        <w:t>statement</w:t>
      </w:r>
      <w:r w:rsidR="00773492">
        <w:t xml:space="preserve"> affirming</w:t>
      </w:r>
      <w:r w:rsidRPr="002335CD" w:rsidR="0060045C">
        <w:t xml:space="preserve"> that no personally identifiable information</w:t>
      </w:r>
      <w:r w:rsidR="00F27FE8">
        <w:t xml:space="preserve"> (PII)</w:t>
      </w:r>
      <w:r w:rsidRPr="002335CD" w:rsidR="0060045C">
        <w:t xml:space="preserve"> will be published. </w:t>
      </w:r>
      <w:r w:rsidRPr="002335CD" w:rsidR="00095D88">
        <w:t>P</w:t>
      </w:r>
      <w:r w:rsidR="00F27FE8">
        <w:t>II</w:t>
      </w:r>
      <w:r w:rsidRPr="002335CD" w:rsidR="00095D88">
        <w:t xml:space="preserve"> will not be collected in the survey instrument and will not be made available to researchers. Specific information linking individuals to survey responses will not be included in any information viewed by researchers. </w:t>
      </w:r>
      <w:r w:rsidRPr="002335CD" w:rsidR="005C04FE">
        <w:t>All published results will provide only summary statistics that cannot be used to identify any individual or individual’s responses.</w:t>
      </w:r>
      <w:r w:rsidRPr="002335CD" w:rsidR="00D50DC6">
        <w:t xml:space="preserve"> Participation in the survey is voluntary.  There will not be any identifying information such as names, addresses, telephone numbers, or social security numbers in the database delivered to NHTSA.</w:t>
      </w:r>
    </w:p>
    <w:p w:rsidRPr="002335CD" w:rsidR="00586D85" w:rsidP="002335CD" w:rsidRDefault="00586D85" w14:paraId="56D9B79D" w14:textId="1DA4E800">
      <w:r w:rsidRPr="002335CD">
        <w:t xml:space="preserve">Access to the online survey would be controlled using a unique ID-protected access. Online surveys will be self-administered and only accessible for a designated period. If the participant </w:t>
      </w:r>
      <w:r w:rsidRPr="002335CD">
        <w:lastRenderedPageBreak/>
        <w:t xml:space="preserve">chooses to complete the mailed paper survey, again, the survey will be self-administered. Mailed paper surveys will be tagged with a unique ID code, known only to the researchers. The survey mailing will include a Business Reply Envelope (BRE), so that the participant can send back the survey without incurring mailing costs. The postal addresses of sample households will be kept separate from the data collected and </w:t>
      </w:r>
      <w:r w:rsidR="00D253E6">
        <w:t>will</w:t>
      </w:r>
      <w:r w:rsidRPr="002335CD" w:rsidR="00D253E6">
        <w:t xml:space="preserve"> </w:t>
      </w:r>
      <w:r w:rsidRPr="002335CD">
        <w:t>be stored in restricted folders on secure FedRAMP</w:t>
      </w:r>
      <w:r w:rsidRPr="002335CD">
        <w:rPr>
          <w:rStyle w:val="FootnoteReference"/>
        </w:rPr>
        <w:footnoteReference w:id="21"/>
      </w:r>
      <w:r w:rsidRPr="002335CD">
        <w:t xml:space="preserve"> compliant servers that are only accessible to study staff who need to access such information. </w:t>
      </w:r>
    </w:p>
    <w:p w:rsidRPr="002335CD" w:rsidR="00B666E3" w:rsidP="002335CD" w:rsidRDefault="00B666E3" w14:paraId="4EA98397" w14:textId="18171C78">
      <w:r w:rsidRPr="00730DE6">
        <w:t>A SORN has not been filed for this research as PII will not be retained by the government. A unique identifier (a system generated Master ID) will be linked with household address, not individuals. The survey response data and household address are held in separate files. While the contractor will access information by unique Master ID, the access will be limited. The PII (an address file) will be accessed four times to flag households</w:t>
      </w:r>
      <w:r w:rsidRPr="00250BE8">
        <w:t xml:space="preserve"> that respond to the survey to avoid sending them future reminders. The contractor will extract an electronic list of the unique ID codes from the response file and will merge the list with the address file before proce</w:t>
      </w:r>
      <w:r w:rsidRPr="002335CD">
        <w:t xml:space="preserve">ssing the mailing of the reminders to flag households who responded. After the merge, the electronic list of unique ID codes will be destroyed. Other than the mailings, the contractor only accesses the addresses in very limited circumstances, such as when a researcher needs to </w:t>
      </w:r>
      <w:r w:rsidRPr="002335CD" w:rsidR="00586D85">
        <w:t xml:space="preserve">ensure </w:t>
      </w:r>
      <w:r w:rsidRPr="002335CD">
        <w:t>the quality of the data.</w:t>
      </w:r>
    </w:p>
    <w:p w:rsidR="00586D85" w:rsidP="0028489D" w:rsidRDefault="00586D85" w14:paraId="575612CE" w14:textId="6CACD226">
      <w:r w:rsidRPr="002335CD">
        <w:t xml:space="preserve">This proposed collection is covered under the Privacy Impact Assessment “NHTSA Office of Behavioral Safety Research (OBSR) Research Studies,” which is available at </w:t>
      </w:r>
      <w:hyperlink w:history="1" r:id="rId11">
        <w:r w:rsidRPr="002335CD">
          <w:rPr>
            <w:rStyle w:val="Hyperlink"/>
          </w:rPr>
          <w:t>https://www.transportation.gov/individuals/privacy/nhtsa-office-behavioral-safety-research-obsr-research-studies</w:t>
        </w:r>
      </w:hyperlink>
      <w:r w:rsidRPr="002335CD">
        <w:t xml:space="preserve">. </w:t>
      </w:r>
      <w:r w:rsidR="00BB7CBB">
        <w:t>The</w:t>
      </w:r>
      <w:r w:rsidRPr="002335CD">
        <w:t xml:space="preserve"> OBSR conducts research studies on behaviors and attitudes in highway safety, focusing on drivers, passengers, pedestrians, and motorcyclists, and uses those studies to develop and refine countermeasures to deter unsafe behaviors and promote safe alternatives. To carry out these research studies, such as the one associated with this proposed collection,</w:t>
      </w:r>
      <w:r w:rsidRPr="00730DE6">
        <w:t xml:space="preserve"> OBSR contracts with universities and other research partners. This Privacy Impact Assessment was conducted because OBSR’s contractors collect, process, and maintain P</w:t>
      </w:r>
      <w:r w:rsidRPr="00250BE8">
        <w:t>II on members of the public on behalf of NHTSA</w:t>
      </w:r>
      <w:r w:rsidRPr="002335CD">
        <w:t xml:space="preserve"> as part of these studies.</w:t>
      </w:r>
    </w:p>
    <w:p w:rsidRPr="002335CD" w:rsidR="00E84091" w:rsidP="00211245" w:rsidRDefault="00E84091" w14:paraId="3D06E993" w14:textId="7DAE8009">
      <w:r>
        <w:t>A</w:t>
      </w:r>
      <w:r w:rsidRPr="00E84091">
        <w:t>n Institutional Review Board (IRB) has reviewed all instruments, informed consent materials, and procedures to ensure that the rights of individuals participating in the survey are safeguarded</w:t>
      </w:r>
      <w:r w:rsidR="00211245">
        <w:t xml:space="preserve"> and using the Department of Health and Human Services regulations found at 45 CFR 46.104(d)(2) determined that the research project is exempt from IRB oversight</w:t>
      </w:r>
      <w:r w:rsidRPr="00E84091">
        <w:t>.</w:t>
      </w:r>
    </w:p>
    <w:p w:rsidRPr="00EC5B02" w:rsidR="00D85C99" w:rsidP="00915510" w:rsidRDefault="005C04FE" w14:paraId="1DE76264" w14:textId="6D67810E">
      <w:pPr>
        <w:pStyle w:val="Heading1"/>
        <w:framePr w:wrap="auto" w:vAnchor="margin" w:yAlign="inline"/>
        <w:numPr>
          <w:ilvl w:val="0"/>
          <w:numId w:val="40"/>
        </w:numPr>
      </w:pPr>
      <w:bookmarkStart w:name="_Toc6900687" w:id="22"/>
      <w:r w:rsidRPr="00EC5B02">
        <w:rPr>
          <w:rStyle w:val="Heading1Char"/>
          <w:b/>
          <w:bCs/>
        </w:rPr>
        <w:t xml:space="preserve">Provide additional justification for any questions of a sensitive nature, such as sexual behavior or attitudes, religious beliefs, and other matters that are commonly </w:t>
      </w:r>
      <w:r w:rsidRPr="00EC5B02">
        <w:rPr>
          <w:rStyle w:val="Heading1Char"/>
          <w:b/>
          <w:bCs/>
        </w:rPr>
        <w:lastRenderedPageBreak/>
        <w:t>considered private</w:t>
      </w:r>
      <w:bookmarkEnd w:id="22"/>
      <w:r w:rsidRPr="00EC5B02" w:rsidR="00C01F22">
        <w:rPr>
          <w:rStyle w:val="Heading1Char"/>
          <w:b/>
          <w:bCs/>
        </w:rPr>
        <w:t xml:space="preserve">. </w:t>
      </w:r>
      <w:r w:rsidRPr="00EC5B02" w:rsidR="00D85C99">
        <w:rPr>
          <w:rStyle w:val="Heading1Cha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C5B02" w:rsidR="00D85C99">
        <w:t xml:space="preserve"> </w:t>
      </w:r>
    </w:p>
    <w:p w:rsidRPr="002335CD" w:rsidR="002E11D5" w:rsidP="002335CD" w:rsidRDefault="00F013CC" w14:paraId="1770F23F" w14:textId="09A4E06E">
      <w:r w:rsidRPr="002335CD">
        <w:t xml:space="preserve">The </w:t>
      </w:r>
      <w:r w:rsidRPr="002335CD" w:rsidR="00935CE1">
        <w:t xml:space="preserve">survey instrument </w:t>
      </w:r>
      <w:r w:rsidRPr="002335CD" w:rsidR="00FD065D">
        <w:t xml:space="preserve">includes </w:t>
      </w:r>
      <w:r w:rsidRPr="002335CD" w:rsidR="005327B3">
        <w:t>items about</w:t>
      </w:r>
      <w:r w:rsidRPr="002335CD" w:rsidR="00095D88">
        <w:t xml:space="preserve"> driving</w:t>
      </w:r>
      <w:r w:rsidRPr="002335CD">
        <w:t xml:space="preserve"> </w:t>
      </w:r>
      <w:r w:rsidRPr="002335CD" w:rsidR="00935CE1">
        <w:t xml:space="preserve">habits such as the type of vehicle driven and the frequency of driving </w:t>
      </w:r>
      <w:r w:rsidRPr="002335CD" w:rsidR="005327B3">
        <w:t>and</w:t>
      </w:r>
      <w:r w:rsidRPr="002335CD">
        <w:t xml:space="preserve"> </w:t>
      </w:r>
      <w:r w:rsidRPr="002335CD" w:rsidR="002912AB">
        <w:t xml:space="preserve">questions on </w:t>
      </w:r>
      <w:r w:rsidRPr="002335CD" w:rsidR="00935CE1">
        <w:t xml:space="preserve">knowledge, awareness, and </w:t>
      </w:r>
      <w:r w:rsidRPr="002335CD" w:rsidR="00095D88">
        <w:t>attitudes</w:t>
      </w:r>
      <w:r w:rsidRPr="002335CD" w:rsidR="00935CE1">
        <w:t xml:space="preserve"> </w:t>
      </w:r>
      <w:r w:rsidRPr="002335CD" w:rsidR="00095D88">
        <w:t xml:space="preserve">about </w:t>
      </w:r>
      <w:r w:rsidRPr="002335CD" w:rsidR="00935CE1">
        <w:t xml:space="preserve">other motor vehicles </w:t>
      </w:r>
      <w:r w:rsidR="00130270">
        <w:t>and road users</w:t>
      </w:r>
      <w:r w:rsidR="007D0F4F">
        <w:t>,</w:t>
      </w:r>
      <w:r w:rsidR="00130270">
        <w:t xml:space="preserve"> including </w:t>
      </w:r>
      <w:r w:rsidRPr="002335CD" w:rsidR="00095D88">
        <w:t>motorcyclists</w:t>
      </w:r>
      <w:r w:rsidRPr="002335CD" w:rsidR="005327B3">
        <w:t xml:space="preserve">. </w:t>
      </w:r>
      <w:r w:rsidRPr="002335CD" w:rsidR="00DE36DA">
        <w:t xml:space="preserve">However, this information is </w:t>
      </w:r>
      <w:r w:rsidRPr="002335CD" w:rsidR="00095D88">
        <w:t xml:space="preserve">not commonly considered private or sensitive, but it is </w:t>
      </w:r>
      <w:r w:rsidRPr="002335CD" w:rsidR="00DE36DA">
        <w:t>critical to understanding the safety problem</w:t>
      </w:r>
      <w:r w:rsidRPr="002335CD" w:rsidR="00930FC4">
        <w:t>, and it will only be used and reported in aggregate</w:t>
      </w:r>
      <w:r w:rsidRPr="002335CD" w:rsidR="00DE36DA">
        <w:t>.</w:t>
      </w:r>
      <w:r w:rsidRPr="002335CD" w:rsidR="00D85C99">
        <w:t xml:space="preserve"> The survey data collection does not contain additional questions related to matters that are commonly considered sensitive or private.</w:t>
      </w:r>
    </w:p>
    <w:p w:rsidRPr="00EC5B02" w:rsidR="00D85C99" w:rsidP="00915510" w:rsidRDefault="00C01F22" w14:paraId="211BB455" w14:textId="12866772">
      <w:pPr>
        <w:pStyle w:val="Heading1"/>
        <w:framePr w:wrap="auto" w:vAnchor="margin" w:yAlign="inline"/>
        <w:numPr>
          <w:ilvl w:val="0"/>
          <w:numId w:val="40"/>
        </w:numPr>
        <w:rPr>
          <w:rStyle w:val="Heading1Char"/>
          <w:b/>
          <w:bCs/>
        </w:rPr>
      </w:pPr>
      <w:bookmarkStart w:name="_Toc6900688" w:id="23"/>
      <w:r w:rsidRPr="00EC5B02">
        <w:rPr>
          <w:rStyle w:val="Heading1Char"/>
          <w:b/>
          <w:bCs/>
        </w:rPr>
        <w:t>Provide estimates of the hour burden of the collection of information on the respondents</w:t>
      </w:r>
      <w:bookmarkEnd w:id="23"/>
      <w:r w:rsidRPr="00EC5B02" w:rsidR="00D85C99">
        <w:rPr>
          <w:rStyle w:val="Heading1Char"/>
          <w:b/>
          <w:bCs/>
        </w:rPr>
        <w:t xml:space="preserve"> and estimates of the annualized labor cost to respondents associated with that hour burden.</w:t>
      </w:r>
    </w:p>
    <w:p w:rsidR="00C06C31" w:rsidP="00773492" w:rsidRDefault="00C06C31" w14:paraId="502CAB02" w14:textId="4B00B0D5">
      <w:bookmarkStart w:name="_Hlk79994794" w:id="24"/>
      <w:r w:rsidRPr="00C06C31">
        <w:t xml:space="preserve">NHTSA estimates the total burden of this information collection by estimating the burden to those who NHTSA contacts who respond and are eligible for participation (eligible respondents </w:t>
      </w:r>
      <w:r w:rsidR="00B36DAD">
        <w:t>that take the survey</w:t>
      </w:r>
      <w:r w:rsidRPr="00C06C31">
        <w:t>)</w:t>
      </w:r>
      <w:r w:rsidR="00B36DAD">
        <w:t xml:space="preserve"> and those contacted that </w:t>
      </w:r>
      <w:r w:rsidR="00F34A5D">
        <w:t xml:space="preserve">are not eligible or </w:t>
      </w:r>
      <w:r w:rsidR="00B36DAD">
        <w:t xml:space="preserve">do not choose to take the survey </w:t>
      </w:r>
      <w:r w:rsidRPr="00C06C31" w:rsidR="00B36DAD">
        <w:t>(non-responders)</w:t>
      </w:r>
      <w:r w:rsidRPr="00C06C31">
        <w:t xml:space="preserve">. </w:t>
      </w:r>
      <w:r w:rsidRPr="00BA134A">
        <w:t xml:space="preserve">The estimated time to contact </w:t>
      </w:r>
      <w:r>
        <w:t>33,460</w:t>
      </w:r>
      <w:r w:rsidRPr="00BA134A">
        <w:t xml:space="preserve"> potential participants (participants and non-responders) for the survey is one minute per person per contact attempt. Contact attempts will be made in five waves with fewer potential participants contacted in each subsequent wave</w:t>
      </w:r>
      <w:r>
        <w:t>; the sixth wave is to provide the contingent incentive to participants who submitted a completed response</w:t>
      </w:r>
      <w:r w:rsidRPr="00BA134A">
        <w:t xml:space="preserve">. </w:t>
      </w:r>
      <w:r>
        <w:t>The contacts (mailings) for each wave is summarized in Table 1.</w:t>
      </w:r>
    </w:p>
    <w:p w:rsidRPr="00C06C31" w:rsidR="00C06C31" w:rsidP="00C06C31" w:rsidRDefault="00C06C31" w14:paraId="032D8851" w14:textId="4234A62D">
      <w:pPr>
        <w:autoSpaceDE w:val="0"/>
        <w:autoSpaceDN w:val="0"/>
        <w:adjustRightInd w:val="0"/>
        <w:spacing w:after="0" w:line="480" w:lineRule="auto"/>
        <w:rPr>
          <w:bCs/>
          <w:i/>
          <w:color w:val="000000"/>
        </w:rPr>
      </w:pPr>
      <w:r w:rsidRPr="00C06C31">
        <w:rPr>
          <w:bCs/>
          <w:i/>
          <w:color w:val="000000"/>
        </w:rPr>
        <w:t xml:space="preserve">Table </w:t>
      </w:r>
      <w:r w:rsidRPr="00C06C31">
        <w:rPr>
          <w:bCs/>
          <w:i/>
          <w:color w:val="000000"/>
        </w:rPr>
        <w:fldChar w:fldCharType="begin"/>
      </w:r>
      <w:r w:rsidRPr="00C06C31">
        <w:rPr>
          <w:bCs/>
          <w:i/>
          <w:color w:val="000000"/>
        </w:rPr>
        <w:instrText xml:space="preserve"> SEQ Table \* ARABIC </w:instrText>
      </w:r>
      <w:r w:rsidRPr="00C06C31">
        <w:rPr>
          <w:bCs/>
          <w:i/>
          <w:color w:val="000000"/>
        </w:rPr>
        <w:fldChar w:fldCharType="separate"/>
      </w:r>
      <w:r w:rsidR="00DE3EF0">
        <w:rPr>
          <w:bCs/>
          <w:i/>
          <w:noProof/>
          <w:color w:val="000000"/>
        </w:rPr>
        <w:t>1</w:t>
      </w:r>
      <w:r w:rsidRPr="00C06C31">
        <w:rPr>
          <w:bCs/>
          <w:i/>
          <w:color w:val="000000"/>
        </w:rPr>
        <w:fldChar w:fldCharType="end"/>
      </w:r>
      <w:r w:rsidRPr="00C06C31">
        <w:rPr>
          <w:bCs/>
          <w:i/>
          <w:color w:val="000000"/>
        </w:rPr>
        <w:t xml:space="preserve"> NHTSA Form Number, Description, and Mailing Wave.</w:t>
      </w:r>
    </w:p>
    <w:tbl>
      <w:tblPr>
        <w:tblStyle w:val="TableGrid"/>
        <w:tblW w:w="5000" w:type="pct"/>
        <w:tblLook w:val="04A0" w:firstRow="1" w:lastRow="0" w:firstColumn="1" w:lastColumn="0" w:noHBand="0" w:noVBand="1"/>
      </w:tblPr>
      <w:tblGrid>
        <w:gridCol w:w="1975"/>
        <w:gridCol w:w="6119"/>
        <w:gridCol w:w="1256"/>
      </w:tblGrid>
      <w:tr w:rsidRPr="00EC5488" w:rsidR="00C06C31" w:rsidTr="008820AD" w14:paraId="273E1D10" w14:textId="77777777">
        <w:tc>
          <w:tcPr>
            <w:tcW w:w="1975" w:type="dxa"/>
          </w:tcPr>
          <w:p w:rsidRPr="008820AD" w:rsidR="00C06C31" w:rsidP="00BB7CBB" w:rsidRDefault="00C06C31" w14:paraId="68A471E4" w14:textId="77777777">
            <w:pPr>
              <w:spacing w:after="0"/>
              <w:jc w:val="center"/>
              <w:rPr>
                <w:b/>
                <w:bCs/>
                <w:szCs w:val="22"/>
              </w:rPr>
            </w:pPr>
            <w:r w:rsidRPr="008820AD">
              <w:rPr>
                <w:b/>
                <w:bCs/>
                <w:szCs w:val="22"/>
              </w:rPr>
              <w:t>NHTSA Form Number</w:t>
            </w:r>
          </w:p>
        </w:tc>
        <w:tc>
          <w:tcPr>
            <w:tcW w:w="6119" w:type="dxa"/>
          </w:tcPr>
          <w:p w:rsidRPr="008820AD" w:rsidR="00C06C31" w:rsidP="00BB7CBB" w:rsidRDefault="00C06C31" w14:paraId="07B233FD" w14:textId="77777777">
            <w:pPr>
              <w:spacing w:after="0"/>
              <w:jc w:val="center"/>
              <w:rPr>
                <w:b/>
                <w:bCs/>
                <w:szCs w:val="22"/>
              </w:rPr>
            </w:pPr>
            <w:r w:rsidRPr="008820AD">
              <w:rPr>
                <w:b/>
                <w:bCs/>
                <w:szCs w:val="22"/>
              </w:rPr>
              <w:t>Description</w:t>
            </w:r>
          </w:p>
        </w:tc>
        <w:tc>
          <w:tcPr>
            <w:tcW w:w="1256" w:type="dxa"/>
          </w:tcPr>
          <w:p w:rsidRPr="008820AD" w:rsidR="00C06C31" w:rsidP="00BB7CBB" w:rsidRDefault="00C06C31" w14:paraId="5A81238F" w14:textId="77777777">
            <w:pPr>
              <w:spacing w:after="0"/>
              <w:jc w:val="center"/>
              <w:rPr>
                <w:b/>
                <w:bCs/>
                <w:szCs w:val="22"/>
              </w:rPr>
            </w:pPr>
            <w:r w:rsidRPr="008820AD">
              <w:rPr>
                <w:b/>
                <w:bCs/>
                <w:szCs w:val="22"/>
              </w:rPr>
              <w:t>Mailing Wave</w:t>
            </w:r>
          </w:p>
        </w:tc>
      </w:tr>
      <w:tr w:rsidRPr="00EC5488" w:rsidR="00C06C31" w:rsidTr="008820AD" w14:paraId="3F8878B0" w14:textId="77777777">
        <w:tc>
          <w:tcPr>
            <w:tcW w:w="1975" w:type="dxa"/>
          </w:tcPr>
          <w:p w:rsidRPr="00C02AC5" w:rsidR="00C06C31" w:rsidP="00BB7CBB" w:rsidRDefault="00C06C31" w14:paraId="14EDA8CF" w14:textId="77777777">
            <w:pPr>
              <w:spacing w:after="0"/>
              <w:jc w:val="center"/>
              <w:rPr>
                <w:szCs w:val="22"/>
              </w:rPr>
            </w:pPr>
            <w:r w:rsidRPr="00C02AC5">
              <w:rPr>
                <w:szCs w:val="22"/>
              </w:rPr>
              <w:t>1577</w:t>
            </w:r>
          </w:p>
        </w:tc>
        <w:tc>
          <w:tcPr>
            <w:tcW w:w="6119" w:type="dxa"/>
          </w:tcPr>
          <w:p w:rsidRPr="00C02AC5" w:rsidR="00C06C31" w:rsidP="00BB7CBB" w:rsidRDefault="00C06C31" w14:paraId="7C71D74D" w14:textId="77777777">
            <w:pPr>
              <w:spacing w:after="0"/>
              <w:rPr>
                <w:szCs w:val="22"/>
              </w:rPr>
            </w:pPr>
            <w:r w:rsidRPr="00C02AC5">
              <w:rPr>
                <w:szCs w:val="22"/>
              </w:rPr>
              <w:t xml:space="preserve">Initial Postcard - </w:t>
            </w:r>
            <w:r>
              <w:t>s</w:t>
            </w:r>
            <w:r w:rsidRPr="00C02AC5">
              <w:rPr>
                <w:szCs w:val="22"/>
              </w:rPr>
              <w:t xml:space="preserve">erves </w:t>
            </w:r>
            <w:r>
              <w:t xml:space="preserve">as a </w:t>
            </w:r>
            <w:r w:rsidRPr="00C02AC5">
              <w:rPr>
                <w:szCs w:val="22"/>
              </w:rPr>
              <w:t>notice of selection, explains survey rationale.</w:t>
            </w:r>
          </w:p>
        </w:tc>
        <w:tc>
          <w:tcPr>
            <w:tcW w:w="1256" w:type="dxa"/>
          </w:tcPr>
          <w:p w:rsidRPr="00C02AC5" w:rsidR="00C06C31" w:rsidP="00BB7CBB" w:rsidRDefault="00C06C31" w14:paraId="365D9777" w14:textId="77777777">
            <w:pPr>
              <w:spacing w:after="0"/>
              <w:jc w:val="center"/>
              <w:rPr>
                <w:szCs w:val="22"/>
              </w:rPr>
            </w:pPr>
            <w:r w:rsidRPr="00C02AC5">
              <w:rPr>
                <w:szCs w:val="22"/>
              </w:rPr>
              <w:t>1</w:t>
            </w:r>
          </w:p>
        </w:tc>
      </w:tr>
      <w:tr w:rsidRPr="00EC5488" w:rsidR="00C06C31" w:rsidTr="008820AD" w14:paraId="67D9F7BB" w14:textId="77777777">
        <w:tc>
          <w:tcPr>
            <w:tcW w:w="1975" w:type="dxa"/>
          </w:tcPr>
          <w:p w:rsidRPr="00C02AC5" w:rsidR="00C06C31" w:rsidP="00BB7CBB" w:rsidRDefault="00C06C31" w14:paraId="718AC436" w14:textId="77777777">
            <w:pPr>
              <w:spacing w:after="0"/>
              <w:jc w:val="center"/>
              <w:rPr>
                <w:szCs w:val="22"/>
              </w:rPr>
            </w:pPr>
            <w:r w:rsidRPr="00C02AC5">
              <w:rPr>
                <w:szCs w:val="22"/>
              </w:rPr>
              <w:t>1578</w:t>
            </w:r>
          </w:p>
        </w:tc>
        <w:tc>
          <w:tcPr>
            <w:tcW w:w="6119" w:type="dxa"/>
          </w:tcPr>
          <w:p w:rsidRPr="00C02AC5" w:rsidR="00C06C31" w:rsidP="00BB7CBB" w:rsidRDefault="00C06C31" w14:paraId="7396485F" w14:textId="77777777">
            <w:pPr>
              <w:spacing w:after="0"/>
              <w:rPr>
                <w:szCs w:val="22"/>
              </w:rPr>
            </w:pPr>
            <w:r w:rsidRPr="00C02AC5">
              <w:rPr>
                <w:szCs w:val="22"/>
              </w:rPr>
              <w:t xml:space="preserve">Invitation Letter - </w:t>
            </w:r>
            <w:r>
              <w:t>p</w:t>
            </w:r>
            <w:r w:rsidRPr="00C02AC5">
              <w:rPr>
                <w:szCs w:val="22"/>
              </w:rPr>
              <w:t>rovides instructions</w:t>
            </w:r>
            <w:r>
              <w:t xml:space="preserve"> and hyperlink to</w:t>
            </w:r>
            <w:r w:rsidRPr="00C02AC5">
              <w:rPr>
                <w:szCs w:val="22"/>
              </w:rPr>
              <w:t xml:space="preserve"> </w:t>
            </w:r>
            <w:r>
              <w:t xml:space="preserve">the </w:t>
            </w:r>
            <w:r w:rsidRPr="00C02AC5">
              <w:rPr>
                <w:szCs w:val="22"/>
              </w:rPr>
              <w:t xml:space="preserve">online survey and </w:t>
            </w:r>
            <w:r>
              <w:t xml:space="preserve">includes the </w:t>
            </w:r>
            <w:r w:rsidRPr="00C02AC5">
              <w:rPr>
                <w:szCs w:val="22"/>
              </w:rPr>
              <w:t>$1 non-contingent incentive</w:t>
            </w:r>
          </w:p>
        </w:tc>
        <w:tc>
          <w:tcPr>
            <w:tcW w:w="1256" w:type="dxa"/>
          </w:tcPr>
          <w:p w:rsidRPr="00C02AC5" w:rsidR="00C06C31" w:rsidP="00BB7CBB" w:rsidRDefault="00C06C31" w14:paraId="67634EFC" w14:textId="77777777">
            <w:pPr>
              <w:spacing w:after="0"/>
              <w:jc w:val="center"/>
              <w:rPr>
                <w:szCs w:val="22"/>
              </w:rPr>
            </w:pPr>
            <w:r w:rsidRPr="00C02AC5">
              <w:rPr>
                <w:szCs w:val="22"/>
              </w:rPr>
              <w:t>2</w:t>
            </w:r>
          </w:p>
        </w:tc>
      </w:tr>
      <w:tr w:rsidRPr="00EC5488" w:rsidR="00C06C31" w:rsidTr="008820AD" w14:paraId="0081A2EE" w14:textId="77777777">
        <w:tc>
          <w:tcPr>
            <w:tcW w:w="1975" w:type="dxa"/>
          </w:tcPr>
          <w:p w:rsidRPr="00C02AC5" w:rsidR="00C06C31" w:rsidP="00BB7CBB" w:rsidRDefault="00C06C31" w14:paraId="3001A723" w14:textId="77777777">
            <w:pPr>
              <w:spacing w:after="0"/>
              <w:jc w:val="center"/>
              <w:rPr>
                <w:szCs w:val="22"/>
              </w:rPr>
            </w:pPr>
            <w:r w:rsidRPr="00C02AC5">
              <w:rPr>
                <w:szCs w:val="22"/>
              </w:rPr>
              <w:t>1579</w:t>
            </w:r>
          </w:p>
        </w:tc>
        <w:tc>
          <w:tcPr>
            <w:tcW w:w="6119" w:type="dxa"/>
          </w:tcPr>
          <w:p w:rsidRPr="00C02AC5" w:rsidR="00C06C31" w:rsidP="00BB7CBB" w:rsidRDefault="00C06C31" w14:paraId="4A75BA43" w14:textId="77777777">
            <w:pPr>
              <w:spacing w:after="0"/>
              <w:rPr>
                <w:szCs w:val="22"/>
              </w:rPr>
            </w:pPr>
            <w:r w:rsidRPr="00C02AC5">
              <w:rPr>
                <w:szCs w:val="22"/>
              </w:rPr>
              <w:t xml:space="preserve">Reminder Postcard #1 </w:t>
            </w:r>
            <w:r>
              <w:t>-</w:t>
            </w:r>
            <w:r w:rsidRPr="00C02AC5">
              <w:rPr>
                <w:szCs w:val="22"/>
              </w:rPr>
              <w:t xml:space="preserve"> </w:t>
            </w:r>
            <w:r>
              <w:t>the f</w:t>
            </w:r>
            <w:r w:rsidRPr="00C02AC5">
              <w:rPr>
                <w:szCs w:val="22"/>
              </w:rPr>
              <w:t xml:space="preserve">irst reminder, includes instructions </w:t>
            </w:r>
            <w:r>
              <w:t xml:space="preserve">and hyperlink to the </w:t>
            </w:r>
            <w:r w:rsidRPr="00C02AC5">
              <w:rPr>
                <w:szCs w:val="22"/>
              </w:rPr>
              <w:t>online survey</w:t>
            </w:r>
          </w:p>
        </w:tc>
        <w:tc>
          <w:tcPr>
            <w:tcW w:w="1256" w:type="dxa"/>
          </w:tcPr>
          <w:p w:rsidRPr="00C02AC5" w:rsidR="00C06C31" w:rsidP="00BB7CBB" w:rsidRDefault="00C06C31" w14:paraId="2177804C" w14:textId="77777777">
            <w:pPr>
              <w:spacing w:after="0"/>
              <w:jc w:val="center"/>
              <w:rPr>
                <w:szCs w:val="22"/>
              </w:rPr>
            </w:pPr>
            <w:r w:rsidRPr="00C02AC5">
              <w:rPr>
                <w:szCs w:val="22"/>
              </w:rPr>
              <w:t>3</w:t>
            </w:r>
          </w:p>
        </w:tc>
      </w:tr>
      <w:tr w:rsidRPr="00EC5488" w:rsidR="00C06C31" w:rsidTr="008820AD" w14:paraId="44A8AA1C" w14:textId="77777777">
        <w:tc>
          <w:tcPr>
            <w:tcW w:w="1975" w:type="dxa"/>
          </w:tcPr>
          <w:p w:rsidRPr="00C02AC5" w:rsidR="00C06C31" w:rsidP="00BB7CBB" w:rsidRDefault="00C06C31" w14:paraId="0854243C" w14:textId="77777777">
            <w:pPr>
              <w:spacing w:after="0"/>
              <w:jc w:val="center"/>
              <w:rPr>
                <w:szCs w:val="22"/>
              </w:rPr>
            </w:pPr>
            <w:r w:rsidRPr="00C02AC5">
              <w:rPr>
                <w:szCs w:val="22"/>
              </w:rPr>
              <w:t>1580</w:t>
            </w:r>
          </w:p>
        </w:tc>
        <w:tc>
          <w:tcPr>
            <w:tcW w:w="6119" w:type="dxa"/>
          </w:tcPr>
          <w:p w:rsidRPr="00C02AC5" w:rsidR="00C06C31" w:rsidP="00BB7CBB" w:rsidRDefault="00C06C31" w14:paraId="1EFEC5E0" w14:textId="77777777">
            <w:pPr>
              <w:spacing w:after="0"/>
              <w:rPr>
                <w:szCs w:val="22"/>
              </w:rPr>
            </w:pPr>
            <w:r w:rsidRPr="00C02AC5">
              <w:rPr>
                <w:szCs w:val="22"/>
              </w:rPr>
              <w:t xml:space="preserve">Reminder Letter #1 </w:t>
            </w:r>
            <w:r>
              <w:t>–</w:t>
            </w:r>
            <w:r w:rsidRPr="00C02AC5">
              <w:rPr>
                <w:szCs w:val="22"/>
              </w:rPr>
              <w:t xml:space="preserve"> </w:t>
            </w:r>
            <w:r>
              <w:t>the s</w:t>
            </w:r>
            <w:r w:rsidRPr="00C02AC5">
              <w:rPr>
                <w:szCs w:val="22"/>
              </w:rPr>
              <w:t>econd reminder</w:t>
            </w:r>
            <w:r>
              <w:t xml:space="preserve"> with the paper survey</w:t>
            </w:r>
            <w:r w:rsidRPr="00C02AC5">
              <w:rPr>
                <w:szCs w:val="22"/>
              </w:rPr>
              <w:t xml:space="preserve">, prepaid return envelope, PIN, and hyperlink to </w:t>
            </w:r>
            <w:r>
              <w:t>the online</w:t>
            </w:r>
            <w:r w:rsidRPr="00C02AC5">
              <w:rPr>
                <w:szCs w:val="22"/>
              </w:rPr>
              <w:t xml:space="preserve"> survey</w:t>
            </w:r>
          </w:p>
        </w:tc>
        <w:tc>
          <w:tcPr>
            <w:tcW w:w="1256" w:type="dxa"/>
          </w:tcPr>
          <w:p w:rsidRPr="00C02AC5" w:rsidR="00C06C31" w:rsidP="00BB7CBB" w:rsidRDefault="00C06C31" w14:paraId="2EF9EA92" w14:textId="77777777">
            <w:pPr>
              <w:spacing w:after="0"/>
              <w:jc w:val="center"/>
              <w:rPr>
                <w:szCs w:val="22"/>
              </w:rPr>
            </w:pPr>
            <w:r w:rsidRPr="00C02AC5">
              <w:rPr>
                <w:szCs w:val="22"/>
              </w:rPr>
              <w:t>4</w:t>
            </w:r>
          </w:p>
        </w:tc>
      </w:tr>
      <w:tr w:rsidRPr="00EC5488" w:rsidR="00C06C31" w:rsidTr="008820AD" w14:paraId="032F1684" w14:textId="77777777">
        <w:tc>
          <w:tcPr>
            <w:tcW w:w="1975" w:type="dxa"/>
          </w:tcPr>
          <w:p w:rsidRPr="00C02AC5" w:rsidR="00C06C31" w:rsidP="00BB7CBB" w:rsidRDefault="00C06C31" w14:paraId="1592C5CF" w14:textId="77777777">
            <w:pPr>
              <w:spacing w:after="0"/>
              <w:jc w:val="center"/>
              <w:rPr>
                <w:szCs w:val="22"/>
              </w:rPr>
            </w:pPr>
            <w:r w:rsidRPr="00C02AC5">
              <w:rPr>
                <w:szCs w:val="22"/>
              </w:rPr>
              <w:t>1581</w:t>
            </w:r>
          </w:p>
        </w:tc>
        <w:tc>
          <w:tcPr>
            <w:tcW w:w="6119" w:type="dxa"/>
          </w:tcPr>
          <w:p w:rsidRPr="00C02AC5" w:rsidR="00C06C31" w:rsidP="00BB7CBB" w:rsidRDefault="00C06C31" w14:paraId="3ABB58E3" w14:textId="77777777">
            <w:pPr>
              <w:spacing w:after="0"/>
              <w:rPr>
                <w:szCs w:val="22"/>
              </w:rPr>
            </w:pPr>
            <w:r w:rsidRPr="00C02AC5">
              <w:rPr>
                <w:szCs w:val="22"/>
              </w:rPr>
              <w:t xml:space="preserve">Reminder Postcard #2 - </w:t>
            </w:r>
            <w:r>
              <w:t>l</w:t>
            </w:r>
            <w:r w:rsidRPr="00C02AC5">
              <w:rPr>
                <w:szCs w:val="22"/>
              </w:rPr>
              <w:t>ast reminder</w:t>
            </w:r>
            <w:r>
              <w:t>, includes hyperlink to the online survey</w:t>
            </w:r>
          </w:p>
        </w:tc>
        <w:tc>
          <w:tcPr>
            <w:tcW w:w="1256" w:type="dxa"/>
          </w:tcPr>
          <w:p w:rsidRPr="00C02AC5" w:rsidR="00C06C31" w:rsidP="00BB7CBB" w:rsidRDefault="00C06C31" w14:paraId="404DC944" w14:textId="77777777">
            <w:pPr>
              <w:spacing w:after="0"/>
              <w:jc w:val="center"/>
              <w:rPr>
                <w:szCs w:val="22"/>
              </w:rPr>
            </w:pPr>
            <w:r w:rsidRPr="00C02AC5">
              <w:rPr>
                <w:szCs w:val="22"/>
              </w:rPr>
              <w:t>5</w:t>
            </w:r>
          </w:p>
        </w:tc>
      </w:tr>
      <w:tr w:rsidRPr="00EC5488" w:rsidR="00C06C31" w:rsidTr="008820AD" w14:paraId="53C1A1CA" w14:textId="77777777">
        <w:tc>
          <w:tcPr>
            <w:tcW w:w="1975" w:type="dxa"/>
          </w:tcPr>
          <w:p w:rsidRPr="00C02AC5" w:rsidR="00C06C31" w:rsidP="00BB7CBB" w:rsidRDefault="00C06C31" w14:paraId="407F6D24" w14:textId="77777777">
            <w:pPr>
              <w:spacing w:after="0"/>
              <w:jc w:val="center"/>
              <w:rPr>
                <w:szCs w:val="22"/>
              </w:rPr>
            </w:pPr>
            <w:r w:rsidRPr="00C02AC5">
              <w:rPr>
                <w:szCs w:val="22"/>
              </w:rPr>
              <w:t>1582</w:t>
            </w:r>
          </w:p>
        </w:tc>
        <w:tc>
          <w:tcPr>
            <w:tcW w:w="6119" w:type="dxa"/>
          </w:tcPr>
          <w:p w:rsidRPr="00C02AC5" w:rsidR="00C06C31" w:rsidP="00BB7CBB" w:rsidRDefault="00C06C31" w14:paraId="738AD7D7" w14:textId="77777777">
            <w:pPr>
              <w:spacing w:after="0"/>
              <w:rPr>
                <w:szCs w:val="22"/>
              </w:rPr>
            </w:pPr>
            <w:r w:rsidRPr="00C02AC5">
              <w:rPr>
                <w:szCs w:val="22"/>
              </w:rPr>
              <w:t xml:space="preserve">Questionnaire </w:t>
            </w:r>
            <w:r>
              <w:t xml:space="preserve">- the </w:t>
            </w:r>
            <w:r w:rsidRPr="00C02AC5">
              <w:rPr>
                <w:szCs w:val="22"/>
              </w:rPr>
              <w:t xml:space="preserve">online </w:t>
            </w:r>
            <w:r>
              <w:t xml:space="preserve">version, provided </w:t>
            </w:r>
            <w:r w:rsidRPr="00C02AC5">
              <w:rPr>
                <w:szCs w:val="22"/>
              </w:rPr>
              <w:t>on a secure website</w:t>
            </w:r>
          </w:p>
        </w:tc>
        <w:tc>
          <w:tcPr>
            <w:tcW w:w="1256" w:type="dxa"/>
          </w:tcPr>
          <w:p w:rsidRPr="00C02AC5" w:rsidR="00C06C31" w:rsidP="00BB7CBB" w:rsidRDefault="00C06C31" w14:paraId="30875B2D" w14:textId="77777777">
            <w:pPr>
              <w:spacing w:after="0"/>
              <w:jc w:val="center"/>
              <w:rPr>
                <w:szCs w:val="22"/>
              </w:rPr>
            </w:pPr>
            <w:r>
              <w:t>2, 3, 4, 5</w:t>
            </w:r>
          </w:p>
        </w:tc>
      </w:tr>
      <w:tr w:rsidRPr="00EC5488" w:rsidR="00C06C31" w:rsidTr="008820AD" w14:paraId="0C758A52" w14:textId="77777777">
        <w:tc>
          <w:tcPr>
            <w:tcW w:w="1975" w:type="dxa"/>
          </w:tcPr>
          <w:p w:rsidRPr="00C02AC5" w:rsidR="00C06C31" w:rsidP="00BB7CBB" w:rsidRDefault="00C06C31" w14:paraId="4668B76C" w14:textId="77777777">
            <w:pPr>
              <w:spacing w:after="0"/>
              <w:jc w:val="center"/>
              <w:rPr>
                <w:szCs w:val="22"/>
              </w:rPr>
            </w:pPr>
            <w:r w:rsidRPr="00C02AC5">
              <w:rPr>
                <w:szCs w:val="22"/>
              </w:rPr>
              <w:t>1583</w:t>
            </w:r>
          </w:p>
        </w:tc>
        <w:tc>
          <w:tcPr>
            <w:tcW w:w="6119" w:type="dxa"/>
          </w:tcPr>
          <w:p w:rsidRPr="00C02AC5" w:rsidR="00C06C31" w:rsidP="00BB7CBB" w:rsidRDefault="00C06C31" w14:paraId="3A51796F" w14:textId="77777777">
            <w:pPr>
              <w:spacing w:after="0"/>
              <w:rPr>
                <w:szCs w:val="22"/>
              </w:rPr>
            </w:pPr>
            <w:r w:rsidRPr="00C02AC5">
              <w:rPr>
                <w:szCs w:val="22"/>
              </w:rPr>
              <w:t xml:space="preserve">Questionnaire </w:t>
            </w:r>
            <w:r>
              <w:t xml:space="preserve">– the </w:t>
            </w:r>
            <w:r w:rsidRPr="00C02AC5">
              <w:rPr>
                <w:szCs w:val="22"/>
              </w:rPr>
              <w:t xml:space="preserve">paper </w:t>
            </w:r>
            <w:r>
              <w:t>version, for responders not using the online questionnaire</w:t>
            </w:r>
          </w:p>
        </w:tc>
        <w:tc>
          <w:tcPr>
            <w:tcW w:w="1256" w:type="dxa"/>
          </w:tcPr>
          <w:p w:rsidRPr="00C02AC5" w:rsidR="00C06C31" w:rsidP="00BB7CBB" w:rsidRDefault="00C06C31" w14:paraId="62AC70F0" w14:textId="77777777">
            <w:pPr>
              <w:spacing w:after="0"/>
              <w:jc w:val="center"/>
              <w:rPr>
                <w:szCs w:val="22"/>
              </w:rPr>
            </w:pPr>
            <w:r w:rsidRPr="00C02AC5">
              <w:rPr>
                <w:szCs w:val="22"/>
              </w:rPr>
              <w:t>4</w:t>
            </w:r>
          </w:p>
        </w:tc>
      </w:tr>
      <w:tr w:rsidRPr="00EC5488" w:rsidR="00C06C31" w:rsidTr="008820AD" w14:paraId="1574C82C" w14:textId="77777777">
        <w:tc>
          <w:tcPr>
            <w:tcW w:w="1975" w:type="dxa"/>
          </w:tcPr>
          <w:p w:rsidRPr="00C02AC5" w:rsidR="00C06C31" w:rsidP="00BB7CBB" w:rsidRDefault="00C06C31" w14:paraId="14482B2E" w14:textId="77777777">
            <w:pPr>
              <w:spacing w:after="0"/>
              <w:jc w:val="center"/>
              <w:rPr>
                <w:szCs w:val="22"/>
              </w:rPr>
            </w:pPr>
            <w:r w:rsidRPr="00C02AC5">
              <w:rPr>
                <w:szCs w:val="22"/>
              </w:rPr>
              <w:lastRenderedPageBreak/>
              <w:t>1588</w:t>
            </w:r>
          </w:p>
        </w:tc>
        <w:tc>
          <w:tcPr>
            <w:tcW w:w="6119" w:type="dxa"/>
          </w:tcPr>
          <w:p w:rsidRPr="00C02AC5" w:rsidR="00C06C31" w:rsidP="00BB7CBB" w:rsidRDefault="00C06C31" w14:paraId="2FAD50D0" w14:textId="77777777">
            <w:pPr>
              <w:spacing w:after="0"/>
              <w:rPr>
                <w:szCs w:val="22"/>
              </w:rPr>
            </w:pPr>
            <w:r w:rsidRPr="00C02AC5">
              <w:rPr>
                <w:szCs w:val="22"/>
              </w:rPr>
              <w:t xml:space="preserve">Thank You Letter </w:t>
            </w:r>
            <w:r>
              <w:t>–</w:t>
            </w:r>
            <w:r w:rsidRPr="00C02AC5">
              <w:rPr>
                <w:szCs w:val="22"/>
              </w:rPr>
              <w:t xml:space="preserve"> </w:t>
            </w:r>
            <w:r>
              <w:t xml:space="preserve">includes the </w:t>
            </w:r>
            <w:r w:rsidRPr="00C02AC5">
              <w:rPr>
                <w:szCs w:val="22"/>
              </w:rPr>
              <w:t>contingent incentive</w:t>
            </w:r>
          </w:p>
        </w:tc>
        <w:tc>
          <w:tcPr>
            <w:tcW w:w="1256" w:type="dxa"/>
          </w:tcPr>
          <w:p w:rsidRPr="00C02AC5" w:rsidR="00C06C31" w:rsidP="00BB7CBB" w:rsidRDefault="00C06C31" w14:paraId="270211E2" w14:textId="77777777">
            <w:pPr>
              <w:spacing w:after="0"/>
              <w:jc w:val="center"/>
              <w:rPr>
                <w:szCs w:val="22"/>
              </w:rPr>
            </w:pPr>
            <w:r w:rsidRPr="00C02AC5">
              <w:rPr>
                <w:szCs w:val="22"/>
              </w:rPr>
              <w:t>6</w:t>
            </w:r>
          </w:p>
        </w:tc>
      </w:tr>
    </w:tbl>
    <w:p w:rsidRPr="00BB7CBB" w:rsidR="00BB7CBB" w:rsidP="00BB7CBB" w:rsidRDefault="00BB7CBB" w14:paraId="05EF466E" w14:textId="77777777"/>
    <w:p w:rsidR="007C6530" w:rsidP="006E3408" w:rsidRDefault="00D828FF" w14:paraId="42F3EDC2" w14:textId="7E80C124">
      <w:r w:rsidRPr="00BB7CBB">
        <w:t xml:space="preserve">Table 2 </w:t>
      </w:r>
      <w:r w:rsidR="004253C6">
        <w:t>shows</w:t>
      </w:r>
      <w:r w:rsidRPr="00BB7CBB">
        <w:t xml:space="preserve"> the estimated burden </w:t>
      </w:r>
      <w:r w:rsidR="004253C6">
        <w:t xml:space="preserve">for each wave and </w:t>
      </w:r>
      <w:r w:rsidR="0030321B">
        <w:t xml:space="preserve">by </w:t>
      </w:r>
      <w:r w:rsidR="004253C6">
        <w:t xml:space="preserve">type of </w:t>
      </w:r>
      <w:r w:rsidRPr="00BB7CBB">
        <w:t xml:space="preserve">participation (non-respondent, eligible, and ineligible). </w:t>
      </w:r>
      <w:r w:rsidR="00AB7E5B">
        <w:t>In a mass mailing u</w:t>
      </w:r>
      <w:r w:rsidRPr="0030321B" w:rsidR="0030321B">
        <w:t>sing USPS DSF</w:t>
      </w:r>
      <w:r w:rsidR="00AB7E5B">
        <w:t xml:space="preserve">, </w:t>
      </w:r>
      <w:r w:rsidRPr="00730DE6" w:rsidR="00AB7E5B">
        <w:t xml:space="preserve">NHTSA </w:t>
      </w:r>
      <w:r w:rsidRPr="002335CD" w:rsidR="00AB7E5B">
        <w:t xml:space="preserve">will contact 33,460 </w:t>
      </w:r>
      <w:r w:rsidR="00AB7E5B">
        <w:t xml:space="preserve">households, resulting in an expected </w:t>
      </w:r>
      <w:r w:rsidRPr="0030321B" w:rsidR="00AB7E5B">
        <w:t>3,108 willing participants</w:t>
      </w:r>
      <w:r w:rsidR="00AB7E5B">
        <w:t xml:space="preserve"> out </w:t>
      </w:r>
      <w:r w:rsidRPr="0030321B" w:rsidR="00AB7E5B">
        <w:t>of which 2,486 are expected to be eligible</w:t>
      </w:r>
      <w:r w:rsidRPr="002335CD" w:rsidR="00AB7E5B">
        <w:t xml:space="preserve">. </w:t>
      </w:r>
      <w:r w:rsidRPr="0030321B" w:rsidR="00AB7E5B">
        <w:t xml:space="preserve">(An ineligible responder </w:t>
      </w:r>
      <w:r w:rsidR="00391935">
        <w:t xml:space="preserve">is </w:t>
      </w:r>
      <w:r w:rsidRPr="0030321B" w:rsidR="00AB7E5B">
        <w:t>a person who does not drive a motor vehicle, does not reside at the address, or is younger than 18 years old).</w:t>
      </w:r>
      <w:r w:rsidR="00AB7E5B">
        <w:t xml:space="preserve"> </w:t>
      </w:r>
      <w:r w:rsidR="00391935">
        <w:t xml:space="preserve">The time for a non-respondent at each wave is </w:t>
      </w:r>
      <w:r w:rsidRPr="00BB7CBB" w:rsidR="00391935">
        <w:t xml:space="preserve">expected to </w:t>
      </w:r>
      <w:r w:rsidR="00391935">
        <w:t xml:space="preserve">be </w:t>
      </w:r>
      <w:r w:rsidRPr="00BB7CBB" w:rsidR="00391935">
        <w:t xml:space="preserve">1 minute </w:t>
      </w:r>
      <w:r w:rsidR="00391935">
        <w:t xml:space="preserve">for a total of 2,058 hours cumulated across waves. </w:t>
      </w:r>
      <w:r w:rsidRPr="00E54229" w:rsidR="00AB7E5B">
        <w:t xml:space="preserve">Of 2,486 respondents </w:t>
      </w:r>
      <w:r w:rsidR="00391935">
        <w:t xml:space="preserve">expected to </w:t>
      </w:r>
      <w:r w:rsidRPr="00E54229" w:rsidR="00AB7E5B">
        <w:t>complete the full survey at 14 minutes in length for an estimated burden of 58</w:t>
      </w:r>
      <w:r w:rsidR="00AB7E5B">
        <w:t>0</w:t>
      </w:r>
      <w:r w:rsidRPr="00E54229" w:rsidR="00AB7E5B">
        <w:t xml:space="preserve"> hours with </w:t>
      </w:r>
      <w:r w:rsidR="00AB7E5B">
        <w:t xml:space="preserve">an </w:t>
      </w:r>
      <w:r w:rsidRPr="00E54229" w:rsidR="00AB7E5B">
        <w:t xml:space="preserve">additional 1minute review of </w:t>
      </w:r>
      <w:r w:rsidR="00AB7E5B">
        <w:t xml:space="preserve">the final communication “Thank You” letter (NHTSA Form 1588). </w:t>
      </w:r>
      <w:bookmarkStart w:name="_Hlk96001554" w:id="25"/>
      <w:r w:rsidRPr="00D202F8" w:rsidR="00EE5827">
        <w:t xml:space="preserve">The estimated burden for the eligibility screener is </w:t>
      </w:r>
      <w:r w:rsidRPr="006100DB" w:rsidR="00EE5827">
        <w:t>1 minute</w:t>
      </w:r>
      <w:r w:rsidRPr="00E54229" w:rsidR="00EE5827">
        <w:t xml:space="preserve">. </w:t>
      </w:r>
      <w:bookmarkEnd w:id="25"/>
      <w:r w:rsidRPr="006100DB" w:rsidR="00D97D5C">
        <w:t>Additional details regarding burden estimates can be found in Table 1.</w:t>
      </w:r>
    </w:p>
    <w:p w:rsidR="00E45130" w:rsidP="005F7C51" w:rsidRDefault="00E45130" w14:paraId="6BACF937" w14:textId="3AEC9907">
      <w:pPr>
        <w:keepNext/>
        <w:rPr>
          <w:rFonts w:eastAsiaTheme="minorHAnsi" w:cstheme="minorBidi"/>
          <w:i/>
          <w:szCs w:val="22"/>
        </w:rPr>
      </w:pPr>
      <w:bookmarkStart w:name="_Hlk95314152" w:id="26"/>
      <w:bookmarkEnd w:id="24"/>
      <w:r w:rsidRPr="00BB7CBB">
        <w:rPr>
          <w:rFonts w:eastAsiaTheme="minorHAnsi" w:cstheme="minorBidi"/>
          <w:i/>
          <w:szCs w:val="22"/>
        </w:rPr>
        <w:t xml:space="preserve">Table </w:t>
      </w:r>
      <w:r w:rsidRPr="00BB7CBB" w:rsidR="00606818">
        <w:rPr>
          <w:rFonts w:eastAsiaTheme="minorHAnsi" w:cstheme="minorBidi"/>
          <w:i/>
          <w:szCs w:val="22"/>
        </w:rPr>
        <w:fldChar w:fldCharType="begin"/>
      </w:r>
      <w:r w:rsidRPr="00BB7CBB" w:rsidR="00606818">
        <w:rPr>
          <w:rFonts w:eastAsiaTheme="minorHAnsi" w:cstheme="minorBidi"/>
          <w:i/>
          <w:szCs w:val="22"/>
        </w:rPr>
        <w:instrText xml:space="preserve"> SEQ Table \* ARABIC </w:instrText>
      </w:r>
      <w:r w:rsidRPr="00BB7CBB" w:rsidR="00606818">
        <w:rPr>
          <w:rFonts w:eastAsiaTheme="minorHAnsi" w:cstheme="minorBidi"/>
          <w:i/>
          <w:szCs w:val="22"/>
        </w:rPr>
        <w:fldChar w:fldCharType="separate"/>
      </w:r>
      <w:r w:rsidR="00DE3EF0">
        <w:rPr>
          <w:rFonts w:eastAsiaTheme="minorHAnsi" w:cstheme="minorBidi"/>
          <w:i/>
          <w:noProof/>
          <w:szCs w:val="22"/>
        </w:rPr>
        <w:t>2</w:t>
      </w:r>
      <w:r w:rsidRPr="00BB7CBB" w:rsidR="00606818">
        <w:rPr>
          <w:rFonts w:eastAsiaTheme="minorHAnsi" w:cstheme="minorBidi"/>
          <w:i/>
          <w:szCs w:val="22"/>
        </w:rPr>
        <w:fldChar w:fldCharType="end"/>
      </w:r>
      <w:r w:rsidRPr="00BB7CBB" w:rsidR="00E16810">
        <w:rPr>
          <w:rFonts w:eastAsiaTheme="minorHAnsi" w:cstheme="minorBidi"/>
          <w:i/>
          <w:szCs w:val="22"/>
        </w:rPr>
        <w:t>.</w:t>
      </w:r>
      <w:r w:rsidRPr="00BB7CBB">
        <w:rPr>
          <w:rFonts w:eastAsiaTheme="minorHAnsi" w:cstheme="minorBidi"/>
          <w:i/>
          <w:szCs w:val="22"/>
        </w:rPr>
        <w:t xml:space="preserve"> Estimated Total Burden for Main Survey Data Collection.</w:t>
      </w:r>
    </w:p>
    <w:tbl>
      <w:tblPr>
        <w:tblStyle w:val="TableGrid"/>
        <w:tblW w:w="5000" w:type="pct"/>
        <w:tblLayout w:type="fixed"/>
        <w:tblLook w:val="06A0" w:firstRow="1" w:lastRow="0" w:firstColumn="1" w:lastColumn="0" w:noHBand="1" w:noVBand="1"/>
      </w:tblPr>
      <w:tblGrid>
        <w:gridCol w:w="1435"/>
        <w:gridCol w:w="1260"/>
        <w:gridCol w:w="2160"/>
        <w:gridCol w:w="990"/>
        <w:gridCol w:w="540"/>
        <w:gridCol w:w="900"/>
        <w:gridCol w:w="1080"/>
        <w:gridCol w:w="985"/>
      </w:tblGrid>
      <w:tr w:rsidRPr="000432EA" w:rsidR="00BB7CBB" w:rsidTr="00EA35F4" w14:paraId="151AEB06" w14:textId="77777777">
        <w:trPr>
          <w:trHeight w:val="2434"/>
        </w:trPr>
        <w:tc>
          <w:tcPr>
            <w:tcW w:w="1435" w:type="dxa"/>
            <w:tcBorders>
              <w:bottom w:val="single" w:color="000000" w:themeColor="text1" w:sz="4" w:space="0"/>
            </w:tcBorders>
            <w:textDirection w:val="btLr"/>
            <w:vAlign w:val="center"/>
          </w:tcPr>
          <w:p w:rsidRPr="008820AD" w:rsidR="00BB7CBB" w:rsidP="005F7C51" w:rsidRDefault="00BB7CBB" w14:paraId="66811324" w14:textId="77777777">
            <w:pPr>
              <w:keepNext/>
              <w:keepLines/>
              <w:spacing w:after="0"/>
              <w:ind w:left="115" w:right="115"/>
              <w:jc w:val="center"/>
              <w:rPr>
                <w:rFonts w:eastAsia="Calibri"/>
                <w:b/>
                <w:bCs/>
              </w:rPr>
            </w:pPr>
            <w:r w:rsidRPr="008820AD">
              <w:rPr>
                <w:rFonts w:eastAsia="Calibri"/>
                <w:b/>
                <w:bCs/>
              </w:rPr>
              <w:t>Mailing Wave</w:t>
            </w:r>
          </w:p>
          <w:p w:rsidRPr="008820AD" w:rsidR="00BB7CBB" w:rsidP="005F7C51" w:rsidRDefault="00BB7CBB" w14:paraId="00C828C5" w14:textId="77777777">
            <w:pPr>
              <w:keepNext/>
              <w:keepLines/>
              <w:spacing w:after="0"/>
              <w:ind w:left="115" w:right="115"/>
              <w:jc w:val="center"/>
              <w:rPr>
                <w:rFonts w:eastAsia="Calibri"/>
                <w:b/>
                <w:bCs/>
              </w:rPr>
            </w:pPr>
            <w:r w:rsidRPr="008820AD">
              <w:rPr>
                <w:rFonts w:eastAsia="Calibri"/>
                <w:b/>
                <w:bCs/>
              </w:rPr>
              <w:t>(Form Number)</w:t>
            </w:r>
          </w:p>
        </w:tc>
        <w:tc>
          <w:tcPr>
            <w:tcW w:w="1260" w:type="dxa"/>
            <w:tcBorders>
              <w:bottom w:val="single" w:color="000000" w:themeColor="text1" w:sz="4" w:space="0"/>
            </w:tcBorders>
            <w:textDirection w:val="btLr"/>
            <w:vAlign w:val="center"/>
          </w:tcPr>
          <w:p w:rsidRPr="008820AD" w:rsidR="00BB7CBB" w:rsidP="005F7C51" w:rsidRDefault="00BB7CBB" w14:paraId="19D0B522" w14:textId="77777777">
            <w:pPr>
              <w:keepNext/>
              <w:keepLines/>
              <w:spacing w:after="0"/>
              <w:ind w:left="115" w:right="115"/>
              <w:jc w:val="center"/>
              <w:rPr>
                <w:rFonts w:eastAsia="Calibri"/>
                <w:b/>
                <w:bCs/>
              </w:rPr>
            </w:pPr>
            <w:r w:rsidRPr="008820AD">
              <w:rPr>
                <w:rFonts w:eastAsia="Calibri"/>
                <w:b/>
                <w:bCs/>
              </w:rPr>
              <w:t>Number of Contacts</w:t>
            </w:r>
          </w:p>
        </w:tc>
        <w:tc>
          <w:tcPr>
            <w:tcW w:w="2160" w:type="dxa"/>
            <w:tcBorders>
              <w:bottom w:val="single" w:color="000000" w:themeColor="text1" w:sz="4" w:space="0"/>
            </w:tcBorders>
            <w:textDirection w:val="btLr"/>
            <w:vAlign w:val="center"/>
            <w:hideMark/>
          </w:tcPr>
          <w:p w:rsidRPr="008820AD" w:rsidR="00BB7CBB" w:rsidP="005F7C51" w:rsidRDefault="00BB7CBB" w14:paraId="76C1893B" w14:textId="77777777">
            <w:pPr>
              <w:keepNext/>
              <w:keepLines/>
              <w:spacing w:after="0"/>
              <w:ind w:left="115" w:right="115"/>
              <w:jc w:val="center"/>
              <w:rPr>
                <w:rFonts w:eastAsia="Calibri"/>
                <w:b/>
                <w:bCs/>
              </w:rPr>
            </w:pPr>
            <w:r w:rsidRPr="008820AD">
              <w:rPr>
                <w:rFonts w:eastAsia="Calibri"/>
                <w:b/>
                <w:bCs/>
              </w:rPr>
              <w:t>Participant Type</w:t>
            </w:r>
          </w:p>
        </w:tc>
        <w:tc>
          <w:tcPr>
            <w:tcW w:w="990" w:type="dxa"/>
            <w:tcBorders>
              <w:bottom w:val="single" w:color="000000" w:themeColor="text1" w:sz="4" w:space="0"/>
            </w:tcBorders>
            <w:textDirection w:val="btLr"/>
            <w:vAlign w:val="center"/>
            <w:hideMark/>
          </w:tcPr>
          <w:p w:rsidRPr="008820AD" w:rsidR="008820AD" w:rsidP="005F7C51" w:rsidRDefault="00BB7CBB" w14:paraId="23ECEDD5" w14:textId="77777777">
            <w:pPr>
              <w:keepNext/>
              <w:keepLines/>
              <w:spacing w:after="0"/>
              <w:ind w:left="115" w:right="115"/>
              <w:jc w:val="center"/>
              <w:rPr>
                <w:rFonts w:eastAsia="Calibri"/>
                <w:b/>
                <w:bCs/>
              </w:rPr>
            </w:pPr>
            <w:r w:rsidRPr="008820AD">
              <w:rPr>
                <w:rFonts w:eastAsia="Calibri"/>
                <w:b/>
                <w:bCs/>
              </w:rPr>
              <w:t>Estimated Burden Per Sample Unit</w:t>
            </w:r>
            <w:r w:rsidRPr="008820AD" w:rsidR="006E3408">
              <w:rPr>
                <w:rFonts w:eastAsia="Calibri"/>
                <w:b/>
                <w:bCs/>
              </w:rPr>
              <w:t xml:space="preserve"> </w:t>
            </w:r>
          </w:p>
          <w:p w:rsidRPr="008820AD" w:rsidR="00BB7CBB" w:rsidP="005F7C51" w:rsidRDefault="00BB7CBB" w14:paraId="037604C4" w14:textId="4CC45B3C">
            <w:pPr>
              <w:keepNext/>
              <w:keepLines/>
              <w:spacing w:after="0"/>
              <w:ind w:left="115" w:right="115"/>
              <w:jc w:val="center"/>
              <w:rPr>
                <w:rFonts w:eastAsia="Calibri"/>
                <w:b/>
                <w:bCs/>
              </w:rPr>
            </w:pPr>
            <w:r w:rsidRPr="008820AD">
              <w:rPr>
                <w:rFonts w:eastAsia="Calibri"/>
                <w:b/>
                <w:bCs/>
              </w:rPr>
              <w:t>(in minutes)</w:t>
            </w:r>
          </w:p>
        </w:tc>
        <w:tc>
          <w:tcPr>
            <w:tcW w:w="540" w:type="dxa"/>
            <w:tcBorders>
              <w:bottom w:val="single" w:color="000000" w:themeColor="text1" w:sz="4" w:space="0"/>
            </w:tcBorders>
            <w:textDirection w:val="btLr"/>
            <w:vAlign w:val="center"/>
            <w:hideMark/>
          </w:tcPr>
          <w:p w:rsidRPr="008820AD" w:rsidR="00BB7CBB" w:rsidP="005F7C51" w:rsidRDefault="00BB7CBB" w14:paraId="61A1803C" w14:textId="77777777">
            <w:pPr>
              <w:keepNext/>
              <w:keepLines/>
              <w:spacing w:after="0"/>
              <w:ind w:left="115" w:right="115"/>
              <w:jc w:val="center"/>
              <w:rPr>
                <w:rFonts w:eastAsia="Calibri"/>
                <w:b/>
                <w:bCs/>
              </w:rPr>
            </w:pPr>
            <w:r w:rsidRPr="008820AD">
              <w:rPr>
                <w:rFonts w:eastAsia="Calibri"/>
                <w:b/>
                <w:bCs/>
              </w:rPr>
              <w:t>Frequency of Burden</w:t>
            </w:r>
          </w:p>
        </w:tc>
        <w:tc>
          <w:tcPr>
            <w:tcW w:w="900" w:type="dxa"/>
            <w:tcBorders>
              <w:bottom w:val="single" w:color="000000" w:themeColor="text1" w:sz="4" w:space="0"/>
            </w:tcBorders>
            <w:textDirection w:val="btLr"/>
            <w:vAlign w:val="center"/>
            <w:hideMark/>
          </w:tcPr>
          <w:p w:rsidRPr="008820AD" w:rsidR="00BB7CBB" w:rsidP="005F7C51" w:rsidRDefault="00BB7CBB" w14:paraId="0BC15E02" w14:textId="77777777">
            <w:pPr>
              <w:keepNext/>
              <w:keepLines/>
              <w:spacing w:after="0"/>
              <w:ind w:left="115" w:right="115"/>
              <w:jc w:val="center"/>
              <w:rPr>
                <w:rFonts w:eastAsia="Calibri"/>
                <w:b/>
                <w:bCs/>
              </w:rPr>
            </w:pPr>
            <w:r w:rsidRPr="008820AD">
              <w:rPr>
                <w:rFonts w:eastAsia="Calibri"/>
                <w:b/>
                <w:bCs/>
              </w:rPr>
              <w:t>Number of Sample Units</w:t>
            </w:r>
          </w:p>
        </w:tc>
        <w:tc>
          <w:tcPr>
            <w:tcW w:w="1080" w:type="dxa"/>
            <w:tcBorders>
              <w:bottom w:val="single" w:color="000000" w:themeColor="text1" w:sz="4" w:space="0"/>
            </w:tcBorders>
            <w:textDirection w:val="btLr"/>
            <w:vAlign w:val="center"/>
            <w:hideMark/>
          </w:tcPr>
          <w:p w:rsidRPr="008820AD" w:rsidR="00BB7CBB" w:rsidP="005F7C51" w:rsidRDefault="00BB7CBB" w14:paraId="14402EE6" w14:textId="77777777">
            <w:pPr>
              <w:keepNext/>
              <w:keepLines/>
              <w:spacing w:after="0"/>
              <w:ind w:left="115" w:right="115"/>
              <w:jc w:val="center"/>
              <w:rPr>
                <w:rFonts w:eastAsia="Calibri"/>
                <w:b/>
                <w:bCs/>
              </w:rPr>
            </w:pPr>
            <w:r w:rsidRPr="008820AD">
              <w:rPr>
                <w:rFonts w:eastAsia="Calibri"/>
                <w:b/>
                <w:bCs/>
              </w:rPr>
              <w:t>Burden Hours*</w:t>
            </w:r>
          </w:p>
        </w:tc>
        <w:tc>
          <w:tcPr>
            <w:tcW w:w="985" w:type="dxa"/>
            <w:tcBorders>
              <w:bottom w:val="single" w:color="000000" w:themeColor="text1" w:sz="4" w:space="0"/>
            </w:tcBorders>
            <w:textDirection w:val="btLr"/>
            <w:vAlign w:val="center"/>
          </w:tcPr>
          <w:p w:rsidRPr="008820AD" w:rsidR="00BB7CBB" w:rsidP="005F7C51" w:rsidRDefault="00BB7CBB" w14:paraId="7D53DB8F" w14:textId="77777777">
            <w:pPr>
              <w:keepNext/>
              <w:keepLines/>
              <w:spacing w:after="0"/>
              <w:ind w:left="115" w:right="115"/>
              <w:jc w:val="center"/>
              <w:rPr>
                <w:rFonts w:eastAsia="Calibri"/>
                <w:b/>
                <w:bCs/>
              </w:rPr>
            </w:pPr>
            <w:r w:rsidRPr="008820AD">
              <w:rPr>
                <w:rFonts w:eastAsia="Calibri"/>
                <w:b/>
                <w:bCs/>
              </w:rPr>
              <w:t>Total Burden Hours*</w:t>
            </w:r>
          </w:p>
        </w:tc>
      </w:tr>
      <w:tr w:rsidRPr="005A23F0" w:rsidR="00BB7CBB" w:rsidTr="00EA35F4" w14:paraId="687ACDE5" w14:textId="77777777">
        <w:trPr>
          <w:trHeight w:val="890"/>
        </w:trPr>
        <w:tc>
          <w:tcPr>
            <w:tcW w:w="1435" w:type="dxa"/>
            <w:tcBorders>
              <w:bottom w:val="single" w:color="000000" w:themeColor="text1" w:sz="6" w:space="0"/>
            </w:tcBorders>
          </w:tcPr>
          <w:p w:rsidRPr="005A23F0" w:rsidR="00BB7CBB" w:rsidP="005D302C" w:rsidRDefault="00BB7CBB" w14:paraId="44B6F236" w14:textId="77777777">
            <w:pPr>
              <w:keepNext/>
              <w:keepLines/>
              <w:contextualSpacing/>
            </w:pPr>
            <w:r w:rsidRPr="005A23F0">
              <w:rPr>
                <w:rFonts w:eastAsia="Calibri"/>
              </w:rPr>
              <w:t>Wave</w:t>
            </w:r>
            <w:r w:rsidRPr="005A23F0">
              <w:t xml:space="preserve"> 1</w:t>
            </w:r>
          </w:p>
          <w:p w:rsidR="008820AD" w:rsidP="005D302C" w:rsidRDefault="008820AD" w14:paraId="42808245" w14:textId="77777777">
            <w:pPr>
              <w:keepNext/>
              <w:keepLines/>
              <w:contextualSpacing/>
            </w:pPr>
          </w:p>
          <w:p w:rsidRPr="005A23F0" w:rsidR="00BB7CBB" w:rsidP="005D302C" w:rsidRDefault="00BB7CBB" w14:paraId="3976E1D3" w14:textId="4DDA15BB">
            <w:pPr>
              <w:keepNext/>
              <w:keepLines/>
              <w:contextualSpacing/>
            </w:pPr>
            <w:r w:rsidRPr="005A23F0">
              <w:t>NHTSA Form 1577</w:t>
            </w:r>
          </w:p>
        </w:tc>
        <w:tc>
          <w:tcPr>
            <w:tcW w:w="1260" w:type="dxa"/>
            <w:tcBorders>
              <w:bottom w:val="single" w:color="000000" w:themeColor="text1" w:sz="6" w:space="0"/>
            </w:tcBorders>
            <w:vAlign w:val="center"/>
          </w:tcPr>
          <w:p w:rsidRPr="005A23F0" w:rsidR="00BB7CBB" w:rsidP="00EA35F4" w:rsidRDefault="00BB7CBB" w14:paraId="20C23E2F" w14:textId="77777777">
            <w:pPr>
              <w:keepNext/>
              <w:keepLines/>
              <w:ind w:right="28"/>
              <w:contextualSpacing/>
              <w:jc w:val="center"/>
              <w:rPr>
                <w:rFonts w:eastAsia="Calibri"/>
              </w:rPr>
            </w:pPr>
            <w:r w:rsidRPr="005A23F0">
              <w:rPr>
                <w:rFonts w:eastAsia="Calibri"/>
              </w:rPr>
              <w:t>33,460</w:t>
            </w:r>
          </w:p>
        </w:tc>
        <w:tc>
          <w:tcPr>
            <w:tcW w:w="2160" w:type="dxa"/>
            <w:tcBorders>
              <w:bottom w:val="single" w:color="000000" w:themeColor="text1" w:sz="6" w:space="0"/>
            </w:tcBorders>
            <w:vAlign w:val="center"/>
          </w:tcPr>
          <w:p w:rsidRPr="005A23F0" w:rsidR="00BB7CBB" w:rsidP="00EA35F4" w:rsidRDefault="00BB7CBB" w14:paraId="56D86571" w14:textId="77777777">
            <w:pPr>
              <w:keepNext/>
              <w:keepLines/>
              <w:contextualSpacing/>
              <w:rPr>
                <w:rFonts w:eastAsia="Calibri"/>
              </w:rPr>
            </w:pPr>
            <w:r w:rsidRPr="005A23F0">
              <w:rPr>
                <w:rFonts w:eastAsia="Calibri"/>
              </w:rPr>
              <w:t>Contacted potential participant</w:t>
            </w:r>
          </w:p>
        </w:tc>
        <w:tc>
          <w:tcPr>
            <w:tcW w:w="990" w:type="dxa"/>
            <w:tcBorders>
              <w:bottom w:val="single" w:color="000000" w:themeColor="text1" w:sz="6" w:space="0"/>
            </w:tcBorders>
            <w:vAlign w:val="center"/>
          </w:tcPr>
          <w:p w:rsidRPr="005A23F0" w:rsidR="00BB7CBB" w:rsidP="00EA35F4" w:rsidRDefault="00BB7CBB" w14:paraId="46B88E1F" w14:textId="77777777">
            <w:pPr>
              <w:keepNext/>
              <w:keepLines/>
              <w:contextualSpacing/>
              <w:jc w:val="center"/>
              <w:rPr>
                <w:rFonts w:eastAsia="Calibri"/>
              </w:rPr>
            </w:pPr>
            <w:r w:rsidRPr="005A23F0">
              <w:rPr>
                <w:rFonts w:eastAsia="Calibri"/>
              </w:rPr>
              <w:t>1</w:t>
            </w:r>
          </w:p>
        </w:tc>
        <w:tc>
          <w:tcPr>
            <w:tcW w:w="540" w:type="dxa"/>
            <w:tcBorders>
              <w:bottom w:val="single" w:color="000000" w:themeColor="text1" w:sz="6" w:space="0"/>
            </w:tcBorders>
            <w:vAlign w:val="center"/>
          </w:tcPr>
          <w:p w:rsidRPr="005A23F0" w:rsidR="00BB7CBB" w:rsidP="00EA35F4" w:rsidRDefault="00BB7CBB" w14:paraId="31310E95" w14:textId="77777777">
            <w:pPr>
              <w:keepNext/>
              <w:keepLines/>
              <w:contextualSpacing/>
              <w:jc w:val="center"/>
              <w:rPr>
                <w:rFonts w:eastAsia="Calibri"/>
              </w:rPr>
            </w:pPr>
            <w:r w:rsidRPr="005A23F0">
              <w:rPr>
                <w:rFonts w:eastAsia="Calibri"/>
              </w:rPr>
              <w:t>1</w:t>
            </w:r>
          </w:p>
        </w:tc>
        <w:tc>
          <w:tcPr>
            <w:tcW w:w="900" w:type="dxa"/>
            <w:tcBorders>
              <w:bottom w:val="single" w:color="000000" w:themeColor="text1" w:sz="6" w:space="0"/>
            </w:tcBorders>
            <w:vAlign w:val="center"/>
          </w:tcPr>
          <w:p w:rsidRPr="005A23F0" w:rsidR="00BB7CBB" w:rsidP="00EA35F4" w:rsidRDefault="00BB7CBB" w14:paraId="4209435E" w14:textId="77777777">
            <w:pPr>
              <w:keepNext/>
              <w:keepLines/>
              <w:contextualSpacing/>
              <w:jc w:val="center"/>
              <w:rPr>
                <w:rFonts w:eastAsia="Calibri"/>
              </w:rPr>
            </w:pPr>
            <w:r w:rsidRPr="005A23F0">
              <w:rPr>
                <w:rFonts w:eastAsia="Calibri"/>
              </w:rPr>
              <w:t>33,460</w:t>
            </w:r>
          </w:p>
        </w:tc>
        <w:tc>
          <w:tcPr>
            <w:tcW w:w="1080" w:type="dxa"/>
            <w:tcBorders>
              <w:bottom w:val="single" w:color="000000" w:themeColor="text1" w:sz="6" w:space="0"/>
            </w:tcBorders>
            <w:vAlign w:val="center"/>
          </w:tcPr>
          <w:p w:rsidRPr="005A23F0" w:rsidR="00BB7CBB" w:rsidP="00EA35F4" w:rsidRDefault="00BB7CBB" w14:paraId="786A53CC" w14:textId="77777777">
            <w:pPr>
              <w:keepNext/>
              <w:keepLines/>
              <w:contextualSpacing/>
              <w:jc w:val="center"/>
              <w:rPr>
                <w:rFonts w:eastAsia="Calibri"/>
              </w:rPr>
            </w:pPr>
            <w:r w:rsidRPr="005A23F0">
              <w:rPr>
                <w:rFonts w:eastAsia="Calibri"/>
              </w:rPr>
              <w:t>558</w:t>
            </w:r>
          </w:p>
        </w:tc>
        <w:tc>
          <w:tcPr>
            <w:tcW w:w="985" w:type="dxa"/>
            <w:tcBorders>
              <w:bottom w:val="single" w:color="000000" w:themeColor="text1" w:sz="6" w:space="0"/>
            </w:tcBorders>
            <w:vAlign w:val="center"/>
          </w:tcPr>
          <w:p w:rsidRPr="005A23F0" w:rsidR="00BB7CBB" w:rsidP="00EA35F4" w:rsidRDefault="00BB7CBB" w14:paraId="221DB378" w14:textId="77777777">
            <w:pPr>
              <w:keepNext/>
              <w:keepLines/>
              <w:contextualSpacing/>
              <w:jc w:val="center"/>
              <w:rPr>
                <w:rFonts w:eastAsia="Calibri"/>
              </w:rPr>
            </w:pPr>
            <w:r w:rsidRPr="005A23F0">
              <w:rPr>
                <w:rFonts w:eastAsia="Calibri"/>
              </w:rPr>
              <w:t>558</w:t>
            </w:r>
          </w:p>
        </w:tc>
      </w:tr>
      <w:tr w:rsidRPr="005A23F0" w:rsidR="00BB7CBB" w:rsidTr="00EA35F4" w14:paraId="50C7CC7F" w14:textId="77777777">
        <w:trPr>
          <w:trHeight w:val="395"/>
        </w:trPr>
        <w:tc>
          <w:tcPr>
            <w:tcW w:w="1435" w:type="dxa"/>
            <w:vMerge w:val="restart"/>
            <w:tcBorders>
              <w:top w:val="single" w:color="000000" w:themeColor="text1" w:sz="6" w:space="0"/>
            </w:tcBorders>
          </w:tcPr>
          <w:p w:rsidRPr="005A23F0" w:rsidR="00BB7CBB" w:rsidP="005D302C" w:rsidRDefault="00BB7CBB" w14:paraId="4A39B916" w14:textId="77777777">
            <w:pPr>
              <w:contextualSpacing/>
              <w:rPr>
                <w:rFonts w:eastAsia="Calibri"/>
              </w:rPr>
            </w:pPr>
            <w:r w:rsidRPr="005A23F0">
              <w:rPr>
                <w:rFonts w:eastAsia="Calibri"/>
              </w:rPr>
              <w:t>Wave 2</w:t>
            </w:r>
          </w:p>
          <w:p w:rsidR="008820AD" w:rsidP="005D302C" w:rsidRDefault="008820AD" w14:paraId="7B061C25" w14:textId="77777777">
            <w:pPr>
              <w:contextualSpacing/>
              <w:rPr>
                <w:rFonts w:eastAsia="Calibri"/>
              </w:rPr>
            </w:pPr>
          </w:p>
          <w:p w:rsidRPr="005A23F0" w:rsidR="00BB7CBB" w:rsidP="005D302C" w:rsidRDefault="00BB7CBB" w14:paraId="237E543D" w14:textId="57127B04">
            <w:pPr>
              <w:contextualSpacing/>
              <w:rPr>
                <w:rFonts w:eastAsia="Calibri"/>
              </w:rPr>
            </w:pPr>
            <w:r w:rsidRPr="005A23F0">
              <w:rPr>
                <w:rFonts w:eastAsia="Calibri"/>
              </w:rPr>
              <w:t>NHTSA Form 1578</w:t>
            </w:r>
          </w:p>
        </w:tc>
        <w:tc>
          <w:tcPr>
            <w:tcW w:w="1260" w:type="dxa"/>
            <w:vMerge w:val="restart"/>
            <w:tcBorders>
              <w:top w:val="single" w:color="000000" w:themeColor="text1" w:sz="6" w:space="0"/>
            </w:tcBorders>
            <w:vAlign w:val="center"/>
          </w:tcPr>
          <w:p w:rsidRPr="005A23F0" w:rsidR="00BB7CBB" w:rsidP="00EA35F4" w:rsidRDefault="00BB7CBB" w14:paraId="40727A6F" w14:textId="77777777">
            <w:pPr>
              <w:ind w:right="28"/>
              <w:contextualSpacing/>
              <w:jc w:val="center"/>
              <w:rPr>
                <w:rFonts w:eastAsia="Calibri"/>
              </w:rPr>
            </w:pPr>
            <w:r w:rsidRPr="005A23F0">
              <w:rPr>
                <w:rFonts w:eastAsia="Calibri"/>
              </w:rPr>
              <w:t>33,460</w:t>
            </w:r>
          </w:p>
        </w:tc>
        <w:tc>
          <w:tcPr>
            <w:tcW w:w="2160" w:type="dxa"/>
            <w:tcBorders>
              <w:top w:val="single" w:color="000000" w:themeColor="text1" w:sz="6" w:space="0"/>
            </w:tcBorders>
            <w:vAlign w:val="center"/>
            <w:hideMark/>
          </w:tcPr>
          <w:p w:rsidRPr="005A23F0" w:rsidR="00BB7CBB" w:rsidP="00EA35F4" w:rsidRDefault="00BB7CBB" w14:paraId="02CFB8BD" w14:textId="77777777">
            <w:pPr>
              <w:contextualSpacing/>
              <w:rPr>
                <w:rFonts w:eastAsia="Calibri"/>
              </w:rPr>
            </w:pPr>
            <w:r w:rsidRPr="005A23F0">
              <w:rPr>
                <w:rFonts w:eastAsia="Calibri"/>
              </w:rPr>
              <w:t>Non-respondent</w:t>
            </w:r>
          </w:p>
        </w:tc>
        <w:tc>
          <w:tcPr>
            <w:tcW w:w="990" w:type="dxa"/>
            <w:tcBorders>
              <w:top w:val="single" w:color="000000" w:themeColor="text1" w:sz="6" w:space="0"/>
            </w:tcBorders>
            <w:vAlign w:val="center"/>
            <w:hideMark/>
          </w:tcPr>
          <w:p w:rsidRPr="005A23F0" w:rsidR="00BB7CBB" w:rsidP="00EA35F4" w:rsidRDefault="00BB7CBB" w14:paraId="75EED7EA" w14:textId="77777777">
            <w:pPr>
              <w:contextualSpacing/>
              <w:jc w:val="center"/>
              <w:rPr>
                <w:rFonts w:eastAsia="Calibri"/>
              </w:rPr>
            </w:pPr>
            <w:r w:rsidRPr="005A23F0">
              <w:rPr>
                <w:rFonts w:eastAsia="Calibri"/>
              </w:rPr>
              <w:t>1</w:t>
            </w:r>
          </w:p>
        </w:tc>
        <w:tc>
          <w:tcPr>
            <w:tcW w:w="540" w:type="dxa"/>
            <w:tcBorders>
              <w:top w:val="single" w:color="000000" w:themeColor="text1" w:sz="6" w:space="0"/>
            </w:tcBorders>
            <w:vAlign w:val="center"/>
            <w:hideMark/>
          </w:tcPr>
          <w:p w:rsidRPr="005A23F0" w:rsidR="00BB7CBB" w:rsidP="00EA35F4" w:rsidRDefault="00BB7CBB" w14:paraId="66DE211F" w14:textId="77777777">
            <w:pPr>
              <w:contextualSpacing/>
              <w:jc w:val="center"/>
              <w:rPr>
                <w:rFonts w:eastAsia="Calibri"/>
              </w:rPr>
            </w:pPr>
            <w:r w:rsidRPr="005A23F0">
              <w:rPr>
                <w:rFonts w:eastAsia="Calibri"/>
              </w:rPr>
              <w:t>1</w:t>
            </w:r>
          </w:p>
        </w:tc>
        <w:tc>
          <w:tcPr>
            <w:tcW w:w="900" w:type="dxa"/>
            <w:tcBorders>
              <w:top w:val="single" w:color="000000" w:themeColor="text1" w:sz="6" w:space="0"/>
            </w:tcBorders>
            <w:vAlign w:val="center"/>
            <w:hideMark/>
          </w:tcPr>
          <w:p w:rsidRPr="005A23F0" w:rsidR="00BB7CBB" w:rsidP="00EA35F4" w:rsidRDefault="00BB7CBB" w14:paraId="72A98F6E" w14:textId="77777777">
            <w:pPr>
              <w:contextualSpacing/>
              <w:jc w:val="center"/>
              <w:rPr>
                <w:rFonts w:eastAsia="Calibri"/>
              </w:rPr>
            </w:pPr>
            <w:r w:rsidRPr="005A23F0">
              <w:rPr>
                <w:rFonts w:eastAsia="Calibri"/>
              </w:rPr>
              <w:t>31,787</w:t>
            </w:r>
          </w:p>
        </w:tc>
        <w:tc>
          <w:tcPr>
            <w:tcW w:w="1080" w:type="dxa"/>
            <w:tcBorders>
              <w:top w:val="single" w:color="000000" w:themeColor="text1" w:sz="6" w:space="0"/>
            </w:tcBorders>
            <w:vAlign w:val="center"/>
            <w:hideMark/>
          </w:tcPr>
          <w:p w:rsidRPr="005A23F0" w:rsidR="00BB7CBB" w:rsidP="00EA35F4" w:rsidRDefault="00BB7CBB" w14:paraId="6DF061C0" w14:textId="77777777">
            <w:pPr>
              <w:contextualSpacing/>
              <w:jc w:val="center"/>
              <w:rPr>
                <w:rFonts w:eastAsia="Calibri"/>
              </w:rPr>
            </w:pPr>
            <w:r w:rsidRPr="005A23F0">
              <w:rPr>
                <w:rFonts w:eastAsia="Calibri"/>
              </w:rPr>
              <w:t>530</w:t>
            </w:r>
          </w:p>
        </w:tc>
        <w:tc>
          <w:tcPr>
            <w:tcW w:w="985" w:type="dxa"/>
            <w:vMerge w:val="restart"/>
            <w:tcBorders>
              <w:top w:val="single" w:color="000000" w:themeColor="text1" w:sz="6" w:space="0"/>
            </w:tcBorders>
            <w:vAlign w:val="center"/>
          </w:tcPr>
          <w:p w:rsidRPr="005A23F0" w:rsidR="00BB7CBB" w:rsidP="00EA35F4" w:rsidRDefault="00BB7CBB" w14:paraId="39E2E714" w14:textId="77777777">
            <w:pPr>
              <w:contextualSpacing/>
              <w:jc w:val="center"/>
              <w:rPr>
                <w:rFonts w:eastAsia="Calibri"/>
              </w:rPr>
            </w:pPr>
            <w:r w:rsidRPr="005A23F0">
              <w:rPr>
                <w:rFonts w:eastAsia="Calibri"/>
              </w:rPr>
              <w:t>87</w:t>
            </w:r>
            <w:r>
              <w:rPr>
                <w:rFonts w:eastAsia="Calibri"/>
              </w:rPr>
              <w:t>0</w:t>
            </w:r>
          </w:p>
        </w:tc>
      </w:tr>
      <w:tr w:rsidRPr="005A23F0" w:rsidR="00BB7CBB" w:rsidTr="00EA35F4" w14:paraId="77443382" w14:textId="77777777">
        <w:trPr>
          <w:trHeight w:val="350"/>
        </w:trPr>
        <w:tc>
          <w:tcPr>
            <w:tcW w:w="1435" w:type="dxa"/>
            <w:vMerge/>
          </w:tcPr>
          <w:p w:rsidRPr="005A23F0" w:rsidR="00BB7CBB" w:rsidP="005D302C" w:rsidRDefault="00BB7CBB" w14:paraId="1BFD0300" w14:textId="77777777">
            <w:pPr>
              <w:contextualSpacing/>
              <w:rPr>
                <w:rFonts w:eastAsia="Calibri"/>
              </w:rPr>
            </w:pPr>
          </w:p>
        </w:tc>
        <w:tc>
          <w:tcPr>
            <w:tcW w:w="1260" w:type="dxa"/>
            <w:vMerge/>
            <w:vAlign w:val="center"/>
          </w:tcPr>
          <w:p w:rsidRPr="005A23F0" w:rsidR="00BB7CBB" w:rsidP="00EA35F4" w:rsidRDefault="00BB7CBB" w14:paraId="5468C8D4" w14:textId="77777777">
            <w:pPr>
              <w:ind w:right="28"/>
              <w:contextualSpacing/>
              <w:jc w:val="center"/>
              <w:rPr>
                <w:rFonts w:eastAsia="Calibri"/>
              </w:rPr>
            </w:pPr>
          </w:p>
        </w:tc>
        <w:tc>
          <w:tcPr>
            <w:tcW w:w="2160" w:type="dxa"/>
            <w:vAlign w:val="center"/>
          </w:tcPr>
          <w:p w:rsidRPr="005A23F0" w:rsidR="00BB7CBB" w:rsidP="00EA35F4" w:rsidRDefault="00BB7CBB" w14:paraId="52ED3ED6" w14:textId="77777777">
            <w:pPr>
              <w:contextualSpacing/>
              <w:rPr>
                <w:rFonts w:eastAsia="Calibri"/>
              </w:rPr>
            </w:pPr>
            <w:r w:rsidRPr="005A23F0">
              <w:rPr>
                <w:rFonts w:eastAsia="Calibri"/>
              </w:rPr>
              <w:t>Ineligible respondent</w:t>
            </w:r>
          </w:p>
        </w:tc>
        <w:tc>
          <w:tcPr>
            <w:tcW w:w="990" w:type="dxa"/>
            <w:vAlign w:val="center"/>
          </w:tcPr>
          <w:p w:rsidRPr="005A23F0" w:rsidR="00BB7CBB" w:rsidP="00EA35F4" w:rsidRDefault="00BB7CBB" w14:paraId="72907F11" w14:textId="77777777">
            <w:pPr>
              <w:contextualSpacing/>
              <w:jc w:val="center"/>
              <w:rPr>
                <w:rFonts w:eastAsia="Calibri"/>
              </w:rPr>
            </w:pPr>
            <w:r w:rsidRPr="005A23F0">
              <w:rPr>
                <w:rFonts w:eastAsia="Calibri"/>
              </w:rPr>
              <w:t>1</w:t>
            </w:r>
          </w:p>
        </w:tc>
        <w:tc>
          <w:tcPr>
            <w:tcW w:w="540" w:type="dxa"/>
            <w:vAlign w:val="center"/>
          </w:tcPr>
          <w:p w:rsidRPr="005A23F0" w:rsidR="00BB7CBB" w:rsidP="00EA35F4" w:rsidRDefault="00BB7CBB" w14:paraId="2C679B86"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1DC63055" w14:textId="77777777">
            <w:pPr>
              <w:contextualSpacing/>
              <w:jc w:val="center"/>
              <w:rPr>
                <w:rFonts w:eastAsia="Calibri"/>
              </w:rPr>
            </w:pPr>
            <w:r w:rsidRPr="005A23F0">
              <w:rPr>
                <w:rFonts w:eastAsia="Calibri"/>
              </w:rPr>
              <w:t>335</w:t>
            </w:r>
          </w:p>
        </w:tc>
        <w:tc>
          <w:tcPr>
            <w:tcW w:w="1080" w:type="dxa"/>
            <w:vAlign w:val="center"/>
          </w:tcPr>
          <w:p w:rsidRPr="005A23F0" w:rsidR="00BB7CBB" w:rsidP="00EA35F4" w:rsidRDefault="00BB7CBB" w14:paraId="5738FFC0" w14:textId="77777777">
            <w:pPr>
              <w:contextualSpacing/>
              <w:jc w:val="center"/>
              <w:rPr>
                <w:rFonts w:eastAsia="Calibri"/>
              </w:rPr>
            </w:pPr>
            <w:r w:rsidRPr="005A23F0">
              <w:rPr>
                <w:rFonts w:eastAsia="Calibri"/>
              </w:rPr>
              <w:t>6</w:t>
            </w:r>
          </w:p>
        </w:tc>
        <w:tc>
          <w:tcPr>
            <w:tcW w:w="985" w:type="dxa"/>
            <w:vMerge/>
            <w:vAlign w:val="center"/>
          </w:tcPr>
          <w:p w:rsidRPr="005A23F0" w:rsidR="00BB7CBB" w:rsidP="00EA35F4" w:rsidRDefault="00BB7CBB" w14:paraId="40B83E8B" w14:textId="77777777">
            <w:pPr>
              <w:contextualSpacing/>
              <w:jc w:val="center"/>
              <w:rPr>
                <w:rFonts w:eastAsia="Calibri"/>
              </w:rPr>
            </w:pPr>
          </w:p>
        </w:tc>
      </w:tr>
      <w:tr w:rsidRPr="005B345A" w:rsidR="00BB7CBB" w:rsidTr="00EA35F4" w14:paraId="56EFADBB" w14:textId="77777777">
        <w:trPr>
          <w:trHeight w:val="350"/>
        </w:trPr>
        <w:tc>
          <w:tcPr>
            <w:tcW w:w="1435" w:type="dxa"/>
            <w:vMerge/>
          </w:tcPr>
          <w:p w:rsidRPr="000E0811" w:rsidR="00BB7CBB" w:rsidP="005D302C" w:rsidRDefault="00BB7CBB" w14:paraId="0E78FA57" w14:textId="77777777">
            <w:pPr>
              <w:contextualSpacing/>
              <w:rPr>
                <w:rFonts w:eastAsia="Calibri"/>
                <w:sz w:val="18"/>
                <w:szCs w:val="18"/>
              </w:rPr>
            </w:pPr>
          </w:p>
        </w:tc>
        <w:tc>
          <w:tcPr>
            <w:tcW w:w="1260" w:type="dxa"/>
            <w:vMerge/>
            <w:vAlign w:val="center"/>
          </w:tcPr>
          <w:p w:rsidRPr="000E0811" w:rsidR="00BB7CBB" w:rsidP="00EA35F4" w:rsidRDefault="00BB7CBB" w14:paraId="522895AD" w14:textId="77777777">
            <w:pPr>
              <w:ind w:right="28"/>
              <w:contextualSpacing/>
              <w:jc w:val="center"/>
              <w:rPr>
                <w:rFonts w:eastAsia="Calibri"/>
                <w:sz w:val="18"/>
                <w:szCs w:val="18"/>
              </w:rPr>
            </w:pPr>
          </w:p>
        </w:tc>
        <w:tc>
          <w:tcPr>
            <w:tcW w:w="2160" w:type="dxa"/>
            <w:vAlign w:val="center"/>
          </w:tcPr>
          <w:p w:rsidRPr="003A6431" w:rsidR="00BB7CBB" w:rsidP="00EA35F4" w:rsidRDefault="00BB7CBB" w14:paraId="7A02DEEB" w14:textId="77777777">
            <w:pPr>
              <w:contextualSpacing/>
              <w:rPr>
                <w:rFonts w:eastAsia="Calibri"/>
                <w:sz w:val="18"/>
                <w:szCs w:val="18"/>
              </w:rPr>
            </w:pPr>
            <w:r w:rsidRPr="003A6431">
              <w:rPr>
                <w:rFonts w:eastAsia="Calibri"/>
              </w:rPr>
              <w:t>Eligible respondent</w:t>
            </w:r>
          </w:p>
        </w:tc>
        <w:tc>
          <w:tcPr>
            <w:tcW w:w="990" w:type="dxa"/>
            <w:vAlign w:val="center"/>
          </w:tcPr>
          <w:p w:rsidRPr="003A6431" w:rsidR="00BB7CBB" w:rsidP="00EA35F4" w:rsidRDefault="00BB7CBB" w14:paraId="5B2ECBBD" w14:textId="77777777">
            <w:pPr>
              <w:contextualSpacing/>
              <w:jc w:val="center"/>
              <w:rPr>
                <w:rFonts w:eastAsia="Calibri"/>
              </w:rPr>
            </w:pPr>
            <w:r w:rsidRPr="003A6431">
              <w:rPr>
                <w:rFonts w:eastAsia="Calibri"/>
              </w:rPr>
              <w:t>15</w:t>
            </w:r>
          </w:p>
        </w:tc>
        <w:tc>
          <w:tcPr>
            <w:tcW w:w="540" w:type="dxa"/>
            <w:vAlign w:val="center"/>
          </w:tcPr>
          <w:p w:rsidRPr="003A6431" w:rsidR="00BB7CBB" w:rsidP="00EA35F4" w:rsidRDefault="00BB7CBB" w14:paraId="2D4B00EE" w14:textId="77777777">
            <w:pPr>
              <w:contextualSpacing/>
              <w:jc w:val="center"/>
              <w:rPr>
                <w:rFonts w:eastAsia="Calibri"/>
              </w:rPr>
            </w:pPr>
            <w:r w:rsidRPr="003A6431">
              <w:rPr>
                <w:rFonts w:eastAsia="Calibri"/>
              </w:rPr>
              <w:t>1</w:t>
            </w:r>
          </w:p>
        </w:tc>
        <w:tc>
          <w:tcPr>
            <w:tcW w:w="900" w:type="dxa"/>
            <w:vAlign w:val="center"/>
          </w:tcPr>
          <w:p w:rsidRPr="003A6431" w:rsidR="00BB7CBB" w:rsidP="00EA35F4" w:rsidRDefault="00BB7CBB" w14:paraId="316F7A30" w14:textId="77777777">
            <w:pPr>
              <w:contextualSpacing/>
              <w:jc w:val="center"/>
              <w:rPr>
                <w:rFonts w:eastAsia="Calibri"/>
              </w:rPr>
            </w:pPr>
            <w:r w:rsidRPr="003A6431">
              <w:rPr>
                <w:rFonts w:eastAsia="Calibri"/>
              </w:rPr>
              <w:t>1,338</w:t>
            </w:r>
          </w:p>
        </w:tc>
        <w:tc>
          <w:tcPr>
            <w:tcW w:w="1080" w:type="dxa"/>
            <w:vAlign w:val="center"/>
          </w:tcPr>
          <w:p w:rsidRPr="003A6431" w:rsidR="00BB7CBB" w:rsidP="00EA35F4" w:rsidRDefault="00BB7CBB" w14:paraId="1CAF411B" w14:textId="77777777">
            <w:pPr>
              <w:contextualSpacing/>
              <w:jc w:val="center"/>
              <w:rPr>
                <w:rFonts w:eastAsia="Calibri"/>
              </w:rPr>
            </w:pPr>
            <w:r w:rsidRPr="003A6431">
              <w:rPr>
                <w:rFonts w:eastAsia="Calibri"/>
              </w:rPr>
              <w:t>33</w:t>
            </w:r>
            <w:r>
              <w:rPr>
                <w:rFonts w:eastAsia="Calibri"/>
              </w:rPr>
              <w:t>4</w:t>
            </w:r>
          </w:p>
        </w:tc>
        <w:tc>
          <w:tcPr>
            <w:tcW w:w="985" w:type="dxa"/>
            <w:vMerge/>
            <w:vAlign w:val="center"/>
          </w:tcPr>
          <w:p w:rsidRPr="003A6431" w:rsidR="00BB7CBB" w:rsidP="00EA35F4" w:rsidRDefault="00BB7CBB" w14:paraId="0A616F18" w14:textId="77777777">
            <w:pPr>
              <w:contextualSpacing/>
              <w:jc w:val="center"/>
              <w:rPr>
                <w:rFonts w:eastAsia="Calibri"/>
                <w:sz w:val="18"/>
                <w:szCs w:val="18"/>
              </w:rPr>
            </w:pPr>
          </w:p>
        </w:tc>
      </w:tr>
      <w:tr w:rsidRPr="005B345A" w:rsidR="00BB7CBB" w:rsidTr="00EA35F4" w14:paraId="71A17F88" w14:textId="77777777">
        <w:trPr>
          <w:trHeight w:val="350"/>
        </w:trPr>
        <w:tc>
          <w:tcPr>
            <w:tcW w:w="1435" w:type="dxa"/>
            <w:vMerge w:val="restart"/>
          </w:tcPr>
          <w:p w:rsidRPr="005A23F0" w:rsidR="00BB7CBB" w:rsidP="005D302C" w:rsidRDefault="00BB7CBB" w14:paraId="43E8B9BF" w14:textId="77777777">
            <w:pPr>
              <w:contextualSpacing/>
              <w:rPr>
                <w:rFonts w:eastAsia="Calibri"/>
              </w:rPr>
            </w:pPr>
            <w:r w:rsidRPr="005A23F0">
              <w:rPr>
                <w:rFonts w:eastAsia="Calibri"/>
              </w:rPr>
              <w:t>Wave 3</w:t>
            </w:r>
          </w:p>
          <w:p w:rsidR="008820AD" w:rsidP="005D302C" w:rsidRDefault="008820AD" w14:paraId="2F5DEDBA" w14:textId="77777777">
            <w:pPr>
              <w:contextualSpacing/>
              <w:rPr>
                <w:rFonts w:eastAsia="Calibri"/>
              </w:rPr>
            </w:pPr>
          </w:p>
          <w:p w:rsidRPr="005A23F0" w:rsidR="00BB7CBB" w:rsidP="005D302C" w:rsidRDefault="00BB7CBB" w14:paraId="522AB3EB" w14:textId="3472B386">
            <w:pPr>
              <w:contextualSpacing/>
              <w:rPr>
                <w:rFonts w:eastAsia="Calibri"/>
              </w:rPr>
            </w:pPr>
            <w:r w:rsidRPr="005A23F0">
              <w:rPr>
                <w:rFonts w:eastAsia="Calibri"/>
              </w:rPr>
              <w:t>NHTSA Form 1579</w:t>
            </w:r>
          </w:p>
        </w:tc>
        <w:tc>
          <w:tcPr>
            <w:tcW w:w="1260" w:type="dxa"/>
            <w:vMerge w:val="restart"/>
            <w:vAlign w:val="center"/>
          </w:tcPr>
          <w:p w:rsidRPr="005A23F0" w:rsidR="00BB7CBB" w:rsidP="00EA35F4" w:rsidRDefault="00BB7CBB" w14:paraId="4B452EEA" w14:textId="77777777">
            <w:pPr>
              <w:ind w:right="28"/>
              <w:contextualSpacing/>
              <w:jc w:val="center"/>
              <w:rPr>
                <w:rFonts w:eastAsia="Calibri"/>
              </w:rPr>
            </w:pPr>
            <w:r w:rsidRPr="005A23F0">
              <w:rPr>
                <w:rFonts w:eastAsia="Calibri"/>
              </w:rPr>
              <w:t>31,787</w:t>
            </w:r>
          </w:p>
        </w:tc>
        <w:tc>
          <w:tcPr>
            <w:tcW w:w="2160" w:type="dxa"/>
            <w:vAlign w:val="center"/>
          </w:tcPr>
          <w:p w:rsidRPr="005A23F0" w:rsidR="00BB7CBB" w:rsidP="00EA35F4" w:rsidRDefault="00BB7CBB" w14:paraId="38259A1B" w14:textId="77777777">
            <w:pPr>
              <w:contextualSpacing/>
              <w:rPr>
                <w:rFonts w:eastAsia="Calibri"/>
              </w:rPr>
            </w:pPr>
            <w:r w:rsidRPr="005A23F0">
              <w:rPr>
                <w:rFonts w:eastAsia="Calibri"/>
              </w:rPr>
              <w:t>Non-respondent</w:t>
            </w:r>
          </w:p>
        </w:tc>
        <w:tc>
          <w:tcPr>
            <w:tcW w:w="990" w:type="dxa"/>
            <w:vAlign w:val="center"/>
          </w:tcPr>
          <w:p w:rsidRPr="005A23F0" w:rsidR="00BB7CBB" w:rsidP="00EA35F4" w:rsidRDefault="00BB7CBB" w14:paraId="1595C225" w14:textId="77777777">
            <w:pPr>
              <w:contextualSpacing/>
              <w:jc w:val="center"/>
              <w:rPr>
                <w:rFonts w:eastAsia="Calibri"/>
              </w:rPr>
            </w:pPr>
            <w:r w:rsidRPr="005A23F0">
              <w:rPr>
                <w:rFonts w:eastAsia="Calibri"/>
              </w:rPr>
              <w:t>1</w:t>
            </w:r>
          </w:p>
        </w:tc>
        <w:tc>
          <w:tcPr>
            <w:tcW w:w="540" w:type="dxa"/>
            <w:vAlign w:val="center"/>
          </w:tcPr>
          <w:p w:rsidRPr="005A23F0" w:rsidR="00BB7CBB" w:rsidP="00EA35F4" w:rsidRDefault="00BB7CBB" w14:paraId="2D45D218"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6A99B596" w14:textId="77777777">
            <w:pPr>
              <w:contextualSpacing/>
              <w:jc w:val="center"/>
              <w:rPr>
                <w:rFonts w:eastAsia="Calibri"/>
              </w:rPr>
            </w:pPr>
            <w:r w:rsidRPr="005A23F0">
              <w:rPr>
                <w:rFonts w:eastAsia="Calibri"/>
              </w:rPr>
              <w:t>30,833</w:t>
            </w:r>
          </w:p>
        </w:tc>
        <w:tc>
          <w:tcPr>
            <w:tcW w:w="1080" w:type="dxa"/>
            <w:vAlign w:val="center"/>
          </w:tcPr>
          <w:p w:rsidRPr="005A23F0" w:rsidR="00BB7CBB" w:rsidP="00EA35F4" w:rsidRDefault="00BB7CBB" w14:paraId="25D837A6" w14:textId="77777777">
            <w:pPr>
              <w:contextualSpacing/>
              <w:jc w:val="center"/>
              <w:rPr>
                <w:rFonts w:eastAsia="Calibri"/>
              </w:rPr>
            </w:pPr>
            <w:r w:rsidRPr="005A23F0">
              <w:rPr>
                <w:rFonts w:eastAsia="Calibri"/>
              </w:rPr>
              <w:t>514</w:t>
            </w:r>
          </w:p>
        </w:tc>
        <w:tc>
          <w:tcPr>
            <w:tcW w:w="985" w:type="dxa"/>
            <w:vMerge w:val="restart"/>
            <w:vAlign w:val="center"/>
          </w:tcPr>
          <w:p w:rsidRPr="005A23F0" w:rsidR="00BB7CBB" w:rsidP="00EA35F4" w:rsidRDefault="00BB7CBB" w14:paraId="72DBB451" w14:textId="77777777">
            <w:pPr>
              <w:contextualSpacing/>
              <w:jc w:val="center"/>
              <w:rPr>
                <w:rFonts w:eastAsia="Calibri"/>
              </w:rPr>
            </w:pPr>
            <w:r w:rsidRPr="005A23F0">
              <w:rPr>
                <w:rFonts w:eastAsia="Calibri"/>
              </w:rPr>
              <w:t>708</w:t>
            </w:r>
          </w:p>
        </w:tc>
      </w:tr>
      <w:tr w:rsidRPr="005B345A" w:rsidR="00BB7CBB" w:rsidTr="00EA35F4" w14:paraId="3AE275AB" w14:textId="77777777">
        <w:trPr>
          <w:trHeight w:val="341"/>
        </w:trPr>
        <w:tc>
          <w:tcPr>
            <w:tcW w:w="1435" w:type="dxa"/>
            <w:vMerge/>
          </w:tcPr>
          <w:p w:rsidRPr="005A23F0" w:rsidR="00BB7CBB" w:rsidP="005D302C" w:rsidRDefault="00BB7CBB" w14:paraId="5BA68B33" w14:textId="77777777">
            <w:pPr>
              <w:contextualSpacing/>
              <w:rPr>
                <w:rFonts w:eastAsia="Calibri"/>
              </w:rPr>
            </w:pPr>
          </w:p>
        </w:tc>
        <w:tc>
          <w:tcPr>
            <w:tcW w:w="1260" w:type="dxa"/>
            <w:vMerge/>
            <w:vAlign w:val="center"/>
          </w:tcPr>
          <w:p w:rsidRPr="005A23F0" w:rsidR="00BB7CBB" w:rsidP="00EA35F4" w:rsidRDefault="00BB7CBB" w14:paraId="1F371B0A" w14:textId="77777777">
            <w:pPr>
              <w:ind w:right="28"/>
              <w:contextualSpacing/>
              <w:jc w:val="center"/>
              <w:rPr>
                <w:rFonts w:eastAsia="Calibri"/>
              </w:rPr>
            </w:pPr>
          </w:p>
        </w:tc>
        <w:tc>
          <w:tcPr>
            <w:tcW w:w="2160" w:type="dxa"/>
            <w:vAlign w:val="center"/>
          </w:tcPr>
          <w:p w:rsidRPr="005A23F0" w:rsidR="00BB7CBB" w:rsidP="00EA35F4" w:rsidRDefault="00BB7CBB" w14:paraId="20151D9C" w14:textId="77777777">
            <w:pPr>
              <w:contextualSpacing/>
              <w:rPr>
                <w:rFonts w:eastAsia="Calibri"/>
              </w:rPr>
            </w:pPr>
            <w:r w:rsidRPr="005A23F0">
              <w:rPr>
                <w:rFonts w:eastAsia="Calibri"/>
              </w:rPr>
              <w:t>Ineligible respondent</w:t>
            </w:r>
          </w:p>
        </w:tc>
        <w:tc>
          <w:tcPr>
            <w:tcW w:w="990" w:type="dxa"/>
            <w:vAlign w:val="center"/>
          </w:tcPr>
          <w:p w:rsidRPr="005A23F0" w:rsidR="00BB7CBB" w:rsidP="00EA35F4" w:rsidRDefault="00BB7CBB" w14:paraId="651DAE61" w14:textId="77777777">
            <w:pPr>
              <w:contextualSpacing/>
              <w:jc w:val="center"/>
              <w:rPr>
                <w:rFonts w:eastAsia="Calibri"/>
              </w:rPr>
            </w:pPr>
            <w:r w:rsidRPr="005A23F0">
              <w:rPr>
                <w:rFonts w:eastAsia="Calibri"/>
              </w:rPr>
              <w:t>1</w:t>
            </w:r>
          </w:p>
        </w:tc>
        <w:tc>
          <w:tcPr>
            <w:tcW w:w="540" w:type="dxa"/>
            <w:vAlign w:val="center"/>
          </w:tcPr>
          <w:p w:rsidRPr="005A23F0" w:rsidR="00BB7CBB" w:rsidP="00EA35F4" w:rsidRDefault="00BB7CBB" w14:paraId="3EB7AEBB"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27B72090" w14:textId="77777777">
            <w:pPr>
              <w:contextualSpacing/>
              <w:jc w:val="center"/>
              <w:rPr>
                <w:rFonts w:eastAsia="Calibri"/>
              </w:rPr>
            </w:pPr>
            <w:r w:rsidRPr="005A23F0">
              <w:rPr>
                <w:rFonts w:eastAsia="Calibri"/>
              </w:rPr>
              <w:t>191</w:t>
            </w:r>
          </w:p>
        </w:tc>
        <w:tc>
          <w:tcPr>
            <w:tcW w:w="1080" w:type="dxa"/>
            <w:vAlign w:val="center"/>
          </w:tcPr>
          <w:p w:rsidRPr="005A23F0" w:rsidR="00BB7CBB" w:rsidP="00EA35F4" w:rsidRDefault="00BB7CBB" w14:paraId="37690BFB" w14:textId="77777777">
            <w:pPr>
              <w:contextualSpacing/>
              <w:jc w:val="center"/>
              <w:rPr>
                <w:rFonts w:eastAsia="Calibri"/>
              </w:rPr>
            </w:pPr>
            <w:r w:rsidRPr="005A23F0">
              <w:rPr>
                <w:rFonts w:eastAsia="Calibri"/>
              </w:rPr>
              <w:t>3</w:t>
            </w:r>
          </w:p>
        </w:tc>
        <w:tc>
          <w:tcPr>
            <w:tcW w:w="985" w:type="dxa"/>
            <w:vMerge/>
            <w:vAlign w:val="center"/>
          </w:tcPr>
          <w:p w:rsidRPr="005A23F0" w:rsidR="00BB7CBB" w:rsidP="00EA35F4" w:rsidRDefault="00BB7CBB" w14:paraId="53FD6397" w14:textId="77777777">
            <w:pPr>
              <w:contextualSpacing/>
              <w:jc w:val="center"/>
              <w:rPr>
                <w:rFonts w:eastAsia="Calibri"/>
              </w:rPr>
            </w:pPr>
          </w:p>
        </w:tc>
      </w:tr>
      <w:tr w:rsidRPr="005B345A" w:rsidR="00BB7CBB" w:rsidTr="00EA35F4" w14:paraId="1C252E11" w14:textId="77777777">
        <w:trPr>
          <w:trHeight w:val="350"/>
        </w:trPr>
        <w:tc>
          <w:tcPr>
            <w:tcW w:w="1435" w:type="dxa"/>
            <w:vMerge/>
          </w:tcPr>
          <w:p w:rsidRPr="005A23F0" w:rsidR="00BB7CBB" w:rsidP="005D302C" w:rsidRDefault="00BB7CBB" w14:paraId="1CC8E47C" w14:textId="77777777">
            <w:pPr>
              <w:contextualSpacing/>
              <w:rPr>
                <w:rFonts w:eastAsia="Calibri"/>
              </w:rPr>
            </w:pPr>
          </w:p>
        </w:tc>
        <w:tc>
          <w:tcPr>
            <w:tcW w:w="1260" w:type="dxa"/>
            <w:vMerge/>
            <w:vAlign w:val="center"/>
          </w:tcPr>
          <w:p w:rsidRPr="005A23F0" w:rsidR="00BB7CBB" w:rsidP="00EA35F4" w:rsidRDefault="00BB7CBB" w14:paraId="61F227D6" w14:textId="77777777">
            <w:pPr>
              <w:ind w:right="28"/>
              <w:contextualSpacing/>
              <w:jc w:val="center"/>
              <w:rPr>
                <w:rFonts w:eastAsia="Calibri"/>
              </w:rPr>
            </w:pPr>
          </w:p>
        </w:tc>
        <w:tc>
          <w:tcPr>
            <w:tcW w:w="2160" w:type="dxa"/>
            <w:vAlign w:val="center"/>
          </w:tcPr>
          <w:p w:rsidRPr="005A23F0" w:rsidR="00BB7CBB" w:rsidP="00EA35F4" w:rsidRDefault="00BB7CBB" w14:paraId="21EF1ED3" w14:textId="77777777">
            <w:pPr>
              <w:contextualSpacing/>
              <w:rPr>
                <w:rFonts w:eastAsia="Calibri"/>
              </w:rPr>
            </w:pPr>
            <w:r w:rsidRPr="005A23F0">
              <w:rPr>
                <w:rFonts w:eastAsia="Calibri"/>
              </w:rPr>
              <w:t>Eligible respondent</w:t>
            </w:r>
          </w:p>
        </w:tc>
        <w:tc>
          <w:tcPr>
            <w:tcW w:w="990" w:type="dxa"/>
            <w:vAlign w:val="center"/>
          </w:tcPr>
          <w:p w:rsidRPr="005A23F0" w:rsidR="00BB7CBB" w:rsidP="00EA35F4" w:rsidRDefault="00BB7CBB" w14:paraId="6D7E5593" w14:textId="77777777">
            <w:pPr>
              <w:contextualSpacing/>
              <w:jc w:val="center"/>
              <w:rPr>
                <w:rFonts w:eastAsia="Calibri"/>
              </w:rPr>
            </w:pPr>
            <w:r w:rsidRPr="005A23F0">
              <w:rPr>
                <w:rFonts w:eastAsia="Calibri"/>
              </w:rPr>
              <w:t>15</w:t>
            </w:r>
          </w:p>
        </w:tc>
        <w:tc>
          <w:tcPr>
            <w:tcW w:w="540" w:type="dxa"/>
            <w:vAlign w:val="center"/>
          </w:tcPr>
          <w:p w:rsidRPr="005A23F0" w:rsidR="00BB7CBB" w:rsidP="00EA35F4" w:rsidRDefault="00BB7CBB" w14:paraId="22A5C8D6"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4D168AE4" w14:textId="77777777">
            <w:pPr>
              <w:contextualSpacing/>
              <w:jc w:val="center"/>
              <w:rPr>
                <w:rFonts w:eastAsia="Calibri"/>
              </w:rPr>
            </w:pPr>
            <w:r w:rsidRPr="005A23F0">
              <w:rPr>
                <w:rFonts w:eastAsia="Calibri"/>
              </w:rPr>
              <w:t>763</w:t>
            </w:r>
          </w:p>
        </w:tc>
        <w:tc>
          <w:tcPr>
            <w:tcW w:w="1080" w:type="dxa"/>
            <w:vAlign w:val="center"/>
          </w:tcPr>
          <w:p w:rsidRPr="005A23F0" w:rsidR="00BB7CBB" w:rsidP="00EA35F4" w:rsidRDefault="00BB7CBB" w14:paraId="74DB1BCD" w14:textId="77777777">
            <w:pPr>
              <w:contextualSpacing/>
              <w:jc w:val="center"/>
              <w:rPr>
                <w:rFonts w:eastAsia="Calibri"/>
              </w:rPr>
            </w:pPr>
            <w:r w:rsidRPr="005A23F0">
              <w:rPr>
                <w:rFonts w:eastAsia="Calibri"/>
              </w:rPr>
              <w:t>191</w:t>
            </w:r>
          </w:p>
        </w:tc>
        <w:tc>
          <w:tcPr>
            <w:tcW w:w="985" w:type="dxa"/>
            <w:vMerge/>
            <w:vAlign w:val="center"/>
          </w:tcPr>
          <w:p w:rsidRPr="005A23F0" w:rsidR="00BB7CBB" w:rsidP="00EA35F4" w:rsidRDefault="00BB7CBB" w14:paraId="14C6728C" w14:textId="77777777">
            <w:pPr>
              <w:contextualSpacing/>
              <w:jc w:val="center"/>
              <w:rPr>
                <w:rFonts w:eastAsia="Calibri"/>
              </w:rPr>
            </w:pPr>
          </w:p>
        </w:tc>
      </w:tr>
      <w:tr w:rsidRPr="005B345A" w:rsidR="00BB7CBB" w:rsidTr="00EA35F4" w14:paraId="732EBBE3" w14:textId="77777777">
        <w:trPr>
          <w:trHeight w:val="314"/>
        </w:trPr>
        <w:tc>
          <w:tcPr>
            <w:tcW w:w="1435" w:type="dxa"/>
            <w:vMerge w:val="restart"/>
          </w:tcPr>
          <w:p w:rsidRPr="005A23F0" w:rsidR="00BB7CBB" w:rsidP="005D302C" w:rsidRDefault="00BB7CBB" w14:paraId="59650769" w14:textId="77777777">
            <w:pPr>
              <w:contextualSpacing/>
              <w:rPr>
                <w:rFonts w:eastAsia="Calibri"/>
              </w:rPr>
            </w:pPr>
            <w:r w:rsidRPr="005A23F0">
              <w:rPr>
                <w:rFonts w:eastAsia="Calibri"/>
              </w:rPr>
              <w:t>Wave 4</w:t>
            </w:r>
          </w:p>
          <w:p w:rsidR="008820AD" w:rsidP="005D302C" w:rsidRDefault="008820AD" w14:paraId="5F7D7EAB" w14:textId="77777777">
            <w:pPr>
              <w:contextualSpacing/>
              <w:rPr>
                <w:rFonts w:eastAsia="Calibri"/>
              </w:rPr>
            </w:pPr>
          </w:p>
          <w:p w:rsidRPr="005A23F0" w:rsidR="00BB7CBB" w:rsidP="005D302C" w:rsidRDefault="00BB7CBB" w14:paraId="13DA1AB1" w14:textId="4175CE70">
            <w:pPr>
              <w:contextualSpacing/>
              <w:rPr>
                <w:rFonts w:eastAsia="Calibri"/>
              </w:rPr>
            </w:pPr>
            <w:r w:rsidRPr="005A23F0">
              <w:rPr>
                <w:rFonts w:eastAsia="Calibri"/>
              </w:rPr>
              <w:t>NHTSA Form 1580</w:t>
            </w:r>
          </w:p>
        </w:tc>
        <w:tc>
          <w:tcPr>
            <w:tcW w:w="1260" w:type="dxa"/>
            <w:vMerge w:val="restart"/>
            <w:vAlign w:val="center"/>
          </w:tcPr>
          <w:p w:rsidRPr="005A23F0" w:rsidR="00BB7CBB" w:rsidP="00EA35F4" w:rsidRDefault="00BB7CBB" w14:paraId="313EC015" w14:textId="77777777">
            <w:pPr>
              <w:ind w:right="28"/>
              <w:contextualSpacing/>
              <w:jc w:val="center"/>
              <w:rPr>
                <w:rFonts w:eastAsia="Calibri"/>
              </w:rPr>
            </w:pPr>
            <w:r w:rsidRPr="005A23F0">
              <w:rPr>
                <w:rFonts w:eastAsia="Calibri"/>
              </w:rPr>
              <w:t>30,833</w:t>
            </w:r>
          </w:p>
        </w:tc>
        <w:tc>
          <w:tcPr>
            <w:tcW w:w="2160" w:type="dxa"/>
            <w:vAlign w:val="center"/>
          </w:tcPr>
          <w:p w:rsidRPr="005A23F0" w:rsidR="00BB7CBB" w:rsidP="00EA35F4" w:rsidRDefault="00BB7CBB" w14:paraId="4F5BBFEB" w14:textId="77777777">
            <w:pPr>
              <w:contextualSpacing/>
              <w:rPr>
                <w:rFonts w:eastAsia="Calibri"/>
              </w:rPr>
            </w:pPr>
            <w:r w:rsidRPr="005A23F0">
              <w:rPr>
                <w:rFonts w:eastAsia="Calibri"/>
              </w:rPr>
              <w:t>Non-respondent</w:t>
            </w:r>
          </w:p>
        </w:tc>
        <w:tc>
          <w:tcPr>
            <w:tcW w:w="990" w:type="dxa"/>
            <w:vAlign w:val="center"/>
          </w:tcPr>
          <w:p w:rsidRPr="005A23F0" w:rsidR="00BB7CBB" w:rsidP="00EA35F4" w:rsidRDefault="00BB7CBB" w14:paraId="0DDE6F7E" w14:textId="77777777">
            <w:pPr>
              <w:contextualSpacing/>
              <w:jc w:val="center"/>
              <w:rPr>
                <w:rFonts w:eastAsia="Calibri"/>
              </w:rPr>
            </w:pPr>
            <w:r w:rsidRPr="005A23F0">
              <w:rPr>
                <w:rFonts w:eastAsia="Calibri"/>
              </w:rPr>
              <w:t>1</w:t>
            </w:r>
          </w:p>
        </w:tc>
        <w:tc>
          <w:tcPr>
            <w:tcW w:w="540" w:type="dxa"/>
            <w:vAlign w:val="center"/>
          </w:tcPr>
          <w:p w:rsidRPr="005A23F0" w:rsidR="00BB7CBB" w:rsidP="00EA35F4" w:rsidRDefault="00BB7CBB" w14:paraId="2967F570"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143F9A2A" w14:textId="77777777">
            <w:pPr>
              <w:contextualSpacing/>
              <w:jc w:val="center"/>
              <w:rPr>
                <w:rFonts w:eastAsia="Calibri"/>
              </w:rPr>
            </w:pPr>
            <w:r w:rsidRPr="005A23F0">
              <w:rPr>
                <w:rFonts w:eastAsia="Calibri"/>
              </w:rPr>
              <w:t>30,</w:t>
            </w:r>
            <w:r>
              <w:rPr>
                <w:rFonts w:eastAsia="Calibri"/>
              </w:rPr>
              <w:t>524</w:t>
            </w:r>
          </w:p>
        </w:tc>
        <w:tc>
          <w:tcPr>
            <w:tcW w:w="1080" w:type="dxa"/>
            <w:vAlign w:val="center"/>
          </w:tcPr>
          <w:p w:rsidRPr="005A23F0" w:rsidR="00BB7CBB" w:rsidP="00EA35F4" w:rsidRDefault="00BB7CBB" w14:paraId="6709F3E1" w14:textId="77777777">
            <w:pPr>
              <w:contextualSpacing/>
              <w:jc w:val="center"/>
              <w:rPr>
                <w:rFonts w:eastAsia="Calibri"/>
              </w:rPr>
            </w:pPr>
            <w:r w:rsidRPr="005A23F0">
              <w:rPr>
                <w:rFonts w:eastAsia="Calibri"/>
              </w:rPr>
              <w:t>509</w:t>
            </w:r>
          </w:p>
        </w:tc>
        <w:tc>
          <w:tcPr>
            <w:tcW w:w="985" w:type="dxa"/>
            <w:vMerge w:val="restart"/>
            <w:vAlign w:val="center"/>
          </w:tcPr>
          <w:p w:rsidRPr="005A23F0" w:rsidR="00BB7CBB" w:rsidP="00EA35F4" w:rsidRDefault="00BB7CBB" w14:paraId="03DDE88B" w14:textId="77777777">
            <w:pPr>
              <w:contextualSpacing/>
              <w:jc w:val="center"/>
              <w:rPr>
                <w:rFonts w:eastAsia="Calibri"/>
              </w:rPr>
            </w:pPr>
            <w:r w:rsidRPr="005A23F0">
              <w:rPr>
                <w:rFonts w:eastAsia="Calibri"/>
              </w:rPr>
              <w:t>57</w:t>
            </w:r>
            <w:r>
              <w:rPr>
                <w:rFonts w:eastAsia="Calibri"/>
              </w:rPr>
              <w:t>2</w:t>
            </w:r>
          </w:p>
        </w:tc>
      </w:tr>
      <w:tr w:rsidRPr="005B345A" w:rsidR="00BB7CBB" w:rsidTr="00EA35F4" w14:paraId="2FBA8982" w14:textId="77777777">
        <w:trPr>
          <w:trHeight w:val="332"/>
        </w:trPr>
        <w:tc>
          <w:tcPr>
            <w:tcW w:w="1435" w:type="dxa"/>
            <w:vMerge/>
          </w:tcPr>
          <w:p w:rsidRPr="005A23F0" w:rsidR="00BB7CBB" w:rsidP="005D302C" w:rsidRDefault="00BB7CBB" w14:paraId="62EAF7C9" w14:textId="77777777">
            <w:pPr>
              <w:contextualSpacing/>
              <w:rPr>
                <w:rFonts w:eastAsia="Calibri"/>
              </w:rPr>
            </w:pPr>
          </w:p>
        </w:tc>
        <w:tc>
          <w:tcPr>
            <w:tcW w:w="1260" w:type="dxa"/>
            <w:vMerge/>
            <w:vAlign w:val="center"/>
          </w:tcPr>
          <w:p w:rsidRPr="005A23F0" w:rsidR="00BB7CBB" w:rsidP="00EA35F4" w:rsidRDefault="00BB7CBB" w14:paraId="6B30D1D4" w14:textId="77777777">
            <w:pPr>
              <w:ind w:right="28"/>
              <w:contextualSpacing/>
              <w:jc w:val="center"/>
              <w:rPr>
                <w:rFonts w:eastAsia="Calibri"/>
              </w:rPr>
            </w:pPr>
          </w:p>
        </w:tc>
        <w:tc>
          <w:tcPr>
            <w:tcW w:w="2160" w:type="dxa"/>
            <w:vAlign w:val="center"/>
          </w:tcPr>
          <w:p w:rsidRPr="005A23F0" w:rsidR="00BB7CBB" w:rsidP="00EA35F4" w:rsidRDefault="00BB7CBB" w14:paraId="4AEE9CDD" w14:textId="77777777">
            <w:pPr>
              <w:contextualSpacing/>
              <w:rPr>
                <w:rFonts w:eastAsia="Calibri"/>
              </w:rPr>
            </w:pPr>
            <w:r w:rsidRPr="005A23F0">
              <w:rPr>
                <w:rFonts w:eastAsia="Calibri"/>
              </w:rPr>
              <w:t>Ineligible respondent</w:t>
            </w:r>
          </w:p>
        </w:tc>
        <w:tc>
          <w:tcPr>
            <w:tcW w:w="990" w:type="dxa"/>
            <w:vAlign w:val="center"/>
          </w:tcPr>
          <w:p w:rsidRPr="005A23F0" w:rsidR="00BB7CBB" w:rsidP="00EA35F4" w:rsidRDefault="00BB7CBB" w14:paraId="3F04A506" w14:textId="77777777">
            <w:pPr>
              <w:contextualSpacing/>
              <w:jc w:val="center"/>
              <w:rPr>
                <w:rFonts w:eastAsia="Calibri"/>
              </w:rPr>
            </w:pPr>
            <w:r w:rsidRPr="005A23F0">
              <w:rPr>
                <w:rFonts w:eastAsia="Calibri"/>
              </w:rPr>
              <w:t>1</w:t>
            </w:r>
          </w:p>
        </w:tc>
        <w:tc>
          <w:tcPr>
            <w:tcW w:w="540" w:type="dxa"/>
            <w:vAlign w:val="center"/>
          </w:tcPr>
          <w:p w:rsidRPr="005A23F0" w:rsidR="00BB7CBB" w:rsidP="00EA35F4" w:rsidRDefault="00BB7CBB" w14:paraId="303BAFBF"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7CD200AF" w14:textId="77777777">
            <w:pPr>
              <w:contextualSpacing/>
              <w:jc w:val="center"/>
              <w:rPr>
                <w:rFonts w:eastAsia="Calibri"/>
              </w:rPr>
            </w:pPr>
            <w:r w:rsidRPr="005A23F0">
              <w:rPr>
                <w:rFonts w:eastAsia="Calibri"/>
              </w:rPr>
              <w:t>6</w:t>
            </w:r>
            <w:r>
              <w:rPr>
                <w:rFonts w:eastAsia="Calibri"/>
              </w:rPr>
              <w:t>2</w:t>
            </w:r>
          </w:p>
        </w:tc>
        <w:tc>
          <w:tcPr>
            <w:tcW w:w="1080" w:type="dxa"/>
            <w:vAlign w:val="center"/>
          </w:tcPr>
          <w:p w:rsidRPr="005A23F0" w:rsidR="00BB7CBB" w:rsidP="00EA35F4" w:rsidRDefault="00BB7CBB" w14:paraId="1F7132A9" w14:textId="77777777">
            <w:pPr>
              <w:contextualSpacing/>
              <w:jc w:val="center"/>
              <w:rPr>
                <w:rFonts w:eastAsia="Calibri"/>
              </w:rPr>
            </w:pPr>
            <w:r w:rsidRPr="005A23F0">
              <w:rPr>
                <w:rFonts w:eastAsia="Calibri"/>
              </w:rPr>
              <w:t>1</w:t>
            </w:r>
          </w:p>
        </w:tc>
        <w:tc>
          <w:tcPr>
            <w:tcW w:w="985" w:type="dxa"/>
            <w:vMerge/>
            <w:vAlign w:val="center"/>
          </w:tcPr>
          <w:p w:rsidRPr="005A23F0" w:rsidR="00BB7CBB" w:rsidP="00EA35F4" w:rsidRDefault="00BB7CBB" w14:paraId="54B14540" w14:textId="77777777">
            <w:pPr>
              <w:contextualSpacing/>
              <w:jc w:val="center"/>
              <w:rPr>
                <w:rFonts w:eastAsia="Calibri"/>
              </w:rPr>
            </w:pPr>
          </w:p>
        </w:tc>
      </w:tr>
      <w:tr w:rsidRPr="005B345A" w:rsidR="00BB7CBB" w:rsidTr="00EA35F4" w14:paraId="5EAA94F8" w14:textId="77777777">
        <w:trPr>
          <w:trHeight w:val="350"/>
        </w:trPr>
        <w:tc>
          <w:tcPr>
            <w:tcW w:w="1435" w:type="dxa"/>
            <w:vMerge/>
          </w:tcPr>
          <w:p w:rsidRPr="005A23F0" w:rsidR="00BB7CBB" w:rsidP="005D302C" w:rsidRDefault="00BB7CBB" w14:paraId="223A113A" w14:textId="77777777">
            <w:pPr>
              <w:contextualSpacing/>
              <w:rPr>
                <w:rFonts w:eastAsia="Calibri"/>
              </w:rPr>
            </w:pPr>
          </w:p>
        </w:tc>
        <w:tc>
          <w:tcPr>
            <w:tcW w:w="1260" w:type="dxa"/>
            <w:vMerge/>
            <w:vAlign w:val="center"/>
          </w:tcPr>
          <w:p w:rsidRPr="005A23F0" w:rsidR="00BB7CBB" w:rsidP="00EA35F4" w:rsidRDefault="00BB7CBB" w14:paraId="28B39F1C" w14:textId="77777777">
            <w:pPr>
              <w:ind w:right="28"/>
              <w:contextualSpacing/>
              <w:jc w:val="center"/>
              <w:rPr>
                <w:rFonts w:eastAsia="Calibri"/>
              </w:rPr>
            </w:pPr>
          </w:p>
        </w:tc>
        <w:tc>
          <w:tcPr>
            <w:tcW w:w="2160" w:type="dxa"/>
            <w:vAlign w:val="center"/>
          </w:tcPr>
          <w:p w:rsidRPr="005A23F0" w:rsidR="00BB7CBB" w:rsidP="00EA35F4" w:rsidRDefault="00BB7CBB" w14:paraId="0DEBC220" w14:textId="77777777">
            <w:pPr>
              <w:contextualSpacing/>
              <w:rPr>
                <w:rFonts w:eastAsia="Calibri"/>
              </w:rPr>
            </w:pPr>
            <w:r w:rsidRPr="005A23F0">
              <w:rPr>
                <w:rFonts w:eastAsia="Calibri"/>
              </w:rPr>
              <w:t>Eligible respondent</w:t>
            </w:r>
          </w:p>
        </w:tc>
        <w:tc>
          <w:tcPr>
            <w:tcW w:w="990" w:type="dxa"/>
            <w:vAlign w:val="center"/>
          </w:tcPr>
          <w:p w:rsidRPr="005A23F0" w:rsidR="00BB7CBB" w:rsidP="00EA35F4" w:rsidRDefault="00BB7CBB" w14:paraId="28830E02" w14:textId="77777777">
            <w:pPr>
              <w:contextualSpacing/>
              <w:jc w:val="center"/>
              <w:rPr>
                <w:rFonts w:eastAsia="Calibri"/>
              </w:rPr>
            </w:pPr>
            <w:r w:rsidRPr="005A23F0">
              <w:rPr>
                <w:rFonts w:eastAsia="Calibri"/>
              </w:rPr>
              <w:t>15</w:t>
            </w:r>
          </w:p>
        </w:tc>
        <w:tc>
          <w:tcPr>
            <w:tcW w:w="540" w:type="dxa"/>
            <w:vAlign w:val="center"/>
          </w:tcPr>
          <w:p w:rsidRPr="005A23F0" w:rsidR="00BB7CBB" w:rsidP="00EA35F4" w:rsidRDefault="00BB7CBB" w14:paraId="46BD2809"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61B5BBC8" w14:textId="77777777">
            <w:pPr>
              <w:contextualSpacing/>
              <w:jc w:val="center"/>
              <w:rPr>
                <w:rFonts w:eastAsia="Calibri"/>
              </w:rPr>
            </w:pPr>
            <w:r>
              <w:rPr>
                <w:rFonts w:eastAsia="Calibri"/>
              </w:rPr>
              <w:t>247</w:t>
            </w:r>
          </w:p>
        </w:tc>
        <w:tc>
          <w:tcPr>
            <w:tcW w:w="1080" w:type="dxa"/>
            <w:vAlign w:val="center"/>
          </w:tcPr>
          <w:p w:rsidRPr="005A23F0" w:rsidR="00BB7CBB" w:rsidP="00EA35F4" w:rsidRDefault="00BB7CBB" w14:paraId="13F1D1AF" w14:textId="77777777">
            <w:pPr>
              <w:contextualSpacing/>
              <w:jc w:val="center"/>
              <w:rPr>
                <w:rFonts w:eastAsia="Calibri"/>
              </w:rPr>
            </w:pPr>
            <w:r w:rsidRPr="005A23F0">
              <w:rPr>
                <w:rFonts w:eastAsia="Calibri"/>
              </w:rPr>
              <w:t>6</w:t>
            </w:r>
            <w:r>
              <w:rPr>
                <w:rFonts w:eastAsia="Calibri"/>
              </w:rPr>
              <w:t>2</w:t>
            </w:r>
          </w:p>
        </w:tc>
        <w:tc>
          <w:tcPr>
            <w:tcW w:w="985" w:type="dxa"/>
            <w:vMerge/>
            <w:vAlign w:val="center"/>
          </w:tcPr>
          <w:p w:rsidRPr="005A23F0" w:rsidR="00BB7CBB" w:rsidP="00EA35F4" w:rsidRDefault="00BB7CBB" w14:paraId="3F05DAE0" w14:textId="77777777">
            <w:pPr>
              <w:contextualSpacing/>
              <w:jc w:val="center"/>
              <w:rPr>
                <w:rFonts w:eastAsia="Calibri"/>
              </w:rPr>
            </w:pPr>
          </w:p>
        </w:tc>
      </w:tr>
      <w:tr w:rsidRPr="005B345A" w:rsidR="00BB7CBB" w:rsidTr="00EA35F4" w14:paraId="33E1B927" w14:textId="77777777">
        <w:trPr>
          <w:trHeight w:val="359"/>
        </w:trPr>
        <w:tc>
          <w:tcPr>
            <w:tcW w:w="1435" w:type="dxa"/>
            <w:vMerge w:val="restart"/>
          </w:tcPr>
          <w:p w:rsidRPr="005A23F0" w:rsidR="00BB7CBB" w:rsidP="005D302C" w:rsidRDefault="00BB7CBB" w14:paraId="5121E6E1" w14:textId="77777777">
            <w:pPr>
              <w:contextualSpacing/>
              <w:rPr>
                <w:rFonts w:eastAsia="Calibri"/>
              </w:rPr>
            </w:pPr>
            <w:r w:rsidRPr="005A23F0">
              <w:rPr>
                <w:rFonts w:eastAsia="Calibri"/>
              </w:rPr>
              <w:t>Wave 5</w:t>
            </w:r>
          </w:p>
          <w:p w:rsidR="008820AD" w:rsidP="005D302C" w:rsidRDefault="008820AD" w14:paraId="539AC4E7" w14:textId="77777777">
            <w:pPr>
              <w:contextualSpacing/>
              <w:rPr>
                <w:rFonts w:eastAsia="Calibri"/>
              </w:rPr>
            </w:pPr>
          </w:p>
          <w:p w:rsidRPr="005A23F0" w:rsidR="00BB7CBB" w:rsidP="005D302C" w:rsidRDefault="00BB7CBB" w14:paraId="1CA31816" w14:textId="6C715A1C">
            <w:pPr>
              <w:contextualSpacing/>
              <w:rPr>
                <w:rFonts w:eastAsia="Calibri"/>
              </w:rPr>
            </w:pPr>
            <w:r w:rsidRPr="005A23F0">
              <w:rPr>
                <w:rFonts w:eastAsia="Calibri"/>
              </w:rPr>
              <w:t>NHTSA Form 1581</w:t>
            </w:r>
          </w:p>
        </w:tc>
        <w:tc>
          <w:tcPr>
            <w:tcW w:w="1260" w:type="dxa"/>
            <w:vMerge w:val="restart"/>
            <w:vAlign w:val="center"/>
          </w:tcPr>
          <w:p w:rsidRPr="005A23F0" w:rsidR="00BB7CBB" w:rsidP="00EA35F4" w:rsidRDefault="00BB7CBB" w14:paraId="37DFCF5F" w14:textId="77777777">
            <w:pPr>
              <w:ind w:right="28"/>
              <w:contextualSpacing/>
              <w:jc w:val="center"/>
              <w:rPr>
                <w:rFonts w:eastAsia="Calibri"/>
              </w:rPr>
            </w:pPr>
            <w:r w:rsidRPr="005A23F0">
              <w:rPr>
                <w:rFonts w:eastAsia="Calibri"/>
              </w:rPr>
              <w:lastRenderedPageBreak/>
              <w:t>30,5</w:t>
            </w:r>
            <w:r>
              <w:rPr>
                <w:rFonts w:eastAsia="Calibri"/>
              </w:rPr>
              <w:t>24</w:t>
            </w:r>
          </w:p>
        </w:tc>
        <w:tc>
          <w:tcPr>
            <w:tcW w:w="2160" w:type="dxa"/>
            <w:vAlign w:val="center"/>
            <w:hideMark/>
          </w:tcPr>
          <w:p w:rsidRPr="005A23F0" w:rsidR="00BB7CBB" w:rsidP="00EA35F4" w:rsidRDefault="00BB7CBB" w14:paraId="20233F03" w14:textId="77777777">
            <w:pPr>
              <w:contextualSpacing/>
              <w:rPr>
                <w:rFonts w:eastAsia="Calibri"/>
              </w:rPr>
            </w:pPr>
            <w:r w:rsidRPr="005A23F0">
              <w:rPr>
                <w:rFonts w:eastAsia="Calibri"/>
              </w:rPr>
              <w:t>Non-respondent</w:t>
            </w:r>
          </w:p>
        </w:tc>
        <w:tc>
          <w:tcPr>
            <w:tcW w:w="990" w:type="dxa"/>
            <w:vAlign w:val="center"/>
            <w:hideMark/>
          </w:tcPr>
          <w:p w:rsidRPr="005A23F0" w:rsidR="00BB7CBB" w:rsidP="00EA35F4" w:rsidRDefault="00BB7CBB" w14:paraId="03352538" w14:textId="77777777">
            <w:pPr>
              <w:contextualSpacing/>
              <w:jc w:val="center"/>
              <w:rPr>
                <w:rFonts w:eastAsia="Calibri"/>
              </w:rPr>
            </w:pPr>
            <w:r w:rsidRPr="005A23F0">
              <w:rPr>
                <w:rFonts w:eastAsia="Calibri"/>
              </w:rPr>
              <w:t>1</w:t>
            </w:r>
          </w:p>
        </w:tc>
        <w:tc>
          <w:tcPr>
            <w:tcW w:w="540" w:type="dxa"/>
            <w:vAlign w:val="center"/>
            <w:hideMark/>
          </w:tcPr>
          <w:p w:rsidRPr="005A23F0" w:rsidR="00BB7CBB" w:rsidP="00EA35F4" w:rsidRDefault="00BB7CBB" w14:paraId="28E181A1"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6E36BE60" w14:textId="77777777">
            <w:pPr>
              <w:contextualSpacing/>
              <w:jc w:val="center"/>
              <w:rPr>
                <w:rFonts w:eastAsia="Calibri"/>
              </w:rPr>
            </w:pPr>
            <w:r w:rsidRPr="005A23F0">
              <w:rPr>
                <w:rFonts w:eastAsia="Calibri"/>
              </w:rPr>
              <w:t>30,</w:t>
            </w:r>
            <w:r>
              <w:rPr>
                <w:rFonts w:eastAsia="Calibri"/>
              </w:rPr>
              <w:t>351</w:t>
            </w:r>
          </w:p>
        </w:tc>
        <w:tc>
          <w:tcPr>
            <w:tcW w:w="1080" w:type="dxa"/>
            <w:vAlign w:val="center"/>
          </w:tcPr>
          <w:p w:rsidRPr="005A23F0" w:rsidR="00BB7CBB" w:rsidP="00EA35F4" w:rsidRDefault="00BB7CBB" w14:paraId="45326542" w14:textId="77777777">
            <w:pPr>
              <w:contextualSpacing/>
              <w:jc w:val="center"/>
              <w:rPr>
                <w:rFonts w:eastAsia="Calibri"/>
              </w:rPr>
            </w:pPr>
            <w:r w:rsidRPr="005A23F0">
              <w:rPr>
                <w:rFonts w:eastAsia="Calibri"/>
              </w:rPr>
              <w:t>50</w:t>
            </w:r>
            <w:r>
              <w:rPr>
                <w:rFonts w:eastAsia="Calibri"/>
              </w:rPr>
              <w:t>6</w:t>
            </w:r>
          </w:p>
        </w:tc>
        <w:tc>
          <w:tcPr>
            <w:tcW w:w="985" w:type="dxa"/>
            <w:vMerge w:val="restart"/>
            <w:vAlign w:val="center"/>
          </w:tcPr>
          <w:p w:rsidRPr="005A23F0" w:rsidR="00BB7CBB" w:rsidP="00EA35F4" w:rsidRDefault="00BB7CBB" w14:paraId="39635C89" w14:textId="77777777">
            <w:pPr>
              <w:contextualSpacing/>
              <w:jc w:val="center"/>
              <w:rPr>
                <w:rFonts w:eastAsia="Calibri"/>
              </w:rPr>
            </w:pPr>
            <w:r w:rsidRPr="005A23F0">
              <w:rPr>
                <w:rFonts w:eastAsia="Calibri"/>
              </w:rPr>
              <w:t>5</w:t>
            </w:r>
            <w:r>
              <w:rPr>
                <w:rFonts w:eastAsia="Calibri"/>
              </w:rPr>
              <w:t>41</w:t>
            </w:r>
          </w:p>
        </w:tc>
      </w:tr>
      <w:tr w:rsidRPr="005B345A" w:rsidR="00BB7CBB" w:rsidTr="00EA35F4" w14:paraId="1EC34C10" w14:textId="77777777">
        <w:trPr>
          <w:trHeight w:val="341"/>
        </w:trPr>
        <w:tc>
          <w:tcPr>
            <w:tcW w:w="1435" w:type="dxa"/>
            <w:vMerge/>
          </w:tcPr>
          <w:p w:rsidRPr="005A23F0" w:rsidR="00BB7CBB" w:rsidP="005D302C" w:rsidRDefault="00BB7CBB" w14:paraId="7588EEA6" w14:textId="77777777">
            <w:pPr>
              <w:contextualSpacing/>
              <w:rPr>
                <w:rFonts w:eastAsia="Calibri"/>
              </w:rPr>
            </w:pPr>
          </w:p>
        </w:tc>
        <w:tc>
          <w:tcPr>
            <w:tcW w:w="1260" w:type="dxa"/>
            <w:vMerge/>
            <w:vAlign w:val="center"/>
          </w:tcPr>
          <w:p w:rsidRPr="005A23F0" w:rsidR="00BB7CBB" w:rsidP="00EA35F4" w:rsidRDefault="00BB7CBB" w14:paraId="21383C36" w14:textId="77777777">
            <w:pPr>
              <w:ind w:right="28"/>
              <w:contextualSpacing/>
              <w:jc w:val="center"/>
              <w:rPr>
                <w:rFonts w:eastAsia="Calibri"/>
              </w:rPr>
            </w:pPr>
          </w:p>
        </w:tc>
        <w:tc>
          <w:tcPr>
            <w:tcW w:w="2160" w:type="dxa"/>
            <w:vAlign w:val="center"/>
            <w:hideMark/>
          </w:tcPr>
          <w:p w:rsidRPr="005A23F0" w:rsidR="00BB7CBB" w:rsidP="00EA35F4" w:rsidRDefault="00BB7CBB" w14:paraId="056A984C" w14:textId="77777777">
            <w:pPr>
              <w:contextualSpacing/>
              <w:rPr>
                <w:rFonts w:eastAsia="Calibri"/>
              </w:rPr>
            </w:pPr>
            <w:r w:rsidRPr="005A23F0">
              <w:rPr>
                <w:rFonts w:eastAsia="Calibri"/>
              </w:rPr>
              <w:t>Ineligible respondent</w:t>
            </w:r>
          </w:p>
        </w:tc>
        <w:tc>
          <w:tcPr>
            <w:tcW w:w="990" w:type="dxa"/>
            <w:vAlign w:val="center"/>
            <w:hideMark/>
          </w:tcPr>
          <w:p w:rsidRPr="005A23F0" w:rsidR="00BB7CBB" w:rsidP="00EA35F4" w:rsidRDefault="00BB7CBB" w14:paraId="65614352" w14:textId="77777777">
            <w:pPr>
              <w:contextualSpacing/>
              <w:jc w:val="center"/>
              <w:rPr>
                <w:rFonts w:eastAsia="Calibri"/>
              </w:rPr>
            </w:pPr>
            <w:r w:rsidRPr="005A23F0">
              <w:rPr>
                <w:rFonts w:eastAsia="Calibri"/>
              </w:rPr>
              <w:t>1</w:t>
            </w:r>
          </w:p>
        </w:tc>
        <w:tc>
          <w:tcPr>
            <w:tcW w:w="540" w:type="dxa"/>
            <w:vAlign w:val="center"/>
            <w:hideMark/>
          </w:tcPr>
          <w:p w:rsidRPr="005A23F0" w:rsidR="00BB7CBB" w:rsidP="00EA35F4" w:rsidRDefault="00BB7CBB" w14:paraId="5F6084F7"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14D9F251" w14:textId="77777777">
            <w:pPr>
              <w:contextualSpacing/>
              <w:jc w:val="center"/>
              <w:rPr>
                <w:rFonts w:eastAsia="Calibri"/>
              </w:rPr>
            </w:pPr>
            <w:r>
              <w:rPr>
                <w:rFonts w:eastAsia="Calibri"/>
              </w:rPr>
              <w:t>35</w:t>
            </w:r>
          </w:p>
        </w:tc>
        <w:tc>
          <w:tcPr>
            <w:tcW w:w="1080" w:type="dxa"/>
            <w:vAlign w:val="center"/>
          </w:tcPr>
          <w:p w:rsidRPr="005A23F0" w:rsidR="00BB7CBB" w:rsidP="00EA35F4" w:rsidRDefault="00BB7CBB" w14:paraId="0831C733" w14:textId="77777777">
            <w:pPr>
              <w:contextualSpacing/>
              <w:jc w:val="center"/>
              <w:rPr>
                <w:rFonts w:eastAsia="Calibri"/>
              </w:rPr>
            </w:pPr>
            <w:r w:rsidRPr="005A23F0">
              <w:rPr>
                <w:rFonts w:eastAsia="Calibri"/>
              </w:rPr>
              <w:t>1</w:t>
            </w:r>
          </w:p>
        </w:tc>
        <w:tc>
          <w:tcPr>
            <w:tcW w:w="985" w:type="dxa"/>
            <w:vMerge/>
            <w:vAlign w:val="center"/>
          </w:tcPr>
          <w:p w:rsidRPr="005A23F0" w:rsidR="00BB7CBB" w:rsidP="00EA35F4" w:rsidRDefault="00BB7CBB" w14:paraId="78B3A4B9" w14:textId="77777777">
            <w:pPr>
              <w:contextualSpacing/>
              <w:jc w:val="center"/>
              <w:rPr>
                <w:rFonts w:eastAsia="Calibri"/>
              </w:rPr>
            </w:pPr>
          </w:p>
        </w:tc>
      </w:tr>
      <w:tr w:rsidRPr="005B345A" w:rsidR="00BB7CBB" w:rsidTr="00EA35F4" w14:paraId="696B80B4" w14:textId="77777777">
        <w:trPr>
          <w:trHeight w:val="350"/>
        </w:trPr>
        <w:tc>
          <w:tcPr>
            <w:tcW w:w="1435" w:type="dxa"/>
            <w:vMerge/>
          </w:tcPr>
          <w:p w:rsidRPr="005A23F0" w:rsidR="00BB7CBB" w:rsidP="005D302C" w:rsidRDefault="00BB7CBB" w14:paraId="4549C938" w14:textId="77777777">
            <w:pPr>
              <w:contextualSpacing/>
              <w:rPr>
                <w:rFonts w:eastAsia="Calibri"/>
              </w:rPr>
            </w:pPr>
          </w:p>
        </w:tc>
        <w:tc>
          <w:tcPr>
            <w:tcW w:w="1260" w:type="dxa"/>
            <w:vMerge/>
            <w:vAlign w:val="center"/>
          </w:tcPr>
          <w:p w:rsidRPr="005A23F0" w:rsidR="00BB7CBB" w:rsidP="00EA35F4" w:rsidRDefault="00BB7CBB" w14:paraId="3AB94728" w14:textId="77777777">
            <w:pPr>
              <w:ind w:right="28"/>
              <w:contextualSpacing/>
              <w:jc w:val="center"/>
              <w:rPr>
                <w:rFonts w:eastAsia="Calibri"/>
              </w:rPr>
            </w:pPr>
          </w:p>
        </w:tc>
        <w:tc>
          <w:tcPr>
            <w:tcW w:w="2160" w:type="dxa"/>
            <w:vAlign w:val="center"/>
            <w:hideMark/>
          </w:tcPr>
          <w:p w:rsidRPr="005A23F0" w:rsidR="00BB7CBB" w:rsidP="00EA35F4" w:rsidRDefault="00BB7CBB" w14:paraId="70EB8CE4" w14:textId="77777777">
            <w:pPr>
              <w:contextualSpacing/>
              <w:rPr>
                <w:rFonts w:eastAsia="Calibri"/>
              </w:rPr>
            </w:pPr>
            <w:r w:rsidRPr="005A23F0">
              <w:rPr>
                <w:rFonts w:eastAsia="Calibri"/>
              </w:rPr>
              <w:t>Eligible respondent</w:t>
            </w:r>
          </w:p>
        </w:tc>
        <w:tc>
          <w:tcPr>
            <w:tcW w:w="990" w:type="dxa"/>
            <w:vAlign w:val="center"/>
            <w:hideMark/>
          </w:tcPr>
          <w:p w:rsidRPr="005A23F0" w:rsidR="00BB7CBB" w:rsidP="00EA35F4" w:rsidRDefault="00BB7CBB" w14:paraId="1788EBFC" w14:textId="77777777">
            <w:pPr>
              <w:contextualSpacing/>
              <w:jc w:val="center"/>
              <w:rPr>
                <w:rFonts w:eastAsia="Calibri"/>
              </w:rPr>
            </w:pPr>
            <w:r w:rsidRPr="005A23F0">
              <w:rPr>
                <w:rFonts w:eastAsia="Calibri"/>
              </w:rPr>
              <w:t>15</w:t>
            </w:r>
          </w:p>
        </w:tc>
        <w:tc>
          <w:tcPr>
            <w:tcW w:w="540" w:type="dxa"/>
            <w:vAlign w:val="center"/>
            <w:hideMark/>
          </w:tcPr>
          <w:p w:rsidRPr="005A23F0" w:rsidR="00BB7CBB" w:rsidP="00EA35F4" w:rsidRDefault="00BB7CBB" w14:paraId="7AD1DE69"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604E675E" w14:textId="77777777">
            <w:pPr>
              <w:contextualSpacing/>
              <w:jc w:val="center"/>
              <w:rPr>
                <w:rFonts w:eastAsia="Calibri"/>
              </w:rPr>
            </w:pPr>
            <w:r>
              <w:rPr>
                <w:rFonts w:eastAsia="Calibri"/>
              </w:rPr>
              <w:t>138</w:t>
            </w:r>
          </w:p>
        </w:tc>
        <w:tc>
          <w:tcPr>
            <w:tcW w:w="1080" w:type="dxa"/>
            <w:vAlign w:val="center"/>
          </w:tcPr>
          <w:p w:rsidRPr="005A23F0" w:rsidR="00BB7CBB" w:rsidP="00EA35F4" w:rsidRDefault="00BB7CBB" w14:paraId="3AE0597D" w14:textId="77777777">
            <w:pPr>
              <w:contextualSpacing/>
              <w:jc w:val="center"/>
              <w:rPr>
                <w:rFonts w:eastAsia="Calibri"/>
              </w:rPr>
            </w:pPr>
            <w:r>
              <w:rPr>
                <w:rFonts w:eastAsia="Calibri"/>
              </w:rPr>
              <w:t>34</w:t>
            </w:r>
          </w:p>
        </w:tc>
        <w:tc>
          <w:tcPr>
            <w:tcW w:w="985" w:type="dxa"/>
            <w:vMerge/>
            <w:vAlign w:val="center"/>
          </w:tcPr>
          <w:p w:rsidRPr="005A23F0" w:rsidR="00BB7CBB" w:rsidP="00EA35F4" w:rsidRDefault="00BB7CBB" w14:paraId="4BD5F02B" w14:textId="77777777">
            <w:pPr>
              <w:contextualSpacing/>
              <w:jc w:val="center"/>
              <w:rPr>
                <w:rFonts w:eastAsia="Calibri"/>
              </w:rPr>
            </w:pPr>
          </w:p>
        </w:tc>
      </w:tr>
      <w:tr w:rsidRPr="005B345A" w:rsidR="00BB7CBB" w:rsidTr="00EA35F4" w14:paraId="000446AB" w14:textId="77777777">
        <w:trPr>
          <w:trHeight w:val="620"/>
        </w:trPr>
        <w:tc>
          <w:tcPr>
            <w:tcW w:w="1435" w:type="dxa"/>
          </w:tcPr>
          <w:p w:rsidRPr="005A23F0" w:rsidR="00BB7CBB" w:rsidP="005D302C" w:rsidRDefault="00BB7CBB" w14:paraId="5C35667C" w14:textId="77777777">
            <w:pPr>
              <w:contextualSpacing/>
              <w:rPr>
                <w:rFonts w:eastAsia="Calibri"/>
              </w:rPr>
            </w:pPr>
            <w:r w:rsidRPr="005A23F0">
              <w:rPr>
                <w:rFonts w:eastAsia="Calibri"/>
              </w:rPr>
              <w:t>Wave 6</w:t>
            </w:r>
          </w:p>
          <w:p w:rsidR="008820AD" w:rsidP="005D302C" w:rsidRDefault="008820AD" w14:paraId="2D29E20B" w14:textId="77777777">
            <w:pPr>
              <w:contextualSpacing/>
              <w:rPr>
                <w:rFonts w:eastAsia="Calibri"/>
              </w:rPr>
            </w:pPr>
          </w:p>
          <w:p w:rsidRPr="005A23F0" w:rsidR="00BB7CBB" w:rsidP="005D302C" w:rsidRDefault="00BB7CBB" w14:paraId="07A98EDF" w14:textId="7380BEF0">
            <w:pPr>
              <w:contextualSpacing/>
              <w:rPr>
                <w:rFonts w:eastAsia="Calibri"/>
              </w:rPr>
            </w:pPr>
            <w:r w:rsidRPr="005A23F0">
              <w:rPr>
                <w:rFonts w:eastAsia="Calibri"/>
              </w:rPr>
              <w:t>NHTSA Form 1588</w:t>
            </w:r>
          </w:p>
        </w:tc>
        <w:tc>
          <w:tcPr>
            <w:tcW w:w="1260" w:type="dxa"/>
            <w:vAlign w:val="center"/>
          </w:tcPr>
          <w:p w:rsidRPr="005A23F0" w:rsidR="00BB7CBB" w:rsidP="00EA35F4" w:rsidRDefault="00BB7CBB" w14:paraId="0EDAC31A" w14:textId="77777777">
            <w:pPr>
              <w:ind w:right="28"/>
              <w:contextualSpacing/>
              <w:jc w:val="center"/>
              <w:rPr>
                <w:rFonts w:eastAsia="Calibri"/>
              </w:rPr>
            </w:pPr>
            <w:r w:rsidRPr="005A23F0">
              <w:rPr>
                <w:rFonts w:eastAsia="Calibri"/>
              </w:rPr>
              <w:t>2,</w:t>
            </w:r>
            <w:r>
              <w:rPr>
                <w:rFonts w:eastAsia="Calibri"/>
              </w:rPr>
              <w:t>486</w:t>
            </w:r>
          </w:p>
        </w:tc>
        <w:tc>
          <w:tcPr>
            <w:tcW w:w="2160" w:type="dxa"/>
            <w:vAlign w:val="center"/>
          </w:tcPr>
          <w:p w:rsidRPr="005A23F0" w:rsidR="00BB7CBB" w:rsidP="00EA35F4" w:rsidRDefault="00BB7CBB" w14:paraId="797B77DC" w14:textId="77777777">
            <w:pPr>
              <w:ind w:left="96"/>
              <w:contextualSpacing/>
              <w:rPr>
                <w:rFonts w:eastAsia="Calibri"/>
              </w:rPr>
            </w:pPr>
            <w:r>
              <w:rPr>
                <w:rFonts w:eastAsia="Calibri"/>
              </w:rPr>
              <w:t>C</w:t>
            </w:r>
            <w:r w:rsidRPr="005A23F0">
              <w:rPr>
                <w:rFonts w:eastAsia="Calibri"/>
              </w:rPr>
              <w:t xml:space="preserve">ompleted </w:t>
            </w:r>
            <w:r>
              <w:rPr>
                <w:rFonts w:eastAsia="Calibri"/>
              </w:rPr>
              <w:t>responders</w:t>
            </w:r>
          </w:p>
        </w:tc>
        <w:tc>
          <w:tcPr>
            <w:tcW w:w="990" w:type="dxa"/>
            <w:vAlign w:val="center"/>
          </w:tcPr>
          <w:p w:rsidRPr="005A23F0" w:rsidR="00BB7CBB" w:rsidP="00EA35F4" w:rsidRDefault="00BB7CBB" w14:paraId="10B234B3" w14:textId="77777777">
            <w:pPr>
              <w:contextualSpacing/>
              <w:jc w:val="center"/>
              <w:rPr>
                <w:rFonts w:eastAsia="Calibri"/>
              </w:rPr>
            </w:pPr>
            <w:r w:rsidRPr="005A23F0">
              <w:rPr>
                <w:rFonts w:eastAsia="Calibri"/>
              </w:rPr>
              <w:t>1</w:t>
            </w:r>
          </w:p>
        </w:tc>
        <w:tc>
          <w:tcPr>
            <w:tcW w:w="540" w:type="dxa"/>
            <w:vAlign w:val="center"/>
          </w:tcPr>
          <w:p w:rsidRPr="005A23F0" w:rsidR="00BB7CBB" w:rsidP="00EA35F4" w:rsidRDefault="00BB7CBB" w14:paraId="1F9C8195" w14:textId="77777777">
            <w:pPr>
              <w:contextualSpacing/>
              <w:jc w:val="center"/>
              <w:rPr>
                <w:rFonts w:eastAsia="Calibri"/>
              </w:rPr>
            </w:pPr>
            <w:r w:rsidRPr="005A23F0">
              <w:rPr>
                <w:rFonts w:eastAsia="Calibri"/>
              </w:rPr>
              <w:t>1</w:t>
            </w:r>
          </w:p>
        </w:tc>
        <w:tc>
          <w:tcPr>
            <w:tcW w:w="900" w:type="dxa"/>
            <w:vAlign w:val="center"/>
          </w:tcPr>
          <w:p w:rsidRPr="005A23F0" w:rsidR="00BB7CBB" w:rsidP="00EA35F4" w:rsidRDefault="00BB7CBB" w14:paraId="522400B4" w14:textId="77777777">
            <w:pPr>
              <w:contextualSpacing/>
              <w:jc w:val="center"/>
              <w:rPr>
                <w:rFonts w:eastAsia="Calibri"/>
              </w:rPr>
            </w:pPr>
            <w:r w:rsidRPr="005A23F0">
              <w:rPr>
                <w:rFonts w:eastAsia="Calibri"/>
              </w:rPr>
              <w:t>2,</w:t>
            </w:r>
            <w:r>
              <w:rPr>
                <w:rFonts w:eastAsia="Calibri"/>
              </w:rPr>
              <w:t>486</w:t>
            </w:r>
          </w:p>
        </w:tc>
        <w:tc>
          <w:tcPr>
            <w:tcW w:w="1080" w:type="dxa"/>
            <w:vAlign w:val="center"/>
          </w:tcPr>
          <w:p w:rsidRPr="005A23F0" w:rsidR="00BB7CBB" w:rsidP="00EA35F4" w:rsidRDefault="00BB7CBB" w14:paraId="4A3BCF7C" w14:textId="77777777">
            <w:pPr>
              <w:contextualSpacing/>
              <w:jc w:val="center"/>
              <w:rPr>
                <w:rFonts w:eastAsia="Calibri"/>
              </w:rPr>
            </w:pPr>
            <w:r w:rsidRPr="005A23F0">
              <w:rPr>
                <w:rFonts w:eastAsia="Calibri"/>
              </w:rPr>
              <w:t>4</w:t>
            </w:r>
            <w:r>
              <w:rPr>
                <w:rFonts w:eastAsia="Calibri"/>
              </w:rPr>
              <w:t>1</w:t>
            </w:r>
          </w:p>
        </w:tc>
        <w:tc>
          <w:tcPr>
            <w:tcW w:w="985" w:type="dxa"/>
            <w:vAlign w:val="center"/>
          </w:tcPr>
          <w:p w:rsidRPr="005A23F0" w:rsidR="00BB7CBB" w:rsidP="00EA35F4" w:rsidRDefault="00BB7CBB" w14:paraId="73939692" w14:textId="77777777">
            <w:pPr>
              <w:contextualSpacing/>
              <w:jc w:val="center"/>
              <w:rPr>
                <w:rFonts w:eastAsia="Calibri"/>
              </w:rPr>
            </w:pPr>
            <w:r w:rsidRPr="005A23F0">
              <w:rPr>
                <w:rFonts w:eastAsia="Calibri"/>
              </w:rPr>
              <w:t>4</w:t>
            </w:r>
            <w:r>
              <w:rPr>
                <w:rFonts w:eastAsia="Calibri"/>
              </w:rPr>
              <w:t>1</w:t>
            </w:r>
          </w:p>
        </w:tc>
      </w:tr>
      <w:tr w:rsidRPr="005B345A" w:rsidR="00BB7CBB" w:rsidTr="00391935" w14:paraId="35B56C63" w14:textId="77777777">
        <w:trPr>
          <w:trHeight w:val="395"/>
        </w:trPr>
        <w:tc>
          <w:tcPr>
            <w:tcW w:w="1435" w:type="dxa"/>
          </w:tcPr>
          <w:p w:rsidRPr="005A23F0" w:rsidR="00BB7CBB" w:rsidP="005D302C" w:rsidRDefault="00BB7CBB" w14:paraId="3F17C9B1" w14:textId="77777777">
            <w:pPr>
              <w:contextualSpacing/>
              <w:rPr>
                <w:rFonts w:eastAsia="Calibri"/>
              </w:rPr>
            </w:pPr>
            <w:r w:rsidRPr="005A23F0">
              <w:rPr>
                <w:rFonts w:eastAsia="Calibri"/>
              </w:rPr>
              <w:t>Total</w:t>
            </w:r>
          </w:p>
        </w:tc>
        <w:tc>
          <w:tcPr>
            <w:tcW w:w="1260" w:type="dxa"/>
            <w:tcBorders>
              <w:right w:val="single" w:color="FFFFFF" w:themeColor="background1" w:sz="4" w:space="0"/>
            </w:tcBorders>
          </w:tcPr>
          <w:p w:rsidRPr="005A23F0" w:rsidR="00BB7CBB" w:rsidP="005D302C" w:rsidRDefault="00BB7CBB" w14:paraId="0EA14E4B" w14:textId="77777777">
            <w:pPr>
              <w:contextualSpacing/>
              <w:jc w:val="right"/>
              <w:rPr>
                <w:rFonts w:eastAsia="Calibri"/>
              </w:rPr>
            </w:pPr>
          </w:p>
        </w:tc>
        <w:tc>
          <w:tcPr>
            <w:tcW w:w="2160" w:type="dxa"/>
            <w:tcBorders>
              <w:left w:val="single" w:color="FFFFFF" w:themeColor="background1" w:sz="4" w:space="0"/>
              <w:right w:val="single" w:color="FFFFFF" w:themeColor="background1" w:sz="4" w:space="0"/>
            </w:tcBorders>
          </w:tcPr>
          <w:p w:rsidRPr="005A23F0" w:rsidR="00BB7CBB" w:rsidP="005D302C" w:rsidRDefault="00BB7CBB" w14:paraId="5D453D0E" w14:textId="77777777">
            <w:pPr>
              <w:contextualSpacing/>
              <w:jc w:val="right"/>
              <w:rPr>
                <w:rFonts w:eastAsia="Calibri"/>
              </w:rPr>
            </w:pPr>
          </w:p>
        </w:tc>
        <w:tc>
          <w:tcPr>
            <w:tcW w:w="990" w:type="dxa"/>
            <w:tcBorders>
              <w:left w:val="single" w:color="FFFFFF" w:themeColor="background1" w:sz="4" w:space="0"/>
              <w:right w:val="single" w:color="FFFFFF" w:themeColor="background1" w:sz="4" w:space="0"/>
            </w:tcBorders>
          </w:tcPr>
          <w:p w:rsidRPr="005A23F0" w:rsidR="00BB7CBB" w:rsidP="005D302C" w:rsidRDefault="00BB7CBB" w14:paraId="44442990" w14:textId="77777777">
            <w:pPr>
              <w:contextualSpacing/>
              <w:jc w:val="center"/>
              <w:rPr>
                <w:rFonts w:eastAsia="Calibri"/>
              </w:rPr>
            </w:pPr>
          </w:p>
        </w:tc>
        <w:tc>
          <w:tcPr>
            <w:tcW w:w="540" w:type="dxa"/>
            <w:tcBorders>
              <w:left w:val="single" w:color="FFFFFF" w:themeColor="background1" w:sz="4" w:space="0"/>
              <w:right w:val="single" w:color="FFFFFF" w:themeColor="background1" w:sz="4" w:space="0"/>
            </w:tcBorders>
          </w:tcPr>
          <w:p w:rsidRPr="005A23F0" w:rsidR="00BB7CBB" w:rsidP="005D302C" w:rsidRDefault="00BB7CBB" w14:paraId="05FB4D3C" w14:textId="77777777">
            <w:pPr>
              <w:contextualSpacing/>
              <w:jc w:val="center"/>
              <w:rPr>
                <w:rFonts w:eastAsia="Calibri"/>
              </w:rPr>
            </w:pPr>
          </w:p>
        </w:tc>
        <w:tc>
          <w:tcPr>
            <w:tcW w:w="900" w:type="dxa"/>
            <w:tcBorders>
              <w:left w:val="single" w:color="FFFFFF" w:themeColor="background1" w:sz="4" w:space="0"/>
              <w:right w:val="single" w:color="FFFFFF" w:themeColor="background1" w:sz="4" w:space="0"/>
            </w:tcBorders>
          </w:tcPr>
          <w:p w:rsidRPr="005A23F0" w:rsidR="00BB7CBB" w:rsidP="005D302C" w:rsidRDefault="00BB7CBB" w14:paraId="14CEBB0F" w14:textId="77777777">
            <w:pPr>
              <w:contextualSpacing/>
              <w:jc w:val="center"/>
              <w:rPr>
                <w:rFonts w:eastAsia="Calibri"/>
              </w:rPr>
            </w:pPr>
          </w:p>
        </w:tc>
        <w:tc>
          <w:tcPr>
            <w:tcW w:w="1080" w:type="dxa"/>
            <w:tcBorders>
              <w:left w:val="single" w:color="FFFFFF" w:themeColor="background1" w:sz="4" w:space="0"/>
            </w:tcBorders>
          </w:tcPr>
          <w:p w:rsidRPr="005A23F0" w:rsidR="00BB7CBB" w:rsidP="005D302C" w:rsidRDefault="00BB7CBB" w14:paraId="59EAF422" w14:textId="77777777">
            <w:pPr>
              <w:contextualSpacing/>
              <w:jc w:val="center"/>
              <w:rPr>
                <w:rFonts w:eastAsia="Calibri"/>
              </w:rPr>
            </w:pPr>
          </w:p>
        </w:tc>
        <w:tc>
          <w:tcPr>
            <w:tcW w:w="985" w:type="dxa"/>
          </w:tcPr>
          <w:p w:rsidRPr="005A23F0" w:rsidR="00BB7CBB" w:rsidP="005D302C" w:rsidRDefault="00BB7CBB" w14:paraId="25A49358" w14:textId="77777777">
            <w:pPr>
              <w:contextualSpacing/>
              <w:jc w:val="center"/>
              <w:rPr>
                <w:rFonts w:eastAsia="Calibri"/>
              </w:rPr>
            </w:pPr>
            <w:r w:rsidRPr="005A23F0">
              <w:rPr>
                <w:rFonts w:eastAsia="Calibri"/>
              </w:rPr>
              <w:t>3,</w:t>
            </w:r>
            <w:r>
              <w:rPr>
                <w:rFonts w:eastAsia="Calibri"/>
              </w:rPr>
              <w:t>289</w:t>
            </w:r>
          </w:p>
        </w:tc>
      </w:tr>
    </w:tbl>
    <w:p w:rsidRPr="002335CD" w:rsidR="00E54229" w:rsidP="002335CD" w:rsidRDefault="00E54229" w14:paraId="4B43B89C" w14:textId="26D5DEB8">
      <w:r w:rsidRPr="002335CD">
        <w:t xml:space="preserve">* </w:t>
      </w:r>
      <w:r w:rsidRPr="003A6B89" w:rsidR="006B7650">
        <w:rPr>
          <w:sz w:val="20"/>
          <w:szCs w:val="20"/>
        </w:rPr>
        <w:t>burden hour</w:t>
      </w:r>
      <w:r w:rsidRPr="003A6B89">
        <w:rPr>
          <w:sz w:val="20"/>
          <w:szCs w:val="20"/>
        </w:rPr>
        <w:t xml:space="preserve"> estimates are rounde</w:t>
      </w:r>
      <w:r w:rsidRPr="003A6B89" w:rsidR="00E34660">
        <w:rPr>
          <w:sz w:val="20"/>
          <w:szCs w:val="20"/>
        </w:rPr>
        <w:t>d</w:t>
      </w:r>
      <w:r w:rsidRPr="003A6B89">
        <w:rPr>
          <w:sz w:val="20"/>
          <w:szCs w:val="20"/>
        </w:rPr>
        <w:t xml:space="preserve"> to the nearest hour. </w:t>
      </w:r>
    </w:p>
    <w:bookmarkEnd w:id="26"/>
    <w:p w:rsidRPr="00703D8E" w:rsidR="00DE3EF0" w:rsidP="00703D8E" w:rsidRDefault="00DE3EF0" w14:paraId="07B3443B" w14:textId="77777777">
      <w:r w:rsidRPr="00703D8E">
        <w:t xml:space="preserve">Table 3 provides total burden hours associated with each NHTSA form. For example, 2,486 anticipated responders who provide completed questionnaires (NHTSA </w:t>
      </w:r>
      <w:r>
        <w:t xml:space="preserve">Forms 1582 and 1583) are expected to spend 14 minutes each, resulting in an estimated burden of 580 hours. </w:t>
      </w:r>
    </w:p>
    <w:p w:rsidRPr="00DE3EF0" w:rsidR="00DE3EF0" w:rsidP="00DE3EF0" w:rsidRDefault="00DE3EF0" w14:paraId="4385BB1F" w14:textId="26709DC5">
      <w:pPr>
        <w:pStyle w:val="Caption"/>
        <w:keepNext/>
        <w:rPr>
          <w:b w:val="0"/>
          <w:bCs w:val="0"/>
          <w:i/>
          <w:iCs/>
          <w:sz w:val="22"/>
          <w:szCs w:val="22"/>
        </w:rPr>
      </w:pPr>
      <w:r w:rsidRPr="00DE3EF0">
        <w:rPr>
          <w:b w:val="0"/>
          <w:bCs w:val="0"/>
          <w:i/>
          <w:iCs/>
          <w:sz w:val="22"/>
          <w:szCs w:val="22"/>
        </w:rPr>
        <w:t xml:space="preserve">Table </w:t>
      </w:r>
      <w:r w:rsidRPr="00DE3EF0">
        <w:rPr>
          <w:b w:val="0"/>
          <w:bCs w:val="0"/>
          <w:i/>
          <w:iCs/>
          <w:sz w:val="22"/>
          <w:szCs w:val="22"/>
        </w:rPr>
        <w:fldChar w:fldCharType="begin"/>
      </w:r>
      <w:r w:rsidRPr="00DE3EF0">
        <w:rPr>
          <w:b w:val="0"/>
          <w:bCs w:val="0"/>
          <w:i/>
          <w:iCs/>
          <w:sz w:val="22"/>
          <w:szCs w:val="22"/>
        </w:rPr>
        <w:instrText xml:space="preserve"> SEQ Table \* ARABIC </w:instrText>
      </w:r>
      <w:r w:rsidRPr="00DE3EF0">
        <w:rPr>
          <w:b w:val="0"/>
          <w:bCs w:val="0"/>
          <w:i/>
          <w:iCs/>
          <w:sz w:val="22"/>
          <w:szCs w:val="22"/>
        </w:rPr>
        <w:fldChar w:fldCharType="separate"/>
      </w:r>
      <w:r w:rsidRPr="00DE3EF0">
        <w:rPr>
          <w:b w:val="0"/>
          <w:bCs w:val="0"/>
          <w:i/>
          <w:iCs/>
          <w:noProof/>
          <w:sz w:val="22"/>
          <w:szCs w:val="22"/>
        </w:rPr>
        <w:t>3</w:t>
      </w:r>
      <w:r w:rsidRPr="00DE3EF0">
        <w:rPr>
          <w:b w:val="0"/>
          <w:bCs w:val="0"/>
          <w:i/>
          <w:iCs/>
          <w:sz w:val="22"/>
          <w:szCs w:val="22"/>
        </w:rPr>
        <w:fldChar w:fldCharType="end"/>
      </w:r>
      <w:r w:rsidRPr="00DE3EF0">
        <w:rPr>
          <w:b w:val="0"/>
          <w:bCs w:val="0"/>
          <w:i/>
          <w:iCs/>
          <w:sz w:val="22"/>
          <w:szCs w:val="22"/>
        </w:rPr>
        <w:t xml:space="preserve"> Estimated Total Burden by NHTSA Form for the Data Collection.</w:t>
      </w:r>
    </w:p>
    <w:tbl>
      <w:tblPr>
        <w:tblStyle w:val="TableGrid"/>
        <w:tblW w:w="0" w:type="auto"/>
        <w:tblLayout w:type="fixed"/>
        <w:tblLook w:val="04A0" w:firstRow="1" w:lastRow="0" w:firstColumn="1" w:lastColumn="0" w:noHBand="0" w:noVBand="1"/>
      </w:tblPr>
      <w:tblGrid>
        <w:gridCol w:w="2605"/>
        <w:gridCol w:w="1980"/>
        <w:gridCol w:w="1800"/>
        <w:gridCol w:w="1530"/>
        <w:gridCol w:w="1435"/>
      </w:tblGrid>
      <w:tr w:rsidRPr="005A23F0" w:rsidR="00DE3EF0" w:rsidTr="00A42EA4" w14:paraId="23F90E86" w14:textId="77777777">
        <w:trPr>
          <w:trHeight w:val="683"/>
        </w:trPr>
        <w:tc>
          <w:tcPr>
            <w:tcW w:w="2605" w:type="dxa"/>
            <w:vAlign w:val="center"/>
          </w:tcPr>
          <w:p w:rsidRPr="005A23F0" w:rsidR="00DE3EF0" w:rsidP="00A42EA4" w:rsidRDefault="00DE3EF0" w14:paraId="435C9A5F" w14:textId="77777777">
            <w:pPr>
              <w:autoSpaceDE w:val="0"/>
              <w:autoSpaceDN w:val="0"/>
              <w:adjustRightInd w:val="0"/>
              <w:jc w:val="center"/>
            </w:pPr>
            <w:r w:rsidRPr="005A23F0">
              <w:t>Information Collection</w:t>
            </w:r>
          </w:p>
        </w:tc>
        <w:tc>
          <w:tcPr>
            <w:tcW w:w="1980" w:type="dxa"/>
            <w:vAlign w:val="center"/>
          </w:tcPr>
          <w:p w:rsidRPr="005A23F0" w:rsidR="00DE3EF0" w:rsidP="00A42EA4" w:rsidRDefault="00DE3EF0" w14:paraId="529B0727" w14:textId="77777777">
            <w:pPr>
              <w:autoSpaceDE w:val="0"/>
              <w:autoSpaceDN w:val="0"/>
              <w:adjustRightInd w:val="0"/>
              <w:jc w:val="center"/>
            </w:pPr>
            <w:r w:rsidRPr="005A23F0">
              <w:t>Number of Responses</w:t>
            </w:r>
          </w:p>
        </w:tc>
        <w:tc>
          <w:tcPr>
            <w:tcW w:w="1800" w:type="dxa"/>
            <w:vAlign w:val="center"/>
          </w:tcPr>
          <w:p w:rsidRPr="005A23F0" w:rsidR="00DE3EF0" w:rsidP="00A42EA4" w:rsidRDefault="00DE3EF0" w14:paraId="206E4F71" w14:textId="77777777">
            <w:pPr>
              <w:autoSpaceDE w:val="0"/>
              <w:autoSpaceDN w:val="0"/>
              <w:adjustRightInd w:val="0"/>
              <w:jc w:val="center"/>
            </w:pPr>
            <w:r w:rsidRPr="005A23F0">
              <w:t>Burden per Response</w:t>
            </w:r>
          </w:p>
        </w:tc>
        <w:tc>
          <w:tcPr>
            <w:tcW w:w="1530" w:type="dxa"/>
            <w:vAlign w:val="center"/>
          </w:tcPr>
          <w:p w:rsidRPr="005A23F0" w:rsidR="00DE3EF0" w:rsidP="00A42EA4" w:rsidRDefault="00DE3EF0" w14:paraId="42EA6796" w14:textId="77777777">
            <w:pPr>
              <w:autoSpaceDE w:val="0"/>
              <w:autoSpaceDN w:val="0"/>
              <w:adjustRightInd w:val="0"/>
              <w:jc w:val="center"/>
            </w:pPr>
            <w:r w:rsidRPr="005A23F0">
              <w:t>Burden per Respondent</w:t>
            </w:r>
          </w:p>
        </w:tc>
        <w:tc>
          <w:tcPr>
            <w:tcW w:w="1435" w:type="dxa"/>
            <w:vAlign w:val="center"/>
          </w:tcPr>
          <w:p w:rsidRPr="005A23F0" w:rsidR="00DE3EF0" w:rsidP="00A42EA4" w:rsidRDefault="00DE3EF0" w14:paraId="3594AE8C" w14:textId="77777777">
            <w:pPr>
              <w:autoSpaceDE w:val="0"/>
              <w:autoSpaceDN w:val="0"/>
              <w:adjustRightInd w:val="0"/>
              <w:jc w:val="center"/>
            </w:pPr>
            <w:r w:rsidRPr="005A23F0">
              <w:t>Total Burden Hours</w:t>
            </w:r>
            <w:r>
              <w:t>*</w:t>
            </w:r>
          </w:p>
        </w:tc>
      </w:tr>
      <w:tr w:rsidRPr="005A23F0" w:rsidR="00DE3EF0" w:rsidTr="00A42EA4" w14:paraId="3FFD8B6C" w14:textId="77777777">
        <w:tc>
          <w:tcPr>
            <w:tcW w:w="2605" w:type="dxa"/>
            <w:vAlign w:val="center"/>
          </w:tcPr>
          <w:p w:rsidRPr="00703D8E" w:rsidR="00DE3EF0" w:rsidP="00703D8E" w:rsidRDefault="00DE3EF0" w14:paraId="24AEE01B" w14:textId="77777777">
            <w:pPr>
              <w:contextualSpacing/>
              <w:rPr>
                <w:rFonts w:eastAsia="Calibri"/>
              </w:rPr>
            </w:pPr>
            <w:r w:rsidRPr="00703D8E">
              <w:rPr>
                <w:rFonts w:eastAsia="Calibri"/>
              </w:rPr>
              <w:t>Questionnaire - NHTSA Forms 1582 and 1583</w:t>
            </w:r>
          </w:p>
        </w:tc>
        <w:tc>
          <w:tcPr>
            <w:tcW w:w="1980" w:type="dxa"/>
            <w:vAlign w:val="center"/>
          </w:tcPr>
          <w:p w:rsidRPr="005A23F0" w:rsidR="00DE3EF0" w:rsidP="00A42EA4" w:rsidRDefault="00DE3EF0" w14:paraId="63D832D7" w14:textId="77777777">
            <w:pPr>
              <w:autoSpaceDE w:val="0"/>
              <w:autoSpaceDN w:val="0"/>
              <w:adjustRightInd w:val="0"/>
              <w:jc w:val="center"/>
            </w:pPr>
            <w:r w:rsidRPr="005A23F0">
              <w:t>2,486</w:t>
            </w:r>
          </w:p>
        </w:tc>
        <w:tc>
          <w:tcPr>
            <w:tcW w:w="1800" w:type="dxa"/>
            <w:vAlign w:val="center"/>
          </w:tcPr>
          <w:p w:rsidRPr="005A23F0" w:rsidR="00DE3EF0" w:rsidP="00A42EA4" w:rsidRDefault="00DE3EF0" w14:paraId="7823436F" w14:textId="77777777">
            <w:pPr>
              <w:autoSpaceDE w:val="0"/>
              <w:autoSpaceDN w:val="0"/>
              <w:adjustRightInd w:val="0"/>
              <w:jc w:val="center"/>
            </w:pPr>
            <w:r w:rsidRPr="005A23F0">
              <w:t>14 minutes</w:t>
            </w:r>
          </w:p>
        </w:tc>
        <w:tc>
          <w:tcPr>
            <w:tcW w:w="1530" w:type="dxa"/>
            <w:vAlign w:val="center"/>
          </w:tcPr>
          <w:p w:rsidRPr="005A23F0" w:rsidR="00DE3EF0" w:rsidP="00A42EA4" w:rsidRDefault="00DE3EF0" w14:paraId="7BDEF7A6" w14:textId="77777777">
            <w:pPr>
              <w:autoSpaceDE w:val="0"/>
              <w:autoSpaceDN w:val="0"/>
              <w:adjustRightInd w:val="0"/>
              <w:jc w:val="center"/>
            </w:pPr>
            <w:r w:rsidRPr="005A23F0">
              <w:t>14 minutes</w:t>
            </w:r>
          </w:p>
        </w:tc>
        <w:tc>
          <w:tcPr>
            <w:tcW w:w="1435" w:type="dxa"/>
            <w:vAlign w:val="center"/>
          </w:tcPr>
          <w:p w:rsidRPr="005A23F0" w:rsidR="00DE3EF0" w:rsidP="00A42EA4" w:rsidRDefault="00DE3EF0" w14:paraId="33CFA519" w14:textId="77777777">
            <w:pPr>
              <w:autoSpaceDE w:val="0"/>
              <w:autoSpaceDN w:val="0"/>
              <w:adjustRightInd w:val="0"/>
              <w:jc w:val="center"/>
            </w:pPr>
            <w:r w:rsidRPr="005A23F0">
              <w:t>5</w:t>
            </w:r>
            <w:r>
              <w:t>80</w:t>
            </w:r>
            <w:r w:rsidRPr="005A23F0">
              <w:t xml:space="preserve"> hours</w:t>
            </w:r>
          </w:p>
        </w:tc>
      </w:tr>
      <w:tr w:rsidRPr="005A23F0" w:rsidR="00DE3EF0" w:rsidTr="00A42EA4" w14:paraId="442C9396" w14:textId="77777777">
        <w:tc>
          <w:tcPr>
            <w:tcW w:w="2605" w:type="dxa"/>
            <w:vAlign w:val="center"/>
          </w:tcPr>
          <w:p w:rsidRPr="00703D8E" w:rsidR="00DE3EF0" w:rsidP="00703D8E" w:rsidRDefault="00DE3EF0" w14:paraId="7CDA71D1" w14:textId="77777777">
            <w:pPr>
              <w:contextualSpacing/>
              <w:rPr>
                <w:rFonts w:eastAsia="Calibri"/>
              </w:rPr>
            </w:pPr>
            <w:r w:rsidRPr="00703D8E">
              <w:rPr>
                <w:rFonts w:eastAsia="Calibri"/>
              </w:rPr>
              <w:t>Initial Postcard – NHTSA Form 1577</w:t>
            </w:r>
          </w:p>
        </w:tc>
        <w:tc>
          <w:tcPr>
            <w:tcW w:w="1980" w:type="dxa"/>
            <w:vAlign w:val="center"/>
          </w:tcPr>
          <w:p w:rsidRPr="005A23F0" w:rsidR="00DE3EF0" w:rsidP="00A42EA4" w:rsidRDefault="00DE3EF0" w14:paraId="634D58FB" w14:textId="77777777">
            <w:pPr>
              <w:autoSpaceDE w:val="0"/>
              <w:autoSpaceDN w:val="0"/>
              <w:adjustRightInd w:val="0"/>
              <w:jc w:val="center"/>
            </w:pPr>
            <w:r w:rsidRPr="005A23F0">
              <w:t>33,460</w:t>
            </w:r>
          </w:p>
        </w:tc>
        <w:tc>
          <w:tcPr>
            <w:tcW w:w="1800" w:type="dxa"/>
            <w:vAlign w:val="center"/>
          </w:tcPr>
          <w:p w:rsidRPr="005A23F0" w:rsidR="00DE3EF0" w:rsidP="00A42EA4" w:rsidRDefault="00DE3EF0" w14:paraId="295B9157" w14:textId="77777777">
            <w:pPr>
              <w:autoSpaceDE w:val="0"/>
              <w:autoSpaceDN w:val="0"/>
              <w:adjustRightInd w:val="0"/>
              <w:jc w:val="center"/>
            </w:pPr>
            <w:r w:rsidRPr="005A23F0">
              <w:t>1 minute</w:t>
            </w:r>
          </w:p>
        </w:tc>
        <w:tc>
          <w:tcPr>
            <w:tcW w:w="1530" w:type="dxa"/>
            <w:vAlign w:val="center"/>
          </w:tcPr>
          <w:p w:rsidRPr="005A23F0" w:rsidR="00DE3EF0" w:rsidP="00A42EA4" w:rsidRDefault="00DE3EF0" w14:paraId="38E38F9F" w14:textId="77777777">
            <w:pPr>
              <w:autoSpaceDE w:val="0"/>
              <w:autoSpaceDN w:val="0"/>
              <w:adjustRightInd w:val="0"/>
              <w:jc w:val="center"/>
            </w:pPr>
            <w:r w:rsidRPr="005A23F0">
              <w:t>1 minute</w:t>
            </w:r>
          </w:p>
        </w:tc>
        <w:tc>
          <w:tcPr>
            <w:tcW w:w="1435" w:type="dxa"/>
            <w:vAlign w:val="center"/>
          </w:tcPr>
          <w:p w:rsidRPr="005A23F0" w:rsidR="00DE3EF0" w:rsidP="00A42EA4" w:rsidRDefault="00DE3EF0" w14:paraId="0D099883" w14:textId="77777777">
            <w:pPr>
              <w:autoSpaceDE w:val="0"/>
              <w:autoSpaceDN w:val="0"/>
              <w:adjustRightInd w:val="0"/>
              <w:jc w:val="center"/>
            </w:pPr>
            <w:r w:rsidRPr="005A23F0">
              <w:t>558</w:t>
            </w:r>
          </w:p>
        </w:tc>
      </w:tr>
      <w:tr w:rsidRPr="005A23F0" w:rsidR="00DE3EF0" w:rsidTr="00A42EA4" w14:paraId="30ACEC58" w14:textId="77777777">
        <w:tc>
          <w:tcPr>
            <w:tcW w:w="2605" w:type="dxa"/>
            <w:vAlign w:val="center"/>
          </w:tcPr>
          <w:p w:rsidRPr="00703D8E" w:rsidR="00DE3EF0" w:rsidP="00703D8E" w:rsidRDefault="00DE3EF0" w14:paraId="7D26AB98" w14:textId="77777777">
            <w:pPr>
              <w:contextualSpacing/>
              <w:rPr>
                <w:rFonts w:eastAsia="Calibri"/>
              </w:rPr>
            </w:pPr>
            <w:r w:rsidRPr="00703D8E">
              <w:rPr>
                <w:rFonts w:eastAsia="Calibri"/>
              </w:rPr>
              <w:t>Invitation Letter - NHTSA Form 1578</w:t>
            </w:r>
          </w:p>
        </w:tc>
        <w:tc>
          <w:tcPr>
            <w:tcW w:w="1980" w:type="dxa"/>
            <w:vAlign w:val="center"/>
          </w:tcPr>
          <w:p w:rsidRPr="005A23F0" w:rsidR="00DE3EF0" w:rsidP="00A42EA4" w:rsidRDefault="00DE3EF0" w14:paraId="4F91D8B5" w14:textId="77777777">
            <w:pPr>
              <w:autoSpaceDE w:val="0"/>
              <w:autoSpaceDN w:val="0"/>
              <w:adjustRightInd w:val="0"/>
              <w:jc w:val="center"/>
            </w:pPr>
            <w:r w:rsidRPr="005A23F0">
              <w:t>33,460</w:t>
            </w:r>
          </w:p>
        </w:tc>
        <w:tc>
          <w:tcPr>
            <w:tcW w:w="1800" w:type="dxa"/>
            <w:vAlign w:val="center"/>
          </w:tcPr>
          <w:p w:rsidRPr="005A23F0" w:rsidR="00DE3EF0" w:rsidP="00A42EA4" w:rsidRDefault="00DE3EF0" w14:paraId="29338693" w14:textId="77777777">
            <w:pPr>
              <w:autoSpaceDE w:val="0"/>
              <w:autoSpaceDN w:val="0"/>
              <w:adjustRightInd w:val="0"/>
              <w:jc w:val="center"/>
            </w:pPr>
            <w:r w:rsidRPr="005A23F0">
              <w:t>1 minute</w:t>
            </w:r>
          </w:p>
        </w:tc>
        <w:tc>
          <w:tcPr>
            <w:tcW w:w="1530" w:type="dxa"/>
            <w:vAlign w:val="center"/>
          </w:tcPr>
          <w:p w:rsidRPr="005A23F0" w:rsidR="00DE3EF0" w:rsidP="00A42EA4" w:rsidRDefault="00DE3EF0" w14:paraId="38BE81AE" w14:textId="77777777">
            <w:pPr>
              <w:autoSpaceDE w:val="0"/>
              <w:autoSpaceDN w:val="0"/>
              <w:adjustRightInd w:val="0"/>
              <w:jc w:val="center"/>
            </w:pPr>
            <w:r w:rsidRPr="005A23F0">
              <w:t>1 minute</w:t>
            </w:r>
          </w:p>
        </w:tc>
        <w:tc>
          <w:tcPr>
            <w:tcW w:w="1435" w:type="dxa"/>
            <w:vAlign w:val="center"/>
          </w:tcPr>
          <w:p w:rsidRPr="005A23F0" w:rsidR="00DE3EF0" w:rsidP="00A42EA4" w:rsidRDefault="00DE3EF0" w14:paraId="7F81C69A" w14:textId="77777777">
            <w:pPr>
              <w:autoSpaceDE w:val="0"/>
              <w:autoSpaceDN w:val="0"/>
              <w:adjustRightInd w:val="0"/>
              <w:jc w:val="center"/>
            </w:pPr>
            <w:r w:rsidRPr="005A23F0">
              <w:t>558</w:t>
            </w:r>
          </w:p>
        </w:tc>
      </w:tr>
      <w:tr w:rsidRPr="005A23F0" w:rsidR="00DE3EF0" w:rsidTr="00A42EA4" w14:paraId="0237516B" w14:textId="77777777">
        <w:tc>
          <w:tcPr>
            <w:tcW w:w="2605" w:type="dxa"/>
            <w:vAlign w:val="center"/>
          </w:tcPr>
          <w:p w:rsidRPr="00703D8E" w:rsidR="00DE3EF0" w:rsidP="00703D8E" w:rsidRDefault="00DE3EF0" w14:paraId="74F3C31C" w14:textId="77777777">
            <w:pPr>
              <w:contextualSpacing/>
              <w:rPr>
                <w:rFonts w:eastAsia="Calibri"/>
              </w:rPr>
            </w:pPr>
            <w:r w:rsidRPr="00703D8E">
              <w:rPr>
                <w:rFonts w:eastAsia="Calibri"/>
              </w:rPr>
              <w:t>Postcard Reminder - NHTSA Form 1579</w:t>
            </w:r>
          </w:p>
        </w:tc>
        <w:tc>
          <w:tcPr>
            <w:tcW w:w="1980" w:type="dxa"/>
            <w:vAlign w:val="center"/>
          </w:tcPr>
          <w:p w:rsidRPr="005A23F0" w:rsidR="00DE3EF0" w:rsidP="00A42EA4" w:rsidRDefault="00DE3EF0" w14:paraId="4690EC87" w14:textId="77777777">
            <w:pPr>
              <w:autoSpaceDE w:val="0"/>
              <w:autoSpaceDN w:val="0"/>
              <w:adjustRightInd w:val="0"/>
              <w:jc w:val="center"/>
            </w:pPr>
            <w:r w:rsidRPr="005A23F0">
              <w:t>31,787</w:t>
            </w:r>
          </w:p>
        </w:tc>
        <w:tc>
          <w:tcPr>
            <w:tcW w:w="1800" w:type="dxa"/>
            <w:vAlign w:val="center"/>
          </w:tcPr>
          <w:p w:rsidRPr="005A23F0" w:rsidR="00DE3EF0" w:rsidP="00A42EA4" w:rsidRDefault="00DE3EF0" w14:paraId="40CECB7D" w14:textId="77777777">
            <w:pPr>
              <w:autoSpaceDE w:val="0"/>
              <w:autoSpaceDN w:val="0"/>
              <w:adjustRightInd w:val="0"/>
              <w:jc w:val="center"/>
            </w:pPr>
            <w:r w:rsidRPr="005A23F0">
              <w:t>1 minute</w:t>
            </w:r>
          </w:p>
        </w:tc>
        <w:tc>
          <w:tcPr>
            <w:tcW w:w="1530" w:type="dxa"/>
            <w:vAlign w:val="center"/>
          </w:tcPr>
          <w:p w:rsidRPr="005A23F0" w:rsidR="00DE3EF0" w:rsidP="00A42EA4" w:rsidRDefault="00DE3EF0" w14:paraId="58614915" w14:textId="77777777">
            <w:pPr>
              <w:autoSpaceDE w:val="0"/>
              <w:autoSpaceDN w:val="0"/>
              <w:adjustRightInd w:val="0"/>
              <w:jc w:val="center"/>
            </w:pPr>
            <w:r w:rsidRPr="005A23F0">
              <w:t>1 minute</w:t>
            </w:r>
          </w:p>
        </w:tc>
        <w:tc>
          <w:tcPr>
            <w:tcW w:w="1435" w:type="dxa"/>
            <w:vAlign w:val="center"/>
          </w:tcPr>
          <w:p w:rsidRPr="005A23F0" w:rsidR="00DE3EF0" w:rsidP="00A42EA4" w:rsidRDefault="00DE3EF0" w14:paraId="273DA031" w14:textId="77777777">
            <w:pPr>
              <w:autoSpaceDE w:val="0"/>
              <w:autoSpaceDN w:val="0"/>
              <w:adjustRightInd w:val="0"/>
              <w:jc w:val="center"/>
            </w:pPr>
            <w:r w:rsidRPr="005A23F0">
              <w:t>530</w:t>
            </w:r>
          </w:p>
        </w:tc>
      </w:tr>
      <w:tr w:rsidRPr="005A23F0" w:rsidR="00DE3EF0" w:rsidTr="00A42EA4" w14:paraId="73092F0B" w14:textId="77777777">
        <w:tc>
          <w:tcPr>
            <w:tcW w:w="2605" w:type="dxa"/>
            <w:vAlign w:val="center"/>
          </w:tcPr>
          <w:p w:rsidRPr="00703D8E" w:rsidR="00DE3EF0" w:rsidP="00703D8E" w:rsidRDefault="00DE3EF0" w14:paraId="1F3B32A4" w14:textId="77777777">
            <w:pPr>
              <w:contextualSpacing/>
              <w:rPr>
                <w:rFonts w:eastAsia="Calibri"/>
              </w:rPr>
            </w:pPr>
            <w:r w:rsidRPr="00703D8E">
              <w:rPr>
                <w:rFonts w:eastAsia="Calibri"/>
              </w:rPr>
              <w:t>Reminder Letter - NHTSA Form 1580</w:t>
            </w:r>
          </w:p>
        </w:tc>
        <w:tc>
          <w:tcPr>
            <w:tcW w:w="1980" w:type="dxa"/>
            <w:vAlign w:val="center"/>
          </w:tcPr>
          <w:p w:rsidRPr="005A23F0" w:rsidR="00DE3EF0" w:rsidP="00A42EA4" w:rsidRDefault="00DE3EF0" w14:paraId="3D127CF8" w14:textId="77777777">
            <w:pPr>
              <w:autoSpaceDE w:val="0"/>
              <w:autoSpaceDN w:val="0"/>
              <w:adjustRightInd w:val="0"/>
              <w:jc w:val="center"/>
            </w:pPr>
            <w:r w:rsidRPr="005A23F0">
              <w:t>30,833</w:t>
            </w:r>
          </w:p>
        </w:tc>
        <w:tc>
          <w:tcPr>
            <w:tcW w:w="1800" w:type="dxa"/>
            <w:vAlign w:val="center"/>
          </w:tcPr>
          <w:p w:rsidRPr="005A23F0" w:rsidR="00DE3EF0" w:rsidP="00A42EA4" w:rsidRDefault="00DE3EF0" w14:paraId="09511A34" w14:textId="77777777">
            <w:pPr>
              <w:autoSpaceDE w:val="0"/>
              <w:autoSpaceDN w:val="0"/>
              <w:adjustRightInd w:val="0"/>
              <w:jc w:val="center"/>
            </w:pPr>
            <w:r w:rsidRPr="005A23F0">
              <w:t>1 minute</w:t>
            </w:r>
          </w:p>
        </w:tc>
        <w:tc>
          <w:tcPr>
            <w:tcW w:w="1530" w:type="dxa"/>
            <w:vAlign w:val="center"/>
          </w:tcPr>
          <w:p w:rsidRPr="005A23F0" w:rsidR="00DE3EF0" w:rsidP="00A42EA4" w:rsidRDefault="00DE3EF0" w14:paraId="0766E3C8" w14:textId="77777777">
            <w:pPr>
              <w:autoSpaceDE w:val="0"/>
              <w:autoSpaceDN w:val="0"/>
              <w:adjustRightInd w:val="0"/>
              <w:jc w:val="center"/>
            </w:pPr>
            <w:r w:rsidRPr="005A23F0">
              <w:t>1 minute</w:t>
            </w:r>
          </w:p>
        </w:tc>
        <w:tc>
          <w:tcPr>
            <w:tcW w:w="1435" w:type="dxa"/>
            <w:vAlign w:val="center"/>
          </w:tcPr>
          <w:p w:rsidRPr="005A23F0" w:rsidR="00DE3EF0" w:rsidP="00A42EA4" w:rsidRDefault="00DE3EF0" w14:paraId="113D2D8D" w14:textId="77777777">
            <w:pPr>
              <w:autoSpaceDE w:val="0"/>
              <w:autoSpaceDN w:val="0"/>
              <w:adjustRightInd w:val="0"/>
              <w:jc w:val="center"/>
            </w:pPr>
            <w:r w:rsidRPr="005A23F0">
              <w:t>51</w:t>
            </w:r>
            <w:r>
              <w:t>4</w:t>
            </w:r>
          </w:p>
        </w:tc>
      </w:tr>
      <w:tr w:rsidRPr="005A23F0" w:rsidR="00DE3EF0" w:rsidTr="00A42EA4" w14:paraId="664E7181" w14:textId="77777777">
        <w:tc>
          <w:tcPr>
            <w:tcW w:w="2605" w:type="dxa"/>
            <w:vAlign w:val="center"/>
          </w:tcPr>
          <w:p w:rsidRPr="00703D8E" w:rsidR="00DE3EF0" w:rsidP="00703D8E" w:rsidRDefault="00DE3EF0" w14:paraId="425EBB5F" w14:textId="77777777">
            <w:pPr>
              <w:contextualSpacing/>
              <w:rPr>
                <w:rFonts w:eastAsia="Calibri"/>
              </w:rPr>
            </w:pPr>
            <w:r w:rsidRPr="00703D8E">
              <w:rPr>
                <w:rFonts w:eastAsia="Calibri"/>
              </w:rPr>
              <w:t>Final Postcard Reminder - NHTSA Form 1581</w:t>
            </w:r>
          </w:p>
        </w:tc>
        <w:tc>
          <w:tcPr>
            <w:tcW w:w="1980" w:type="dxa"/>
            <w:vAlign w:val="center"/>
          </w:tcPr>
          <w:p w:rsidRPr="005A23F0" w:rsidR="00DE3EF0" w:rsidP="00A42EA4" w:rsidRDefault="00DE3EF0" w14:paraId="47470773" w14:textId="77777777">
            <w:pPr>
              <w:autoSpaceDE w:val="0"/>
              <w:autoSpaceDN w:val="0"/>
              <w:adjustRightInd w:val="0"/>
              <w:jc w:val="center"/>
            </w:pPr>
            <w:r w:rsidRPr="005A23F0">
              <w:t>30,</w:t>
            </w:r>
            <w:r>
              <w:t>524</w:t>
            </w:r>
          </w:p>
        </w:tc>
        <w:tc>
          <w:tcPr>
            <w:tcW w:w="1800" w:type="dxa"/>
            <w:vAlign w:val="center"/>
          </w:tcPr>
          <w:p w:rsidRPr="005A23F0" w:rsidR="00DE3EF0" w:rsidP="00A42EA4" w:rsidRDefault="00DE3EF0" w14:paraId="0AF59BC0" w14:textId="77777777">
            <w:pPr>
              <w:autoSpaceDE w:val="0"/>
              <w:autoSpaceDN w:val="0"/>
              <w:adjustRightInd w:val="0"/>
              <w:jc w:val="center"/>
            </w:pPr>
            <w:r w:rsidRPr="005A23F0">
              <w:t>1 minute</w:t>
            </w:r>
          </w:p>
        </w:tc>
        <w:tc>
          <w:tcPr>
            <w:tcW w:w="1530" w:type="dxa"/>
            <w:vAlign w:val="center"/>
          </w:tcPr>
          <w:p w:rsidRPr="005A23F0" w:rsidR="00DE3EF0" w:rsidP="00A42EA4" w:rsidRDefault="00DE3EF0" w14:paraId="0B64C77B" w14:textId="77777777">
            <w:pPr>
              <w:autoSpaceDE w:val="0"/>
              <w:autoSpaceDN w:val="0"/>
              <w:adjustRightInd w:val="0"/>
              <w:jc w:val="center"/>
            </w:pPr>
            <w:r w:rsidRPr="005A23F0">
              <w:t>1 minute</w:t>
            </w:r>
          </w:p>
        </w:tc>
        <w:tc>
          <w:tcPr>
            <w:tcW w:w="1435" w:type="dxa"/>
            <w:vAlign w:val="center"/>
          </w:tcPr>
          <w:p w:rsidRPr="005A23F0" w:rsidR="00DE3EF0" w:rsidP="00A42EA4" w:rsidRDefault="00DE3EF0" w14:paraId="34456C09" w14:textId="77777777">
            <w:pPr>
              <w:autoSpaceDE w:val="0"/>
              <w:autoSpaceDN w:val="0"/>
              <w:adjustRightInd w:val="0"/>
              <w:jc w:val="center"/>
            </w:pPr>
            <w:r w:rsidRPr="005A23F0">
              <w:t>50</w:t>
            </w:r>
            <w:r>
              <w:t>8</w:t>
            </w:r>
          </w:p>
        </w:tc>
      </w:tr>
      <w:tr w:rsidRPr="005A23F0" w:rsidR="00DE3EF0" w:rsidTr="00A42EA4" w14:paraId="4FE6A6EC" w14:textId="77777777">
        <w:tc>
          <w:tcPr>
            <w:tcW w:w="2605" w:type="dxa"/>
            <w:vAlign w:val="center"/>
          </w:tcPr>
          <w:p w:rsidRPr="00703D8E" w:rsidR="00DE3EF0" w:rsidP="00703D8E" w:rsidRDefault="00DE3EF0" w14:paraId="6A6552B4" w14:textId="77777777">
            <w:pPr>
              <w:contextualSpacing/>
              <w:rPr>
                <w:rFonts w:eastAsia="Calibri"/>
              </w:rPr>
            </w:pPr>
            <w:r w:rsidRPr="00703D8E">
              <w:rPr>
                <w:rFonts w:eastAsia="Calibri"/>
              </w:rPr>
              <w:t>Thank You Letter - NHTSA Form 1588</w:t>
            </w:r>
          </w:p>
        </w:tc>
        <w:tc>
          <w:tcPr>
            <w:tcW w:w="1980" w:type="dxa"/>
            <w:vAlign w:val="center"/>
          </w:tcPr>
          <w:p w:rsidRPr="005A23F0" w:rsidR="00DE3EF0" w:rsidP="00A42EA4" w:rsidRDefault="00DE3EF0" w14:paraId="4C22B25C" w14:textId="77777777">
            <w:pPr>
              <w:autoSpaceDE w:val="0"/>
              <w:autoSpaceDN w:val="0"/>
              <w:adjustRightInd w:val="0"/>
              <w:jc w:val="center"/>
            </w:pPr>
            <w:r>
              <w:t>2,486</w:t>
            </w:r>
          </w:p>
        </w:tc>
        <w:tc>
          <w:tcPr>
            <w:tcW w:w="1800" w:type="dxa"/>
            <w:vAlign w:val="center"/>
          </w:tcPr>
          <w:p w:rsidRPr="005A23F0" w:rsidR="00DE3EF0" w:rsidP="00A42EA4" w:rsidRDefault="00DE3EF0" w14:paraId="6A214DA2" w14:textId="77777777">
            <w:pPr>
              <w:autoSpaceDE w:val="0"/>
              <w:autoSpaceDN w:val="0"/>
              <w:adjustRightInd w:val="0"/>
              <w:jc w:val="center"/>
            </w:pPr>
            <w:r>
              <w:t>1 minute</w:t>
            </w:r>
          </w:p>
        </w:tc>
        <w:tc>
          <w:tcPr>
            <w:tcW w:w="1530" w:type="dxa"/>
            <w:vAlign w:val="center"/>
          </w:tcPr>
          <w:p w:rsidRPr="005A23F0" w:rsidR="00DE3EF0" w:rsidP="00A42EA4" w:rsidRDefault="00DE3EF0" w14:paraId="1AAC345E" w14:textId="77777777">
            <w:pPr>
              <w:autoSpaceDE w:val="0"/>
              <w:autoSpaceDN w:val="0"/>
              <w:adjustRightInd w:val="0"/>
              <w:jc w:val="center"/>
            </w:pPr>
            <w:r>
              <w:t>1 minute</w:t>
            </w:r>
          </w:p>
        </w:tc>
        <w:tc>
          <w:tcPr>
            <w:tcW w:w="1435" w:type="dxa"/>
            <w:vAlign w:val="center"/>
          </w:tcPr>
          <w:p w:rsidRPr="005A23F0" w:rsidR="00DE3EF0" w:rsidP="00A42EA4" w:rsidRDefault="00DE3EF0" w14:paraId="5B61BEEE" w14:textId="77777777">
            <w:pPr>
              <w:autoSpaceDE w:val="0"/>
              <w:autoSpaceDN w:val="0"/>
              <w:adjustRightInd w:val="0"/>
              <w:jc w:val="center"/>
            </w:pPr>
            <w:r>
              <w:t>41</w:t>
            </w:r>
          </w:p>
        </w:tc>
      </w:tr>
      <w:tr w:rsidRPr="005A23F0" w:rsidR="00DE3EF0" w:rsidTr="00A42EA4" w14:paraId="28ACD4C5" w14:textId="77777777">
        <w:tc>
          <w:tcPr>
            <w:tcW w:w="2605" w:type="dxa"/>
            <w:vAlign w:val="center"/>
          </w:tcPr>
          <w:p w:rsidRPr="00703D8E" w:rsidR="00DE3EF0" w:rsidP="00703D8E" w:rsidRDefault="00DE3EF0" w14:paraId="5E9E8C3E" w14:textId="77777777">
            <w:pPr>
              <w:contextualSpacing/>
              <w:rPr>
                <w:rFonts w:eastAsia="Calibri"/>
              </w:rPr>
            </w:pPr>
            <w:r w:rsidRPr="00703D8E">
              <w:rPr>
                <w:rFonts w:eastAsia="Calibri"/>
              </w:rPr>
              <w:t>Total</w:t>
            </w:r>
          </w:p>
        </w:tc>
        <w:tc>
          <w:tcPr>
            <w:tcW w:w="1980" w:type="dxa"/>
            <w:vAlign w:val="center"/>
          </w:tcPr>
          <w:p w:rsidRPr="005A23F0" w:rsidR="00DE3EF0" w:rsidP="00A42EA4" w:rsidRDefault="00DE3EF0" w14:paraId="0376FE91" w14:textId="77777777">
            <w:pPr>
              <w:autoSpaceDE w:val="0"/>
              <w:autoSpaceDN w:val="0"/>
              <w:adjustRightInd w:val="0"/>
              <w:jc w:val="center"/>
            </w:pPr>
          </w:p>
        </w:tc>
        <w:tc>
          <w:tcPr>
            <w:tcW w:w="1800" w:type="dxa"/>
            <w:vAlign w:val="center"/>
          </w:tcPr>
          <w:p w:rsidRPr="005A23F0" w:rsidR="00DE3EF0" w:rsidP="00A42EA4" w:rsidRDefault="00DE3EF0" w14:paraId="0710C491" w14:textId="77777777">
            <w:pPr>
              <w:autoSpaceDE w:val="0"/>
              <w:autoSpaceDN w:val="0"/>
              <w:adjustRightInd w:val="0"/>
              <w:jc w:val="center"/>
            </w:pPr>
          </w:p>
        </w:tc>
        <w:tc>
          <w:tcPr>
            <w:tcW w:w="1530" w:type="dxa"/>
            <w:vAlign w:val="center"/>
          </w:tcPr>
          <w:p w:rsidRPr="005A23F0" w:rsidR="00DE3EF0" w:rsidP="00A42EA4" w:rsidRDefault="00DE3EF0" w14:paraId="29519185" w14:textId="77777777">
            <w:pPr>
              <w:autoSpaceDE w:val="0"/>
              <w:autoSpaceDN w:val="0"/>
              <w:adjustRightInd w:val="0"/>
              <w:jc w:val="center"/>
            </w:pPr>
          </w:p>
        </w:tc>
        <w:tc>
          <w:tcPr>
            <w:tcW w:w="1435" w:type="dxa"/>
            <w:vAlign w:val="center"/>
          </w:tcPr>
          <w:p w:rsidRPr="005A23F0" w:rsidR="00DE3EF0" w:rsidP="00A42EA4" w:rsidRDefault="00DE3EF0" w14:paraId="3948608D" w14:textId="77777777">
            <w:pPr>
              <w:autoSpaceDE w:val="0"/>
              <w:autoSpaceDN w:val="0"/>
              <w:adjustRightInd w:val="0"/>
              <w:jc w:val="center"/>
            </w:pPr>
            <w:r>
              <w:t>3,289</w:t>
            </w:r>
          </w:p>
        </w:tc>
      </w:tr>
    </w:tbl>
    <w:p w:rsidR="00DE3EF0" w:rsidP="00703D8E" w:rsidRDefault="00DE3EF0" w14:paraId="096B515A" w14:textId="77777777">
      <w:pPr>
        <w:spacing w:after="0" w:line="480" w:lineRule="auto"/>
        <w:rPr>
          <w:b/>
          <w:iCs/>
          <w:color w:val="000000"/>
        </w:rPr>
      </w:pPr>
      <w:r>
        <w:rPr>
          <w:b/>
          <w:iCs/>
          <w:color w:val="000000"/>
        </w:rPr>
        <w:t>*</w:t>
      </w:r>
      <w:r w:rsidRPr="00CE2700">
        <w:rPr>
          <w:bCs/>
          <w:iCs/>
          <w:color w:val="000000"/>
        </w:rPr>
        <w:t>Rounded</w:t>
      </w:r>
      <w:r>
        <w:rPr>
          <w:bCs/>
          <w:iCs/>
          <w:color w:val="000000"/>
        </w:rPr>
        <w:t xml:space="preserve"> up to the nearest hour.</w:t>
      </w:r>
    </w:p>
    <w:p w:rsidR="00125D5A" w:rsidP="00B4285C" w:rsidRDefault="00125D5A" w14:paraId="0AEB0EFF" w14:textId="0EF400F7">
      <w:pPr>
        <w:spacing w:after="120"/>
      </w:pPr>
      <w:r w:rsidRPr="002335CD">
        <w:t xml:space="preserve">The opportunity cost to respondents </w:t>
      </w:r>
      <w:r w:rsidR="008820AD">
        <w:t>is</w:t>
      </w:r>
      <w:r w:rsidRPr="002335CD">
        <w:t xml:space="preserve"> computed using an average hourly wage. Based on </w:t>
      </w:r>
      <w:r w:rsidR="008820AD">
        <w:t xml:space="preserve">the 2020 </w:t>
      </w:r>
      <w:r w:rsidRPr="002335CD">
        <w:t xml:space="preserve">mean </w:t>
      </w:r>
      <w:r w:rsidR="008820AD">
        <w:t>hourly</w:t>
      </w:r>
      <w:r w:rsidRPr="002335CD">
        <w:t xml:space="preserve"> wage </w:t>
      </w:r>
      <w:r w:rsidR="008820AD">
        <w:t xml:space="preserve">including fringe benefits </w:t>
      </w:r>
      <w:r w:rsidRPr="002335CD">
        <w:t>for all occupations in</w:t>
      </w:r>
      <w:r w:rsidRPr="002335CD" w:rsidR="008D461D">
        <w:t xml:space="preserve"> the United States</w:t>
      </w:r>
      <w:r w:rsidRPr="002335CD">
        <w:t>, the maximum total input cost is estimated as follows:</w:t>
      </w:r>
    </w:p>
    <w:p w:rsidRPr="002335CD" w:rsidR="00125D5A" w:rsidP="00B4285C" w:rsidRDefault="00125D5A" w14:paraId="76AB0BE0" w14:textId="4C6474C6">
      <w:pPr>
        <w:spacing w:after="120"/>
      </w:pPr>
      <w:r w:rsidRPr="002335CD">
        <w:lastRenderedPageBreak/>
        <w:t>$</w:t>
      </w:r>
      <w:r w:rsidRPr="002335CD" w:rsidR="0035404B">
        <w:t>33.84</w:t>
      </w:r>
      <w:r w:rsidRPr="002335CD">
        <w:t xml:space="preserve"> per hour</w:t>
      </w:r>
      <w:r w:rsidR="008033CB">
        <w:rPr>
          <w:rStyle w:val="FootnoteReference"/>
        </w:rPr>
        <w:footnoteReference w:id="22"/>
      </w:r>
      <w:r w:rsidRPr="008033CB" w:rsidR="008033CB">
        <w:rPr>
          <w:vertAlign w:val="superscript"/>
        </w:rPr>
        <w:t>,</w:t>
      </w:r>
      <w:r w:rsidR="008033CB">
        <w:rPr>
          <w:rStyle w:val="FootnoteReference"/>
        </w:rPr>
        <w:footnoteReference w:id="23"/>
      </w:r>
      <w:r w:rsidRPr="002335CD">
        <w:t xml:space="preserve"> x </w:t>
      </w:r>
      <w:r w:rsidRPr="002335CD" w:rsidR="00FE63E5">
        <w:t>3,</w:t>
      </w:r>
      <w:r w:rsidRPr="002335CD" w:rsidR="00A72861">
        <w:t>2</w:t>
      </w:r>
      <w:r w:rsidR="00A72861">
        <w:t>89</w:t>
      </w:r>
      <w:r w:rsidRPr="002335CD" w:rsidR="00A72861">
        <w:t xml:space="preserve"> </w:t>
      </w:r>
      <w:r w:rsidRPr="002335CD">
        <w:t>hours = $</w:t>
      </w:r>
      <w:r w:rsidRPr="002335CD" w:rsidR="00CE51AE">
        <w:t>111,</w:t>
      </w:r>
      <w:r w:rsidRPr="00A72861" w:rsidR="00A72861">
        <w:t>299.76</w:t>
      </w:r>
      <w:r w:rsidR="00576784">
        <w:t>.</w:t>
      </w:r>
    </w:p>
    <w:p w:rsidRPr="00EC5B02" w:rsidR="00C01F22" w:rsidP="00C06C31" w:rsidRDefault="00664A10" w14:paraId="08FEFD8E" w14:textId="71691E00">
      <w:pPr>
        <w:pStyle w:val="Heading1"/>
        <w:framePr w:wrap="auto" w:vAnchor="margin" w:yAlign="inline"/>
        <w:numPr>
          <w:ilvl w:val="0"/>
          <w:numId w:val="40"/>
        </w:numPr>
      </w:pPr>
      <w:bookmarkStart w:name="_Toc6900689" w:id="27"/>
      <w:r w:rsidRPr="00EC5B02">
        <w:rPr>
          <w:rStyle w:val="Heading1Char"/>
          <w:b/>
          <w:bCs/>
        </w:rPr>
        <w:t>Provide an estimate of the total annual cost to the respondents or record keepers resulting from the collection of information</w:t>
      </w:r>
      <w:bookmarkEnd w:id="27"/>
      <w:r w:rsidRPr="00EC5B02" w:rsidR="00C01F22">
        <w:rPr>
          <w:rStyle w:val="Heading1Char"/>
          <w:b/>
          <w:bCs/>
        </w:rPr>
        <w:t>.</w:t>
      </w:r>
      <w:r w:rsidRPr="00EC5B02" w:rsidR="00C01F22">
        <w:t xml:space="preserve"> </w:t>
      </w:r>
    </w:p>
    <w:p w:rsidRPr="00730DE6" w:rsidR="00664A10" w:rsidP="002335CD" w:rsidRDefault="00664A10" w14:paraId="3951F3DF" w14:textId="77777777">
      <w:r w:rsidRPr="002335CD">
        <w:t>Participation in this study is voluntary, and there are no costs to respondents beyond the time spent completing the questionnaire</w:t>
      </w:r>
      <w:r w:rsidRPr="002335CD" w:rsidR="00125D5A">
        <w:t>s</w:t>
      </w:r>
      <w:r w:rsidRPr="002335CD">
        <w:t xml:space="preserve">. </w:t>
      </w:r>
    </w:p>
    <w:p w:rsidRPr="00EC5B02" w:rsidR="00E8053E" w:rsidP="00C06C31" w:rsidRDefault="00E8053E" w14:paraId="2879B45E" w14:textId="68B0CD53">
      <w:pPr>
        <w:pStyle w:val="Heading1"/>
        <w:framePr w:wrap="auto" w:vAnchor="margin" w:yAlign="inline"/>
        <w:numPr>
          <w:ilvl w:val="0"/>
          <w:numId w:val="40"/>
        </w:numPr>
      </w:pPr>
      <w:bookmarkStart w:name="_Toc6900690" w:id="28"/>
      <w:r w:rsidRPr="00EC5B02">
        <w:rPr>
          <w:rStyle w:val="Heading1Char"/>
          <w:b/>
          <w:bCs/>
        </w:rPr>
        <w:t xml:space="preserve">Provide estimates of the annualized cost to the </w:t>
      </w:r>
      <w:r w:rsidR="002B1D7C">
        <w:rPr>
          <w:rStyle w:val="Heading1Char"/>
          <w:b/>
          <w:bCs/>
        </w:rPr>
        <w:t>F</w:t>
      </w:r>
      <w:r w:rsidRPr="00EC5B02">
        <w:rPr>
          <w:rStyle w:val="Heading1Char"/>
          <w:b/>
          <w:bCs/>
        </w:rPr>
        <w:t>ederal government</w:t>
      </w:r>
      <w:bookmarkEnd w:id="28"/>
      <w:r w:rsidR="002B1D7C">
        <w:rPr>
          <w:rStyle w:val="Heading1Char"/>
          <w:b/>
          <w:bCs/>
        </w:rPr>
        <w:t xml:space="preserve">. </w:t>
      </w:r>
      <w:r w:rsidRPr="002B1D7C" w:rsidR="002B1D7C">
        <w:rPr>
          <w:rStyle w:val="Heading1Char"/>
          <w:b/>
          <w:bCs/>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C5B02" w:rsidR="00787EA0">
        <w:rPr>
          <w:rStyle w:val="Heading1Char"/>
          <w:b/>
          <w:bCs/>
        </w:rPr>
        <w:t>.</w:t>
      </w:r>
    </w:p>
    <w:p w:rsidR="00307AB0" w:rsidP="00703D8E" w:rsidRDefault="00836B93" w14:paraId="4F6FEBD6" w14:textId="18023051">
      <w:r w:rsidRPr="002335CD">
        <w:t xml:space="preserve">This is one-time data collection. The Federal </w:t>
      </w:r>
      <w:r w:rsidR="007908BF">
        <w:t>G</w:t>
      </w:r>
      <w:r w:rsidRPr="002335CD" w:rsidR="007908BF">
        <w:t>overnment</w:t>
      </w:r>
      <w:r w:rsidR="007908BF">
        <w:t xml:space="preserve">’s awarded amount of this task order </w:t>
      </w:r>
      <w:r w:rsidRPr="002335CD">
        <w:t>is $</w:t>
      </w:r>
      <w:r w:rsidRPr="002335CD" w:rsidR="00787EA0">
        <w:t>642,572</w:t>
      </w:r>
      <w:r w:rsidR="000E6E87">
        <w:t xml:space="preserve"> which includes $58,770 for incentives (for the survey and cognitive testing of the survey instrument)</w:t>
      </w:r>
      <w:r w:rsidRPr="002335CD">
        <w:t>. Sinc</w:t>
      </w:r>
      <w:r w:rsidRPr="00730DE6">
        <w:t xml:space="preserve">e data collection will take less than a year, the annualized cost is the same. </w:t>
      </w:r>
      <w:r w:rsidR="000A793D">
        <w:t>P</w:t>
      </w:r>
      <w:r w:rsidR="00182EE4">
        <w:t xml:space="preserve">roject management by </w:t>
      </w:r>
      <w:r w:rsidR="00307AB0">
        <w:t xml:space="preserve">the </w:t>
      </w:r>
      <w:r w:rsidRPr="00730DE6" w:rsidR="00307AB0">
        <w:t>Contracting Officer’s Representative (COR)</w:t>
      </w:r>
      <w:r w:rsidR="00182EE4">
        <w:t xml:space="preserve"> and the supervisor</w:t>
      </w:r>
      <w:r w:rsidR="000A793D">
        <w:t xml:space="preserve"> includes </w:t>
      </w:r>
      <w:r w:rsidR="00182EE4">
        <w:t xml:space="preserve">tracking the status of data collection, examining survey data, calculating response rates, and reviewing deliverables, etc. </w:t>
      </w:r>
      <w:r w:rsidR="000A793D">
        <w:t xml:space="preserve">This cost on an hourly wage basis </w:t>
      </w:r>
      <w:r w:rsidR="00182EE4">
        <w:t>is calculated as follows:</w:t>
      </w:r>
    </w:p>
    <w:p w:rsidR="00307AB0" w:rsidP="000A793D" w:rsidRDefault="000A793D" w14:paraId="75BB51A0" w14:textId="25FC900E">
      <w:pPr>
        <w:pStyle w:val="ListParagraph"/>
        <w:numPr>
          <w:ilvl w:val="0"/>
          <w:numId w:val="47"/>
        </w:numPr>
        <w:tabs>
          <w:tab w:val="left" w:pos="360"/>
          <w:tab w:val="left" w:pos="720"/>
          <w:tab w:val="left" w:pos="1080"/>
          <w:tab w:val="left" w:pos="4320"/>
        </w:tabs>
        <w:ind w:left="792"/>
      </w:pPr>
      <w:r>
        <w:t>COR, d</w:t>
      </w:r>
      <w:r w:rsidR="00182EE4">
        <w:t>uring</w:t>
      </w:r>
      <w:r w:rsidR="00307AB0">
        <w:t xml:space="preserve"> data collection  </w:t>
      </w:r>
      <w:r>
        <w:tab/>
      </w:r>
      <w:r w:rsidR="0057422E">
        <w:t xml:space="preserve">= </w:t>
      </w:r>
      <w:r w:rsidR="00307AB0">
        <w:t xml:space="preserve">8 </w:t>
      </w:r>
      <w:r>
        <w:t xml:space="preserve">hours </w:t>
      </w:r>
      <w:r w:rsidR="00307AB0">
        <w:t xml:space="preserve">x 8 weeks x </w:t>
      </w:r>
      <w:r w:rsidR="00182EE4">
        <w:t>$59.72/hour</w:t>
      </w:r>
      <w:r>
        <w:t xml:space="preserve"> </w:t>
      </w:r>
      <w:r w:rsidR="00182EE4">
        <w:t>= $3,822.08</w:t>
      </w:r>
    </w:p>
    <w:p w:rsidR="00182EE4" w:rsidP="000A793D" w:rsidRDefault="000A793D" w14:paraId="5E775119" w14:textId="652F4313">
      <w:pPr>
        <w:pStyle w:val="ListParagraph"/>
        <w:numPr>
          <w:ilvl w:val="0"/>
          <w:numId w:val="47"/>
        </w:numPr>
        <w:tabs>
          <w:tab w:val="left" w:pos="360"/>
          <w:tab w:val="left" w:pos="720"/>
          <w:tab w:val="left" w:pos="1080"/>
          <w:tab w:val="left" w:pos="4320"/>
        </w:tabs>
        <w:ind w:left="792"/>
      </w:pPr>
      <w:r>
        <w:t>COR, a</w:t>
      </w:r>
      <w:r w:rsidR="00182EE4">
        <w:t xml:space="preserve">fter data collection  </w:t>
      </w:r>
      <w:r>
        <w:tab/>
      </w:r>
      <w:r w:rsidR="0057422E">
        <w:t xml:space="preserve">= </w:t>
      </w:r>
      <w:r w:rsidR="00182EE4">
        <w:t xml:space="preserve">4 </w:t>
      </w:r>
      <w:r>
        <w:t xml:space="preserve">hours </w:t>
      </w:r>
      <w:r w:rsidR="00182EE4">
        <w:t>x 16 weeks x $59.72/hour</w:t>
      </w:r>
      <w:r>
        <w:t xml:space="preserve"> </w:t>
      </w:r>
      <w:r w:rsidR="00182EE4">
        <w:t>= $3,822.08</w:t>
      </w:r>
    </w:p>
    <w:p w:rsidR="000A793D" w:rsidP="000A793D" w:rsidRDefault="000A793D" w14:paraId="734856EC" w14:textId="612D0F82">
      <w:pPr>
        <w:pStyle w:val="ListParagraph"/>
        <w:numPr>
          <w:ilvl w:val="0"/>
          <w:numId w:val="47"/>
        </w:numPr>
        <w:tabs>
          <w:tab w:val="left" w:pos="360"/>
          <w:tab w:val="left" w:pos="720"/>
          <w:tab w:val="left" w:pos="1080"/>
          <w:tab w:val="left" w:pos="4320"/>
        </w:tabs>
        <w:ind w:left="792"/>
      </w:pPr>
      <w:r>
        <w:t>Supervisor, during data collection</w:t>
      </w:r>
      <w:r>
        <w:tab/>
      </w:r>
      <w:r w:rsidR="0057422E">
        <w:t xml:space="preserve">= </w:t>
      </w:r>
      <w:r>
        <w:t>1-hour x 8 weeks x $73.52 = $588.16</w:t>
      </w:r>
    </w:p>
    <w:p w:rsidR="000A793D" w:rsidP="0057422E" w:rsidRDefault="000A793D" w14:paraId="743B3AA3" w14:textId="18B8E5BD">
      <w:pPr>
        <w:pStyle w:val="ListParagraph"/>
        <w:numPr>
          <w:ilvl w:val="0"/>
          <w:numId w:val="47"/>
        </w:numPr>
        <w:tabs>
          <w:tab w:val="left" w:pos="360"/>
          <w:tab w:val="left" w:pos="720"/>
          <w:tab w:val="left" w:pos="1080"/>
          <w:tab w:val="left" w:pos="4320"/>
          <w:tab w:val="left" w:pos="5040"/>
        </w:tabs>
        <w:ind w:left="792"/>
      </w:pPr>
      <w:r>
        <w:t>Supervisor, after data collection</w:t>
      </w:r>
      <w:r>
        <w:tab/>
      </w:r>
      <w:r w:rsidR="0057422E">
        <w:t xml:space="preserve">= </w:t>
      </w:r>
      <w:r>
        <w:t>1</w:t>
      </w:r>
      <w:r w:rsidR="0057422E">
        <w:t>-</w:t>
      </w:r>
      <w:r>
        <w:t>hour x 16 weeks x $73.52 = $1,176.12</w:t>
      </w:r>
    </w:p>
    <w:p w:rsidRPr="00730DE6" w:rsidR="00836B93" w:rsidP="002335CD" w:rsidRDefault="00B13DFC" w14:paraId="60094AB2" w14:textId="5E073B54">
      <w:r>
        <w:t xml:space="preserve">The total cost for </w:t>
      </w:r>
      <w:r w:rsidRPr="00B13DFC">
        <w:t>Contracting Officer’s Representative (COR) and the supervisor</w:t>
      </w:r>
      <w:r>
        <w:t xml:space="preserve"> is $9,408.44.  </w:t>
      </w:r>
      <w:r w:rsidR="000E6E87">
        <w:t xml:space="preserve">These costs are separate from the task order award amount. Therefore, the estimated total cost to the Federal government for this information collection is </w:t>
      </w:r>
      <w:r w:rsidR="0057422E">
        <w:t>$6</w:t>
      </w:r>
      <w:r>
        <w:t>51</w:t>
      </w:r>
      <w:r w:rsidR="0057422E">
        <w:t>,980.</w:t>
      </w:r>
      <w:r>
        <w:t>4</w:t>
      </w:r>
      <w:r w:rsidR="0057422E">
        <w:t>4 (</w:t>
      </w:r>
      <w:r w:rsidR="000E6E87">
        <w:t>$6</w:t>
      </w:r>
      <w:r>
        <w:t>42,</w:t>
      </w:r>
      <w:r w:rsidR="000E6E87">
        <w:t>572</w:t>
      </w:r>
      <w:r w:rsidR="0057422E">
        <w:t xml:space="preserve"> for the contract plus $9,408.</w:t>
      </w:r>
      <w:r>
        <w:t>4</w:t>
      </w:r>
      <w:r w:rsidR="0057422E">
        <w:t>4 for COR/supervisor project management)</w:t>
      </w:r>
      <w:r w:rsidR="000E6E87">
        <w:t>.</w:t>
      </w:r>
    </w:p>
    <w:p w:rsidRPr="00EC5B02" w:rsidR="006A5AE2" w:rsidP="00C06C31" w:rsidRDefault="00C54639" w14:paraId="5D591D65" w14:textId="61C1D592">
      <w:pPr>
        <w:pStyle w:val="Heading1"/>
        <w:framePr w:wrap="auto" w:vAnchor="margin" w:yAlign="inline"/>
        <w:numPr>
          <w:ilvl w:val="0"/>
          <w:numId w:val="40"/>
        </w:numPr>
      </w:pPr>
      <w:bookmarkStart w:name="_Toc6900691" w:id="29"/>
      <w:r w:rsidRPr="00EC5B02">
        <w:rPr>
          <w:rStyle w:val="Heading1Char"/>
          <w:b/>
          <w:bCs/>
        </w:rPr>
        <w:t xml:space="preserve">Explain the reasons for any program changes or adjustments </w:t>
      </w:r>
      <w:r w:rsidRPr="00EC5B02" w:rsidR="006A5AE2">
        <w:rPr>
          <w:rStyle w:val="Heading1Char"/>
          <w:b/>
          <w:bCs/>
        </w:rPr>
        <w:t xml:space="preserve">reported on the burden worksheet. If this is a new collection, the program change will be the entire burden cost and number of burden hours reported in response to questions 12 and </w:t>
      </w:r>
      <w:r w:rsidRPr="00EC5B02" w:rsidR="006A5AE2">
        <w:rPr>
          <w:rStyle w:val="Heading1Char"/>
          <w:b/>
          <w:bCs/>
        </w:rPr>
        <w:lastRenderedPageBreak/>
        <w:t>13. If this is a renewal or reinstatement, the change is the difference between the new burden estimates and the burden estimates from the last OMB approval.</w:t>
      </w:r>
    </w:p>
    <w:bookmarkEnd w:id="29"/>
    <w:p w:rsidRPr="002335CD" w:rsidR="00C925DE" w:rsidP="0028489D" w:rsidRDefault="00C54639" w14:paraId="7C89AE65" w14:textId="707F709E">
      <w:r w:rsidRPr="002335CD">
        <w:t xml:space="preserve">This is a </w:t>
      </w:r>
      <w:r w:rsidRPr="002335CD" w:rsidR="00246D73">
        <w:t xml:space="preserve">new </w:t>
      </w:r>
      <w:r w:rsidRPr="002335CD" w:rsidR="0034483D">
        <w:t>request</w:t>
      </w:r>
      <w:r w:rsidR="00B13DFC">
        <w:t>; therefore, the burden hours of 3,289 represent a</w:t>
      </w:r>
      <w:r w:rsidRPr="002335CD" w:rsidR="00B13DFC">
        <w:t xml:space="preserve"> program change</w:t>
      </w:r>
      <w:r w:rsidR="0057422E">
        <w:t>.</w:t>
      </w:r>
      <w:r w:rsidRPr="002335CD" w:rsidR="006A5AE2">
        <w:t xml:space="preserve"> </w:t>
      </w:r>
      <w:r w:rsidR="0057422E">
        <w:t>No hours were previously approved</w:t>
      </w:r>
      <w:r w:rsidRPr="002335CD" w:rsidR="00C925DE">
        <w:t>.</w:t>
      </w:r>
    </w:p>
    <w:p w:rsidRPr="00EC5B02" w:rsidR="006A5AE2" w:rsidP="00C06C31" w:rsidRDefault="00A83DDA" w14:paraId="3F8AFFCF" w14:textId="642B3BDF">
      <w:pPr>
        <w:pStyle w:val="Heading1"/>
        <w:framePr w:wrap="auto" w:vAnchor="margin" w:yAlign="inline"/>
        <w:numPr>
          <w:ilvl w:val="0"/>
          <w:numId w:val="40"/>
        </w:numPr>
      </w:pPr>
      <w:bookmarkStart w:name="_Toc6900692" w:id="30"/>
      <w:r w:rsidRPr="00EC5B02">
        <w:rPr>
          <w:rStyle w:val="Heading1Char"/>
          <w:b/>
          <w:bCs/>
        </w:rPr>
        <w:t>For collection of information whose results will be published, outline plans for tabulation and publication</w:t>
      </w:r>
      <w:bookmarkEnd w:id="30"/>
      <w:r w:rsidRPr="00EC5B02" w:rsidR="00C01F22">
        <w:rPr>
          <w:rStyle w:val="Heading1Char"/>
          <w:b/>
          <w:bCs/>
        </w:rPr>
        <w:t xml:space="preserve">. </w:t>
      </w:r>
      <w:r w:rsidRPr="00EC5B02" w:rsidR="006A5AE2">
        <w:rPr>
          <w:rStyle w:val="Heading1Char"/>
          <w:b/>
          <w:bCs/>
        </w:rPr>
        <w:t>Address any complex analytical techniques that will be used. Provide the time schedule for the entire project, including beginning and ending dates of the collection of information, completion of report, publication dates, and other actions as applicable.</w:t>
      </w:r>
    </w:p>
    <w:p w:rsidRPr="002335CD" w:rsidR="00292DB2" w:rsidP="0028489D" w:rsidRDefault="00436C77" w14:paraId="3FB5EF94" w14:textId="046D792D">
      <w:r>
        <w:t>NHTSA plans to publish a technical report that</w:t>
      </w:r>
      <w:r w:rsidRPr="002335CD" w:rsidR="00292DB2">
        <w:t xml:space="preserve"> include</w:t>
      </w:r>
      <w:r>
        <w:t>s</w:t>
      </w:r>
      <w:r w:rsidRPr="002335CD" w:rsidR="00292DB2">
        <w:t xml:space="preserve"> survey results and methodology details. The results section will include summary statistics and tables, as well as the results of statistical analysis of the information, but it will not include any personal information. Figures and tables will be presented with limited accompanying text. The data presentations will be largely made up of percentage distributions and cross-tabulations.</w:t>
      </w:r>
      <w:r w:rsidRPr="00730DE6" w:rsidR="00292DB2">
        <w:t xml:space="preserve"> The data will be segmented by the following characteristics: age, race, gender, household income, and driver category (based on cluster analysis). The final sample size of each cell will determine the categories </w:t>
      </w:r>
      <w:r w:rsidR="003938E6">
        <w:t xml:space="preserve">by which </w:t>
      </w:r>
      <w:r w:rsidRPr="00730DE6" w:rsidR="00292DB2">
        <w:t>each characteristic will be analyzed. Only cells which have sufficient sample to draw reliable estimates will be used in the analysis and reported on. The methodology portion of the report wi</w:t>
      </w:r>
      <w:r w:rsidRPr="00250BE8" w:rsidR="00292DB2">
        <w:t xml:space="preserve">ll include information on the sampling frame, survey participation rate, weighting procedures, and copies of the questionnaires in both English and Spanish.  </w:t>
      </w:r>
    </w:p>
    <w:p w:rsidRPr="002335CD" w:rsidR="00F93F6A" w:rsidP="002335CD" w:rsidRDefault="00F93F6A" w14:paraId="611A19E7" w14:textId="2834826A">
      <w:r w:rsidRPr="002335CD">
        <w:t xml:space="preserve">The plan is for the final technical report to be published in </w:t>
      </w:r>
      <w:r w:rsidRPr="002335CD" w:rsidR="00246D73">
        <w:t>2022</w:t>
      </w:r>
      <w:r w:rsidRPr="002335CD">
        <w:t>. The technical report will provide summary statistics and tables, as well as the results of statistical analysis of the information, but it will not include any personal information</w:t>
      </w:r>
      <w:r w:rsidRPr="002335CD" w:rsidR="00787EA0">
        <w:t xml:space="preserve"> or data from any one individual</w:t>
      </w:r>
      <w:r w:rsidRPr="002335CD">
        <w:t xml:space="preserve">. </w:t>
      </w:r>
      <w:r w:rsidRPr="002335CD" w:rsidR="00787EA0">
        <w:t xml:space="preserve">All data will be in aggregate form. </w:t>
      </w:r>
      <w:r w:rsidRPr="002335CD">
        <w:t xml:space="preserve">The plan </w:t>
      </w:r>
      <w:r w:rsidRPr="002335CD" w:rsidR="00787EA0">
        <w:t xml:space="preserve">is </w:t>
      </w:r>
      <w:r w:rsidRPr="002335CD">
        <w:t xml:space="preserve">based upon data collection starting in </w:t>
      </w:r>
      <w:r w:rsidRPr="002335CD" w:rsidR="0060045C">
        <w:t>Summer</w:t>
      </w:r>
      <w:r w:rsidRPr="002335CD" w:rsidR="00246D73">
        <w:t>,</w:t>
      </w:r>
      <w:r w:rsidRPr="002335CD">
        <w:t xml:space="preserve"> 20</w:t>
      </w:r>
      <w:r w:rsidRPr="002335CD" w:rsidR="00562865">
        <w:t>2</w:t>
      </w:r>
      <w:r w:rsidRPr="002335CD" w:rsidR="0060045C">
        <w:t>2</w:t>
      </w:r>
      <w:r w:rsidRPr="002335CD">
        <w:t xml:space="preserve">. </w:t>
      </w:r>
    </w:p>
    <w:p w:rsidRPr="00EC5B02" w:rsidR="00C01F22" w:rsidP="00C06C31" w:rsidRDefault="00F93F6A" w14:paraId="31CDCB96" w14:textId="69A4C130">
      <w:pPr>
        <w:pStyle w:val="Heading1"/>
        <w:framePr w:wrap="auto" w:vAnchor="margin" w:yAlign="inline"/>
        <w:numPr>
          <w:ilvl w:val="0"/>
          <w:numId w:val="40"/>
        </w:numPr>
      </w:pPr>
      <w:bookmarkStart w:name="_Toc6900693" w:id="31"/>
      <w:r w:rsidRPr="00EC5B02">
        <w:rPr>
          <w:rStyle w:val="Heading1Char"/>
          <w:b/>
          <w:bCs/>
        </w:rPr>
        <w:t xml:space="preserve">If seeking approval to not display the expiration date for </w:t>
      </w:r>
      <w:r w:rsidRPr="00EC5B02" w:rsidR="00353E61">
        <w:rPr>
          <w:rStyle w:val="Heading1Char"/>
          <w:b/>
          <w:bCs/>
        </w:rPr>
        <w:t xml:space="preserve">OMB </w:t>
      </w:r>
      <w:r w:rsidRPr="00EC5B02">
        <w:rPr>
          <w:rStyle w:val="Heading1Char"/>
          <w:b/>
          <w:bCs/>
        </w:rPr>
        <w:t>approval of the information collection, explain the reasons that display would be inappropriate</w:t>
      </w:r>
      <w:bookmarkEnd w:id="31"/>
      <w:r w:rsidRPr="00EC5B02" w:rsidR="00C01F22">
        <w:rPr>
          <w:rStyle w:val="Heading1Char"/>
          <w:b/>
          <w:bCs/>
        </w:rPr>
        <w:t>.</w:t>
      </w:r>
    </w:p>
    <w:p w:rsidRPr="002335CD" w:rsidR="006100DB" w:rsidP="002335CD" w:rsidRDefault="00C01F22" w14:paraId="789E369A" w14:textId="2506BE4A">
      <w:r w:rsidRPr="002335CD">
        <w:t>NHTSA will display the expiration date for OMB approval.</w:t>
      </w:r>
    </w:p>
    <w:p w:rsidRPr="00EC5B02" w:rsidR="00F93F6A" w:rsidP="00C06C31" w:rsidRDefault="00353E61" w14:paraId="33535BA1" w14:textId="5BA333EB">
      <w:pPr>
        <w:pStyle w:val="Heading1"/>
        <w:framePr w:wrap="auto" w:vAnchor="margin" w:yAlign="inline"/>
        <w:numPr>
          <w:ilvl w:val="0"/>
          <w:numId w:val="40"/>
        </w:numPr>
      </w:pPr>
      <w:bookmarkStart w:name="_Toc6900694" w:id="32"/>
      <w:r w:rsidRPr="00EC5B02">
        <w:t xml:space="preserve">Explain each exception to the </w:t>
      </w:r>
      <w:r w:rsidRPr="00EC5B02" w:rsidR="00292DB2">
        <w:t>topics of the certification statement identified in "Certification for Paperwork Reduction Act Submissions." The required certifications can be found at 5 CFR 1320.9.</w:t>
      </w:r>
      <w:bookmarkEnd w:id="32"/>
    </w:p>
    <w:p w:rsidR="003F7EE3" w:rsidP="002335CD" w:rsidRDefault="00C01F22" w14:paraId="1FEF0AC1" w14:textId="67263E32">
      <w:r w:rsidRPr="002335CD">
        <w:t>No exceptions to the ce</w:t>
      </w:r>
      <w:r w:rsidRPr="002335CD" w:rsidR="00662924">
        <w:t>rtification statement are made.</w:t>
      </w:r>
    </w:p>
    <w:p w:rsidRPr="002335CD" w:rsidR="00292DB2" w:rsidP="002335CD" w:rsidRDefault="00292DB2" w14:paraId="6C4099AB" w14:textId="77777777">
      <w:r w:rsidRPr="002335CD">
        <w:t xml:space="preserve">The following statement will be provided to respondents on the survey documents: </w:t>
      </w:r>
    </w:p>
    <w:p w:rsidRPr="002335CD" w:rsidR="0000024A" w:rsidP="002335CD" w:rsidRDefault="00292DB2" w14:paraId="1ACA2583" w14:textId="017BD78E">
      <w:r w:rsidRPr="002335CD">
        <w:t xml:space="preserve">Under the Paperwork Reduction Act, a </w:t>
      </w:r>
      <w:r w:rsidR="003938E6">
        <w:t>F</w:t>
      </w:r>
      <w:r w:rsidRPr="002335CD">
        <w:t xml:space="preserve">ederal agency may not conduct or sponsor, and a person is not required to respond to, a collection of information subject to the requirements of the Paperwork Reduction Act unless that collection of information displays a current valid OMB </w:t>
      </w:r>
      <w:r w:rsidRPr="002335CD">
        <w:lastRenderedPageBreak/>
        <w:t xml:space="preserve">Control Number. The OMB Control Number for this information collection is 2127-xxxx. The average amount of time to complete this survey is </w:t>
      </w:r>
      <w:r w:rsidRPr="002335CD" w:rsidR="00E1000C">
        <w:t>15</w:t>
      </w:r>
      <w:r w:rsidRPr="002335CD">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NHTSA Form </w:t>
      </w:r>
      <w:r w:rsidRPr="002335CD" w:rsidR="00BD21AE">
        <w:t>1582, NHTSA Form 158</w:t>
      </w:r>
    </w:p>
    <w:sectPr w:rsidRPr="002335CD" w:rsidR="0000024A" w:rsidSect="003F178B">
      <w:headerReference w:type="default"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3C18" w14:textId="77777777" w:rsidR="00494A96" w:rsidRDefault="00494A96" w:rsidP="00B14165">
      <w:r>
        <w:separator/>
      </w:r>
    </w:p>
  </w:endnote>
  <w:endnote w:type="continuationSeparator" w:id="0">
    <w:p w14:paraId="4EE2EADE" w14:textId="77777777" w:rsidR="00494A96" w:rsidRDefault="00494A96" w:rsidP="00B1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3D6A124" w14:textId="0EEC8535" w:rsidR="00C06C31" w:rsidRPr="00752201" w:rsidRDefault="00C06C31" w:rsidP="00AE7399">
        <w:pPr>
          <w:jc w:val="right"/>
          <w:rPr>
            <w:sz w:val="18"/>
            <w:szCs w:val="18"/>
          </w:rPr>
        </w:pPr>
        <w:r w:rsidRPr="008E309C">
          <w:rPr>
            <w:sz w:val="18"/>
            <w:szCs w:val="18"/>
          </w:rPr>
          <w:t xml:space="preserve">Page </w:t>
        </w:r>
        <w:r w:rsidRPr="008E309C">
          <w:rPr>
            <w:b/>
            <w:bCs/>
            <w:sz w:val="18"/>
            <w:szCs w:val="18"/>
          </w:rPr>
          <w:fldChar w:fldCharType="begin"/>
        </w:r>
        <w:r w:rsidRPr="008E309C">
          <w:rPr>
            <w:b/>
            <w:bCs/>
            <w:sz w:val="18"/>
            <w:szCs w:val="18"/>
          </w:rPr>
          <w:instrText xml:space="preserve"> PAGE </w:instrText>
        </w:r>
        <w:r w:rsidRPr="008E309C">
          <w:rPr>
            <w:b/>
            <w:bCs/>
            <w:sz w:val="18"/>
            <w:szCs w:val="18"/>
          </w:rPr>
          <w:fldChar w:fldCharType="separate"/>
        </w:r>
        <w:r>
          <w:rPr>
            <w:b/>
            <w:bCs/>
            <w:noProof/>
            <w:sz w:val="18"/>
            <w:szCs w:val="18"/>
          </w:rPr>
          <w:t>6</w:t>
        </w:r>
        <w:r w:rsidRPr="008E309C">
          <w:rPr>
            <w:b/>
            <w:bCs/>
            <w:sz w:val="18"/>
            <w:szCs w:val="18"/>
          </w:rPr>
          <w:fldChar w:fldCharType="end"/>
        </w:r>
        <w:r w:rsidRPr="008E309C">
          <w:rPr>
            <w:sz w:val="18"/>
            <w:szCs w:val="18"/>
          </w:rPr>
          <w:t xml:space="preserve"> of </w:t>
        </w:r>
        <w:r w:rsidRPr="008E309C">
          <w:rPr>
            <w:b/>
            <w:bCs/>
            <w:sz w:val="18"/>
            <w:szCs w:val="18"/>
          </w:rPr>
          <w:fldChar w:fldCharType="begin"/>
        </w:r>
        <w:r w:rsidRPr="008E309C">
          <w:rPr>
            <w:b/>
            <w:bCs/>
            <w:sz w:val="18"/>
            <w:szCs w:val="18"/>
          </w:rPr>
          <w:instrText xml:space="preserve"> NUMPAGES  </w:instrText>
        </w:r>
        <w:r w:rsidRPr="008E309C">
          <w:rPr>
            <w:b/>
            <w:bCs/>
            <w:sz w:val="18"/>
            <w:szCs w:val="18"/>
          </w:rPr>
          <w:fldChar w:fldCharType="separate"/>
        </w:r>
        <w:r>
          <w:rPr>
            <w:b/>
            <w:bCs/>
            <w:noProof/>
            <w:sz w:val="18"/>
            <w:szCs w:val="18"/>
          </w:rPr>
          <w:t>11</w:t>
        </w:r>
        <w:r w:rsidRPr="008E309C">
          <w:rPr>
            <w:b/>
            <w:bCs/>
            <w:sz w:val="18"/>
            <w:szCs w:val="18"/>
          </w:rPr>
          <w:fldChar w:fldCharType="end"/>
        </w:r>
        <w:r w:rsidRPr="008E309C">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3A80" w14:textId="77777777" w:rsidR="00494A96" w:rsidRDefault="00494A96" w:rsidP="00635770">
      <w:r>
        <w:separator/>
      </w:r>
    </w:p>
  </w:footnote>
  <w:footnote w:type="continuationSeparator" w:id="0">
    <w:p w14:paraId="5600F30A" w14:textId="77777777" w:rsidR="00494A96" w:rsidRDefault="00494A96" w:rsidP="00B14165">
      <w:r>
        <w:continuationSeparator/>
      </w:r>
    </w:p>
  </w:footnote>
  <w:footnote w:id="1">
    <w:p w14:paraId="0C5E2134" w14:textId="77777777" w:rsidR="00C06C31" w:rsidRDefault="00C06C31" w:rsidP="006E3408">
      <w:pPr>
        <w:pStyle w:val="FootnoteText"/>
        <w:spacing w:after="0"/>
      </w:pPr>
      <w:r w:rsidRPr="0091369C">
        <w:rPr>
          <w:rStyle w:val="FootnoteReference"/>
        </w:rPr>
        <w:footnoteRef/>
      </w:r>
      <w:r w:rsidRPr="0091369C">
        <w:rPr>
          <w:rStyle w:val="FootnoteReference"/>
        </w:rPr>
        <w:t xml:space="preserve"> </w:t>
      </w:r>
      <w:r w:rsidRPr="00B776EA">
        <w:rPr>
          <w:rStyle w:val="FootnoteReference"/>
          <w:vertAlign w:val="baseline"/>
        </w:rPr>
        <w:t>National Center for Statistics and Analysis (2021, April). Motorcycles: 2019 data (Traffic Safety Facts. Report No. DOT HS 813 112). National Highway Traffic Safety Administration.</w:t>
      </w:r>
    </w:p>
  </w:footnote>
  <w:footnote w:id="2">
    <w:p w14:paraId="3CDCB532" w14:textId="21520B1E" w:rsidR="00C06C31" w:rsidRPr="00B776EA" w:rsidRDefault="00C06C31" w:rsidP="006E3408">
      <w:pPr>
        <w:pStyle w:val="FootnoteText"/>
        <w:spacing w:after="0"/>
      </w:pPr>
      <w:r>
        <w:rPr>
          <w:rStyle w:val="FootnoteReference"/>
        </w:rPr>
        <w:footnoteRef/>
      </w:r>
      <w:r>
        <w:t xml:space="preserve"> </w:t>
      </w:r>
      <w:r w:rsidRPr="00B776EA">
        <w:t>National Center for Statistics and Analysis. (2021, April). Motorcycles: 2019 data (Traffic Safety Facts. Report No. DOT HS 813 112). National Highway Traffic Safety Administration.</w:t>
      </w:r>
    </w:p>
  </w:footnote>
  <w:footnote w:id="3">
    <w:p w14:paraId="1818E10C" w14:textId="49781CC5" w:rsidR="00C06C31" w:rsidRDefault="00C06C31" w:rsidP="006E3408">
      <w:pPr>
        <w:pStyle w:val="FootnoteText"/>
        <w:spacing w:after="0"/>
      </w:pPr>
      <w:r w:rsidRPr="00B776EA">
        <w:rPr>
          <w:rStyle w:val="FootnoteReference"/>
          <w:vertAlign w:val="baseline"/>
        </w:rPr>
        <w:footnoteRef/>
      </w:r>
      <w:r w:rsidRPr="00B776EA">
        <w:t xml:space="preserve"> Shahar, A., Clarke, D., Crundall, D. (2011). Applying the motorcyclist's perspective to improve car drivers’ attitudes towards motorcyclists. Accident Analysis &amp; Prevention, Vol 43, 1743-1750.</w:t>
      </w:r>
    </w:p>
  </w:footnote>
  <w:footnote w:id="4">
    <w:p w14:paraId="042D922B" w14:textId="77777777" w:rsidR="00C06C31" w:rsidRDefault="00C06C31" w:rsidP="006E3408">
      <w:pPr>
        <w:pStyle w:val="FootnoteText"/>
        <w:spacing w:after="0"/>
      </w:pPr>
      <w:r w:rsidRPr="00FE5DDD">
        <w:rPr>
          <w:rStyle w:val="FootnoteReference"/>
          <w:sz w:val="18"/>
          <w:szCs w:val="18"/>
        </w:rPr>
        <w:footnoteRef/>
      </w:r>
      <w:r w:rsidRPr="00FE5DDD">
        <w:rPr>
          <w:sz w:val="18"/>
          <w:szCs w:val="18"/>
        </w:rPr>
        <w:t xml:space="preserve"> </w:t>
      </w:r>
      <w:r w:rsidRPr="00B776EA">
        <w:t xml:space="preserve">Highway safety research and development, 23 U.S.C. § 403. </w:t>
      </w:r>
      <w:hyperlink r:id="rId1" w:history="1">
        <w:r w:rsidRPr="008D6F3C">
          <w:rPr>
            <w:rStyle w:val="Hyperlink"/>
            <w:sz w:val="18"/>
            <w:szCs w:val="18"/>
          </w:rPr>
          <w:t>www.govinfo.gov/content/pkg/USCODE-2012-title23/pdf/USCODE-2012-title23-chap4-sec403.pdf</w:t>
        </w:r>
      </w:hyperlink>
      <w:r w:rsidRPr="00FE5DDD">
        <w:rPr>
          <w:sz w:val="18"/>
          <w:szCs w:val="18"/>
        </w:rPr>
        <w:t xml:space="preserve"> </w:t>
      </w:r>
    </w:p>
  </w:footnote>
  <w:footnote w:id="5">
    <w:p w14:paraId="72F18F0B" w14:textId="77777777" w:rsidR="00C06C31" w:rsidRPr="00E948F5" w:rsidRDefault="00C06C31" w:rsidP="006E3408">
      <w:pPr>
        <w:pStyle w:val="FootnoteText"/>
        <w:spacing w:after="0"/>
      </w:pPr>
      <w:r w:rsidRPr="00E948F5">
        <w:rPr>
          <w:rStyle w:val="FootnoteReference"/>
        </w:rPr>
        <w:footnoteRef/>
      </w:r>
      <w:r>
        <w:t xml:space="preserve"> </w:t>
      </w:r>
      <w:r w:rsidRPr="00B776EA">
        <w:t>Shahar, A., Clarke, D., Crundall, D. (2011). Applying the motorcyclist's perspective to improve car drivers’ attitudes towards motorcyclists. Accident Analysis &amp; Prevention, Vol 43, 1743-1750.</w:t>
      </w:r>
    </w:p>
  </w:footnote>
  <w:footnote w:id="6">
    <w:p w14:paraId="380993F4" w14:textId="77777777" w:rsidR="00C06C31" w:rsidRPr="00B776EA" w:rsidRDefault="00C06C31" w:rsidP="006E3408">
      <w:pPr>
        <w:pStyle w:val="FootnoteText"/>
        <w:spacing w:after="0"/>
      </w:pPr>
      <w:r w:rsidRPr="0091369C">
        <w:rPr>
          <w:rStyle w:val="FootnoteReference"/>
        </w:rPr>
        <w:footnoteRef/>
      </w:r>
      <w:r w:rsidRPr="0091369C">
        <w:rPr>
          <w:vertAlign w:val="superscript"/>
        </w:rPr>
        <w:t xml:space="preserve"> </w:t>
      </w:r>
      <w:r w:rsidRPr="00B776EA">
        <w:t>Wickens, C.M., Mann, R.E., &amp; Wiesenthal, D.L. (2013). Addressing driver aggression: Contributions from psychological science. Current Directions in Psychological Science, 22(5), 386-391.</w:t>
      </w:r>
    </w:p>
  </w:footnote>
  <w:footnote w:id="7">
    <w:p w14:paraId="7C13653F" w14:textId="7CB0B283" w:rsidR="00C06C31" w:rsidRDefault="00C06C31" w:rsidP="006E3408">
      <w:pPr>
        <w:pStyle w:val="FootnoteText"/>
        <w:spacing w:after="0"/>
      </w:pPr>
      <w:r>
        <w:rPr>
          <w:rStyle w:val="FootnoteReference"/>
        </w:rPr>
        <w:footnoteRef/>
      </w:r>
      <w:r w:rsidRPr="00825E5B">
        <w:rPr>
          <w:lang w:val="fr-FR"/>
        </w:rPr>
        <w:t xml:space="preserve"> Dykema, J., Jaques, K., Cyffka, K., Assad, N., Hammers, R. G., Elver,K., et al. </w:t>
      </w:r>
      <w:r>
        <w:t xml:space="preserve">(2015). Effects of Sequential Prepaid Incentives and Envelope Messaging in Mail Surveys. </w:t>
      </w:r>
      <w:r w:rsidRPr="00E16D42">
        <w:rPr>
          <w:i/>
        </w:rPr>
        <w:t>Public Opinion Quarterly, 79(4),</w:t>
      </w:r>
      <w:r>
        <w:rPr>
          <w:i/>
        </w:rPr>
        <w:t xml:space="preserve"> </w:t>
      </w:r>
      <w:r>
        <w:t>906–931. https ://doi.org/10.1093/poq/nfv041.</w:t>
      </w:r>
    </w:p>
  </w:footnote>
  <w:footnote w:id="8">
    <w:p w14:paraId="324E45BD" w14:textId="77777777" w:rsidR="00C06C31" w:rsidRPr="00032055" w:rsidRDefault="00C06C31" w:rsidP="006E3408">
      <w:pPr>
        <w:pStyle w:val="FootnoteText"/>
        <w:spacing w:after="0"/>
        <w:rPr>
          <w:i/>
          <w:iCs/>
        </w:rPr>
      </w:pPr>
      <w:r>
        <w:rPr>
          <w:rStyle w:val="FootnoteReference"/>
        </w:rPr>
        <w:footnoteRef/>
      </w:r>
      <w:r>
        <w:t xml:space="preserve"> </w:t>
      </w:r>
      <w:r w:rsidRPr="00032055">
        <w:t xml:space="preserve">Dillman, D. A., Smyth, J. D., &amp; Christian, L. M. (2014). </w:t>
      </w:r>
      <w:r w:rsidRPr="00032055">
        <w:rPr>
          <w:i/>
          <w:iCs/>
        </w:rPr>
        <w:t>Internet,</w:t>
      </w:r>
      <w:r>
        <w:rPr>
          <w:i/>
          <w:iCs/>
        </w:rPr>
        <w:t xml:space="preserve"> P</w:t>
      </w:r>
      <w:r w:rsidRPr="00032055">
        <w:rPr>
          <w:i/>
          <w:iCs/>
        </w:rPr>
        <w:t xml:space="preserve">hone, </w:t>
      </w:r>
      <w:r>
        <w:rPr>
          <w:i/>
          <w:iCs/>
        </w:rPr>
        <w:t>M</w:t>
      </w:r>
      <w:r w:rsidRPr="00032055">
        <w:rPr>
          <w:i/>
          <w:iCs/>
        </w:rPr>
        <w:t xml:space="preserve">ail, and </w:t>
      </w:r>
      <w:r>
        <w:rPr>
          <w:i/>
          <w:iCs/>
        </w:rPr>
        <w:t>M</w:t>
      </w:r>
      <w:r w:rsidRPr="00032055">
        <w:rPr>
          <w:i/>
          <w:iCs/>
        </w:rPr>
        <w:t>ixed-</w:t>
      </w:r>
      <w:r>
        <w:rPr>
          <w:i/>
          <w:iCs/>
        </w:rPr>
        <w:t>M</w:t>
      </w:r>
      <w:r w:rsidRPr="00032055">
        <w:rPr>
          <w:i/>
          <w:iCs/>
        </w:rPr>
        <w:t xml:space="preserve">ode </w:t>
      </w:r>
      <w:r>
        <w:rPr>
          <w:i/>
          <w:iCs/>
        </w:rPr>
        <w:t>S</w:t>
      </w:r>
      <w:r w:rsidRPr="00032055">
        <w:rPr>
          <w:i/>
          <w:iCs/>
        </w:rPr>
        <w:t>urveys: The Tailored Design</w:t>
      </w:r>
      <w:r>
        <w:rPr>
          <w:i/>
          <w:iCs/>
        </w:rPr>
        <w:t xml:space="preserve"> </w:t>
      </w:r>
      <w:r w:rsidRPr="00032055">
        <w:rPr>
          <w:i/>
          <w:iCs/>
        </w:rPr>
        <w:t xml:space="preserve">Method </w:t>
      </w:r>
      <w:r w:rsidRPr="00032055">
        <w:t>(4th ed.). Hoboken, NJ: Wiley.</w:t>
      </w:r>
    </w:p>
  </w:footnote>
  <w:footnote w:id="9">
    <w:p w14:paraId="55815185" w14:textId="4D5D8729" w:rsidR="00C06C31" w:rsidRDefault="00C06C31" w:rsidP="006E3408">
      <w:pPr>
        <w:pStyle w:val="FootnoteText"/>
        <w:spacing w:after="0"/>
      </w:pPr>
      <w:r>
        <w:rPr>
          <w:rStyle w:val="FootnoteReference"/>
        </w:rPr>
        <w:footnoteRef/>
      </w:r>
      <w:r>
        <w:t xml:space="preserve"> Dirmaier, J., Harfst, T., Koch, U., &amp; Schulz, H. (2007). Incentives increased return rates but did not influence partial nonresponse or treatment outcome in a randomized trial. </w:t>
      </w:r>
      <w:r w:rsidRPr="00E16D42">
        <w:rPr>
          <w:i/>
        </w:rPr>
        <w:t>Journal of Clinical</w:t>
      </w:r>
      <w:r>
        <w:rPr>
          <w:i/>
        </w:rPr>
        <w:t xml:space="preserve"> </w:t>
      </w:r>
      <w:r w:rsidRPr="00E16D42">
        <w:rPr>
          <w:i/>
        </w:rPr>
        <w:t>Epidemiology, 60(12),</w:t>
      </w:r>
      <w:r>
        <w:t xml:space="preserve"> 1263–1270. https ://doi.org/10.1016/j.jclinepi.2007.04.006. </w:t>
      </w:r>
    </w:p>
  </w:footnote>
  <w:footnote w:id="10">
    <w:p w14:paraId="5D2148A3" w14:textId="0662648F" w:rsidR="00C06C31" w:rsidRDefault="00C06C31" w:rsidP="006E3408">
      <w:pPr>
        <w:pStyle w:val="FootnoteText"/>
        <w:spacing w:after="0"/>
      </w:pPr>
      <w:r>
        <w:rPr>
          <w:rStyle w:val="FootnoteReference"/>
        </w:rPr>
        <w:footnoteRef/>
      </w:r>
      <w:r>
        <w:t xml:space="preserve"> Ryu, E., Couper, M. P., &amp; Marans, R. W. (2006). Survey incentives: Cash vs. In-Kind; Face-to-Face vs. Mail; Response Rate vs. Nonresponse Error. </w:t>
      </w:r>
      <w:r w:rsidRPr="00E16D42">
        <w:rPr>
          <w:i/>
        </w:rPr>
        <w:t>International Journal of Public Opinion Research, 18(1),</w:t>
      </w:r>
      <w:r>
        <w:t xml:space="preserve"> 89–106. </w:t>
      </w:r>
      <w:bookmarkStart w:id="20" w:name="_Hlk31640766"/>
      <w:r>
        <w:t>Retrieved from</w:t>
      </w:r>
      <w:bookmarkEnd w:id="20"/>
      <w:r>
        <w:t xml:space="preserve"> https ://doi.org/10.1093/ijpor /edh08 9. </w:t>
      </w:r>
    </w:p>
  </w:footnote>
  <w:footnote w:id="11">
    <w:p w14:paraId="60EC6F94" w14:textId="77777777" w:rsidR="00C06C31" w:rsidRDefault="00C06C31" w:rsidP="006E3408">
      <w:pPr>
        <w:pStyle w:val="FootnoteText"/>
        <w:spacing w:after="0"/>
      </w:pPr>
      <w:r>
        <w:rPr>
          <w:rStyle w:val="FootnoteReference"/>
        </w:rPr>
        <w:footnoteRef/>
      </w:r>
      <w:r>
        <w:t xml:space="preserve"> Millar, M. M., &amp; Dillman, D. A. (2011). Improving Response to Web and Mixed-Mode Surveys. </w:t>
      </w:r>
      <w:r w:rsidRPr="00E16D42">
        <w:rPr>
          <w:i/>
        </w:rPr>
        <w:t>Public Opinion Quarterly, 75(2),</w:t>
      </w:r>
      <w:r>
        <w:t xml:space="preserve"> 249–269. Retrieved from https ://doi.org/10.1093/poq/nfr003.</w:t>
      </w:r>
    </w:p>
  </w:footnote>
  <w:footnote w:id="12">
    <w:p w14:paraId="69815CDA" w14:textId="075F7612" w:rsidR="00C06C31" w:rsidRDefault="00C06C31" w:rsidP="006E3408">
      <w:pPr>
        <w:pStyle w:val="FootnoteText"/>
        <w:spacing w:after="0"/>
      </w:pPr>
      <w:r>
        <w:rPr>
          <w:rStyle w:val="FootnoteReference"/>
        </w:rPr>
        <w:footnoteRef/>
      </w:r>
      <w:r>
        <w:t xml:space="preserve"> Messer, B. L., &amp; Dillman, D. A. (2011). Surveying the General Public over the Internet Using Address-Based Sampling and Mail Contact Procedures. </w:t>
      </w:r>
      <w:r w:rsidRPr="00E16D42">
        <w:rPr>
          <w:i/>
        </w:rPr>
        <w:t>Public Opinion Quarterly, 75(3),</w:t>
      </w:r>
      <w:r>
        <w:t xml:space="preserve"> 429–457. Retrieved from https ://doi.org/10.1093/poq/nfr021.</w:t>
      </w:r>
    </w:p>
  </w:footnote>
  <w:footnote w:id="13">
    <w:p w14:paraId="296AEE8C" w14:textId="3972FB02" w:rsidR="00C06C31" w:rsidRDefault="00C06C31" w:rsidP="006E3408">
      <w:pPr>
        <w:pStyle w:val="FootnoteText"/>
        <w:spacing w:after="0"/>
      </w:pPr>
      <w:r>
        <w:rPr>
          <w:rStyle w:val="FootnoteReference"/>
        </w:rPr>
        <w:footnoteRef/>
      </w:r>
      <w:r>
        <w:t xml:space="preserve"> The methodology also includes a $10 post-survey incentive.</w:t>
      </w:r>
    </w:p>
  </w:footnote>
  <w:footnote w:id="14">
    <w:p w14:paraId="3DDE5EB6" w14:textId="77777777" w:rsidR="00C06C31" w:rsidRPr="00BD4804" w:rsidRDefault="00C06C31" w:rsidP="006E3408">
      <w:pPr>
        <w:pStyle w:val="FootnoteText"/>
        <w:spacing w:after="0"/>
        <w:rPr>
          <w:color w:val="333333"/>
          <w:shd w:val="clear" w:color="auto" w:fill="FFFFFF"/>
        </w:rPr>
      </w:pPr>
      <w:r w:rsidRPr="00EB4F6B">
        <w:rPr>
          <w:rStyle w:val="FootnoteReference"/>
        </w:rPr>
        <w:footnoteRef/>
      </w:r>
      <w:r w:rsidRPr="00EB4F6B">
        <w:t xml:space="preserve"> Lavrakas, P J. (2008). </w:t>
      </w:r>
      <w:r w:rsidRPr="00EB4F6B">
        <w:rPr>
          <w:i/>
        </w:rPr>
        <w:t>Encyclopedia of Survey Research Methods.</w:t>
      </w:r>
      <w:r>
        <w:rPr>
          <w:i/>
        </w:rPr>
        <w:t xml:space="preserve"> </w:t>
      </w:r>
      <w:r w:rsidRPr="00BD4804">
        <w:t xml:space="preserve">SAGE Publications, Inc. </w:t>
      </w:r>
      <w:r w:rsidRPr="00BD4804">
        <w:rPr>
          <w:bCs/>
          <w:color w:val="333333"/>
          <w:shd w:val="clear" w:color="auto" w:fill="FFFFFF"/>
        </w:rPr>
        <w:t>DOI</w:t>
      </w:r>
      <w:r w:rsidRPr="00BD4804">
        <w:rPr>
          <w:b/>
          <w:bCs/>
          <w:color w:val="333333"/>
          <w:shd w:val="clear" w:color="auto" w:fill="FFFFFF"/>
        </w:rPr>
        <w:t>:</w:t>
      </w:r>
      <w:r w:rsidRPr="00BD4804">
        <w:rPr>
          <w:color w:val="333333"/>
          <w:shd w:val="clear" w:color="auto" w:fill="FFFFFF"/>
        </w:rPr>
        <w:t> </w:t>
      </w:r>
      <w:hyperlink r:id="rId2" w:tgtFrame="_blank" w:history="1">
        <w:r w:rsidRPr="00BD4804">
          <w:rPr>
            <w:color w:val="006ACC"/>
            <w:u w:val="single"/>
          </w:rPr>
          <w:t>https://dx.doi.org/10.4135/9781412963947.n331</w:t>
        </w:r>
      </w:hyperlink>
      <w:r w:rsidRPr="00BD4804">
        <w:rPr>
          <w:color w:val="006ACC"/>
          <w:u w:val="single"/>
        </w:rPr>
        <w:t>.</w:t>
      </w:r>
    </w:p>
  </w:footnote>
  <w:footnote w:id="15">
    <w:p w14:paraId="16E44D27" w14:textId="77777777" w:rsidR="00C06C31" w:rsidRPr="00B776EA" w:rsidRDefault="00C06C31" w:rsidP="006E3408">
      <w:pPr>
        <w:pStyle w:val="FootnoteText"/>
        <w:spacing w:after="0"/>
      </w:pPr>
      <w:r w:rsidRPr="006E3408">
        <w:rPr>
          <w:rStyle w:val="FootnoteReference"/>
        </w:rPr>
        <w:footnoteRef/>
      </w:r>
      <w:r w:rsidRPr="006E3408">
        <w:rPr>
          <w:vertAlign w:val="superscript"/>
        </w:rPr>
        <w:t xml:space="preserve"> </w:t>
      </w:r>
      <w:r w:rsidRPr="00B776EA">
        <w:t>Groves, R. M., Cialdini, R. B., &amp; Couper, M. P. (1992). Understanding the Decision to Participate in a Survey. Public Opinion Quarterly, 56(4), 475–495. DOI: 10.1086/269338.</w:t>
      </w:r>
    </w:p>
  </w:footnote>
  <w:footnote w:id="16">
    <w:p w14:paraId="55FD37A6" w14:textId="77777777" w:rsidR="00C06C31" w:rsidRPr="00B776EA" w:rsidRDefault="00C06C31" w:rsidP="006E3408">
      <w:pPr>
        <w:pStyle w:val="FootnoteText"/>
        <w:spacing w:after="0"/>
      </w:pPr>
      <w:r w:rsidRPr="006E3408">
        <w:rPr>
          <w:rStyle w:val="FootnoteReference"/>
        </w:rPr>
        <w:footnoteRef/>
      </w:r>
      <w:r w:rsidRPr="00B776EA">
        <w:t xml:space="preserve"> Wilbur, M. (2019, October). Young driver survey (Report No. DOT HS 812 761). Washington, DC: National Highway Traffic Safety Administration.</w:t>
      </w:r>
    </w:p>
  </w:footnote>
  <w:footnote w:id="17">
    <w:p w14:paraId="6E4CBF7B" w14:textId="77777777" w:rsidR="00C06C31" w:rsidRPr="00B776EA" w:rsidRDefault="00C06C31" w:rsidP="006E3408">
      <w:pPr>
        <w:pStyle w:val="FootnoteText"/>
        <w:spacing w:after="0"/>
      </w:pPr>
      <w:r w:rsidRPr="006E3408">
        <w:rPr>
          <w:rStyle w:val="FootnoteReference"/>
        </w:rPr>
        <w:footnoteRef/>
      </w:r>
      <w:r w:rsidRPr="00B776EA">
        <w:t xml:space="preserve"> Bailly, K., Martin, K. &amp; Block, A. (2019, December). 2016 Motor vehicle occupant safety survey: Volume 1, Methodology report (Report No. DOT HS 812 851). National Highway Traffic Safety Administration.</w:t>
      </w:r>
    </w:p>
  </w:footnote>
  <w:footnote w:id="18">
    <w:p w14:paraId="2B0F606E" w14:textId="74B42FF8" w:rsidR="00C06C31" w:rsidRPr="00B776EA" w:rsidRDefault="00C06C31" w:rsidP="006E3408">
      <w:pPr>
        <w:pStyle w:val="FootnoteText"/>
        <w:spacing w:after="0"/>
      </w:pPr>
      <w:r w:rsidRPr="006E3408">
        <w:rPr>
          <w:rStyle w:val="FootnoteReference"/>
        </w:rPr>
        <w:footnoteRef/>
      </w:r>
      <w:r w:rsidRPr="00B776EA">
        <w:t xml:space="preserve"> Coopersmith, J., Vogel, L. K., Bruursema, T., &amp; Feeney, K. (2016). Effects of Incentive Amount and Type of Web Survey Response Rates. Survey Practice, 9(1), 1-10. doi:10.29115/sp-2016-0002.</w:t>
      </w:r>
    </w:p>
  </w:footnote>
  <w:footnote w:id="19">
    <w:p w14:paraId="112EC468" w14:textId="649E305A" w:rsidR="00C06C31" w:rsidRPr="00B776EA" w:rsidRDefault="00C06C31" w:rsidP="006E3408">
      <w:pPr>
        <w:pStyle w:val="FootnoteText"/>
        <w:spacing w:after="0"/>
      </w:pPr>
      <w:r w:rsidRPr="006E3408">
        <w:rPr>
          <w:rStyle w:val="FootnoteReference"/>
        </w:rPr>
        <w:footnoteRef/>
      </w:r>
      <w:r w:rsidRPr="006E3408">
        <w:rPr>
          <w:vertAlign w:val="superscript"/>
        </w:rPr>
        <w:t xml:space="preserve"> </w:t>
      </w:r>
      <w:r w:rsidRPr="00B776EA">
        <w:t>Singer, E. &amp; Ye, C. (2013). The use and effects of incentives in surveys. The ANNALS of the American Academy of Political and Social Science 645(1), 112–141.</w:t>
      </w:r>
    </w:p>
  </w:footnote>
  <w:footnote w:id="20">
    <w:p w14:paraId="48A498DA" w14:textId="4230FA2F" w:rsidR="00C06C31" w:rsidRDefault="00C06C31" w:rsidP="006E3408">
      <w:pPr>
        <w:pStyle w:val="FootnoteText"/>
        <w:spacing w:after="0"/>
      </w:pPr>
      <w:r w:rsidRPr="006E3408">
        <w:rPr>
          <w:rStyle w:val="FootnoteReference"/>
        </w:rPr>
        <w:footnoteRef/>
      </w:r>
      <w:r w:rsidRPr="00B776EA">
        <w:t xml:space="preserve"> LeClere, F., Plumme, S., Vanicek, J., Amaya, A. &amp; Carris, K. (2012). Household early bird incentives: leveraging family influence to improve household response rates. JSM Proceedings, Survey Research Methods Section. </w:t>
      </w:r>
      <w:hyperlink r:id="rId3" w:history="1">
        <w:r w:rsidRPr="00015E0F">
          <w:rPr>
            <w:rStyle w:val="Hyperlink"/>
          </w:rPr>
          <w:t>http://www.asasrms.org/Proceedings/y2012/Files/304811_73772.pdf</w:t>
        </w:r>
      </w:hyperlink>
    </w:p>
  </w:footnote>
  <w:footnote w:id="21">
    <w:p w14:paraId="5263810C" w14:textId="7A56265B" w:rsidR="00C06C31" w:rsidRDefault="00C06C31" w:rsidP="00B776EA">
      <w:pPr>
        <w:pStyle w:val="FootnoteText"/>
        <w:spacing w:after="120"/>
      </w:pPr>
      <w:r>
        <w:rPr>
          <w:rStyle w:val="FootnoteReference"/>
        </w:rPr>
        <w:footnoteRef/>
      </w:r>
      <w:r>
        <w:t xml:space="preserve"> </w:t>
      </w:r>
      <w:r w:rsidRPr="00B776EA">
        <w:t>The Federal Risk and Authorization Management Program (FedRAMP) is a government-wide program that provides a standardized approach to security assessment, authorization, and continuous monitoring for cloud products and services.” See https://www.fedramp.gov/about/</w:t>
      </w:r>
    </w:p>
  </w:footnote>
  <w:footnote w:id="22">
    <w:p w14:paraId="4C7E21BF" w14:textId="733CD6CE" w:rsidR="008033CB" w:rsidRDefault="008033CB" w:rsidP="008033CB">
      <w:pPr>
        <w:pStyle w:val="FootnoteText"/>
        <w:spacing w:after="0"/>
      </w:pPr>
      <w:r>
        <w:rPr>
          <w:rStyle w:val="FootnoteReference"/>
        </w:rPr>
        <w:footnoteRef/>
      </w:r>
      <w:r>
        <w:t xml:space="preserve"> </w:t>
      </w:r>
      <w:r w:rsidRPr="008820AD">
        <w:t>Mean per capita wage of $27.07 as per U.S. Department of Labor, Bureau of Labor and Statistics, May 2020 National Occupational Employment and Wage Estimates United States:</w:t>
      </w:r>
    </w:p>
  </w:footnote>
  <w:footnote w:id="23">
    <w:p w14:paraId="633D0F98" w14:textId="0D50A430" w:rsidR="008033CB" w:rsidRDefault="008033CB" w:rsidP="008033CB">
      <w:pPr>
        <w:pStyle w:val="FootnoteText"/>
        <w:spacing w:after="0"/>
      </w:pPr>
      <w:r>
        <w:rPr>
          <w:rStyle w:val="FootnoteReference"/>
        </w:rPr>
        <w:footnoteRef/>
      </w:r>
      <w:r>
        <w:t xml:space="preserve"> </w:t>
      </w:r>
      <w:hyperlink r:id="rId4" w:anchor="00-0000" w:history="1">
        <w:r w:rsidRPr="008820AD">
          <w:t>https://www.bls.gov/oes/current/oes_nat.htm#00-0000</w:t>
        </w:r>
      </w:hyperlink>
      <w:r w:rsidRPr="008820AD">
        <w:t>. A multiplier of 1.25 was applied to this wage to account for fringe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903E" w14:textId="77777777" w:rsidR="00C06C31" w:rsidRDefault="00C06C31" w:rsidP="005F7C51">
    <w:pPr>
      <w:pStyle w:val="Header"/>
      <w:spacing w:after="0"/>
      <w:jc w:val="right"/>
    </w:pPr>
    <w:r>
      <w:t>Survey on Driver Awareness of Motorcycles</w:t>
    </w:r>
  </w:p>
  <w:p w14:paraId="3D367B8E" w14:textId="77777777" w:rsidR="00C06C31" w:rsidRDefault="00C06C31" w:rsidP="005F7C51">
    <w:pPr>
      <w:pStyle w:val="Header"/>
      <w:spacing w:after="0"/>
      <w:jc w:val="right"/>
    </w:pPr>
    <w:r>
      <w:t>ICR Part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401725"/>
      <w:docPartObj>
        <w:docPartGallery w:val="Watermarks"/>
        <w:docPartUnique/>
      </w:docPartObj>
    </w:sdtPr>
    <w:sdtEndPr/>
    <w:sdtContent>
      <w:p w14:paraId="2FAC605E" w14:textId="11DCF4D4" w:rsidR="00C06C31" w:rsidRDefault="00494A96" w:rsidP="003F178B">
        <w:pPr>
          <w:pStyle w:val="Header"/>
          <w:jc w:val="right"/>
        </w:pPr>
        <w:r>
          <w:rPr>
            <w:noProof/>
          </w:rPr>
          <w:pict w14:anchorId="13620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24887"/>
    <w:multiLevelType w:val="hybridMultilevel"/>
    <w:tmpl w:val="0A861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03A97"/>
    <w:multiLevelType w:val="hybridMultilevel"/>
    <w:tmpl w:val="6AE2BF66"/>
    <w:lvl w:ilvl="0" w:tplc="56DA4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413255E"/>
    <w:multiLevelType w:val="hybridMultilevel"/>
    <w:tmpl w:val="4BB033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9A1AB5"/>
    <w:multiLevelType w:val="hybridMultilevel"/>
    <w:tmpl w:val="0B725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DC4C0A"/>
    <w:multiLevelType w:val="multilevel"/>
    <w:tmpl w:val="DD9EB024"/>
    <w:lvl w:ilvl="0">
      <w:start w:val="1"/>
      <w:numFmt w:val="decimal"/>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3" w15:restartNumberingAfterBreak="0">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D25C1"/>
    <w:multiLevelType w:val="hybridMultilevel"/>
    <w:tmpl w:val="07E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F48AA"/>
    <w:multiLevelType w:val="hybridMultilevel"/>
    <w:tmpl w:val="B00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76B51"/>
    <w:multiLevelType w:val="hybridMultilevel"/>
    <w:tmpl w:val="8926FAAA"/>
    <w:lvl w:ilvl="0" w:tplc="3C7E3C4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843B4"/>
    <w:multiLevelType w:val="hybridMultilevel"/>
    <w:tmpl w:val="4A564262"/>
    <w:lvl w:ilvl="0" w:tplc="3676DDEE">
      <w:start w:val="1"/>
      <w:numFmt w:val="upperLetter"/>
      <w:lvlText w:val="%1."/>
      <w:lvlJc w:val="left"/>
      <w:pPr>
        <w:ind w:left="630" w:hanging="360"/>
      </w:pPr>
    </w:lvl>
    <w:lvl w:ilvl="1" w:tplc="7752FC1A">
      <w:start w:val="1"/>
      <w:numFmt w:val="lowerLetter"/>
      <w:lvlText w:val="%2."/>
      <w:lvlJc w:val="left"/>
      <w:pPr>
        <w:ind w:left="1350" w:hanging="360"/>
      </w:pPr>
    </w:lvl>
    <w:lvl w:ilvl="2" w:tplc="292831BE">
      <w:start w:val="1"/>
      <w:numFmt w:val="lowerRoman"/>
      <w:lvlText w:val="%3."/>
      <w:lvlJc w:val="right"/>
      <w:pPr>
        <w:ind w:left="2070" w:hanging="180"/>
      </w:pPr>
    </w:lvl>
    <w:lvl w:ilvl="3" w:tplc="C3C04C10">
      <w:start w:val="1"/>
      <w:numFmt w:val="decimal"/>
      <w:lvlText w:val="%4."/>
      <w:lvlJc w:val="left"/>
      <w:pPr>
        <w:ind w:left="2790" w:hanging="360"/>
      </w:pPr>
    </w:lvl>
    <w:lvl w:ilvl="4" w:tplc="64E04472">
      <w:start w:val="1"/>
      <w:numFmt w:val="lowerLetter"/>
      <w:lvlText w:val="%5."/>
      <w:lvlJc w:val="left"/>
      <w:pPr>
        <w:ind w:left="3510" w:hanging="360"/>
      </w:pPr>
    </w:lvl>
    <w:lvl w:ilvl="5" w:tplc="49686A4A">
      <w:start w:val="1"/>
      <w:numFmt w:val="lowerRoman"/>
      <w:lvlText w:val="%6."/>
      <w:lvlJc w:val="right"/>
      <w:pPr>
        <w:ind w:left="4230" w:hanging="180"/>
      </w:pPr>
    </w:lvl>
    <w:lvl w:ilvl="6" w:tplc="04E2BEF0">
      <w:start w:val="1"/>
      <w:numFmt w:val="decimal"/>
      <w:lvlText w:val="%7."/>
      <w:lvlJc w:val="left"/>
      <w:pPr>
        <w:ind w:left="4950" w:hanging="360"/>
      </w:pPr>
    </w:lvl>
    <w:lvl w:ilvl="7" w:tplc="AF2A87A8">
      <w:start w:val="1"/>
      <w:numFmt w:val="lowerLetter"/>
      <w:lvlText w:val="%8."/>
      <w:lvlJc w:val="left"/>
      <w:pPr>
        <w:ind w:left="5670" w:hanging="360"/>
      </w:pPr>
    </w:lvl>
    <w:lvl w:ilvl="8" w:tplc="D5DE4854">
      <w:start w:val="1"/>
      <w:numFmt w:val="lowerRoman"/>
      <w:lvlText w:val="%9."/>
      <w:lvlJc w:val="right"/>
      <w:pPr>
        <w:ind w:left="6390" w:hanging="180"/>
      </w:pPr>
    </w:lvl>
  </w:abstractNum>
  <w:abstractNum w:abstractNumId="23"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8482A"/>
    <w:multiLevelType w:val="hybridMultilevel"/>
    <w:tmpl w:val="53C64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D230D1"/>
    <w:multiLevelType w:val="hybridMultilevel"/>
    <w:tmpl w:val="DC2C3FA8"/>
    <w:lvl w:ilvl="0" w:tplc="3C7E3C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D14A6"/>
    <w:multiLevelType w:val="hybridMultilevel"/>
    <w:tmpl w:val="8D3A6F1C"/>
    <w:lvl w:ilvl="0" w:tplc="0409000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566936"/>
    <w:multiLevelType w:val="hybridMultilevel"/>
    <w:tmpl w:val="0952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F05B4"/>
    <w:multiLevelType w:val="hybridMultilevel"/>
    <w:tmpl w:val="5D48EE8C"/>
    <w:lvl w:ilvl="0" w:tplc="4C525864">
      <w:start w:val="1"/>
      <w:numFmt w:val="decimal"/>
      <w:lvlText w:val="A%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D446F7"/>
    <w:multiLevelType w:val="hybridMultilevel"/>
    <w:tmpl w:val="243EE722"/>
    <w:lvl w:ilvl="0" w:tplc="3C7E3C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15345"/>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60A7B"/>
    <w:multiLevelType w:val="hybridMultilevel"/>
    <w:tmpl w:val="633ED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A1EF0"/>
    <w:multiLevelType w:val="hybridMultilevel"/>
    <w:tmpl w:val="4ED82900"/>
    <w:lvl w:ilvl="0" w:tplc="3C7E3C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A1538"/>
    <w:multiLevelType w:val="hybridMultilevel"/>
    <w:tmpl w:val="AE8230D2"/>
    <w:lvl w:ilvl="0" w:tplc="6966F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8A678D"/>
    <w:multiLevelType w:val="hybridMultilevel"/>
    <w:tmpl w:val="9758B608"/>
    <w:lvl w:ilvl="0" w:tplc="3C7E3C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43015"/>
    <w:multiLevelType w:val="hybridMultilevel"/>
    <w:tmpl w:val="C3529F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785701D"/>
    <w:multiLevelType w:val="hybridMultilevel"/>
    <w:tmpl w:val="6D8CEEC4"/>
    <w:lvl w:ilvl="0" w:tplc="04090001">
      <w:start w:val="65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A727A"/>
    <w:multiLevelType w:val="hybridMultilevel"/>
    <w:tmpl w:val="498A8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03ADD"/>
    <w:multiLevelType w:val="hybridMultilevel"/>
    <w:tmpl w:val="4BA6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12"/>
  </w:num>
  <w:num w:numId="4">
    <w:abstractNumId w:val="12"/>
  </w:num>
  <w:num w:numId="5">
    <w:abstractNumId w:val="6"/>
  </w:num>
  <w:num w:numId="6">
    <w:abstractNumId w:val="30"/>
  </w:num>
  <w:num w:numId="7">
    <w:abstractNumId w:val="19"/>
  </w:num>
  <w:num w:numId="8">
    <w:abstractNumId w:val="4"/>
  </w:num>
  <w:num w:numId="9">
    <w:abstractNumId w:val="1"/>
  </w:num>
  <w:num w:numId="10">
    <w:abstractNumId w:val="0"/>
  </w:num>
  <w:num w:numId="11">
    <w:abstractNumId w:val="8"/>
  </w:num>
  <w:num w:numId="12">
    <w:abstractNumId w:val="28"/>
  </w:num>
  <w:num w:numId="13">
    <w:abstractNumId w:val="23"/>
  </w:num>
  <w:num w:numId="14">
    <w:abstractNumId w:val="44"/>
  </w:num>
  <w:num w:numId="15">
    <w:abstractNumId w:val="3"/>
  </w:num>
  <w:num w:numId="16">
    <w:abstractNumId w:val="35"/>
  </w:num>
  <w:num w:numId="17">
    <w:abstractNumId w:val="21"/>
  </w:num>
  <w:num w:numId="18">
    <w:abstractNumId w:val="9"/>
  </w:num>
  <w:num w:numId="19">
    <w:abstractNumId w:val="17"/>
  </w:num>
  <w:num w:numId="20">
    <w:abstractNumId w:val="37"/>
  </w:num>
  <w:num w:numId="21">
    <w:abstractNumId w:val="2"/>
  </w:num>
  <w:num w:numId="22">
    <w:abstractNumId w:val="18"/>
  </w:num>
  <w:num w:numId="23">
    <w:abstractNumId w:val="36"/>
  </w:num>
  <w:num w:numId="24">
    <w:abstractNumId w:val="29"/>
  </w:num>
  <w:num w:numId="25">
    <w:abstractNumId w:val="16"/>
  </w:num>
  <w:num w:numId="26">
    <w:abstractNumId w:val="40"/>
  </w:num>
  <w:num w:numId="27">
    <w:abstractNumId w:val="24"/>
  </w:num>
  <w:num w:numId="28">
    <w:abstractNumId w:val="14"/>
  </w:num>
  <w:num w:numId="29">
    <w:abstractNumId w:val="15"/>
  </w:num>
  <w:num w:numId="30">
    <w:abstractNumId w:val="41"/>
  </w:num>
  <w:num w:numId="31">
    <w:abstractNumId w:val="26"/>
  </w:num>
  <w:num w:numId="32">
    <w:abstractNumId w:val="13"/>
  </w:num>
  <w:num w:numId="33">
    <w:abstractNumId w:val="43"/>
  </w:num>
  <w:num w:numId="34">
    <w:abstractNumId w:val="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42"/>
  </w:num>
  <w:num w:numId="38">
    <w:abstractNumId w:val="10"/>
  </w:num>
  <w:num w:numId="39">
    <w:abstractNumId w:val="32"/>
  </w:num>
  <w:num w:numId="40">
    <w:abstractNumId w:val="20"/>
  </w:num>
  <w:num w:numId="41">
    <w:abstractNumId w:val="33"/>
  </w:num>
  <w:num w:numId="42">
    <w:abstractNumId w:val="31"/>
  </w:num>
  <w:num w:numId="43">
    <w:abstractNumId w:val="39"/>
  </w:num>
  <w:num w:numId="44">
    <w:abstractNumId w:val="34"/>
  </w:num>
  <w:num w:numId="45">
    <w:abstractNumId w:val="25"/>
  </w:num>
  <w:num w:numId="46">
    <w:abstractNumId w:val="3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36"/>
    <w:rsid w:val="0000024A"/>
    <w:rsid w:val="00000F98"/>
    <w:rsid w:val="00002223"/>
    <w:rsid w:val="00005100"/>
    <w:rsid w:val="00005B48"/>
    <w:rsid w:val="00006DE1"/>
    <w:rsid w:val="00007477"/>
    <w:rsid w:val="0000751E"/>
    <w:rsid w:val="0001133D"/>
    <w:rsid w:val="0001156A"/>
    <w:rsid w:val="00011681"/>
    <w:rsid w:val="00015E0F"/>
    <w:rsid w:val="000171E4"/>
    <w:rsid w:val="00017E67"/>
    <w:rsid w:val="00021F94"/>
    <w:rsid w:val="00025BD0"/>
    <w:rsid w:val="00027EB0"/>
    <w:rsid w:val="00030400"/>
    <w:rsid w:val="00031D41"/>
    <w:rsid w:val="000328B8"/>
    <w:rsid w:val="00033B14"/>
    <w:rsid w:val="00036878"/>
    <w:rsid w:val="000431FB"/>
    <w:rsid w:val="00044CF0"/>
    <w:rsid w:val="00045B39"/>
    <w:rsid w:val="000517F3"/>
    <w:rsid w:val="00051A2B"/>
    <w:rsid w:val="00052293"/>
    <w:rsid w:val="000527F9"/>
    <w:rsid w:val="000535A0"/>
    <w:rsid w:val="000536A3"/>
    <w:rsid w:val="00054706"/>
    <w:rsid w:val="00054A7F"/>
    <w:rsid w:val="00054B3D"/>
    <w:rsid w:val="00054B96"/>
    <w:rsid w:val="0005760E"/>
    <w:rsid w:val="00057AD9"/>
    <w:rsid w:val="00057DC4"/>
    <w:rsid w:val="000606AC"/>
    <w:rsid w:val="0006106A"/>
    <w:rsid w:val="00061D08"/>
    <w:rsid w:val="00062AFC"/>
    <w:rsid w:val="000678E9"/>
    <w:rsid w:val="00072715"/>
    <w:rsid w:val="00073383"/>
    <w:rsid w:val="00075B9F"/>
    <w:rsid w:val="0008010B"/>
    <w:rsid w:val="00090A79"/>
    <w:rsid w:val="00090F13"/>
    <w:rsid w:val="00091607"/>
    <w:rsid w:val="00091640"/>
    <w:rsid w:val="00091B46"/>
    <w:rsid w:val="00093604"/>
    <w:rsid w:val="00093FDB"/>
    <w:rsid w:val="00095AF7"/>
    <w:rsid w:val="00095D88"/>
    <w:rsid w:val="000961A4"/>
    <w:rsid w:val="00097907"/>
    <w:rsid w:val="000A08D5"/>
    <w:rsid w:val="000A1F54"/>
    <w:rsid w:val="000A4AEE"/>
    <w:rsid w:val="000A5849"/>
    <w:rsid w:val="000A793D"/>
    <w:rsid w:val="000B0469"/>
    <w:rsid w:val="000B0DD0"/>
    <w:rsid w:val="000B47E1"/>
    <w:rsid w:val="000B635A"/>
    <w:rsid w:val="000B7C45"/>
    <w:rsid w:val="000C134E"/>
    <w:rsid w:val="000C355F"/>
    <w:rsid w:val="000C5C04"/>
    <w:rsid w:val="000D1074"/>
    <w:rsid w:val="000D1D18"/>
    <w:rsid w:val="000D2382"/>
    <w:rsid w:val="000D3A51"/>
    <w:rsid w:val="000D40F2"/>
    <w:rsid w:val="000D776F"/>
    <w:rsid w:val="000D7B30"/>
    <w:rsid w:val="000E05BC"/>
    <w:rsid w:val="000E2119"/>
    <w:rsid w:val="000E28BE"/>
    <w:rsid w:val="000E62EF"/>
    <w:rsid w:val="000E6E87"/>
    <w:rsid w:val="000E6FEA"/>
    <w:rsid w:val="000E7944"/>
    <w:rsid w:val="000F288B"/>
    <w:rsid w:val="000F34DF"/>
    <w:rsid w:val="000F4E45"/>
    <w:rsid w:val="000F75D7"/>
    <w:rsid w:val="000F7734"/>
    <w:rsid w:val="000F7A51"/>
    <w:rsid w:val="00101A9C"/>
    <w:rsid w:val="00103120"/>
    <w:rsid w:val="00103694"/>
    <w:rsid w:val="00105992"/>
    <w:rsid w:val="00106B04"/>
    <w:rsid w:val="00110DC6"/>
    <w:rsid w:val="00115042"/>
    <w:rsid w:val="00115F47"/>
    <w:rsid w:val="00116E8B"/>
    <w:rsid w:val="001236F4"/>
    <w:rsid w:val="00123F4D"/>
    <w:rsid w:val="00124371"/>
    <w:rsid w:val="00124DB9"/>
    <w:rsid w:val="00125D5A"/>
    <w:rsid w:val="00125D6E"/>
    <w:rsid w:val="001265E3"/>
    <w:rsid w:val="001274AF"/>
    <w:rsid w:val="00127D77"/>
    <w:rsid w:val="00130270"/>
    <w:rsid w:val="00133347"/>
    <w:rsid w:val="00135C67"/>
    <w:rsid w:val="0013763A"/>
    <w:rsid w:val="00141B39"/>
    <w:rsid w:val="001435C8"/>
    <w:rsid w:val="00145F64"/>
    <w:rsid w:val="0014630A"/>
    <w:rsid w:val="00147788"/>
    <w:rsid w:val="00147984"/>
    <w:rsid w:val="00151249"/>
    <w:rsid w:val="001523CC"/>
    <w:rsid w:val="00153BBD"/>
    <w:rsid w:val="00155B4D"/>
    <w:rsid w:val="001622CF"/>
    <w:rsid w:val="001626D7"/>
    <w:rsid w:val="00165B38"/>
    <w:rsid w:val="00165BD6"/>
    <w:rsid w:val="00166D67"/>
    <w:rsid w:val="001676D0"/>
    <w:rsid w:val="00170D5E"/>
    <w:rsid w:val="001754ED"/>
    <w:rsid w:val="00176287"/>
    <w:rsid w:val="001765C9"/>
    <w:rsid w:val="001776A9"/>
    <w:rsid w:val="00182EE4"/>
    <w:rsid w:val="001848CD"/>
    <w:rsid w:val="001854F3"/>
    <w:rsid w:val="001876DA"/>
    <w:rsid w:val="0018772C"/>
    <w:rsid w:val="00192B3F"/>
    <w:rsid w:val="00192E80"/>
    <w:rsid w:val="00194B64"/>
    <w:rsid w:val="00194C3B"/>
    <w:rsid w:val="001969B3"/>
    <w:rsid w:val="001A0207"/>
    <w:rsid w:val="001A0AC5"/>
    <w:rsid w:val="001A0EDB"/>
    <w:rsid w:val="001A21A1"/>
    <w:rsid w:val="001A4AE1"/>
    <w:rsid w:val="001A508A"/>
    <w:rsid w:val="001A567A"/>
    <w:rsid w:val="001B06D4"/>
    <w:rsid w:val="001B0709"/>
    <w:rsid w:val="001B0AEB"/>
    <w:rsid w:val="001B1717"/>
    <w:rsid w:val="001B3B9A"/>
    <w:rsid w:val="001B496C"/>
    <w:rsid w:val="001B602C"/>
    <w:rsid w:val="001B7C10"/>
    <w:rsid w:val="001C2B22"/>
    <w:rsid w:val="001C469B"/>
    <w:rsid w:val="001C6F92"/>
    <w:rsid w:val="001D001D"/>
    <w:rsid w:val="001D1C89"/>
    <w:rsid w:val="001D1CB5"/>
    <w:rsid w:val="001D265D"/>
    <w:rsid w:val="001D299D"/>
    <w:rsid w:val="001D2A4B"/>
    <w:rsid w:val="001D7D9A"/>
    <w:rsid w:val="001E09CE"/>
    <w:rsid w:val="001E369A"/>
    <w:rsid w:val="001E3EF0"/>
    <w:rsid w:val="001E5397"/>
    <w:rsid w:val="001E74A5"/>
    <w:rsid w:val="001E74D7"/>
    <w:rsid w:val="001F1AB4"/>
    <w:rsid w:val="001F295D"/>
    <w:rsid w:val="001F39A7"/>
    <w:rsid w:val="001F437D"/>
    <w:rsid w:val="001F68D2"/>
    <w:rsid w:val="00200E72"/>
    <w:rsid w:val="0020254C"/>
    <w:rsid w:val="00203571"/>
    <w:rsid w:val="00204D50"/>
    <w:rsid w:val="00207522"/>
    <w:rsid w:val="0021060E"/>
    <w:rsid w:val="00211245"/>
    <w:rsid w:val="00214856"/>
    <w:rsid w:val="00214E95"/>
    <w:rsid w:val="00215529"/>
    <w:rsid w:val="00217153"/>
    <w:rsid w:val="002174AE"/>
    <w:rsid w:val="002230B1"/>
    <w:rsid w:val="0022346B"/>
    <w:rsid w:val="002254FD"/>
    <w:rsid w:val="002276BE"/>
    <w:rsid w:val="0023090E"/>
    <w:rsid w:val="00230D63"/>
    <w:rsid w:val="002335CD"/>
    <w:rsid w:val="00233B9D"/>
    <w:rsid w:val="00235063"/>
    <w:rsid w:val="00236A57"/>
    <w:rsid w:val="00236B15"/>
    <w:rsid w:val="00237549"/>
    <w:rsid w:val="00241598"/>
    <w:rsid w:val="00244A95"/>
    <w:rsid w:val="00246D73"/>
    <w:rsid w:val="00246E53"/>
    <w:rsid w:val="00247DC4"/>
    <w:rsid w:val="00250BE8"/>
    <w:rsid w:val="002522F8"/>
    <w:rsid w:val="00252577"/>
    <w:rsid w:val="00252D04"/>
    <w:rsid w:val="002566BD"/>
    <w:rsid w:val="0025765F"/>
    <w:rsid w:val="002639C0"/>
    <w:rsid w:val="00264E2A"/>
    <w:rsid w:val="00265ADB"/>
    <w:rsid w:val="00267DB3"/>
    <w:rsid w:val="00272D46"/>
    <w:rsid w:val="0027592A"/>
    <w:rsid w:val="002772A7"/>
    <w:rsid w:val="00277B72"/>
    <w:rsid w:val="002805D9"/>
    <w:rsid w:val="00281C5C"/>
    <w:rsid w:val="0028435C"/>
    <w:rsid w:val="0028489D"/>
    <w:rsid w:val="002851B5"/>
    <w:rsid w:val="002878AE"/>
    <w:rsid w:val="00290A87"/>
    <w:rsid w:val="00290F34"/>
    <w:rsid w:val="002912AB"/>
    <w:rsid w:val="002919E8"/>
    <w:rsid w:val="00292DB2"/>
    <w:rsid w:val="00293780"/>
    <w:rsid w:val="00294DAC"/>
    <w:rsid w:val="002A1FFC"/>
    <w:rsid w:val="002A31A0"/>
    <w:rsid w:val="002A4C00"/>
    <w:rsid w:val="002A6604"/>
    <w:rsid w:val="002A7D81"/>
    <w:rsid w:val="002A7DAD"/>
    <w:rsid w:val="002B0F74"/>
    <w:rsid w:val="002B1D7C"/>
    <w:rsid w:val="002B2486"/>
    <w:rsid w:val="002B265D"/>
    <w:rsid w:val="002B293E"/>
    <w:rsid w:val="002B29CE"/>
    <w:rsid w:val="002B4101"/>
    <w:rsid w:val="002B6556"/>
    <w:rsid w:val="002B6739"/>
    <w:rsid w:val="002C2367"/>
    <w:rsid w:val="002C33B0"/>
    <w:rsid w:val="002C38F2"/>
    <w:rsid w:val="002C46E6"/>
    <w:rsid w:val="002C669C"/>
    <w:rsid w:val="002D047A"/>
    <w:rsid w:val="002D3A3E"/>
    <w:rsid w:val="002D5F8C"/>
    <w:rsid w:val="002E032F"/>
    <w:rsid w:val="002E0346"/>
    <w:rsid w:val="002E11D5"/>
    <w:rsid w:val="002E29C2"/>
    <w:rsid w:val="002E57AA"/>
    <w:rsid w:val="002E5C06"/>
    <w:rsid w:val="002E5E87"/>
    <w:rsid w:val="002E63E1"/>
    <w:rsid w:val="002E65BD"/>
    <w:rsid w:val="002F3C49"/>
    <w:rsid w:val="002F610F"/>
    <w:rsid w:val="003000F9"/>
    <w:rsid w:val="00301004"/>
    <w:rsid w:val="0030245C"/>
    <w:rsid w:val="00302C94"/>
    <w:rsid w:val="00302EB0"/>
    <w:rsid w:val="0030321B"/>
    <w:rsid w:val="003046ED"/>
    <w:rsid w:val="00307AB0"/>
    <w:rsid w:val="0031670D"/>
    <w:rsid w:val="00316DB2"/>
    <w:rsid w:val="00316DC5"/>
    <w:rsid w:val="00317C77"/>
    <w:rsid w:val="00320985"/>
    <w:rsid w:val="00320C5F"/>
    <w:rsid w:val="00320D6C"/>
    <w:rsid w:val="0032512E"/>
    <w:rsid w:val="00325525"/>
    <w:rsid w:val="003259F9"/>
    <w:rsid w:val="00325BDB"/>
    <w:rsid w:val="00330014"/>
    <w:rsid w:val="00333075"/>
    <w:rsid w:val="00333303"/>
    <w:rsid w:val="00334A2C"/>
    <w:rsid w:val="00335C5F"/>
    <w:rsid w:val="00337BA0"/>
    <w:rsid w:val="0034483D"/>
    <w:rsid w:val="0034544C"/>
    <w:rsid w:val="003460CB"/>
    <w:rsid w:val="003525E4"/>
    <w:rsid w:val="00352BAA"/>
    <w:rsid w:val="00352BAF"/>
    <w:rsid w:val="0035375B"/>
    <w:rsid w:val="00353E61"/>
    <w:rsid w:val="0035404B"/>
    <w:rsid w:val="0035428E"/>
    <w:rsid w:val="00356434"/>
    <w:rsid w:val="003568C2"/>
    <w:rsid w:val="00356BFD"/>
    <w:rsid w:val="003600C2"/>
    <w:rsid w:val="00362A59"/>
    <w:rsid w:val="003656FC"/>
    <w:rsid w:val="00367E17"/>
    <w:rsid w:val="00375CF3"/>
    <w:rsid w:val="00377543"/>
    <w:rsid w:val="003821BB"/>
    <w:rsid w:val="00385885"/>
    <w:rsid w:val="003906EA"/>
    <w:rsid w:val="00391935"/>
    <w:rsid w:val="00392E50"/>
    <w:rsid w:val="003938E6"/>
    <w:rsid w:val="00394D27"/>
    <w:rsid w:val="00397299"/>
    <w:rsid w:val="00397EF0"/>
    <w:rsid w:val="003A1F6A"/>
    <w:rsid w:val="003A4CA6"/>
    <w:rsid w:val="003A665C"/>
    <w:rsid w:val="003A6B89"/>
    <w:rsid w:val="003A7254"/>
    <w:rsid w:val="003B0269"/>
    <w:rsid w:val="003B214E"/>
    <w:rsid w:val="003B3BCD"/>
    <w:rsid w:val="003B4FA9"/>
    <w:rsid w:val="003B601A"/>
    <w:rsid w:val="003B68F3"/>
    <w:rsid w:val="003B6A59"/>
    <w:rsid w:val="003C00D0"/>
    <w:rsid w:val="003C1944"/>
    <w:rsid w:val="003C27BE"/>
    <w:rsid w:val="003C38C0"/>
    <w:rsid w:val="003C3D23"/>
    <w:rsid w:val="003D0C61"/>
    <w:rsid w:val="003D158C"/>
    <w:rsid w:val="003D38BB"/>
    <w:rsid w:val="003D3C89"/>
    <w:rsid w:val="003D4A44"/>
    <w:rsid w:val="003D6225"/>
    <w:rsid w:val="003D6F3A"/>
    <w:rsid w:val="003D70F5"/>
    <w:rsid w:val="003E08B4"/>
    <w:rsid w:val="003E126C"/>
    <w:rsid w:val="003E1F24"/>
    <w:rsid w:val="003E26A1"/>
    <w:rsid w:val="003E3784"/>
    <w:rsid w:val="003E472F"/>
    <w:rsid w:val="003E5358"/>
    <w:rsid w:val="003E5FB4"/>
    <w:rsid w:val="003F0A5C"/>
    <w:rsid w:val="003F178B"/>
    <w:rsid w:val="003F1B4A"/>
    <w:rsid w:val="003F24AB"/>
    <w:rsid w:val="003F2610"/>
    <w:rsid w:val="003F5108"/>
    <w:rsid w:val="003F7BF9"/>
    <w:rsid w:val="003F7EE3"/>
    <w:rsid w:val="00401BF9"/>
    <w:rsid w:val="004054C3"/>
    <w:rsid w:val="004058BB"/>
    <w:rsid w:val="00407804"/>
    <w:rsid w:val="00412D62"/>
    <w:rsid w:val="00414607"/>
    <w:rsid w:val="004160C4"/>
    <w:rsid w:val="00416610"/>
    <w:rsid w:val="004211C3"/>
    <w:rsid w:val="00423077"/>
    <w:rsid w:val="0042405C"/>
    <w:rsid w:val="004253C6"/>
    <w:rsid w:val="0042583E"/>
    <w:rsid w:val="004269B2"/>
    <w:rsid w:val="0042770C"/>
    <w:rsid w:val="00432F62"/>
    <w:rsid w:val="00434607"/>
    <w:rsid w:val="00436C77"/>
    <w:rsid w:val="00436C80"/>
    <w:rsid w:val="00437031"/>
    <w:rsid w:val="00440001"/>
    <w:rsid w:val="00442D43"/>
    <w:rsid w:val="0044526C"/>
    <w:rsid w:val="0044598B"/>
    <w:rsid w:val="0045029D"/>
    <w:rsid w:val="00450355"/>
    <w:rsid w:val="00453A54"/>
    <w:rsid w:val="004550EA"/>
    <w:rsid w:val="004552F9"/>
    <w:rsid w:val="00455EE0"/>
    <w:rsid w:val="0045632B"/>
    <w:rsid w:val="00456D2B"/>
    <w:rsid w:val="00462ED4"/>
    <w:rsid w:val="00465177"/>
    <w:rsid w:val="00465703"/>
    <w:rsid w:val="004678BE"/>
    <w:rsid w:val="00467DE9"/>
    <w:rsid w:val="004724D6"/>
    <w:rsid w:val="004744BB"/>
    <w:rsid w:val="0047467F"/>
    <w:rsid w:val="00476A5E"/>
    <w:rsid w:val="004774D7"/>
    <w:rsid w:val="00482779"/>
    <w:rsid w:val="00485323"/>
    <w:rsid w:val="00485B43"/>
    <w:rsid w:val="0048641A"/>
    <w:rsid w:val="004924BC"/>
    <w:rsid w:val="00494430"/>
    <w:rsid w:val="00494A96"/>
    <w:rsid w:val="00494B31"/>
    <w:rsid w:val="00495477"/>
    <w:rsid w:val="00496BD0"/>
    <w:rsid w:val="004A06FF"/>
    <w:rsid w:val="004A0A3D"/>
    <w:rsid w:val="004A0B4F"/>
    <w:rsid w:val="004A277D"/>
    <w:rsid w:val="004A2A62"/>
    <w:rsid w:val="004A486A"/>
    <w:rsid w:val="004A7D03"/>
    <w:rsid w:val="004B12DC"/>
    <w:rsid w:val="004B3F8D"/>
    <w:rsid w:val="004B4989"/>
    <w:rsid w:val="004C0B74"/>
    <w:rsid w:val="004C1B31"/>
    <w:rsid w:val="004C1E0F"/>
    <w:rsid w:val="004C62BB"/>
    <w:rsid w:val="004D3043"/>
    <w:rsid w:val="004D3E84"/>
    <w:rsid w:val="004D43E3"/>
    <w:rsid w:val="004D5B11"/>
    <w:rsid w:val="004D7169"/>
    <w:rsid w:val="004D73CF"/>
    <w:rsid w:val="004D7AAB"/>
    <w:rsid w:val="004D7BCD"/>
    <w:rsid w:val="004E00E5"/>
    <w:rsid w:val="004E4653"/>
    <w:rsid w:val="004E4B47"/>
    <w:rsid w:val="004E677A"/>
    <w:rsid w:val="004F02EB"/>
    <w:rsid w:val="004F2322"/>
    <w:rsid w:val="004F2FE7"/>
    <w:rsid w:val="004F3321"/>
    <w:rsid w:val="004F358B"/>
    <w:rsid w:val="004F38B1"/>
    <w:rsid w:val="004F4BE3"/>
    <w:rsid w:val="004F5253"/>
    <w:rsid w:val="004F552B"/>
    <w:rsid w:val="004F7DB9"/>
    <w:rsid w:val="00503DA1"/>
    <w:rsid w:val="00504B96"/>
    <w:rsid w:val="005053F8"/>
    <w:rsid w:val="005060E7"/>
    <w:rsid w:val="00507391"/>
    <w:rsid w:val="005113CC"/>
    <w:rsid w:val="0051286D"/>
    <w:rsid w:val="005139F1"/>
    <w:rsid w:val="00513B7A"/>
    <w:rsid w:val="00515089"/>
    <w:rsid w:val="00522929"/>
    <w:rsid w:val="00524B44"/>
    <w:rsid w:val="00526AF7"/>
    <w:rsid w:val="00530237"/>
    <w:rsid w:val="005327B3"/>
    <w:rsid w:val="005331C3"/>
    <w:rsid w:val="0053606D"/>
    <w:rsid w:val="005360AE"/>
    <w:rsid w:val="00540DFB"/>
    <w:rsid w:val="00542681"/>
    <w:rsid w:val="00542CF3"/>
    <w:rsid w:val="00547C00"/>
    <w:rsid w:val="00551EB2"/>
    <w:rsid w:val="00552B91"/>
    <w:rsid w:val="0055334E"/>
    <w:rsid w:val="0055556F"/>
    <w:rsid w:val="00555C06"/>
    <w:rsid w:val="005561C3"/>
    <w:rsid w:val="00562865"/>
    <w:rsid w:val="005709CB"/>
    <w:rsid w:val="0057422E"/>
    <w:rsid w:val="00576784"/>
    <w:rsid w:val="005805B2"/>
    <w:rsid w:val="00580E33"/>
    <w:rsid w:val="0058115B"/>
    <w:rsid w:val="00581213"/>
    <w:rsid w:val="00582406"/>
    <w:rsid w:val="0058419A"/>
    <w:rsid w:val="00584DF8"/>
    <w:rsid w:val="00585AEC"/>
    <w:rsid w:val="00586061"/>
    <w:rsid w:val="00586D85"/>
    <w:rsid w:val="00590B36"/>
    <w:rsid w:val="00590F8A"/>
    <w:rsid w:val="00591E6F"/>
    <w:rsid w:val="00595307"/>
    <w:rsid w:val="005954F9"/>
    <w:rsid w:val="00597922"/>
    <w:rsid w:val="005A246F"/>
    <w:rsid w:val="005A2493"/>
    <w:rsid w:val="005A2878"/>
    <w:rsid w:val="005A4BA5"/>
    <w:rsid w:val="005B2A7F"/>
    <w:rsid w:val="005B2EA1"/>
    <w:rsid w:val="005B632A"/>
    <w:rsid w:val="005C04F5"/>
    <w:rsid w:val="005C04FE"/>
    <w:rsid w:val="005C46C9"/>
    <w:rsid w:val="005C476A"/>
    <w:rsid w:val="005C7323"/>
    <w:rsid w:val="005C7D16"/>
    <w:rsid w:val="005D1D9C"/>
    <w:rsid w:val="005D1E9B"/>
    <w:rsid w:val="005D47BF"/>
    <w:rsid w:val="005E3323"/>
    <w:rsid w:val="005E6411"/>
    <w:rsid w:val="005F1AFD"/>
    <w:rsid w:val="005F22DB"/>
    <w:rsid w:val="005F562E"/>
    <w:rsid w:val="005F5E80"/>
    <w:rsid w:val="005F61AA"/>
    <w:rsid w:val="005F6EB0"/>
    <w:rsid w:val="005F700A"/>
    <w:rsid w:val="005F7C51"/>
    <w:rsid w:val="005F7F43"/>
    <w:rsid w:val="0060045C"/>
    <w:rsid w:val="00600FCD"/>
    <w:rsid w:val="00604D3A"/>
    <w:rsid w:val="00605CF9"/>
    <w:rsid w:val="00606818"/>
    <w:rsid w:val="006100DB"/>
    <w:rsid w:val="006104D4"/>
    <w:rsid w:val="006113D5"/>
    <w:rsid w:val="0061397B"/>
    <w:rsid w:val="006159D9"/>
    <w:rsid w:val="0062098C"/>
    <w:rsid w:val="0062201B"/>
    <w:rsid w:val="0062268D"/>
    <w:rsid w:val="00622AA8"/>
    <w:rsid w:val="006236DA"/>
    <w:rsid w:val="00624D20"/>
    <w:rsid w:val="00626233"/>
    <w:rsid w:val="006308B2"/>
    <w:rsid w:val="00630F84"/>
    <w:rsid w:val="006310D5"/>
    <w:rsid w:val="006349E9"/>
    <w:rsid w:val="00635770"/>
    <w:rsid w:val="00637566"/>
    <w:rsid w:val="00640935"/>
    <w:rsid w:val="00640FD8"/>
    <w:rsid w:val="00641082"/>
    <w:rsid w:val="006416A6"/>
    <w:rsid w:val="006424B6"/>
    <w:rsid w:val="00642D04"/>
    <w:rsid w:val="006441A2"/>
    <w:rsid w:val="006510CD"/>
    <w:rsid w:val="00653689"/>
    <w:rsid w:val="00653DC7"/>
    <w:rsid w:val="00653DF7"/>
    <w:rsid w:val="00656B83"/>
    <w:rsid w:val="00657E73"/>
    <w:rsid w:val="00662924"/>
    <w:rsid w:val="0066307D"/>
    <w:rsid w:val="006640D7"/>
    <w:rsid w:val="00664A10"/>
    <w:rsid w:val="00665D62"/>
    <w:rsid w:val="0067165B"/>
    <w:rsid w:val="006716C8"/>
    <w:rsid w:val="006718E3"/>
    <w:rsid w:val="00672105"/>
    <w:rsid w:val="00672D72"/>
    <w:rsid w:val="00673813"/>
    <w:rsid w:val="00673D11"/>
    <w:rsid w:val="00674B72"/>
    <w:rsid w:val="00675D48"/>
    <w:rsid w:val="006761F1"/>
    <w:rsid w:val="00676F47"/>
    <w:rsid w:val="0068051F"/>
    <w:rsid w:val="006817E9"/>
    <w:rsid w:val="00683D55"/>
    <w:rsid w:val="0068468C"/>
    <w:rsid w:val="006854D7"/>
    <w:rsid w:val="00685860"/>
    <w:rsid w:val="00685861"/>
    <w:rsid w:val="00685FE7"/>
    <w:rsid w:val="00687299"/>
    <w:rsid w:val="0069097D"/>
    <w:rsid w:val="00690D8A"/>
    <w:rsid w:val="00692624"/>
    <w:rsid w:val="00692E39"/>
    <w:rsid w:val="00695C51"/>
    <w:rsid w:val="006976E3"/>
    <w:rsid w:val="00697DC1"/>
    <w:rsid w:val="00697E04"/>
    <w:rsid w:val="006A07CD"/>
    <w:rsid w:val="006A1089"/>
    <w:rsid w:val="006A2C01"/>
    <w:rsid w:val="006A567C"/>
    <w:rsid w:val="006A5AE2"/>
    <w:rsid w:val="006A6654"/>
    <w:rsid w:val="006A7BA5"/>
    <w:rsid w:val="006B01D1"/>
    <w:rsid w:val="006B0E7E"/>
    <w:rsid w:val="006B11CD"/>
    <w:rsid w:val="006B3CF4"/>
    <w:rsid w:val="006B5C56"/>
    <w:rsid w:val="006B7650"/>
    <w:rsid w:val="006B7E6B"/>
    <w:rsid w:val="006C0069"/>
    <w:rsid w:val="006C0BF8"/>
    <w:rsid w:val="006C1CCA"/>
    <w:rsid w:val="006C2694"/>
    <w:rsid w:val="006C29FF"/>
    <w:rsid w:val="006C44AF"/>
    <w:rsid w:val="006C65C2"/>
    <w:rsid w:val="006D0CF7"/>
    <w:rsid w:val="006D6169"/>
    <w:rsid w:val="006D64E5"/>
    <w:rsid w:val="006D72B7"/>
    <w:rsid w:val="006E3408"/>
    <w:rsid w:val="006E4F3E"/>
    <w:rsid w:val="006F04A0"/>
    <w:rsid w:val="006F425B"/>
    <w:rsid w:val="006F440C"/>
    <w:rsid w:val="006F5469"/>
    <w:rsid w:val="006F6AF2"/>
    <w:rsid w:val="00701BA6"/>
    <w:rsid w:val="00702969"/>
    <w:rsid w:val="00703D8E"/>
    <w:rsid w:val="00704E3C"/>
    <w:rsid w:val="00704E3F"/>
    <w:rsid w:val="00706010"/>
    <w:rsid w:val="007067AE"/>
    <w:rsid w:val="007116A5"/>
    <w:rsid w:val="007153DC"/>
    <w:rsid w:val="007155C0"/>
    <w:rsid w:val="007157C8"/>
    <w:rsid w:val="007237B0"/>
    <w:rsid w:val="00723B65"/>
    <w:rsid w:val="00725FF0"/>
    <w:rsid w:val="00730DE6"/>
    <w:rsid w:val="00730EC9"/>
    <w:rsid w:val="007338D9"/>
    <w:rsid w:val="00745B88"/>
    <w:rsid w:val="00746936"/>
    <w:rsid w:val="007477CD"/>
    <w:rsid w:val="00747C2F"/>
    <w:rsid w:val="00747F2B"/>
    <w:rsid w:val="00751710"/>
    <w:rsid w:val="00752201"/>
    <w:rsid w:val="0075394F"/>
    <w:rsid w:val="00754796"/>
    <w:rsid w:val="0076368B"/>
    <w:rsid w:val="00765557"/>
    <w:rsid w:val="0076768F"/>
    <w:rsid w:val="00767766"/>
    <w:rsid w:val="00771D45"/>
    <w:rsid w:val="00771F94"/>
    <w:rsid w:val="00773492"/>
    <w:rsid w:val="00780CB5"/>
    <w:rsid w:val="00782F44"/>
    <w:rsid w:val="00784E35"/>
    <w:rsid w:val="00786793"/>
    <w:rsid w:val="007869B7"/>
    <w:rsid w:val="00787EA0"/>
    <w:rsid w:val="007908BF"/>
    <w:rsid w:val="007921CF"/>
    <w:rsid w:val="00792A15"/>
    <w:rsid w:val="0079427E"/>
    <w:rsid w:val="0079526A"/>
    <w:rsid w:val="007966A2"/>
    <w:rsid w:val="0079795E"/>
    <w:rsid w:val="007A1C34"/>
    <w:rsid w:val="007A1F72"/>
    <w:rsid w:val="007A2100"/>
    <w:rsid w:val="007A2CAE"/>
    <w:rsid w:val="007A49FB"/>
    <w:rsid w:val="007A6E16"/>
    <w:rsid w:val="007A7B2F"/>
    <w:rsid w:val="007B0DD7"/>
    <w:rsid w:val="007B16FA"/>
    <w:rsid w:val="007B30FD"/>
    <w:rsid w:val="007B6B47"/>
    <w:rsid w:val="007C0E45"/>
    <w:rsid w:val="007C15CA"/>
    <w:rsid w:val="007C3331"/>
    <w:rsid w:val="007C3949"/>
    <w:rsid w:val="007C42FA"/>
    <w:rsid w:val="007C6530"/>
    <w:rsid w:val="007C6BE1"/>
    <w:rsid w:val="007C740D"/>
    <w:rsid w:val="007C7D10"/>
    <w:rsid w:val="007D0C21"/>
    <w:rsid w:val="007D0F4F"/>
    <w:rsid w:val="007D1D71"/>
    <w:rsid w:val="007D5B9E"/>
    <w:rsid w:val="007E0CEA"/>
    <w:rsid w:val="007E120A"/>
    <w:rsid w:val="007E2B0B"/>
    <w:rsid w:val="007E3BEF"/>
    <w:rsid w:val="007E529A"/>
    <w:rsid w:val="007F057D"/>
    <w:rsid w:val="007F079A"/>
    <w:rsid w:val="007F288C"/>
    <w:rsid w:val="007F2D56"/>
    <w:rsid w:val="007F6E2E"/>
    <w:rsid w:val="007F7100"/>
    <w:rsid w:val="00802151"/>
    <w:rsid w:val="008033CB"/>
    <w:rsid w:val="0080644C"/>
    <w:rsid w:val="00807323"/>
    <w:rsid w:val="008104D7"/>
    <w:rsid w:val="00814CF5"/>
    <w:rsid w:val="00816B3C"/>
    <w:rsid w:val="00817653"/>
    <w:rsid w:val="0081781E"/>
    <w:rsid w:val="0082232E"/>
    <w:rsid w:val="00822469"/>
    <w:rsid w:val="00824838"/>
    <w:rsid w:val="0082529D"/>
    <w:rsid w:val="00825E5B"/>
    <w:rsid w:val="0082647B"/>
    <w:rsid w:val="008338B9"/>
    <w:rsid w:val="0083539F"/>
    <w:rsid w:val="00835B61"/>
    <w:rsid w:val="0083692C"/>
    <w:rsid w:val="00836B93"/>
    <w:rsid w:val="008379E4"/>
    <w:rsid w:val="008433E7"/>
    <w:rsid w:val="00846530"/>
    <w:rsid w:val="00847343"/>
    <w:rsid w:val="00851E50"/>
    <w:rsid w:val="00852CE3"/>
    <w:rsid w:val="00854CAD"/>
    <w:rsid w:val="00856C92"/>
    <w:rsid w:val="0085777C"/>
    <w:rsid w:val="0086023B"/>
    <w:rsid w:val="00861955"/>
    <w:rsid w:val="00861F49"/>
    <w:rsid w:val="00864685"/>
    <w:rsid w:val="0086477C"/>
    <w:rsid w:val="0086556C"/>
    <w:rsid w:val="008666C5"/>
    <w:rsid w:val="00867058"/>
    <w:rsid w:val="00870E93"/>
    <w:rsid w:val="00871B9D"/>
    <w:rsid w:val="008721AD"/>
    <w:rsid w:val="00873340"/>
    <w:rsid w:val="00875269"/>
    <w:rsid w:val="0087527A"/>
    <w:rsid w:val="00875794"/>
    <w:rsid w:val="00877325"/>
    <w:rsid w:val="0087785C"/>
    <w:rsid w:val="008805AA"/>
    <w:rsid w:val="00880E70"/>
    <w:rsid w:val="008820AD"/>
    <w:rsid w:val="008830D4"/>
    <w:rsid w:val="00886D23"/>
    <w:rsid w:val="00887EAE"/>
    <w:rsid w:val="00891ED9"/>
    <w:rsid w:val="00896F65"/>
    <w:rsid w:val="00897340"/>
    <w:rsid w:val="00897B3F"/>
    <w:rsid w:val="008A02D0"/>
    <w:rsid w:val="008A2B53"/>
    <w:rsid w:val="008A679E"/>
    <w:rsid w:val="008A753B"/>
    <w:rsid w:val="008B16C1"/>
    <w:rsid w:val="008B1E7C"/>
    <w:rsid w:val="008B1F76"/>
    <w:rsid w:val="008B3D1F"/>
    <w:rsid w:val="008B7DD5"/>
    <w:rsid w:val="008C119B"/>
    <w:rsid w:val="008C38C8"/>
    <w:rsid w:val="008C52CB"/>
    <w:rsid w:val="008C752F"/>
    <w:rsid w:val="008D1212"/>
    <w:rsid w:val="008D461D"/>
    <w:rsid w:val="008E04BB"/>
    <w:rsid w:val="008E285B"/>
    <w:rsid w:val="008E2CE0"/>
    <w:rsid w:val="008E4C69"/>
    <w:rsid w:val="008E5E32"/>
    <w:rsid w:val="008F7E65"/>
    <w:rsid w:val="0090028C"/>
    <w:rsid w:val="009015E5"/>
    <w:rsid w:val="009020C4"/>
    <w:rsid w:val="009023F8"/>
    <w:rsid w:val="009029AC"/>
    <w:rsid w:val="00902C55"/>
    <w:rsid w:val="00903980"/>
    <w:rsid w:val="009054FC"/>
    <w:rsid w:val="0090568A"/>
    <w:rsid w:val="00907CBE"/>
    <w:rsid w:val="00912BB7"/>
    <w:rsid w:val="0091341B"/>
    <w:rsid w:val="0091369C"/>
    <w:rsid w:val="0091459B"/>
    <w:rsid w:val="009148E8"/>
    <w:rsid w:val="00915510"/>
    <w:rsid w:val="0091554A"/>
    <w:rsid w:val="009160AF"/>
    <w:rsid w:val="00920BBD"/>
    <w:rsid w:val="0092400C"/>
    <w:rsid w:val="0092549A"/>
    <w:rsid w:val="009264AD"/>
    <w:rsid w:val="00926C82"/>
    <w:rsid w:val="00930AAF"/>
    <w:rsid w:val="00930EC3"/>
    <w:rsid w:val="00930FC4"/>
    <w:rsid w:val="00931AE0"/>
    <w:rsid w:val="009328CA"/>
    <w:rsid w:val="00935CE1"/>
    <w:rsid w:val="00936F8A"/>
    <w:rsid w:val="0094123D"/>
    <w:rsid w:val="00946776"/>
    <w:rsid w:val="0095323B"/>
    <w:rsid w:val="009545F3"/>
    <w:rsid w:val="00954AE3"/>
    <w:rsid w:val="00955FA7"/>
    <w:rsid w:val="00956068"/>
    <w:rsid w:val="00956121"/>
    <w:rsid w:val="009577E0"/>
    <w:rsid w:val="00957926"/>
    <w:rsid w:val="00957F91"/>
    <w:rsid w:val="00960278"/>
    <w:rsid w:val="00961B90"/>
    <w:rsid w:val="009639ED"/>
    <w:rsid w:val="00965127"/>
    <w:rsid w:val="009660ED"/>
    <w:rsid w:val="0097320D"/>
    <w:rsid w:val="009732F0"/>
    <w:rsid w:val="00973739"/>
    <w:rsid w:val="009746F8"/>
    <w:rsid w:val="009753AF"/>
    <w:rsid w:val="00976211"/>
    <w:rsid w:val="009776FA"/>
    <w:rsid w:val="00982784"/>
    <w:rsid w:val="009827EC"/>
    <w:rsid w:val="0098350D"/>
    <w:rsid w:val="00984350"/>
    <w:rsid w:val="0098441F"/>
    <w:rsid w:val="0099073B"/>
    <w:rsid w:val="00992E77"/>
    <w:rsid w:val="00993EA1"/>
    <w:rsid w:val="00993FEB"/>
    <w:rsid w:val="0099521E"/>
    <w:rsid w:val="00997018"/>
    <w:rsid w:val="009A13DB"/>
    <w:rsid w:val="009A1899"/>
    <w:rsid w:val="009A3186"/>
    <w:rsid w:val="009A4039"/>
    <w:rsid w:val="009A4821"/>
    <w:rsid w:val="009A4CA4"/>
    <w:rsid w:val="009A5B55"/>
    <w:rsid w:val="009A5DD6"/>
    <w:rsid w:val="009A61CE"/>
    <w:rsid w:val="009A65D3"/>
    <w:rsid w:val="009A6B17"/>
    <w:rsid w:val="009A6EB7"/>
    <w:rsid w:val="009A6FCF"/>
    <w:rsid w:val="009B0965"/>
    <w:rsid w:val="009B1468"/>
    <w:rsid w:val="009B2599"/>
    <w:rsid w:val="009B3A9E"/>
    <w:rsid w:val="009B49F1"/>
    <w:rsid w:val="009B5042"/>
    <w:rsid w:val="009B5370"/>
    <w:rsid w:val="009B5C32"/>
    <w:rsid w:val="009B6EAF"/>
    <w:rsid w:val="009C0A77"/>
    <w:rsid w:val="009C41B2"/>
    <w:rsid w:val="009C48EE"/>
    <w:rsid w:val="009C5433"/>
    <w:rsid w:val="009C6B3F"/>
    <w:rsid w:val="009C756C"/>
    <w:rsid w:val="009C78D2"/>
    <w:rsid w:val="009D2162"/>
    <w:rsid w:val="009D3209"/>
    <w:rsid w:val="009D4F38"/>
    <w:rsid w:val="009D7726"/>
    <w:rsid w:val="009D7B47"/>
    <w:rsid w:val="009E1B60"/>
    <w:rsid w:val="009E1BB6"/>
    <w:rsid w:val="009E66E2"/>
    <w:rsid w:val="009E74CD"/>
    <w:rsid w:val="009F0634"/>
    <w:rsid w:val="009F6E7F"/>
    <w:rsid w:val="009F752D"/>
    <w:rsid w:val="00A00464"/>
    <w:rsid w:val="00A01C23"/>
    <w:rsid w:val="00A0273C"/>
    <w:rsid w:val="00A0320E"/>
    <w:rsid w:val="00A0419F"/>
    <w:rsid w:val="00A050C9"/>
    <w:rsid w:val="00A058CA"/>
    <w:rsid w:val="00A06936"/>
    <w:rsid w:val="00A06B98"/>
    <w:rsid w:val="00A074C1"/>
    <w:rsid w:val="00A07F03"/>
    <w:rsid w:val="00A10E15"/>
    <w:rsid w:val="00A11737"/>
    <w:rsid w:val="00A12E03"/>
    <w:rsid w:val="00A16D6A"/>
    <w:rsid w:val="00A172F9"/>
    <w:rsid w:val="00A23BE0"/>
    <w:rsid w:val="00A24656"/>
    <w:rsid w:val="00A24DB7"/>
    <w:rsid w:val="00A2551E"/>
    <w:rsid w:val="00A26FB3"/>
    <w:rsid w:val="00A279AD"/>
    <w:rsid w:val="00A30492"/>
    <w:rsid w:val="00A348C9"/>
    <w:rsid w:val="00A35E28"/>
    <w:rsid w:val="00A37157"/>
    <w:rsid w:val="00A371EA"/>
    <w:rsid w:val="00A378AF"/>
    <w:rsid w:val="00A402E9"/>
    <w:rsid w:val="00A40451"/>
    <w:rsid w:val="00A40DAE"/>
    <w:rsid w:val="00A40DE5"/>
    <w:rsid w:val="00A42254"/>
    <w:rsid w:val="00A45088"/>
    <w:rsid w:val="00A455EE"/>
    <w:rsid w:val="00A471CC"/>
    <w:rsid w:val="00A520C0"/>
    <w:rsid w:val="00A5456B"/>
    <w:rsid w:val="00A56175"/>
    <w:rsid w:val="00A5620A"/>
    <w:rsid w:val="00A57D89"/>
    <w:rsid w:val="00A6023E"/>
    <w:rsid w:val="00A61514"/>
    <w:rsid w:val="00A641E6"/>
    <w:rsid w:val="00A651DF"/>
    <w:rsid w:val="00A67137"/>
    <w:rsid w:val="00A71E58"/>
    <w:rsid w:val="00A72861"/>
    <w:rsid w:val="00A74D3A"/>
    <w:rsid w:val="00A804B1"/>
    <w:rsid w:val="00A80C58"/>
    <w:rsid w:val="00A83DDA"/>
    <w:rsid w:val="00A85547"/>
    <w:rsid w:val="00A8671C"/>
    <w:rsid w:val="00A870F4"/>
    <w:rsid w:val="00A928EE"/>
    <w:rsid w:val="00A943A8"/>
    <w:rsid w:val="00A94AB7"/>
    <w:rsid w:val="00A94EB1"/>
    <w:rsid w:val="00A96B6C"/>
    <w:rsid w:val="00A96BB2"/>
    <w:rsid w:val="00AA0BC4"/>
    <w:rsid w:val="00AA3C57"/>
    <w:rsid w:val="00AA49EC"/>
    <w:rsid w:val="00AA689A"/>
    <w:rsid w:val="00AA6F4A"/>
    <w:rsid w:val="00AB11A6"/>
    <w:rsid w:val="00AB162B"/>
    <w:rsid w:val="00AB500E"/>
    <w:rsid w:val="00AB50A6"/>
    <w:rsid w:val="00AB52D5"/>
    <w:rsid w:val="00AB5F8C"/>
    <w:rsid w:val="00AB743E"/>
    <w:rsid w:val="00AB7E5B"/>
    <w:rsid w:val="00AC02D5"/>
    <w:rsid w:val="00AD44B1"/>
    <w:rsid w:val="00AD5AC1"/>
    <w:rsid w:val="00AD740E"/>
    <w:rsid w:val="00AE0F9D"/>
    <w:rsid w:val="00AE247C"/>
    <w:rsid w:val="00AE5E25"/>
    <w:rsid w:val="00AE7399"/>
    <w:rsid w:val="00AF149A"/>
    <w:rsid w:val="00AF1725"/>
    <w:rsid w:val="00AF354D"/>
    <w:rsid w:val="00AF5209"/>
    <w:rsid w:val="00AF63AB"/>
    <w:rsid w:val="00AF6A29"/>
    <w:rsid w:val="00B01AC0"/>
    <w:rsid w:val="00B049BA"/>
    <w:rsid w:val="00B052D0"/>
    <w:rsid w:val="00B13DFC"/>
    <w:rsid w:val="00B14165"/>
    <w:rsid w:val="00B1653E"/>
    <w:rsid w:val="00B20536"/>
    <w:rsid w:val="00B2070E"/>
    <w:rsid w:val="00B2120D"/>
    <w:rsid w:val="00B2247F"/>
    <w:rsid w:val="00B3124A"/>
    <w:rsid w:val="00B32EA2"/>
    <w:rsid w:val="00B33A55"/>
    <w:rsid w:val="00B33D64"/>
    <w:rsid w:val="00B34B88"/>
    <w:rsid w:val="00B35D43"/>
    <w:rsid w:val="00B36864"/>
    <w:rsid w:val="00B36871"/>
    <w:rsid w:val="00B36DAD"/>
    <w:rsid w:val="00B37BF1"/>
    <w:rsid w:val="00B37FBF"/>
    <w:rsid w:val="00B416F7"/>
    <w:rsid w:val="00B41EC4"/>
    <w:rsid w:val="00B4285C"/>
    <w:rsid w:val="00B42A2B"/>
    <w:rsid w:val="00B455CF"/>
    <w:rsid w:val="00B50AB2"/>
    <w:rsid w:val="00B554B3"/>
    <w:rsid w:val="00B55881"/>
    <w:rsid w:val="00B56B16"/>
    <w:rsid w:val="00B60CD0"/>
    <w:rsid w:val="00B60EE0"/>
    <w:rsid w:val="00B666E3"/>
    <w:rsid w:val="00B70430"/>
    <w:rsid w:val="00B7219E"/>
    <w:rsid w:val="00B73836"/>
    <w:rsid w:val="00B776EA"/>
    <w:rsid w:val="00B77E21"/>
    <w:rsid w:val="00B81097"/>
    <w:rsid w:val="00B8144D"/>
    <w:rsid w:val="00B81DE5"/>
    <w:rsid w:val="00B82493"/>
    <w:rsid w:val="00B82A06"/>
    <w:rsid w:val="00B82B5E"/>
    <w:rsid w:val="00B846E1"/>
    <w:rsid w:val="00B84F59"/>
    <w:rsid w:val="00B858BF"/>
    <w:rsid w:val="00B93116"/>
    <w:rsid w:val="00B93DFF"/>
    <w:rsid w:val="00B945F3"/>
    <w:rsid w:val="00B95326"/>
    <w:rsid w:val="00B96122"/>
    <w:rsid w:val="00BA37CF"/>
    <w:rsid w:val="00BA3E87"/>
    <w:rsid w:val="00BA633C"/>
    <w:rsid w:val="00BB08EF"/>
    <w:rsid w:val="00BB15A2"/>
    <w:rsid w:val="00BB250B"/>
    <w:rsid w:val="00BB2555"/>
    <w:rsid w:val="00BB27F5"/>
    <w:rsid w:val="00BB6709"/>
    <w:rsid w:val="00BB6977"/>
    <w:rsid w:val="00BB7CBB"/>
    <w:rsid w:val="00BC0B23"/>
    <w:rsid w:val="00BC2BEB"/>
    <w:rsid w:val="00BC48BC"/>
    <w:rsid w:val="00BC6070"/>
    <w:rsid w:val="00BC6FAF"/>
    <w:rsid w:val="00BD0005"/>
    <w:rsid w:val="00BD1699"/>
    <w:rsid w:val="00BD19D2"/>
    <w:rsid w:val="00BD21AE"/>
    <w:rsid w:val="00BD2BA3"/>
    <w:rsid w:val="00BD4804"/>
    <w:rsid w:val="00BD5EEF"/>
    <w:rsid w:val="00BD747F"/>
    <w:rsid w:val="00BE0490"/>
    <w:rsid w:val="00BE0942"/>
    <w:rsid w:val="00BE1EEC"/>
    <w:rsid w:val="00BE3623"/>
    <w:rsid w:val="00BE5DB1"/>
    <w:rsid w:val="00BE6861"/>
    <w:rsid w:val="00BE72BB"/>
    <w:rsid w:val="00BF204C"/>
    <w:rsid w:val="00BF2694"/>
    <w:rsid w:val="00BF2828"/>
    <w:rsid w:val="00BF3191"/>
    <w:rsid w:val="00BF3837"/>
    <w:rsid w:val="00BF4789"/>
    <w:rsid w:val="00BF5BD5"/>
    <w:rsid w:val="00C01565"/>
    <w:rsid w:val="00C01F22"/>
    <w:rsid w:val="00C034D6"/>
    <w:rsid w:val="00C04B0F"/>
    <w:rsid w:val="00C04B70"/>
    <w:rsid w:val="00C06707"/>
    <w:rsid w:val="00C06C31"/>
    <w:rsid w:val="00C10610"/>
    <w:rsid w:val="00C10F46"/>
    <w:rsid w:val="00C11AFF"/>
    <w:rsid w:val="00C1216E"/>
    <w:rsid w:val="00C13136"/>
    <w:rsid w:val="00C15EC2"/>
    <w:rsid w:val="00C2303C"/>
    <w:rsid w:val="00C246FC"/>
    <w:rsid w:val="00C24D4E"/>
    <w:rsid w:val="00C33631"/>
    <w:rsid w:val="00C33804"/>
    <w:rsid w:val="00C36ADC"/>
    <w:rsid w:val="00C401CD"/>
    <w:rsid w:val="00C41688"/>
    <w:rsid w:val="00C42F4B"/>
    <w:rsid w:val="00C434BD"/>
    <w:rsid w:val="00C45178"/>
    <w:rsid w:val="00C4568F"/>
    <w:rsid w:val="00C53EC2"/>
    <w:rsid w:val="00C54639"/>
    <w:rsid w:val="00C5704F"/>
    <w:rsid w:val="00C572C4"/>
    <w:rsid w:val="00C658C7"/>
    <w:rsid w:val="00C6684C"/>
    <w:rsid w:val="00C700C8"/>
    <w:rsid w:val="00C70913"/>
    <w:rsid w:val="00C71E20"/>
    <w:rsid w:val="00C72894"/>
    <w:rsid w:val="00C74F98"/>
    <w:rsid w:val="00C75862"/>
    <w:rsid w:val="00C80036"/>
    <w:rsid w:val="00C802EE"/>
    <w:rsid w:val="00C817E4"/>
    <w:rsid w:val="00C81CAF"/>
    <w:rsid w:val="00C842BF"/>
    <w:rsid w:val="00C85681"/>
    <w:rsid w:val="00C86EDC"/>
    <w:rsid w:val="00C90FB8"/>
    <w:rsid w:val="00C91302"/>
    <w:rsid w:val="00C92156"/>
    <w:rsid w:val="00C923EE"/>
    <w:rsid w:val="00C925DE"/>
    <w:rsid w:val="00C9337C"/>
    <w:rsid w:val="00C95AF5"/>
    <w:rsid w:val="00C96661"/>
    <w:rsid w:val="00C9717E"/>
    <w:rsid w:val="00CA27EE"/>
    <w:rsid w:val="00CA2FA0"/>
    <w:rsid w:val="00CA401F"/>
    <w:rsid w:val="00CB280F"/>
    <w:rsid w:val="00CB2BFB"/>
    <w:rsid w:val="00CB3DB2"/>
    <w:rsid w:val="00CB5197"/>
    <w:rsid w:val="00CB53F9"/>
    <w:rsid w:val="00CB77CF"/>
    <w:rsid w:val="00CB7E80"/>
    <w:rsid w:val="00CC058E"/>
    <w:rsid w:val="00CC3CD5"/>
    <w:rsid w:val="00CC5EDC"/>
    <w:rsid w:val="00CC6B54"/>
    <w:rsid w:val="00CD0D8A"/>
    <w:rsid w:val="00CD44F6"/>
    <w:rsid w:val="00CD7489"/>
    <w:rsid w:val="00CE0D5C"/>
    <w:rsid w:val="00CE0EE7"/>
    <w:rsid w:val="00CE39DB"/>
    <w:rsid w:val="00CE3CFC"/>
    <w:rsid w:val="00CE51AE"/>
    <w:rsid w:val="00CE55DB"/>
    <w:rsid w:val="00CE5BE1"/>
    <w:rsid w:val="00CE6FA1"/>
    <w:rsid w:val="00CF10C9"/>
    <w:rsid w:val="00CF1F66"/>
    <w:rsid w:val="00CF2981"/>
    <w:rsid w:val="00CF7411"/>
    <w:rsid w:val="00D01201"/>
    <w:rsid w:val="00D02D94"/>
    <w:rsid w:val="00D1075D"/>
    <w:rsid w:val="00D10D95"/>
    <w:rsid w:val="00D110A7"/>
    <w:rsid w:val="00D117F9"/>
    <w:rsid w:val="00D15721"/>
    <w:rsid w:val="00D15FD8"/>
    <w:rsid w:val="00D16531"/>
    <w:rsid w:val="00D170FF"/>
    <w:rsid w:val="00D20D77"/>
    <w:rsid w:val="00D21AAA"/>
    <w:rsid w:val="00D21D3D"/>
    <w:rsid w:val="00D21F62"/>
    <w:rsid w:val="00D24A2E"/>
    <w:rsid w:val="00D253E6"/>
    <w:rsid w:val="00D25E19"/>
    <w:rsid w:val="00D34FF6"/>
    <w:rsid w:val="00D3648A"/>
    <w:rsid w:val="00D36C85"/>
    <w:rsid w:val="00D372D3"/>
    <w:rsid w:val="00D50DC6"/>
    <w:rsid w:val="00D556D5"/>
    <w:rsid w:val="00D55EDA"/>
    <w:rsid w:val="00D569B5"/>
    <w:rsid w:val="00D570AB"/>
    <w:rsid w:val="00D62A34"/>
    <w:rsid w:val="00D637C5"/>
    <w:rsid w:val="00D70059"/>
    <w:rsid w:val="00D7028E"/>
    <w:rsid w:val="00D72961"/>
    <w:rsid w:val="00D73E70"/>
    <w:rsid w:val="00D778AD"/>
    <w:rsid w:val="00D7798A"/>
    <w:rsid w:val="00D80B07"/>
    <w:rsid w:val="00D80B2B"/>
    <w:rsid w:val="00D818E1"/>
    <w:rsid w:val="00D82866"/>
    <w:rsid w:val="00D828FF"/>
    <w:rsid w:val="00D8309F"/>
    <w:rsid w:val="00D85C99"/>
    <w:rsid w:val="00D87A1B"/>
    <w:rsid w:val="00D90119"/>
    <w:rsid w:val="00D91417"/>
    <w:rsid w:val="00D95E3F"/>
    <w:rsid w:val="00D9637B"/>
    <w:rsid w:val="00D965CB"/>
    <w:rsid w:val="00D9683C"/>
    <w:rsid w:val="00D978F1"/>
    <w:rsid w:val="00D97D5C"/>
    <w:rsid w:val="00DA19E7"/>
    <w:rsid w:val="00DA2A5F"/>
    <w:rsid w:val="00DA442B"/>
    <w:rsid w:val="00DA4709"/>
    <w:rsid w:val="00DA7798"/>
    <w:rsid w:val="00DB012A"/>
    <w:rsid w:val="00DB01EB"/>
    <w:rsid w:val="00DB0392"/>
    <w:rsid w:val="00DB360C"/>
    <w:rsid w:val="00DB4A66"/>
    <w:rsid w:val="00DB57BB"/>
    <w:rsid w:val="00DB5A42"/>
    <w:rsid w:val="00DB7025"/>
    <w:rsid w:val="00DC56B6"/>
    <w:rsid w:val="00DC582B"/>
    <w:rsid w:val="00DC5B69"/>
    <w:rsid w:val="00DC6F1B"/>
    <w:rsid w:val="00DD168A"/>
    <w:rsid w:val="00DD3657"/>
    <w:rsid w:val="00DD555A"/>
    <w:rsid w:val="00DD5C09"/>
    <w:rsid w:val="00DE36DA"/>
    <w:rsid w:val="00DE3EF0"/>
    <w:rsid w:val="00DE5D21"/>
    <w:rsid w:val="00DE6123"/>
    <w:rsid w:val="00DE6AA8"/>
    <w:rsid w:val="00DF0DFC"/>
    <w:rsid w:val="00DF1267"/>
    <w:rsid w:val="00DF149A"/>
    <w:rsid w:val="00DF3305"/>
    <w:rsid w:val="00DF3698"/>
    <w:rsid w:val="00DF506B"/>
    <w:rsid w:val="00DF5AD3"/>
    <w:rsid w:val="00DF5D17"/>
    <w:rsid w:val="00E012B4"/>
    <w:rsid w:val="00E0150A"/>
    <w:rsid w:val="00E01D11"/>
    <w:rsid w:val="00E02D19"/>
    <w:rsid w:val="00E036C0"/>
    <w:rsid w:val="00E03EE2"/>
    <w:rsid w:val="00E0437A"/>
    <w:rsid w:val="00E07002"/>
    <w:rsid w:val="00E0741F"/>
    <w:rsid w:val="00E07C77"/>
    <w:rsid w:val="00E07DA8"/>
    <w:rsid w:val="00E1000C"/>
    <w:rsid w:val="00E1053B"/>
    <w:rsid w:val="00E1164B"/>
    <w:rsid w:val="00E11ECE"/>
    <w:rsid w:val="00E13464"/>
    <w:rsid w:val="00E13C0E"/>
    <w:rsid w:val="00E149A4"/>
    <w:rsid w:val="00E1671F"/>
    <w:rsid w:val="00E16810"/>
    <w:rsid w:val="00E212FD"/>
    <w:rsid w:val="00E21DA1"/>
    <w:rsid w:val="00E22FA6"/>
    <w:rsid w:val="00E24BC0"/>
    <w:rsid w:val="00E26A7C"/>
    <w:rsid w:val="00E27F8E"/>
    <w:rsid w:val="00E31128"/>
    <w:rsid w:val="00E32009"/>
    <w:rsid w:val="00E326FE"/>
    <w:rsid w:val="00E3377D"/>
    <w:rsid w:val="00E34660"/>
    <w:rsid w:val="00E34711"/>
    <w:rsid w:val="00E353FE"/>
    <w:rsid w:val="00E35D41"/>
    <w:rsid w:val="00E42EF5"/>
    <w:rsid w:val="00E45130"/>
    <w:rsid w:val="00E463C4"/>
    <w:rsid w:val="00E52096"/>
    <w:rsid w:val="00E524B9"/>
    <w:rsid w:val="00E54229"/>
    <w:rsid w:val="00E60796"/>
    <w:rsid w:val="00E650E1"/>
    <w:rsid w:val="00E75CF5"/>
    <w:rsid w:val="00E8053E"/>
    <w:rsid w:val="00E80F82"/>
    <w:rsid w:val="00E84091"/>
    <w:rsid w:val="00E84F05"/>
    <w:rsid w:val="00E85738"/>
    <w:rsid w:val="00E88084"/>
    <w:rsid w:val="00E92924"/>
    <w:rsid w:val="00E933B5"/>
    <w:rsid w:val="00E95D31"/>
    <w:rsid w:val="00E975A2"/>
    <w:rsid w:val="00E97867"/>
    <w:rsid w:val="00E97B0E"/>
    <w:rsid w:val="00EA00A7"/>
    <w:rsid w:val="00EA0FDC"/>
    <w:rsid w:val="00EA16AB"/>
    <w:rsid w:val="00EA21AA"/>
    <w:rsid w:val="00EA35F4"/>
    <w:rsid w:val="00EA3C79"/>
    <w:rsid w:val="00EA3F31"/>
    <w:rsid w:val="00EA5754"/>
    <w:rsid w:val="00EB03BA"/>
    <w:rsid w:val="00EB1450"/>
    <w:rsid w:val="00EB1D82"/>
    <w:rsid w:val="00EB2AF2"/>
    <w:rsid w:val="00EB35FD"/>
    <w:rsid w:val="00EB3BB5"/>
    <w:rsid w:val="00EC157B"/>
    <w:rsid w:val="00EC288D"/>
    <w:rsid w:val="00EC3EC3"/>
    <w:rsid w:val="00EC529E"/>
    <w:rsid w:val="00EC5B02"/>
    <w:rsid w:val="00EC65C5"/>
    <w:rsid w:val="00ED0006"/>
    <w:rsid w:val="00ED0AD2"/>
    <w:rsid w:val="00ED26B9"/>
    <w:rsid w:val="00ED2BF8"/>
    <w:rsid w:val="00ED3F08"/>
    <w:rsid w:val="00ED4D5D"/>
    <w:rsid w:val="00ED7F32"/>
    <w:rsid w:val="00ED7F96"/>
    <w:rsid w:val="00EE1130"/>
    <w:rsid w:val="00EE165B"/>
    <w:rsid w:val="00EE3564"/>
    <w:rsid w:val="00EE35F5"/>
    <w:rsid w:val="00EE5827"/>
    <w:rsid w:val="00EE664B"/>
    <w:rsid w:val="00EE7651"/>
    <w:rsid w:val="00EF29F8"/>
    <w:rsid w:val="00EF4729"/>
    <w:rsid w:val="00EF526C"/>
    <w:rsid w:val="00EF74E9"/>
    <w:rsid w:val="00EF7752"/>
    <w:rsid w:val="00EF7D49"/>
    <w:rsid w:val="00EF7FA9"/>
    <w:rsid w:val="00F013CC"/>
    <w:rsid w:val="00F04F78"/>
    <w:rsid w:val="00F075A1"/>
    <w:rsid w:val="00F10BF3"/>
    <w:rsid w:val="00F111E6"/>
    <w:rsid w:val="00F12B5F"/>
    <w:rsid w:val="00F13CA3"/>
    <w:rsid w:val="00F1541F"/>
    <w:rsid w:val="00F17D68"/>
    <w:rsid w:val="00F20197"/>
    <w:rsid w:val="00F2334D"/>
    <w:rsid w:val="00F275A6"/>
    <w:rsid w:val="00F27FE8"/>
    <w:rsid w:val="00F33ACD"/>
    <w:rsid w:val="00F34A5D"/>
    <w:rsid w:val="00F37ABA"/>
    <w:rsid w:val="00F37EBA"/>
    <w:rsid w:val="00F403A0"/>
    <w:rsid w:val="00F40D8A"/>
    <w:rsid w:val="00F42D04"/>
    <w:rsid w:val="00F43348"/>
    <w:rsid w:val="00F44BBE"/>
    <w:rsid w:val="00F4565F"/>
    <w:rsid w:val="00F46A2D"/>
    <w:rsid w:val="00F46DCC"/>
    <w:rsid w:val="00F47165"/>
    <w:rsid w:val="00F503A7"/>
    <w:rsid w:val="00F60061"/>
    <w:rsid w:val="00F6379D"/>
    <w:rsid w:val="00F638C8"/>
    <w:rsid w:val="00F63F74"/>
    <w:rsid w:val="00F66F12"/>
    <w:rsid w:val="00F67921"/>
    <w:rsid w:val="00F70D9A"/>
    <w:rsid w:val="00F71136"/>
    <w:rsid w:val="00F73056"/>
    <w:rsid w:val="00F76631"/>
    <w:rsid w:val="00F815D8"/>
    <w:rsid w:val="00F82C28"/>
    <w:rsid w:val="00F83B80"/>
    <w:rsid w:val="00F871ED"/>
    <w:rsid w:val="00F876E8"/>
    <w:rsid w:val="00F87980"/>
    <w:rsid w:val="00F91F02"/>
    <w:rsid w:val="00F9280D"/>
    <w:rsid w:val="00F93656"/>
    <w:rsid w:val="00F93F6A"/>
    <w:rsid w:val="00F96975"/>
    <w:rsid w:val="00F97002"/>
    <w:rsid w:val="00FA0032"/>
    <w:rsid w:val="00FA1530"/>
    <w:rsid w:val="00FA1549"/>
    <w:rsid w:val="00FA183A"/>
    <w:rsid w:val="00FA225D"/>
    <w:rsid w:val="00FA26C9"/>
    <w:rsid w:val="00FA723D"/>
    <w:rsid w:val="00FA785F"/>
    <w:rsid w:val="00FB1DD7"/>
    <w:rsid w:val="00FB2675"/>
    <w:rsid w:val="00FB4165"/>
    <w:rsid w:val="00FB6045"/>
    <w:rsid w:val="00FB6E7C"/>
    <w:rsid w:val="00FC1BC8"/>
    <w:rsid w:val="00FC28A9"/>
    <w:rsid w:val="00FC49DA"/>
    <w:rsid w:val="00FC6342"/>
    <w:rsid w:val="00FC6BBE"/>
    <w:rsid w:val="00FC7533"/>
    <w:rsid w:val="00FC75BA"/>
    <w:rsid w:val="00FC7B2B"/>
    <w:rsid w:val="00FC7C21"/>
    <w:rsid w:val="00FD065D"/>
    <w:rsid w:val="00FD0774"/>
    <w:rsid w:val="00FD160E"/>
    <w:rsid w:val="00FD30DE"/>
    <w:rsid w:val="00FD45EF"/>
    <w:rsid w:val="00FD4E19"/>
    <w:rsid w:val="00FD5514"/>
    <w:rsid w:val="00FD5C90"/>
    <w:rsid w:val="00FD6828"/>
    <w:rsid w:val="00FD7792"/>
    <w:rsid w:val="00FD7D6C"/>
    <w:rsid w:val="00FD7F47"/>
    <w:rsid w:val="00FE0994"/>
    <w:rsid w:val="00FE1B9D"/>
    <w:rsid w:val="00FE2522"/>
    <w:rsid w:val="00FE5525"/>
    <w:rsid w:val="00FE63E5"/>
    <w:rsid w:val="00FE7CA1"/>
    <w:rsid w:val="00FF1784"/>
    <w:rsid w:val="00FF6C76"/>
    <w:rsid w:val="0686629E"/>
    <w:rsid w:val="072D57A3"/>
    <w:rsid w:val="104BF32C"/>
    <w:rsid w:val="138670A4"/>
    <w:rsid w:val="1428D265"/>
    <w:rsid w:val="1F0CDC39"/>
    <w:rsid w:val="1F291C14"/>
    <w:rsid w:val="245B4DF4"/>
    <w:rsid w:val="2A33D4CB"/>
    <w:rsid w:val="31DB7E35"/>
    <w:rsid w:val="34CDF39F"/>
    <w:rsid w:val="3B299217"/>
    <w:rsid w:val="3D39AEC1"/>
    <w:rsid w:val="3F58D90F"/>
    <w:rsid w:val="52757853"/>
    <w:rsid w:val="6CBBBF40"/>
    <w:rsid w:val="718ABD9F"/>
    <w:rsid w:val="79AEA40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277F95"/>
  <w15:docId w15:val="{E3640F3A-37AB-4D00-80BF-DAF22A7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6EA"/>
    <w:pPr>
      <w:spacing w:after="20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3B7A"/>
    <w:pPr>
      <w:keepNext/>
      <w:framePr w:wrap="notBeside" w:vAnchor="text" w:hAnchor="text" w:y="1"/>
      <w:spacing w:before="120" w:after="160"/>
      <w:outlineLvl w:val="0"/>
    </w:pPr>
    <w:rPr>
      <w:rFonts w:ascii="Times New Roman Bold" w:hAnsi="Times New Roman Bold"/>
      <w:b/>
      <w:bCs/>
    </w:rPr>
  </w:style>
  <w:style w:type="paragraph" w:styleId="Heading2">
    <w:name w:val="heading 2"/>
    <w:basedOn w:val="Normal"/>
    <w:next w:val="Normal"/>
    <w:link w:val="Heading2Char"/>
    <w:uiPriority w:val="9"/>
    <w:unhideWhenUsed/>
    <w:qFormat/>
    <w:rsid w:val="003906EA"/>
    <w:pPr>
      <w:numPr>
        <w:numId w:val="25"/>
      </w:numPr>
      <w:spacing w:before="200"/>
      <w:outlineLvl w:val="1"/>
    </w:pPr>
    <w:rPr>
      <w:caps/>
      <w:spacing w:val="15"/>
    </w:rPr>
  </w:style>
  <w:style w:type="paragraph" w:styleId="Heading3">
    <w:name w:val="heading 3"/>
    <w:basedOn w:val="Normal"/>
    <w:next w:val="Normal"/>
    <w:link w:val="Heading3Char"/>
    <w:uiPriority w:val="9"/>
    <w:unhideWhenUsed/>
    <w:qFormat/>
    <w:rsid w:val="00D73E70"/>
    <w:pPr>
      <w:spacing w:before="120"/>
      <w:ind w:left="360"/>
      <w:outlineLvl w:val="2"/>
    </w:pPr>
    <w:rPr>
      <w:rFonts w:ascii="Times New Roman Bold" w:hAnsi="Times New Roman Bol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7A"/>
    <w:rPr>
      <w:rFonts w:ascii="Times New Roman Bold" w:eastAsia="Times New Roman" w:hAnsi="Times New Roman Bold" w:cs="Times New Roman"/>
      <w:b/>
      <w:bCs/>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D73E70"/>
    <w:rPr>
      <w:rFonts w:ascii="Times New Roman Bold" w:eastAsia="Times New Roman" w:hAnsi="Times New Roman Bold" w:cs="Times New Roman"/>
      <w:b/>
      <w:i/>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aliases w:val="FooterText,Bullet List,Question"/>
    <w:basedOn w:val="Normal"/>
    <w:link w:val="ListParagraphChar"/>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6B0E7E"/>
    <w:rPr>
      <w:sz w:val="20"/>
      <w:szCs w:val="20"/>
    </w:rPr>
  </w:style>
  <w:style w:type="character" w:customStyle="1" w:styleId="FootnoteTextChar">
    <w:name w:val="Footnote Text Char"/>
    <w:basedOn w:val="DefaultParagraphFont"/>
    <w:link w:val="FootnoteText"/>
    <w:rsid w:val="006B0E7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unhideWhenUsed/>
    <w:rsid w:val="001D7D9A"/>
    <w:rPr>
      <w:sz w:val="16"/>
      <w:szCs w:val="16"/>
    </w:rPr>
  </w:style>
  <w:style w:type="paragraph" w:styleId="CommentText">
    <w:name w:val="annotation text"/>
    <w:basedOn w:val="Normal"/>
    <w:link w:val="CommentTextChar"/>
    <w:uiPriority w:val="99"/>
    <w:unhideWhenUsed/>
    <w:rsid w:val="001D7D9A"/>
    <w:rPr>
      <w:sz w:val="20"/>
      <w:szCs w:val="20"/>
    </w:rPr>
  </w:style>
  <w:style w:type="character" w:customStyle="1" w:styleId="CommentTextChar">
    <w:name w:val="Comment Text Char"/>
    <w:basedOn w:val="DefaultParagraphFont"/>
    <w:link w:val="CommentText"/>
    <w:uiPriority w:val="99"/>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3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Lines/>
      <w:framePr w:wrap="notBeside"/>
      <w:spacing w:before="480"/>
      <w:outlineLvl w:val="9"/>
    </w:pPr>
    <w:rPr>
      <w:rFonts w:asciiTheme="majorHAnsi" w:eastAsiaTheme="majorEastAsia" w:hAnsiTheme="majorHAnsi" w:cstheme="majorBidi"/>
      <w:caps/>
      <w:color w:val="365F91" w:themeColor="accent1" w:themeShade="BF"/>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table" w:customStyle="1" w:styleId="TableGrid1">
    <w:name w:val="Table Grid1"/>
    <w:basedOn w:val="TableNormal"/>
    <w:next w:val="TableGrid"/>
    <w:rsid w:val="00555C06"/>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2406"/>
    <w:pPr>
      <w:ind w:left="360"/>
    </w:pPr>
  </w:style>
  <w:style w:type="character" w:customStyle="1" w:styleId="BodyTextIndentChar">
    <w:name w:val="Body Text Indent Char"/>
    <w:basedOn w:val="DefaultParagraphFont"/>
    <w:link w:val="BodyTextIndent"/>
    <w:rsid w:val="0058240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14CF5"/>
    <w:rPr>
      <w:color w:val="605E5C"/>
      <w:shd w:val="clear" w:color="auto" w:fill="E1DFDD"/>
    </w:rPr>
  </w:style>
  <w:style w:type="paragraph" w:styleId="Caption">
    <w:name w:val="caption"/>
    <w:basedOn w:val="Normal"/>
    <w:next w:val="Normal"/>
    <w:uiPriority w:val="35"/>
    <w:unhideWhenUsed/>
    <w:qFormat/>
    <w:rsid w:val="00DC582B"/>
    <w:rPr>
      <w:b/>
      <w:bCs/>
      <w:color w:val="4F81BD" w:themeColor="accent1"/>
      <w:sz w:val="18"/>
      <w:szCs w:val="18"/>
    </w:rPr>
  </w:style>
  <w:style w:type="character" w:customStyle="1" w:styleId="UnresolvedMention2">
    <w:name w:val="Unresolved Mention2"/>
    <w:basedOn w:val="DefaultParagraphFont"/>
    <w:uiPriority w:val="99"/>
    <w:semiHidden/>
    <w:unhideWhenUsed/>
    <w:rsid w:val="008D461D"/>
    <w:rPr>
      <w:color w:val="605E5C"/>
      <w:shd w:val="clear" w:color="auto" w:fill="E1DFDD"/>
    </w:rPr>
  </w:style>
  <w:style w:type="character" w:styleId="FollowedHyperlink">
    <w:name w:val="FollowedHyperlink"/>
    <w:basedOn w:val="DefaultParagraphFont"/>
    <w:uiPriority w:val="99"/>
    <w:semiHidden/>
    <w:unhideWhenUsed/>
    <w:rsid w:val="001F437D"/>
    <w:rPr>
      <w:color w:val="800080" w:themeColor="followedHyperlink"/>
      <w:u w:val="single"/>
    </w:rPr>
  </w:style>
  <w:style w:type="paragraph" w:styleId="HTMLPreformatted">
    <w:name w:val="HTML Preformatted"/>
    <w:basedOn w:val="Normal"/>
    <w:link w:val="HTMLPreformattedChar"/>
    <w:uiPriority w:val="99"/>
    <w:rsid w:val="0087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75794"/>
    <w:rPr>
      <w:rFonts w:ascii="Courier New" w:eastAsia="Times New Roman" w:hAnsi="Courier New" w:cs="Courier New"/>
      <w:sz w:val="20"/>
      <w:szCs w:val="20"/>
    </w:rPr>
  </w:style>
  <w:style w:type="character" w:customStyle="1" w:styleId="ListParagraphChar">
    <w:name w:val="List Paragraph Char"/>
    <w:aliases w:val="FooterText Char,Bullet List Char,Question Char"/>
    <w:basedOn w:val="DefaultParagraphFont"/>
    <w:link w:val="ListParagraph"/>
    <w:uiPriority w:val="34"/>
    <w:locked/>
    <w:rsid w:val="003B214E"/>
    <w:rPr>
      <w:rFonts w:ascii="Times New Roman" w:eastAsia="Times New Roman" w:hAnsi="Times New Roman" w:cs="Times New Roman"/>
      <w:sz w:val="24"/>
      <w:szCs w:val="24"/>
    </w:rPr>
  </w:style>
  <w:style w:type="paragraph" w:styleId="Revision">
    <w:name w:val="Revision"/>
    <w:hidden/>
    <w:uiPriority w:val="99"/>
    <w:semiHidden/>
    <w:rsid w:val="007C6530"/>
    <w:pPr>
      <w:spacing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015E0F"/>
    <w:rPr>
      <w:color w:val="2B579A"/>
      <w:shd w:val="clear" w:color="auto" w:fill="E6E6E6"/>
    </w:rPr>
  </w:style>
  <w:style w:type="character" w:styleId="PageNumber">
    <w:name w:val="page number"/>
    <w:basedOn w:val="DefaultParagraphFont"/>
    <w:rsid w:val="0075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625">
      <w:bodyDiv w:val="1"/>
      <w:marLeft w:val="0"/>
      <w:marRight w:val="0"/>
      <w:marTop w:val="0"/>
      <w:marBottom w:val="0"/>
      <w:divBdr>
        <w:top w:val="none" w:sz="0" w:space="0" w:color="auto"/>
        <w:left w:val="none" w:sz="0" w:space="0" w:color="auto"/>
        <w:bottom w:val="none" w:sz="0" w:space="0" w:color="auto"/>
        <w:right w:val="none" w:sz="0" w:space="0" w:color="auto"/>
      </w:divBdr>
    </w:div>
    <w:div w:id="52703241">
      <w:bodyDiv w:val="1"/>
      <w:marLeft w:val="0"/>
      <w:marRight w:val="0"/>
      <w:marTop w:val="0"/>
      <w:marBottom w:val="0"/>
      <w:divBdr>
        <w:top w:val="none" w:sz="0" w:space="0" w:color="auto"/>
        <w:left w:val="none" w:sz="0" w:space="0" w:color="auto"/>
        <w:bottom w:val="none" w:sz="0" w:space="0" w:color="auto"/>
        <w:right w:val="none" w:sz="0" w:space="0" w:color="auto"/>
      </w:divBdr>
    </w:div>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711154748">
      <w:bodyDiv w:val="1"/>
      <w:marLeft w:val="0"/>
      <w:marRight w:val="0"/>
      <w:marTop w:val="0"/>
      <w:marBottom w:val="0"/>
      <w:divBdr>
        <w:top w:val="none" w:sz="0" w:space="0" w:color="auto"/>
        <w:left w:val="none" w:sz="0" w:space="0" w:color="auto"/>
        <w:bottom w:val="none" w:sz="0" w:space="0" w:color="auto"/>
        <w:right w:val="none" w:sz="0" w:space="0" w:color="auto"/>
      </w:divBdr>
    </w:div>
    <w:div w:id="865678549">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1565">
      <w:bodyDiv w:val="1"/>
      <w:marLeft w:val="0"/>
      <w:marRight w:val="0"/>
      <w:marTop w:val="0"/>
      <w:marBottom w:val="0"/>
      <w:divBdr>
        <w:top w:val="none" w:sz="0" w:space="0" w:color="auto"/>
        <w:left w:val="none" w:sz="0" w:space="0" w:color="auto"/>
        <w:bottom w:val="none" w:sz="0" w:space="0" w:color="auto"/>
        <w:right w:val="none" w:sz="0" w:space="0" w:color="auto"/>
      </w:divBdr>
    </w:div>
    <w:div w:id="1236893626">
      <w:bodyDiv w:val="1"/>
      <w:marLeft w:val="0"/>
      <w:marRight w:val="0"/>
      <w:marTop w:val="0"/>
      <w:marBottom w:val="0"/>
      <w:divBdr>
        <w:top w:val="none" w:sz="0" w:space="0" w:color="auto"/>
        <w:left w:val="none" w:sz="0" w:space="0" w:color="auto"/>
        <w:bottom w:val="none" w:sz="0" w:space="0" w:color="auto"/>
        <w:right w:val="none" w:sz="0" w:space="0" w:color="auto"/>
      </w:divBdr>
    </w:div>
    <w:div w:id="1528907855">
      <w:bodyDiv w:val="1"/>
      <w:marLeft w:val="0"/>
      <w:marRight w:val="0"/>
      <w:marTop w:val="0"/>
      <w:marBottom w:val="0"/>
      <w:divBdr>
        <w:top w:val="none" w:sz="0" w:space="0" w:color="auto"/>
        <w:left w:val="none" w:sz="0" w:space="0" w:color="auto"/>
        <w:bottom w:val="none" w:sz="0" w:space="0" w:color="auto"/>
        <w:right w:val="none" w:sz="0" w:space="0" w:color="auto"/>
      </w:divBdr>
    </w:div>
    <w:div w:id="1546674702">
      <w:bodyDiv w:val="1"/>
      <w:marLeft w:val="0"/>
      <w:marRight w:val="0"/>
      <w:marTop w:val="0"/>
      <w:marBottom w:val="0"/>
      <w:divBdr>
        <w:top w:val="none" w:sz="0" w:space="0" w:color="auto"/>
        <w:left w:val="none" w:sz="0" w:space="0" w:color="auto"/>
        <w:bottom w:val="none" w:sz="0" w:space="0" w:color="auto"/>
        <w:right w:val="none" w:sz="0" w:space="0" w:color="auto"/>
      </w:divBdr>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6089">
      <w:bodyDiv w:val="1"/>
      <w:marLeft w:val="0"/>
      <w:marRight w:val="0"/>
      <w:marTop w:val="0"/>
      <w:marBottom w:val="0"/>
      <w:divBdr>
        <w:top w:val="none" w:sz="0" w:space="0" w:color="auto"/>
        <w:left w:val="none" w:sz="0" w:space="0" w:color="auto"/>
        <w:bottom w:val="none" w:sz="0" w:space="0" w:color="auto"/>
        <w:right w:val="none" w:sz="0" w:space="0" w:color="auto"/>
      </w:divBdr>
    </w:div>
    <w:div w:id="1713916631">
      <w:bodyDiv w:val="1"/>
      <w:marLeft w:val="0"/>
      <w:marRight w:val="0"/>
      <w:marTop w:val="0"/>
      <w:marBottom w:val="0"/>
      <w:divBdr>
        <w:top w:val="none" w:sz="0" w:space="0" w:color="auto"/>
        <w:left w:val="none" w:sz="0" w:space="0" w:color="auto"/>
        <w:bottom w:val="none" w:sz="0" w:space="0" w:color="auto"/>
        <w:right w:val="none" w:sz="0" w:space="0" w:color="auto"/>
      </w:divBdr>
    </w:div>
    <w:div w:id="1806778263">
      <w:bodyDiv w:val="1"/>
      <w:marLeft w:val="0"/>
      <w:marRight w:val="0"/>
      <w:marTop w:val="0"/>
      <w:marBottom w:val="0"/>
      <w:divBdr>
        <w:top w:val="none" w:sz="0" w:space="0" w:color="auto"/>
        <w:left w:val="none" w:sz="0" w:space="0" w:color="auto"/>
        <w:bottom w:val="none" w:sz="0" w:space="0" w:color="auto"/>
        <w:right w:val="none" w:sz="0" w:space="0" w:color="auto"/>
      </w:divBdr>
    </w:div>
    <w:div w:id="181379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individuals/privacy/nhtsa-office-behavioral-safety-research-obsr-research-stud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asasrms.org/Proceedings/y2012/Files/304811_73772.pdf" TargetMode="External"/><Relationship Id="rId2" Type="http://schemas.openxmlformats.org/officeDocument/2006/relationships/hyperlink" Target="https://dx.doi.org/10.4135/9781412963947.n331" TargetMode="External"/><Relationship Id="rId1" Type="http://schemas.openxmlformats.org/officeDocument/2006/relationships/hyperlink" Target="http://www.govinfo.gov/content/pkg/USCODE-2012-title23/pdf/USCODE-2012-title23-chap4-sec403.pdf"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D6D3F3A2DEB94EB87BD29DFFFA0E39" ma:contentTypeVersion="12" ma:contentTypeDescription="Create a new document." ma:contentTypeScope="" ma:versionID="e865d320ea31f2e47245da37e6480ecf">
  <xsd:schema xmlns:xsd="http://www.w3.org/2001/XMLSchema" xmlns:xs="http://www.w3.org/2001/XMLSchema" xmlns:p="http://schemas.microsoft.com/office/2006/metadata/properties" xmlns:ns3="c5d5239f-0549-44b9-8372-2fb641cee71b" xmlns:ns4="54ce9c73-8676-4f8d-a115-8c0bb9c38e2d" targetNamespace="http://schemas.microsoft.com/office/2006/metadata/properties" ma:root="true" ma:fieldsID="544ee067e35d5b3626503856e5e3e07d" ns3:_="" ns4:_="">
    <xsd:import namespace="c5d5239f-0549-44b9-8372-2fb641cee71b"/>
    <xsd:import namespace="54ce9c73-8676-4f8d-a115-8c0bb9c38e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5239f-0549-44b9-8372-2fb641cee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e9c73-8676-4f8d-a115-8c0bb9c38e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B1444-3C24-4708-ACE3-574D687D3026}">
  <ds:schemaRefs>
    <ds:schemaRef ds:uri="http://schemas.openxmlformats.org/officeDocument/2006/bibliography"/>
  </ds:schemaRefs>
</ds:datastoreItem>
</file>

<file path=customXml/itemProps2.xml><?xml version="1.0" encoding="utf-8"?>
<ds:datastoreItem xmlns:ds="http://schemas.openxmlformats.org/officeDocument/2006/customXml" ds:itemID="{6A183A6E-2258-446D-A0FB-35D2780E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5239f-0549-44b9-8372-2fb641cee71b"/>
    <ds:schemaRef ds:uri="54ce9c73-8676-4f8d-a115-8c0bb9c38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03387-D9E3-46FC-AC9D-B0F68E822FD1}">
  <ds:schemaRefs>
    <ds:schemaRef ds:uri="http://schemas.microsoft.com/sharepoint/v3/contenttype/forms"/>
  </ds:schemaRefs>
</ds:datastoreItem>
</file>

<file path=customXml/itemProps4.xml><?xml version="1.0" encoding="utf-8"?>
<ds:datastoreItem xmlns:ds="http://schemas.openxmlformats.org/officeDocument/2006/customXml" ds:itemID="{7BC39B57-D62E-4720-969F-CF9055CEA8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5298</Words>
  <Characters>30203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Wochinger, K</dc:creator>
  <cp:lastModifiedBy>Austin, Rory (NHTSA)</cp:lastModifiedBy>
  <cp:revision>3</cp:revision>
  <cp:lastPrinted>2022-02-16T21:12:00Z</cp:lastPrinted>
  <dcterms:created xsi:type="dcterms:W3CDTF">2022-06-14T22:30:00Z</dcterms:created>
  <dcterms:modified xsi:type="dcterms:W3CDTF">2022-06-28T13:38:00Z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0x0101001BD6D3F3A2DEB94EB87BD29DFFFA0E39</vt:lpwstr>
  </property>
</Properties>
</file>