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3B84" w:rsidR="00445A6D" w:rsidP="00293B74" w:rsidRDefault="00445A6D" w14:paraId="468F47E4" w14:textId="53F8D13C">
      <w:pPr>
        <w:spacing w:after="0"/>
        <w:jc w:val="center"/>
        <w:rPr>
          <w:b/>
        </w:rPr>
      </w:pPr>
      <w:bookmarkStart w:name="_Toc252452806" w:id="0"/>
      <w:r w:rsidRPr="004D3B84">
        <w:rPr>
          <w:b/>
        </w:rPr>
        <w:t xml:space="preserve">Information Collection Request Supporting Statement: Section </w:t>
      </w:r>
      <w:r w:rsidRPr="004D3B84" w:rsidR="00F25587">
        <w:rPr>
          <w:b/>
        </w:rPr>
        <w:t>B</w:t>
      </w:r>
    </w:p>
    <w:p w:rsidR="00445A6D" w:rsidP="00293B74" w:rsidRDefault="007A7EA3" w14:paraId="01C5E34D" w14:textId="5DC8E8E3">
      <w:pPr>
        <w:spacing w:after="0"/>
        <w:jc w:val="center"/>
        <w:rPr>
          <w:b/>
        </w:rPr>
      </w:pPr>
      <w:r w:rsidRPr="00293B74">
        <w:rPr>
          <w:b/>
          <w:i/>
          <w:iCs/>
        </w:rPr>
        <w:t xml:space="preserve">Survey on Driver Awareness of </w:t>
      </w:r>
      <w:r w:rsidRPr="00293B74" w:rsidR="00445A6D">
        <w:rPr>
          <w:b/>
          <w:i/>
          <w:iCs/>
        </w:rPr>
        <w:t>Motorcycle</w:t>
      </w:r>
      <w:r w:rsidRPr="00293B74">
        <w:rPr>
          <w:b/>
          <w:i/>
          <w:iCs/>
        </w:rPr>
        <w:t>s</w:t>
      </w:r>
      <w:r w:rsidRPr="00293B74" w:rsidR="00445A6D">
        <w:rPr>
          <w:b/>
          <w:i/>
          <w:iCs/>
        </w:rPr>
        <w:t xml:space="preserve"> </w:t>
      </w:r>
    </w:p>
    <w:p w:rsidRPr="00723B65" w:rsidR="00367865" w:rsidP="00367865" w:rsidRDefault="00367865" w14:paraId="3FB4AFB6" w14:textId="6CEC9714">
      <w:pPr>
        <w:spacing w:after="240"/>
        <w:jc w:val="center"/>
        <w:rPr>
          <w:rFonts w:eastAsiaTheme="minorHAnsi"/>
          <w:b/>
          <w:bCs/>
        </w:rPr>
      </w:pPr>
      <w:r>
        <w:rPr>
          <w:rFonts w:eastAsiaTheme="minorHAnsi"/>
          <w:b/>
          <w:bCs/>
        </w:rPr>
        <w:t>OMB Control No. New</w:t>
      </w:r>
    </w:p>
    <w:p w:rsidR="00FE02B8" w:rsidP="00FE02B8" w:rsidRDefault="00293B74" w14:paraId="7B4DABCF" w14:textId="66FA3B72">
      <w:r w:rsidRPr="00293B74">
        <w:rPr>
          <w:i/>
          <w:iCs/>
        </w:rPr>
        <w:t>Abstract</w:t>
      </w:r>
      <w:r>
        <w:t xml:space="preserve">: </w:t>
      </w:r>
      <w:bookmarkEnd w:id="0"/>
      <w:r w:rsidRPr="00FE02B8" w:rsidR="00FE02B8">
        <w:t>The National Highway Traffic Safety Administration (NHTSA) of the U.S. Department of Transportation is seeking approval to collect information from two samples of randomly selected adults who are aged 18 years or older and have driven a motor vehicle at least once in the past three months for a one-time voluntary survey to report their knowledge, attitudes, and awareness of safe-driving behaviors towards motorcycles. One sample consists of adult</w:t>
      </w:r>
      <w:r w:rsidR="00F07BE9">
        <w:t xml:space="preserve"> driver</w:t>
      </w:r>
      <w:r w:rsidRPr="00FE02B8" w:rsidR="00FE02B8">
        <w:t xml:space="preserve">s residing in Florida and the other sample consists of </w:t>
      </w:r>
      <w:r w:rsidR="00F07BE9">
        <w:t xml:space="preserve">adult drivers </w:t>
      </w:r>
      <w:r w:rsidRPr="00FE02B8" w:rsidR="00FE02B8">
        <w:t>residing in Pennsylvania. NHTSA will contact a total of 33,460 to achieve a target of at least 2,486 complete voluntary responses consisting of 1,243 completed instruments from the Florida sample and 1,243 completed instruments from the Pennsylvania sample. The large geographic and demographic sizes of Florida and Pennsylvania allow for complex driving environment</w:t>
      </w:r>
      <w:r w:rsidR="00F07BE9">
        <w:t>s</w:t>
      </w:r>
      <w:r w:rsidRPr="00FE02B8" w:rsidR="00FE02B8">
        <w:t xml:space="preserve"> in which motorcycles and passenger vehicles operate in a range of traffic conditions. Notably, neither State has a universal motorcycle helmet use law, but each has a sizable population of registered motorcycles and varied helmet use rates. For example, in 2019, 52 percent of motorcyclists killed in Florida and 51 percent of motorcyclists killed in Pennsylvania were not helmeted.</w:t>
      </w:r>
      <w:r w:rsidRPr="006F06C9" w:rsidR="00C3605B">
        <w:rPr>
          <w:vertAlign w:val="superscript"/>
        </w:rPr>
        <w:footnoteReference w:id="2"/>
      </w:r>
      <w:r w:rsidRPr="00FE02B8" w:rsidR="00FE02B8">
        <w:t xml:space="preserve">  The estimated burden of this collection is 3,2</w:t>
      </w:r>
      <w:r w:rsidR="006F06C9">
        <w:t>89</w:t>
      </w:r>
      <w:r w:rsidRPr="00FE02B8" w:rsidR="00FE02B8">
        <w:t xml:space="preserve"> hours with 2,709 hours associated with survey invitations and reminders and 580 hours associated with survey completions. NHTSA will summarize the results of the collection using aggregate statistics in a final report to be distributed to NHTSA program and regional offices, State Highway Safety Offices, and other traffic safety and motorcycle safety stakeholders. This collection supports NHTSA’s mission by obtaining information needed for the development of traffic safety countermeasures. particularly in the areas of communications and outreach, for the purpose of reducing fatalities, injuries, and crashes associated with multi-vehicle motorcycle crashes.</w:t>
      </w:r>
    </w:p>
    <w:p w:rsidR="005E644B" w:rsidP="005E644B" w:rsidRDefault="005E644B" w14:paraId="394355A6" w14:textId="77777777">
      <w:r w:rsidRPr="0043502D">
        <w:rPr>
          <w:b/>
        </w:rPr>
        <w:t>B.</w:t>
      </w:r>
      <w:r w:rsidRPr="0043502D">
        <w:rPr>
          <w:b/>
        </w:rPr>
        <w:tab/>
        <w:t>JUSTIFICATION</w:t>
      </w:r>
    </w:p>
    <w:p w:rsidRPr="004D3B84" w:rsidR="006504B8" w:rsidP="00C33A92" w:rsidRDefault="006504B8" w14:paraId="10CA59BE" w14:textId="2F1C3623">
      <w:pPr>
        <w:pStyle w:val="Heading1"/>
        <w:keepNext w:val="0"/>
        <w:widowControl/>
        <w:tabs>
          <w:tab w:val="clear" w:pos="1800"/>
          <w:tab w:val="left" w:pos="1080"/>
        </w:tabs>
        <w:spacing w:before="120" w:after="120"/>
        <w:ind w:left="720" w:hanging="720"/>
        <w:rPr>
          <w:rFonts w:hint="eastAsia"/>
          <w:spacing w:val="15"/>
        </w:rPr>
      </w:pPr>
      <w:r w:rsidRPr="004D3B84">
        <w:rPr>
          <w:spacing w:val="15"/>
        </w:rPr>
        <w:t>B.1.</w:t>
      </w:r>
      <w:r w:rsidR="00B62D25">
        <w:rPr>
          <w:spacing w:val="15"/>
        </w:rPr>
        <w:tab/>
      </w:r>
      <w:r w:rsidRPr="00257CEA" w:rsidR="00343049">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Response rate means -- of those in your respondent sample, from what percentage do you expect to get the required information (if this is not a mandatory collection). The non-respondents would include those you could not contact, as well as those you contacted but who refused to give the information.</w:t>
      </w:r>
    </w:p>
    <w:p w:rsidR="00937FF7" w:rsidP="00937FF7" w:rsidRDefault="00937FF7" w14:paraId="0F771E93" w14:textId="34C3C670">
      <w:pPr>
        <w:widowControl w:val="0"/>
        <w:autoSpaceDE w:val="0"/>
        <w:autoSpaceDN w:val="0"/>
        <w:adjustRightInd w:val="0"/>
        <w:rPr>
          <w:bCs/>
        </w:rPr>
      </w:pPr>
      <w:r>
        <w:t xml:space="preserve">The purpose of the survey is to obtain information from drivers about </w:t>
      </w:r>
      <w:r w:rsidRPr="00FE02B8">
        <w:t xml:space="preserve">their knowledge attitudes, and awareness of safe-driving behaviors </w:t>
      </w:r>
      <w:r>
        <w:t>regarding</w:t>
      </w:r>
      <w:r w:rsidRPr="00FE02B8">
        <w:t xml:space="preserve"> motorcycles. </w:t>
      </w:r>
      <w:r>
        <w:t xml:space="preserve">The goal of the survey is to assess the extent and quality of driver awareness and knowledge towards motorcycle interactions </w:t>
      </w:r>
      <w:r>
        <w:lastRenderedPageBreak/>
        <w:t>and</w:t>
      </w:r>
      <w:r w:rsidR="00D2699E">
        <w:t xml:space="preserve"> to</w:t>
      </w:r>
      <w:r>
        <w:t xml:space="preserve"> identify areas in outreach and education that may need improvement. Driver knowledge, attitudes, and awareness of vulnerable road users</w:t>
      </w:r>
      <w:r w:rsidR="00D2699E">
        <w:t>,</w:t>
      </w:r>
      <w:r>
        <w:t xml:space="preserve"> including motorcyclists</w:t>
      </w:r>
      <w:r w:rsidR="00D2699E">
        <w:t>,</w:t>
      </w:r>
      <w:r>
        <w:t xml:space="preserve"> are related to safe driving behaviors. The survey will use two samples. </w:t>
      </w:r>
      <w:r w:rsidRPr="00FE02B8">
        <w:t xml:space="preserve">One sample </w:t>
      </w:r>
      <w:r>
        <w:t xml:space="preserve">is </w:t>
      </w:r>
      <w:r w:rsidRPr="00FE02B8">
        <w:t xml:space="preserve">of adults residing in Florida and the other sample </w:t>
      </w:r>
      <w:r>
        <w:t xml:space="preserve">is </w:t>
      </w:r>
      <w:r w:rsidRPr="00FE02B8">
        <w:t xml:space="preserve">of </w:t>
      </w:r>
      <w:r>
        <w:t xml:space="preserve">adults </w:t>
      </w:r>
      <w:r w:rsidRPr="00FE02B8">
        <w:t xml:space="preserve">residing in Pennsylvania. </w:t>
      </w:r>
      <w:r>
        <w:t xml:space="preserve">These States are large geographically and demographically, have sizable motorcycle populations, and have varied helmet use rates due to their helmet laws. The proposed study will employ statistical sampling methods to collect information from the target populations and draw inferences from the sample to the target populations. </w:t>
      </w:r>
      <w:r w:rsidRPr="00A2317F">
        <w:rPr>
          <w:bCs/>
        </w:rPr>
        <w:t xml:space="preserve">The </w:t>
      </w:r>
      <w:r>
        <w:rPr>
          <w:bCs/>
        </w:rPr>
        <w:t xml:space="preserve">product will be a </w:t>
      </w:r>
      <w:r w:rsidRPr="00A2317F">
        <w:rPr>
          <w:bCs/>
        </w:rPr>
        <w:t xml:space="preserve">technical report </w:t>
      </w:r>
      <w:r w:rsidR="001A1A6A">
        <w:rPr>
          <w:bCs/>
        </w:rPr>
        <w:t xml:space="preserve">to be shared with stakeholders in motorcycle safety, including </w:t>
      </w:r>
      <w:r w:rsidRPr="00A2317F">
        <w:rPr>
          <w:bCs/>
        </w:rPr>
        <w:t xml:space="preserve">State highway offices, local governments, </w:t>
      </w:r>
      <w:r w:rsidR="001A1A6A">
        <w:rPr>
          <w:bCs/>
        </w:rPr>
        <w:t>motorcycle safety advocates</w:t>
      </w:r>
      <w:r w:rsidR="00D2699E">
        <w:rPr>
          <w:bCs/>
        </w:rPr>
        <w:t>,</w:t>
      </w:r>
      <w:r w:rsidR="001A1A6A">
        <w:rPr>
          <w:bCs/>
        </w:rPr>
        <w:t xml:space="preserve"> </w:t>
      </w:r>
      <w:r w:rsidRPr="00A2317F">
        <w:rPr>
          <w:bCs/>
        </w:rPr>
        <w:t xml:space="preserve">and those who develop traffic safety communications that aim to reduce </w:t>
      </w:r>
      <w:r w:rsidR="001A1A6A">
        <w:rPr>
          <w:bCs/>
        </w:rPr>
        <w:t>motorcycle-</w:t>
      </w:r>
      <w:r w:rsidRPr="00A2317F">
        <w:rPr>
          <w:bCs/>
        </w:rPr>
        <w:t>related crashes.</w:t>
      </w:r>
    </w:p>
    <w:p w:rsidRPr="004F4783" w:rsidR="009977DA" w:rsidP="00C33A92" w:rsidRDefault="009977DA" w14:paraId="7E0AB8F1" w14:textId="0D39A03D">
      <w:pPr>
        <w:keepNext/>
        <w:rPr>
          <w:u w:val="single"/>
        </w:rPr>
      </w:pPr>
      <w:r w:rsidRPr="0033558D">
        <w:rPr>
          <w:u w:val="single"/>
        </w:rPr>
        <w:t>B.1.a.</w:t>
      </w:r>
      <w:r w:rsidRPr="0033558D">
        <w:rPr>
          <w:u w:val="single"/>
        </w:rPr>
        <w:tab/>
        <w:t>Respondent Universe</w:t>
      </w:r>
    </w:p>
    <w:p w:rsidR="009977DA" w:rsidP="00C33A92" w:rsidRDefault="003F5617" w14:paraId="5235C80B" w14:textId="1C18A4C5">
      <w:r w:rsidRPr="004D3B84">
        <w:t>T</w:t>
      </w:r>
      <w:r w:rsidRPr="004D3B84" w:rsidR="00622C8D">
        <w:t>he</w:t>
      </w:r>
      <w:r w:rsidRPr="004D3B84">
        <w:t xml:space="preserve"> potential</w:t>
      </w:r>
      <w:r w:rsidRPr="004D3B84" w:rsidR="00622C8D">
        <w:t xml:space="preserve"> respondent universe </w:t>
      </w:r>
      <w:r w:rsidR="00E2192C">
        <w:t>includes r</w:t>
      </w:r>
      <w:r w:rsidR="0083539E">
        <w:t xml:space="preserve">esidents of Florida and residents of Pennsylvania </w:t>
      </w:r>
      <w:r w:rsidR="009B29D5">
        <w:t>who</w:t>
      </w:r>
      <w:r w:rsidR="0083539E">
        <w:t xml:space="preserve"> are at least 18 years old and self-report </w:t>
      </w:r>
      <w:r w:rsidR="009B29D5">
        <w:t xml:space="preserve">having </w:t>
      </w:r>
      <w:r w:rsidR="0083539E">
        <w:t>driv</w:t>
      </w:r>
      <w:r w:rsidR="009B29D5">
        <w:t>en</w:t>
      </w:r>
      <w:r w:rsidR="0083539E">
        <w:t xml:space="preserve"> at least once in the past three months</w:t>
      </w:r>
      <w:r w:rsidR="000D1ED3">
        <w:t>, the target populations of the survey</w:t>
      </w:r>
      <w:r w:rsidR="0083539E">
        <w:t xml:space="preserve">. </w:t>
      </w:r>
      <w:r w:rsidR="001A1A6A">
        <w:t>T</w:t>
      </w:r>
      <w:r w:rsidRPr="0072092F" w:rsidR="001A1A6A">
        <w:t xml:space="preserve">he design selects a probability sample of adults </w:t>
      </w:r>
      <w:r w:rsidR="001A1A6A">
        <w:t xml:space="preserve">from sampled households, screens </w:t>
      </w:r>
      <w:r w:rsidRPr="0072092F" w:rsidR="001A1A6A">
        <w:t>for driv</w:t>
      </w:r>
      <w:r w:rsidR="001A1A6A">
        <w:t>ing status of the selected adult, and</w:t>
      </w:r>
      <w:r w:rsidRPr="0072092F" w:rsidR="001A1A6A">
        <w:t xml:space="preserve"> collects demographic data on non-drivers before they screen out </w:t>
      </w:r>
      <w:r w:rsidR="001A1A6A">
        <w:t>while</w:t>
      </w:r>
      <w:r w:rsidRPr="0072092F" w:rsidR="001A1A6A">
        <w:t xml:space="preserve"> collect</w:t>
      </w:r>
      <w:r w:rsidR="001A1A6A">
        <w:t xml:space="preserve">ing </w:t>
      </w:r>
      <w:r w:rsidRPr="0072092F" w:rsidR="001A1A6A">
        <w:t>the full survey data on drivers</w:t>
      </w:r>
      <w:r w:rsidR="001A1A6A">
        <w:t xml:space="preserve">. The survey will be conducted with a sample of </w:t>
      </w:r>
      <w:r w:rsidRPr="001A1A6A" w:rsidR="001A1A6A">
        <w:t>at least 2,486 complete voluntary responses consisting of 1,243 completed instruments from the Florida sample and 1,243 completed instruments from the Pennsylvania sample.</w:t>
      </w:r>
      <w:r w:rsidR="001A1A6A">
        <w:t xml:space="preserve"> </w:t>
      </w:r>
      <w:r w:rsidR="001F6182">
        <w:t xml:space="preserve">The purpose of sampling </w:t>
      </w:r>
      <w:r w:rsidR="00224526">
        <w:t xml:space="preserve">Florida and Pennsylvania </w:t>
      </w:r>
      <w:r w:rsidR="001F6182">
        <w:t xml:space="preserve">is that each State is </w:t>
      </w:r>
      <w:r w:rsidR="00224526">
        <w:t>geographically and demographically diverse, with a sizable number of motorcycle registrations</w:t>
      </w:r>
      <w:r w:rsidR="009977DA">
        <w:t>. I</w:t>
      </w:r>
      <w:r w:rsidR="001F6182">
        <w:t xml:space="preserve">n 2019, there were </w:t>
      </w:r>
      <w:r w:rsidR="00791C04">
        <w:t>591,267 registered motorcycles in Florida and 366,641 registered motorcycles in Pennsylvania</w:t>
      </w:r>
      <w:r w:rsidR="009977DA">
        <w:t>.</w:t>
      </w:r>
      <w:bookmarkStart w:name="_Hlk83902881" w:id="1"/>
      <w:r w:rsidRPr="00367865" w:rsidR="001F6182">
        <w:rPr>
          <w:vertAlign w:val="superscript"/>
        </w:rPr>
        <w:footnoteReference w:id="3"/>
      </w:r>
      <w:r w:rsidR="00791C04">
        <w:t xml:space="preserve"> </w:t>
      </w:r>
      <w:bookmarkStart w:name="_Hlk83902761" w:id="2"/>
      <w:r w:rsidR="00ED79EE">
        <w:t>T</w:t>
      </w:r>
      <w:r w:rsidR="0063106B">
        <w:t>he 2015-2019 American Community Survey (ACS)</w:t>
      </w:r>
      <w:r w:rsidR="009977DA">
        <w:t xml:space="preserve"> estimates there </w:t>
      </w:r>
      <w:bookmarkEnd w:id="2"/>
      <w:r w:rsidR="009977DA">
        <w:t xml:space="preserve">are </w:t>
      </w:r>
      <w:r w:rsidR="00ED79EE">
        <w:t>7,736,311</w:t>
      </w:r>
      <w:r w:rsidR="009977DA">
        <w:t xml:space="preserve"> residential households in Florida (including </w:t>
      </w:r>
      <w:r w:rsidR="00ED79EE">
        <w:t>489,240</w:t>
      </w:r>
      <w:r w:rsidR="009977DA">
        <w:t xml:space="preserve"> households without cars</w:t>
      </w:r>
      <w:bookmarkEnd w:id="1"/>
      <w:r w:rsidR="009977DA">
        <w:t xml:space="preserve">) and </w:t>
      </w:r>
      <w:r w:rsidRPr="001577EB" w:rsidR="009977DA">
        <w:t>5,053,106</w:t>
      </w:r>
      <w:r w:rsidR="009977DA">
        <w:t xml:space="preserve"> households in Pennsylvania (including </w:t>
      </w:r>
      <w:r w:rsidR="00ED79EE">
        <w:t>552,961</w:t>
      </w:r>
      <w:r w:rsidR="009977DA">
        <w:t xml:space="preserve"> households without cars).</w:t>
      </w:r>
      <w:r w:rsidRPr="00367865" w:rsidR="009977DA">
        <w:rPr>
          <w:vertAlign w:val="superscript"/>
        </w:rPr>
        <w:footnoteReference w:id="4"/>
      </w:r>
    </w:p>
    <w:p w:rsidRPr="004F4783" w:rsidR="009977DA" w:rsidP="009977DA" w:rsidRDefault="009977DA" w14:paraId="386BE220" w14:textId="77777777">
      <w:pPr>
        <w:rPr>
          <w:u w:val="single"/>
        </w:rPr>
      </w:pPr>
      <w:r w:rsidRPr="004F4783">
        <w:rPr>
          <w:u w:val="single"/>
        </w:rPr>
        <w:t>B.1.b.</w:t>
      </w:r>
      <w:r w:rsidRPr="004F4783">
        <w:rPr>
          <w:u w:val="single"/>
        </w:rPr>
        <w:tab/>
        <w:t>Respondent Sampling</w:t>
      </w:r>
    </w:p>
    <w:p w:rsidRPr="006D77E7" w:rsidR="001A1A6A" w:rsidP="001A1A6A" w:rsidRDefault="001A1A6A" w14:paraId="540BDE67" w14:textId="3894A4AD">
      <w:r w:rsidRPr="003B0D4D">
        <w:t>The survey will use an Address-Based Sampling</w:t>
      </w:r>
      <w:r w:rsidR="00353A4C">
        <w:t xml:space="preserve"> (ABS</w:t>
      </w:r>
      <w:r w:rsidRPr="003B0D4D">
        <w:t>) approach to sample selection. The sampling frame will be based on address data from the U.S. Postal Service (USPS) computerized Delivery Sequence File (DSF) of residential addresses. The DSF is derived from mailing addresses maintained and updated by USPS and available from commercial vendors</w:t>
      </w:r>
      <w:r>
        <w:t xml:space="preserve"> and </w:t>
      </w:r>
      <w:r w:rsidRPr="0072092F">
        <w:t>provides a comprehensive frame that will reach the entire population living at an address that receives mail delivery.</w:t>
      </w:r>
      <w:r w:rsidRPr="003B0D4D">
        <w:t xml:space="preserve"> </w:t>
      </w:r>
    </w:p>
    <w:p w:rsidR="009977DA" w:rsidP="00566433" w:rsidRDefault="004E7B35" w14:paraId="25D17040" w14:textId="7894991E">
      <w:pPr>
        <w:rPr>
          <w:sz w:val="22"/>
          <w:szCs w:val="22"/>
        </w:rPr>
      </w:pPr>
      <w:r>
        <w:t xml:space="preserve">The </w:t>
      </w:r>
      <w:r w:rsidR="009977DA">
        <w:t>ABS</w:t>
      </w:r>
      <w:r w:rsidR="00730BA8">
        <w:t xml:space="preserve"> </w:t>
      </w:r>
      <w:r>
        <w:t xml:space="preserve">offers </w:t>
      </w:r>
      <w:r w:rsidR="009977DA">
        <w:t>advantages over telephone Random Digit Dialing</w:t>
      </w:r>
      <w:r w:rsidRPr="006D77E7" w:rsidR="009977DA">
        <w:t xml:space="preserve"> </w:t>
      </w:r>
      <w:r w:rsidR="009977DA">
        <w:t>(</w:t>
      </w:r>
      <w:r w:rsidRPr="006D77E7" w:rsidR="009977DA">
        <w:t>RDD</w:t>
      </w:r>
      <w:r w:rsidR="009977DA">
        <w:t>)</w:t>
      </w:r>
      <w:r w:rsidR="007F006B">
        <w:t>, such</w:t>
      </w:r>
      <w:r w:rsidRPr="006D77E7" w:rsidR="009977DA">
        <w:t xml:space="preserve"> </w:t>
      </w:r>
      <w:r w:rsidR="007F006B">
        <w:t xml:space="preserve">as </w:t>
      </w:r>
      <w:r w:rsidRPr="006D77E7" w:rsidR="009977DA">
        <w:t>near universal coverage</w:t>
      </w:r>
      <w:r w:rsidR="007F006B">
        <w:t>,</w:t>
      </w:r>
      <w:r w:rsidRPr="006D77E7" w:rsidR="009977DA">
        <w:t xml:space="preserve"> higher response rates</w:t>
      </w:r>
      <w:r w:rsidR="007F006B">
        <w:t xml:space="preserve">, and </w:t>
      </w:r>
      <w:r w:rsidR="0063106B">
        <w:t xml:space="preserve">a </w:t>
      </w:r>
      <w:r w:rsidR="00530854">
        <w:t xml:space="preserve">better ability to target specific population groups by utilizing community-level sociodemographic data from </w:t>
      </w:r>
      <w:r w:rsidR="00604980">
        <w:t xml:space="preserve">both </w:t>
      </w:r>
      <w:r w:rsidR="00530854">
        <w:t xml:space="preserve">the U.S. Census Bureau </w:t>
      </w:r>
      <w:r w:rsidR="00604980">
        <w:t>and</w:t>
      </w:r>
      <w:r w:rsidR="00530854">
        <w:t xml:space="preserve"> auxiliary address-level data compiled by commercial sample providers</w:t>
      </w:r>
      <w:r w:rsidRPr="006D77E7" w:rsidR="009977DA">
        <w:t xml:space="preserve">. </w:t>
      </w:r>
      <w:r w:rsidR="009977DA">
        <w:t xml:space="preserve">However, using an ABS frame presents a risk in that ABS frames tend to have </w:t>
      </w:r>
      <w:r w:rsidRPr="006D77E7" w:rsidR="009977DA">
        <w:t xml:space="preserve">systematic nonresponse </w:t>
      </w:r>
      <w:r w:rsidR="009977DA">
        <w:t xml:space="preserve">with respondents </w:t>
      </w:r>
      <w:r w:rsidR="009977DA">
        <w:lastRenderedPageBreak/>
        <w:t xml:space="preserve">being older </w:t>
      </w:r>
      <w:r w:rsidRPr="006D77E7" w:rsidR="009977DA">
        <w:t xml:space="preserve">and disproportionately Caucasian (Rapoport, Sherr </w:t>
      </w:r>
      <w:r w:rsidR="009977DA">
        <w:t>&amp;</w:t>
      </w:r>
      <w:r w:rsidRPr="006D77E7" w:rsidR="009977DA">
        <w:t xml:space="preserve"> Dutwin, 201</w:t>
      </w:r>
      <w:r w:rsidR="009977DA">
        <w:t>2,</w:t>
      </w:r>
      <w:r w:rsidRPr="006D77E7" w:rsidR="009977DA">
        <w:t xml:space="preserve"> 2014).</w:t>
      </w:r>
      <w:r w:rsidR="009977DA">
        <w:footnoteReference w:id="5"/>
      </w:r>
      <w:r w:rsidR="009977DA">
        <w:rPr>
          <w:vertAlign w:val="superscript"/>
        </w:rPr>
        <w:t>,</w:t>
      </w:r>
      <w:r w:rsidR="009977DA">
        <w:footnoteReference w:id="6"/>
      </w:r>
      <w:r w:rsidRPr="006D77E7" w:rsidR="009977DA">
        <w:t xml:space="preserve"> </w:t>
      </w:r>
      <w:r w:rsidR="009977DA">
        <w:t xml:space="preserve">To mitigate this risk, the procedures for sampling include the approach shown in Table 1 as a means for oversampling residences in locations with Lower Response Scores, as revealed by the </w:t>
      </w:r>
      <w:r w:rsidRPr="00AC4358" w:rsidR="009977DA">
        <w:rPr>
          <w:sz w:val="22"/>
          <w:szCs w:val="22"/>
        </w:rPr>
        <w:t>Census Planning Database</w:t>
      </w:r>
      <w:r w:rsidR="009977DA">
        <w:rPr>
          <w:sz w:val="22"/>
          <w:szCs w:val="22"/>
        </w:rPr>
        <w:t xml:space="preserve">. </w:t>
      </w:r>
    </w:p>
    <w:p w:rsidRPr="004F4783" w:rsidR="009977DA" w:rsidP="009977DA" w:rsidRDefault="009977DA" w14:paraId="00017361" w14:textId="7B133547">
      <w:pPr>
        <w:keepNext/>
        <w:rPr>
          <w:u w:val="single"/>
        </w:rPr>
      </w:pPr>
      <w:r w:rsidRPr="004F4783">
        <w:rPr>
          <w:u w:val="single"/>
        </w:rPr>
        <w:t xml:space="preserve">B.1.b.1 </w:t>
      </w:r>
      <w:r w:rsidR="004E5244">
        <w:rPr>
          <w:u w:val="single"/>
        </w:rPr>
        <w:tab/>
      </w:r>
      <w:r w:rsidRPr="004F4783">
        <w:rPr>
          <w:u w:val="single"/>
        </w:rPr>
        <w:t>Sampling Frame</w:t>
      </w:r>
    </w:p>
    <w:p w:rsidR="00730BA8" w:rsidP="009977DA" w:rsidRDefault="00730BA8" w14:paraId="45F36463" w14:textId="098021BA">
      <w:r w:rsidRPr="0072092F">
        <w:t xml:space="preserve">The sampling frame will be based on address data from the USPS </w:t>
      </w:r>
      <w:r>
        <w:t>computerized DSF</w:t>
      </w:r>
      <w:r w:rsidRPr="0072092F">
        <w:t xml:space="preserve"> of residential addresses. </w:t>
      </w:r>
      <w:r>
        <w:t>The DSF is a computerized file that contains all delivery point addresses serviced by the USPS</w:t>
      </w:r>
      <w:r w:rsidR="004E7B35">
        <w:t>,</w:t>
      </w:r>
      <w:r>
        <w:t xml:space="preserve"> </w:t>
      </w:r>
      <w:r w:rsidR="004E7B35">
        <w:t>except for</w:t>
      </w:r>
      <w:r>
        <w:t xml:space="preserve"> general delivery.  Each delivery point is a separate record that conforms to all USPS-addressing standards. The initial studies of the DSF estimated that it provided coverage of approximately 97-98% of the household population.</w:t>
      </w:r>
      <w:r w:rsidRPr="007A1F5E">
        <w:rPr>
          <w:vertAlign w:val="superscript"/>
        </w:rPr>
        <w:footnoteReference w:id="7"/>
      </w:r>
      <w:r w:rsidRPr="00155521">
        <w:rPr>
          <w:vertAlign w:val="superscript"/>
        </w:rPr>
        <w:t>,</w:t>
      </w:r>
      <w:r w:rsidRPr="00C3605B">
        <w:footnoteReference w:id="8"/>
      </w:r>
      <w:r>
        <w:t xml:space="preserve"> </w:t>
      </w:r>
    </w:p>
    <w:p w:rsidR="009977DA" w:rsidP="009977DA" w:rsidRDefault="009977DA" w14:paraId="5461B4BD" w14:textId="143D2111">
      <w:r>
        <w:t xml:space="preserve">The DSF cannot be obtained directly from the USPS. It must be purchased through a licensing agreement with private vendors.  These vendors are responsible for updating the address listing from the USPS, and augmenting the addresses with information (e.g., name, telephone number) from other data sources. Fors Marsh Group (FMG), the Contractor that will implement the Motorcycle Awareness Survey for NHTSA, will obtain the DSF augmented sample from Marketing Systems Group (MSG). </w:t>
      </w:r>
      <w:r w:rsidRPr="00A569E9">
        <w:t>By geocoding an address to a Census bl</w:t>
      </w:r>
      <w:r>
        <w:t xml:space="preserve">ock, the MSG file augments the </w:t>
      </w:r>
      <w:r w:rsidRPr="00A569E9">
        <w:t xml:space="preserve">DSF by merging Census and other auxiliary information from the Census data files and other external data sources. MSG appends household, geographic, and demographic data to the frame.   </w:t>
      </w:r>
    </w:p>
    <w:p w:rsidR="009977DA" w:rsidP="009977DA" w:rsidRDefault="009977DA" w14:paraId="435F894E" w14:textId="082A48DE">
      <w:r>
        <w:t xml:space="preserve">MSG maintains a monthly updated, internal installation of the DSF from the Postal Service. By applying a series of enhancements to the DSF, MSG evolves this database of mail delivery into a sampling frame capable of accommodating multiple layers of stratification or clustering when selecting probability-based samples. Address enhancements provided by MSG include amelioration of some of the known coverage problems associated with the DSF, particularly in rural areas where more households rely on P.O. Boxes and inconsistent address formats.  </w:t>
      </w:r>
    </w:p>
    <w:p w:rsidR="00730BA8" w:rsidP="00730BA8" w:rsidRDefault="00730BA8" w14:paraId="26A5D525" w14:textId="57A3DFD8">
      <w:r w:rsidRPr="004D3B84">
        <w:t>The DSF is derived from mailing addresses maintained and updated by USPS and available from commercial vendors.</w:t>
      </w:r>
      <w:r w:rsidRPr="004D3B84">
        <w:footnoteReference w:id="9"/>
      </w:r>
      <w:r w:rsidRPr="004D3B84">
        <w:rPr>
          <w:vertAlign w:val="superscript"/>
        </w:rPr>
        <w:t>,</w:t>
      </w:r>
      <w:r w:rsidRPr="004D3B84">
        <w:footnoteReference w:id="10"/>
      </w:r>
      <w:r w:rsidRPr="004D3B84">
        <w:t xml:space="preserve"> The DSF </w:t>
      </w:r>
      <w:r>
        <w:t xml:space="preserve">will </w:t>
      </w:r>
      <w:r w:rsidRPr="004D3B84">
        <w:t xml:space="preserve">provide a comprehensive frame </w:t>
      </w:r>
      <w:r>
        <w:t xml:space="preserve">of households </w:t>
      </w:r>
      <w:r w:rsidRPr="004D3B84">
        <w:t xml:space="preserve">in Florida and </w:t>
      </w:r>
      <w:r>
        <w:t xml:space="preserve">households in </w:t>
      </w:r>
      <w:r w:rsidRPr="004D3B84">
        <w:t xml:space="preserve">Pennsylvania. </w:t>
      </w:r>
    </w:p>
    <w:p w:rsidRPr="00437C03" w:rsidR="00730BA8" w:rsidP="00730BA8" w:rsidRDefault="00730BA8" w14:paraId="6D6B5313" w14:textId="11020603">
      <w:pPr>
        <w:rPr>
          <w:u w:val="single"/>
        </w:rPr>
      </w:pPr>
      <w:bookmarkStart w:name="_Toc435994296" w:id="3"/>
      <w:r w:rsidRPr="00437C03">
        <w:rPr>
          <w:u w:val="single"/>
        </w:rPr>
        <w:t xml:space="preserve">B.1.b.2 </w:t>
      </w:r>
      <w:r w:rsidR="004E5244">
        <w:rPr>
          <w:u w:val="single"/>
        </w:rPr>
        <w:tab/>
      </w:r>
      <w:r w:rsidRPr="00437C03">
        <w:rPr>
          <w:u w:val="single"/>
        </w:rPr>
        <w:t>Sample Sizes</w:t>
      </w:r>
      <w:bookmarkEnd w:id="3"/>
      <w:r w:rsidRPr="00437C03">
        <w:rPr>
          <w:u w:val="single"/>
        </w:rPr>
        <w:t xml:space="preserve"> </w:t>
      </w:r>
    </w:p>
    <w:p w:rsidRPr="0036329C" w:rsidR="0036329C" w:rsidP="00AC4358" w:rsidRDefault="009977DA" w14:paraId="56BD3BFC" w14:textId="0FF5B1A5">
      <w:r>
        <w:lastRenderedPageBreak/>
        <w:t xml:space="preserve">FMG </w:t>
      </w:r>
      <w:r w:rsidR="00F066D9">
        <w:t xml:space="preserve">will </w:t>
      </w:r>
      <w:r w:rsidR="001F6182">
        <w:t xml:space="preserve">categorize the </w:t>
      </w:r>
      <w:r w:rsidRPr="00566433" w:rsidR="00102ADB">
        <w:t>full housing unit street addresse</w:t>
      </w:r>
      <w:r w:rsidR="001F6182">
        <w:t>s</w:t>
      </w:r>
      <w:r w:rsidRPr="00566433" w:rsidR="00102ADB">
        <w:t xml:space="preserve"> by the Census Planning Database</w:t>
      </w:r>
      <w:r w:rsidRPr="00566433" w:rsidR="002C7253">
        <w:footnoteReference w:id="11"/>
      </w:r>
      <w:r w:rsidRPr="00566433" w:rsidR="00102ADB">
        <w:t xml:space="preserve"> </w:t>
      </w:r>
      <w:r w:rsidR="00F066D9">
        <w:t>(</w:t>
      </w:r>
      <w:r w:rsidR="00CF5562">
        <w:t>PDB</w:t>
      </w:r>
      <w:r w:rsidR="00F066D9">
        <w:t xml:space="preserve">) </w:t>
      </w:r>
      <w:r w:rsidRPr="00566433" w:rsidR="00102ADB">
        <w:t>Low Response Score</w:t>
      </w:r>
      <w:r w:rsidRPr="00566433" w:rsidR="002C7253">
        <w:t>, which is the</w:t>
      </w:r>
      <w:r w:rsidRPr="00566433" w:rsidR="00102ADB">
        <w:t xml:space="preserve"> predicted </w:t>
      </w:r>
      <w:r w:rsidRPr="00566433" w:rsidR="00314C7A">
        <w:t>self</w:t>
      </w:r>
      <w:r w:rsidRPr="00566433" w:rsidR="00D67A3A">
        <w:t>-</w:t>
      </w:r>
      <w:r w:rsidRPr="00566433" w:rsidR="00314C7A">
        <w:t xml:space="preserve">response </w:t>
      </w:r>
      <w:r w:rsidRPr="00566433" w:rsidR="002E31A0">
        <w:t xml:space="preserve">rate for Census </w:t>
      </w:r>
      <w:r w:rsidRPr="00566433" w:rsidR="00314C7A">
        <w:t xml:space="preserve">Bureau </w:t>
      </w:r>
      <w:r w:rsidRPr="00566433" w:rsidR="002E31A0">
        <w:t xml:space="preserve">operations </w:t>
      </w:r>
      <w:r w:rsidR="00AC4358">
        <w:t xml:space="preserve">such as </w:t>
      </w:r>
      <w:r w:rsidR="001F6182">
        <w:t xml:space="preserve">the American Community Survey </w:t>
      </w:r>
      <w:r w:rsidRPr="00566433" w:rsidR="002E31A0">
        <w:t>and the Decennial Census</w:t>
      </w:r>
      <w:r w:rsidR="00AC4358">
        <w:t>.</w:t>
      </w:r>
      <w:r w:rsidRPr="00566433" w:rsidR="002E31A0">
        <w:t xml:space="preserve"> </w:t>
      </w:r>
      <w:bookmarkStart w:name="_Hlk78451827" w:id="4"/>
      <w:r w:rsidRPr="00566433" w:rsidR="00314C7A">
        <w:t xml:space="preserve">The </w:t>
      </w:r>
      <w:r w:rsidR="00AC4358">
        <w:t xml:space="preserve">Low Response Score </w:t>
      </w:r>
      <w:r w:rsidRPr="00566433" w:rsidR="00314C7A">
        <w:t xml:space="preserve">was transformed so that the overall response rate matches our projected response rate of 7.4%. </w:t>
      </w:r>
      <w:bookmarkEnd w:id="4"/>
      <w:r w:rsidR="00AC4358">
        <w:t>For</w:t>
      </w:r>
      <w:r w:rsidRPr="00566433" w:rsidR="002E31A0">
        <w:t xml:space="preserve"> </w:t>
      </w:r>
      <w:r w:rsidR="00AC4358">
        <w:t xml:space="preserve">the </w:t>
      </w:r>
      <w:r w:rsidR="00F066D9">
        <w:t xml:space="preserve">Florida </w:t>
      </w:r>
      <w:r w:rsidR="00AC4358">
        <w:t xml:space="preserve">sample </w:t>
      </w:r>
      <w:r w:rsidR="00F066D9">
        <w:t xml:space="preserve">and the </w:t>
      </w:r>
      <w:r w:rsidR="00AC4358">
        <w:t>Pennsylvania</w:t>
      </w:r>
      <w:r w:rsidR="00F066D9">
        <w:t xml:space="preserve"> sample</w:t>
      </w:r>
      <w:r w:rsidRPr="00566433" w:rsidR="002E31A0">
        <w:t xml:space="preserve">, five </w:t>
      </w:r>
      <w:r w:rsidR="00AC4358">
        <w:t xml:space="preserve">categories, or </w:t>
      </w:r>
      <w:r w:rsidRPr="00566433" w:rsidR="002E31A0">
        <w:t xml:space="preserve">strata of approximately equal size will be </w:t>
      </w:r>
      <w:r w:rsidR="00AC4358">
        <w:t xml:space="preserve">generated according to </w:t>
      </w:r>
      <w:r w:rsidRPr="00566433" w:rsidR="00314C7A">
        <w:t>their anticipated response rates</w:t>
      </w:r>
      <w:r w:rsidRPr="00566433" w:rsidR="002E31A0">
        <w:t xml:space="preserve">. </w:t>
      </w:r>
      <w:bookmarkStart w:name="_Hlk75280746" w:id="5"/>
      <w:r w:rsidRPr="00566433" w:rsidR="002E31A0">
        <w:t>Households with lower anticipated response rates will be oversampled</w:t>
      </w:r>
      <w:bookmarkEnd w:id="5"/>
      <w:r w:rsidRPr="00566433" w:rsidR="002E31A0">
        <w:t xml:space="preserve"> relative to those with higher anticipated response rates to obtain </w:t>
      </w:r>
      <w:r w:rsidRPr="00566433" w:rsidR="00CE0627">
        <w:t>a</w:t>
      </w:r>
      <w:r w:rsidRPr="00566433" w:rsidR="002E31A0">
        <w:t xml:space="preserve"> more equal ultimate representation in the sample.</w:t>
      </w:r>
      <w:r w:rsidRPr="00566433" w:rsidR="0042668E">
        <w:t xml:space="preserve"> The </w:t>
      </w:r>
      <w:r w:rsidRPr="00566433" w:rsidR="00C32DCC">
        <w:t xml:space="preserve">population </w:t>
      </w:r>
      <w:r w:rsidRPr="00566433" w:rsidR="0042668E">
        <w:t xml:space="preserve">strata sizes will be </w:t>
      </w:r>
      <w:r w:rsidRPr="00566433" w:rsidR="00AC4358">
        <w:t xml:space="preserve">approximately 1.86 million housing units in Florida </w:t>
      </w:r>
      <w:r w:rsidR="00AC4358">
        <w:t xml:space="preserve">and </w:t>
      </w:r>
      <w:r w:rsidRPr="00566433" w:rsidR="0042668E">
        <w:t>approximately 1.14</w:t>
      </w:r>
      <w:r w:rsidRPr="00566433" w:rsidR="00CE0627">
        <w:t xml:space="preserve"> million</w:t>
      </w:r>
      <w:r w:rsidRPr="00566433" w:rsidR="0042668E">
        <w:t xml:space="preserve"> housing units in Pennsylvania.</w:t>
      </w:r>
      <w:r w:rsidRPr="00566433" w:rsidR="00C32DCC">
        <w:t xml:space="preserve"> The standard ABS filters (</w:t>
      </w:r>
      <w:r w:rsidR="004B11FC">
        <w:t xml:space="preserve">i.e., </w:t>
      </w:r>
      <w:r w:rsidRPr="00566433" w:rsidR="00C32DCC">
        <w:t>not vacant; not a drop point</w:t>
      </w:r>
      <w:r w:rsidR="004B11FC">
        <w:t xml:space="preserve"> location</w:t>
      </w:r>
      <w:r w:rsidRPr="00566433" w:rsidR="00C32DCC">
        <w:t xml:space="preserve">; </w:t>
      </w:r>
      <w:r w:rsidR="004B11FC">
        <w:t xml:space="preserve">or </w:t>
      </w:r>
      <w:r w:rsidRPr="00566433" w:rsidR="00C32DCC">
        <w:t xml:space="preserve">not a mailbox unless flagged as </w:t>
      </w:r>
      <w:r w:rsidR="00F066D9">
        <w:t xml:space="preserve">OWGM </w:t>
      </w:r>
      <w:r w:rsidRPr="00566433" w:rsidR="00C32DCC">
        <w:t>“the only way to get mail”) will be applied</w:t>
      </w:r>
      <w:r w:rsidRPr="0036329C" w:rsidR="00C32DCC">
        <w:t>.</w:t>
      </w:r>
      <w:r w:rsidR="00F066D9">
        <w:t xml:space="preserve"> Table 1 shows the projected sample sizes and anticipated number and rate of response for Florida and for Pennsylvania by </w:t>
      </w:r>
      <w:r w:rsidR="00CF5562">
        <w:t xml:space="preserve">PDB’s </w:t>
      </w:r>
      <w:r w:rsidR="00F066D9">
        <w:t>Low Response Score.</w:t>
      </w:r>
    </w:p>
    <w:p w:rsidRPr="00872B9E" w:rsidR="00E0490B" w:rsidP="00D74955" w:rsidRDefault="005044DF" w14:paraId="72DB4D30" w14:textId="4247F950">
      <w:pPr>
        <w:pStyle w:val="Caption"/>
        <w:keepNext/>
        <w:spacing w:after="120"/>
        <w:rPr>
          <w:b/>
          <w:i w:val="0"/>
          <w:color w:val="auto"/>
          <w:sz w:val="24"/>
          <w:szCs w:val="24"/>
        </w:rPr>
      </w:pPr>
      <w:bookmarkStart w:name="_Hlk95380203" w:id="6"/>
      <w:r w:rsidRPr="00872B9E">
        <w:rPr>
          <w:b/>
          <w:i w:val="0"/>
          <w:color w:val="auto"/>
          <w:sz w:val="24"/>
          <w:szCs w:val="24"/>
        </w:rPr>
        <w:t xml:space="preserve">Table </w:t>
      </w:r>
      <w:r w:rsidRPr="00872B9E">
        <w:rPr>
          <w:b/>
          <w:i w:val="0"/>
          <w:noProof/>
          <w:color w:val="auto"/>
          <w:sz w:val="24"/>
          <w:szCs w:val="24"/>
        </w:rPr>
        <w:fldChar w:fldCharType="begin"/>
      </w:r>
      <w:r w:rsidRPr="00872B9E">
        <w:rPr>
          <w:b/>
          <w:i w:val="0"/>
          <w:noProof/>
          <w:color w:val="auto"/>
          <w:sz w:val="24"/>
          <w:szCs w:val="24"/>
        </w:rPr>
        <w:instrText xml:space="preserve"> SEQ Table \* ARABIC </w:instrText>
      </w:r>
      <w:r w:rsidRPr="00872B9E">
        <w:rPr>
          <w:b/>
          <w:i w:val="0"/>
          <w:noProof/>
          <w:color w:val="auto"/>
          <w:sz w:val="24"/>
          <w:szCs w:val="24"/>
        </w:rPr>
        <w:fldChar w:fldCharType="separate"/>
      </w:r>
      <w:r w:rsidR="00CF5562">
        <w:rPr>
          <w:b/>
          <w:i w:val="0"/>
          <w:noProof/>
          <w:color w:val="auto"/>
          <w:sz w:val="24"/>
          <w:szCs w:val="24"/>
        </w:rPr>
        <w:t>1</w:t>
      </w:r>
      <w:r w:rsidRPr="00872B9E">
        <w:rPr>
          <w:b/>
          <w:i w:val="0"/>
          <w:noProof/>
          <w:color w:val="auto"/>
          <w:sz w:val="24"/>
          <w:szCs w:val="24"/>
        </w:rPr>
        <w:fldChar w:fldCharType="end"/>
      </w:r>
      <w:r w:rsidRPr="00872B9E" w:rsidR="00B803A4">
        <w:rPr>
          <w:b/>
          <w:i w:val="0"/>
          <w:noProof/>
          <w:color w:val="auto"/>
          <w:sz w:val="24"/>
          <w:szCs w:val="24"/>
        </w:rPr>
        <w:t>.</w:t>
      </w:r>
      <w:r w:rsidRPr="00872B9E">
        <w:rPr>
          <w:b/>
          <w:i w:val="0"/>
          <w:color w:val="auto"/>
          <w:sz w:val="24"/>
          <w:szCs w:val="24"/>
        </w:rPr>
        <w:t xml:space="preserve"> Sample Stratification</w:t>
      </w:r>
      <w:r w:rsidR="00D37904">
        <w:rPr>
          <w:b/>
          <w:i w:val="0"/>
          <w:color w:val="auto"/>
          <w:sz w:val="24"/>
          <w:szCs w:val="24"/>
        </w:rPr>
        <w:t xml:space="preserve"> and Anticipated Number of Responses in Contacted Households in Florida and Pennsylvania</w:t>
      </w:r>
      <w:r w:rsidRPr="00872B9E">
        <w:rPr>
          <w:b/>
          <w:i w:val="0"/>
          <w:color w:val="auto"/>
          <w:sz w:val="24"/>
          <w:szCs w:val="24"/>
        </w:rPr>
        <w:t>.</w:t>
      </w:r>
    </w:p>
    <w:tbl>
      <w:tblPr>
        <w:tblStyle w:val="GridTable1Light-Accent1"/>
        <w:tblW w:w="9648" w:type="dxa"/>
        <w:tblLayout w:type="fixed"/>
        <w:tblLook w:val="04A0" w:firstRow="1" w:lastRow="0" w:firstColumn="1" w:lastColumn="0" w:noHBand="0" w:noVBand="1"/>
      </w:tblPr>
      <w:tblGrid>
        <w:gridCol w:w="1615"/>
        <w:gridCol w:w="1350"/>
        <w:gridCol w:w="1620"/>
        <w:gridCol w:w="1170"/>
        <w:gridCol w:w="1260"/>
        <w:gridCol w:w="1469"/>
        <w:gridCol w:w="1164"/>
      </w:tblGrid>
      <w:tr w:rsidR="00F066D9" w:rsidTr="00D74955" w14:paraId="6D0E46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Pr="006724CC" w:rsidR="00F066D9" w:rsidP="009B29D5" w:rsidRDefault="00F066D9" w14:paraId="295EED91" w14:textId="77777777">
            <w:pPr>
              <w:pStyle w:val="Heading1"/>
              <w:spacing w:after="0"/>
              <w:jc w:val="center"/>
              <w:outlineLvl w:val="0"/>
              <w:rPr>
                <w:rFonts w:hint="eastAsia"/>
                <w:color w:val="000000" w:themeColor="text1"/>
                <w:sz w:val="22"/>
                <w:szCs w:val="22"/>
              </w:rPr>
            </w:pPr>
          </w:p>
        </w:tc>
        <w:tc>
          <w:tcPr>
            <w:tcW w:w="4140" w:type="dxa"/>
            <w:gridSpan w:val="3"/>
            <w:tcBorders>
              <w:right w:val="single" w:color="B8CCE4" w:themeColor="accent1" w:themeTint="66" w:sz="12" w:space="0"/>
            </w:tcBorders>
          </w:tcPr>
          <w:p w:rsidRPr="009B29D5" w:rsidR="00F066D9" w:rsidP="009B29D5" w:rsidRDefault="00F066D9" w14:paraId="326DD85D" w14:textId="738C8CDB">
            <w:pPr>
              <w:pStyle w:val="Heading1"/>
              <w:spacing w:after="0"/>
              <w:jc w:val="center"/>
              <w:outlineLvl w:val="0"/>
              <w:cnfStyle w:val="100000000000" w:firstRow="1" w:lastRow="0" w:firstColumn="0" w:lastColumn="0" w:oddVBand="0" w:evenVBand="0" w:oddHBand="0" w:evenHBand="0" w:firstRowFirstColumn="0" w:firstRowLastColumn="0" w:lastRowFirstColumn="0" w:lastRowLastColumn="0"/>
              <w:rPr>
                <w:rFonts w:hint="eastAsia"/>
                <w:color w:val="000000" w:themeColor="text1"/>
                <w:sz w:val="22"/>
                <w:szCs w:val="22"/>
              </w:rPr>
            </w:pPr>
            <w:r>
              <w:rPr>
                <w:color w:val="000000" w:themeColor="text1"/>
                <w:sz w:val="22"/>
                <w:szCs w:val="22"/>
              </w:rPr>
              <w:t>Florida</w:t>
            </w:r>
          </w:p>
        </w:tc>
        <w:tc>
          <w:tcPr>
            <w:tcW w:w="3893" w:type="dxa"/>
            <w:gridSpan w:val="3"/>
            <w:tcBorders>
              <w:left w:val="single" w:color="B8CCE4" w:themeColor="accent1" w:themeTint="66" w:sz="12" w:space="0"/>
            </w:tcBorders>
          </w:tcPr>
          <w:p w:rsidRPr="009B29D5" w:rsidR="00F066D9" w:rsidP="009B29D5" w:rsidRDefault="00F066D9" w14:paraId="545F74BC" w14:textId="7C5D2F50">
            <w:pPr>
              <w:pStyle w:val="Heading1"/>
              <w:spacing w:after="0"/>
              <w:jc w:val="center"/>
              <w:outlineLvl w:val="0"/>
              <w:cnfStyle w:val="100000000000" w:firstRow="1" w:lastRow="0" w:firstColumn="0" w:lastColumn="0" w:oddVBand="0" w:evenVBand="0" w:oddHBand="0" w:evenHBand="0" w:firstRowFirstColumn="0" w:firstRowLastColumn="0" w:lastRowFirstColumn="0" w:lastRowLastColumn="0"/>
              <w:rPr>
                <w:rFonts w:hint="eastAsia"/>
                <w:color w:val="000000" w:themeColor="text1"/>
                <w:sz w:val="22"/>
                <w:szCs w:val="22"/>
              </w:rPr>
            </w:pPr>
            <w:r>
              <w:rPr>
                <w:color w:val="000000" w:themeColor="text1"/>
                <w:sz w:val="22"/>
                <w:szCs w:val="22"/>
              </w:rPr>
              <w:t>Pennsylvania</w:t>
            </w:r>
          </w:p>
        </w:tc>
      </w:tr>
      <w:tr w:rsidR="00D74955" w:rsidTr="005851C6" w14:paraId="2857B099" w14:textId="77777777">
        <w:tc>
          <w:tcPr>
            <w:cnfStyle w:val="001000000000" w:firstRow="0" w:lastRow="0" w:firstColumn="1" w:lastColumn="0" w:oddVBand="0" w:evenVBand="0" w:oddHBand="0" w:evenHBand="0" w:firstRowFirstColumn="0" w:firstRowLastColumn="0" w:lastRowFirstColumn="0" w:lastRowLastColumn="0"/>
            <w:tcW w:w="1615" w:type="dxa"/>
            <w:vAlign w:val="center"/>
            <w:hideMark/>
          </w:tcPr>
          <w:p w:rsidRPr="00F066D9" w:rsidR="00D74955" w:rsidP="005851C6" w:rsidRDefault="00D74955" w14:paraId="622D19B4" w14:textId="77777777">
            <w:pPr>
              <w:jc w:val="center"/>
            </w:pPr>
            <w:r w:rsidRPr="00F066D9">
              <w:t>Strata</w:t>
            </w:r>
          </w:p>
        </w:tc>
        <w:tc>
          <w:tcPr>
            <w:tcW w:w="1350" w:type="dxa"/>
            <w:vAlign w:val="center"/>
            <w:hideMark/>
          </w:tcPr>
          <w:p w:rsidRPr="00F066D9" w:rsidR="00D74955" w:rsidP="005851C6" w:rsidRDefault="00D74955" w14:paraId="7740048D" w14:textId="1804B946">
            <w:pPr>
              <w:pStyle w:val="Heading1"/>
              <w:keepNext w:val="0"/>
              <w:spacing w:after="0"/>
              <w:jc w:val="center"/>
              <w:outlineLvl w:val="0"/>
              <w:cnfStyle w:val="000000000000" w:firstRow="0" w:lastRow="0" w:firstColumn="0" w:lastColumn="0" w:oddVBand="0" w:evenVBand="0" w:oddHBand="0" w:evenHBand="0" w:firstRowFirstColumn="0" w:firstRowLastColumn="0" w:lastRowFirstColumn="0" w:lastRowLastColumn="0"/>
              <w:rPr>
                <w:rFonts w:hint="eastAsia"/>
                <w:color w:val="000000" w:themeColor="text1"/>
                <w:sz w:val="20"/>
                <w:szCs w:val="20"/>
              </w:rPr>
            </w:pPr>
            <w:r w:rsidRPr="00F066D9">
              <w:rPr>
                <w:color w:val="000000" w:themeColor="text1"/>
                <w:sz w:val="20"/>
                <w:szCs w:val="20"/>
              </w:rPr>
              <w:t xml:space="preserve">Outgoing </w:t>
            </w:r>
            <w:r>
              <w:rPr>
                <w:color w:val="000000" w:themeColor="text1"/>
                <w:sz w:val="20"/>
                <w:szCs w:val="20"/>
              </w:rPr>
              <w:t>S</w:t>
            </w:r>
            <w:r w:rsidRPr="00F066D9">
              <w:rPr>
                <w:color w:val="000000" w:themeColor="text1"/>
                <w:sz w:val="20"/>
                <w:szCs w:val="20"/>
              </w:rPr>
              <w:t>ample</w:t>
            </w:r>
          </w:p>
        </w:tc>
        <w:tc>
          <w:tcPr>
            <w:tcW w:w="1620" w:type="dxa"/>
            <w:vAlign w:val="center"/>
            <w:hideMark/>
          </w:tcPr>
          <w:p w:rsidRPr="00F066D9" w:rsidR="00D74955" w:rsidP="005851C6" w:rsidRDefault="00D74955" w14:paraId="6DFB8038" w14:textId="52A8AAD8">
            <w:pPr>
              <w:pStyle w:val="Heading1"/>
              <w:keepNext w:val="0"/>
              <w:spacing w:after="0"/>
              <w:jc w:val="center"/>
              <w:outlineLvl w:val="0"/>
              <w:cnfStyle w:val="000000000000" w:firstRow="0" w:lastRow="0" w:firstColumn="0" w:lastColumn="0" w:oddVBand="0" w:evenVBand="0" w:oddHBand="0" w:evenHBand="0" w:firstRowFirstColumn="0" w:firstRowLastColumn="0" w:lastRowFirstColumn="0" w:lastRowLastColumn="0"/>
              <w:rPr>
                <w:rFonts w:hint="eastAsia"/>
                <w:color w:val="000000" w:themeColor="text1"/>
                <w:sz w:val="20"/>
                <w:szCs w:val="20"/>
              </w:rPr>
            </w:pPr>
            <w:r w:rsidRPr="00F066D9">
              <w:rPr>
                <w:color w:val="000000" w:themeColor="text1"/>
                <w:sz w:val="20"/>
                <w:szCs w:val="20"/>
              </w:rPr>
              <w:t xml:space="preserve">Anticipated </w:t>
            </w:r>
            <w:r>
              <w:rPr>
                <w:color w:val="000000" w:themeColor="text1"/>
                <w:sz w:val="20"/>
                <w:szCs w:val="20"/>
              </w:rPr>
              <w:t>N</w:t>
            </w:r>
            <w:r w:rsidRPr="00F066D9">
              <w:rPr>
                <w:color w:val="000000" w:themeColor="text1"/>
                <w:sz w:val="20"/>
                <w:szCs w:val="20"/>
              </w:rPr>
              <w:t xml:space="preserve">umber of </w:t>
            </w:r>
            <w:r>
              <w:rPr>
                <w:color w:val="000000" w:themeColor="text1"/>
                <w:sz w:val="20"/>
                <w:szCs w:val="20"/>
              </w:rPr>
              <w:t>R</w:t>
            </w:r>
            <w:r w:rsidRPr="00F066D9">
              <w:rPr>
                <w:color w:val="000000" w:themeColor="text1"/>
                <w:sz w:val="20"/>
                <w:szCs w:val="20"/>
              </w:rPr>
              <w:t>esponses</w:t>
            </w:r>
          </w:p>
        </w:tc>
        <w:tc>
          <w:tcPr>
            <w:tcW w:w="1170" w:type="dxa"/>
            <w:tcBorders>
              <w:right w:val="single" w:color="B8CCE4" w:themeColor="accent1" w:themeTint="66" w:sz="12" w:space="0"/>
            </w:tcBorders>
            <w:vAlign w:val="center"/>
            <w:hideMark/>
          </w:tcPr>
          <w:p w:rsidRPr="00F066D9" w:rsidR="00D74955" w:rsidP="005851C6" w:rsidRDefault="00D74955" w14:paraId="6472CCDE" w14:textId="3782B787">
            <w:pPr>
              <w:pStyle w:val="Heading1"/>
              <w:keepNext w:val="0"/>
              <w:spacing w:after="0"/>
              <w:jc w:val="center"/>
              <w:outlineLvl w:val="0"/>
              <w:cnfStyle w:val="000000000000" w:firstRow="0" w:lastRow="0" w:firstColumn="0" w:lastColumn="0" w:oddVBand="0" w:evenVBand="0" w:oddHBand="0" w:evenHBand="0" w:firstRowFirstColumn="0" w:firstRowLastColumn="0" w:lastRowFirstColumn="0" w:lastRowLastColumn="0"/>
              <w:rPr>
                <w:rFonts w:hint="eastAsia"/>
                <w:color w:val="000000" w:themeColor="text1"/>
                <w:sz w:val="20"/>
                <w:szCs w:val="20"/>
              </w:rPr>
            </w:pPr>
            <w:r w:rsidRPr="00F066D9">
              <w:rPr>
                <w:color w:val="000000" w:themeColor="text1"/>
                <w:sz w:val="20"/>
                <w:szCs w:val="20"/>
              </w:rPr>
              <w:t xml:space="preserve">Response </w:t>
            </w:r>
            <w:r>
              <w:rPr>
                <w:color w:val="000000" w:themeColor="text1"/>
                <w:sz w:val="20"/>
                <w:szCs w:val="20"/>
              </w:rPr>
              <w:t>R</w:t>
            </w:r>
            <w:r w:rsidRPr="00F066D9">
              <w:rPr>
                <w:color w:val="000000" w:themeColor="text1"/>
                <w:sz w:val="20"/>
                <w:szCs w:val="20"/>
              </w:rPr>
              <w:t>ate</w:t>
            </w:r>
          </w:p>
        </w:tc>
        <w:tc>
          <w:tcPr>
            <w:tcW w:w="1260" w:type="dxa"/>
            <w:tcBorders>
              <w:left w:val="single" w:color="B8CCE4" w:themeColor="accent1" w:themeTint="66" w:sz="12" w:space="0"/>
            </w:tcBorders>
            <w:vAlign w:val="center"/>
            <w:hideMark/>
          </w:tcPr>
          <w:p w:rsidRPr="00F066D9" w:rsidR="00D74955" w:rsidP="005851C6" w:rsidRDefault="00D74955" w14:paraId="232A497A" w14:textId="1421BE25">
            <w:pPr>
              <w:pStyle w:val="Heading1"/>
              <w:keepNext w:val="0"/>
              <w:spacing w:after="0"/>
              <w:jc w:val="center"/>
              <w:outlineLvl w:val="0"/>
              <w:cnfStyle w:val="000000000000" w:firstRow="0" w:lastRow="0" w:firstColumn="0" w:lastColumn="0" w:oddVBand="0" w:evenVBand="0" w:oddHBand="0" w:evenHBand="0" w:firstRowFirstColumn="0" w:firstRowLastColumn="0" w:lastRowFirstColumn="0" w:lastRowLastColumn="0"/>
              <w:rPr>
                <w:rFonts w:hint="eastAsia"/>
                <w:color w:val="000000" w:themeColor="text1"/>
                <w:sz w:val="20"/>
                <w:szCs w:val="20"/>
              </w:rPr>
            </w:pPr>
            <w:r w:rsidRPr="00F066D9">
              <w:rPr>
                <w:color w:val="000000" w:themeColor="text1"/>
                <w:sz w:val="20"/>
                <w:szCs w:val="20"/>
              </w:rPr>
              <w:t xml:space="preserve">Outgoing </w:t>
            </w:r>
            <w:r>
              <w:rPr>
                <w:color w:val="000000" w:themeColor="text1"/>
                <w:sz w:val="20"/>
                <w:szCs w:val="20"/>
              </w:rPr>
              <w:t>S</w:t>
            </w:r>
            <w:r w:rsidRPr="00F066D9">
              <w:rPr>
                <w:color w:val="000000" w:themeColor="text1"/>
                <w:sz w:val="20"/>
                <w:szCs w:val="20"/>
              </w:rPr>
              <w:t>ample</w:t>
            </w:r>
          </w:p>
        </w:tc>
        <w:tc>
          <w:tcPr>
            <w:tcW w:w="1469" w:type="dxa"/>
            <w:vAlign w:val="center"/>
            <w:hideMark/>
          </w:tcPr>
          <w:p w:rsidRPr="00F066D9" w:rsidR="00D74955" w:rsidP="005851C6" w:rsidRDefault="00D74955" w14:paraId="28518538" w14:textId="1FFF5A97">
            <w:pPr>
              <w:pStyle w:val="Heading1"/>
              <w:keepNext w:val="0"/>
              <w:spacing w:after="0"/>
              <w:jc w:val="center"/>
              <w:outlineLvl w:val="0"/>
              <w:cnfStyle w:val="000000000000" w:firstRow="0" w:lastRow="0" w:firstColumn="0" w:lastColumn="0" w:oddVBand="0" w:evenVBand="0" w:oddHBand="0" w:evenHBand="0" w:firstRowFirstColumn="0" w:firstRowLastColumn="0" w:lastRowFirstColumn="0" w:lastRowLastColumn="0"/>
              <w:rPr>
                <w:rFonts w:hint="eastAsia"/>
                <w:color w:val="000000" w:themeColor="text1"/>
                <w:sz w:val="20"/>
                <w:szCs w:val="20"/>
              </w:rPr>
            </w:pPr>
            <w:r w:rsidRPr="00F066D9">
              <w:rPr>
                <w:color w:val="000000" w:themeColor="text1"/>
                <w:sz w:val="20"/>
                <w:szCs w:val="20"/>
              </w:rPr>
              <w:t xml:space="preserve">Anticipated </w:t>
            </w:r>
            <w:r>
              <w:rPr>
                <w:color w:val="000000" w:themeColor="text1"/>
                <w:sz w:val="20"/>
                <w:szCs w:val="20"/>
              </w:rPr>
              <w:t>N</w:t>
            </w:r>
            <w:r w:rsidRPr="00F066D9">
              <w:rPr>
                <w:color w:val="000000" w:themeColor="text1"/>
                <w:sz w:val="20"/>
                <w:szCs w:val="20"/>
              </w:rPr>
              <w:t xml:space="preserve">umber of </w:t>
            </w:r>
            <w:r>
              <w:rPr>
                <w:color w:val="000000" w:themeColor="text1"/>
                <w:sz w:val="20"/>
                <w:szCs w:val="20"/>
              </w:rPr>
              <w:t>R</w:t>
            </w:r>
            <w:r w:rsidRPr="00F066D9">
              <w:rPr>
                <w:color w:val="000000" w:themeColor="text1"/>
                <w:sz w:val="20"/>
                <w:szCs w:val="20"/>
              </w:rPr>
              <w:t>esponses</w:t>
            </w:r>
          </w:p>
        </w:tc>
        <w:tc>
          <w:tcPr>
            <w:tcW w:w="1164" w:type="dxa"/>
            <w:vAlign w:val="center"/>
            <w:hideMark/>
          </w:tcPr>
          <w:p w:rsidRPr="00F066D9" w:rsidR="00D74955" w:rsidP="005851C6" w:rsidRDefault="00D74955" w14:paraId="5A707C26" w14:textId="000BFFEB">
            <w:pPr>
              <w:pStyle w:val="Heading1"/>
              <w:keepNext w:val="0"/>
              <w:spacing w:after="0"/>
              <w:jc w:val="center"/>
              <w:outlineLvl w:val="0"/>
              <w:cnfStyle w:val="000000000000" w:firstRow="0" w:lastRow="0" w:firstColumn="0" w:lastColumn="0" w:oddVBand="0" w:evenVBand="0" w:oddHBand="0" w:evenHBand="0" w:firstRowFirstColumn="0" w:firstRowLastColumn="0" w:lastRowFirstColumn="0" w:lastRowLastColumn="0"/>
              <w:rPr>
                <w:rFonts w:hint="eastAsia"/>
                <w:color w:val="000000" w:themeColor="text1"/>
                <w:sz w:val="20"/>
                <w:szCs w:val="20"/>
              </w:rPr>
            </w:pPr>
            <w:r w:rsidRPr="00F066D9">
              <w:rPr>
                <w:color w:val="000000" w:themeColor="text1"/>
                <w:sz w:val="20"/>
                <w:szCs w:val="20"/>
              </w:rPr>
              <w:t xml:space="preserve">Response </w:t>
            </w:r>
            <w:r>
              <w:rPr>
                <w:color w:val="000000" w:themeColor="text1"/>
                <w:sz w:val="20"/>
                <w:szCs w:val="20"/>
              </w:rPr>
              <w:t>R</w:t>
            </w:r>
            <w:r w:rsidRPr="00F066D9">
              <w:rPr>
                <w:color w:val="000000" w:themeColor="text1"/>
                <w:sz w:val="20"/>
                <w:szCs w:val="20"/>
              </w:rPr>
              <w:t>ate</w:t>
            </w:r>
          </w:p>
        </w:tc>
      </w:tr>
      <w:tr w:rsidR="009B29D5" w:rsidTr="00D74955" w14:paraId="1FE91D3E" w14:textId="77777777">
        <w:tc>
          <w:tcPr>
            <w:cnfStyle w:val="001000000000" w:firstRow="0" w:lastRow="0" w:firstColumn="1" w:lastColumn="0" w:oddVBand="0" w:evenVBand="0" w:oddHBand="0" w:evenHBand="0" w:firstRowFirstColumn="0" w:firstRowLastColumn="0" w:lastRowFirstColumn="0" w:lastRowLastColumn="0"/>
            <w:tcW w:w="1615" w:type="dxa"/>
            <w:vAlign w:val="center"/>
            <w:hideMark/>
          </w:tcPr>
          <w:p w:rsidRPr="00F066D9" w:rsidR="00E0490B" w:rsidP="00D74955" w:rsidRDefault="00E0490B" w14:paraId="471E9B8C" w14:textId="4E929DA2">
            <w:pPr>
              <w:spacing w:after="0"/>
              <w:jc w:val="center"/>
              <w:rPr>
                <w:b w:val="0"/>
                <w:bCs w:val="0"/>
                <w:sz w:val="20"/>
                <w:szCs w:val="20"/>
              </w:rPr>
            </w:pPr>
            <w:r w:rsidRPr="00F066D9">
              <w:rPr>
                <w:b w:val="0"/>
                <w:bCs w:val="0"/>
                <w:sz w:val="20"/>
                <w:szCs w:val="20"/>
              </w:rPr>
              <w:t>1</w:t>
            </w:r>
            <w:r w:rsidRPr="00F066D9" w:rsidR="006724CC">
              <w:rPr>
                <w:b w:val="0"/>
                <w:bCs w:val="0"/>
                <w:sz w:val="20"/>
                <w:szCs w:val="20"/>
              </w:rPr>
              <w:t xml:space="preserve"> (</w:t>
            </w:r>
            <w:r w:rsidRPr="00F066D9">
              <w:rPr>
                <w:b w:val="0"/>
                <w:bCs w:val="0"/>
                <w:sz w:val="20"/>
                <w:szCs w:val="20"/>
              </w:rPr>
              <w:t>highest response rate</w:t>
            </w:r>
            <w:r w:rsidRPr="00F066D9" w:rsidR="006724CC">
              <w:rPr>
                <w:b w:val="0"/>
                <w:bCs w:val="0"/>
                <w:sz w:val="20"/>
                <w:szCs w:val="20"/>
              </w:rPr>
              <w:t>)</w:t>
            </w:r>
          </w:p>
        </w:tc>
        <w:tc>
          <w:tcPr>
            <w:tcW w:w="1350" w:type="dxa"/>
            <w:vAlign w:val="center"/>
            <w:hideMark/>
          </w:tcPr>
          <w:p w:rsidRPr="00F066D9" w:rsidR="00E0490B" w:rsidP="00D74955" w:rsidRDefault="00E0490B" w14:paraId="7C422C03"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2,388</w:t>
            </w:r>
          </w:p>
        </w:tc>
        <w:tc>
          <w:tcPr>
            <w:tcW w:w="1620" w:type="dxa"/>
            <w:vAlign w:val="center"/>
            <w:hideMark/>
          </w:tcPr>
          <w:p w:rsidRPr="00F066D9" w:rsidR="00E0490B" w:rsidP="00D74955" w:rsidRDefault="00E0490B" w14:paraId="119F6D59"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249</w:t>
            </w:r>
          </w:p>
        </w:tc>
        <w:tc>
          <w:tcPr>
            <w:tcW w:w="1170" w:type="dxa"/>
            <w:tcBorders>
              <w:right w:val="single" w:color="B8CCE4" w:themeColor="accent1" w:themeTint="66" w:sz="12" w:space="0"/>
            </w:tcBorders>
            <w:vAlign w:val="center"/>
            <w:hideMark/>
          </w:tcPr>
          <w:p w:rsidRPr="00F066D9" w:rsidR="00E0490B" w:rsidP="00D74955" w:rsidRDefault="00E0490B" w14:paraId="2C32A55B"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10.42%</w:t>
            </w:r>
          </w:p>
        </w:tc>
        <w:tc>
          <w:tcPr>
            <w:tcW w:w="1260" w:type="dxa"/>
            <w:tcBorders>
              <w:left w:val="single" w:color="B8CCE4" w:themeColor="accent1" w:themeTint="66" w:sz="12" w:space="0"/>
            </w:tcBorders>
            <w:vAlign w:val="center"/>
            <w:hideMark/>
          </w:tcPr>
          <w:p w:rsidRPr="00F066D9" w:rsidR="00E0490B" w:rsidP="00D74955" w:rsidRDefault="00E0490B" w14:paraId="2DFE6C7A"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2,589</w:t>
            </w:r>
          </w:p>
        </w:tc>
        <w:tc>
          <w:tcPr>
            <w:tcW w:w="1469" w:type="dxa"/>
            <w:vAlign w:val="center"/>
            <w:hideMark/>
          </w:tcPr>
          <w:p w:rsidRPr="00F066D9" w:rsidR="00E0490B" w:rsidP="00D74955" w:rsidRDefault="00E0490B" w14:paraId="149444B0"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248</w:t>
            </w:r>
          </w:p>
        </w:tc>
        <w:tc>
          <w:tcPr>
            <w:tcW w:w="1164" w:type="dxa"/>
            <w:vAlign w:val="center"/>
            <w:hideMark/>
          </w:tcPr>
          <w:p w:rsidRPr="00F066D9" w:rsidR="00E0490B" w:rsidP="00D74955" w:rsidRDefault="00E0490B" w14:paraId="171BC88A"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9.58%</w:t>
            </w:r>
          </w:p>
        </w:tc>
      </w:tr>
      <w:tr w:rsidR="00E0490B" w:rsidTr="00D74955" w14:paraId="4A049E91" w14:textId="77777777">
        <w:tc>
          <w:tcPr>
            <w:cnfStyle w:val="001000000000" w:firstRow="0" w:lastRow="0" w:firstColumn="1" w:lastColumn="0" w:oddVBand="0" w:evenVBand="0" w:oddHBand="0" w:evenHBand="0" w:firstRowFirstColumn="0" w:firstRowLastColumn="0" w:lastRowFirstColumn="0" w:lastRowLastColumn="0"/>
            <w:tcW w:w="1615" w:type="dxa"/>
            <w:vAlign w:val="center"/>
            <w:hideMark/>
          </w:tcPr>
          <w:p w:rsidRPr="00F066D9" w:rsidR="00E0490B" w:rsidP="00D74955" w:rsidRDefault="00E0490B" w14:paraId="4D139576" w14:textId="77777777">
            <w:pPr>
              <w:spacing w:after="0"/>
              <w:jc w:val="center"/>
              <w:rPr>
                <w:b w:val="0"/>
                <w:bCs w:val="0"/>
                <w:sz w:val="20"/>
                <w:szCs w:val="20"/>
              </w:rPr>
            </w:pPr>
            <w:r w:rsidRPr="00F066D9">
              <w:rPr>
                <w:b w:val="0"/>
                <w:bCs w:val="0"/>
                <w:sz w:val="20"/>
                <w:szCs w:val="20"/>
              </w:rPr>
              <w:t>2</w:t>
            </w:r>
          </w:p>
        </w:tc>
        <w:tc>
          <w:tcPr>
            <w:tcW w:w="1350" w:type="dxa"/>
            <w:vAlign w:val="center"/>
            <w:hideMark/>
          </w:tcPr>
          <w:p w:rsidRPr="00F066D9" w:rsidR="00E0490B" w:rsidP="00D74955" w:rsidRDefault="00E0490B" w14:paraId="0359A3B7"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3,001</w:t>
            </w:r>
          </w:p>
        </w:tc>
        <w:tc>
          <w:tcPr>
            <w:tcW w:w="1620" w:type="dxa"/>
            <w:vAlign w:val="center"/>
            <w:hideMark/>
          </w:tcPr>
          <w:p w:rsidRPr="00F066D9" w:rsidR="00E0490B" w:rsidP="00D74955" w:rsidRDefault="00E0490B" w14:paraId="20EA60C6"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248</w:t>
            </w:r>
          </w:p>
        </w:tc>
        <w:tc>
          <w:tcPr>
            <w:tcW w:w="1170" w:type="dxa"/>
            <w:tcBorders>
              <w:right w:val="single" w:color="B8CCE4" w:themeColor="accent1" w:themeTint="66" w:sz="12" w:space="0"/>
            </w:tcBorders>
            <w:vAlign w:val="center"/>
            <w:hideMark/>
          </w:tcPr>
          <w:p w:rsidRPr="00F066D9" w:rsidR="00E0490B" w:rsidP="00D74955" w:rsidRDefault="00E0490B" w14:paraId="5A8F55BC"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8.26%</w:t>
            </w:r>
          </w:p>
        </w:tc>
        <w:tc>
          <w:tcPr>
            <w:tcW w:w="1260" w:type="dxa"/>
            <w:tcBorders>
              <w:left w:val="single" w:color="B8CCE4" w:themeColor="accent1" w:themeTint="66" w:sz="12" w:space="0"/>
            </w:tcBorders>
            <w:vAlign w:val="center"/>
            <w:hideMark/>
          </w:tcPr>
          <w:p w:rsidRPr="00F066D9" w:rsidR="00E0490B" w:rsidP="00D74955" w:rsidRDefault="00E0490B" w14:paraId="47D8E3EA"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2,963</w:t>
            </w:r>
          </w:p>
        </w:tc>
        <w:tc>
          <w:tcPr>
            <w:tcW w:w="1469" w:type="dxa"/>
            <w:vAlign w:val="center"/>
            <w:hideMark/>
          </w:tcPr>
          <w:p w:rsidRPr="00F066D9" w:rsidR="00E0490B" w:rsidP="00D74955" w:rsidRDefault="00E0490B" w14:paraId="66AC60F2"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249</w:t>
            </w:r>
          </w:p>
        </w:tc>
        <w:tc>
          <w:tcPr>
            <w:tcW w:w="1164" w:type="dxa"/>
            <w:vAlign w:val="center"/>
            <w:hideMark/>
          </w:tcPr>
          <w:p w:rsidRPr="00F066D9" w:rsidR="00E0490B" w:rsidP="00D74955" w:rsidRDefault="00E0490B" w14:paraId="7E10150D"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8.40%</w:t>
            </w:r>
          </w:p>
        </w:tc>
      </w:tr>
      <w:tr w:rsidR="009B29D5" w:rsidTr="00D74955" w14:paraId="4D58C00F" w14:textId="77777777">
        <w:tc>
          <w:tcPr>
            <w:cnfStyle w:val="001000000000" w:firstRow="0" w:lastRow="0" w:firstColumn="1" w:lastColumn="0" w:oddVBand="0" w:evenVBand="0" w:oddHBand="0" w:evenHBand="0" w:firstRowFirstColumn="0" w:firstRowLastColumn="0" w:lastRowFirstColumn="0" w:lastRowLastColumn="0"/>
            <w:tcW w:w="1615" w:type="dxa"/>
            <w:vAlign w:val="center"/>
            <w:hideMark/>
          </w:tcPr>
          <w:p w:rsidRPr="00F066D9" w:rsidR="00E0490B" w:rsidP="00D74955" w:rsidRDefault="00E0490B" w14:paraId="2E43EA7B" w14:textId="77777777">
            <w:pPr>
              <w:spacing w:after="0"/>
              <w:jc w:val="center"/>
              <w:rPr>
                <w:b w:val="0"/>
                <w:bCs w:val="0"/>
                <w:sz w:val="20"/>
                <w:szCs w:val="20"/>
              </w:rPr>
            </w:pPr>
            <w:r w:rsidRPr="00F066D9">
              <w:rPr>
                <w:b w:val="0"/>
                <w:bCs w:val="0"/>
                <w:sz w:val="20"/>
                <w:szCs w:val="20"/>
              </w:rPr>
              <w:t>3</w:t>
            </w:r>
          </w:p>
        </w:tc>
        <w:tc>
          <w:tcPr>
            <w:tcW w:w="1350" w:type="dxa"/>
            <w:vAlign w:val="center"/>
            <w:hideMark/>
          </w:tcPr>
          <w:p w:rsidRPr="00F066D9" w:rsidR="00E0490B" w:rsidP="00D74955" w:rsidRDefault="00E0490B" w14:paraId="7E87474C"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3,330</w:t>
            </w:r>
          </w:p>
        </w:tc>
        <w:tc>
          <w:tcPr>
            <w:tcW w:w="1620" w:type="dxa"/>
            <w:vAlign w:val="center"/>
            <w:hideMark/>
          </w:tcPr>
          <w:p w:rsidRPr="00F066D9" w:rsidR="00E0490B" w:rsidP="00D74955" w:rsidRDefault="00E0490B" w14:paraId="26C72DEA"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248</w:t>
            </w:r>
          </w:p>
        </w:tc>
        <w:tc>
          <w:tcPr>
            <w:tcW w:w="1170" w:type="dxa"/>
            <w:tcBorders>
              <w:right w:val="single" w:color="B8CCE4" w:themeColor="accent1" w:themeTint="66" w:sz="12" w:space="0"/>
            </w:tcBorders>
            <w:vAlign w:val="center"/>
            <w:hideMark/>
          </w:tcPr>
          <w:p w:rsidRPr="00F066D9" w:rsidR="00E0490B" w:rsidP="00D74955" w:rsidRDefault="00E0490B" w14:paraId="423934DD"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7.45%</w:t>
            </w:r>
          </w:p>
        </w:tc>
        <w:tc>
          <w:tcPr>
            <w:tcW w:w="1260" w:type="dxa"/>
            <w:tcBorders>
              <w:left w:val="single" w:color="B8CCE4" w:themeColor="accent1" w:themeTint="66" w:sz="12" w:space="0"/>
            </w:tcBorders>
            <w:vAlign w:val="center"/>
            <w:hideMark/>
          </w:tcPr>
          <w:p w:rsidRPr="00F066D9" w:rsidR="00E0490B" w:rsidP="00D74955" w:rsidRDefault="00E0490B" w14:paraId="27ADC75F"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3,209</w:t>
            </w:r>
          </w:p>
        </w:tc>
        <w:tc>
          <w:tcPr>
            <w:tcW w:w="1469" w:type="dxa"/>
            <w:vAlign w:val="center"/>
            <w:hideMark/>
          </w:tcPr>
          <w:p w:rsidRPr="00F066D9" w:rsidR="00E0490B" w:rsidP="00D74955" w:rsidRDefault="00E0490B" w14:paraId="50C64D1F"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249</w:t>
            </w:r>
          </w:p>
        </w:tc>
        <w:tc>
          <w:tcPr>
            <w:tcW w:w="1164" w:type="dxa"/>
            <w:vAlign w:val="center"/>
            <w:hideMark/>
          </w:tcPr>
          <w:p w:rsidRPr="00F066D9" w:rsidR="00E0490B" w:rsidP="00D74955" w:rsidRDefault="00E0490B" w14:paraId="62896E49"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7.76%</w:t>
            </w:r>
          </w:p>
        </w:tc>
      </w:tr>
      <w:tr w:rsidR="00E0490B" w:rsidTr="00D74955" w14:paraId="1AFE174C" w14:textId="77777777">
        <w:tc>
          <w:tcPr>
            <w:cnfStyle w:val="001000000000" w:firstRow="0" w:lastRow="0" w:firstColumn="1" w:lastColumn="0" w:oddVBand="0" w:evenVBand="0" w:oddHBand="0" w:evenHBand="0" w:firstRowFirstColumn="0" w:firstRowLastColumn="0" w:lastRowFirstColumn="0" w:lastRowLastColumn="0"/>
            <w:tcW w:w="1615" w:type="dxa"/>
            <w:vAlign w:val="center"/>
            <w:hideMark/>
          </w:tcPr>
          <w:p w:rsidRPr="00F066D9" w:rsidR="00E0490B" w:rsidP="00D74955" w:rsidRDefault="00E0490B" w14:paraId="60CCDB9C" w14:textId="77777777">
            <w:pPr>
              <w:spacing w:after="0"/>
              <w:jc w:val="center"/>
              <w:rPr>
                <w:b w:val="0"/>
                <w:bCs w:val="0"/>
                <w:sz w:val="20"/>
                <w:szCs w:val="20"/>
              </w:rPr>
            </w:pPr>
            <w:r w:rsidRPr="00F066D9">
              <w:rPr>
                <w:b w:val="0"/>
                <w:bCs w:val="0"/>
                <w:sz w:val="20"/>
                <w:szCs w:val="20"/>
              </w:rPr>
              <w:t>4</w:t>
            </w:r>
          </w:p>
        </w:tc>
        <w:tc>
          <w:tcPr>
            <w:tcW w:w="1350" w:type="dxa"/>
            <w:vAlign w:val="center"/>
            <w:hideMark/>
          </w:tcPr>
          <w:p w:rsidRPr="00F066D9" w:rsidR="00E0490B" w:rsidP="00D74955" w:rsidRDefault="00E0490B" w14:paraId="2E11D98C"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3,707</w:t>
            </w:r>
          </w:p>
        </w:tc>
        <w:tc>
          <w:tcPr>
            <w:tcW w:w="1620" w:type="dxa"/>
            <w:vAlign w:val="center"/>
            <w:hideMark/>
          </w:tcPr>
          <w:p w:rsidRPr="00F066D9" w:rsidR="00E0490B" w:rsidP="00D74955" w:rsidRDefault="00E0490B" w14:paraId="7DD39C95"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249</w:t>
            </w:r>
          </w:p>
        </w:tc>
        <w:tc>
          <w:tcPr>
            <w:tcW w:w="1170" w:type="dxa"/>
            <w:tcBorders>
              <w:right w:val="single" w:color="B8CCE4" w:themeColor="accent1" w:themeTint="66" w:sz="12" w:space="0"/>
            </w:tcBorders>
            <w:vAlign w:val="center"/>
            <w:hideMark/>
          </w:tcPr>
          <w:p w:rsidRPr="00F066D9" w:rsidR="00E0490B" w:rsidP="00D74955" w:rsidRDefault="00E0490B" w14:paraId="3A2B0055"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6.72%</w:t>
            </w:r>
          </w:p>
        </w:tc>
        <w:tc>
          <w:tcPr>
            <w:tcW w:w="1260" w:type="dxa"/>
            <w:tcBorders>
              <w:left w:val="single" w:color="B8CCE4" w:themeColor="accent1" w:themeTint="66" w:sz="12" w:space="0"/>
            </w:tcBorders>
            <w:vAlign w:val="center"/>
            <w:hideMark/>
          </w:tcPr>
          <w:p w:rsidRPr="00F066D9" w:rsidR="00E0490B" w:rsidP="00D74955" w:rsidRDefault="00E0490B" w14:paraId="1EB88EA1"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3,570</w:t>
            </w:r>
          </w:p>
        </w:tc>
        <w:tc>
          <w:tcPr>
            <w:tcW w:w="1469" w:type="dxa"/>
            <w:vAlign w:val="center"/>
            <w:hideMark/>
          </w:tcPr>
          <w:p w:rsidRPr="00F066D9" w:rsidR="00E0490B" w:rsidP="00D74955" w:rsidRDefault="00E0490B" w14:paraId="2944707C"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248</w:t>
            </w:r>
          </w:p>
        </w:tc>
        <w:tc>
          <w:tcPr>
            <w:tcW w:w="1164" w:type="dxa"/>
            <w:vAlign w:val="center"/>
            <w:hideMark/>
          </w:tcPr>
          <w:p w:rsidRPr="00F066D9" w:rsidR="00E0490B" w:rsidP="00D74955" w:rsidRDefault="00E0490B" w14:paraId="419C0F27"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6.95%</w:t>
            </w:r>
          </w:p>
        </w:tc>
      </w:tr>
      <w:tr w:rsidR="009B29D5" w:rsidTr="00D74955" w14:paraId="0F044D0D" w14:textId="77777777">
        <w:tc>
          <w:tcPr>
            <w:cnfStyle w:val="001000000000" w:firstRow="0" w:lastRow="0" w:firstColumn="1" w:lastColumn="0" w:oddVBand="0" w:evenVBand="0" w:oddHBand="0" w:evenHBand="0" w:firstRowFirstColumn="0" w:firstRowLastColumn="0" w:lastRowFirstColumn="0" w:lastRowLastColumn="0"/>
            <w:tcW w:w="1615" w:type="dxa"/>
            <w:vAlign w:val="center"/>
            <w:hideMark/>
          </w:tcPr>
          <w:p w:rsidRPr="00F066D9" w:rsidR="00E0490B" w:rsidP="00D74955" w:rsidRDefault="00E0490B" w14:paraId="20D08711" w14:textId="20D3827E">
            <w:pPr>
              <w:spacing w:after="0"/>
              <w:jc w:val="center"/>
              <w:rPr>
                <w:b w:val="0"/>
                <w:bCs w:val="0"/>
                <w:sz w:val="20"/>
                <w:szCs w:val="20"/>
              </w:rPr>
            </w:pPr>
            <w:r w:rsidRPr="00F066D9">
              <w:rPr>
                <w:b w:val="0"/>
                <w:bCs w:val="0"/>
                <w:sz w:val="20"/>
                <w:szCs w:val="20"/>
              </w:rPr>
              <w:t xml:space="preserve">5 </w:t>
            </w:r>
            <w:r w:rsidRPr="00F066D9" w:rsidR="006724CC">
              <w:rPr>
                <w:b w:val="0"/>
                <w:bCs w:val="0"/>
                <w:sz w:val="20"/>
                <w:szCs w:val="20"/>
              </w:rPr>
              <w:t>(</w:t>
            </w:r>
            <w:r w:rsidRPr="00F066D9">
              <w:rPr>
                <w:b w:val="0"/>
                <w:bCs w:val="0"/>
                <w:sz w:val="20"/>
                <w:szCs w:val="20"/>
              </w:rPr>
              <w:t>lowest response rate</w:t>
            </w:r>
            <w:r w:rsidRPr="00F066D9" w:rsidR="006724CC">
              <w:rPr>
                <w:b w:val="0"/>
                <w:bCs w:val="0"/>
                <w:sz w:val="20"/>
                <w:szCs w:val="20"/>
              </w:rPr>
              <w:t>)</w:t>
            </w:r>
          </w:p>
        </w:tc>
        <w:tc>
          <w:tcPr>
            <w:tcW w:w="1350" w:type="dxa"/>
            <w:vAlign w:val="center"/>
            <w:hideMark/>
          </w:tcPr>
          <w:p w:rsidRPr="00F066D9" w:rsidR="00E0490B" w:rsidP="00D74955" w:rsidRDefault="00E0490B" w14:paraId="7ADA6373"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4,304</w:t>
            </w:r>
          </w:p>
        </w:tc>
        <w:tc>
          <w:tcPr>
            <w:tcW w:w="1620" w:type="dxa"/>
            <w:vAlign w:val="center"/>
            <w:hideMark/>
          </w:tcPr>
          <w:p w:rsidRPr="00F066D9" w:rsidR="00E0490B" w:rsidP="00D74955" w:rsidRDefault="00E0490B" w14:paraId="27262F89"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249</w:t>
            </w:r>
          </w:p>
        </w:tc>
        <w:tc>
          <w:tcPr>
            <w:tcW w:w="1170" w:type="dxa"/>
            <w:tcBorders>
              <w:right w:val="single" w:color="B8CCE4" w:themeColor="accent1" w:themeTint="66" w:sz="12" w:space="0"/>
            </w:tcBorders>
            <w:vAlign w:val="center"/>
            <w:hideMark/>
          </w:tcPr>
          <w:p w:rsidRPr="00F066D9" w:rsidR="00E0490B" w:rsidP="00D74955" w:rsidRDefault="00E0490B" w14:paraId="7EFA5EE0"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5.79%</w:t>
            </w:r>
          </w:p>
        </w:tc>
        <w:tc>
          <w:tcPr>
            <w:tcW w:w="1260" w:type="dxa"/>
            <w:tcBorders>
              <w:left w:val="single" w:color="B8CCE4" w:themeColor="accent1" w:themeTint="66" w:sz="12" w:space="0"/>
            </w:tcBorders>
            <w:vAlign w:val="center"/>
            <w:hideMark/>
          </w:tcPr>
          <w:p w:rsidRPr="00F066D9" w:rsidR="00E0490B" w:rsidP="00D74955" w:rsidRDefault="00E0490B" w14:paraId="6616BBD9"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4,399</w:t>
            </w:r>
          </w:p>
        </w:tc>
        <w:tc>
          <w:tcPr>
            <w:tcW w:w="1469" w:type="dxa"/>
            <w:vAlign w:val="center"/>
            <w:hideMark/>
          </w:tcPr>
          <w:p w:rsidRPr="00F066D9" w:rsidR="00E0490B" w:rsidP="00D74955" w:rsidRDefault="00E0490B" w14:paraId="11315312"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249</w:t>
            </w:r>
          </w:p>
        </w:tc>
        <w:tc>
          <w:tcPr>
            <w:tcW w:w="1164" w:type="dxa"/>
            <w:vAlign w:val="center"/>
            <w:hideMark/>
          </w:tcPr>
          <w:p w:rsidRPr="00F066D9" w:rsidR="00E0490B" w:rsidP="00D74955" w:rsidRDefault="00E0490B" w14:paraId="2C4C87D9"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5.66%</w:t>
            </w:r>
          </w:p>
        </w:tc>
      </w:tr>
      <w:tr w:rsidR="00E0490B" w:rsidTr="00D74955" w14:paraId="4F2A52B2" w14:textId="77777777">
        <w:tc>
          <w:tcPr>
            <w:cnfStyle w:val="001000000000" w:firstRow="0" w:lastRow="0" w:firstColumn="1" w:lastColumn="0" w:oddVBand="0" w:evenVBand="0" w:oddHBand="0" w:evenHBand="0" w:firstRowFirstColumn="0" w:firstRowLastColumn="0" w:lastRowFirstColumn="0" w:lastRowLastColumn="0"/>
            <w:tcW w:w="1615" w:type="dxa"/>
            <w:vAlign w:val="center"/>
            <w:hideMark/>
          </w:tcPr>
          <w:p w:rsidRPr="00D74955" w:rsidR="00E0490B" w:rsidP="00D74955" w:rsidRDefault="00E0490B" w14:paraId="330CAE8F" w14:textId="77777777">
            <w:pPr>
              <w:pStyle w:val="Heading1"/>
              <w:spacing w:after="0"/>
              <w:jc w:val="center"/>
              <w:outlineLvl w:val="0"/>
              <w:rPr>
                <w:rFonts w:ascii="Times New Roman" w:hAnsi="Times New Roman"/>
                <w:b/>
                <w:color w:val="000000" w:themeColor="text1"/>
                <w:sz w:val="20"/>
                <w:szCs w:val="20"/>
              </w:rPr>
            </w:pPr>
            <w:r w:rsidRPr="00D74955">
              <w:rPr>
                <w:rFonts w:ascii="Times New Roman" w:hAnsi="Times New Roman"/>
                <w:b/>
                <w:color w:val="000000" w:themeColor="text1"/>
                <w:sz w:val="20"/>
                <w:szCs w:val="20"/>
              </w:rPr>
              <w:t>Total</w:t>
            </w:r>
          </w:p>
        </w:tc>
        <w:tc>
          <w:tcPr>
            <w:tcW w:w="1350" w:type="dxa"/>
            <w:vAlign w:val="center"/>
            <w:hideMark/>
          </w:tcPr>
          <w:p w:rsidRPr="00F066D9" w:rsidR="00E0490B" w:rsidP="00D74955" w:rsidRDefault="00E0490B" w14:paraId="08917EB1"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16,730</w:t>
            </w:r>
          </w:p>
        </w:tc>
        <w:tc>
          <w:tcPr>
            <w:tcW w:w="1620" w:type="dxa"/>
            <w:vAlign w:val="center"/>
            <w:hideMark/>
          </w:tcPr>
          <w:p w:rsidRPr="00F066D9" w:rsidR="00E0490B" w:rsidP="00D74955" w:rsidRDefault="00E0490B" w14:paraId="50B5FE81"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1,243</w:t>
            </w:r>
          </w:p>
        </w:tc>
        <w:tc>
          <w:tcPr>
            <w:tcW w:w="1170" w:type="dxa"/>
            <w:tcBorders>
              <w:right w:val="single" w:color="B8CCE4" w:themeColor="accent1" w:themeTint="66" w:sz="12" w:space="0"/>
            </w:tcBorders>
            <w:vAlign w:val="center"/>
            <w:hideMark/>
          </w:tcPr>
          <w:p w:rsidRPr="00F066D9" w:rsidR="00E0490B" w:rsidP="00D74955" w:rsidRDefault="00E0490B" w14:paraId="70F16929"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7.43%</w:t>
            </w:r>
          </w:p>
        </w:tc>
        <w:tc>
          <w:tcPr>
            <w:tcW w:w="1260" w:type="dxa"/>
            <w:tcBorders>
              <w:left w:val="single" w:color="B8CCE4" w:themeColor="accent1" w:themeTint="66" w:sz="12" w:space="0"/>
            </w:tcBorders>
            <w:vAlign w:val="center"/>
            <w:hideMark/>
          </w:tcPr>
          <w:p w:rsidRPr="00F066D9" w:rsidR="00E0490B" w:rsidP="00D74955" w:rsidRDefault="00E0490B" w14:paraId="785C42FA"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16,730</w:t>
            </w:r>
          </w:p>
        </w:tc>
        <w:tc>
          <w:tcPr>
            <w:tcW w:w="1469" w:type="dxa"/>
            <w:vAlign w:val="center"/>
            <w:hideMark/>
          </w:tcPr>
          <w:p w:rsidRPr="00F066D9" w:rsidR="00E0490B" w:rsidP="00D74955" w:rsidRDefault="00E0490B" w14:paraId="06825F0B"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1,243</w:t>
            </w:r>
          </w:p>
        </w:tc>
        <w:tc>
          <w:tcPr>
            <w:tcW w:w="1164" w:type="dxa"/>
            <w:vAlign w:val="center"/>
            <w:hideMark/>
          </w:tcPr>
          <w:p w:rsidRPr="00F066D9" w:rsidR="00E0490B" w:rsidP="00D74955" w:rsidRDefault="00E0490B" w14:paraId="5284E3F7" w14:textId="77777777">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F066D9">
              <w:rPr>
                <w:sz w:val="20"/>
                <w:szCs w:val="20"/>
              </w:rPr>
              <w:t>7.43%</w:t>
            </w:r>
          </w:p>
        </w:tc>
      </w:tr>
    </w:tbl>
    <w:p w:rsidRPr="00AC4358" w:rsidR="0036329C" w:rsidP="00D74955" w:rsidRDefault="0036329C" w14:paraId="5C48F07E" w14:textId="2FDFDE61">
      <w:pPr>
        <w:widowControl w:val="0"/>
        <w:autoSpaceDE w:val="0"/>
        <w:autoSpaceDN w:val="0"/>
        <w:adjustRightInd w:val="0"/>
        <w:spacing w:before="60" w:after="240"/>
        <w:rPr>
          <w:sz w:val="22"/>
          <w:szCs w:val="22"/>
        </w:rPr>
      </w:pPr>
      <w:r w:rsidRPr="00AC4358">
        <w:rPr>
          <w:sz w:val="22"/>
          <w:szCs w:val="22"/>
        </w:rPr>
        <w:t>Source: the 2021 Census Planning Database; Abt Associates calculations</w:t>
      </w:r>
      <w:r w:rsidRPr="00AC4358" w:rsidR="00C05B79">
        <w:rPr>
          <w:sz w:val="22"/>
          <w:szCs w:val="22"/>
        </w:rPr>
        <w:t xml:space="preserve"> (described below)</w:t>
      </w:r>
      <w:r w:rsidRPr="00AC4358">
        <w:rPr>
          <w:sz w:val="22"/>
          <w:szCs w:val="22"/>
        </w:rPr>
        <w:t>.</w:t>
      </w:r>
    </w:p>
    <w:p w:rsidR="00E0490B" w:rsidP="00566433" w:rsidRDefault="008248FA" w14:paraId="2A0267B7" w14:textId="001C70B0">
      <w:bookmarkStart w:name="_Hlk79594494" w:id="7"/>
      <w:bookmarkEnd w:id="6"/>
      <w:r>
        <w:t xml:space="preserve">The </w:t>
      </w:r>
      <w:bookmarkStart w:name="_Hlk80019448" w:id="8"/>
      <w:r>
        <w:t>PDB</w:t>
      </w:r>
      <w:bookmarkEnd w:id="8"/>
      <w:r w:rsidR="00E0490B">
        <w:t xml:space="preserve"> provides the data at the level of Census tracts (contiguous geographic areas with population of about 4,000 people). The tract-level Low Response Score, which is the predicted self-completion non-response rate for </w:t>
      </w:r>
      <w:r w:rsidR="00FB3421">
        <w:t xml:space="preserve">Census </w:t>
      </w:r>
      <w:r w:rsidR="00E0490B">
        <w:t xml:space="preserve">operations such as the </w:t>
      </w:r>
      <w:r w:rsidR="00872B9E">
        <w:t>American Community Survey (</w:t>
      </w:r>
      <w:r w:rsidR="00E0490B">
        <w:t>ACS</w:t>
      </w:r>
      <w:r w:rsidR="00872B9E">
        <w:t>)</w:t>
      </w:r>
      <w:r w:rsidR="00E0490B">
        <w:t xml:space="preserve"> and the Decennial Census, was used to obtain the projected number of completed </w:t>
      </w:r>
      <w:r w:rsidR="00AF14CD">
        <w:t>survey</w:t>
      </w:r>
      <w:r w:rsidR="00E0490B">
        <w:t>s</w:t>
      </w:r>
      <w:r>
        <w:t xml:space="preserve"> </w:t>
      </w:r>
      <w:r w:rsidR="00FB3421">
        <w:t>in the following manner</w:t>
      </w:r>
      <w:r w:rsidR="00E0490B">
        <w:t xml:space="preserve">. Denoting the value of the Low Response Score </w:t>
      </w:r>
      <w:r w:rsidR="001A683D">
        <w:t xml:space="preserve">(LRS) </w:t>
      </w:r>
      <w:r w:rsidR="00E0490B">
        <w:t xml:space="preserve">variable in tract </w:t>
      </w:r>
      <m:oMath>
        <m:r>
          <w:rPr>
            <w:rFonts w:ascii="Cambria Math" w:hAnsi="Cambria Math"/>
          </w:rPr>
          <m:t>i</m:t>
        </m:r>
      </m:oMath>
      <w:r w:rsidR="00E0490B">
        <w:t xml:space="preserve"> as </w:t>
      </w:r>
      <m:oMath>
        <m:r>
          <m:rPr>
            <m:sty m:val="p"/>
          </m:rPr>
          <w:rPr>
            <w:rFonts w:ascii="Cambria Math" w:hAnsi="Cambria Math"/>
          </w:rPr>
          <m:t>LR</m:t>
        </m:r>
        <m:sSub>
          <m:sSubPr>
            <m:ctrlPr>
              <w:rPr>
                <w:rFonts w:ascii="Cambria Math" w:hAnsi="Cambria Math"/>
                <w:i/>
              </w:rPr>
            </m:ctrlPr>
          </m:sSubPr>
          <m:e>
            <m:r>
              <m:rPr>
                <m:sty m:val="p"/>
              </m:rPr>
              <w:rPr>
                <w:rFonts w:ascii="Cambria Math" w:hAnsi="Cambria Math"/>
              </w:rPr>
              <m:t>S</m:t>
            </m:r>
          </m:e>
          <m:sub>
            <m:r>
              <w:rPr>
                <w:rFonts w:ascii="Cambria Math" w:hAnsi="Cambria Math"/>
              </w:rPr>
              <m:t>i</m:t>
            </m:r>
          </m:sub>
        </m:sSub>
      </m:oMath>
      <w:r w:rsidR="00E0490B">
        <w:t xml:space="preserve">, we calculated the log odds of response, linearly transformed it, and applied the inverse log odds link to bring it back to the anticipated response rate </w:t>
      </w:r>
      <m:oMath>
        <m:sSub>
          <m:sSubPr>
            <m:ctrlPr>
              <w:rPr>
                <w:rFonts w:ascii="Cambria Math" w:hAnsi="Cambria Math"/>
                <w:i/>
              </w:rPr>
            </m:ctrlPr>
          </m:sSubPr>
          <m:e>
            <m:r>
              <w:rPr>
                <w:rFonts w:ascii="Cambria Math" w:hAnsi="Cambria Math"/>
              </w:rPr>
              <m:t>r</m:t>
            </m:r>
          </m:e>
          <m:sub>
            <m:r>
              <w:rPr>
                <w:rFonts w:ascii="Cambria Math" w:hAnsi="Cambria Math"/>
              </w:rPr>
              <m:t>j</m:t>
            </m:r>
          </m:sub>
        </m:sSub>
      </m:oMath>
      <w:r w:rsidR="00E0490B">
        <w:t xml:space="preserve"> so that the ultimate number of completed </w:t>
      </w:r>
      <w:r w:rsidR="00AF14CD">
        <w:t>survey</w:t>
      </w:r>
      <w:r w:rsidR="00E0490B">
        <w:t>s matched the anticipated target:</w:t>
      </w:r>
    </w:p>
    <w:p w:rsidR="00E0490B" w:rsidP="00FB3421" w:rsidRDefault="00C83009" w14:paraId="395191C7" w14:textId="77777777">
      <m:oMathPara>
        <m:oMath>
          <m:sSub>
            <m:sSubPr>
              <m:ctrlPr>
                <w:rPr>
                  <w:rFonts w:ascii="Cambria Math" w:hAnsi="Cambria Math"/>
                  <w:i/>
                </w:rPr>
              </m:ctrlPr>
            </m:sSubPr>
            <m:e>
              <m:r>
                <w:rPr>
                  <w:rFonts w:ascii="Cambria Math" w:hAnsi="Cambria Math"/>
                </w:rPr>
                <m:t>λ</m:t>
              </m:r>
            </m:e>
            <m:sub>
              <m:r>
                <w:rPr>
                  <w:rFonts w:ascii="Cambria Math" w:hAnsi="Cambria Math"/>
                </w:rPr>
                <m:t>i</m:t>
              </m:r>
            </m:sub>
          </m:sSub>
          <m:r>
            <w:rPr>
              <w:rFonts w:ascii="Cambria Math" w:hAnsi="Cambria Math"/>
            </w:rPr>
            <m:t>=</m:t>
          </m:r>
          <m:func>
            <m:funcPr>
              <m:ctrlPr>
                <w:rPr>
                  <w:rFonts w:ascii="Cambria Math" w:hAnsi="Cambria Math"/>
                  <w:i/>
                </w:rPr>
              </m:ctrlPr>
            </m:funcPr>
            <m:fName>
              <m:r>
                <m:rPr>
                  <m:sty m:val="p"/>
                </m:rPr>
                <w:rPr>
                  <w:rFonts w:ascii="Cambria Math" w:hAnsi="Cambria Math"/>
                </w:rPr>
                <m:t>ln</m:t>
              </m:r>
            </m:fName>
            <m:e>
              <m:f>
                <m:fPr>
                  <m:ctrlPr>
                    <w:rPr>
                      <w:rFonts w:ascii="Cambria Math" w:hAnsi="Cambria Math"/>
                      <w:i/>
                    </w:rPr>
                  </m:ctrlPr>
                </m:fPr>
                <m:num>
                  <m:r>
                    <m:rPr>
                      <m:sty m:val="p"/>
                    </m:rPr>
                    <w:rPr>
                      <w:rFonts w:ascii="Cambria Math" w:hAnsi="Cambria Math"/>
                    </w:rPr>
                    <m:t>LR</m:t>
                  </m:r>
                  <m:sSub>
                    <m:sSubPr>
                      <m:ctrlPr>
                        <w:rPr>
                          <w:rFonts w:ascii="Cambria Math" w:hAnsi="Cambria Math"/>
                          <w:i/>
                        </w:rPr>
                      </m:ctrlPr>
                    </m:sSubPr>
                    <m:e>
                      <m:r>
                        <m:rPr>
                          <m:sty m:val="p"/>
                        </m:rPr>
                        <w:rPr>
                          <w:rFonts w:ascii="Cambria Math" w:hAnsi="Cambria Math"/>
                        </w:rPr>
                        <m:t>S</m:t>
                      </m:r>
                    </m:e>
                    <m:sub>
                      <m:r>
                        <w:rPr>
                          <w:rFonts w:ascii="Cambria Math" w:hAnsi="Cambria Math"/>
                        </w:rPr>
                        <m:t>i</m:t>
                      </m:r>
                    </m:sub>
                  </m:sSub>
                  <m:r>
                    <w:rPr>
                      <w:rFonts w:ascii="Cambria Math" w:hAnsi="Cambria Math"/>
                    </w:rPr>
                    <m:t>/100</m:t>
                  </m:r>
                </m:num>
                <m:den>
                  <m:r>
                    <w:rPr>
                      <w:rFonts w:ascii="Cambria Math" w:hAnsi="Cambria Math"/>
                    </w:rPr>
                    <m:t>1-</m:t>
                  </m:r>
                  <m:r>
                    <m:rPr>
                      <m:sty m:val="p"/>
                    </m:rPr>
                    <w:rPr>
                      <w:rFonts w:ascii="Cambria Math" w:hAnsi="Cambria Math"/>
                    </w:rPr>
                    <m:t>LR</m:t>
                  </m:r>
                  <m:sSub>
                    <m:sSubPr>
                      <m:ctrlPr>
                        <w:rPr>
                          <w:rFonts w:ascii="Cambria Math" w:hAnsi="Cambria Math"/>
                          <w:i/>
                        </w:rPr>
                      </m:ctrlPr>
                    </m:sSubPr>
                    <m:e>
                      <m:r>
                        <m:rPr>
                          <m:sty m:val="p"/>
                        </m:rPr>
                        <w:rPr>
                          <w:rFonts w:ascii="Cambria Math" w:hAnsi="Cambria Math"/>
                        </w:rPr>
                        <m:t>S</m:t>
                      </m:r>
                    </m:e>
                    <m:sub>
                      <m:r>
                        <w:rPr>
                          <w:rFonts w:ascii="Cambria Math" w:hAnsi="Cambria Math"/>
                        </w:rPr>
                        <m:t>i</m:t>
                      </m:r>
                    </m:sub>
                  </m:sSub>
                  <m:r>
                    <w:rPr>
                      <w:rFonts w:ascii="Cambria Math" w:hAnsi="Cambria Math"/>
                    </w:rPr>
                    <m:t>/100</m:t>
                  </m:r>
                </m:den>
              </m:f>
            </m:e>
          </m:fun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λ</m:t>
                  </m:r>
                </m:e>
              </m:acc>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βλ</m:t>
              </m:r>
            </m:e>
            <m:sub>
              <m:r>
                <w:rPr>
                  <w:rFonts w:ascii="Cambria Math" w:hAnsi="Cambria Math"/>
                </w:rPr>
                <m:t>i</m:t>
              </m:r>
            </m:sub>
          </m:sSub>
          <m:r>
            <w:rPr>
              <w:rFonts w:ascii="Cambria Math" w:hAnsi="Cambria Math"/>
            </w:rPr>
            <m:t>+α;</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r>
                <m:rPr>
                  <m:sty m:val="p"/>
                </m:rPr>
                <w:rPr>
                  <w:rFonts w:ascii="Cambria Math" w:hAnsi="Cambria Math"/>
                </w:rPr>
                <m:t>exp⁡</m:t>
              </m:r>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λ</m:t>
                      </m:r>
                    </m:e>
                  </m:acc>
                </m:e>
                <m:sub>
                  <m:r>
                    <w:rPr>
                      <w:rFonts w:ascii="Cambria Math" w:hAnsi="Cambria Math"/>
                    </w:rPr>
                    <m:t>i</m:t>
                  </m:r>
                </m:sub>
              </m:sSub>
              <m:r>
                <w:rPr>
                  <w:rFonts w:ascii="Cambria Math" w:hAnsi="Cambria Math"/>
                </w:rPr>
                <m:t>)</m:t>
              </m:r>
            </m:den>
          </m:f>
        </m:oMath>
      </m:oMathPara>
    </w:p>
    <w:p w:rsidR="00102ADB" w:rsidP="00FB3421" w:rsidRDefault="00E0490B" w14:paraId="4C4D6BE8" w14:textId="71CF2239">
      <w:pPr>
        <w:spacing w:after="0"/>
      </w:pPr>
      <w:r>
        <w:t xml:space="preserve">where the value of </w:t>
      </w:r>
      <m:oMath>
        <m:r>
          <w:rPr>
            <w:rFonts w:ascii="Cambria Math" w:hAnsi="Cambria Math"/>
          </w:rPr>
          <m:t>α</m:t>
        </m:r>
      </m:oMath>
      <w:r>
        <w:t xml:space="preserve"> is solved for numerically so that if </w:t>
      </w:r>
      <m:oMath>
        <m:sSub>
          <m:sSubPr>
            <m:ctrlPr>
              <w:rPr>
                <w:rFonts w:ascii="Cambria Math" w:hAnsi="Cambria Math"/>
                <w:i/>
              </w:rPr>
            </m:ctrlPr>
          </m:sSubPr>
          <m:e>
            <m:r>
              <w:rPr>
                <w:rFonts w:ascii="Cambria Math" w:hAnsi="Cambria Math"/>
              </w:rPr>
              <m:t>n</m:t>
            </m:r>
          </m:e>
          <m:sub>
            <m:r>
              <w:rPr>
                <w:rFonts w:ascii="Cambria Math" w:hAnsi="Cambria Math"/>
              </w:rPr>
              <m:t>i</m:t>
            </m:r>
          </m:sub>
        </m:sSub>
      </m:oMath>
      <w:r>
        <w:t xml:space="preserve"> survey invitations are sent to tract </w:t>
      </w:r>
      <m:oMath>
        <m:r>
          <w:rPr>
            <w:rFonts w:ascii="Cambria Math" w:hAnsi="Cambria Math"/>
          </w:rPr>
          <m:t>i</m:t>
        </m:r>
      </m:oMath>
      <w:r>
        <w:t xml:space="preserve">, the total number of responses </w:t>
      </w:r>
      <m:oMath>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n</m:t>
                </m:r>
              </m:e>
              <m:sub>
                <m:r>
                  <w:rPr>
                    <w:rFonts w:ascii="Cambria Math" w:hAnsi="Cambria Math"/>
                  </w:rPr>
                  <m:t>j</m:t>
                </m:r>
              </m:sub>
            </m:sSub>
            <m:sSub>
              <m:sSubPr>
                <m:ctrlPr>
                  <w:rPr>
                    <w:rFonts w:ascii="Cambria Math" w:hAnsi="Cambria Math"/>
                    <w:i/>
                  </w:rPr>
                </m:ctrlPr>
              </m:sSubPr>
              <m:e>
                <m:r>
                  <w:rPr>
                    <w:rFonts w:ascii="Cambria Math" w:hAnsi="Cambria Math"/>
                  </w:rPr>
                  <m:t>r</m:t>
                </m:r>
              </m:e>
              <m:sub>
                <m:r>
                  <w:rPr>
                    <w:rFonts w:ascii="Cambria Math" w:hAnsi="Cambria Math"/>
                  </w:rPr>
                  <m:t>j</m:t>
                </m:r>
              </m:sub>
            </m:sSub>
          </m:e>
        </m:nary>
      </m:oMath>
      <w:r>
        <w:t xml:space="preserve"> is approximately 1,243 per </w:t>
      </w:r>
      <w:r w:rsidR="00FB3421">
        <w:t>S</w:t>
      </w:r>
      <w:r>
        <w:t xml:space="preserve">tate, as specified in </w:t>
      </w:r>
      <w:r w:rsidR="00F760C3">
        <w:t xml:space="preserve">the </w:t>
      </w:r>
      <w:r>
        <w:t xml:space="preserve">power analysis of Section B.2.c. The value of </w:t>
      </w:r>
      <m:oMath>
        <m:r>
          <w:rPr>
            <w:rFonts w:ascii="Cambria Math" w:hAnsi="Cambria Math"/>
          </w:rPr>
          <m:t>β</m:t>
        </m:r>
      </m:oMath>
      <w:r>
        <w:t xml:space="preserve"> is set to 0.6 to reduce the variability of the anticipated </w:t>
      </w:r>
      <w:r w:rsidRPr="009C4A5D">
        <w:t>response rates</w:t>
      </w:r>
      <w:r w:rsidRPr="009C4A5D" w:rsidR="00042794">
        <w:t>,</w:t>
      </w:r>
      <w:r w:rsidRPr="009C4A5D" w:rsidR="0036329C">
        <w:t xml:space="preserve"> </w:t>
      </w:r>
      <w:r w:rsidRPr="009C4A5D">
        <w:t xml:space="preserve">and thus producing a somewhat more conservative design closer to the simple </w:t>
      </w:r>
      <w:r w:rsidRPr="009C4A5D">
        <w:lastRenderedPageBreak/>
        <w:t>random sample, mitigating the risk of the differential response rate assumptions being inaccurate. The resulting range of group-specific response rates between 6% and 10% from the worst to the best responding population groups is typical for general population surveys.</w:t>
      </w:r>
      <w:r w:rsidRPr="009C4A5D" w:rsidR="00FB3421">
        <w:t xml:space="preserve"> </w:t>
      </w:r>
      <w:bookmarkEnd w:id="7"/>
      <w:r w:rsidRPr="009C4A5D" w:rsidR="00003457">
        <w:t>For instance, the 2020 Behavioral Risk Factor Surveillance System data</w:t>
      </w:r>
      <w:r w:rsidRPr="000828E3" w:rsidR="00003457">
        <w:rPr>
          <w:szCs w:val="32"/>
        </w:rPr>
        <w:footnoteReference w:id="12"/>
      </w:r>
      <w:r w:rsidRPr="009C4A5D" w:rsidR="00003457">
        <w:t xml:space="preserve"> provide both the design weight and the final weight, thus making it possible to derive raking ratio nonresponse adjustments.</w:t>
      </w:r>
      <w:r w:rsidRPr="000828E3" w:rsidR="00003457">
        <w:rPr>
          <w:szCs w:val="32"/>
        </w:rPr>
        <w:footnoteReference w:id="13"/>
      </w:r>
      <w:r w:rsidRPr="009C4A5D" w:rsidR="00003457">
        <w:t xml:space="preserve"> The average raking ratio adjustment for respondents</w:t>
      </w:r>
      <w:r w:rsidR="00003457">
        <w:t xml:space="preserve"> with a less-than-high-school education was 16.4, while that for college graduates was 5.8—a nearly threefold difference in relative response rates. The differences in raking ratio adjustments by race were smaller—e.g., average raking ratio of 8.0 for non-Hispanic Whites vs. 11.6 for non-Hispanic Blacks vs. 10.0 for Hispanics, indicating about 45% difference in group-wise response rates. Within strata, </w:t>
      </w:r>
      <w:r w:rsidRPr="004D3B84" w:rsidR="00003457">
        <w:t xml:space="preserve">households will be randomly selected </w:t>
      </w:r>
      <w:r w:rsidR="00003457">
        <w:t>with</w:t>
      </w:r>
      <w:r w:rsidRPr="004D3B84" w:rsidR="00003457">
        <w:t xml:space="preserve"> equal selection probabilities within </w:t>
      </w:r>
      <w:r w:rsidR="00003457">
        <w:t>the sampling</w:t>
      </w:r>
      <w:r w:rsidRPr="004D3B84" w:rsidR="00003457">
        <w:t xml:space="preserve"> strata</w:t>
      </w:r>
      <w:r w:rsidR="00003457">
        <w:t xml:space="preserve"> described above in Table 1.</w:t>
      </w:r>
      <w:r w:rsidRPr="004D3B84" w:rsidR="00003457">
        <w:t xml:space="preserve"> </w:t>
      </w:r>
      <w:r w:rsidR="00003457">
        <w:t>Additional gains in achieving a more balanced representation of the population will be achieved by using</w:t>
      </w:r>
      <w:r w:rsidRPr="004D3B84" w:rsidR="00003457">
        <w:t xml:space="preserve"> systematic sampling within strata</w:t>
      </w:r>
      <w:r w:rsidR="00003457">
        <w:t>. The commercial sample providers can be instructed to sort the frame by the available data relevant for the project</w:t>
      </w:r>
      <w:r w:rsidR="009C4A5D">
        <w:t>—</w:t>
      </w:r>
      <w:r w:rsidR="00003457">
        <w:t>such as zip code, household size, number of vehicles, and household income where available</w:t>
      </w:r>
      <w:r w:rsidR="009C4A5D">
        <w:t>—</w:t>
      </w:r>
      <w:r w:rsidR="00003457">
        <w:t>before the sample draw is made</w:t>
      </w:r>
      <w:r w:rsidRPr="004D3B84" w:rsidR="00003457">
        <w:t>.</w:t>
      </w:r>
      <w:r w:rsidR="00003457">
        <w:t xml:space="preserve"> The necessary sampling intervals are determined by the sample providers</w:t>
      </w:r>
      <w:r w:rsidR="009C4A5D">
        <w:t>,</w:t>
      </w:r>
      <w:r w:rsidR="00003457">
        <w:t xml:space="preserve"> based on the available number of records.</w:t>
      </w:r>
    </w:p>
    <w:p w:rsidR="00730BA8" w:rsidP="00FB3421" w:rsidRDefault="00730BA8" w14:paraId="00E26D08" w14:textId="77777777">
      <w:pPr>
        <w:spacing w:after="0"/>
      </w:pPr>
    </w:p>
    <w:p w:rsidRPr="00730BA8" w:rsidR="00730BA8" w:rsidP="00730BA8" w:rsidRDefault="00730BA8" w14:paraId="5EC6F9EF" w14:textId="36DE80DA">
      <w:pPr>
        <w:rPr>
          <w:u w:val="single"/>
        </w:rPr>
      </w:pPr>
      <w:r w:rsidRPr="00730BA8">
        <w:rPr>
          <w:u w:val="single"/>
        </w:rPr>
        <w:t xml:space="preserve">B.1.b.3. </w:t>
      </w:r>
      <w:r w:rsidR="004E5244">
        <w:rPr>
          <w:u w:val="single"/>
        </w:rPr>
        <w:tab/>
      </w:r>
      <w:r w:rsidRPr="00730BA8">
        <w:rPr>
          <w:u w:val="single"/>
        </w:rPr>
        <w:t>Within-Household Selection</w:t>
      </w:r>
    </w:p>
    <w:p w:rsidR="00730BA8" w:rsidP="00730BA8" w:rsidRDefault="00730BA8" w14:paraId="1256629C" w14:textId="400B0FAF">
      <w:pPr>
        <w:pStyle w:val="BodyText"/>
        <w:spacing w:before="120"/>
      </w:pPr>
      <w:r w:rsidRPr="0072092F">
        <w:t>A number of respondent selection methods have been tested for ABS mail surveys, including for the Behavioral Risk Factor Surveillance System (BRFSS).</w:t>
      </w:r>
      <w:r>
        <w:footnoteReference w:id="14"/>
      </w:r>
      <w:r w:rsidRPr="0072092F">
        <w:t xml:space="preserve"> </w:t>
      </w:r>
      <w:r>
        <w:t>Although p</w:t>
      </w:r>
      <w:r w:rsidRPr="0072092F">
        <w:t xml:space="preserve">ast studies have </w:t>
      </w:r>
      <w:r>
        <w:t>indicated</w:t>
      </w:r>
      <w:r w:rsidRPr="0072092F">
        <w:t xml:space="preserve"> </w:t>
      </w:r>
      <w:r>
        <w:t xml:space="preserve">a tendency for the wrong person to complete the survey when applying </w:t>
      </w:r>
      <w:r w:rsidRPr="0072092F">
        <w:t>birthday methods of within-household selection</w:t>
      </w:r>
      <w:r w:rsidR="0019542B">
        <w:t>,</w:t>
      </w:r>
      <w:r w:rsidRPr="003D0BF7">
        <w:footnoteReference w:id="15"/>
      </w:r>
      <w:r>
        <w:t xml:space="preserve"> a recent evaluation of </w:t>
      </w:r>
      <w:r w:rsidRPr="0072092F">
        <w:t>birthday select</w:t>
      </w:r>
      <w:r>
        <w:t>ion methods for ABS surveys found a</w:t>
      </w:r>
      <w:r w:rsidRPr="0072092F">
        <w:t xml:space="preserve"> </w:t>
      </w:r>
      <w:r>
        <w:t xml:space="preserve">small </w:t>
      </w:r>
      <w:r w:rsidRPr="0072092F">
        <w:t>degree of self-selection in larger households</w:t>
      </w:r>
      <w:r>
        <w:t>;</w:t>
      </w:r>
      <w:r w:rsidRPr="0072092F">
        <w:t xml:space="preserve"> </w:t>
      </w:r>
      <w:r>
        <w:t>h</w:t>
      </w:r>
      <w:r w:rsidRPr="0072092F">
        <w:t>owever, the impact on the substantive estimates was small.</w:t>
      </w:r>
      <w:r w:rsidRPr="003D0BF7">
        <w:footnoteReference w:id="16"/>
      </w:r>
      <w:r w:rsidRPr="0072092F">
        <w:t xml:space="preserve"> Considering the low impact of the overall estimates and the simplicity of implementing the birthday methods, we </w:t>
      </w:r>
      <w:r>
        <w:t>will</w:t>
      </w:r>
      <w:r w:rsidRPr="0072092F">
        <w:t xml:space="preserve"> select the adult within the household who has the next birthday to </w:t>
      </w:r>
      <w:r>
        <w:t>complete</w:t>
      </w:r>
      <w:r w:rsidRPr="0072092F">
        <w:t xml:space="preserve"> the survey</w:t>
      </w:r>
      <w:r>
        <w:t xml:space="preserve"> (as opposed to the last birthday or a split next/last sample)</w:t>
      </w:r>
      <w:r w:rsidRPr="0072092F">
        <w:t>. The within-household selection instructions will be included in all contacts with the household.</w:t>
      </w:r>
    </w:p>
    <w:p w:rsidRPr="004F4783" w:rsidR="005851C6" w:rsidP="005851C6" w:rsidRDefault="005851C6" w14:paraId="662C6F98" w14:textId="77777777">
      <w:pPr>
        <w:widowControl w:val="0"/>
        <w:autoSpaceDE w:val="0"/>
        <w:autoSpaceDN w:val="0"/>
        <w:adjustRightInd w:val="0"/>
        <w:rPr>
          <w:u w:val="single"/>
        </w:rPr>
      </w:pPr>
      <w:r w:rsidRPr="004F4783">
        <w:rPr>
          <w:u w:val="single"/>
        </w:rPr>
        <w:t>B.1.</w:t>
      </w:r>
      <w:r>
        <w:rPr>
          <w:u w:val="single"/>
        </w:rPr>
        <w:t>c</w:t>
      </w:r>
      <w:r w:rsidRPr="004F4783">
        <w:rPr>
          <w:u w:val="single"/>
        </w:rPr>
        <w:t>.</w:t>
      </w:r>
      <w:r w:rsidRPr="004F4783">
        <w:rPr>
          <w:u w:val="single"/>
        </w:rPr>
        <w:tab/>
        <w:t>Response Rate</w:t>
      </w:r>
    </w:p>
    <w:p w:rsidR="005851C6" w:rsidP="005851C6" w:rsidRDefault="005851C6" w14:paraId="24B05DBD" w14:textId="3260DDCB">
      <w:pPr>
        <w:pStyle w:val="BodyText"/>
      </w:pPr>
      <w:r>
        <w:t xml:space="preserve">In the preceding section we discuss how we derived the </w:t>
      </w:r>
      <w:r w:rsidRPr="005851C6">
        <w:t>projected sample sizes and anticipated number and rate of response</w:t>
      </w:r>
      <w:r>
        <w:t xml:space="preserve">, by basing calculations on the </w:t>
      </w:r>
      <w:r w:rsidR="00CF5562">
        <w:t>PDB</w:t>
      </w:r>
      <w:r w:rsidRPr="005851C6">
        <w:t>’s Low Response Score</w:t>
      </w:r>
      <w:r>
        <w:t>, as shown in Table 1</w:t>
      </w:r>
      <w:r w:rsidRPr="005851C6">
        <w:t>.</w:t>
      </w:r>
      <w:r>
        <w:t xml:space="preserve"> For Florida and Pennsylvania, we propose using an outgoing sample of 16,730</w:t>
      </w:r>
      <w:r w:rsidR="000B2D05">
        <w:t xml:space="preserve"> each and </w:t>
      </w:r>
      <w:r>
        <w:t xml:space="preserve">anticipate receiving 1,243 completed survey responses </w:t>
      </w:r>
      <w:r w:rsidR="000B2D05">
        <w:t xml:space="preserve">from each State, leading to </w:t>
      </w:r>
      <w:r>
        <w:t>an overall response rate of 7.43</w:t>
      </w:r>
      <w:r w:rsidR="000B2D05">
        <w:t>%.</w:t>
      </w:r>
    </w:p>
    <w:p w:rsidRPr="003A1B09" w:rsidR="003A1B09" w:rsidP="000B2D05" w:rsidRDefault="00B16E25" w14:paraId="7ABCC54E" w14:textId="39A6B0DC">
      <w:pPr>
        <w:pStyle w:val="Heading1"/>
        <w:keepNext w:val="0"/>
        <w:widowControl/>
        <w:tabs>
          <w:tab w:val="clear" w:pos="1800"/>
          <w:tab w:val="left" w:pos="1080"/>
        </w:tabs>
        <w:spacing w:before="240" w:after="0"/>
        <w:ind w:left="720" w:hanging="720"/>
        <w:rPr>
          <w:rFonts w:hint="eastAsia"/>
        </w:rPr>
      </w:pPr>
      <w:r w:rsidRPr="003A1B09">
        <w:lastRenderedPageBreak/>
        <w:t>B.2.</w:t>
      </w:r>
      <w:r w:rsidR="00B62D25">
        <w:tab/>
      </w:r>
      <w:r w:rsidRPr="003A1B09">
        <w:t>Describe the procedures for the col</w:t>
      </w:r>
      <w:r w:rsidRPr="003A1B09" w:rsidR="0040015A">
        <w:t>l</w:t>
      </w:r>
      <w:r w:rsidRPr="003A1B09">
        <w:t>ection of information</w:t>
      </w:r>
      <w:r w:rsidRPr="003A1B09" w:rsidR="003A1B09">
        <w:t xml:space="preserve"> including:</w:t>
      </w:r>
    </w:p>
    <w:p w:rsidRPr="003A1B09" w:rsidR="00B16E25" w:rsidP="005851C6" w:rsidRDefault="003A1B09" w14:paraId="3F017CDD" w14:textId="39E85273">
      <w:pPr>
        <w:pStyle w:val="Heading2"/>
        <w:ind w:left="720"/>
      </w:pPr>
      <w:r w:rsidRPr="003A1B09">
        <w:t>Statistical methodology for stratification and sample selection</w:t>
      </w:r>
      <w:r w:rsidRPr="003A1B09" w:rsidR="00B16E25">
        <w:t>.</w:t>
      </w:r>
    </w:p>
    <w:p w:rsidRPr="005851C6" w:rsidR="002016DA" w:rsidP="000B2D05" w:rsidRDefault="002016DA" w14:paraId="0DED6C9A" w14:textId="002FE552">
      <w:pPr>
        <w:widowControl w:val="0"/>
        <w:autoSpaceDE w:val="0"/>
        <w:autoSpaceDN w:val="0"/>
        <w:adjustRightInd w:val="0"/>
        <w:spacing w:before="120"/>
        <w:ind w:left="360" w:hanging="360"/>
        <w:rPr>
          <w:u w:val="single"/>
        </w:rPr>
      </w:pPr>
      <w:r w:rsidRPr="005851C6">
        <w:rPr>
          <w:u w:val="single"/>
        </w:rPr>
        <w:t>B.2.a.</w:t>
      </w:r>
      <w:r w:rsidRPr="005851C6" w:rsidR="005851C6">
        <w:rPr>
          <w:u w:val="single"/>
        </w:rPr>
        <w:tab/>
      </w:r>
      <w:r w:rsidRPr="005851C6">
        <w:rPr>
          <w:u w:val="single"/>
        </w:rPr>
        <w:t>Procedures for Collection of Information</w:t>
      </w:r>
    </w:p>
    <w:p w:rsidR="000B2D05" w:rsidP="000B2D05" w:rsidRDefault="000B2D05" w14:paraId="19CD5623" w14:textId="50214E60">
      <w:r>
        <w:t xml:space="preserve">The Contractor, FMG, will select a stratified random sample of </w:t>
      </w:r>
      <w:r w:rsidR="00937180">
        <w:t xml:space="preserve">households from the DSF for </w:t>
      </w:r>
      <w:r>
        <w:t xml:space="preserve">Florida and </w:t>
      </w:r>
      <w:r w:rsidR="00937180">
        <w:t xml:space="preserve">a stratified random sample of households from the DSF for </w:t>
      </w:r>
      <w:r>
        <w:t>Pennsylvania</w:t>
      </w:r>
      <w:r w:rsidR="00937180">
        <w:t>.</w:t>
      </w:r>
      <w:r>
        <w:t xml:space="preserve"> </w:t>
      </w:r>
      <w:r w:rsidR="00937180">
        <w:t xml:space="preserve">The procedures include a set of household contacts (“waves”) to inform households of the project purpose and sponsor and provide instructions for completing the survey. Table 2 lists the contact waves. In the first wave, FMG will mail postcards that briefly introduce the survey project to the selected households and request participation. </w:t>
      </w:r>
      <w:r w:rsidR="000805C9">
        <w:t xml:space="preserve">Next, </w:t>
      </w:r>
      <w:r w:rsidR="00D2321B">
        <w:t xml:space="preserve">in Wave 2, </w:t>
      </w:r>
      <w:r w:rsidR="000805C9">
        <w:t xml:space="preserve">an invitation letter </w:t>
      </w:r>
      <w:r w:rsidR="00C72E22">
        <w:t xml:space="preserve">will be sent </w:t>
      </w:r>
      <w:r w:rsidR="000805C9">
        <w:t xml:space="preserve">with </w:t>
      </w:r>
      <w:r w:rsidR="00937180">
        <w:t>instructions for completing the survey online</w:t>
      </w:r>
      <w:r w:rsidR="000805C9">
        <w:t xml:space="preserve">. </w:t>
      </w:r>
      <w:r w:rsidR="00D2321B">
        <w:t>As t</w:t>
      </w:r>
      <w:r w:rsidR="00937180">
        <w:t xml:space="preserve">he survey will use the next birthday method for random selection of one respondent aged 18 or over from </w:t>
      </w:r>
      <w:r w:rsidR="00D2321B">
        <w:t>a</w:t>
      </w:r>
      <w:r w:rsidR="00937180">
        <w:t xml:space="preserve"> household, the first letter </w:t>
      </w:r>
      <w:r w:rsidR="00D2321B">
        <w:t xml:space="preserve">also provides </w:t>
      </w:r>
      <w:r w:rsidR="00937180">
        <w:t xml:space="preserve">instructions for respondents to follow the “next birthday” method. </w:t>
      </w:r>
    </w:p>
    <w:p w:rsidR="000B2D05" w:rsidP="00D2321B" w:rsidRDefault="000B2D05" w14:paraId="4C1E391A" w14:textId="0995BF12">
      <w:pPr>
        <w:spacing w:after="240"/>
      </w:pPr>
      <w:r>
        <w:t>Web response is NHTSA’s preferred method for the survey. Therefore, the survey will initially offer only a web response mode</w:t>
      </w:r>
      <w:r w:rsidR="00D2321B">
        <w:t xml:space="preserve"> for the selected household member; the le</w:t>
      </w:r>
      <w:r w:rsidR="00264628">
        <w:t>tt</w:t>
      </w:r>
      <w:r w:rsidR="00D2321B">
        <w:t xml:space="preserve">er will provide </w:t>
      </w:r>
      <w:r w:rsidRPr="004D3B84" w:rsidR="00D2321B">
        <w:t>a secure, encrypted web link (</w:t>
      </w:r>
      <w:r w:rsidR="00D2321B">
        <w:t xml:space="preserve">using </w:t>
      </w:r>
      <w:r w:rsidRPr="004D3B84" w:rsidR="00D2321B">
        <w:t xml:space="preserve">https://) </w:t>
      </w:r>
      <w:r>
        <w:t xml:space="preserve">to </w:t>
      </w:r>
      <w:r w:rsidR="00D2321B">
        <w:t>access</w:t>
      </w:r>
      <w:r>
        <w:t xml:space="preserve"> the survey. </w:t>
      </w:r>
      <w:r w:rsidRPr="004D3B84" w:rsidR="00D2321B">
        <w:t xml:space="preserve">In all cases, sampled households will receive their own non-sequential alphanumeric </w:t>
      </w:r>
      <w:r w:rsidR="00AC110B">
        <w:t>U</w:t>
      </w:r>
      <w:r w:rsidRPr="004D3B84" w:rsidR="00D2321B">
        <w:t xml:space="preserve">ser ID granting them controlled access to the survey. </w:t>
      </w:r>
      <w:r w:rsidR="00AC110B">
        <w:t xml:space="preserve">This unique User ID </w:t>
      </w:r>
      <w:r w:rsidR="00D2321B">
        <w:t xml:space="preserve">enables FMG to </w:t>
      </w:r>
      <w:r>
        <w:t xml:space="preserve">track whether someone from a household completed the survey. For those </w:t>
      </w:r>
      <w:r w:rsidR="00D2321B">
        <w:t xml:space="preserve">who </w:t>
      </w:r>
      <w:r>
        <w:t xml:space="preserve">do not respond, </w:t>
      </w:r>
      <w:r w:rsidR="00D2321B">
        <w:t xml:space="preserve">FMG will mail a </w:t>
      </w:r>
      <w:r>
        <w:t xml:space="preserve">series of additional contact waves </w:t>
      </w:r>
      <w:r w:rsidR="00D2321B">
        <w:t xml:space="preserve">as reminders of the web survey and to </w:t>
      </w:r>
      <w:r>
        <w:t xml:space="preserve">add </w:t>
      </w:r>
      <w:r w:rsidR="00D2321B">
        <w:t xml:space="preserve">a paper </w:t>
      </w:r>
      <w:r>
        <w:t xml:space="preserve">alternative. Households that </w:t>
      </w:r>
      <w:r w:rsidR="00C3605B">
        <w:t xml:space="preserve">provide a completed response </w:t>
      </w:r>
      <w:r>
        <w:t xml:space="preserve">will be removed from subsequent contacts. </w:t>
      </w:r>
    </w:p>
    <w:p w:rsidRPr="009744ED" w:rsidR="00D2321B" w:rsidP="00AC110B" w:rsidRDefault="00D2321B" w14:paraId="311A9777" w14:textId="42D9EE20">
      <w:pPr>
        <w:pStyle w:val="Caption"/>
        <w:keepNext/>
        <w:spacing w:after="120"/>
        <w:rPr>
          <w:b/>
          <w:bCs/>
          <w:i w:val="0"/>
          <w:iCs w:val="0"/>
          <w:color w:val="auto"/>
          <w:sz w:val="24"/>
          <w:szCs w:val="24"/>
        </w:rPr>
      </w:pPr>
      <w:r w:rsidRPr="009744ED">
        <w:rPr>
          <w:b/>
          <w:bCs/>
          <w:i w:val="0"/>
          <w:iCs w:val="0"/>
          <w:color w:val="auto"/>
          <w:sz w:val="24"/>
          <w:szCs w:val="24"/>
        </w:rPr>
        <w:t xml:space="preserve">Table </w:t>
      </w:r>
      <w:r w:rsidRPr="009744ED">
        <w:rPr>
          <w:b/>
          <w:bCs/>
          <w:i w:val="0"/>
          <w:iCs w:val="0"/>
          <w:color w:val="auto"/>
          <w:sz w:val="24"/>
          <w:szCs w:val="24"/>
        </w:rPr>
        <w:fldChar w:fldCharType="begin"/>
      </w:r>
      <w:r w:rsidRPr="009744ED">
        <w:rPr>
          <w:b/>
          <w:bCs/>
          <w:i w:val="0"/>
          <w:iCs w:val="0"/>
          <w:color w:val="auto"/>
          <w:sz w:val="24"/>
          <w:szCs w:val="24"/>
        </w:rPr>
        <w:instrText xml:space="preserve"> SEQ Table \* ARABIC </w:instrText>
      </w:r>
      <w:r w:rsidRPr="009744ED">
        <w:rPr>
          <w:b/>
          <w:bCs/>
          <w:i w:val="0"/>
          <w:iCs w:val="0"/>
          <w:color w:val="auto"/>
          <w:sz w:val="24"/>
          <w:szCs w:val="24"/>
        </w:rPr>
        <w:fldChar w:fldCharType="separate"/>
      </w:r>
      <w:r w:rsidR="00CF5562">
        <w:rPr>
          <w:b/>
          <w:bCs/>
          <w:i w:val="0"/>
          <w:iCs w:val="0"/>
          <w:noProof/>
          <w:color w:val="auto"/>
          <w:sz w:val="24"/>
          <w:szCs w:val="24"/>
        </w:rPr>
        <w:t>2</w:t>
      </w:r>
      <w:r w:rsidRPr="009744ED">
        <w:rPr>
          <w:b/>
          <w:bCs/>
          <w:i w:val="0"/>
          <w:iCs w:val="0"/>
          <w:color w:val="auto"/>
          <w:sz w:val="24"/>
          <w:szCs w:val="24"/>
        </w:rPr>
        <w:fldChar w:fldCharType="end"/>
      </w:r>
      <w:r w:rsidR="004E5244">
        <w:rPr>
          <w:b/>
          <w:bCs/>
          <w:i w:val="0"/>
          <w:iCs w:val="0"/>
          <w:color w:val="auto"/>
          <w:sz w:val="24"/>
          <w:szCs w:val="24"/>
        </w:rPr>
        <w:t>.</w:t>
      </w:r>
      <w:r w:rsidRPr="009744ED">
        <w:rPr>
          <w:b/>
          <w:bCs/>
          <w:i w:val="0"/>
          <w:iCs w:val="0"/>
          <w:color w:val="auto"/>
          <w:sz w:val="24"/>
          <w:szCs w:val="24"/>
        </w:rPr>
        <w:t xml:space="preserve"> Motorcycle Awareness Survey Contact Protocol</w:t>
      </w:r>
    </w:p>
    <w:tbl>
      <w:tblPr>
        <w:tblStyle w:val="GridTable1Light"/>
        <w:tblW w:w="8928" w:type="dxa"/>
        <w:tblLayout w:type="fixed"/>
        <w:tblLook w:val="0620" w:firstRow="1" w:lastRow="0" w:firstColumn="0" w:lastColumn="0" w:noHBand="1" w:noVBand="1"/>
      </w:tblPr>
      <w:tblGrid>
        <w:gridCol w:w="805"/>
        <w:gridCol w:w="2970"/>
        <w:gridCol w:w="5153"/>
      </w:tblGrid>
      <w:tr w:rsidRPr="00C64D8E" w:rsidR="00C64D8E" w:rsidTr="000B5BF5" w14:paraId="0A593110" w14:textId="77777777">
        <w:trPr>
          <w:cnfStyle w:val="100000000000" w:firstRow="1" w:lastRow="0" w:firstColumn="0" w:lastColumn="0" w:oddVBand="0" w:evenVBand="0" w:oddHBand="0" w:evenHBand="0" w:firstRowFirstColumn="0" w:firstRowLastColumn="0" w:lastRowFirstColumn="0" w:lastRowLastColumn="0"/>
          <w:trHeight w:val="288"/>
        </w:trPr>
        <w:tc>
          <w:tcPr>
            <w:tcW w:w="805" w:type="dxa"/>
            <w:noWrap/>
          </w:tcPr>
          <w:p w:rsidRPr="000B5BF5" w:rsidR="00C64D8E" w:rsidP="00C64D8E" w:rsidRDefault="00C64D8E" w14:paraId="53B7B6DE" w14:textId="77777777">
            <w:pPr>
              <w:spacing w:after="0"/>
              <w:jc w:val="center"/>
              <w:rPr>
                <w:sz w:val="22"/>
                <w:szCs w:val="22"/>
              </w:rPr>
            </w:pPr>
            <w:r w:rsidRPr="000B5BF5">
              <w:rPr>
                <w:sz w:val="22"/>
                <w:szCs w:val="22"/>
              </w:rPr>
              <w:t>Wave</w:t>
            </w:r>
          </w:p>
        </w:tc>
        <w:tc>
          <w:tcPr>
            <w:tcW w:w="2970" w:type="dxa"/>
          </w:tcPr>
          <w:p w:rsidRPr="000B5BF5" w:rsidR="00C64D8E" w:rsidP="00C64D8E" w:rsidRDefault="00C64D8E" w14:paraId="49EF4C39" w14:textId="706391C6">
            <w:pPr>
              <w:spacing w:after="0"/>
              <w:jc w:val="center"/>
              <w:rPr>
                <w:sz w:val="22"/>
                <w:szCs w:val="22"/>
              </w:rPr>
            </w:pPr>
            <w:r w:rsidRPr="000B5BF5">
              <w:rPr>
                <w:sz w:val="22"/>
                <w:szCs w:val="22"/>
              </w:rPr>
              <w:t>Mode</w:t>
            </w:r>
          </w:p>
        </w:tc>
        <w:tc>
          <w:tcPr>
            <w:tcW w:w="5153" w:type="dxa"/>
          </w:tcPr>
          <w:p w:rsidRPr="000B5BF5" w:rsidR="00C64D8E" w:rsidP="00C64D8E" w:rsidRDefault="00C64D8E" w14:paraId="7C4BFDEC" w14:textId="77777777">
            <w:pPr>
              <w:spacing w:after="0"/>
              <w:jc w:val="center"/>
              <w:rPr>
                <w:sz w:val="22"/>
                <w:szCs w:val="22"/>
              </w:rPr>
            </w:pPr>
            <w:r w:rsidRPr="000B5BF5">
              <w:rPr>
                <w:sz w:val="22"/>
                <w:szCs w:val="22"/>
              </w:rPr>
              <w:t>Contents</w:t>
            </w:r>
          </w:p>
        </w:tc>
      </w:tr>
      <w:tr w:rsidRPr="00C64D8E" w:rsidR="00C64D8E" w:rsidTr="000B5BF5" w14:paraId="48987117" w14:textId="77777777">
        <w:trPr>
          <w:trHeight w:val="620"/>
        </w:trPr>
        <w:tc>
          <w:tcPr>
            <w:tcW w:w="805" w:type="dxa"/>
            <w:noWrap/>
            <w:hideMark/>
          </w:tcPr>
          <w:p w:rsidRPr="00C64D8E" w:rsidR="00C64D8E" w:rsidP="00C64D8E" w:rsidRDefault="00C64D8E" w14:paraId="1ABBDCB3" w14:textId="77777777">
            <w:pPr>
              <w:spacing w:after="0"/>
              <w:jc w:val="center"/>
              <w:rPr>
                <w:sz w:val="20"/>
                <w:szCs w:val="20"/>
              </w:rPr>
            </w:pPr>
            <w:r w:rsidRPr="00C64D8E">
              <w:rPr>
                <w:sz w:val="20"/>
                <w:szCs w:val="20"/>
              </w:rPr>
              <w:t>1</w:t>
            </w:r>
          </w:p>
        </w:tc>
        <w:tc>
          <w:tcPr>
            <w:tcW w:w="2970" w:type="dxa"/>
          </w:tcPr>
          <w:p w:rsidRPr="00C64D8E" w:rsidR="00C64D8E" w:rsidP="00C64D8E" w:rsidRDefault="00C64D8E" w14:paraId="340E871C" w14:textId="666BEE01">
            <w:pPr>
              <w:spacing w:after="0"/>
              <w:rPr>
                <w:sz w:val="20"/>
                <w:szCs w:val="20"/>
              </w:rPr>
            </w:pPr>
            <w:r w:rsidRPr="00C64D8E">
              <w:rPr>
                <w:sz w:val="20"/>
                <w:szCs w:val="20"/>
              </w:rPr>
              <w:t>Post card</w:t>
            </w:r>
            <w:r w:rsidR="00FC0A67">
              <w:rPr>
                <w:sz w:val="20"/>
                <w:szCs w:val="20"/>
              </w:rPr>
              <w:t xml:space="preserve"> to</w:t>
            </w:r>
            <w:r w:rsidRPr="00C64D8E">
              <w:rPr>
                <w:sz w:val="20"/>
                <w:szCs w:val="20"/>
              </w:rPr>
              <w:t xml:space="preserve"> serve notice of selection</w:t>
            </w:r>
          </w:p>
        </w:tc>
        <w:tc>
          <w:tcPr>
            <w:tcW w:w="5153" w:type="dxa"/>
            <w:hideMark/>
          </w:tcPr>
          <w:p w:rsidRPr="00C64D8E" w:rsidR="00C64D8E" w:rsidP="00C64D8E" w:rsidRDefault="00C64D8E" w14:paraId="2C620CF9" w14:textId="67695696">
            <w:pPr>
              <w:spacing w:after="0"/>
              <w:rPr>
                <w:sz w:val="20"/>
                <w:szCs w:val="20"/>
              </w:rPr>
            </w:pPr>
            <w:r w:rsidRPr="00C64D8E">
              <w:rPr>
                <w:sz w:val="20"/>
                <w:szCs w:val="20"/>
              </w:rPr>
              <w:t xml:space="preserve">Serves notice of selection and forthcoming instructions; explains the rationale of the survey </w:t>
            </w:r>
          </w:p>
        </w:tc>
      </w:tr>
      <w:tr w:rsidRPr="00C64D8E" w:rsidR="00C64D8E" w:rsidTr="000B5BF5" w14:paraId="7E947151" w14:textId="77777777">
        <w:trPr>
          <w:trHeight w:val="288"/>
        </w:trPr>
        <w:tc>
          <w:tcPr>
            <w:tcW w:w="805" w:type="dxa"/>
            <w:noWrap/>
          </w:tcPr>
          <w:p w:rsidRPr="00C64D8E" w:rsidR="00C64D8E" w:rsidP="00C64D8E" w:rsidRDefault="00C64D8E" w14:paraId="1B3767E2" w14:textId="77777777">
            <w:pPr>
              <w:spacing w:after="0"/>
              <w:jc w:val="center"/>
              <w:rPr>
                <w:sz w:val="20"/>
                <w:szCs w:val="20"/>
              </w:rPr>
            </w:pPr>
            <w:r w:rsidRPr="00C64D8E">
              <w:rPr>
                <w:sz w:val="20"/>
                <w:szCs w:val="20"/>
              </w:rPr>
              <w:t>2</w:t>
            </w:r>
          </w:p>
        </w:tc>
        <w:tc>
          <w:tcPr>
            <w:tcW w:w="2970" w:type="dxa"/>
          </w:tcPr>
          <w:p w:rsidRPr="00C64D8E" w:rsidR="00C64D8E" w:rsidP="00C64D8E" w:rsidRDefault="00C64D8E" w14:paraId="37990B7D" w14:textId="6B466BFE">
            <w:pPr>
              <w:spacing w:after="0"/>
              <w:rPr>
                <w:sz w:val="20"/>
                <w:szCs w:val="20"/>
              </w:rPr>
            </w:pPr>
            <w:r w:rsidRPr="00C64D8E">
              <w:rPr>
                <w:sz w:val="20"/>
                <w:szCs w:val="20"/>
              </w:rPr>
              <w:t>Invitation letter</w:t>
            </w:r>
            <w:r w:rsidR="00FC0A67">
              <w:rPr>
                <w:sz w:val="20"/>
                <w:szCs w:val="20"/>
              </w:rPr>
              <w:t xml:space="preserve"> with </w:t>
            </w:r>
            <w:r w:rsidRPr="00C64D8E">
              <w:rPr>
                <w:sz w:val="20"/>
                <w:szCs w:val="20"/>
              </w:rPr>
              <w:t>instructions</w:t>
            </w:r>
          </w:p>
        </w:tc>
        <w:tc>
          <w:tcPr>
            <w:tcW w:w="5153" w:type="dxa"/>
            <w:noWrap/>
            <w:hideMark/>
          </w:tcPr>
          <w:p w:rsidRPr="00C64D8E" w:rsidR="00C64D8E" w:rsidP="00C64D8E" w:rsidRDefault="00FC0A67" w14:paraId="055A91B5" w14:textId="22435E79">
            <w:pPr>
              <w:spacing w:after="0"/>
              <w:rPr>
                <w:sz w:val="20"/>
                <w:szCs w:val="20"/>
              </w:rPr>
            </w:pPr>
            <w:r>
              <w:rPr>
                <w:sz w:val="20"/>
                <w:szCs w:val="20"/>
              </w:rPr>
              <w:t>C</w:t>
            </w:r>
            <w:r w:rsidRPr="00C64D8E" w:rsidR="00C64D8E">
              <w:rPr>
                <w:sz w:val="20"/>
                <w:szCs w:val="20"/>
              </w:rPr>
              <w:t>over letter with PIN, hyperlink to web survey, instructions, contact information, $1 pre-incentive.</w:t>
            </w:r>
          </w:p>
        </w:tc>
      </w:tr>
      <w:tr w:rsidRPr="00C64D8E" w:rsidR="00C64D8E" w:rsidTr="000B5BF5" w14:paraId="2B47BB7A" w14:textId="77777777">
        <w:trPr>
          <w:trHeight w:val="288"/>
        </w:trPr>
        <w:tc>
          <w:tcPr>
            <w:tcW w:w="805" w:type="dxa"/>
            <w:noWrap/>
          </w:tcPr>
          <w:p w:rsidRPr="00C64D8E" w:rsidR="00C64D8E" w:rsidP="00C64D8E" w:rsidRDefault="00C64D8E" w14:paraId="1FCC22D8" w14:textId="77777777">
            <w:pPr>
              <w:spacing w:after="0"/>
              <w:jc w:val="center"/>
              <w:rPr>
                <w:sz w:val="20"/>
                <w:szCs w:val="20"/>
              </w:rPr>
            </w:pPr>
            <w:r w:rsidRPr="00C64D8E">
              <w:rPr>
                <w:sz w:val="20"/>
                <w:szCs w:val="20"/>
              </w:rPr>
              <w:t>3</w:t>
            </w:r>
          </w:p>
        </w:tc>
        <w:tc>
          <w:tcPr>
            <w:tcW w:w="2970" w:type="dxa"/>
          </w:tcPr>
          <w:p w:rsidRPr="00C64D8E" w:rsidR="00C64D8E" w:rsidP="00C64D8E" w:rsidRDefault="00C64D8E" w14:paraId="75617A07" w14:textId="4BB14A59">
            <w:pPr>
              <w:spacing w:after="0"/>
              <w:rPr>
                <w:sz w:val="20"/>
                <w:szCs w:val="20"/>
              </w:rPr>
            </w:pPr>
            <w:r>
              <w:rPr>
                <w:sz w:val="20"/>
                <w:szCs w:val="20"/>
              </w:rPr>
              <w:t>P</w:t>
            </w:r>
            <w:r w:rsidRPr="00C64D8E">
              <w:rPr>
                <w:sz w:val="20"/>
                <w:szCs w:val="20"/>
              </w:rPr>
              <w:t>ost car</w:t>
            </w:r>
            <w:r w:rsidR="00FC0A67">
              <w:rPr>
                <w:sz w:val="20"/>
                <w:szCs w:val="20"/>
              </w:rPr>
              <w:t xml:space="preserve">d </w:t>
            </w:r>
            <w:r w:rsidRPr="00C64D8E">
              <w:rPr>
                <w:sz w:val="20"/>
                <w:szCs w:val="20"/>
              </w:rPr>
              <w:t>reminder</w:t>
            </w:r>
          </w:p>
        </w:tc>
        <w:tc>
          <w:tcPr>
            <w:tcW w:w="5153" w:type="dxa"/>
            <w:noWrap/>
            <w:hideMark/>
          </w:tcPr>
          <w:p w:rsidRPr="00C64D8E" w:rsidR="00C64D8E" w:rsidP="00C64D8E" w:rsidRDefault="00C64D8E" w14:paraId="37935C46" w14:textId="77777777">
            <w:pPr>
              <w:spacing w:after="0"/>
              <w:rPr>
                <w:sz w:val="20"/>
                <w:szCs w:val="20"/>
              </w:rPr>
            </w:pPr>
            <w:r w:rsidRPr="00C64D8E">
              <w:rPr>
                <w:sz w:val="20"/>
                <w:szCs w:val="20"/>
              </w:rPr>
              <w:t xml:space="preserve">First reminder to participate in the survey. </w:t>
            </w:r>
          </w:p>
        </w:tc>
      </w:tr>
      <w:tr w:rsidRPr="00C64D8E" w:rsidR="00C64D8E" w:rsidTr="000B5BF5" w14:paraId="2746DE87" w14:textId="77777777">
        <w:trPr>
          <w:trHeight w:val="288"/>
        </w:trPr>
        <w:tc>
          <w:tcPr>
            <w:tcW w:w="805" w:type="dxa"/>
            <w:noWrap/>
          </w:tcPr>
          <w:p w:rsidRPr="00C64D8E" w:rsidR="00C64D8E" w:rsidP="00C64D8E" w:rsidRDefault="00C64D8E" w14:paraId="79F00D2F" w14:textId="77777777">
            <w:pPr>
              <w:spacing w:after="0"/>
              <w:jc w:val="center"/>
              <w:rPr>
                <w:sz w:val="20"/>
                <w:szCs w:val="20"/>
              </w:rPr>
            </w:pPr>
            <w:r w:rsidRPr="00C64D8E">
              <w:rPr>
                <w:sz w:val="20"/>
                <w:szCs w:val="20"/>
              </w:rPr>
              <w:t>4</w:t>
            </w:r>
          </w:p>
        </w:tc>
        <w:tc>
          <w:tcPr>
            <w:tcW w:w="2970" w:type="dxa"/>
          </w:tcPr>
          <w:p w:rsidRPr="00C64D8E" w:rsidR="00C64D8E" w:rsidP="00C64D8E" w:rsidRDefault="00FC0A67" w14:paraId="0936CA6D" w14:textId="0115F50A">
            <w:pPr>
              <w:spacing w:after="0"/>
              <w:rPr>
                <w:sz w:val="20"/>
                <w:szCs w:val="20"/>
              </w:rPr>
            </w:pPr>
            <w:r>
              <w:rPr>
                <w:sz w:val="20"/>
                <w:szCs w:val="20"/>
              </w:rPr>
              <w:t>Letter with paper instrument</w:t>
            </w:r>
          </w:p>
        </w:tc>
        <w:tc>
          <w:tcPr>
            <w:tcW w:w="5153" w:type="dxa"/>
            <w:noWrap/>
            <w:hideMark/>
          </w:tcPr>
          <w:p w:rsidRPr="00C64D8E" w:rsidR="00C64D8E" w:rsidP="00C64D8E" w:rsidRDefault="00C64D8E" w14:paraId="16005EF0" w14:textId="572A4E3B">
            <w:pPr>
              <w:spacing w:after="0"/>
              <w:rPr>
                <w:sz w:val="20"/>
                <w:szCs w:val="20"/>
              </w:rPr>
            </w:pPr>
            <w:r w:rsidRPr="00C64D8E">
              <w:rPr>
                <w:sz w:val="20"/>
                <w:szCs w:val="20"/>
              </w:rPr>
              <w:t>Printed questionnaire, prepaid return envelope, PIN</w:t>
            </w:r>
            <w:r w:rsidR="004E7B35">
              <w:rPr>
                <w:sz w:val="20"/>
                <w:szCs w:val="20"/>
              </w:rPr>
              <w:t>,</w:t>
            </w:r>
            <w:r w:rsidRPr="00C64D8E">
              <w:rPr>
                <w:sz w:val="20"/>
                <w:szCs w:val="20"/>
              </w:rPr>
              <w:t xml:space="preserve"> and hyperlink to web survey.</w:t>
            </w:r>
          </w:p>
        </w:tc>
      </w:tr>
      <w:tr w:rsidRPr="00C64D8E" w:rsidR="00C64D8E" w:rsidTr="000B5BF5" w14:paraId="5394B2C0" w14:textId="77777777">
        <w:trPr>
          <w:trHeight w:val="288"/>
        </w:trPr>
        <w:tc>
          <w:tcPr>
            <w:tcW w:w="805" w:type="dxa"/>
            <w:noWrap/>
          </w:tcPr>
          <w:p w:rsidRPr="00C64D8E" w:rsidR="00C64D8E" w:rsidP="00C64D8E" w:rsidRDefault="00C64D8E" w14:paraId="64D3A381" w14:textId="77777777">
            <w:pPr>
              <w:spacing w:after="0"/>
              <w:jc w:val="center"/>
              <w:rPr>
                <w:sz w:val="20"/>
                <w:szCs w:val="20"/>
              </w:rPr>
            </w:pPr>
            <w:r w:rsidRPr="00C64D8E">
              <w:rPr>
                <w:sz w:val="20"/>
                <w:szCs w:val="20"/>
              </w:rPr>
              <w:t>5</w:t>
            </w:r>
          </w:p>
        </w:tc>
        <w:tc>
          <w:tcPr>
            <w:tcW w:w="2970" w:type="dxa"/>
          </w:tcPr>
          <w:p w:rsidRPr="00C64D8E" w:rsidR="00C64D8E" w:rsidP="00C64D8E" w:rsidRDefault="00C64D8E" w14:paraId="26346A20" w14:textId="04A1267F">
            <w:pPr>
              <w:spacing w:after="0"/>
              <w:rPr>
                <w:sz w:val="20"/>
                <w:szCs w:val="20"/>
              </w:rPr>
            </w:pPr>
            <w:r w:rsidRPr="00C64D8E">
              <w:rPr>
                <w:sz w:val="20"/>
                <w:szCs w:val="20"/>
              </w:rPr>
              <w:t>Final post card</w:t>
            </w:r>
            <w:r w:rsidR="00FC0A67">
              <w:rPr>
                <w:sz w:val="20"/>
                <w:szCs w:val="20"/>
              </w:rPr>
              <w:t xml:space="preserve"> reminder</w:t>
            </w:r>
          </w:p>
        </w:tc>
        <w:tc>
          <w:tcPr>
            <w:tcW w:w="5153" w:type="dxa"/>
            <w:noWrap/>
            <w:hideMark/>
          </w:tcPr>
          <w:p w:rsidRPr="00C64D8E" w:rsidR="00C64D8E" w:rsidP="00C64D8E" w:rsidRDefault="00C64D8E" w14:paraId="43D8146F" w14:textId="77777777">
            <w:pPr>
              <w:spacing w:after="0"/>
              <w:rPr>
                <w:sz w:val="20"/>
                <w:szCs w:val="20"/>
              </w:rPr>
            </w:pPr>
            <w:r w:rsidRPr="00C64D8E">
              <w:rPr>
                <w:sz w:val="20"/>
                <w:szCs w:val="20"/>
              </w:rPr>
              <w:t>Last reminder to participate in the survey.</w:t>
            </w:r>
          </w:p>
        </w:tc>
      </w:tr>
      <w:tr w:rsidRPr="00C64D8E" w:rsidR="00264628" w:rsidTr="000B5BF5" w14:paraId="6E85B7A7" w14:textId="77777777">
        <w:trPr>
          <w:trHeight w:val="288"/>
        </w:trPr>
        <w:tc>
          <w:tcPr>
            <w:tcW w:w="805" w:type="dxa"/>
            <w:noWrap/>
          </w:tcPr>
          <w:p w:rsidRPr="00C64D8E" w:rsidR="00264628" w:rsidP="00C64D8E" w:rsidRDefault="00264628" w14:paraId="305D4EE3" w14:textId="1AE3792E">
            <w:pPr>
              <w:spacing w:after="0"/>
              <w:jc w:val="center"/>
              <w:rPr>
                <w:sz w:val="20"/>
                <w:szCs w:val="20"/>
              </w:rPr>
            </w:pPr>
            <w:r>
              <w:rPr>
                <w:sz w:val="20"/>
                <w:szCs w:val="20"/>
              </w:rPr>
              <w:t>6</w:t>
            </w:r>
          </w:p>
        </w:tc>
        <w:tc>
          <w:tcPr>
            <w:tcW w:w="2970" w:type="dxa"/>
          </w:tcPr>
          <w:p w:rsidRPr="00C64D8E" w:rsidR="00264628" w:rsidP="00C64D8E" w:rsidRDefault="00264628" w14:paraId="06A8258C" w14:textId="37C388CF">
            <w:pPr>
              <w:spacing w:after="0"/>
              <w:rPr>
                <w:sz w:val="20"/>
                <w:szCs w:val="20"/>
              </w:rPr>
            </w:pPr>
            <w:r>
              <w:rPr>
                <w:sz w:val="20"/>
                <w:szCs w:val="20"/>
              </w:rPr>
              <w:t>Thank</w:t>
            </w:r>
            <w:r w:rsidR="000B5BF5">
              <w:rPr>
                <w:sz w:val="20"/>
                <w:szCs w:val="20"/>
              </w:rPr>
              <w:t>-</w:t>
            </w:r>
            <w:r>
              <w:rPr>
                <w:sz w:val="20"/>
                <w:szCs w:val="20"/>
              </w:rPr>
              <w:t>you letter</w:t>
            </w:r>
          </w:p>
        </w:tc>
        <w:tc>
          <w:tcPr>
            <w:tcW w:w="5153" w:type="dxa"/>
            <w:noWrap/>
          </w:tcPr>
          <w:p w:rsidRPr="00C64D8E" w:rsidR="00264628" w:rsidP="00C64D8E" w:rsidRDefault="00264628" w14:paraId="7BB51F7B" w14:textId="4882F43E">
            <w:pPr>
              <w:spacing w:after="0"/>
              <w:rPr>
                <w:sz w:val="20"/>
                <w:szCs w:val="20"/>
              </w:rPr>
            </w:pPr>
            <w:r>
              <w:rPr>
                <w:sz w:val="20"/>
                <w:szCs w:val="20"/>
              </w:rPr>
              <w:t>Thank you letter with $10 post-incentive.</w:t>
            </w:r>
          </w:p>
        </w:tc>
      </w:tr>
      <w:tr w:rsidRPr="00C64D8E" w:rsidR="00C64D8E" w:rsidTr="000B5BF5" w14:paraId="5D98656C" w14:textId="77777777">
        <w:trPr>
          <w:trHeight w:val="288"/>
        </w:trPr>
        <w:tc>
          <w:tcPr>
            <w:tcW w:w="8928" w:type="dxa"/>
            <w:gridSpan w:val="3"/>
            <w:noWrap/>
          </w:tcPr>
          <w:p w:rsidRPr="00C64D8E" w:rsidR="00C64D8E" w:rsidP="00C64D8E" w:rsidRDefault="00C64D8E" w14:paraId="0A9A5415" w14:textId="77777777">
            <w:pPr>
              <w:spacing w:after="0"/>
              <w:jc w:val="center"/>
              <w:rPr>
                <w:b/>
                <w:bCs/>
                <w:sz w:val="20"/>
                <w:szCs w:val="20"/>
              </w:rPr>
            </w:pPr>
            <w:r w:rsidRPr="00C64D8E">
              <w:rPr>
                <w:b/>
                <w:bCs/>
                <w:sz w:val="20"/>
                <w:szCs w:val="20"/>
              </w:rPr>
              <w:t>Close data collection</w:t>
            </w:r>
          </w:p>
        </w:tc>
      </w:tr>
    </w:tbl>
    <w:p w:rsidR="00C64D8E" w:rsidP="000B2D05" w:rsidRDefault="00C64D8E" w14:paraId="7294DB8D" w14:textId="77777777"/>
    <w:p w:rsidRPr="004D3B84" w:rsidR="00EE16E1" w:rsidP="000B2D05" w:rsidRDefault="00EE16E1" w14:paraId="26DE1A79" w14:textId="4BE33FEC">
      <w:r w:rsidRPr="004D3B84">
        <w:t>In addition to preventing multiple responses from an individual, this unique User ID allows the system to prevent re-entry or editing of entered data once a survey is dispositioned as complete</w:t>
      </w:r>
      <w:r w:rsidR="004C592C">
        <w:t>d</w:t>
      </w:r>
      <w:r w:rsidRPr="004D3B84">
        <w:t>. Cases that are submitted and dispositioned as completed will no longer be permitted to access the survey</w:t>
      </w:r>
      <w:r w:rsidRPr="004D3B84" w:rsidR="00793864">
        <w:t>,</w:t>
      </w:r>
      <w:r w:rsidRPr="004D3B84">
        <w:t xml:space="preserve"> and all planned nonresponse follow-up steps for those cases will cease.</w:t>
      </w:r>
    </w:p>
    <w:p w:rsidRPr="004D3B84" w:rsidR="00C114EC" w:rsidP="002265F7" w:rsidRDefault="00EE16E1" w14:paraId="60249515" w14:textId="0F373B08">
      <w:r w:rsidRPr="004D3B84">
        <w:t xml:space="preserve">The web survey will accommodate mobile devices and respondents will be permitted to save their responses as they progress through the survey. If the respondent is disconnected or needs to re-enter the survey, then he or she may begin the survey from the last question answered using the unique user ID provided to them. To minimize measurement error from the differences in mode, the web survey will use questionnaire wording and response options consistent with the mail survey. The web survey will have two navigational buttons: a “Back” button, which allows </w:t>
      </w:r>
      <w:r w:rsidRPr="004D3B84">
        <w:lastRenderedPageBreak/>
        <w:t xml:space="preserve">the respondent to change or review his or her previous responses, and a “Next” button, which saves his or her responses and progresses the survey instrument. The web survey will be accessible to people with disabilities and </w:t>
      </w:r>
      <w:r w:rsidRPr="004D3B84" w:rsidR="00B46D20">
        <w:t xml:space="preserve">will be </w:t>
      </w:r>
      <w:r w:rsidRPr="004D3B84">
        <w:t xml:space="preserve">Section 508 compliant.  </w:t>
      </w:r>
    </w:p>
    <w:p w:rsidRPr="004D3B84" w:rsidR="00DD45F8" w:rsidP="002016DA" w:rsidRDefault="001C4719" w14:paraId="175CEE9A" w14:textId="0F1B83D3">
      <w:r w:rsidRPr="004D3B84">
        <w:t>While the communication materials sent to the sample will encourage respondents to complete the survey online (</w:t>
      </w:r>
      <w:r w:rsidR="002265F7">
        <w:t>“</w:t>
      </w:r>
      <w:r w:rsidRPr="004D3B84">
        <w:t>push to web</w:t>
      </w:r>
      <w:r w:rsidR="002265F7">
        <w:t>”</w:t>
      </w:r>
      <w:r w:rsidRPr="004D3B84">
        <w:t xml:space="preserve">), some respondents may choose to complete the paper version of the questionnaire. </w:t>
      </w:r>
      <w:r w:rsidR="002016DA">
        <w:t>Data from c</w:t>
      </w:r>
      <w:r w:rsidRPr="004D3B84" w:rsidR="00DD45F8">
        <w:t>ompleted paper questionnaires will be entered using Scantron technology</w:t>
      </w:r>
      <w:r w:rsidR="002016DA">
        <w:t xml:space="preserve"> and </w:t>
      </w:r>
      <w:r w:rsidRPr="004D3B84" w:rsidR="00DD45F8">
        <w:t>uploaded to the respondent control system, which allow</w:t>
      </w:r>
      <w:r w:rsidR="002016DA">
        <w:t>s</w:t>
      </w:r>
      <w:r w:rsidRPr="004D3B84" w:rsidR="00DD45F8">
        <w:t xml:space="preserve"> </w:t>
      </w:r>
      <w:r w:rsidRPr="004D3B84" w:rsidR="00CB2BD7">
        <w:t xml:space="preserve">for the </w:t>
      </w:r>
      <w:r w:rsidRPr="004D3B84" w:rsidR="00DD45F8">
        <w:t xml:space="preserve">reporting </w:t>
      </w:r>
      <w:r w:rsidRPr="004D3B84" w:rsidR="00CB2BD7">
        <w:t xml:space="preserve">of </w:t>
      </w:r>
      <w:r w:rsidRPr="004D3B84" w:rsidR="00DD45F8">
        <w:t>the status of all cases. We will conduct data-capture quality checks to ensure compatibility and readability between our scanning equipment and the survey questionnaires.</w:t>
      </w:r>
    </w:p>
    <w:p w:rsidRPr="00AC110B" w:rsidR="00024C3D" w:rsidP="00AC110B" w:rsidRDefault="00FF343E" w14:paraId="3D2C8C37" w14:textId="415B4ADA">
      <w:pPr>
        <w:keepNext/>
        <w:autoSpaceDE w:val="0"/>
        <w:autoSpaceDN w:val="0"/>
        <w:adjustRightInd w:val="0"/>
        <w:spacing w:before="120" w:after="0"/>
        <w:ind w:left="360" w:hanging="360"/>
        <w:rPr>
          <w:u w:val="single"/>
        </w:rPr>
      </w:pPr>
      <w:r w:rsidRPr="00AC110B">
        <w:rPr>
          <w:u w:val="single"/>
        </w:rPr>
        <w:t>B.2.b</w:t>
      </w:r>
      <w:r w:rsidRPr="00AC110B" w:rsidR="00024C3D">
        <w:rPr>
          <w:u w:val="single"/>
        </w:rPr>
        <w:t>.</w:t>
      </w:r>
      <w:r w:rsidRPr="00AC110B" w:rsidR="00024C3D">
        <w:rPr>
          <w:u w:val="single"/>
        </w:rPr>
        <w:tab/>
        <w:t>Precision of Sample Estimates</w:t>
      </w:r>
    </w:p>
    <w:p w:rsidRPr="004D3B84" w:rsidR="00024C3D" w:rsidP="002016DA" w:rsidRDefault="00AC110B" w14:paraId="70ED0800" w14:textId="6818273C">
      <w:pPr>
        <w:rPr>
          <w:rFonts w:eastAsiaTheme="minorEastAsia"/>
        </w:rPr>
      </w:pPr>
      <w:r w:rsidRPr="00AC110B">
        <w:t>The objective of the sampling procedures described above is to produce a random sample of the target population.  This means that with a randomly drawn sample, one can make inferences about population characteristics within certain specified limits of certainty and sampling variability.</w:t>
      </w:r>
      <w:r>
        <w:t xml:space="preserve"> </w:t>
      </w:r>
      <w:r w:rsidRPr="001549E6" w:rsidR="001549E6">
        <w:t xml:space="preserve">The study will select households using a stratified design </w:t>
      </w:r>
      <w:r w:rsidR="000F51DC">
        <w:t xml:space="preserve">to </w:t>
      </w:r>
      <w:r w:rsidRPr="001549E6" w:rsidR="001549E6">
        <w:t xml:space="preserve">efficiency and maximize overall study precision </w:t>
      </w:r>
      <w:r w:rsidR="001549E6">
        <w:t xml:space="preserve">using </w:t>
      </w:r>
      <w:r w:rsidRPr="001549E6" w:rsidR="001549E6">
        <w:t>single housing unit</w:t>
      </w:r>
      <w:r w:rsidR="001549E6">
        <w:t xml:space="preserve"> addresses</w:t>
      </w:r>
      <w:r w:rsidRPr="001549E6" w:rsidR="001549E6">
        <w:t xml:space="preserve">. </w:t>
      </w:r>
      <w:r w:rsidR="00E22BA0">
        <w:t>Analysis of the data collected in this survey will need to be performed in statistical packages that appropriately account for the complex survey sampling design features such as weights and stratification, including SAS PROC SURVEY suite, Stata svy commands, and R library(survey).</w:t>
      </w:r>
      <w:r w:rsidRPr="004D3B84" w:rsidR="00024C3D">
        <w:t xml:space="preserve"> </w:t>
      </w:r>
      <w:r w:rsidR="00923A7A">
        <w:t xml:space="preserve">Margins of sampling error for the anticipated state-specific sample sizes are reported in Table </w:t>
      </w:r>
      <w:r>
        <w:t>3</w:t>
      </w:r>
      <w:r w:rsidR="00923A7A">
        <w:t xml:space="preserve"> below. </w:t>
      </w:r>
      <w:r w:rsidR="00E22BA0">
        <w:t xml:space="preserve"> </w:t>
      </w:r>
    </w:p>
    <w:p w:rsidRPr="00AC110B" w:rsidR="00024C3D" w:rsidP="00AC110B" w:rsidRDefault="00BE156F" w14:paraId="5058D8C4" w14:textId="21723EC3">
      <w:pPr>
        <w:widowControl w:val="0"/>
        <w:autoSpaceDE w:val="0"/>
        <w:autoSpaceDN w:val="0"/>
        <w:adjustRightInd w:val="0"/>
        <w:spacing w:before="120" w:after="0"/>
        <w:ind w:left="360" w:hanging="360"/>
        <w:rPr>
          <w:u w:val="single"/>
        </w:rPr>
      </w:pPr>
      <w:r w:rsidRPr="00AC110B">
        <w:rPr>
          <w:u w:val="single"/>
        </w:rPr>
        <w:t>B.2.</w:t>
      </w:r>
      <w:r w:rsidRPr="00AC110B" w:rsidR="00024C3D">
        <w:rPr>
          <w:u w:val="single"/>
        </w:rPr>
        <w:t xml:space="preserve">c. </w:t>
      </w:r>
      <w:r w:rsidR="004E5244">
        <w:rPr>
          <w:u w:val="single"/>
        </w:rPr>
        <w:tab/>
      </w:r>
      <w:r w:rsidRPr="00AC110B" w:rsidR="00024C3D">
        <w:rPr>
          <w:u w:val="single"/>
        </w:rPr>
        <w:t>Power Analysis</w:t>
      </w:r>
    </w:p>
    <w:p w:rsidRPr="004D3B84" w:rsidR="007B0159" w:rsidP="002265F7" w:rsidRDefault="00024C3D" w14:paraId="78DEA2B5" w14:textId="5B25756F">
      <w:pPr>
        <w:rPr>
          <w:rFonts w:eastAsiaTheme="minorEastAsia"/>
        </w:rPr>
      </w:pPr>
      <w:r w:rsidRPr="004D3B84">
        <w:t xml:space="preserve">Sample size calculations, including the effect size detectable between two </w:t>
      </w:r>
      <w:r w:rsidR="00D40A69">
        <w:t>states</w:t>
      </w:r>
      <w:r w:rsidRPr="004D3B84" w:rsidR="00D40A69">
        <w:t xml:space="preserve"> </w:t>
      </w:r>
      <w:r w:rsidRPr="004D3B84">
        <w:t xml:space="preserve">with 80% power where </w:t>
      </w:r>
      <w:r w:rsidRPr="00810EA1">
        <w:rPr>
          <w:i/>
          <w:iCs/>
        </w:rPr>
        <w:t>p</w:t>
      </w:r>
      <w:r w:rsidRPr="004D3B84">
        <w:t xml:space="preserve"> = 50% are presented in </w:t>
      </w:r>
      <w:r w:rsidR="00E22BA0">
        <w:t>T</w:t>
      </w:r>
      <w:r w:rsidRPr="004D3B84">
        <w:t xml:space="preserve">able </w:t>
      </w:r>
      <w:r w:rsidR="00AC110B">
        <w:t>3</w:t>
      </w:r>
      <w:r w:rsidR="00E22BA0">
        <w:t xml:space="preserve"> </w:t>
      </w:r>
      <w:r w:rsidRPr="004D3B84">
        <w:t xml:space="preserve">below. </w:t>
      </w:r>
    </w:p>
    <w:p w:rsidRPr="009744ED" w:rsidR="00AC110B" w:rsidP="00AC110B" w:rsidRDefault="00AC110B" w14:paraId="527D7AAA" w14:textId="056AAB1F">
      <w:pPr>
        <w:pStyle w:val="Caption"/>
        <w:keepNext/>
        <w:spacing w:before="120" w:after="120"/>
        <w:rPr>
          <w:b/>
          <w:bCs/>
          <w:i w:val="0"/>
          <w:iCs w:val="0"/>
          <w:color w:val="auto"/>
          <w:sz w:val="24"/>
          <w:szCs w:val="24"/>
        </w:rPr>
      </w:pPr>
      <w:bookmarkStart w:name="_Hlk95380256" w:id="9"/>
      <w:r w:rsidRPr="009744ED">
        <w:rPr>
          <w:b/>
          <w:bCs/>
          <w:i w:val="0"/>
          <w:iCs w:val="0"/>
          <w:color w:val="auto"/>
          <w:sz w:val="24"/>
          <w:szCs w:val="24"/>
        </w:rPr>
        <w:t xml:space="preserve">Table </w:t>
      </w:r>
      <w:r w:rsidRPr="009744ED">
        <w:rPr>
          <w:b/>
          <w:bCs/>
          <w:i w:val="0"/>
          <w:iCs w:val="0"/>
          <w:color w:val="auto"/>
          <w:sz w:val="24"/>
          <w:szCs w:val="24"/>
        </w:rPr>
        <w:fldChar w:fldCharType="begin"/>
      </w:r>
      <w:r w:rsidRPr="009744ED">
        <w:rPr>
          <w:b/>
          <w:bCs/>
          <w:i w:val="0"/>
          <w:iCs w:val="0"/>
          <w:color w:val="auto"/>
          <w:sz w:val="24"/>
          <w:szCs w:val="24"/>
        </w:rPr>
        <w:instrText xml:space="preserve"> SEQ Table \* ARABIC </w:instrText>
      </w:r>
      <w:r w:rsidRPr="009744ED">
        <w:rPr>
          <w:b/>
          <w:bCs/>
          <w:i w:val="0"/>
          <w:iCs w:val="0"/>
          <w:color w:val="auto"/>
          <w:sz w:val="24"/>
          <w:szCs w:val="24"/>
        </w:rPr>
        <w:fldChar w:fldCharType="separate"/>
      </w:r>
      <w:r w:rsidR="00CF5562">
        <w:rPr>
          <w:b/>
          <w:bCs/>
          <w:i w:val="0"/>
          <w:iCs w:val="0"/>
          <w:noProof/>
          <w:color w:val="auto"/>
          <w:sz w:val="24"/>
          <w:szCs w:val="24"/>
        </w:rPr>
        <w:t>3</w:t>
      </w:r>
      <w:r w:rsidRPr="009744ED">
        <w:rPr>
          <w:b/>
          <w:bCs/>
          <w:i w:val="0"/>
          <w:iCs w:val="0"/>
          <w:color w:val="auto"/>
          <w:sz w:val="24"/>
          <w:szCs w:val="24"/>
        </w:rPr>
        <w:fldChar w:fldCharType="end"/>
      </w:r>
      <w:r w:rsidR="004E5244">
        <w:rPr>
          <w:b/>
          <w:bCs/>
          <w:i w:val="0"/>
          <w:iCs w:val="0"/>
          <w:color w:val="auto"/>
          <w:sz w:val="24"/>
          <w:szCs w:val="24"/>
        </w:rPr>
        <w:t>.</w:t>
      </w:r>
      <w:r w:rsidRPr="009744ED">
        <w:rPr>
          <w:b/>
          <w:bCs/>
          <w:i w:val="0"/>
          <w:iCs w:val="0"/>
          <w:color w:val="auto"/>
          <w:sz w:val="24"/>
          <w:szCs w:val="24"/>
        </w:rPr>
        <w:t xml:space="preserve"> Sample Size Calculations.</w:t>
      </w:r>
    </w:p>
    <w:tbl>
      <w:tblPr>
        <w:tblStyle w:val="TableGrid"/>
        <w:tblW w:w="9504" w:type="dxa"/>
        <w:tblCellMar>
          <w:top w:w="58" w:type="dxa"/>
          <w:left w:w="58" w:type="dxa"/>
          <w:bottom w:w="58" w:type="dxa"/>
          <w:right w:w="58" w:type="dxa"/>
        </w:tblCellMar>
        <w:tblLook w:val="04A0" w:firstRow="1" w:lastRow="0" w:firstColumn="1" w:lastColumn="0" w:noHBand="0" w:noVBand="1"/>
      </w:tblPr>
      <w:tblGrid>
        <w:gridCol w:w="1435"/>
        <w:gridCol w:w="1350"/>
        <w:gridCol w:w="1350"/>
        <w:gridCol w:w="1890"/>
        <w:gridCol w:w="1751"/>
        <w:gridCol w:w="1728"/>
      </w:tblGrid>
      <w:tr w:rsidRPr="004D3B84" w:rsidR="006761F6" w:rsidTr="008E309C" w14:paraId="5A1ED9E1" w14:textId="77777777">
        <w:tc>
          <w:tcPr>
            <w:tcW w:w="1435" w:type="dxa"/>
            <w:shd w:val="clear" w:color="auto" w:fill="F2F2F2" w:themeFill="background1" w:themeFillShade="F2"/>
            <w:vAlign w:val="center"/>
          </w:tcPr>
          <w:p w:rsidRPr="00F760C3" w:rsidR="00024C3D" w:rsidP="00293B74" w:rsidRDefault="00024C3D" w14:paraId="1536EC19" w14:textId="77777777">
            <w:pPr>
              <w:spacing w:after="0"/>
              <w:jc w:val="center"/>
              <w:rPr>
                <w:sz w:val="20"/>
                <w:szCs w:val="20"/>
              </w:rPr>
            </w:pPr>
            <w:r w:rsidRPr="00F760C3">
              <w:rPr>
                <w:sz w:val="20"/>
                <w:szCs w:val="20"/>
              </w:rPr>
              <w:t>(1)</w:t>
            </w:r>
          </w:p>
          <w:p w:rsidRPr="00F760C3" w:rsidR="00024C3D" w:rsidP="00293B74" w:rsidRDefault="00024C3D" w14:paraId="770C44BC" w14:textId="33132B08">
            <w:pPr>
              <w:spacing w:after="0"/>
              <w:jc w:val="center"/>
              <w:rPr>
                <w:sz w:val="20"/>
                <w:szCs w:val="20"/>
              </w:rPr>
            </w:pPr>
            <w:r w:rsidRPr="00F760C3">
              <w:rPr>
                <w:sz w:val="20"/>
                <w:szCs w:val="20"/>
              </w:rPr>
              <w:t xml:space="preserve">Effective sample size per </w:t>
            </w:r>
            <w:r w:rsidRPr="00F760C3" w:rsidR="008E309C">
              <w:rPr>
                <w:sz w:val="20"/>
                <w:szCs w:val="20"/>
              </w:rPr>
              <w:t>S</w:t>
            </w:r>
            <w:r w:rsidRPr="00F760C3">
              <w:rPr>
                <w:sz w:val="20"/>
                <w:szCs w:val="20"/>
              </w:rPr>
              <w:t>tate</w:t>
            </w:r>
          </w:p>
        </w:tc>
        <w:tc>
          <w:tcPr>
            <w:tcW w:w="1350" w:type="dxa"/>
            <w:shd w:val="clear" w:color="auto" w:fill="F2F2F2" w:themeFill="background1" w:themeFillShade="F2"/>
            <w:vAlign w:val="center"/>
          </w:tcPr>
          <w:p w:rsidRPr="00F760C3" w:rsidR="00024C3D" w:rsidP="00293B74" w:rsidRDefault="00024C3D" w14:paraId="2CB5CF58" w14:textId="77777777">
            <w:pPr>
              <w:spacing w:after="0"/>
              <w:jc w:val="center"/>
              <w:rPr>
                <w:sz w:val="20"/>
                <w:szCs w:val="20"/>
              </w:rPr>
            </w:pPr>
            <w:r w:rsidRPr="00F760C3">
              <w:rPr>
                <w:sz w:val="20"/>
                <w:szCs w:val="20"/>
              </w:rPr>
              <w:t>(2)</w:t>
            </w:r>
          </w:p>
          <w:p w:rsidRPr="00F760C3" w:rsidR="00024C3D" w:rsidP="00293B74" w:rsidRDefault="00024C3D" w14:paraId="55E01DF0" w14:textId="77777777">
            <w:pPr>
              <w:spacing w:after="0"/>
              <w:jc w:val="center"/>
              <w:rPr>
                <w:sz w:val="20"/>
                <w:szCs w:val="20"/>
              </w:rPr>
            </w:pPr>
            <w:r w:rsidRPr="00F760C3">
              <w:rPr>
                <w:sz w:val="20"/>
                <w:szCs w:val="20"/>
              </w:rPr>
              <w:t xml:space="preserve">Margin of error, </w:t>
            </w:r>
            <w:r w:rsidRPr="00F760C3">
              <w:rPr>
                <w:i/>
                <w:sz w:val="20"/>
                <w:szCs w:val="20"/>
              </w:rPr>
              <w:t>p</w:t>
            </w:r>
            <w:r w:rsidRPr="00F760C3">
              <w:rPr>
                <w:sz w:val="20"/>
                <w:szCs w:val="20"/>
              </w:rPr>
              <w:t xml:space="preserve"> = 50%</w:t>
            </w:r>
          </w:p>
        </w:tc>
        <w:tc>
          <w:tcPr>
            <w:tcW w:w="1350" w:type="dxa"/>
            <w:shd w:val="clear" w:color="auto" w:fill="F2F2F2" w:themeFill="background1" w:themeFillShade="F2"/>
            <w:vAlign w:val="center"/>
          </w:tcPr>
          <w:p w:rsidRPr="00F760C3" w:rsidR="00024C3D" w:rsidP="00293B74" w:rsidRDefault="00024C3D" w14:paraId="11E95828" w14:textId="77777777">
            <w:pPr>
              <w:spacing w:after="0"/>
              <w:jc w:val="center"/>
              <w:rPr>
                <w:sz w:val="20"/>
                <w:szCs w:val="20"/>
              </w:rPr>
            </w:pPr>
            <w:r w:rsidRPr="00F760C3">
              <w:rPr>
                <w:sz w:val="20"/>
                <w:szCs w:val="20"/>
              </w:rPr>
              <w:t>(3)</w:t>
            </w:r>
          </w:p>
          <w:p w:rsidRPr="00F760C3" w:rsidR="00024C3D" w:rsidP="00293B74" w:rsidRDefault="00024C3D" w14:paraId="3FE7B373" w14:textId="77777777">
            <w:pPr>
              <w:spacing w:after="0"/>
              <w:jc w:val="center"/>
              <w:rPr>
                <w:sz w:val="20"/>
                <w:szCs w:val="20"/>
              </w:rPr>
            </w:pPr>
            <w:r w:rsidRPr="00F760C3">
              <w:rPr>
                <w:sz w:val="20"/>
                <w:szCs w:val="20"/>
              </w:rPr>
              <w:t xml:space="preserve">Margin of error, </w:t>
            </w:r>
            <w:r w:rsidRPr="00F760C3">
              <w:rPr>
                <w:i/>
                <w:sz w:val="20"/>
                <w:szCs w:val="20"/>
              </w:rPr>
              <w:t>p</w:t>
            </w:r>
            <w:r w:rsidRPr="00F760C3">
              <w:rPr>
                <w:sz w:val="20"/>
                <w:szCs w:val="20"/>
              </w:rPr>
              <w:t xml:space="preserve"> = 10%</w:t>
            </w:r>
          </w:p>
        </w:tc>
        <w:tc>
          <w:tcPr>
            <w:tcW w:w="1890" w:type="dxa"/>
            <w:shd w:val="clear" w:color="auto" w:fill="F2F2F2" w:themeFill="background1" w:themeFillShade="F2"/>
            <w:vAlign w:val="center"/>
          </w:tcPr>
          <w:p w:rsidRPr="00F760C3" w:rsidR="00024C3D" w:rsidP="00293B74" w:rsidRDefault="00024C3D" w14:paraId="36DC101B" w14:textId="77777777">
            <w:pPr>
              <w:spacing w:after="0"/>
              <w:jc w:val="center"/>
              <w:rPr>
                <w:sz w:val="20"/>
                <w:szCs w:val="20"/>
              </w:rPr>
            </w:pPr>
            <w:r w:rsidRPr="00F760C3">
              <w:rPr>
                <w:sz w:val="20"/>
                <w:szCs w:val="20"/>
              </w:rPr>
              <w:t>(4)</w:t>
            </w:r>
          </w:p>
          <w:p w:rsidRPr="00F760C3" w:rsidR="00024C3D" w:rsidP="00293B74" w:rsidRDefault="00024C3D" w14:paraId="3362A0AB" w14:textId="7D462B13">
            <w:pPr>
              <w:spacing w:after="0"/>
              <w:jc w:val="center"/>
              <w:rPr>
                <w:sz w:val="20"/>
                <w:szCs w:val="20"/>
              </w:rPr>
            </w:pPr>
            <w:r w:rsidRPr="00F760C3">
              <w:rPr>
                <w:sz w:val="20"/>
                <w:szCs w:val="20"/>
              </w:rPr>
              <w:t xml:space="preserve">Nominal sample size per </w:t>
            </w:r>
            <w:r w:rsidRPr="00F760C3" w:rsidR="008E309C">
              <w:rPr>
                <w:sz w:val="20"/>
                <w:szCs w:val="20"/>
              </w:rPr>
              <w:t>S</w:t>
            </w:r>
            <w:r w:rsidRPr="00F760C3">
              <w:rPr>
                <w:sz w:val="20"/>
                <w:szCs w:val="20"/>
              </w:rPr>
              <w:t xml:space="preserve">tate = (1) * </w:t>
            </w:r>
            <w:r w:rsidRPr="00F760C3" w:rsidR="00923A7A">
              <w:rPr>
                <w:sz w:val="20"/>
                <w:szCs w:val="20"/>
              </w:rPr>
              <w:t>unequal weighting design effect</w:t>
            </w:r>
          </w:p>
        </w:tc>
        <w:tc>
          <w:tcPr>
            <w:tcW w:w="1751" w:type="dxa"/>
            <w:shd w:val="clear" w:color="auto" w:fill="F2F2F2" w:themeFill="background1" w:themeFillShade="F2"/>
            <w:vAlign w:val="center"/>
          </w:tcPr>
          <w:p w:rsidRPr="00F760C3" w:rsidR="00024C3D" w:rsidP="00293B74" w:rsidRDefault="00024C3D" w14:paraId="69BA9730" w14:textId="77777777">
            <w:pPr>
              <w:spacing w:after="0"/>
              <w:jc w:val="center"/>
              <w:rPr>
                <w:sz w:val="20"/>
                <w:szCs w:val="20"/>
              </w:rPr>
            </w:pPr>
            <w:r w:rsidRPr="00F760C3">
              <w:rPr>
                <w:sz w:val="20"/>
                <w:szCs w:val="20"/>
              </w:rPr>
              <w:t>(5)</w:t>
            </w:r>
          </w:p>
          <w:p w:rsidRPr="00F760C3" w:rsidR="00024C3D" w:rsidP="00293B74" w:rsidRDefault="00024C3D" w14:paraId="3646E8D3" w14:textId="168BEB54">
            <w:pPr>
              <w:spacing w:after="0"/>
              <w:jc w:val="center"/>
              <w:rPr>
                <w:sz w:val="20"/>
                <w:szCs w:val="20"/>
              </w:rPr>
            </w:pPr>
            <w:r w:rsidRPr="00F760C3">
              <w:rPr>
                <w:sz w:val="20"/>
                <w:szCs w:val="20"/>
              </w:rPr>
              <w:t xml:space="preserve">Surveys to mail out per </w:t>
            </w:r>
            <w:r w:rsidRPr="00F760C3" w:rsidR="008E309C">
              <w:rPr>
                <w:sz w:val="20"/>
                <w:szCs w:val="20"/>
              </w:rPr>
              <w:t>S</w:t>
            </w:r>
            <w:r w:rsidRPr="00F760C3">
              <w:rPr>
                <w:sz w:val="20"/>
                <w:szCs w:val="20"/>
              </w:rPr>
              <w:t>tate = (4) / eligibility rate / completion rate</w:t>
            </w:r>
          </w:p>
        </w:tc>
        <w:tc>
          <w:tcPr>
            <w:tcW w:w="1728" w:type="dxa"/>
            <w:shd w:val="clear" w:color="auto" w:fill="F2F2F2" w:themeFill="background1" w:themeFillShade="F2"/>
            <w:vAlign w:val="center"/>
          </w:tcPr>
          <w:p w:rsidRPr="00F760C3" w:rsidR="00024C3D" w:rsidP="00293B74" w:rsidRDefault="00024C3D" w14:paraId="595EBF11" w14:textId="77777777">
            <w:pPr>
              <w:spacing w:after="0"/>
              <w:jc w:val="center"/>
              <w:rPr>
                <w:sz w:val="20"/>
                <w:szCs w:val="20"/>
              </w:rPr>
            </w:pPr>
            <w:r w:rsidRPr="00F760C3">
              <w:rPr>
                <w:sz w:val="20"/>
                <w:szCs w:val="20"/>
              </w:rPr>
              <w:t>(6)</w:t>
            </w:r>
          </w:p>
          <w:p w:rsidRPr="00F760C3" w:rsidR="00024C3D" w:rsidP="00293B74" w:rsidRDefault="00024C3D" w14:paraId="22D4D5E8" w14:textId="1C00E4A0">
            <w:pPr>
              <w:spacing w:after="0"/>
              <w:jc w:val="center"/>
              <w:rPr>
                <w:sz w:val="20"/>
                <w:szCs w:val="20"/>
              </w:rPr>
            </w:pPr>
            <w:r w:rsidRPr="00F760C3">
              <w:rPr>
                <w:sz w:val="20"/>
                <w:szCs w:val="20"/>
              </w:rPr>
              <w:t xml:space="preserve">Effect size detectable between two </w:t>
            </w:r>
            <w:r w:rsidRPr="00F760C3" w:rsidR="00D40A69">
              <w:rPr>
                <w:sz w:val="20"/>
                <w:szCs w:val="20"/>
              </w:rPr>
              <w:t>states</w:t>
            </w:r>
            <w:r w:rsidRPr="00F760C3">
              <w:rPr>
                <w:sz w:val="20"/>
                <w:szCs w:val="20"/>
              </w:rPr>
              <w:t xml:space="preserve">, 80% power, </w:t>
            </w:r>
            <w:r w:rsidRPr="00F760C3">
              <w:rPr>
                <w:i/>
                <w:sz w:val="20"/>
                <w:szCs w:val="20"/>
              </w:rPr>
              <w:t>p</w:t>
            </w:r>
            <w:r w:rsidRPr="00F760C3">
              <w:rPr>
                <w:sz w:val="20"/>
                <w:szCs w:val="20"/>
              </w:rPr>
              <w:t xml:space="preserve"> = 50%</w:t>
            </w:r>
          </w:p>
        </w:tc>
      </w:tr>
      <w:tr w:rsidRPr="004D3B84" w:rsidR="008E309C" w:rsidTr="008E309C" w14:paraId="1C46F52B" w14:textId="77777777">
        <w:tc>
          <w:tcPr>
            <w:tcW w:w="1435" w:type="dxa"/>
            <w:vAlign w:val="center"/>
          </w:tcPr>
          <w:p w:rsidRPr="00F760C3" w:rsidR="00024C3D" w:rsidP="00293B74" w:rsidRDefault="00024C3D" w14:paraId="6C997A35" w14:textId="77777777">
            <w:pPr>
              <w:spacing w:after="0"/>
              <w:jc w:val="center"/>
              <w:rPr>
                <w:sz w:val="20"/>
                <w:szCs w:val="20"/>
              </w:rPr>
            </w:pPr>
            <w:r w:rsidRPr="00F760C3">
              <w:rPr>
                <w:sz w:val="20"/>
                <w:szCs w:val="20"/>
              </w:rPr>
              <w:t>1,000</w:t>
            </w:r>
          </w:p>
        </w:tc>
        <w:tc>
          <w:tcPr>
            <w:tcW w:w="1350" w:type="dxa"/>
            <w:vAlign w:val="center"/>
          </w:tcPr>
          <w:p w:rsidRPr="00F760C3" w:rsidR="00024C3D" w:rsidP="00293B74" w:rsidRDefault="00024C3D" w14:paraId="56F22B8E" w14:textId="77777777">
            <w:pPr>
              <w:spacing w:after="0"/>
              <w:jc w:val="center"/>
              <w:rPr>
                <w:sz w:val="20"/>
                <w:szCs w:val="20"/>
              </w:rPr>
            </w:pPr>
            <w:r w:rsidRPr="00F760C3">
              <w:rPr>
                <w:color w:val="000000"/>
                <w:sz w:val="20"/>
                <w:szCs w:val="20"/>
              </w:rPr>
              <w:t>3.1%</w:t>
            </w:r>
          </w:p>
        </w:tc>
        <w:tc>
          <w:tcPr>
            <w:tcW w:w="1350" w:type="dxa"/>
            <w:vAlign w:val="center"/>
          </w:tcPr>
          <w:p w:rsidRPr="00F760C3" w:rsidR="00024C3D" w:rsidP="00293B74" w:rsidRDefault="00024C3D" w14:paraId="237DBA6F" w14:textId="77777777">
            <w:pPr>
              <w:spacing w:after="0"/>
              <w:jc w:val="center"/>
              <w:rPr>
                <w:sz w:val="20"/>
                <w:szCs w:val="20"/>
              </w:rPr>
            </w:pPr>
            <w:r w:rsidRPr="00F760C3">
              <w:rPr>
                <w:color w:val="000000"/>
                <w:sz w:val="20"/>
                <w:szCs w:val="20"/>
              </w:rPr>
              <w:t>1.9%</w:t>
            </w:r>
          </w:p>
        </w:tc>
        <w:tc>
          <w:tcPr>
            <w:tcW w:w="1890" w:type="dxa"/>
            <w:vAlign w:val="center"/>
          </w:tcPr>
          <w:p w:rsidRPr="00F760C3" w:rsidR="00024C3D" w:rsidP="00293B74" w:rsidRDefault="00024C3D" w14:paraId="2965F19E" w14:textId="06F3EB99">
            <w:pPr>
              <w:spacing w:after="0"/>
              <w:jc w:val="center"/>
              <w:rPr>
                <w:sz w:val="20"/>
                <w:szCs w:val="20"/>
              </w:rPr>
            </w:pPr>
            <w:r w:rsidRPr="00F760C3">
              <w:rPr>
                <w:color w:val="000000"/>
                <w:sz w:val="20"/>
                <w:szCs w:val="20"/>
              </w:rPr>
              <w:t>1,</w:t>
            </w:r>
            <w:r w:rsidRPr="00F760C3" w:rsidR="00E0490B">
              <w:rPr>
                <w:color w:val="000000"/>
                <w:sz w:val="20"/>
                <w:szCs w:val="20"/>
              </w:rPr>
              <w:t>243</w:t>
            </w:r>
          </w:p>
        </w:tc>
        <w:tc>
          <w:tcPr>
            <w:tcW w:w="1751" w:type="dxa"/>
            <w:vAlign w:val="center"/>
          </w:tcPr>
          <w:p w:rsidRPr="00F760C3" w:rsidR="00024C3D" w:rsidP="00293B74" w:rsidRDefault="00944BE7" w14:paraId="46F30434" w14:textId="1B61CA54">
            <w:pPr>
              <w:spacing w:after="0"/>
              <w:jc w:val="center"/>
              <w:rPr>
                <w:sz w:val="20"/>
                <w:szCs w:val="20"/>
              </w:rPr>
            </w:pPr>
            <w:r w:rsidRPr="00F760C3">
              <w:rPr>
                <w:sz w:val="20"/>
                <w:szCs w:val="20"/>
              </w:rPr>
              <w:t>16,730</w:t>
            </w:r>
          </w:p>
        </w:tc>
        <w:tc>
          <w:tcPr>
            <w:tcW w:w="1728" w:type="dxa"/>
            <w:vAlign w:val="center"/>
          </w:tcPr>
          <w:p w:rsidRPr="00F760C3" w:rsidR="00024C3D" w:rsidP="00293B74" w:rsidRDefault="00024C3D" w14:paraId="73F51581" w14:textId="77777777">
            <w:pPr>
              <w:spacing w:after="0"/>
              <w:jc w:val="center"/>
              <w:rPr>
                <w:sz w:val="20"/>
                <w:szCs w:val="20"/>
              </w:rPr>
            </w:pPr>
            <w:r w:rsidRPr="00F760C3">
              <w:rPr>
                <w:color w:val="000000"/>
                <w:sz w:val="20"/>
                <w:szCs w:val="20"/>
              </w:rPr>
              <w:t>6.4%</w:t>
            </w:r>
          </w:p>
        </w:tc>
      </w:tr>
    </w:tbl>
    <w:p w:rsidRPr="004D3B84" w:rsidR="00024C3D" w:rsidP="00293B74" w:rsidRDefault="00024C3D" w14:paraId="69383D79" w14:textId="77777777">
      <w:pPr>
        <w:widowControl w:val="0"/>
        <w:tabs>
          <w:tab w:val="left" w:pos="360"/>
        </w:tabs>
        <w:autoSpaceDE w:val="0"/>
        <w:autoSpaceDN w:val="0"/>
        <w:adjustRightInd w:val="0"/>
        <w:spacing w:after="0"/>
        <w:ind w:left="-72" w:hanging="360"/>
        <w:rPr>
          <w:rFonts w:eastAsiaTheme="minorEastAsia"/>
        </w:rPr>
      </w:pPr>
    </w:p>
    <w:p w:rsidRPr="00C33A92" w:rsidR="00024C3D" w:rsidP="00AC110B" w:rsidRDefault="00BE156F" w14:paraId="2D9B3668" w14:textId="4EA5F24D">
      <w:pPr>
        <w:widowControl w:val="0"/>
        <w:tabs>
          <w:tab w:val="left" w:pos="630"/>
        </w:tabs>
        <w:autoSpaceDE w:val="0"/>
        <w:autoSpaceDN w:val="0"/>
        <w:adjustRightInd w:val="0"/>
        <w:spacing w:before="240" w:after="0"/>
        <w:ind w:left="360" w:hanging="360"/>
        <w:rPr>
          <w:u w:val="single"/>
        </w:rPr>
      </w:pPr>
      <w:r w:rsidRPr="00C33A92">
        <w:rPr>
          <w:u w:val="single"/>
        </w:rPr>
        <w:t>B</w:t>
      </w:r>
      <w:bookmarkEnd w:id="9"/>
      <w:r w:rsidRPr="00C33A92">
        <w:rPr>
          <w:u w:val="single"/>
        </w:rPr>
        <w:t>.2.d</w:t>
      </w:r>
      <w:r w:rsidRPr="00C33A92" w:rsidR="00024C3D">
        <w:rPr>
          <w:u w:val="single"/>
        </w:rPr>
        <w:t>.</w:t>
      </w:r>
      <w:r w:rsidR="00AC110B">
        <w:rPr>
          <w:u w:val="single"/>
        </w:rPr>
        <w:tab/>
      </w:r>
      <w:r w:rsidR="00967F5B">
        <w:rPr>
          <w:u w:val="single"/>
        </w:rPr>
        <w:tab/>
      </w:r>
      <w:r w:rsidRPr="00C33A92" w:rsidR="00024C3D">
        <w:rPr>
          <w:u w:val="single"/>
        </w:rPr>
        <w:t>Response Rate</w:t>
      </w:r>
    </w:p>
    <w:p w:rsidRPr="004D3B84" w:rsidR="00102ADB" w:rsidP="00566433" w:rsidRDefault="00102ADB" w14:paraId="4F569899" w14:textId="10023E3C">
      <w:pPr>
        <w:widowControl w:val="0"/>
        <w:autoSpaceDE w:val="0"/>
        <w:autoSpaceDN w:val="0"/>
        <w:adjustRightInd w:val="0"/>
        <w:rPr>
          <w:iCs/>
        </w:rPr>
      </w:pPr>
      <w:r w:rsidRPr="004D3B84">
        <w:rPr>
          <w:iCs/>
        </w:rPr>
        <w:t>In general, response rates can be affected by many factors, such as mode, sponsor, topic, questionnaire length, use of incentives, and frequency and intensity of follow-up efforts for nonrespondents (see, for example, Groves &amp; Couper 2012;</w:t>
      </w:r>
      <w:r w:rsidRPr="004D3B84">
        <w:rPr>
          <w:iCs/>
          <w:vertAlign w:val="superscript"/>
        </w:rPr>
        <w:footnoteReference w:id="17"/>
      </w:r>
      <w:r w:rsidRPr="004D3B84">
        <w:rPr>
          <w:iCs/>
        </w:rPr>
        <w:t xml:space="preserve"> Massey &amp; Tourangeau 2013;</w:t>
      </w:r>
      <w:r>
        <w:rPr>
          <w:iCs/>
        </w:rPr>
        <w:footnoteReference w:id="18"/>
      </w:r>
      <w:r w:rsidRPr="004D3B84">
        <w:rPr>
          <w:iCs/>
        </w:rPr>
        <w:t xml:space="preserve"> Plewes &amp; Tourangeau 2013</w:t>
      </w:r>
      <w:r>
        <w:rPr>
          <w:iCs/>
        </w:rPr>
        <w:footnoteReference w:id="19"/>
      </w:r>
      <w:r w:rsidRPr="004D3B84">
        <w:rPr>
          <w:iCs/>
        </w:rPr>
        <w:t xml:space="preserve">). </w:t>
      </w:r>
      <w:bookmarkStart w:name="_Hlk78451882" w:id="10"/>
      <w:r w:rsidRPr="004D3B84">
        <w:rPr>
          <w:iCs/>
        </w:rPr>
        <w:t>However, based on prior experience, we anticipate an AAPOR</w:t>
      </w:r>
      <w:r>
        <w:rPr>
          <w:iCs/>
        </w:rPr>
        <w:footnoteReference w:id="20"/>
      </w:r>
      <w:r>
        <w:rPr>
          <w:iCs/>
        </w:rPr>
        <w:t xml:space="preserve"> </w:t>
      </w:r>
      <w:r w:rsidRPr="004D3B84">
        <w:rPr>
          <w:iCs/>
        </w:rPr>
        <w:t>Response Rate 3 (RR3) of approximately 4% in each State.</w:t>
      </w:r>
      <w:bookmarkEnd w:id="10"/>
    </w:p>
    <w:p w:rsidRPr="004D3B84" w:rsidR="00024C3D" w:rsidP="00293B74" w:rsidRDefault="00BE156F" w14:paraId="59A6415A" w14:textId="78DDAEE1">
      <w:pPr>
        <w:widowControl w:val="0"/>
        <w:autoSpaceDE w:val="0"/>
        <w:autoSpaceDN w:val="0"/>
        <w:adjustRightInd w:val="0"/>
        <w:spacing w:before="240" w:after="0"/>
        <w:ind w:left="360" w:hanging="360"/>
        <w:rPr>
          <w:u w:val="single"/>
          <w:lang w:val="fr-FR"/>
        </w:rPr>
      </w:pPr>
      <w:r w:rsidRPr="004D3B84">
        <w:rPr>
          <w:u w:val="single"/>
          <w:lang w:val="fr-FR"/>
        </w:rPr>
        <w:t>B.2.</w:t>
      </w:r>
      <w:r w:rsidRPr="004D3B84" w:rsidR="00024C3D">
        <w:rPr>
          <w:u w:val="single"/>
          <w:lang w:val="fr-FR"/>
        </w:rPr>
        <w:t xml:space="preserve">e. </w:t>
      </w:r>
      <w:r w:rsidR="00967F5B">
        <w:rPr>
          <w:u w:val="single"/>
          <w:lang w:val="fr-FR"/>
        </w:rPr>
        <w:tab/>
      </w:r>
      <w:r w:rsidRPr="004D3B84" w:rsidR="00024C3D">
        <w:rPr>
          <w:u w:val="single"/>
          <w:lang w:val="fr-FR"/>
        </w:rPr>
        <w:t>Non-response Bias Analysis</w:t>
      </w:r>
    </w:p>
    <w:p w:rsidRPr="004D3B84" w:rsidR="00024C3D" w:rsidP="00566433" w:rsidRDefault="00024C3D" w14:paraId="5A25F33C" w14:textId="37E1CF59">
      <w:pPr>
        <w:widowControl w:val="0"/>
        <w:autoSpaceDE w:val="0"/>
        <w:autoSpaceDN w:val="0"/>
        <w:adjustRightInd w:val="0"/>
      </w:pPr>
      <w:r w:rsidRPr="004D3B84">
        <w:lastRenderedPageBreak/>
        <w:t xml:space="preserve">The study will follow a two-step process to assess the risk of nonresponse bias using auxiliary variables available for the entire invited sample. First, logistic regression methods will be used to estimate response propensity, using auxiliary variables in the sampling frame that are available for both respondents and nonrespondents. For the ABS frame, this will include commercially appended auxiliary variables or appended geographic data (e.g., block group characteristics from the </w:t>
      </w:r>
      <w:r w:rsidRPr="004D3B84" w:rsidR="00A12CB4">
        <w:rPr>
          <w:rFonts w:eastAsiaTheme="minorEastAsia"/>
        </w:rPr>
        <w:t>American Community Survey</w:t>
      </w:r>
      <w:r w:rsidRPr="004D3B84" w:rsidR="00A12CB4">
        <w:t xml:space="preserve"> (</w:t>
      </w:r>
      <w:r w:rsidRPr="004D3B84">
        <w:t>ACS</w:t>
      </w:r>
      <w:r w:rsidRPr="004D3B84" w:rsidR="00A12CB4">
        <w:t>)</w:t>
      </w:r>
      <w:r w:rsidRPr="004D3B84">
        <w:t xml:space="preserve"> or U.S. Census mail return rate). Then, for those demographic characteristics that are found to be significant predictors of response status, additional logistic regression analyses will be conducted to determine whether these characteristics are also significantly related to key outcome variables of interest. For characteristics related to both response propensity and survey outcomes, unadjusted estimates would be subject to bias; this will be considered when computing survey weights. It is important to note that nonresponse bias is specific to a particular statistic so separate assessments will be needed for key estimates.</w:t>
      </w:r>
    </w:p>
    <w:p w:rsidRPr="00D65ECB" w:rsidR="00024C3D" w:rsidP="00293B74" w:rsidRDefault="00D40A69" w14:paraId="7CF120F5" w14:textId="7FFBCF82">
      <w:pPr>
        <w:keepNext/>
        <w:spacing w:after="0"/>
        <w:jc w:val="both"/>
        <w:rPr>
          <w:iCs/>
          <w:u w:val="single"/>
        </w:rPr>
      </w:pPr>
      <w:r w:rsidRPr="001549E6">
        <w:rPr>
          <w:u w:val="single"/>
        </w:rPr>
        <w:t>B.2.</w:t>
      </w:r>
      <w:r w:rsidRPr="00D65ECB" w:rsidR="00024C3D">
        <w:rPr>
          <w:iCs/>
          <w:u w:val="single"/>
        </w:rPr>
        <w:t xml:space="preserve">f. </w:t>
      </w:r>
      <w:r w:rsidR="000D1ED3">
        <w:rPr>
          <w:iCs/>
          <w:u w:val="single"/>
        </w:rPr>
        <w:tab/>
      </w:r>
      <w:r w:rsidRPr="00D65ECB" w:rsidR="00024C3D">
        <w:rPr>
          <w:iCs/>
          <w:u w:val="single"/>
        </w:rPr>
        <w:t>Sample Weighting</w:t>
      </w:r>
    </w:p>
    <w:p w:rsidRPr="004D3B84" w:rsidR="00024C3D" w:rsidP="00566433" w:rsidRDefault="00024C3D" w14:paraId="498A40E1" w14:textId="63CC14E9">
      <w:pPr>
        <w:widowControl w:val="0"/>
        <w:autoSpaceDE w:val="0"/>
        <w:autoSpaceDN w:val="0"/>
        <w:adjustRightInd w:val="0"/>
      </w:pPr>
      <w:r w:rsidRPr="004D3B84">
        <w:t xml:space="preserve">The study will develop full-sample weights that will reflect the study design and mitigate the risks of nonresponse bias and/or coverage bias. These weights will allow expansion of the samples to the target populations of the two </w:t>
      </w:r>
      <w:r w:rsidR="00D40A69">
        <w:t>states</w:t>
      </w:r>
      <w:r w:rsidRPr="004D3B84" w:rsidR="00D40A69">
        <w:t xml:space="preserve"> </w:t>
      </w:r>
      <w:r w:rsidRPr="004D3B84">
        <w:t xml:space="preserve">(Florida and Pennsylvania). For each </w:t>
      </w:r>
      <w:r w:rsidR="00D40A69">
        <w:t>state</w:t>
      </w:r>
      <w:r w:rsidRPr="004D3B84">
        <w:t xml:space="preserve">, weights will be computed </w:t>
      </w:r>
      <w:r w:rsidR="00AC110B">
        <w:t>as follows</w:t>
      </w:r>
      <w:r w:rsidRPr="004D3B84">
        <w:t>:</w:t>
      </w:r>
    </w:p>
    <w:p w:rsidRPr="004D3B84" w:rsidR="00024C3D" w:rsidP="00566433" w:rsidRDefault="00024C3D" w14:paraId="57E7C48A" w14:textId="212AA821">
      <w:pPr>
        <w:widowControl w:val="0"/>
        <w:autoSpaceDE w:val="0"/>
        <w:autoSpaceDN w:val="0"/>
        <w:adjustRightInd w:val="0"/>
        <w:rPr>
          <w:rFonts w:eastAsiaTheme="minorEastAsia"/>
        </w:rPr>
      </w:pPr>
      <w:r w:rsidRPr="004D3B84">
        <w:rPr>
          <w:rFonts w:eastAsiaTheme="minorEastAsia"/>
          <w:b/>
        </w:rPr>
        <w:t>Base Weights.</w:t>
      </w:r>
      <w:r w:rsidRPr="004D3B84">
        <w:rPr>
          <w:rFonts w:eastAsiaTheme="minorEastAsia"/>
        </w:rPr>
        <w:t xml:space="preserve"> Base weights (i.e., sampling weights) will be computed as the inverse of each household’s probability of selection from the frame</w:t>
      </w:r>
      <w:r w:rsidR="00C32DCC">
        <w:rPr>
          <w:rFonts w:eastAsiaTheme="minorEastAsia"/>
        </w:rPr>
        <w:t xml:space="preserve">, which is </w:t>
      </w:r>
      <w:r w:rsidRPr="004D3B84">
        <w:rPr>
          <w:rFonts w:eastAsiaTheme="minorEastAsia"/>
        </w:rPr>
        <w:t xml:space="preserve">the number of addresses sampled divided by the number of addresses </w:t>
      </w:r>
      <w:r w:rsidR="00B35D55">
        <w:rPr>
          <w:rFonts w:eastAsiaTheme="minorEastAsia"/>
        </w:rPr>
        <w:t>o</w:t>
      </w:r>
      <w:r w:rsidRPr="004D3B84">
        <w:rPr>
          <w:rFonts w:eastAsiaTheme="minorEastAsia"/>
        </w:rPr>
        <w:t xml:space="preserve">n the </w:t>
      </w:r>
      <w:r w:rsidR="00B35D55">
        <w:rPr>
          <w:rFonts w:eastAsiaTheme="minorEastAsia"/>
        </w:rPr>
        <w:t>fr</w:t>
      </w:r>
      <w:r w:rsidRPr="004D3B84" w:rsidR="00B35D55">
        <w:rPr>
          <w:rFonts w:eastAsiaTheme="minorEastAsia"/>
        </w:rPr>
        <w:t>a</w:t>
      </w:r>
      <w:r w:rsidR="00B35D55">
        <w:rPr>
          <w:rFonts w:eastAsiaTheme="minorEastAsia"/>
        </w:rPr>
        <w:t>me</w:t>
      </w:r>
      <w:r w:rsidRPr="004D3B84">
        <w:rPr>
          <w:rFonts w:eastAsiaTheme="minorEastAsia"/>
        </w:rPr>
        <w:t xml:space="preserve">. </w:t>
      </w:r>
    </w:p>
    <w:p w:rsidRPr="004D3B84" w:rsidR="00024C3D" w:rsidP="00566433" w:rsidRDefault="00024C3D" w14:paraId="716BC2F0" w14:textId="77777777">
      <w:pPr>
        <w:widowControl w:val="0"/>
        <w:autoSpaceDE w:val="0"/>
        <w:autoSpaceDN w:val="0"/>
        <w:adjustRightInd w:val="0"/>
        <w:rPr>
          <w:rFonts w:eastAsiaTheme="minorEastAsia"/>
        </w:rPr>
      </w:pPr>
      <w:r w:rsidRPr="004D3B84">
        <w:rPr>
          <w:rFonts w:eastAsiaTheme="minorEastAsia"/>
          <w:b/>
        </w:rPr>
        <w:t>Nonresponse Adjustments.</w:t>
      </w:r>
      <w:r w:rsidRPr="004D3B84">
        <w:rPr>
          <w:rFonts w:eastAsiaTheme="minorEastAsia"/>
        </w:rPr>
        <w:t xml:space="preserve"> Weights will then be adjusted in two steps to compensate for unit nonresponse: the first step will entail an eligibility adjustment (i.e., to account for sample members with unknown eligibility) and the second step will entail a survey completion adjustment (i.e., to account for eligible households who did not complete the survey). In each stage, the weights of usable cases will be inflated to account for cases that are unusable. The eligibility adjustment will entail inflating the weights of units with known eligibility (i.e., eligible and ineligible units) to account for the unknown eligibility group. The survey completion adjustment will entail inflating the weights of eligible respondents to account for eligible households who did not complete the survey (i.e., eligible nonrespondents).</w:t>
      </w:r>
    </w:p>
    <w:p w:rsidRPr="004D3B84" w:rsidR="00024C3D" w:rsidP="00566433" w:rsidRDefault="00024C3D" w14:paraId="4E22651A" w14:textId="0A918406">
      <w:pPr>
        <w:widowControl w:val="0"/>
        <w:autoSpaceDE w:val="0"/>
        <w:autoSpaceDN w:val="0"/>
        <w:adjustRightInd w:val="0"/>
        <w:rPr>
          <w:rFonts w:eastAsiaTheme="minorEastAsia"/>
        </w:rPr>
      </w:pPr>
      <w:r w:rsidRPr="004D3B84">
        <w:rPr>
          <w:rFonts w:eastAsiaTheme="minorEastAsia"/>
          <w:b/>
        </w:rPr>
        <w:t>Within-Household Adjustment.</w:t>
      </w:r>
      <w:r w:rsidRPr="004D3B84">
        <w:rPr>
          <w:rFonts w:eastAsiaTheme="minorEastAsia"/>
        </w:rPr>
        <w:t xml:space="preserve"> This adjustment will account for </w:t>
      </w:r>
      <w:r w:rsidRPr="004D3B84" w:rsidR="009812E0">
        <w:t xml:space="preserve">household size and adjust for the probability of a single eligible adult being selected within the household. This is based upon responses to a survey question that asks how many eligible adults live in the household. The probability of selecting a single adult is inversely proportional to the number of eligible adults in the household, therefore, this weighting step entails multiplying the previous weights by the number of eligible adults in </w:t>
      </w:r>
      <w:r w:rsidRPr="004D3B84" w:rsidR="00845CFE">
        <w:t xml:space="preserve">the </w:t>
      </w:r>
      <w:r w:rsidRPr="004D3B84" w:rsidR="009812E0">
        <w:t>household. For example, if there are two eligible adults in a household, then the probability of selecting a single adult is 1/2 and the previous weights will be multiplied by 2. Note that for purposes of computing this adjustment, we expect to top-code the number of eligible adults (e.g., at 2 or 3) to mitigate weight variation and improve survey precision.</w:t>
      </w:r>
    </w:p>
    <w:p w:rsidRPr="004D3B84" w:rsidR="00DE712E" w:rsidP="00566433" w:rsidRDefault="00E6641A" w14:paraId="3BDE3499" w14:textId="49297C9A">
      <w:r w:rsidRPr="004D3B84">
        <w:rPr>
          <w:rFonts w:eastAsiaTheme="minorEastAsia"/>
          <w:b/>
        </w:rPr>
        <w:t xml:space="preserve">Handling of </w:t>
      </w:r>
      <w:r w:rsidRPr="004D3B84" w:rsidR="0057669A">
        <w:rPr>
          <w:rFonts w:eastAsiaTheme="minorEastAsia"/>
          <w:b/>
        </w:rPr>
        <w:t xml:space="preserve">Frame </w:t>
      </w:r>
      <w:r w:rsidRPr="004D3B84" w:rsidR="00024C3D">
        <w:rPr>
          <w:rFonts w:eastAsiaTheme="minorEastAsia"/>
          <w:b/>
        </w:rPr>
        <w:t>Multiplicity</w:t>
      </w:r>
      <w:r w:rsidRPr="004D3B84" w:rsidR="00024C3D">
        <w:rPr>
          <w:rFonts w:eastAsiaTheme="minorEastAsia"/>
          <w:bCs/>
        </w:rPr>
        <w:t xml:space="preserve">. </w:t>
      </w:r>
      <w:r w:rsidRPr="004D3B84" w:rsidR="00DE712E">
        <w:t xml:space="preserve">This refers </w:t>
      </w:r>
      <w:r w:rsidRPr="004D3B84" w:rsidR="00495230">
        <w:t xml:space="preserve">to </w:t>
      </w:r>
      <w:r w:rsidRPr="004D3B84" w:rsidR="00DE712E">
        <w:t xml:space="preserve">the situation in which two </w:t>
      </w:r>
      <w:r w:rsidR="00CF5562">
        <w:t xml:space="preserve">or more </w:t>
      </w:r>
      <w:r w:rsidRPr="004D3B84" w:rsidR="00DE712E">
        <w:t xml:space="preserve">records exist on the sample frame and the set of records refer to the same physical housing unit in the target population. This can occur, for example, if one record on the ABS frame has a P.O. address for a housing unit and a second record has the physical address of the housing unit itself.  This can </w:t>
      </w:r>
      <w:r w:rsidRPr="004D3B84" w:rsidR="00DE712E">
        <w:lastRenderedPageBreak/>
        <w:t xml:space="preserve">also occur if two records have varying abbreviations of the same address and the </w:t>
      </w:r>
      <w:r w:rsidRPr="004D3B84" w:rsidR="00FA6E09">
        <w:t xml:space="preserve">multiplicity </w:t>
      </w:r>
      <w:r w:rsidRPr="004D3B84" w:rsidR="00DE712E">
        <w:t>was not found at the time the frame was constructed. Since these tend to be rare events, if we encounter two or more records in the sample that point to the same physical housing unit, one record will be flagged as being eligible for the study and the other record(s) will be flagged as being ineligible. All records retain their original selection weight and omitting ineligible records from the sample is an effective way to estimate the size of the eligible target population. The size of the eligible target population is the sum of the base sampling weights associated with eligible cases.</w:t>
      </w:r>
    </w:p>
    <w:p w:rsidRPr="004D3B84" w:rsidR="000675ED" w:rsidP="00566433" w:rsidRDefault="000675ED" w14:paraId="1A0E7397" w14:textId="423A9C76">
      <w:r w:rsidRPr="004D3B84">
        <w:rPr>
          <w:rFonts w:eastAsiaTheme="minorEastAsia"/>
          <w:b/>
        </w:rPr>
        <w:t>Multiplicity</w:t>
      </w:r>
      <w:r w:rsidRPr="004D3B84" w:rsidR="00E6641A">
        <w:rPr>
          <w:rFonts w:eastAsiaTheme="minorEastAsia"/>
          <w:b/>
        </w:rPr>
        <w:t xml:space="preserve"> Adjustment</w:t>
      </w:r>
      <w:r w:rsidRPr="004D3B84" w:rsidR="00B07AD0">
        <w:rPr>
          <w:rFonts w:eastAsiaTheme="minorEastAsia"/>
          <w:b/>
        </w:rPr>
        <w:t xml:space="preserve"> for Addresses Containing Multiple Households</w:t>
      </w:r>
      <w:r w:rsidRPr="004D3B84">
        <w:t xml:space="preserve">. </w:t>
      </w:r>
      <w:r w:rsidRPr="004D3B84" w:rsidR="00B07AD0">
        <w:t xml:space="preserve">Multiplicity adjustments are applied to account for the lack of one-to-one correspondence between addresses and households. This first multiplicity adjustment accounts for </w:t>
      </w:r>
      <w:r w:rsidRPr="004D3B84">
        <w:t>situation</w:t>
      </w:r>
      <w:r w:rsidRPr="004D3B84" w:rsidR="00B07AD0">
        <w:t>s</w:t>
      </w:r>
      <w:r w:rsidRPr="004D3B84">
        <w:t xml:space="preserve"> in which two or more households share the same mailing address. In this case, there would be one record on the sample frame for the address, but in fact the record corresponds to more than one household. One example of this situation is for a household in which a second family is living in the basement. Another example is when there are multiple structures on a </w:t>
      </w:r>
      <w:r w:rsidRPr="004D3B84" w:rsidR="00FF3A0D">
        <w:t>property,</w:t>
      </w:r>
      <w:r w:rsidRPr="004D3B84">
        <w:t xml:space="preserve"> but each structure belongs to a different household, as in a main house/guest house situation. To address this issue, we will assume the person opening the survey solicitation material represents a randomly selected individual from all households that receive mail at the address. </w:t>
      </w:r>
      <w:bookmarkStart w:name="_Hlk68877053" w:id="11"/>
      <w:r w:rsidRPr="004D3B84">
        <w:t xml:space="preserve">One survey item asks the respondent </w:t>
      </w:r>
      <w:r w:rsidRPr="004D3B84" w:rsidR="00E56372">
        <w:t xml:space="preserve">whether additional </w:t>
      </w:r>
      <w:r w:rsidRPr="004D3B84">
        <w:t xml:space="preserve">households </w:t>
      </w:r>
      <w:r w:rsidRPr="004D3B84" w:rsidR="00E56372">
        <w:t xml:space="preserve">receive </w:t>
      </w:r>
      <w:r w:rsidRPr="004D3B84">
        <w:t xml:space="preserve">mail at that address. If more than one household receives mail at that address, then the sample weight for the respondent will be </w:t>
      </w:r>
      <w:r w:rsidRPr="004D3B84" w:rsidR="00E56372">
        <w:t xml:space="preserve">multiplied </w:t>
      </w:r>
      <w:r w:rsidRPr="004D3B84">
        <w:t xml:space="preserve">by a factor of </w:t>
      </w:r>
      <w:r w:rsidRPr="004D3B84" w:rsidR="00E56372">
        <w:t>2</w:t>
      </w:r>
      <w:r w:rsidRPr="004D3B84">
        <w:t>. This adjustment will allow us to keep the sampling unit at the household-level, and not at the address-level.</w:t>
      </w:r>
      <w:r w:rsidRPr="004D3B84" w:rsidR="00E56372">
        <w:t xml:space="preserve"> This adjustment implicitly assumes that no more than two households share an address, which mitigates weight variability.</w:t>
      </w:r>
    </w:p>
    <w:bookmarkEnd w:id="11"/>
    <w:p w:rsidRPr="004D3B84" w:rsidR="00E67E14" w:rsidP="00566433" w:rsidRDefault="00B07AD0" w14:paraId="32207268" w14:textId="42D643DA">
      <w:r w:rsidRPr="004D3B84">
        <w:rPr>
          <w:rFonts w:eastAsiaTheme="minorEastAsia"/>
          <w:b/>
        </w:rPr>
        <w:t xml:space="preserve">Multiplicity Adjustment for Households </w:t>
      </w:r>
      <w:r w:rsidRPr="004D3B84" w:rsidR="000E7C52">
        <w:rPr>
          <w:rFonts w:eastAsiaTheme="minorEastAsia"/>
          <w:b/>
        </w:rPr>
        <w:t>w</w:t>
      </w:r>
      <w:r w:rsidRPr="004D3B84" w:rsidR="00E56372">
        <w:rPr>
          <w:rFonts w:eastAsiaTheme="minorEastAsia"/>
          <w:b/>
        </w:rPr>
        <w:t xml:space="preserve">ith </w:t>
      </w:r>
      <w:r w:rsidRPr="004D3B84">
        <w:rPr>
          <w:rFonts w:eastAsiaTheme="minorEastAsia"/>
          <w:b/>
        </w:rPr>
        <w:t>Multiple Addresses</w:t>
      </w:r>
      <w:r w:rsidRPr="004D3B84">
        <w:t xml:space="preserve">. </w:t>
      </w:r>
      <w:r w:rsidRPr="004D3B84" w:rsidR="00E56372">
        <w:t xml:space="preserve">This </w:t>
      </w:r>
      <w:r w:rsidRPr="004D3B84" w:rsidR="00A9253C">
        <w:t>adjustment</w:t>
      </w:r>
      <w:r w:rsidRPr="004D3B84" w:rsidR="00E56372">
        <w:t xml:space="preserve"> accounts for situations in which a household can be reached </w:t>
      </w:r>
      <w:r w:rsidRPr="004D3B84" w:rsidR="000E7C52">
        <w:t>at multiple addresses.</w:t>
      </w:r>
      <w:r w:rsidRPr="004D3B84" w:rsidR="00A9253C">
        <w:t xml:space="preserve"> F</w:t>
      </w:r>
      <w:r w:rsidRPr="004D3B84" w:rsidR="000E7C52">
        <w:t>or example, a household receiving mail at two distinct addresses within the state has twice the chance of selection (assuming an equal probability design)</w:t>
      </w:r>
      <w:r w:rsidRPr="004D3B84" w:rsidR="00E67E14">
        <w:t xml:space="preserve">. Therefore, we ask respondents questions on mail use as to ascertain whether they receive mail at multiple addresses. Respondents receiving mail at multiple addresses will have their </w:t>
      </w:r>
      <w:r w:rsidRPr="004D3B84" w:rsidR="000E7C52">
        <w:t xml:space="preserve">weight multiplied by </w:t>
      </w:r>
      <w:r w:rsidRPr="004D3B84" w:rsidR="00E67E14">
        <w:t xml:space="preserve">a factor of </w:t>
      </w:r>
      <w:r w:rsidRPr="004D3B84" w:rsidR="000E7C52">
        <w:t>0.5</w:t>
      </w:r>
      <w:r w:rsidRPr="004D3B84" w:rsidR="00E67E14">
        <w:t>,</w:t>
      </w:r>
      <w:r w:rsidRPr="004D3B84" w:rsidR="000E7C52">
        <w:t xml:space="preserve"> as to avoid </w:t>
      </w:r>
      <w:r w:rsidRPr="004D3B84" w:rsidR="00A9253C">
        <w:t xml:space="preserve">overrepresentation </w:t>
      </w:r>
      <w:r w:rsidRPr="004D3B84" w:rsidR="000E7C52">
        <w:t xml:space="preserve">in the sample. </w:t>
      </w:r>
      <w:r w:rsidRPr="004D3B84" w:rsidR="00E67E14">
        <w:t>This adjustment implicitly assumes that households have no more than two addresses at which they receive mail; this assumption allows for simpler question wording and mitigates weight variability.</w:t>
      </w:r>
    </w:p>
    <w:p w:rsidRPr="004D3B84" w:rsidR="00024C3D" w:rsidP="00566433" w:rsidRDefault="00024C3D" w14:paraId="05197232" w14:textId="12A863D5">
      <w:pPr>
        <w:widowControl w:val="0"/>
        <w:autoSpaceDE w:val="0"/>
        <w:autoSpaceDN w:val="0"/>
        <w:adjustRightInd w:val="0"/>
        <w:rPr>
          <w:rFonts w:eastAsiaTheme="minorEastAsia"/>
        </w:rPr>
      </w:pPr>
      <w:r w:rsidRPr="004D3B84">
        <w:rPr>
          <w:rFonts w:eastAsiaTheme="minorEastAsia"/>
          <w:b/>
        </w:rPr>
        <w:t>Calibration (Raking) Adjustments.</w:t>
      </w:r>
      <w:r w:rsidRPr="004D3B84">
        <w:rPr>
          <w:rFonts w:eastAsiaTheme="minorEastAsia"/>
        </w:rPr>
        <w:t xml:space="preserve"> Weights will be calibrated to external benchmarks via raking (i.e., iterative proportional fitting). This last step produces the final survey weights for use in population level estimation and inference and ensures that the weighted sample characteristics match known distributions for the target population. Calibration adjustments can also be used to correct distortions in the sample distribution of key respondent characteristics caused by nonresponse and/or coverage error. The study will calibrate to both household-level characteristics (e.g., income, rent status, number of vehicles</w:t>
      </w:r>
      <w:r w:rsidRPr="004D3B84" w:rsidR="00D341A5">
        <w:rPr>
          <w:rFonts w:eastAsiaTheme="minorEastAsia"/>
        </w:rPr>
        <w:t>, number of employed adults</w:t>
      </w:r>
      <w:r w:rsidRPr="004D3B84">
        <w:rPr>
          <w:rFonts w:eastAsiaTheme="minorEastAsia"/>
        </w:rPr>
        <w:t>) and individual-level characteristics (e.g., age, gender, race/ethnicity, education, and/or marital status). The American Community Survey (ACS) will be used to obtain appropriate population control totals for the Florida and Pennsylvania target populations</w:t>
      </w:r>
      <w:r w:rsidR="00F97DE0">
        <w:rPr>
          <w:rFonts w:eastAsiaTheme="minorEastAsia"/>
        </w:rPr>
        <w:t xml:space="preserve"> as the external benchmarks</w:t>
      </w:r>
      <w:r w:rsidRPr="004D3B84">
        <w:rPr>
          <w:rFonts w:eastAsiaTheme="minorEastAsia"/>
        </w:rPr>
        <w:t>.</w:t>
      </w:r>
    </w:p>
    <w:p w:rsidRPr="004D3B84" w:rsidR="00024C3D" w:rsidP="00C33A92" w:rsidRDefault="00024C3D" w14:paraId="3C3E9B31" w14:textId="32C759D6">
      <w:pPr>
        <w:pStyle w:val="Heading1"/>
        <w:spacing w:after="120"/>
        <w:rPr>
          <w:rFonts w:hint="eastAsia"/>
        </w:rPr>
      </w:pPr>
      <w:r w:rsidRPr="004D3B84">
        <w:t>B.3. Describe methods to maximize response rates.</w:t>
      </w:r>
    </w:p>
    <w:p w:rsidRPr="004D3B84" w:rsidR="00024C3D" w:rsidP="00631402" w:rsidRDefault="00024C3D" w14:paraId="48D47507" w14:textId="721DDB31">
      <w:pPr>
        <w:pStyle w:val="BodyText"/>
        <w:spacing w:before="120"/>
        <w:rPr>
          <w:rFonts w:eastAsiaTheme="minorEastAsia"/>
        </w:rPr>
      </w:pPr>
      <w:r w:rsidRPr="004D3B84">
        <w:rPr>
          <w:rFonts w:eastAsiaTheme="minorEastAsia"/>
        </w:rPr>
        <w:t xml:space="preserve">The survey will use </w:t>
      </w:r>
      <w:r w:rsidR="00631402">
        <w:rPr>
          <w:rFonts w:eastAsiaTheme="minorEastAsia"/>
        </w:rPr>
        <w:t xml:space="preserve">a logical flow of household </w:t>
      </w:r>
      <w:r w:rsidRPr="004D3B84">
        <w:rPr>
          <w:rFonts w:eastAsiaTheme="minorEastAsia"/>
        </w:rPr>
        <w:t xml:space="preserve">contacts to </w:t>
      </w:r>
      <w:r w:rsidR="00631402">
        <w:rPr>
          <w:rFonts w:eastAsiaTheme="minorEastAsia"/>
        </w:rPr>
        <w:t xml:space="preserve">first </w:t>
      </w:r>
      <w:r w:rsidRPr="004D3B84">
        <w:rPr>
          <w:rFonts w:eastAsiaTheme="minorEastAsia"/>
        </w:rPr>
        <w:t xml:space="preserve">introduce the study, provide </w:t>
      </w:r>
      <w:r w:rsidRPr="004D3B84">
        <w:rPr>
          <w:rFonts w:eastAsiaTheme="minorEastAsia"/>
        </w:rPr>
        <w:lastRenderedPageBreak/>
        <w:t>information on completion</w:t>
      </w:r>
      <w:r w:rsidR="00631402">
        <w:rPr>
          <w:rFonts w:eastAsiaTheme="minorEastAsia"/>
        </w:rPr>
        <w:t>,</w:t>
      </w:r>
      <w:r w:rsidRPr="004D3B84">
        <w:rPr>
          <w:rFonts w:eastAsiaTheme="minorEastAsia"/>
        </w:rPr>
        <w:t xml:space="preserve"> encourage the conversion of nonresponse</w:t>
      </w:r>
      <w:r w:rsidR="00631402">
        <w:rPr>
          <w:rFonts w:eastAsiaTheme="minorEastAsia"/>
        </w:rPr>
        <w:t>, present a paper alternative to be returned in the mail, and include an incentive</w:t>
      </w:r>
      <w:r w:rsidRPr="004D3B84">
        <w:rPr>
          <w:rFonts w:eastAsiaTheme="minorEastAsia"/>
        </w:rPr>
        <w:t xml:space="preserve">. </w:t>
      </w:r>
      <w:r w:rsidRPr="00421150" w:rsidR="00631402">
        <w:rPr>
          <w:color w:val="000000"/>
        </w:rPr>
        <w:t xml:space="preserve">Another facilitator of response will be adaption of the </w:t>
      </w:r>
      <w:r w:rsidR="00631402">
        <w:rPr>
          <w:color w:val="000000"/>
        </w:rPr>
        <w:t>w</w:t>
      </w:r>
      <w:r w:rsidRPr="00421150" w:rsidR="00631402">
        <w:rPr>
          <w:color w:val="000000"/>
        </w:rPr>
        <w:t>eb-based questionnaires for mobile platforms (e.g., smartphones, tablets) so that prospective respondents who wish to use such devices when taking the survey are not deterred.  Once a questionnaire is programmed, the platform will automatically adapt the presentation to optimize completion on a mobile device.</w:t>
      </w:r>
      <w:r w:rsidR="00631402">
        <w:rPr>
          <w:color w:val="000000"/>
        </w:rPr>
        <w:t xml:space="preserve"> </w:t>
      </w:r>
      <w:r w:rsidRPr="00C3605B" w:rsidR="00C3605B">
        <w:rPr>
          <w:color w:val="000000"/>
        </w:rPr>
        <w:t xml:space="preserve">This survey involves sending potential </w:t>
      </w:r>
      <w:r w:rsidR="00C3605B">
        <w:rPr>
          <w:color w:val="000000"/>
        </w:rPr>
        <w:t>responders</w:t>
      </w:r>
      <w:r w:rsidRPr="00C3605B" w:rsidR="00C3605B">
        <w:rPr>
          <w:color w:val="000000"/>
        </w:rPr>
        <w:t xml:space="preserve"> and nonresponde</w:t>
      </w:r>
      <w:r w:rsidR="000B5BF5">
        <w:rPr>
          <w:color w:val="000000"/>
        </w:rPr>
        <w:t>rs</w:t>
      </w:r>
      <w:r w:rsidRPr="00C3605B" w:rsidR="00C3605B">
        <w:rPr>
          <w:color w:val="000000"/>
        </w:rPr>
        <w:t xml:space="preserve"> in two states </w:t>
      </w:r>
      <w:r w:rsidR="00C3605B">
        <w:rPr>
          <w:color w:val="000000"/>
        </w:rPr>
        <w:t xml:space="preserve">across </w:t>
      </w:r>
      <w:r w:rsidRPr="00C3605B" w:rsidR="00C3605B">
        <w:rPr>
          <w:color w:val="000000"/>
        </w:rPr>
        <w:t>six waves of mailings</w:t>
      </w:r>
      <w:r w:rsidRPr="004D3B84">
        <w:rPr>
          <w:rFonts w:eastAsiaTheme="minorEastAsia"/>
        </w:rPr>
        <w:t>. These mailing materials will include:</w:t>
      </w:r>
    </w:p>
    <w:p w:rsidRPr="004D3B84" w:rsidR="00024C3D" w:rsidP="00CA3A9E" w:rsidRDefault="00024C3D" w14:paraId="199A594C" w14:textId="77777777">
      <w:pPr>
        <w:pStyle w:val="ListParagraph"/>
        <w:numPr>
          <w:ilvl w:val="0"/>
          <w:numId w:val="3"/>
        </w:numPr>
        <w:spacing w:after="160"/>
        <w:rPr>
          <w:rFonts w:eastAsiaTheme="minorEastAsia"/>
          <w:sz w:val="24"/>
        </w:rPr>
      </w:pPr>
      <w:r w:rsidRPr="004D3B84">
        <w:rPr>
          <w:rFonts w:eastAsiaTheme="minorEastAsia"/>
          <w:sz w:val="24"/>
        </w:rPr>
        <w:t>An advance postcard, describing the purpose of the survey, the survey request, and expected burden.</w:t>
      </w:r>
    </w:p>
    <w:p w:rsidRPr="004D3B84" w:rsidR="00024C3D" w:rsidP="00CA3A9E" w:rsidRDefault="00024C3D" w14:paraId="51608496" w14:textId="5DBBFBE3">
      <w:pPr>
        <w:pStyle w:val="ListParagraph"/>
        <w:numPr>
          <w:ilvl w:val="0"/>
          <w:numId w:val="3"/>
        </w:numPr>
        <w:spacing w:after="160"/>
        <w:rPr>
          <w:rFonts w:eastAsiaTheme="minorEastAsia"/>
          <w:sz w:val="24"/>
        </w:rPr>
      </w:pPr>
      <w:r w:rsidRPr="004D3B84">
        <w:rPr>
          <w:rFonts w:eastAsiaTheme="minorEastAsia"/>
          <w:sz w:val="24"/>
        </w:rPr>
        <w:t>An invitation letter with a secure link to the web survey, instructions for within household selection and a prepaid $1 incentive.</w:t>
      </w:r>
      <w:r w:rsidRPr="004D3B84" w:rsidR="00717EC0">
        <w:rPr>
          <w:rFonts w:eastAsiaTheme="minorEastAsia"/>
          <w:sz w:val="24"/>
        </w:rPr>
        <w:t xml:space="preserve"> Individuals who submit a completed questionnaire will receive a $10 incentive.</w:t>
      </w:r>
    </w:p>
    <w:p w:rsidRPr="004D3B84" w:rsidR="00024C3D" w:rsidP="00CA3A9E" w:rsidRDefault="00024C3D" w14:paraId="7ECB4F5F" w14:textId="77777777">
      <w:pPr>
        <w:pStyle w:val="ListParagraph"/>
        <w:numPr>
          <w:ilvl w:val="0"/>
          <w:numId w:val="3"/>
        </w:numPr>
        <w:spacing w:after="160"/>
        <w:rPr>
          <w:rFonts w:eastAsiaTheme="minorEastAsia"/>
          <w:sz w:val="24"/>
        </w:rPr>
      </w:pPr>
      <w:r w:rsidRPr="004D3B84">
        <w:rPr>
          <w:rFonts w:eastAsiaTheme="minorEastAsia"/>
          <w:sz w:val="24"/>
        </w:rPr>
        <w:t>A postcard reminder to complete the survey that repeats the language of the advance letter.</w:t>
      </w:r>
    </w:p>
    <w:p w:rsidRPr="004D3B84" w:rsidR="00024C3D" w:rsidP="00CA3A9E" w:rsidRDefault="00024C3D" w14:paraId="58B0EA65" w14:textId="77777777">
      <w:pPr>
        <w:pStyle w:val="ListParagraph"/>
        <w:numPr>
          <w:ilvl w:val="0"/>
          <w:numId w:val="3"/>
        </w:numPr>
        <w:spacing w:after="160"/>
        <w:rPr>
          <w:rFonts w:eastAsiaTheme="minorEastAsia"/>
          <w:sz w:val="24"/>
        </w:rPr>
      </w:pPr>
      <w:r w:rsidRPr="004D3B84">
        <w:rPr>
          <w:rFonts w:eastAsiaTheme="minorEastAsia"/>
          <w:sz w:val="24"/>
        </w:rPr>
        <w:t>A second mailing, which will aim to obtain responses from those who are unable or do not wish to complete the survey online. This mailing will contain a cover letter, paper survey instrument, and a postage paid business reply envelope.</w:t>
      </w:r>
    </w:p>
    <w:p w:rsidR="00024C3D" w:rsidP="00CA3A9E" w:rsidRDefault="00024C3D" w14:paraId="161CFA56" w14:textId="41A45669">
      <w:pPr>
        <w:pStyle w:val="ListParagraph"/>
        <w:numPr>
          <w:ilvl w:val="0"/>
          <w:numId w:val="3"/>
        </w:numPr>
        <w:spacing w:after="160"/>
        <w:rPr>
          <w:rFonts w:eastAsiaTheme="minorEastAsia"/>
          <w:sz w:val="24"/>
        </w:rPr>
      </w:pPr>
      <w:r w:rsidRPr="004D3B84">
        <w:rPr>
          <w:rFonts w:eastAsiaTheme="minorEastAsia"/>
          <w:sz w:val="24"/>
        </w:rPr>
        <w:t>A final reminder postcard to all nonrespondents.</w:t>
      </w:r>
    </w:p>
    <w:p w:rsidR="00D40A69" w:rsidP="00CA3A9E" w:rsidRDefault="00D40A69" w14:paraId="5893BFFA" w14:textId="13B5E9A3">
      <w:pPr>
        <w:pStyle w:val="ListParagraph"/>
        <w:numPr>
          <w:ilvl w:val="0"/>
          <w:numId w:val="3"/>
        </w:numPr>
        <w:spacing w:after="160"/>
        <w:rPr>
          <w:rFonts w:eastAsiaTheme="minorEastAsia"/>
          <w:sz w:val="24"/>
        </w:rPr>
      </w:pPr>
      <w:r>
        <w:rPr>
          <w:rFonts w:eastAsiaTheme="minorEastAsia"/>
          <w:sz w:val="24"/>
        </w:rPr>
        <w:t xml:space="preserve">A </w:t>
      </w:r>
      <w:r w:rsidR="001520BC">
        <w:rPr>
          <w:rFonts w:eastAsiaTheme="minorEastAsia"/>
          <w:sz w:val="24"/>
        </w:rPr>
        <w:t>t</w:t>
      </w:r>
      <w:r>
        <w:rPr>
          <w:rFonts w:eastAsiaTheme="minorEastAsia"/>
          <w:sz w:val="24"/>
        </w:rPr>
        <w:t xml:space="preserve">hank you </w:t>
      </w:r>
      <w:r w:rsidR="0089474E">
        <w:rPr>
          <w:rFonts w:eastAsiaTheme="minorEastAsia"/>
          <w:sz w:val="24"/>
        </w:rPr>
        <w:t xml:space="preserve">note and $10 </w:t>
      </w:r>
      <w:r w:rsidR="00524F26">
        <w:rPr>
          <w:rFonts w:eastAsiaTheme="minorEastAsia"/>
          <w:sz w:val="24"/>
        </w:rPr>
        <w:t>post-paid incentive</w:t>
      </w:r>
      <w:r w:rsidR="0089474E">
        <w:rPr>
          <w:rFonts w:eastAsiaTheme="minorEastAsia"/>
          <w:sz w:val="24"/>
        </w:rPr>
        <w:t>.</w:t>
      </w:r>
    </w:p>
    <w:p w:rsidRPr="00631402" w:rsidR="00631402" w:rsidP="00631402" w:rsidRDefault="00631402" w14:paraId="10AC9A85" w14:textId="63E11E42">
      <w:pPr>
        <w:spacing w:after="160"/>
        <w:rPr>
          <w:rFonts w:eastAsiaTheme="minorEastAsia"/>
        </w:rPr>
      </w:pPr>
      <w:r w:rsidRPr="00631402">
        <w:rPr>
          <w:rFonts w:eastAsiaTheme="minorEastAsia"/>
        </w:rPr>
        <w:t xml:space="preserve">During </w:t>
      </w:r>
      <w:r w:rsidR="00E90E5F">
        <w:rPr>
          <w:rFonts w:eastAsiaTheme="minorEastAsia"/>
        </w:rPr>
        <w:t xml:space="preserve">the survey </w:t>
      </w:r>
      <w:r w:rsidRPr="00631402">
        <w:rPr>
          <w:rFonts w:eastAsiaTheme="minorEastAsia"/>
        </w:rPr>
        <w:t xml:space="preserve">administration, </w:t>
      </w:r>
      <w:r>
        <w:rPr>
          <w:rFonts w:eastAsiaTheme="minorEastAsia"/>
        </w:rPr>
        <w:t>FMG</w:t>
      </w:r>
      <w:r w:rsidRPr="00631402">
        <w:rPr>
          <w:rFonts w:eastAsiaTheme="minorEastAsia"/>
        </w:rPr>
        <w:t xml:space="preserve"> will maintain support for the respondents via an e-mail help desk and a toll-free phone number. Clear instructions for accessing this support will be provided on paper materials and the web survey.</w:t>
      </w:r>
    </w:p>
    <w:p w:rsidRPr="004D3B84" w:rsidR="006504B8" w:rsidP="00257CEA" w:rsidRDefault="00227FD6" w14:paraId="0B11263E" w14:textId="77777777">
      <w:pPr>
        <w:pStyle w:val="Heading1"/>
        <w:rPr>
          <w:rFonts w:hint="eastAsia"/>
        </w:rPr>
      </w:pPr>
      <w:r w:rsidRPr="004D3B84">
        <w:t xml:space="preserve">B.4. </w:t>
      </w:r>
      <w:r w:rsidRPr="004D3B84" w:rsidR="006504B8">
        <w:t>Describe any tests of procedures or methods to be undertaken.</w:t>
      </w:r>
    </w:p>
    <w:p w:rsidRPr="004D3B84" w:rsidR="00A12CB4" w:rsidP="00293B74" w:rsidRDefault="00A12CB4" w14:paraId="2008CE0A" w14:textId="57F825D5">
      <w:pPr>
        <w:widowControl w:val="0"/>
        <w:autoSpaceDE w:val="0"/>
        <w:autoSpaceDN w:val="0"/>
        <w:adjustRightInd w:val="0"/>
        <w:spacing w:after="0"/>
      </w:pPr>
      <w:r w:rsidRPr="004D3B84">
        <w:rPr>
          <w:u w:val="single"/>
        </w:rPr>
        <w:t>B.4.1</w:t>
      </w:r>
      <w:r w:rsidR="00E90E5F">
        <w:rPr>
          <w:u w:val="single"/>
        </w:rPr>
        <w:t>.</w:t>
      </w:r>
      <w:r w:rsidRPr="004D3B84">
        <w:rPr>
          <w:u w:val="single"/>
        </w:rPr>
        <w:t xml:space="preserve"> </w:t>
      </w:r>
      <w:r w:rsidR="00E90E5F">
        <w:rPr>
          <w:u w:val="single"/>
        </w:rPr>
        <w:tab/>
      </w:r>
      <w:r w:rsidRPr="004D3B84">
        <w:rPr>
          <w:u w:val="single"/>
        </w:rPr>
        <w:t>Cognitive Testing</w:t>
      </w:r>
      <w:r w:rsidRPr="004D3B84">
        <w:t xml:space="preserve"> </w:t>
      </w:r>
    </w:p>
    <w:p w:rsidRPr="004D3B84" w:rsidR="001520BC" w:rsidP="001520BC" w:rsidRDefault="001520BC" w14:paraId="32E93DCB" w14:textId="1269ECCE">
      <w:pPr>
        <w:widowControl w:val="0"/>
        <w:autoSpaceDE w:val="0"/>
        <w:autoSpaceDN w:val="0"/>
        <w:adjustRightInd w:val="0"/>
      </w:pPr>
      <w:r w:rsidRPr="004D3B84">
        <w:t xml:space="preserve">As part of the study design, the contractor conducted nine cognitive interviews to test and refine questions for the survey. All interview participants were drawn from the study’s target population. </w:t>
      </w:r>
    </w:p>
    <w:p w:rsidRPr="004D3B84" w:rsidR="001520BC" w:rsidP="001520BC" w:rsidRDefault="001520BC" w14:paraId="38F46D9D" w14:textId="360A6523">
      <w:pPr>
        <w:pStyle w:val="BodyText"/>
        <w:spacing w:after="200"/>
      </w:pPr>
      <w:r w:rsidRPr="004D3B84">
        <w:t>The entire survey instrument was tested. The sessions were conducted</w:t>
      </w:r>
      <w:r>
        <w:t xml:space="preserve"> either in person at FMG’s facilities or</w:t>
      </w:r>
      <w:r w:rsidRPr="004D3B84">
        <w:t xml:space="preserve"> via video conferencing </w:t>
      </w:r>
      <w:r>
        <w:t>that</w:t>
      </w:r>
      <w:r w:rsidRPr="004D3B84">
        <w:t xml:space="preserve"> allowed the participant and interviewer to see and hear </w:t>
      </w:r>
      <w:r>
        <w:t>one an</w:t>
      </w:r>
      <w:r w:rsidRPr="004D3B84">
        <w:t xml:space="preserve">other. At the start of the interview, the </w:t>
      </w:r>
      <w:r>
        <w:t>interviewer</w:t>
      </w:r>
      <w:r w:rsidRPr="004D3B84">
        <w:t xml:space="preserve"> </w:t>
      </w:r>
      <w:r>
        <w:t>described</w:t>
      </w:r>
      <w:r w:rsidRPr="004D3B84">
        <w:t xml:space="preserve"> the purpose of the interview and provided detailed instructions to the participant. Although most respondents will complete a web-based survey, cognitive testing was conducted using a digital version of the paper survey displayed on a screen shared by the interviewer and participant. Notes were taken in real time for analysis and each session was recorded.</w:t>
      </w:r>
    </w:p>
    <w:p w:rsidRPr="004D3B84" w:rsidR="001C4719" w:rsidP="00566433" w:rsidRDefault="00ED5262" w14:paraId="7528FF6C" w14:textId="6B94D0C4">
      <w:pPr>
        <w:pStyle w:val="BodyText"/>
      </w:pPr>
      <w:r w:rsidRPr="004D3B84">
        <w:t xml:space="preserve">The </w:t>
      </w:r>
      <w:r w:rsidRPr="004D3B84" w:rsidR="001C4719">
        <w:t>pre-determined and ad-hoc probes were generally designed to:</w:t>
      </w:r>
    </w:p>
    <w:p w:rsidRPr="004D3B84" w:rsidR="001C4719" w:rsidP="00CA3A9E" w:rsidRDefault="001C4719" w14:paraId="40DBB6DD" w14:textId="77777777">
      <w:pPr>
        <w:pStyle w:val="BodyText"/>
        <w:widowControl/>
        <w:numPr>
          <w:ilvl w:val="0"/>
          <w:numId w:val="1"/>
        </w:numPr>
        <w:autoSpaceDE/>
        <w:autoSpaceDN/>
        <w:adjustRightInd/>
        <w:spacing w:after="40"/>
      </w:pPr>
      <w:r w:rsidRPr="004D3B84">
        <w:t>Ensure that participants understood the survey items as intended.</w:t>
      </w:r>
    </w:p>
    <w:p w:rsidRPr="004D3B84" w:rsidR="001C4719" w:rsidP="00CA3A9E" w:rsidRDefault="001C4719" w14:paraId="48031407" w14:textId="77777777">
      <w:pPr>
        <w:pStyle w:val="Body"/>
        <w:numPr>
          <w:ilvl w:val="0"/>
          <w:numId w:val="1"/>
        </w:numPr>
        <w:spacing w:after="40" w:line="276" w:lineRule="auto"/>
        <w:rPr>
          <w:rFonts w:ascii="Times New Roman" w:hAnsi="Times New Roman"/>
          <w:sz w:val="24"/>
          <w:szCs w:val="24"/>
        </w:rPr>
      </w:pPr>
      <w:r w:rsidRPr="004D3B84">
        <w:rPr>
          <w:rFonts w:ascii="Times New Roman" w:hAnsi="Times New Roman"/>
          <w:sz w:val="24"/>
          <w:szCs w:val="24"/>
        </w:rPr>
        <w:t xml:space="preserve">Assess the language and clarifying definitions included. </w:t>
      </w:r>
    </w:p>
    <w:p w:rsidRPr="004D3B84" w:rsidR="001C4719" w:rsidP="00CA3A9E" w:rsidRDefault="001C4719" w14:paraId="39241EEB" w14:textId="77777777">
      <w:pPr>
        <w:pStyle w:val="Body"/>
        <w:numPr>
          <w:ilvl w:val="0"/>
          <w:numId w:val="1"/>
        </w:numPr>
        <w:spacing w:after="40" w:line="276" w:lineRule="auto"/>
        <w:rPr>
          <w:rFonts w:ascii="Times New Roman" w:hAnsi="Times New Roman"/>
          <w:sz w:val="24"/>
          <w:szCs w:val="24"/>
        </w:rPr>
      </w:pPr>
      <w:r w:rsidRPr="004D3B84">
        <w:rPr>
          <w:rFonts w:ascii="Times New Roman" w:hAnsi="Times New Roman"/>
          <w:sz w:val="24"/>
          <w:szCs w:val="24"/>
        </w:rPr>
        <w:t xml:space="preserve">Assess the appropriateness of the response options/anchors used for the survey items. </w:t>
      </w:r>
    </w:p>
    <w:p w:rsidRPr="004D3B84" w:rsidR="001C4719" w:rsidP="00CA3A9E" w:rsidRDefault="001C4719" w14:paraId="39C2F710" w14:textId="77777777">
      <w:pPr>
        <w:pStyle w:val="Body"/>
        <w:numPr>
          <w:ilvl w:val="0"/>
          <w:numId w:val="1"/>
        </w:numPr>
        <w:spacing w:after="200" w:line="276" w:lineRule="auto"/>
        <w:rPr>
          <w:rFonts w:ascii="Times New Roman" w:hAnsi="Times New Roman"/>
          <w:sz w:val="24"/>
          <w:szCs w:val="24"/>
        </w:rPr>
      </w:pPr>
      <w:r w:rsidRPr="004D3B84">
        <w:rPr>
          <w:rFonts w:ascii="Times New Roman" w:hAnsi="Times New Roman"/>
          <w:sz w:val="24"/>
          <w:szCs w:val="24"/>
        </w:rPr>
        <w:t>Assess the ordering of the survey items.</w:t>
      </w:r>
    </w:p>
    <w:p w:rsidRPr="004B307A" w:rsidR="00E16E1D" w:rsidP="00E16E1D" w:rsidRDefault="00E16E1D" w14:paraId="6A6D45B4" w14:textId="5346A5FD">
      <w:pPr>
        <w:pStyle w:val="paragraph"/>
        <w:spacing w:before="0" w:beforeAutospacing="0" w:after="160" w:afterAutospacing="0"/>
        <w:textAlignment w:val="baseline"/>
        <w:rPr>
          <w:rFonts w:ascii="Segoe UI" w:hAnsi="Segoe UI" w:cs="Segoe UI"/>
          <w:sz w:val="18"/>
          <w:szCs w:val="18"/>
        </w:rPr>
      </w:pPr>
      <w:bookmarkStart w:name="_Hlk83913969" w:id="12"/>
      <w:r>
        <w:rPr>
          <w:rStyle w:val="normaltextrun"/>
        </w:rPr>
        <w:t>T</w:t>
      </w:r>
      <w:r w:rsidRPr="004B307A">
        <w:rPr>
          <w:rStyle w:val="normaltextrun"/>
        </w:rPr>
        <w:t>he notes taken during each</w:t>
      </w:r>
      <w:r w:rsidR="00420532">
        <w:rPr>
          <w:rStyle w:val="normaltextrun"/>
        </w:rPr>
        <w:t xml:space="preserve"> </w:t>
      </w:r>
      <w:r w:rsidRPr="004B307A">
        <w:rPr>
          <w:rStyle w:val="findhit"/>
        </w:rPr>
        <w:t>cognitive</w:t>
      </w:r>
      <w:r w:rsidR="00420532">
        <w:rPr>
          <w:rStyle w:val="normaltextrun"/>
        </w:rPr>
        <w:t xml:space="preserve"> </w:t>
      </w:r>
      <w:r w:rsidRPr="004B307A">
        <w:rPr>
          <w:rStyle w:val="normaltextrun"/>
        </w:rPr>
        <w:t>interview were combined into a single Excel file</w:t>
      </w:r>
      <w:r w:rsidR="00420532">
        <w:rPr>
          <w:rStyle w:val="normaltextrun"/>
        </w:rPr>
        <w:t xml:space="preserve"> </w:t>
      </w:r>
      <w:r w:rsidRPr="004B307A">
        <w:rPr>
          <w:rStyle w:val="normaltextrun"/>
        </w:rPr>
        <w:t>that was</w:t>
      </w:r>
      <w:r w:rsidR="00420532">
        <w:rPr>
          <w:rStyle w:val="normaltextrun"/>
        </w:rPr>
        <w:t xml:space="preserve"> </w:t>
      </w:r>
      <w:r w:rsidRPr="004B307A">
        <w:rPr>
          <w:rStyle w:val="normaltextrun"/>
        </w:rPr>
        <w:t xml:space="preserve">organized by survey question and standard probes (i.e., those probes administered to all </w:t>
      </w:r>
      <w:r w:rsidRPr="004B307A">
        <w:rPr>
          <w:rStyle w:val="normaltextrun"/>
        </w:rPr>
        <w:lastRenderedPageBreak/>
        <w:t>participants). Analysis involved identifying for each question any pain points (e.g., what worked, did not work, and why) and the number of participants that shared similar</w:t>
      </w:r>
      <w:r w:rsidR="00420532">
        <w:rPr>
          <w:rStyle w:val="normaltextrun"/>
        </w:rPr>
        <w:t xml:space="preserve"> </w:t>
      </w:r>
      <w:r w:rsidRPr="004B307A">
        <w:rPr>
          <w:rStyle w:val="normaltextrun"/>
        </w:rPr>
        <w:t>thoughts or experiences. Audio recordings were consulted as needed to confirm or clarify</w:t>
      </w:r>
      <w:r w:rsidR="008E20CB">
        <w:rPr>
          <w:rStyle w:val="normaltextrun"/>
        </w:rPr>
        <w:t xml:space="preserve"> </w:t>
      </w:r>
      <w:r w:rsidRPr="004B307A">
        <w:rPr>
          <w:rStyle w:val="normaltextrun"/>
        </w:rPr>
        <w:t>certain</w:t>
      </w:r>
      <w:r w:rsidR="008E20CB">
        <w:rPr>
          <w:rStyle w:val="normaltextrun"/>
        </w:rPr>
        <w:t xml:space="preserve"> </w:t>
      </w:r>
      <w:r w:rsidRPr="004B307A">
        <w:rPr>
          <w:rStyle w:val="normaltextrun"/>
        </w:rPr>
        <w:t>findings.</w:t>
      </w:r>
    </w:p>
    <w:p w:rsidRPr="006B4C51" w:rsidR="006B4C51" w:rsidP="00E16E1D" w:rsidRDefault="00E16E1D" w14:paraId="24A22B74" w14:textId="28EA0BE9">
      <w:pPr>
        <w:pStyle w:val="paragraph"/>
        <w:spacing w:before="0" w:beforeAutospacing="0" w:after="160" w:afterAutospacing="0"/>
        <w:textAlignment w:val="baseline"/>
      </w:pPr>
      <w:r w:rsidRPr="004B307A">
        <w:rPr>
          <w:rStyle w:val="normaltextrun"/>
        </w:rPr>
        <w:t>Overall</w:t>
      </w:r>
      <w:r>
        <w:rPr>
          <w:rStyle w:val="normaltextrun"/>
        </w:rPr>
        <w:t>,</w:t>
      </w:r>
      <w:r w:rsidR="008E20CB">
        <w:rPr>
          <w:rStyle w:val="normaltextrun"/>
        </w:rPr>
        <w:t xml:space="preserve"> </w:t>
      </w:r>
      <w:r w:rsidRPr="004B307A">
        <w:rPr>
          <w:rStyle w:val="normaltextrun"/>
        </w:rPr>
        <w:t xml:space="preserve">the survey was received positively and was understood by </w:t>
      </w:r>
      <w:r w:rsidR="007B23A2">
        <w:rPr>
          <w:rStyle w:val="normaltextrun"/>
        </w:rPr>
        <w:t>participants</w:t>
      </w:r>
      <w:r w:rsidR="008E20CB">
        <w:rPr>
          <w:rStyle w:val="normaltextrun"/>
        </w:rPr>
        <w:t>, who had</w:t>
      </w:r>
      <w:r w:rsidRPr="004B307A">
        <w:rPr>
          <w:rStyle w:val="normaltextrun"/>
        </w:rPr>
        <w:t xml:space="preserve"> a range of educational backgrounds and a variety of driving experience. The findings produced eight recommendations </w:t>
      </w:r>
      <w:r w:rsidR="008E20CB">
        <w:rPr>
          <w:rStyle w:val="normaltextrun"/>
        </w:rPr>
        <w:t xml:space="preserve">to add </w:t>
      </w:r>
      <w:r w:rsidRPr="004B307A">
        <w:rPr>
          <w:rStyle w:val="normaltextrun"/>
        </w:rPr>
        <w:t xml:space="preserve">reminders to survey takers to answer from the perspective of </w:t>
      </w:r>
      <w:r w:rsidR="008E20CB">
        <w:rPr>
          <w:rStyle w:val="normaltextrun"/>
        </w:rPr>
        <w:t xml:space="preserve">an operator of a passenger vehicle (i.e., as a driver of </w:t>
      </w:r>
      <w:r w:rsidRPr="004B307A">
        <w:rPr>
          <w:rStyle w:val="normaltextrun"/>
        </w:rPr>
        <w:t>car, van, SUV, or truck driver</w:t>
      </w:r>
      <w:r w:rsidR="008E20CB">
        <w:rPr>
          <w:rStyle w:val="normaltextrun"/>
        </w:rPr>
        <w:t>) versus the perspective of a motorcyclist (in the case when a respondent operates a motorcycle)</w:t>
      </w:r>
      <w:r w:rsidRPr="004B307A">
        <w:rPr>
          <w:rStyle w:val="normaltextrun"/>
        </w:rPr>
        <w:t>; specifying that survey takers should respond based on their current driving behavior; revising double-barreled questions; and clarifying that, for frequency questions, the response option “neither agree nor disagree” should be used to indicate that the participant engages in a driving behavior with equal frequency.</w:t>
      </w:r>
      <w:r w:rsidRPr="004B307A">
        <w:t xml:space="preserve">   </w:t>
      </w:r>
    </w:p>
    <w:bookmarkEnd w:id="12"/>
    <w:p w:rsidR="00654A05" w:rsidP="00654A05" w:rsidRDefault="00654A05" w14:paraId="15A5625E" w14:textId="77777777">
      <w:pPr>
        <w:pStyle w:val="paragraph"/>
        <w:spacing w:before="0" w:beforeAutospacing="0" w:after="160" w:afterAutospacing="0"/>
        <w:textAlignment w:val="baseline"/>
      </w:pPr>
      <w:r w:rsidRPr="004D3B84">
        <w:rPr>
          <w:u w:val="single"/>
        </w:rPr>
        <w:t>B.4.</w:t>
      </w:r>
      <w:r>
        <w:rPr>
          <w:u w:val="single"/>
        </w:rPr>
        <w:t>2.</w:t>
      </w:r>
      <w:r w:rsidRPr="004D3B84">
        <w:rPr>
          <w:u w:val="single"/>
        </w:rPr>
        <w:t xml:space="preserve"> </w:t>
      </w:r>
      <w:r>
        <w:rPr>
          <w:u w:val="single"/>
        </w:rPr>
        <w:tab/>
        <w:t>Planned data analysis</w:t>
      </w:r>
      <w:r w:rsidRPr="004D3B84">
        <w:t xml:space="preserve"> </w:t>
      </w:r>
    </w:p>
    <w:p w:rsidR="004E5026" w:rsidP="00B61F1F" w:rsidRDefault="004E5026" w14:paraId="079525C6" w14:textId="7700E4C6">
      <w:pPr>
        <w:spacing w:after="200"/>
      </w:pPr>
      <w:r>
        <w:t>In the final report, w</w:t>
      </w:r>
      <w:r w:rsidRPr="00654A05" w:rsidR="00654A05">
        <w:t>e will present descriptive statistics of the sample (e.g., age, gender, location, survey mode) in a series of frequency and cross-tabulation tables</w:t>
      </w:r>
      <w:r>
        <w:t xml:space="preserve"> and </w:t>
      </w:r>
      <w:r w:rsidRPr="00654A05" w:rsidR="00654A05">
        <w:t xml:space="preserve">inferential statistical tests (e.g., correlations, </w:t>
      </w:r>
      <w:r w:rsidRPr="00654A05" w:rsidR="00654A05">
        <w:rPr>
          <w:i/>
          <w:iCs/>
        </w:rPr>
        <w:t>t-</w:t>
      </w:r>
      <w:r w:rsidRPr="00654A05" w:rsidR="00654A05">
        <w:t xml:space="preserve">tests, ANOVAs, and ANCOVAs) to identify statistically significant multivariate relationships. </w:t>
      </w:r>
      <w:r>
        <w:t xml:space="preserve">The descriptive statistics will involve </w:t>
      </w:r>
      <w:r w:rsidRPr="00654A05">
        <w:t>a series of frequency and cross-tabulation tables</w:t>
      </w:r>
      <w:r>
        <w:t xml:space="preserve"> to summarize the sample in terms of demographic variables including respondent age, gender, </w:t>
      </w:r>
      <w:r w:rsidR="00B61F1F">
        <w:t>s</w:t>
      </w:r>
      <w:r>
        <w:t>tate</w:t>
      </w:r>
      <w:r w:rsidR="00B61F1F">
        <w:t xml:space="preserve"> (Florida, Pennsylvania</w:t>
      </w:r>
      <w:r>
        <w:t>)</w:t>
      </w:r>
      <w:r w:rsidRPr="00654A05">
        <w:t>, survey mode</w:t>
      </w:r>
      <w:r>
        <w:t xml:space="preserve">, years of driving experience, etc., and the mean and range of responses to survey items on attitudes, </w:t>
      </w:r>
      <w:r w:rsidR="00B61F1F">
        <w:t xml:space="preserve">beliefs, and self-reported behaviors. </w:t>
      </w:r>
      <w:r>
        <w:t xml:space="preserve">We will employ inferential statistical </w:t>
      </w:r>
      <w:r w:rsidRPr="009E75FB">
        <w:t xml:space="preserve">tests to </w:t>
      </w:r>
      <w:r>
        <w:t xml:space="preserve">determine </w:t>
      </w:r>
      <w:r w:rsidRPr="009E75FB">
        <w:t xml:space="preserve">statistically significant </w:t>
      </w:r>
      <w:r>
        <w:t xml:space="preserve">relationships among variables </w:t>
      </w:r>
      <w:r w:rsidR="00B61F1F">
        <w:t xml:space="preserve">including </w:t>
      </w:r>
      <w:r>
        <w:t xml:space="preserve">Chi-square tests </w:t>
      </w:r>
      <w:r w:rsidR="00B61F1F">
        <w:t xml:space="preserve">for </w:t>
      </w:r>
      <w:r>
        <w:t xml:space="preserve">cross-tabulated variables and logistic regression </w:t>
      </w:r>
      <w:r w:rsidR="00B61F1F">
        <w:t xml:space="preserve">for variables measuring </w:t>
      </w:r>
      <w:r>
        <w:t xml:space="preserve">driver attitudes, beliefs, knowledge, and self-reported behaviors. For example, we would test the relationship between the number of motorcyclist friends and family members of respondents to their agreement with the statement that “Drivers should take extra care to look out for motorcyclists.” </w:t>
      </w:r>
      <w:r w:rsidR="00B61F1F">
        <w:t xml:space="preserve">Another example of a test we would conduct is a </w:t>
      </w:r>
      <w:r w:rsidR="000828E3">
        <w:t xml:space="preserve">multiple </w:t>
      </w:r>
      <w:r>
        <w:t xml:space="preserve">regression </w:t>
      </w:r>
      <w:r w:rsidR="00B61F1F">
        <w:t xml:space="preserve">to measure the degree to which </w:t>
      </w:r>
      <w:r>
        <w:t xml:space="preserve">exposure </w:t>
      </w:r>
      <w:r w:rsidR="00B61F1F">
        <w:t xml:space="preserve">to </w:t>
      </w:r>
      <w:r>
        <w:t xml:space="preserve">motorcycling and motorcyclists is statistically related to self-reported </w:t>
      </w:r>
      <w:r w:rsidR="00B61F1F">
        <w:t xml:space="preserve">driving </w:t>
      </w:r>
      <w:r>
        <w:t>behaviors to</w:t>
      </w:r>
      <w:r w:rsidR="00B61F1F">
        <w:t>wards</w:t>
      </w:r>
      <w:r>
        <w:t xml:space="preserve"> motorcycles (such as maintaining “safe” distances to motorcycles</w:t>
      </w:r>
      <w:r w:rsidR="00B61F1F">
        <w:t>)</w:t>
      </w:r>
      <w:r>
        <w:t>.</w:t>
      </w:r>
    </w:p>
    <w:p w:rsidRPr="004D3B84" w:rsidR="006504B8" w:rsidP="00257CEA" w:rsidRDefault="006504B8" w14:paraId="29C0D516" w14:textId="49A218AB">
      <w:pPr>
        <w:pStyle w:val="Heading1"/>
        <w:rPr>
          <w:rFonts w:hint="eastAsia"/>
        </w:rPr>
      </w:pPr>
      <w:r w:rsidRPr="004D3B84">
        <w:t>B.5.  Provide the name and telephone number of individuals consulted on statistical aspects of the design.</w:t>
      </w:r>
    </w:p>
    <w:p w:rsidRPr="004D3B84" w:rsidR="006504B8" w:rsidP="00566433" w:rsidRDefault="006504B8" w14:paraId="65BB845B" w14:textId="5031546B">
      <w:pPr>
        <w:widowControl w:val="0"/>
        <w:autoSpaceDE w:val="0"/>
        <w:autoSpaceDN w:val="0"/>
        <w:adjustRightInd w:val="0"/>
      </w:pPr>
      <w:r w:rsidRPr="004D3B84">
        <w:t xml:space="preserve">The following individuals have reviewed technical and statistical aspects of procedures that will be used to conduct </w:t>
      </w:r>
      <w:r w:rsidRPr="004D3B84" w:rsidR="00B93BD0">
        <w:t>this</w:t>
      </w:r>
      <w:r w:rsidRPr="004D3B84" w:rsidR="003A7069">
        <w:t xml:space="preserve"> </w:t>
      </w:r>
      <w:r w:rsidRPr="004D3B84" w:rsidR="00B93BD0">
        <w:t>s</w:t>
      </w:r>
      <w:r w:rsidRPr="004D3B84">
        <w:t>urvey:</w:t>
      </w:r>
    </w:p>
    <w:p w:rsidRPr="004D3B84" w:rsidR="00A00360" w:rsidP="00293B74" w:rsidRDefault="00A00360" w14:paraId="29D1A90E" w14:textId="77777777">
      <w:pPr>
        <w:widowControl w:val="0"/>
        <w:autoSpaceDE w:val="0"/>
        <w:autoSpaceDN w:val="0"/>
        <w:adjustRightInd w:val="0"/>
        <w:spacing w:after="0"/>
        <w:jc w:val="both"/>
      </w:pPr>
    </w:p>
    <w:p w:rsidRPr="004D3B84" w:rsidR="00A00360" w:rsidP="00293B74" w:rsidRDefault="000B5BF5" w14:paraId="6B4F4724" w14:textId="219143DC">
      <w:pPr>
        <w:widowControl w:val="0"/>
        <w:autoSpaceDE w:val="0"/>
        <w:autoSpaceDN w:val="0"/>
        <w:adjustRightInd w:val="0"/>
        <w:spacing w:after="0"/>
      </w:pPr>
      <w:r w:rsidRPr="000B5BF5">
        <w:t>Rob Calderón</w:t>
      </w:r>
      <w:r w:rsidRPr="004D3B84" w:rsidR="00A00360">
        <w:t>, PhD</w:t>
      </w:r>
    </w:p>
    <w:p w:rsidRPr="004D3B84" w:rsidR="00922084" w:rsidP="00293B74" w:rsidRDefault="000B5BF5" w14:paraId="5990A193" w14:textId="5B123846">
      <w:pPr>
        <w:widowControl w:val="0"/>
        <w:autoSpaceDE w:val="0"/>
        <w:autoSpaceDN w:val="0"/>
        <w:adjustRightInd w:val="0"/>
        <w:spacing w:after="0"/>
      </w:pPr>
      <w:r>
        <w:t>Division Director</w:t>
      </w:r>
      <w:r w:rsidRPr="004D3B84" w:rsidR="00922084">
        <w:t>, Organizational Research</w:t>
      </w:r>
      <w:r>
        <w:t xml:space="preserve"> and Consulting</w:t>
      </w:r>
    </w:p>
    <w:p w:rsidRPr="004D3B84" w:rsidR="00A00360" w:rsidP="00293B74" w:rsidRDefault="00A00360" w14:paraId="6840E798" w14:textId="77777777">
      <w:pPr>
        <w:widowControl w:val="0"/>
        <w:autoSpaceDE w:val="0"/>
        <w:autoSpaceDN w:val="0"/>
        <w:adjustRightInd w:val="0"/>
        <w:spacing w:after="0"/>
      </w:pPr>
      <w:r w:rsidRPr="004D3B84">
        <w:t>Fors Marsh Group</w:t>
      </w:r>
    </w:p>
    <w:p w:rsidRPr="004D3B84" w:rsidR="00A00360" w:rsidP="00293B74" w:rsidRDefault="00A00360" w14:paraId="1D01AD8E" w14:textId="77777777">
      <w:pPr>
        <w:widowControl w:val="0"/>
        <w:autoSpaceDE w:val="0"/>
        <w:autoSpaceDN w:val="0"/>
        <w:adjustRightInd w:val="0"/>
        <w:spacing w:after="0"/>
      </w:pPr>
      <w:r w:rsidRPr="004D3B84">
        <w:t>1010 N. Glebe Rd., Suite 510</w:t>
      </w:r>
    </w:p>
    <w:p w:rsidRPr="004D3B84" w:rsidR="00117B91" w:rsidP="00293B74" w:rsidRDefault="00A00360" w14:paraId="7BF0E3EB" w14:textId="77777777">
      <w:pPr>
        <w:widowControl w:val="0"/>
        <w:autoSpaceDE w:val="0"/>
        <w:autoSpaceDN w:val="0"/>
        <w:adjustRightInd w:val="0"/>
        <w:spacing w:after="0"/>
      </w:pPr>
      <w:r w:rsidRPr="004D3B84">
        <w:t>Arlington, VA 22201</w:t>
      </w:r>
    </w:p>
    <w:p w:rsidR="00E43113" w:rsidP="00293B74" w:rsidRDefault="000B5BF5" w14:paraId="0372E197" w14:textId="5D3B6326">
      <w:pPr>
        <w:widowControl w:val="0"/>
        <w:autoSpaceDE w:val="0"/>
        <w:autoSpaceDN w:val="0"/>
        <w:adjustRightInd w:val="0"/>
        <w:spacing w:after="0"/>
      </w:pPr>
      <w:r>
        <w:t>(703) 801-9013</w:t>
      </w:r>
    </w:p>
    <w:p w:rsidR="000B5BF5" w:rsidP="00293B74" w:rsidRDefault="000B5BF5" w14:paraId="4A5794DA" w14:textId="77777777">
      <w:pPr>
        <w:widowControl w:val="0"/>
        <w:autoSpaceDE w:val="0"/>
        <w:autoSpaceDN w:val="0"/>
        <w:adjustRightInd w:val="0"/>
        <w:spacing w:after="0"/>
      </w:pPr>
    </w:p>
    <w:p w:rsidR="00A0373F" w:rsidP="00A0373F" w:rsidRDefault="00A0373F" w14:paraId="6C1393CB" w14:textId="77777777">
      <w:pPr>
        <w:widowControl w:val="0"/>
        <w:autoSpaceDE w:val="0"/>
        <w:autoSpaceDN w:val="0"/>
        <w:adjustRightInd w:val="0"/>
        <w:spacing w:after="0"/>
      </w:pPr>
      <w:r>
        <w:t>Martha McRoy</w:t>
      </w:r>
    </w:p>
    <w:p w:rsidR="00A0373F" w:rsidP="00A0373F" w:rsidRDefault="00A0373F" w14:paraId="4619B341" w14:textId="77777777">
      <w:pPr>
        <w:widowControl w:val="0"/>
        <w:autoSpaceDE w:val="0"/>
        <w:autoSpaceDN w:val="0"/>
        <w:adjustRightInd w:val="0"/>
        <w:spacing w:after="0"/>
      </w:pPr>
      <w:r>
        <w:t>Senior Associate</w:t>
      </w:r>
    </w:p>
    <w:p w:rsidR="00A0373F" w:rsidP="00A0373F" w:rsidRDefault="00A0373F" w14:paraId="62FE9CA7" w14:textId="77777777">
      <w:pPr>
        <w:widowControl w:val="0"/>
        <w:autoSpaceDE w:val="0"/>
        <w:autoSpaceDN w:val="0"/>
        <w:adjustRightInd w:val="0"/>
        <w:spacing w:after="0"/>
      </w:pPr>
      <w:r>
        <w:lastRenderedPageBreak/>
        <w:t>Data Science, Surveys, and Enabling Technologies Division</w:t>
      </w:r>
    </w:p>
    <w:p w:rsidR="00A0373F" w:rsidP="00A0373F" w:rsidRDefault="00A0373F" w14:paraId="5CCC9CEA" w14:textId="77777777">
      <w:pPr>
        <w:widowControl w:val="0"/>
        <w:autoSpaceDE w:val="0"/>
        <w:autoSpaceDN w:val="0"/>
        <w:adjustRightInd w:val="0"/>
        <w:spacing w:after="0"/>
      </w:pPr>
      <w:r>
        <w:t>6130 Executive Blvd.</w:t>
      </w:r>
    </w:p>
    <w:p w:rsidR="00A0373F" w:rsidP="00A0373F" w:rsidRDefault="00A0373F" w14:paraId="30ACAC94" w14:textId="77777777">
      <w:pPr>
        <w:widowControl w:val="0"/>
        <w:autoSpaceDE w:val="0"/>
        <w:autoSpaceDN w:val="0"/>
        <w:adjustRightInd w:val="0"/>
        <w:spacing w:after="0"/>
      </w:pPr>
      <w:r>
        <w:t>Rockville, MD 20852</w:t>
      </w:r>
    </w:p>
    <w:p w:rsidR="00C114EC" w:rsidP="00A0373F" w:rsidRDefault="00A0373F" w14:paraId="0E139E15" w14:textId="2D60268C">
      <w:pPr>
        <w:widowControl w:val="0"/>
        <w:autoSpaceDE w:val="0"/>
        <w:autoSpaceDN w:val="0"/>
        <w:adjustRightInd w:val="0"/>
        <w:spacing w:after="0"/>
      </w:pPr>
      <w:r>
        <w:t>(301) 347-5362</w:t>
      </w:r>
    </w:p>
    <w:p w:rsidRPr="004D3B84" w:rsidR="00A0373F" w:rsidP="00A0373F" w:rsidRDefault="00A0373F" w14:paraId="5CB390B7" w14:textId="77777777">
      <w:pPr>
        <w:widowControl w:val="0"/>
        <w:autoSpaceDE w:val="0"/>
        <w:autoSpaceDN w:val="0"/>
        <w:adjustRightInd w:val="0"/>
        <w:spacing w:after="0"/>
      </w:pPr>
    </w:p>
    <w:p w:rsidRPr="004D3B84" w:rsidR="007B0159" w:rsidP="00293B74" w:rsidRDefault="007B0159" w14:paraId="665D807D" w14:textId="550EDCBE">
      <w:pPr>
        <w:widowControl w:val="0"/>
        <w:autoSpaceDE w:val="0"/>
        <w:autoSpaceDN w:val="0"/>
        <w:adjustRightInd w:val="0"/>
        <w:spacing w:after="0"/>
      </w:pPr>
      <w:r w:rsidRPr="004D3B84">
        <w:t>Kathryn Wochinger, PhD</w:t>
      </w:r>
    </w:p>
    <w:p w:rsidRPr="004D3B84" w:rsidR="00194813" w:rsidP="00293B74" w:rsidRDefault="00194813" w14:paraId="363747B4" w14:textId="14D5521A">
      <w:pPr>
        <w:widowControl w:val="0"/>
        <w:autoSpaceDE w:val="0"/>
        <w:autoSpaceDN w:val="0"/>
        <w:adjustRightInd w:val="0"/>
        <w:spacing w:after="0"/>
      </w:pPr>
      <w:r w:rsidRPr="004D3B84">
        <w:t>Research Psychologist</w:t>
      </w:r>
    </w:p>
    <w:p w:rsidRPr="004D3B84" w:rsidR="007B0159" w:rsidP="00293B74" w:rsidRDefault="007B0159" w14:paraId="2C171793" w14:textId="0EBF3373">
      <w:pPr>
        <w:widowControl w:val="0"/>
        <w:autoSpaceDE w:val="0"/>
        <w:autoSpaceDN w:val="0"/>
        <w:adjustRightInd w:val="0"/>
        <w:spacing w:after="0"/>
      </w:pPr>
      <w:r w:rsidRPr="004D3B84">
        <w:t>Office of Behavioral Safety Research</w:t>
      </w:r>
    </w:p>
    <w:p w:rsidRPr="004D3B84" w:rsidR="007B0159" w:rsidP="00293B74" w:rsidRDefault="007B0159" w14:paraId="0CF025EB" w14:textId="77777777">
      <w:pPr>
        <w:widowControl w:val="0"/>
        <w:autoSpaceDE w:val="0"/>
        <w:autoSpaceDN w:val="0"/>
        <w:adjustRightInd w:val="0"/>
        <w:spacing w:after="0"/>
      </w:pPr>
      <w:r w:rsidRPr="004D3B84">
        <w:t>National Highway Traffic Safety Administration</w:t>
      </w:r>
    </w:p>
    <w:p w:rsidRPr="004D3B84" w:rsidR="007B0159" w:rsidP="00293B74" w:rsidRDefault="007B0159" w14:paraId="73EB4EBB" w14:textId="77777777">
      <w:pPr>
        <w:widowControl w:val="0"/>
        <w:autoSpaceDE w:val="0"/>
        <w:autoSpaceDN w:val="0"/>
        <w:adjustRightInd w:val="0"/>
        <w:spacing w:after="0"/>
      </w:pPr>
      <w:r w:rsidRPr="004D3B84">
        <w:t>1200 New Jersey Ave SE</w:t>
      </w:r>
    </w:p>
    <w:p w:rsidRPr="004D3B84" w:rsidR="007B0159" w:rsidP="00293B74" w:rsidRDefault="007B0159" w14:paraId="25385C23" w14:textId="77777777">
      <w:pPr>
        <w:widowControl w:val="0"/>
        <w:autoSpaceDE w:val="0"/>
        <w:autoSpaceDN w:val="0"/>
        <w:adjustRightInd w:val="0"/>
        <w:spacing w:after="0"/>
      </w:pPr>
      <w:r w:rsidRPr="004D3B84">
        <w:t>Washington, DC 20590</w:t>
      </w:r>
    </w:p>
    <w:p w:rsidR="00BC09BA" w:rsidP="00293B74" w:rsidRDefault="007B0159" w14:paraId="44A220C2" w14:textId="5E5F5530">
      <w:pPr>
        <w:widowControl w:val="0"/>
        <w:autoSpaceDE w:val="0"/>
        <w:autoSpaceDN w:val="0"/>
        <w:adjustRightInd w:val="0"/>
        <w:spacing w:after="0"/>
      </w:pPr>
      <w:r w:rsidRPr="004D3B84">
        <w:t>(202) 366-</w:t>
      </w:r>
      <w:r w:rsidRPr="004D3B84" w:rsidR="00194813">
        <w:t>4300</w:t>
      </w:r>
    </w:p>
    <w:sectPr w:rsidR="00BC09BA" w:rsidSect="006F06C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D6DF" w14:textId="77777777" w:rsidR="00C83009" w:rsidRDefault="00C83009">
      <w:r>
        <w:separator/>
      </w:r>
    </w:p>
  </w:endnote>
  <w:endnote w:type="continuationSeparator" w:id="0">
    <w:p w14:paraId="4D6DBA51" w14:textId="77777777" w:rsidR="00C83009" w:rsidRDefault="00C83009">
      <w:r>
        <w:continuationSeparator/>
      </w:r>
    </w:p>
  </w:endnote>
  <w:endnote w:type="continuationNotice" w:id="1">
    <w:p w14:paraId="3F9EADEE" w14:textId="77777777" w:rsidR="00C83009" w:rsidRDefault="00C830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4016" w14:textId="77777777" w:rsidR="00937FF7" w:rsidRDefault="00937F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32581F" w14:textId="77777777" w:rsidR="00937FF7" w:rsidRDefault="00937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021508"/>
      <w:docPartObj>
        <w:docPartGallery w:val="Page Numbers (Bottom of Page)"/>
        <w:docPartUnique/>
      </w:docPartObj>
    </w:sdtPr>
    <w:sdtEndPr/>
    <w:sdtContent>
      <w:sdt>
        <w:sdtPr>
          <w:id w:val="1728636285"/>
          <w:docPartObj>
            <w:docPartGallery w:val="Page Numbers (Top of Page)"/>
            <w:docPartUnique/>
          </w:docPartObj>
        </w:sdtPr>
        <w:sdtEndPr/>
        <w:sdtContent>
          <w:p w14:paraId="6FB94BA7" w14:textId="2FA108FF" w:rsidR="00937FF7" w:rsidRPr="00FF343E" w:rsidRDefault="00937FF7" w:rsidP="00D344A3">
            <w:pPr>
              <w:spacing w:before="120"/>
              <w:jc w:val="right"/>
            </w:pPr>
            <w:r w:rsidRPr="008E309C">
              <w:rPr>
                <w:sz w:val="18"/>
                <w:szCs w:val="18"/>
              </w:rPr>
              <w:t xml:space="preserve">Page </w:t>
            </w:r>
            <w:r w:rsidRPr="008E309C">
              <w:rPr>
                <w:b/>
                <w:bCs/>
                <w:sz w:val="18"/>
                <w:szCs w:val="18"/>
              </w:rPr>
              <w:fldChar w:fldCharType="begin"/>
            </w:r>
            <w:r w:rsidRPr="008E309C">
              <w:rPr>
                <w:b/>
                <w:bCs/>
                <w:sz w:val="18"/>
                <w:szCs w:val="18"/>
              </w:rPr>
              <w:instrText xml:space="preserve"> PAGE </w:instrText>
            </w:r>
            <w:r w:rsidRPr="008E309C">
              <w:rPr>
                <w:b/>
                <w:bCs/>
                <w:sz w:val="18"/>
                <w:szCs w:val="18"/>
              </w:rPr>
              <w:fldChar w:fldCharType="separate"/>
            </w:r>
            <w:r>
              <w:rPr>
                <w:b/>
                <w:bCs/>
                <w:noProof/>
                <w:sz w:val="18"/>
                <w:szCs w:val="18"/>
              </w:rPr>
              <w:t>2</w:t>
            </w:r>
            <w:r w:rsidRPr="008E309C">
              <w:rPr>
                <w:b/>
                <w:bCs/>
                <w:sz w:val="18"/>
                <w:szCs w:val="18"/>
              </w:rPr>
              <w:fldChar w:fldCharType="end"/>
            </w:r>
            <w:r w:rsidRPr="008E309C">
              <w:rPr>
                <w:sz w:val="18"/>
                <w:szCs w:val="18"/>
              </w:rPr>
              <w:t xml:space="preserve"> of </w:t>
            </w:r>
            <w:r w:rsidRPr="008E309C">
              <w:rPr>
                <w:b/>
                <w:bCs/>
                <w:sz w:val="18"/>
                <w:szCs w:val="18"/>
              </w:rPr>
              <w:fldChar w:fldCharType="begin"/>
            </w:r>
            <w:r w:rsidRPr="008E309C">
              <w:rPr>
                <w:b/>
                <w:bCs/>
                <w:sz w:val="18"/>
                <w:szCs w:val="18"/>
              </w:rPr>
              <w:instrText xml:space="preserve"> NUMPAGES  </w:instrText>
            </w:r>
            <w:r w:rsidRPr="008E309C">
              <w:rPr>
                <w:b/>
                <w:bCs/>
                <w:sz w:val="18"/>
                <w:szCs w:val="18"/>
              </w:rPr>
              <w:fldChar w:fldCharType="separate"/>
            </w:r>
            <w:r>
              <w:rPr>
                <w:b/>
                <w:bCs/>
                <w:noProof/>
                <w:sz w:val="18"/>
                <w:szCs w:val="18"/>
              </w:rPr>
              <w:t>9</w:t>
            </w:r>
            <w:r w:rsidRPr="008E309C">
              <w:rPr>
                <w:b/>
                <w:bCs/>
                <w:sz w:val="18"/>
                <w:szCs w:val="18"/>
              </w:rPr>
              <w:fldChar w:fldCharType="end"/>
            </w:r>
            <w:r w:rsidRPr="008E309C">
              <w:rPr>
                <w:sz w:val="18"/>
                <w:szCs w:val="18"/>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3210" w14:textId="77777777" w:rsidR="00937FF7" w:rsidRDefault="00937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2F8C" w14:textId="77777777" w:rsidR="00C83009" w:rsidRDefault="00C83009">
      <w:r>
        <w:separator/>
      </w:r>
    </w:p>
  </w:footnote>
  <w:footnote w:type="continuationSeparator" w:id="0">
    <w:p w14:paraId="1461F20C" w14:textId="77777777" w:rsidR="00C83009" w:rsidRDefault="00C83009">
      <w:r>
        <w:continuationSeparator/>
      </w:r>
    </w:p>
  </w:footnote>
  <w:footnote w:type="continuationNotice" w:id="1">
    <w:p w14:paraId="7568E213" w14:textId="77777777" w:rsidR="00C83009" w:rsidRDefault="00C83009">
      <w:pPr>
        <w:spacing w:after="0"/>
      </w:pPr>
    </w:p>
  </w:footnote>
  <w:footnote w:id="2">
    <w:p w14:paraId="5B0CAC6E" w14:textId="7B70D54E" w:rsidR="00C3605B" w:rsidRPr="00B9334D" w:rsidRDefault="00C3605B" w:rsidP="00956CFD">
      <w:pPr>
        <w:pStyle w:val="Style1"/>
      </w:pPr>
      <w:r w:rsidRPr="00956CFD">
        <w:rPr>
          <w:vertAlign w:val="superscript"/>
        </w:rPr>
        <w:footnoteRef/>
      </w:r>
      <w:r w:rsidRPr="00B9334D">
        <w:t xml:space="preserve"> </w:t>
      </w:r>
      <w:r w:rsidRPr="00956CFD">
        <w:rPr>
          <w:rStyle w:val="ListParagraphChar"/>
          <w:sz w:val="20"/>
          <w:szCs w:val="20"/>
        </w:rPr>
        <w:t>National Center for Statistics and Analysis. (2021, April). Motorcycles: 2019 data (Traffic Safety Facts. Report No. DOT HS 813 112). National Highway Traffic Safety Administration.</w:t>
      </w:r>
    </w:p>
  </w:footnote>
  <w:footnote w:id="3">
    <w:p w14:paraId="0D8130B1" w14:textId="40BB033D" w:rsidR="00937FF7" w:rsidRDefault="00937FF7" w:rsidP="00956CFD">
      <w:pPr>
        <w:pStyle w:val="ListParagraph"/>
        <w:rPr>
          <w:color w:val="211D1E"/>
        </w:rPr>
      </w:pPr>
      <w:r w:rsidRPr="00956CFD">
        <w:rPr>
          <w:vertAlign w:val="superscript"/>
        </w:rPr>
        <w:footnoteRef/>
      </w:r>
      <w:r>
        <w:t xml:space="preserve"> </w:t>
      </w:r>
      <w:r w:rsidRPr="00956CFD">
        <w:rPr>
          <w:sz w:val="20"/>
          <w:szCs w:val="20"/>
        </w:rPr>
        <w:t>U.S. Department of Transportation, Federal Highway Administration, Office of Highway Policy Information. (November 2020). Highway Statistics Series, State Motor-Vehicle Registrations – 2019. Retrieved from:</w:t>
      </w:r>
    </w:p>
    <w:p w14:paraId="01EDB93A" w14:textId="644811FC" w:rsidR="00937FF7" w:rsidRDefault="00C83009" w:rsidP="00956CFD">
      <w:pPr>
        <w:pStyle w:val="ListParagraph"/>
      </w:pPr>
      <w:hyperlink r:id="rId1" w:history="1">
        <w:r w:rsidR="00937FF7" w:rsidRPr="00956CFD">
          <w:rPr>
            <w:rStyle w:val="Hyperlink"/>
            <w:sz w:val="20"/>
            <w:szCs w:val="20"/>
          </w:rPr>
          <w:t>https://www.fhwa.dot.gov/policyinformation/statistics/2019/mv1.cfm</w:t>
        </w:r>
      </w:hyperlink>
    </w:p>
  </w:footnote>
  <w:footnote w:id="4">
    <w:p w14:paraId="6E3A270F" w14:textId="35B02493" w:rsidR="00937FF7" w:rsidRPr="00956CFD" w:rsidRDefault="00937FF7" w:rsidP="00956CFD">
      <w:pPr>
        <w:pStyle w:val="ListParagraph"/>
        <w:rPr>
          <w:sz w:val="20"/>
          <w:szCs w:val="20"/>
        </w:rPr>
      </w:pPr>
      <w:r w:rsidRPr="00956CFD">
        <w:rPr>
          <w:vertAlign w:val="superscript"/>
        </w:rPr>
        <w:footnoteRef/>
      </w:r>
      <w:r>
        <w:t xml:space="preserve"> </w:t>
      </w:r>
      <w:r w:rsidRPr="00956CFD">
        <w:rPr>
          <w:sz w:val="20"/>
          <w:szCs w:val="20"/>
        </w:rPr>
        <w:t>U.S. Census Bureau. (</w:t>
      </w:r>
      <w:r w:rsidR="007F006B" w:rsidRPr="00956CFD">
        <w:rPr>
          <w:sz w:val="20"/>
          <w:szCs w:val="20"/>
        </w:rPr>
        <w:t>December 10</w:t>
      </w:r>
      <w:r w:rsidRPr="00956CFD">
        <w:rPr>
          <w:sz w:val="20"/>
          <w:szCs w:val="20"/>
        </w:rPr>
        <w:t>, 20</w:t>
      </w:r>
      <w:r w:rsidR="007F006B" w:rsidRPr="00956CFD">
        <w:rPr>
          <w:sz w:val="20"/>
          <w:szCs w:val="20"/>
        </w:rPr>
        <w:t>20</w:t>
      </w:r>
      <w:r w:rsidRPr="00956CFD">
        <w:rPr>
          <w:sz w:val="20"/>
          <w:szCs w:val="20"/>
        </w:rPr>
        <w:t xml:space="preserve">). </w:t>
      </w:r>
      <w:r w:rsidR="007F006B" w:rsidRPr="00956CFD">
        <w:rPr>
          <w:sz w:val="20"/>
          <w:szCs w:val="20"/>
        </w:rPr>
        <w:t>2019: ACS 5-year estimates detailed tables</w:t>
      </w:r>
      <w:r w:rsidRPr="00956CFD">
        <w:rPr>
          <w:sz w:val="20"/>
          <w:szCs w:val="20"/>
        </w:rPr>
        <w:t xml:space="preserve">. Retrieved from: </w:t>
      </w:r>
    </w:p>
    <w:p w14:paraId="5DD670C8" w14:textId="77777777" w:rsidR="007F006B" w:rsidRPr="00956CFD" w:rsidRDefault="00C83009" w:rsidP="00956CFD">
      <w:pPr>
        <w:pStyle w:val="ListParagraph"/>
        <w:rPr>
          <w:sz w:val="20"/>
          <w:szCs w:val="20"/>
        </w:rPr>
      </w:pPr>
      <w:hyperlink r:id="rId2" w:history="1">
        <w:r w:rsidR="007F006B" w:rsidRPr="00956CFD">
          <w:rPr>
            <w:rStyle w:val="Hyperlink"/>
            <w:sz w:val="20"/>
            <w:szCs w:val="20"/>
          </w:rPr>
          <w:t>https://data.census.gov/cedsci/table?g=0400000US12,42&amp;tid=ACSDT5Y2019.B25044&amp;hidePreview=true</w:t>
        </w:r>
      </w:hyperlink>
    </w:p>
    <w:p w14:paraId="47F960E0" w14:textId="593F0BA8" w:rsidR="00937FF7" w:rsidRDefault="00937FF7" w:rsidP="00956CFD">
      <w:pPr>
        <w:pStyle w:val="FootnoteText"/>
      </w:pPr>
    </w:p>
  </w:footnote>
  <w:footnote w:id="5">
    <w:p w14:paraId="3BC11DDB" w14:textId="77777777" w:rsidR="00937FF7" w:rsidRDefault="00937FF7" w:rsidP="00956CFD">
      <w:pPr>
        <w:pStyle w:val="ListParagraph"/>
      </w:pPr>
      <w:r w:rsidRPr="00956CFD">
        <w:rPr>
          <w:vertAlign w:val="superscript"/>
        </w:rPr>
        <w:footnoteRef/>
      </w:r>
      <w:r>
        <w:t xml:space="preserve"> </w:t>
      </w:r>
      <w:r w:rsidRPr="00956CFD">
        <w:rPr>
          <w:sz w:val="20"/>
          <w:szCs w:val="20"/>
        </w:rPr>
        <w:t>Rapoport, R., Sherr, S., &amp; Dutwin, D. (2012). Does Ethnically Stratified Address-based Sample Result in Both Ethnic and Class Diversity; Case Studies in Oregon and Houston. Presented at the annual conference of the American Association of Public Opinion Research in Orlando, FL; May 2012.</w:t>
      </w:r>
    </w:p>
  </w:footnote>
  <w:footnote w:id="6">
    <w:p w14:paraId="7AA3215D" w14:textId="77777777" w:rsidR="00937FF7" w:rsidRDefault="00937FF7" w:rsidP="00956CFD">
      <w:pPr>
        <w:pStyle w:val="ListParagraph"/>
      </w:pPr>
      <w:r w:rsidRPr="00956CFD">
        <w:rPr>
          <w:vertAlign w:val="superscript"/>
        </w:rPr>
        <w:footnoteRef/>
      </w:r>
      <w:r w:rsidRPr="00956CFD">
        <w:rPr>
          <w:vertAlign w:val="superscript"/>
        </w:rPr>
        <w:t xml:space="preserve"> </w:t>
      </w:r>
      <w:r w:rsidRPr="00956CFD">
        <w:rPr>
          <w:sz w:val="20"/>
          <w:szCs w:val="20"/>
        </w:rPr>
        <w:t>Rapoport, R., Sherr, S., &amp; Dutwin, D. (2014) Address Based Samples: Key Factors in Refining this Research Methodology. SSRS Whitepaper Archive</w:t>
      </w:r>
    </w:p>
  </w:footnote>
  <w:footnote w:id="7">
    <w:p w14:paraId="7CF4230E" w14:textId="77777777" w:rsidR="00730BA8" w:rsidRPr="00956CFD" w:rsidRDefault="00730BA8" w:rsidP="00956CFD">
      <w:pPr>
        <w:pStyle w:val="ListParagraph"/>
        <w:rPr>
          <w:sz w:val="20"/>
          <w:szCs w:val="20"/>
        </w:rPr>
      </w:pPr>
      <w:r w:rsidRPr="00956CFD">
        <w:rPr>
          <w:vertAlign w:val="superscript"/>
        </w:rPr>
        <w:footnoteRef/>
      </w:r>
      <w:r>
        <w:t xml:space="preserve"> </w:t>
      </w:r>
      <w:r w:rsidRPr="00956CFD">
        <w:rPr>
          <w:sz w:val="20"/>
          <w:szCs w:val="20"/>
        </w:rPr>
        <w:t xml:space="preserve">Iannacchione, V. G., Staab, J. M., &amp; Redden, D. T.  (2003). Evaluating the use of residential mailing addresses in a metropolitan household survey. </w:t>
      </w:r>
      <w:r w:rsidRPr="00956CFD">
        <w:rPr>
          <w:i/>
          <w:sz w:val="20"/>
          <w:szCs w:val="20"/>
        </w:rPr>
        <w:t>Public Opinion Quarterly, 67</w:t>
      </w:r>
      <w:r w:rsidRPr="00956CFD">
        <w:rPr>
          <w:sz w:val="20"/>
          <w:szCs w:val="20"/>
        </w:rPr>
        <w:t xml:space="preserve">(2), 202-210. </w:t>
      </w:r>
    </w:p>
  </w:footnote>
  <w:footnote w:id="8">
    <w:p w14:paraId="3CF1D516" w14:textId="77777777" w:rsidR="00730BA8" w:rsidRDefault="00730BA8" w:rsidP="00956CFD">
      <w:pPr>
        <w:pStyle w:val="ListParagraph"/>
      </w:pPr>
      <w:r w:rsidRPr="00956CFD">
        <w:rPr>
          <w:vertAlign w:val="superscript"/>
        </w:rPr>
        <w:footnoteRef/>
      </w:r>
      <w:r>
        <w:t xml:space="preserve"> </w:t>
      </w:r>
      <w:r w:rsidRPr="00956CFD">
        <w:rPr>
          <w:sz w:val="20"/>
          <w:szCs w:val="20"/>
        </w:rPr>
        <w:t xml:space="preserve">Link, M. W., Battaglia, M. P., Frankel, M. R., Osborn, L., &amp; Mokdad, A. H. (2008). A comparison of address-based sampling (ABS) versus random-digit dialing (RDD) for general population surveys. </w:t>
      </w:r>
      <w:r w:rsidRPr="00956CFD">
        <w:rPr>
          <w:i/>
          <w:sz w:val="20"/>
          <w:szCs w:val="20"/>
        </w:rPr>
        <w:t>Public Opinion Quarterly, 72</w:t>
      </w:r>
      <w:r w:rsidRPr="00956CFD">
        <w:rPr>
          <w:sz w:val="20"/>
          <w:szCs w:val="20"/>
        </w:rPr>
        <w:t>, 6-27.</w:t>
      </w:r>
    </w:p>
  </w:footnote>
  <w:footnote w:id="9">
    <w:p w14:paraId="42EEC229" w14:textId="77777777" w:rsidR="00730BA8" w:rsidRPr="00381C22" w:rsidRDefault="00730BA8" w:rsidP="00956CFD">
      <w:pPr>
        <w:pStyle w:val="ListParagraph"/>
      </w:pPr>
      <w:r w:rsidRPr="00956CFD">
        <w:rPr>
          <w:vertAlign w:val="superscript"/>
        </w:rPr>
        <w:footnoteRef/>
      </w:r>
      <w:r w:rsidRPr="00381C22">
        <w:t xml:space="preserve"> </w:t>
      </w:r>
      <w:r w:rsidRPr="00956CFD">
        <w:rPr>
          <w:sz w:val="20"/>
          <w:szCs w:val="20"/>
        </w:rPr>
        <w:t>Link, M. W., Battaglia, M. P., Frankel, M. R., Osborn, L., &amp; Mokdad, A. H. (2008). A comparison of address-based sampling (ABS) versus random-digit dialing (RDD) for general population surveys. Public Opinion Quarterly, 72, 6-27.</w:t>
      </w:r>
    </w:p>
  </w:footnote>
  <w:footnote w:id="10">
    <w:p w14:paraId="5C9B70F1" w14:textId="77777777" w:rsidR="00730BA8" w:rsidRPr="00381C22" w:rsidRDefault="00730BA8" w:rsidP="00956CFD">
      <w:pPr>
        <w:pStyle w:val="ListParagraph"/>
      </w:pPr>
      <w:r w:rsidRPr="00956CFD">
        <w:rPr>
          <w:vertAlign w:val="superscript"/>
        </w:rPr>
        <w:footnoteRef/>
      </w:r>
      <w:r w:rsidRPr="00381C22">
        <w:t xml:space="preserve"> </w:t>
      </w:r>
      <w:r w:rsidRPr="00956CFD">
        <w:rPr>
          <w:sz w:val="20"/>
          <w:szCs w:val="20"/>
        </w:rPr>
        <w:t>Iannacchione, V. G.  (2011). The changing role of address-based sampling in survey research. Public Opinion Quarterly, 75(3), 556-575.</w:t>
      </w:r>
    </w:p>
  </w:footnote>
  <w:footnote w:id="11">
    <w:p w14:paraId="02BDB0A9" w14:textId="77777777" w:rsidR="00937FF7" w:rsidRDefault="00937FF7" w:rsidP="00956CFD">
      <w:pPr>
        <w:pStyle w:val="ListParagraph"/>
      </w:pPr>
      <w:r w:rsidRPr="00956CFD">
        <w:rPr>
          <w:vertAlign w:val="superscript"/>
        </w:rPr>
        <w:footnoteRef/>
      </w:r>
      <w:r>
        <w:t xml:space="preserve"> </w:t>
      </w:r>
      <w:hyperlink r:id="rId3" w:history="1">
        <w:r w:rsidRPr="00956CFD">
          <w:rPr>
            <w:rStyle w:val="Hyperlink"/>
            <w:sz w:val="20"/>
            <w:szCs w:val="20"/>
          </w:rPr>
          <w:t>https://www.census.gov/topics/research/guidance/planning-databases.html</w:t>
        </w:r>
      </w:hyperlink>
      <w:r w:rsidRPr="00956CFD">
        <w:rPr>
          <w:sz w:val="20"/>
          <w:szCs w:val="20"/>
        </w:rPr>
        <w:t xml:space="preserve"> </w:t>
      </w:r>
    </w:p>
  </w:footnote>
  <w:footnote w:id="12">
    <w:p w14:paraId="5BB890A1" w14:textId="1F53DA15" w:rsidR="00003457" w:rsidRPr="009C4A5D" w:rsidRDefault="00003457" w:rsidP="00A64959">
      <w:pPr>
        <w:pStyle w:val="ListParagraph"/>
      </w:pPr>
      <w:r w:rsidRPr="00956CFD">
        <w:rPr>
          <w:vertAlign w:val="superscript"/>
        </w:rPr>
        <w:footnoteRef/>
      </w:r>
      <w:r w:rsidRPr="009C4A5D">
        <w:t xml:space="preserve"> </w:t>
      </w:r>
      <w:r w:rsidR="009C4A5D" w:rsidRPr="00956CFD">
        <w:rPr>
          <w:sz w:val="20"/>
          <w:szCs w:val="20"/>
          <w:shd w:val="clear" w:color="auto" w:fill="FFFFFF"/>
        </w:rPr>
        <w:t>Centers for Disease Control and Prevention. (August 2021). 2020: Behavioral Risk Factor Surveillance System Data. Retrieved from: </w:t>
      </w:r>
      <w:hyperlink r:id="rId4" w:tgtFrame="_blank" w:tooltip="https://www.cdc.gov/brfss/annual_data/annual_2020.html" w:history="1">
        <w:r w:rsidR="009C4A5D" w:rsidRPr="00956CFD">
          <w:rPr>
            <w:rStyle w:val="Hyperlink"/>
            <w:color w:val="6264A7"/>
            <w:sz w:val="20"/>
            <w:szCs w:val="20"/>
            <w:shd w:val="clear" w:color="auto" w:fill="FFFFFF"/>
          </w:rPr>
          <w:t>https://www.cdc.gov/brfss/annual_data/annual_2020.html</w:t>
        </w:r>
      </w:hyperlink>
    </w:p>
  </w:footnote>
  <w:footnote w:id="13">
    <w:p w14:paraId="33804101" w14:textId="77777777" w:rsidR="00003457" w:rsidRPr="00956CFD" w:rsidRDefault="00003457" w:rsidP="00A64959">
      <w:pPr>
        <w:pStyle w:val="ListParagraph"/>
        <w:rPr>
          <w:sz w:val="20"/>
          <w:szCs w:val="20"/>
        </w:rPr>
      </w:pPr>
      <w:r w:rsidRPr="00956CFD">
        <w:rPr>
          <w:sz w:val="20"/>
          <w:szCs w:val="20"/>
          <w:vertAlign w:val="superscript"/>
        </w:rPr>
        <w:footnoteRef/>
      </w:r>
      <w:r w:rsidRPr="00956CFD">
        <w:rPr>
          <w:sz w:val="20"/>
          <w:szCs w:val="20"/>
        </w:rPr>
        <w:t xml:space="preserve"> https://www.cdc.gov/brfss/annual_data/annual_2020.html</w:t>
      </w:r>
    </w:p>
  </w:footnote>
  <w:footnote w:id="14">
    <w:p w14:paraId="1F551BB9" w14:textId="77777777" w:rsidR="00730BA8" w:rsidRPr="00956CFD" w:rsidRDefault="00730BA8" w:rsidP="00A64959">
      <w:pPr>
        <w:pStyle w:val="ListParagraph"/>
        <w:rPr>
          <w:sz w:val="18"/>
          <w:szCs w:val="18"/>
        </w:rPr>
      </w:pPr>
      <w:r w:rsidRPr="00956CFD">
        <w:rPr>
          <w:sz w:val="20"/>
          <w:szCs w:val="18"/>
          <w:vertAlign w:val="superscript"/>
        </w:rPr>
        <w:footnoteRef/>
      </w:r>
      <w:r w:rsidRPr="00956CFD">
        <w:rPr>
          <w:sz w:val="18"/>
          <w:szCs w:val="18"/>
        </w:rPr>
        <w:t xml:space="preserve"> Battaglia, M. P., Link, M. W., Frankel, M. R., Osborn, L., &amp; Mokdad, A. H. (2008). An evaluation of respondent selection methods for household mail survey. </w:t>
      </w:r>
      <w:r w:rsidRPr="00956CFD">
        <w:rPr>
          <w:i/>
          <w:sz w:val="18"/>
          <w:szCs w:val="18"/>
        </w:rPr>
        <w:t>Public Opinion Quarterly, 72</w:t>
      </w:r>
      <w:r w:rsidRPr="00956CFD">
        <w:rPr>
          <w:sz w:val="18"/>
          <w:szCs w:val="18"/>
        </w:rPr>
        <w:t>(3), 459–469.</w:t>
      </w:r>
    </w:p>
  </w:footnote>
  <w:footnote w:id="15">
    <w:p w14:paraId="1F155370" w14:textId="77777777" w:rsidR="00730BA8" w:rsidRPr="00956CFD" w:rsidRDefault="00730BA8" w:rsidP="00A64959">
      <w:pPr>
        <w:pStyle w:val="ListParagraph"/>
        <w:rPr>
          <w:sz w:val="20"/>
          <w:szCs w:val="20"/>
        </w:rPr>
      </w:pPr>
      <w:r w:rsidRPr="00956CFD">
        <w:rPr>
          <w:sz w:val="20"/>
          <w:szCs w:val="20"/>
          <w:vertAlign w:val="superscript"/>
        </w:rPr>
        <w:footnoteRef/>
      </w:r>
      <w:r w:rsidRPr="00956CFD">
        <w:rPr>
          <w:sz w:val="20"/>
          <w:szCs w:val="20"/>
        </w:rPr>
        <w:t xml:space="preserve"> </w:t>
      </w:r>
      <w:hyperlink r:id="rId5" w:history="1">
        <w:r w:rsidRPr="00956CFD">
          <w:rPr>
            <w:sz w:val="20"/>
            <w:szCs w:val="20"/>
          </w:rPr>
          <w:t>Olson</w:t>
        </w:r>
      </w:hyperlink>
      <w:r w:rsidRPr="00956CFD">
        <w:rPr>
          <w:sz w:val="20"/>
          <w:szCs w:val="20"/>
        </w:rPr>
        <w:t xml:space="preserve">, K., Stange, M., &amp; </w:t>
      </w:r>
      <w:hyperlink r:id="rId6" w:history="1">
        <w:r w:rsidRPr="00956CFD">
          <w:rPr>
            <w:sz w:val="20"/>
            <w:szCs w:val="20"/>
          </w:rPr>
          <w:t>Smyth</w:t>
        </w:r>
      </w:hyperlink>
      <w:r w:rsidRPr="00956CFD">
        <w:rPr>
          <w:sz w:val="20"/>
          <w:szCs w:val="20"/>
        </w:rPr>
        <w:t xml:space="preserve">, J. (2014). Assessing within-household selection methods in household mail surveys. </w:t>
      </w:r>
      <w:r w:rsidRPr="00956CFD">
        <w:rPr>
          <w:iCs/>
          <w:sz w:val="20"/>
          <w:szCs w:val="20"/>
          <w:bdr w:val="none" w:sz="0" w:space="0" w:color="auto" w:frame="1"/>
        </w:rPr>
        <w:t>Public Opinion Quarterly,</w:t>
      </w:r>
      <w:r w:rsidRPr="00956CFD">
        <w:rPr>
          <w:sz w:val="20"/>
          <w:szCs w:val="20"/>
        </w:rPr>
        <w:t xml:space="preserve"> 78(3), 656–678.</w:t>
      </w:r>
    </w:p>
  </w:footnote>
  <w:footnote w:id="16">
    <w:p w14:paraId="102EB141" w14:textId="77777777" w:rsidR="00730BA8" w:rsidRPr="001C2513" w:rsidRDefault="00730BA8" w:rsidP="00A64959">
      <w:pPr>
        <w:pStyle w:val="ListParagraph"/>
      </w:pPr>
      <w:r w:rsidRPr="00956CFD">
        <w:rPr>
          <w:sz w:val="20"/>
          <w:szCs w:val="20"/>
          <w:vertAlign w:val="superscript"/>
        </w:rPr>
        <w:footnoteRef/>
      </w:r>
      <w:r w:rsidRPr="00956CFD">
        <w:rPr>
          <w:sz w:val="20"/>
          <w:szCs w:val="20"/>
        </w:rPr>
        <w:t xml:space="preserve"> Boyle, J., Tortora, R., Higgins, B., &amp; Freedner-Maguire, N (2017). Mode effects within the same individual between web and mail administration. AAPOR 72nd annual conference, May 18-21, 2017.</w:t>
      </w:r>
    </w:p>
  </w:footnote>
  <w:footnote w:id="17">
    <w:p w14:paraId="0E0971CF" w14:textId="77777777" w:rsidR="00937FF7" w:rsidRPr="00956CFD" w:rsidRDefault="00937FF7" w:rsidP="00A64959">
      <w:pPr>
        <w:pStyle w:val="ListParagraph"/>
        <w:rPr>
          <w:sz w:val="20"/>
          <w:szCs w:val="20"/>
        </w:rPr>
      </w:pPr>
      <w:r w:rsidRPr="00956CFD">
        <w:rPr>
          <w:sz w:val="20"/>
          <w:szCs w:val="20"/>
          <w:vertAlign w:val="superscript"/>
        </w:rPr>
        <w:footnoteRef/>
      </w:r>
      <w:r w:rsidRPr="00956CFD">
        <w:rPr>
          <w:sz w:val="20"/>
          <w:szCs w:val="20"/>
        </w:rPr>
        <w:t xml:space="preserve"> Groves, R. M., &amp; Couper, M. P. (2012). Nonresponse in household interview surveys. John Wiley &amp; Sons.</w:t>
      </w:r>
    </w:p>
  </w:footnote>
  <w:footnote w:id="18">
    <w:p w14:paraId="1B5FC53A" w14:textId="77777777" w:rsidR="00937FF7" w:rsidRPr="00956CFD" w:rsidRDefault="00937FF7" w:rsidP="00A64959">
      <w:pPr>
        <w:pStyle w:val="ListParagraph"/>
        <w:rPr>
          <w:sz w:val="20"/>
          <w:szCs w:val="20"/>
        </w:rPr>
      </w:pPr>
      <w:r w:rsidRPr="00956CFD">
        <w:rPr>
          <w:sz w:val="20"/>
          <w:szCs w:val="20"/>
          <w:vertAlign w:val="superscript"/>
        </w:rPr>
        <w:footnoteRef/>
      </w:r>
      <w:r w:rsidRPr="00956CFD">
        <w:rPr>
          <w:sz w:val="20"/>
          <w:szCs w:val="20"/>
        </w:rPr>
        <w:t xml:space="preserve"> Massey, D. S., &amp; Tourangeau, R. (2013). Where do we go from here? Nonresponse and social measurement. The Annals of the American Academy of Political and Social Science, 645(1), 222-236.</w:t>
      </w:r>
    </w:p>
  </w:footnote>
  <w:footnote w:id="19">
    <w:p w14:paraId="441E104C" w14:textId="77777777" w:rsidR="00937FF7" w:rsidRPr="00956CFD" w:rsidRDefault="00937FF7" w:rsidP="00A64959">
      <w:pPr>
        <w:pStyle w:val="ListParagraph"/>
        <w:rPr>
          <w:sz w:val="20"/>
          <w:szCs w:val="20"/>
        </w:rPr>
      </w:pPr>
      <w:r w:rsidRPr="00956CFD">
        <w:rPr>
          <w:sz w:val="20"/>
          <w:szCs w:val="20"/>
          <w:vertAlign w:val="superscript"/>
        </w:rPr>
        <w:footnoteRef/>
      </w:r>
      <w:r w:rsidRPr="00956CFD">
        <w:rPr>
          <w:sz w:val="20"/>
          <w:szCs w:val="20"/>
          <w:lang w:val="fr-FR"/>
        </w:rPr>
        <w:t xml:space="preserve"> Plewes, T. J., &amp; Tourangeau, R. (Eds.). </w:t>
      </w:r>
      <w:r w:rsidRPr="00956CFD">
        <w:rPr>
          <w:sz w:val="20"/>
          <w:szCs w:val="20"/>
        </w:rPr>
        <w:t>(2013). Nonresponse in social science surveys: a research agenda.</w:t>
      </w:r>
    </w:p>
  </w:footnote>
  <w:footnote w:id="20">
    <w:p w14:paraId="5063FF5C" w14:textId="77777777" w:rsidR="00937FF7" w:rsidRDefault="00937FF7" w:rsidP="00A64959">
      <w:pPr>
        <w:pStyle w:val="ListParagraph"/>
      </w:pPr>
      <w:r w:rsidRPr="00956CFD">
        <w:rPr>
          <w:sz w:val="20"/>
          <w:szCs w:val="20"/>
          <w:vertAlign w:val="superscript"/>
        </w:rPr>
        <w:footnoteRef/>
      </w:r>
      <w:r w:rsidRPr="00956CFD">
        <w:rPr>
          <w:sz w:val="20"/>
          <w:szCs w:val="20"/>
        </w:rPr>
        <w:t xml:space="preserve"> </w:t>
      </w:r>
      <w:hyperlink r:id="rId7" w:history="1">
        <w:r w:rsidRPr="00956CFD">
          <w:rPr>
            <w:rStyle w:val="Hyperlink"/>
            <w:sz w:val="18"/>
            <w:szCs w:val="18"/>
          </w:rPr>
          <w:t>https://www.aapor.org/Standards-Ethics/Standard-Definitions-(1).aspx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9D01" w14:textId="77777777" w:rsidR="00937FF7" w:rsidRDefault="00937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D02D" w14:textId="77777777" w:rsidR="006F06C9" w:rsidRPr="006F06C9" w:rsidRDefault="006F06C9" w:rsidP="006F06C9">
    <w:pPr>
      <w:tabs>
        <w:tab w:val="center" w:pos="4320"/>
        <w:tab w:val="right" w:pos="8640"/>
      </w:tabs>
      <w:spacing w:after="0"/>
      <w:jc w:val="right"/>
      <w:rPr>
        <w:sz w:val="22"/>
        <w:szCs w:val="22"/>
      </w:rPr>
    </w:pPr>
    <w:r w:rsidRPr="006F06C9">
      <w:rPr>
        <w:sz w:val="22"/>
        <w:szCs w:val="22"/>
      </w:rPr>
      <w:t>Survey on Driver Awareness of Motorcycles</w:t>
    </w:r>
  </w:p>
  <w:p w14:paraId="133A26F0" w14:textId="1FBEFD08" w:rsidR="00937FF7" w:rsidRPr="006F06C9" w:rsidRDefault="006F06C9" w:rsidP="006F06C9">
    <w:pPr>
      <w:tabs>
        <w:tab w:val="center" w:pos="4320"/>
        <w:tab w:val="right" w:pos="8640"/>
      </w:tabs>
      <w:jc w:val="right"/>
      <w:rPr>
        <w:sz w:val="22"/>
        <w:szCs w:val="22"/>
      </w:rPr>
    </w:pPr>
    <w:r w:rsidRPr="006F06C9">
      <w:rPr>
        <w:sz w:val="22"/>
        <w:szCs w:val="22"/>
      </w:rPr>
      <w:t>Supporting Statement: Part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194525"/>
      <w:docPartObj>
        <w:docPartGallery w:val="Watermarks"/>
        <w:docPartUnique/>
      </w:docPartObj>
    </w:sdtPr>
    <w:sdtEndPr/>
    <w:sdtContent>
      <w:p w14:paraId="6CA2B5B6" w14:textId="315F2543" w:rsidR="00937FF7" w:rsidRDefault="00C83009" w:rsidP="00293B74">
        <w:pPr>
          <w:tabs>
            <w:tab w:val="center" w:pos="4320"/>
            <w:tab w:val="right" w:pos="8640"/>
          </w:tabs>
          <w:spacing w:after="0"/>
        </w:pPr>
        <w:r>
          <w:rPr>
            <w:noProof/>
          </w:rPr>
          <w:pict w14:anchorId="22A33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3669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9F4BF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4E08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DEA7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278FA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AE52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0833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A857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DAB7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A493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8358D"/>
    <w:multiLevelType w:val="hybridMultilevel"/>
    <w:tmpl w:val="5366E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C259B"/>
    <w:multiLevelType w:val="singleLevel"/>
    <w:tmpl w:val="3756518E"/>
    <w:lvl w:ilvl="0">
      <w:start w:val="2"/>
      <w:numFmt w:val="decimal"/>
      <w:pStyle w:val="Numbers"/>
      <w:lvlText w:val="%1."/>
      <w:lvlJc w:val="left"/>
      <w:pPr>
        <w:tabs>
          <w:tab w:val="num" w:pos="1080"/>
        </w:tabs>
        <w:ind w:left="1080" w:hanging="360"/>
      </w:pPr>
      <w:rPr>
        <w:rFonts w:hint="default"/>
        <w:b w:val="0"/>
        <w:bCs w:val="0"/>
      </w:rPr>
    </w:lvl>
  </w:abstractNum>
  <w:abstractNum w:abstractNumId="12" w15:restartNumberingAfterBreak="0">
    <w:nsid w:val="6D5771F3"/>
    <w:multiLevelType w:val="hybridMultilevel"/>
    <w:tmpl w:val="735CF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008"/>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27"/>
    <w:rsid w:val="00001EB8"/>
    <w:rsid w:val="00002029"/>
    <w:rsid w:val="00003457"/>
    <w:rsid w:val="00003D4E"/>
    <w:rsid w:val="00003E9F"/>
    <w:rsid w:val="0000439E"/>
    <w:rsid w:val="00004A85"/>
    <w:rsid w:val="000064A1"/>
    <w:rsid w:val="00007E48"/>
    <w:rsid w:val="00010109"/>
    <w:rsid w:val="0001052F"/>
    <w:rsid w:val="00010ED8"/>
    <w:rsid w:val="00012892"/>
    <w:rsid w:val="00015595"/>
    <w:rsid w:val="0002032B"/>
    <w:rsid w:val="00020EA4"/>
    <w:rsid w:val="00024C3D"/>
    <w:rsid w:val="00026067"/>
    <w:rsid w:val="00027513"/>
    <w:rsid w:val="000303DF"/>
    <w:rsid w:val="00030439"/>
    <w:rsid w:val="00030FBE"/>
    <w:rsid w:val="000315EE"/>
    <w:rsid w:val="00032439"/>
    <w:rsid w:val="00036894"/>
    <w:rsid w:val="000401C4"/>
    <w:rsid w:val="000406B5"/>
    <w:rsid w:val="00041590"/>
    <w:rsid w:val="00042794"/>
    <w:rsid w:val="000449DB"/>
    <w:rsid w:val="0005336C"/>
    <w:rsid w:val="00053A0B"/>
    <w:rsid w:val="00053DA9"/>
    <w:rsid w:val="000551B4"/>
    <w:rsid w:val="00055377"/>
    <w:rsid w:val="000561D7"/>
    <w:rsid w:val="000573B2"/>
    <w:rsid w:val="00060931"/>
    <w:rsid w:val="00061630"/>
    <w:rsid w:val="00061889"/>
    <w:rsid w:val="000638F9"/>
    <w:rsid w:val="00064748"/>
    <w:rsid w:val="00064F7F"/>
    <w:rsid w:val="000675ED"/>
    <w:rsid w:val="00071854"/>
    <w:rsid w:val="000753EB"/>
    <w:rsid w:val="0007686F"/>
    <w:rsid w:val="000805C9"/>
    <w:rsid w:val="00080D5B"/>
    <w:rsid w:val="0008151D"/>
    <w:rsid w:val="000828E3"/>
    <w:rsid w:val="00082B13"/>
    <w:rsid w:val="00083A12"/>
    <w:rsid w:val="00084D9F"/>
    <w:rsid w:val="00085E53"/>
    <w:rsid w:val="00086C55"/>
    <w:rsid w:val="00086D4A"/>
    <w:rsid w:val="00086EF1"/>
    <w:rsid w:val="0009382E"/>
    <w:rsid w:val="00095EA1"/>
    <w:rsid w:val="00097268"/>
    <w:rsid w:val="00097482"/>
    <w:rsid w:val="000A1290"/>
    <w:rsid w:val="000A4CC8"/>
    <w:rsid w:val="000B1AE8"/>
    <w:rsid w:val="000B2D05"/>
    <w:rsid w:val="000B3C1F"/>
    <w:rsid w:val="000B4B05"/>
    <w:rsid w:val="000B5BF5"/>
    <w:rsid w:val="000C2540"/>
    <w:rsid w:val="000C2F68"/>
    <w:rsid w:val="000C5465"/>
    <w:rsid w:val="000C5CEE"/>
    <w:rsid w:val="000D1ED3"/>
    <w:rsid w:val="000D4A04"/>
    <w:rsid w:val="000E1CA0"/>
    <w:rsid w:val="000E352E"/>
    <w:rsid w:val="000E4DD2"/>
    <w:rsid w:val="000E6392"/>
    <w:rsid w:val="000E79B1"/>
    <w:rsid w:val="000E7C52"/>
    <w:rsid w:val="000F2F39"/>
    <w:rsid w:val="000F51DC"/>
    <w:rsid w:val="000F6389"/>
    <w:rsid w:val="00101E7B"/>
    <w:rsid w:val="0010231A"/>
    <w:rsid w:val="00102ADB"/>
    <w:rsid w:val="0010672D"/>
    <w:rsid w:val="00113A93"/>
    <w:rsid w:val="0011464C"/>
    <w:rsid w:val="00117B91"/>
    <w:rsid w:val="001254C9"/>
    <w:rsid w:val="00130AA8"/>
    <w:rsid w:val="001334AE"/>
    <w:rsid w:val="0013470B"/>
    <w:rsid w:val="0013590A"/>
    <w:rsid w:val="001404CD"/>
    <w:rsid w:val="0014284A"/>
    <w:rsid w:val="001449EA"/>
    <w:rsid w:val="0014747E"/>
    <w:rsid w:val="00147924"/>
    <w:rsid w:val="0015052B"/>
    <w:rsid w:val="001520BC"/>
    <w:rsid w:val="00153A7D"/>
    <w:rsid w:val="001549E6"/>
    <w:rsid w:val="00157224"/>
    <w:rsid w:val="001577EB"/>
    <w:rsid w:val="001616B5"/>
    <w:rsid w:val="0016208E"/>
    <w:rsid w:val="0016335B"/>
    <w:rsid w:val="00163F76"/>
    <w:rsid w:val="001656B4"/>
    <w:rsid w:val="00167ABE"/>
    <w:rsid w:val="0017052F"/>
    <w:rsid w:val="001736D6"/>
    <w:rsid w:val="00174E3D"/>
    <w:rsid w:val="001760FF"/>
    <w:rsid w:val="0019105A"/>
    <w:rsid w:val="00191983"/>
    <w:rsid w:val="00191989"/>
    <w:rsid w:val="00194813"/>
    <w:rsid w:val="0019542B"/>
    <w:rsid w:val="001A0BD6"/>
    <w:rsid w:val="001A1A6A"/>
    <w:rsid w:val="001A3D24"/>
    <w:rsid w:val="001A61D5"/>
    <w:rsid w:val="001A61F5"/>
    <w:rsid w:val="001A683D"/>
    <w:rsid w:val="001A7091"/>
    <w:rsid w:val="001B0201"/>
    <w:rsid w:val="001B1271"/>
    <w:rsid w:val="001B6A60"/>
    <w:rsid w:val="001C1B3E"/>
    <w:rsid w:val="001C33FF"/>
    <w:rsid w:val="001C3835"/>
    <w:rsid w:val="001C45A5"/>
    <w:rsid w:val="001C4719"/>
    <w:rsid w:val="001D082E"/>
    <w:rsid w:val="001D3196"/>
    <w:rsid w:val="001D6B6A"/>
    <w:rsid w:val="001E2C1F"/>
    <w:rsid w:val="001E2C4D"/>
    <w:rsid w:val="001F4B61"/>
    <w:rsid w:val="001F5A13"/>
    <w:rsid w:val="001F616F"/>
    <w:rsid w:val="001F6182"/>
    <w:rsid w:val="001F7CD5"/>
    <w:rsid w:val="002016DA"/>
    <w:rsid w:val="00202B0F"/>
    <w:rsid w:val="00204218"/>
    <w:rsid w:val="00206E27"/>
    <w:rsid w:val="002155B6"/>
    <w:rsid w:val="00215995"/>
    <w:rsid w:val="00215AE1"/>
    <w:rsid w:val="0022096F"/>
    <w:rsid w:val="00224526"/>
    <w:rsid w:val="002255EE"/>
    <w:rsid w:val="002265F7"/>
    <w:rsid w:val="00227FD6"/>
    <w:rsid w:val="00230C28"/>
    <w:rsid w:val="00231584"/>
    <w:rsid w:val="00231ED1"/>
    <w:rsid w:val="0024170D"/>
    <w:rsid w:val="00252656"/>
    <w:rsid w:val="00253C8F"/>
    <w:rsid w:val="00254F03"/>
    <w:rsid w:val="00257C69"/>
    <w:rsid w:val="00257CEA"/>
    <w:rsid w:val="00263504"/>
    <w:rsid w:val="00264628"/>
    <w:rsid w:val="002654E7"/>
    <w:rsid w:val="00274951"/>
    <w:rsid w:val="00277C3C"/>
    <w:rsid w:val="00280930"/>
    <w:rsid w:val="0028112B"/>
    <w:rsid w:val="002855CE"/>
    <w:rsid w:val="00292305"/>
    <w:rsid w:val="002938EE"/>
    <w:rsid w:val="00293B74"/>
    <w:rsid w:val="002A3403"/>
    <w:rsid w:val="002B088D"/>
    <w:rsid w:val="002B56B2"/>
    <w:rsid w:val="002B6737"/>
    <w:rsid w:val="002C2925"/>
    <w:rsid w:val="002C2B6E"/>
    <w:rsid w:val="002C2C15"/>
    <w:rsid w:val="002C3AC7"/>
    <w:rsid w:val="002C595E"/>
    <w:rsid w:val="002C7253"/>
    <w:rsid w:val="002D1C02"/>
    <w:rsid w:val="002D2663"/>
    <w:rsid w:val="002D37B5"/>
    <w:rsid w:val="002E280A"/>
    <w:rsid w:val="002E31A0"/>
    <w:rsid w:val="002F0E10"/>
    <w:rsid w:val="002F0F8A"/>
    <w:rsid w:val="002F5C85"/>
    <w:rsid w:val="002F6A6C"/>
    <w:rsid w:val="002F7A9D"/>
    <w:rsid w:val="002F7CEC"/>
    <w:rsid w:val="003029F2"/>
    <w:rsid w:val="0030503C"/>
    <w:rsid w:val="00307CEB"/>
    <w:rsid w:val="00312F90"/>
    <w:rsid w:val="00313DD1"/>
    <w:rsid w:val="00314B1F"/>
    <w:rsid w:val="00314C7A"/>
    <w:rsid w:val="0031567D"/>
    <w:rsid w:val="00315B6C"/>
    <w:rsid w:val="00321FF4"/>
    <w:rsid w:val="00323824"/>
    <w:rsid w:val="00330DAD"/>
    <w:rsid w:val="0033558D"/>
    <w:rsid w:val="0034144B"/>
    <w:rsid w:val="00342A04"/>
    <w:rsid w:val="00343049"/>
    <w:rsid w:val="003438C1"/>
    <w:rsid w:val="003470CF"/>
    <w:rsid w:val="00352008"/>
    <w:rsid w:val="00353A4C"/>
    <w:rsid w:val="00353D0F"/>
    <w:rsid w:val="00353DA2"/>
    <w:rsid w:val="003547F6"/>
    <w:rsid w:val="00355AA9"/>
    <w:rsid w:val="003571C1"/>
    <w:rsid w:val="003631C4"/>
    <w:rsid w:val="0036329C"/>
    <w:rsid w:val="003634DF"/>
    <w:rsid w:val="003637C3"/>
    <w:rsid w:val="00365D0B"/>
    <w:rsid w:val="00367865"/>
    <w:rsid w:val="00370B15"/>
    <w:rsid w:val="003711A3"/>
    <w:rsid w:val="00371EE6"/>
    <w:rsid w:val="003761E6"/>
    <w:rsid w:val="0037714F"/>
    <w:rsid w:val="00381C22"/>
    <w:rsid w:val="0038332B"/>
    <w:rsid w:val="003838F8"/>
    <w:rsid w:val="00384120"/>
    <w:rsid w:val="003846A9"/>
    <w:rsid w:val="003858D9"/>
    <w:rsid w:val="00391D02"/>
    <w:rsid w:val="00394CC9"/>
    <w:rsid w:val="003958B3"/>
    <w:rsid w:val="00396D1A"/>
    <w:rsid w:val="003A1B09"/>
    <w:rsid w:val="003A2770"/>
    <w:rsid w:val="003A40C7"/>
    <w:rsid w:val="003A5A6E"/>
    <w:rsid w:val="003A601B"/>
    <w:rsid w:val="003A7069"/>
    <w:rsid w:val="003A77F8"/>
    <w:rsid w:val="003B06F0"/>
    <w:rsid w:val="003B0D4D"/>
    <w:rsid w:val="003B1408"/>
    <w:rsid w:val="003C4391"/>
    <w:rsid w:val="003D0BF7"/>
    <w:rsid w:val="003D44A3"/>
    <w:rsid w:val="003D702D"/>
    <w:rsid w:val="003E4802"/>
    <w:rsid w:val="003E54B8"/>
    <w:rsid w:val="003F1B2A"/>
    <w:rsid w:val="003F5617"/>
    <w:rsid w:val="003F6191"/>
    <w:rsid w:val="003F6C1C"/>
    <w:rsid w:val="0040015A"/>
    <w:rsid w:val="0040073A"/>
    <w:rsid w:val="004023F4"/>
    <w:rsid w:val="0040380B"/>
    <w:rsid w:val="00403EA1"/>
    <w:rsid w:val="00404B36"/>
    <w:rsid w:val="00404CE6"/>
    <w:rsid w:val="004064D2"/>
    <w:rsid w:val="00407278"/>
    <w:rsid w:val="004108F2"/>
    <w:rsid w:val="004120EB"/>
    <w:rsid w:val="00412D6A"/>
    <w:rsid w:val="004162CA"/>
    <w:rsid w:val="00417F40"/>
    <w:rsid w:val="00420532"/>
    <w:rsid w:val="004212A4"/>
    <w:rsid w:val="00423DD3"/>
    <w:rsid w:val="0042668E"/>
    <w:rsid w:val="00427148"/>
    <w:rsid w:val="004303C5"/>
    <w:rsid w:val="00441E7B"/>
    <w:rsid w:val="00443C1B"/>
    <w:rsid w:val="004449D1"/>
    <w:rsid w:val="00445A6D"/>
    <w:rsid w:val="00446FE3"/>
    <w:rsid w:val="00450098"/>
    <w:rsid w:val="0045036F"/>
    <w:rsid w:val="00452109"/>
    <w:rsid w:val="00452E4B"/>
    <w:rsid w:val="0045452D"/>
    <w:rsid w:val="0045557D"/>
    <w:rsid w:val="00456CC0"/>
    <w:rsid w:val="0046299F"/>
    <w:rsid w:val="0046531F"/>
    <w:rsid w:val="00466906"/>
    <w:rsid w:val="004670F7"/>
    <w:rsid w:val="00467AD7"/>
    <w:rsid w:val="00474FB2"/>
    <w:rsid w:val="0047696C"/>
    <w:rsid w:val="00477CA6"/>
    <w:rsid w:val="004805A5"/>
    <w:rsid w:val="004943DE"/>
    <w:rsid w:val="00495230"/>
    <w:rsid w:val="004957DC"/>
    <w:rsid w:val="00497E16"/>
    <w:rsid w:val="004A1097"/>
    <w:rsid w:val="004A381A"/>
    <w:rsid w:val="004A5464"/>
    <w:rsid w:val="004B0851"/>
    <w:rsid w:val="004B11FC"/>
    <w:rsid w:val="004B1473"/>
    <w:rsid w:val="004B7E40"/>
    <w:rsid w:val="004C072C"/>
    <w:rsid w:val="004C242F"/>
    <w:rsid w:val="004C3F4E"/>
    <w:rsid w:val="004C50E1"/>
    <w:rsid w:val="004C592C"/>
    <w:rsid w:val="004C7B89"/>
    <w:rsid w:val="004D1BC6"/>
    <w:rsid w:val="004D3B84"/>
    <w:rsid w:val="004D7689"/>
    <w:rsid w:val="004D7860"/>
    <w:rsid w:val="004E08AF"/>
    <w:rsid w:val="004E5026"/>
    <w:rsid w:val="004E5244"/>
    <w:rsid w:val="004E7B35"/>
    <w:rsid w:val="004F0C61"/>
    <w:rsid w:val="004F3D6B"/>
    <w:rsid w:val="004F465F"/>
    <w:rsid w:val="004F4EA1"/>
    <w:rsid w:val="004F5201"/>
    <w:rsid w:val="004F5C6F"/>
    <w:rsid w:val="004F5CD2"/>
    <w:rsid w:val="00501E26"/>
    <w:rsid w:val="00502950"/>
    <w:rsid w:val="005044DF"/>
    <w:rsid w:val="005078D2"/>
    <w:rsid w:val="00507A66"/>
    <w:rsid w:val="00510F24"/>
    <w:rsid w:val="00511284"/>
    <w:rsid w:val="0051398C"/>
    <w:rsid w:val="00515F9B"/>
    <w:rsid w:val="00515FE5"/>
    <w:rsid w:val="0052108E"/>
    <w:rsid w:val="00521B39"/>
    <w:rsid w:val="00521C2B"/>
    <w:rsid w:val="00522205"/>
    <w:rsid w:val="005244D4"/>
    <w:rsid w:val="00524E73"/>
    <w:rsid w:val="00524F26"/>
    <w:rsid w:val="0053078E"/>
    <w:rsid w:val="00530854"/>
    <w:rsid w:val="005430BA"/>
    <w:rsid w:val="00543E09"/>
    <w:rsid w:val="005442A8"/>
    <w:rsid w:val="005443FA"/>
    <w:rsid w:val="00550758"/>
    <w:rsid w:val="005519E3"/>
    <w:rsid w:val="00554309"/>
    <w:rsid w:val="00554D36"/>
    <w:rsid w:val="005613A4"/>
    <w:rsid w:val="005635FD"/>
    <w:rsid w:val="0056360C"/>
    <w:rsid w:val="00563D99"/>
    <w:rsid w:val="00564566"/>
    <w:rsid w:val="00566433"/>
    <w:rsid w:val="00570FCB"/>
    <w:rsid w:val="00572D15"/>
    <w:rsid w:val="00576179"/>
    <w:rsid w:val="0057669A"/>
    <w:rsid w:val="005851C6"/>
    <w:rsid w:val="00586FD1"/>
    <w:rsid w:val="00593B5C"/>
    <w:rsid w:val="00594C31"/>
    <w:rsid w:val="005A12CC"/>
    <w:rsid w:val="005A427D"/>
    <w:rsid w:val="005A51AF"/>
    <w:rsid w:val="005A6A51"/>
    <w:rsid w:val="005A6CDF"/>
    <w:rsid w:val="005B05AE"/>
    <w:rsid w:val="005B2EC3"/>
    <w:rsid w:val="005B6A92"/>
    <w:rsid w:val="005B7851"/>
    <w:rsid w:val="005C4936"/>
    <w:rsid w:val="005C4A0F"/>
    <w:rsid w:val="005C4FF4"/>
    <w:rsid w:val="005D1432"/>
    <w:rsid w:val="005D29C0"/>
    <w:rsid w:val="005D317A"/>
    <w:rsid w:val="005E0A3D"/>
    <w:rsid w:val="005E4A00"/>
    <w:rsid w:val="005E644B"/>
    <w:rsid w:val="005E66BA"/>
    <w:rsid w:val="005F03B7"/>
    <w:rsid w:val="005F17D7"/>
    <w:rsid w:val="005F328B"/>
    <w:rsid w:val="005F3F21"/>
    <w:rsid w:val="006047BD"/>
    <w:rsid w:val="00604980"/>
    <w:rsid w:val="006110DC"/>
    <w:rsid w:val="006116F9"/>
    <w:rsid w:val="006128BF"/>
    <w:rsid w:val="00614E58"/>
    <w:rsid w:val="00615579"/>
    <w:rsid w:val="00620BA4"/>
    <w:rsid w:val="0062101F"/>
    <w:rsid w:val="00622C8D"/>
    <w:rsid w:val="006232C9"/>
    <w:rsid w:val="00625715"/>
    <w:rsid w:val="006270B8"/>
    <w:rsid w:val="00630771"/>
    <w:rsid w:val="0063106B"/>
    <w:rsid w:val="00631402"/>
    <w:rsid w:val="00631BBF"/>
    <w:rsid w:val="00637B6A"/>
    <w:rsid w:val="00645659"/>
    <w:rsid w:val="006469F3"/>
    <w:rsid w:val="00647C21"/>
    <w:rsid w:val="006504B8"/>
    <w:rsid w:val="00651DE1"/>
    <w:rsid w:val="006529D2"/>
    <w:rsid w:val="00654294"/>
    <w:rsid w:val="00654A05"/>
    <w:rsid w:val="006566DF"/>
    <w:rsid w:val="0066410E"/>
    <w:rsid w:val="00666D50"/>
    <w:rsid w:val="006675C5"/>
    <w:rsid w:val="00670230"/>
    <w:rsid w:val="006724CC"/>
    <w:rsid w:val="0067417A"/>
    <w:rsid w:val="006761F6"/>
    <w:rsid w:val="0067653B"/>
    <w:rsid w:val="00677AF3"/>
    <w:rsid w:val="00681597"/>
    <w:rsid w:val="00686000"/>
    <w:rsid w:val="00690E8C"/>
    <w:rsid w:val="0069485E"/>
    <w:rsid w:val="006A0549"/>
    <w:rsid w:val="006A78E8"/>
    <w:rsid w:val="006B31A8"/>
    <w:rsid w:val="006B4C51"/>
    <w:rsid w:val="006B6521"/>
    <w:rsid w:val="006B763F"/>
    <w:rsid w:val="006C0BE1"/>
    <w:rsid w:val="006C1200"/>
    <w:rsid w:val="006C2413"/>
    <w:rsid w:val="006C398A"/>
    <w:rsid w:val="006C725E"/>
    <w:rsid w:val="006C7B39"/>
    <w:rsid w:val="006D1478"/>
    <w:rsid w:val="006D6640"/>
    <w:rsid w:val="006D78B9"/>
    <w:rsid w:val="006E0992"/>
    <w:rsid w:val="006E3705"/>
    <w:rsid w:val="006E4430"/>
    <w:rsid w:val="006E654E"/>
    <w:rsid w:val="006E6A1F"/>
    <w:rsid w:val="006F06C9"/>
    <w:rsid w:val="006F0A79"/>
    <w:rsid w:val="006F0ADC"/>
    <w:rsid w:val="006F1409"/>
    <w:rsid w:val="006F2536"/>
    <w:rsid w:val="006F3984"/>
    <w:rsid w:val="006F4845"/>
    <w:rsid w:val="006F58E7"/>
    <w:rsid w:val="006F6A24"/>
    <w:rsid w:val="0070499E"/>
    <w:rsid w:val="00705DE7"/>
    <w:rsid w:val="00707F1A"/>
    <w:rsid w:val="00711F4C"/>
    <w:rsid w:val="00712668"/>
    <w:rsid w:val="00715E16"/>
    <w:rsid w:val="00717879"/>
    <w:rsid w:val="00717EC0"/>
    <w:rsid w:val="00722B6E"/>
    <w:rsid w:val="00722B70"/>
    <w:rsid w:val="00723BA0"/>
    <w:rsid w:val="00725CE4"/>
    <w:rsid w:val="00730BA8"/>
    <w:rsid w:val="00732209"/>
    <w:rsid w:val="007369E5"/>
    <w:rsid w:val="00737963"/>
    <w:rsid w:val="0074107C"/>
    <w:rsid w:val="007559DC"/>
    <w:rsid w:val="00755B76"/>
    <w:rsid w:val="00755BC2"/>
    <w:rsid w:val="00761E70"/>
    <w:rsid w:val="00762571"/>
    <w:rsid w:val="007638F7"/>
    <w:rsid w:val="0076507B"/>
    <w:rsid w:val="00766CB2"/>
    <w:rsid w:val="00770088"/>
    <w:rsid w:val="007700F4"/>
    <w:rsid w:val="007704FF"/>
    <w:rsid w:val="00771FE7"/>
    <w:rsid w:val="00791C04"/>
    <w:rsid w:val="0079205F"/>
    <w:rsid w:val="00793864"/>
    <w:rsid w:val="0079573C"/>
    <w:rsid w:val="00795D21"/>
    <w:rsid w:val="00796525"/>
    <w:rsid w:val="00796FEF"/>
    <w:rsid w:val="007A0359"/>
    <w:rsid w:val="007A4280"/>
    <w:rsid w:val="007A7EA3"/>
    <w:rsid w:val="007B0159"/>
    <w:rsid w:val="007B23A2"/>
    <w:rsid w:val="007C081C"/>
    <w:rsid w:val="007C0D87"/>
    <w:rsid w:val="007C1791"/>
    <w:rsid w:val="007C56C9"/>
    <w:rsid w:val="007C5B10"/>
    <w:rsid w:val="007D0685"/>
    <w:rsid w:val="007D2C5F"/>
    <w:rsid w:val="007E0A6F"/>
    <w:rsid w:val="007E2B3E"/>
    <w:rsid w:val="007E3F4C"/>
    <w:rsid w:val="007E5097"/>
    <w:rsid w:val="007E5A96"/>
    <w:rsid w:val="007F006B"/>
    <w:rsid w:val="007F297C"/>
    <w:rsid w:val="007F4BAB"/>
    <w:rsid w:val="007F790B"/>
    <w:rsid w:val="0080496B"/>
    <w:rsid w:val="00806D72"/>
    <w:rsid w:val="00810083"/>
    <w:rsid w:val="00810EA1"/>
    <w:rsid w:val="00811B7C"/>
    <w:rsid w:val="00813DAF"/>
    <w:rsid w:val="00817454"/>
    <w:rsid w:val="00821405"/>
    <w:rsid w:val="00822C0D"/>
    <w:rsid w:val="008248FA"/>
    <w:rsid w:val="00827243"/>
    <w:rsid w:val="00832927"/>
    <w:rsid w:val="008329F3"/>
    <w:rsid w:val="00833FF9"/>
    <w:rsid w:val="00835290"/>
    <w:rsid w:val="0083539E"/>
    <w:rsid w:val="00837D82"/>
    <w:rsid w:val="0084009E"/>
    <w:rsid w:val="00841E69"/>
    <w:rsid w:val="00842FBA"/>
    <w:rsid w:val="00843417"/>
    <w:rsid w:val="008447EB"/>
    <w:rsid w:val="00845735"/>
    <w:rsid w:val="00845CFE"/>
    <w:rsid w:val="00851F8A"/>
    <w:rsid w:val="0086102F"/>
    <w:rsid w:val="00862343"/>
    <w:rsid w:val="00864E93"/>
    <w:rsid w:val="008656C9"/>
    <w:rsid w:val="00870D34"/>
    <w:rsid w:val="00872B9E"/>
    <w:rsid w:val="00874354"/>
    <w:rsid w:val="00880B93"/>
    <w:rsid w:val="00885DCF"/>
    <w:rsid w:val="00886745"/>
    <w:rsid w:val="0089474E"/>
    <w:rsid w:val="00895899"/>
    <w:rsid w:val="008958AE"/>
    <w:rsid w:val="008A0169"/>
    <w:rsid w:val="008A051D"/>
    <w:rsid w:val="008A2ABA"/>
    <w:rsid w:val="008A5E6B"/>
    <w:rsid w:val="008B3968"/>
    <w:rsid w:val="008B686C"/>
    <w:rsid w:val="008C58A8"/>
    <w:rsid w:val="008D08FB"/>
    <w:rsid w:val="008D6210"/>
    <w:rsid w:val="008E0273"/>
    <w:rsid w:val="008E1E0E"/>
    <w:rsid w:val="008E20CB"/>
    <w:rsid w:val="008E250F"/>
    <w:rsid w:val="008E309C"/>
    <w:rsid w:val="008E560B"/>
    <w:rsid w:val="008E59EB"/>
    <w:rsid w:val="008F08E9"/>
    <w:rsid w:val="008F2B85"/>
    <w:rsid w:val="008F2D0A"/>
    <w:rsid w:val="008F43A4"/>
    <w:rsid w:val="008F518B"/>
    <w:rsid w:val="008F631D"/>
    <w:rsid w:val="008F69A9"/>
    <w:rsid w:val="009018B8"/>
    <w:rsid w:val="009050A9"/>
    <w:rsid w:val="00906478"/>
    <w:rsid w:val="00906665"/>
    <w:rsid w:val="00910AFB"/>
    <w:rsid w:val="00911102"/>
    <w:rsid w:val="00911A3F"/>
    <w:rsid w:val="009147CB"/>
    <w:rsid w:val="00915CE0"/>
    <w:rsid w:val="00920D67"/>
    <w:rsid w:val="00922084"/>
    <w:rsid w:val="00923A7A"/>
    <w:rsid w:val="00925FB8"/>
    <w:rsid w:val="009278FC"/>
    <w:rsid w:val="009304DA"/>
    <w:rsid w:val="0093093E"/>
    <w:rsid w:val="0093445E"/>
    <w:rsid w:val="00935164"/>
    <w:rsid w:val="009362CD"/>
    <w:rsid w:val="0093710E"/>
    <w:rsid w:val="00937180"/>
    <w:rsid w:val="00937550"/>
    <w:rsid w:val="00937AB9"/>
    <w:rsid w:val="00937FF7"/>
    <w:rsid w:val="00941160"/>
    <w:rsid w:val="0094182B"/>
    <w:rsid w:val="009422CB"/>
    <w:rsid w:val="00942EC6"/>
    <w:rsid w:val="00944BE7"/>
    <w:rsid w:val="00944F69"/>
    <w:rsid w:val="0094598F"/>
    <w:rsid w:val="00947BBD"/>
    <w:rsid w:val="00947DDD"/>
    <w:rsid w:val="00947E62"/>
    <w:rsid w:val="009504BF"/>
    <w:rsid w:val="009526A7"/>
    <w:rsid w:val="009533E7"/>
    <w:rsid w:val="00956CFD"/>
    <w:rsid w:val="00957605"/>
    <w:rsid w:val="00960B64"/>
    <w:rsid w:val="00963041"/>
    <w:rsid w:val="0096330F"/>
    <w:rsid w:val="00964A2F"/>
    <w:rsid w:val="00967DA6"/>
    <w:rsid w:val="00967F5B"/>
    <w:rsid w:val="00970B28"/>
    <w:rsid w:val="0097377E"/>
    <w:rsid w:val="00973794"/>
    <w:rsid w:val="00974076"/>
    <w:rsid w:val="009744ED"/>
    <w:rsid w:val="009812E0"/>
    <w:rsid w:val="009838E1"/>
    <w:rsid w:val="0098476B"/>
    <w:rsid w:val="009870BC"/>
    <w:rsid w:val="009876BB"/>
    <w:rsid w:val="00990C65"/>
    <w:rsid w:val="0099258A"/>
    <w:rsid w:val="009930CA"/>
    <w:rsid w:val="009963F4"/>
    <w:rsid w:val="009972B3"/>
    <w:rsid w:val="009977DA"/>
    <w:rsid w:val="009A54DE"/>
    <w:rsid w:val="009A6459"/>
    <w:rsid w:val="009B0E8E"/>
    <w:rsid w:val="009B29D5"/>
    <w:rsid w:val="009C39BD"/>
    <w:rsid w:val="009C4A5D"/>
    <w:rsid w:val="009C6777"/>
    <w:rsid w:val="009D0AF2"/>
    <w:rsid w:val="009D189E"/>
    <w:rsid w:val="009D268B"/>
    <w:rsid w:val="009D6C17"/>
    <w:rsid w:val="009E411E"/>
    <w:rsid w:val="009E4244"/>
    <w:rsid w:val="009E4AAF"/>
    <w:rsid w:val="009E6DC2"/>
    <w:rsid w:val="009E7ACB"/>
    <w:rsid w:val="009F2A9F"/>
    <w:rsid w:val="009F4ACB"/>
    <w:rsid w:val="009F6752"/>
    <w:rsid w:val="00A002B9"/>
    <w:rsid w:val="00A00360"/>
    <w:rsid w:val="00A023CD"/>
    <w:rsid w:val="00A0373F"/>
    <w:rsid w:val="00A0706E"/>
    <w:rsid w:val="00A110AD"/>
    <w:rsid w:val="00A12CB4"/>
    <w:rsid w:val="00A12FF4"/>
    <w:rsid w:val="00A13FA6"/>
    <w:rsid w:val="00A14E43"/>
    <w:rsid w:val="00A16EA0"/>
    <w:rsid w:val="00A20DD2"/>
    <w:rsid w:val="00A21CCB"/>
    <w:rsid w:val="00A2357D"/>
    <w:rsid w:val="00A23777"/>
    <w:rsid w:val="00A23D7D"/>
    <w:rsid w:val="00A247E8"/>
    <w:rsid w:val="00A32654"/>
    <w:rsid w:val="00A3403A"/>
    <w:rsid w:val="00A351B7"/>
    <w:rsid w:val="00A35D4A"/>
    <w:rsid w:val="00A36C9B"/>
    <w:rsid w:val="00A376D2"/>
    <w:rsid w:val="00A50B01"/>
    <w:rsid w:val="00A51838"/>
    <w:rsid w:val="00A52A05"/>
    <w:rsid w:val="00A53436"/>
    <w:rsid w:val="00A53723"/>
    <w:rsid w:val="00A53FFE"/>
    <w:rsid w:val="00A55EF1"/>
    <w:rsid w:val="00A569E9"/>
    <w:rsid w:val="00A64341"/>
    <w:rsid w:val="00A64959"/>
    <w:rsid w:val="00A65007"/>
    <w:rsid w:val="00A657D2"/>
    <w:rsid w:val="00A6752F"/>
    <w:rsid w:val="00A7172C"/>
    <w:rsid w:val="00A82E6D"/>
    <w:rsid w:val="00A877B9"/>
    <w:rsid w:val="00A87F07"/>
    <w:rsid w:val="00A92220"/>
    <w:rsid w:val="00A9253C"/>
    <w:rsid w:val="00A94C94"/>
    <w:rsid w:val="00A95E68"/>
    <w:rsid w:val="00AA4431"/>
    <w:rsid w:val="00AA6332"/>
    <w:rsid w:val="00AA79AA"/>
    <w:rsid w:val="00AB2A1E"/>
    <w:rsid w:val="00AB52B0"/>
    <w:rsid w:val="00AC0FA4"/>
    <w:rsid w:val="00AC110B"/>
    <w:rsid w:val="00AC29B0"/>
    <w:rsid w:val="00AC34C9"/>
    <w:rsid w:val="00AC4358"/>
    <w:rsid w:val="00AC4EA0"/>
    <w:rsid w:val="00AC5F25"/>
    <w:rsid w:val="00AD2633"/>
    <w:rsid w:val="00AD35B6"/>
    <w:rsid w:val="00AD5AB6"/>
    <w:rsid w:val="00AE4D0B"/>
    <w:rsid w:val="00AF09D2"/>
    <w:rsid w:val="00AF14CD"/>
    <w:rsid w:val="00AF3712"/>
    <w:rsid w:val="00AF7D28"/>
    <w:rsid w:val="00B01F43"/>
    <w:rsid w:val="00B0301A"/>
    <w:rsid w:val="00B067A9"/>
    <w:rsid w:val="00B07AD0"/>
    <w:rsid w:val="00B14CB9"/>
    <w:rsid w:val="00B16E25"/>
    <w:rsid w:val="00B212EF"/>
    <w:rsid w:val="00B22FBB"/>
    <w:rsid w:val="00B232EA"/>
    <w:rsid w:val="00B25B93"/>
    <w:rsid w:val="00B30630"/>
    <w:rsid w:val="00B31A25"/>
    <w:rsid w:val="00B3387B"/>
    <w:rsid w:val="00B35D55"/>
    <w:rsid w:val="00B3671D"/>
    <w:rsid w:val="00B36C39"/>
    <w:rsid w:val="00B375C4"/>
    <w:rsid w:val="00B44278"/>
    <w:rsid w:val="00B4481B"/>
    <w:rsid w:val="00B45570"/>
    <w:rsid w:val="00B46D20"/>
    <w:rsid w:val="00B5224E"/>
    <w:rsid w:val="00B54F3F"/>
    <w:rsid w:val="00B554E3"/>
    <w:rsid w:val="00B55E49"/>
    <w:rsid w:val="00B61F1F"/>
    <w:rsid w:val="00B62D25"/>
    <w:rsid w:val="00B63D40"/>
    <w:rsid w:val="00B64DC0"/>
    <w:rsid w:val="00B728C2"/>
    <w:rsid w:val="00B803A4"/>
    <w:rsid w:val="00B82AA4"/>
    <w:rsid w:val="00B82DA8"/>
    <w:rsid w:val="00B83F05"/>
    <w:rsid w:val="00B87730"/>
    <w:rsid w:val="00B87822"/>
    <w:rsid w:val="00B9334D"/>
    <w:rsid w:val="00B93BD0"/>
    <w:rsid w:val="00B95B55"/>
    <w:rsid w:val="00B969BF"/>
    <w:rsid w:val="00BA058D"/>
    <w:rsid w:val="00BA37AB"/>
    <w:rsid w:val="00BB0794"/>
    <w:rsid w:val="00BB14E0"/>
    <w:rsid w:val="00BB29C1"/>
    <w:rsid w:val="00BB3886"/>
    <w:rsid w:val="00BB4E3F"/>
    <w:rsid w:val="00BB629D"/>
    <w:rsid w:val="00BB7856"/>
    <w:rsid w:val="00BC09BA"/>
    <w:rsid w:val="00BC0E1D"/>
    <w:rsid w:val="00BC0F24"/>
    <w:rsid w:val="00BC11A0"/>
    <w:rsid w:val="00BC13C4"/>
    <w:rsid w:val="00BC167D"/>
    <w:rsid w:val="00BC619A"/>
    <w:rsid w:val="00BD124A"/>
    <w:rsid w:val="00BD1623"/>
    <w:rsid w:val="00BD4206"/>
    <w:rsid w:val="00BD5339"/>
    <w:rsid w:val="00BE156F"/>
    <w:rsid w:val="00BE1949"/>
    <w:rsid w:val="00BE574F"/>
    <w:rsid w:val="00BE5A41"/>
    <w:rsid w:val="00C00010"/>
    <w:rsid w:val="00C00541"/>
    <w:rsid w:val="00C01F1A"/>
    <w:rsid w:val="00C051B8"/>
    <w:rsid w:val="00C05B79"/>
    <w:rsid w:val="00C06D74"/>
    <w:rsid w:val="00C114EC"/>
    <w:rsid w:val="00C2100F"/>
    <w:rsid w:val="00C221AB"/>
    <w:rsid w:val="00C24F15"/>
    <w:rsid w:val="00C267A9"/>
    <w:rsid w:val="00C32DCC"/>
    <w:rsid w:val="00C33A92"/>
    <w:rsid w:val="00C352B0"/>
    <w:rsid w:val="00C35896"/>
    <w:rsid w:val="00C3605B"/>
    <w:rsid w:val="00C40D0D"/>
    <w:rsid w:val="00C415ED"/>
    <w:rsid w:val="00C445AC"/>
    <w:rsid w:val="00C469D6"/>
    <w:rsid w:val="00C559F0"/>
    <w:rsid w:val="00C560C4"/>
    <w:rsid w:val="00C572DD"/>
    <w:rsid w:val="00C60758"/>
    <w:rsid w:val="00C60E58"/>
    <w:rsid w:val="00C61745"/>
    <w:rsid w:val="00C63B88"/>
    <w:rsid w:val="00C64D8E"/>
    <w:rsid w:val="00C65A54"/>
    <w:rsid w:val="00C66955"/>
    <w:rsid w:val="00C729FA"/>
    <w:rsid w:val="00C72E22"/>
    <w:rsid w:val="00C73CF5"/>
    <w:rsid w:val="00C751A6"/>
    <w:rsid w:val="00C76B21"/>
    <w:rsid w:val="00C76E5F"/>
    <w:rsid w:val="00C77A52"/>
    <w:rsid w:val="00C802E7"/>
    <w:rsid w:val="00C83009"/>
    <w:rsid w:val="00C901BC"/>
    <w:rsid w:val="00C92E6B"/>
    <w:rsid w:val="00C93536"/>
    <w:rsid w:val="00C940DC"/>
    <w:rsid w:val="00CA1196"/>
    <w:rsid w:val="00CA20E2"/>
    <w:rsid w:val="00CA3A9E"/>
    <w:rsid w:val="00CB2BD7"/>
    <w:rsid w:val="00CB540F"/>
    <w:rsid w:val="00CB6BF1"/>
    <w:rsid w:val="00CB6E66"/>
    <w:rsid w:val="00CC4FFA"/>
    <w:rsid w:val="00CC6129"/>
    <w:rsid w:val="00CD4EA0"/>
    <w:rsid w:val="00CE0627"/>
    <w:rsid w:val="00CE15B0"/>
    <w:rsid w:val="00CE17A8"/>
    <w:rsid w:val="00CE5B68"/>
    <w:rsid w:val="00CE7AF3"/>
    <w:rsid w:val="00CF25E2"/>
    <w:rsid w:val="00CF5562"/>
    <w:rsid w:val="00CF7340"/>
    <w:rsid w:val="00D01447"/>
    <w:rsid w:val="00D02177"/>
    <w:rsid w:val="00D144B2"/>
    <w:rsid w:val="00D15F3D"/>
    <w:rsid w:val="00D16A40"/>
    <w:rsid w:val="00D1784E"/>
    <w:rsid w:val="00D2321B"/>
    <w:rsid w:val="00D23AAB"/>
    <w:rsid w:val="00D25BE4"/>
    <w:rsid w:val="00D2699E"/>
    <w:rsid w:val="00D27772"/>
    <w:rsid w:val="00D31332"/>
    <w:rsid w:val="00D32229"/>
    <w:rsid w:val="00D33156"/>
    <w:rsid w:val="00D341A5"/>
    <w:rsid w:val="00D344A3"/>
    <w:rsid w:val="00D351C4"/>
    <w:rsid w:val="00D37904"/>
    <w:rsid w:val="00D37E3B"/>
    <w:rsid w:val="00D40A69"/>
    <w:rsid w:val="00D42A04"/>
    <w:rsid w:val="00D47532"/>
    <w:rsid w:val="00D504DC"/>
    <w:rsid w:val="00D538B6"/>
    <w:rsid w:val="00D5687A"/>
    <w:rsid w:val="00D60721"/>
    <w:rsid w:val="00D6229E"/>
    <w:rsid w:val="00D65ECB"/>
    <w:rsid w:val="00D67A3A"/>
    <w:rsid w:val="00D7143F"/>
    <w:rsid w:val="00D722A4"/>
    <w:rsid w:val="00D73590"/>
    <w:rsid w:val="00D74955"/>
    <w:rsid w:val="00D74FF0"/>
    <w:rsid w:val="00D7647B"/>
    <w:rsid w:val="00D76921"/>
    <w:rsid w:val="00D8590D"/>
    <w:rsid w:val="00D85C1F"/>
    <w:rsid w:val="00D87BE4"/>
    <w:rsid w:val="00D87EE5"/>
    <w:rsid w:val="00D919C0"/>
    <w:rsid w:val="00D91A3B"/>
    <w:rsid w:val="00D9356B"/>
    <w:rsid w:val="00D94470"/>
    <w:rsid w:val="00DA2BFC"/>
    <w:rsid w:val="00DA3796"/>
    <w:rsid w:val="00DA38DE"/>
    <w:rsid w:val="00DA7A4C"/>
    <w:rsid w:val="00DB0194"/>
    <w:rsid w:val="00DB1F7E"/>
    <w:rsid w:val="00DB54A2"/>
    <w:rsid w:val="00DB6AF9"/>
    <w:rsid w:val="00DB7210"/>
    <w:rsid w:val="00DC26D7"/>
    <w:rsid w:val="00DD1298"/>
    <w:rsid w:val="00DD3E8C"/>
    <w:rsid w:val="00DD45F8"/>
    <w:rsid w:val="00DD7D91"/>
    <w:rsid w:val="00DE2F7C"/>
    <w:rsid w:val="00DE316C"/>
    <w:rsid w:val="00DE5990"/>
    <w:rsid w:val="00DE712E"/>
    <w:rsid w:val="00DF1163"/>
    <w:rsid w:val="00DF1AD5"/>
    <w:rsid w:val="00DF521C"/>
    <w:rsid w:val="00E042AD"/>
    <w:rsid w:val="00E0490B"/>
    <w:rsid w:val="00E04C77"/>
    <w:rsid w:val="00E04FEC"/>
    <w:rsid w:val="00E053D5"/>
    <w:rsid w:val="00E06A2E"/>
    <w:rsid w:val="00E14164"/>
    <w:rsid w:val="00E16E1D"/>
    <w:rsid w:val="00E211BC"/>
    <w:rsid w:val="00E2192C"/>
    <w:rsid w:val="00E22BA0"/>
    <w:rsid w:val="00E24CDA"/>
    <w:rsid w:val="00E261CA"/>
    <w:rsid w:val="00E26446"/>
    <w:rsid w:val="00E27163"/>
    <w:rsid w:val="00E31484"/>
    <w:rsid w:val="00E31EF5"/>
    <w:rsid w:val="00E329BC"/>
    <w:rsid w:val="00E33166"/>
    <w:rsid w:val="00E36BFA"/>
    <w:rsid w:val="00E43113"/>
    <w:rsid w:val="00E4632C"/>
    <w:rsid w:val="00E506EC"/>
    <w:rsid w:val="00E5233E"/>
    <w:rsid w:val="00E53833"/>
    <w:rsid w:val="00E55438"/>
    <w:rsid w:val="00E56372"/>
    <w:rsid w:val="00E57CA7"/>
    <w:rsid w:val="00E57DF0"/>
    <w:rsid w:val="00E60344"/>
    <w:rsid w:val="00E62B67"/>
    <w:rsid w:val="00E65558"/>
    <w:rsid w:val="00E65D7D"/>
    <w:rsid w:val="00E6641A"/>
    <w:rsid w:val="00E66ADF"/>
    <w:rsid w:val="00E67E14"/>
    <w:rsid w:val="00E72A5C"/>
    <w:rsid w:val="00E72AA8"/>
    <w:rsid w:val="00E73CF6"/>
    <w:rsid w:val="00E765F6"/>
    <w:rsid w:val="00E76B7B"/>
    <w:rsid w:val="00E81812"/>
    <w:rsid w:val="00E859BB"/>
    <w:rsid w:val="00E86862"/>
    <w:rsid w:val="00E86F7A"/>
    <w:rsid w:val="00E87387"/>
    <w:rsid w:val="00E87F9E"/>
    <w:rsid w:val="00E90C0C"/>
    <w:rsid w:val="00E90E5F"/>
    <w:rsid w:val="00E923CB"/>
    <w:rsid w:val="00E94F34"/>
    <w:rsid w:val="00E978AF"/>
    <w:rsid w:val="00EA0F3E"/>
    <w:rsid w:val="00EA1616"/>
    <w:rsid w:val="00EA3092"/>
    <w:rsid w:val="00EA5FBF"/>
    <w:rsid w:val="00EA783B"/>
    <w:rsid w:val="00EB04AB"/>
    <w:rsid w:val="00EB1650"/>
    <w:rsid w:val="00EB4A4A"/>
    <w:rsid w:val="00EB78F6"/>
    <w:rsid w:val="00EC07B1"/>
    <w:rsid w:val="00EC3454"/>
    <w:rsid w:val="00EC3E33"/>
    <w:rsid w:val="00ED448C"/>
    <w:rsid w:val="00ED5262"/>
    <w:rsid w:val="00ED79EE"/>
    <w:rsid w:val="00EE16E1"/>
    <w:rsid w:val="00EE26D2"/>
    <w:rsid w:val="00EE5485"/>
    <w:rsid w:val="00EF0AC6"/>
    <w:rsid w:val="00EF1DF4"/>
    <w:rsid w:val="00EF2E16"/>
    <w:rsid w:val="00EF31DA"/>
    <w:rsid w:val="00EF5778"/>
    <w:rsid w:val="00EF58EE"/>
    <w:rsid w:val="00EF5A4A"/>
    <w:rsid w:val="00EF7AAA"/>
    <w:rsid w:val="00F05C90"/>
    <w:rsid w:val="00F066D9"/>
    <w:rsid w:val="00F06F5B"/>
    <w:rsid w:val="00F07BE9"/>
    <w:rsid w:val="00F25587"/>
    <w:rsid w:val="00F3008C"/>
    <w:rsid w:val="00F31762"/>
    <w:rsid w:val="00F3282E"/>
    <w:rsid w:val="00F34824"/>
    <w:rsid w:val="00F36AC4"/>
    <w:rsid w:val="00F4244A"/>
    <w:rsid w:val="00F425DF"/>
    <w:rsid w:val="00F43674"/>
    <w:rsid w:val="00F4399E"/>
    <w:rsid w:val="00F4440B"/>
    <w:rsid w:val="00F60633"/>
    <w:rsid w:val="00F614AD"/>
    <w:rsid w:val="00F63ADD"/>
    <w:rsid w:val="00F71453"/>
    <w:rsid w:val="00F71474"/>
    <w:rsid w:val="00F760C3"/>
    <w:rsid w:val="00F80CBE"/>
    <w:rsid w:val="00F80FB4"/>
    <w:rsid w:val="00F91131"/>
    <w:rsid w:val="00F97DE0"/>
    <w:rsid w:val="00FA3562"/>
    <w:rsid w:val="00FA42DB"/>
    <w:rsid w:val="00FA4310"/>
    <w:rsid w:val="00FA65BD"/>
    <w:rsid w:val="00FA65DD"/>
    <w:rsid w:val="00FA6E09"/>
    <w:rsid w:val="00FB3421"/>
    <w:rsid w:val="00FB578C"/>
    <w:rsid w:val="00FC0A67"/>
    <w:rsid w:val="00FC2D59"/>
    <w:rsid w:val="00FC3879"/>
    <w:rsid w:val="00FC6127"/>
    <w:rsid w:val="00FC6D1D"/>
    <w:rsid w:val="00FD2D9D"/>
    <w:rsid w:val="00FD465E"/>
    <w:rsid w:val="00FD4C07"/>
    <w:rsid w:val="00FD5498"/>
    <w:rsid w:val="00FD5857"/>
    <w:rsid w:val="00FD59C0"/>
    <w:rsid w:val="00FD79E6"/>
    <w:rsid w:val="00FE02B8"/>
    <w:rsid w:val="00FE0952"/>
    <w:rsid w:val="00FE3AB3"/>
    <w:rsid w:val="00FF0EA6"/>
    <w:rsid w:val="00FF1869"/>
    <w:rsid w:val="00FF343E"/>
    <w:rsid w:val="00FF3A0D"/>
    <w:rsid w:val="00FF4C87"/>
    <w:rsid w:val="00FF4DF4"/>
    <w:rsid w:val="00FF666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EEC308"/>
  <w15:docId w15:val="{8CE98FE1-FB48-4AEB-B5FE-4D6F3880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4D"/>
    <w:pPr>
      <w:spacing w:after="120"/>
    </w:pPr>
    <w:rPr>
      <w:sz w:val="24"/>
      <w:szCs w:val="24"/>
    </w:rPr>
  </w:style>
  <w:style w:type="paragraph" w:styleId="Heading1">
    <w:name w:val="heading 1"/>
    <w:basedOn w:val="Normal"/>
    <w:next w:val="Normal"/>
    <w:link w:val="Heading1Char"/>
    <w:qFormat/>
    <w:rsid w:val="00257CEA"/>
    <w:pPr>
      <w:keepNext/>
      <w:widowControl w:val="0"/>
      <w:tabs>
        <w:tab w:val="left" w:pos="1800"/>
        <w:tab w:val="left" w:pos="2880"/>
      </w:tabs>
      <w:autoSpaceDE w:val="0"/>
      <w:autoSpaceDN w:val="0"/>
      <w:adjustRightInd w:val="0"/>
      <w:spacing w:after="160"/>
      <w:outlineLvl w:val="0"/>
    </w:pPr>
    <w:rPr>
      <w:rFonts w:ascii="Times New Roman Bold" w:eastAsia="Arial Unicode MS" w:hAnsi="Times New Roman Bold"/>
      <w:b/>
    </w:rPr>
  </w:style>
  <w:style w:type="paragraph" w:styleId="Heading2">
    <w:name w:val="heading 2"/>
    <w:basedOn w:val="Normal"/>
    <w:next w:val="Normal"/>
    <w:link w:val="Heading2Char"/>
    <w:uiPriority w:val="9"/>
    <w:unhideWhenUsed/>
    <w:qFormat/>
    <w:rsid w:val="003A1B09"/>
    <w:pPr>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C221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autoSpaceDE w:val="0"/>
      <w:autoSpaceDN w:val="0"/>
      <w:adjustRightInd w:val="0"/>
    </w:pPr>
  </w:style>
  <w:style w:type="paragraph" w:styleId="BodyTextIndent">
    <w:name w:val="Body Text Indent"/>
    <w:basedOn w:val="Normal"/>
    <w:link w:val="BodyTextIndentChar"/>
    <w:pPr>
      <w:widowControl w:val="0"/>
      <w:autoSpaceDE w:val="0"/>
      <w:autoSpaceDN w:val="0"/>
      <w:adjustRightInd w:val="0"/>
      <w:ind w:left="1800" w:hanging="1080"/>
    </w:pPr>
  </w:style>
  <w:style w:type="paragraph" w:styleId="FootnoteText">
    <w:name w:val="footnote text"/>
    <w:basedOn w:val="Normal"/>
    <w:link w:val="FootnoteTextChar"/>
    <w:unhideWhenUsed/>
    <w:rsid w:val="00B9334D"/>
    <w:pPr>
      <w:spacing w:after="200" w:line="276" w:lineRule="auto"/>
    </w:pPr>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rsid w:val="006504B8"/>
    <w:rPr>
      <w:sz w:val="16"/>
      <w:szCs w:val="16"/>
    </w:rPr>
  </w:style>
  <w:style w:type="paragraph" w:styleId="CommentText">
    <w:name w:val="annotation text"/>
    <w:basedOn w:val="Normal"/>
    <w:link w:val="CommentTextChar"/>
    <w:uiPriority w:val="99"/>
    <w:rsid w:val="006504B8"/>
    <w:rPr>
      <w:sz w:val="20"/>
      <w:szCs w:val="20"/>
    </w:rPr>
  </w:style>
  <w:style w:type="paragraph" w:styleId="CommentSubject">
    <w:name w:val="annotation subject"/>
    <w:basedOn w:val="CommentText"/>
    <w:next w:val="CommentText"/>
    <w:link w:val="CommentSubjectChar"/>
    <w:uiPriority w:val="99"/>
    <w:semiHidden/>
    <w:rsid w:val="006504B8"/>
    <w:rPr>
      <w:b/>
      <w:bCs/>
    </w:rPr>
  </w:style>
  <w:style w:type="paragraph" w:styleId="BalloonText">
    <w:name w:val="Balloon Text"/>
    <w:basedOn w:val="Normal"/>
    <w:semiHidden/>
    <w:rsid w:val="006504B8"/>
    <w:rPr>
      <w:rFonts w:ascii="Tahoma" w:hAnsi="Tahoma" w:cs="Tahoma"/>
      <w:sz w:val="16"/>
      <w:szCs w:val="16"/>
    </w:rPr>
  </w:style>
  <w:style w:type="character" w:customStyle="1" w:styleId="FootnoteTextChar">
    <w:name w:val="Footnote Text Char"/>
    <w:basedOn w:val="DefaultParagraphFont"/>
    <w:link w:val="FootnoteText"/>
    <w:rsid w:val="00B9334D"/>
  </w:style>
  <w:style w:type="character" w:styleId="Hyperlink">
    <w:name w:val="Hyperlink"/>
    <w:rsid w:val="00407278"/>
    <w:rPr>
      <w:color w:val="0000FF"/>
      <w:u w:val="single"/>
    </w:rPr>
  </w:style>
  <w:style w:type="character" w:styleId="FollowedHyperlink">
    <w:name w:val="FollowedHyperlink"/>
    <w:uiPriority w:val="99"/>
    <w:semiHidden/>
    <w:unhideWhenUsed/>
    <w:rsid w:val="004F3D6B"/>
    <w:rPr>
      <w:color w:val="800080"/>
      <w:u w:val="single"/>
    </w:rPr>
  </w:style>
  <w:style w:type="character" w:customStyle="1" w:styleId="FooterChar">
    <w:name w:val="Footer Char"/>
    <w:link w:val="Footer"/>
    <w:uiPriority w:val="99"/>
    <w:rsid w:val="00717879"/>
    <w:rPr>
      <w:sz w:val="24"/>
      <w:szCs w:val="24"/>
    </w:rPr>
  </w:style>
  <w:style w:type="table" w:styleId="TableGrid">
    <w:name w:val="Table Grid"/>
    <w:basedOn w:val="TableNormal"/>
    <w:uiPriority w:val="59"/>
    <w:rsid w:val="0073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oterText,Bullet List"/>
    <w:basedOn w:val="Normal"/>
    <w:link w:val="ListParagraphChar"/>
    <w:uiPriority w:val="34"/>
    <w:qFormat/>
    <w:rsid w:val="00B9334D"/>
    <w:pPr>
      <w:spacing w:after="0"/>
      <w:contextualSpacing/>
    </w:pPr>
    <w:rPr>
      <w:rFonts w:eastAsia="Calibri"/>
      <w:sz w:val="22"/>
      <w:szCs w:val="22"/>
      <w:lang w:bidi="en-US"/>
    </w:rPr>
  </w:style>
  <w:style w:type="paragraph" w:customStyle="1" w:styleId="Default">
    <w:name w:val="Default"/>
    <w:link w:val="DefaultChar"/>
    <w:rsid w:val="001F616F"/>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1F616F"/>
    <w:rPr>
      <w:rFonts w:ascii="Arial" w:hAnsi="Arial" w:cs="Arial"/>
      <w:color w:val="000000"/>
      <w:sz w:val="24"/>
      <w:szCs w:val="24"/>
    </w:rPr>
  </w:style>
  <w:style w:type="table" w:styleId="MediumList2-Accent1">
    <w:name w:val="Medium List 2 Accent 1"/>
    <w:basedOn w:val="TableNormal"/>
    <w:uiPriority w:val="66"/>
    <w:rsid w:val="009737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WestatStandardFormat">
    <w:name w:val="Table Westat Standard Format"/>
    <w:basedOn w:val="TableNormal"/>
    <w:rsid w:val="006469F3"/>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1">
    <w:name w:val="Table Westat Standard Format1"/>
    <w:basedOn w:val="TableNormal"/>
    <w:rsid w:val="002938E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CommentTextChar">
    <w:name w:val="Comment Text Char"/>
    <w:basedOn w:val="DefaultParagraphFont"/>
    <w:link w:val="CommentText"/>
    <w:uiPriority w:val="99"/>
    <w:rsid w:val="00572D15"/>
  </w:style>
  <w:style w:type="character" w:styleId="Emphasis">
    <w:name w:val="Emphasis"/>
    <w:uiPriority w:val="20"/>
    <w:qFormat/>
    <w:rsid w:val="00910AFB"/>
    <w:rPr>
      <w:i/>
      <w:iCs/>
    </w:rPr>
  </w:style>
  <w:style w:type="character" w:styleId="PlaceholderText">
    <w:name w:val="Placeholder Text"/>
    <w:basedOn w:val="DefaultParagraphFont"/>
    <w:uiPriority w:val="99"/>
    <w:semiHidden/>
    <w:rsid w:val="00E31484"/>
    <w:rPr>
      <w:color w:val="808080"/>
    </w:rPr>
  </w:style>
  <w:style w:type="table" w:styleId="LightShading-Accent1">
    <w:name w:val="Light Shading Accent 1"/>
    <w:basedOn w:val="TableNormal"/>
    <w:uiPriority w:val="60"/>
    <w:rsid w:val="006C120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9F6752"/>
    <w:pPr>
      <w:tabs>
        <w:tab w:val="center" w:pos="4680"/>
        <w:tab w:val="right" w:pos="9360"/>
      </w:tabs>
    </w:pPr>
  </w:style>
  <w:style w:type="character" w:customStyle="1" w:styleId="HeaderChar">
    <w:name w:val="Header Char"/>
    <w:basedOn w:val="DefaultParagraphFont"/>
    <w:link w:val="Header"/>
    <w:uiPriority w:val="99"/>
    <w:rsid w:val="009F6752"/>
    <w:rPr>
      <w:sz w:val="24"/>
      <w:szCs w:val="24"/>
    </w:rPr>
  </w:style>
  <w:style w:type="character" w:styleId="Strong">
    <w:name w:val="Strong"/>
    <w:basedOn w:val="DefaultParagraphFont"/>
    <w:uiPriority w:val="22"/>
    <w:qFormat/>
    <w:rsid w:val="003F5617"/>
    <w:rPr>
      <w:b/>
      <w:bCs/>
    </w:rPr>
  </w:style>
  <w:style w:type="character" w:customStyle="1" w:styleId="ListParagraphChar">
    <w:name w:val="List Paragraph Char"/>
    <w:aliases w:val="FooterText Char,Bullet List Char"/>
    <w:basedOn w:val="DefaultParagraphFont"/>
    <w:link w:val="ListParagraph"/>
    <w:uiPriority w:val="34"/>
    <w:locked/>
    <w:rsid w:val="00B9334D"/>
    <w:rPr>
      <w:rFonts w:eastAsia="Calibri"/>
      <w:sz w:val="22"/>
      <w:szCs w:val="22"/>
      <w:lang w:bidi="en-US"/>
    </w:rPr>
  </w:style>
  <w:style w:type="paragraph" w:customStyle="1" w:styleId="Body">
    <w:name w:val="Body"/>
    <w:aliases w:val="t"/>
    <w:basedOn w:val="Normal"/>
    <w:link w:val="BodyChar"/>
    <w:rsid w:val="00B93BD0"/>
    <w:pPr>
      <w:spacing w:after="260" w:line="280" w:lineRule="atLeast"/>
      <w:ind w:left="1440"/>
    </w:pPr>
    <w:rPr>
      <w:rFonts w:ascii="Arial" w:hAnsi="Arial"/>
      <w:color w:val="000000"/>
      <w:sz w:val="20"/>
      <w:szCs w:val="20"/>
    </w:rPr>
  </w:style>
  <w:style w:type="character" w:customStyle="1" w:styleId="BodyChar">
    <w:name w:val="Body Char"/>
    <w:aliases w:val="t Char"/>
    <w:basedOn w:val="DefaultParagraphFont"/>
    <w:link w:val="Body"/>
    <w:rsid w:val="00B93BD0"/>
    <w:rPr>
      <w:rFonts w:ascii="Arial" w:hAnsi="Arial"/>
      <w:color w:val="000000"/>
    </w:rPr>
  </w:style>
  <w:style w:type="character" w:customStyle="1" w:styleId="ProposalBodyTextChar">
    <w:name w:val="Proposal Body Text Char"/>
    <w:link w:val="ProposalBodyText"/>
    <w:locked/>
    <w:rsid w:val="00C267A9"/>
    <w:rPr>
      <w:rFonts w:ascii="Arial" w:hAnsi="Arial" w:cs="Arial"/>
      <w:sz w:val="22"/>
      <w:szCs w:val="24"/>
    </w:rPr>
  </w:style>
  <w:style w:type="paragraph" w:customStyle="1" w:styleId="ProposalBodyText">
    <w:name w:val="Proposal Body Text"/>
    <w:basedOn w:val="BodyText"/>
    <w:link w:val="ProposalBodyTextChar"/>
    <w:rsid w:val="00C267A9"/>
    <w:pPr>
      <w:autoSpaceDE/>
      <w:autoSpaceDN/>
      <w:adjustRightInd/>
      <w:spacing w:before="160" w:after="160"/>
      <w:ind w:left="907"/>
      <w:jc w:val="both"/>
    </w:pPr>
    <w:rPr>
      <w:rFonts w:ascii="Arial" w:hAnsi="Arial" w:cs="Arial"/>
      <w:sz w:val="22"/>
    </w:rPr>
  </w:style>
  <w:style w:type="paragraph" w:styleId="Revision">
    <w:name w:val="Revision"/>
    <w:hidden/>
    <w:uiPriority w:val="99"/>
    <w:semiHidden/>
    <w:rsid w:val="001F4B61"/>
    <w:rPr>
      <w:sz w:val="24"/>
      <w:szCs w:val="24"/>
    </w:rPr>
  </w:style>
  <w:style w:type="character" w:styleId="EndnoteReference">
    <w:name w:val="endnote reference"/>
    <w:basedOn w:val="DefaultParagraphFont"/>
    <w:uiPriority w:val="99"/>
    <w:semiHidden/>
    <w:unhideWhenUsed/>
    <w:rsid w:val="001760FF"/>
    <w:rPr>
      <w:vertAlign w:val="superscript"/>
    </w:rPr>
  </w:style>
  <w:style w:type="character" w:customStyle="1" w:styleId="Heading2Char">
    <w:name w:val="Heading 2 Char"/>
    <w:basedOn w:val="DefaultParagraphFont"/>
    <w:link w:val="Heading2"/>
    <w:uiPriority w:val="9"/>
    <w:rsid w:val="003A1B09"/>
    <w:rPr>
      <w:rFonts w:eastAsiaTheme="majorEastAsia" w:cstheme="majorBidi"/>
      <w:b/>
      <w:bCs/>
      <w:sz w:val="24"/>
      <w:szCs w:val="26"/>
    </w:rPr>
  </w:style>
  <w:style w:type="character" w:customStyle="1" w:styleId="apple-converted-space">
    <w:name w:val="apple-converted-space"/>
    <w:basedOn w:val="DefaultParagraphFont"/>
    <w:rsid w:val="00FC6D1D"/>
  </w:style>
  <w:style w:type="character" w:customStyle="1" w:styleId="Heading3Char">
    <w:name w:val="Heading 3 Char"/>
    <w:basedOn w:val="DefaultParagraphFont"/>
    <w:link w:val="Heading3"/>
    <w:uiPriority w:val="9"/>
    <w:rsid w:val="00C221AB"/>
    <w:rPr>
      <w:rFonts w:asciiTheme="majorHAnsi" w:eastAsiaTheme="majorEastAsia" w:hAnsiTheme="majorHAnsi" w:cstheme="majorBidi"/>
      <w:color w:val="243F60" w:themeColor="accent1" w:themeShade="7F"/>
      <w:sz w:val="24"/>
      <w:szCs w:val="24"/>
    </w:rPr>
  </w:style>
  <w:style w:type="paragraph" w:customStyle="1" w:styleId="xmsolistparagraph">
    <w:name w:val="x_msolistparagraph"/>
    <w:basedOn w:val="Normal"/>
    <w:rsid w:val="00C221AB"/>
    <w:pPr>
      <w:spacing w:before="100" w:beforeAutospacing="1" w:after="100" w:afterAutospacing="1"/>
    </w:pPr>
  </w:style>
  <w:style w:type="paragraph" w:styleId="NoSpacing">
    <w:name w:val="No Spacing"/>
    <w:uiPriority w:val="1"/>
    <w:qFormat/>
    <w:rsid w:val="00C221AB"/>
    <w:rPr>
      <w:rFonts w:asciiTheme="minorHAnsi" w:eastAsiaTheme="minorHAnsi" w:hAnsiTheme="minorHAnsi" w:cstheme="minorBidi"/>
      <w:sz w:val="22"/>
      <w:szCs w:val="22"/>
    </w:rPr>
  </w:style>
  <w:style w:type="paragraph" w:customStyle="1" w:styleId="Numbers">
    <w:name w:val="Numbers"/>
    <w:basedOn w:val="BodyText"/>
    <w:rsid w:val="00C221AB"/>
    <w:pPr>
      <w:widowControl/>
      <w:numPr>
        <w:numId w:val="2"/>
      </w:numPr>
      <w:autoSpaceDE/>
      <w:autoSpaceDN/>
      <w:adjustRightInd/>
      <w:spacing w:after="180"/>
    </w:pPr>
    <w:rPr>
      <w:sz w:val="22"/>
      <w:szCs w:val="20"/>
      <w:lang w:val="en"/>
    </w:rPr>
  </w:style>
  <w:style w:type="paragraph" w:styleId="Caption">
    <w:name w:val="caption"/>
    <w:basedOn w:val="Normal"/>
    <w:next w:val="Normal"/>
    <w:uiPriority w:val="35"/>
    <w:unhideWhenUsed/>
    <w:qFormat/>
    <w:rsid w:val="00312F90"/>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4D3B84"/>
    <w:rPr>
      <w:color w:val="605E5C"/>
      <w:shd w:val="clear" w:color="auto" w:fill="E1DFDD"/>
    </w:rPr>
  </w:style>
  <w:style w:type="table" w:styleId="GridTable4">
    <w:name w:val="Grid Table 4"/>
    <w:basedOn w:val="TableNormal"/>
    <w:uiPriority w:val="49"/>
    <w:rsid w:val="00167A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67AB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2C7253"/>
    <w:rPr>
      <w:color w:val="605E5C"/>
      <w:shd w:val="clear" w:color="auto" w:fill="E1DFDD"/>
    </w:rPr>
  </w:style>
  <w:style w:type="character" w:customStyle="1" w:styleId="Heading1Char">
    <w:name w:val="Heading 1 Char"/>
    <w:basedOn w:val="DefaultParagraphFont"/>
    <w:link w:val="Heading1"/>
    <w:rsid w:val="00257CEA"/>
    <w:rPr>
      <w:rFonts w:ascii="Times New Roman Bold" w:eastAsia="Arial Unicode MS" w:hAnsi="Times New Roman Bold"/>
      <w:b/>
      <w:sz w:val="24"/>
      <w:szCs w:val="24"/>
    </w:rPr>
  </w:style>
  <w:style w:type="table" w:styleId="GridTable1Light-Accent1">
    <w:name w:val="Grid Table 1 Light Accent 1"/>
    <w:basedOn w:val="TableNormal"/>
    <w:uiPriority w:val="46"/>
    <w:rsid w:val="009B29D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a310">
    <w:name w:val="Pa3_10"/>
    <w:basedOn w:val="Default"/>
    <w:next w:val="Default"/>
    <w:uiPriority w:val="99"/>
    <w:rsid w:val="001F6182"/>
    <w:pPr>
      <w:spacing w:line="221" w:lineRule="atLeast"/>
    </w:pPr>
    <w:rPr>
      <w:rFonts w:ascii="Times New Roman" w:hAnsi="Times New Roman" w:cs="Times New Roman"/>
      <w:color w:val="auto"/>
    </w:rPr>
  </w:style>
  <w:style w:type="character" w:customStyle="1" w:styleId="A53">
    <w:name w:val="A5_3"/>
    <w:uiPriority w:val="99"/>
    <w:rsid w:val="001F6182"/>
    <w:rPr>
      <w:color w:val="1F5D9F"/>
      <w:sz w:val="22"/>
      <w:szCs w:val="22"/>
      <w:u w:val="single"/>
    </w:rPr>
  </w:style>
  <w:style w:type="table" w:styleId="GridTable4-Accent1">
    <w:name w:val="Grid Table 4 Accent 1"/>
    <w:basedOn w:val="TableNormal"/>
    <w:uiPriority w:val="49"/>
    <w:rsid w:val="00C64D8E"/>
    <w:rPr>
      <w:rFonts w:asciiTheme="minorHAnsi" w:eastAsia="Calibr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odyTextChar">
    <w:name w:val="Body Text Char"/>
    <w:basedOn w:val="DefaultParagraphFont"/>
    <w:link w:val="BodyText"/>
    <w:rsid w:val="003A1B09"/>
    <w:rPr>
      <w:sz w:val="24"/>
      <w:szCs w:val="24"/>
    </w:rPr>
  </w:style>
  <w:style w:type="character" w:customStyle="1" w:styleId="BodyTextIndentChar">
    <w:name w:val="Body Text Indent Char"/>
    <w:basedOn w:val="DefaultParagraphFont"/>
    <w:link w:val="BodyTextIndent"/>
    <w:rsid w:val="003A1B09"/>
    <w:rPr>
      <w:sz w:val="24"/>
      <w:szCs w:val="24"/>
    </w:rPr>
  </w:style>
  <w:style w:type="paragraph" w:customStyle="1" w:styleId="paragraph">
    <w:name w:val="paragraph"/>
    <w:basedOn w:val="Normal"/>
    <w:rsid w:val="008F43A4"/>
    <w:pPr>
      <w:spacing w:before="100" w:beforeAutospacing="1" w:after="100" w:afterAutospacing="1"/>
    </w:pPr>
  </w:style>
  <w:style w:type="character" w:customStyle="1" w:styleId="normaltextrun">
    <w:name w:val="normaltextrun"/>
    <w:basedOn w:val="DefaultParagraphFont"/>
    <w:rsid w:val="008F43A4"/>
  </w:style>
  <w:style w:type="character" w:customStyle="1" w:styleId="eop">
    <w:name w:val="eop"/>
    <w:basedOn w:val="DefaultParagraphFont"/>
    <w:rsid w:val="008F43A4"/>
  </w:style>
  <w:style w:type="character" w:customStyle="1" w:styleId="superscript">
    <w:name w:val="superscript"/>
    <w:basedOn w:val="DefaultParagraphFont"/>
    <w:rsid w:val="008F43A4"/>
  </w:style>
  <w:style w:type="character" w:customStyle="1" w:styleId="findhit">
    <w:name w:val="findhit"/>
    <w:basedOn w:val="DefaultParagraphFont"/>
    <w:rsid w:val="008F43A4"/>
  </w:style>
  <w:style w:type="table" w:styleId="GridTable1Light">
    <w:name w:val="Grid Table 1 Light"/>
    <w:basedOn w:val="TableNormal"/>
    <w:uiPriority w:val="46"/>
    <w:rsid w:val="000B5B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1">
    <w:name w:val="Style1"/>
    <w:basedOn w:val="FootnoteText"/>
    <w:autoRedefine/>
    <w:qFormat/>
    <w:rsid w:val="00B9334D"/>
    <w:pPr>
      <w:spacing w:after="0"/>
    </w:pPr>
  </w:style>
  <w:style w:type="character" w:customStyle="1" w:styleId="CommentSubjectChar">
    <w:name w:val="Comment Subject Char"/>
    <w:basedOn w:val="CommentTextChar"/>
    <w:link w:val="CommentSubject"/>
    <w:uiPriority w:val="99"/>
    <w:semiHidden/>
    <w:rsid w:val="003A7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5729">
      <w:bodyDiv w:val="1"/>
      <w:marLeft w:val="0"/>
      <w:marRight w:val="0"/>
      <w:marTop w:val="0"/>
      <w:marBottom w:val="0"/>
      <w:divBdr>
        <w:top w:val="none" w:sz="0" w:space="0" w:color="auto"/>
        <w:left w:val="none" w:sz="0" w:space="0" w:color="auto"/>
        <w:bottom w:val="none" w:sz="0" w:space="0" w:color="auto"/>
        <w:right w:val="none" w:sz="0" w:space="0" w:color="auto"/>
      </w:divBdr>
    </w:div>
    <w:div w:id="343826433">
      <w:bodyDiv w:val="1"/>
      <w:marLeft w:val="0"/>
      <w:marRight w:val="0"/>
      <w:marTop w:val="0"/>
      <w:marBottom w:val="0"/>
      <w:divBdr>
        <w:top w:val="none" w:sz="0" w:space="0" w:color="auto"/>
        <w:left w:val="none" w:sz="0" w:space="0" w:color="auto"/>
        <w:bottom w:val="none" w:sz="0" w:space="0" w:color="auto"/>
        <w:right w:val="none" w:sz="0" w:space="0" w:color="auto"/>
      </w:divBdr>
    </w:div>
    <w:div w:id="403262472">
      <w:bodyDiv w:val="1"/>
      <w:marLeft w:val="0"/>
      <w:marRight w:val="0"/>
      <w:marTop w:val="0"/>
      <w:marBottom w:val="0"/>
      <w:divBdr>
        <w:top w:val="none" w:sz="0" w:space="0" w:color="auto"/>
        <w:left w:val="none" w:sz="0" w:space="0" w:color="auto"/>
        <w:bottom w:val="none" w:sz="0" w:space="0" w:color="auto"/>
        <w:right w:val="none" w:sz="0" w:space="0" w:color="auto"/>
      </w:divBdr>
      <w:divsChild>
        <w:div w:id="720523587">
          <w:marLeft w:val="0"/>
          <w:marRight w:val="0"/>
          <w:marTop w:val="0"/>
          <w:marBottom w:val="0"/>
          <w:divBdr>
            <w:top w:val="none" w:sz="0" w:space="0" w:color="auto"/>
            <w:left w:val="none" w:sz="0" w:space="0" w:color="auto"/>
            <w:bottom w:val="none" w:sz="0" w:space="0" w:color="auto"/>
            <w:right w:val="none" w:sz="0" w:space="0" w:color="auto"/>
          </w:divBdr>
        </w:div>
        <w:div w:id="598637922">
          <w:marLeft w:val="0"/>
          <w:marRight w:val="0"/>
          <w:marTop w:val="0"/>
          <w:marBottom w:val="0"/>
          <w:divBdr>
            <w:top w:val="none" w:sz="0" w:space="0" w:color="auto"/>
            <w:left w:val="none" w:sz="0" w:space="0" w:color="auto"/>
            <w:bottom w:val="none" w:sz="0" w:space="0" w:color="auto"/>
            <w:right w:val="none" w:sz="0" w:space="0" w:color="auto"/>
          </w:divBdr>
        </w:div>
        <w:div w:id="1444030981">
          <w:marLeft w:val="0"/>
          <w:marRight w:val="0"/>
          <w:marTop w:val="0"/>
          <w:marBottom w:val="0"/>
          <w:divBdr>
            <w:top w:val="none" w:sz="0" w:space="0" w:color="auto"/>
            <w:left w:val="none" w:sz="0" w:space="0" w:color="auto"/>
            <w:bottom w:val="none" w:sz="0" w:space="0" w:color="auto"/>
            <w:right w:val="none" w:sz="0" w:space="0" w:color="auto"/>
          </w:divBdr>
        </w:div>
      </w:divsChild>
    </w:div>
    <w:div w:id="455948918">
      <w:bodyDiv w:val="1"/>
      <w:marLeft w:val="0"/>
      <w:marRight w:val="0"/>
      <w:marTop w:val="0"/>
      <w:marBottom w:val="0"/>
      <w:divBdr>
        <w:top w:val="none" w:sz="0" w:space="0" w:color="auto"/>
        <w:left w:val="none" w:sz="0" w:space="0" w:color="auto"/>
        <w:bottom w:val="none" w:sz="0" w:space="0" w:color="auto"/>
        <w:right w:val="none" w:sz="0" w:space="0" w:color="auto"/>
      </w:divBdr>
    </w:div>
    <w:div w:id="551113011">
      <w:bodyDiv w:val="1"/>
      <w:marLeft w:val="0"/>
      <w:marRight w:val="0"/>
      <w:marTop w:val="0"/>
      <w:marBottom w:val="0"/>
      <w:divBdr>
        <w:top w:val="none" w:sz="0" w:space="0" w:color="auto"/>
        <w:left w:val="none" w:sz="0" w:space="0" w:color="auto"/>
        <w:bottom w:val="none" w:sz="0" w:space="0" w:color="auto"/>
        <w:right w:val="none" w:sz="0" w:space="0" w:color="auto"/>
      </w:divBdr>
    </w:div>
    <w:div w:id="727463466">
      <w:bodyDiv w:val="1"/>
      <w:marLeft w:val="0"/>
      <w:marRight w:val="0"/>
      <w:marTop w:val="0"/>
      <w:marBottom w:val="0"/>
      <w:divBdr>
        <w:top w:val="none" w:sz="0" w:space="0" w:color="auto"/>
        <w:left w:val="none" w:sz="0" w:space="0" w:color="auto"/>
        <w:bottom w:val="none" w:sz="0" w:space="0" w:color="auto"/>
        <w:right w:val="none" w:sz="0" w:space="0" w:color="auto"/>
      </w:divBdr>
      <w:divsChild>
        <w:div w:id="778257884">
          <w:marLeft w:val="0"/>
          <w:marRight w:val="0"/>
          <w:marTop w:val="0"/>
          <w:marBottom w:val="0"/>
          <w:divBdr>
            <w:top w:val="none" w:sz="0" w:space="0" w:color="auto"/>
            <w:left w:val="none" w:sz="0" w:space="0" w:color="auto"/>
            <w:bottom w:val="none" w:sz="0" w:space="0" w:color="auto"/>
            <w:right w:val="none" w:sz="0" w:space="0" w:color="auto"/>
          </w:divBdr>
          <w:divsChild>
            <w:div w:id="2079355329">
              <w:marLeft w:val="0"/>
              <w:marRight w:val="0"/>
              <w:marTop w:val="0"/>
              <w:marBottom w:val="0"/>
              <w:divBdr>
                <w:top w:val="none" w:sz="0" w:space="0" w:color="auto"/>
                <w:left w:val="none" w:sz="0" w:space="0" w:color="auto"/>
                <w:bottom w:val="none" w:sz="0" w:space="0" w:color="auto"/>
                <w:right w:val="none" w:sz="0" w:space="0" w:color="auto"/>
              </w:divBdr>
              <w:divsChild>
                <w:div w:id="718866019">
                  <w:marLeft w:val="0"/>
                  <w:marRight w:val="0"/>
                  <w:marTop w:val="0"/>
                  <w:marBottom w:val="0"/>
                  <w:divBdr>
                    <w:top w:val="none" w:sz="0" w:space="0" w:color="auto"/>
                    <w:left w:val="none" w:sz="0" w:space="0" w:color="auto"/>
                    <w:bottom w:val="none" w:sz="0" w:space="0" w:color="auto"/>
                    <w:right w:val="none" w:sz="0" w:space="0" w:color="auto"/>
                  </w:divBdr>
                  <w:divsChild>
                    <w:div w:id="302346059">
                      <w:marLeft w:val="0"/>
                      <w:marRight w:val="0"/>
                      <w:marTop w:val="0"/>
                      <w:marBottom w:val="0"/>
                      <w:divBdr>
                        <w:top w:val="none" w:sz="0" w:space="0" w:color="auto"/>
                        <w:left w:val="none" w:sz="0" w:space="0" w:color="auto"/>
                        <w:bottom w:val="none" w:sz="0" w:space="0" w:color="auto"/>
                        <w:right w:val="none" w:sz="0" w:space="0" w:color="auto"/>
                      </w:divBdr>
                      <w:divsChild>
                        <w:div w:id="2680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6109">
              <w:marLeft w:val="0"/>
              <w:marRight w:val="0"/>
              <w:marTop w:val="0"/>
              <w:marBottom w:val="0"/>
              <w:divBdr>
                <w:top w:val="none" w:sz="0" w:space="0" w:color="auto"/>
                <w:left w:val="none" w:sz="0" w:space="0" w:color="auto"/>
                <w:bottom w:val="none" w:sz="0" w:space="0" w:color="auto"/>
                <w:right w:val="none" w:sz="0" w:space="0" w:color="auto"/>
              </w:divBdr>
            </w:div>
            <w:div w:id="672493937">
              <w:marLeft w:val="0"/>
              <w:marRight w:val="0"/>
              <w:marTop w:val="0"/>
              <w:marBottom w:val="0"/>
              <w:divBdr>
                <w:top w:val="none" w:sz="0" w:space="0" w:color="auto"/>
                <w:left w:val="none" w:sz="0" w:space="0" w:color="auto"/>
                <w:bottom w:val="none" w:sz="0" w:space="0" w:color="auto"/>
                <w:right w:val="none" w:sz="0" w:space="0" w:color="auto"/>
              </w:divBdr>
              <w:divsChild>
                <w:div w:id="1629168553">
                  <w:marLeft w:val="0"/>
                  <w:marRight w:val="0"/>
                  <w:marTop w:val="0"/>
                  <w:marBottom w:val="0"/>
                  <w:divBdr>
                    <w:top w:val="none" w:sz="0" w:space="0" w:color="auto"/>
                    <w:left w:val="none" w:sz="0" w:space="0" w:color="auto"/>
                    <w:bottom w:val="none" w:sz="0" w:space="0" w:color="auto"/>
                    <w:right w:val="none" w:sz="0" w:space="0" w:color="auto"/>
                  </w:divBdr>
                  <w:divsChild>
                    <w:div w:id="912546244">
                      <w:marLeft w:val="0"/>
                      <w:marRight w:val="0"/>
                      <w:marTop w:val="0"/>
                      <w:marBottom w:val="0"/>
                      <w:divBdr>
                        <w:top w:val="none" w:sz="0" w:space="0" w:color="auto"/>
                        <w:left w:val="none" w:sz="0" w:space="0" w:color="auto"/>
                        <w:bottom w:val="none" w:sz="0" w:space="0" w:color="auto"/>
                        <w:right w:val="none" w:sz="0" w:space="0" w:color="auto"/>
                      </w:divBdr>
                      <w:divsChild>
                        <w:div w:id="16230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00908">
      <w:bodyDiv w:val="1"/>
      <w:marLeft w:val="0"/>
      <w:marRight w:val="0"/>
      <w:marTop w:val="0"/>
      <w:marBottom w:val="0"/>
      <w:divBdr>
        <w:top w:val="none" w:sz="0" w:space="0" w:color="auto"/>
        <w:left w:val="none" w:sz="0" w:space="0" w:color="auto"/>
        <w:bottom w:val="none" w:sz="0" w:space="0" w:color="auto"/>
        <w:right w:val="none" w:sz="0" w:space="0" w:color="auto"/>
      </w:divBdr>
      <w:divsChild>
        <w:div w:id="2039966641">
          <w:marLeft w:val="0"/>
          <w:marRight w:val="0"/>
          <w:marTop w:val="0"/>
          <w:marBottom w:val="0"/>
          <w:divBdr>
            <w:top w:val="none" w:sz="0" w:space="0" w:color="auto"/>
            <w:left w:val="none" w:sz="0" w:space="0" w:color="auto"/>
            <w:bottom w:val="none" w:sz="0" w:space="0" w:color="auto"/>
            <w:right w:val="none" w:sz="0" w:space="0" w:color="auto"/>
          </w:divBdr>
        </w:div>
        <w:div w:id="527524752">
          <w:marLeft w:val="0"/>
          <w:marRight w:val="0"/>
          <w:marTop w:val="0"/>
          <w:marBottom w:val="0"/>
          <w:divBdr>
            <w:top w:val="none" w:sz="0" w:space="0" w:color="auto"/>
            <w:left w:val="none" w:sz="0" w:space="0" w:color="auto"/>
            <w:bottom w:val="none" w:sz="0" w:space="0" w:color="auto"/>
            <w:right w:val="none" w:sz="0" w:space="0" w:color="auto"/>
          </w:divBdr>
        </w:div>
      </w:divsChild>
    </w:div>
    <w:div w:id="1135221725">
      <w:bodyDiv w:val="1"/>
      <w:marLeft w:val="0"/>
      <w:marRight w:val="0"/>
      <w:marTop w:val="0"/>
      <w:marBottom w:val="0"/>
      <w:divBdr>
        <w:top w:val="none" w:sz="0" w:space="0" w:color="auto"/>
        <w:left w:val="none" w:sz="0" w:space="0" w:color="auto"/>
        <w:bottom w:val="none" w:sz="0" w:space="0" w:color="auto"/>
        <w:right w:val="none" w:sz="0" w:space="0" w:color="auto"/>
      </w:divBdr>
      <w:divsChild>
        <w:div w:id="1252465441">
          <w:marLeft w:val="0"/>
          <w:marRight w:val="0"/>
          <w:marTop w:val="0"/>
          <w:marBottom w:val="0"/>
          <w:divBdr>
            <w:top w:val="none" w:sz="0" w:space="0" w:color="auto"/>
            <w:left w:val="none" w:sz="0" w:space="0" w:color="auto"/>
            <w:bottom w:val="none" w:sz="0" w:space="0" w:color="auto"/>
            <w:right w:val="none" w:sz="0" w:space="0" w:color="auto"/>
          </w:divBdr>
        </w:div>
        <w:div w:id="1335113380">
          <w:marLeft w:val="0"/>
          <w:marRight w:val="0"/>
          <w:marTop w:val="0"/>
          <w:marBottom w:val="0"/>
          <w:divBdr>
            <w:top w:val="none" w:sz="0" w:space="0" w:color="auto"/>
            <w:left w:val="none" w:sz="0" w:space="0" w:color="auto"/>
            <w:bottom w:val="none" w:sz="0" w:space="0" w:color="auto"/>
            <w:right w:val="none" w:sz="0" w:space="0" w:color="auto"/>
          </w:divBdr>
        </w:div>
      </w:divsChild>
    </w:div>
    <w:div w:id="1453936584">
      <w:bodyDiv w:val="1"/>
      <w:marLeft w:val="0"/>
      <w:marRight w:val="0"/>
      <w:marTop w:val="0"/>
      <w:marBottom w:val="0"/>
      <w:divBdr>
        <w:top w:val="none" w:sz="0" w:space="0" w:color="auto"/>
        <w:left w:val="none" w:sz="0" w:space="0" w:color="auto"/>
        <w:bottom w:val="none" w:sz="0" w:space="0" w:color="auto"/>
        <w:right w:val="none" w:sz="0" w:space="0" w:color="auto"/>
      </w:divBdr>
    </w:div>
    <w:div w:id="1485319376">
      <w:bodyDiv w:val="1"/>
      <w:marLeft w:val="0"/>
      <w:marRight w:val="0"/>
      <w:marTop w:val="0"/>
      <w:marBottom w:val="0"/>
      <w:divBdr>
        <w:top w:val="none" w:sz="0" w:space="0" w:color="auto"/>
        <w:left w:val="none" w:sz="0" w:space="0" w:color="auto"/>
        <w:bottom w:val="none" w:sz="0" w:space="0" w:color="auto"/>
        <w:right w:val="none" w:sz="0" w:space="0" w:color="auto"/>
      </w:divBdr>
    </w:div>
    <w:div w:id="1490560057">
      <w:bodyDiv w:val="1"/>
      <w:marLeft w:val="0"/>
      <w:marRight w:val="0"/>
      <w:marTop w:val="0"/>
      <w:marBottom w:val="0"/>
      <w:divBdr>
        <w:top w:val="none" w:sz="0" w:space="0" w:color="auto"/>
        <w:left w:val="none" w:sz="0" w:space="0" w:color="auto"/>
        <w:bottom w:val="none" w:sz="0" w:space="0" w:color="auto"/>
        <w:right w:val="none" w:sz="0" w:space="0" w:color="auto"/>
      </w:divBdr>
    </w:div>
    <w:div w:id="1871793778">
      <w:bodyDiv w:val="1"/>
      <w:marLeft w:val="0"/>
      <w:marRight w:val="0"/>
      <w:marTop w:val="0"/>
      <w:marBottom w:val="0"/>
      <w:divBdr>
        <w:top w:val="none" w:sz="0" w:space="0" w:color="auto"/>
        <w:left w:val="none" w:sz="0" w:space="0" w:color="auto"/>
        <w:bottom w:val="none" w:sz="0" w:space="0" w:color="auto"/>
        <w:right w:val="none" w:sz="0" w:space="0" w:color="auto"/>
      </w:divBdr>
      <w:divsChild>
        <w:div w:id="966817606">
          <w:marLeft w:val="0"/>
          <w:marRight w:val="0"/>
          <w:marTop w:val="0"/>
          <w:marBottom w:val="0"/>
          <w:divBdr>
            <w:top w:val="none" w:sz="0" w:space="0" w:color="auto"/>
            <w:left w:val="single" w:sz="6" w:space="0" w:color="999999"/>
            <w:bottom w:val="none" w:sz="0" w:space="0" w:color="auto"/>
            <w:right w:val="single" w:sz="6" w:space="0" w:color="999999"/>
          </w:divBdr>
          <w:divsChild>
            <w:div w:id="1788116949">
              <w:marLeft w:val="0"/>
              <w:marRight w:val="0"/>
              <w:marTop w:val="0"/>
              <w:marBottom w:val="0"/>
              <w:divBdr>
                <w:top w:val="none" w:sz="0" w:space="0" w:color="auto"/>
                <w:left w:val="none" w:sz="0" w:space="0" w:color="auto"/>
                <w:bottom w:val="none" w:sz="0" w:space="0" w:color="auto"/>
                <w:right w:val="none" w:sz="0" w:space="0" w:color="auto"/>
              </w:divBdr>
              <w:divsChild>
                <w:div w:id="266885169">
                  <w:marLeft w:val="0"/>
                  <w:marRight w:val="0"/>
                  <w:marTop w:val="0"/>
                  <w:marBottom w:val="0"/>
                  <w:divBdr>
                    <w:top w:val="none" w:sz="0" w:space="0" w:color="auto"/>
                    <w:left w:val="none" w:sz="0" w:space="0" w:color="auto"/>
                    <w:bottom w:val="single" w:sz="6" w:space="9" w:color="FFFFFF"/>
                    <w:right w:val="none" w:sz="0" w:space="0" w:color="auto"/>
                  </w:divBdr>
                  <w:divsChild>
                    <w:div w:id="1628195559">
                      <w:marLeft w:val="0"/>
                      <w:marRight w:val="0"/>
                      <w:marTop w:val="0"/>
                      <w:marBottom w:val="0"/>
                      <w:divBdr>
                        <w:top w:val="none" w:sz="0" w:space="0" w:color="auto"/>
                        <w:left w:val="none" w:sz="0" w:space="0" w:color="auto"/>
                        <w:bottom w:val="none" w:sz="0" w:space="0" w:color="auto"/>
                        <w:right w:val="none" w:sz="0" w:space="0" w:color="auto"/>
                      </w:divBdr>
                      <w:divsChild>
                        <w:div w:id="962426570">
                          <w:marLeft w:val="0"/>
                          <w:marRight w:val="0"/>
                          <w:marTop w:val="0"/>
                          <w:marBottom w:val="0"/>
                          <w:divBdr>
                            <w:top w:val="none" w:sz="0" w:space="0" w:color="auto"/>
                            <w:left w:val="none" w:sz="0" w:space="0" w:color="auto"/>
                            <w:bottom w:val="none" w:sz="0" w:space="0" w:color="auto"/>
                            <w:right w:val="none" w:sz="0" w:space="0" w:color="auto"/>
                          </w:divBdr>
                          <w:divsChild>
                            <w:div w:id="56052362">
                              <w:marLeft w:val="0"/>
                              <w:marRight w:val="0"/>
                              <w:marTop w:val="0"/>
                              <w:marBottom w:val="0"/>
                              <w:divBdr>
                                <w:top w:val="none" w:sz="0" w:space="0" w:color="auto"/>
                                <w:left w:val="none" w:sz="0" w:space="0" w:color="auto"/>
                                <w:bottom w:val="none" w:sz="0" w:space="0" w:color="auto"/>
                                <w:right w:val="none" w:sz="0" w:space="0" w:color="auto"/>
                              </w:divBdr>
                              <w:divsChild>
                                <w:div w:id="857238676">
                                  <w:marLeft w:val="0"/>
                                  <w:marRight w:val="0"/>
                                  <w:marTop w:val="0"/>
                                  <w:marBottom w:val="0"/>
                                  <w:divBdr>
                                    <w:top w:val="none" w:sz="0" w:space="0" w:color="auto"/>
                                    <w:left w:val="none" w:sz="0" w:space="0" w:color="auto"/>
                                    <w:bottom w:val="none" w:sz="0" w:space="0" w:color="auto"/>
                                    <w:right w:val="none" w:sz="0" w:space="0" w:color="auto"/>
                                  </w:divBdr>
                                  <w:divsChild>
                                    <w:div w:id="505629809">
                                      <w:marLeft w:val="0"/>
                                      <w:marRight w:val="0"/>
                                      <w:marTop w:val="0"/>
                                      <w:marBottom w:val="0"/>
                                      <w:divBdr>
                                        <w:top w:val="none" w:sz="0" w:space="0" w:color="auto"/>
                                        <w:left w:val="none" w:sz="0" w:space="0" w:color="auto"/>
                                        <w:bottom w:val="none" w:sz="0" w:space="0" w:color="auto"/>
                                        <w:right w:val="none" w:sz="0" w:space="0" w:color="auto"/>
                                      </w:divBdr>
                                      <w:divsChild>
                                        <w:div w:id="203644311">
                                          <w:marLeft w:val="600"/>
                                          <w:marRight w:val="555"/>
                                          <w:marTop w:val="75"/>
                                          <w:marBottom w:val="60"/>
                                          <w:divBdr>
                                            <w:top w:val="none" w:sz="0" w:space="0" w:color="auto"/>
                                            <w:left w:val="none" w:sz="0" w:space="0" w:color="auto"/>
                                            <w:bottom w:val="none" w:sz="0" w:space="0" w:color="auto"/>
                                            <w:right w:val="none" w:sz="0" w:space="0" w:color="auto"/>
                                          </w:divBdr>
                                          <w:divsChild>
                                            <w:div w:id="1977174602">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200280">
      <w:bodyDiv w:val="1"/>
      <w:marLeft w:val="0"/>
      <w:marRight w:val="0"/>
      <w:marTop w:val="0"/>
      <w:marBottom w:val="0"/>
      <w:divBdr>
        <w:top w:val="none" w:sz="0" w:space="0" w:color="auto"/>
        <w:left w:val="none" w:sz="0" w:space="0" w:color="auto"/>
        <w:bottom w:val="none" w:sz="0" w:space="0" w:color="auto"/>
        <w:right w:val="none" w:sz="0" w:space="0" w:color="auto"/>
      </w:divBdr>
    </w:div>
    <w:div w:id="2070421638">
      <w:bodyDiv w:val="1"/>
      <w:marLeft w:val="0"/>
      <w:marRight w:val="0"/>
      <w:marTop w:val="0"/>
      <w:marBottom w:val="0"/>
      <w:divBdr>
        <w:top w:val="none" w:sz="0" w:space="0" w:color="auto"/>
        <w:left w:val="none" w:sz="0" w:space="0" w:color="auto"/>
        <w:bottom w:val="none" w:sz="0" w:space="0" w:color="auto"/>
        <w:right w:val="none" w:sz="0" w:space="0" w:color="auto"/>
      </w:divBdr>
      <w:divsChild>
        <w:div w:id="508450542">
          <w:marLeft w:val="0"/>
          <w:marRight w:val="0"/>
          <w:marTop w:val="0"/>
          <w:marBottom w:val="0"/>
          <w:divBdr>
            <w:top w:val="none" w:sz="0" w:space="0" w:color="auto"/>
            <w:left w:val="single" w:sz="6" w:space="0" w:color="999999"/>
            <w:bottom w:val="none" w:sz="0" w:space="0" w:color="auto"/>
            <w:right w:val="single" w:sz="6" w:space="0" w:color="999999"/>
          </w:divBdr>
          <w:divsChild>
            <w:div w:id="286618319">
              <w:marLeft w:val="0"/>
              <w:marRight w:val="0"/>
              <w:marTop w:val="0"/>
              <w:marBottom w:val="0"/>
              <w:divBdr>
                <w:top w:val="none" w:sz="0" w:space="0" w:color="auto"/>
                <w:left w:val="none" w:sz="0" w:space="0" w:color="auto"/>
                <w:bottom w:val="none" w:sz="0" w:space="0" w:color="auto"/>
                <w:right w:val="none" w:sz="0" w:space="0" w:color="auto"/>
              </w:divBdr>
              <w:divsChild>
                <w:div w:id="334453043">
                  <w:marLeft w:val="0"/>
                  <w:marRight w:val="0"/>
                  <w:marTop w:val="0"/>
                  <w:marBottom w:val="0"/>
                  <w:divBdr>
                    <w:top w:val="none" w:sz="0" w:space="0" w:color="auto"/>
                    <w:left w:val="none" w:sz="0" w:space="0" w:color="auto"/>
                    <w:bottom w:val="single" w:sz="6" w:space="9" w:color="FFFFFF"/>
                    <w:right w:val="none" w:sz="0" w:space="0" w:color="auto"/>
                  </w:divBdr>
                  <w:divsChild>
                    <w:div w:id="1753768914">
                      <w:marLeft w:val="0"/>
                      <w:marRight w:val="0"/>
                      <w:marTop w:val="0"/>
                      <w:marBottom w:val="0"/>
                      <w:divBdr>
                        <w:top w:val="none" w:sz="0" w:space="0" w:color="auto"/>
                        <w:left w:val="none" w:sz="0" w:space="0" w:color="auto"/>
                        <w:bottom w:val="none" w:sz="0" w:space="0" w:color="auto"/>
                        <w:right w:val="none" w:sz="0" w:space="0" w:color="auto"/>
                      </w:divBdr>
                      <w:divsChild>
                        <w:div w:id="562372900">
                          <w:marLeft w:val="0"/>
                          <w:marRight w:val="0"/>
                          <w:marTop w:val="0"/>
                          <w:marBottom w:val="0"/>
                          <w:divBdr>
                            <w:top w:val="none" w:sz="0" w:space="0" w:color="auto"/>
                            <w:left w:val="none" w:sz="0" w:space="0" w:color="auto"/>
                            <w:bottom w:val="none" w:sz="0" w:space="0" w:color="auto"/>
                            <w:right w:val="none" w:sz="0" w:space="0" w:color="auto"/>
                          </w:divBdr>
                          <w:divsChild>
                            <w:div w:id="161051370">
                              <w:marLeft w:val="0"/>
                              <w:marRight w:val="0"/>
                              <w:marTop w:val="0"/>
                              <w:marBottom w:val="0"/>
                              <w:divBdr>
                                <w:top w:val="none" w:sz="0" w:space="0" w:color="auto"/>
                                <w:left w:val="none" w:sz="0" w:space="0" w:color="auto"/>
                                <w:bottom w:val="none" w:sz="0" w:space="0" w:color="auto"/>
                                <w:right w:val="none" w:sz="0" w:space="0" w:color="auto"/>
                              </w:divBdr>
                              <w:divsChild>
                                <w:div w:id="642193597">
                                  <w:marLeft w:val="0"/>
                                  <w:marRight w:val="0"/>
                                  <w:marTop w:val="0"/>
                                  <w:marBottom w:val="0"/>
                                  <w:divBdr>
                                    <w:top w:val="none" w:sz="0" w:space="0" w:color="auto"/>
                                    <w:left w:val="none" w:sz="0" w:space="0" w:color="auto"/>
                                    <w:bottom w:val="none" w:sz="0" w:space="0" w:color="auto"/>
                                    <w:right w:val="none" w:sz="0" w:space="0" w:color="auto"/>
                                  </w:divBdr>
                                  <w:divsChild>
                                    <w:div w:id="232351529">
                                      <w:marLeft w:val="0"/>
                                      <w:marRight w:val="0"/>
                                      <w:marTop w:val="0"/>
                                      <w:marBottom w:val="0"/>
                                      <w:divBdr>
                                        <w:top w:val="none" w:sz="0" w:space="0" w:color="auto"/>
                                        <w:left w:val="none" w:sz="0" w:space="0" w:color="auto"/>
                                        <w:bottom w:val="none" w:sz="0" w:space="0" w:color="auto"/>
                                        <w:right w:val="none" w:sz="0" w:space="0" w:color="auto"/>
                                      </w:divBdr>
                                      <w:divsChild>
                                        <w:div w:id="991444930">
                                          <w:marLeft w:val="600"/>
                                          <w:marRight w:val="555"/>
                                          <w:marTop w:val="75"/>
                                          <w:marBottom w:val="60"/>
                                          <w:divBdr>
                                            <w:top w:val="none" w:sz="0" w:space="0" w:color="auto"/>
                                            <w:left w:val="none" w:sz="0" w:space="0" w:color="auto"/>
                                            <w:bottom w:val="none" w:sz="0" w:space="0" w:color="auto"/>
                                            <w:right w:val="none" w:sz="0" w:space="0" w:color="auto"/>
                                          </w:divBdr>
                                          <w:divsChild>
                                            <w:div w:id="175702928">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topics/research/guidance/planning-databases.html" TargetMode="External"/><Relationship Id="rId7" Type="http://schemas.openxmlformats.org/officeDocument/2006/relationships/hyperlink" Target="https://www.aapor.org/Standards-Ethics/Standard-Definitions-(1).aspx" TargetMode="External"/><Relationship Id="rId2" Type="http://schemas.openxmlformats.org/officeDocument/2006/relationships/hyperlink" Target="https://data.census.gov/cedsci/table?g=0400000US12,42&amp;tid=ACSDT5Y2019.B25044&amp;hidePreview=true" TargetMode="External"/><Relationship Id="rId1" Type="http://schemas.openxmlformats.org/officeDocument/2006/relationships/hyperlink" Target="https://www.fhwa.dot.gov/policyinformation/statistics/2019/mv1.cfm" TargetMode="Externa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hyperlink" Target="https://www.cdc.gov/brfss/annual_data/annual_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463DD57B8AE34181AF41E4A7595CE5" ma:contentTypeVersion="12" ma:contentTypeDescription="Create a new document." ma:contentTypeScope="" ma:versionID="b2e0ac0bd27a505cf2156f7458f7679d">
  <xsd:schema xmlns:xsd="http://www.w3.org/2001/XMLSchema" xmlns:xs="http://www.w3.org/2001/XMLSchema" xmlns:p="http://schemas.microsoft.com/office/2006/metadata/properties" xmlns:ns3="e1ef2fcd-4657-46cf-80ed-97d1288f482f" xmlns:ns4="5e672f07-61ae-47eb-8d8d-3b7fb4d15d30" targetNamespace="http://schemas.microsoft.com/office/2006/metadata/properties" ma:root="true" ma:fieldsID="43d7a3fa445f83a36235aa967eb37a07" ns3:_="" ns4:_="">
    <xsd:import namespace="e1ef2fcd-4657-46cf-80ed-97d1288f482f"/>
    <xsd:import namespace="5e672f07-61ae-47eb-8d8d-3b7fb4d15d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f2fcd-4657-46cf-80ed-97d1288f4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72f07-61ae-47eb-8d8d-3b7fb4d15d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5DEB2-88DE-4F9F-B0D5-485A0BA3DB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DCCFD9-78DD-4947-B0EB-5E316E40020B}">
  <ds:schemaRefs>
    <ds:schemaRef ds:uri="http://schemas.openxmlformats.org/officeDocument/2006/bibliography"/>
  </ds:schemaRefs>
</ds:datastoreItem>
</file>

<file path=customXml/itemProps3.xml><?xml version="1.0" encoding="utf-8"?>
<ds:datastoreItem xmlns:ds="http://schemas.openxmlformats.org/officeDocument/2006/customXml" ds:itemID="{05CCC679-2CB7-4785-A0A3-F105A03CA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f2fcd-4657-46cf-80ed-97d1288f482f"/>
    <ds:schemaRef ds:uri="5e672f07-61ae-47eb-8d8d-3b7fb4d15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9C78B-ADCE-47A5-BFFD-4C46C401C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5213</Words>
  <Characters>29718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TABLE OF CONTENTS</vt:lpstr>
    </vt:vector>
  </TitlesOfParts>
  <Company>NHTSA/DOT</Company>
  <LinksUpToDate>false</LinksUpToDate>
  <CharactersWithSpaces>34862</CharactersWithSpaces>
  <SharedDoc>false</SharedDoc>
  <HLinks>
    <vt:vector size="6" baseType="variant">
      <vt:variant>
        <vt:i4>5832770</vt:i4>
      </vt:variant>
      <vt:variant>
        <vt:i4>0</vt:i4>
      </vt:variant>
      <vt:variant>
        <vt:i4>0</vt:i4>
      </vt:variant>
      <vt:variant>
        <vt:i4>5</vt:i4>
      </vt:variant>
      <vt:variant>
        <vt:lpwstr>http://www.census.gov/popest/data/state/asrh/2011/index.html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ABlock</dc:creator>
  <cp:lastModifiedBy>Austin, Rory (NHTSA)</cp:lastModifiedBy>
  <cp:revision>5</cp:revision>
  <cp:lastPrinted>2016-12-22T13:40:00Z</cp:lastPrinted>
  <dcterms:created xsi:type="dcterms:W3CDTF">2022-03-31T21:18:00Z</dcterms:created>
  <dcterms:modified xsi:type="dcterms:W3CDTF">2022-06-28T13:38:00Z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0x0101003C463DD57B8AE34181AF41E4A7595CE5</vt:lpwstr>
  </property>
</Properties>
</file>