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0AC3" w:rsidR="000716C7" w:rsidP="00B65FAC" w:rsidRDefault="00A66850" w14:paraId="788691F1" w14:textId="77777777">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U.S. </w:t>
      </w:r>
      <w:r w:rsidRPr="00A10AC3" w:rsidR="000716C7">
        <w:rPr>
          <w:rFonts w:ascii="Times New Roman" w:hAnsi="Times New Roman" w:cs="Times New Roman"/>
          <w:b/>
          <w:sz w:val="28"/>
          <w:szCs w:val="28"/>
        </w:rPr>
        <w:t>Department of Transportation</w:t>
      </w:r>
    </w:p>
    <w:p w:rsidRPr="00A10AC3" w:rsidR="000716C7" w:rsidP="00B65FAC" w:rsidRDefault="000716C7" w14:paraId="5D99C2CF" w14:textId="77777777">
      <w:pPr>
        <w:pStyle w:val="NoSpacing"/>
        <w:jc w:val="center"/>
        <w:rPr>
          <w:rFonts w:ascii="Times New Roman" w:hAnsi="Times New Roman" w:cs="Times New Roman"/>
          <w:b/>
          <w:sz w:val="28"/>
          <w:szCs w:val="28"/>
        </w:rPr>
      </w:pPr>
      <w:r w:rsidRPr="00A10AC3">
        <w:rPr>
          <w:rFonts w:ascii="Times New Roman" w:hAnsi="Times New Roman" w:cs="Times New Roman"/>
          <w:b/>
          <w:sz w:val="28"/>
          <w:szCs w:val="28"/>
        </w:rPr>
        <w:t>Federal Transit Administration</w:t>
      </w:r>
    </w:p>
    <w:p w:rsidRPr="00A10AC3" w:rsidR="00A63334" w:rsidP="00B65FAC" w:rsidRDefault="00A63334" w14:paraId="6ED36D91" w14:textId="77777777">
      <w:pPr>
        <w:pStyle w:val="NoSpacing"/>
        <w:jc w:val="center"/>
        <w:rPr>
          <w:rFonts w:ascii="Times New Roman" w:hAnsi="Times New Roman" w:cs="Times New Roman"/>
          <w:b/>
          <w:sz w:val="28"/>
          <w:szCs w:val="28"/>
        </w:rPr>
      </w:pPr>
      <w:r w:rsidRPr="00A10AC3">
        <w:rPr>
          <w:rFonts w:ascii="Times New Roman" w:hAnsi="Times New Roman" w:cs="Times New Roman"/>
          <w:b/>
          <w:sz w:val="28"/>
          <w:szCs w:val="28"/>
        </w:rPr>
        <w:t>Supporting Statement for Paperwork Reduction Act Submissions</w:t>
      </w:r>
    </w:p>
    <w:p w:rsidR="00657292" w:rsidP="00B65FAC" w:rsidRDefault="00657292" w14:paraId="401F42DF" w14:textId="57AA2CAD">
      <w:pPr>
        <w:pStyle w:val="NoSpacing"/>
        <w:jc w:val="center"/>
        <w:rPr>
          <w:rFonts w:ascii="Times New Roman" w:hAnsi="Times New Roman" w:cs="Times New Roman"/>
          <w:b/>
          <w:sz w:val="28"/>
          <w:szCs w:val="28"/>
        </w:rPr>
      </w:pPr>
      <w:r w:rsidRPr="00A10AC3">
        <w:rPr>
          <w:rFonts w:ascii="Times New Roman" w:hAnsi="Times New Roman" w:cs="Times New Roman"/>
          <w:b/>
          <w:sz w:val="28"/>
          <w:szCs w:val="28"/>
        </w:rPr>
        <w:t>Public Transportation Agency Safety Plan</w:t>
      </w:r>
    </w:p>
    <w:p w:rsidR="00A33EA0" w:rsidP="00B65FAC" w:rsidRDefault="00A33EA0" w14:paraId="1BB6647D" w14:textId="36AD51AF">
      <w:pPr>
        <w:pStyle w:val="NoSpacing"/>
        <w:jc w:val="center"/>
        <w:rPr>
          <w:rFonts w:ascii="Times New Roman" w:hAnsi="Times New Roman" w:cs="Times New Roman"/>
          <w:b/>
          <w:sz w:val="28"/>
          <w:szCs w:val="28"/>
        </w:rPr>
      </w:pPr>
      <w:r>
        <w:rPr>
          <w:rFonts w:ascii="Times New Roman" w:hAnsi="Times New Roman" w:cs="Times New Roman"/>
          <w:b/>
          <w:sz w:val="28"/>
          <w:szCs w:val="28"/>
        </w:rPr>
        <w:t>(OMB# 2132-0580)</w:t>
      </w:r>
    </w:p>
    <w:p w:rsidRPr="00A10AC3" w:rsidR="00A33EA0" w:rsidP="00B65FAC" w:rsidRDefault="00A33EA0" w14:paraId="7773FFAB" w14:textId="77777777">
      <w:pPr>
        <w:pStyle w:val="NoSpacing"/>
        <w:jc w:val="center"/>
        <w:rPr>
          <w:rFonts w:ascii="Times New Roman" w:hAnsi="Times New Roman" w:cs="Times New Roman"/>
          <w:b/>
          <w:sz w:val="28"/>
          <w:szCs w:val="28"/>
        </w:rPr>
      </w:pPr>
    </w:p>
    <w:p w:rsidRPr="00A66850" w:rsidR="00983537" w:rsidP="00A66850" w:rsidRDefault="00983537" w14:paraId="0A552DC5" w14:textId="77777777">
      <w:pPr>
        <w:pStyle w:val="NoSpacing"/>
        <w:rPr>
          <w:rFonts w:ascii="Times New Roman" w:hAnsi="Times New Roman" w:cs="Times New Roman"/>
          <w:b/>
          <w:sz w:val="24"/>
          <w:szCs w:val="24"/>
        </w:rPr>
      </w:pPr>
    </w:p>
    <w:p w:rsidRPr="00A66850" w:rsidR="00983537" w:rsidP="00A66850" w:rsidRDefault="00983537" w14:paraId="521988F7" w14:textId="77777777">
      <w:pPr>
        <w:pStyle w:val="NoSpacing"/>
        <w:keepNext/>
        <w:rPr>
          <w:rFonts w:ascii="Times New Roman" w:hAnsi="Times New Roman" w:cs="Times New Roman"/>
          <w:b/>
          <w:sz w:val="24"/>
          <w:szCs w:val="24"/>
          <w:u w:val="single"/>
        </w:rPr>
      </w:pPr>
      <w:r w:rsidRPr="00A66850">
        <w:rPr>
          <w:rFonts w:ascii="Times New Roman" w:hAnsi="Times New Roman" w:cs="Times New Roman"/>
          <w:b/>
          <w:sz w:val="24"/>
          <w:szCs w:val="24"/>
          <w:u w:val="single"/>
        </w:rPr>
        <w:t>Justification</w:t>
      </w:r>
    </w:p>
    <w:p w:rsidRPr="005202DD" w:rsidR="00303296" w:rsidP="00A66850" w:rsidRDefault="00303296" w14:paraId="38A857A1" w14:textId="77777777">
      <w:pPr>
        <w:pStyle w:val="Subtitle"/>
        <w:keepNext/>
        <w:jc w:val="left"/>
        <w:rPr>
          <w:szCs w:val="24"/>
          <w:u w:val="none"/>
        </w:rPr>
      </w:pPr>
    </w:p>
    <w:p w:rsidRPr="00516DE7" w:rsidR="00516DE7" w:rsidP="00516DE7" w:rsidRDefault="00516DE7" w14:paraId="184209B0" w14:textId="3775FC3A">
      <w:pPr>
        <w:pStyle w:val="Subtitle"/>
        <w:jc w:val="left"/>
        <w:rPr>
          <w:rFonts w:eastAsia="Calibri"/>
          <w:u w:val="none"/>
        </w:rPr>
      </w:pPr>
      <w:r w:rsidRPr="00516DE7">
        <w:rPr>
          <w:rFonts w:eastAsia="Calibri"/>
          <w:szCs w:val="24"/>
          <w:u w:val="none"/>
        </w:rPr>
        <w:t xml:space="preserve">The purpose of this request is to seek the Office of Management and Budget’s (OMB) approval of the renewal of an existing approved information collection. The information collection (IC) was previously approved in June of 2019, when it was a new (IC). There are no programmatic or new regulatory changes associated with this information collection. </w:t>
      </w:r>
      <w:bookmarkStart w:name="_Hlk106805596" w:id="0"/>
      <w:r w:rsidRPr="00516DE7">
        <w:rPr>
          <w:rFonts w:eastAsia="Calibri"/>
          <w:szCs w:val="24"/>
          <w:u w:val="none"/>
        </w:rPr>
        <w:t xml:space="preserve">However, </w:t>
      </w:r>
      <w:r w:rsidR="000453C2">
        <w:rPr>
          <w:rFonts w:eastAsia="Calibri"/>
          <w:szCs w:val="24"/>
          <w:u w:val="none"/>
        </w:rPr>
        <w:t xml:space="preserve">this current submission reflects a reduction in both annual responses and annual burden hours.  </w:t>
      </w:r>
      <w:bookmarkStart w:name="_Hlk106879498" w:id="1"/>
      <w:r w:rsidR="000453C2">
        <w:rPr>
          <w:rFonts w:eastAsia="Calibri"/>
          <w:szCs w:val="24"/>
          <w:u w:val="none"/>
        </w:rPr>
        <w:t>T</w:t>
      </w:r>
      <w:r w:rsidRPr="00516DE7">
        <w:rPr>
          <w:rFonts w:eastAsia="Calibri"/>
          <w:szCs w:val="24"/>
          <w:u w:val="none"/>
        </w:rPr>
        <w:t>his revision reflects a</w:t>
      </w:r>
      <w:r w:rsidR="000453C2">
        <w:rPr>
          <w:rFonts w:eastAsia="Calibri"/>
          <w:szCs w:val="24"/>
          <w:u w:val="none"/>
        </w:rPr>
        <w:t xml:space="preserve"> reduction </w:t>
      </w:r>
      <w:r w:rsidRPr="00516DE7">
        <w:rPr>
          <w:rFonts w:eastAsia="Calibri"/>
          <w:szCs w:val="24"/>
          <w:u w:val="none"/>
        </w:rPr>
        <w:t>to the number of respon</w:t>
      </w:r>
      <w:r w:rsidR="000453C2">
        <w:rPr>
          <w:rFonts w:eastAsia="Calibri"/>
          <w:szCs w:val="24"/>
          <w:u w:val="none"/>
        </w:rPr>
        <w:t>ses</w:t>
      </w:r>
      <w:r w:rsidRPr="00516DE7">
        <w:rPr>
          <w:rFonts w:eastAsia="Calibri"/>
          <w:szCs w:val="24"/>
          <w:u w:val="none"/>
        </w:rPr>
        <w:t xml:space="preserve"> due to a change in the respondent universe based on current data. </w:t>
      </w:r>
      <w:r w:rsidRPr="00516DE7">
        <w:rPr>
          <w:rFonts w:eastAsia="Calibri"/>
          <w:u w:val="none"/>
        </w:rPr>
        <w:t xml:space="preserve">The burden hours of the previous submission included the hours necessary to develop the Agency Safety Plans.  The reduction in </w:t>
      </w:r>
      <w:r w:rsidR="000453C2">
        <w:rPr>
          <w:rFonts w:eastAsia="Calibri"/>
          <w:u w:val="none"/>
        </w:rPr>
        <w:t>the annual</w:t>
      </w:r>
      <w:r w:rsidRPr="00516DE7">
        <w:rPr>
          <w:rFonts w:eastAsia="Calibri"/>
          <w:u w:val="none"/>
        </w:rPr>
        <w:t xml:space="preserve"> burden hours </w:t>
      </w:r>
      <w:r w:rsidR="00F10F44">
        <w:rPr>
          <w:rFonts w:eastAsia="Calibri"/>
          <w:u w:val="none"/>
        </w:rPr>
        <w:t xml:space="preserve">in this </w:t>
      </w:r>
      <w:r w:rsidR="000453C2">
        <w:rPr>
          <w:rFonts w:eastAsia="Calibri"/>
          <w:u w:val="none"/>
        </w:rPr>
        <w:t xml:space="preserve">current </w:t>
      </w:r>
      <w:r w:rsidR="00F10F44">
        <w:rPr>
          <w:rFonts w:eastAsia="Calibri"/>
          <w:u w:val="none"/>
        </w:rPr>
        <w:t xml:space="preserve">submission </w:t>
      </w:r>
      <w:r w:rsidRPr="00516DE7">
        <w:rPr>
          <w:rFonts w:eastAsia="Calibri"/>
          <w:u w:val="none"/>
        </w:rPr>
        <w:t xml:space="preserve">reflects the fact that respondents only need to update and </w:t>
      </w:r>
      <w:r w:rsidR="00BA2189">
        <w:rPr>
          <w:rFonts w:eastAsia="Calibri"/>
          <w:u w:val="none"/>
        </w:rPr>
        <w:t>self-</w:t>
      </w:r>
      <w:r w:rsidRPr="00516DE7">
        <w:rPr>
          <w:rFonts w:eastAsia="Calibri"/>
          <w:u w:val="none"/>
        </w:rPr>
        <w:t>certify completion of their existing plans.   </w:t>
      </w:r>
    </w:p>
    <w:bookmarkEnd w:id="1"/>
    <w:p w:rsidRPr="00516DE7" w:rsidR="00516DE7" w:rsidP="00516DE7" w:rsidRDefault="00516DE7" w14:paraId="387A575D" w14:textId="77777777">
      <w:pPr>
        <w:spacing w:after="0" w:line="240" w:lineRule="auto"/>
        <w:rPr>
          <w:rFonts w:ascii="Times New Roman" w:hAnsi="Times New Roman" w:eastAsia="Calibri" w:cs="Times New Roman"/>
          <w:color w:val="FF0000"/>
        </w:rPr>
      </w:pPr>
    </w:p>
    <w:bookmarkEnd w:id="0"/>
    <w:p w:rsidRPr="00A66850" w:rsidR="00694CE1" w:rsidP="00A66850" w:rsidRDefault="00694CE1" w14:paraId="461E39E9" w14:textId="77777777">
      <w:pPr>
        <w:spacing w:after="0" w:line="240" w:lineRule="auto"/>
        <w:rPr>
          <w:rFonts w:ascii="Times New Roman" w:hAnsi="Times New Roman" w:cs="Times New Roman"/>
          <w:sz w:val="24"/>
          <w:szCs w:val="24"/>
        </w:rPr>
      </w:pPr>
    </w:p>
    <w:p w:rsidRPr="00A66850" w:rsidR="00A63334" w:rsidP="00A66850" w:rsidRDefault="00DF66D9" w14:paraId="1A137198" w14:textId="77777777">
      <w:pPr>
        <w:pStyle w:val="ListParagraph"/>
        <w:keepNext/>
        <w:numPr>
          <w:ilvl w:val="0"/>
          <w:numId w:val="2"/>
        </w:numPr>
        <w:spacing w:after="0" w:line="240" w:lineRule="auto"/>
        <w:ind w:left="0" w:firstLine="0"/>
        <w:contextualSpacing w:val="0"/>
        <w:rPr>
          <w:rFonts w:ascii="Times New Roman" w:hAnsi="Times New Roman" w:cs="Times New Roman"/>
          <w:b/>
          <w:sz w:val="24"/>
          <w:szCs w:val="24"/>
        </w:rPr>
      </w:pPr>
      <w:r w:rsidRPr="00A66850">
        <w:rPr>
          <w:rFonts w:ascii="Times New Roman" w:hAnsi="Times New Roman" w:cs="Times New Roman"/>
          <w:b/>
          <w:sz w:val="24"/>
          <w:szCs w:val="24"/>
        </w:rPr>
        <w:t>Circumstances Making the Col</w:t>
      </w:r>
      <w:r w:rsidRPr="00A66850" w:rsidR="00A63334">
        <w:rPr>
          <w:rFonts w:ascii="Times New Roman" w:hAnsi="Times New Roman" w:cs="Times New Roman"/>
          <w:b/>
          <w:sz w:val="24"/>
          <w:szCs w:val="24"/>
        </w:rPr>
        <w:t>lection of Information Necessary</w:t>
      </w:r>
    </w:p>
    <w:p w:rsidRPr="00A66850" w:rsidR="00A66850" w:rsidP="00A66850" w:rsidRDefault="00A66850" w14:paraId="76F987D7" w14:textId="77777777">
      <w:pPr>
        <w:pStyle w:val="NoSpacing"/>
        <w:keepNext/>
        <w:rPr>
          <w:rFonts w:ascii="Times New Roman" w:hAnsi="Times New Roman" w:cs="Times New Roman"/>
          <w:sz w:val="24"/>
          <w:szCs w:val="24"/>
        </w:rPr>
      </w:pPr>
    </w:p>
    <w:p w:rsidRPr="00312B4F" w:rsidR="004A6632" w:rsidP="00A66850" w:rsidRDefault="004A6632" w14:paraId="5DDD4913" w14:textId="2F52BCF8">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Through </w:t>
      </w:r>
      <w:r w:rsidR="001276FE">
        <w:rPr>
          <w:rFonts w:ascii="Times New Roman" w:hAnsi="Times New Roman" w:cs="Times New Roman"/>
          <w:sz w:val="24"/>
          <w:szCs w:val="24"/>
        </w:rPr>
        <w:t>49 CFR Part 673</w:t>
      </w:r>
      <w:r w:rsidRPr="00A66850">
        <w:rPr>
          <w:rFonts w:ascii="Times New Roman" w:hAnsi="Times New Roman" w:cs="Times New Roman"/>
          <w:sz w:val="24"/>
          <w:szCs w:val="24"/>
        </w:rPr>
        <w:t xml:space="preserve">, the FTA </w:t>
      </w:r>
      <w:r w:rsidR="0025136B">
        <w:rPr>
          <w:rFonts w:ascii="Times New Roman" w:hAnsi="Times New Roman" w:cs="Times New Roman"/>
          <w:sz w:val="24"/>
          <w:szCs w:val="24"/>
        </w:rPr>
        <w:t>established</w:t>
      </w:r>
      <w:r w:rsidRPr="00A66850">
        <w:rPr>
          <w:rFonts w:ascii="Times New Roman" w:hAnsi="Times New Roman" w:cs="Times New Roman"/>
          <w:sz w:val="24"/>
          <w:szCs w:val="24"/>
        </w:rPr>
        <w:t xml:space="preserve"> requirements for Public Transportation Agency Safety Plans as authorized </w:t>
      </w:r>
      <w:r w:rsidR="00B83D36">
        <w:rPr>
          <w:rFonts w:ascii="Times New Roman" w:hAnsi="Times New Roman" w:cs="Times New Roman"/>
          <w:sz w:val="24"/>
          <w:szCs w:val="24"/>
        </w:rPr>
        <w:t>under</w:t>
      </w:r>
      <w:r w:rsidRPr="00A66850" w:rsidR="00A66850">
        <w:rPr>
          <w:rFonts w:ascii="Times New Roman" w:hAnsi="Times New Roman" w:cs="Times New Roman"/>
          <w:sz w:val="24"/>
          <w:szCs w:val="24"/>
        </w:rPr>
        <w:t xml:space="preserve"> 49 U.S.C. § 5329(d)</w:t>
      </w:r>
      <w:r w:rsidRPr="00A66850">
        <w:rPr>
          <w:rFonts w:ascii="Times New Roman" w:hAnsi="Times New Roman" w:cs="Times New Roman"/>
          <w:sz w:val="24"/>
          <w:szCs w:val="24"/>
        </w:rPr>
        <w:t xml:space="preserve">.  </w:t>
      </w:r>
      <w:r w:rsidR="001276FE">
        <w:rPr>
          <w:rFonts w:ascii="Times New Roman" w:hAnsi="Times New Roman" w:cs="Times New Roman"/>
          <w:sz w:val="24"/>
          <w:szCs w:val="24"/>
        </w:rPr>
        <w:t>The regulation</w:t>
      </w:r>
      <w:r w:rsidRPr="00A66850" w:rsidR="00DB6403">
        <w:rPr>
          <w:rFonts w:ascii="Times New Roman" w:hAnsi="Times New Roman" w:cs="Times New Roman"/>
          <w:sz w:val="24"/>
          <w:szCs w:val="24"/>
        </w:rPr>
        <w:t xml:space="preserve"> </w:t>
      </w:r>
      <w:r w:rsidRPr="00A66850">
        <w:rPr>
          <w:rFonts w:ascii="Times New Roman" w:hAnsi="Times New Roman" w:cs="Times New Roman"/>
          <w:sz w:val="24"/>
          <w:szCs w:val="24"/>
        </w:rPr>
        <w:t>require</w:t>
      </w:r>
      <w:r w:rsidRPr="00A66850" w:rsidR="00DB6403">
        <w:rPr>
          <w:rFonts w:ascii="Times New Roman" w:hAnsi="Times New Roman" w:cs="Times New Roman"/>
          <w:sz w:val="24"/>
          <w:szCs w:val="24"/>
        </w:rPr>
        <w:t>s</w:t>
      </w:r>
      <w:r w:rsidRPr="00A66850">
        <w:rPr>
          <w:rFonts w:ascii="Times New Roman" w:hAnsi="Times New Roman" w:cs="Times New Roman"/>
          <w:sz w:val="24"/>
          <w:szCs w:val="24"/>
        </w:rPr>
        <w:t xml:space="preserve"> </w:t>
      </w:r>
      <w:r w:rsidR="00B83D36">
        <w:rPr>
          <w:rFonts w:ascii="Times New Roman" w:hAnsi="Times New Roman" w:cs="Times New Roman"/>
          <w:sz w:val="24"/>
          <w:szCs w:val="24"/>
        </w:rPr>
        <w:t xml:space="preserve">States and </w:t>
      </w:r>
      <w:r w:rsidR="00312B4F">
        <w:rPr>
          <w:rFonts w:ascii="Times New Roman" w:hAnsi="Times New Roman" w:cs="Times New Roman"/>
          <w:sz w:val="24"/>
          <w:szCs w:val="24"/>
        </w:rPr>
        <w:t xml:space="preserve">certain </w:t>
      </w:r>
      <w:r w:rsidRPr="00A66850">
        <w:rPr>
          <w:rFonts w:ascii="Times New Roman" w:hAnsi="Times New Roman" w:cs="Times New Roman"/>
          <w:sz w:val="24"/>
          <w:szCs w:val="24"/>
        </w:rPr>
        <w:t>operators of public transportation systems that receive Federal financial assistance under 49 U.S.C. Chapter 53 to develop Public Transportation Agency Safety Plans</w:t>
      </w:r>
      <w:r w:rsidRPr="00A66850" w:rsidR="00400B7B">
        <w:rPr>
          <w:rFonts w:ascii="Times New Roman" w:hAnsi="Times New Roman" w:cs="Times New Roman"/>
          <w:sz w:val="24"/>
          <w:szCs w:val="24"/>
        </w:rPr>
        <w:t xml:space="preserve"> </w:t>
      </w:r>
      <w:r w:rsidR="00B83D36">
        <w:rPr>
          <w:rFonts w:ascii="Times New Roman" w:hAnsi="Times New Roman" w:cs="Times New Roman"/>
          <w:sz w:val="24"/>
          <w:szCs w:val="24"/>
        </w:rPr>
        <w:t>based on</w:t>
      </w:r>
      <w:r w:rsidRPr="00A66850" w:rsidR="00B83D36">
        <w:rPr>
          <w:rFonts w:ascii="Times New Roman" w:hAnsi="Times New Roman" w:cs="Times New Roman"/>
          <w:sz w:val="24"/>
          <w:szCs w:val="24"/>
        </w:rPr>
        <w:t xml:space="preserve"> </w:t>
      </w:r>
      <w:r w:rsidRPr="00A66850" w:rsidR="00400B7B">
        <w:rPr>
          <w:rFonts w:ascii="Times New Roman" w:hAnsi="Times New Roman" w:cs="Times New Roman"/>
          <w:sz w:val="24"/>
          <w:szCs w:val="24"/>
        </w:rPr>
        <w:t>the Safety Management Systems (SMS) approach</w:t>
      </w:r>
      <w:r w:rsidRPr="00A66850">
        <w:rPr>
          <w:rFonts w:ascii="Times New Roman" w:hAnsi="Times New Roman" w:cs="Times New Roman"/>
          <w:sz w:val="24"/>
          <w:szCs w:val="24"/>
        </w:rPr>
        <w:t xml:space="preserve">. </w:t>
      </w:r>
      <w:r w:rsidRPr="00A66850" w:rsidR="00400B7B">
        <w:rPr>
          <w:rFonts w:ascii="Times New Roman" w:hAnsi="Times New Roman" w:cs="Times New Roman"/>
          <w:sz w:val="24"/>
          <w:szCs w:val="24"/>
        </w:rPr>
        <w:t xml:space="preserve"> The d</w:t>
      </w:r>
      <w:r w:rsidRPr="00A66850">
        <w:rPr>
          <w:rFonts w:ascii="Times New Roman" w:hAnsi="Times New Roman" w:cs="Times New Roman"/>
          <w:sz w:val="24"/>
          <w:szCs w:val="24"/>
        </w:rPr>
        <w:t xml:space="preserve">evelopment and implementation of safety plans will help ensure </w:t>
      </w:r>
      <w:r w:rsidR="00B83D36">
        <w:rPr>
          <w:rFonts w:ascii="Times New Roman" w:hAnsi="Times New Roman" w:cs="Times New Roman"/>
          <w:sz w:val="24"/>
          <w:szCs w:val="24"/>
        </w:rPr>
        <w:t xml:space="preserve">that </w:t>
      </w:r>
      <w:r w:rsidRPr="00A66850">
        <w:rPr>
          <w:rFonts w:ascii="Times New Roman" w:hAnsi="Times New Roman" w:cs="Times New Roman"/>
          <w:sz w:val="24"/>
          <w:szCs w:val="24"/>
        </w:rPr>
        <w:t xml:space="preserve">public transportation </w:t>
      </w:r>
      <w:r w:rsidRPr="00312B4F">
        <w:rPr>
          <w:rFonts w:ascii="Times New Roman" w:hAnsi="Times New Roman" w:cs="Times New Roman"/>
          <w:sz w:val="24"/>
          <w:szCs w:val="24"/>
        </w:rPr>
        <w:t>systems are safe nationwide.</w:t>
      </w:r>
      <w:r w:rsidRPr="00312B4F" w:rsidR="00B83D36">
        <w:rPr>
          <w:rFonts w:ascii="Times New Roman" w:hAnsi="Times New Roman" w:cs="Times New Roman"/>
          <w:sz w:val="24"/>
          <w:szCs w:val="24"/>
        </w:rPr>
        <w:t xml:space="preserve"> </w:t>
      </w:r>
      <w:r w:rsidRPr="00312B4F" w:rsidR="00312B4F">
        <w:rPr>
          <w:rFonts w:ascii="Times New Roman" w:hAnsi="Times New Roman" w:cs="Times New Roman"/>
          <w:sz w:val="24"/>
          <w:szCs w:val="24"/>
        </w:rPr>
        <w:t xml:space="preserve"> </w:t>
      </w:r>
    </w:p>
    <w:p w:rsidRPr="00312B4F" w:rsidR="00E039F3" w:rsidP="00A66850" w:rsidRDefault="00E039F3" w14:paraId="0D49556B" w14:textId="77777777">
      <w:pPr>
        <w:pStyle w:val="NoSpacing"/>
        <w:rPr>
          <w:rFonts w:ascii="Times New Roman" w:hAnsi="Times New Roman" w:cs="Times New Roman"/>
          <w:sz w:val="24"/>
          <w:szCs w:val="24"/>
        </w:rPr>
      </w:pPr>
    </w:p>
    <w:p w:rsidR="00516DE7" w:rsidP="00A66850" w:rsidRDefault="00D71A01" w14:paraId="53AB55A6" w14:textId="77777777">
      <w:pPr>
        <w:pStyle w:val="NoSpacing"/>
        <w:rPr>
          <w:rFonts w:ascii="Times New Roman" w:hAnsi="Times New Roman" w:cs="Times New Roman"/>
          <w:sz w:val="24"/>
          <w:szCs w:val="24"/>
        </w:rPr>
      </w:pPr>
      <w:r>
        <w:rPr>
          <w:rFonts w:ascii="Times New Roman" w:hAnsi="Times New Roman" w:cs="Times New Roman"/>
          <w:sz w:val="24"/>
          <w:szCs w:val="24"/>
        </w:rPr>
        <w:t>Annually, e</w:t>
      </w:r>
      <w:r w:rsidRPr="00A66850" w:rsidR="004A6632">
        <w:rPr>
          <w:rFonts w:ascii="Times New Roman" w:hAnsi="Times New Roman" w:cs="Times New Roman"/>
          <w:sz w:val="24"/>
          <w:szCs w:val="24"/>
        </w:rPr>
        <w:t xml:space="preserve">ach State, local governmental authority, and operator of a public transportation system that </w:t>
      </w:r>
      <w:r w:rsidR="00312B4F">
        <w:rPr>
          <w:rFonts w:ascii="Times New Roman" w:hAnsi="Times New Roman" w:cs="Times New Roman"/>
          <w:sz w:val="24"/>
          <w:szCs w:val="24"/>
        </w:rPr>
        <w:t xml:space="preserve">is subject to this rule </w:t>
      </w:r>
      <w:r w:rsidRPr="00A66850" w:rsidR="004A6632">
        <w:rPr>
          <w:rFonts w:ascii="Times New Roman" w:hAnsi="Times New Roman" w:cs="Times New Roman"/>
          <w:sz w:val="24"/>
          <w:szCs w:val="24"/>
        </w:rPr>
        <w:t xml:space="preserve">must certify that it has </w:t>
      </w:r>
      <w:r w:rsidR="00360E37">
        <w:rPr>
          <w:rFonts w:ascii="Times New Roman" w:hAnsi="Times New Roman" w:cs="Times New Roman"/>
          <w:sz w:val="24"/>
          <w:szCs w:val="24"/>
        </w:rPr>
        <w:t xml:space="preserve">developed </w:t>
      </w:r>
      <w:r w:rsidR="00E27E4A">
        <w:rPr>
          <w:rFonts w:ascii="Times New Roman" w:hAnsi="Times New Roman" w:cs="Times New Roman"/>
          <w:sz w:val="24"/>
          <w:szCs w:val="24"/>
        </w:rPr>
        <w:t xml:space="preserve">an </w:t>
      </w:r>
      <w:r w:rsidR="001276FE">
        <w:rPr>
          <w:rFonts w:ascii="Times New Roman" w:hAnsi="Times New Roman" w:cs="Times New Roman"/>
          <w:sz w:val="24"/>
          <w:szCs w:val="24"/>
        </w:rPr>
        <w:t>ASP</w:t>
      </w:r>
      <w:r w:rsidRPr="00A66850" w:rsidR="004A6632">
        <w:rPr>
          <w:rFonts w:ascii="Times New Roman" w:hAnsi="Times New Roman" w:cs="Times New Roman"/>
          <w:sz w:val="24"/>
          <w:szCs w:val="24"/>
        </w:rPr>
        <w:t xml:space="preserve">.  </w:t>
      </w:r>
      <w:r w:rsidR="00B83D36">
        <w:rPr>
          <w:rFonts w:ascii="Times New Roman" w:hAnsi="Times New Roman" w:cs="Times New Roman"/>
          <w:sz w:val="24"/>
          <w:szCs w:val="24"/>
        </w:rPr>
        <w:t xml:space="preserve">See </w:t>
      </w:r>
      <w:r w:rsidRPr="00A66850" w:rsidR="004A6632">
        <w:rPr>
          <w:rFonts w:ascii="Times New Roman" w:hAnsi="Times New Roman" w:cs="Times New Roman"/>
          <w:sz w:val="24"/>
          <w:szCs w:val="24"/>
        </w:rPr>
        <w:t xml:space="preserve">49 U.S.C. </w:t>
      </w:r>
    </w:p>
    <w:p w:rsidR="00360E37" w:rsidP="00A66850" w:rsidRDefault="00AA319F" w14:paraId="3FCDD29B" w14:textId="2A5F1AFD">
      <w:pPr>
        <w:pStyle w:val="NoSpacing"/>
        <w:rPr>
          <w:rFonts w:ascii="Times New Roman" w:hAnsi="Times New Roman" w:cs="Times New Roman"/>
          <w:sz w:val="24"/>
          <w:szCs w:val="24"/>
        </w:rPr>
      </w:pPr>
      <w:r w:rsidRPr="00A66850">
        <w:rPr>
          <w:rFonts w:ascii="Times New Roman" w:hAnsi="Times New Roman" w:cs="Times New Roman"/>
          <w:sz w:val="24"/>
          <w:szCs w:val="24"/>
        </w:rPr>
        <w:t>§</w:t>
      </w:r>
      <w:r w:rsidR="00516DE7">
        <w:rPr>
          <w:rFonts w:ascii="Times New Roman" w:hAnsi="Times New Roman" w:cs="Times New Roman"/>
          <w:sz w:val="24"/>
          <w:szCs w:val="24"/>
        </w:rPr>
        <w:t xml:space="preserve"> </w:t>
      </w:r>
      <w:r w:rsidRPr="00A66850" w:rsidR="004A6632">
        <w:rPr>
          <w:rFonts w:ascii="Times New Roman" w:hAnsi="Times New Roman" w:cs="Times New Roman"/>
          <w:sz w:val="24"/>
          <w:szCs w:val="24"/>
        </w:rPr>
        <w:t xml:space="preserve">5329(d)(1).  </w:t>
      </w:r>
      <w:r w:rsidR="0003397C">
        <w:rPr>
          <w:rFonts w:ascii="Times New Roman" w:hAnsi="Times New Roman" w:cs="Times New Roman"/>
          <w:sz w:val="24"/>
          <w:szCs w:val="24"/>
        </w:rPr>
        <w:t xml:space="preserve">Each operator of a public transportation system must have its safety plan approved by its Board of Directors (or an Equivalent Authority) </w:t>
      </w:r>
      <w:r w:rsidRPr="00A66850" w:rsidR="0003397C">
        <w:rPr>
          <w:rFonts w:ascii="Times New Roman" w:hAnsi="Times New Roman" w:cs="Times New Roman"/>
          <w:sz w:val="24"/>
          <w:szCs w:val="24"/>
        </w:rPr>
        <w:t xml:space="preserve">and </w:t>
      </w:r>
      <w:r w:rsidR="0003397C">
        <w:rPr>
          <w:rFonts w:ascii="Times New Roman" w:hAnsi="Times New Roman" w:cs="Times New Roman"/>
          <w:sz w:val="24"/>
          <w:szCs w:val="24"/>
        </w:rPr>
        <w:t>signed by its Accountable Executive.</w:t>
      </w:r>
    </w:p>
    <w:p w:rsidR="00360E37" w:rsidP="00A66850" w:rsidRDefault="00360E37" w14:paraId="561568F0" w14:textId="77777777">
      <w:pPr>
        <w:pStyle w:val="NoSpacing"/>
        <w:rPr>
          <w:rFonts w:ascii="Times New Roman" w:hAnsi="Times New Roman" w:cs="Times New Roman"/>
          <w:sz w:val="24"/>
          <w:szCs w:val="24"/>
        </w:rPr>
      </w:pPr>
    </w:p>
    <w:p w:rsidRPr="00A8495C" w:rsidR="00360E37" w:rsidP="00A66850" w:rsidRDefault="003779E3" w14:paraId="371316F7" w14:textId="6A39AFCF">
      <w:pPr>
        <w:pStyle w:val="NoSpacing"/>
        <w:rPr>
          <w:rFonts w:ascii="Times New Roman" w:hAnsi="Times New Roman" w:cs="Times New Roman"/>
          <w:sz w:val="24"/>
          <w:szCs w:val="24"/>
        </w:rPr>
      </w:pPr>
      <w:r>
        <w:rPr>
          <w:rFonts w:ascii="Times New Roman" w:hAnsi="Times New Roman" w:cs="Times New Roman"/>
          <w:sz w:val="24"/>
          <w:szCs w:val="24"/>
        </w:rPr>
        <w:t>S</w:t>
      </w:r>
      <w:r w:rsidR="00FD3B02">
        <w:rPr>
          <w:rFonts w:ascii="Times New Roman" w:hAnsi="Times New Roman" w:cs="Times New Roman"/>
          <w:sz w:val="24"/>
          <w:szCs w:val="24"/>
        </w:rPr>
        <w:t>tates must draft safety plans on behalf of any s</w:t>
      </w:r>
      <w:r w:rsidRPr="00A66850" w:rsidR="004A6632">
        <w:rPr>
          <w:rFonts w:ascii="Times New Roman" w:hAnsi="Times New Roman" w:cs="Times New Roman"/>
          <w:sz w:val="24"/>
          <w:szCs w:val="24"/>
        </w:rPr>
        <w:t>mall public transportation pr</w:t>
      </w:r>
      <w:r w:rsidRPr="00A66850" w:rsidR="00DC1F16">
        <w:rPr>
          <w:rFonts w:ascii="Times New Roman" w:hAnsi="Times New Roman" w:cs="Times New Roman"/>
          <w:sz w:val="24"/>
          <w:szCs w:val="24"/>
        </w:rPr>
        <w:t xml:space="preserve">ovider </w:t>
      </w:r>
      <w:r w:rsidR="00FD3B02">
        <w:rPr>
          <w:rFonts w:ascii="Times New Roman" w:hAnsi="Times New Roman" w:cs="Times New Roman"/>
          <w:sz w:val="24"/>
          <w:szCs w:val="24"/>
        </w:rPr>
        <w:t>located within the State</w:t>
      </w:r>
      <w:r w:rsidR="00D71A01">
        <w:rPr>
          <w:rFonts w:ascii="Times New Roman" w:hAnsi="Times New Roman" w:cs="Times New Roman"/>
          <w:sz w:val="24"/>
          <w:szCs w:val="24"/>
        </w:rPr>
        <w:t xml:space="preserve"> unless that small public transportation provider opts to develop its own plan</w:t>
      </w:r>
      <w:r w:rsidR="00FD3B02">
        <w:rPr>
          <w:rFonts w:ascii="Times New Roman" w:hAnsi="Times New Roman" w:cs="Times New Roman"/>
          <w:sz w:val="24"/>
          <w:szCs w:val="24"/>
        </w:rPr>
        <w:t xml:space="preserve">. FTA defined “small public transportation provider” to mean </w:t>
      </w:r>
      <w:r w:rsidRPr="00A8495C" w:rsidR="00FD3B02">
        <w:rPr>
          <w:rFonts w:ascii="Times New Roman" w:hAnsi="Times New Roman" w:cs="Times New Roman"/>
          <w:sz w:val="24"/>
          <w:szCs w:val="24"/>
        </w:rPr>
        <w:t xml:space="preserve">a bus system which operates 100 or fewer vehicles in </w:t>
      </w:r>
      <w:r w:rsidRPr="00CF2257" w:rsidR="00FD3B02">
        <w:rPr>
          <w:rFonts w:ascii="Times New Roman" w:hAnsi="Times New Roman" w:cs="Times New Roman"/>
          <w:sz w:val="24"/>
          <w:szCs w:val="24"/>
        </w:rPr>
        <w:t>peak revenue service</w:t>
      </w:r>
      <w:r w:rsidR="00FD3B02">
        <w:rPr>
          <w:rFonts w:ascii="Times New Roman" w:hAnsi="Times New Roman" w:cs="Times New Roman"/>
          <w:sz w:val="24"/>
          <w:szCs w:val="24"/>
        </w:rPr>
        <w:t>.</w:t>
      </w:r>
      <w:r w:rsidR="001E21A3">
        <w:rPr>
          <w:rFonts w:ascii="Times New Roman" w:hAnsi="Times New Roman" w:cs="Times New Roman"/>
          <w:sz w:val="24"/>
          <w:szCs w:val="24"/>
        </w:rPr>
        <w:t xml:space="preserve"> </w:t>
      </w:r>
      <w:r w:rsidR="00E6668B">
        <w:rPr>
          <w:rFonts w:ascii="Times New Roman" w:hAnsi="Times New Roman" w:cs="Times New Roman"/>
          <w:sz w:val="24"/>
          <w:szCs w:val="24"/>
        </w:rPr>
        <w:t xml:space="preserve"> </w:t>
      </w:r>
      <w:r w:rsidR="00405A23">
        <w:rPr>
          <w:rFonts w:ascii="Times New Roman" w:hAnsi="Times New Roman" w:cs="Times New Roman"/>
          <w:sz w:val="24"/>
          <w:szCs w:val="24"/>
        </w:rPr>
        <w:t xml:space="preserve">Given that the </w:t>
      </w:r>
      <w:r w:rsidR="001276FE">
        <w:rPr>
          <w:rFonts w:ascii="Times New Roman" w:hAnsi="Times New Roman" w:cs="Times New Roman"/>
          <w:sz w:val="24"/>
          <w:szCs w:val="24"/>
        </w:rPr>
        <w:t xml:space="preserve">regulation </w:t>
      </w:r>
      <w:r w:rsidR="00405A23">
        <w:rPr>
          <w:rFonts w:ascii="Times New Roman" w:hAnsi="Times New Roman" w:cs="Times New Roman"/>
          <w:sz w:val="24"/>
          <w:szCs w:val="24"/>
        </w:rPr>
        <w:t>does not apply to operators of public transportation systems that only receive FTA funds under Section 5310 and/or Section 5311, FTA excluded these entities from the information collection.</w:t>
      </w:r>
      <w:r w:rsidRPr="00A8495C" w:rsidDel="00405A23" w:rsidR="00405A23">
        <w:rPr>
          <w:rFonts w:ascii="Times New Roman" w:hAnsi="Times New Roman" w:cs="Times New Roman"/>
          <w:sz w:val="24"/>
          <w:szCs w:val="24"/>
        </w:rPr>
        <w:t xml:space="preserve"> </w:t>
      </w:r>
      <w:r w:rsidRPr="00A8495C" w:rsidR="00360E37">
        <w:rPr>
          <w:rFonts w:ascii="Times New Roman" w:hAnsi="Times New Roman" w:cs="Times New Roman"/>
          <w:sz w:val="24"/>
          <w:szCs w:val="24"/>
        </w:rPr>
        <w:t xml:space="preserve"> </w:t>
      </w:r>
    </w:p>
    <w:p w:rsidRPr="00A66850" w:rsidR="00360E37" w:rsidP="00A66850" w:rsidRDefault="00360E37" w14:paraId="7264DF8A" w14:textId="77777777">
      <w:pPr>
        <w:pStyle w:val="NoSpacing"/>
        <w:rPr>
          <w:rFonts w:ascii="Times New Roman" w:hAnsi="Times New Roman" w:cs="Times New Roman"/>
          <w:sz w:val="24"/>
          <w:szCs w:val="24"/>
        </w:rPr>
      </w:pPr>
    </w:p>
    <w:p w:rsidRPr="00A66850" w:rsidR="004A6632" w:rsidP="00A66850" w:rsidRDefault="004A6632" w14:paraId="22E09ADC" w14:textId="77777777">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Pursuant to 49 U. S.C. </w:t>
      </w:r>
      <w:r w:rsidRPr="00A66850" w:rsidR="00AA319F">
        <w:rPr>
          <w:rFonts w:ascii="Times New Roman" w:hAnsi="Times New Roman" w:cs="Times New Roman"/>
          <w:sz w:val="24"/>
          <w:szCs w:val="24"/>
        </w:rPr>
        <w:t xml:space="preserve">§ </w:t>
      </w:r>
      <w:r w:rsidRPr="00A66850">
        <w:rPr>
          <w:rFonts w:ascii="Times New Roman" w:hAnsi="Times New Roman" w:cs="Times New Roman"/>
          <w:sz w:val="24"/>
          <w:szCs w:val="24"/>
        </w:rPr>
        <w:t>5329(d)(1), each Public Transportation Agency Safety Plan must include, at minimum:</w:t>
      </w:r>
    </w:p>
    <w:p w:rsidRPr="00A66850" w:rsidR="00AA319F" w:rsidP="00A66850" w:rsidRDefault="00AA319F" w14:paraId="1DA1A8CA" w14:textId="77777777">
      <w:pPr>
        <w:pStyle w:val="NoSpacing"/>
        <w:rPr>
          <w:rFonts w:ascii="Times New Roman" w:hAnsi="Times New Roman" w:cs="Times New Roman"/>
          <w:sz w:val="24"/>
          <w:szCs w:val="24"/>
        </w:rPr>
      </w:pPr>
    </w:p>
    <w:p w:rsidR="004A6632" w:rsidP="00A66850" w:rsidRDefault="004A6632" w14:paraId="5DD51011" w14:textId="77777777">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lastRenderedPageBreak/>
        <w:t>A</w:t>
      </w:r>
      <w:r w:rsidR="00360E37">
        <w:rPr>
          <w:rFonts w:ascii="Times New Roman" w:hAnsi="Times New Roman" w:cs="Times New Roman"/>
          <w:sz w:val="24"/>
          <w:szCs w:val="24"/>
        </w:rPr>
        <w:t xml:space="preserve">n approval from the </w:t>
      </w:r>
      <w:r w:rsidR="00921B3C">
        <w:rPr>
          <w:rFonts w:ascii="Times New Roman" w:hAnsi="Times New Roman" w:cs="Times New Roman"/>
          <w:sz w:val="24"/>
          <w:szCs w:val="24"/>
        </w:rPr>
        <w:t xml:space="preserve">recipient’s </w:t>
      </w:r>
      <w:r w:rsidR="00360E37">
        <w:rPr>
          <w:rFonts w:ascii="Times New Roman" w:hAnsi="Times New Roman" w:cs="Times New Roman"/>
          <w:sz w:val="24"/>
          <w:szCs w:val="24"/>
        </w:rPr>
        <w:t>B</w:t>
      </w:r>
      <w:r w:rsidRPr="00A66850">
        <w:rPr>
          <w:rFonts w:ascii="Times New Roman" w:hAnsi="Times New Roman" w:cs="Times New Roman"/>
          <w:sz w:val="24"/>
          <w:szCs w:val="24"/>
        </w:rPr>
        <w:t xml:space="preserve">oard of </w:t>
      </w:r>
      <w:r w:rsidR="00360E37">
        <w:rPr>
          <w:rFonts w:ascii="Times New Roman" w:hAnsi="Times New Roman" w:cs="Times New Roman"/>
          <w:sz w:val="24"/>
          <w:szCs w:val="24"/>
        </w:rPr>
        <w:t>D</w:t>
      </w:r>
      <w:r w:rsidRPr="00A66850">
        <w:rPr>
          <w:rFonts w:ascii="Times New Roman" w:hAnsi="Times New Roman" w:cs="Times New Roman"/>
          <w:sz w:val="24"/>
          <w:szCs w:val="24"/>
        </w:rPr>
        <w:t xml:space="preserve">irectors, or </w:t>
      </w:r>
      <w:r w:rsidR="00360E37">
        <w:rPr>
          <w:rFonts w:ascii="Times New Roman" w:hAnsi="Times New Roman" w:cs="Times New Roman"/>
          <w:sz w:val="24"/>
          <w:szCs w:val="24"/>
        </w:rPr>
        <w:t>an E</w:t>
      </w:r>
      <w:r w:rsidRPr="00A66850">
        <w:rPr>
          <w:rFonts w:ascii="Times New Roman" w:hAnsi="Times New Roman" w:cs="Times New Roman"/>
          <w:sz w:val="24"/>
          <w:szCs w:val="24"/>
        </w:rPr>
        <w:t xml:space="preserve">quivalent </w:t>
      </w:r>
      <w:r w:rsidR="00360E37">
        <w:rPr>
          <w:rFonts w:ascii="Times New Roman" w:hAnsi="Times New Roman" w:cs="Times New Roman"/>
          <w:sz w:val="24"/>
          <w:szCs w:val="24"/>
        </w:rPr>
        <w:t>Authority</w:t>
      </w:r>
      <w:r w:rsidRPr="00A66850">
        <w:rPr>
          <w:rFonts w:ascii="Times New Roman" w:hAnsi="Times New Roman" w:cs="Times New Roman"/>
          <w:sz w:val="24"/>
          <w:szCs w:val="24"/>
        </w:rPr>
        <w:t>;</w:t>
      </w:r>
    </w:p>
    <w:p w:rsidRPr="00A66850" w:rsidR="005B0E66" w:rsidP="005B0E66" w:rsidRDefault="005B0E66" w14:paraId="51D64F57" w14:textId="77777777">
      <w:pPr>
        <w:pStyle w:val="NoSpacing"/>
        <w:rPr>
          <w:rFonts w:ascii="Times New Roman" w:hAnsi="Times New Roman" w:cs="Times New Roman"/>
          <w:sz w:val="24"/>
          <w:szCs w:val="24"/>
        </w:rPr>
      </w:pPr>
    </w:p>
    <w:p w:rsidR="004A6632" w:rsidP="00A66850" w:rsidRDefault="004A6632" w14:paraId="25AE9D6A" w14:textId="77777777">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 xml:space="preserve">Methods for identifying and evaluating safety risks throughout all elements of the </w:t>
      </w:r>
      <w:r w:rsidR="00921B3C">
        <w:rPr>
          <w:rFonts w:ascii="Times New Roman" w:hAnsi="Times New Roman" w:cs="Times New Roman"/>
          <w:sz w:val="24"/>
          <w:szCs w:val="24"/>
        </w:rPr>
        <w:t xml:space="preserve">recipient’s </w:t>
      </w:r>
      <w:r w:rsidRPr="00A66850">
        <w:rPr>
          <w:rFonts w:ascii="Times New Roman" w:hAnsi="Times New Roman" w:cs="Times New Roman"/>
          <w:sz w:val="24"/>
          <w:szCs w:val="24"/>
        </w:rPr>
        <w:t>public transportation system;</w:t>
      </w:r>
    </w:p>
    <w:p w:rsidRPr="00A66850" w:rsidR="005B0E66" w:rsidP="005B0E66" w:rsidRDefault="005B0E66" w14:paraId="36D9B90F" w14:textId="77777777">
      <w:pPr>
        <w:pStyle w:val="NoSpacing"/>
        <w:rPr>
          <w:rFonts w:ascii="Times New Roman" w:hAnsi="Times New Roman" w:cs="Times New Roman"/>
          <w:sz w:val="24"/>
          <w:szCs w:val="24"/>
        </w:rPr>
      </w:pPr>
    </w:p>
    <w:p w:rsidR="004A6632" w:rsidP="00A66850" w:rsidRDefault="004A6632" w14:paraId="599D4E36" w14:textId="77777777">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Strategies to minimize the exposure of the public, personnel, and property to hazards and unsafe conditions;</w:t>
      </w:r>
    </w:p>
    <w:p w:rsidRPr="00A66850" w:rsidR="005B0E66" w:rsidP="005B0E66" w:rsidRDefault="005B0E66" w14:paraId="02CE5EB0" w14:textId="77777777">
      <w:pPr>
        <w:pStyle w:val="NoSpacing"/>
        <w:rPr>
          <w:rFonts w:ascii="Times New Roman" w:hAnsi="Times New Roman" w:cs="Times New Roman"/>
          <w:sz w:val="24"/>
          <w:szCs w:val="24"/>
        </w:rPr>
      </w:pPr>
    </w:p>
    <w:p w:rsidR="004A6632" w:rsidP="00A66850" w:rsidRDefault="004A6632" w14:paraId="42133D16" w14:textId="77777777">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A process and timeline for conducting an annual review and update of the plan;</w:t>
      </w:r>
    </w:p>
    <w:p w:rsidRPr="00A66850" w:rsidR="005B0E66" w:rsidP="005B0E66" w:rsidRDefault="005B0E66" w14:paraId="771B42D8" w14:textId="77777777">
      <w:pPr>
        <w:pStyle w:val="NoSpacing"/>
        <w:rPr>
          <w:rFonts w:ascii="Times New Roman" w:hAnsi="Times New Roman" w:cs="Times New Roman"/>
          <w:sz w:val="24"/>
          <w:szCs w:val="24"/>
        </w:rPr>
      </w:pPr>
    </w:p>
    <w:p w:rsidR="004A6632" w:rsidP="00A66850" w:rsidRDefault="004A6632" w14:paraId="6BE03EBE" w14:textId="37B96B65">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 xml:space="preserve">Performance targets based on the safety performance </w:t>
      </w:r>
      <w:r w:rsidR="00C47EAD">
        <w:rPr>
          <w:rFonts w:ascii="Times New Roman" w:hAnsi="Times New Roman" w:cs="Times New Roman"/>
          <w:sz w:val="24"/>
          <w:szCs w:val="24"/>
        </w:rPr>
        <w:t>measures established in FTA’s National Public Transportation Safety Plan</w:t>
      </w:r>
      <w:r w:rsidRPr="00A66850">
        <w:rPr>
          <w:rFonts w:ascii="Times New Roman" w:hAnsi="Times New Roman" w:cs="Times New Roman"/>
          <w:sz w:val="24"/>
          <w:szCs w:val="24"/>
        </w:rPr>
        <w:t>;</w:t>
      </w:r>
    </w:p>
    <w:p w:rsidRPr="00A66850" w:rsidR="005B0E66" w:rsidP="005B0E66" w:rsidRDefault="005B0E66" w14:paraId="14D3FCFB" w14:textId="77777777">
      <w:pPr>
        <w:pStyle w:val="NoSpacing"/>
        <w:rPr>
          <w:rFonts w:ascii="Times New Roman" w:hAnsi="Times New Roman" w:cs="Times New Roman"/>
          <w:sz w:val="24"/>
          <w:szCs w:val="24"/>
        </w:rPr>
      </w:pPr>
    </w:p>
    <w:p w:rsidR="004A6632" w:rsidP="00A66850" w:rsidRDefault="004A6632" w14:paraId="239CE9B3" w14:textId="77777777">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Assignment of an adequately trained safety officer who reports directly to the general manager, president, or equivalent officer; and</w:t>
      </w:r>
    </w:p>
    <w:p w:rsidRPr="00A66850" w:rsidR="005B0E66" w:rsidP="005B0E66" w:rsidRDefault="005B0E66" w14:paraId="55BE3A90" w14:textId="77777777">
      <w:pPr>
        <w:pStyle w:val="NoSpacing"/>
        <w:rPr>
          <w:rFonts w:ascii="Times New Roman" w:hAnsi="Times New Roman" w:cs="Times New Roman"/>
          <w:sz w:val="24"/>
          <w:szCs w:val="24"/>
        </w:rPr>
      </w:pPr>
    </w:p>
    <w:p w:rsidRPr="00A66850" w:rsidR="001D5EB7" w:rsidP="00A66850" w:rsidRDefault="001D5EB7" w14:paraId="7DD98B8A" w14:textId="77777777">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 xml:space="preserve">A comprehensive </w:t>
      </w:r>
      <w:r w:rsidR="00C47EAD">
        <w:rPr>
          <w:rFonts w:ascii="Times New Roman" w:hAnsi="Times New Roman" w:cs="Times New Roman"/>
          <w:sz w:val="24"/>
          <w:szCs w:val="24"/>
        </w:rPr>
        <w:t xml:space="preserve">safety </w:t>
      </w:r>
      <w:r w:rsidRPr="00A66850">
        <w:rPr>
          <w:rFonts w:ascii="Times New Roman" w:hAnsi="Times New Roman" w:cs="Times New Roman"/>
          <w:sz w:val="24"/>
          <w:szCs w:val="24"/>
        </w:rPr>
        <w:t>training program for operations personnel and personnel directly responsible for safety that includes the completion of a safety training program and continuing safety education and training.</w:t>
      </w:r>
    </w:p>
    <w:p w:rsidRPr="00A66850" w:rsidR="004A6632" w:rsidP="00A66850" w:rsidRDefault="004A6632" w14:paraId="1DCB162F" w14:textId="77777777">
      <w:pPr>
        <w:pStyle w:val="NoSpacing"/>
        <w:rPr>
          <w:rFonts w:ascii="Times New Roman" w:hAnsi="Times New Roman" w:cs="Times New Roman"/>
          <w:sz w:val="24"/>
          <w:szCs w:val="24"/>
        </w:rPr>
      </w:pPr>
    </w:p>
    <w:p w:rsidRPr="00A66850" w:rsidR="00B65FAC" w:rsidP="00A66850" w:rsidRDefault="00B65FAC" w14:paraId="131ED607" w14:textId="60120B61">
      <w:pPr>
        <w:tabs>
          <w:tab w:val="left" w:pos="1440"/>
        </w:tabs>
        <w:spacing w:after="0" w:line="240" w:lineRule="auto"/>
        <w:rPr>
          <w:rFonts w:ascii="Times New Roman" w:hAnsi="Times New Roman" w:eastAsia="Calibri" w:cs="Times New Roman"/>
          <w:sz w:val="24"/>
          <w:szCs w:val="24"/>
        </w:rPr>
      </w:pPr>
      <w:r w:rsidRPr="00A66850">
        <w:rPr>
          <w:rFonts w:ascii="Times New Roman" w:hAnsi="Times New Roman" w:eastAsia="Calibri" w:cs="Times New Roman"/>
          <w:sz w:val="24"/>
          <w:szCs w:val="24"/>
        </w:rPr>
        <w:t xml:space="preserve">Pursuant to 49 </w:t>
      </w:r>
      <w:r w:rsidRPr="00A66850" w:rsidR="00AA319F">
        <w:rPr>
          <w:rFonts w:ascii="Times New Roman" w:hAnsi="Times New Roman" w:eastAsia="Calibri" w:cs="Times New Roman"/>
          <w:sz w:val="24"/>
          <w:szCs w:val="24"/>
        </w:rPr>
        <w:t>CFR</w:t>
      </w:r>
      <w:r w:rsidRPr="00A66850">
        <w:rPr>
          <w:rFonts w:ascii="Times New Roman" w:hAnsi="Times New Roman" w:eastAsia="Calibri" w:cs="Times New Roman"/>
          <w:sz w:val="24"/>
          <w:szCs w:val="24"/>
        </w:rPr>
        <w:t xml:space="preserve"> §</w:t>
      </w:r>
      <w:r w:rsidRPr="00A66850" w:rsidR="00AA319F">
        <w:rPr>
          <w:rFonts w:ascii="Times New Roman" w:hAnsi="Times New Roman" w:eastAsia="Calibri" w:cs="Times New Roman"/>
          <w:sz w:val="24"/>
          <w:szCs w:val="24"/>
        </w:rPr>
        <w:t xml:space="preserve"> 673</w:t>
      </w:r>
      <w:r w:rsidRPr="00A66850">
        <w:rPr>
          <w:rFonts w:ascii="Times New Roman" w:hAnsi="Times New Roman" w:eastAsia="Calibri" w:cs="Times New Roman"/>
          <w:sz w:val="24"/>
          <w:szCs w:val="24"/>
        </w:rPr>
        <w:t xml:space="preserve">.11, </w:t>
      </w:r>
      <w:r w:rsidR="003B0DBC">
        <w:rPr>
          <w:rFonts w:ascii="Times New Roman" w:hAnsi="Times New Roman" w:eastAsia="Calibri" w:cs="Times New Roman"/>
          <w:sz w:val="24"/>
          <w:szCs w:val="24"/>
        </w:rPr>
        <w:t>each operator of a public transportation system must</w:t>
      </w:r>
      <w:r w:rsidRPr="00A66850" w:rsidR="00AA319F">
        <w:rPr>
          <w:rFonts w:ascii="Times New Roman" w:hAnsi="Times New Roman" w:eastAsia="Calibri" w:cs="Times New Roman"/>
          <w:sz w:val="24"/>
          <w:szCs w:val="24"/>
        </w:rPr>
        <w:t xml:space="preserve"> establish a Public Transportation Agency Safety Plan that meets the requirements of </w:t>
      </w:r>
      <w:r w:rsidR="003B0DBC">
        <w:rPr>
          <w:rFonts w:ascii="Times New Roman" w:hAnsi="Times New Roman" w:eastAsia="Calibri" w:cs="Times New Roman"/>
          <w:sz w:val="24"/>
          <w:szCs w:val="24"/>
        </w:rPr>
        <w:t xml:space="preserve">49 CFR </w:t>
      </w:r>
      <w:r w:rsidRPr="00A66850">
        <w:rPr>
          <w:rFonts w:ascii="Times New Roman" w:hAnsi="Times New Roman" w:eastAsia="Calibri" w:cs="Times New Roman"/>
          <w:sz w:val="24"/>
          <w:szCs w:val="24"/>
        </w:rPr>
        <w:t>P</w:t>
      </w:r>
      <w:r w:rsidRPr="00A66850" w:rsidR="00AA319F">
        <w:rPr>
          <w:rFonts w:ascii="Times New Roman" w:hAnsi="Times New Roman" w:eastAsia="Calibri" w:cs="Times New Roman"/>
          <w:sz w:val="24"/>
          <w:szCs w:val="24"/>
        </w:rPr>
        <w:t xml:space="preserve">art </w:t>
      </w:r>
      <w:r w:rsidRPr="00A66850">
        <w:rPr>
          <w:rFonts w:ascii="Times New Roman" w:hAnsi="Times New Roman" w:eastAsia="Calibri" w:cs="Times New Roman"/>
          <w:sz w:val="24"/>
          <w:szCs w:val="24"/>
        </w:rPr>
        <w:t xml:space="preserve">673 </w:t>
      </w:r>
      <w:r w:rsidRPr="00A66850" w:rsidR="00AA319F">
        <w:rPr>
          <w:rFonts w:ascii="Times New Roman" w:hAnsi="Times New Roman" w:eastAsia="Calibri" w:cs="Times New Roman"/>
          <w:sz w:val="24"/>
          <w:szCs w:val="24"/>
        </w:rPr>
        <w:t xml:space="preserve">and, at a minimum, </w:t>
      </w:r>
      <w:r w:rsidR="00405A23">
        <w:rPr>
          <w:rFonts w:ascii="Times New Roman" w:hAnsi="Times New Roman" w:eastAsia="Calibri" w:cs="Times New Roman"/>
          <w:sz w:val="24"/>
          <w:szCs w:val="24"/>
        </w:rPr>
        <w:t>includes</w:t>
      </w:r>
      <w:r w:rsidRPr="00A66850" w:rsidR="00AA319F">
        <w:rPr>
          <w:rFonts w:ascii="Times New Roman" w:hAnsi="Times New Roman" w:eastAsia="Calibri" w:cs="Times New Roman"/>
          <w:sz w:val="24"/>
          <w:szCs w:val="24"/>
        </w:rPr>
        <w:t xml:space="preserve"> the following elements:</w:t>
      </w:r>
    </w:p>
    <w:p w:rsidRPr="00A66850" w:rsidR="00B65FAC" w:rsidP="00A66850" w:rsidRDefault="00B65FAC" w14:paraId="210592ED" w14:textId="77777777">
      <w:pPr>
        <w:tabs>
          <w:tab w:val="left" w:pos="1440"/>
        </w:tabs>
        <w:spacing w:after="0" w:line="240" w:lineRule="auto"/>
        <w:rPr>
          <w:rFonts w:ascii="Times New Roman" w:hAnsi="Times New Roman" w:eastAsia="Calibri" w:cs="Times New Roman"/>
          <w:sz w:val="24"/>
          <w:szCs w:val="24"/>
        </w:rPr>
      </w:pPr>
    </w:p>
    <w:p w:rsidR="00B65FAC" w:rsidP="00A66850" w:rsidRDefault="00AA319F" w14:paraId="6DE25367" w14:textId="77777777">
      <w:pPr>
        <w:pStyle w:val="ListParagraph"/>
        <w:numPr>
          <w:ilvl w:val="0"/>
          <w:numId w:val="33"/>
        </w:numPr>
        <w:tabs>
          <w:tab w:val="left" w:pos="1440"/>
        </w:tabs>
        <w:spacing w:after="0" w:line="240" w:lineRule="auto"/>
        <w:ind w:hanging="720"/>
        <w:contextualSpacing w:val="0"/>
        <w:rPr>
          <w:rFonts w:ascii="Times New Roman" w:hAnsi="Times New Roman" w:eastAsia="Calibri" w:cs="Times New Roman"/>
          <w:sz w:val="24"/>
          <w:szCs w:val="24"/>
        </w:rPr>
      </w:pPr>
      <w:r w:rsidRPr="00A66850">
        <w:rPr>
          <w:rFonts w:ascii="Times New Roman" w:hAnsi="Times New Roman" w:eastAsia="Calibri" w:cs="Times New Roman"/>
          <w:sz w:val="24"/>
          <w:szCs w:val="24"/>
        </w:rPr>
        <w:t xml:space="preserve">The Public Transportation Agency Safety Plan, and subsequent updates, </w:t>
      </w:r>
      <w:r w:rsidRPr="00A66850" w:rsidR="00136A4F">
        <w:rPr>
          <w:rFonts w:ascii="Times New Roman" w:hAnsi="Times New Roman" w:eastAsia="Calibri" w:cs="Times New Roman"/>
          <w:sz w:val="24"/>
          <w:szCs w:val="24"/>
        </w:rPr>
        <w:t>must</w:t>
      </w:r>
      <w:r w:rsidRPr="00A66850">
        <w:rPr>
          <w:rFonts w:ascii="Times New Roman" w:hAnsi="Times New Roman" w:eastAsia="Calibri" w:cs="Times New Roman"/>
          <w:sz w:val="24"/>
          <w:szCs w:val="24"/>
        </w:rPr>
        <w:t xml:space="preserve"> be signed by the Accountable Executive and approved by the agency’s Board o</w:t>
      </w:r>
      <w:r w:rsidR="00FF0369">
        <w:rPr>
          <w:rFonts w:ascii="Times New Roman" w:hAnsi="Times New Roman" w:eastAsia="Calibri" w:cs="Times New Roman"/>
          <w:sz w:val="24"/>
          <w:szCs w:val="24"/>
        </w:rPr>
        <w:t>f Directors, or an Equivalent Authority</w:t>
      </w:r>
      <w:r w:rsidRPr="00A66850" w:rsidR="00B65FAC">
        <w:rPr>
          <w:rFonts w:ascii="Times New Roman" w:hAnsi="Times New Roman" w:eastAsia="Calibri" w:cs="Times New Roman"/>
          <w:sz w:val="24"/>
          <w:szCs w:val="24"/>
        </w:rPr>
        <w:t>;</w:t>
      </w:r>
    </w:p>
    <w:p w:rsidRPr="005B0E66" w:rsidR="005B0E66" w:rsidP="005B0E66" w:rsidRDefault="005B0E66" w14:paraId="1EA6974C" w14:textId="77777777">
      <w:pPr>
        <w:tabs>
          <w:tab w:val="left" w:pos="1440"/>
        </w:tabs>
        <w:spacing w:after="0" w:line="240" w:lineRule="auto"/>
        <w:rPr>
          <w:rFonts w:ascii="Times New Roman" w:hAnsi="Times New Roman" w:eastAsia="Calibri" w:cs="Times New Roman"/>
          <w:sz w:val="24"/>
          <w:szCs w:val="24"/>
        </w:rPr>
      </w:pPr>
    </w:p>
    <w:p w:rsidR="00B65FAC" w:rsidP="00A66850" w:rsidRDefault="00AA319F" w14:paraId="78070244" w14:textId="74BC5E7A">
      <w:pPr>
        <w:pStyle w:val="ListParagraph"/>
        <w:numPr>
          <w:ilvl w:val="0"/>
          <w:numId w:val="32"/>
        </w:numPr>
        <w:tabs>
          <w:tab w:val="left" w:pos="1440"/>
        </w:tabs>
        <w:spacing w:after="0" w:line="240" w:lineRule="auto"/>
        <w:ind w:hanging="720"/>
        <w:contextualSpacing w:val="0"/>
        <w:rPr>
          <w:rFonts w:ascii="Times New Roman" w:hAnsi="Times New Roman" w:eastAsia="Calibri" w:cs="Times New Roman"/>
          <w:sz w:val="24"/>
          <w:szCs w:val="24"/>
        </w:rPr>
      </w:pPr>
      <w:r w:rsidRPr="00A66850">
        <w:rPr>
          <w:rFonts w:ascii="Times New Roman" w:hAnsi="Times New Roman" w:eastAsia="Calibri" w:cs="Times New Roman"/>
          <w:sz w:val="24"/>
          <w:szCs w:val="24"/>
        </w:rPr>
        <w:t xml:space="preserve">The Public Transportation Agency Safety Plan </w:t>
      </w:r>
      <w:r w:rsidRPr="00A66850" w:rsidR="00136A4F">
        <w:rPr>
          <w:rFonts w:ascii="Times New Roman" w:hAnsi="Times New Roman" w:eastAsia="Calibri" w:cs="Times New Roman"/>
          <w:sz w:val="24"/>
          <w:szCs w:val="24"/>
        </w:rPr>
        <w:t>must</w:t>
      </w:r>
      <w:r w:rsidRPr="00A66850">
        <w:rPr>
          <w:rFonts w:ascii="Times New Roman" w:hAnsi="Times New Roman" w:eastAsia="Calibri" w:cs="Times New Roman"/>
          <w:sz w:val="24"/>
          <w:szCs w:val="24"/>
        </w:rPr>
        <w:t xml:space="preserve"> document the processes related to </w:t>
      </w:r>
      <w:r w:rsidR="00DA730E">
        <w:rPr>
          <w:rFonts w:ascii="Times New Roman" w:hAnsi="Times New Roman" w:eastAsia="Calibri" w:cs="Times New Roman"/>
          <w:sz w:val="24"/>
          <w:szCs w:val="24"/>
        </w:rPr>
        <w:t xml:space="preserve">the transit agency’s </w:t>
      </w:r>
      <w:r w:rsidRPr="00A66850">
        <w:rPr>
          <w:rFonts w:ascii="Times New Roman" w:hAnsi="Times New Roman" w:eastAsia="Calibri" w:cs="Times New Roman"/>
          <w:sz w:val="24"/>
          <w:szCs w:val="24"/>
        </w:rPr>
        <w:t>SMS</w:t>
      </w:r>
      <w:r w:rsidR="00DA730E">
        <w:rPr>
          <w:rFonts w:ascii="Times New Roman" w:hAnsi="Times New Roman" w:eastAsia="Calibri" w:cs="Times New Roman"/>
          <w:sz w:val="24"/>
          <w:szCs w:val="24"/>
        </w:rPr>
        <w:t xml:space="preserve">, including its </w:t>
      </w:r>
      <w:r w:rsidRPr="00A66850" w:rsidR="00136A4F">
        <w:rPr>
          <w:rFonts w:ascii="Times New Roman" w:hAnsi="Times New Roman" w:eastAsia="Calibri" w:cs="Times New Roman"/>
          <w:sz w:val="24"/>
          <w:szCs w:val="24"/>
        </w:rPr>
        <w:t xml:space="preserve">four </w:t>
      </w:r>
      <w:r w:rsidR="006463F6">
        <w:rPr>
          <w:rFonts w:ascii="Times New Roman" w:hAnsi="Times New Roman" w:eastAsia="Calibri" w:cs="Times New Roman"/>
          <w:sz w:val="24"/>
          <w:szCs w:val="24"/>
        </w:rPr>
        <w:t>components</w:t>
      </w:r>
      <w:r w:rsidRPr="00A66850" w:rsidR="00DB5151">
        <w:rPr>
          <w:rFonts w:ascii="Times New Roman" w:hAnsi="Times New Roman" w:eastAsia="Calibri" w:cs="Times New Roman"/>
          <w:sz w:val="24"/>
          <w:szCs w:val="24"/>
        </w:rPr>
        <w:t>: (</w:t>
      </w:r>
      <w:r w:rsidRPr="00A66850" w:rsidR="00136A4F">
        <w:rPr>
          <w:rFonts w:ascii="Times New Roman" w:hAnsi="Times New Roman" w:eastAsia="Calibri" w:cs="Times New Roman"/>
          <w:sz w:val="24"/>
          <w:szCs w:val="24"/>
        </w:rPr>
        <w:t>1) Safety Management Policy; (2) Safety Risk Management; (3) Safety Assurance, and (4) Safety Promotion</w:t>
      </w:r>
      <w:r w:rsidRPr="00A66850" w:rsidR="00B65FAC">
        <w:rPr>
          <w:rFonts w:ascii="Times New Roman" w:hAnsi="Times New Roman" w:eastAsia="Calibri" w:cs="Times New Roman"/>
          <w:sz w:val="24"/>
          <w:szCs w:val="24"/>
        </w:rPr>
        <w:t>;</w:t>
      </w:r>
    </w:p>
    <w:p w:rsidRPr="005B0E66" w:rsidR="005B0E66" w:rsidP="005B0E66" w:rsidRDefault="005B0E66" w14:paraId="3FEEEBBB" w14:textId="77777777">
      <w:pPr>
        <w:tabs>
          <w:tab w:val="left" w:pos="1440"/>
        </w:tabs>
        <w:spacing w:after="0" w:line="240" w:lineRule="auto"/>
        <w:rPr>
          <w:rFonts w:ascii="Times New Roman" w:hAnsi="Times New Roman" w:eastAsia="Calibri" w:cs="Times New Roman"/>
          <w:sz w:val="24"/>
          <w:szCs w:val="24"/>
        </w:rPr>
      </w:pPr>
    </w:p>
    <w:p w:rsidR="00B65FAC" w:rsidP="00A66850" w:rsidRDefault="00AA319F" w14:paraId="4BD636AE" w14:textId="32666C8E">
      <w:pPr>
        <w:pStyle w:val="ListParagraph"/>
        <w:numPr>
          <w:ilvl w:val="0"/>
          <w:numId w:val="32"/>
        </w:numPr>
        <w:tabs>
          <w:tab w:val="left" w:pos="1440"/>
        </w:tabs>
        <w:spacing w:after="0" w:line="240" w:lineRule="auto"/>
        <w:ind w:hanging="720"/>
        <w:contextualSpacing w:val="0"/>
        <w:rPr>
          <w:rFonts w:ascii="Times New Roman" w:hAnsi="Times New Roman" w:eastAsia="Calibri" w:cs="Times New Roman"/>
          <w:sz w:val="24"/>
          <w:szCs w:val="24"/>
        </w:rPr>
      </w:pPr>
      <w:r w:rsidRPr="00A66850">
        <w:rPr>
          <w:rFonts w:ascii="Times New Roman" w:hAnsi="Times New Roman" w:eastAsia="Calibri" w:cs="Times New Roman"/>
          <w:sz w:val="24"/>
          <w:szCs w:val="24"/>
        </w:rPr>
        <w:t xml:space="preserve">The Public Transportation Agency Safety Plan </w:t>
      </w:r>
      <w:r w:rsidRPr="00A66850" w:rsidR="00136A4F">
        <w:rPr>
          <w:rFonts w:ascii="Times New Roman" w:hAnsi="Times New Roman" w:eastAsia="Calibri" w:cs="Times New Roman"/>
          <w:sz w:val="24"/>
          <w:szCs w:val="24"/>
        </w:rPr>
        <w:t xml:space="preserve">must </w:t>
      </w:r>
      <w:r w:rsidRPr="00A66850">
        <w:rPr>
          <w:rFonts w:ascii="Times New Roman" w:hAnsi="Times New Roman" w:eastAsia="Calibri" w:cs="Times New Roman"/>
          <w:sz w:val="24"/>
          <w:szCs w:val="24"/>
        </w:rPr>
        <w:t xml:space="preserve">include </w:t>
      </w:r>
      <w:r w:rsidR="00DA730E">
        <w:rPr>
          <w:rFonts w:ascii="Times New Roman" w:hAnsi="Times New Roman" w:eastAsia="Calibri" w:cs="Times New Roman"/>
          <w:sz w:val="24"/>
          <w:szCs w:val="24"/>
        </w:rPr>
        <w:t xml:space="preserve">safety </w:t>
      </w:r>
      <w:r w:rsidRPr="00A66850">
        <w:rPr>
          <w:rFonts w:ascii="Times New Roman" w:hAnsi="Times New Roman" w:eastAsia="Calibri" w:cs="Times New Roman"/>
          <w:sz w:val="24"/>
          <w:szCs w:val="24"/>
        </w:rPr>
        <w:t xml:space="preserve">performance targets based on the safety performance </w:t>
      </w:r>
      <w:r w:rsidR="00DA730E">
        <w:rPr>
          <w:rFonts w:ascii="Times New Roman" w:hAnsi="Times New Roman" w:eastAsia="Calibri" w:cs="Times New Roman"/>
          <w:sz w:val="24"/>
          <w:szCs w:val="24"/>
        </w:rPr>
        <w:t xml:space="preserve">measures </w:t>
      </w:r>
      <w:r w:rsidRPr="00A66850">
        <w:rPr>
          <w:rFonts w:ascii="Times New Roman" w:hAnsi="Times New Roman" w:eastAsia="Calibri" w:cs="Times New Roman"/>
          <w:sz w:val="24"/>
          <w:szCs w:val="24"/>
        </w:rPr>
        <w:t xml:space="preserve">established </w:t>
      </w:r>
      <w:r w:rsidR="00DA730E">
        <w:rPr>
          <w:rFonts w:ascii="Times New Roman" w:hAnsi="Times New Roman" w:eastAsia="Calibri" w:cs="Times New Roman"/>
          <w:sz w:val="24"/>
          <w:szCs w:val="24"/>
        </w:rPr>
        <w:t>in FTA’s</w:t>
      </w:r>
      <w:r w:rsidRPr="00A66850">
        <w:rPr>
          <w:rFonts w:ascii="Times New Roman" w:hAnsi="Times New Roman" w:eastAsia="Calibri" w:cs="Times New Roman"/>
          <w:sz w:val="24"/>
          <w:szCs w:val="24"/>
        </w:rPr>
        <w:t xml:space="preserve"> National Public Transportation Safety Plan</w:t>
      </w:r>
      <w:r w:rsidRPr="00A66850" w:rsidR="00B65FAC">
        <w:rPr>
          <w:rFonts w:ascii="Times New Roman" w:hAnsi="Times New Roman" w:eastAsia="Calibri" w:cs="Times New Roman"/>
          <w:sz w:val="24"/>
          <w:szCs w:val="24"/>
        </w:rPr>
        <w:t>;</w:t>
      </w:r>
    </w:p>
    <w:p w:rsidRPr="005B0E66" w:rsidR="005B0E66" w:rsidP="005B0E66" w:rsidRDefault="005B0E66" w14:paraId="73FC9191" w14:textId="77777777">
      <w:pPr>
        <w:tabs>
          <w:tab w:val="left" w:pos="1440"/>
        </w:tabs>
        <w:spacing w:after="0" w:line="240" w:lineRule="auto"/>
        <w:rPr>
          <w:rFonts w:ascii="Times New Roman" w:hAnsi="Times New Roman" w:eastAsia="Calibri" w:cs="Times New Roman"/>
          <w:sz w:val="24"/>
          <w:szCs w:val="24"/>
        </w:rPr>
      </w:pPr>
    </w:p>
    <w:p w:rsidRPr="00A66850" w:rsidR="00B65FAC" w:rsidP="00A66850" w:rsidRDefault="00AA319F" w14:paraId="3B695825" w14:textId="77777777">
      <w:pPr>
        <w:pStyle w:val="ListParagraph"/>
        <w:numPr>
          <w:ilvl w:val="0"/>
          <w:numId w:val="32"/>
        </w:numPr>
        <w:tabs>
          <w:tab w:val="left" w:pos="1440"/>
        </w:tabs>
        <w:spacing w:after="0" w:line="240" w:lineRule="auto"/>
        <w:ind w:hanging="720"/>
        <w:contextualSpacing w:val="0"/>
        <w:rPr>
          <w:rFonts w:ascii="Times New Roman" w:hAnsi="Times New Roman" w:eastAsia="Calibri" w:cs="Times New Roman"/>
          <w:sz w:val="24"/>
          <w:szCs w:val="24"/>
        </w:rPr>
      </w:pPr>
      <w:r w:rsidRPr="00A66850">
        <w:rPr>
          <w:rFonts w:ascii="Times New Roman" w:hAnsi="Times New Roman" w:eastAsia="Calibri" w:cs="Times New Roman"/>
          <w:sz w:val="24"/>
          <w:szCs w:val="24"/>
        </w:rPr>
        <w:t xml:space="preserve">The Public Transportation Agency Safety Plan </w:t>
      </w:r>
      <w:r w:rsidRPr="00A66850" w:rsidR="00136A4F">
        <w:rPr>
          <w:rFonts w:ascii="Times New Roman" w:hAnsi="Times New Roman" w:eastAsia="Calibri" w:cs="Times New Roman"/>
          <w:sz w:val="24"/>
          <w:szCs w:val="24"/>
        </w:rPr>
        <w:t xml:space="preserve">must </w:t>
      </w:r>
      <w:r w:rsidRPr="00A66850">
        <w:rPr>
          <w:rFonts w:ascii="Times New Roman" w:hAnsi="Times New Roman" w:eastAsia="Calibri" w:cs="Times New Roman"/>
          <w:sz w:val="24"/>
          <w:szCs w:val="24"/>
        </w:rPr>
        <w:t>address all applicable requirements and standards as set forth in FTA’s Public Transportation Safety Program and the National Public Transportation Safety Plan</w:t>
      </w:r>
      <w:r w:rsidRPr="00A66850" w:rsidR="00B65FAC">
        <w:rPr>
          <w:rFonts w:ascii="Times New Roman" w:hAnsi="Times New Roman" w:eastAsia="Calibri" w:cs="Times New Roman"/>
          <w:sz w:val="24"/>
          <w:szCs w:val="24"/>
        </w:rPr>
        <w:t>;</w:t>
      </w:r>
    </w:p>
    <w:p w:rsidRPr="005B0E66" w:rsidR="005B0E66" w:rsidP="005B0E66" w:rsidRDefault="005B0E66" w14:paraId="53674FA5" w14:textId="77777777">
      <w:pPr>
        <w:tabs>
          <w:tab w:val="left" w:pos="1440"/>
        </w:tabs>
        <w:spacing w:after="0" w:line="240" w:lineRule="auto"/>
        <w:rPr>
          <w:rFonts w:ascii="Times New Roman" w:hAnsi="Times New Roman" w:eastAsia="Calibri" w:cs="Times New Roman"/>
          <w:sz w:val="24"/>
          <w:szCs w:val="24"/>
        </w:rPr>
      </w:pPr>
    </w:p>
    <w:p w:rsidRPr="00A66850" w:rsidR="00B65FAC" w:rsidP="00A66850" w:rsidRDefault="00AA319F" w14:paraId="3D673C5E" w14:textId="77777777">
      <w:pPr>
        <w:pStyle w:val="ListParagraph"/>
        <w:numPr>
          <w:ilvl w:val="0"/>
          <w:numId w:val="32"/>
        </w:numPr>
        <w:tabs>
          <w:tab w:val="left" w:pos="1440"/>
        </w:tabs>
        <w:spacing w:after="0" w:line="240" w:lineRule="auto"/>
        <w:ind w:hanging="720"/>
        <w:contextualSpacing w:val="0"/>
        <w:rPr>
          <w:rFonts w:ascii="Times New Roman" w:hAnsi="Times New Roman" w:eastAsia="Calibri" w:cs="Times New Roman"/>
          <w:sz w:val="24"/>
          <w:szCs w:val="24"/>
        </w:rPr>
      </w:pPr>
      <w:r w:rsidRPr="00A66850">
        <w:rPr>
          <w:rFonts w:ascii="Times New Roman" w:hAnsi="Times New Roman" w:eastAsia="Calibri" w:cs="Times New Roman"/>
          <w:sz w:val="24"/>
          <w:szCs w:val="24"/>
        </w:rPr>
        <w:t xml:space="preserve">Each transit agency </w:t>
      </w:r>
      <w:r w:rsidRPr="00A66850" w:rsidR="00136A4F">
        <w:rPr>
          <w:rFonts w:ascii="Times New Roman" w:hAnsi="Times New Roman" w:eastAsia="Calibri" w:cs="Times New Roman"/>
          <w:sz w:val="24"/>
          <w:szCs w:val="24"/>
        </w:rPr>
        <w:t xml:space="preserve">must </w:t>
      </w:r>
      <w:r w:rsidRPr="00A66850">
        <w:rPr>
          <w:rFonts w:ascii="Times New Roman" w:hAnsi="Times New Roman" w:eastAsia="Calibri" w:cs="Times New Roman"/>
          <w:sz w:val="24"/>
          <w:szCs w:val="24"/>
        </w:rPr>
        <w:t xml:space="preserve">establish a process and timeline for conducting an annual review and update of </w:t>
      </w:r>
      <w:r w:rsidR="00DA730E">
        <w:rPr>
          <w:rFonts w:ascii="Times New Roman" w:hAnsi="Times New Roman" w:eastAsia="Calibri" w:cs="Times New Roman"/>
          <w:sz w:val="24"/>
          <w:szCs w:val="24"/>
        </w:rPr>
        <w:t>its</w:t>
      </w:r>
      <w:r w:rsidRPr="00A66850">
        <w:rPr>
          <w:rFonts w:ascii="Times New Roman" w:hAnsi="Times New Roman" w:eastAsia="Calibri" w:cs="Times New Roman"/>
          <w:sz w:val="24"/>
          <w:szCs w:val="24"/>
        </w:rPr>
        <w:t xml:space="preserve"> Public Transportation Agency Safety Plan</w:t>
      </w:r>
      <w:r w:rsidRPr="00A66850" w:rsidR="00B65FAC">
        <w:rPr>
          <w:rFonts w:ascii="Times New Roman" w:hAnsi="Times New Roman" w:eastAsia="Calibri" w:cs="Times New Roman"/>
          <w:sz w:val="24"/>
          <w:szCs w:val="24"/>
        </w:rPr>
        <w:t>; and</w:t>
      </w:r>
    </w:p>
    <w:p w:rsidRPr="005B0E66" w:rsidR="005B0E66" w:rsidP="005B0E66" w:rsidRDefault="005B0E66" w14:paraId="3C83AA4E" w14:textId="77777777">
      <w:pPr>
        <w:tabs>
          <w:tab w:val="left" w:pos="1440"/>
        </w:tabs>
        <w:spacing w:after="0" w:line="240" w:lineRule="auto"/>
        <w:rPr>
          <w:rFonts w:ascii="Times New Roman" w:hAnsi="Times New Roman" w:eastAsia="Calibri" w:cs="Times New Roman"/>
          <w:sz w:val="24"/>
          <w:szCs w:val="24"/>
        </w:rPr>
      </w:pPr>
    </w:p>
    <w:p w:rsidRPr="00A66850" w:rsidR="00AA319F" w:rsidP="00A66850" w:rsidRDefault="00AA319F" w14:paraId="2229491B" w14:textId="77777777">
      <w:pPr>
        <w:pStyle w:val="ListParagraph"/>
        <w:numPr>
          <w:ilvl w:val="0"/>
          <w:numId w:val="32"/>
        </w:numPr>
        <w:tabs>
          <w:tab w:val="left" w:pos="1440"/>
        </w:tabs>
        <w:spacing w:after="0" w:line="240" w:lineRule="auto"/>
        <w:ind w:hanging="720"/>
        <w:contextualSpacing w:val="0"/>
        <w:rPr>
          <w:rFonts w:ascii="Times New Roman" w:hAnsi="Times New Roman" w:eastAsia="Calibri" w:cs="Times New Roman"/>
          <w:sz w:val="24"/>
          <w:szCs w:val="24"/>
        </w:rPr>
      </w:pPr>
      <w:r w:rsidRPr="00A66850">
        <w:rPr>
          <w:rFonts w:ascii="Times New Roman" w:hAnsi="Times New Roman" w:eastAsia="Calibri" w:cs="Times New Roman"/>
          <w:sz w:val="24"/>
          <w:szCs w:val="24"/>
        </w:rPr>
        <w:t xml:space="preserve">A rail transit agency </w:t>
      </w:r>
      <w:r w:rsidRPr="00A66850" w:rsidR="00136A4F">
        <w:rPr>
          <w:rFonts w:ascii="Times New Roman" w:hAnsi="Times New Roman" w:eastAsia="Calibri" w:cs="Times New Roman"/>
          <w:sz w:val="24"/>
          <w:szCs w:val="24"/>
        </w:rPr>
        <w:t xml:space="preserve">must </w:t>
      </w:r>
      <w:r w:rsidRPr="00A66850">
        <w:rPr>
          <w:rFonts w:ascii="Times New Roman" w:hAnsi="Times New Roman" w:eastAsia="Calibri" w:cs="Times New Roman"/>
          <w:sz w:val="24"/>
          <w:szCs w:val="24"/>
        </w:rPr>
        <w:t xml:space="preserve">include </w:t>
      </w:r>
      <w:r w:rsidR="00554822">
        <w:rPr>
          <w:rFonts w:ascii="Times New Roman" w:hAnsi="Times New Roman" w:eastAsia="Calibri" w:cs="Times New Roman"/>
          <w:sz w:val="24"/>
          <w:szCs w:val="24"/>
        </w:rPr>
        <w:t xml:space="preserve">or incorporate by reference </w:t>
      </w:r>
      <w:r w:rsidRPr="00A66850">
        <w:rPr>
          <w:rFonts w:ascii="Times New Roman" w:hAnsi="Times New Roman" w:eastAsia="Calibri" w:cs="Times New Roman"/>
          <w:sz w:val="24"/>
          <w:szCs w:val="24"/>
        </w:rPr>
        <w:t xml:space="preserve">in its Public Transportation Agency Safety Plan an emergency preparedness and response plan </w:t>
      </w:r>
      <w:r w:rsidRPr="00A66850">
        <w:rPr>
          <w:rFonts w:ascii="Times New Roman" w:hAnsi="Times New Roman" w:eastAsia="Calibri" w:cs="Times New Roman"/>
          <w:sz w:val="24"/>
          <w:szCs w:val="24"/>
        </w:rPr>
        <w:lastRenderedPageBreak/>
        <w:t>or procedures that addresses, at a minimum, the assignment of employee responsibilities during an emergency and coordination with Federal, State, regional, and local officials with roles and responsibilities for emergency preparedness and response in the transit agency’s service area.</w:t>
      </w:r>
    </w:p>
    <w:p w:rsidRPr="00A66850" w:rsidR="00AA319F" w:rsidP="00A66850" w:rsidRDefault="00AA319F" w14:paraId="24E65153" w14:textId="77777777">
      <w:pPr>
        <w:pStyle w:val="NoSpacing"/>
        <w:rPr>
          <w:rFonts w:ascii="Times New Roman" w:hAnsi="Times New Roman" w:cs="Times New Roman"/>
          <w:sz w:val="24"/>
          <w:szCs w:val="24"/>
        </w:rPr>
      </w:pPr>
    </w:p>
    <w:p w:rsidR="00E40CE3" w:rsidP="00A66850" w:rsidRDefault="00136A4F" w14:paraId="32CA9FB1" w14:textId="5F99DC18">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As noted above, </w:t>
      </w:r>
      <w:r w:rsidRPr="00A66850" w:rsidR="005B7453">
        <w:rPr>
          <w:rFonts w:ascii="Times New Roman" w:hAnsi="Times New Roman" w:cs="Times New Roman"/>
          <w:sz w:val="24"/>
          <w:szCs w:val="24"/>
        </w:rPr>
        <w:t>e</w:t>
      </w:r>
      <w:r w:rsidRPr="00A66850" w:rsidR="003607BE">
        <w:rPr>
          <w:rFonts w:ascii="Times New Roman" w:hAnsi="Times New Roman" w:cs="Times New Roman"/>
          <w:sz w:val="24"/>
          <w:szCs w:val="24"/>
        </w:rPr>
        <w:t xml:space="preserve">ach </w:t>
      </w:r>
      <w:r w:rsidRPr="00A66850">
        <w:rPr>
          <w:rFonts w:ascii="Times New Roman" w:hAnsi="Times New Roman" w:cs="Times New Roman"/>
          <w:sz w:val="24"/>
          <w:szCs w:val="24"/>
        </w:rPr>
        <w:t xml:space="preserve">transit </w:t>
      </w:r>
      <w:r w:rsidRPr="00A66850" w:rsidR="003607BE">
        <w:rPr>
          <w:rFonts w:ascii="Times New Roman" w:hAnsi="Times New Roman" w:cs="Times New Roman"/>
          <w:sz w:val="24"/>
          <w:szCs w:val="24"/>
        </w:rPr>
        <w:t xml:space="preserve">agency’s </w:t>
      </w:r>
      <w:r w:rsidR="001276FE">
        <w:rPr>
          <w:rFonts w:ascii="Times New Roman" w:hAnsi="Times New Roman" w:cs="Times New Roman"/>
          <w:sz w:val="24"/>
          <w:szCs w:val="24"/>
        </w:rPr>
        <w:t>ASP</w:t>
      </w:r>
      <w:r w:rsidRPr="00A66850" w:rsidR="003607BE">
        <w:rPr>
          <w:rFonts w:ascii="Times New Roman" w:hAnsi="Times New Roman" w:cs="Times New Roman"/>
          <w:sz w:val="24"/>
          <w:szCs w:val="24"/>
        </w:rPr>
        <w:t xml:space="preserve"> must </w:t>
      </w:r>
      <w:r w:rsidRPr="00A66850">
        <w:rPr>
          <w:rFonts w:ascii="Times New Roman" w:hAnsi="Times New Roman" w:cs="Times New Roman"/>
          <w:sz w:val="24"/>
          <w:szCs w:val="24"/>
        </w:rPr>
        <w:t xml:space="preserve">include </w:t>
      </w:r>
      <w:r w:rsidR="00E40CE3">
        <w:rPr>
          <w:rFonts w:ascii="Times New Roman" w:hAnsi="Times New Roman" w:cs="Times New Roman"/>
          <w:sz w:val="24"/>
          <w:szCs w:val="24"/>
        </w:rPr>
        <w:t xml:space="preserve">documented processes and procedures related to </w:t>
      </w:r>
      <w:r w:rsidRPr="00A66850">
        <w:rPr>
          <w:rFonts w:ascii="Times New Roman" w:hAnsi="Times New Roman" w:cs="Times New Roman"/>
          <w:sz w:val="24"/>
          <w:szCs w:val="24"/>
        </w:rPr>
        <w:t xml:space="preserve">the four </w:t>
      </w:r>
      <w:r w:rsidR="00D71A01">
        <w:rPr>
          <w:rFonts w:ascii="Times New Roman" w:hAnsi="Times New Roman" w:cs="Times New Roman"/>
          <w:sz w:val="24"/>
          <w:szCs w:val="24"/>
        </w:rPr>
        <w:t>components</w:t>
      </w:r>
      <w:r w:rsidRPr="00A66850">
        <w:rPr>
          <w:rFonts w:ascii="Times New Roman" w:hAnsi="Times New Roman" w:cs="Times New Roman"/>
          <w:sz w:val="24"/>
          <w:szCs w:val="24"/>
        </w:rPr>
        <w:t xml:space="preserve"> of SMS</w:t>
      </w:r>
      <w:r w:rsidRPr="00A66850" w:rsidR="00DB5151">
        <w:rPr>
          <w:rFonts w:ascii="Times New Roman" w:hAnsi="Times New Roman" w:cs="Times New Roman"/>
          <w:sz w:val="24"/>
          <w:szCs w:val="24"/>
        </w:rPr>
        <w:t>: (</w:t>
      </w:r>
      <w:r w:rsidRPr="00A66850">
        <w:rPr>
          <w:rFonts w:ascii="Times New Roman" w:hAnsi="Times New Roman" w:cs="Times New Roman"/>
          <w:sz w:val="24"/>
          <w:szCs w:val="24"/>
        </w:rPr>
        <w:t xml:space="preserve">1) </w:t>
      </w:r>
      <w:r w:rsidRPr="00A66850">
        <w:rPr>
          <w:rFonts w:ascii="Times New Roman" w:hAnsi="Times New Roman" w:eastAsia="Calibri" w:cs="Times New Roman"/>
          <w:sz w:val="24"/>
          <w:szCs w:val="24"/>
        </w:rPr>
        <w:t>Safety Management Policy; (2) Safety Risk Management; (3) Safety Assurance, and (4) Safety Promotion</w:t>
      </w:r>
      <w:r w:rsidRPr="00A66850">
        <w:rPr>
          <w:rFonts w:ascii="Times New Roman" w:hAnsi="Times New Roman" w:cs="Times New Roman"/>
          <w:sz w:val="24"/>
          <w:szCs w:val="24"/>
        </w:rPr>
        <w:t xml:space="preserve">.  </w:t>
      </w:r>
      <w:r w:rsidR="00E40CE3">
        <w:rPr>
          <w:rFonts w:ascii="Times New Roman" w:hAnsi="Times New Roman" w:cs="Times New Roman"/>
          <w:sz w:val="24"/>
          <w:szCs w:val="24"/>
        </w:rPr>
        <w:t>These processes and procedures are explained in more detail below.</w:t>
      </w:r>
    </w:p>
    <w:p w:rsidR="00E40CE3" w:rsidP="00A66850" w:rsidRDefault="00E40CE3" w14:paraId="225D082B" w14:textId="77777777">
      <w:pPr>
        <w:pStyle w:val="NoSpacing"/>
        <w:rPr>
          <w:rFonts w:ascii="Times New Roman" w:hAnsi="Times New Roman" w:cs="Times New Roman"/>
          <w:sz w:val="24"/>
          <w:szCs w:val="24"/>
        </w:rPr>
      </w:pPr>
    </w:p>
    <w:p w:rsidRPr="000826C3" w:rsidR="00E57346" w:rsidP="00A66850" w:rsidRDefault="00136A4F" w14:paraId="660F1C4E" w14:textId="1E5F4BD2">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Through Safety Management Policy, </w:t>
      </w:r>
      <w:r w:rsidR="00552B16">
        <w:rPr>
          <w:rFonts w:ascii="Times New Roman" w:hAnsi="Times New Roman" w:cs="Times New Roman"/>
          <w:sz w:val="24"/>
          <w:szCs w:val="24"/>
        </w:rPr>
        <w:t>each</w:t>
      </w:r>
      <w:r w:rsidRPr="00A66850">
        <w:rPr>
          <w:rFonts w:ascii="Times New Roman" w:hAnsi="Times New Roman" w:cs="Times New Roman"/>
          <w:sz w:val="24"/>
          <w:szCs w:val="24"/>
        </w:rPr>
        <w:t xml:space="preserve"> transit agency </w:t>
      </w:r>
      <w:r w:rsidR="000826C3">
        <w:rPr>
          <w:rFonts w:ascii="Times New Roman" w:hAnsi="Times New Roman" w:cs="Times New Roman"/>
          <w:sz w:val="24"/>
          <w:szCs w:val="24"/>
        </w:rPr>
        <w:t>must develop</w:t>
      </w:r>
      <w:r w:rsidRPr="00A66850" w:rsidR="003607BE">
        <w:rPr>
          <w:rFonts w:ascii="Times New Roman" w:hAnsi="Times New Roman" w:cs="Times New Roman"/>
          <w:sz w:val="24"/>
          <w:szCs w:val="24"/>
        </w:rPr>
        <w:t xml:space="preserve"> </w:t>
      </w:r>
      <w:r w:rsidRPr="00A66850" w:rsidR="00E57346">
        <w:rPr>
          <w:rFonts w:ascii="Times New Roman" w:hAnsi="Times New Roman" w:cs="Times New Roman"/>
          <w:sz w:val="24"/>
          <w:szCs w:val="24"/>
        </w:rPr>
        <w:t xml:space="preserve">a </w:t>
      </w:r>
      <w:r w:rsidRPr="00A66850" w:rsidR="005B7453">
        <w:rPr>
          <w:rFonts w:ascii="Times New Roman" w:hAnsi="Times New Roman" w:cs="Times New Roman"/>
          <w:sz w:val="24"/>
          <w:szCs w:val="24"/>
        </w:rPr>
        <w:t xml:space="preserve">safety </w:t>
      </w:r>
      <w:r w:rsidR="00215DDA">
        <w:rPr>
          <w:rFonts w:ascii="Times New Roman" w:hAnsi="Times New Roman" w:cs="Times New Roman"/>
          <w:sz w:val="24"/>
          <w:szCs w:val="24"/>
        </w:rPr>
        <w:t xml:space="preserve">management </w:t>
      </w:r>
      <w:r w:rsidRPr="00A66850" w:rsidR="00E57346">
        <w:rPr>
          <w:rFonts w:ascii="Times New Roman" w:hAnsi="Times New Roman" w:cs="Times New Roman"/>
          <w:sz w:val="24"/>
          <w:szCs w:val="24"/>
        </w:rPr>
        <w:t xml:space="preserve">policy statement that </w:t>
      </w:r>
      <w:r w:rsidR="000826C3">
        <w:rPr>
          <w:rFonts w:ascii="Times New Roman" w:hAnsi="Times New Roman" w:cs="Times New Roman"/>
          <w:sz w:val="24"/>
          <w:szCs w:val="24"/>
        </w:rPr>
        <w:t>includes organizational safety accountabilities and responsibilities, the agency’s safety objectives, and a</w:t>
      </w:r>
      <w:r w:rsidR="001E21A3">
        <w:rPr>
          <w:rFonts w:ascii="Times New Roman" w:hAnsi="Times New Roman" w:cs="Times New Roman"/>
          <w:sz w:val="24"/>
          <w:szCs w:val="24"/>
        </w:rPr>
        <w:t>n</w:t>
      </w:r>
      <w:r w:rsidR="000826C3">
        <w:rPr>
          <w:rFonts w:ascii="Times New Roman" w:hAnsi="Times New Roman" w:cs="Times New Roman"/>
          <w:sz w:val="24"/>
          <w:szCs w:val="24"/>
        </w:rPr>
        <w:t xml:space="preserve"> employee reporting program</w:t>
      </w:r>
      <w:r w:rsidRPr="00A66850" w:rsidR="00E57346">
        <w:rPr>
          <w:rFonts w:ascii="Times New Roman" w:hAnsi="Times New Roman" w:cs="Times New Roman"/>
          <w:sz w:val="24"/>
          <w:szCs w:val="24"/>
        </w:rPr>
        <w:t>.</w:t>
      </w:r>
    </w:p>
    <w:p w:rsidRPr="000826C3" w:rsidR="00E57346" w:rsidP="00A66850" w:rsidRDefault="00E57346" w14:paraId="6CBDCF80" w14:textId="77777777">
      <w:pPr>
        <w:pStyle w:val="NoSpacing"/>
        <w:rPr>
          <w:rFonts w:ascii="Times New Roman" w:hAnsi="Times New Roman" w:cs="Times New Roman"/>
          <w:sz w:val="24"/>
          <w:szCs w:val="24"/>
        </w:rPr>
      </w:pPr>
    </w:p>
    <w:p w:rsidRPr="00A66850" w:rsidR="003607BE" w:rsidP="00A66850" w:rsidRDefault="000826C3" w14:paraId="48CE424F" w14:textId="6D85B22D">
      <w:pPr>
        <w:pStyle w:val="NoSpacing"/>
        <w:rPr>
          <w:rFonts w:ascii="Times New Roman" w:hAnsi="Times New Roman" w:cs="Times New Roman"/>
          <w:sz w:val="24"/>
          <w:szCs w:val="24"/>
        </w:rPr>
      </w:pPr>
      <w:r>
        <w:rPr>
          <w:rFonts w:ascii="Times New Roman" w:hAnsi="Times New Roman" w:cs="Times New Roman"/>
          <w:sz w:val="24"/>
          <w:szCs w:val="24"/>
        </w:rPr>
        <w:t xml:space="preserve">Through </w:t>
      </w:r>
      <w:r w:rsidRPr="00A66850" w:rsidR="005A3E9C">
        <w:rPr>
          <w:rFonts w:ascii="Times New Roman" w:hAnsi="Times New Roman" w:cs="Times New Roman"/>
          <w:sz w:val="24"/>
          <w:szCs w:val="24"/>
        </w:rPr>
        <w:t>Safety Risk Management</w:t>
      </w:r>
      <w:r w:rsidR="00552B16">
        <w:rPr>
          <w:rFonts w:ascii="Times New Roman" w:hAnsi="Times New Roman" w:cs="Times New Roman"/>
          <w:sz w:val="24"/>
          <w:szCs w:val="24"/>
        </w:rPr>
        <w:t>, each transit agency must establish</w:t>
      </w:r>
      <w:r w:rsidRPr="00A66850" w:rsidR="003607BE">
        <w:rPr>
          <w:rFonts w:ascii="Times New Roman" w:hAnsi="Times New Roman" w:cs="Times New Roman"/>
          <w:sz w:val="24"/>
          <w:szCs w:val="24"/>
        </w:rPr>
        <w:t xml:space="preserve"> </w:t>
      </w:r>
      <w:r w:rsidR="00552B16">
        <w:rPr>
          <w:rFonts w:ascii="Times New Roman" w:hAnsi="Times New Roman" w:cs="Times New Roman"/>
          <w:sz w:val="24"/>
          <w:szCs w:val="24"/>
        </w:rPr>
        <w:t xml:space="preserve">a safety risk management </w:t>
      </w:r>
      <w:r w:rsidRPr="00A66850" w:rsidR="003607BE">
        <w:rPr>
          <w:rFonts w:ascii="Times New Roman" w:hAnsi="Times New Roman" w:cs="Times New Roman"/>
          <w:sz w:val="24"/>
          <w:szCs w:val="24"/>
        </w:rPr>
        <w:t xml:space="preserve">process </w:t>
      </w:r>
      <w:r w:rsidR="00552B16">
        <w:rPr>
          <w:rFonts w:ascii="Times New Roman" w:hAnsi="Times New Roman" w:cs="Times New Roman"/>
          <w:sz w:val="24"/>
          <w:szCs w:val="24"/>
        </w:rPr>
        <w:t xml:space="preserve">for all elements of the public transportation system.  This process must include procedures for identifying safety hazards, for </w:t>
      </w:r>
      <w:r w:rsidR="00554822">
        <w:rPr>
          <w:rFonts w:ascii="Times New Roman" w:hAnsi="Times New Roman" w:cs="Times New Roman"/>
          <w:sz w:val="24"/>
          <w:szCs w:val="24"/>
        </w:rPr>
        <w:t>assessing</w:t>
      </w:r>
      <w:r w:rsidR="00552B16">
        <w:rPr>
          <w:rFonts w:ascii="Times New Roman" w:hAnsi="Times New Roman" w:cs="Times New Roman"/>
          <w:sz w:val="24"/>
          <w:szCs w:val="24"/>
        </w:rPr>
        <w:t xml:space="preserve"> safety risk, and for mitigating safety risk</w:t>
      </w:r>
      <w:r w:rsidR="00215DDA">
        <w:rPr>
          <w:rFonts w:ascii="Times New Roman" w:hAnsi="Times New Roman" w:cs="Times New Roman"/>
          <w:sz w:val="24"/>
          <w:szCs w:val="24"/>
        </w:rPr>
        <w:t>,</w:t>
      </w:r>
      <w:r w:rsidR="00552B16">
        <w:rPr>
          <w:rFonts w:ascii="Times New Roman" w:hAnsi="Times New Roman" w:cs="Times New Roman"/>
          <w:sz w:val="24"/>
          <w:szCs w:val="24"/>
        </w:rPr>
        <w:t xml:space="preserve"> as necessary.</w:t>
      </w:r>
    </w:p>
    <w:p w:rsidRPr="00A66850" w:rsidR="001D5EB7" w:rsidP="00A66850" w:rsidRDefault="001D5EB7" w14:paraId="2BD29E40" w14:textId="77777777">
      <w:pPr>
        <w:pStyle w:val="NoSpacing"/>
        <w:rPr>
          <w:rFonts w:ascii="Times New Roman" w:hAnsi="Times New Roman" w:cs="Times New Roman"/>
          <w:sz w:val="24"/>
          <w:szCs w:val="24"/>
        </w:rPr>
      </w:pPr>
    </w:p>
    <w:p w:rsidRPr="00A66850" w:rsidR="003607BE" w:rsidP="00A66850" w:rsidRDefault="00552B16" w14:paraId="4A0DD704" w14:textId="5EC5E54B">
      <w:pPr>
        <w:pStyle w:val="NoSpacing"/>
        <w:rPr>
          <w:rFonts w:ascii="Times New Roman" w:hAnsi="Times New Roman" w:cs="Times New Roman"/>
          <w:sz w:val="24"/>
          <w:szCs w:val="24"/>
        </w:rPr>
      </w:pPr>
      <w:r>
        <w:rPr>
          <w:rFonts w:ascii="Times New Roman" w:hAnsi="Times New Roman" w:cs="Times New Roman"/>
          <w:sz w:val="24"/>
          <w:szCs w:val="24"/>
        </w:rPr>
        <w:t>Through</w:t>
      </w:r>
      <w:r w:rsidRPr="00A66850" w:rsidR="003607BE">
        <w:rPr>
          <w:rFonts w:ascii="Times New Roman" w:hAnsi="Times New Roman" w:cs="Times New Roman"/>
          <w:sz w:val="24"/>
          <w:szCs w:val="24"/>
        </w:rPr>
        <w:t xml:space="preserve"> Safety Assurance</w:t>
      </w:r>
      <w:r>
        <w:rPr>
          <w:rFonts w:ascii="Times New Roman" w:hAnsi="Times New Roman" w:cs="Times New Roman"/>
          <w:sz w:val="24"/>
          <w:szCs w:val="24"/>
        </w:rPr>
        <w:t xml:space="preserve">, each transit agency must establish procedures for monitoring </w:t>
      </w:r>
      <w:r w:rsidR="001E21A3">
        <w:rPr>
          <w:rFonts w:ascii="Times New Roman" w:hAnsi="Times New Roman" w:cs="Times New Roman"/>
          <w:sz w:val="24"/>
          <w:szCs w:val="24"/>
        </w:rPr>
        <w:t xml:space="preserve">and measuring </w:t>
      </w:r>
      <w:r>
        <w:rPr>
          <w:rFonts w:ascii="Times New Roman" w:hAnsi="Times New Roman" w:cs="Times New Roman"/>
          <w:sz w:val="24"/>
          <w:szCs w:val="24"/>
        </w:rPr>
        <w:t>its safety performance</w:t>
      </w:r>
      <w:r w:rsidR="00CC5F8A">
        <w:rPr>
          <w:rFonts w:ascii="Times New Roman" w:hAnsi="Times New Roman" w:cs="Times New Roman"/>
          <w:sz w:val="24"/>
          <w:szCs w:val="24"/>
        </w:rPr>
        <w:t>.  Rail transit agencies and</w:t>
      </w:r>
      <w:r w:rsidR="001F68D4">
        <w:rPr>
          <w:rFonts w:ascii="Times New Roman" w:hAnsi="Times New Roman" w:cs="Times New Roman"/>
          <w:sz w:val="24"/>
          <w:szCs w:val="24"/>
        </w:rPr>
        <w:t xml:space="preserve"> large </w:t>
      </w:r>
      <w:r w:rsidR="00CC5F8A">
        <w:rPr>
          <w:rFonts w:ascii="Times New Roman" w:hAnsi="Times New Roman" w:cs="Times New Roman"/>
          <w:sz w:val="24"/>
          <w:szCs w:val="24"/>
        </w:rPr>
        <w:t xml:space="preserve">bus </w:t>
      </w:r>
      <w:r w:rsidR="001F68D4">
        <w:rPr>
          <w:rFonts w:ascii="Times New Roman" w:hAnsi="Times New Roman" w:cs="Times New Roman"/>
          <w:sz w:val="24"/>
          <w:szCs w:val="24"/>
        </w:rPr>
        <w:t xml:space="preserve">agencies </w:t>
      </w:r>
      <w:r w:rsidR="00CC5F8A">
        <w:rPr>
          <w:rFonts w:ascii="Times New Roman" w:hAnsi="Times New Roman" w:cs="Times New Roman"/>
          <w:sz w:val="24"/>
          <w:szCs w:val="24"/>
        </w:rPr>
        <w:t xml:space="preserve">that operate more than 100 vehicles in peak revenue service </w:t>
      </w:r>
      <w:r w:rsidR="001F68D4">
        <w:rPr>
          <w:rFonts w:ascii="Times New Roman" w:hAnsi="Times New Roman" w:cs="Times New Roman"/>
          <w:sz w:val="24"/>
          <w:szCs w:val="24"/>
        </w:rPr>
        <w:t xml:space="preserve">must establish procedures </w:t>
      </w:r>
      <w:r>
        <w:rPr>
          <w:rFonts w:ascii="Times New Roman" w:hAnsi="Times New Roman" w:cs="Times New Roman"/>
          <w:sz w:val="24"/>
          <w:szCs w:val="24"/>
        </w:rPr>
        <w:t xml:space="preserve">for assessing changes to </w:t>
      </w:r>
      <w:r w:rsidR="00CC5F8A">
        <w:rPr>
          <w:rFonts w:ascii="Times New Roman" w:hAnsi="Times New Roman" w:cs="Times New Roman"/>
          <w:sz w:val="24"/>
          <w:szCs w:val="24"/>
        </w:rPr>
        <w:t xml:space="preserve">their </w:t>
      </w:r>
      <w:r>
        <w:rPr>
          <w:rFonts w:ascii="Times New Roman" w:hAnsi="Times New Roman" w:cs="Times New Roman"/>
          <w:sz w:val="24"/>
          <w:szCs w:val="24"/>
        </w:rPr>
        <w:t>public transportation system</w:t>
      </w:r>
      <w:r w:rsidR="00CC5F8A">
        <w:rPr>
          <w:rFonts w:ascii="Times New Roman" w:hAnsi="Times New Roman" w:cs="Times New Roman"/>
          <w:sz w:val="24"/>
          <w:szCs w:val="24"/>
        </w:rPr>
        <w:t>s</w:t>
      </w:r>
      <w:r>
        <w:rPr>
          <w:rFonts w:ascii="Times New Roman" w:hAnsi="Times New Roman" w:cs="Times New Roman"/>
          <w:sz w:val="24"/>
          <w:szCs w:val="24"/>
        </w:rPr>
        <w:t xml:space="preserve"> that may introduce new hazards and for continually improving </w:t>
      </w:r>
      <w:r w:rsidR="00CC5F8A">
        <w:rPr>
          <w:rFonts w:ascii="Times New Roman" w:hAnsi="Times New Roman" w:cs="Times New Roman"/>
          <w:sz w:val="24"/>
          <w:szCs w:val="24"/>
        </w:rPr>
        <w:t xml:space="preserve">their </w:t>
      </w:r>
      <w:r>
        <w:rPr>
          <w:rFonts w:ascii="Times New Roman" w:hAnsi="Times New Roman" w:cs="Times New Roman"/>
          <w:sz w:val="24"/>
          <w:szCs w:val="24"/>
        </w:rPr>
        <w:t>safety performance.</w:t>
      </w:r>
    </w:p>
    <w:p w:rsidRPr="00A66850" w:rsidR="001D5EB7" w:rsidP="00A66850" w:rsidRDefault="001D5EB7" w14:paraId="0FFE7F29" w14:textId="77777777">
      <w:pPr>
        <w:pStyle w:val="NoSpacing"/>
        <w:rPr>
          <w:rFonts w:ascii="Times New Roman" w:hAnsi="Times New Roman" w:cs="Times New Roman"/>
          <w:sz w:val="24"/>
          <w:szCs w:val="24"/>
        </w:rPr>
      </w:pPr>
    </w:p>
    <w:p w:rsidRPr="00A66850" w:rsidR="003607BE" w:rsidP="00A66850" w:rsidRDefault="00552B16" w14:paraId="3160FF0B" w14:textId="2ECC4E5C">
      <w:pPr>
        <w:pStyle w:val="NoSpacing"/>
        <w:rPr>
          <w:rFonts w:ascii="Times New Roman" w:hAnsi="Times New Roman" w:cs="Times New Roman"/>
          <w:sz w:val="24"/>
          <w:szCs w:val="24"/>
        </w:rPr>
      </w:pPr>
      <w:r>
        <w:rPr>
          <w:rFonts w:ascii="Times New Roman" w:hAnsi="Times New Roman" w:cs="Times New Roman"/>
          <w:sz w:val="24"/>
          <w:szCs w:val="24"/>
        </w:rPr>
        <w:t xml:space="preserve">Through </w:t>
      </w:r>
      <w:r w:rsidRPr="00A66850" w:rsidR="003607BE">
        <w:rPr>
          <w:rFonts w:ascii="Times New Roman" w:hAnsi="Times New Roman" w:cs="Times New Roman"/>
          <w:sz w:val="24"/>
          <w:szCs w:val="24"/>
        </w:rPr>
        <w:t>Safety Promotion</w:t>
      </w:r>
      <w:r>
        <w:rPr>
          <w:rFonts w:ascii="Times New Roman" w:hAnsi="Times New Roman" w:cs="Times New Roman"/>
          <w:sz w:val="24"/>
          <w:szCs w:val="24"/>
        </w:rPr>
        <w:t>, each transit agency must establish a comprehensive safety training program for all agency employees and contract</w:t>
      </w:r>
      <w:r w:rsidR="00CC5F8A">
        <w:rPr>
          <w:rFonts w:ascii="Times New Roman" w:hAnsi="Times New Roman" w:cs="Times New Roman"/>
          <w:sz w:val="24"/>
          <w:szCs w:val="24"/>
        </w:rPr>
        <w:t>or</w:t>
      </w:r>
      <w:r>
        <w:rPr>
          <w:rFonts w:ascii="Times New Roman" w:hAnsi="Times New Roman" w:cs="Times New Roman"/>
          <w:sz w:val="24"/>
          <w:szCs w:val="24"/>
        </w:rPr>
        <w:t>s directly responsible for safety</w:t>
      </w:r>
      <w:r w:rsidR="00E1654B">
        <w:rPr>
          <w:rFonts w:ascii="Times New Roman" w:hAnsi="Times New Roman" w:cs="Times New Roman"/>
          <w:sz w:val="24"/>
          <w:szCs w:val="24"/>
        </w:rPr>
        <w:t xml:space="preserve"> </w:t>
      </w:r>
      <w:r w:rsidRPr="00DB5CFB" w:rsidR="00E1654B">
        <w:rPr>
          <w:rFonts w:ascii="Times New Roman" w:hAnsi="Times New Roman" w:eastAsia="Calibri" w:cs="Times New Roman"/>
          <w:sz w:val="24"/>
          <w:szCs w:val="24"/>
        </w:rPr>
        <w:t>in the agency’s public transportation system</w:t>
      </w:r>
      <w:r w:rsidR="002F6627">
        <w:rPr>
          <w:rFonts w:ascii="Times New Roman" w:hAnsi="Times New Roman" w:eastAsia="Calibri" w:cs="Times New Roman"/>
          <w:sz w:val="24"/>
          <w:szCs w:val="24"/>
        </w:rPr>
        <w:t xml:space="preserve"> </w:t>
      </w:r>
      <w:r w:rsidR="00392E98">
        <w:rPr>
          <w:rFonts w:ascii="Times New Roman" w:hAnsi="Times New Roman" w:eastAsia="Calibri" w:cs="Times New Roman"/>
          <w:sz w:val="24"/>
          <w:szCs w:val="24"/>
        </w:rPr>
        <w:t>and communicate safety information throughout the agency</w:t>
      </w:r>
      <w:r>
        <w:rPr>
          <w:rFonts w:ascii="Times New Roman" w:hAnsi="Times New Roman" w:cs="Times New Roman"/>
          <w:sz w:val="24"/>
          <w:szCs w:val="24"/>
        </w:rPr>
        <w:t>.</w:t>
      </w:r>
    </w:p>
    <w:p w:rsidRPr="00A66850" w:rsidR="005B7453" w:rsidP="00A66850" w:rsidRDefault="005B7453" w14:paraId="712516D8" w14:textId="77777777">
      <w:pPr>
        <w:pStyle w:val="NoSpacing"/>
        <w:rPr>
          <w:rFonts w:ascii="Times New Roman" w:hAnsi="Times New Roman" w:cs="Times New Roman"/>
          <w:sz w:val="24"/>
          <w:szCs w:val="24"/>
        </w:rPr>
      </w:pPr>
    </w:p>
    <w:p w:rsidRPr="00A66850" w:rsidR="003607BE" w:rsidP="00A66850" w:rsidRDefault="00552B16" w14:paraId="36EA521B"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SMS is a scalable and flexible management tool designed to meet the needs of each unique operating environment of a public transportation provider.  </w:t>
      </w:r>
      <w:r w:rsidRPr="00A66850" w:rsidR="003607BE">
        <w:rPr>
          <w:rFonts w:ascii="Times New Roman" w:hAnsi="Times New Roman" w:cs="Times New Roman"/>
          <w:sz w:val="24"/>
          <w:szCs w:val="24"/>
        </w:rPr>
        <w:t>Th</w:t>
      </w:r>
      <w:r>
        <w:rPr>
          <w:rFonts w:ascii="Times New Roman" w:hAnsi="Times New Roman" w:cs="Times New Roman"/>
          <w:sz w:val="24"/>
          <w:szCs w:val="24"/>
        </w:rPr>
        <w:t>us, th</w:t>
      </w:r>
      <w:r w:rsidRPr="00A66850" w:rsidR="003607BE">
        <w:rPr>
          <w:rFonts w:ascii="Times New Roman" w:hAnsi="Times New Roman" w:cs="Times New Roman"/>
          <w:sz w:val="24"/>
          <w:szCs w:val="24"/>
        </w:rPr>
        <w:t xml:space="preserve">e extent </w:t>
      </w:r>
      <w:r>
        <w:rPr>
          <w:rFonts w:ascii="Times New Roman" w:hAnsi="Times New Roman" w:cs="Times New Roman"/>
          <w:sz w:val="24"/>
          <w:szCs w:val="24"/>
        </w:rPr>
        <w:t>of</w:t>
      </w:r>
      <w:r w:rsidRPr="00A66850" w:rsidR="003607BE">
        <w:rPr>
          <w:rFonts w:ascii="Times New Roman" w:hAnsi="Times New Roman" w:cs="Times New Roman"/>
          <w:sz w:val="24"/>
          <w:szCs w:val="24"/>
        </w:rPr>
        <w:t xml:space="preserve"> SMS document</w:t>
      </w:r>
      <w:r>
        <w:rPr>
          <w:rFonts w:ascii="Times New Roman" w:hAnsi="Times New Roman" w:cs="Times New Roman"/>
          <w:sz w:val="24"/>
          <w:szCs w:val="24"/>
        </w:rPr>
        <w:t>ation</w:t>
      </w:r>
      <w:r w:rsidRPr="00A66850" w:rsidR="003607BE">
        <w:rPr>
          <w:rFonts w:ascii="Times New Roman" w:hAnsi="Times New Roman" w:cs="Times New Roman"/>
          <w:sz w:val="24"/>
          <w:szCs w:val="24"/>
        </w:rPr>
        <w:t xml:space="preserve"> will vary from </w:t>
      </w:r>
      <w:r>
        <w:rPr>
          <w:rFonts w:ascii="Times New Roman" w:hAnsi="Times New Roman" w:cs="Times New Roman"/>
          <w:sz w:val="24"/>
          <w:szCs w:val="24"/>
        </w:rPr>
        <w:t xml:space="preserve">transit </w:t>
      </w:r>
      <w:r w:rsidRPr="00A66850" w:rsidR="003607BE">
        <w:rPr>
          <w:rFonts w:ascii="Times New Roman" w:hAnsi="Times New Roman" w:cs="Times New Roman"/>
          <w:sz w:val="24"/>
          <w:szCs w:val="24"/>
        </w:rPr>
        <w:t xml:space="preserve">agency to </w:t>
      </w:r>
      <w:r>
        <w:rPr>
          <w:rFonts w:ascii="Times New Roman" w:hAnsi="Times New Roman" w:cs="Times New Roman"/>
          <w:sz w:val="24"/>
          <w:szCs w:val="24"/>
        </w:rPr>
        <w:t xml:space="preserve">transit </w:t>
      </w:r>
      <w:r w:rsidRPr="00A66850" w:rsidR="003607BE">
        <w:rPr>
          <w:rFonts w:ascii="Times New Roman" w:hAnsi="Times New Roman" w:cs="Times New Roman"/>
          <w:sz w:val="24"/>
          <w:szCs w:val="24"/>
        </w:rPr>
        <w:t>agency.  For a small bus operat</w:t>
      </w:r>
      <w:r>
        <w:rPr>
          <w:rFonts w:ascii="Times New Roman" w:hAnsi="Times New Roman" w:cs="Times New Roman"/>
          <w:sz w:val="24"/>
          <w:szCs w:val="24"/>
        </w:rPr>
        <w:t>or</w:t>
      </w:r>
      <w:r w:rsidRPr="00A66850" w:rsidR="003607BE">
        <w:rPr>
          <w:rFonts w:ascii="Times New Roman" w:hAnsi="Times New Roman" w:cs="Times New Roman"/>
          <w:sz w:val="24"/>
          <w:szCs w:val="24"/>
        </w:rPr>
        <w:t xml:space="preserve">, SMS </w:t>
      </w:r>
      <w:r>
        <w:rPr>
          <w:rFonts w:ascii="Times New Roman" w:hAnsi="Times New Roman" w:cs="Times New Roman"/>
          <w:sz w:val="24"/>
          <w:szCs w:val="24"/>
        </w:rPr>
        <w:t>will involve a simpler process and less paperwork than that of a larger rail transit agency that employs</w:t>
      </w:r>
      <w:r w:rsidRPr="00A66850" w:rsidR="003607BE">
        <w:rPr>
          <w:rFonts w:ascii="Times New Roman" w:hAnsi="Times New Roman" w:cs="Times New Roman"/>
          <w:sz w:val="24"/>
          <w:szCs w:val="24"/>
        </w:rPr>
        <w:t xml:space="preserve"> hundreds or thousands of employees</w:t>
      </w:r>
      <w:r>
        <w:rPr>
          <w:rFonts w:ascii="Times New Roman" w:hAnsi="Times New Roman" w:cs="Times New Roman"/>
          <w:sz w:val="24"/>
          <w:szCs w:val="24"/>
        </w:rPr>
        <w:t xml:space="preserve"> and operates in a more complex environment</w:t>
      </w:r>
      <w:r w:rsidRPr="00A66850" w:rsidR="003607BE">
        <w:rPr>
          <w:rFonts w:ascii="Times New Roman" w:hAnsi="Times New Roman" w:cs="Times New Roman"/>
          <w:sz w:val="24"/>
          <w:szCs w:val="24"/>
        </w:rPr>
        <w:t>.</w:t>
      </w:r>
    </w:p>
    <w:p w:rsidRPr="00A66850" w:rsidR="00FC338A" w:rsidP="00A66850" w:rsidRDefault="00FC338A" w14:paraId="3DD3B914" w14:textId="77777777">
      <w:pPr>
        <w:pStyle w:val="NoSpacing"/>
        <w:rPr>
          <w:rFonts w:ascii="Times New Roman" w:hAnsi="Times New Roman" w:cs="Times New Roman"/>
          <w:sz w:val="24"/>
          <w:szCs w:val="24"/>
        </w:rPr>
      </w:pPr>
    </w:p>
    <w:p w:rsidRPr="00A66850" w:rsidR="00FC338A" w:rsidP="008F3D22" w:rsidRDefault="00DF66D9" w14:paraId="7E701226" w14:textId="77777777">
      <w:pPr>
        <w:pStyle w:val="ListParagraph"/>
        <w:keepNext/>
        <w:numPr>
          <w:ilvl w:val="0"/>
          <w:numId w:val="2"/>
        </w:numPr>
        <w:spacing w:after="0" w:line="240" w:lineRule="auto"/>
        <w:ind w:left="0" w:firstLine="0"/>
        <w:contextualSpacing w:val="0"/>
        <w:rPr>
          <w:rFonts w:ascii="Times New Roman" w:hAnsi="Times New Roman" w:cs="Times New Roman"/>
          <w:b/>
          <w:sz w:val="24"/>
          <w:szCs w:val="24"/>
        </w:rPr>
      </w:pPr>
      <w:r w:rsidRPr="00A66850">
        <w:rPr>
          <w:rFonts w:ascii="Times New Roman" w:hAnsi="Times New Roman" w:cs="Times New Roman"/>
          <w:b/>
          <w:sz w:val="24"/>
          <w:szCs w:val="24"/>
        </w:rPr>
        <w:t>Purpose and Use of the Information</w:t>
      </w:r>
    </w:p>
    <w:p w:rsidRPr="00A66850" w:rsidR="004F0ACA" w:rsidP="008F3D22" w:rsidRDefault="004F0ACA" w14:paraId="2C752C80" w14:textId="77777777">
      <w:pPr>
        <w:pStyle w:val="ListParagraph"/>
        <w:keepNext/>
        <w:spacing w:after="0" w:line="240" w:lineRule="auto"/>
        <w:ind w:left="0"/>
        <w:contextualSpacing w:val="0"/>
        <w:rPr>
          <w:rFonts w:ascii="Times New Roman" w:hAnsi="Times New Roman" w:cs="Times New Roman"/>
          <w:sz w:val="24"/>
          <w:szCs w:val="24"/>
        </w:rPr>
      </w:pPr>
    </w:p>
    <w:p w:rsidRPr="00A66850" w:rsidR="00BC5E37" w:rsidP="00A66850" w:rsidRDefault="00457816" w14:paraId="2638E52C" w14:textId="71C51E41">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T</w:t>
      </w:r>
      <w:r w:rsidRPr="00A66850" w:rsidR="00BC5E37">
        <w:rPr>
          <w:rFonts w:ascii="Times New Roman" w:hAnsi="Times New Roman" w:cs="Times New Roman"/>
          <w:sz w:val="24"/>
          <w:szCs w:val="24"/>
        </w:rPr>
        <w:t xml:space="preserve">he </w:t>
      </w:r>
      <w:r w:rsidR="001276FE">
        <w:rPr>
          <w:rFonts w:ascii="Times New Roman" w:hAnsi="Times New Roman" w:cs="Times New Roman"/>
          <w:sz w:val="24"/>
          <w:szCs w:val="24"/>
        </w:rPr>
        <w:t>ASP</w:t>
      </w:r>
      <w:r w:rsidRPr="00A66850">
        <w:rPr>
          <w:rFonts w:ascii="Times New Roman" w:hAnsi="Times New Roman" w:cs="Times New Roman"/>
          <w:sz w:val="24"/>
          <w:szCs w:val="24"/>
        </w:rPr>
        <w:t xml:space="preserve"> </w:t>
      </w:r>
      <w:r w:rsidR="002B1A95">
        <w:rPr>
          <w:rFonts w:ascii="Times New Roman" w:hAnsi="Times New Roman" w:cs="Times New Roman"/>
          <w:sz w:val="24"/>
          <w:szCs w:val="24"/>
        </w:rPr>
        <w:t xml:space="preserve">and supporting documentation </w:t>
      </w:r>
      <w:r w:rsidRPr="00A66850">
        <w:rPr>
          <w:rFonts w:ascii="Times New Roman" w:hAnsi="Times New Roman" w:cs="Times New Roman"/>
          <w:sz w:val="24"/>
          <w:szCs w:val="24"/>
        </w:rPr>
        <w:t xml:space="preserve">will be </w:t>
      </w:r>
      <w:r w:rsidRPr="00A66850" w:rsidR="00BC5E37">
        <w:rPr>
          <w:rFonts w:ascii="Times New Roman" w:hAnsi="Times New Roman" w:cs="Times New Roman"/>
          <w:sz w:val="24"/>
          <w:szCs w:val="24"/>
        </w:rPr>
        <w:t xml:space="preserve">the mechanism through which </w:t>
      </w:r>
      <w:r w:rsidR="005B0E66">
        <w:rPr>
          <w:rFonts w:ascii="Times New Roman" w:hAnsi="Times New Roman" w:cs="Times New Roman"/>
          <w:sz w:val="24"/>
          <w:szCs w:val="24"/>
        </w:rPr>
        <w:t>a transit agency</w:t>
      </w:r>
      <w:r w:rsidRPr="00A66850" w:rsidR="00BC5E37">
        <w:rPr>
          <w:rFonts w:ascii="Times New Roman" w:hAnsi="Times New Roman" w:cs="Times New Roman"/>
          <w:sz w:val="24"/>
          <w:szCs w:val="24"/>
        </w:rPr>
        <w:t xml:space="preserve"> demonstrate</w:t>
      </w:r>
      <w:r w:rsidR="005B0E66">
        <w:rPr>
          <w:rFonts w:ascii="Times New Roman" w:hAnsi="Times New Roman" w:cs="Times New Roman"/>
          <w:sz w:val="24"/>
          <w:szCs w:val="24"/>
        </w:rPr>
        <w:t>s</w:t>
      </w:r>
      <w:r w:rsidRPr="00A66850" w:rsidR="00BC5E37">
        <w:rPr>
          <w:rFonts w:ascii="Times New Roman" w:hAnsi="Times New Roman" w:cs="Times New Roman"/>
          <w:sz w:val="24"/>
          <w:szCs w:val="24"/>
        </w:rPr>
        <w:t xml:space="preserve"> </w:t>
      </w:r>
      <w:r w:rsidRPr="00A66850" w:rsidR="00893ABE">
        <w:rPr>
          <w:rFonts w:ascii="Times New Roman" w:hAnsi="Times New Roman" w:cs="Times New Roman"/>
          <w:sz w:val="24"/>
          <w:szCs w:val="24"/>
        </w:rPr>
        <w:t xml:space="preserve">that </w:t>
      </w:r>
      <w:r w:rsidR="005B0E66">
        <w:rPr>
          <w:rFonts w:ascii="Times New Roman" w:hAnsi="Times New Roman" w:cs="Times New Roman"/>
          <w:sz w:val="24"/>
          <w:szCs w:val="24"/>
        </w:rPr>
        <w:t xml:space="preserve">it has </w:t>
      </w:r>
      <w:r w:rsidRPr="00A66850" w:rsidR="00BC5E37">
        <w:rPr>
          <w:rFonts w:ascii="Times New Roman" w:hAnsi="Times New Roman" w:cs="Times New Roman"/>
          <w:sz w:val="24"/>
          <w:szCs w:val="24"/>
        </w:rPr>
        <w:t xml:space="preserve">complied with the </w:t>
      </w:r>
      <w:r w:rsidRPr="00A66850" w:rsidR="00893ABE">
        <w:rPr>
          <w:rFonts w:ascii="Times New Roman" w:hAnsi="Times New Roman" w:cs="Times New Roman"/>
          <w:sz w:val="24"/>
          <w:szCs w:val="24"/>
        </w:rPr>
        <w:t xml:space="preserve">statutory </w:t>
      </w:r>
      <w:r w:rsidRPr="00A66850" w:rsidR="00BC5E37">
        <w:rPr>
          <w:rFonts w:ascii="Times New Roman" w:hAnsi="Times New Roman" w:cs="Times New Roman"/>
          <w:sz w:val="24"/>
          <w:szCs w:val="24"/>
        </w:rPr>
        <w:t xml:space="preserve">requirements </w:t>
      </w:r>
      <w:r w:rsidR="005B0E66">
        <w:rPr>
          <w:rFonts w:ascii="Times New Roman" w:hAnsi="Times New Roman" w:cs="Times New Roman"/>
          <w:sz w:val="24"/>
          <w:szCs w:val="24"/>
        </w:rPr>
        <w:t>of</w:t>
      </w:r>
      <w:r w:rsidRPr="00A66850" w:rsidR="00BC5E37">
        <w:rPr>
          <w:rFonts w:ascii="Times New Roman" w:hAnsi="Times New Roman" w:cs="Times New Roman"/>
          <w:sz w:val="24"/>
          <w:szCs w:val="24"/>
        </w:rPr>
        <w:t xml:space="preserve"> 49 U.S.C. </w:t>
      </w:r>
      <w:r w:rsidRPr="00A66850" w:rsidR="00893ABE">
        <w:rPr>
          <w:rFonts w:ascii="Times New Roman" w:hAnsi="Times New Roman" w:eastAsia="Calibri" w:cs="Times New Roman"/>
          <w:sz w:val="24"/>
          <w:szCs w:val="24"/>
        </w:rPr>
        <w:t xml:space="preserve">§ </w:t>
      </w:r>
      <w:r w:rsidRPr="00A66850" w:rsidR="00BC5E37">
        <w:rPr>
          <w:rFonts w:ascii="Times New Roman" w:hAnsi="Times New Roman" w:cs="Times New Roman"/>
          <w:sz w:val="24"/>
          <w:szCs w:val="24"/>
        </w:rPr>
        <w:t>5329(d).</w:t>
      </w:r>
    </w:p>
    <w:p w:rsidRPr="00A66850" w:rsidR="00BC5E37" w:rsidP="00A66850" w:rsidRDefault="00BC5E37" w14:paraId="6FBC8513" w14:textId="77777777">
      <w:pPr>
        <w:pStyle w:val="ListParagraph"/>
        <w:spacing w:after="0" w:line="240" w:lineRule="auto"/>
        <w:ind w:left="0"/>
        <w:contextualSpacing w:val="0"/>
        <w:rPr>
          <w:rFonts w:ascii="Times New Roman" w:hAnsi="Times New Roman" w:cs="Times New Roman"/>
          <w:sz w:val="24"/>
          <w:szCs w:val="24"/>
        </w:rPr>
      </w:pPr>
    </w:p>
    <w:p w:rsidRPr="00A66850" w:rsidR="00893ABE" w:rsidP="00A66850" w:rsidRDefault="00BC5E37" w14:paraId="2E4A1DAB" w14:textId="2B237AA2">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While the </w:t>
      </w:r>
      <w:r w:rsidR="001276FE">
        <w:rPr>
          <w:rFonts w:ascii="Times New Roman" w:hAnsi="Times New Roman" w:cs="Times New Roman"/>
          <w:sz w:val="24"/>
          <w:szCs w:val="24"/>
        </w:rPr>
        <w:t>ASP</w:t>
      </w:r>
      <w:r w:rsidRPr="00A66850" w:rsidR="001276FE">
        <w:rPr>
          <w:rFonts w:ascii="Times New Roman" w:hAnsi="Times New Roman" w:cs="Times New Roman"/>
          <w:sz w:val="24"/>
          <w:szCs w:val="24"/>
        </w:rPr>
        <w:t xml:space="preserve"> </w:t>
      </w:r>
      <w:r w:rsidRPr="00A66850">
        <w:rPr>
          <w:rFonts w:ascii="Times New Roman" w:hAnsi="Times New Roman" w:cs="Times New Roman"/>
          <w:sz w:val="24"/>
          <w:szCs w:val="24"/>
        </w:rPr>
        <w:t>specifies the activities that a</w:t>
      </w:r>
      <w:r w:rsidR="005B0E66">
        <w:rPr>
          <w:rFonts w:ascii="Times New Roman" w:hAnsi="Times New Roman" w:cs="Times New Roman"/>
          <w:sz w:val="24"/>
          <w:szCs w:val="24"/>
        </w:rPr>
        <w:t xml:space="preserve"> transit</w:t>
      </w:r>
      <w:r w:rsidRPr="00A66850">
        <w:rPr>
          <w:rFonts w:ascii="Times New Roman" w:hAnsi="Times New Roman" w:cs="Times New Roman"/>
          <w:sz w:val="24"/>
          <w:szCs w:val="24"/>
        </w:rPr>
        <w:t xml:space="preserve"> agency must </w:t>
      </w:r>
      <w:r w:rsidR="005B0E66">
        <w:rPr>
          <w:rFonts w:ascii="Times New Roman" w:hAnsi="Times New Roman" w:cs="Times New Roman"/>
          <w:sz w:val="24"/>
          <w:szCs w:val="24"/>
        </w:rPr>
        <w:t>under</w:t>
      </w:r>
      <w:r w:rsidRPr="00A66850">
        <w:rPr>
          <w:rFonts w:ascii="Times New Roman" w:hAnsi="Times New Roman" w:cs="Times New Roman"/>
          <w:sz w:val="24"/>
          <w:szCs w:val="24"/>
        </w:rPr>
        <w:t xml:space="preserve">take, the information exchange between </w:t>
      </w:r>
      <w:r w:rsidR="005B0E66">
        <w:rPr>
          <w:rFonts w:ascii="Times New Roman" w:hAnsi="Times New Roman" w:cs="Times New Roman"/>
          <w:sz w:val="24"/>
          <w:szCs w:val="24"/>
        </w:rPr>
        <w:t xml:space="preserve">FTA and its </w:t>
      </w:r>
      <w:r w:rsidRPr="00A66850">
        <w:rPr>
          <w:rFonts w:ascii="Times New Roman" w:hAnsi="Times New Roman" w:cs="Times New Roman"/>
          <w:sz w:val="24"/>
          <w:szCs w:val="24"/>
        </w:rPr>
        <w:t>r</w:t>
      </w:r>
      <w:r w:rsidRPr="00A66850" w:rsidR="00893ABE">
        <w:rPr>
          <w:rFonts w:ascii="Times New Roman" w:hAnsi="Times New Roman" w:cs="Times New Roman"/>
          <w:sz w:val="24"/>
          <w:szCs w:val="24"/>
        </w:rPr>
        <w:t>ecipients</w:t>
      </w:r>
      <w:r w:rsidR="005B0E66">
        <w:rPr>
          <w:rFonts w:ascii="Times New Roman" w:hAnsi="Times New Roman" w:cs="Times New Roman"/>
          <w:sz w:val="24"/>
          <w:szCs w:val="24"/>
        </w:rPr>
        <w:t xml:space="preserve"> will </w:t>
      </w:r>
      <w:r w:rsidRPr="00A66850" w:rsidR="00893ABE">
        <w:rPr>
          <w:rFonts w:ascii="Times New Roman" w:hAnsi="Times New Roman" w:cs="Times New Roman"/>
          <w:sz w:val="24"/>
          <w:szCs w:val="24"/>
        </w:rPr>
        <w:t>consist of:</w:t>
      </w:r>
    </w:p>
    <w:p w:rsidRPr="00A66850" w:rsidR="00893ABE" w:rsidP="00A66850" w:rsidRDefault="00893ABE" w14:paraId="6C60F505" w14:textId="77777777">
      <w:pPr>
        <w:pStyle w:val="ListParagraph"/>
        <w:spacing w:after="0" w:line="240" w:lineRule="auto"/>
        <w:ind w:left="0"/>
        <w:contextualSpacing w:val="0"/>
        <w:rPr>
          <w:rFonts w:ascii="Times New Roman" w:hAnsi="Times New Roman" w:cs="Times New Roman"/>
          <w:sz w:val="24"/>
          <w:szCs w:val="24"/>
        </w:rPr>
      </w:pPr>
    </w:p>
    <w:p w:rsidRPr="001276FE" w:rsidR="000818A3" w:rsidP="00E53568" w:rsidRDefault="00BC5E37" w14:paraId="71908E5B" w14:textId="2DBBDF2D">
      <w:pPr>
        <w:pStyle w:val="ListParagraph"/>
        <w:numPr>
          <w:ilvl w:val="0"/>
          <w:numId w:val="38"/>
        </w:numPr>
        <w:spacing w:after="0" w:line="240" w:lineRule="auto"/>
        <w:contextualSpacing w:val="0"/>
        <w:rPr>
          <w:rFonts w:ascii="Times New Roman" w:hAnsi="Times New Roman" w:cs="Times New Roman"/>
          <w:sz w:val="24"/>
          <w:szCs w:val="24"/>
        </w:rPr>
      </w:pPr>
      <w:r w:rsidRPr="001276FE">
        <w:rPr>
          <w:rFonts w:ascii="Times New Roman" w:hAnsi="Times New Roman" w:cs="Times New Roman"/>
          <w:sz w:val="24"/>
          <w:szCs w:val="24"/>
        </w:rPr>
        <w:t>Annual Certification</w:t>
      </w:r>
      <w:r w:rsidRPr="001276FE" w:rsidR="00893ABE">
        <w:rPr>
          <w:rFonts w:ascii="Times New Roman" w:hAnsi="Times New Roman" w:cs="Times New Roman"/>
          <w:sz w:val="24"/>
          <w:szCs w:val="24"/>
        </w:rPr>
        <w:t>s and Assurances</w:t>
      </w:r>
      <w:r w:rsidRPr="001276FE">
        <w:rPr>
          <w:rFonts w:ascii="Times New Roman" w:hAnsi="Times New Roman" w:cs="Times New Roman"/>
          <w:sz w:val="24"/>
          <w:szCs w:val="24"/>
        </w:rPr>
        <w:t xml:space="preserve">.  </w:t>
      </w:r>
      <w:r w:rsidRPr="001276FE" w:rsidR="00893ABE">
        <w:rPr>
          <w:rFonts w:ascii="Times New Roman" w:hAnsi="Times New Roman" w:cs="Times New Roman"/>
          <w:sz w:val="24"/>
          <w:szCs w:val="24"/>
        </w:rPr>
        <w:t>FTA require</w:t>
      </w:r>
      <w:r w:rsidRPr="001276FE" w:rsidR="00E06335">
        <w:rPr>
          <w:rFonts w:ascii="Times New Roman" w:hAnsi="Times New Roman" w:cs="Times New Roman"/>
          <w:sz w:val="24"/>
          <w:szCs w:val="24"/>
        </w:rPr>
        <w:t>s</w:t>
      </w:r>
      <w:r w:rsidRPr="001276FE" w:rsidR="00893ABE">
        <w:rPr>
          <w:rFonts w:ascii="Times New Roman" w:hAnsi="Times New Roman" w:cs="Times New Roman"/>
          <w:sz w:val="24"/>
          <w:szCs w:val="24"/>
        </w:rPr>
        <w:t xml:space="preserve"> operators of public transportation systems and States to certify compliance with</w:t>
      </w:r>
      <w:r w:rsidRPr="001276FE" w:rsidR="008F1B23">
        <w:rPr>
          <w:rFonts w:ascii="Times New Roman" w:hAnsi="Times New Roman" w:cs="Times New Roman"/>
          <w:sz w:val="24"/>
          <w:szCs w:val="24"/>
        </w:rPr>
        <w:t xml:space="preserve"> 49 CFR</w:t>
      </w:r>
      <w:r w:rsidRPr="001276FE" w:rsidR="00893ABE">
        <w:rPr>
          <w:rFonts w:ascii="Times New Roman" w:hAnsi="Times New Roman" w:cs="Times New Roman"/>
          <w:sz w:val="24"/>
          <w:szCs w:val="24"/>
        </w:rPr>
        <w:t xml:space="preserve"> Part 673 through </w:t>
      </w:r>
      <w:r w:rsidRPr="001276FE" w:rsidR="000818A3">
        <w:rPr>
          <w:rFonts w:ascii="Times New Roman" w:hAnsi="Times New Roman" w:cs="Times New Roman"/>
          <w:sz w:val="24"/>
          <w:szCs w:val="24"/>
        </w:rPr>
        <w:t>its</w:t>
      </w:r>
      <w:r w:rsidRPr="001276FE" w:rsidR="008F1B23">
        <w:rPr>
          <w:rFonts w:ascii="Times New Roman" w:hAnsi="Times New Roman" w:cs="Times New Roman"/>
          <w:sz w:val="24"/>
          <w:szCs w:val="24"/>
        </w:rPr>
        <w:t xml:space="preserve"> </w:t>
      </w:r>
      <w:r w:rsidRPr="001276FE" w:rsidR="00893ABE">
        <w:rPr>
          <w:rFonts w:ascii="Times New Roman" w:hAnsi="Times New Roman" w:cs="Times New Roman"/>
          <w:sz w:val="24"/>
          <w:szCs w:val="24"/>
        </w:rPr>
        <w:t xml:space="preserve">annual submittal of Certifications and Assurances.  These entities will </w:t>
      </w:r>
      <w:r w:rsidRPr="001276FE">
        <w:rPr>
          <w:rFonts w:ascii="Times New Roman" w:hAnsi="Times New Roman" w:cs="Times New Roman"/>
          <w:sz w:val="24"/>
          <w:szCs w:val="24"/>
        </w:rPr>
        <w:t>transmit</w:t>
      </w:r>
      <w:r w:rsidRPr="001276FE" w:rsidR="00893ABE">
        <w:rPr>
          <w:rFonts w:ascii="Times New Roman" w:hAnsi="Times New Roman" w:cs="Times New Roman"/>
          <w:sz w:val="24"/>
          <w:szCs w:val="24"/>
        </w:rPr>
        <w:t xml:space="preserve"> this </w:t>
      </w:r>
      <w:r w:rsidRPr="001276FE" w:rsidR="00893ABE">
        <w:rPr>
          <w:rFonts w:ascii="Times New Roman" w:hAnsi="Times New Roman" w:cs="Times New Roman"/>
          <w:sz w:val="24"/>
          <w:szCs w:val="24"/>
        </w:rPr>
        <w:lastRenderedPageBreak/>
        <w:t>information</w:t>
      </w:r>
      <w:r w:rsidRPr="001276FE">
        <w:rPr>
          <w:rFonts w:ascii="Times New Roman" w:hAnsi="Times New Roman" w:cs="Times New Roman"/>
          <w:sz w:val="24"/>
          <w:szCs w:val="24"/>
        </w:rPr>
        <w:t xml:space="preserve"> </w:t>
      </w:r>
      <w:r w:rsidRPr="001276FE" w:rsidR="00893ABE">
        <w:rPr>
          <w:rFonts w:ascii="Times New Roman" w:hAnsi="Times New Roman" w:cs="Times New Roman"/>
          <w:sz w:val="24"/>
          <w:szCs w:val="24"/>
        </w:rPr>
        <w:t xml:space="preserve">through the </w:t>
      </w:r>
      <w:r w:rsidRPr="001276FE" w:rsidR="00170A58">
        <w:rPr>
          <w:rFonts w:ascii="Times New Roman" w:hAnsi="Times New Roman" w:cs="Times New Roman"/>
          <w:sz w:val="24"/>
          <w:szCs w:val="24"/>
        </w:rPr>
        <w:t xml:space="preserve">existing </w:t>
      </w:r>
      <w:r w:rsidRPr="001276FE" w:rsidR="00893ABE">
        <w:rPr>
          <w:rFonts w:ascii="Times New Roman" w:hAnsi="Times New Roman" w:cs="Times New Roman"/>
          <w:sz w:val="24"/>
          <w:szCs w:val="24"/>
        </w:rPr>
        <w:t>Certification and Assurances module in FTA’s</w:t>
      </w:r>
      <w:r w:rsidRPr="001276FE">
        <w:rPr>
          <w:rFonts w:ascii="Times New Roman" w:hAnsi="Times New Roman" w:cs="Times New Roman"/>
          <w:sz w:val="24"/>
          <w:szCs w:val="24"/>
        </w:rPr>
        <w:t xml:space="preserve"> </w:t>
      </w:r>
      <w:r w:rsidRPr="001276FE" w:rsidR="000C77CA">
        <w:rPr>
          <w:rFonts w:ascii="Times New Roman" w:hAnsi="Times New Roman" w:cs="Times New Roman"/>
          <w:sz w:val="24"/>
          <w:szCs w:val="24"/>
        </w:rPr>
        <w:t>Transit Award Management System (TrAMS</w:t>
      </w:r>
      <w:r w:rsidR="001276FE">
        <w:rPr>
          <w:rFonts w:ascii="Times New Roman" w:hAnsi="Times New Roman" w:cs="Times New Roman"/>
          <w:sz w:val="24"/>
          <w:szCs w:val="24"/>
        </w:rPr>
        <w:t>).</w:t>
      </w:r>
    </w:p>
    <w:p w:rsidR="00BC5E37" w:rsidP="00A66850" w:rsidRDefault="00BC5E37" w14:paraId="51B234B1" w14:textId="3E6A7D82">
      <w:pPr>
        <w:pStyle w:val="ListParagraph"/>
        <w:numPr>
          <w:ilvl w:val="0"/>
          <w:numId w:val="17"/>
        </w:numPr>
        <w:spacing w:after="0" w:line="240" w:lineRule="auto"/>
        <w:ind w:left="1440"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Triennial Review Process.  </w:t>
      </w:r>
      <w:r w:rsidRPr="00A66850" w:rsidR="00893ABE">
        <w:rPr>
          <w:rFonts w:ascii="Times New Roman" w:hAnsi="Times New Roman" w:cs="Times New Roman"/>
          <w:sz w:val="24"/>
          <w:szCs w:val="24"/>
        </w:rPr>
        <w:t xml:space="preserve">FTA </w:t>
      </w:r>
      <w:r w:rsidRPr="00A66850" w:rsidR="00E06335">
        <w:rPr>
          <w:rFonts w:ascii="Times New Roman" w:hAnsi="Times New Roman" w:cs="Times New Roman"/>
          <w:sz w:val="24"/>
          <w:szCs w:val="24"/>
        </w:rPr>
        <w:t>will</w:t>
      </w:r>
      <w:r w:rsidRPr="00A66850" w:rsidR="00893ABE">
        <w:rPr>
          <w:rFonts w:ascii="Times New Roman" w:hAnsi="Times New Roman" w:cs="Times New Roman"/>
          <w:sz w:val="24"/>
          <w:szCs w:val="24"/>
        </w:rPr>
        <w:t xml:space="preserve"> ensure compliance with this </w:t>
      </w:r>
      <w:r w:rsidR="001276FE">
        <w:rPr>
          <w:rFonts w:ascii="Times New Roman" w:hAnsi="Times New Roman" w:cs="Times New Roman"/>
          <w:sz w:val="24"/>
          <w:szCs w:val="24"/>
        </w:rPr>
        <w:t>regulation</w:t>
      </w:r>
      <w:r w:rsidRPr="00A66850" w:rsidR="001276FE">
        <w:rPr>
          <w:rFonts w:ascii="Times New Roman" w:hAnsi="Times New Roman" w:cs="Times New Roman"/>
          <w:sz w:val="24"/>
          <w:szCs w:val="24"/>
        </w:rPr>
        <w:t xml:space="preserve"> </w:t>
      </w:r>
      <w:r w:rsidRPr="00A66850" w:rsidR="00893ABE">
        <w:rPr>
          <w:rFonts w:ascii="Times New Roman" w:hAnsi="Times New Roman" w:cs="Times New Roman"/>
          <w:sz w:val="24"/>
          <w:szCs w:val="24"/>
        </w:rPr>
        <w:t xml:space="preserve">through its Triennial Review oversight process.  FTA </w:t>
      </w:r>
      <w:r w:rsidRPr="00A66850" w:rsidR="00E06335">
        <w:rPr>
          <w:rFonts w:ascii="Times New Roman" w:hAnsi="Times New Roman" w:cs="Times New Roman"/>
          <w:sz w:val="24"/>
          <w:szCs w:val="24"/>
        </w:rPr>
        <w:t>will</w:t>
      </w:r>
      <w:r w:rsidRPr="00A66850" w:rsidR="00893ABE">
        <w:rPr>
          <w:rFonts w:ascii="Times New Roman" w:hAnsi="Times New Roman" w:cs="Times New Roman"/>
          <w:sz w:val="24"/>
          <w:szCs w:val="24"/>
        </w:rPr>
        <w:t xml:space="preserve"> incorporate q</w:t>
      </w:r>
      <w:r w:rsidRPr="00A66850">
        <w:rPr>
          <w:rFonts w:ascii="Times New Roman" w:hAnsi="Times New Roman" w:cs="Times New Roman"/>
          <w:sz w:val="24"/>
          <w:szCs w:val="24"/>
        </w:rPr>
        <w:t xml:space="preserve">uestions </w:t>
      </w:r>
      <w:r w:rsidRPr="00A66850" w:rsidR="008F3B1B">
        <w:rPr>
          <w:rFonts w:ascii="Times New Roman" w:hAnsi="Times New Roman" w:cs="Times New Roman"/>
          <w:sz w:val="24"/>
          <w:szCs w:val="24"/>
        </w:rPr>
        <w:t xml:space="preserve">specific to the </w:t>
      </w:r>
      <w:r w:rsidR="001276FE">
        <w:rPr>
          <w:rFonts w:ascii="Times New Roman" w:hAnsi="Times New Roman" w:cs="Times New Roman"/>
          <w:sz w:val="24"/>
          <w:szCs w:val="24"/>
        </w:rPr>
        <w:t>PTASP regulation</w:t>
      </w:r>
      <w:r w:rsidRPr="00A66850" w:rsidR="00893ABE">
        <w:rPr>
          <w:rFonts w:ascii="Times New Roman" w:hAnsi="Times New Roman" w:cs="Times New Roman"/>
          <w:sz w:val="24"/>
          <w:szCs w:val="24"/>
        </w:rPr>
        <w:t xml:space="preserve"> </w:t>
      </w:r>
      <w:r w:rsidRPr="00A66850">
        <w:rPr>
          <w:rFonts w:ascii="Times New Roman" w:hAnsi="Times New Roman" w:cs="Times New Roman"/>
          <w:sz w:val="24"/>
          <w:szCs w:val="24"/>
        </w:rPr>
        <w:t xml:space="preserve">into </w:t>
      </w:r>
      <w:r w:rsidRPr="00A66850" w:rsidR="008F3B1B">
        <w:rPr>
          <w:rFonts w:ascii="Times New Roman" w:hAnsi="Times New Roman" w:cs="Times New Roman"/>
          <w:sz w:val="24"/>
          <w:szCs w:val="24"/>
        </w:rPr>
        <w:t xml:space="preserve">FTA’s existing </w:t>
      </w:r>
      <w:r w:rsidRPr="00A66850" w:rsidR="00893ABE">
        <w:rPr>
          <w:rFonts w:ascii="Times New Roman" w:hAnsi="Times New Roman" w:cs="Times New Roman"/>
          <w:sz w:val="24"/>
          <w:szCs w:val="24"/>
        </w:rPr>
        <w:t xml:space="preserve">oversight </w:t>
      </w:r>
      <w:r w:rsidRPr="00A66850">
        <w:rPr>
          <w:rFonts w:ascii="Times New Roman" w:hAnsi="Times New Roman" w:cs="Times New Roman"/>
          <w:sz w:val="24"/>
          <w:szCs w:val="24"/>
        </w:rPr>
        <w:t>questionnaire</w:t>
      </w:r>
      <w:r w:rsidRPr="00A66850" w:rsidR="00893ABE">
        <w:rPr>
          <w:rFonts w:ascii="Times New Roman" w:hAnsi="Times New Roman" w:cs="Times New Roman"/>
          <w:sz w:val="24"/>
          <w:szCs w:val="24"/>
        </w:rPr>
        <w:t xml:space="preserve"> for transit agencies</w:t>
      </w:r>
      <w:r w:rsidRPr="00A66850">
        <w:rPr>
          <w:rFonts w:ascii="Times New Roman" w:hAnsi="Times New Roman" w:cs="Times New Roman"/>
          <w:sz w:val="24"/>
          <w:szCs w:val="24"/>
        </w:rPr>
        <w:t xml:space="preserve"> to </w:t>
      </w:r>
      <w:r w:rsidR="000818A3">
        <w:rPr>
          <w:rFonts w:ascii="Times New Roman" w:hAnsi="Times New Roman" w:cs="Times New Roman"/>
          <w:sz w:val="24"/>
          <w:szCs w:val="24"/>
        </w:rPr>
        <w:t xml:space="preserve">evaluate </w:t>
      </w:r>
      <w:r w:rsidRPr="00A66850">
        <w:rPr>
          <w:rFonts w:ascii="Times New Roman" w:hAnsi="Times New Roman" w:cs="Times New Roman"/>
          <w:sz w:val="24"/>
          <w:szCs w:val="24"/>
        </w:rPr>
        <w:t>areas of compliance.</w:t>
      </w:r>
    </w:p>
    <w:p w:rsidRPr="000818A3" w:rsidR="000818A3" w:rsidP="000818A3" w:rsidRDefault="000818A3" w14:paraId="3C9C390D" w14:textId="77777777">
      <w:pPr>
        <w:spacing w:after="0" w:line="240" w:lineRule="auto"/>
        <w:rPr>
          <w:rFonts w:ascii="Times New Roman" w:hAnsi="Times New Roman" w:cs="Times New Roman"/>
          <w:sz w:val="24"/>
          <w:szCs w:val="24"/>
        </w:rPr>
      </w:pPr>
    </w:p>
    <w:p w:rsidR="00BC5E37" w:rsidP="00A66850" w:rsidRDefault="00BC5E37" w14:paraId="50457DE4" w14:textId="2367FB96">
      <w:pPr>
        <w:pStyle w:val="ListParagraph"/>
        <w:numPr>
          <w:ilvl w:val="0"/>
          <w:numId w:val="17"/>
        </w:numPr>
        <w:spacing w:after="0" w:line="240" w:lineRule="auto"/>
        <w:ind w:left="1440"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State Management Review Process.  </w:t>
      </w:r>
      <w:r w:rsidRPr="00A66850" w:rsidR="00893ABE">
        <w:rPr>
          <w:rFonts w:ascii="Times New Roman" w:hAnsi="Times New Roman" w:cs="Times New Roman"/>
          <w:sz w:val="24"/>
          <w:szCs w:val="24"/>
        </w:rPr>
        <w:t xml:space="preserve">FTA </w:t>
      </w:r>
      <w:r w:rsidR="000818A3">
        <w:rPr>
          <w:rFonts w:ascii="Times New Roman" w:hAnsi="Times New Roman" w:cs="Times New Roman"/>
          <w:sz w:val="24"/>
          <w:szCs w:val="24"/>
        </w:rPr>
        <w:t xml:space="preserve">also </w:t>
      </w:r>
      <w:r w:rsidRPr="00A66850" w:rsidR="00E06335">
        <w:rPr>
          <w:rFonts w:ascii="Times New Roman" w:hAnsi="Times New Roman" w:cs="Times New Roman"/>
          <w:sz w:val="24"/>
          <w:szCs w:val="24"/>
        </w:rPr>
        <w:t xml:space="preserve">will </w:t>
      </w:r>
      <w:r w:rsidRPr="00A66850" w:rsidR="00893ABE">
        <w:rPr>
          <w:rFonts w:ascii="Times New Roman" w:hAnsi="Times New Roman" w:cs="Times New Roman"/>
          <w:sz w:val="24"/>
          <w:szCs w:val="24"/>
        </w:rPr>
        <w:t xml:space="preserve">ensure compliance with this </w:t>
      </w:r>
      <w:r w:rsidRPr="00A66850" w:rsidR="001276FE">
        <w:rPr>
          <w:rFonts w:ascii="Times New Roman" w:hAnsi="Times New Roman" w:cs="Times New Roman"/>
          <w:sz w:val="24"/>
          <w:szCs w:val="24"/>
        </w:rPr>
        <w:t>r</w:t>
      </w:r>
      <w:r w:rsidR="001276FE">
        <w:rPr>
          <w:rFonts w:ascii="Times New Roman" w:hAnsi="Times New Roman" w:cs="Times New Roman"/>
          <w:sz w:val="24"/>
          <w:szCs w:val="24"/>
        </w:rPr>
        <w:t>egulation</w:t>
      </w:r>
      <w:r w:rsidRPr="00A66850" w:rsidR="001276FE">
        <w:rPr>
          <w:rFonts w:ascii="Times New Roman" w:hAnsi="Times New Roman" w:cs="Times New Roman"/>
          <w:sz w:val="24"/>
          <w:szCs w:val="24"/>
        </w:rPr>
        <w:t xml:space="preserve"> </w:t>
      </w:r>
      <w:r w:rsidRPr="00A66850" w:rsidR="00893ABE">
        <w:rPr>
          <w:rFonts w:ascii="Times New Roman" w:hAnsi="Times New Roman" w:cs="Times New Roman"/>
          <w:sz w:val="24"/>
          <w:szCs w:val="24"/>
        </w:rPr>
        <w:t xml:space="preserve">through its triennial State Management Review oversight process.  FTA </w:t>
      </w:r>
      <w:r w:rsidRPr="00A66850" w:rsidR="00E06335">
        <w:rPr>
          <w:rFonts w:ascii="Times New Roman" w:hAnsi="Times New Roman" w:cs="Times New Roman"/>
          <w:sz w:val="24"/>
          <w:szCs w:val="24"/>
        </w:rPr>
        <w:t>will</w:t>
      </w:r>
      <w:r w:rsidRPr="00A66850" w:rsidR="00893ABE">
        <w:rPr>
          <w:rFonts w:ascii="Times New Roman" w:hAnsi="Times New Roman" w:cs="Times New Roman"/>
          <w:sz w:val="24"/>
          <w:szCs w:val="24"/>
        </w:rPr>
        <w:t xml:space="preserve"> incorporate questions specific to the </w:t>
      </w:r>
      <w:r w:rsidR="001276FE">
        <w:rPr>
          <w:rFonts w:ascii="Times New Roman" w:hAnsi="Times New Roman" w:cs="Times New Roman"/>
          <w:sz w:val="24"/>
          <w:szCs w:val="24"/>
        </w:rPr>
        <w:t>PTASP regulation</w:t>
      </w:r>
      <w:r w:rsidRPr="00A66850" w:rsidR="00893ABE">
        <w:rPr>
          <w:rFonts w:ascii="Times New Roman" w:hAnsi="Times New Roman" w:cs="Times New Roman"/>
          <w:sz w:val="24"/>
          <w:szCs w:val="24"/>
        </w:rPr>
        <w:t xml:space="preserve"> into FTA’s existing oversight questionnaire for States to </w:t>
      </w:r>
      <w:r w:rsidR="000818A3">
        <w:rPr>
          <w:rFonts w:ascii="Times New Roman" w:hAnsi="Times New Roman" w:cs="Times New Roman"/>
          <w:sz w:val="24"/>
          <w:szCs w:val="24"/>
        </w:rPr>
        <w:t xml:space="preserve">evaluate </w:t>
      </w:r>
      <w:r w:rsidRPr="00A66850" w:rsidR="00893ABE">
        <w:rPr>
          <w:rFonts w:ascii="Times New Roman" w:hAnsi="Times New Roman" w:cs="Times New Roman"/>
          <w:sz w:val="24"/>
          <w:szCs w:val="24"/>
        </w:rPr>
        <w:t>areas of compliance.</w:t>
      </w:r>
    </w:p>
    <w:p w:rsidRPr="000818A3" w:rsidR="000818A3" w:rsidP="000818A3" w:rsidRDefault="000818A3" w14:paraId="14FB6953" w14:textId="77777777">
      <w:pPr>
        <w:spacing w:after="0" w:line="240" w:lineRule="auto"/>
        <w:rPr>
          <w:rFonts w:ascii="Times New Roman" w:hAnsi="Times New Roman" w:cs="Times New Roman"/>
          <w:sz w:val="24"/>
          <w:szCs w:val="24"/>
        </w:rPr>
      </w:pPr>
    </w:p>
    <w:p w:rsidRPr="00A66850" w:rsidR="00BC5E37" w:rsidP="000818A3" w:rsidRDefault="00BC5E37" w14:paraId="0C04524C" w14:textId="672B7E75">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The purpose and use of this information </w:t>
      </w:r>
      <w:proofErr w:type="gramStart"/>
      <w:r w:rsidRPr="00A66850">
        <w:rPr>
          <w:rFonts w:ascii="Times New Roman" w:hAnsi="Times New Roman" w:cs="Times New Roman"/>
          <w:sz w:val="24"/>
          <w:szCs w:val="24"/>
        </w:rPr>
        <w:t>is</w:t>
      </w:r>
      <w:proofErr w:type="gramEnd"/>
      <w:r w:rsidRPr="00A66850">
        <w:rPr>
          <w:rFonts w:ascii="Times New Roman" w:hAnsi="Times New Roman" w:cs="Times New Roman"/>
          <w:sz w:val="24"/>
          <w:szCs w:val="24"/>
        </w:rPr>
        <w:t xml:space="preserve"> to ensure that the specifications of the </w:t>
      </w:r>
      <w:r w:rsidR="001276FE">
        <w:rPr>
          <w:rFonts w:ascii="Times New Roman" w:hAnsi="Times New Roman" w:cs="Times New Roman"/>
          <w:sz w:val="24"/>
          <w:szCs w:val="24"/>
        </w:rPr>
        <w:t>regulation</w:t>
      </w:r>
      <w:r w:rsidRPr="00A66850" w:rsidR="001276FE">
        <w:rPr>
          <w:rFonts w:ascii="Times New Roman" w:hAnsi="Times New Roman" w:cs="Times New Roman"/>
          <w:sz w:val="24"/>
          <w:szCs w:val="24"/>
        </w:rPr>
        <w:t xml:space="preserve"> </w:t>
      </w:r>
      <w:r w:rsidRPr="00A66850">
        <w:rPr>
          <w:rFonts w:ascii="Times New Roman" w:hAnsi="Times New Roman" w:cs="Times New Roman"/>
          <w:sz w:val="24"/>
          <w:szCs w:val="24"/>
        </w:rPr>
        <w:t xml:space="preserve">are carried out through a process of self-certification by </w:t>
      </w:r>
      <w:r w:rsidRPr="00A66850" w:rsidR="00893ABE">
        <w:rPr>
          <w:rFonts w:ascii="Times New Roman" w:hAnsi="Times New Roman" w:cs="Times New Roman"/>
          <w:sz w:val="24"/>
          <w:szCs w:val="24"/>
        </w:rPr>
        <w:t xml:space="preserve">a transit </w:t>
      </w:r>
      <w:r w:rsidRPr="00A66850">
        <w:rPr>
          <w:rFonts w:ascii="Times New Roman" w:hAnsi="Times New Roman" w:cs="Times New Roman"/>
          <w:sz w:val="24"/>
          <w:szCs w:val="24"/>
        </w:rPr>
        <w:t>agency</w:t>
      </w:r>
      <w:r w:rsidR="000818A3">
        <w:rPr>
          <w:rFonts w:ascii="Times New Roman" w:hAnsi="Times New Roman" w:cs="Times New Roman"/>
          <w:sz w:val="24"/>
          <w:szCs w:val="24"/>
        </w:rPr>
        <w:t xml:space="preserve"> or State</w:t>
      </w:r>
      <w:r w:rsidRPr="00A66850">
        <w:rPr>
          <w:rFonts w:ascii="Times New Roman" w:hAnsi="Times New Roman" w:cs="Times New Roman"/>
          <w:sz w:val="24"/>
          <w:szCs w:val="24"/>
        </w:rPr>
        <w:t>.</w:t>
      </w:r>
    </w:p>
    <w:p w:rsidRPr="00A66850" w:rsidR="00BC5E37" w:rsidP="00A66850" w:rsidRDefault="00BC5E37" w14:paraId="1CD5E97B" w14:textId="77777777">
      <w:pPr>
        <w:pStyle w:val="NoSpacing"/>
        <w:rPr>
          <w:rFonts w:ascii="Times New Roman" w:hAnsi="Times New Roman" w:cs="Times New Roman"/>
          <w:sz w:val="24"/>
          <w:szCs w:val="24"/>
        </w:rPr>
      </w:pPr>
    </w:p>
    <w:p w:rsidR="00BC5E37" w:rsidP="00A66850" w:rsidRDefault="000818A3" w14:paraId="556ACC2E" w14:textId="1C7E88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A66850" w:rsidR="00BC5E37">
        <w:rPr>
          <w:rFonts w:ascii="Times New Roman" w:hAnsi="Times New Roman" w:cs="Times New Roman"/>
          <w:sz w:val="24"/>
          <w:szCs w:val="24"/>
        </w:rPr>
        <w:t xml:space="preserve">information </w:t>
      </w:r>
      <w:r w:rsidRPr="00A66850" w:rsidR="00D2013F">
        <w:rPr>
          <w:rFonts w:ascii="Times New Roman" w:hAnsi="Times New Roman" w:cs="Times New Roman"/>
          <w:sz w:val="24"/>
          <w:szCs w:val="24"/>
        </w:rPr>
        <w:t xml:space="preserve">collection </w:t>
      </w:r>
      <w:r w:rsidRPr="00A66850" w:rsidR="00BC5E37">
        <w:rPr>
          <w:rFonts w:ascii="Times New Roman" w:hAnsi="Times New Roman" w:cs="Times New Roman"/>
          <w:sz w:val="24"/>
          <w:szCs w:val="24"/>
        </w:rPr>
        <w:t xml:space="preserve">will help guide </w:t>
      </w:r>
      <w:r w:rsidRPr="00A66850" w:rsidR="00D2013F">
        <w:rPr>
          <w:rFonts w:ascii="Times New Roman" w:hAnsi="Times New Roman" w:cs="Times New Roman"/>
          <w:sz w:val="24"/>
          <w:szCs w:val="24"/>
        </w:rPr>
        <w:t xml:space="preserve">a transit </w:t>
      </w:r>
      <w:r w:rsidRPr="00A66850" w:rsidR="00BC5E37">
        <w:rPr>
          <w:rFonts w:ascii="Times New Roman" w:hAnsi="Times New Roman" w:cs="Times New Roman"/>
          <w:sz w:val="24"/>
          <w:szCs w:val="24"/>
        </w:rPr>
        <w:t>agency and FTA</w:t>
      </w:r>
      <w:r w:rsidRPr="00A66850" w:rsidR="00D2013F">
        <w:rPr>
          <w:rFonts w:ascii="Times New Roman" w:hAnsi="Times New Roman" w:cs="Times New Roman"/>
          <w:sz w:val="24"/>
          <w:szCs w:val="24"/>
        </w:rPr>
        <w:t>’s</w:t>
      </w:r>
      <w:r w:rsidRPr="00A66850" w:rsidR="00BC5E37">
        <w:rPr>
          <w:rFonts w:ascii="Times New Roman" w:hAnsi="Times New Roman" w:cs="Times New Roman"/>
          <w:sz w:val="24"/>
          <w:szCs w:val="24"/>
        </w:rPr>
        <w:t xml:space="preserve"> safety program priorities.  The information will come from the transit agencies </w:t>
      </w:r>
      <w:r w:rsidR="00BD1DF5">
        <w:rPr>
          <w:rFonts w:ascii="Times New Roman" w:hAnsi="Times New Roman" w:cs="Times New Roman"/>
          <w:sz w:val="24"/>
          <w:szCs w:val="24"/>
        </w:rPr>
        <w:t xml:space="preserve">through their </w:t>
      </w:r>
      <w:r w:rsidR="001276FE">
        <w:rPr>
          <w:rFonts w:ascii="Times New Roman" w:hAnsi="Times New Roman" w:cs="Times New Roman"/>
          <w:sz w:val="24"/>
          <w:szCs w:val="24"/>
        </w:rPr>
        <w:t>ASP</w:t>
      </w:r>
      <w:r w:rsidRPr="00A66850" w:rsidR="00BC5E37">
        <w:rPr>
          <w:rFonts w:ascii="Times New Roman" w:hAnsi="Times New Roman" w:cs="Times New Roman"/>
          <w:sz w:val="24"/>
          <w:szCs w:val="24"/>
        </w:rPr>
        <w:t xml:space="preserve"> drafting and certification processes.  </w:t>
      </w:r>
      <w:r w:rsidRPr="00A66850" w:rsidR="00D2013F">
        <w:rPr>
          <w:rFonts w:ascii="Times New Roman" w:hAnsi="Times New Roman" w:cs="Times New Roman"/>
          <w:sz w:val="24"/>
          <w:szCs w:val="24"/>
        </w:rPr>
        <w:t>FTA anticipates</w:t>
      </w:r>
      <w:r w:rsidRPr="00A66850" w:rsidR="00BC5E37">
        <w:rPr>
          <w:rFonts w:ascii="Times New Roman" w:hAnsi="Times New Roman" w:cs="Times New Roman"/>
          <w:sz w:val="24"/>
          <w:szCs w:val="24"/>
        </w:rPr>
        <w:t xml:space="preserve"> that this improved information flow will broaden an individual </w:t>
      </w:r>
      <w:r w:rsidRPr="00A66850" w:rsidR="00D2013F">
        <w:rPr>
          <w:rFonts w:ascii="Times New Roman" w:hAnsi="Times New Roman" w:cs="Times New Roman"/>
          <w:sz w:val="24"/>
          <w:szCs w:val="24"/>
        </w:rPr>
        <w:t xml:space="preserve">transit </w:t>
      </w:r>
      <w:r w:rsidRPr="00A66850" w:rsidR="00BC5E37">
        <w:rPr>
          <w:rFonts w:ascii="Times New Roman" w:hAnsi="Times New Roman" w:cs="Times New Roman"/>
          <w:sz w:val="24"/>
          <w:szCs w:val="24"/>
        </w:rPr>
        <w:t>agency’s experiences in</w:t>
      </w:r>
      <w:r w:rsidR="00E03B43">
        <w:rPr>
          <w:rFonts w:ascii="Times New Roman" w:hAnsi="Times New Roman" w:cs="Times New Roman"/>
          <w:sz w:val="24"/>
          <w:szCs w:val="24"/>
        </w:rPr>
        <w:t xml:space="preserve"> implementing a mature </w:t>
      </w:r>
      <w:r w:rsidRPr="00A66850" w:rsidR="00BC5E37">
        <w:rPr>
          <w:rFonts w:ascii="Times New Roman" w:hAnsi="Times New Roman" w:cs="Times New Roman"/>
          <w:sz w:val="24"/>
          <w:szCs w:val="24"/>
        </w:rPr>
        <w:t>SMS.</w:t>
      </w:r>
    </w:p>
    <w:p w:rsidRPr="00A66850" w:rsidR="00E03B43" w:rsidP="00A66850" w:rsidRDefault="00E03B43" w14:paraId="7D27D8E6" w14:textId="77777777">
      <w:pPr>
        <w:spacing w:after="0" w:line="240" w:lineRule="auto"/>
        <w:rPr>
          <w:rFonts w:ascii="Times New Roman" w:hAnsi="Times New Roman" w:cs="Times New Roman"/>
          <w:sz w:val="24"/>
          <w:szCs w:val="24"/>
        </w:rPr>
      </w:pPr>
    </w:p>
    <w:p w:rsidR="005B2455" w:rsidP="004172FB" w:rsidRDefault="00BC5E37" w14:paraId="5C9F24FC" w14:textId="5F2376C9">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Another important use of the information is to strengthen a transit agency’s SMS processes internally.  </w:t>
      </w:r>
      <w:r w:rsidRPr="00A66850" w:rsidR="003B3968">
        <w:rPr>
          <w:rFonts w:ascii="Times New Roman" w:hAnsi="Times New Roman" w:cs="Times New Roman"/>
          <w:sz w:val="24"/>
          <w:szCs w:val="24"/>
        </w:rPr>
        <w:t>FTA anticipates that a transit agency’s SMS process</w:t>
      </w:r>
      <w:r w:rsidR="004172FB">
        <w:rPr>
          <w:rFonts w:ascii="Times New Roman" w:hAnsi="Times New Roman" w:cs="Times New Roman"/>
          <w:sz w:val="24"/>
          <w:szCs w:val="24"/>
        </w:rPr>
        <w:t>es</w:t>
      </w:r>
      <w:r w:rsidRPr="00A66850" w:rsidR="003B3968">
        <w:rPr>
          <w:rFonts w:ascii="Times New Roman" w:hAnsi="Times New Roman" w:cs="Times New Roman"/>
          <w:sz w:val="24"/>
          <w:szCs w:val="24"/>
        </w:rPr>
        <w:t xml:space="preserve"> will be improved and that safety outcomes will be mitigated or eliminated through the </w:t>
      </w:r>
      <w:r w:rsidRPr="00A66850">
        <w:rPr>
          <w:rFonts w:ascii="Times New Roman" w:hAnsi="Times New Roman" w:cs="Times New Roman"/>
          <w:sz w:val="24"/>
          <w:szCs w:val="24"/>
        </w:rPr>
        <w:t>requirements for the Accountable Executive to approve plans</w:t>
      </w:r>
      <w:r w:rsidRPr="00A66850" w:rsidR="003B3968">
        <w:rPr>
          <w:rFonts w:ascii="Times New Roman" w:hAnsi="Times New Roman" w:cs="Times New Roman"/>
          <w:sz w:val="24"/>
          <w:szCs w:val="24"/>
        </w:rPr>
        <w:t>,</w:t>
      </w:r>
      <w:r w:rsidRPr="00A66850">
        <w:rPr>
          <w:rFonts w:ascii="Times New Roman" w:hAnsi="Times New Roman" w:cs="Times New Roman"/>
          <w:sz w:val="24"/>
          <w:szCs w:val="24"/>
        </w:rPr>
        <w:t xml:space="preserve"> for </w:t>
      </w:r>
      <w:r w:rsidRPr="00A66850" w:rsidR="003B3968">
        <w:rPr>
          <w:rFonts w:ascii="Times New Roman" w:hAnsi="Times New Roman" w:cs="Times New Roman"/>
          <w:sz w:val="24"/>
          <w:szCs w:val="24"/>
        </w:rPr>
        <w:t xml:space="preserve">certain </w:t>
      </w:r>
      <w:r w:rsidRPr="00A66850">
        <w:rPr>
          <w:rFonts w:ascii="Times New Roman" w:hAnsi="Times New Roman" w:cs="Times New Roman"/>
          <w:sz w:val="24"/>
          <w:szCs w:val="24"/>
        </w:rPr>
        <w:t>safety</w:t>
      </w:r>
      <w:r w:rsidRPr="00A66850" w:rsidR="003B3968">
        <w:rPr>
          <w:rFonts w:ascii="Times New Roman" w:hAnsi="Times New Roman" w:cs="Times New Roman"/>
          <w:sz w:val="24"/>
          <w:szCs w:val="24"/>
        </w:rPr>
        <w:t>-related decision-making</w:t>
      </w:r>
      <w:r w:rsidRPr="00A66850">
        <w:rPr>
          <w:rFonts w:ascii="Times New Roman" w:hAnsi="Times New Roman" w:cs="Times New Roman"/>
          <w:sz w:val="24"/>
          <w:szCs w:val="24"/>
        </w:rPr>
        <w:t xml:space="preserve"> to be elevated</w:t>
      </w:r>
      <w:r w:rsidRPr="00A66850" w:rsidR="001324C8">
        <w:rPr>
          <w:rFonts w:ascii="Times New Roman" w:hAnsi="Times New Roman" w:cs="Times New Roman"/>
          <w:sz w:val="24"/>
          <w:szCs w:val="24"/>
        </w:rPr>
        <w:t xml:space="preserve"> to the </w:t>
      </w:r>
      <w:r w:rsidRPr="00A66850" w:rsidR="003B3968">
        <w:rPr>
          <w:rFonts w:ascii="Times New Roman" w:hAnsi="Times New Roman" w:cs="Times New Roman"/>
          <w:sz w:val="24"/>
          <w:szCs w:val="24"/>
        </w:rPr>
        <w:t>e</w:t>
      </w:r>
      <w:r w:rsidRPr="00A66850" w:rsidR="001324C8">
        <w:rPr>
          <w:rFonts w:ascii="Times New Roman" w:hAnsi="Times New Roman" w:cs="Times New Roman"/>
          <w:sz w:val="24"/>
          <w:szCs w:val="24"/>
        </w:rPr>
        <w:t>xecutive level</w:t>
      </w:r>
      <w:r w:rsidRPr="00A66850" w:rsidR="003B3968">
        <w:rPr>
          <w:rFonts w:ascii="Times New Roman" w:hAnsi="Times New Roman" w:cs="Times New Roman"/>
          <w:sz w:val="24"/>
          <w:szCs w:val="24"/>
        </w:rPr>
        <w:t>,</w:t>
      </w:r>
      <w:r w:rsidRPr="00A66850">
        <w:rPr>
          <w:rFonts w:ascii="Times New Roman" w:hAnsi="Times New Roman" w:cs="Times New Roman"/>
          <w:sz w:val="24"/>
          <w:szCs w:val="24"/>
        </w:rPr>
        <w:t xml:space="preserve"> and for the involvement of all staff </w:t>
      </w:r>
      <w:r w:rsidRPr="00A66850" w:rsidR="00E6370E">
        <w:rPr>
          <w:rFonts w:ascii="Times New Roman" w:hAnsi="Times New Roman" w:cs="Times New Roman"/>
          <w:sz w:val="24"/>
          <w:szCs w:val="24"/>
        </w:rPr>
        <w:t>to report safety problems</w:t>
      </w:r>
      <w:r w:rsidRPr="00A66850">
        <w:rPr>
          <w:rFonts w:ascii="Times New Roman" w:hAnsi="Times New Roman" w:cs="Times New Roman"/>
          <w:sz w:val="24"/>
          <w:szCs w:val="24"/>
        </w:rPr>
        <w:t xml:space="preserve"> or issues before they become </w:t>
      </w:r>
      <w:r w:rsidRPr="00A66850" w:rsidR="00E6370E">
        <w:rPr>
          <w:rFonts w:ascii="Times New Roman" w:hAnsi="Times New Roman" w:cs="Times New Roman"/>
          <w:sz w:val="24"/>
          <w:szCs w:val="24"/>
        </w:rPr>
        <w:t>severe</w:t>
      </w:r>
      <w:r w:rsidRPr="00A66850">
        <w:rPr>
          <w:rFonts w:ascii="Times New Roman" w:hAnsi="Times New Roman" w:cs="Times New Roman"/>
          <w:sz w:val="24"/>
          <w:szCs w:val="24"/>
        </w:rPr>
        <w:t xml:space="preserve">.  </w:t>
      </w:r>
      <w:r w:rsidR="004172FB">
        <w:rPr>
          <w:rFonts w:ascii="Times New Roman" w:hAnsi="Times New Roman" w:cs="Times New Roman"/>
          <w:sz w:val="24"/>
          <w:szCs w:val="24"/>
        </w:rPr>
        <w:t>SMS establishes a proactive approach to managing safety risk, as opposed to a reactive one.</w:t>
      </w:r>
    </w:p>
    <w:p w:rsidR="004172FB" w:rsidP="004172FB" w:rsidRDefault="004172FB" w14:paraId="605AC3F7" w14:textId="77777777">
      <w:pPr>
        <w:spacing w:after="0" w:line="240" w:lineRule="auto"/>
        <w:rPr>
          <w:rFonts w:ascii="Times New Roman" w:hAnsi="Times New Roman" w:cs="Times New Roman"/>
          <w:sz w:val="24"/>
          <w:szCs w:val="24"/>
        </w:rPr>
      </w:pPr>
    </w:p>
    <w:p w:rsidRPr="00A66850" w:rsidR="00DF66D9" w:rsidP="006A299E" w:rsidRDefault="00DF66D9" w14:paraId="151CD491" w14:textId="77777777">
      <w:pPr>
        <w:pStyle w:val="ListParagraph"/>
        <w:keepNext/>
        <w:numPr>
          <w:ilvl w:val="0"/>
          <w:numId w:val="2"/>
        </w:numPr>
        <w:spacing w:after="0" w:line="240" w:lineRule="auto"/>
        <w:ind w:left="0" w:firstLine="0"/>
        <w:contextualSpacing w:val="0"/>
        <w:rPr>
          <w:rFonts w:ascii="Times New Roman" w:hAnsi="Times New Roman" w:cs="Times New Roman"/>
          <w:b/>
          <w:sz w:val="24"/>
          <w:szCs w:val="24"/>
        </w:rPr>
      </w:pPr>
      <w:r w:rsidRPr="00A66850">
        <w:rPr>
          <w:rFonts w:ascii="Times New Roman" w:hAnsi="Times New Roman" w:cs="Times New Roman"/>
          <w:b/>
          <w:sz w:val="24"/>
          <w:szCs w:val="24"/>
        </w:rPr>
        <w:t>Use of Information Technology and Burden Reduction</w:t>
      </w:r>
    </w:p>
    <w:p w:rsidRPr="00A66850" w:rsidR="00A75EC7" w:rsidP="006A299E" w:rsidRDefault="00A75EC7" w14:paraId="0E137F7E" w14:textId="77777777">
      <w:pPr>
        <w:pStyle w:val="ListParagraph"/>
        <w:keepNext/>
        <w:spacing w:after="0" w:line="240" w:lineRule="auto"/>
        <w:ind w:left="0"/>
        <w:contextualSpacing w:val="0"/>
        <w:rPr>
          <w:rFonts w:ascii="Times New Roman" w:hAnsi="Times New Roman" w:cs="Times New Roman"/>
          <w:sz w:val="24"/>
          <w:szCs w:val="24"/>
        </w:rPr>
      </w:pPr>
    </w:p>
    <w:p w:rsidRPr="00A66850" w:rsidR="00A97B44" w:rsidP="00A66850" w:rsidRDefault="003E01FB" w14:paraId="1D0EBCD2" w14:textId="768E466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FTA require</w:t>
      </w:r>
      <w:r w:rsidRPr="00A66850" w:rsidR="00E06335">
        <w:rPr>
          <w:rFonts w:ascii="Times New Roman" w:hAnsi="Times New Roman" w:cs="Times New Roman"/>
          <w:sz w:val="24"/>
          <w:szCs w:val="24"/>
        </w:rPr>
        <w:t>s</w:t>
      </w:r>
      <w:r w:rsidRPr="00A66850">
        <w:rPr>
          <w:rFonts w:ascii="Times New Roman" w:hAnsi="Times New Roman" w:cs="Times New Roman"/>
          <w:sz w:val="24"/>
          <w:szCs w:val="24"/>
        </w:rPr>
        <w:t xml:space="preserve"> t</w:t>
      </w:r>
      <w:r w:rsidRPr="00A66850" w:rsidR="00A75EC7">
        <w:rPr>
          <w:rFonts w:ascii="Times New Roman" w:hAnsi="Times New Roman" w:cs="Times New Roman"/>
          <w:sz w:val="24"/>
          <w:szCs w:val="24"/>
        </w:rPr>
        <w:t xml:space="preserve">ransit agencies and States </w:t>
      </w:r>
      <w:r w:rsidRPr="00A66850">
        <w:rPr>
          <w:rFonts w:ascii="Times New Roman" w:hAnsi="Times New Roman" w:cs="Times New Roman"/>
          <w:sz w:val="24"/>
          <w:szCs w:val="24"/>
        </w:rPr>
        <w:t>to submit annual certifications and assurances to FTA to ensure compliance with th</w:t>
      </w:r>
      <w:r w:rsidR="00C56397">
        <w:rPr>
          <w:rFonts w:ascii="Times New Roman" w:hAnsi="Times New Roman" w:cs="Times New Roman"/>
          <w:sz w:val="24"/>
          <w:szCs w:val="24"/>
        </w:rPr>
        <w:t>e</w:t>
      </w:r>
      <w:r w:rsidRPr="00A66850">
        <w:rPr>
          <w:rFonts w:ascii="Times New Roman" w:hAnsi="Times New Roman" w:cs="Times New Roman"/>
          <w:sz w:val="24"/>
          <w:szCs w:val="24"/>
        </w:rPr>
        <w:t xml:space="preserve"> </w:t>
      </w:r>
      <w:r w:rsidR="001276FE">
        <w:rPr>
          <w:rFonts w:ascii="Times New Roman" w:hAnsi="Times New Roman" w:cs="Times New Roman"/>
          <w:sz w:val="24"/>
          <w:szCs w:val="24"/>
        </w:rPr>
        <w:t>PTASP regulation</w:t>
      </w:r>
      <w:r w:rsidRPr="00A66850">
        <w:rPr>
          <w:rFonts w:ascii="Times New Roman" w:hAnsi="Times New Roman" w:cs="Times New Roman"/>
          <w:sz w:val="24"/>
          <w:szCs w:val="24"/>
        </w:rPr>
        <w:t>.  Transit agencies and</w:t>
      </w:r>
      <w:r w:rsidRPr="00A66850" w:rsidR="00A97B44">
        <w:rPr>
          <w:rFonts w:ascii="Times New Roman" w:hAnsi="Times New Roman" w:cs="Times New Roman"/>
          <w:sz w:val="24"/>
          <w:szCs w:val="24"/>
        </w:rPr>
        <w:t xml:space="preserve"> State</w:t>
      </w:r>
      <w:r w:rsidRPr="00A66850">
        <w:rPr>
          <w:rFonts w:ascii="Times New Roman" w:hAnsi="Times New Roman" w:cs="Times New Roman"/>
          <w:sz w:val="24"/>
          <w:szCs w:val="24"/>
        </w:rPr>
        <w:t>s</w:t>
      </w:r>
      <w:r w:rsidRPr="00A66850" w:rsidR="00A97B44">
        <w:rPr>
          <w:rFonts w:ascii="Times New Roman" w:hAnsi="Times New Roman" w:cs="Times New Roman"/>
          <w:sz w:val="24"/>
          <w:szCs w:val="24"/>
        </w:rPr>
        <w:t xml:space="preserve"> </w:t>
      </w:r>
      <w:r w:rsidRPr="00A66850">
        <w:rPr>
          <w:rFonts w:ascii="Times New Roman" w:hAnsi="Times New Roman" w:cs="Times New Roman"/>
          <w:sz w:val="24"/>
          <w:szCs w:val="24"/>
        </w:rPr>
        <w:t>may</w:t>
      </w:r>
      <w:r w:rsidRPr="00A66850" w:rsidR="00A97B44">
        <w:rPr>
          <w:rFonts w:ascii="Times New Roman" w:hAnsi="Times New Roman" w:cs="Times New Roman"/>
          <w:sz w:val="24"/>
          <w:szCs w:val="24"/>
        </w:rPr>
        <w:t xml:space="preserve"> generate and use any processes desired, but submissions and compliance </w:t>
      </w:r>
      <w:r w:rsidRPr="00A66850">
        <w:rPr>
          <w:rFonts w:ascii="Times New Roman" w:hAnsi="Times New Roman" w:cs="Times New Roman"/>
          <w:sz w:val="24"/>
          <w:szCs w:val="24"/>
        </w:rPr>
        <w:t xml:space="preserve">would not </w:t>
      </w:r>
      <w:r w:rsidRPr="00A66850" w:rsidR="00A97B44">
        <w:rPr>
          <w:rFonts w:ascii="Times New Roman" w:hAnsi="Times New Roman" w:cs="Times New Roman"/>
          <w:sz w:val="24"/>
          <w:szCs w:val="24"/>
        </w:rPr>
        <w:t>require</w:t>
      </w:r>
      <w:r w:rsidRPr="00A66850">
        <w:rPr>
          <w:rFonts w:ascii="Times New Roman" w:hAnsi="Times New Roman" w:cs="Times New Roman"/>
          <w:sz w:val="24"/>
          <w:szCs w:val="24"/>
        </w:rPr>
        <w:t xml:space="preserve"> information technology that is</w:t>
      </w:r>
      <w:r w:rsidRPr="00A66850" w:rsidR="00A97B44">
        <w:rPr>
          <w:rFonts w:ascii="Times New Roman" w:hAnsi="Times New Roman" w:cs="Times New Roman"/>
          <w:sz w:val="24"/>
          <w:szCs w:val="24"/>
        </w:rPr>
        <w:t xml:space="preserve"> more complex than a word processing or spreadsheet file.</w:t>
      </w:r>
    </w:p>
    <w:p w:rsidRPr="00A66850" w:rsidR="00E6370E" w:rsidP="00A66850" w:rsidRDefault="00E6370E" w14:paraId="596E9908" w14:textId="77777777">
      <w:pPr>
        <w:pStyle w:val="ListParagraph"/>
        <w:spacing w:after="0" w:line="240" w:lineRule="auto"/>
        <w:ind w:left="0"/>
        <w:contextualSpacing w:val="0"/>
        <w:rPr>
          <w:rStyle w:val="CommentReference"/>
          <w:rFonts w:ascii="Times New Roman" w:hAnsi="Times New Roman" w:cs="Times New Roman"/>
          <w:sz w:val="24"/>
          <w:szCs w:val="24"/>
        </w:rPr>
      </w:pPr>
    </w:p>
    <w:p w:rsidRPr="00A66850" w:rsidR="00A97B44" w:rsidP="00A66850" w:rsidRDefault="008F3B1B" w14:paraId="02F1B275" w14:textId="77777777">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T</w:t>
      </w:r>
      <w:r w:rsidRPr="00A66850" w:rsidR="00A97B44">
        <w:rPr>
          <w:rFonts w:ascii="Times New Roman" w:hAnsi="Times New Roman" w:cs="Times New Roman"/>
          <w:sz w:val="24"/>
          <w:szCs w:val="24"/>
        </w:rPr>
        <w:t>he data and information collected will be entered, stored, transmitted</w:t>
      </w:r>
      <w:r w:rsidRPr="00A66850" w:rsidR="003E01FB">
        <w:rPr>
          <w:rFonts w:ascii="Times New Roman" w:hAnsi="Times New Roman" w:cs="Times New Roman"/>
          <w:sz w:val="24"/>
          <w:szCs w:val="24"/>
        </w:rPr>
        <w:t>,</w:t>
      </w:r>
      <w:r w:rsidRPr="00A66850" w:rsidR="00A97B44">
        <w:rPr>
          <w:rFonts w:ascii="Times New Roman" w:hAnsi="Times New Roman" w:cs="Times New Roman"/>
          <w:sz w:val="24"/>
          <w:szCs w:val="24"/>
        </w:rPr>
        <w:t xml:space="preserve"> and circulated electronically, both internal to the agency and in </w:t>
      </w:r>
      <w:r w:rsidRPr="00A66850" w:rsidR="00E6370E">
        <w:rPr>
          <w:rFonts w:ascii="Times New Roman" w:hAnsi="Times New Roman" w:cs="Times New Roman"/>
          <w:sz w:val="24"/>
          <w:szCs w:val="24"/>
        </w:rPr>
        <w:t>external communications</w:t>
      </w:r>
      <w:r w:rsidRPr="00A66850" w:rsidR="00A97B44">
        <w:rPr>
          <w:rFonts w:ascii="Times New Roman" w:hAnsi="Times New Roman" w:cs="Times New Roman"/>
          <w:sz w:val="24"/>
          <w:szCs w:val="24"/>
        </w:rPr>
        <w:t xml:space="preserve"> from agency</w:t>
      </w:r>
      <w:r w:rsidR="00394108">
        <w:rPr>
          <w:rFonts w:ascii="Times New Roman" w:hAnsi="Times New Roman" w:cs="Times New Roman"/>
          <w:sz w:val="24"/>
          <w:szCs w:val="24"/>
        </w:rPr>
        <w:t xml:space="preserve"> </w:t>
      </w:r>
      <w:r w:rsidRPr="00A66850" w:rsidR="00A97B44">
        <w:rPr>
          <w:rFonts w:ascii="Times New Roman" w:hAnsi="Times New Roman" w:cs="Times New Roman"/>
          <w:sz w:val="24"/>
          <w:szCs w:val="24"/>
        </w:rPr>
        <w:t>to</w:t>
      </w:r>
      <w:r w:rsidR="00394108">
        <w:rPr>
          <w:rFonts w:ascii="Times New Roman" w:hAnsi="Times New Roman" w:cs="Times New Roman"/>
          <w:sz w:val="24"/>
          <w:szCs w:val="24"/>
        </w:rPr>
        <w:t xml:space="preserve"> </w:t>
      </w:r>
      <w:r w:rsidRPr="00A66850" w:rsidR="00A97B44">
        <w:rPr>
          <w:rFonts w:ascii="Times New Roman" w:hAnsi="Times New Roman" w:cs="Times New Roman"/>
          <w:sz w:val="24"/>
          <w:szCs w:val="24"/>
        </w:rPr>
        <w:t xml:space="preserve">State, and </w:t>
      </w:r>
      <w:r w:rsidR="00394108">
        <w:rPr>
          <w:rFonts w:ascii="Times New Roman" w:hAnsi="Times New Roman" w:cs="Times New Roman"/>
          <w:sz w:val="24"/>
          <w:szCs w:val="24"/>
        </w:rPr>
        <w:t xml:space="preserve">from </w:t>
      </w:r>
      <w:r w:rsidRPr="00A66850" w:rsidR="00A97B44">
        <w:rPr>
          <w:rFonts w:ascii="Times New Roman" w:hAnsi="Times New Roman" w:cs="Times New Roman"/>
          <w:sz w:val="24"/>
          <w:szCs w:val="24"/>
        </w:rPr>
        <w:t>agency</w:t>
      </w:r>
      <w:r w:rsidR="00394108">
        <w:rPr>
          <w:rFonts w:ascii="Times New Roman" w:hAnsi="Times New Roman" w:cs="Times New Roman"/>
          <w:sz w:val="24"/>
          <w:szCs w:val="24"/>
        </w:rPr>
        <w:t xml:space="preserve"> </w:t>
      </w:r>
      <w:r w:rsidRPr="00A66850" w:rsidR="00A97B44">
        <w:rPr>
          <w:rFonts w:ascii="Times New Roman" w:hAnsi="Times New Roman" w:cs="Times New Roman"/>
          <w:sz w:val="24"/>
          <w:szCs w:val="24"/>
        </w:rPr>
        <w:t>to</w:t>
      </w:r>
      <w:r w:rsidR="00394108">
        <w:rPr>
          <w:rFonts w:ascii="Times New Roman" w:hAnsi="Times New Roman" w:cs="Times New Roman"/>
          <w:sz w:val="24"/>
          <w:szCs w:val="24"/>
        </w:rPr>
        <w:t xml:space="preserve"> </w:t>
      </w:r>
      <w:r w:rsidRPr="00A66850" w:rsidR="00A97B44">
        <w:rPr>
          <w:rFonts w:ascii="Times New Roman" w:hAnsi="Times New Roman" w:cs="Times New Roman"/>
          <w:sz w:val="24"/>
          <w:szCs w:val="24"/>
        </w:rPr>
        <w:t xml:space="preserve">FTA </w:t>
      </w:r>
      <w:r w:rsidRPr="00A66850" w:rsidR="00E6370E">
        <w:rPr>
          <w:rFonts w:ascii="Times New Roman" w:hAnsi="Times New Roman" w:cs="Times New Roman"/>
          <w:sz w:val="24"/>
          <w:szCs w:val="24"/>
        </w:rPr>
        <w:t>submissions</w:t>
      </w:r>
      <w:r w:rsidRPr="00A66850" w:rsidR="00A97B44">
        <w:rPr>
          <w:rFonts w:ascii="Times New Roman" w:hAnsi="Times New Roman" w:cs="Times New Roman"/>
          <w:sz w:val="24"/>
          <w:szCs w:val="24"/>
        </w:rPr>
        <w:t>.</w:t>
      </w:r>
    </w:p>
    <w:p w:rsidRPr="00A66850" w:rsidR="00A97B44" w:rsidP="00A66850" w:rsidRDefault="00A97B44" w14:paraId="0D57F139" w14:textId="77777777">
      <w:pPr>
        <w:pStyle w:val="ListParagraph"/>
        <w:spacing w:after="0" w:line="240" w:lineRule="auto"/>
        <w:ind w:left="0"/>
        <w:contextualSpacing w:val="0"/>
        <w:rPr>
          <w:rFonts w:ascii="Times New Roman" w:hAnsi="Times New Roman" w:cs="Times New Roman"/>
          <w:sz w:val="24"/>
          <w:szCs w:val="24"/>
        </w:rPr>
      </w:pPr>
    </w:p>
    <w:p w:rsidRPr="00A66850" w:rsidR="00A97B44" w:rsidP="00A66850" w:rsidRDefault="00394108" w14:paraId="01CDCC77" w14:textId="4B2EBC06">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Transit agencies and States </w:t>
      </w:r>
      <w:r w:rsidRPr="00A66850" w:rsidR="003E01FB">
        <w:rPr>
          <w:rFonts w:ascii="Times New Roman" w:hAnsi="Times New Roman" w:cs="Times New Roman"/>
          <w:sz w:val="24"/>
          <w:szCs w:val="24"/>
        </w:rPr>
        <w:t>may</w:t>
      </w:r>
      <w:r w:rsidRPr="00A66850" w:rsidR="00A97B44">
        <w:rPr>
          <w:rFonts w:ascii="Times New Roman" w:hAnsi="Times New Roman" w:cs="Times New Roman"/>
          <w:sz w:val="24"/>
          <w:szCs w:val="24"/>
        </w:rPr>
        <w:t xml:space="preserve"> use </w:t>
      </w:r>
      <w:r w:rsidR="001276FE">
        <w:rPr>
          <w:rFonts w:ascii="Times New Roman" w:hAnsi="Times New Roman" w:cs="Times New Roman"/>
          <w:sz w:val="24"/>
          <w:szCs w:val="24"/>
        </w:rPr>
        <w:t>ASP</w:t>
      </w:r>
      <w:r>
        <w:rPr>
          <w:rFonts w:ascii="Times New Roman" w:hAnsi="Times New Roman" w:cs="Times New Roman"/>
          <w:sz w:val="24"/>
          <w:szCs w:val="24"/>
        </w:rPr>
        <w:t xml:space="preserve"> </w:t>
      </w:r>
      <w:r w:rsidRPr="00A66850" w:rsidR="00A97B44">
        <w:rPr>
          <w:rFonts w:ascii="Times New Roman" w:hAnsi="Times New Roman" w:cs="Times New Roman"/>
          <w:sz w:val="24"/>
          <w:szCs w:val="24"/>
        </w:rPr>
        <w:t xml:space="preserve">templates </w:t>
      </w:r>
      <w:r>
        <w:rPr>
          <w:rFonts w:ascii="Times New Roman" w:hAnsi="Times New Roman" w:cs="Times New Roman"/>
          <w:sz w:val="24"/>
          <w:szCs w:val="24"/>
        </w:rPr>
        <w:t xml:space="preserve">issued </w:t>
      </w:r>
      <w:r w:rsidRPr="00A66850" w:rsidR="00A97B44">
        <w:rPr>
          <w:rFonts w:ascii="Times New Roman" w:hAnsi="Times New Roman" w:cs="Times New Roman"/>
          <w:sz w:val="24"/>
          <w:szCs w:val="24"/>
        </w:rPr>
        <w:t>by FTA</w:t>
      </w:r>
      <w:r>
        <w:rPr>
          <w:rFonts w:ascii="Times New Roman" w:hAnsi="Times New Roman" w:cs="Times New Roman"/>
          <w:sz w:val="24"/>
          <w:szCs w:val="24"/>
        </w:rPr>
        <w:t>,</w:t>
      </w:r>
      <w:r w:rsidRPr="00A66850" w:rsidR="00A97B44">
        <w:rPr>
          <w:rFonts w:ascii="Times New Roman" w:hAnsi="Times New Roman" w:cs="Times New Roman"/>
          <w:sz w:val="24"/>
          <w:szCs w:val="24"/>
        </w:rPr>
        <w:t xml:space="preserve"> which </w:t>
      </w:r>
      <w:r w:rsidR="00C56397">
        <w:rPr>
          <w:rFonts w:ascii="Times New Roman" w:hAnsi="Times New Roman" w:cs="Times New Roman"/>
          <w:sz w:val="24"/>
          <w:szCs w:val="24"/>
        </w:rPr>
        <w:t>are publicly available on FTA’s website</w:t>
      </w:r>
      <w:r w:rsidRPr="00A66850" w:rsidR="00A97B44">
        <w:rPr>
          <w:rFonts w:ascii="Times New Roman" w:hAnsi="Times New Roman" w:cs="Times New Roman"/>
          <w:sz w:val="24"/>
          <w:szCs w:val="24"/>
        </w:rPr>
        <w:t>.</w:t>
      </w:r>
    </w:p>
    <w:p w:rsidRPr="00A66850" w:rsidR="00A97B44" w:rsidP="00A66850" w:rsidRDefault="00A97B44" w14:paraId="4F29908D" w14:textId="77777777">
      <w:pPr>
        <w:pStyle w:val="ListParagraph"/>
        <w:spacing w:after="0" w:line="240" w:lineRule="auto"/>
        <w:ind w:left="0"/>
        <w:contextualSpacing w:val="0"/>
        <w:rPr>
          <w:rFonts w:ascii="Times New Roman" w:hAnsi="Times New Roman" w:cs="Times New Roman"/>
          <w:sz w:val="24"/>
          <w:szCs w:val="24"/>
        </w:rPr>
      </w:pPr>
    </w:p>
    <w:p w:rsidR="00674041" w:rsidP="00A66850" w:rsidRDefault="00A97B44" w14:paraId="28D48AA8" w14:textId="62B3BBCB">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FTA’s existing </w:t>
      </w:r>
      <w:r w:rsidRPr="00A66850" w:rsidR="0072591D">
        <w:rPr>
          <w:rFonts w:ascii="Times New Roman" w:hAnsi="Times New Roman" w:cs="Times New Roman"/>
          <w:sz w:val="24"/>
          <w:szCs w:val="24"/>
        </w:rPr>
        <w:t xml:space="preserve">TrAMS </w:t>
      </w:r>
      <w:r w:rsidRPr="00A66850" w:rsidR="001C19D9">
        <w:rPr>
          <w:rFonts w:ascii="Times New Roman" w:hAnsi="Times New Roman" w:cs="Times New Roman"/>
          <w:sz w:val="24"/>
          <w:szCs w:val="24"/>
        </w:rPr>
        <w:t xml:space="preserve">system </w:t>
      </w:r>
      <w:r w:rsidRPr="00A66850">
        <w:rPr>
          <w:rFonts w:ascii="Times New Roman" w:hAnsi="Times New Roman" w:cs="Times New Roman"/>
          <w:sz w:val="24"/>
          <w:szCs w:val="24"/>
        </w:rPr>
        <w:t xml:space="preserve">will be used by </w:t>
      </w:r>
      <w:r w:rsidR="00394108">
        <w:rPr>
          <w:rFonts w:ascii="Times New Roman" w:hAnsi="Times New Roman" w:cs="Times New Roman"/>
          <w:sz w:val="24"/>
          <w:szCs w:val="24"/>
        </w:rPr>
        <w:t xml:space="preserve">transit agencies and </w:t>
      </w:r>
      <w:r w:rsidRPr="00A66850">
        <w:rPr>
          <w:rFonts w:ascii="Times New Roman" w:hAnsi="Times New Roman" w:cs="Times New Roman"/>
          <w:sz w:val="24"/>
          <w:szCs w:val="24"/>
        </w:rPr>
        <w:t xml:space="preserve">States for the submission of annual certification </w:t>
      </w:r>
      <w:r w:rsidRPr="00A66850" w:rsidR="00734FCA">
        <w:rPr>
          <w:rFonts w:ascii="Times New Roman" w:hAnsi="Times New Roman" w:cs="Times New Roman"/>
          <w:sz w:val="24"/>
          <w:szCs w:val="24"/>
        </w:rPr>
        <w:t xml:space="preserve">and assurance </w:t>
      </w:r>
      <w:r w:rsidR="00C56397">
        <w:rPr>
          <w:rFonts w:ascii="Times New Roman" w:hAnsi="Times New Roman" w:cs="Times New Roman"/>
          <w:sz w:val="24"/>
          <w:szCs w:val="24"/>
        </w:rPr>
        <w:t>information</w:t>
      </w:r>
      <w:r w:rsidRPr="00A66850">
        <w:rPr>
          <w:rFonts w:ascii="Times New Roman" w:hAnsi="Times New Roman" w:cs="Times New Roman"/>
          <w:sz w:val="24"/>
          <w:szCs w:val="24"/>
        </w:rPr>
        <w:t>.</w:t>
      </w:r>
      <w:r w:rsidR="00746EF9">
        <w:rPr>
          <w:rFonts w:ascii="Times New Roman" w:hAnsi="Times New Roman" w:cs="Times New Roman"/>
          <w:sz w:val="24"/>
          <w:szCs w:val="24"/>
        </w:rPr>
        <w:t xml:space="preserve">  FTA will not be collecting </w:t>
      </w:r>
      <w:r w:rsidR="001276FE">
        <w:rPr>
          <w:rFonts w:ascii="Times New Roman" w:hAnsi="Times New Roman" w:cs="Times New Roman"/>
          <w:sz w:val="24"/>
          <w:szCs w:val="24"/>
        </w:rPr>
        <w:t>ASPs</w:t>
      </w:r>
      <w:r w:rsidR="00746EF9">
        <w:rPr>
          <w:rFonts w:ascii="Times New Roman" w:hAnsi="Times New Roman" w:cs="Times New Roman"/>
          <w:sz w:val="24"/>
          <w:szCs w:val="24"/>
        </w:rPr>
        <w:t xml:space="preserve"> on</w:t>
      </w:r>
      <w:r w:rsidR="004A0BBF">
        <w:rPr>
          <w:rFonts w:ascii="Times New Roman" w:hAnsi="Times New Roman" w:cs="Times New Roman"/>
          <w:sz w:val="24"/>
          <w:szCs w:val="24"/>
        </w:rPr>
        <w:t xml:space="preserve"> an annual basis</w:t>
      </w:r>
      <w:r w:rsidR="00746EF9">
        <w:rPr>
          <w:rFonts w:ascii="Times New Roman" w:hAnsi="Times New Roman" w:cs="Times New Roman"/>
          <w:sz w:val="24"/>
          <w:szCs w:val="24"/>
        </w:rPr>
        <w:t xml:space="preserve">, but it will be </w:t>
      </w:r>
      <w:r w:rsidR="004A0BBF">
        <w:rPr>
          <w:rFonts w:ascii="Times New Roman" w:hAnsi="Times New Roman" w:cs="Times New Roman"/>
          <w:sz w:val="24"/>
          <w:szCs w:val="24"/>
        </w:rPr>
        <w:t xml:space="preserve">requiring transit agencies and States to annually self-certify, in accordance </w:t>
      </w:r>
      <w:r w:rsidR="004A0BBF">
        <w:rPr>
          <w:rFonts w:ascii="Times New Roman" w:hAnsi="Times New Roman" w:cs="Times New Roman"/>
          <w:sz w:val="24"/>
          <w:szCs w:val="24"/>
        </w:rPr>
        <w:lastRenderedPageBreak/>
        <w:t xml:space="preserve">with FTA’s already established policies and procedures, that they are complying with </w:t>
      </w:r>
      <w:r w:rsidR="001276FE">
        <w:rPr>
          <w:rFonts w:ascii="Times New Roman" w:hAnsi="Times New Roman" w:cs="Times New Roman"/>
          <w:sz w:val="24"/>
          <w:szCs w:val="24"/>
        </w:rPr>
        <w:t>the PTASP regulation</w:t>
      </w:r>
      <w:r w:rsidR="004A0BBF">
        <w:rPr>
          <w:rFonts w:ascii="Times New Roman" w:hAnsi="Times New Roman" w:cs="Times New Roman"/>
          <w:sz w:val="24"/>
          <w:szCs w:val="24"/>
        </w:rPr>
        <w:t>.</w:t>
      </w:r>
    </w:p>
    <w:p w:rsidRPr="00A66850" w:rsidR="00394108" w:rsidP="00A66850" w:rsidRDefault="00394108" w14:paraId="7CD81336" w14:textId="77777777">
      <w:pPr>
        <w:pStyle w:val="ListParagraph"/>
        <w:spacing w:after="0" w:line="240" w:lineRule="auto"/>
        <w:ind w:left="0"/>
        <w:contextualSpacing w:val="0"/>
        <w:rPr>
          <w:rFonts w:ascii="Times New Roman" w:hAnsi="Times New Roman" w:cs="Times New Roman"/>
          <w:sz w:val="24"/>
          <w:szCs w:val="24"/>
        </w:rPr>
      </w:pPr>
    </w:p>
    <w:p w:rsidRPr="00A66850" w:rsidR="00DF66D9" w:rsidP="006A299E" w:rsidRDefault="00DF66D9" w14:paraId="08660A10" w14:textId="77777777">
      <w:pPr>
        <w:pStyle w:val="ListParagraph"/>
        <w:keepNext/>
        <w:numPr>
          <w:ilvl w:val="0"/>
          <w:numId w:val="2"/>
        </w:numPr>
        <w:spacing w:after="0" w:line="240" w:lineRule="auto"/>
        <w:ind w:left="0" w:firstLine="0"/>
        <w:contextualSpacing w:val="0"/>
        <w:rPr>
          <w:rFonts w:ascii="Times New Roman" w:hAnsi="Times New Roman" w:cs="Times New Roman"/>
          <w:b/>
          <w:sz w:val="24"/>
          <w:szCs w:val="24"/>
        </w:rPr>
      </w:pPr>
      <w:r w:rsidRPr="00A66850">
        <w:rPr>
          <w:rFonts w:ascii="Times New Roman" w:hAnsi="Times New Roman" w:cs="Times New Roman"/>
          <w:b/>
          <w:sz w:val="24"/>
          <w:szCs w:val="24"/>
        </w:rPr>
        <w:t>Efforts to Identify Duplication and Use of Similar Information</w:t>
      </w:r>
    </w:p>
    <w:p w:rsidRPr="00A66850" w:rsidR="009A35AC" w:rsidP="006A299E" w:rsidRDefault="009A35AC" w14:paraId="4D9CBCA3" w14:textId="77777777">
      <w:pPr>
        <w:pStyle w:val="ListParagraph"/>
        <w:keepNext/>
        <w:spacing w:after="0" w:line="240" w:lineRule="auto"/>
        <w:ind w:left="0"/>
        <w:contextualSpacing w:val="0"/>
        <w:rPr>
          <w:rFonts w:ascii="Times New Roman" w:hAnsi="Times New Roman" w:cs="Times New Roman"/>
          <w:sz w:val="24"/>
          <w:szCs w:val="24"/>
        </w:rPr>
      </w:pPr>
    </w:p>
    <w:p w:rsidR="006C70CC" w:rsidP="00A66850" w:rsidRDefault="006C70CC" w14:paraId="7D815151" w14:textId="5856A61B">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No other Federal agency or operating administration within the U.S. Department of Transportation collects PTASP regulation certification information.  There is no duplication of information.</w:t>
      </w:r>
    </w:p>
    <w:p w:rsidRPr="00A66850" w:rsidR="00B01EB6" w:rsidP="00A66850" w:rsidRDefault="00B01EB6" w14:paraId="70AB02DB" w14:textId="77777777">
      <w:pPr>
        <w:pStyle w:val="ListParagraph"/>
        <w:spacing w:after="0" w:line="240" w:lineRule="auto"/>
        <w:ind w:left="0"/>
        <w:contextualSpacing w:val="0"/>
        <w:rPr>
          <w:rFonts w:ascii="Times New Roman" w:hAnsi="Times New Roman" w:cs="Times New Roman"/>
          <w:sz w:val="24"/>
          <w:szCs w:val="24"/>
        </w:rPr>
      </w:pPr>
    </w:p>
    <w:p w:rsidRPr="00A66850" w:rsidR="00DF66D9" w:rsidP="00B01EB6" w:rsidRDefault="00DF66D9" w14:paraId="6B9990DB" w14:textId="77777777">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Impact on Small Businesses or Other Small Entities</w:t>
      </w:r>
    </w:p>
    <w:p w:rsidRPr="00A66850" w:rsidR="009A35AC" w:rsidP="00B01EB6" w:rsidRDefault="009A35AC" w14:paraId="7D5700CA" w14:textId="77777777">
      <w:pPr>
        <w:pStyle w:val="ListParagraph"/>
        <w:keepNext/>
        <w:spacing w:after="0" w:line="240" w:lineRule="auto"/>
        <w:ind w:left="0"/>
        <w:contextualSpacing w:val="0"/>
        <w:rPr>
          <w:rFonts w:ascii="Times New Roman" w:hAnsi="Times New Roman" w:cs="Times New Roman"/>
          <w:sz w:val="24"/>
          <w:szCs w:val="24"/>
        </w:rPr>
      </w:pPr>
    </w:p>
    <w:p w:rsidR="0095131B" w:rsidP="00A66850" w:rsidRDefault="00504978" w14:paraId="069ADDF8" w14:textId="21F40F07">
      <w:pPr>
        <w:spacing w:after="0" w:line="240" w:lineRule="auto"/>
        <w:rPr>
          <w:rFonts w:ascii="Times New Roman" w:hAnsi="Times New Roman" w:cs="Times New Roman"/>
          <w:sz w:val="24"/>
          <w:szCs w:val="24"/>
        </w:rPr>
      </w:pPr>
      <w:r w:rsidRPr="00504978">
        <w:rPr>
          <w:rFonts w:ascii="Times New Roman" w:hAnsi="Times New Roman" w:cs="Times New Roman"/>
          <w:sz w:val="24"/>
          <w:szCs w:val="24"/>
        </w:rPr>
        <w:t>The information collected does not involve small businesses.</w:t>
      </w:r>
    </w:p>
    <w:p w:rsidRPr="00A66850" w:rsidR="006B3D67" w:rsidP="00A66850" w:rsidRDefault="006B3D67" w14:paraId="0D2879D0" w14:textId="77777777">
      <w:pPr>
        <w:pStyle w:val="ListParagraph"/>
        <w:spacing w:after="0" w:line="240" w:lineRule="auto"/>
        <w:ind w:left="0"/>
        <w:contextualSpacing w:val="0"/>
        <w:rPr>
          <w:rFonts w:ascii="Times New Roman" w:hAnsi="Times New Roman" w:cs="Times New Roman"/>
          <w:sz w:val="24"/>
          <w:szCs w:val="24"/>
        </w:rPr>
      </w:pPr>
    </w:p>
    <w:p w:rsidRPr="00A66850" w:rsidR="00DF66D9" w:rsidP="00F46DBC" w:rsidRDefault="00DF66D9" w14:paraId="64D5CEB7" w14:textId="77777777">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Consequences of Collecting the Information Less Frequently</w:t>
      </w:r>
    </w:p>
    <w:p w:rsidRPr="00A66850" w:rsidR="009A35AC" w:rsidP="00F46DBC" w:rsidRDefault="009A35AC" w14:paraId="79683E7C" w14:textId="77777777">
      <w:pPr>
        <w:pStyle w:val="ListParagraph"/>
        <w:keepNext/>
        <w:spacing w:after="0" w:line="240" w:lineRule="auto"/>
        <w:ind w:left="0"/>
        <w:contextualSpacing w:val="0"/>
        <w:rPr>
          <w:rFonts w:ascii="Times New Roman" w:hAnsi="Times New Roman" w:cs="Times New Roman"/>
          <w:sz w:val="24"/>
          <w:szCs w:val="24"/>
        </w:rPr>
      </w:pPr>
    </w:p>
    <w:p w:rsidRPr="00A66850" w:rsidR="006A2039" w:rsidP="00A66850" w:rsidRDefault="00A97B44" w14:paraId="2F320C7D" w14:textId="35C41B83">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Any delay or curtailment in the self-reporting of this information would hamper the ability of FTA to monitor </w:t>
      </w:r>
      <w:r w:rsidR="00F46DBC">
        <w:rPr>
          <w:rFonts w:ascii="Times New Roman" w:hAnsi="Times New Roman" w:cs="Times New Roman"/>
          <w:sz w:val="24"/>
          <w:szCs w:val="24"/>
        </w:rPr>
        <w:t xml:space="preserve">the implementation of, and compliance with, </w:t>
      </w:r>
      <w:r w:rsidR="00504978">
        <w:rPr>
          <w:rFonts w:ascii="Times New Roman" w:hAnsi="Times New Roman" w:cs="Times New Roman"/>
          <w:sz w:val="24"/>
          <w:szCs w:val="24"/>
        </w:rPr>
        <w:t>the PTASP regulation</w:t>
      </w:r>
      <w:r w:rsidRPr="00A66850">
        <w:rPr>
          <w:rFonts w:ascii="Times New Roman" w:hAnsi="Times New Roman" w:cs="Times New Roman"/>
          <w:sz w:val="24"/>
          <w:szCs w:val="24"/>
        </w:rPr>
        <w:t xml:space="preserve"> and the improvements in safety management.  </w:t>
      </w:r>
      <w:r w:rsidR="00F46DBC">
        <w:rPr>
          <w:rFonts w:ascii="Times New Roman" w:hAnsi="Times New Roman" w:cs="Times New Roman"/>
          <w:sz w:val="24"/>
          <w:szCs w:val="24"/>
        </w:rPr>
        <w:t>A</w:t>
      </w:r>
      <w:r w:rsidRPr="00A66850">
        <w:rPr>
          <w:rFonts w:ascii="Times New Roman" w:hAnsi="Times New Roman" w:cs="Times New Roman"/>
          <w:sz w:val="24"/>
          <w:szCs w:val="24"/>
        </w:rPr>
        <w:t>ddition</w:t>
      </w:r>
      <w:r w:rsidR="00F46DBC">
        <w:rPr>
          <w:rFonts w:ascii="Times New Roman" w:hAnsi="Times New Roman" w:cs="Times New Roman"/>
          <w:sz w:val="24"/>
          <w:szCs w:val="24"/>
        </w:rPr>
        <w:t>ally</w:t>
      </w:r>
      <w:r w:rsidRPr="00A66850">
        <w:rPr>
          <w:rFonts w:ascii="Times New Roman" w:hAnsi="Times New Roman" w:cs="Times New Roman"/>
          <w:sz w:val="24"/>
          <w:szCs w:val="24"/>
        </w:rPr>
        <w:t xml:space="preserve">, without the information requirements in the rule, FTA would be unable to adequately determine compliance with </w:t>
      </w:r>
      <w:r w:rsidRPr="00A66850" w:rsidR="006B3D67">
        <w:rPr>
          <w:rFonts w:ascii="Times New Roman" w:hAnsi="Times New Roman" w:cs="Times New Roman"/>
          <w:sz w:val="24"/>
          <w:szCs w:val="24"/>
        </w:rPr>
        <w:t xml:space="preserve">the statutory </w:t>
      </w:r>
      <w:r w:rsidRPr="00A66850">
        <w:rPr>
          <w:rFonts w:ascii="Times New Roman" w:hAnsi="Times New Roman" w:cs="Times New Roman"/>
          <w:sz w:val="24"/>
          <w:szCs w:val="24"/>
        </w:rPr>
        <w:t>requirements</w:t>
      </w:r>
      <w:r w:rsidRPr="00A66850" w:rsidR="006B3D67">
        <w:rPr>
          <w:rFonts w:ascii="Times New Roman" w:hAnsi="Times New Roman" w:cs="Times New Roman"/>
          <w:sz w:val="24"/>
          <w:szCs w:val="24"/>
        </w:rPr>
        <w:t xml:space="preserve"> of</w:t>
      </w:r>
      <w:r w:rsidRPr="00A66850">
        <w:rPr>
          <w:rFonts w:ascii="Times New Roman" w:hAnsi="Times New Roman" w:cs="Times New Roman"/>
          <w:sz w:val="24"/>
          <w:szCs w:val="24"/>
        </w:rPr>
        <w:t xml:space="preserve"> 49 U.S.C. </w:t>
      </w:r>
      <w:r w:rsidRPr="00A66850" w:rsidR="006B3D67">
        <w:rPr>
          <w:rFonts w:ascii="Times New Roman" w:hAnsi="Times New Roman" w:eastAsia="Calibri" w:cs="Times New Roman"/>
          <w:sz w:val="24"/>
          <w:szCs w:val="24"/>
        </w:rPr>
        <w:t xml:space="preserve">§ </w:t>
      </w:r>
      <w:r w:rsidRPr="00A66850">
        <w:rPr>
          <w:rFonts w:ascii="Times New Roman" w:hAnsi="Times New Roman" w:cs="Times New Roman"/>
          <w:sz w:val="24"/>
          <w:szCs w:val="24"/>
        </w:rPr>
        <w:t>5329</w:t>
      </w:r>
      <w:r w:rsidRPr="00A66850" w:rsidR="006B3D67">
        <w:rPr>
          <w:rFonts w:ascii="Times New Roman" w:hAnsi="Times New Roman" w:cs="Times New Roman"/>
          <w:sz w:val="24"/>
          <w:szCs w:val="24"/>
        </w:rPr>
        <w:t>(d)</w:t>
      </w:r>
      <w:r w:rsidRPr="00A66850">
        <w:rPr>
          <w:rFonts w:ascii="Times New Roman" w:hAnsi="Times New Roman" w:cs="Times New Roman"/>
          <w:sz w:val="24"/>
          <w:szCs w:val="24"/>
        </w:rPr>
        <w:t>.</w:t>
      </w:r>
    </w:p>
    <w:p w:rsidRPr="00A66850" w:rsidR="006B3D67" w:rsidP="00A66850" w:rsidRDefault="006B3D67" w14:paraId="1AE07568" w14:textId="77777777">
      <w:pPr>
        <w:pStyle w:val="ListParagraph"/>
        <w:spacing w:after="0" w:line="240" w:lineRule="auto"/>
        <w:ind w:left="0"/>
        <w:contextualSpacing w:val="0"/>
        <w:rPr>
          <w:rFonts w:ascii="Times New Roman" w:hAnsi="Times New Roman" w:cs="Times New Roman"/>
          <w:sz w:val="24"/>
          <w:szCs w:val="24"/>
        </w:rPr>
      </w:pPr>
    </w:p>
    <w:p w:rsidRPr="00A66850" w:rsidR="00DF66D9" w:rsidP="00954D85" w:rsidRDefault="00DF66D9" w14:paraId="3004DFB0" w14:textId="77777777">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Special Circumstance</w:t>
      </w:r>
      <w:r w:rsidRPr="00A66850" w:rsidR="00E26455">
        <w:rPr>
          <w:rFonts w:ascii="Times New Roman" w:hAnsi="Times New Roman" w:cs="Times New Roman"/>
          <w:b/>
          <w:sz w:val="24"/>
          <w:szCs w:val="24"/>
        </w:rPr>
        <w:t>s</w:t>
      </w:r>
      <w:r w:rsidRPr="00A66850">
        <w:rPr>
          <w:rFonts w:ascii="Times New Roman" w:hAnsi="Times New Roman" w:cs="Times New Roman"/>
          <w:b/>
          <w:sz w:val="24"/>
          <w:szCs w:val="24"/>
        </w:rPr>
        <w:t xml:space="preserve"> that </w:t>
      </w:r>
      <w:r w:rsidRPr="00A66850" w:rsidR="006B3D67">
        <w:rPr>
          <w:rFonts w:ascii="Times New Roman" w:hAnsi="Times New Roman" w:cs="Times New Roman"/>
          <w:b/>
          <w:sz w:val="24"/>
          <w:szCs w:val="24"/>
        </w:rPr>
        <w:t>R</w:t>
      </w:r>
      <w:r w:rsidRPr="00A66850">
        <w:rPr>
          <w:rFonts w:ascii="Times New Roman" w:hAnsi="Times New Roman" w:cs="Times New Roman"/>
          <w:b/>
          <w:sz w:val="24"/>
          <w:szCs w:val="24"/>
        </w:rPr>
        <w:t xml:space="preserve">equire the </w:t>
      </w:r>
      <w:r w:rsidRPr="00A66850" w:rsidR="006B3D67">
        <w:rPr>
          <w:rFonts w:ascii="Times New Roman" w:hAnsi="Times New Roman" w:cs="Times New Roman"/>
          <w:b/>
          <w:sz w:val="24"/>
          <w:szCs w:val="24"/>
        </w:rPr>
        <w:t>C</w:t>
      </w:r>
      <w:r w:rsidRPr="00A66850">
        <w:rPr>
          <w:rFonts w:ascii="Times New Roman" w:hAnsi="Times New Roman" w:cs="Times New Roman"/>
          <w:b/>
          <w:sz w:val="24"/>
          <w:szCs w:val="24"/>
        </w:rPr>
        <w:t xml:space="preserve">ollection to be </w:t>
      </w:r>
      <w:r w:rsidRPr="00A66850" w:rsidR="006B3D67">
        <w:rPr>
          <w:rFonts w:ascii="Times New Roman" w:hAnsi="Times New Roman" w:cs="Times New Roman"/>
          <w:b/>
          <w:sz w:val="24"/>
          <w:szCs w:val="24"/>
        </w:rPr>
        <w:t>C</w:t>
      </w:r>
      <w:r w:rsidRPr="00A66850">
        <w:rPr>
          <w:rFonts w:ascii="Times New Roman" w:hAnsi="Times New Roman" w:cs="Times New Roman"/>
          <w:b/>
          <w:sz w:val="24"/>
          <w:szCs w:val="24"/>
        </w:rPr>
        <w:t xml:space="preserve">onducted in a </w:t>
      </w:r>
      <w:r w:rsidRPr="00A66850" w:rsidR="006B3D67">
        <w:rPr>
          <w:rFonts w:ascii="Times New Roman" w:hAnsi="Times New Roman" w:cs="Times New Roman"/>
          <w:b/>
          <w:sz w:val="24"/>
          <w:szCs w:val="24"/>
        </w:rPr>
        <w:t>M</w:t>
      </w:r>
      <w:r w:rsidRPr="00A66850">
        <w:rPr>
          <w:rFonts w:ascii="Times New Roman" w:hAnsi="Times New Roman" w:cs="Times New Roman"/>
          <w:b/>
          <w:sz w:val="24"/>
          <w:szCs w:val="24"/>
        </w:rPr>
        <w:t xml:space="preserve">anner </w:t>
      </w:r>
      <w:r w:rsidRPr="00A66850" w:rsidR="006B3D67">
        <w:rPr>
          <w:rFonts w:ascii="Times New Roman" w:hAnsi="Times New Roman" w:cs="Times New Roman"/>
          <w:b/>
          <w:sz w:val="24"/>
          <w:szCs w:val="24"/>
        </w:rPr>
        <w:t>I</w:t>
      </w:r>
      <w:r w:rsidRPr="00A66850">
        <w:rPr>
          <w:rFonts w:ascii="Times New Roman" w:hAnsi="Times New Roman" w:cs="Times New Roman"/>
          <w:b/>
          <w:sz w:val="24"/>
          <w:szCs w:val="24"/>
        </w:rPr>
        <w:t xml:space="preserve">nconsistent with OMB </w:t>
      </w:r>
      <w:r w:rsidRPr="00A66850" w:rsidR="006B3D67">
        <w:rPr>
          <w:rFonts w:ascii="Times New Roman" w:hAnsi="Times New Roman" w:cs="Times New Roman"/>
          <w:b/>
          <w:sz w:val="24"/>
          <w:szCs w:val="24"/>
        </w:rPr>
        <w:t>G</w:t>
      </w:r>
      <w:r w:rsidRPr="00A66850">
        <w:rPr>
          <w:rFonts w:ascii="Times New Roman" w:hAnsi="Times New Roman" w:cs="Times New Roman"/>
          <w:b/>
          <w:sz w:val="24"/>
          <w:szCs w:val="24"/>
        </w:rPr>
        <w:t>uidelines</w:t>
      </w:r>
    </w:p>
    <w:p w:rsidRPr="00A66850" w:rsidR="009A35AC" w:rsidP="00954D85" w:rsidRDefault="009A35AC" w14:paraId="460632A9" w14:textId="77777777">
      <w:pPr>
        <w:pStyle w:val="ListParagraph"/>
        <w:keepNext/>
        <w:spacing w:after="0" w:line="240" w:lineRule="auto"/>
        <w:ind w:left="0"/>
        <w:contextualSpacing w:val="0"/>
        <w:rPr>
          <w:rFonts w:ascii="Times New Roman" w:hAnsi="Times New Roman" w:cs="Times New Roman"/>
          <w:sz w:val="24"/>
          <w:szCs w:val="24"/>
        </w:rPr>
      </w:pPr>
    </w:p>
    <w:p w:rsidRPr="00A66850" w:rsidR="006A2039" w:rsidP="00A66850" w:rsidRDefault="009E39E3" w14:paraId="76D2616C" w14:textId="03625066">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There are no special circumstances that require</w:t>
      </w:r>
      <w:r w:rsidRPr="00A66850" w:rsidR="006B3D67">
        <w:rPr>
          <w:rFonts w:ascii="Times New Roman" w:hAnsi="Times New Roman" w:cs="Times New Roman"/>
          <w:sz w:val="24"/>
          <w:szCs w:val="24"/>
        </w:rPr>
        <w:t xml:space="preserve"> the</w:t>
      </w:r>
      <w:r w:rsidRPr="00A66850">
        <w:rPr>
          <w:rFonts w:ascii="Times New Roman" w:hAnsi="Times New Roman" w:cs="Times New Roman"/>
          <w:sz w:val="24"/>
          <w:szCs w:val="24"/>
        </w:rPr>
        <w:t xml:space="preserve"> collection of information inconsistent with </w:t>
      </w:r>
      <w:r w:rsidRPr="00A66850" w:rsidR="006B3D67">
        <w:rPr>
          <w:rFonts w:ascii="Times New Roman" w:hAnsi="Times New Roman" w:cs="Times New Roman"/>
          <w:sz w:val="24"/>
          <w:szCs w:val="24"/>
        </w:rPr>
        <w:t xml:space="preserve">any </w:t>
      </w:r>
      <w:r w:rsidR="000D426C">
        <w:rPr>
          <w:rFonts w:ascii="Times New Roman" w:hAnsi="Times New Roman" w:cs="Times New Roman"/>
          <w:sz w:val="24"/>
          <w:szCs w:val="24"/>
        </w:rPr>
        <w:t xml:space="preserve">OMB </w:t>
      </w:r>
      <w:r w:rsidRPr="00A66850" w:rsidR="00641755">
        <w:rPr>
          <w:rFonts w:ascii="Times New Roman" w:hAnsi="Times New Roman" w:cs="Times New Roman"/>
          <w:sz w:val="24"/>
          <w:szCs w:val="24"/>
        </w:rPr>
        <w:t>guidelines</w:t>
      </w:r>
      <w:r w:rsidRPr="00A66850">
        <w:rPr>
          <w:rFonts w:ascii="Times New Roman" w:hAnsi="Times New Roman" w:cs="Times New Roman"/>
          <w:sz w:val="24"/>
          <w:szCs w:val="24"/>
        </w:rPr>
        <w:t>.</w:t>
      </w:r>
    </w:p>
    <w:p w:rsidRPr="00A66850" w:rsidR="00DF66D9" w:rsidP="00A66850" w:rsidRDefault="00DF66D9" w14:paraId="428E9843" w14:textId="77777777">
      <w:pPr>
        <w:pStyle w:val="ListParagraph"/>
        <w:spacing w:after="0" w:line="240" w:lineRule="auto"/>
        <w:ind w:left="0"/>
        <w:contextualSpacing w:val="0"/>
        <w:rPr>
          <w:rFonts w:ascii="Times New Roman" w:hAnsi="Times New Roman" w:cs="Times New Roman"/>
          <w:sz w:val="24"/>
          <w:szCs w:val="24"/>
        </w:rPr>
      </w:pPr>
    </w:p>
    <w:p w:rsidRPr="00A66850" w:rsidR="00DF66D9" w:rsidP="00954D85" w:rsidRDefault="00DF66D9" w14:paraId="73742B29" w14:textId="77777777">
      <w:pPr>
        <w:pStyle w:val="ListParagraph"/>
        <w:keepNext/>
        <w:numPr>
          <w:ilvl w:val="0"/>
          <w:numId w:val="2"/>
        </w:numPr>
        <w:spacing w:after="0" w:line="240" w:lineRule="auto"/>
        <w:ind w:hanging="720"/>
        <w:contextualSpacing w:val="0"/>
        <w:rPr>
          <w:rFonts w:ascii="Times New Roman" w:hAnsi="Times New Roman" w:cs="Times New Roman"/>
          <w:b/>
          <w:sz w:val="24"/>
          <w:szCs w:val="24"/>
        </w:rPr>
      </w:pPr>
      <w:bookmarkStart w:name="_Hlk106799621" w:id="2"/>
      <w:r w:rsidRPr="00A66850">
        <w:rPr>
          <w:rFonts w:ascii="Times New Roman" w:hAnsi="Times New Roman" w:cs="Times New Roman"/>
          <w:b/>
          <w:sz w:val="24"/>
          <w:szCs w:val="24"/>
        </w:rPr>
        <w:t>Comments in Response to the Federal Register Notices and Efforts to Consult Outside Agenc</w:t>
      </w:r>
      <w:r w:rsidRPr="00A66850" w:rsidR="006B3D67">
        <w:rPr>
          <w:rFonts w:ascii="Times New Roman" w:hAnsi="Times New Roman" w:cs="Times New Roman"/>
          <w:b/>
          <w:sz w:val="24"/>
          <w:szCs w:val="24"/>
        </w:rPr>
        <w:t>ies</w:t>
      </w:r>
    </w:p>
    <w:p w:rsidRPr="00A66850" w:rsidR="00824C05" w:rsidP="00954D85" w:rsidRDefault="00824C05" w14:paraId="4AA8C884" w14:textId="77777777">
      <w:pPr>
        <w:pStyle w:val="ListParagraph"/>
        <w:keepNext/>
        <w:spacing w:after="0" w:line="240" w:lineRule="auto"/>
        <w:ind w:left="0"/>
        <w:contextualSpacing w:val="0"/>
        <w:rPr>
          <w:rFonts w:ascii="Times New Roman" w:hAnsi="Times New Roman" w:cs="Times New Roman"/>
          <w:sz w:val="24"/>
          <w:szCs w:val="24"/>
        </w:rPr>
      </w:pPr>
    </w:p>
    <w:p w:rsidR="000453C2" w:rsidP="00E36312" w:rsidRDefault="00E36312" w14:paraId="3743A35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E36312">
        <w:rPr>
          <w:rFonts w:ascii="Times New Roman" w:hAnsi="Times New Roman" w:cs="Times New Roman"/>
          <w:sz w:val="24"/>
          <w:szCs w:val="24"/>
        </w:rPr>
        <w:t xml:space="preserve">n accordance with the Paperwork Reduction Act of 1995, </w:t>
      </w:r>
      <w:r>
        <w:rPr>
          <w:rFonts w:ascii="Times New Roman" w:hAnsi="Times New Roman" w:cs="Times New Roman"/>
          <w:sz w:val="24"/>
          <w:szCs w:val="24"/>
        </w:rPr>
        <w:t xml:space="preserve">on March 22, 2022, FTA </w:t>
      </w:r>
      <w:r w:rsidRPr="00A66850" w:rsidR="007C19ED">
        <w:rPr>
          <w:rFonts w:ascii="Times New Roman" w:hAnsi="Times New Roman" w:cs="Times New Roman"/>
          <w:sz w:val="24"/>
          <w:szCs w:val="24"/>
        </w:rPr>
        <w:t>issued a</w:t>
      </w:r>
      <w:r>
        <w:rPr>
          <w:rFonts w:ascii="Times New Roman" w:hAnsi="Times New Roman" w:cs="Times New Roman"/>
          <w:sz w:val="24"/>
          <w:szCs w:val="24"/>
        </w:rPr>
        <w:t xml:space="preserve"> </w:t>
      </w:r>
    </w:p>
    <w:p w:rsidR="000B3B61" w:rsidP="00E36312" w:rsidRDefault="00E36312" w14:paraId="6811900B" w14:textId="171261EE">
      <w:pPr>
        <w:spacing w:after="0" w:line="240" w:lineRule="auto"/>
        <w:rPr>
          <w:rFonts w:ascii="Times New Roman" w:hAnsi="Times New Roman" w:cs="Times New Roman"/>
          <w:sz w:val="24"/>
          <w:szCs w:val="24"/>
        </w:rPr>
      </w:pPr>
      <w:r>
        <w:rPr>
          <w:rFonts w:ascii="Times New Roman" w:hAnsi="Times New Roman" w:cs="Times New Roman"/>
          <w:sz w:val="24"/>
          <w:szCs w:val="24"/>
        </w:rPr>
        <w:t>60-day Federal Register Notice</w:t>
      </w:r>
      <w:r w:rsidR="000453C2">
        <w:rPr>
          <w:rFonts w:ascii="Times New Roman" w:hAnsi="Times New Roman" w:cs="Times New Roman"/>
          <w:sz w:val="24"/>
          <w:szCs w:val="24"/>
        </w:rPr>
        <w:t xml:space="preserve"> (Vol. 87, No. 55 page 16306-16307)</w:t>
      </w:r>
      <w:r>
        <w:rPr>
          <w:rFonts w:ascii="Times New Roman" w:hAnsi="Times New Roman" w:cs="Times New Roman"/>
          <w:sz w:val="24"/>
          <w:szCs w:val="24"/>
        </w:rPr>
        <w:t xml:space="preserve"> announcing its intention </w:t>
      </w:r>
      <w:r w:rsidRPr="00E36312">
        <w:rPr>
          <w:rFonts w:ascii="Times New Roman" w:hAnsi="Times New Roman" w:cs="Times New Roman"/>
          <w:sz w:val="24"/>
          <w:szCs w:val="24"/>
        </w:rPr>
        <w:t>to request the Office of Management and Budget (OMB) to approve the extension of a currently approved information collection: Public Transportation Agency Safety Plan.</w:t>
      </w:r>
      <w:r>
        <w:rPr>
          <w:rFonts w:ascii="Times New Roman" w:hAnsi="Times New Roman" w:cs="Times New Roman"/>
          <w:sz w:val="24"/>
          <w:szCs w:val="24"/>
        </w:rPr>
        <w:t xml:space="preserve"> </w:t>
      </w:r>
      <w:r w:rsidRPr="00A66850" w:rsidR="007C19ED">
        <w:rPr>
          <w:rFonts w:ascii="Times New Roman" w:hAnsi="Times New Roman" w:cs="Times New Roman"/>
          <w:sz w:val="24"/>
          <w:szCs w:val="24"/>
        </w:rPr>
        <w:t xml:space="preserve">In response, FTA received </w:t>
      </w:r>
      <w:r w:rsidR="000B3B61">
        <w:rPr>
          <w:rFonts w:ascii="Times New Roman" w:hAnsi="Times New Roman" w:cs="Times New Roman"/>
          <w:sz w:val="24"/>
          <w:szCs w:val="24"/>
        </w:rPr>
        <w:t>no comments</w:t>
      </w:r>
      <w:r w:rsidRPr="00A66850" w:rsidR="007C19ED">
        <w:rPr>
          <w:rFonts w:ascii="Times New Roman" w:hAnsi="Times New Roman" w:cs="Times New Roman"/>
          <w:sz w:val="24"/>
          <w:szCs w:val="24"/>
        </w:rPr>
        <w:t>.</w:t>
      </w:r>
      <w:r w:rsidR="00F82A37">
        <w:rPr>
          <w:rFonts w:ascii="Times New Roman" w:hAnsi="Times New Roman" w:cs="Times New Roman"/>
          <w:sz w:val="24"/>
          <w:szCs w:val="24"/>
        </w:rPr>
        <w:t xml:space="preserve">  </w:t>
      </w:r>
      <w:r w:rsidR="000B3B61">
        <w:rPr>
          <w:rFonts w:ascii="Times New Roman" w:hAnsi="Times New Roman" w:cs="Times New Roman"/>
          <w:sz w:val="24"/>
          <w:szCs w:val="24"/>
        </w:rPr>
        <w:t xml:space="preserve">FTA </w:t>
      </w:r>
      <w:r w:rsidR="00DC7A4A">
        <w:rPr>
          <w:rFonts w:ascii="Times New Roman" w:hAnsi="Times New Roman" w:cs="Times New Roman"/>
          <w:sz w:val="24"/>
          <w:szCs w:val="24"/>
        </w:rPr>
        <w:t>publish</w:t>
      </w:r>
      <w:r w:rsidR="00504978">
        <w:rPr>
          <w:rFonts w:ascii="Times New Roman" w:hAnsi="Times New Roman" w:cs="Times New Roman"/>
          <w:sz w:val="24"/>
          <w:szCs w:val="24"/>
        </w:rPr>
        <w:t>ed</w:t>
      </w:r>
      <w:r w:rsidR="00DC7A4A">
        <w:rPr>
          <w:rFonts w:ascii="Times New Roman" w:hAnsi="Times New Roman" w:cs="Times New Roman"/>
          <w:sz w:val="24"/>
          <w:szCs w:val="24"/>
        </w:rPr>
        <w:t xml:space="preserve"> a 30-day Federal Register Notice </w:t>
      </w:r>
      <w:r w:rsidR="00504978">
        <w:rPr>
          <w:rFonts w:ascii="Times New Roman" w:hAnsi="Times New Roman" w:cs="Times New Roman"/>
          <w:sz w:val="24"/>
          <w:szCs w:val="24"/>
        </w:rPr>
        <w:t>on</w:t>
      </w:r>
      <w:r w:rsidR="000453C2">
        <w:rPr>
          <w:rFonts w:ascii="Times New Roman" w:hAnsi="Times New Roman" w:cs="Times New Roman"/>
          <w:sz w:val="24"/>
          <w:szCs w:val="24"/>
        </w:rPr>
        <w:t xml:space="preserve"> June 23, 2022 (Vol. 87 No. 120 pages 37550-37551).</w:t>
      </w:r>
    </w:p>
    <w:p w:rsidR="007C19ED" w:rsidP="007C19ED" w:rsidRDefault="007C19ED" w14:paraId="430420CB" w14:textId="77777777">
      <w:pPr>
        <w:pStyle w:val="ListParagraph"/>
        <w:spacing w:after="0" w:line="240" w:lineRule="auto"/>
        <w:ind w:left="0"/>
        <w:contextualSpacing w:val="0"/>
        <w:rPr>
          <w:rFonts w:ascii="Times New Roman" w:hAnsi="Times New Roman" w:cs="Times New Roman"/>
          <w:sz w:val="24"/>
          <w:szCs w:val="24"/>
        </w:rPr>
      </w:pPr>
    </w:p>
    <w:p w:rsidRPr="00A66850" w:rsidR="00146D66" w:rsidP="00A66850" w:rsidRDefault="00DC7A4A" w14:paraId="51344DB0" w14:textId="65865A92">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In 2019, FTA established the PTASP</w:t>
      </w:r>
      <w:r w:rsidR="00733450">
        <w:rPr>
          <w:rFonts w:ascii="Times New Roman" w:hAnsi="Times New Roman" w:cs="Times New Roman"/>
          <w:sz w:val="24"/>
          <w:szCs w:val="24"/>
        </w:rPr>
        <w:t xml:space="preserve"> </w:t>
      </w:r>
      <w:r>
        <w:rPr>
          <w:rFonts w:ascii="Times New Roman" w:hAnsi="Times New Roman" w:cs="Times New Roman"/>
          <w:sz w:val="24"/>
          <w:szCs w:val="24"/>
        </w:rPr>
        <w:t xml:space="preserve">TAC to provide ongoing and direct technical assistance to agencies required to comply with the PTASP regulation. </w:t>
      </w:r>
      <w:r w:rsidR="00F82A37">
        <w:rPr>
          <w:rFonts w:ascii="Times New Roman" w:hAnsi="Times New Roman" w:cs="Times New Roman"/>
          <w:sz w:val="24"/>
          <w:szCs w:val="24"/>
        </w:rPr>
        <w:t xml:space="preserve"> Since that time the </w:t>
      </w:r>
      <w:r>
        <w:rPr>
          <w:rFonts w:ascii="Times New Roman" w:hAnsi="Times New Roman" w:cs="Times New Roman"/>
          <w:sz w:val="24"/>
          <w:szCs w:val="24"/>
        </w:rPr>
        <w:t>PTASP</w:t>
      </w:r>
      <w:r w:rsidR="005454CD">
        <w:rPr>
          <w:rFonts w:ascii="Times New Roman" w:hAnsi="Times New Roman" w:cs="Times New Roman"/>
          <w:sz w:val="24"/>
          <w:szCs w:val="24"/>
        </w:rPr>
        <w:t xml:space="preserve"> </w:t>
      </w:r>
      <w:r>
        <w:rPr>
          <w:rFonts w:ascii="Times New Roman" w:hAnsi="Times New Roman" w:cs="Times New Roman"/>
          <w:sz w:val="24"/>
          <w:szCs w:val="24"/>
        </w:rPr>
        <w:t xml:space="preserve">TAC has provided extensive support to </w:t>
      </w:r>
      <w:r w:rsidR="00F82A37">
        <w:rPr>
          <w:rFonts w:ascii="Times New Roman" w:hAnsi="Times New Roman" w:cs="Times New Roman"/>
          <w:sz w:val="24"/>
          <w:szCs w:val="24"/>
        </w:rPr>
        <w:t xml:space="preserve">transit agencies and States, including direct responses to over 1,800 inquiries, reviews of over 400 Agency Safety Plans, </w:t>
      </w:r>
      <w:r w:rsidR="003E5443">
        <w:rPr>
          <w:rFonts w:ascii="Times New Roman" w:hAnsi="Times New Roman" w:cs="Times New Roman"/>
          <w:sz w:val="24"/>
          <w:szCs w:val="24"/>
        </w:rPr>
        <w:t xml:space="preserve">facilitation of </w:t>
      </w:r>
      <w:r w:rsidR="00F82A37">
        <w:rPr>
          <w:rFonts w:ascii="Times New Roman" w:hAnsi="Times New Roman" w:cs="Times New Roman"/>
          <w:sz w:val="24"/>
          <w:szCs w:val="24"/>
        </w:rPr>
        <w:t xml:space="preserve">20 webinars with over 3,500 participants, </w:t>
      </w:r>
      <w:r w:rsidR="003E5443">
        <w:rPr>
          <w:rFonts w:ascii="Times New Roman" w:hAnsi="Times New Roman" w:cs="Times New Roman"/>
          <w:sz w:val="24"/>
          <w:szCs w:val="24"/>
        </w:rPr>
        <w:t xml:space="preserve">conduct of </w:t>
      </w:r>
      <w:r w:rsidR="00F82A37">
        <w:rPr>
          <w:rFonts w:ascii="Times New Roman" w:hAnsi="Times New Roman" w:cs="Times New Roman"/>
          <w:sz w:val="24"/>
          <w:szCs w:val="24"/>
        </w:rPr>
        <w:t xml:space="preserve">17 workshops with over 600 participants, </w:t>
      </w:r>
      <w:r w:rsidR="003E5443">
        <w:rPr>
          <w:rFonts w:ascii="Times New Roman" w:hAnsi="Times New Roman" w:cs="Times New Roman"/>
          <w:sz w:val="24"/>
          <w:szCs w:val="24"/>
        </w:rPr>
        <w:t>and development and publication of over 70 technical assistance documents, tools, and templates via the PTASP</w:t>
      </w:r>
      <w:r w:rsidR="00733450">
        <w:rPr>
          <w:rFonts w:ascii="Times New Roman" w:hAnsi="Times New Roman" w:cs="Times New Roman"/>
          <w:sz w:val="24"/>
          <w:szCs w:val="24"/>
        </w:rPr>
        <w:t xml:space="preserve"> </w:t>
      </w:r>
      <w:r w:rsidR="003E5443">
        <w:rPr>
          <w:rFonts w:ascii="Times New Roman" w:hAnsi="Times New Roman" w:cs="Times New Roman"/>
          <w:sz w:val="24"/>
          <w:szCs w:val="24"/>
        </w:rPr>
        <w:t xml:space="preserve">TAC website.  While this </w:t>
      </w:r>
      <w:r>
        <w:rPr>
          <w:rFonts w:ascii="Times New Roman" w:hAnsi="Times New Roman" w:cs="Times New Roman"/>
          <w:sz w:val="24"/>
          <w:szCs w:val="24"/>
        </w:rPr>
        <w:t>process helped the transit industry achieve 100% certification compliance with the Final Rule by the enforcement deadline of 7/20/202</w:t>
      </w:r>
      <w:r w:rsidR="00F15038">
        <w:rPr>
          <w:rFonts w:ascii="Times New Roman" w:hAnsi="Times New Roman" w:cs="Times New Roman"/>
          <w:sz w:val="24"/>
          <w:szCs w:val="24"/>
        </w:rPr>
        <w:t>1</w:t>
      </w:r>
      <w:r w:rsidR="003E5443">
        <w:rPr>
          <w:rFonts w:ascii="Times New Roman" w:hAnsi="Times New Roman" w:cs="Times New Roman"/>
          <w:sz w:val="24"/>
          <w:szCs w:val="24"/>
        </w:rPr>
        <w:t xml:space="preserve">, it has also provided FTA with valuable perspective on transit industry SMS implementation and maturation. </w:t>
      </w:r>
      <w:r w:rsidRPr="00A66850">
        <w:rPr>
          <w:rFonts w:ascii="Times New Roman" w:hAnsi="Times New Roman" w:cs="Times New Roman"/>
          <w:sz w:val="24"/>
          <w:szCs w:val="24"/>
        </w:rPr>
        <w:t xml:space="preserve"> </w:t>
      </w:r>
    </w:p>
    <w:p w:rsidR="004C4E6D" w:rsidP="00A66850" w:rsidRDefault="004C4E6D" w14:paraId="5E953519" w14:textId="7BFFB7AD">
      <w:pPr>
        <w:pStyle w:val="ListParagraph"/>
        <w:spacing w:after="0" w:line="240" w:lineRule="auto"/>
        <w:ind w:left="0"/>
        <w:contextualSpacing w:val="0"/>
        <w:rPr>
          <w:rFonts w:ascii="Times New Roman" w:hAnsi="Times New Roman" w:cs="Times New Roman"/>
          <w:sz w:val="24"/>
          <w:szCs w:val="24"/>
        </w:rPr>
      </w:pPr>
    </w:p>
    <w:p w:rsidRPr="00C04200" w:rsidR="00C04200" w:rsidP="00C04200" w:rsidRDefault="00C04200" w14:paraId="1DA01FE5" w14:textId="0B4FA5C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in an effort to provide additional outreach to our respondents, FTA </w:t>
      </w:r>
      <w:r w:rsidRPr="00C04200">
        <w:rPr>
          <w:rFonts w:ascii="Times New Roman" w:hAnsi="Times New Roman" w:cs="Times New Roman"/>
          <w:sz w:val="24"/>
          <w:szCs w:val="24"/>
        </w:rPr>
        <w:t>published an </w:t>
      </w:r>
      <w:hyperlink w:tgtFrame="_blank" w:history="1" r:id="rId11">
        <w:r w:rsidRPr="00C04200">
          <w:rPr>
            <w:rStyle w:val="Hyperlink"/>
            <w:rFonts w:ascii="Times New Roman" w:hAnsi="Times New Roman" w:cs="Times New Roman"/>
            <w:sz w:val="24"/>
            <w:szCs w:val="24"/>
          </w:rPr>
          <w:t>Agency Safety Plan (ASP) Directory</w:t>
        </w:r>
      </w:hyperlink>
      <w:r w:rsidRPr="00C04200">
        <w:rPr>
          <w:rFonts w:ascii="Times New Roman" w:hAnsi="Times New Roman" w:cs="Times New Roman"/>
          <w:sz w:val="24"/>
          <w:szCs w:val="24"/>
        </w:rPr>
        <w:t> as part of the PTASP TAC Resource Library. Transit agencies can use these publicly available ASPs as a resource to help with their own ASP.</w:t>
      </w:r>
    </w:p>
    <w:p w:rsidRPr="00A66850" w:rsidR="00C04200" w:rsidP="00A66850" w:rsidRDefault="00C04200" w14:paraId="1C365A7E" w14:textId="22F46052">
      <w:pPr>
        <w:pStyle w:val="ListParagraph"/>
        <w:spacing w:after="0" w:line="240" w:lineRule="auto"/>
        <w:ind w:left="0"/>
        <w:contextualSpacing w:val="0"/>
        <w:rPr>
          <w:rFonts w:ascii="Times New Roman" w:hAnsi="Times New Roman" w:cs="Times New Roman"/>
          <w:sz w:val="24"/>
          <w:szCs w:val="24"/>
        </w:rPr>
      </w:pPr>
    </w:p>
    <w:bookmarkEnd w:id="2"/>
    <w:p w:rsidRPr="00A66850" w:rsidR="00DF66D9" w:rsidP="007C19ED" w:rsidRDefault="00DF66D9" w14:paraId="1D22E9F5" w14:textId="77777777">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Explanation of Any Payment or Gift to Respondents</w:t>
      </w:r>
    </w:p>
    <w:p w:rsidR="007C19ED" w:rsidP="007C19ED" w:rsidRDefault="007C19ED" w14:paraId="5F7628BB" w14:textId="77777777">
      <w:pPr>
        <w:pStyle w:val="ListParagraph"/>
        <w:keepNext/>
        <w:spacing w:after="0" w:line="240" w:lineRule="auto"/>
        <w:ind w:left="0"/>
        <w:contextualSpacing w:val="0"/>
        <w:rPr>
          <w:rFonts w:ascii="Times New Roman" w:hAnsi="Times New Roman" w:cs="Times New Roman"/>
          <w:sz w:val="24"/>
          <w:szCs w:val="24"/>
        </w:rPr>
      </w:pPr>
    </w:p>
    <w:p w:rsidRPr="00A66850" w:rsidR="00DF66D9" w:rsidP="00A66850" w:rsidRDefault="00504978" w14:paraId="530567C6" w14:textId="791BFFE2">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The PTASP regulation</w:t>
      </w:r>
      <w:r w:rsidRPr="00A66850" w:rsidR="004C4E6D">
        <w:rPr>
          <w:rFonts w:ascii="Times New Roman" w:hAnsi="Times New Roman" w:cs="Times New Roman"/>
          <w:sz w:val="24"/>
          <w:szCs w:val="24"/>
        </w:rPr>
        <w:t xml:space="preserve"> does not include any payments or gifts to respondents.</w:t>
      </w:r>
    </w:p>
    <w:p w:rsidRPr="007C19ED" w:rsidR="007C19ED" w:rsidP="007C19ED" w:rsidRDefault="007C19ED" w14:paraId="116AE89B" w14:textId="77777777">
      <w:pPr>
        <w:spacing w:after="0" w:line="240" w:lineRule="auto"/>
        <w:rPr>
          <w:rFonts w:ascii="Times New Roman" w:hAnsi="Times New Roman" w:cs="Times New Roman"/>
          <w:b/>
          <w:sz w:val="24"/>
          <w:szCs w:val="24"/>
        </w:rPr>
      </w:pPr>
    </w:p>
    <w:p w:rsidRPr="007C19ED" w:rsidR="007C19ED" w:rsidP="007C19ED" w:rsidRDefault="007C19ED" w14:paraId="4D6A3556" w14:textId="77777777">
      <w:pPr>
        <w:spacing w:after="0" w:line="240" w:lineRule="auto"/>
        <w:rPr>
          <w:rFonts w:ascii="Times New Roman" w:hAnsi="Times New Roman" w:cs="Times New Roman"/>
          <w:b/>
          <w:sz w:val="24"/>
          <w:szCs w:val="24"/>
        </w:rPr>
      </w:pPr>
    </w:p>
    <w:p w:rsidRPr="00A66850" w:rsidR="00DF66D9" w:rsidP="007C19ED" w:rsidRDefault="00DF66D9" w14:paraId="7E8CF277" w14:textId="77777777">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 xml:space="preserve">Assurance of Confidentiality Provided to Respondents </w:t>
      </w:r>
    </w:p>
    <w:p w:rsidRPr="00A66850" w:rsidR="009A35AC" w:rsidP="007C19ED" w:rsidRDefault="009A35AC" w14:paraId="003EB15A" w14:textId="77777777">
      <w:pPr>
        <w:pStyle w:val="ListParagraph"/>
        <w:keepNext/>
        <w:spacing w:after="0" w:line="240" w:lineRule="auto"/>
        <w:ind w:left="0"/>
        <w:contextualSpacing w:val="0"/>
        <w:rPr>
          <w:rFonts w:ascii="Times New Roman" w:hAnsi="Times New Roman" w:cs="Times New Roman"/>
          <w:sz w:val="24"/>
          <w:szCs w:val="24"/>
        </w:rPr>
      </w:pPr>
    </w:p>
    <w:p w:rsidRPr="00A66850" w:rsidR="006A2039" w:rsidP="00A66850" w:rsidRDefault="009E39E3" w14:paraId="00266F63" w14:textId="42347F81">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No elements of confidentiality are involved</w:t>
      </w:r>
      <w:r w:rsidRPr="00A66850" w:rsidR="004C4E6D">
        <w:rPr>
          <w:rFonts w:ascii="Times New Roman" w:hAnsi="Times New Roman" w:cs="Times New Roman"/>
          <w:sz w:val="24"/>
          <w:szCs w:val="24"/>
        </w:rPr>
        <w:t xml:space="preserve"> in </w:t>
      </w:r>
      <w:r w:rsidR="00504978">
        <w:rPr>
          <w:rFonts w:ascii="Times New Roman" w:hAnsi="Times New Roman" w:cs="Times New Roman"/>
          <w:sz w:val="24"/>
          <w:szCs w:val="24"/>
        </w:rPr>
        <w:t>the PTASP regulation</w:t>
      </w:r>
      <w:r w:rsidRPr="00A66850" w:rsidR="004C4E6D">
        <w:rPr>
          <w:rFonts w:ascii="Times New Roman" w:hAnsi="Times New Roman" w:cs="Times New Roman"/>
          <w:sz w:val="24"/>
          <w:szCs w:val="24"/>
        </w:rPr>
        <w:t>.</w:t>
      </w:r>
    </w:p>
    <w:p w:rsidRPr="00A66850" w:rsidR="004C4E6D" w:rsidP="00A66850" w:rsidRDefault="004C4E6D" w14:paraId="5BAE42E9" w14:textId="77777777">
      <w:pPr>
        <w:pStyle w:val="ListParagraph"/>
        <w:spacing w:after="0" w:line="240" w:lineRule="auto"/>
        <w:ind w:left="0"/>
        <w:contextualSpacing w:val="0"/>
        <w:rPr>
          <w:rFonts w:ascii="Times New Roman" w:hAnsi="Times New Roman" w:cs="Times New Roman"/>
          <w:sz w:val="24"/>
          <w:szCs w:val="24"/>
        </w:rPr>
      </w:pPr>
    </w:p>
    <w:p w:rsidRPr="00A66850" w:rsidR="00DF66D9" w:rsidP="007C19ED" w:rsidRDefault="00DF66D9" w14:paraId="4749D69C" w14:textId="77777777">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Justification for Sensitive Questions</w:t>
      </w:r>
    </w:p>
    <w:p w:rsidRPr="00A66850" w:rsidR="009A35AC" w:rsidP="007C19ED" w:rsidRDefault="009A35AC" w14:paraId="76BB0313" w14:textId="77777777">
      <w:pPr>
        <w:pStyle w:val="ListParagraph"/>
        <w:keepNext/>
        <w:spacing w:after="0" w:line="240" w:lineRule="auto"/>
        <w:ind w:left="0"/>
        <w:contextualSpacing w:val="0"/>
        <w:rPr>
          <w:rFonts w:ascii="Times New Roman" w:hAnsi="Times New Roman" w:cs="Times New Roman"/>
          <w:sz w:val="24"/>
          <w:szCs w:val="24"/>
        </w:rPr>
      </w:pPr>
    </w:p>
    <w:p w:rsidRPr="00A66850" w:rsidR="00FC338A" w:rsidP="00A66850" w:rsidRDefault="004C4E6D" w14:paraId="7F71D906" w14:textId="00A1974D">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No sensitive questions are included in </w:t>
      </w:r>
      <w:r w:rsidR="00504978">
        <w:rPr>
          <w:rFonts w:ascii="Times New Roman" w:hAnsi="Times New Roman" w:cs="Times New Roman"/>
          <w:sz w:val="24"/>
          <w:szCs w:val="24"/>
        </w:rPr>
        <w:t>the PTASP regulation</w:t>
      </w:r>
      <w:r w:rsidRPr="00A66850">
        <w:rPr>
          <w:rFonts w:ascii="Times New Roman" w:hAnsi="Times New Roman" w:cs="Times New Roman"/>
          <w:sz w:val="24"/>
          <w:szCs w:val="24"/>
        </w:rPr>
        <w:t>.</w:t>
      </w:r>
    </w:p>
    <w:p w:rsidRPr="00A66850" w:rsidR="007C19ED" w:rsidP="00A66850" w:rsidRDefault="007C19ED" w14:paraId="02FE7AB3" w14:textId="77777777">
      <w:pPr>
        <w:pStyle w:val="ListParagraph"/>
        <w:spacing w:after="0" w:line="240" w:lineRule="auto"/>
        <w:ind w:left="0"/>
        <w:contextualSpacing w:val="0"/>
        <w:rPr>
          <w:rFonts w:ascii="Times New Roman" w:hAnsi="Times New Roman" w:cs="Times New Roman"/>
          <w:sz w:val="24"/>
          <w:szCs w:val="24"/>
        </w:rPr>
      </w:pPr>
    </w:p>
    <w:p w:rsidRPr="006F6253" w:rsidR="007C19ED" w:rsidP="007C19ED" w:rsidRDefault="00C35514" w14:paraId="77B5CF6F" w14:textId="77777777">
      <w:pPr>
        <w:pStyle w:val="ListParagraph"/>
        <w:keepNext/>
        <w:numPr>
          <w:ilvl w:val="0"/>
          <w:numId w:val="2"/>
        </w:numPr>
        <w:spacing w:after="0" w:line="240" w:lineRule="auto"/>
        <w:ind w:hanging="720"/>
        <w:contextualSpacing w:val="0"/>
        <w:rPr>
          <w:rFonts w:ascii="Times New Roman" w:hAnsi="Times New Roman" w:eastAsia="Times New Roman" w:cs="Times New Roman"/>
          <w:color w:val="000000"/>
          <w:sz w:val="24"/>
          <w:szCs w:val="24"/>
        </w:rPr>
      </w:pPr>
      <w:r w:rsidRPr="006F6253">
        <w:rPr>
          <w:rFonts w:ascii="Times New Roman" w:hAnsi="Times New Roman" w:cs="Times New Roman"/>
          <w:b/>
          <w:sz w:val="24"/>
          <w:szCs w:val="24"/>
        </w:rPr>
        <w:t>Estimates of Hour Burden Including Annualized Hourly Costs</w:t>
      </w:r>
    </w:p>
    <w:p w:rsidRPr="006F6253" w:rsidR="006F6253" w:rsidP="006F6253" w:rsidRDefault="006F6253" w14:paraId="14E3CE30" w14:textId="77777777">
      <w:pPr>
        <w:keepNext/>
        <w:spacing w:after="0" w:line="240" w:lineRule="auto"/>
        <w:rPr>
          <w:rFonts w:ascii="Times New Roman" w:hAnsi="Times New Roman" w:eastAsia="Times New Roman" w:cs="Times New Roman"/>
          <w:color w:val="000000"/>
          <w:sz w:val="24"/>
          <w:szCs w:val="24"/>
        </w:rPr>
      </w:pPr>
    </w:p>
    <w:p w:rsidR="001A1513" w:rsidP="006F6253" w:rsidRDefault="001A1513" w14:paraId="0269D165" w14:textId="7744F27A">
      <w:pPr>
        <w:widowControl w:val="0"/>
        <w:tabs>
          <w:tab w:val="left" w:pos="4500"/>
        </w:tabs>
        <w:spacing w:after="0" w:line="240" w:lineRule="auto"/>
        <w:rPr>
          <w:rFonts w:ascii="Times New Roman" w:hAnsi="Times New Roman" w:eastAsia="Times New Roman" w:cs="Times New Roman"/>
          <w:color w:val="000000"/>
          <w:sz w:val="24"/>
          <w:szCs w:val="24"/>
        </w:rPr>
      </w:pPr>
      <w:r w:rsidRPr="006D74F1">
        <w:rPr>
          <w:rFonts w:ascii="Times New Roman" w:hAnsi="Times New Roman" w:eastAsia="Times New Roman" w:cs="Times New Roman"/>
          <w:color w:val="000000"/>
          <w:sz w:val="24"/>
          <w:szCs w:val="24"/>
        </w:rPr>
        <w:t>Estimated Annual Number of Respondents:</w:t>
      </w:r>
      <w:r w:rsidRPr="006D74F1" w:rsidR="006933BF">
        <w:rPr>
          <w:rFonts w:ascii="Times New Roman" w:hAnsi="Times New Roman" w:eastAsia="Times New Roman" w:cs="Times New Roman"/>
          <w:color w:val="000000"/>
          <w:sz w:val="24"/>
          <w:szCs w:val="24"/>
        </w:rPr>
        <w:tab/>
      </w:r>
      <w:r w:rsidRPr="006D74F1" w:rsidR="0050400A">
        <w:rPr>
          <w:rFonts w:ascii="Times New Roman" w:hAnsi="Times New Roman" w:eastAsia="Times New Roman" w:cs="Times New Roman"/>
          <w:color w:val="000000"/>
          <w:sz w:val="24"/>
          <w:szCs w:val="24"/>
        </w:rPr>
        <w:t>75</w:t>
      </w:r>
      <w:r w:rsidRPr="006D74F1" w:rsidR="0025136B">
        <w:rPr>
          <w:rFonts w:ascii="Times New Roman" w:hAnsi="Times New Roman" w:eastAsia="Times New Roman" w:cs="Times New Roman"/>
          <w:color w:val="000000"/>
          <w:sz w:val="24"/>
          <w:szCs w:val="24"/>
        </w:rPr>
        <w:t>5</w:t>
      </w:r>
    </w:p>
    <w:p w:rsidRPr="006D74F1" w:rsidR="005D39F7" w:rsidP="006F6253" w:rsidRDefault="005D39F7" w14:paraId="2B172962" w14:textId="5B359BA4">
      <w:pPr>
        <w:widowControl w:val="0"/>
        <w:tabs>
          <w:tab w:val="left" w:pos="4500"/>
        </w:tabs>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Estimated Annual Number of Responses:</w:t>
      </w:r>
      <w:r>
        <w:rPr>
          <w:rFonts w:ascii="Times New Roman" w:hAnsi="Times New Roman" w:eastAsia="Times New Roman" w:cs="Times New Roman"/>
          <w:color w:val="000000"/>
          <w:sz w:val="24"/>
          <w:szCs w:val="24"/>
        </w:rPr>
        <w:tab/>
        <w:t>755 (one per respondent annually)</w:t>
      </w:r>
    </w:p>
    <w:p w:rsidRPr="006D74F1" w:rsidR="001A1513" w:rsidP="006F6253" w:rsidRDefault="001A1513" w14:paraId="0AF127CE" w14:textId="7BA65805">
      <w:pPr>
        <w:widowControl w:val="0"/>
        <w:tabs>
          <w:tab w:val="left" w:pos="4500"/>
        </w:tabs>
        <w:spacing w:after="0" w:line="240" w:lineRule="auto"/>
        <w:rPr>
          <w:rFonts w:ascii="Times New Roman" w:hAnsi="Times New Roman" w:eastAsia="Times New Roman" w:cs="Times New Roman"/>
          <w:color w:val="000000"/>
          <w:sz w:val="24"/>
          <w:szCs w:val="24"/>
        </w:rPr>
      </w:pPr>
      <w:r w:rsidRPr="006D74F1">
        <w:rPr>
          <w:rFonts w:ascii="Times New Roman" w:hAnsi="Times New Roman" w:eastAsia="Times New Roman" w:cs="Times New Roman"/>
          <w:color w:val="000000"/>
          <w:sz w:val="24"/>
          <w:szCs w:val="24"/>
        </w:rPr>
        <w:t>Estimated Total Annual Burden Hours:</w:t>
      </w:r>
      <w:r w:rsidRPr="006D74F1" w:rsidR="006933BF">
        <w:rPr>
          <w:rFonts w:ascii="Times New Roman" w:hAnsi="Times New Roman" w:eastAsia="Times New Roman" w:cs="Times New Roman"/>
          <w:color w:val="000000"/>
          <w:sz w:val="24"/>
          <w:szCs w:val="24"/>
        </w:rPr>
        <w:tab/>
      </w:r>
      <w:r w:rsidRPr="006D74F1" w:rsidR="0025136B">
        <w:rPr>
          <w:rFonts w:ascii="Times New Roman" w:hAnsi="Times New Roman" w:cs="Times New Roman"/>
          <w:color w:val="000000"/>
          <w:sz w:val="24"/>
          <w:szCs w:val="24"/>
        </w:rPr>
        <w:t>252,855</w:t>
      </w:r>
    </w:p>
    <w:p w:rsidRPr="00A66850" w:rsidR="001A1513" w:rsidP="006F6253" w:rsidRDefault="001A1513" w14:paraId="6090C600" w14:textId="327CC230">
      <w:pPr>
        <w:widowControl w:val="0"/>
        <w:tabs>
          <w:tab w:val="left" w:pos="4500"/>
        </w:tabs>
        <w:spacing w:after="0" w:line="240" w:lineRule="auto"/>
        <w:rPr>
          <w:rFonts w:ascii="Times New Roman" w:hAnsi="Times New Roman" w:eastAsia="Times New Roman" w:cs="Times New Roman"/>
          <w:color w:val="000000"/>
          <w:sz w:val="24"/>
          <w:szCs w:val="24"/>
        </w:rPr>
      </w:pPr>
      <w:r w:rsidRPr="006D74F1">
        <w:rPr>
          <w:rFonts w:ascii="Times New Roman" w:hAnsi="Times New Roman" w:eastAsia="Times New Roman" w:cs="Times New Roman"/>
          <w:color w:val="000000"/>
          <w:sz w:val="24"/>
          <w:szCs w:val="24"/>
        </w:rPr>
        <w:t xml:space="preserve">Estimated Total </w:t>
      </w:r>
      <w:r w:rsidRPr="006D74F1" w:rsidR="004E2AB6">
        <w:rPr>
          <w:rFonts w:ascii="Times New Roman" w:hAnsi="Times New Roman" w:eastAsia="Times New Roman" w:cs="Times New Roman"/>
          <w:color w:val="000000"/>
          <w:sz w:val="24"/>
          <w:szCs w:val="24"/>
        </w:rPr>
        <w:t xml:space="preserve">Annual </w:t>
      </w:r>
      <w:r w:rsidRPr="006D74F1">
        <w:rPr>
          <w:rFonts w:ascii="Times New Roman" w:hAnsi="Times New Roman" w:eastAsia="Times New Roman" w:cs="Times New Roman"/>
          <w:color w:val="000000"/>
          <w:sz w:val="24"/>
          <w:szCs w:val="24"/>
        </w:rPr>
        <w:t>Cost:</w:t>
      </w:r>
      <w:r w:rsidRPr="006D74F1" w:rsidR="006933BF">
        <w:rPr>
          <w:rFonts w:ascii="Times New Roman" w:hAnsi="Times New Roman" w:eastAsia="Times New Roman" w:cs="Times New Roman"/>
          <w:color w:val="000000"/>
          <w:sz w:val="24"/>
          <w:szCs w:val="24"/>
        </w:rPr>
        <w:tab/>
      </w:r>
      <w:r w:rsidRPr="006D74F1">
        <w:rPr>
          <w:rFonts w:ascii="Times New Roman" w:hAnsi="Times New Roman" w:eastAsia="Times New Roman" w:cs="Times New Roman"/>
          <w:color w:val="000000"/>
          <w:sz w:val="24"/>
          <w:szCs w:val="24"/>
        </w:rPr>
        <w:t>$</w:t>
      </w:r>
      <w:r w:rsidRPr="006D74F1" w:rsidR="006D74F1">
        <w:rPr>
          <w:rFonts w:ascii="Times New Roman" w:hAnsi="Times New Roman" w:eastAsia="Times New Roman" w:cs="Times New Roman"/>
          <w:color w:val="000000"/>
          <w:sz w:val="24"/>
          <w:szCs w:val="24"/>
        </w:rPr>
        <w:t>26</w:t>
      </w:r>
      <w:r w:rsidRPr="006D74F1" w:rsidR="003E0B71">
        <w:rPr>
          <w:rFonts w:ascii="Times New Roman" w:hAnsi="Times New Roman" w:eastAsia="Times New Roman" w:cs="Times New Roman"/>
          <w:color w:val="000000"/>
          <w:sz w:val="24"/>
          <w:szCs w:val="24"/>
        </w:rPr>
        <w:t>,</w:t>
      </w:r>
      <w:r w:rsidRPr="006D74F1" w:rsidR="006D74F1">
        <w:rPr>
          <w:rFonts w:ascii="Times New Roman" w:hAnsi="Times New Roman" w:eastAsia="Times New Roman" w:cs="Times New Roman"/>
          <w:color w:val="000000"/>
          <w:sz w:val="24"/>
          <w:szCs w:val="24"/>
        </w:rPr>
        <w:t>286</w:t>
      </w:r>
      <w:r w:rsidRPr="006D74F1" w:rsidR="003E0B71">
        <w:rPr>
          <w:rFonts w:ascii="Times New Roman" w:hAnsi="Times New Roman" w:eastAsia="Times New Roman" w:cs="Times New Roman"/>
          <w:color w:val="000000"/>
          <w:sz w:val="24"/>
          <w:szCs w:val="24"/>
        </w:rPr>
        <w:t>,</w:t>
      </w:r>
      <w:r w:rsidRPr="006D74F1" w:rsidR="006D74F1">
        <w:rPr>
          <w:rFonts w:ascii="Times New Roman" w:hAnsi="Times New Roman" w:eastAsia="Times New Roman" w:cs="Times New Roman"/>
          <w:color w:val="000000"/>
          <w:sz w:val="24"/>
          <w:szCs w:val="24"/>
        </w:rPr>
        <w:t>151</w:t>
      </w:r>
    </w:p>
    <w:p w:rsidRPr="00A66850" w:rsidR="00386262" w:rsidP="00A66850" w:rsidRDefault="00386262" w14:paraId="2D08E8BC" w14:textId="77777777">
      <w:pPr>
        <w:widowControl w:val="0"/>
        <w:spacing w:after="0" w:line="240" w:lineRule="auto"/>
        <w:rPr>
          <w:rFonts w:ascii="Times New Roman" w:hAnsi="Times New Roman" w:eastAsia="Times New Roman" w:cs="Times New Roman"/>
          <w:color w:val="000000"/>
          <w:sz w:val="24"/>
          <w:szCs w:val="24"/>
        </w:rPr>
      </w:pPr>
    </w:p>
    <w:p w:rsidRPr="00A66850" w:rsidR="00386262" w:rsidP="00A66850" w:rsidRDefault="00386262" w14:paraId="49D53C01" w14:textId="77777777">
      <w:pPr>
        <w:widowControl w:val="0"/>
        <w:spacing w:after="0" w:line="240" w:lineRule="auto"/>
        <w:rPr>
          <w:rFonts w:ascii="Times New Roman" w:hAnsi="Times New Roman" w:eastAsia="Times New Roman" w:cs="Times New Roman"/>
          <w:color w:val="000000"/>
          <w:sz w:val="24"/>
          <w:szCs w:val="24"/>
        </w:rPr>
      </w:pPr>
      <w:r w:rsidRPr="00A66850">
        <w:rPr>
          <w:rFonts w:ascii="Times New Roman" w:hAnsi="Times New Roman" w:eastAsia="Times New Roman" w:cs="Times New Roman"/>
          <w:color w:val="000000"/>
          <w:sz w:val="24"/>
          <w:szCs w:val="24"/>
        </w:rPr>
        <w:t xml:space="preserve">For more details </w:t>
      </w:r>
      <w:r w:rsidRPr="00A66850" w:rsidR="006933BF">
        <w:rPr>
          <w:rFonts w:ascii="Times New Roman" w:hAnsi="Times New Roman" w:eastAsia="Times New Roman" w:cs="Times New Roman"/>
          <w:color w:val="000000"/>
          <w:sz w:val="24"/>
          <w:szCs w:val="24"/>
        </w:rPr>
        <w:t xml:space="preserve">on these estimates, please </w:t>
      </w:r>
      <w:r w:rsidRPr="00A66850">
        <w:rPr>
          <w:rFonts w:ascii="Times New Roman" w:hAnsi="Times New Roman" w:eastAsia="Times New Roman" w:cs="Times New Roman"/>
          <w:color w:val="000000"/>
          <w:sz w:val="24"/>
          <w:szCs w:val="24"/>
        </w:rPr>
        <w:t xml:space="preserve">see </w:t>
      </w:r>
      <w:r w:rsidRPr="00A66850" w:rsidR="006933BF">
        <w:rPr>
          <w:rFonts w:ascii="Times New Roman" w:hAnsi="Times New Roman" w:eastAsia="Times New Roman" w:cs="Times New Roman"/>
          <w:color w:val="000000"/>
          <w:sz w:val="24"/>
          <w:szCs w:val="24"/>
        </w:rPr>
        <w:t xml:space="preserve">the information </w:t>
      </w:r>
      <w:r w:rsidRPr="00A66850">
        <w:rPr>
          <w:rFonts w:ascii="Times New Roman" w:hAnsi="Times New Roman" w:eastAsia="Times New Roman" w:cs="Times New Roman"/>
          <w:color w:val="000000"/>
          <w:sz w:val="24"/>
          <w:szCs w:val="24"/>
        </w:rPr>
        <w:t>below</w:t>
      </w:r>
      <w:r w:rsidRPr="00A66850" w:rsidR="006933BF">
        <w:rPr>
          <w:rFonts w:ascii="Times New Roman" w:hAnsi="Times New Roman" w:eastAsia="Times New Roman" w:cs="Times New Roman"/>
          <w:color w:val="000000"/>
          <w:sz w:val="24"/>
          <w:szCs w:val="24"/>
        </w:rPr>
        <w:t>.</w:t>
      </w:r>
    </w:p>
    <w:p w:rsidRPr="006F6253" w:rsidR="006F6253" w:rsidP="00A66850" w:rsidRDefault="006F6253" w14:paraId="146BC5B0" w14:textId="77777777">
      <w:pPr>
        <w:pStyle w:val="ListParagraph"/>
        <w:spacing w:after="0" w:line="240" w:lineRule="auto"/>
        <w:ind w:left="0"/>
        <w:contextualSpacing w:val="0"/>
        <w:rPr>
          <w:rFonts w:ascii="Times New Roman" w:hAnsi="Times New Roman" w:cs="Times New Roman"/>
          <w:b/>
          <w:sz w:val="24"/>
          <w:szCs w:val="24"/>
          <w:u w:val="single"/>
        </w:rPr>
      </w:pPr>
    </w:p>
    <w:p w:rsidRPr="006F6253" w:rsidR="00EB2D57" w:rsidP="00A66850" w:rsidRDefault="00EB2D57" w14:paraId="058BA3D1" w14:textId="77777777">
      <w:pPr>
        <w:pStyle w:val="ListParagraph"/>
        <w:spacing w:after="0" w:line="240" w:lineRule="auto"/>
        <w:ind w:left="0"/>
        <w:contextualSpacing w:val="0"/>
        <w:rPr>
          <w:rFonts w:ascii="Times New Roman" w:hAnsi="Times New Roman" w:cs="Times New Roman"/>
          <w:b/>
          <w:sz w:val="24"/>
          <w:szCs w:val="24"/>
          <w:u w:val="single"/>
        </w:rPr>
      </w:pPr>
      <w:r w:rsidRPr="006F6253">
        <w:rPr>
          <w:rFonts w:ascii="Times New Roman" w:hAnsi="Times New Roman" w:cs="Times New Roman"/>
          <w:b/>
          <w:sz w:val="24"/>
          <w:szCs w:val="24"/>
          <w:u w:val="single"/>
        </w:rPr>
        <w:t>Table 1</w:t>
      </w:r>
      <w:r w:rsidRPr="006F6253" w:rsidR="006F6253">
        <w:rPr>
          <w:rFonts w:ascii="Times New Roman" w:hAnsi="Times New Roman" w:cs="Times New Roman"/>
          <w:b/>
          <w:sz w:val="24"/>
          <w:szCs w:val="24"/>
          <w:u w:val="single"/>
        </w:rPr>
        <w:t>:</w:t>
      </w:r>
      <w:r w:rsidRPr="006F6253">
        <w:rPr>
          <w:rFonts w:ascii="Times New Roman" w:hAnsi="Times New Roman" w:cs="Times New Roman"/>
          <w:b/>
          <w:sz w:val="24"/>
          <w:szCs w:val="24"/>
          <w:u w:val="single"/>
        </w:rPr>
        <w:t xml:space="preserve">  Number of Respondents</w:t>
      </w:r>
      <w:r w:rsidR="00D9534E">
        <w:rPr>
          <w:rStyle w:val="FootnoteReference"/>
          <w:rFonts w:ascii="Times New Roman" w:hAnsi="Times New Roman" w:cs="Times New Roman"/>
          <w:b/>
          <w:sz w:val="24"/>
          <w:szCs w:val="24"/>
          <w:u w:val="single"/>
        </w:rPr>
        <w:footnoteReference w:id="2"/>
      </w:r>
    </w:p>
    <w:p w:rsidRPr="006F6253" w:rsidR="00EB2D57" w:rsidP="00A66850" w:rsidRDefault="00EB2D57" w14:paraId="59184937" w14:textId="77777777">
      <w:pPr>
        <w:pStyle w:val="No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507"/>
        <w:gridCol w:w="2317"/>
      </w:tblGrid>
      <w:tr w:rsidRPr="006F6253" w:rsidR="0050400A" w:rsidTr="000C77CA" w14:paraId="733AEBF5" w14:textId="77777777">
        <w:tc>
          <w:tcPr>
            <w:tcW w:w="2507" w:type="dxa"/>
            <w:tcBorders>
              <w:bottom w:val="single" w:color="auto" w:sz="4" w:space="0"/>
            </w:tcBorders>
            <w:shd w:val="pct12" w:color="auto" w:fill="auto"/>
          </w:tcPr>
          <w:p w:rsidRPr="006F6253" w:rsidR="0050400A" w:rsidP="00A66850" w:rsidRDefault="0050400A" w14:paraId="13BD96FA" w14:textId="77777777">
            <w:pPr>
              <w:rPr>
                <w:rFonts w:ascii="Times New Roman" w:hAnsi="Times New Roman" w:cs="Times New Roman"/>
                <w:sz w:val="24"/>
                <w:szCs w:val="24"/>
              </w:rPr>
            </w:pPr>
            <w:r w:rsidRPr="006F6253">
              <w:rPr>
                <w:rFonts w:ascii="Times New Roman" w:hAnsi="Times New Roman" w:cs="Times New Roman"/>
                <w:sz w:val="24"/>
                <w:szCs w:val="24"/>
              </w:rPr>
              <w:t>Agency Respondent Type</w:t>
            </w:r>
          </w:p>
        </w:tc>
        <w:tc>
          <w:tcPr>
            <w:tcW w:w="2317" w:type="dxa"/>
            <w:tcBorders>
              <w:bottom w:val="single" w:color="auto" w:sz="4" w:space="0"/>
            </w:tcBorders>
            <w:shd w:val="pct12" w:color="auto" w:fill="auto"/>
          </w:tcPr>
          <w:p w:rsidRPr="006F6253" w:rsidR="0050400A" w:rsidP="00A66850" w:rsidRDefault="0050400A" w14:paraId="6B55C00C" w14:textId="77777777">
            <w:pPr>
              <w:rPr>
                <w:rFonts w:ascii="Times New Roman" w:hAnsi="Times New Roman" w:cs="Times New Roman"/>
                <w:sz w:val="24"/>
                <w:szCs w:val="24"/>
              </w:rPr>
            </w:pPr>
            <w:r w:rsidRPr="006F6253">
              <w:rPr>
                <w:rFonts w:ascii="Times New Roman" w:hAnsi="Times New Roman" w:cs="Times New Roman"/>
                <w:sz w:val="24"/>
                <w:szCs w:val="24"/>
              </w:rPr>
              <w:t>Number of Respondents</w:t>
            </w:r>
          </w:p>
        </w:tc>
      </w:tr>
      <w:tr w:rsidRPr="006F6253" w:rsidR="0050400A" w:rsidTr="00934E7F" w14:paraId="0B49D3C9" w14:textId="77777777">
        <w:tc>
          <w:tcPr>
            <w:tcW w:w="2507" w:type="dxa"/>
            <w:shd w:val="clear" w:color="auto" w:fill="auto"/>
          </w:tcPr>
          <w:p w:rsidRPr="006F6253" w:rsidR="0050400A" w:rsidP="00A66850" w:rsidRDefault="0050400A" w14:paraId="367B153C" w14:textId="77777777">
            <w:pPr>
              <w:rPr>
                <w:rFonts w:ascii="Times New Roman" w:hAnsi="Times New Roman" w:cs="Times New Roman"/>
                <w:sz w:val="24"/>
                <w:szCs w:val="24"/>
              </w:rPr>
            </w:pPr>
            <w:r w:rsidRPr="006F6253">
              <w:rPr>
                <w:rFonts w:ascii="Times New Roman" w:hAnsi="Times New Roman" w:cs="Times New Roman"/>
                <w:sz w:val="24"/>
                <w:szCs w:val="24"/>
              </w:rPr>
              <w:t>States</w:t>
            </w:r>
          </w:p>
        </w:tc>
        <w:tc>
          <w:tcPr>
            <w:tcW w:w="2317" w:type="dxa"/>
            <w:shd w:val="clear" w:color="auto" w:fill="auto"/>
            <w:vAlign w:val="center"/>
          </w:tcPr>
          <w:p w:rsidRPr="006F6253" w:rsidR="0050400A" w:rsidP="00A66850" w:rsidRDefault="0050400A" w14:paraId="2AEA62C2" w14:textId="0DA016BB">
            <w:pPr>
              <w:rPr>
                <w:rFonts w:ascii="Times New Roman" w:hAnsi="Times New Roman" w:cs="Times New Roman"/>
                <w:sz w:val="24"/>
                <w:szCs w:val="24"/>
              </w:rPr>
            </w:pPr>
            <w:r w:rsidRPr="006F6253">
              <w:rPr>
                <w:rFonts w:ascii="Times New Roman" w:hAnsi="Times New Roman" w:cs="Times New Roman"/>
                <w:color w:val="000000"/>
                <w:sz w:val="24"/>
                <w:szCs w:val="24"/>
              </w:rPr>
              <w:t>5</w:t>
            </w:r>
            <w:r>
              <w:rPr>
                <w:rFonts w:ascii="Times New Roman" w:hAnsi="Times New Roman" w:cs="Times New Roman"/>
                <w:color w:val="000000"/>
                <w:sz w:val="24"/>
                <w:szCs w:val="24"/>
              </w:rPr>
              <w:t>0</w:t>
            </w:r>
          </w:p>
        </w:tc>
      </w:tr>
      <w:tr w:rsidRPr="006F6253" w:rsidR="0050400A" w:rsidTr="00934E7F" w14:paraId="0F0D6345" w14:textId="77777777">
        <w:tc>
          <w:tcPr>
            <w:tcW w:w="2507" w:type="dxa"/>
            <w:shd w:val="clear" w:color="auto" w:fill="auto"/>
          </w:tcPr>
          <w:p w:rsidRPr="006F6253" w:rsidR="0050400A" w:rsidP="00A66850" w:rsidRDefault="0050400A" w14:paraId="2A4E73A7" w14:textId="77777777">
            <w:pPr>
              <w:rPr>
                <w:rFonts w:ascii="Times New Roman" w:hAnsi="Times New Roman" w:cs="Times New Roman"/>
                <w:sz w:val="24"/>
                <w:szCs w:val="24"/>
              </w:rPr>
            </w:pPr>
            <w:r w:rsidRPr="006F6253">
              <w:rPr>
                <w:rFonts w:ascii="Times New Roman" w:hAnsi="Times New Roman" w:cs="Times New Roman"/>
                <w:sz w:val="24"/>
                <w:szCs w:val="24"/>
              </w:rPr>
              <w:t>5307 Rail</w:t>
            </w:r>
          </w:p>
        </w:tc>
        <w:tc>
          <w:tcPr>
            <w:tcW w:w="2317" w:type="dxa"/>
            <w:shd w:val="clear" w:color="auto" w:fill="auto"/>
            <w:vAlign w:val="center"/>
          </w:tcPr>
          <w:p w:rsidRPr="006F6253" w:rsidR="0050400A" w:rsidP="00A66850" w:rsidRDefault="0050400A" w14:paraId="1EB798E6" w14:textId="7187EC1D">
            <w:pPr>
              <w:rPr>
                <w:rFonts w:ascii="Times New Roman" w:hAnsi="Times New Roman" w:cs="Times New Roman"/>
                <w:sz w:val="24"/>
                <w:szCs w:val="24"/>
              </w:rPr>
            </w:pPr>
            <w:r w:rsidRPr="006F6253">
              <w:rPr>
                <w:rFonts w:ascii="Times New Roman" w:hAnsi="Times New Roman" w:cs="Times New Roman"/>
                <w:color w:val="000000"/>
                <w:sz w:val="24"/>
                <w:szCs w:val="24"/>
              </w:rPr>
              <w:t>6</w:t>
            </w:r>
            <w:r>
              <w:rPr>
                <w:rFonts w:ascii="Times New Roman" w:hAnsi="Times New Roman" w:cs="Times New Roman"/>
                <w:color w:val="000000"/>
                <w:sz w:val="24"/>
                <w:szCs w:val="24"/>
              </w:rPr>
              <w:t>2</w:t>
            </w:r>
          </w:p>
        </w:tc>
      </w:tr>
      <w:tr w:rsidRPr="006F6253" w:rsidR="0050400A" w:rsidTr="00934E7F" w14:paraId="4197A5E6" w14:textId="77777777">
        <w:tc>
          <w:tcPr>
            <w:tcW w:w="2507" w:type="dxa"/>
            <w:tcBorders>
              <w:bottom w:val="nil"/>
            </w:tcBorders>
            <w:shd w:val="clear" w:color="auto" w:fill="auto"/>
          </w:tcPr>
          <w:p w:rsidRPr="006F6253" w:rsidR="0050400A" w:rsidP="00A66850" w:rsidRDefault="0050400A" w14:paraId="0FA5F99A" w14:textId="77777777">
            <w:pPr>
              <w:rPr>
                <w:rFonts w:ascii="Times New Roman" w:hAnsi="Times New Roman" w:cs="Times New Roman"/>
                <w:sz w:val="24"/>
                <w:szCs w:val="24"/>
              </w:rPr>
            </w:pPr>
            <w:r w:rsidRPr="006F6253">
              <w:rPr>
                <w:rFonts w:ascii="Times New Roman" w:hAnsi="Times New Roman" w:cs="Times New Roman"/>
                <w:sz w:val="24"/>
                <w:szCs w:val="24"/>
              </w:rPr>
              <w:t>5307 Large Bus</w:t>
            </w:r>
          </w:p>
        </w:tc>
        <w:tc>
          <w:tcPr>
            <w:tcW w:w="2317" w:type="dxa"/>
            <w:tcBorders>
              <w:bottom w:val="nil"/>
            </w:tcBorders>
            <w:shd w:val="clear" w:color="auto" w:fill="auto"/>
            <w:vAlign w:val="center"/>
          </w:tcPr>
          <w:p w:rsidRPr="006F6253" w:rsidR="0050400A" w:rsidP="00A66850" w:rsidRDefault="0050400A" w14:paraId="6D6550E0" w14:textId="6DBAD366">
            <w:pPr>
              <w:rPr>
                <w:rFonts w:ascii="Times New Roman" w:hAnsi="Times New Roman" w:cs="Times New Roman"/>
                <w:sz w:val="24"/>
                <w:szCs w:val="24"/>
              </w:rPr>
            </w:pPr>
            <w:r>
              <w:rPr>
                <w:rFonts w:ascii="Times New Roman" w:hAnsi="Times New Roman" w:cs="Times New Roman"/>
                <w:sz w:val="24"/>
                <w:szCs w:val="24"/>
              </w:rPr>
              <w:t>74</w:t>
            </w:r>
          </w:p>
        </w:tc>
      </w:tr>
      <w:tr w:rsidRPr="006F6253" w:rsidR="0050400A" w:rsidTr="00934E7F" w14:paraId="57AE5033" w14:textId="77777777">
        <w:tc>
          <w:tcPr>
            <w:tcW w:w="2507" w:type="dxa"/>
            <w:shd w:val="clear" w:color="auto" w:fill="auto"/>
          </w:tcPr>
          <w:p w:rsidRPr="006F6253" w:rsidR="0050400A" w:rsidP="00A66850" w:rsidRDefault="0050400A" w14:paraId="71C430EF" w14:textId="77777777">
            <w:pPr>
              <w:rPr>
                <w:rFonts w:ascii="Times New Roman" w:hAnsi="Times New Roman" w:cs="Times New Roman"/>
                <w:sz w:val="24"/>
                <w:szCs w:val="24"/>
              </w:rPr>
            </w:pPr>
            <w:r w:rsidRPr="006F6253">
              <w:rPr>
                <w:rFonts w:ascii="Times New Roman" w:hAnsi="Times New Roman" w:cs="Times New Roman"/>
                <w:sz w:val="24"/>
                <w:szCs w:val="24"/>
              </w:rPr>
              <w:t>5307 Small</w:t>
            </w:r>
          </w:p>
        </w:tc>
        <w:tc>
          <w:tcPr>
            <w:tcW w:w="2317" w:type="dxa"/>
            <w:shd w:val="clear" w:color="auto" w:fill="auto"/>
            <w:vAlign w:val="center"/>
          </w:tcPr>
          <w:p w:rsidRPr="006F6253" w:rsidR="0050400A" w:rsidP="007D2059" w:rsidRDefault="007D2059" w14:paraId="0E962C80" w14:textId="0CC5D2B2">
            <w:pPr>
              <w:rPr>
                <w:rFonts w:ascii="Times New Roman" w:hAnsi="Times New Roman" w:cs="Times New Roman"/>
                <w:sz w:val="24"/>
                <w:szCs w:val="24"/>
              </w:rPr>
            </w:pPr>
            <w:r>
              <w:rPr>
                <w:rFonts w:ascii="Times New Roman" w:hAnsi="Times New Roman" w:cs="Times New Roman"/>
                <w:sz w:val="24"/>
                <w:szCs w:val="24"/>
              </w:rPr>
              <w:t>569</w:t>
            </w:r>
          </w:p>
        </w:tc>
      </w:tr>
      <w:tr w:rsidRPr="006F6253" w:rsidR="0050400A" w:rsidTr="00934E7F" w14:paraId="1628AA84" w14:textId="77777777">
        <w:tc>
          <w:tcPr>
            <w:tcW w:w="2507" w:type="dxa"/>
            <w:shd w:val="pct15" w:color="auto" w:fill="auto"/>
          </w:tcPr>
          <w:p w:rsidRPr="006F6253" w:rsidR="0050400A" w:rsidP="00A66850" w:rsidRDefault="0050400A" w14:paraId="55478B12" w14:textId="77777777">
            <w:pPr>
              <w:rPr>
                <w:rFonts w:ascii="Times New Roman" w:hAnsi="Times New Roman" w:cs="Times New Roman"/>
                <w:b/>
                <w:sz w:val="24"/>
                <w:szCs w:val="24"/>
              </w:rPr>
            </w:pPr>
            <w:r w:rsidRPr="006F6253">
              <w:rPr>
                <w:rFonts w:ascii="Times New Roman" w:hAnsi="Times New Roman" w:cs="Times New Roman"/>
                <w:b/>
                <w:sz w:val="24"/>
                <w:szCs w:val="24"/>
              </w:rPr>
              <w:t xml:space="preserve">Total </w:t>
            </w:r>
          </w:p>
        </w:tc>
        <w:tc>
          <w:tcPr>
            <w:tcW w:w="2317" w:type="dxa"/>
            <w:shd w:val="pct15" w:color="auto" w:fill="auto"/>
            <w:vAlign w:val="center"/>
          </w:tcPr>
          <w:p w:rsidRPr="006F6253" w:rsidR="0050400A" w:rsidP="007D2059" w:rsidRDefault="0025136B" w14:paraId="34AF0383" w14:textId="4E4687A2">
            <w:pPr>
              <w:rPr>
                <w:rFonts w:ascii="Times New Roman" w:hAnsi="Times New Roman" w:cs="Times New Roman"/>
                <w:b/>
                <w:sz w:val="24"/>
                <w:szCs w:val="24"/>
              </w:rPr>
            </w:pPr>
            <w:r>
              <w:rPr>
                <w:rFonts w:ascii="Times New Roman" w:hAnsi="Times New Roman" w:cs="Times New Roman"/>
                <w:b/>
                <w:sz w:val="24"/>
                <w:szCs w:val="24"/>
              </w:rPr>
              <w:t>75</w:t>
            </w:r>
            <w:r w:rsidR="007D2059">
              <w:rPr>
                <w:rFonts w:ascii="Times New Roman" w:hAnsi="Times New Roman" w:cs="Times New Roman"/>
                <w:b/>
                <w:sz w:val="24"/>
                <w:szCs w:val="24"/>
              </w:rPr>
              <w:t>5</w:t>
            </w:r>
          </w:p>
        </w:tc>
      </w:tr>
    </w:tbl>
    <w:p w:rsidRPr="006F6253" w:rsidR="00EB2D57" w:rsidP="00A66850" w:rsidRDefault="00EB2D57" w14:paraId="31225735" w14:textId="77777777">
      <w:pPr>
        <w:spacing w:after="0" w:line="240" w:lineRule="auto"/>
        <w:rPr>
          <w:rFonts w:ascii="Times New Roman" w:hAnsi="Times New Roman" w:cs="Times New Roman"/>
          <w:sz w:val="24"/>
          <w:szCs w:val="24"/>
        </w:rPr>
      </w:pPr>
    </w:p>
    <w:p w:rsidR="00EB2D57" w:rsidP="00A66850" w:rsidRDefault="00F30F30" w14:paraId="0D784A26" w14:textId="21BBDF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1 establishes </w:t>
      </w:r>
      <w:r w:rsidR="00587393">
        <w:rPr>
          <w:rFonts w:ascii="Times New Roman" w:hAnsi="Times New Roman" w:cs="Times New Roman"/>
          <w:sz w:val="24"/>
          <w:szCs w:val="24"/>
        </w:rPr>
        <w:t>the respondent groups applicable under the PTASP regulation. All respondents must certify compliance with the PTASP regulation annually. States are responsible for developing new ASPs for new small public transportation providers in their State unless the new provider opts to develop its own ASP. Rail, large bus, and small public transportation providers are required to implement their ASP.</w:t>
      </w:r>
    </w:p>
    <w:p w:rsidRPr="00A66850" w:rsidR="006F6253" w:rsidP="00A66850" w:rsidRDefault="006F6253" w14:paraId="5AC148A1" w14:textId="77777777">
      <w:pPr>
        <w:spacing w:after="0" w:line="240" w:lineRule="auto"/>
        <w:rPr>
          <w:rFonts w:ascii="Times New Roman" w:hAnsi="Times New Roman" w:cs="Times New Roman"/>
          <w:sz w:val="24"/>
          <w:szCs w:val="24"/>
        </w:rPr>
      </w:pPr>
    </w:p>
    <w:p w:rsidRPr="00A66850" w:rsidR="00FC338A" w:rsidP="00A66850" w:rsidRDefault="00973607" w14:paraId="440C2480" w14:textId="68B6233C">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Table 2 summarizes the overall burden, in labor-hours per response per year for each respondent</w:t>
      </w:r>
      <w:r w:rsidRPr="00A66850" w:rsidR="00FD15A5">
        <w:rPr>
          <w:rFonts w:ascii="Times New Roman" w:hAnsi="Times New Roman" w:cs="Times New Roman"/>
          <w:sz w:val="24"/>
          <w:szCs w:val="24"/>
        </w:rPr>
        <w:t xml:space="preserve"> type</w:t>
      </w:r>
      <w:r w:rsidRPr="00A66850">
        <w:rPr>
          <w:rFonts w:ascii="Times New Roman" w:hAnsi="Times New Roman" w:cs="Times New Roman"/>
          <w:sz w:val="24"/>
          <w:szCs w:val="24"/>
        </w:rPr>
        <w:t xml:space="preserve">.  The tables include a breakdown for the </w:t>
      </w:r>
      <w:r w:rsidR="00306CB7">
        <w:rPr>
          <w:rFonts w:ascii="Times New Roman" w:hAnsi="Times New Roman" w:cs="Times New Roman"/>
          <w:sz w:val="24"/>
          <w:szCs w:val="24"/>
        </w:rPr>
        <w:t>four</w:t>
      </w:r>
      <w:r w:rsidRPr="00A66850">
        <w:rPr>
          <w:rFonts w:ascii="Times New Roman" w:hAnsi="Times New Roman" w:cs="Times New Roman"/>
          <w:sz w:val="24"/>
          <w:szCs w:val="24"/>
        </w:rPr>
        <w:t xml:space="preserve"> </w:t>
      </w:r>
      <w:r w:rsidRPr="00A66850" w:rsidR="00642234">
        <w:rPr>
          <w:rFonts w:ascii="Times New Roman" w:hAnsi="Times New Roman" w:cs="Times New Roman"/>
          <w:sz w:val="24"/>
          <w:szCs w:val="24"/>
        </w:rPr>
        <w:t xml:space="preserve">main paperwork-related </w:t>
      </w:r>
      <w:r w:rsidRPr="00A66850">
        <w:rPr>
          <w:rFonts w:ascii="Times New Roman" w:hAnsi="Times New Roman" w:cs="Times New Roman"/>
          <w:sz w:val="24"/>
          <w:szCs w:val="24"/>
        </w:rPr>
        <w:t>elements of the rule:  Development</w:t>
      </w:r>
      <w:r w:rsidR="00306CB7">
        <w:rPr>
          <w:rFonts w:ascii="Times New Roman" w:hAnsi="Times New Roman" w:cs="Times New Roman"/>
          <w:sz w:val="24"/>
          <w:szCs w:val="24"/>
        </w:rPr>
        <w:t xml:space="preserve">, </w:t>
      </w:r>
      <w:r w:rsidRPr="00A66850">
        <w:rPr>
          <w:rFonts w:ascii="Times New Roman" w:hAnsi="Times New Roman" w:cs="Times New Roman"/>
          <w:sz w:val="24"/>
          <w:szCs w:val="24"/>
        </w:rPr>
        <w:t>Certification</w:t>
      </w:r>
      <w:r w:rsidR="00E71003">
        <w:rPr>
          <w:rFonts w:ascii="Times New Roman" w:hAnsi="Times New Roman" w:cs="Times New Roman"/>
          <w:sz w:val="24"/>
          <w:szCs w:val="24"/>
        </w:rPr>
        <w:t>,</w:t>
      </w:r>
      <w:r w:rsidRPr="00A66850">
        <w:rPr>
          <w:rFonts w:ascii="Times New Roman" w:hAnsi="Times New Roman" w:cs="Times New Roman"/>
          <w:sz w:val="24"/>
          <w:szCs w:val="24"/>
        </w:rPr>
        <w:t xml:space="preserve"> Implementation and Documentation</w:t>
      </w:r>
      <w:r w:rsidR="00E71003">
        <w:rPr>
          <w:rFonts w:ascii="Times New Roman" w:hAnsi="Times New Roman" w:cs="Times New Roman"/>
          <w:sz w:val="24"/>
          <w:szCs w:val="24"/>
        </w:rPr>
        <w:t>,</w:t>
      </w:r>
      <w:r w:rsidRPr="00A66850">
        <w:rPr>
          <w:rFonts w:ascii="Times New Roman" w:hAnsi="Times New Roman" w:cs="Times New Roman"/>
          <w:sz w:val="24"/>
          <w:szCs w:val="24"/>
        </w:rPr>
        <w:t xml:space="preserve"> and Recordkeeping.  Development refers to the initial cost</w:t>
      </w:r>
      <w:r w:rsidR="00455F8D">
        <w:rPr>
          <w:rFonts w:ascii="Times New Roman" w:hAnsi="Times New Roman" w:cs="Times New Roman"/>
          <w:sz w:val="24"/>
          <w:szCs w:val="24"/>
        </w:rPr>
        <w:t>s associated with developing a s</w:t>
      </w:r>
      <w:r w:rsidRPr="00A66850">
        <w:rPr>
          <w:rFonts w:ascii="Times New Roman" w:hAnsi="Times New Roman" w:cs="Times New Roman"/>
          <w:sz w:val="24"/>
          <w:szCs w:val="24"/>
        </w:rPr>
        <w:t xml:space="preserve">afety </w:t>
      </w:r>
      <w:r w:rsidR="00455F8D">
        <w:rPr>
          <w:rFonts w:ascii="Times New Roman" w:hAnsi="Times New Roman" w:cs="Times New Roman"/>
          <w:sz w:val="24"/>
          <w:szCs w:val="24"/>
        </w:rPr>
        <w:t>p</w:t>
      </w:r>
      <w:r w:rsidRPr="00A66850">
        <w:rPr>
          <w:rFonts w:ascii="Times New Roman" w:hAnsi="Times New Roman" w:cs="Times New Roman"/>
          <w:sz w:val="24"/>
          <w:szCs w:val="24"/>
        </w:rPr>
        <w:t>lan</w:t>
      </w:r>
      <w:r w:rsidR="00306CB7">
        <w:rPr>
          <w:rFonts w:ascii="Times New Roman" w:hAnsi="Times New Roman" w:cs="Times New Roman"/>
          <w:sz w:val="24"/>
          <w:szCs w:val="24"/>
        </w:rPr>
        <w:t xml:space="preserve">, </w:t>
      </w:r>
      <w:r w:rsidRPr="00A66850" w:rsidR="00306CB7">
        <w:rPr>
          <w:rFonts w:ascii="Times New Roman" w:hAnsi="Times New Roman" w:cs="Times New Roman"/>
          <w:sz w:val="24"/>
          <w:szCs w:val="24"/>
        </w:rPr>
        <w:t xml:space="preserve">Certification </w:t>
      </w:r>
      <w:r w:rsidR="00306CB7">
        <w:rPr>
          <w:rFonts w:ascii="Times New Roman" w:hAnsi="Times New Roman" w:cs="Times New Roman"/>
          <w:sz w:val="24"/>
          <w:szCs w:val="24"/>
        </w:rPr>
        <w:t>refers to the annual costs for certifying compliance with the Part 673</w:t>
      </w:r>
      <w:r w:rsidRPr="00A66850">
        <w:rPr>
          <w:rFonts w:ascii="Times New Roman" w:hAnsi="Times New Roman" w:cs="Times New Roman"/>
          <w:sz w:val="24"/>
          <w:szCs w:val="24"/>
        </w:rPr>
        <w:t xml:space="preserve">, while Implementation and Documentation refers to the tasks associated with carrying out </w:t>
      </w:r>
      <w:r w:rsidR="00455F8D">
        <w:rPr>
          <w:rFonts w:ascii="Times New Roman" w:hAnsi="Times New Roman" w:cs="Times New Roman"/>
          <w:sz w:val="24"/>
          <w:szCs w:val="24"/>
        </w:rPr>
        <w:t xml:space="preserve">and implementing </w:t>
      </w:r>
      <w:r w:rsidRPr="00A66850">
        <w:rPr>
          <w:rFonts w:ascii="Times New Roman" w:hAnsi="Times New Roman" w:cs="Times New Roman"/>
          <w:sz w:val="24"/>
          <w:szCs w:val="24"/>
        </w:rPr>
        <w:t xml:space="preserve">the </w:t>
      </w:r>
      <w:r w:rsidR="00455F8D">
        <w:rPr>
          <w:rFonts w:ascii="Times New Roman" w:hAnsi="Times New Roman" w:cs="Times New Roman"/>
          <w:sz w:val="24"/>
          <w:szCs w:val="24"/>
        </w:rPr>
        <w:t xml:space="preserve">safety </w:t>
      </w:r>
      <w:r w:rsidRPr="00A66850">
        <w:rPr>
          <w:rFonts w:ascii="Times New Roman" w:hAnsi="Times New Roman" w:cs="Times New Roman"/>
          <w:sz w:val="24"/>
          <w:szCs w:val="24"/>
        </w:rPr>
        <w:t xml:space="preserve">plan.  Recordkeeping includes the ongoing annual expense to maintain records related to </w:t>
      </w:r>
      <w:r w:rsidR="00455F8D">
        <w:rPr>
          <w:rFonts w:ascii="Times New Roman" w:hAnsi="Times New Roman" w:cs="Times New Roman"/>
          <w:sz w:val="24"/>
          <w:szCs w:val="24"/>
        </w:rPr>
        <w:t>the safety plans</w:t>
      </w:r>
      <w:r w:rsidRPr="00A66850">
        <w:rPr>
          <w:rFonts w:ascii="Times New Roman" w:hAnsi="Times New Roman" w:cs="Times New Roman"/>
          <w:sz w:val="24"/>
          <w:szCs w:val="24"/>
        </w:rPr>
        <w:t>.</w:t>
      </w:r>
    </w:p>
    <w:p w:rsidRPr="00A66850" w:rsidR="00FC338A" w:rsidP="00A66850" w:rsidRDefault="00FC338A" w14:paraId="20E11E70" w14:textId="77777777">
      <w:pPr>
        <w:pStyle w:val="NoSpacing"/>
        <w:rPr>
          <w:rFonts w:ascii="Times New Roman" w:hAnsi="Times New Roman" w:cs="Times New Roman"/>
          <w:b/>
          <w:sz w:val="24"/>
          <w:szCs w:val="24"/>
          <w:u w:val="single"/>
        </w:rPr>
      </w:pPr>
    </w:p>
    <w:p w:rsidRPr="00455F8D" w:rsidR="00732B5A" w:rsidP="00A66850" w:rsidRDefault="00584097" w14:paraId="775983A7" w14:textId="77777777">
      <w:pPr>
        <w:pStyle w:val="NoSpacing"/>
        <w:keepNext/>
        <w:rPr>
          <w:rFonts w:ascii="Times New Roman" w:hAnsi="Times New Roman" w:cs="Times New Roman"/>
          <w:b/>
          <w:sz w:val="24"/>
          <w:szCs w:val="24"/>
          <w:u w:val="single"/>
        </w:rPr>
      </w:pPr>
      <w:r>
        <w:rPr>
          <w:rFonts w:ascii="Times New Roman" w:hAnsi="Times New Roman" w:cs="Times New Roman"/>
          <w:b/>
          <w:sz w:val="24"/>
          <w:szCs w:val="24"/>
          <w:u w:val="single"/>
        </w:rPr>
        <w:t>Table 2:</w:t>
      </w:r>
      <w:r w:rsidRPr="00455F8D" w:rsidR="00EB2D57">
        <w:rPr>
          <w:rFonts w:ascii="Times New Roman" w:hAnsi="Times New Roman" w:cs="Times New Roman"/>
          <w:b/>
          <w:sz w:val="24"/>
          <w:szCs w:val="24"/>
          <w:u w:val="single"/>
        </w:rPr>
        <w:t xml:space="preserve">  Total Annualized Burden</w:t>
      </w:r>
    </w:p>
    <w:p w:rsidRPr="00A17015" w:rsidR="00732B5A" w:rsidP="00584097" w:rsidRDefault="00732B5A" w14:paraId="401C9D1F" w14:textId="77777777">
      <w:pPr>
        <w:pStyle w:val="NoSpacing"/>
        <w:keepNext/>
        <w:rPr>
          <w:rFonts w:ascii="Times New Roman" w:hAnsi="Times New Roman" w:cs="Times New Roman"/>
          <w:sz w:val="24"/>
          <w:szCs w:val="24"/>
        </w:rPr>
      </w:pPr>
    </w:p>
    <w:tbl>
      <w:tblPr>
        <w:tblW w:w="9243" w:type="dxa"/>
        <w:tblInd w:w="108" w:type="dxa"/>
        <w:shd w:val="clear" w:color="000000" w:fill="auto"/>
        <w:tblLayout w:type="fixed"/>
        <w:tblLook w:val="04A0" w:firstRow="1" w:lastRow="0" w:firstColumn="1" w:lastColumn="0" w:noHBand="0" w:noVBand="1"/>
      </w:tblPr>
      <w:tblGrid>
        <w:gridCol w:w="1422"/>
        <w:gridCol w:w="2496"/>
        <w:gridCol w:w="1671"/>
        <w:gridCol w:w="1827"/>
        <w:gridCol w:w="1827"/>
      </w:tblGrid>
      <w:tr w:rsidRPr="00455F8D" w:rsidR="007E5BCC" w:rsidTr="007E5BCC" w14:paraId="61556462" w14:textId="77777777">
        <w:trPr>
          <w:trHeight w:val="315"/>
        </w:trPr>
        <w:tc>
          <w:tcPr>
            <w:tcW w:w="1422" w:type="dxa"/>
            <w:tcBorders>
              <w:top w:val="nil"/>
              <w:bottom w:val="single" w:color="auto" w:sz="4" w:space="0"/>
              <w:right w:val="nil"/>
            </w:tcBorders>
            <w:shd w:val="clear" w:color="000000" w:fill="auto"/>
            <w:noWrap/>
            <w:vAlign w:val="bottom"/>
            <w:hideMark/>
          </w:tcPr>
          <w:p w:rsidRPr="00584097" w:rsidR="00732B5A" w:rsidP="00A66850" w:rsidRDefault="00732B5A" w14:paraId="24C4870E" w14:textId="77777777">
            <w:pPr>
              <w:keepNext/>
              <w:spacing w:after="0" w:line="240" w:lineRule="auto"/>
              <w:rPr>
                <w:rFonts w:ascii="Times New Roman" w:hAnsi="Times New Roman" w:eastAsia="Times New Roman" w:cs="Times New Roman"/>
                <w:sz w:val="20"/>
                <w:szCs w:val="20"/>
              </w:rPr>
            </w:pPr>
          </w:p>
        </w:tc>
        <w:tc>
          <w:tcPr>
            <w:tcW w:w="2496" w:type="dxa"/>
            <w:tcBorders>
              <w:top w:val="nil"/>
              <w:left w:val="nil"/>
              <w:bottom w:val="single" w:color="auto" w:sz="4" w:space="0"/>
              <w:right w:val="single" w:color="auto" w:sz="4" w:space="0"/>
            </w:tcBorders>
            <w:shd w:val="clear" w:color="000000" w:fill="auto"/>
            <w:noWrap/>
            <w:vAlign w:val="bottom"/>
            <w:hideMark/>
          </w:tcPr>
          <w:p w:rsidRPr="00584097" w:rsidR="00732B5A" w:rsidP="00A66850" w:rsidRDefault="00732B5A" w14:paraId="227DE0EE"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 </w:t>
            </w:r>
          </w:p>
        </w:tc>
        <w:tc>
          <w:tcPr>
            <w:tcW w:w="1671" w:type="dxa"/>
            <w:tcBorders>
              <w:top w:val="single" w:color="auto" w:sz="4" w:space="0"/>
              <w:left w:val="single" w:color="auto" w:sz="4" w:space="0"/>
              <w:bottom w:val="single" w:color="auto" w:sz="4" w:space="0"/>
              <w:right w:val="single" w:color="auto" w:sz="4" w:space="0"/>
            </w:tcBorders>
            <w:shd w:val="clear" w:color="000000" w:fill="auto"/>
            <w:noWrap/>
            <w:hideMark/>
          </w:tcPr>
          <w:p w:rsidRPr="00584097" w:rsidR="00732B5A" w:rsidP="00A66850" w:rsidRDefault="00732B5A" w14:paraId="522AD0D1"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cs="Times New Roman"/>
                <w:sz w:val="20"/>
                <w:szCs w:val="20"/>
              </w:rPr>
              <w:t>Total Responses</w:t>
            </w:r>
          </w:p>
        </w:tc>
        <w:tc>
          <w:tcPr>
            <w:tcW w:w="1827" w:type="dxa"/>
            <w:tcBorders>
              <w:top w:val="single" w:color="auto" w:sz="4" w:space="0"/>
              <w:left w:val="single" w:color="auto" w:sz="4" w:space="0"/>
              <w:bottom w:val="single" w:color="auto" w:sz="4" w:space="0"/>
              <w:right w:val="single" w:color="auto" w:sz="4" w:space="0"/>
            </w:tcBorders>
            <w:shd w:val="clear" w:color="000000" w:fill="auto"/>
            <w:noWrap/>
            <w:hideMark/>
          </w:tcPr>
          <w:p w:rsidRPr="00584097" w:rsidR="00732B5A" w:rsidP="00A66850" w:rsidRDefault="00732B5A" w14:paraId="4F99D145"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cs="Times New Roman"/>
                <w:sz w:val="20"/>
                <w:szCs w:val="20"/>
              </w:rPr>
              <w:t>Burden Hours Per Response</w:t>
            </w:r>
          </w:p>
        </w:tc>
        <w:tc>
          <w:tcPr>
            <w:tcW w:w="1827" w:type="dxa"/>
            <w:tcBorders>
              <w:top w:val="single" w:color="auto" w:sz="4" w:space="0"/>
              <w:left w:val="single" w:color="auto" w:sz="4" w:space="0"/>
              <w:bottom w:val="single" w:color="auto" w:sz="4" w:space="0"/>
              <w:right w:val="single" w:color="auto" w:sz="4" w:space="0"/>
            </w:tcBorders>
            <w:shd w:val="clear" w:color="000000" w:fill="auto"/>
            <w:noWrap/>
            <w:hideMark/>
          </w:tcPr>
          <w:p w:rsidRPr="00584097" w:rsidR="00732B5A" w:rsidP="00A66850" w:rsidRDefault="00732B5A" w14:paraId="5AFE1AC2"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cs="Times New Roman"/>
                <w:sz w:val="20"/>
                <w:szCs w:val="20"/>
              </w:rPr>
              <w:t>Total Annual Burden</w:t>
            </w:r>
          </w:p>
        </w:tc>
      </w:tr>
      <w:tr w:rsidRPr="00455F8D" w:rsidR="007E5BCC" w:rsidTr="005B3BD1" w14:paraId="0770F1AC" w14:textId="77777777">
        <w:trPr>
          <w:trHeight w:val="315"/>
        </w:trPr>
        <w:tc>
          <w:tcPr>
            <w:tcW w:w="1422" w:type="dxa"/>
            <w:tcBorders>
              <w:top w:val="single" w:color="auto" w:sz="4" w:space="0"/>
              <w:left w:val="single" w:color="auto" w:sz="4" w:space="0"/>
              <w:bottom w:val="nil"/>
              <w:right w:val="single" w:color="auto" w:sz="4" w:space="0"/>
            </w:tcBorders>
            <w:shd w:val="clear" w:color="000000" w:fill="auto"/>
            <w:noWrap/>
            <w:vAlign w:val="bottom"/>
            <w:hideMark/>
          </w:tcPr>
          <w:p w:rsidRPr="00584097" w:rsidR="00306CB7" w:rsidP="00306CB7" w:rsidRDefault="00306CB7" w14:paraId="23F8F0A0"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Rail</w:t>
            </w: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584097" w:rsidR="00306CB7" w:rsidP="005B3BD1" w:rsidRDefault="005B3BD1" w14:paraId="2033E89E" w14:textId="5F54635F">
            <w:pPr>
              <w:keepNext/>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Development/</w:t>
            </w:r>
            <w:r w:rsidRPr="00584097" w:rsidR="00306CB7">
              <w:rPr>
                <w:rFonts w:ascii="Times New Roman" w:hAnsi="Times New Roman" w:eastAsia="Times New Roman" w:cs="Times New Roman"/>
                <w:sz w:val="20"/>
                <w:szCs w:val="20"/>
              </w:rPr>
              <w:t>Certification</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026FBB9C" w14:textId="48A2CF32">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62</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137D0AB8" w14:textId="24675D2C">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3</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3F10ED6B" w14:textId="18F9632D">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186</w:t>
            </w:r>
          </w:p>
        </w:tc>
      </w:tr>
      <w:tr w:rsidRPr="00455F8D" w:rsidR="007E5BCC" w:rsidTr="005B3BD1" w14:paraId="1310E853" w14:textId="77777777">
        <w:trPr>
          <w:trHeight w:val="315"/>
        </w:trPr>
        <w:tc>
          <w:tcPr>
            <w:tcW w:w="1422" w:type="dxa"/>
            <w:tcBorders>
              <w:top w:val="nil"/>
              <w:left w:val="single" w:color="auto" w:sz="4" w:space="0"/>
              <w:bottom w:val="nil"/>
              <w:right w:val="single" w:color="auto" w:sz="4" w:space="0"/>
            </w:tcBorders>
            <w:shd w:val="clear" w:color="000000" w:fill="auto"/>
            <w:noWrap/>
            <w:vAlign w:val="bottom"/>
            <w:hideMark/>
          </w:tcPr>
          <w:p w:rsidRPr="00584097" w:rsidR="00306CB7" w:rsidP="00306CB7" w:rsidRDefault="00306CB7" w14:paraId="12F4181F"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 </w:t>
            </w: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584097" w:rsidR="00306CB7" w:rsidP="005B3BD1" w:rsidRDefault="00306CB7" w14:paraId="394E1F6D" w14:textId="420D5225">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Implement/Document</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05185AFD" w14:textId="6C7AA637">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62</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12674CD7" w14:textId="2B8EFC2F">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892</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1FFB9F09" w14:textId="2C5AF523">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55,295</w:t>
            </w:r>
          </w:p>
        </w:tc>
      </w:tr>
      <w:tr w:rsidRPr="00455F8D" w:rsidR="007E5BCC" w:rsidTr="005B3BD1" w14:paraId="0613B490" w14:textId="77777777">
        <w:trPr>
          <w:trHeight w:val="330"/>
        </w:trPr>
        <w:tc>
          <w:tcPr>
            <w:tcW w:w="1422" w:type="dxa"/>
            <w:tcBorders>
              <w:top w:val="nil"/>
              <w:left w:val="single" w:color="auto" w:sz="4" w:space="0"/>
              <w:bottom w:val="single" w:color="auto" w:sz="4" w:space="0"/>
              <w:right w:val="single" w:color="auto" w:sz="4" w:space="0"/>
            </w:tcBorders>
            <w:shd w:val="clear" w:color="000000" w:fill="auto"/>
            <w:noWrap/>
            <w:vAlign w:val="bottom"/>
            <w:hideMark/>
          </w:tcPr>
          <w:p w:rsidRPr="00584097" w:rsidR="00306CB7" w:rsidP="00306CB7" w:rsidRDefault="00306CB7" w14:paraId="0AAD79A5" w14:textId="21B3CEF6">
            <w:pPr>
              <w:keepNext/>
              <w:spacing w:after="0" w:line="240" w:lineRule="auto"/>
              <w:rPr>
                <w:rFonts w:ascii="Times New Roman" w:hAnsi="Times New Roman" w:eastAsia="Times New Roman" w:cs="Times New Roman"/>
                <w:sz w:val="20"/>
                <w:szCs w:val="20"/>
              </w:rPr>
            </w:pP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584097" w:rsidR="00306CB7" w:rsidP="005B3BD1" w:rsidRDefault="00306CB7" w14:paraId="3C2058FA"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Recordkeeping</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400244D7" w14:textId="65BB4C51">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62</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3217B3AA" w14:textId="060E5E6B">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39</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52544624" w14:textId="3898D110">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2,408</w:t>
            </w:r>
          </w:p>
        </w:tc>
      </w:tr>
      <w:tr w:rsidRPr="00455F8D" w:rsidR="007E5BCC" w:rsidTr="005B3BD1" w14:paraId="64996AF3" w14:textId="77777777">
        <w:trPr>
          <w:trHeight w:val="323"/>
        </w:trPr>
        <w:tc>
          <w:tcPr>
            <w:tcW w:w="1422" w:type="dxa"/>
            <w:vMerge w:val="restart"/>
            <w:tcBorders>
              <w:top w:val="single" w:color="auto" w:sz="4" w:space="0"/>
              <w:left w:val="single" w:color="auto" w:sz="8" w:space="0"/>
              <w:right w:val="single" w:color="auto" w:sz="4" w:space="0"/>
            </w:tcBorders>
            <w:shd w:val="clear" w:color="000000" w:fill="auto"/>
            <w:noWrap/>
            <w:hideMark/>
          </w:tcPr>
          <w:p w:rsidRPr="00584097" w:rsidR="00306CB7" w:rsidP="005B3BD1" w:rsidRDefault="00306CB7" w14:paraId="3D02B7DA" w14:textId="01A7E975">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Large 5307</w:t>
            </w: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584097" w:rsidR="00306CB7" w:rsidP="005B3BD1" w:rsidRDefault="005B3BD1" w14:paraId="2C54013C" w14:textId="6545CE6F">
            <w:pPr>
              <w:keepNext/>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Development/</w:t>
            </w:r>
            <w:r w:rsidRPr="00584097">
              <w:rPr>
                <w:rFonts w:ascii="Times New Roman" w:hAnsi="Times New Roman" w:eastAsia="Times New Roman" w:cs="Times New Roman"/>
                <w:sz w:val="20"/>
                <w:szCs w:val="20"/>
              </w:rPr>
              <w:t>Certification</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2DC028E0" w14:textId="63DA19C5">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74</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3FECD731" w14:textId="582D6A58">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3</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7C084704" w14:textId="2CAFF58B">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222</w:t>
            </w:r>
          </w:p>
        </w:tc>
      </w:tr>
      <w:tr w:rsidRPr="00455F8D" w:rsidR="007E5BCC" w:rsidTr="005B3BD1" w14:paraId="7DB20CAD" w14:textId="77777777">
        <w:trPr>
          <w:trHeight w:val="315"/>
        </w:trPr>
        <w:tc>
          <w:tcPr>
            <w:tcW w:w="1422" w:type="dxa"/>
            <w:vMerge/>
            <w:tcBorders>
              <w:left w:val="single" w:color="auto" w:sz="8" w:space="0"/>
              <w:right w:val="single" w:color="auto" w:sz="4" w:space="0"/>
            </w:tcBorders>
            <w:shd w:val="clear" w:color="000000" w:fill="auto"/>
            <w:noWrap/>
            <w:hideMark/>
          </w:tcPr>
          <w:p w:rsidRPr="00584097" w:rsidR="00306CB7" w:rsidP="005B3BD1" w:rsidRDefault="00306CB7" w14:paraId="6CA8C7EA" w14:textId="39218ACB">
            <w:pPr>
              <w:keepNext/>
              <w:spacing w:after="0" w:line="240" w:lineRule="auto"/>
              <w:rPr>
                <w:rFonts w:ascii="Times New Roman" w:hAnsi="Times New Roman" w:eastAsia="Times New Roman" w:cs="Times New Roman"/>
                <w:sz w:val="20"/>
                <w:szCs w:val="20"/>
              </w:rPr>
            </w:pP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584097" w:rsidR="00306CB7" w:rsidP="005B3BD1" w:rsidRDefault="00306CB7" w14:paraId="220A3B78" w14:textId="14152EFC">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Implement/Document</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7D982DF3" w14:textId="3A360156">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74</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5227CECB" w14:textId="15CF7DFF">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661</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5C3523FA" w14:textId="1E810592">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48,913</w:t>
            </w:r>
          </w:p>
        </w:tc>
      </w:tr>
      <w:tr w:rsidRPr="00455F8D" w:rsidR="007E5BCC" w:rsidTr="005B3BD1" w14:paraId="7C4E1956" w14:textId="77777777">
        <w:trPr>
          <w:trHeight w:val="330"/>
        </w:trPr>
        <w:tc>
          <w:tcPr>
            <w:tcW w:w="1422" w:type="dxa"/>
            <w:vMerge/>
            <w:tcBorders>
              <w:left w:val="single" w:color="auto" w:sz="8" w:space="0"/>
              <w:bottom w:val="single" w:color="auto" w:sz="4" w:space="0"/>
              <w:right w:val="single" w:color="auto" w:sz="4" w:space="0"/>
            </w:tcBorders>
            <w:shd w:val="clear" w:color="000000" w:fill="auto"/>
            <w:noWrap/>
            <w:hideMark/>
          </w:tcPr>
          <w:p w:rsidRPr="00584097" w:rsidR="00306CB7" w:rsidP="005B3BD1" w:rsidRDefault="00306CB7" w14:paraId="329D4767" w14:textId="117239E4">
            <w:pPr>
              <w:keepNext/>
              <w:spacing w:after="0" w:line="240" w:lineRule="auto"/>
              <w:rPr>
                <w:rFonts w:ascii="Times New Roman" w:hAnsi="Times New Roman" w:eastAsia="Times New Roman" w:cs="Times New Roman"/>
                <w:sz w:val="20"/>
                <w:szCs w:val="20"/>
              </w:rPr>
            </w:pP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584097" w:rsidR="00306CB7" w:rsidP="005B3BD1" w:rsidRDefault="00306CB7" w14:paraId="56C90C50"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Recordkeeping</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79EA475B" w14:textId="097DB56B">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74</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2BC05649" w14:textId="07E8B870">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41</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0CBAFB79" w14:textId="2054BCDE">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3,027</w:t>
            </w:r>
          </w:p>
        </w:tc>
      </w:tr>
      <w:tr w:rsidRPr="00455F8D" w:rsidR="007E5BCC" w:rsidTr="005B3BD1" w14:paraId="1EF4E98D" w14:textId="77777777">
        <w:trPr>
          <w:trHeight w:val="332"/>
        </w:trPr>
        <w:tc>
          <w:tcPr>
            <w:tcW w:w="1422" w:type="dxa"/>
            <w:vMerge w:val="restart"/>
            <w:tcBorders>
              <w:top w:val="single" w:color="auto" w:sz="4" w:space="0"/>
              <w:left w:val="single" w:color="auto" w:sz="4" w:space="0"/>
              <w:right w:val="single" w:color="auto" w:sz="4" w:space="0"/>
            </w:tcBorders>
            <w:shd w:val="clear" w:color="000000" w:fill="auto"/>
            <w:noWrap/>
            <w:hideMark/>
          </w:tcPr>
          <w:p w:rsidRPr="00584097" w:rsidR="00306CB7" w:rsidP="005B3BD1" w:rsidRDefault="00306CB7" w14:paraId="5B2EE3EA"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Small 5307</w:t>
            </w: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584097" w:rsidR="00306CB7" w:rsidP="005B3BD1" w:rsidRDefault="005B3BD1" w14:paraId="30EA6299" w14:textId="33FD2CD8">
            <w:pPr>
              <w:keepNext/>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Development/</w:t>
            </w:r>
            <w:r w:rsidRPr="00584097">
              <w:rPr>
                <w:rFonts w:ascii="Times New Roman" w:hAnsi="Times New Roman" w:eastAsia="Times New Roman" w:cs="Times New Roman"/>
                <w:sz w:val="20"/>
                <w:szCs w:val="20"/>
              </w:rPr>
              <w:t>Certification</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253F2" w:rsidRDefault="00306CB7" w14:paraId="2AD55236" w14:textId="040204A0">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569</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54BFB829" w14:textId="0A54441A">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3</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253F2" w:rsidRDefault="00306CB7" w14:paraId="5A08CEDD" w14:textId="730E2375">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1707</w:t>
            </w:r>
          </w:p>
        </w:tc>
      </w:tr>
      <w:tr w:rsidRPr="00455F8D" w:rsidR="007E5BCC" w:rsidTr="005B3BD1" w14:paraId="040CB5B0" w14:textId="77777777">
        <w:trPr>
          <w:trHeight w:val="315"/>
        </w:trPr>
        <w:tc>
          <w:tcPr>
            <w:tcW w:w="1422" w:type="dxa"/>
            <w:vMerge/>
            <w:tcBorders>
              <w:left w:val="single" w:color="auto" w:sz="4" w:space="0"/>
              <w:right w:val="single" w:color="auto" w:sz="4" w:space="0"/>
            </w:tcBorders>
            <w:shd w:val="clear" w:color="000000" w:fill="auto"/>
            <w:noWrap/>
          </w:tcPr>
          <w:p w:rsidRPr="00584097" w:rsidR="00306CB7" w:rsidP="005B3BD1" w:rsidRDefault="00306CB7" w14:paraId="34B083F7" w14:textId="77777777">
            <w:pPr>
              <w:keepNext/>
              <w:spacing w:after="0" w:line="240" w:lineRule="auto"/>
              <w:rPr>
                <w:rFonts w:ascii="Times New Roman" w:hAnsi="Times New Roman" w:eastAsia="Times New Roman" w:cs="Times New Roman"/>
                <w:sz w:val="20"/>
                <w:szCs w:val="20"/>
              </w:rPr>
            </w:pP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584097" w:rsidR="00306CB7" w:rsidP="005B3BD1" w:rsidRDefault="00306CB7" w14:paraId="72C367FB" w14:textId="12AE2733">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Implement/Document</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253F2" w:rsidRDefault="00306CB7" w14:paraId="4D78EC70" w14:textId="6031D691">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569</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253F2" w:rsidRDefault="00306CB7" w14:paraId="33136007" w14:textId="19E35440">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213</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0957B022" w14:textId="15348D74">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121,146</w:t>
            </w:r>
          </w:p>
        </w:tc>
      </w:tr>
      <w:tr w:rsidRPr="00455F8D" w:rsidR="007E5BCC" w:rsidTr="005B3BD1" w14:paraId="0578637D" w14:textId="77777777">
        <w:trPr>
          <w:trHeight w:val="330"/>
        </w:trPr>
        <w:tc>
          <w:tcPr>
            <w:tcW w:w="1422" w:type="dxa"/>
            <w:vMerge/>
            <w:tcBorders>
              <w:left w:val="single" w:color="auto" w:sz="4" w:space="0"/>
              <w:bottom w:val="single" w:color="auto" w:sz="4" w:space="0"/>
              <w:right w:val="single" w:color="auto" w:sz="4" w:space="0"/>
            </w:tcBorders>
            <w:shd w:val="clear" w:color="000000" w:fill="auto"/>
            <w:noWrap/>
            <w:hideMark/>
          </w:tcPr>
          <w:p w:rsidRPr="00584097" w:rsidR="00306CB7" w:rsidP="005B3BD1" w:rsidRDefault="00306CB7" w14:paraId="76A2D04A" w14:textId="76CD6F94">
            <w:pPr>
              <w:keepNext/>
              <w:spacing w:after="0" w:line="240" w:lineRule="auto"/>
              <w:rPr>
                <w:rFonts w:ascii="Times New Roman" w:hAnsi="Times New Roman" w:eastAsia="Times New Roman" w:cs="Times New Roman"/>
                <w:sz w:val="20"/>
                <w:szCs w:val="20"/>
              </w:rPr>
            </w:pP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584097" w:rsidR="00306CB7" w:rsidP="005B3BD1" w:rsidRDefault="00306CB7" w14:paraId="5F1D9F4A" w14:textId="77777777">
            <w:pPr>
              <w:keepNext/>
              <w:spacing w:after="0" w:line="240" w:lineRule="auto"/>
              <w:rPr>
                <w:rFonts w:ascii="Times New Roman" w:hAnsi="Times New Roman" w:eastAsia="Times New Roman" w:cs="Times New Roman"/>
                <w:sz w:val="20"/>
                <w:szCs w:val="20"/>
              </w:rPr>
            </w:pPr>
            <w:r w:rsidRPr="00584097">
              <w:rPr>
                <w:rFonts w:ascii="Times New Roman" w:hAnsi="Times New Roman" w:eastAsia="Times New Roman" w:cs="Times New Roman"/>
                <w:sz w:val="20"/>
                <w:szCs w:val="20"/>
              </w:rPr>
              <w:t>Recordkeeping</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253F2" w:rsidRDefault="00306CB7" w14:paraId="0E74D631" w14:textId="12608B81">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569</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3349D664" w14:textId="209263B1">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34</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306CB7" w:rsidR="00306CB7" w:rsidP="00306CB7" w:rsidRDefault="00306CB7" w14:paraId="32B283D5" w14:textId="52BB1C5B">
            <w:pPr>
              <w:keepNext/>
              <w:spacing w:after="0" w:line="240" w:lineRule="auto"/>
              <w:jc w:val="right"/>
              <w:rPr>
                <w:rFonts w:ascii="Times New Roman" w:hAnsi="Times New Roman" w:eastAsia="Times New Roman" w:cs="Times New Roman"/>
                <w:sz w:val="20"/>
                <w:szCs w:val="20"/>
              </w:rPr>
            </w:pPr>
            <w:r w:rsidRPr="00306CB7">
              <w:rPr>
                <w:rFonts w:ascii="Times New Roman" w:hAnsi="Times New Roman" w:cs="Times New Roman"/>
                <w:color w:val="000000"/>
                <w:sz w:val="20"/>
                <w:szCs w:val="20"/>
              </w:rPr>
              <w:t>19,601</w:t>
            </w:r>
          </w:p>
        </w:tc>
      </w:tr>
      <w:tr w:rsidRPr="00DE6722" w:rsidR="007E5BCC" w:rsidTr="005B3BD1" w14:paraId="1003B2DA" w14:textId="77777777">
        <w:trPr>
          <w:trHeight w:val="278"/>
        </w:trPr>
        <w:tc>
          <w:tcPr>
            <w:tcW w:w="1422" w:type="dxa"/>
            <w:vMerge w:val="restart"/>
            <w:tcBorders>
              <w:top w:val="single" w:color="auto" w:sz="4" w:space="0"/>
              <w:left w:val="single" w:color="auto" w:sz="4" w:space="0"/>
              <w:right w:val="single" w:color="auto" w:sz="4" w:space="0"/>
            </w:tcBorders>
            <w:shd w:val="clear" w:color="000000" w:fill="auto"/>
            <w:noWrap/>
            <w:hideMark/>
          </w:tcPr>
          <w:p w:rsidRPr="00DE6722" w:rsidR="00306CB7" w:rsidP="005B3BD1" w:rsidRDefault="00306CB7" w14:paraId="5BA52C83" w14:textId="00AD4180">
            <w:pPr>
              <w:keepNext/>
              <w:spacing w:after="0" w:line="240" w:lineRule="auto"/>
              <w:rPr>
                <w:rFonts w:ascii="Times New Roman" w:hAnsi="Times New Roman" w:eastAsia="Times New Roman" w:cs="Times New Roman"/>
                <w:sz w:val="20"/>
                <w:szCs w:val="20"/>
              </w:rPr>
            </w:pPr>
            <w:r w:rsidRPr="00DE6722">
              <w:rPr>
                <w:rFonts w:ascii="Times New Roman" w:hAnsi="Times New Roman" w:eastAsia="Times New Roman" w:cs="Times New Roman"/>
                <w:sz w:val="20"/>
                <w:szCs w:val="20"/>
              </w:rPr>
              <w:t>States</w:t>
            </w: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hideMark/>
          </w:tcPr>
          <w:p w:rsidRPr="00DE6722" w:rsidR="00306CB7" w:rsidP="005B3BD1" w:rsidRDefault="00306CB7" w14:paraId="6AA97AF3" w14:textId="4D711A6F">
            <w:pPr>
              <w:keepNext/>
              <w:spacing w:after="0" w:line="240" w:lineRule="auto"/>
              <w:rPr>
                <w:rFonts w:ascii="Times New Roman" w:hAnsi="Times New Roman" w:eastAsia="Times New Roman" w:cs="Times New Roman"/>
                <w:sz w:val="20"/>
                <w:szCs w:val="20"/>
              </w:rPr>
            </w:pPr>
            <w:r w:rsidRPr="00DE6722">
              <w:rPr>
                <w:rFonts w:ascii="Times New Roman" w:hAnsi="Times New Roman" w:eastAsia="Times New Roman" w:cs="Times New Roman"/>
                <w:sz w:val="20"/>
                <w:szCs w:val="20"/>
              </w:rPr>
              <w:t>Development</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306CB7" w:rsidRDefault="00306CB7" w14:paraId="02DEA28F" w14:textId="2887229F">
            <w:pPr>
              <w:keepNext/>
              <w:spacing w:after="0" w:line="240" w:lineRule="auto"/>
              <w:jc w:val="right"/>
              <w:rPr>
                <w:rFonts w:ascii="Times New Roman" w:hAnsi="Times New Roman" w:cs="Times New Roman"/>
                <w:color w:val="000000"/>
                <w:sz w:val="20"/>
                <w:szCs w:val="20"/>
              </w:rPr>
            </w:pPr>
            <w:r w:rsidRPr="00DE6722">
              <w:rPr>
                <w:rFonts w:ascii="Times New Roman" w:hAnsi="Times New Roman" w:cs="Times New Roman"/>
                <w:color w:val="000000"/>
                <w:sz w:val="20"/>
                <w:szCs w:val="20"/>
              </w:rPr>
              <w:t>5</w:t>
            </w:r>
            <w:r w:rsidR="006816E9">
              <w:rPr>
                <w:rFonts w:ascii="Times New Roman" w:hAnsi="Times New Roman" w:cs="Times New Roman"/>
                <w:color w:val="000000"/>
                <w:sz w:val="20"/>
                <w:szCs w:val="20"/>
              </w:rPr>
              <w:t>0</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306CB7" w:rsidRDefault="00306CB7" w14:paraId="320EF91A" w14:textId="44E262BF">
            <w:pPr>
              <w:keepNext/>
              <w:spacing w:after="0" w:line="240" w:lineRule="auto"/>
              <w:jc w:val="right"/>
              <w:rPr>
                <w:rFonts w:ascii="Times New Roman" w:hAnsi="Times New Roman" w:eastAsia="Times New Roman" w:cs="Times New Roman"/>
                <w:sz w:val="20"/>
                <w:szCs w:val="20"/>
              </w:rPr>
            </w:pPr>
            <w:r w:rsidRPr="00DE6722">
              <w:rPr>
                <w:rFonts w:ascii="Times New Roman" w:hAnsi="Times New Roman" w:cs="Times New Roman"/>
                <w:color w:val="000000"/>
                <w:sz w:val="20"/>
                <w:szCs w:val="20"/>
              </w:rPr>
              <w:t>40</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306CB7" w:rsidRDefault="00306CB7" w14:paraId="03773A49" w14:textId="77076BCF">
            <w:pPr>
              <w:keepNext/>
              <w:spacing w:after="0" w:line="240" w:lineRule="auto"/>
              <w:jc w:val="right"/>
              <w:rPr>
                <w:rFonts w:ascii="Times New Roman" w:hAnsi="Times New Roman" w:eastAsia="Times New Roman" w:cs="Times New Roman"/>
                <w:sz w:val="20"/>
                <w:szCs w:val="20"/>
              </w:rPr>
            </w:pPr>
            <w:r w:rsidRPr="00DE6722">
              <w:rPr>
                <w:rFonts w:ascii="Times New Roman" w:hAnsi="Times New Roman" w:cs="Times New Roman"/>
                <w:color w:val="000000"/>
                <w:sz w:val="20"/>
                <w:szCs w:val="20"/>
              </w:rPr>
              <w:t>200</w:t>
            </w:r>
          </w:p>
        </w:tc>
      </w:tr>
      <w:tr w:rsidRPr="00DE6722" w:rsidR="007E5BCC" w:rsidTr="005B3BD1" w14:paraId="1BDA1435" w14:textId="77777777">
        <w:trPr>
          <w:trHeight w:val="67"/>
        </w:trPr>
        <w:tc>
          <w:tcPr>
            <w:tcW w:w="1422" w:type="dxa"/>
            <w:vMerge/>
            <w:tcBorders>
              <w:top w:val="single" w:color="auto" w:sz="4" w:space="0"/>
              <w:left w:val="single" w:color="auto" w:sz="4" w:space="0"/>
              <w:right w:val="single" w:color="auto" w:sz="4" w:space="0"/>
            </w:tcBorders>
            <w:shd w:val="clear" w:color="000000" w:fill="auto"/>
            <w:noWrap/>
            <w:vAlign w:val="bottom"/>
          </w:tcPr>
          <w:p w:rsidRPr="00DE6722" w:rsidR="00306CB7" w:rsidP="00306CB7" w:rsidRDefault="00306CB7" w14:paraId="13ADD0A5" w14:textId="77777777">
            <w:pPr>
              <w:keepNext/>
              <w:spacing w:after="0" w:line="240" w:lineRule="auto"/>
              <w:rPr>
                <w:rFonts w:ascii="Times New Roman" w:hAnsi="Times New Roman" w:eastAsia="Times New Roman" w:cs="Times New Roman"/>
                <w:sz w:val="20"/>
                <w:szCs w:val="20"/>
              </w:rPr>
            </w:pP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5B3BD1" w:rsidRDefault="00306CB7" w14:paraId="0E2A0669" w14:textId="180C3321">
            <w:pPr>
              <w:keepNext/>
              <w:spacing w:after="0" w:line="240" w:lineRule="auto"/>
              <w:rPr>
                <w:rFonts w:ascii="Times New Roman" w:hAnsi="Times New Roman" w:eastAsia="Times New Roman" w:cs="Times New Roman"/>
                <w:sz w:val="20"/>
                <w:szCs w:val="20"/>
              </w:rPr>
            </w:pPr>
            <w:r w:rsidRPr="00DE6722">
              <w:rPr>
                <w:rFonts w:ascii="Times New Roman" w:hAnsi="Times New Roman" w:eastAsia="Times New Roman" w:cs="Times New Roman"/>
                <w:sz w:val="20"/>
                <w:szCs w:val="20"/>
              </w:rPr>
              <w:t>Certification</w:t>
            </w: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306CB7" w:rsidRDefault="00AB6823" w14:paraId="7D44B405" w14:textId="4080AA08">
            <w:pPr>
              <w:keepNext/>
              <w:spacing w:after="0" w:line="240" w:lineRule="auto"/>
              <w:jc w:val="right"/>
              <w:rPr>
                <w:rFonts w:ascii="Times New Roman" w:hAnsi="Times New Roman" w:cs="Times New Roman"/>
                <w:color w:val="000000"/>
                <w:sz w:val="20"/>
                <w:szCs w:val="20"/>
              </w:rPr>
            </w:pPr>
            <w:r w:rsidRPr="00DE6722">
              <w:rPr>
                <w:rFonts w:ascii="Times New Roman" w:hAnsi="Times New Roman" w:cs="Times New Roman"/>
                <w:color w:val="000000"/>
                <w:sz w:val="20"/>
                <w:szCs w:val="20"/>
              </w:rPr>
              <w:t>50</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306CB7" w:rsidRDefault="00306CB7" w14:paraId="4FBB27C4" w14:textId="12D474F6">
            <w:pPr>
              <w:keepNext/>
              <w:spacing w:after="0" w:line="240" w:lineRule="auto"/>
              <w:jc w:val="right"/>
              <w:rPr>
                <w:rFonts w:ascii="Times New Roman" w:hAnsi="Times New Roman" w:cs="Times New Roman"/>
                <w:color w:val="000000"/>
                <w:sz w:val="20"/>
                <w:szCs w:val="20"/>
              </w:rPr>
            </w:pPr>
            <w:r w:rsidRPr="00DE6722">
              <w:rPr>
                <w:rFonts w:ascii="Times New Roman" w:hAnsi="Times New Roman" w:cs="Times New Roman"/>
                <w:color w:val="000000"/>
                <w:sz w:val="20"/>
                <w:szCs w:val="20"/>
              </w:rPr>
              <w:t>3</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306CB7" w:rsidRDefault="00306CB7" w14:paraId="59F15F18" w14:textId="51DF9DFA">
            <w:pPr>
              <w:keepNext/>
              <w:spacing w:after="0" w:line="240" w:lineRule="auto"/>
              <w:jc w:val="right"/>
              <w:rPr>
                <w:rFonts w:ascii="Times New Roman" w:hAnsi="Times New Roman" w:cs="Times New Roman"/>
                <w:color w:val="000000"/>
                <w:sz w:val="20"/>
                <w:szCs w:val="20"/>
              </w:rPr>
            </w:pPr>
            <w:r w:rsidRPr="00DE6722">
              <w:rPr>
                <w:rFonts w:ascii="Times New Roman" w:hAnsi="Times New Roman" w:cs="Times New Roman"/>
                <w:color w:val="000000"/>
                <w:sz w:val="20"/>
                <w:szCs w:val="20"/>
              </w:rPr>
              <w:t>1</w:t>
            </w:r>
            <w:r w:rsidR="00DE6722">
              <w:rPr>
                <w:rFonts w:ascii="Times New Roman" w:hAnsi="Times New Roman" w:cs="Times New Roman"/>
                <w:color w:val="000000"/>
                <w:sz w:val="20"/>
                <w:szCs w:val="20"/>
              </w:rPr>
              <w:t>50</w:t>
            </w:r>
          </w:p>
        </w:tc>
      </w:tr>
      <w:tr w:rsidRPr="00DE6722" w:rsidR="007E5BCC" w:rsidTr="007E5BCC" w14:paraId="6A8925C5" w14:textId="77777777">
        <w:trPr>
          <w:trHeight w:val="315"/>
        </w:trPr>
        <w:tc>
          <w:tcPr>
            <w:tcW w:w="1422" w:type="dxa"/>
            <w:tcBorders>
              <w:top w:val="single" w:color="auto" w:sz="4" w:space="0"/>
              <w:left w:val="single" w:color="auto" w:sz="4" w:space="0"/>
              <w:bottom w:val="single" w:color="auto" w:sz="4" w:space="0"/>
              <w:right w:val="single" w:color="auto" w:sz="4" w:space="0"/>
            </w:tcBorders>
            <w:shd w:val="clear" w:color="000000" w:fill="auto"/>
            <w:noWrap/>
            <w:vAlign w:val="bottom"/>
          </w:tcPr>
          <w:p w:rsidRPr="00DE6722" w:rsidR="00306CB7" w:rsidP="00306CB7" w:rsidRDefault="00306CB7" w14:paraId="34423975" w14:textId="77777777">
            <w:pPr>
              <w:spacing w:after="0" w:line="240" w:lineRule="auto"/>
              <w:rPr>
                <w:rFonts w:ascii="Times New Roman" w:hAnsi="Times New Roman" w:eastAsia="Times New Roman" w:cs="Times New Roman"/>
                <w:b/>
                <w:sz w:val="20"/>
                <w:szCs w:val="20"/>
              </w:rPr>
            </w:pPr>
            <w:r w:rsidRPr="00DE6722">
              <w:rPr>
                <w:rFonts w:ascii="Times New Roman" w:hAnsi="Times New Roman" w:eastAsia="Times New Roman" w:cs="Times New Roman"/>
                <w:b/>
                <w:sz w:val="20"/>
                <w:szCs w:val="20"/>
              </w:rPr>
              <w:t>Grand Total</w:t>
            </w:r>
          </w:p>
        </w:tc>
        <w:tc>
          <w:tcPr>
            <w:tcW w:w="2496" w:type="dxa"/>
            <w:tcBorders>
              <w:top w:val="single" w:color="auto" w:sz="4" w:space="0"/>
              <w:left w:val="single" w:color="auto" w:sz="4" w:space="0"/>
              <w:bottom w:val="single" w:color="auto" w:sz="4" w:space="0"/>
              <w:right w:val="single" w:color="auto" w:sz="4" w:space="0"/>
            </w:tcBorders>
            <w:shd w:val="clear" w:color="000000" w:fill="auto"/>
            <w:noWrap/>
            <w:vAlign w:val="bottom"/>
          </w:tcPr>
          <w:p w:rsidRPr="00DE6722" w:rsidR="00306CB7" w:rsidP="00306CB7" w:rsidRDefault="00306CB7" w14:paraId="6BA2FE9D" w14:textId="77777777">
            <w:pPr>
              <w:spacing w:after="0" w:line="240" w:lineRule="auto"/>
              <w:rPr>
                <w:rFonts w:ascii="Times New Roman" w:hAnsi="Times New Roman" w:eastAsia="Times New Roman" w:cs="Times New Roman"/>
                <w:b/>
                <w:sz w:val="20"/>
                <w:szCs w:val="20"/>
              </w:rPr>
            </w:pPr>
          </w:p>
        </w:tc>
        <w:tc>
          <w:tcPr>
            <w:tcW w:w="1671"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3253F2" w:rsidRDefault="00306CB7" w14:paraId="670EC751" w14:textId="477FE390">
            <w:pPr>
              <w:spacing w:after="0" w:line="240" w:lineRule="auto"/>
              <w:jc w:val="right"/>
              <w:rPr>
                <w:rFonts w:ascii="Times New Roman" w:hAnsi="Times New Roman" w:cs="Times New Roman"/>
                <w:b/>
                <w:color w:val="000000"/>
                <w:sz w:val="20"/>
                <w:szCs w:val="20"/>
              </w:rPr>
            </w:pPr>
            <w:r w:rsidRPr="00DE6722">
              <w:rPr>
                <w:rFonts w:ascii="Times New Roman" w:hAnsi="Times New Roman" w:cs="Times New Roman"/>
                <w:b/>
                <w:bCs/>
                <w:color w:val="000000"/>
                <w:sz w:val="20"/>
                <w:szCs w:val="20"/>
              </w:rPr>
              <w:t>7</w:t>
            </w:r>
            <w:r w:rsidRPr="00DE6722" w:rsidR="00FD0156">
              <w:rPr>
                <w:rFonts w:ascii="Times New Roman" w:hAnsi="Times New Roman" w:cs="Times New Roman"/>
                <w:b/>
                <w:bCs/>
                <w:color w:val="000000"/>
                <w:sz w:val="20"/>
                <w:szCs w:val="20"/>
              </w:rPr>
              <w:t>55</w:t>
            </w: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306CB7" w:rsidRDefault="00306CB7" w14:paraId="3D01590D" w14:textId="378BA5D0">
            <w:pPr>
              <w:spacing w:after="0" w:line="240" w:lineRule="auto"/>
              <w:jc w:val="right"/>
              <w:rPr>
                <w:rFonts w:ascii="Times New Roman" w:hAnsi="Times New Roman" w:cs="Times New Roman"/>
                <w:b/>
                <w:color w:val="000000"/>
                <w:sz w:val="20"/>
                <w:szCs w:val="20"/>
              </w:rPr>
            </w:pPr>
          </w:p>
        </w:tc>
        <w:tc>
          <w:tcPr>
            <w:tcW w:w="1827" w:type="dxa"/>
            <w:tcBorders>
              <w:top w:val="single" w:color="auto" w:sz="4" w:space="0"/>
              <w:left w:val="single" w:color="auto" w:sz="4" w:space="0"/>
              <w:bottom w:val="single" w:color="auto" w:sz="4" w:space="0"/>
              <w:right w:val="single" w:color="auto" w:sz="4" w:space="0"/>
            </w:tcBorders>
            <w:shd w:val="clear" w:color="000000" w:fill="auto"/>
            <w:noWrap/>
            <w:vAlign w:val="center"/>
          </w:tcPr>
          <w:p w:rsidRPr="00DE6722" w:rsidR="00306CB7" w:rsidP="003253F2" w:rsidRDefault="007E5BCC" w14:paraId="77C20D67" w14:textId="5C3100AF">
            <w:pPr>
              <w:spacing w:after="0" w:line="240" w:lineRule="auto"/>
              <w:jc w:val="right"/>
              <w:rPr>
                <w:rFonts w:ascii="Times New Roman" w:hAnsi="Times New Roman" w:cs="Times New Roman"/>
                <w:b/>
                <w:color w:val="000000"/>
                <w:sz w:val="20"/>
                <w:szCs w:val="20"/>
              </w:rPr>
            </w:pPr>
            <w:r w:rsidRPr="00DE6722">
              <w:rPr>
                <w:rFonts w:ascii="Times New Roman" w:hAnsi="Times New Roman" w:cs="Times New Roman"/>
                <w:b/>
                <w:bCs/>
                <w:color w:val="000000"/>
                <w:sz w:val="20"/>
                <w:szCs w:val="20"/>
              </w:rPr>
              <w:t>252,855</w:t>
            </w:r>
          </w:p>
        </w:tc>
      </w:tr>
    </w:tbl>
    <w:p w:rsidRPr="00DE6722" w:rsidR="00584097" w:rsidP="00A66850" w:rsidRDefault="00584097" w14:paraId="2A7AF26D" w14:textId="77777777">
      <w:pPr>
        <w:spacing w:after="0" w:line="240" w:lineRule="auto"/>
        <w:rPr>
          <w:rFonts w:ascii="Times New Roman" w:hAnsi="Times New Roman" w:cs="Times New Roman"/>
          <w:sz w:val="24"/>
          <w:szCs w:val="24"/>
          <w:u w:val="single"/>
        </w:rPr>
      </w:pPr>
    </w:p>
    <w:p w:rsidR="00907617" w:rsidP="00A66850" w:rsidRDefault="00907617" w14:paraId="49B2FCBD" w14:textId="77777777">
      <w:pPr>
        <w:spacing w:after="0" w:line="240" w:lineRule="auto"/>
        <w:rPr>
          <w:rFonts w:ascii="Times New Roman" w:hAnsi="Times New Roman" w:cs="Times New Roman"/>
          <w:sz w:val="24"/>
          <w:szCs w:val="24"/>
        </w:rPr>
      </w:pPr>
      <w:r w:rsidRPr="00DE6722">
        <w:rPr>
          <w:rFonts w:ascii="Times New Roman" w:hAnsi="Times New Roman" w:cs="Times New Roman"/>
          <w:sz w:val="24"/>
          <w:szCs w:val="24"/>
          <w:u w:val="single"/>
        </w:rPr>
        <w:t>Summary for Table 2</w:t>
      </w:r>
      <w:r w:rsidRPr="00DE6722">
        <w:rPr>
          <w:rFonts w:ascii="Times New Roman" w:hAnsi="Times New Roman" w:cs="Times New Roman"/>
          <w:sz w:val="24"/>
          <w:szCs w:val="24"/>
        </w:rPr>
        <w:t>:</w:t>
      </w:r>
    </w:p>
    <w:p w:rsidRPr="00A66850" w:rsidR="0044744E" w:rsidP="00A66850" w:rsidRDefault="0044744E" w14:paraId="7296C0E3" w14:textId="77777777">
      <w:pPr>
        <w:spacing w:after="0" w:line="240" w:lineRule="auto"/>
        <w:rPr>
          <w:rFonts w:ascii="Times New Roman" w:hAnsi="Times New Roman" w:cs="Times New Roman"/>
          <w:sz w:val="24"/>
          <w:szCs w:val="24"/>
        </w:rPr>
      </w:pPr>
    </w:p>
    <w:p w:rsidR="00FD15A5" w:rsidP="00A66850" w:rsidRDefault="00FD15A5" w14:paraId="1C72C9B1" w14:textId="565C02D4">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The total number of respondents is </w:t>
      </w:r>
      <w:r w:rsidR="00306CB7">
        <w:rPr>
          <w:rFonts w:ascii="Times New Roman" w:hAnsi="Times New Roman" w:cs="Times New Roman"/>
          <w:sz w:val="24"/>
          <w:szCs w:val="24"/>
        </w:rPr>
        <w:t>7</w:t>
      </w:r>
      <w:r w:rsidR="00460471">
        <w:rPr>
          <w:rFonts w:ascii="Times New Roman" w:hAnsi="Times New Roman" w:cs="Times New Roman"/>
          <w:sz w:val="24"/>
          <w:szCs w:val="24"/>
        </w:rPr>
        <w:t>55</w:t>
      </w:r>
      <w:r w:rsidR="004130AE">
        <w:rPr>
          <w:rFonts w:ascii="Times New Roman" w:hAnsi="Times New Roman" w:cs="Times New Roman"/>
          <w:sz w:val="24"/>
          <w:szCs w:val="24"/>
        </w:rPr>
        <w:t>, which includes</w:t>
      </w:r>
      <w:r w:rsidRPr="00A66850">
        <w:rPr>
          <w:rFonts w:ascii="Times New Roman" w:hAnsi="Times New Roman" w:cs="Times New Roman"/>
          <w:sz w:val="24"/>
          <w:szCs w:val="24"/>
        </w:rPr>
        <w:t xml:space="preserve"> </w:t>
      </w:r>
      <w:r w:rsidRPr="00A66850" w:rsidR="00DB6EFD">
        <w:rPr>
          <w:rFonts w:ascii="Times New Roman" w:hAnsi="Times New Roman" w:cs="Times New Roman"/>
          <w:sz w:val="24"/>
          <w:szCs w:val="24"/>
        </w:rPr>
        <w:t>6</w:t>
      </w:r>
      <w:r w:rsidR="00460471">
        <w:rPr>
          <w:rFonts w:ascii="Times New Roman" w:hAnsi="Times New Roman" w:cs="Times New Roman"/>
          <w:sz w:val="24"/>
          <w:szCs w:val="24"/>
        </w:rPr>
        <w:t>2</w:t>
      </w:r>
      <w:r w:rsidRPr="00A66850" w:rsidR="00DB6EFD">
        <w:rPr>
          <w:rFonts w:ascii="Times New Roman" w:hAnsi="Times New Roman" w:cs="Times New Roman"/>
          <w:sz w:val="24"/>
          <w:szCs w:val="24"/>
        </w:rPr>
        <w:t xml:space="preserve"> Section 5307 rail respondents, </w:t>
      </w:r>
      <w:r w:rsidR="00460471">
        <w:rPr>
          <w:rFonts w:ascii="Times New Roman" w:hAnsi="Times New Roman" w:cs="Times New Roman"/>
          <w:sz w:val="24"/>
          <w:szCs w:val="24"/>
        </w:rPr>
        <w:t>74</w:t>
      </w:r>
      <w:r w:rsidRPr="00A66850" w:rsidR="00DB6EFD">
        <w:rPr>
          <w:rFonts w:ascii="Times New Roman" w:hAnsi="Times New Roman" w:cs="Times New Roman"/>
          <w:sz w:val="24"/>
          <w:szCs w:val="24"/>
        </w:rPr>
        <w:t xml:space="preserve"> Section 5307 large bus respondents, </w:t>
      </w:r>
      <w:r w:rsidR="00460471">
        <w:rPr>
          <w:rFonts w:ascii="Times New Roman" w:hAnsi="Times New Roman" w:cs="Times New Roman"/>
          <w:sz w:val="24"/>
          <w:szCs w:val="24"/>
        </w:rPr>
        <w:t>569</w:t>
      </w:r>
      <w:r w:rsidRPr="00A66850" w:rsidR="00DB6EFD">
        <w:rPr>
          <w:rFonts w:ascii="Times New Roman" w:hAnsi="Times New Roman" w:cs="Times New Roman"/>
          <w:sz w:val="24"/>
          <w:szCs w:val="24"/>
        </w:rPr>
        <w:t xml:space="preserve"> Section 5307 small respondents, </w:t>
      </w:r>
      <w:r w:rsidRPr="00A66850" w:rsidR="00732B5A">
        <w:rPr>
          <w:rFonts w:ascii="Times New Roman" w:hAnsi="Times New Roman" w:cs="Times New Roman"/>
          <w:sz w:val="24"/>
          <w:szCs w:val="24"/>
        </w:rPr>
        <w:t>and 5</w:t>
      </w:r>
      <w:r w:rsidR="00460471">
        <w:rPr>
          <w:rFonts w:ascii="Times New Roman" w:hAnsi="Times New Roman" w:cs="Times New Roman"/>
          <w:sz w:val="24"/>
          <w:szCs w:val="24"/>
        </w:rPr>
        <w:t>0</w:t>
      </w:r>
      <w:r w:rsidRPr="00A66850" w:rsidR="00732B5A">
        <w:rPr>
          <w:rFonts w:ascii="Times New Roman" w:hAnsi="Times New Roman" w:cs="Times New Roman"/>
          <w:sz w:val="24"/>
          <w:szCs w:val="24"/>
        </w:rPr>
        <w:t xml:space="preserve"> </w:t>
      </w:r>
      <w:r w:rsidR="00460471">
        <w:rPr>
          <w:rFonts w:ascii="Times New Roman" w:hAnsi="Times New Roman" w:cs="Times New Roman"/>
          <w:sz w:val="24"/>
          <w:szCs w:val="24"/>
        </w:rPr>
        <w:t xml:space="preserve">applicable </w:t>
      </w:r>
      <w:r w:rsidRPr="00A66850" w:rsidR="00732B5A">
        <w:rPr>
          <w:rFonts w:ascii="Times New Roman" w:hAnsi="Times New Roman" w:cs="Times New Roman"/>
          <w:sz w:val="24"/>
          <w:szCs w:val="24"/>
        </w:rPr>
        <w:t>State</w:t>
      </w:r>
      <w:r w:rsidR="004E2AB6">
        <w:rPr>
          <w:rFonts w:ascii="Times New Roman" w:hAnsi="Times New Roman" w:cs="Times New Roman"/>
          <w:sz w:val="24"/>
          <w:szCs w:val="24"/>
        </w:rPr>
        <w:t xml:space="preserve"> </w:t>
      </w:r>
      <w:r w:rsidRPr="00A66850" w:rsidR="00732B5A">
        <w:rPr>
          <w:rFonts w:ascii="Times New Roman" w:hAnsi="Times New Roman" w:cs="Times New Roman"/>
          <w:sz w:val="24"/>
          <w:szCs w:val="24"/>
        </w:rPr>
        <w:t>respondents</w:t>
      </w:r>
      <w:r w:rsidR="0044744E">
        <w:rPr>
          <w:rFonts w:ascii="Times New Roman" w:hAnsi="Times New Roman" w:cs="Times New Roman"/>
          <w:sz w:val="24"/>
          <w:szCs w:val="24"/>
        </w:rPr>
        <w:t>.</w:t>
      </w:r>
    </w:p>
    <w:p w:rsidRPr="00A66850" w:rsidR="0044744E" w:rsidP="00A66850" w:rsidRDefault="0044744E" w14:paraId="7AB03D46" w14:textId="77777777">
      <w:pPr>
        <w:spacing w:after="0" w:line="240" w:lineRule="auto"/>
        <w:rPr>
          <w:rFonts w:ascii="Times New Roman" w:hAnsi="Times New Roman" w:cs="Times New Roman"/>
          <w:sz w:val="24"/>
          <w:szCs w:val="24"/>
        </w:rPr>
      </w:pPr>
    </w:p>
    <w:p w:rsidR="00907617" w:rsidP="00A66850" w:rsidRDefault="004824E2" w14:paraId="562BAC8D" w14:textId="391DABEF">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When counting all constituent agencies participating</w:t>
      </w:r>
      <w:r w:rsidRPr="00A66850" w:rsidR="001878EA">
        <w:rPr>
          <w:rFonts w:ascii="Times New Roman" w:hAnsi="Times New Roman" w:cs="Times New Roman"/>
          <w:sz w:val="24"/>
          <w:szCs w:val="24"/>
        </w:rPr>
        <w:t xml:space="preserve">, the total for each </w:t>
      </w:r>
      <w:r w:rsidRPr="00A66850" w:rsidR="00DB6EFD">
        <w:rPr>
          <w:rFonts w:ascii="Times New Roman" w:hAnsi="Times New Roman" w:cs="Times New Roman"/>
          <w:sz w:val="24"/>
          <w:szCs w:val="24"/>
        </w:rPr>
        <w:t xml:space="preserve">sub-type </w:t>
      </w:r>
      <w:r w:rsidRPr="00A66850" w:rsidR="001878EA">
        <w:rPr>
          <w:rFonts w:ascii="Times New Roman" w:hAnsi="Times New Roman" w:cs="Times New Roman"/>
          <w:sz w:val="24"/>
          <w:szCs w:val="24"/>
        </w:rPr>
        <w:t>(</w:t>
      </w:r>
      <w:r w:rsidRPr="00A66850" w:rsidR="00DB6EFD">
        <w:rPr>
          <w:rFonts w:ascii="Times New Roman" w:hAnsi="Times New Roman" w:cs="Times New Roman"/>
          <w:sz w:val="24"/>
          <w:szCs w:val="24"/>
        </w:rPr>
        <w:t>rail</w:t>
      </w:r>
      <w:r w:rsidR="004130AE">
        <w:rPr>
          <w:rFonts w:ascii="Times New Roman" w:hAnsi="Times New Roman" w:cs="Times New Roman"/>
          <w:sz w:val="24"/>
          <w:szCs w:val="24"/>
        </w:rPr>
        <w:t xml:space="preserve"> Section 5307 recipients</w:t>
      </w:r>
      <w:r w:rsidRPr="00A66850" w:rsidR="00DB6EFD">
        <w:rPr>
          <w:rFonts w:ascii="Times New Roman" w:hAnsi="Times New Roman" w:cs="Times New Roman"/>
          <w:sz w:val="24"/>
          <w:szCs w:val="24"/>
        </w:rPr>
        <w:t>, large bus Section 5307</w:t>
      </w:r>
      <w:r w:rsidR="004130AE">
        <w:rPr>
          <w:rFonts w:ascii="Times New Roman" w:hAnsi="Times New Roman" w:cs="Times New Roman"/>
          <w:sz w:val="24"/>
          <w:szCs w:val="24"/>
        </w:rPr>
        <w:t xml:space="preserve"> recipients</w:t>
      </w:r>
      <w:r w:rsidRPr="00A66850" w:rsidR="00DB6EFD">
        <w:rPr>
          <w:rFonts w:ascii="Times New Roman" w:hAnsi="Times New Roman" w:cs="Times New Roman"/>
          <w:sz w:val="24"/>
          <w:szCs w:val="24"/>
        </w:rPr>
        <w:t xml:space="preserve">, </w:t>
      </w:r>
      <w:r w:rsidRPr="00A66850" w:rsidR="0030035F">
        <w:rPr>
          <w:rFonts w:ascii="Times New Roman" w:hAnsi="Times New Roman" w:cs="Times New Roman"/>
          <w:sz w:val="24"/>
          <w:szCs w:val="24"/>
        </w:rPr>
        <w:t xml:space="preserve">small </w:t>
      </w:r>
      <w:r w:rsidR="004130AE">
        <w:rPr>
          <w:rFonts w:ascii="Times New Roman" w:hAnsi="Times New Roman" w:cs="Times New Roman"/>
          <w:sz w:val="24"/>
          <w:szCs w:val="24"/>
        </w:rPr>
        <w:t xml:space="preserve">bus </w:t>
      </w:r>
      <w:r w:rsidRPr="00A66850" w:rsidR="0030035F">
        <w:rPr>
          <w:rFonts w:ascii="Times New Roman" w:hAnsi="Times New Roman" w:cs="Times New Roman"/>
          <w:sz w:val="24"/>
          <w:szCs w:val="24"/>
        </w:rPr>
        <w:t xml:space="preserve">Section </w:t>
      </w:r>
      <w:r w:rsidRPr="00A66850" w:rsidR="001878EA">
        <w:rPr>
          <w:rFonts w:ascii="Times New Roman" w:hAnsi="Times New Roman" w:cs="Times New Roman"/>
          <w:sz w:val="24"/>
          <w:szCs w:val="24"/>
        </w:rPr>
        <w:t>5307</w:t>
      </w:r>
      <w:r w:rsidR="004130AE">
        <w:rPr>
          <w:rFonts w:ascii="Times New Roman" w:hAnsi="Times New Roman" w:cs="Times New Roman"/>
          <w:sz w:val="24"/>
          <w:szCs w:val="24"/>
        </w:rPr>
        <w:t xml:space="preserve"> recipients</w:t>
      </w:r>
      <w:r w:rsidRPr="00A66850" w:rsidR="001878EA">
        <w:rPr>
          <w:rFonts w:ascii="Times New Roman" w:hAnsi="Times New Roman" w:cs="Times New Roman"/>
          <w:sz w:val="24"/>
          <w:szCs w:val="24"/>
        </w:rPr>
        <w:t xml:space="preserve">, </w:t>
      </w:r>
      <w:r w:rsidRPr="00A66850" w:rsidR="00732B5A">
        <w:rPr>
          <w:rFonts w:ascii="Times New Roman" w:hAnsi="Times New Roman" w:cs="Times New Roman"/>
          <w:sz w:val="24"/>
          <w:szCs w:val="24"/>
        </w:rPr>
        <w:t>and State</w:t>
      </w:r>
      <w:r w:rsidR="0044744E">
        <w:rPr>
          <w:rFonts w:ascii="Times New Roman" w:hAnsi="Times New Roman" w:cs="Times New Roman"/>
          <w:sz w:val="24"/>
          <w:szCs w:val="24"/>
        </w:rPr>
        <w:t>s</w:t>
      </w:r>
      <w:r w:rsidRPr="00A66850" w:rsidR="001878EA">
        <w:rPr>
          <w:rFonts w:ascii="Times New Roman" w:hAnsi="Times New Roman" w:cs="Times New Roman"/>
          <w:sz w:val="24"/>
          <w:szCs w:val="24"/>
        </w:rPr>
        <w:t xml:space="preserve">) </w:t>
      </w:r>
      <w:r w:rsidRPr="00A66850">
        <w:rPr>
          <w:rFonts w:ascii="Times New Roman" w:hAnsi="Times New Roman" w:cs="Times New Roman"/>
          <w:sz w:val="24"/>
          <w:szCs w:val="24"/>
        </w:rPr>
        <w:t>is</w:t>
      </w:r>
      <w:r w:rsidRPr="00A66850" w:rsidR="00DB6EFD">
        <w:rPr>
          <w:rFonts w:ascii="Times New Roman" w:hAnsi="Times New Roman" w:cs="Times New Roman"/>
          <w:sz w:val="24"/>
          <w:szCs w:val="24"/>
        </w:rPr>
        <w:t xml:space="preserve"> 6</w:t>
      </w:r>
      <w:r w:rsidR="00460471">
        <w:rPr>
          <w:rFonts w:ascii="Times New Roman" w:hAnsi="Times New Roman" w:cs="Times New Roman"/>
          <w:sz w:val="24"/>
          <w:szCs w:val="24"/>
        </w:rPr>
        <w:t>2</w:t>
      </w:r>
      <w:r w:rsidRPr="00A66850" w:rsidR="00DB6EFD">
        <w:rPr>
          <w:rFonts w:ascii="Times New Roman" w:hAnsi="Times New Roman" w:cs="Times New Roman"/>
          <w:sz w:val="24"/>
          <w:szCs w:val="24"/>
        </w:rPr>
        <w:t xml:space="preserve">, </w:t>
      </w:r>
      <w:r w:rsidR="00460471">
        <w:rPr>
          <w:rFonts w:ascii="Times New Roman" w:hAnsi="Times New Roman" w:cs="Times New Roman"/>
          <w:sz w:val="24"/>
          <w:szCs w:val="24"/>
        </w:rPr>
        <w:t>74</w:t>
      </w:r>
      <w:r w:rsidRPr="00A66850" w:rsidR="00DB6EFD">
        <w:rPr>
          <w:rFonts w:ascii="Times New Roman" w:hAnsi="Times New Roman" w:cs="Times New Roman"/>
          <w:sz w:val="24"/>
          <w:szCs w:val="24"/>
        </w:rPr>
        <w:t xml:space="preserve">, </w:t>
      </w:r>
      <w:r w:rsidR="00460471">
        <w:rPr>
          <w:rFonts w:ascii="Times New Roman" w:hAnsi="Times New Roman" w:cs="Times New Roman"/>
          <w:sz w:val="24"/>
          <w:szCs w:val="24"/>
        </w:rPr>
        <w:t>569</w:t>
      </w:r>
      <w:r w:rsidRPr="00A66850">
        <w:rPr>
          <w:rFonts w:ascii="Times New Roman" w:hAnsi="Times New Roman" w:cs="Times New Roman"/>
          <w:sz w:val="24"/>
          <w:szCs w:val="24"/>
        </w:rPr>
        <w:t>,</w:t>
      </w:r>
      <w:r w:rsidRPr="00A66850" w:rsidR="0030035F">
        <w:rPr>
          <w:rFonts w:ascii="Times New Roman" w:hAnsi="Times New Roman" w:cs="Times New Roman"/>
          <w:sz w:val="24"/>
          <w:szCs w:val="24"/>
        </w:rPr>
        <w:t xml:space="preserve"> </w:t>
      </w:r>
      <w:r w:rsidRPr="00A66850" w:rsidR="00732B5A">
        <w:rPr>
          <w:rFonts w:ascii="Times New Roman" w:hAnsi="Times New Roman" w:cs="Times New Roman"/>
          <w:sz w:val="24"/>
          <w:szCs w:val="24"/>
        </w:rPr>
        <w:t xml:space="preserve">and </w:t>
      </w:r>
      <w:r w:rsidR="00460471">
        <w:rPr>
          <w:rFonts w:ascii="Times New Roman" w:hAnsi="Times New Roman" w:cs="Times New Roman"/>
          <w:sz w:val="24"/>
          <w:szCs w:val="24"/>
        </w:rPr>
        <w:t>50</w:t>
      </w:r>
      <w:r w:rsidRPr="00A66850" w:rsidR="00732B5A">
        <w:rPr>
          <w:rFonts w:ascii="Times New Roman" w:hAnsi="Times New Roman" w:cs="Times New Roman"/>
          <w:sz w:val="24"/>
          <w:szCs w:val="24"/>
        </w:rPr>
        <w:t xml:space="preserve">, </w:t>
      </w:r>
      <w:r w:rsidRPr="00A66850">
        <w:rPr>
          <w:rFonts w:ascii="Times New Roman" w:hAnsi="Times New Roman" w:cs="Times New Roman"/>
          <w:sz w:val="24"/>
          <w:szCs w:val="24"/>
        </w:rPr>
        <w:t xml:space="preserve">respectively, for a total of </w:t>
      </w:r>
      <w:r w:rsidR="00460471">
        <w:rPr>
          <w:rFonts w:ascii="Times New Roman" w:hAnsi="Times New Roman" w:cs="Times New Roman"/>
          <w:sz w:val="24"/>
          <w:szCs w:val="24"/>
        </w:rPr>
        <w:t>755</w:t>
      </w:r>
      <w:r w:rsidRPr="00A66850">
        <w:rPr>
          <w:rFonts w:ascii="Times New Roman" w:hAnsi="Times New Roman" w:cs="Times New Roman"/>
          <w:sz w:val="24"/>
          <w:szCs w:val="24"/>
        </w:rPr>
        <w:t xml:space="preserve"> agencies.</w:t>
      </w:r>
      <w:r w:rsidR="0044744E">
        <w:rPr>
          <w:rFonts w:ascii="Times New Roman" w:hAnsi="Times New Roman" w:cs="Times New Roman"/>
          <w:sz w:val="24"/>
          <w:szCs w:val="24"/>
        </w:rPr>
        <w:t xml:space="preserve">  </w:t>
      </w:r>
    </w:p>
    <w:p w:rsidRPr="00A66850" w:rsidR="0044744E" w:rsidP="00A66850" w:rsidRDefault="0044744E" w14:paraId="64877C74" w14:textId="77777777">
      <w:pPr>
        <w:spacing w:after="0" w:line="240" w:lineRule="auto"/>
        <w:rPr>
          <w:rFonts w:ascii="Times New Roman" w:hAnsi="Times New Roman" w:cs="Times New Roman"/>
          <w:sz w:val="24"/>
          <w:szCs w:val="24"/>
        </w:rPr>
      </w:pPr>
    </w:p>
    <w:p w:rsidR="00451C8A" w:rsidP="00451C8A" w:rsidRDefault="00451C8A" w14:paraId="62849073" w14:textId="77777777">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The range of estimated hourly burdens spans from </w:t>
      </w:r>
      <w:r>
        <w:rPr>
          <w:rFonts w:ascii="Times New Roman" w:hAnsi="Times New Roman" w:cs="Times New Roman"/>
          <w:sz w:val="24"/>
          <w:szCs w:val="24"/>
        </w:rPr>
        <w:t>52,162</w:t>
      </w:r>
      <w:r w:rsidRPr="00A66850">
        <w:rPr>
          <w:rFonts w:ascii="Times New Roman" w:hAnsi="Times New Roman" w:cs="Times New Roman"/>
          <w:sz w:val="24"/>
          <w:szCs w:val="24"/>
        </w:rPr>
        <w:t xml:space="preserve"> labor hours for the Section 5307 </w:t>
      </w:r>
      <w:r>
        <w:rPr>
          <w:rFonts w:ascii="Times New Roman" w:hAnsi="Times New Roman" w:cs="Times New Roman"/>
          <w:sz w:val="24"/>
          <w:szCs w:val="24"/>
        </w:rPr>
        <w:t xml:space="preserve">large bus </w:t>
      </w:r>
      <w:r w:rsidRPr="00A66850">
        <w:rPr>
          <w:rFonts w:ascii="Times New Roman" w:hAnsi="Times New Roman" w:cs="Times New Roman"/>
          <w:sz w:val="24"/>
          <w:szCs w:val="24"/>
        </w:rPr>
        <w:t xml:space="preserve">agencies to </w:t>
      </w:r>
      <w:r>
        <w:rPr>
          <w:rFonts w:ascii="Times New Roman" w:hAnsi="Times New Roman" w:cs="Times New Roman"/>
          <w:sz w:val="24"/>
          <w:szCs w:val="24"/>
        </w:rPr>
        <w:t>142,454</w:t>
      </w:r>
      <w:r w:rsidRPr="00A66850">
        <w:rPr>
          <w:rFonts w:ascii="Times New Roman" w:hAnsi="Times New Roman" w:cs="Times New Roman"/>
          <w:sz w:val="24"/>
          <w:szCs w:val="24"/>
        </w:rPr>
        <w:t xml:space="preserve"> labor hours for the </w:t>
      </w:r>
      <w:r>
        <w:rPr>
          <w:rFonts w:ascii="Times New Roman" w:hAnsi="Times New Roman" w:cs="Times New Roman"/>
          <w:sz w:val="24"/>
          <w:szCs w:val="24"/>
        </w:rPr>
        <w:t xml:space="preserve">small </w:t>
      </w:r>
      <w:r w:rsidRPr="00A66850">
        <w:rPr>
          <w:rFonts w:ascii="Times New Roman" w:hAnsi="Times New Roman" w:cs="Times New Roman"/>
          <w:sz w:val="24"/>
          <w:szCs w:val="24"/>
        </w:rPr>
        <w:t>Section 53</w:t>
      </w:r>
      <w:r>
        <w:rPr>
          <w:rFonts w:ascii="Times New Roman" w:hAnsi="Times New Roman" w:cs="Times New Roman"/>
          <w:sz w:val="24"/>
          <w:szCs w:val="24"/>
        </w:rPr>
        <w:t>07 bus</w:t>
      </w:r>
      <w:r w:rsidRPr="00A66850">
        <w:rPr>
          <w:rFonts w:ascii="Times New Roman" w:hAnsi="Times New Roman" w:cs="Times New Roman"/>
          <w:sz w:val="24"/>
          <w:szCs w:val="24"/>
        </w:rPr>
        <w:t xml:space="preserve"> agencies.  Additionally, the labor hour burden for the State category is estimated </w:t>
      </w:r>
      <w:r>
        <w:rPr>
          <w:rFonts w:ascii="Times New Roman" w:hAnsi="Times New Roman" w:cs="Times New Roman"/>
          <w:sz w:val="24"/>
          <w:szCs w:val="24"/>
        </w:rPr>
        <w:t>to be</w:t>
      </w:r>
      <w:r w:rsidRPr="00A66850">
        <w:rPr>
          <w:rFonts w:ascii="Times New Roman" w:hAnsi="Times New Roman" w:cs="Times New Roman"/>
          <w:sz w:val="24"/>
          <w:szCs w:val="24"/>
        </w:rPr>
        <w:t xml:space="preserve"> </w:t>
      </w:r>
      <w:r>
        <w:rPr>
          <w:rFonts w:ascii="Times New Roman" w:hAnsi="Times New Roman" w:cs="Times New Roman"/>
          <w:sz w:val="24"/>
          <w:szCs w:val="24"/>
        </w:rPr>
        <w:t>350</w:t>
      </w:r>
      <w:r w:rsidRPr="00A66850">
        <w:rPr>
          <w:rFonts w:ascii="Times New Roman" w:hAnsi="Times New Roman" w:cs="Times New Roman"/>
          <w:sz w:val="24"/>
          <w:szCs w:val="24"/>
        </w:rPr>
        <w:t>.</w:t>
      </w:r>
    </w:p>
    <w:p w:rsidRPr="00A66850" w:rsidR="00451C8A" w:rsidP="00451C8A" w:rsidRDefault="00451C8A" w14:paraId="12A66672" w14:textId="77777777">
      <w:pPr>
        <w:spacing w:after="0" w:line="240" w:lineRule="auto"/>
        <w:rPr>
          <w:rFonts w:ascii="Times New Roman" w:hAnsi="Times New Roman" w:cs="Times New Roman"/>
          <w:sz w:val="24"/>
          <w:szCs w:val="24"/>
        </w:rPr>
      </w:pPr>
    </w:p>
    <w:p w:rsidR="00451C8A" w:rsidP="00451C8A" w:rsidRDefault="00451C8A" w14:paraId="14B4CEA7" w14:textId="3912D0FD">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In terms of individual </w:t>
      </w:r>
      <w:r>
        <w:rPr>
          <w:rFonts w:ascii="Times New Roman" w:hAnsi="Times New Roman" w:cs="Times New Roman"/>
          <w:sz w:val="24"/>
          <w:szCs w:val="24"/>
        </w:rPr>
        <w:t xml:space="preserve">transit </w:t>
      </w:r>
      <w:r w:rsidRPr="00A66850">
        <w:rPr>
          <w:rFonts w:ascii="Times New Roman" w:hAnsi="Times New Roman" w:cs="Times New Roman"/>
          <w:sz w:val="24"/>
          <w:szCs w:val="24"/>
        </w:rPr>
        <w:t xml:space="preserve">agencies, the highest estimated labor burden is for the Section 5307 rail agencies at </w:t>
      </w:r>
      <w:r>
        <w:rPr>
          <w:rFonts w:ascii="Times New Roman" w:hAnsi="Times New Roman" w:cs="Times New Roman"/>
          <w:sz w:val="24"/>
          <w:szCs w:val="24"/>
        </w:rPr>
        <w:t>934</w:t>
      </w:r>
      <w:r w:rsidRPr="00A66850">
        <w:rPr>
          <w:rFonts w:ascii="Times New Roman" w:hAnsi="Times New Roman" w:cs="Times New Roman"/>
          <w:sz w:val="24"/>
          <w:szCs w:val="24"/>
        </w:rPr>
        <w:t xml:space="preserve"> hours</w:t>
      </w:r>
      <w:r>
        <w:rPr>
          <w:rFonts w:ascii="Times New Roman" w:hAnsi="Times New Roman" w:cs="Times New Roman"/>
          <w:sz w:val="24"/>
          <w:szCs w:val="24"/>
        </w:rPr>
        <w:t>,</w:t>
      </w:r>
      <w:r w:rsidRPr="00A66850">
        <w:rPr>
          <w:rFonts w:ascii="Times New Roman" w:hAnsi="Times New Roman" w:cs="Times New Roman"/>
          <w:sz w:val="24"/>
          <w:szCs w:val="24"/>
        </w:rPr>
        <w:t xml:space="preserve"> and the lowest is for the </w:t>
      </w:r>
      <w:r>
        <w:rPr>
          <w:rFonts w:ascii="Times New Roman" w:hAnsi="Times New Roman" w:cs="Times New Roman"/>
          <w:sz w:val="24"/>
          <w:szCs w:val="24"/>
        </w:rPr>
        <w:t>small Section 5307</w:t>
      </w:r>
      <w:r w:rsidRPr="00A66850">
        <w:rPr>
          <w:rFonts w:ascii="Times New Roman" w:hAnsi="Times New Roman" w:cs="Times New Roman"/>
          <w:sz w:val="24"/>
          <w:szCs w:val="24"/>
        </w:rPr>
        <w:t xml:space="preserve"> </w:t>
      </w:r>
      <w:r>
        <w:rPr>
          <w:rFonts w:ascii="Times New Roman" w:hAnsi="Times New Roman" w:cs="Times New Roman"/>
          <w:sz w:val="24"/>
          <w:szCs w:val="24"/>
        </w:rPr>
        <w:t xml:space="preserve">bus </w:t>
      </w:r>
      <w:r w:rsidRPr="00A66850">
        <w:rPr>
          <w:rFonts w:ascii="Times New Roman" w:hAnsi="Times New Roman" w:cs="Times New Roman"/>
          <w:sz w:val="24"/>
          <w:szCs w:val="24"/>
        </w:rPr>
        <w:t xml:space="preserve">agencies that operate public transportation systems at </w:t>
      </w:r>
      <w:r>
        <w:rPr>
          <w:rFonts w:ascii="Times New Roman" w:hAnsi="Times New Roman" w:cs="Times New Roman"/>
          <w:sz w:val="24"/>
          <w:szCs w:val="24"/>
        </w:rPr>
        <w:t>250</w:t>
      </w:r>
      <w:r w:rsidRPr="00A66850">
        <w:rPr>
          <w:rFonts w:ascii="Times New Roman" w:hAnsi="Times New Roman" w:cs="Times New Roman"/>
          <w:sz w:val="24"/>
          <w:szCs w:val="24"/>
        </w:rPr>
        <w:t xml:space="preserve"> hours.</w:t>
      </w:r>
    </w:p>
    <w:p w:rsidRPr="00A66850" w:rsidR="00A17015" w:rsidP="00A66850" w:rsidRDefault="00A17015" w14:paraId="7B108553" w14:textId="77777777">
      <w:pPr>
        <w:spacing w:after="0" w:line="240" w:lineRule="auto"/>
        <w:rPr>
          <w:rFonts w:ascii="Times New Roman" w:hAnsi="Times New Roman" w:cs="Times New Roman"/>
          <w:sz w:val="24"/>
          <w:szCs w:val="24"/>
        </w:rPr>
      </w:pPr>
    </w:p>
    <w:p w:rsidR="000F728E" w:rsidP="00A17015" w:rsidRDefault="00907617" w14:paraId="43D7C028" w14:textId="5E6D0601">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lastRenderedPageBreak/>
        <w:t>The main reasons for the variance in labor burden</w:t>
      </w:r>
      <w:r w:rsidR="00A17015">
        <w:rPr>
          <w:rFonts w:ascii="Times New Roman" w:hAnsi="Times New Roman" w:cs="Times New Roman"/>
          <w:sz w:val="24"/>
          <w:szCs w:val="24"/>
        </w:rPr>
        <w:t>s across agency categories are</w:t>
      </w:r>
      <w:r w:rsidR="00DB5151">
        <w:rPr>
          <w:rFonts w:ascii="Times New Roman" w:hAnsi="Times New Roman" w:cs="Times New Roman"/>
          <w:sz w:val="24"/>
          <w:szCs w:val="24"/>
        </w:rPr>
        <w:t xml:space="preserve">: </w:t>
      </w:r>
      <w:r w:rsidR="00451C8A">
        <w:rPr>
          <w:rFonts w:ascii="Times New Roman" w:hAnsi="Times New Roman" w:cs="Times New Roman"/>
          <w:sz w:val="24"/>
          <w:szCs w:val="24"/>
        </w:rPr>
        <w:t>(1</w:t>
      </w:r>
      <w:r w:rsidR="00A17015">
        <w:rPr>
          <w:rFonts w:ascii="Times New Roman" w:hAnsi="Times New Roman" w:cs="Times New Roman"/>
          <w:sz w:val="24"/>
          <w:szCs w:val="24"/>
        </w:rPr>
        <w:t>) t</w:t>
      </w:r>
      <w:r w:rsidRPr="00A66850">
        <w:rPr>
          <w:rFonts w:ascii="Times New Roman" w:hAnsi="Times New Roman" w:cs="Times New Roman"/>
          <w:sz w:val="24"/>
          <w:szCs w:val="24"/>
        </w:rPr>
        <w:t xml:space="preserve">he rule places a </w:t>
      </w:r>
      <w:r w:rsidR="00A17015">
        <w:rPr>
          <w:rFonts w:ascii="Times New Roman" w:hAnsi="Times New Roman" w:cs="Times New Roman"/>
          <w:sz w:val="24"/>
          <w:szCs w:val="24"/>
        </w:rPr>
        <w:t xml:space="preserve">smaller </w:t>
      </w:r>
      <w:r w:rsidRPr="00A66850">
        <w:rPr>
          <w:rFonts w:ascii="Times New Roman" w:hAnsi="Times New Roman" w:cs="Times New Roman"/>
          <w:sz w:val="24"/>
          <w:szCs w:val="24"/>
        </w:rPr>
        <w:t xml:space="preserve">burden on smaller agency categories </w:t>
      </w:r>
      <w:r w:rsidRPr="00A66850" w:rsidR="0091070C">
        <w:rPr>
          <w:rFonts w:ascii="Times New Roman" w:hAnsi="Times New Roman" w:cs="Times New Roman"/>
          <w:sz w:val="24"/>
          <w:szCs w:val="24"/>
        </w:rPr>
        <w:t>given the</w:t>
      </w:r>
      <w:r w:rsidRPr="00A66850">
        <w:rPr>
          <w:rFonts w:ascii="Times New Roman" w:hAnsi="Times New Roman" w:cs="Times New Roman"/>
          <w:sz w:val="24"/>
          <w:szCs w:val="24"/>
        </w:rPr>
        <w:t xml:space="preserve"> scalability </w:t>
      </w:r>
      <w:r w:rsidRPr="00A66850" w:rsidR="0091070C">
        <w:rPr>
          <w:rFonts w:ascii="Times New Roman" w:hAnsi="Times New Roman" w:cs="Times New Roman"/>
          <w:sz w:val="24"/>
          <w:szCs w:val="24"/>
        </w:rPr>
        <w:t xml:space="preserve">of SMS and </w:t>
      </w:r>
      <w:r w:rsidRPr="00A66850">
        <w:rPr>
          <w:rFonts w:ascii="Times New Roman" w:hAnsi="Times New Roman" w:cs="Times New Roman"/>
          <w:sz w:val="24"/>
          <w:szCs w:val="24"/>
        </w:rPr>
        <w:t xml:space="preserve">the </w:t>
      </w:r>
      <w:r w:rsidRPr="00A66850" w:rsidR="0091070C">
        <w:rPr>
          <w:rFonts w:ascii="Times New Roman" w:hAnsi="Times New Roman" w:cs="Times New Roman"/>
          <w:sz w:val="24"/>
          <w:szCs w:val="24"/>
        </w:rPr>
        <w:t xml:space="preserve">lower </w:t>
      </w:r>
      <w:r w:rsidRPr="00A66850">
        <w:rPr>
          <w:rFonts w:ascii="Times New Roman" w:hAnsi="Times New Roman" w:cs="Times New Roman"/>
          <w:sz w:val="24"/>
          <w:szCs w:val="24"/>
        </w:rPr>
        <w:t xml:space="preserve">volume of safety </w:t>
      </w:r>
      <w:r w:rsidR="00DE6722">
        <w:rPr>
          <w:rFonts w:ascii="Times New Roman" w:hAnsi="Times New Roman" w:cs="Times New Roman"/>
          <w:sz w:val="24"/>
          <w:szCs w:val="24"/>
        </w:rPr>
        <w:t>events</w:t>
      </w:r>
      <w:r w:rsidRPr="00A66850">
        <w:rPr>
          <w:rFonts w:ascii="Times New Roman" w:hAnsi="Times New Roman" w:cs="Times New Roman"/>
          <w:sz w:val="24"/>
          <w:szCs w:val="24"/>
        </w:rPr>
        <w:t xml:space="preserve"> that these</w:t>
      </w:r>
      <w:r w:rsidRPr="00A66850" w:rsidR="0091070C">
        <w:rPr>
          <w:rFonts w:ascii="Times New Roman" w:hAnsi="Times New Roman" w:cs="Times New Roman"/>
          <w:sz w:val="24"/>
          <w:szCs w:val="24"/>
        </w:rPr>
        <w:t xml:space="preserve"> smaller transit</w:t>
      </w:r>
      <w:r w:rsidR="00A17015">
        <w:rPr>
          <w:rFonts w:ascii="Times New Roman" w:hAnsi="Times New Roman" w:cs="Times New Roman"/>
          <w:sz w:val="24"/>
          <w:szCs w:val="24"/>
        </w:rPr>
        <w:t xml:space="preserve"> agencies will experience; and (</w:t>
      </w:r>
      <w:r w:rsidR="00451C8A">
        <w:rPr>
          <w:rFonts w:ascii="Times New Roman" w:hAnsi="Times New Roman" w:cs="Times New Roman"/>
          <w:sz w:val="24"/>
          <w:szCs w:val="24"/>
        </w:rPr>
        <w:t>2</w:t>
      </w:r>
      <w:r w:rsidR="00A17015">
        <w:rPr>
          <w:rFonts w:ascii="Times New Roman" w:hAnsi="Times New Roman" w:cs="Times New Roman"/>
          <w:sz w:val="24"/>
          <w:szCs w:val="24"/>
        </w:rPr>
        <w:t>) t</w:t>
      </w:r>
      <w:r w:rsidRPr="00A66850">
        <w:rPr>
          <w:rFonts w:ascii="Times New Roman" w:hAnsi="Times New Roman" w:cs="Times New Roman"/>
          <w:sz w:val="24"/>
          <w:szCs w:val="24"/>
        </w:rPr>
        <w:t>he experience and abilities of available labor likely differ between categories</w:t>
      </w:r>
      <w:r w:rsidRPr="00A66850" w:rsidR="00AB21BF">
        <w:rPr>
          <w:rFonts w:ascii="Times New Roman" w:hAnsi="Times New Roman" w:cs="Times New Roman"/>
          <w:sz w:val="24"/>
          <w:szCs w:val="24"/>
        </w:rPr>
        <w:t>.</w:t>
      </w:r>
    </w:p>
    <w:p w:rsidR="00562419" w:rsidP="00A66850" w:rsidRDefault="00562419" w14:paraId="13F58107" w14:textId="77777777">
      <w:pPr>
        <w:spacing w:after="0" w:line="240" w:lineRule="auto"/>
        <w:rPr>
          <w:rFonts w:ascii="Times New Roman" w:hAnsi="Times New Roman" w:cs="Times New Roman"/>
          <w:sz w:val="24"/>
          <w:szCs w:val="24"/>
        </w:rPr>
      </w:pPr>
    </w:p>
    <w:p w:rsidR="00892551" w:rsidP="00A66850" w:rsidRDefault="00892551" w14:paraId="2061859D" w14:textId="0FDA27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updated table reflects the finalized certification process that requires all recipients of Section 5307 funds to certify compliance with 49 CFR Part 673. </w:t>
      </w:r>
      <w:r w:rsidR="005202DD">
        <w:rPr>
          <w:rFonts w:ascii="Times New Roman" w:hAnsi="Times New Roman" w:cs="Times New Roman"/>
          <w:sz w:val="24"/>
          <w:szCs w:val="24"/>
        </w:rPr>
        <w:t xml:space="preserve"> </w:t>
      </w:r>
      <w:r>
        <w:rPr>
          <w:rFonts w:ascii="Times New Roman" w:hAnsi="Times New Roman" w:cs="Times New Roman"/>
          <w:sz w:val="24"/>
          <w:szCs w:val="24"/>
        </w:rPr>
        <w:t>Previous estimates assumed that States would certify on behalf of small public transportation providers.</w:t>
      </w:r>
      <w:r w:rsidR="005202DD">
        <w:rPr>
          <w:rFonts w:ascii="Times New Roman" w:hAnsi="Times New Roman" w:cs="Times New Roman"/>
          <w:sz w:val="24"/>
          <w:szCs w:val="24"/>
        </w:rPr>
        <w:t xml:space="preserve">  Additionally, this updated table reflects a reduction in overall burden hours as all applicable transit agencies have completed </w:t>
      </w:r>
      <w:r w:rsidR="00504978">
        <w:rPr>
          <w:rFonts w:ascii="Times New Roman" w:hAnsi="Times New Roman" w:cs="Times New Roman"/>
          <w:sz w:val="24"/>
          <w:szCs w:val="24"/>
        </w:rPr>
        <w:t>ASP</w:t>
      </w:r>
      <w:r w:rsidR="005202DD">
        <w:rPr>
          <w:rFonts w:ascii="Times New Roman" w:hAnsi="Times New Roman" w:cs="Times New Roman"/>
          <w:sz w:val="24"/>
          <w:szCs w:val="24"/>
        </w:rPr>
        <w:t xml:space="preserve"> development.</w:t>
      </w:r>
    </w:p>
    <w:p w:rsidR="00892551" w:rsidP="00A66850" w:rsidRDefault="00892551" w14:paraId="56CB3D42" w14:textId="77777777">
      <w:pPr>
        <w:spacing w:after="0" w:line="240" w:lineRule="auto"/>
        <w:rPr>
          <w:rFonts w:ascii="Times New Roman" w:hAnsi="Times New Roman" w:cs="Times New Roman"/>
          <w:sz w:val="24"/>
          <w:szCs w:val="24"/>
        </w:rPr>
      </w:pPr>
    </w:p>
    <w:p w:rsidRPr="00BD3B63" w:rsidR="002320B3" w:rsidP="002320B3" w:rsidRDefault="002320B3" w14:paraId="4C63A14A" w14:textId="286E3E58">
      <w:pPr>
        <w:spacing w:after="0" w:line="240" w:lineRule="auto"/>
        <w:rPr>
          <w:rFonts w:ascii="Times New Roman" w:hAnsi="Times New Roman" w:cs="Times New Roman"/>
          <w:sz w:val="24"/>
          <w:szCs w:val="24"/>
        </w:rPr>
      </w:pPr>
      <w:r w:rsidRPr="00BD3B63">
        <w:rPr>
          <w:rFonts w:ascii="Times New Roman" w:hAnsi="Times New Roman" w:cs="Times New Roman"/>
          <w:sz w:val="24"/>
          <w:szCs w:val="24"/>
        </w:rPr>
        <w:t xml:space="preserve">The burden hours were monetized using a combination of sources.  Hourly wage rates </w:t>
      </w:r>
      <w:r>
        <w:rPr>
          <w:rFonts w:ascii="Times New Roman" w:hAnsi="Times New Roman" w:cs="Times New Roman"/>
          <w:sz w:val="24"/>
          <w:szCs w:val="24"/>
        </w:rPr>
        <w:t>were</w:t>
      </w:r>
      <w:r w:rsidRPr="00BD3B63">
        <w:rPr>
          <w:rFonts w:ascii="Times New Roman" w:hAnsi="Times New Roman" w:cs="Times New Roman"/>
          <w:sz w:val="24"/>
          <w:szCs w:val="24"/>
        </w:rPr>
        <w:t xml:space="preserve"> estimated using annual average salaries for various classifications of labor, divided by 2,080 hours of work per year.  The average Accountable Executive salary for Rail agencies was determined by a random sampling of publicly available Chief Executive Officer (CEO) salary information and total compensation data available through NTD.  Other salaries for rail agencies were determined as a ratio of the Accountable Executive salary based on the same ratios exhibited by the available May 201</w:t>
      </w:r>
      <w:r w:rsidR="00003701">
        <w:rPr>
          <w:rFonts w:ascii="Times New Roman" w:hAnsi="Times New Roman" w:cs="Times New Roman"/>
          <w:sz w:val="24"/>
          <w:szCs w:val="24"/>
        </w:rPr>
        <w:t>6</w:t>
      </w:r>
      <w:r w:rsidRPr="00BD3B63">
        <w:rPr>
          <w:rFonts w:ascii="Times New Roman" w:hAnsi="Times New Roman" w:cs="Times New Roman"/>
          <w:sz w:val="24"/>
          <w:szCs w:val="24"/>
        </w:rPr>
        <w:t xml:space="preserve"> Bureau of Labor Statistics (BLS) data for urban and interurban bus transit systems.</w:t>
      </w:r>
      <w:r w:rsidRPr="00BD3B63">
        <w:rPr>
          <w:rStyle w:val="FootnoteReference"/>
          <w:rFonts w:ascii="Times New Roman" w:hAnsi="Times New Roman" w:cs="Times New Roman"/>
          <w:sz w:val="24"/>
          <w:szCs w:val="24"/>
        </w:rPr>
        <w:footnoteReference w:id="3"/>
      </w:r>
      <w:r w:rsidRPr="00BD3B63">
        <w:rPr>
          <w:rFonts w:ascii="Times New Roman" w:hAnsi="Times New Roman" w:cs="Times New Roman"/>
          <w:sz w:val="24"/>
          <w:szCs w:val="24"/>
        </w:rPr>
        <w:t xml:space="preserve">  Salaries for Large and Small 5307 agencies also were estimated based on this BLS data.  The annual salaries were adjusted to account for inflation over time and benefits, using BLS data on the employment cost index and benefits (employer cost for employee compensation).</w:t>
      </w:r>
      <w:r w:rsidRPr="00BD3B63">
        <w:rPr>
          <w:rStyle w:val="FootnoteReference"/>
          <w:rFonts w:ascii="Times New Roman" w:hAnsi="Times New Roman" w:cs="Times New Roman"/>
          <w:sz w:val="24"/>
          <w:szCs w:val="24"/>
        </w:rPr>
        <w:footnoteReference w:id="4"/>
      </w:r>
      <w:r w:rsidRPr="00BD3B63">
        <w:rPr>
          <w:rFonts w:ascii="Times New Roman" w:hAnsi="Times New Roman" w:cs="Times New Roman"/>
          <w:sz w:val="24"/>
          <w:szCs w:val="24"/>
        </w:rPr>
        <w:t xml:space="preserve"> </w:t>
      </w:r>
      <w:r w:rsidR="00DE6722">
        <w:rPr>
          <w:rFonts w:ascii="Times New Roman" w:hAnsi="Times New Roman" w:cs="Times New Roman"/>
          <w:sz w:val="24"/>
          <w:szCs w:val="24"/>
        </w:rPr>
        <w:t xml:space="preserve">The estimate leverages a 14.4% wage increase </w:t>
      </w:r>
      <w:r w:rsidR="00003701">
        <w:rPr>
          <w:rFonts w:ascii="Times New Roman" w:hAnsi="Times New Roman" w:cs="Times New Roman"/>
          <w:sz w:val="24"/>
          <w:szCs w:val="24"/>
        </w:rPr>
        <w:t xml:space="preserve">between 2016 and 2020 </w:t>
      </w:r>
      <w:r w:rsidRPr="005B3BD1" w:rsidR="00DE6722">
        <w:rPr>
          <w:rFonts w:ascii="Times New Roman" w:hAnsi="Times New Roman" w:cs="Times New Roman"/>
          <w:sz w:val="24"/>
          <w:szCs w:val="24"/>
        </w:rPr>
        <w:t xml:space="preserve">of </w:t>
      </w:r>
      <w:r w:rsidRPr="005B3BD1" w:rsidR="00AB6823">
        <w:rPr>
          <w:rFonts w:ascii="Times New Roman" w:hAnsi="Times New Roman" w:cs="Times New Roman"/>
          <w:sz w:val="24"/>
          <w:szCs w:val="24"/>
        </w:rPr>
        <w:t>1</w:t>
      </w:r>
      <w:r w:rsidRPr="005B3BD1" w:rsidR="00B30F11">
        <w:rPr>
          <w:rFonts w:ascii="Times New Roman" w:hAnsi="Times New Roman" w:cs="Times New Roman"/>
          <w:sz w:val="24"/>
          <w:szCs w:val="24"/>
        </w:rPr>
        <w:t>4.</w:t>
      </w:r>
      <w:r w:rsidRPr="005B3BD1" w:rsidR="00003701">
        <w:rPr>
          <w:rFonts w:ascii="Times New Roman" w:hAnsi="Times New Roman" w:cs="Times New Roman"/>
          <w:sz w:val="24"/>
          <w:szCs w:val="24"/>
        </w:rPr>
        <w:t>36</w:t>
      </w:r>
      <w:r w:rsidRPr="005B3BD1" w:rsidR="00AB6823">
        <w:rPr>
          <w:rFonts w:ascii="Times New Roman" w:hAnsi="Times New Roman" w:cs="Times New Roman"/>
          <w:sz w:val="24"/>
          <w:szCs w:val="24"/>
        </w:rPr>
        <w:t xml:space="preserve">% </w:t>
      </w:r>
      <w:r w:rsidRPr="005B3BD1" w:rsidR="00003701">
        <w:rPr>
          <w:rFonts w:ascii="Times New Roman" w:hAnsi="Times New Roman" w:cs="Times New Roman"/>
          <w:sz w:val="24"/>
          <w:szCs w:val="24"/>
        </w:rPr>
        <w:t xml:space="preserve">based on average wage </w:t>
      </w:r>
      <w:r w:rsidRPr="005B3BD1" w:rsidR="00AB6823">
        <w:rPr>
          <w:rFonts w:ascii="Times New Roman" w:hAnsi="Times New Roman" w:cs="Times New Roman"/>
          <w:sz w:val="24"/>
          <w:szCs w:val="24"/>
        </w:rPr>
        <w:t>increase</w:t>
      </w:r>
      <w:r w:rsidRPr="005B3BD1" w:rsidR="00003701">
        <w:rPr>
          <w:rFonts w:ascii="Times New Roman" w:hAnsi="Times New Roman" w:cs="Times New Roman"/>
          <w:sz w:val="24"/>
          <w:szCs w:val="24"/>
        </w:rPr>
        <w:t xml:space="preserve"> (AWI</w:t>
      </w:r>
      <w:r w:rsidR="00003701">
        <w:rPr>
          <w:rFonts w:ascii="Times New Roman" w:hAnsi="Times New Roman" w:cs="Times New Roman"/>
          <w:sz w:val="24"/>
          <w:szCs w:val="24"/>
        </w:rPr>
        <w:t>) data published by the Social Security Administration (SSA).</w:t>
      </w:r>
      <w:r w:rsidR="00003701">
        <w:rPr>
          <w:rStyle w:val="FootnoteReference"/>
          <w:rFonts w:ascii="Times New Roman" w:hAnsi="Times New Roman" w:cs="Times New Roman"/>
          <w:sz w:val="24"/>
          <w:szCs w:val="24"/>
        </w:rPr>
        <w:footnoteReference w:id="5"/>
      </w:r>
    </w:p>
    <w:p w:rsidR="002320B3" w:rsidP="00A66850" w:rsidRDefault="002320B3" w14:paraId="252F731E" w14:textId="77777777">
      <w:pPr>
        <w:spacing w:after="0" w:line="240" w:lineRule="auto"/>
        <w:rPr>
          <w:rFonts w:ascii="Times New Roman" w:hAnsi="Times New Roman" w:cs="Times New Roman"/>
          <w:sz w:val="24"/>
          <w:szCs w:val="24"/>
        </w:rPr>
      </w:pPr>
    </w:p>
    <w:p w:rsidRPr="00B30F11" w:rsidR="008B7630" w:rsidP="00A66850" w:rsidRDefault="008B7630" w14:paraId="09E81042" w14:textId="361D5304">
      <w:pPr>
        <w:keepNext/>
        <w:spacing w:after="0" w:line="240" w:lineRule="auto"/>
        <w:rPr>
          <w:rFonts w:ascii="Times New Roman" w:hAnsi="Times New Roman" w:cs="Times New Roman"/>
          <w:b/>
          <w:sz w:val="24"/>
          <w:szCs w:val="24"/>
          <w:u w:val="single"/>
        </w:rPr>
      </w:pPr>
      <w:r w:rsidRPr="00B30F11">
        <w:rPr>
          <w:rFonts w:ascii="Times New Roman" w:hAnsi="Times New Roman" w:cs="Times New Roman"/>
          <w:b/>
          <w:sz w:val="24"/>
          <w:szCs w:val="24"/>
          <w:u w:val="single"/>
        </w:rPr>
        <w:t xml:space="preserve">Table </w:t>
      </w:r>
      <w:r w:rsidRPr="00B30F11" w:rsidR="00C45EF4">
        <w:rPr>
          <w:rFonts w:ascii="Times New Roman" w:hAnsi="Times New Roman" w:cs="Times New Roman"/>
          <w:b/>
          <w:sz w:val="24"/>
          <w:szCs w:val="24"/>
          <w:u w:val="single"/>
        </w:rPr>
        <w:t>3</w:t>
      </w:r>
      <w:r w:rsidRPr="00B30F11" w:rsidR="00A17015">
        <w:rPr>
          <w:rFonts w:ascii="Times New Roman" w:hAnsi="Times New Roman" w:cs="Times New Roman"/>
          <w:b/>
          <w:sz w:val="24"/>
          <w:szCs w:val="24"/>
          <w:u w:val="single"/>
        </w:rPr>
        <w:t xml:space="preserve">: </w:t>
      </w:r>
      <w:r w:rsidRPr="00B30F11">
        <w:rPr>
          <w:rFonts w:ascii="Times New Roman" w:hAnsi="Times New Roman" w:cs="Times New Roman"/>
          <w:b/>
          <w:sz w:val="24"/>
          <w:szCs w:val="24"/>
          <w:u w:val="single"/>
        </w:rPr>
        <w:t xml:space="preserve"> Total </w:t>
      </w:r>
      <w:r w:rsidRPr="00B30F11" w:rsidR="00AB6823">
        <w:rPr>
          <w:rFonts w:ascii="Times New Roman" w:hAnsi="Times New Roman" w:cs="Times New Roman"/>
          <w:b/>
          <w:sz w:val="24"/>
          <w:szCs w:val="24"/>
          <w:u w:val="single"/>
        </w:rPr>
        <w:t xml:space="preserve">Annual </w:t>
      </w:r>
      <w:r w:rsidRPr="00B30F11">
        <w:rPr>
          <w:rFonts w:ascii="Times New Roman" w:hAnsi="Times New Roman" w:cs="Times New Roman"/>
          <w:b/>
          <w:sz w:val="24"/>
          <w:szCs w:val="24"/>
          <w:u w:val="single"/>
        </w:rPr>
        <w:t xml:space="preserve">Costs </w:t>
      </w:r>
      <w:r w:rsidRPr="00B30F11" w:rsidR="00FC338A">
        <w:rPr>
          <w:rFonts w:ascii="Times New Roman" w:hAnsi="Times New Roman" w:cs="Times New Roman"/>
          <w:b/>
          <w:sz w:val="24"/>
          <w:szCs w:val="24"/>
          <w:u w:val="single"/>
        </w:rPr>
        <w:t>(</w:t>
      </w:r>
      <w:r w:rsidRPr="00B30F11" w:rsidR="007467D4">
        <w:rPr>
          <w:rFonts w:ascii="Times New Roman" w:hAnsi="Times New Roman" w:cs="Times New Roman"/>
          <w:b/>
          <w:sz w:val="24"/>
          <w:szCs w:val="24"/>
          <w:u w:val="single"/>
        </w:rPr>
        <w:t>Includes Labor, IT/Materials, and Travel</w:t>
      </w:r>
      <w:r w:rsidRPr="00B30F11" w:rsidR="00FC338A">
        <w:rPr>
          <w:rFonts w:ascii="Times New Roman" w:hAnsi="Times New Roman" w:cs="Times New Roman"/>
          <w:b/>
          <w:sz w:val="24"/>
          <w:szCs w:val="24"/>
          <w:u w:val="single"/>
        </w:rPr>
        <w:t>)</w:t>
      </w:r>
    </w:p>
    <w:p w:rsidRPr="00B30F11" w:rsidR="00A17015" w:rsidP="00A66850" w:rsidRDefault="00A17015" w14:paraId="26C476D1" w14:textId="77777777">
      <w:pPr>
        <w:keepNext/>
        <w:spacing w:after="0" w:line="240" w:lineRule="auto"/>
        <w:rPr>
          <w:rFonts w:ascii="Times New Roman" w:hAnsi="Times New Roman" w:cs="Times New Roman"/>
          <w:sz w:val="24"/>
          <w:szCs w:val="24"/>
        </w:rPr>
      </w:pPr>
    </w:p>
    <w:tbl>
      <w:tblPr>
        <w:tblW w:w="5724" w:type="dxa"/>
        <w:tblInd w:w="108" w:type="dxa"/>
        <w:shd w:val="clear" w:color="000000" w:fill="auto"/>
        <w:tblLayout w:type="fixed"/>
        <w:tblLook w:val="04A0" w:firstRow="1" w:lastRow="0" w:firstColumn="1" w:lastColumn="0" w:noHBand="0" w:noVBand="1"/>
      </w:tblPr>
      <w:tblGrid>
        <w:gridCol w:w="1242"/>
        <w:gridCol w:w="2430"/>
        <w:gridCol w:w="2052"/>
      </w:tblGrid>
      <w:tr w:rsidRPr="00B30F11" w:rsidR="00B30F11" w:rsidTr="00003701" w14:paraId="0D86EF29" w14:textId="77777777">
        <w:trPr>
          <w:trHeight w:val="20"/>
        </w:trPr>
        <w:tc>
          <w:tcPr>
            <w:tcW w:w="1242" w:type="dxa"/>
            <w:tcBorders>
              <w:top w:val="nil"/>
              <w:bottom w:val="single" w:color="auto" w:sz="4" w:space="0"/>
              <w:right w:val="nil"/>
            </w:tcBorders>
            <w:shd w:val="clear" w:color="000000" w:fill="auto"/>
            <w:noWrap/>
            <w:hideMark/>
          </w:tcPr>
          <w:p w:rsidRPr="00B30F11" w:rsidR="00B30F11" w:rsidP="00A66850" w:rsidRDefault="00B30F11" w14:paraId="5A0EE44D" w14:textId="77777777">
            <w:pPr>
              <w:keepNext/>
              <w:spacing w:after="0" w:line="240" w:lineRule="auto"/>
              <w:rPr>
                <w:rFonts w:ascii="Times New Roman" w:hAnsi="Times New Roman" w:eastAsia="Times New Roman" w:cs="Times New Roman"/>
                <w:sz w:val="20"/>
                <w:szCs w:val="20"/>
              </w:rPr>
            </w:pPr>
          </w:p>
        </w:tc>
        <w:tc>
          <w:tcPr>
            <w:tcW w:w="2430" w:type="dxa"/>
            <w:tcBorders>
              <w:top w:val="nil"/>
              <w:left w:val="nil"/>
              <w:bottom w:val="single" w:color="auto" w:sz="4" w:space="0"/>
              <w:right w:val="single" w:color="auto" w:sz="4" w:space="0"/>
            </w:tcBorders>
            <w:shd w:val="clear" w:color="000000" w:fill="auto"/>
            <w:noWrap/>
            <w:hideMark/>
          </w:tcPr>
          <w:p w:rsidRPr="00B30F11" w:rsidR="00B30F11" w:rsidP="00A66850" w:rsidRDefault="00B30F11" w14:paraId="0859368B" w14:textId="77777777">
            <w:pPr>
              <w:keepNext/>
              <w:spacing w:after="0" w:line="240" w:lineRule="auto"/>
              <w:rPr>
                <w:rFonts w:ascii="Times New Roman" w:hAnsi="Times New Roman" w:eastAsia="Times New Roman" w:cs="Times New Roman"/>
                <w:sz w:val="20"/>
                <w:szCs w:val="20"/>
              </w:rPr>
            </w:pPr>
            <w:r w:rsidRPr="00B30F11">
              <w:rPr>
                <w:rFonts w:ascii="Times New Roman" w:hAnsi="Times New Roman" w:eastAsia="Times New Roman" w:cs="Times New Roman"/>
                <w:sz w:val="20"/>
                <w:szCs w:val="20"/>
              </w:rPr>
              <w:t> </w:t>
            </w:r>
          </w:p>
        </w:tc>
        <w:tc>
          <w:tcPr>
            <w:tcW w:w="2052"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A66850" w:rsidRDefault="00B30F11" w14:paraId="618E1A6E" w14:textId="1E183E73">
            <w:pPr>
              <w:keepNext/>
              <w:spacing w:after="0" w:line="240" w:lineRule="auto"/>
              <w:rPr>
                <w:rFonts w:ascii="Times New Roman" w:hAnsi="Times New Roman" w:eastAsia="Times New Roman" w:cs="Times New Roman"/>
                <w:sz w:val="20"/>
                <w:szCs w:val="20"/>
              </w:rPr>
            </w:pPr>
            <w:r w:rsidRPr="00B30F11">
              <w:rPr>
                <w:rFonts w:ascii="Times New Roman" w:hAnsi="Times New Roman" w:eastAsia="Times New Roman" w:cs="Times New Roman"/>
                <w:sz w:val="20"/>
                <w:szCs w:val="20"/>
              </w:rPr>
              <w:t>Annual Cost</w:t>
            </w:r>
          </w:p>
        </w:tc>
      </w:tr>
      <w:tr w:rsidRPr="00B30F11" w:rsidR="00B30F11" w:rsidTr="00003701" w14:paraId="719A1A3D" w14:textId="77777777">
        <w:trPr>
          <w:trHeight w:val="20"/>
        </w:trPr>
        <w:tc>
          <w:tcPr>
            <w:tcW w:w="1242" w:type="dxa"/>
            <w:vMerge w:val="restart"/>
            <w:tcBorders>
              <w:top w:val="single" w:color="auto" w:sz="4" w:space="0"/>
              <w:left w:val="single" w:color="auto" w:sz="4" w:space="0"/>
              <w:right w:val="single" w:color="auto" w:sz="4" w:space="0"/>
            </w:tcBorders>
            <w:shd w:val="clear" w:color="000000" w:fill="auto"/>
            <w:noWrap/>
            <w:hideMark/>
          </w:tcPr>
          <w:p w:rsidRPr="00B30F11" w:rsidR="00B30F11" w:rsidP="00B30F11" w:rsidRDefault="00B30F11" w14:paraId="0C91B8F0" w14:textId="35CAAE8C">
            <w:pPr>
              <w:keepNext/>
              <w:spacing w:after="0" w:line="240" w:lineRule="auto"/>
              <w:rPr>
                <w:rFonts w:ascii="Times New Roman" w:hAnsi="Times New Roman" w:eastAsia="Times New Roman" w:cs="Times New Roman"/>
                <w:sz w:val="20"/>
                <w:szCs w:val="20"/>
              </w:rPr>
            </w:pPr>
            <w:r w:rsidRPr="00B30F11">
              <w:rPr>
                <w:rFonts w:ascii="Times New Roman" w:hAnsi="Times New Roman" w:eastAsia="Times New Roman" w:cs="Times New Roman"/>
                <w:sz w:val="20"/>
                <w:szCs w:val="20"/>
              </w:rPr>
              <w:t>Rail</w:t>
            </w: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4D7075C6" w14:textId="2A4DB509">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Development</w:t>
            </w:r>
            <w:r>
              <w:rPr>
                <w:rFonts w:ascii="Times New Roman" w:hAnsi="Times New Roman" w:cs="Times New Roman"/>
                <w:color w:val="000000"/>
                <w:sz w:val="20"/>
                <w:szCs w:val="20"/>
              </w:rPr>
              <w:t>/Certification</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6E631BAC" w14:textId="05E5CD81">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10,382 </w:t>
            </w:r>
          </w:p>
        </w:tc>
      </w:tr>
      <w:tr w:rsidRPr="00B30F11" w:rsidR="00B30F11" w:rsidTr="00003701" w14:paraId="09F17199" w14:textId="77777777">
        <w:trPr>
          <w:trHeight w:val="20"/>
        </w:trPr>
        <w:tc>
          <w:tcPr>
            <w:tcW w:w="1242" w:type="dxa"/>
            <w:vMerge/>
            <w:tcBorders>
              <w:left w:val="single" w:color="auto" w:sz="4" w:space="0"/>
              <w:right w:val="single" w:color="auto" w:sz="4" w:space="0"/>
            </w:tcBorders>
            <w:shd w:val="clear" w:color="000000" w:fill="auto"/>
            <w:noWrap/>
            <w:hideMark/>
          </w:tcPr>
          <w:p w:rsidRPr="00B30F11" w:rsidR="00B30F11" w:rsidP="00B30F11" w:rsidRDefault="00B30F11" w14:paraId="3FED8A60" w14:textId="7BBEAED2">
            <w:pPr>
              <w:keepNext/>
              <w:spacing w:after="0" w:line="240" w:lineRule="auto"/>
              <w:rPr>
                <w:rFonts w:ascii="Times New Roman" w:hAnsi="Times New Roman" w:eastAsia="Times New Roman" w:cs="Times New Roman"/>
                <w:sz w:val="20"/>
                <w:szCs w:val="20"/>
              </w:rPr>
            </w:pP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16E2543A" w14:textId="6DE6D2DD">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Implement/ Document</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03C5F643" w14:textId="37F77EDA">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7,458,60</w:t>
            </w:r>
            <w:r w:rsidR="005B3BD1">
              <w:rPr>
                <w:rFonts w:ascii="Times New Roman" w:hAnsi="Times New Roman" w:cs="Times New Roman"/>
                <w:color w:val="000000"/>
                <w:sz w:val="20"/>
                <w:szCs w:val="20"/>
              </w:rPr>
              <w:t>3</w:t>
            </w:r>
            <w:r w:rsidRPr="00B30F11">
              <w:rPr>
                <w:rFonts w:ascii="Times New Roman" w:hAnsi="Times New Roman" w:cs="Times New Roman"/>
                <w:color w:val="000000"/>
                <w:sz w:val="20"/>
                <w:szCs w:val="20"/>
              </w:rPr>
              <w:t xml:space="preserve"> </w:t>
            </w:r>
          </w:p>
        </w:tc>
      </w:tr>
      <w:tr w:rsidRPr="00B30F11" w:rsidR="00B30F11" w:rsidTr="00003701" w14:paraId="0399A193" w14:textId="77777777">
        <w:trPr>
          <w:trHeight w:val="20"/>
        </w:trPr>
        <w:tc>
          <w:tcPr>
            <w:tcW w:w="1242" w:type="dxa"/>
            <w:vMerge/>
            <w:tcBorders>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0E9FC25E" w14:textId="416F728A">
            <w:pPr>
              <w:keepNext/>
              <w:spacing w:after="0" w:line="240" w:lineRule="auto"/>
              <w:rPr>
                <w:rFonts w:ascii="Times New Roman" w:hAnsi="Times New Roman" w:eastAsia="Times New Roman" w:cs="Times New Roman"/>
                <w:sz w:val="20"/>
                <w:szCs w:val="20"/>
              </w:rPr>
            </w:pP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21F04413" w14:textId="7A106152">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Recordkeeping</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19706206" w14:textId="0DA1603D">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1,268,26</w:t>
            </w:r>
            <w:r w:rsidR="005B3BD1">
              <w:rPr>
                <w:rFonts w:ascii="Times New Roman" w:hAnsi="Times New Roman" w:cs="Times New Roman"/>
                <w:color w:val="000000"/>
                <w:sz w:val="20"/>
                <w:szCs w:val="20"/>
              </w:rPr>
              <w:t>7</w:t>
            </w:r>
            <w:r w:rsidRPr="00B30F11">
              <w:rPr>
                <w:rFonts w:ascii="Times New Roman" w:hAnsi="Times New Roman" w:cs="Times New Roman"/>
                <w:color w:val="000000"/>
                <w:sz w:val="20"/>
                <w:szCs w:val="20"/>
              </w:rPr>
              <w:t xml:space="preserve"> </w:t>
            </w:r>
          </w:p>
        </w:tc>
      </w:tr>
      <w:tr w:rsidRPr="00B30F11" w:rsidR="00B30F11" w:rsidTr="00003701" w14:paraId="3918BDCA" w14:textId="77777777">
        <w:trPr>
          <w:trHeight w:val="20"/>
        </w:trPr>
        <w:tc>
          <w:tcPr>
            <w:tcW w:w="1242" w:type="dxa"/>
            <w:vMerge w:val="restart"/>
            <w:tcBorders>
              <w:top w:val="single" w:color="auto" w:sz="4" w:space="0"/>
              <w:left w:val="single" w:color="auto" w:sz="8" w:space="0"/>
              <w:right w:val="single" w:color="auto" w:sz="4" w:space="0"/>
            </w:tcBorders>
            <w:shd w:val="clear" w:color="000000" w:fill="auto"/>
            <w:noWrap/>
            <w:hideMark/>
          </w:tcPr>
          <w:p w:rsidRPr="00B30F11" w:rsidR="00B30F11" w:rsidP="00B30F11" w:rsidRDefault="00B30F11" w14:paraId="37D823CC" w14:textId="586C139A">
            <w:pPr>
              <w:keepNext/>
              <w:spacing w:after="0" w:line="240" w:lineRule="auto"/>
              <w:rPr>
                <w:rFonts w:ascii="Times New Roman" w:hAnsi="Times New Roman" w:eastAsia="Times New Roman" w:cs="Times New Roman"/>
                <w:sz w:val="20"/>
                <w:szCs w:val="20"/>
              </w:rPr>
            </w:pPr>
            <w:r w:rsidRPr="00B30F11">
              <w:rPr>
                <w:rFonts w:ascii="Times New Roman" w:hAnsi="Times New Roman" w:eastAsia="Times New Roman" w:cs="Times New Roman"/>
                <w:sz w:val="20"/>
                <w:szCs w:val="20"/>
              </w:rPr>
              <w:t>Large 5307</w:t>
            </w: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79E22711" w14:textId="33F5EE2C">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Development</w:t>
            </w:r>
            <w:r>
              <w:rPr>
                <w:rFonts w:ascii="Times New Roman" w:hAnsi="Times New Roman" w:cs="Times New Roman"/>
                <w:color w:val="000000"/>
                <w:sz w:val="20"/>
                <w:szCs w:val="20"/>
              </w:rPr>
              <w:t>/Certification</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7401AED5" w14:textId="0B61F80A">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8,770 </w:t>
            </w:r>
          </w:p>
        </w:tc>
      </w:tr>
      <w:tr w:rsidRPr="00B30F11" w:rsidR="00B30F11" w:rsidTr="00003701" w14:paraId="6AA68692" w14:textId="77777777">
        <w:trPr>
          <w:trHeight w:val="20"/>
        </w:trPr>
        <w:tc>
          <w:tcPr>
            <w:tcW w:w="1242" w:type="dxa"/>
            <w:vMerge/>
            <w:tcBorders>
              <w:left w:val="single" w:color="auto" w:sz="8" w:space="0"/>
              <w:right w:val="single" w:color="auto" w:sz="4" w:space="0"/>
            </w:tcBorders>
            <w:shd w:val="clear" w:color="000000" w:fill="auto"/>
            <w:noWrap/>
            <w:hideMark/>
          </w:tcPr>
          <w:p w:rsidRPr="00B30F11" w:rsidR="00B30F11" w:rsidP="00B30F11" w:rsidRDefault="00B30F11" w14:paraId="0535BBF0" w14:textId="43F2E321">
            <w:pPr>
              <w:keepNext/>
              <w:spacing w:after="0" w:line="240" w:lineRule="auto"/>
              <w:rPr>
                <w:rFonts w:ascii="Times New Roman" w:hAnsi="Times New Roman" w:eastAsia="Times New Roman" w:cs="Times New Roman"/>
                <w:sz w:val="20"/>
                <w:szCs w:val="20"/>
              </w:rPr>
            </w:pP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79779996" w14:textId="63ECC0B1">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Implement/ Document</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7C4C008E" w14:textId="329AFB1B">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4,307,712 </w:t>
            </w:r>
          </w:p>
        </w:tc>
      </w:tr>
      <w:tr w:rsidRPr="00B30F11" w:rsidR="00B30F11" w:rsidTr="00003701" w14:paraId="34A6A979" w14:textId="77777777">
        <w:trPr>
          <w:trHeight w:val="20"/>
        </w:trPr>
        <w:tc>
          <w:tcPr>
            <w:tcW w:w="1242" w:type="dxa"/>
            <w:vMerge/>
            <w:tcBorders>
              <w:left w:val="single" w:color="auto" w:sz="8" w:space="0"/>
              <w:bottom w:val="single" w:color="auto" w:sz="4" w:space="0"/>
              <w:right w:val="single" w:color="auto" w:sz="4" w:space="0"/>
            </w:tcBorders>
            <w:shd w:val="clear" w:color="000000" w:fill="auto"/>
            <w:noWrap/>
            <w:hideMark/>
          </w:tcPr>
          <w:p w:rsidRPr="00B30F11" w:rsidR="00B30F11" w:rsidP="00B30F11" w:rsidRDefault="00B30F11" w14:paraId="11859145" w14:textId="01A61348">
            <w:pPr>
              <w:keepNext/>
              <w:spacing w:after="0" w:line="240" w:lineRule="auto"/>
              <w:rPr>
                <w:rFonts w:ascii="Times New Roman" w:hAnsi="Times New Roman" w:eastAsia="Times New Roman" w:cs="Times New Roman"/>
                <w:sz w:val="20"/>
                <w:szCs w:val="20"/>
              </w:rPr>
            </w:pP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4C22ABB4" w14:textId="46942A7A">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Recordkeeping</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6921F599" w14:textId="1F31CA79">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1,195,596 </w:t>
            </w:r>
          </w:p>
        </w:tc>
      </w:tr>
      <w:tr w:rsidRPr="00B30F11" w:rsidR="00B30F11" w:rsidTr="00003701" w14:paraId="6673C0E4" w14:textId="77777777">
        <w:trPr>
          <w:trHeight w:val="20"/>
        </w:trPr>
        <w:tc>
          <w:tcPr>
            <w:tcW w:w="1242" w:type="dxa"/>
            <w:vMerge w:val="restart"/>
            <w:tcBorders>
              <w:top w:val="single" w:color="auto" w:sz="4" w:space="0"/>
              <w:left w:val="single" w:color="auto" w:sz="4" w:space="0"/>
              <w:right w:val="single" w:color="auto" w:sz="4" w:space="0"/>
            </w:tcBorders>
            <w:shd w:val="clear" w:color="000000" w:fill="auto"/>
            <w:noWrap/>
            <w:hideMark/>
          </w:tcPr>
          <w:p w:rsidRPr="00B30F11" w:rsidR="00B30F11" w:rsidP="00B30F11" w:rsidRDefault="00B30F11" w14:paraId="78C04C6A" w14:textId="32645C61">
            <w:pPr>
              <w:keepNext/>
              <w:spacing w:after="0" w:line="240" w:lineRule="auto"/>
              <w:rPr>
                <w:rFonts w:ascii="Times New Roman" w:hAnsi="Times New Roman" w:eastAsia="Times New Roman" w:cs="Times New Roman"/>
                <w:sz w:val="20"/>
                <w:szCs w:val="20"/>
              </w:rPr>
            </w:pPr>
            <w:r w:rsidRPr="00B30F11">
              <w:rPr>
                <w:rFonts w:ascii="Times New Roman" w:hAnsi="Times New Roman" w:eastAsia="Times New Roman" w:cs="Times New Roman"/>
                <w:sz w:val="20"/>
                <w:szCs w:val="20"/>
              </w:rPr>
              <w:t>Small 5307</w:t>
            </w: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044066F6" w14:textId="43EA0EA6">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Development</w:t>
            </w:r>
            <w:r>
              <w:rPr>
                <w:rFonts w:ascii="Times New Roman" w:hAnsi="Times New Roman" w:cs="Times New Roman"/>
                <w:color w:val="000000"/>
                <w:sz w:val="20"/>
                <w:szCs w:val="20"/>
              </w:rPr>
              <w:t>/Certification</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35BAA6F0" w14:textId="5E37AF3F">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4,12</w:t>
            </w:r>
            <w:r w:rsidR="005B3BD1">
              <w:rPr>
                <w:rFonts w:ascii="Times New Roman" w:hAnsi="Times New Roman" w:cs="Times New Roman"/>
                <w:color w:val="000000"/>
                <w:sz w:val="20"/>
                <w:szCs w:val="20"/>
              </w:rPr>
              <w:t>9</w:t>
            </w:r>
            <w:r w:rsidRPr="00B30F11">
              <w:rPr>
                <w:rFonts w:ascii="Times New Roman" w:hAnsi="Times New Roman" w:cs="Times New Roman"/>
                <w:color w:val="000000"/>
                <w:sz w:val="20"/>
                <w:szCs w:val="20"/>
              </w:rPr>
              <w:t xml:space="preserve"> </w:t>
            </w:r>
          </w:p>
        </w:tc>
      </w:tr>
      <w:tr w:rsidRPr="00B30F11" w:rsidR="00B30F11" w:rsidTr="00003701" w14:paraId="177DCD16" w14:textId="77777777">
        <w:trPr>
          <w:trHeight w:val="20"/>
        </w:trPr>
        <w:tc>
          <w:tcPr>
            <w:tcW w:w="1242" w:type="dxa"/>
            <w:vMerge/>
            <w:tcBorders>
              <w:left w:val="single" w:color="auto" w:sz="4" w:space="0"/>
              <w:right w:val="single" w:color="auto" w:sz="4" w:space="0"/>
            </w:tcBorders>
            <w:shd w:val="clear" w:color="000000" w:fill="auto"/>
            <w:noWrap/>
            <w:hideMark/>
          </w:tcPr>
          <w:p w:rsidRPr="00B30F11" w:rsidR="00B30F11" w:rsidP="00B30F11" w:rsidRDefault="00B30F11" w14:paraId="01BBDCE0" w14:textId="1C9B54C6">
            <w:pPr>
              <w:keepNext/>
              <w:spacing w:after="0" w:line="240" w:lineRule="auto"/>
              <w:rPr>
                <w:rFonts w:ascii="Times New Roman" w:hAnsi="Times New Roman" w:eastAsia="Times New Roman" w:cs="Times New Roman"/>
                <w:sz w:val="20"/>
                <w:szCs w:val="20"/>
              </w:rPr>
            </w:pP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1F151C06" w14:textId="079A75A0">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Implement/ Document</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07E0D0D3" w14:textId="15CE3DBF">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8,643,82</w:t>
            </w:r>
            <w:r w:rsidR="005B3BD1">
              <w:rPr>
                <w:rFonts w:ascii="Times New Roman" w:hAnsi="Times New Roman" w:cs="Times New Roman"/>
                <w:color w:val="000000"/>
                <w:sz w:val="20"/>
                <w:szCs w:val="20"/>
              </w:rPr>
              <w:t>2</w:t>
            </w:r>
            <w:r w:rsidRPr="00B30F11">
              <w:rPr>
                <w:rFonts w:ascii="Times New Roman" w:hAnsi="Times New Roman" w:cs="Times New Roman"/>
                <w:color w:val="000000"/>
                <w:sz w:val="20"/>
                <w:szCs w:val="20"/>
              </w:rPr>
              <w:t xml:space="preserve"> </w:t>
            </w:r>
          </w:p>
        </w:tc>
      </w:tr>
      <w:tr w:rsidRPr="00B30F11" w:rsidR="00B30F11" w:rsidTr="00003701" w14:paraId="33A1ADCB" w14:textId="77777777">
        <w:trPr>
          <w:trHeight w:val="20"/>
        </w:trPr>
        <w:tc>
          <w:tcPr>
            <w:tcW w:w="1242" w:type="dxa"/>
            <w:vMerge/>
            <w:tcBorders>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503188E0" w14:textId="38468866">
            <w:pPr>
              <w:keepNext/>
              <w:spacing w:after="0" w:line="240" w:lineRule="auto"/>
              <w:rPr>
                <w:rFonts w:ascii="Times New Roman" w:hAnsi="Times New Roman" w:eastAsia="Times New Roman" w:cs="Times New Roman"/>
                <w:sz w:val="20"/>
                <w:szCs w:val="20"/>
              </w:rPr>
            </w:pP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175CE8F2" w14:textId="29C6DA66">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Recordkeeping</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62615125" w14:textId="3C577949">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3,380,43</w:t>
            </w:r>
            <w:r w:rsidR="005B3BD1">
              <w:rPr>
                <w:rFonts w:ascii="Times New Roman" w:hAnsi="Times New Roman" w:cs="Times New Roman"/>
                <w:color w:val="000000"/>
                <w:sz w:val="20"/>
                <w:szCs w:val="20"/>
              </w:rPr>
              <w:t>4</w:t>
            </w:r>
            <w:r w:rsidRPr="00B30F11">
              <w:rPr>
                <w:rFonts w:ascii="Times New Roman" w:hAnsi="Times New Roman" w:cs="Times New Roman"/>
                <w:color w:val="000000"/>
                <w:sz w:val="20"/>
                <w:szCs w:val="20"/>
              </w:rPr>
              <w:t xml:space="preserve"> </w:t>
            </w:r>
          </w:p>
        </w:tc>
      </w:tr>
      <w:tr w:rsidRPr="00B30F11" w:rsidR="00B30F11" w:rsidTr="00003701" w14:paraId="4BDCD48F" w14:textId="77777777">
        <w:trPr>
          <w:trHeight w:val="20"/>
        </w:trPr>
        <w:tc>
          <w:tcPr>
            <w:tcW w:w="1242" w:type="dxa"/>
            <w:vMerge w:val="restart"/>
            <w:tcBorders>
              <w:top w:val="single" w:color="auto" w:sz="4" w:space="0"/>
              <w:left w:val="single" w:color="auto" w:sz="4" w:space="0"/>
              <w:right w:val="single" w:color="auto" w:sz="4" w:space="0"/>
            </w:tcBorders>
            <w:shd w:val="clear" w:color="000000" w:fill="auto"/>
            <w:noWrap/>
            <w:hideMark/>
          </w:tcPr>
          <w:p w:rsidRPr="00B30F11" w:rsidR="00B30F11" w:rsidP="00B30F11" w:rsidRDefault="00B30F11" w14:paraId="21FD5363" w14:textId="499BDB0E">
            <w:pPr>
              <w:keepNext/>
              <w:spacing w:after="0" w:line="240" w:lineRule="auto"/>
              <w:rPr>
                <w:rFonts w:ascii="Times New Roman" w:hAnsi="Times New Roman" w:eastAsia="Times New Roman" w:cs="Times New Roman"/>
                <w:sz w:val="20"/>
                <w:szCs w:val="20"/>
              </w:rPr>
            </w:pPr>
            <w:r w:rsidRPr="00B30F11">
              <w:rPr>
                <w:rFonts w:ascii="Times New Roman" w:hAnsi="Times New Roman" w:eastAsia="Times New Roman" w:cs="Times New Roman"/>
                <w:sz w:val="20"/>
                <w:szCs w:val="20"/>
              </w:rPr>
              <w:t>States</w:t>
            </w: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0E74C067" w14:textId="25244E98">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Development</w:t>
            </w:r>
            <w:r>
              <w:rPr>
                <w:rFonts w:ascii="Times New Roman" w:hAnsi="Times New Roman" w:cs="Times New Roman"/>
                <w:color w:val="000000"/>
                <w:sz w:val="20"/>
                <w:szCs w:val="20"/>
              </w:rPr>
              <w:t>/Certification</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3005F52D" w14:textId="7F1F6B61">
            <w:pPr>
              <w:keepNext/>
              <w:spacing w:after="0" w:line="240" w:lineRule="auto"/>
              <w:jc w:val="right"/>
              <w:rPr>
                <w:rFonts w:ascii="Times New Roman" w:hAnsi="Times New Roman" w:cs="Times New Roman"/>
                <w:color w:val="000000"/>
                <w:sz w:val="20"/>
                <w:szCs w:val="20"/>
              </w:rPr>
            </w:pPr>
            <w:r w:rsidRPr="00B30F11">
              <w:rPr>
                <w:rFonts w:ascii="Times New Roman" w:hAnsi="Times New Roman" w:cs="Times New Roman"/>
                <w:color w:val="000000"/>
                <w:sz w:val="20"/>
                <w:szCs w:val="20"/>
              </w:rPr>
              <w:t xml:space="preserve"> $          2,934 </w:t>
            </w:r>
          </w:p>
        </w:tc>
      </w:tr>
      <w:tr w:rsidRPr="00B30F11" w:rsidR="00B30F11" w:rsidTr="00003701" w14:paraId="2C046366" w14:textId="77777777">
        <w:trPr>
          <w:trHeight w:val="20"/>
        </w:trPr>
        <w:tc>
          <w:tcPr>
            <w:tcW w:w="1242" w:type="dxa"/>
            <w:vMerge/>
            <w:tcBorders>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71D35E11" w14:textId="77777777">
            <w:pPr>
              <w:spacing w:after="0" w:line="240" w:lineRule="auto"/>
              <w:rPr>
                <w:rFonts w:ascii="Times New Roman" w:hAnsi="Times New Roman" w:eastAsia="Times New Roman" w:cs="Times New Roman"/>
                <w:sz w:val="20"/>
                <w:szCs w:val="20"/>
              </w:rPr>
            </w:pPr>
          </w:p>
        </w:tc>
        <w:tc>
          <w:tcPr>
            <w:tcW w:w="2430" w:type="dxa"/>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54CCB680" w14:textId="3668741D">
            <w:pPr>
              <w:keepNext/>
              <w:spacing w:after="0" w:line="240" w:lineRule="auto"/>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Certification</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4C821DF2" w14:textId="2F631453">
            <w:pPr>
              <w:keepNext/>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5,50</w:t>
            </w:r>
            <w:r w:rsidR="005B3BD1">
              <w:rPr>
                <w:rFonts w:ascii="Times New Roman" w:hAnsi="Times New Roman" w:cs="Times New Roman"/>
                <w:color w:val="000000"/>
                <w:sz w:val="20"/>
                <w:szCs w:val="20"/>
              </w:rPr>
              <w:t>2</w:t>
            </w:r>
            <w:r w:rsidRPr="00B30F11">
              <w:rPr>
                <w:rFonts w:ascii="Times New Roman" w:hAnsi="Times New Roman" w:cs="Times New Roman"/>
                <w:color w:val="000000"/>
                <w:sz w:val="20"/>
                <w:szCs w:val="20"/>
              </w:rPr>
              <w:t xml:space="preserve"> </w:t>
            </w:r>
          </w:p>
        </w:tc>
      </w:tr>
      <w:tr w:rsidRPr="00356E06" w:rsidR="00B30F11" w:rsidTr="00003701" w14:paraId="464BCF64" w14:textId="77777777">
        <w:trPr>
          <w:trHeight w:val="20"/>
        </w:trPr>
        <w:tc>
          <w:tcPr>
            <w:tcW w:w="3672" w:type="dxa"/>
            <w:gridSpan w:val="2"/>
            <w:tcBorders>
              <w:top w:val="single" w:color="auto" w:sz="4" w:space="0"/>
              <w:left w:val="single" w:color="auto" w:sz="4" w:space="0"/>
              <w:bottom w:val="single" w:color="auto" w:sz="4" w:space="0"/>
              <w:right w:val="single" w:color="auto" w:sz="4" w:space="0"/>
            </w:tcBorders>
            <w:shd w:val="clear" w:color="000000" w:fill="auto"/>
            <w:noWrap/>
            <w:hideMark/>
          </w:tcPr>
          <w:p w:rsidRPr="00B30F11" w:rsidR="00B30F11" w:rsidP="00B30F11" w:rsidRDefault="00B30F11" w14:paraId="49CE6571" w14:textId="042F0491">
            <w:pPr>
              <w:spacing w:after="0" w:line="240" w:lineRule="auto"/>
              <w:rPr>
                <w:rFonts w:ascii="Times New Roman" w:hAnsi="Times New Roman" w:eastAsia="Times New Roman" w:cs="Times New Roman"/>
                <w:sz w:val="20"/>
                <w:szCs w:val="20"/>
              </w:rPr>
            </w:pPr>
            <w:r w:rsidRPr="00B30F11">
              <w:rPr>
                <w:rFonts w:ascii="Times New Roman" w:hAnsi="Times New Roman" w:cs="Times New Roman"/>
                <w:b/>
                <w:bCs/>
                <w:color w:val="000000"/>
                <w:sz w:val="20"/>
                <w:szCs w:val="20"/>
              </w:rPr>
              <w:t> Total</w:t>
            </w:r>
          </w:p>
        </w:tc>
        <w:tc>
          <w:tcPr>
            <w:tcW w:w="2052" w:type="dxa"/>
            <w:tcBorders>
              <w:top w:val="nil"/>
              <w:left w:val="nil"/>
              <w:bottom w:val="single" w:color="auto" w:sz="8" w:space="0"/>
              <w:right w:val="single" w:color="auto" w:sz="8" w:space="0"/>
            </w:tcBorders>
            <w:shd w:val="clear" w:color="auto" w:fill="auto"/>
            <w:noWrap/>
            <w:hideMark/>
          </w:tcPr>
          <w:p w:rsidRPr="00B30F11" w:rsidR="00B30F11" w:rsidP="00B30F11" w:rsidRDefault="00B30F11" w14:paraId="0E168429" w14:textId="3E29578A">
            <w:pPr>
              <w:spacing w:after="0" w:line="240" w:lineRule="auto"/>
              <w:jc w:val="right"/>
              <w:rPr>
                <w:rFonts w:ascii="Times New Roman" w:hAnsi="Times New Roman" w:eastAsia="Times New Roman" w:cs="Times New Roman"/>
                <w:sz w:val="20"/>
                <w:szCs w:val="20"/>
              </w:rPr>
            </w:pPr>
            <w:r w:rsidRPr="00B30F11">
              <w:rPr>
                <w:rFonts w:ascii="Times New Roman" w:hAnsi="Times New Roman" w:cs="Times New Roman"/>
                <w:color w:val="000000"/>
                <w:sz w:val="20"/>
                <w:szCs w:val="20"/>
              </w:rPr>
              <w:t xml:space="preserve"> $ 26,286,151 </w:t>
            </w:r>
          </w:p>
        </w:tc>
      </w:tr>
    </w:tbl>
    <w:p w:rsidRPr="00356E06" w:rsidR="008B7630" w:rsidP="00A66850" w:rsidRDefault="008B7630" w14:paraId="65600B43" w14:textId="77777777">
      <w:pPr>
        <w:spacing w:after="0" w:line="240" w:lineRule="auto"/>
        <w:rPr>
          <w:rFonts w:ascii="Times New Roman" w:hAnsi="Times New Roman" w:cs="Times New Roman"/>
          <w:sz w:val="24"/>
          <w:szCs w:val="24"/>
          <w:highlight w:val="yellow"/>
        </w:rPr>
      </w:pPr>
    </w:p>
    <w:p w:rsidRPr="005B3BD1" w:rsidR="008B7630" w:rsidP="00A66850" w:rsidRDefault="00973607" w14:paraId="309D04AC" w14:textId="77777777">
      <w:pPr>
        <w:spacing w:after="0" w:line="240" w:lineRule="auto"/>
        <w:rPr>
          <w:rFonts w:ascii="Times New Roman" w:hAnsi="Times New Roman" w:cs="Times New Roman"/>
          <w:sz w:val="24"/>
          <w:szCs w:val="24"/>
        </w:rPr>
      </w:pPr>
      <w:r w:rsidRPr="005B3BD1">
        <w:rPr>
          <w:rFonts w:ascii="Times New Roman" w:hAnsi="Times New Roman" w:cs="Times New Roman"/>
          <w:sz w:val="24"/>
          <w:szCs w:val="24"/>
        </w:rPr>
        <w:t xml:space="preserve">The labor and cost estimates in Tables 2 and 3 are </w:t>
      </w:r>
      <w:r w:rsidRPr="005B3BD1" w:rsidR="008B7630">
        <w:rPr>
          <w:rFonts w:ascii="Times New Roman" w:hAnsi="Times New Roman" w:cs="Times New Roman"/>
          <w:sz w:val="24"/>
          <w:szCs w:val="24"/>
        </w:rPr>
        <w:t>base</w:t>
      </w:r>
      <w:r w:rsidRPr="005B3BD1" w:rsidR="00907617">
        <w:rPr>
          <w:rFonts w:ascii="Times New Roman" w:hAnsi="Times New Roman" w:cs="Times New Roman"/>
          <w:sz w:val="24"/>
          <w:szCs w:val="24"/>
        </w:rPr>
        <w:t>d on the following parameters</w:t>
      </w:r>
      <w:r w:rsidRPr="005B3BD1" w:rsidR="008B7630">
        <w:rPr>
          <w:rFonts w:ascii="Times New Roman" w:hAnsi="Times New Roman" w:cs="Times New Roman"/>
          <w:sz w:val="24"/>
          <w:szCs w:val="24"/>
        </w:rPr>
        <w:t>:</w:t>
      </w:r>
    </w:p>
    <w:p w:rsidRPr="00356E06" w:rsidR="0076085C" w:rsidP="00A66850" w:rsidRDefault="0076085C" w14:paraId="12C91394" w14:textId="77777777">
      <w:pPr>
        <w:spacing w:after="0" w:line="240" w:lineRule="auto"/>
        <w:rPr>
          <w:rFonts w:ascii="Times New Roman" w:hAnsi="Times New Roman" w:cs="Times New Roman"/>
          <w:i/>
          <w:sz w:val="24"/>
          <w:szCs w:val="24"/>
          <w:highlight w:val="yellow"/>
        </w:rPr>
      </w:pPr>
    </w:p>
    <w:p w:rsidRPr="005B3BD1" w:rsidR="008B7630" w:rsidP="00A66850" w:rsidRDefault="008B7630" w14:paraId="4700C71E" w14:textId="35D2E6CF">
      <w:pPr>
        <w:pStyle w:val="ListParagraph"/>
        <w:numPr>
          <w:ilvl w:val="0"/>
          <w:numId w:val="4"/>
        </w:numPr>
        <w:spacing w:after="0" w:line="240" w:lineRule="auto"/>
        <w:ind w:hanging="720"/>
        <w:contextualSpacing w:val="0"/>
        <w:rPr>
          <w:rFonts w:ascii="Times New Roman" w:hAnsi="Times New Roman" w:cs="Times New Roman"/>
          <w:sz w:val="24"/>
          <w:szCs w:val="24"/>
        </w:rPr>
      </w:pPr>
      <w:r w:rsidRPr="005B3BD1">
        <w:rPr>
          <w:rFonts w:ascii="Times New Roman" w:hAnsi="Times New Roman" w:cs="Times New Roman"/>
          <w:sz w:val="24"/>
          <w:szCs w:val="24"/>
        </w:rPr>
        <w:t>Responses occur once annually for all entities</w:t>
      </w:r>
      <w:r w:rsidRPr="005B3BD1" w:rsidR="00DC0DF8">
        <w:rPr>
          <w:rFonts w:ascii="Times New Roman" w:hAnsi="Times New Roman" w:cs="Times New Roman"/>
          <w:sz w:val="24"/>
          <w:szCs w:val="24"/>
        </w:rPr>
        <w:t xml:space="preserve">, including the certification of </w:t>
      </w:r>
      <w:r w:rsidRPr="005B3BD1" w:rsidR="00B30F11">
        <w:rPr>
          <w:rFonts w:ascii="Times New Roman" w:hAnsi="Times New Roman" w:cs="Times New Roman"/>
          <w:sz w:val="24"/>
          <w:szCs w:val="24"/>
        </w:rPr>
        <w:t>compliance with 49 CFR Part 6</w:t>
      </w:r>
      <w:r w:rsidR="00CE7761">
        <w:rPr>
          <w:rFonts w:ascii="Times New Roman" w:hAnsi="Times New Roman" w:cs="Times New Roman"/>
          <w:sz w:val="24"/>
          <w:szCs w:val="24"/>
        </w:rPr>
        <w:t>73</w:t>
      </w:r>
      <w:r w:rsidRPr="005B3BD1">
        <w:rPr>
          <w:rFonts w:ascii="Times New Roman" w:hAnsi="Times New Roman" w:cs="Times New Roman"/>
          <w:sz w:val="24"/>
          <w:szCs w:val="24"/>
        </w:rPr>
        <w:t>.</w:t>
      </w:r>
    </w:p>
    <w:p w:rsidRPr="005B3BD1" w:rsidR="009437A3" w:rsidP="00A66850" w:rsidRDefault="009437A3" w14:paraId="03E3A624" w14:textId="77777777">
      <w:pPr>
        <w:pStyle w:val="ListParagraph"/>
        <w:spacing w:after="0" w:line="240" w:lineRule="auto"/>
        <w:ind w:left="0"/>
        <w:contextualSpacing w:val="0"/>
        <w:rPr>
          <w:rFonts w:ascii="Times New Roman" w:hAnsi="Times New Roman" w:cs="Times New Roman"/>
          <w:sz w:val="24"/>
          <w:szCs w:val="24"/>
        </w:rPr>
      </w:pPr>
    </w:p>
    <w:p w:rsidRPr="005B3BD1" w:rsidR="008B7630" w:rsidP="00A66850" w:rsidRDefault="008B7630" w14:paraId="4F695731" w14:textId="77777777">
      <w:pPr>
        <w:pStyle w:val="ListParagraph"/>
        <w:numPr>
          <w:ilvl w:val="0"/>
          <w:numId w:val="4"/>
        </w:numPr>
        <w:spacing w:after="0" w:line="240" w:lineRule="auto"/>
        <w:ind w:hanging="720"/>
        <w:contextualSpacing w:val="0"/>
        <w:rPr>
          <w:rFonts w:ascii="Times New Roman" w:hAnsi="Times New Roman" w:cs="Times New Roman"/>
          <w:sz w:val="24"/>
          <w:szCs w:val="24"/>
        </w:rPr>
      </w:pPr>
      <w:r w:rsidRPr="005B3BD1">
        <w:rPr>
          <w:rFonts w:ascii="Times New Roman" w:hAnsi="Times New Roman" w:cs="Times New Roman"/>
          <w:sz w:val="24"/>
          <w:szCs w:val="24"/>
        </w:rPr>
        <w:t>The annual hour burden is calculated with the following factors applied:</w:t>
      </w:r>
    </w:p>
    <w:p w:rsidRPr="005B3BD1" w:rsidR="0076085C" w:rsidP="0076085C" w:rsidRDefault="0076085C" w14:paraId="4648F2CE" w14:textId="77777777">
      <w:pPr>
        <w:spacing w:after="0" w:line="240" w:lineRule="auto"/>
        <w:rPr>
          <w:rFonts w:ascii="Times New Roman" w:hAnsi="Times New Roman" w:cs="Times New Roman"/>
          <w:sz w:val="24"/>
          <w:szCs w:val="24"/>
        </w:rPr>
      </w:pPr>
    </w:p>
    <w:p w:rsidRPr="005B3BD1" w:rsidR="008B7630" w:rsidP="00A66850" w:rsidRDefault="008B7630" w14:paraId="7797B40E" w14:textId="0A177DF7">
      <w:pPr>
        <w:pStyle w:val="ListParagraph"/>
        <w:numPr>
          <w:ilvl w:val="1"/>
          <w:numId w:val="4"/>
        </w:numPr>
        <w:spacing w:after="0" w:line="240" w:lineRule="auto"/>
        <w:ind w:hanging="720"/>
        <w:contextualSpacing w:val="0"/>
        <w:rPr>
          <w:rFonts w:ascii="Times New Roman" w:hAnsi="Times New Roman" w:cs="Times New Roman"/>
          <w:sz w:val="24"/>
          <w:szCs w:val="24"/>
        </w:rPr>
      </w:pPr>
      <w:r w:rsidRPr="005B3BD1">
        <w:rPr>
          <w:rFonts w:ascii="Times New Roman" w:hAnsi="Times New Roman" w:cs="Times New Roman"/>
          <w:sz w:val="24"/>
          <w:szCs w:val="24"/>
        </w:rPr>
        <w:t>There are three different phases of rule adherence:</w:t>
      </w:r>
      <w:r w:rsidRPr="005B3BD1" w:rsidR="006347BB">
        <w:rPr>
          <w:rFonts w:ascii="Times New Roman" w:hAnsi="Times New Roman" w:cs="Times New Roman"/>
          <w:sz w:val="24"/>
          <w:szCs w:val="24"/>
        </w:rPr>
        <w:t xml:space="preserve"> </w:t>
      </w:r>
      <w:r w:rsidRPr="005B3BD1">
        <w:rPr>
          <w:rFonts w:ascii="Times New Roman" w:hAnsi="Times New Roman" w:cs="Times New Roman"/>
          <w:sz w:val="24"/>
          <w:szCs w:val="24"/>
        </w:rPr>
        <w:t xml:space="preserve">Plan Development and Certification, Implementation and Documentation, and </w:t>
      </w:r>
      <w:r w:rsidRPr="005B3BD1" w:rsidR="00973607">
        <w:rPr>
          <w:rFonts w:ascii="Times New Roman" w:hAnsi="Times New Roman" w:cs="Times New Roman"/>
          <w:sz w:val="24"/>
          <w:szCs w:val="24"/>
        </w:rPr>
        <w:t>Recordkeeping</w:t>
      </w:r>
      <w:r w:rsidRPr="005B3BD1">
        <w:rPr>
          <w:rFonts w:ascii="Times New Roman" w:hAnsi="Times New Roman" w:cs="Times New Roman"/>
          <w:sz w:val="24"/>
          <w:szCs w:val="24"/>
        </w:rPr>
        <w:t>.</w:t>
      </w:r>
    </w:p>
    <w:p w:rsidRPr="005B3BD1" w:rsidR="0076085C" w:rsidP="0076085C" w:rsidRDefault="0076085C" w14:paraId="11E37A85" w14:textId="77777777">
      <w:pPr>
        <w:spacing w:after="0" w:line="240" w:lineRule="auto"/>
        <w:rPr>
          <w:rFonts w:ascii="Times New Roman" w:hAnsi="Times New Roman" w:cs="Times New Roman"/>
          <w:sz w:val="24"/>
          <w:szCs w:val="24"/>
        </w:rPr>
      </w:pPr>
    </w:p>
    <w:p w:rsidRPr="005B3BD1" w:rsidR="008B7630" w:rsidP="00A66850" w:rsidRDefault="008B7630" w14:paraId="5EDFF67D" w14:textId="5138AA0E">
      <w:pPr>
        <w:pStyle w:val="ListParagraph"/>
        <w:numPr>
          <w:ilvl w:val="1"/>
          <w:numId w:val="4"/>
        </w:numPr>
        <w:spacing w:after="0" w:line="240" w:lineRule="auto"/>
        <w:ind w:hanging="720"/>
        <w:contextualSpacing w:val="0"/>
        <w:rPr>
          <w:rFonts w:ascii="Times New Roman" w:hAnsi="Times New Roman" w:cs="Times New Roman"/>
          <w:sz w:val="24"/>
          <w:szCs w:val="24"/>
        </w:rPr>
      </w:pPr>
      <w:r w:rsidRPr="005B3BD1">
        <w:rPr>
          <w:rFonts w:ascii="Times New Roman" w:hAnsi="Times New Roman" w:cs="Times New Roman"/>
          <w:sz w:val="24"/>
          <w:szCs w:val="24"/>
        </w:rPr>
        <w:t xml:space="preserve">The tasks associated with the Development and Certification phase apply </w:t>
      </w:r>
      <w:r w:rsidRPr="005B3BD1" w:rsidR="009E7A6F">
        <w:rPr>
          <w:rFonts w:ascii="Times New Roman" w:hAnsi="Times New Roman" w:cs="Times New Roman"/>
          <w:sz w:val="24"/>
          <w:szCs w:val="24"/>
        </w:rPr>
        <w:t>agencies supporting annual certification with 49 CFR Part 673 and the development of ASPs for any new transit system.</w:t>
      </w:r>
    </w:p>
    <w:p w:rsidRPr="005B3BD1" w:rsidR="0076085C" w:rsidP="0076085C" w:rsidRDefault="0076085C" w14:paraId="50FFFFC3" w14:textId="77777777">
      <w:pPr>
        <w:spacing w:after="0" w:line="240" w:lineRule="auto"/>
        <w:rPr>
          <w:rFonts w:ascii="Times New Roman" w:hAnsi="Times New Roman" w:cs="Times New Roman"/>
          <w:sz w:val="24"/>
          <w:szCs w:val="24"/>
        </w:rPr>
      </w:pPr>
    </w:p>
    <w:p w:rsidRPr="005B3BD1" w:rsidR="008B7630" w:rsidP="00A66850" w:rsidRDefault="008B7630" w14:paraId="0803BA54" w14:textId="05E0BCB9">
      <w:pPr>
        <w:pStyle w:val="ListParagraph"/>
        <w:numPr>
          <w:ilvl w:val="1"/>
          <w:numId w:val="4"/>
        </w:numPr>
        <w:spacing w:after="0" w:line="240" w:lineRule="auto"/>
        <w:ind w:hanging="720"/>
        <w:contextualSpacing w:val="0"/>
        <w:rPr>
          <w:rFonts w:ascii="Times New Roman" w:hAnsi="Times New Roman" w:cs="Times New Roman"/>
          <w:sz w:val="24"/>
          <w:szCs w:val="24"/>
        </w:rPr>
      </w:pPr>
      <w:r w:rsidRPr="005B3BD1">
        <w:rPr>
          <w:rFonts w:ascii="Times New Roman" w:hAnsi="Times New Roman" w:cs="Times New Roman"/>
          <w:sz w:val="24"/>
          <w:szCs w:val="24"/>
        </w:rPr>
        <w:t xml:space="preserve">The types of labor included </w:t>
      </w:r>
      <w:r w:rsidRPr="005B3BD1" w:rsidR="00B970A0">
        <w:rPr>
          <w:rFonts w:ascii="Times New Roman" w:hAnsi="Times New Roman" w:cs="Times New Roman"/>
          <w:sz w:val="24"/>
          <w:szCs w:val="24"/>
        </w:rPr>
        <w:t>are</w:t>
      </w:r>
      <w:r w:rsidRPr="005B3BD1" w:rsidR="006347BB">
        <w:rPr>
          <w:rFonts w:ascii="Times New Roman" w:hAnsi="Times New Roman" w:cs="Times New Roman"/>
          <w:sz w:val="24"/>
          <w:szCs w:val="24"/>
        </w:rPr>
        <w:t xml:space="preserve"> </w:t>
      </w:r>
      <w:r w:rsidRPr="005B3BD1">
        <w:rPr>
          <w:rFonts w:ascii="Times New Roman" w:hAnsi="Times New Roman" w:cs="Times New Roman"/>
          <w:sz w:val="24"/>
          <w:szCs w:val="24"/>
        </w:rPr>
        <w:t>the Accountable Executive, the Chief Safety Officer, Safety Staff, Safety Data Analyst(s), the Operations/Maintenance Manager, and Training Staff.  Not every category of labor was involved in every duty</w:t>
      </w:r>
      <w:r w:rsidRPr="005B3BD1" w:rsidR="006347BB">
        <w:rPr>
          <w:rFonts w:ascii="Times New Roman" w:hAnsi="Times New Roman" w:cs="Times New Roman"/>
          <w:sz w:val="24"/>
          <w:szCs w:val="24"/>
        </w:rPr>
        <w:t>,</w:t>
      </w:r>
      <w:r w:rsidRPr="005B3BD1">
        <w:rPr>
          <w:rFonts w:ascii="Times New Roman" w:hAnsi="Times New Roman" w:cs="Times New Roman"/>
          <w:sz w:val="24"/>
          <w:szCs w:val="24"/>
        </w:rPr>
        <w:t xml:space="preserve"> and </w:t>
      </w:r>
      <w:r w:rsidRPr="005B3BD1" w:rsidR="006347BB">
        <w:rPr>
          <w:rFonts w:ascii="Times New Roman" w:hAnsi="Times New Roman" w:cs="Times New Roman"/>
          <w:sz w:val="24"/>
          <w:szCs w:val="24"/>
        </w:rPr>
        <w:t>FTA</w:t>
      </w:r>
      <w:r w:rsidRPr="005B3BD1">
        <w:rPr>
          <w:rFonts w:ascii="Times New Roman" w:hAnsi="Times New Roman" w:cs="Times New Roman"/>
          <w:sz w:val="24"/>
          <w:szCs w:val="24"/>
        </w:rPr>
        <w:t xml:space="preserve"> assumed that as agencies </w:t>
      </w:r>
      <w:r w:rsidRPr="005B3BD1" w:rsidR="006347BB">
        <w:rPr>
          <w:rFonts w:ascii="Times New Roman" w:hAnsi="Times New Roman" w:cs="Times New Roman"/>
          <w:sz w:val="24"/>
          <w:szCs w:val="24"/>
        </w:rPr>
        <w:t xml:space="preserve">grew </w:t>
      </w:r>
      <w:r w:rsidRPr="005B3BD1">
        <w:rPr>
          <w:rFonts w:ascii="Times New Roman" w:hAnsi="Times New Roman" w:cs="Times New Roman"/>
          <w:sz w:val="24"/>
          <w:szCs w:val="24"/>
        </w:rPr>
        <w:t xml:space="preserve">smaller, fewer of these categories existed and the burden of labor was divided differently.  Additionally, </w:t>
      </w:r>
      <w:r w:rsidRPr="005B3BD1" w:rsidR="00B970A0">
        <w:rPr>
          <w:rFonts w:ascii="Times New Roman" w:hAnsi="Times New Roman" w:cs="Times New Roman"/>
          <w:sz w:val="24"/>
          <w:szCs w:val="24"/>
        </w:rPr>
        <w:t xml:space="preserve">at </w:t>
      </w:r>
      <w:r w:rsidRPr="005B3BD1">
        <w:rPr>
          <w:rFonts w:ascii="Times New Roman" w:hAnsi="Times New Roman" w:cs="Times New Roman"/>
          <w:sz w:val="24"/>
          <w:szCs w:val="24"/>
        </w:rPr>
        <w:t>the State</w:t>
      </w:r>
      <w:r w:rsidRPr="005B3BD1" w:rsidR="000714B8">
        <w:rPr>
          <w:rFonts w:ascii="Times New Roman" w:hAnsi="Times New Roman" w:cs="Times New Roman"/>
          <w:sz w:val="24"/>
          <w:szCs w:val="24"/>
        </w:rPr>
        <w:t xml:space="preserve"> </w:t>
      </w:r>
      <w:r w:rsidRPr="005B3BD1" w:rsidR="00B970A0">
        <w:rPr>
          <w:rFonts w:ascii="Times New Roman" w:hAnsi="Times New Roman" w:cs="Times New Roman"/>
          <w:sz w:val="24"/>
          <w:szCs w:val="24"/>
        </w:rPr>
        <w:t>level</w:t>
      </w:r>
      <w:r w:rsidRPr="005B3BD1" w:rsidR="000714B8">
        <w:rPr>
          <w:rFonts w:ascii="Times New Roman" w:hAnsi="Times New Roman" w:cs="Times New Roman"/>
          <w:sz w:val="24"/>
          <w:szCs w:val="24"/>
        </w:rPr>
        <w:t>,</w:t>
      </w:r>
      <w:r w:rsidRPr="005B3BD1">
        <w:rPr>
          <w:rFonts w:ascii="Times New Roman" w:hAnsi="Times New Roman" w:cs="Times New Roman"/>
          <w:sz w:val="24"/>
          <w:szCs w:val="24"/>
        </w:rPr>
        <w:t xml:space="preserve"> not </w:t>
      </w:r>
      <w:proofErr w:type="gramStart"/>
      <w:r w:rsidRPr="005B3BD1" w:rsidR="006347BB">
        <w:rPr>
          <w:rFonts w:ascii="Times New Roman" w:hAnsi="Times New Roman" w:cs="Times New Roman"/>
          <w:sz w:val="24"/>
          <w:szCs w:val="24"/>
        </w:rPr>
        <w:t>all of</w:t>
      </w:r>
      <w:proofErr w:type="gramEnd"/>
      <w:r w:rsidRPr="005B3BD1" w:rsidR="006347BB">
        <w:rPr>
          <w:rFonts w:ascii="Times New Roman" w:hAnsi="Times New Roman" w:cs="Times New Roman"/>
          <w:sz w:val="24"/>
          <w:szCs w:val="24"/>
        </w:rPr>
        <w:t xml:space="preserve"> </w:t>
      </w:r>
      <w:r w:rsidRPr="005B3BD1">
        <w:rPr>
          <w:rFonts w:ascii="Times New Roman" w:hAnsi="Times New Roman" w:cs="Times New Roman"/>
          <w:sz w:val="24"/>
          <w:szCs w:val="24"/>
        </w:rPr>
        <w:t xml:space="preserve">these </w:t>
      </w:r>
      <w:r w:rsidRPr="005B3BD1" w:rsidR="006347BB">
        <w:rPr>
          <w:rFonts w:ascii="Times New Roman" w:hAnsi="Times New Roman" w:cs="Times New Roman"/>
          <w:sz w:val="24"/>
          <w:szCs w:val="24"/>
        </w:rPr>
        <w:t xml:space="preserve">labor </w:t>
      </w:r>
      <w:r w:rsidRPr="005B3BD1">
        <w:rPr>
          <w:rFonts w:ascii="Times New Roman" w:hAnsi="Times New Roman" w:cs="Times New Roman"/>
          <w:sz w:val="24"/>
          <w:szCs w:val="24"/>
        </w:rPr>
        <w:t>categories</w:t>
      </w:r>
      <w:r w:rsidRPr="005B3BD1" w:rsidR="00B970A0">
        <w:rPr>
          <w:rFonts w:ascii="Times New Roman" w:hAnsi="Times New Roman" w:cs="Times New Roman"/>
          <w:sz w:val="24"/>
          <w:szCs w:val="24"/>
        </w:rPr>
        <w:t xml:space="preserve"> are likely to be involved</w:t>
      </w:r>
      <w:r w:rsidRPr="005B3BD1" w:rsidR="000714B8">
        <w:rPr>
          <w:rFonts w:ascii="Times New Roman" w:hAnsi="Times New Roman" w:cs="Times New Roman"/>
          <w:sz w:val="24"/>
          <w:szCs w:val="24"/>
        </w:rPr>
        <w:t>, for instance, a</w:t>
      </w:r>
      <w:r w:rsidRPr="005B3BD1">
        <w:rPr>
          <w:rFonts w:ascii="Times New Roman" w:hAnsi="Times New Roman" w:cs="Times New Roman"/>
          <w:sz w:val="24"/>
          <w:szCs w:val="24"/>
        </w:rPr>
        <w:t xml:space="preserve"> Program Manager</w:t>
      </w:r>
      <w:r w:rsidRPr="005B3BD1" w:rsidR="00B970A0">
        <w:rPr>
          <w:rFonts w:ascii="Times New Roman" w:hAnsi="Times New Roman" w:cs="Times New Roman"/>
          <w:sz w:val="24"/>
          <w:szCs w:val="24"/>
        </w:rPr>
        <w:t xml:space="preserve"> is assumed to be the main labor category for work</w:t>
      </w:r>
      <w:r w:rsidRPr="005B3BD1" w:rsidR="000714B8">
        <w:rPr>
          <w:rFonts w:ascii="Times New Roman" w:hAnsi="Times New Roman" w:cs="Times New Roman"/>
          <w:sz w:val="24"/>
          <w:szCs w:val="24"/>
        </w:rPr>
        <w:t xml:space="preserve"> at the State level</w:t>
      </w:r>
      <w:r w:rsidRPr="005B3BD1">
        <w:rPr>
          <w:rFonts w:ascii="Times New Roman" w:hAnsi="Times New Roman" w:cs="Times New Roman"/>
          <w:sz w:val="24"/>
          <w:szCs w:val="24"/>
        </w:rPr>
        <w:t>.</w:t>
      </w:r>
    </w:p>
    <w:p w:rsidRPr="005B3BD1" w:rsidR="009E7A6F" w:rsidP="009E7A6F" w:rsidRDefault="009E7A6F" w14:paraId="43439896" w14:textId="77777777">
      <w:pPr>
        <w:pStyle w:val="ListParagraph"/>
        <w:rPr>
          <w:rFonts w:ascii="Times New Roman" w:hAnsi="Times New Roman" w:cs="Times New Roman"/>
          <w:sz w:val="24"/>
          <w:szCs w:val="24"/>
        </w:rPr>
      </w:pPr>
    </w:p>
    <w:p w:rsidRPr="005B3BD1" w:rsidR="009E7A6F" w:rsidP="009E7A6F" w:rsidRDefault="009E7A6F" w14:paraId="720D4713" w14:textId="1FB23B18">
      <w:pPr>
        <w:pStyle w:val="ListParagraph"/>
        <w:numPr>
          <w:ilvl w:val="1"/>
          <w:numId w:val="4"/>
        </w:numPr>
        <w:spacing w:after="0" w:line="240" w:lineRule="auto"/>
        <w:ind w:hanging="720"/>
        <w:contextualSpacing w:val="0"/>
        <w:rPr>
          <w:rFonts w:ascii="Times New Roman" w:hAnsi="Times New Roman" w:cs="Times New Roman"/>
          <w:sz w:val="24"/>
          <w:szCs w:val="24"/>
        </w:rPr>
      </w:pPr>
      <w:r w:rsidRPr="005B3BD1">
        <w:rPr>
          <w:rFonts w:ascii="Times New Roman" w:hAnsi="Times New Roman" w:cs="Times New Roman"/>
          <w:sz w:val="24"/>
          <w:szCs w:val="24"/>
        </w:rPr>
        <w:t>Wage estimates from 2016 have been increased by 14.36% based on the average wage index (AWI) for 2016 and 2020 (https://www.ssa.gov/oact/cola/awidevelop.html)</w:t>
      </w:r>
    </w:p>
    <w:p w:rsidRPr="005B3BD1" w:rsidR="0076085C" w:rsidP="0076085C" w:rsidRDefault="0076085C" w14:paraId="120FDDDE" w14:textId="77777777">
      <w:pPr>
        <w:spacing w:after="0" w:line="240" w:lineRule="auto"/>
        <w:rPr>
          <w:rFonts w:ascii="Times New Roman" w:hAnsi="Times New Roman" w:cs="Times New Roman"/>
          <w:sz w:val="24"/>
          <w:szCs w:val="24"/>
        </w:rPr>
      </w:pPr>
    </w:p>
    <w:p w:rsidRPr="005B3BD1" w:rsidR="006017A1" w:rsidP="00A66850" w:rsidRDefault="006347BB" w14:paraId="05BF4DB7" w14:textId="2B244310">
      <w:pPr>
        <w:pStyle w:val="ListParagraph"/>
        <w:numPr>
          <w:ilvl w:val="1"/>
          <w:numId w:val="4"/>
        </w:numPr>
        <w:spacing w:after="0" w:line="240" w:lineRule="auto"/>
        <w:ind w:hanging="720"/>
        <w:contextualSpacing w:val="0"/>
        <w:rPr>
          <w:rFonts w:ascii="Times New Roman" w:hAnsi="Times New Roman" w:cs="Times New Roman"/>
          <w:sz w:val="24"/>
          <w:szCs w:val="24"/>
        </w:rPr>
      </w:pPr>
      <w:r w:rsidRPr="005B3BD1">
        <w:rPr>
          <w:rFonts w:ascii="Times New Roman" w:hAnsi="Times New Roman" w:cs="Times New Roman"/>
          <w:sz w:val="24"/>
          <w:szCs w:val="24"/>
        </w:rPr>
        <w:t>The calculation i</w:t>
      </w:r>
      <w:r w:rsidRPr="005B3BD1" w:rsidR="006017A1">
        <w:rPr>
          <w:rFonts w:ascii="Times New Roman" w:hAnsi="Times New Roman" w:cs="Times New Roman"/>
          <w:sz w:val="24"/>
          <w:szCs w:val="24"/>
        </w:rPr>
        <w:t>ncludes estimated costs for travel, materials, records, and information technology which do not have hours directly attributable to them.</w:t>
      </w:r>
    </w:p>
    <w:p w:rsidRPr="00A66850" w:rsidR="008B7630" w:rsidP="00A66850" w:rsidRDefault="008B7630" w14:paraId="17152493" w14:textId="77777777">
      <w:pPr>
        <w:pStyle w:val="ListParagraph"/>
        <w:spacing w:after="0" w:line="240" w:lineRule="auto"/>
        <w:ind w:left="0"/>
        <w:contextualSpacing w:val="0"/>
        <w:rPr>
          <w:rFonts w:ascii="Times New Roman" w:hAnsi="Times New Roman" w:cs="Times New Roman"/>
          <w:sz w:val="24"/>
          <w:szCs w:val="24"/>
        </w:rPr>
      </w:pPr>
    </w:p>
    <w:p w:rsidR="008B7630" w:rsidP="00A66850" w:rsidRDefault="008B7630" w14:paraId="2128CCA2" w14:textId="77777777">
      <w:pPr>
        <w:pStyle w:val="ListParagraph"/>
        <w:numPr>
          <w:ilvl w:val="0"/>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Explanation of how </w:t>
      </w:r>
      <w:r w:rsidRPr="00A66850" w:rsidR="00A10479">
        <w:rPr>
          <w:rFonts w:ascii="Times New Roman" w:hAnsi="Times New Roman" w:cs="Times New Roman"/>
          <w:sz w:val="24"/>
          <w:szCs w:val="24"/>
        </w:rPr>
        <w:t xml:space="preserve">the </w:t>
      </w:r>
      <w:r w:rsidRPr="00A66850">
        <w:rPr>
          <w:rFonts w:ascii="Times New Roman" w:hAnsi="Times New Roman" w:cs="Times New Roman"/>
          <w:sz w:val="24"/>
          <w:szCs w:val="24"/>
        </w:rPr>
        <w:t>burden was estimated:</w:t>
      </w:r>
    </w:p>
    <w:p w:rsidRPr="00EF18CD" w:rsidR="00EF18CD" w:rsidP="00EF18CD" w:rsidRDefault="00EF18CD" w14:paraId="353F234A" w14:textId="77777777">
      <w:pPr>
        <w:spacing w:after="0" w:line="240" w:lineRule="auto"/>
        <w:rPr>
          <w:rFonts w:ascii="Times New Roman" w:hAnsi="Times New Roman" w:cs="Times New Roman"/>
          <w:sz w:val="24"/>
          <w:szCs w:val="24"/>
        </w:rPr>
      </w:pPr>
    </w:p>
    <w:p w:rsidR="008B7630" w:rsidP="00A66850" w:rsidRDefault="008B7630" w14:paraId="5239AFD0" w14:textId="41A0BDB2">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For each category of agency, </w:t>
      </w:r>
      <w:r w:rsidR="00EF18CD">
        <w:rPr>
          <w:rFonts w:ascii="Times New Roman" w:hAnsi="Times New Roman" w:cs="Times New Roman"/>
          <w:sz w:val="24"/>
          <w:szCs w:val="24"/>
        </w:rPr>
        <w:t xml:space="preserve">FTA broke down the </w:t>
      </w:r>
      <w:r w:rsidR="00504978">
        <w:rPr>
          <w:rFonts w:ascii="Times New Roman" w:hAnsi="Times New Roman" w:cs="Times New Roman"/>
          <w:sz w:val="24"/>
          <w:szCs w:val="24"/>
        </w:rPr>
        <w:t>PTASP regulation</w:t>
      </w:r>
      <w:r w:rsidRPr="00A66850" w:rsidR="00504978">
        <w:rPr>
          <w:rFonts w:ascii="Times New Roman" w:hAnsi="Times New Roman" w:cs="Times New Roman"/>
          <w:sz w:val="24"/>
          <w:szCs w:val="24"/>
        </w:rPr>
        <w:t xml:space="preserve"> </w:t>
      </w:r>
      <w:r w:rsidRPr="00A66850">
        <w:rPr>
          <w:rFonts w:ascii="Times New Roman" w:hAnsi="Times New Roman" w:cs="Times New Roman"/>
          <w:sz w:val="24"/>
          <w:szCs w:val="24"/>
        </w:rPr>
        <w:t>subpart by subpart</w:t>
      </w:r>
      <w:r w:rsidR="00EF18CD">
        <w:rPr>
          <w:rFonts w:ascii="Times New Roman" w:hAnsi="Times New Roman" w:cs="Times New Roman"/>
          <w:sz w:val="24"/>
          <w:szCs w:val="24"/>
        </w:rPr>
        <w:t>,</w:t>
      </w:r>
      <w:r w:rsidRPr="00A66850">
        <w:rPr>
          <w:rFonts w:ascii="Times New Roman" w:hAnsi="Times New Roman" w:cs="Times New Roman"/>
          <w:sz w:val="24"/>
          <w:szCs w:val="24"/>
        </w:rPr>
        <w:t xml:space="preserve"> and </w:t>
      </w:r>
      <w:r w:rsidR="00EF18CD">
        <w:rPr>
          <w:rFonts w:ascii="Times New Roman" w:hAnsi="Times New Roman" w:cs="Times New Roman"/>
          <w:sz w:val="24"/>
          <w:szCs w:val="24"/>
        </w:rPr>
        <w:t xml:space="preserve">then </w:t>
      </w:r>
      <w:r w:rsidRPr="00A66850">
        <w:rPr>
          <w:rFonts w:ascii="Times New Roman" w:hAnsi="Times New Roman" w:cs="Times New Roman"/>
          <w:sz w:val="24"/>
          <w:szCs w:val="24"/>
        </w:rPr>
        <w:t>clause by clause</w:t>
      </w:r>
      <w:r w:rsidR="00EF18CD">
        <w:rPr>
          <w:rFonts w:ascii="Times New Roman" w:hAnsi="Times New Roman" w:cs="Times New Roman"/>
          <w:sz w:val="24"/>
          <w:szCs w:val="24"/>
        </w:rPr>
        <w:t>, and FTA scoped t</w:t>
      </w:r>
      <w:r w:rsidRPr="00A66850">
        <w:rPr>
          <w:rFonts w:ascii="Times New Roman" w:hAnsi="Times New Roman" w:cs="Times New Roman"/>
          <w:sz w:val="24"/>
          <w:szCs w:val="24"/>
        </w:rPr>
        <w:t>he required response using Project Management Planning (PMP) estimation techniques.</w:t>
      </w:r>
    </w:p>
    <w:p w:rsidRPr="00EF18CD" w:rsidR="00EF18CD" w:rsidP="00EF18CD" w:rsidRDefault="00EF18CD" w14:paraId="0A1AA7EA" w14:textId="77777777">
      <w:pPr>
        <w:spacing w:after="0" w:line="240" w:lineRule="auto"/>
        <w:rPr>
          <w:rFonts w:ascii="Times New Roman" w:hAnsi="Times New Roman" w:cs="Times New Roman"/>
          <w:sz w:val="24"/>
          <w:szCs w:val="24"/>
        </w:rPr>
      </w:pPr>
    </w:p>
    <w:p w:rsidR="008B7630" w:rsidP="00A66850" w:rsidRDefault="00EF18CD" w14:paraId="3BA87E52" w14:textId="77777777">
      <w:pPr>
        <w:pStyle w:val="ListParagraph"/>
        <w:numPr>
          <w:ilvl w:val="1"/>
          <w:numId w:val="4"/>
        </w:numPr>
        <w:spacing w:after="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FTA then estimated t</w:t>
      </w:r>
      <w:r w:rsidRPr="00A66850" w:rsidR="008B7630">
        <w:rPr>
          <w:rFonts w:ascii="Times New Roman" w:hAnsi="Times New Roman" w:cs="Times New Roman"/>
          <w:sz w:val="24"/>
          <w:szCs w:val="24"/>
        </w:rPr>
        <w:t xml:space="preserve">he labor burden for each response action and divided </w:t>
      </w:r>
      <w:r>
        <w:rPr>
          <w:rFonts w:ascii="Times New Roman" w:hAnsi="Times New Roman" w:cs="Times New Roman"/>
          <w:sz w:val="24"/>
          <w:szCs w:val="24"/>
        </w:rPr>
        <w:t xml:space="preserve">it </w:t>
      </w:r>
      <w:r w:rsidRPr="00A66850" w:rsidR="008B7630">
        <w:rPr>
          <w:rFonts w:ascii="Times New Roman" w:hAnsi="Times New Roman" w:cs="Times New Roman"/>
          <w:sz w:val="24"/>
          <w:szCs w:val="24"/>
        </w:rPr>
        <w:t xml:space="preserve">across labor categories.  This burden estimated new labor specific to the rule and assumed that </w:t>
      </w:r>
      <w:r w:rsidRPr="00A66850" w:rsidR="00F32355">
        <w:rPr>
          <w:rFonts w:ascii="Times New Roman" w:hAnsi="Times New Roman" w:cs="Times New Roman"/>
          <w:sz w:val="24"/>
          <w:szCs w:val="24"/>
        </w:rPr>
        <w:t>the paperwork burdens were new</w:t>
      </w:r>
      <w:r w:rsidRPr="00A66850" w:rsidR="008B7630">
        <w:rPr>
          <w:rFonts w:ascii="Times New Roman" w:hAnsi="Times New Roman" w:cs="Times New Roman"/>
          <w:sz w:val="24"/>
          <w:szCs w:val="24"/>
        </w:rPr>
        <w:t>.</w:t>
      </w:r>
    </w:p>
    <w:p w:rsidRPr="00EF18CD" w:rsidR="00EF18CD" w:rsidP="00EF18CD" w:rsidRDefault="00EF18CD" w14:paraId="4A02E01D" w14:textId="77777777">
      <w:pPr>
        <w:spacing w:after="0" w:line="240" w:lineRule="auto"/>
        <w:rPr>
          <w:rFonts w:ascii="Times New Roman" w:hAnsi="Times New Roman" w:cs="Times New Roman"/>
          <w:sz w:val="24"/>
          <w:szCs w:val="24"/>
        </w:rPr>
      </w:pPr>
    </w:p>
    <w:p w:rsidR="008B7630" w:rsidP="00A66850" w:rsidRDefault="00EF18CD" w14:paraId="6B5C8795" w14:textId="77777777">
      <w:pPr>
        <w:pStyle w:val="ListParagraph"/>
        <w:numPr>
          <w:ilvl w:val="1"/>
          <w:numId w:val="4"/>
        </w:numPr>
        <w:spacing w:after="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FTA calculated the t</w:t>
      </w:r>
      <w:r w:rsidRPr="00A66850" w:rsidR="008B7630">
        <w:rPr>
          <w:rFonts w:ascii="Times New Roman" w:hAnsi="Times New Roman" w:cs="Times New Roman"/>
          <w:sz w:val="24"/>
          <w:szCs w:val="24"/>
        </w:rPr>
        <w:t>otal labor burdens per labor category for each of the three phases.</w:t>
      </w:r>
    </w:p>
    <w:p w:rsidRPr="00EF18CD" w:rsidR="00EF18CD" w:rsidP="00EF18CD" w:rsidRDefault="00EF18CD" w14:paraId="57CA512B" w14:textId="77777777">
      <w:pPr>
        <w:spacing w:after="0" w:line="240" w:lineRule="auto"/>
        <w:rPr>
          <w:rFonts w:ascii="Times New Roman" w:hAnsi="Times New Roman" w:cs="Times New Roman"/>
          <w:sz w:val="24"/>
          <w:szCs w:val="24"/>
        </w:rPr>
      </w:pPr>
    </w:p>
    <w:p w:rsidR="008B7630" w:rsidP="00A66850" w:rsidRDefault="008B7630" w14:paraId="0798CA26" w14:textId="4E9A2CBB">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lastRenderedPageBreak/>
        <w:t xml:space="preserve">Within each agency category, </w:t>
      </w:r>
      <w:r w:rsidRPr="00A66850" w:rsidR="003F678F">
        <w:rPr>
          <w:rFonts w:ascii="Times New Roman" w:hAnsi="Times New Roman" w:cs="Times New Roman"/>
          <w:sz w:val="24"/>
          <w:szCs w:val="24"/>
        </w:rPr>
        <w:t>FTA made</w:t>
      </w:r>
      <w:r w:rsidRPr="00A66850">
        <w:rPr>
          <w:rFonts w:ascii="Times New Roman" w:hAnsi="Times New Roman" w:cs="Times New Roman"/>
          <w:sz w:val="24"/>
          <w:szCs w:val="24"/>
        </w:rPr>
        <w:t xml:space="preserve"> assumptions on the implementation maturity of the covered agencies.  There are three maturity levels</w:t>
      </w:r>
      <w:r w:rsidRPr="00A66850" w:rsidR="003F678F">
        <w:rPr>
          <w:rFonts w:ascii="Times New Roman" w:hAnsi="Times New Roman" w:cs="Times New Roman"/>
          <w:sz w:val="24"/>
          <w:szCs w:val="24"/>
        </w:rPr>
        <w:t xml:space="preserve">: </w:t>
      </w:r>
      <w:r w:rsidRPr="00A66850">
        <w:rPr>
          <w:rFonts w:ascii="Times New Roman" w:hAnsi="Times New Roman" w:cs="Times New Roman"/>
          <w:sz w:val="24"/>
          <w:szCs w:val="24"/>
        </w:rPr>
        <w:t>High, Medium, and Low</w:t>
      </w:r>
      <w:r w:rsidRPr="00A66850" w:rsidR="003F678F">
        <w:rPr>
          <w:rFonts w:ascii="Times New Roman" w:hAnsi="Times New Roman" w:cs="Times New Roman"/>
          <w:sz w:val="24"/>
          <w:szCs w:val="24"/>
        </w:rPr>
        <w:t>.  FTA</w:t>
      </w:r>
      <w:r w:rsidRPr="00A66850">
        <w:rPr>
          <w:rFonts w:ascii="Times New Roman" w:hAnsi="Times New Roman" w:cs="Times New Roman"/>
          <w:sz w:val="24"/>
          <w:szCs w:val="24"/>
        </w:rPr>
        <w:t xml:space="preserve"> applied </w:t>
      </w:r>
      <w:r w:rsidRPr="00A66850" w:rsidR="003F678F">
        <w:rPr>
          <w:rFonts w:ascii="Times New Roman" w:hAnsi="Times New Roman" w:cs="Times New Roman"/>
          <w:sz w:val="24"/>
          <w:szCs w:val="24"/>
        </w:rPr>
        <w:t xml:space="preserve">these levels </w:t>
      </w:r>
      <w:r w:rsidRPr="00A66850">
        <w:rPr>
          <w:rFonts w:ascii="Times New Roman" w:hAnsi="Times New Roman" w:cs="Times New Roman"/>
          <w:sz w:val="24"/>
          <w:szCs w:val="24"/>
        </w:rPr>
        <w:t>separately to the first phase and the other two phases (</w:t>
      </w:r>
      <w:r w:rsidRPr="00A66850" w:rsidR="003F678F">
        <w:rPr>
          <w:rFonts w:ascii="Times New Roman" w:hAnsi="Times New Roman" w:cs="Times New Roman"/>
          <w:sz w:val="24"/>
          <w:szCs w:val="24"/>
        </w:rPr>
        <w:t>for example,</w:t>
      </w:r>
      <w:r w:rsidRPr="00A66850">
        <w:rPr>
          <w:rFonts w:ascii="Times New Roman" w:hAnsi="Times New Roman" w:cs="Times New Roman"/>
          <w:sz w:val="24"/>
          <w:szCs w:val="24"/>
        </w:rPr>
        <w:t xml:space="preserve"> an agency can be highly mature in terms of Development, but of medium maturity for Implementation and </w:t>
      </w:r>
      <w:r w:rsidRPr="00A66850" w:rsidR="00973607">
        <w:rPr>
          <w:rFonts w:ascii="Times New Roman" w:hAnsi="Times New Roman" w:cs="Times New Roman"/>
          <w:sz w:val="24"/>
          <w:szCs w:val="24"/>
        </w:rPr>
        <w:t>Recordkeeping</w:t>
      </w:r>
      <w:r w:rsidRPr="00A66850">
        <w:rPr>
          <w:rFonts w:ascii="Times New Roman" w:hAnsi="Times New Roman" w:cs="Times New Roman"/>
          <w:sz w:val="24"/>
          <w:szCs w:val="24"/>
        </w:rPr>
        <w:t>).</w:t>
      </w:r>
    </w:p>
    <w:p w:rsidRPr="003B5229" w:rsidR="003B5229" w:rsidP="003B5229" w:rsidRDefault="003B5229" w14:paraId="0B8FBA06" w14:textId="77777777">
      <w:pPr>
        <w:spacing w:after="0" w:line="240" w:lineRule="auto"/>
        <w:rPr>
          <w:rFonts w:ascii="Times New Roman" w:hAnsi="Times New Roman" w:cs="Times New Roman"/>
          <w:sz w:val="24"/>
          <w:szCs w:val="24"/>
        </w:rPr>
      </w:pPr>
    </w:p>
    <w:p w:rsidR="008B7630" w:rsidP="00A66850" w:rsidRDefault="003F678F" w14:paraId="23E01DB9" w14:textId="77777777">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FTA used t</w:t>
      </w:r>
      <w:r w:rsidRPr="00A66850" w:rsidR="008B7630">
        <w:rPr>
          <w:rFonts w:ascii="Times New Roman" w:hAnsi="Times New Roman" w:cs="Times New Roman"/>
          <w:sz w:val="24"/>
          <w:szCs w:val="24"/>
        </w:rPr>
        <w:t xml:space="preserve">he maturity level to discount the labor burden for the hours for agencies assigned to each maturity category.  </w:t>
      </w:r>
      <w:r w:rsidRPr="00A66850" w:rsidR="00C23AC1">
        <w:rPr>
          <w:rFonts w:ascii="Times New Roman" w:hAnsi="Times New Roman" w:cs="Times New Roman"/>
          <w:sz w:val="24"/>
          <w:szCs w:val="24"/>
        </w:rPr>
        <w:t>FTA estimated t</w:t>
      </w:r>
      <w:r w:rsidRPr="00A66850" w:rsidR="008B7630">
        <w:rPr>
          <w:rFonts w:ascii="Times New Roman" w:hAnsi="Times New Roman" w:cs="Times New Roman"/>
          <w:sz w:val="24"/>
          <w:szCs w:val="24"/>
        </w:rPr>
        <w:t xml:space="preserve">hese maturity discount levels for each agency category by each phase.  The High category </w:t>
      </w:r>
      <w:r w:rsidRPr="00A66850" w:rsidR="00C23AC1">
        <w:rPr>
          <w:rFonts w:ascii="Times New Roman" w:hAnsi="Times New Roman" w:cs="Times New Roman"/>
          <w:sz w:val="24"/>
          <w:szCs w:val="24"/>
        </w:rPr>
        <w:t>has</w:t>
      </w:r>
      <w:r w:rsidRPr="00A66850" w:rsidR="008B7630">
        <w:rPr>
          <w:rFonts w:ascii="Times New Roman" w:hAnsi="Times New Roman" w:cs="Times New Roman"/>
          <w:sz w:val="24"/>
          <w:szCs w:val="24"/>
        </w:rPr>
        <w:t xml:space="preserve"> a 50% discount, the </w:t>
      </w:r>
      <w:proofErr w:type="gramStart"/>
      <w:r w:rsidRPr="00A66850" w:rsidR="008B7630">
        <w:rPr>
          <w:rFonts w:ascii="Times New Roman" w:hAnsi="Times New Roman" w:cs="Times New Roman"/>
          <w:sz w:val="24"/>
          <w:szCs w:val="24"/>
        </w:rPr>
        <w:t>Medium</w:t>
      </w:r>
      <w:proofErr w:type="gramEnd"/>
      <w:r w:rsidRPr="00A66850" w:rsidR="008B7630">
        <w:rPr>
          <w:rFonts w:ascii="Times New Roman" w:hAnsi="Times New Roman" w:cs="Times New Roman"/>
          <w:sz w:val="24"/>
          <w:szCs w:val="24"/>
        </w:rPr>
        <w:t xml:space="preserve"> </w:t>
      </w:r>
      <w:r w:rsidRPr="00A66850" w:rsidR="00C23AC1">
        <w:rPr>
          <w:rFonts w:ascii="Times New Roman" w:hAnsi="Times New Roman" w:cs="Times New Roman"/>
          <w:sz w:val="24"/>
          <w:szCs w:val="24"/>
        </w:rPr>
        <w:t xml:space="preserve">category </w:t>
      </w:r>
      <w:r w:rsidRPr="00A66850" w:rsidR="008B7630">
        <w:rPr>
          <w:rFonts w:ascii="Times New Roman" w:hAnsi="Times New Roman" w:cs="Times New Roman"/>
          <w:sz w:val="24"/>
          <w:szCs w:val="24"/>
        </w:rPr>
        <w:t xml:space="preserve">almost always </w:t>
      </w:r>
      <w:r w:rsidRPr="00A66850" w:rsidR="00C23AC1">
        <w:rPr>
          <w:rFonts w:ascii="Times New Roman" w:hAnsi="Times New Roman" w:cs="Times New Roman"/>
          <w:sz w:val="24"/>
          <w:szCs w:val="24"/>
        </w:rPr>
        <w:t>has</w:t>
      </w:r>
      <w:r w:rsidRPr="00A66850" w:rsidR="008B7630">
        <w:rPr>
          <w:rFonts w:ascii="Times New Roman" w:hAnsi="Times New Roman" w:cs="Times New Roman"/>
          <w:sz w:val="24"/>
          <w:szCs w:val="24"/>
        </w:rPr>
        <w:t xml:space="preserve"> a 25% discount</w:t>
      </w:r>
      <w:r w:rsidRPr="00A66850" w:rsidR="00C23AC1">
        <w:rPr>
          <w:rFonts w:ascii="Times New Roman" w:hAnsi="Times New Roman" w:cs="Times New Roman"/>
          <w:sz w:val="24"/>
          <w:szCs w:val="24"/>
        </w:rPr>
        <w:t>,</w:t>
      </w:r>
      <w:r w:rsidRPr="00A66850" w:rsidR="008B7630">
        <w:rPr>
          <w:rFonts w:ascii="Times New Roman" w:hAnsi="Times New Roman" w:cs="Times New Roman"/>
          <w:sz w:val="24"/>
          <w:szCs w:val="24"/>
        </w:rPr>
        <w:t xml:space="preserve"> and the Low </w:t>
      </w:r>
      <w:r w:rsidRPr="00A66850" w:rsidR="00C23AC1">
        <w:rPr>
          <w:rFonts w:ascii="Times New Roman" w:hAnsi="Times New Roman" w:cs="Times New Roman"/>
          <w:sz w:val="24"/>
          <w:szCs w:val="24"/>
        </w:rPr>
        <w:t xml:space="preserve">category </w:t>
      </w:r>
      <w:r w:rsidRPr="00A66850" w:rsidR="008B7630">
        <w:rPr>
          <w:rFonts w:ascii="Times New Roman" w:hAnsi="Times New Roman" w:cs="Times New Roman"/>
          <w:sz w:val="24"/>
          <w:szCs w:val="24"/>
        </w:rPr>
        <w:t xml:space="preserve">normally </w:t>
      </w:r>
      <w:r w:rsidRPr="00A66850" w:rsidR="00C23AC1">
        <w:rPr>
          <w:rFonts w:ascii="Times New Roman" w:hAnsi="Times New Roman" w:cs="Times New Roman"/>
          <w:sz w:val="24"/>
          <w:szCs w:val="24"/>
        </w:rPr>
        <w:t>has</w:t>
      </w:r>
      <w:r w:rsidRPr="00A66850" w:rsidR="008B7630">
        <w:rPr>
          <w:rFonts w:ascii="Times New Roman" w:hAnsi="Times New Roman" w:cs="Times New Roman"/>
          <w:sz w:val="24"/>
          <w:szCs w:val="24"/>
        </w:rPr>
        <w:t xml:space="preserve"> either no discount or a 5% discount.</w:t>
      </w:r>
    </w:p>
    <w:p w:rsidRPr="008D2EB6" w:rsidR="008D2EB6" w:rsidP="008D2EB6" w:rsidRDefault="008D2EB6" w14:paraId="21AF102B" w14:textId="77777777">
      <w:pPr>
        <w:spacing w:after="0" w:line="240" w:lineRule="auto"/>
        <w:rPr>
          <w:rFonts w:ascii="Times New Roman" w:hAnsi="Times New Roman" w:cs="Times New Roman"/>
          <w:sz w:val="24"/>
          <w:szCs w:val="24"/>
        </w:rPr>
      </w:pPr>
    </w:p>
    <w:p w:rsidR="008B7630" w:rsidP="00A66850" w:rsidRDefault="00C23AC1" w14:paraId="540C1038" w14:textId="424811BF">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 divided </w:t>
      </w:r>
      <w:r w:rsidRPr="00A66850" w:rsidR="008B7630">
        <w:rPr>
          <w:rFonts w:ascii="Times New Roman" w:hAnsi="Times New Roman" w:cs="Times New Roman"/>
          <w:sz w:val="24"/>
          <w:szCs w:val="24"/>
        </w:rPr>
        <w:t>the tasks in the Implementation and Documentation phase into four SMS subcategories:</w:t>
      </w:r>
      <w:r w:rsidRPr="00A66850">
        <w:rPr>
          <w:rFonts w:ascii="Times New Roman" w:hAnsi="Times New Roman" w:cs="Times New Roman"/>
          <w:sz w:val="24"/>
          <w:szCs w:val="24"/>
        </w:rPr>
        <w:t xml:space="preserve"> </w:t>
      </w:r>
      <w:r w:rsidRPr="00A66850" w:rsidR="008B7630">
        <w:rPr>
          <w:rFonts w:ascii="Times New Roman" w:hAnsi="Times New Roman" w:cs="Times New Roman"/>
          <w:sz w:val="24"/>
          <w:szCs w:val="24"/>
        </w:rPr>
        <w:t xml:space="preserve">Safety Management Policy, Safety Risk Management, Safety Assurance, and Safety Promotion.  </w:t>
      </w:r>
      <w:r w:rsidRPr="00A66850">
        <w:rPr>
          <w:rFonts w:ascii="Times New Roman" w:hAnsi="Times New Roman" w:cs="Times New Roman"/>
          <w:sz w:val="24"/>
          <w:szCs w:val="24"/>
        </w:rPr>
        <w:t>FTA assumed that t</w:t>
      </w:r>
      <w:r w:rsidRPr="00A66850" w:rsidR="008B7630">
        <w:rPr>
          <w:rFonts w:ascii="Times New Roman" w:hAnsi="Times New Roman" w:cs="Times New Roman"/>
          <w:sz w:val="24"/>
          <w:szCs w:val="24"/>
        </w:rPr>
        <w:t xml:space="preserve">he labor burden for each of these subcategories for were 20%, 85%, 85%, and 70% of the </w:t>
      </w:r>
      <w:r w:rsidR="00F573E7">
        <w:rPr>
          <w:rFonts w:ascii="Times New Roman" w:hAnsi="Times New Roman" w:cs="Times New Roman"/>
          <w:sz w:val="24"/>
          <w:szCs w:val="24"/>
        </w:rPr>
        <w:t>Original PRA Year 1</w:t>
      </w:r>
      <w:r w:rsidRPr="00A66850" w:rsidR="008B7630">
        <w:rPr>
          <w:rFonts w:ascii="Times New Roman" w:hAnsi="Times New Roman" w:cs="Times New Roman"/>
          <w:sz w:val="24"/>
          <w:szCs w:val="24"/>
        </w:rPr>
        <w:t xml:space="preserve"> burden, respectively.</w:t>
      </w:r>
    </w:p>
    <w:p w:rsidRPr="008D2EB6" w:rsidR="008D2EB6" w:rsidP="008D2EB6" w:rsidRDefault="008D2EB6" w14:paraId="334E1F0B" w14:textId="77777777">
      <w:pPr>
        <w:spacing w:after="0" w:line="240" w:lineRule="auto"/>
        <w:rPr>
          <w:rFonts w:ascii="Times New Roman" w:hAnsi="Times New Roman" w:cs="Times New Roman"/>
          <w:sz w:val="24"/>
          <w:szCs w:val="24"/>
        </w:rPr>
      </w:pPr>
    </w:p>
    <w:p w:rsidR="008B7630" w:rsidP="00A66850" w:rsidRDefault="008B7630" w14:paraId="5709B9D8" w14:textId="29A8EBCB">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In addition to the general certification labor burden for the State, </w:t>
      </w:r>
      <w:r w:rsidRPr="00A66850" w:rsidR="00C23AC1">
        <w:rPr>
          <w:rFonts w:ascii="Times New Roman" w:hAnsi="Times New Roman" w:cs="Times New Roman"/>
          <w:sz w:val="24"/>
          <w:szCs w:val="24"/>
        </w:rPr>
        <w:t xml:space="preserve">FTA </w:t>
      </w:r>
      <w:r w:rsidRPr="00A66850">
        <w:rPr>
          <w:rFonts w:ascii="Times New Roman" w:hAnsi="Times New Roman" w:cs="Times New Roman"/>
          <w:sz w:val="24"/>
          <w:szCs w:val="24"/>
        </w:rPr>
        <w:t>assumed that a</w:t>
      </w:r>
      <w:r w:rsidRPr="00A66850" w:rsidR="00C23AC1">
        <w:rPr>
          <w:rFonts w:ascii="Times New Roman" w:hAnsi="Times New Roman" w:cs="Times New Roman"/>
          <w:sz w:val="24"/>
          <w:szCs w:val="24"/>
        </w:rPr>
        <w:t>n additional</w:t>
      </w:r>
      <w:r w:rsidRPr="00A66850">
        <w:rPr>
          <w:rFonts w:ascii="Times New Roman" w:hAnsi="Times New Roman" w:cs="Times New Roman"/>
          <w:sz w:val="24"/>
          <w:szCs w:val="24"/>
        </w:rPr>
        <w:t xml:space="preserve"> </w:t>
      </w:r>
      <w:r w:rsidR="00F573E7">
        <w:rPr>
          <w:rFonts w:ascii="Times New Roman" w:hAnsi="Times New Roman" w:cs="Times New Roman"/>
          <w:sz w:val="24"/>
          <w:szCs w:val="24"/>
        </w:rPr>
        <w:t>16</w:t>
      </w:r>
      <w:r w:rsidRPr="00A66850">
        <w:rPr>
          <w:rFonts w:ascii="Times New Roman" w:hAnsi="Times New Roman" w:cs="Times New Roman"/>
          <w:sz w:val="24"/>
          <w:szCs w:val="24"/>
        </w:rPr>
        <w:t xml:space="preserve"> hours of labor were needed to individualize </w:t>
      </w:r>
      <w:r w:rsidR="00F573E7">
        <w:rPr>
          <w:rFonts w:ascii="Times New Roman" w:hAnsi="Times New Roman" w:cs="Times New Roman"/>
          <w:sz w:val="24"/>
          <w:szCs w:val="24"/>
        </w:rPr>
        <w:t>an ASP for any new small public transportation provider.</w:t>
      </w:r>
      <w:r w:rsidRPr="00A66850">
        <w:rPr>
          <w:rFonts w:ascii="Times New Roman" w:hAnsi="Times New Roman" w:cs="Times New Roman"/>
          <w:sz w:val="24"/>
          <w:szCs w:val="24"/>
        </w:rPr>
        <w:t xml:space="preserve"> </w:t>
      </w:r>
      <w:r w:rsidR="00F573E7">
        <w:rPr>
          <w:rFonts w:ascii="Times New Roman" w:hAnsi="Times New Roman" w:cs="Times New Roman"/>
          <w:sz w:val="24"/>
          <w:szCs w:val="24"/>
        </w:rPr>
        <w:t>The estimate includes a projected 5 new small public transportation providers per year.</w:t>
      </w:r>
    </w:p>
    <w:p w:rsidRPr="00614206" w:rsidR="00614206" w:rsidP="00614206" w:rsidRDefault="00614206" w14:paraId="2B2B6CEF" w14:textId="77777777">
      <w:pPr>
        <w:spacing w:after="0" w:line="240" w:lineRule="auto"/>
        <w:rPr>
          <w:rFonts w:ascii="Times New Roman" w:hAnsi="Times New Roman" w:cs="Times New Roman"/>
          <w:sz w:val="24"/>
          <w:szCs w:val="24"/>
        </w:rPr>
      </w:pPr>
    </w:p>
    <w:p w:rsidRPr="00A66850" w:rsidR="008B7630" w:rsidP="00A66850" w:rsidRDefault="00C23AC1" w14:paraId="3BFEE205" w14:textId="77777777">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 </w:t>
      </w:r>
      <w:r w:rsidRPr="00A66850" w:rsidR="008B7630">
        <w:rPr>
          <w:rFonts w:ascii="Times New Roman" w:hAnsi="Times New Roman" w:cs="Times New Roman"/>
          <w:sz w:val="24"/>
          <w:szCs w:val="24"/>
        </w:rPr>
        <w:t xml:space="preserve">assumed that there is no labor burden for the Implementation or </w:t>
      </w:r>
      <w:r w:rsidRPr="00A66850" w:rsidR="00973607">
        <w:rPr>
          <w:rFonts w:ascii="Times New Roman" w:hAnsi="Times New Roman" w:cs="Times New Roman"/>
          <w:sz w:val="24"/>
          <w:szCs w:val="24"/>
        </w:rPr>
        <w:t>Recordkeeping</w:t>
      </w:r>
      <w:r w:rsidRPr="00A66850" w:rsidR="008B7630">
        <w:rPr>
          <w:rFonts w:ascii="Times New Roman" w:hAnsi="Times New Roman" w:cs="Times New Roman"/>
          <w:sz w:val="24"/>
          <w:szCs w:val="24"/>
        </w:rPr>
        <w:t xml:space="preserve"> phases for the State.</w:t>
      </w:r>
    </w:p>
    <w:p w:rsidRPr="00A66850" w:rsidR="008B7630" w:rsidP="00A66850" w:rsidRDefault="008B7630" w14:paraId="3C31A173" w14:textId="77777777">
      <w:pPr>
        <w:pStyle w:val="ListParagraph"/>
        <w:spacing w:after="0" w:line="240" w:lineRule="auto"/>
        <w:ind w:left="0"/>
        <w:contextualSpacing w:val="0"/>
        <w:rPr>
          <w:rFonts w:ascii="Times New Roman" w:hAnsi="Times New Roman" w:cs="Times New Roman"/>
          <w:sz w:val="24"/>
          <w:szCs w:val="24"/>
        </w:rPr>
      </w:pPr>
    </w:p>
    <w:p w:rsidRPr="00614206" w:rsidR="008B7630" w:rsidP="00614206" w:rsidRDefault="008B7630" w14:paraId="570B8521" w14:textId="700D4A89">
      <w:pPr>
        <w:keepNext/>
        <w:spacing w:after="0" w:line="240" w:lineRule="auto"/>
        <w:rPr>
          <w:rFonts w:ascii="Times New Roman" w:hAnsi="Times New Roman" w:cs="Times New Roman"/>
          <w:b/>
          <w:sz w:val="24"/>
          <w:szCs w:val="24"/>
          <w:u w:val="single"/>
        </w:rPr>
      </w:pPr>
      <w:r w:rsidRPr="00614206">
        <w:rPr>
          <w:rFonts w:ascii="Times New Roman" w:hAnsi="Times New Roman" w:cs="Times New Roman"/>
          <w:b/>
          <w:sz w:val="24"/>
          <w:szCs w:val="24"/>
          <w:u w:val="single"/>
        </w:rPr>
        <w:t xml:space="preserve">Table </w:t>
      </w:r>
      <w:r w:rsidRPr="00614206" w:rsidR="00C45EF4">
        <w:rPr>
          <w:rFonts w:ascii="Times New Roman" w:hAnsi="Times New Roman" w:cs="Times New Roman"/>
          <w:b/>
          <w:sz w:val="24"/>
          <w:szCs w:val="24"/>
          <w:u w:val="single"/>
        </w:rPr>
        <w:t>4</w:t>
      </w:r>
      <w:r w:rsidRPr="00614206" w:rsidR="00386262">
        <w:rPr>
          <w:rFonts w:ascii="Times New Roman" w:hAnsi="Times New Roman" w:cs="Times New Roman"/>
          <w:b/>
          <w:sz w:val="24"/>
          <w:szCs w:val="24"/>
          <w:u w:val="single"/>
        </w:rPr>
        <w:t>:</w:t>
      </w:r>
      <w:r w:rsidRPr="00614206">
        <w:rPr>
          <w:rFonts w:ascii="Times New Roman" w:hAnsi="Times New Roman" w:cs="Times New Roman"/>
          <w:b/>
          <w:sz w:val="24"/>
          <w:szCs w:val="24"/>
          <w:u w:val="single"/>
        </w:rPr>
        <w:t xml:space="preserve"> </w:t>
      </w:r>
      <w:r w:rsidRPr="00614206" w:rsidR="00C23AC1">
        <w:rPr>
          <w:rFonts w:ascii="Times New Roman" w:hAnsi="Times New Roman" w:cs="Times New Roman"/>
          <w:b/>
          <w:sz w:val="24"/>
          <w:szCs w:val="24"/>
          <w:u w:val="single"/>
        </w:rPr>
        <w:t xml:space="preserve"> </w:t>
      </w:r>
      <w:r w:rsidRPr="00614206">
        <w:rPr>
          <w:rFonts w:ascii="Times New Roman" w:hAnsi="Times New Roman" w:cs="Times New Roman"/>
          <w:b/>
          <w:sz w:val="24"/>
          <w:szCs w:val="24"/>
          <w:u w:val="single"/>
        </w:rPr>
        <w:t xml:space="preserve">Analysis of Costs, </w:t>
      </w:r>
      <w:r w:rsidR="002060CA">
        <w:rPr>
          <w:rFonts w:ascii="Times New Roman" w:hAnsi="Times New Roman" w:cs="Times New Roman"/>
          <w:b/>
          <w:sz w:val="24"/>
          <w:szCs w:val="24"/>
          <w:u w:val="single"/>
        </w:rPr>
        <w:t>Annual</w:t>
      </w:r>
      <w:r w:rsidRPr="00614206">
        <w:rPr>
          <w:rFonts w:ascii="Times New Roman" w:hAnsi="Times New Roman" w:cs="Times New Roman"/>
          <w:b/>
          <w:sz w:val="24"/>
          <w:szCs w:val="24"/>
          <w:u w:val="single"/>
        </w:rPr>
        <w:t xml:space="preserve"> Summary</w:t>
      </w:r>
    </w:p>
    <w:p w:rsidRPr="00614206" w:rsidR="00614206" w:rsidP="00614206" w:rsidRDefault="00614206" w14:paraId="6FFF2059" w14:textId="77777777">
      <w:pPr>
        <w:keepNext/>
        <w:spacing w:after="0" w:line="240" w:lineRule="auto"/>
        <w:rPr>
          <w:rFonts w:ascii="Times New Roman" w:hAnsi="Times New Roman" w:cs="Times New Roman"/>
          <w:sz w:val="24"/>
          <w:szCs w:val="24"/>
        </w:rPr>
      </w:pPr>
    </w:p>
    <w:tbl>
      <w:tblPr>
        <w:tblStyle w:val="TableGrid"/>
        <w:tblW w:w="5651" w:type="dxa"/>
        <w:tblInd w:w="108" w:type="dxa"/>
        <w:tblLayout w:type="fixed"/>
        <w:tblLook w:val="04A0" w:firstRow="1" w:lastRow="0" w:firstColumn="1" w:lastColumn="0" w:noHBand="0" w:noVBand="1"/>
      </w:tblPr>
      <w:tblGrid>
        <w:gridCol w:w="3757"/>
        <w:gridCol w:w="1894"/>
      </w:tblGrid>
      <w:tr w:rsidRPr="00614206" w:rsidR="001B158B" w:rsidTr="001B158B" w14:paraId="702FAFDF" w14:textId="77777777">
        <w:tc>
          <w:tcPr>
            <w:tcW w:w="3757" w:type="dxa"/>
            <w:shd w:val="pct15" w:color="auto" w:fill="auto"/>
          </w:tcPr>
          <w:p w:rsidRPr="00614206" w:rsidR="001B158B" w:rsidP="00614206" w:rsidRDefault="001B158B" w14:paraId="2988DC9C" w14:textId="77777777">
            <w:pPr>
              <w:keepNext/>
              <w:rPr>
                <w:rFonts w:ascii="Times New Roman" w:hAnsi="Times New Roman" w:cs="Times New Roman"/>
                <w:sz w:val="24"/>
                <w:szCs w:val="24"/>
              </w:rPr>
            </w:pPr>
            <w:r>
              <w:rPr>
                <w:rFonts w:ascii="Times New Roman" w:hAnsi="Times New Roman" w:cs="Times New Roman"/>
                <w:sz w:val="24"/>
                <w:szCs w:val="24"/>
              </w:rPr>
              <w:t>Phase</w:t>
            </w:r>
          </w:p>
        </w:tc>
        <w:tc>
          <w:tcPr>
            <w:tcW w:w="1894" w:type="dxa"/>
            <w:shd w:val="pct15" w:color="auto" w:fill="auto"/>
          </w:tcPr>
          <w:p w:rsidRPr="00614206" w:rsidR="001B158B" w:rsidP="00614206" w:rsidRDefault="001B158B" w14:paraId="02842444" w14:textId="728E4AE6">
            <w:pPr>
              <w:keepNext/>
              <w:rPr>
                <w:rFonts w:ascii="Times New Roman" w:hAnsi="Times New Roman" w:cs="Times New Roman"/>
                <w:sz w:val="24"/>
                <w:szCs w:val="24"/>
              </w:rPr>
            </w:pPr>
          </w:p>
        </w:tc>
      </w:tr>
      <w:tr w:rsidRPr="00614206" w:rsidR="001B158B" w:rsidTr="001B158B" w14:paraId="4DE28859" w14:textId="77777777">
        <w:tc>
          <w:tcPr>
            <w:tcW w:w="3757" w:type="dxa"/>
          </w:tcPr>
          <w:p w:rsidRPr="001B158B" w:rsidR="001B158B" w:rsidP="001B158B" w:rsidRDefault="001B158B" w14:paraId="707AF585" w14:textId="77777777">
            <w:pPr>
              <w:keepNext/>
              <w:rPr>
                <w:rFonts w:ascii="Times New Roman" w:hAnsi="Times New Roman" w:cs="Times New Roman"/>
                <w:sz w:val="24"/>
                <w:szCs w:val="24"/>
              </w:rPr>
            </w:pPr>
            <w:r w:rsidRPr="001B158B">
              <w:rPr>
                <w:rFonts w:ascii="Times New Roman" w:hAnsi="Times New Roman" w:cs="Times New Roman"/>
                <w:sz w:val="24"/>
                <w:szCs w:val="24"/>
              </w:rPr>
              <w:t>Development and Certification</w:t>
            </w:r>
          </w:p>
        </w:tc>
        <w:tc>
          <w:tcPr>
            <w:tcW w:w="1894" w:type="dxa"/>
            <w:vAlign w:val="bottom"/>
          </w:tcPr>
          <w:p w:rsidRPr="001B158B" w:rsidR="001B158B" w:rsidP="001B158B" w:rsidRDefault="001B158B" w14:paraId="3829E4BB" w14:textId="39E3635F">
            <w:pPr>
              <w:keepNext/>
              <w:jc w:val="right"/>
              <w:rPr>
                <w:rFonts w:ascii="Times New Roman" w:hAnsi="Times New Roman" w:cs="Times New Roman"/>
                <w:sz w:val="24"/>
                <w:szCs w:val="24"/>
              </w:rPr>
            </w:pPr>
            <w:r w:rsidRPr="001B158B">
              <w:rPr>
                <w:rFonts w:ascii="Times New Roman" w:hAnsi="Times New Roman" w:cs="Times New Roman"/>
                <w:color w:val="000000"/>
              </w:rPr>
              <w:t xml:space="preserve"> $        31,717</w:t>
            </w:r>
          </w:p>
        </w:tc>
      </w:tr>
      <w:tr w:rsidRPr="00614206" w:rsidR="001B158B" w:rsidTr="001B158B" w14:paraId="152382FB" w14:textId="77777777">
        <w:tc>
          <w:tcPr>
            <w:tcW w:w="3757" w:type="dxa"/>
          </w:tcPr>
          <w:p w:rsidRPr="001B158B" w:rsidR="001B158B" w:rsidP="001B158B" w:rsidRDefault="001B158B" w14:paraId="069593FB" w14:textId="77777777">
            <w:pPr>
              <w:keepNext/>
              <w:rPr>
                <w:rFonts w:ascii="Times New Roman" w:hAnsi="Times New Roman" w:cs="Times New Roman"/>
                <w:sz w:val="24"/>
                <w:szCs w:val="24"/>
              </w:rPr>
            </w:pPr>
            <w:r w:rsidRPr="001B158B">
              <w:rPr>
                <w:rFonts w:ascii="Times New Roman" w:hAnsi="Times New Roman" w:cs="Times New Roman"/>
                <w:sz w:val="24"/>
                <w:szCs w:val="24"/>
              </w:rPr>
              <w:t>Implementation and Documentation</w:t>
            </w:r>
          </w:p>
        </w:tc>
        <w:tc>
          <w:tcPr>
            <w:tcW w:w="1894" w:type="dxa"/>
            <w:vAlign w:val="bottom"/>
          </w:tcPr>
          <w:p w:rsidRPr="001B158B" w:rsidR="001B158B" w:rsidP="001B158B" w:rsidRDefault="001B158B" w14:paraId="335AA8E6" w14:textId="7BB0762C">
            <w:pPr>
              <w:keepNext/>
              <w:jc w:val="right"/>
              <w:rPr>
                <w:rFonts w:ascii="Times New Roman" w:hAnsi="Times New Roman" w:cs="Times New Roman"/>
                <w:sz w:val="24"/>
                <w:szCs w:val="24"/>
              </w:rPr>
            </w:pPr>
            <w:r w:rsidRPr="001B158B">
              <w:rPr>
                <w:rFonts w:ascii="Times New Roman" w:hAnsi="Times New Roman" w:cs="Times New Roman"/>
                <w:color w:val="000000"/>
              </w:rPr>
              <w:t xml:space="preserve"> $ 20,410,137</w:t>
            </w:r>
          </w:p>
        </w:tc>
      </w:tr>
      <w:tr w:rsidRPr="00614206" w:rsidR="001B158B" w:rsidTr="001B158B" w14:paraId="4ACF11C1" w14:textId="77777777">
        <w:tc>
          <w:tcPr>
            <w:tcW w:w="3757" w:type="dxa"/>
            <w:tcBorders>
              <w:bottom w:val="single" w:color="auto" w:sz="4" w:space="0"/>
            </w:tcBorders>
          </w:tcPr>
          <w:p w:rsidRPr="001B158B" w:rsidR="001B158B" w:rsidP="001B158B" w:rsidRDefault="001B158B" w14:paraId="0E649C0C" w14:textId="77777777">
            <w:pPr>
              <w:keepNext/>
              <w:rPr>
                <w:rFonts w:ascii="Times New Roman" w:hAnsi="Times New Roman" w:cs="Times New Roman"/>
                <w:sz w:val="24"/>
                <w:szCs w:val="24"/>
              </w:rPr>
            </w:pPr>
            <w:r w:rsidRPr="001B158B">
              <w:rPr>
                <w:rFonts w:ascii="Times New Roman" w:hAnsi="Times New Roman" w:cs="Times New Roman"/>
                <w:sz w:val="24"/>
                <w:szCs w:val="24"/>
              </w:rPr>
              <w:t>Recordkeeping</w:t>
            </w:r>
          </w:p>
        </w:tc>
        <w:tc>
          <w:tcPr>
            <w:tcW w:w="1894" w:type="dxa"/>
            <w:tcBorders>
              <w:bottom w:val="single" w:color="auto" w:sz="4" w:space="0"/>
            </w:tcBorders>
            <w:vAlign w:val="bottom"/>
          </w:tcPr>
          <w:p w:rsidRPr="001B158B" w:rsidR="001B158B" w:rsidP="001B158B" w:rsidRDefault="001B158B" w14:paraId="44C32910" w14:textId="3BB27DE8">
            <w:pPr>
              <w:keepNext/>
              <w:jc w:val="right"/>
              <w:rPr>
                <w:rFonts w:ascii="Times New Roman" w:hAnsi="Times New Roman" w:cs="Times New Roman"/>
                <w:sz w:val="24"/>
                <w:szCs w:val="24"/>
              </w:rPr>
            </w:pPr>
            <w:r w:rsidRPr="001B158B">
              <w:rPr>
                <w:rFonts w:ascii="Times New Roman" w:hAnsi="Times New Roman" w:cs="Times New Roman"/>
                <w:color w:val="000000"/>
              </w:rPr>
              <w:t xml:space="preserve"> $   5,844,297</w:t>
            </w:r>
          </w:p>
        </w:tc>
      </w:tr>
      <w:tr w:rsidRPr="00614206" w:rsidR="001B158B" w:rsidTr="001B158B" w14:paraId="1836F46D" w14:textId="77777777">
        <w:tc>
          <w:tcPr>
            <w:tcW w:w="3757" w:type="dxa"/>
            <w:shd w:val="pct15" w:color="auto" w:fill="auto"/>
            <w:vAlign w:val="bottom"/>
          </w:tcPr>
          <w:p w:rsidRPr="001B158B" w:rsidR="001B158B" w:rsidP="0017346B" w:rsidRDefault="001B158B" w14:paraId="04E90696" w14:textId="77777777">
            <w:pPr>
              <w:rPr>
                <w:rFonts w:ascii="Times New Roman" w:hAnsi="Times New Roman" w:cs="Times New Roman"/>
                <w:b/>
                <w:sz w:val="24"/>
                <w:szCs w:val="24"/>
              </w:rPr>
            </w:pPr>
            <w:r w:rsidRPr="001B158B">
              <w:rPr>
                <w:rFonts w:ascii="Times New Roman" w:hAnsi="Times New Roman" w:cs="Times New Roman"/>
                <w:b/>
                <w:sz w:val="24"/>
                <w:szCs w:val="24"/>
              </w:rPr>
              <w:t xml:space="preserve">Totals </w:t>
            </w:r>
          </w:p>
        </w:tc>
        <w:tc>
          <w:tcPr>
            <w:tcW w:w="1894" w:type="dxa"/>
            <w:shd w:val="pct15" w:color="auto" w:fill="auto"/>
            <w:vAlign w:val="center"/>
          </w:tcPr>
          <w:p w:rsidRPr="001B158B" w:rsidR="001B158B" w:rsidP="001B158B" w:rsidRDefault="001B158B" w14:paraId="7AAE6A6D" w14:textId="6368196A">
            <w:pPr>
              <w:jc w:val="right"/>
              <w:rPr>
                <w:rFonts w:ascii="Times New Roman" w:hAnsi="Times New Roman" w:cs="Times New Roman"/>
                <w:color w:val="000000"/>
              </w:rPr>
            </w:pPr>
            <w:r w:rsidRPr="001B158B">
              <w:rPr>
                <w:rFonts w:ascii="Times New Roman" w:hAnsi="Times New Roman" w:cs="Times New Roman"/>
                <w:color w:val="000000"/>
              </w:rPr>
              <w:t>$ 26,286,151</w:t>
            </w:r>
          </w:p>
        </w:tc>
      </w:tr>
    </w:tbl>
    <w:p w:rsidRPr="00614206" w:rsidR="00614206" w:rsidP="00614206" w:rsidRDefault="00614206" w14:paraId="0F4BBA7D" w14:textId="77777777">
      <w:pPr>
        <w:spacing w:after="0" w:line="240" w:lineRule="auto"/>
        <w:rPr>
          <w:rFonts w:ascii="Times New Roman" w:hAnsi="Times New Roman" w:cs="Times New Roman"/>
          <w:sz w:val="24"/>
          <w:szCs w:val="24"/>
        </w:rPr>
      </w:pPr>
    </w:p>
    <w:p w:rsidR="00614206" w:rsidP="00614206" w:rsidRDefault="00614206" w14:paraId="673E0C6C" w14:textId="77777777">
      <w:pPr>
        <w:spacing w:after="0" w:line="240" w:lineRule="auto"/>
        <w:rPr>
          <w:rFonts w:ascii="Times New Roman" w:hAnsi="Times New Roman" w:cs="Times New Roman"/>
          <w:b/>
          <w:sz w:val="24"/>
          <w:szCs w:val="24"/>
        </w:rPr>
      </w:pPr>
    </w:p>
    <w:p w:rsidRPr="00614206" w:rsidR="00614206" w:rsidP="00A66850" w:rsidRDefault="00C35514" w14:paraId="526F8238" w14:textId="77777777">
      <w:pPr>
        <w:pStyle w:val="ListParagraph"/>
        <w:keepNext/>
        <w:numPr>
          <w:ilvl w:val="0"/>
          <w:numId w:val="2"/>
        </w:numPr>
        <w:spacing w:after="0" w:line="240" w:lineRule="auto"/>
        <w:ind w:hanging="720"/>
        <w:rPr>
          <w:rFonts w:ascii="Times New Roman" w:hAnsi="Times New Roman" w:cs="Times New Roman"/>
          <w:sz w:val="24"/>
          <w:szCs w:val="24"/>
        </w:rPr>
      </w:pPr>
      <w:r w:rsidRPr="00614206">
        <w:rPr>
          <w:rFonts w:ascii="Times New Roman" w:hAnsi="Times New Roman" w:cs="Times New Roman"/>
          <w:b/>
          <w:sz w:val="24"/>
          <w:szCs w:val="24"/>
        </w:rPr>
        <w:t>Estimate</w:t>
      </w:r>
      <w:r w:rsidRPr="00614206" w:rsidR="00C23AC1">
        <w:rPr>
          <w:rFonts w:ascii="Times New Roman" w:hAnsi="Times New Roman" w:cs="Times New Roman"/>
          <w:b/>
          <w:sz w:val="24"/>
          <w:szCs w:val="24"/>
        </w:rPr>
        <w:t>—</w:t>
      </w:r>
      <w:r w:rsidRPr="00614206" w:rsidR="008B7630">
        <w:rPr>
          <w:rFonts w:ascii="Times New Roman" w:hAnsi="Times New Roman" w:cs="Times New Roman"/>
          <w:b/>
          <w:sz w:val="24"/>
          <w:szCs w:val="24"/>
        </w:rPr>
        <w:t>Total Annual Cost Burden to Respondents/</w:t>
      </w:r>
      <w:r w:rsidRPr="00614206">
        <w:rPr>
          <w:rFonts w:ascii="Times New Roman" w:hAnsi="Times New Roman" w:cs="Times New Roman"/>
          <w:b/>
          <w:sz w:val="24"/>
          <w:szCs w:val="24"/>
        </w:rPr>
        <w:t>Recordkeepers</w:t>
      </w:r>
    </w:p>
    <w:p w:rsidRPr="00614206" w:rsidR="00614206" w:rsidP="00614206" w:rsidRDefault="00614206" w14:paraId="1AE38945" w14:textId="77777777">
      <w:pPr>
        <w:keepNext/>
        <w:spacing w:after="0" w:line="240" w:lineRule="auto"/>
        <w:rPr>
          <w:rFonts w:ascii="Times New Roman" w:hAnsi="Times New Roman" w:cs="Times New Roman"/>
          <w:sz w:val="24"/>
          <w:szCs w:val="24"/>
        </w:rPr>
      </w:pPr>
    </w:p>
    <w:p w:rsidRPr="00A66850" w:rsidR="001A1513" w:rsidP="00A66850" w:rsidRDefault="00973607" w14:paraId="2615D743" w14:textId="77777777">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The estimates </w:t>
      </w:r>
      <w:r w:rsidR="00150AE4">
        <w:rPr>
          <w:rFonts w:ascii="Times New Roman" w:hAnsi="Times New Roman" w:cs="Times New Roman"/>
          <w:sz w:val="24"/>
          <w:szCs w:val="24"/>
        </w:rPr>
        <w:t xml:space="preserve">in Section 12 </w:t>
      </w:r>
      <w:r w:rsidRPr="00A66850" w:rsidR="001A1513">
        <w:rPr>
          <w:rFonts w:ascii="Times New Roman" w:hAnsi="Times New Roman" w:cs="Times New Roman"/>
          <w:sz w:val="24"/>
          <w:szCs w:val="24"/>
        </w:rPr>
        <w:t xml:space="preserve">above </w:t>
      </w:r>
      <w:r w:rsidRPr="00A66850">
        <w:rPr>
          <w:rFonts w:ascii="Times New Roman" w:hAnsi="Times New Roman" w:cs="Times New Roman"/>
          <w:sz w:val="24"/>
          <w:szCs w:val="24"/>
        </w:rPr>
        <w:t xml:space="preserve">include all costs, including labor, </w:t>
      </w:r>
      <w:r w:rsidR="00150AE4">
        <w:rPr>
          <w:rFonts w:ascii="Times New Roman" w:hAnsi="Times New Roman" w:cs="Times New Roman"/>
          <w:sz w:val="24"/>
          <w:szCs w:val="24"/>
        </w:rPr>
        <w:t>information technology (IT)</w:t>
      </w:r>
      <w:r w:rsidRPr="00A66850">
        <w:rPr>
          <w:rFonts w:ascii="Times New Roman" w:hAnsi="Times New Roman" w:cs="Times New Roman"/>
          <w:sz w:val="24"/>
          <w:szCs w:val="24"/>
        </w:rPr>
        <w:t>, and travel for the full spectrum of activities from initial plan development, through implementation and documentation, to recordkeeping.  T</w:t>
      </w:r>
      <w:r w:rsidRPr="00A66850" w:rsidR="001A1513">
        <w:rPr>
          <w:rFonts w:ascii="Times New Roman" w:hAnsi="Times New Roman" w:cs="Times New Roman"/>
          <w:sz w:val="24"/>
          <w:szCs w:val="24"/>
        </w:rPr>
        <w:t>here are no additional costs beyond what is estimated there, except</w:t>
      </w:r>
      <w:r w:rsidRPr="00A66850">
        <w:rPr>
          <w:rFonts w:ascii="Times New Roman" w:hAnsi="Times New Roman" w:cs="Times New Roman"/>
          <w:sz w:val="24"/>
          <w:szCs w:val="24"/>
        </w:rPr>
        <w:t xml:space="preserve"> for FTA’s own costs as described</w:t>
      </w:r>
      <w:r w:rsidRPr="00A66850" w:rsidR="001A1513">
        <w:rPr>
          <w:rFonts w:ascii="Times New Roman" w:hAnsi="Times New Roman" w:cs="Times New Roman"/>
          <w:sz w:val="24"/>
          <w:szCs w:val="24"/>
        </w:rPr>
        <w:t xml:space="preserve"> </w:t>
      </w:r>
      <w:r w:rsidRPr="00A66850">
        <w:rPr>
          <w:rFonts w:ascii="Times New Roman" w:hAnsi="Times New Roman" w:cs="Times New Roman"/>
          <w:sz w:val="24"/>
          <w:szCs w:val="24"/>
        </w:rPr>
        <w:t>in Section 14</w:t>
      </w:r>
      <w:r w:rsidR="00150AE4">
        <w:rPr>
          <w:rFonts w:ascii="Times New Roman" w:hAnsi="Times New Roman" w:cs="Times New Roman"/>
          <w:sz w:val="24"/>
          <w:szCs w:val="24"/>
        </w:rPr>
        <w:t xml:space="preserve"> below</w:t>
      </w:r>
      <w:r w:rsidRPr="00A66850" w:rsidR="001A1513">
        <w:rPr>
          <w:rFonts w:ascii="Times New Roman" w:hAnsi="Times New Roman" w:cs="Times New Roman"/>
          <w:sz w:val="24"/>
          <w:szCs w:val="24"/>
        </w:rPr>
        <w:t>.</w:t>
      </w:r>
    </w:p>
    <w:p w:rsidRPr="00A66850" w:rsidR="001A1513" w:rsidP="00A66850" w:rsidRDefault="001A1513" w14:paraId="2EEFEBD9" w14:textId="77777777">
      <w:pPr>
        <w:pStyle w:val="NoSpacing"/>
        <w:rPr>
          <w:rFonts w:ascii="Times New Roman" w:hAnsi="Times New Roman" w:cs="Times New Roman"/>
          <w:color w:val="000000" w:themeColor="text1"/>
          <w:sz w:val="24"/>
          <w:szCs w:val="24"/>
        </w:rPr>
      </w:pPr>
    </w:p>
    <w:p w:rsidRPr="00A66850" w:rsidR="00C35514" w:rsidP="00A66850" w:rsidRDefault="00C35514" w14:paraId="4537BAC0" w14:textId="77777777">
      <w:pPr>
        <w:pStyle w:val="ListParagraph"/>
        <w:spacing w:after="0" w:line="240" w:lineRule="auto"/>
        <w:ind w:left="0"/>
        <w:contextualSpacing w:val="0"/>
        <w:rPr>
          <w:rFonts w:ascii="Times New Roman" w:hAnsi="Times New Roman" w:cs="Times New Roman"/>
          <w:color w:val="000000" w:themeColor="text1"/>
          <w:sz w:val="24"/>
          <w:szCs w:val="24"/>
        </w:rPr>
      </w:pPr>
    </w:p>
    <w:p w:rsidRPr="00150AE4" w:rsidR="00150AE4" w:rsidP="00150AE4" w:rsidRDefault="00C35514" w14:paraId="06042634" w14:textId="77777777">
      <w:pPr>
        <w:pStyle w:val="ListParagraph"/>
        <w:keepNext/>
        <w:numPr>
          <w:ilvl w:val="0"/>
          <w:numId w:val="2"/>
        </w:numPr>
        <w:spacing w:after="0" w:line="240" w:lineRule="auto"/>
        <w:ind w:left="0" w:firstLine="0"/>
        <w:contextualSpacing w:val="0"/>
        <w:rPr>
          <w:rFonts w:ascii="Times New Roman" w:hAnsi="Times New Roman" w:cs="Times New Roman"/>
          <w:b/>
        </w:rPr>
      </w:pPr>
      <w:r w:rsidRPr="00150AE4">
        <w:rPr>
          <w:rFonts w:ascii="Times New Roman" w:hAnsi="Times New Roman" w:cs="Times New Roman"/>
          <w:b/>
          <w:sz w:val="24"/>
          <w:szCs w:val="24"/>
        </w:rPr>
        <w:lastRenderedPageBreak/>
        <w:t>Annualized Cost to the Federal Government</w:t>
      </w:r>
    </w:p>
    <w:p w:rsidRPr="008A1F38" w:rsidR="008B7630" w:rsidP="008A1F38" w:rsidRDefault="008B7630" w14:paraId="2096180E" w14:textId="77F41408">
      <w:pPr>
        <w:pStyle w:val="ListParagraph"/>
        <w:spacing w:after="0" w:line="240" w:lineRule="auto"/>
        <w:ind w:left="0"/>
        <w:contextualSpacing w:val="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3847"/>
        <w:gridCol w:w="1726"/>
      </w:tblGrid>
      <w:tr w:rsidRPr="00150AE4" w:rsidR="006A35B8" w:rsidTr="006A35B8" w14:paraId="2C68BEE7" w14:textId="77777777">
        <w:tc>
          <w:tcPr>
            <w:tcW w:w="3847" w:type="dxa"/>
          </w:tcPr>
          <w:p w:rsidRPr="00150AE4" w:rsidR="008A1F38" w:rsidP="00A66850" w:rsidRDefault="008A1F38" w14:paraId="39258CBB" w14:textId="77777777">
            <w:pPr>
              <w:keepNext/>
              <w:rPr>
                <w:rFonts w:ascii="Times New Roman" w:hAnsi="Times New Roman" w:cs="Times New Roman"/>
                <w:color w:val="000000" w:themeColor="text1"/>
                <w:sz w:val="24"/>
                <w:szCs w:val="24"/>
              </w:rPr>
            </w:pPr>
          </w:p>
        </w:tc>
        <w:tc>
          <w:tcPr>
            <w:tcW w:w="1726" w:type="dxa"/>
          </w:tcPr>
          <w:p w:rsidRPr="00150AE4" w:rsidR="008A1F38" w:rsidP="00A66850" w:rsidRDefault="008A1F38" w14:paraId="2DA778AA" w14:textId="02A7BC6B">
            <w:pPr>
              <w:keepNex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Annual</w:t>
            </w:r>
          </w:p>
        </w:tc>
      </w:tr>
      <w:tr w:rsidRPr="00150AE4" w:rsidR="006A35B8" w:rsidTr="006A35B8" w14:paraId="56350AFE" w14:textId="77777777">
        <w:tc>
          <w:tcPr>
            <w:tcW w:w="3847" w:type="dxa"/>
            <w:vAlign w:val="center"/>
          </w:tcPr>
          <w:p w:rsidRPr="00150AE4" w:rsidR="008A1F38" w:rsidP="00A66850" w:rsidRDefault="008A1F38" w14:paraId="49706B8D" w14:textId="0E3AFD23">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Development and Certification</w:t>
            </w:r>
          </w:p>
        </w:tc>
        <w:tc>
          <w:tcPr>
            <w:tcW w:w="1726" w:type="dxa"/>
            <w:vAlign w:val="center"/>
          </w:tcPr>
          <w:p w:rsidRPr="00150AE4" w:rsidR="008A1F38" w:rsidP="00A66850" w:rsidRDefault="008A1F38" w14:paraId="45151F44" w14:textId="422DB9F8">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48,984</w:t>
            </w:r>
          </w:p>
        </w:tc>
      </w:tr>
      <w:tr w:rsidRPr="00150AE4" w:rsidR="006A35B8" w:rsidTr="006A35B8" w14:paraId="0092CEE4" w14:textId="77777777">
        <w:tc>
          <w:tcPr>
            <w:tcW w:w="3847" w:type="dxa"/>
            <w:vAlign w:val="center"/>
          </w:tcPr>
          <w:p w:rsidRPr="00150AE4" w:rsidR="008A1F38" w:rsidP="00A66850" w:rsidRDefault="008A1F38" w14:paraId="4BF394F4" w14:textId="3D8B0BBC">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Implementation and Documentation</w:t>
            </w:r>
          </w:p>
        </w:tc>
        <w:tc>
          <w:tcPr>
            <w:tcW w:w="1726" w:type="dxa"/>
            <w:vAlign w:val="center"/>
          </w:tcPr>
          <w:p w:rsidRPr="00150AE4" w:rsidR="008A1F38" w:rsidP="00A66850" w:rsidRDefault="008A1F38" w14:paraId="74799817" w14:textId="4B5DA6D3">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122,459</w:t>
            </w:r>
          </w:p>
        </w:tc>
      </w:tr>
      <w:tr w:rsidRPr="00150AE4" w:rsidR="006A35B8" w:rsidTr="006A35B8" w14:paraId="4BD8F384" w14:textId="77777777">
        <w:trPr>
          <w:trHeight w:val="215"/>
        </w:trPr>
        <w:tc>
          <w:tcPr>
            <w:tcW w:w="3847" w:type="dxa"/>
            <w:shd w:val="clear" w:color="auto" w:fill="D9D9D9" w:themeFill="background1" w:themeFillShade="D9"/>
            <w:vAlign w:val="center"/>
          </w:tcPr>
          <w:p w:rsidRPr="00150AE4" w:rsidR="008A1F38" w:rsidP="00A66850" w:rsidRDefault="008A1F38" w14:paraId="61E64081" w14:textId="77777777">
            <w:pPr>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Total</w:t>
            </w:r>
          </w:p>
        </w:tc>
        <w:tc>
          <w:tcPr>
            <w:tcW w:w="1726" w:type="dxa"/>
            <w:shd w:val="clear" w:color="auto" w:fill="D9D9D9" w:themeFill="background1" w:themeFillShade="D9"/>
            <w:vAlign w:val="center"/>
          </w:tcPr>
          <w:p w:rsidRPr="00150AE4" w:rsidR="008A1F38" w:rsidP="00A66850" w:rsidRDefault="008A1F38" w14:paraId="014DE452" w14:textId="0E5DE520">
            <w:pPr>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6A35B8">
              <w:rPr>
                <w:rFonts w:ascii="Times New Roman" w:hAnsi="Times New Roman" w:cs="Times New Roman"/>
                <w:color w:val="000000" w:themeColor="text1"/>
                <w:sz w:val="24"/>
                <w:szCs w:val="24"/>
              </w:rPr>
              <w:t>71,443</w:t>
            </w:r>
          </w:p>
        </w:tc>
      </w:tr>
    </w:tbl>
    <w:p w:rsidR="00150AE4" w:rsidP="00A66850" w:rsidRDefault="00150AE4" w14:paraId="5D02DE43" w14:textId="77777777">
      <w:pPr>
        <w:pStyle w:val="ListParagraph"/>
        <w:spacing w:after="0" w:line="240" w:lineRule="auto"/>
        <w:ind w:left="0"/>
        <w:contextualSpacing w:val="0"/>
        <w:rPr>
          <w:rFonts w:ascii="Times New Roman" w:hAnsi="Times New Roman" w:cs="Times New Roman"/>
          <w:color w:val="000000" w:themeColor="text1"/>
          <w:sz w:val="24"/>
          <w:szCs w:val="24"/>
        </w:rPr>
      </w:pPr>
    </w:p>
    <w:p w:rsidRPr="00150AE4" w:rsidR="00C23AC1" w:rsidP="00A66850" w:rsidRDefault="00C23AC1" w14:paraId="5215A7A0" w14:textId="77777777">
      <w:pPr>
        <w:pStyle w:val="ListParagraph"/>
        <w:spacing w:after="0" w:line="240" w:lineRule="auto"/>
        <w:ind w:left="0"/>
        <w:contextualSpacing w:val="0"/>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Notes:</w:t>
      </w:r>
    </w:p>
    <w:p w:rsidRPr="00A66850" w:rsidR="002320B3" w:rsidP="002320B3" w:rsidRDefault="008B7630" w14:paraId="23CC858F" w14:textId="2141FE74">
      <w:pPr>
        <w:pStyle w:val="ListParagraph"/>
        <w:spacing w:after="0" w:line="240" w:lineRule="auto"/>
        <w:ind w:left="0"/>
        <w:contextualSpacing w:val="0"/>
        <w:rPr>
          <w:rFonts w:ascii="Times New Roman" w:hAnsi="Times New Roman" w:cs="Times New Roman"/>
          <w:color w:val="000000" w:themeColor="text1"/>
          <w:sz w:val="24"/>
          <w:szCs w:val="24"/>
        </w:rPr>
      </w:pPr>
      <w:r w:rsidRPr="00A66850">
        <w:rPr>
          <w:rFonts w:ascii="Times New Roman" w:hAnsi="Times New Roman" w:cs="Times New Roman"/>
          <w:color w:val="000000" w:themeColor="text1"/>
          <w:sz w:val="24"/>
          <w:szCs w:val="24"/>
        </w:rPr>
        <w:t>*</w:t>
      </w:r>
      <w:r w:rsidRPr="00A66850" w:rsidR="00E370C2">
        <w:rPr>
          <w:rFonts w:ascii="Times New Roman" w:hAnsi="Times New Roman" w:cs="Times New Roman"/>
          <w:color w:val="000000" w:themeColor="text1"/>
          <w:sz w:val="24"/>
          <w:szCs w:val="24"/>
        </w:rPr>
        <w:t>This data i</w:t>
      </w:r>
      <w:r w:rsidRPr="00A66850">
        <w:rPr>
          <w:rFonts w:ascii="Times New Roman" w:hAnsi="Times New Roman" w:cs="Times New Roman"/>
          <w:color w:val="000000" w:themeColor="text1"/>
          <w:sz w:val="24"/>
          <w:szCs w:val="24"/>
        </w:rPr>
        <w:t xml:space="preserve">ncludes </w:t>
      </w:r>
      <w:r w:rsidR="002320B3">
        <w:rPr>
          <w:rFonts w:ascii="Times New Roman" w:hAnsi="Times New Roman" w:cs="Times New Roman"/>
          <w:color w:val="000000" w:themeColor="text1"/>
          <w:sz w:val="24"/>
          <w:szCs w:val="24"/>
        </w:rPr>
        <w:t xml:space="preserve">only </w:t>
      </w:r>
      <w:r w:rsidRPr="00A66850">
        <w:rPr>
          <w:rFonts w:ascii="Times New Roman" w:hAnsi="Times New Roman" w:cs="Times New Roman"/>
          <w:color w:val="000000" w:themeColor="text1"/>
          <w:sz w:val="24"/>
          <w:szCs w:val="24"/>
        </w:rPr>
        <w:t>labor costs</w:t>
      </w:r>
      <w:r w:rsidRPr="00A66850" w:rsidR="00E370C2">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 xml:space="preserve"> </w:t>
      </w:r>
      <w:r w:rsidRPr="009B2B0E" w:rsidR="002320B3">
        <w:rPr>
          <w:rFonts w:ascii="Times New Roman" w:hAnsi="Times New Roman" w:cs="Times New Roman"/>
          <w:color w:val="000000" w:themeColor="text1"/>
          <w:sz w:val="24"/>
          <w:szCs w:val="24"/>
        </w:rPr>
        <w:t>The FTA cost burden</w:t>
      </w:r>
      <w:r w:rsidRPr="009B2B0E" w:rsidR="002320B3">
        <w:rPr>
          <w:rFonts w:ascii="Times New Roman" w:hAnsi="Times New Roman" w:cs="Times New Roman"/>
          <w:sz w:val="24"/>
          <w:szCs w:val="24"/>
        </w:rPr>
        <w:t xml:space="preserve"> reflects estimated FTA costs for the development of templates and other startup costs, as well as ongoing coordination with transit agencies and providing oversight as needed.  These costs are relatively limited because FTA will assess each transit agency’s compliance with the rule as part of the normal triennial review process.</w:t>
      </w:r>
    </w:p>
    <w:p w:rsidRPr="00A66850" w:rsidR="008B7630" w:rsidP="00A66850" w:rsidRDefault="008B7630" w14:paraId="6B0A3FB1" w14:textId="77777777">
      <w:pPr>
        <w:pStyle w:val="ListParagraph"/>
        <w:spacing w:after="0" w:line="240" w:lineRule="auto"/>
        <w:ind w:left="0"/>
        <w:contextualSpacing w:val="0"/>
        <w:rPr>
          <w:rFonts w:ascii="Times New Roman" w:hAnsi="Times New Roman" w:cs="Times New Roman"/>
          <w:sz w:val="24"/>
          <w:szCs w:val="24"/>
        </w:rPr>
      </w:pPr>
    </w:p>
    <w:p w:rsidRPr="00C06C35" w:rsidR="00C06C35" w:rsidP="00C06C35" w:rsidRDefault="00C74115" w14:paraId="6EB57C3C" w14:textId="417963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annual average burden hours are 2,207.  The wage rate used was an estimated </w:t>
      </w:r>
      <w:proofErr w:type="gramStart"/>
      <w:r>
        <w:rPr>
          <w:rFonts w:ascii="Times New Roman" w:hAnsi="Times New Roman" w:cs="Times New Roman"/>
          <w:sz w:val="24"/>
          <w:szCs w:val="24"/>
        </w:rPr>
        <w:t>fully-loaded</w:t>
      </w:r>
      <w:proofErr w:type="gramEnd"/>
      <w:r>
        <w:rPr>
          <w:rFonts w:ascii="Times New Roman" w:hAnsi="Times New Roman" w:cs="Times New Roman"/>
          <w:sz w:val="24"/>
          <w:szCs w:val="24"/>
        </w:rPr>
        <w:t xml:space="preserve"> hourly rate for a mid-range general schedule grade 12 FTA employee. This rate equated to $</w:t>
      </w:r>
      <w:r w:rsidR="008A1F38">
        <w:rPr>
          <w:rFonts w:ascii="Times New Roman" w:hAnsi="Times New Roman" w:cs="Times New Roman"/>
          <w:sz w:val="24"/>
          <w:szCs w:val="24"/>
        </w:rPr>
        <w:t>77.68</w:t>
      </w:r>
      <w:r>
        <w:rPr>
          <w:rFonts w:ascii="Times New Roman" w:hAnsi="Times New Roman" w:cs="Times New Roman"/>
          <w:sz w:val="24"/>
          <w:szCs w:val="24"/>
        </w:rPr>
        <w:t xml:space="preserve"> per hour.</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Pr="00A66850" w:rsidR="00C06C35" w:rsidP="00A66850" w:rsidRDefault="00C06C35" w14:paraId="0801AD21" w14:textId="77777777">
      <w:pPr>
        <w:spacing w:after="0" w:line="240" w:lineRule="auto"/>
        <w:rPr>
          <w:rFonts w:ascii="Times New Roman" w:hAnsi="Times New Roman" w:cs="Times New Roman"/>
          <w:sz w:val="24"/>
          <w:szCs w:val="24"/>
        </w:rPr>
      </w:pPr>
    </w:p>
    <w:p w:rsidRPr="00A66850" w:rsidR="00DF66D9" w:rsidP="00C06C35" w:rsidRDefault="00DF66D9" w14:paraId="435B86B5" w14:textId="77777777">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Explanation for Program Changes or Adjustments</w:t>
      </w:r>
    </w:p>
    <w:p w:rsidR="00C06C35" w:rsidP="00C06C35" w:rsidRDefault="00C06C35" w14:paraId="294B9EAE" w14:textId="77777777">
      <w:pPr>
        <w:keepNext/>
        <w:spacing w:after="0" w:line="240" w:lineRule="auto"/>
        <w:rPr>
          <w:rFonts w:ascii="Times New Roman" w:hAnsi="Times New Roman" w:cs="Times New Roman"/>
          <w:sz w:val="24"/>
          <w:szCs w:val="24"/>
        </w:rPr>
      </w:pPr>
    </w:p>
    <w:p w:rsidRPr="00EB4F6C" w:rsidR="00EB4F6C" w:rsidP="00EB4F6C" w:rsidRDefault="003D7172" w14:paraId="5E95BD47" w14:textId="77777777">
      <w:pPr>
        <w:pStyle w:val="Subtitle"/>
        <w:jc w:val="left"/>
        <w:rPr>
          <w:szCs w:val="24"/>
          <w:u w:val="none"/>
        </w:rPr>
      </w:pPr>
      <w:r w:rsidRPr="00EB4F6C">
        <w:rPr>
          <w:szCs w:val="24"/>
          <w:u w:val="none"/>
        </w:rPr>
        <w:t>The change in the current supporting statement reflects a</w:t>
      </w:r>
      <w:r w:rsidRPr="00EB4F6C" w:rsidR="00EB4F6C">
        <w:rPr>
          <w:szCs w:val="24"/>
          <w:u w:val="none"/>
        </w:rPr>
        <w:t xml:space="preserve"> decrease </w:t>
      </w:r>
      <w:r w:rsidRPr="00EB4F6C">
        <w:rPr>
          <w:szCs w:val="24"/>
          <w:u w:val="none"/>
        </w:rPr>
        <w:t>in</w:t>
      </w:r>
      <w:r w:rsidRPr="00EB4F6C" w:rsidR="00C26E31">
        <w:rPr>
          <w:szCs w:val="24"/>
          <w:u w:val="none"/>
        </w:rPr>
        <w:t xml:space="preserve"> the number of respon</w:t>
      </w:r>
      <w:r w:rsidRPr="00EB4F6C" w:rsidR="00EB4F6C">
        <w:rPr>
          <w:szCs w:val="24"/>
          <w:u w:val="none"/>
        </w:rPr>
        <w:t>ses</w:t>
      </w:r>
      <w:r w:rsidRPr="00EB4F6C" w:rsidR="00C26E31">
        <w:rPr>
          <w:szCs w:val="24"/>
          <w:u w:val="none"/>
        </w:rPr>
        <w:t xml:space="preserve"> and </w:t>
      </w:r>
      <w:r w:rsidRPr="00EB4F6C">
        <w:rPr>
          <w:szCs w:val="24"/>
          <w:u w:val="none"/>
        </w:rPr>
        <w:t xml:space="preserve">a decrease </w:t>
      </w:r>
      <w:r w:rsidRPr="00EB4F6C" w:rsidR="00F05A1D">
        <w:rPr>
          <w:szCs w:val="24"/>
          <w:u w:val="none"/>
        </w:rPr>
        <w:t xml:space="preserve">in </w:t>
      </w:r>
      <w:r w:rsidRPr="00EB4F6C" w:rsidR="00C26E31">
        <w:rPr>
          <w:szCs w:val="24"/>
          <w:u w:val="none"/>
        </w:rPr>
        <w:t xml:space="preserve">burden hours </w:t>
      </w:r>
      <w:r w:rsidRPr="00EB4F6C">
        <w:rPr>
          <w:szCs w:val="24"/>
          <w:u w:val="none"/>
        </w:rPr>
        <w:t>from the 2019 PRA submittal</w:t>
      </w:r>
      <w:r w:rsidRPr="00EB4F6C" w:rsidR="00C26E31">
        <w:rPr>
          <w:szCs w:val="24"/>
          <w:u w:val="none"/>
        </w:rPr>
        <w:t xml:space="preserve">.  </w:t>
      </w:r>
      <w:r w:rsidRPr="00EB4F6C" w:rsidR="00EB4F6C">
        <w:rPr>
          <w:szCs w:val="24"/>
          <w:u w:val="none"/>
        </w:rPr>
        <w:t>This revision reflects a reduction to the number of responses due to a change in the respondent universe based on current data. The burden hours of the previous submission included the hours necessary to develop the Agency Safety Plans.  The reduction in the annual burden hours in this current submission reflects the fact that respondents only need to update and self-certify completion of their existing plans.   </w:t>
      </w:r>
    </w:p>
    <w:p w:rsidRPr="00A66850" w:rsidR="00C06C35" w:rsidP="00A66850" w:rsidRDefault="00C06C35" w14:paraId="2505310F" w14:textId="77777777">
      <w:pPr>
        <w:spacing w:after="0" w:line="240" w:lineRule="auto"/>
        <w:rPr>
          <w:rFonts w:ascii="Times New Roman" w:hAnsi="Times New Roman" w:cs="Times New Roman"/>
          <w:sz w:val="24"/>
          <w:szCs w:val="24"/>
        </w:rPr>
      </w:pPr>
    </w:p>
    <w:p w:rsidRPr="00A66850" w:rsidR="00DF66D9" w:rsidP="00C06C35" w:rsidRDefault="00DF66D9" w14:paraId="5337CE63" w14:textId="09DF20CD">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 xml:space="preserve">Plans for Tabulation and </w:t>
      </w:r>
      <w:r w:rsidR="007818F2">
        <w:rPr>
          <w:rFonts w:ascii="Times New Roman" w:hAnsi="Times New Roman" w:cs="Times New Roman"/>
          <w:b/>
          <w:sz w:val="24"/>
          <w:szCs w:val="24"/>
        </w:rPr>
        <w:t>p</w:t>
      </w:r>
      <w:r w:rsidRPr="00A66850">
        <w:rPr>
          <w:rFonts w:ascii="Times New Roman" w:hAnsi="Times New Roman" w:cs="Times New Roman"/>
          <w:b/>
          <w:sz w:val="24"/>
          <w:szCs w:val="24"/>
        </w:rPr>
        <w:t xml:space="preserve">ublication </w:t>
      </w:r>
      <w:r w:rsidR="007818F2">
        <w:rPr>
          <w:rFonts w:ascii="Times New Roman" w:hAnsi="Times New Roman" w:cs="Times New Roman"/>
          <w:b/>
          <w:sz w:val="24"/>
          <w:szCs w:val="24"/>
        </w:rPr>
        <w:t xml:space="preserve">for collections of information whose results will be published. </w:t>
      </w:r>
    </w:p>
    <w:p w:rsidRPr="00A66850" w:rsidR="00E50316" w:rsidP="00C06C35" w:rsidRDefault="00E50316" w14:paraId="1EF57FD0" w14:textId="77777777">
      <w:pPr>
        <w:pStyle w:val="ListParagraph"/>
        <w:keepNext/>
        <w:spacing w:after="0" w:line="240" w:lineRule="auto"/>
        <w:ind w:left="0"/>
        <w:contextualSpacing w:val="0"/>
        <w:rPr>
          <w:rFonts w:ascii="Times New Roman" w:hAnsi="Times New Roman" w:cs="Times New Roman"/>
          <w:sz w:val="24"/>
          <w:szCs w:val="24"/>
        </w:rPr>
      </w:pPr>
    </w:p>
    <w:p w:rsidR="007818F2" w:rsidP="00A66850" w:rsidRDefault="007818F2" w14:paraId="213CCF00" w14:textId="4973E7E6">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eastAsia="Times New Roman" w:cs="Times New Roman"/>
          <w:snapToGrid w:val="0"/>
          <w:color w:val="000000"/>
          <w:sz w:val="24"/>
          <w:szCs w:val="20"/>
        </w:rPr>
        <w:t xml:space="preserve">FTA does not plan to publish any results from this collection, including any statistical results. </w:t>
      </w:r>
      <w:r w:rsidRPr="00826D77">
        <w:rPr>
          <w:rFonts w:ascii="Times New Roman" w:hAnsi="Times New Roman" w:eastAsia="Times New Roman" w:cs="Times New Roman"/>
          <w:snapToGrid w:val="0"/>
          <w:color w:val="000000"/>
          <w:sz w:val="24"/>
          <w:szCs w:val="20"/>
        </w:rPr>
        <w:t xml:space="preserve"> </w:t>
      </w:r>
    </w:p>
    <w:p w:rsidRPr="00C06C35" w:rsidR="00C06C35" w:rsidP="00C06C35" w:rsidRDefault="00C06C35" w14:paraId="5A3FEC5A" w14:textId="77777777">
      <w:pPr>
        <w:spacing w:after="0" w:line="240" w:lineRule="auto"/>
        <w:rPr>
          <w:rFonts w:ascii="Times New Roman" w:hAnsi="Times New Roman" w:cs="Times New Roman"/>
          <w:b/>
          <w:sz w:val="24"/>
          <w:szCs w:val="24"/>
        </w:rPr>
      </w:pPr>
    </w:p>
    <w:p w:rsidRPr="00A66850" w:rsidR="00DF66D9" w:rsidP="00C06C35" w:rsidRDefault="00DF66D9" w14:paraId="615B15C1" w14:textId="77777777">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 xml:space="preserve">Reason(s) </w:t>
      </w:r>
      <w:r w:rsidRPr="00A66850" w:rsidR="002C0833">
        <w:rPr>
          <w:rFonts w:ascii="Times New Roman" w:hAnsi="Times New Roman" w:cs="Times New Roman"/>
          <w:b/>
          <w:sz w:val="24"/>
          <w:szCs w:val="24"/>
        </w:rPr>
        <w:t xml:space="preserve">the </w:t>
      </w:r>
      <w:r w:rsidRPr="00A66850">
        <w:rPr>
          <w:rFonts w:ascii="Times New Roman" w:hAnsi="Times New Roman" w:cs="Times New Roman"/>
          <w:b/>
          <w:sz w:val="24"/>
          <w:szCs w:val="24"/>
        </w:rPr>
        <w:t>Display of OMB Expiration Date is Inappropriate</w:t>
      </w:r>
    </w:p>
    <w:p w:rsidRPr="00A66850" w:rsidR="0024385D" w:rsidP="00C06C35" w:rsidRDefault="0024385D" w14:paraId="7E5E7DE0" w14:textId="77777777">
      <w:pPr>
        <w:pStyle w:val="ListParagraph"/>
        <w:keepNext/>
        <w:spacing w:after="0" w:line="240" w:lineRule="auto"/>
        <w:ind w:left="0"/>
        <w:contextualSpacing w:val="0"/>
        <w:rPr>
          <w:rFonts w:ascii="Times New Roman" w:hAnsi="Times New Roman" w:cs="Times New Roman"/>
          <w:sz w:val="24"/>
          <w:szCs w:val="24"/>
        </w:rPr>
      </w:pPr>
    </w:p>
    <w:p w:rsidRPr="00A66850" w:rsidR="00562093" w:rsidP="00A66850" w:rsidRDefault="00562093" w14:paraId="0A1008BE" w14:textId="77777777">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Not applicable.</w:t>
      </w:r>
    </w:p>
    <w:p w:rsidRPr="00A66850" w:rsidR="00562093" w:rsidP="00A66850" w:rsidRDefault="00562093" w14:paraId="4AC7BC69" w14:textId="77777777">
      <w:pPr>
        <w:pStyle w:val="ListParagraph"/>
        <w:spacing w:after="0" w:line="240" w:lineRule="auto"/>
        <w:ind w:left="0"/>
        <w:contextualSpacing w:val="0"/>
        <w:rPr>
          <w:rFonts w:ascii="Times New Roman" w:hAnsi="Times New Roman" w:cs="Times New Roman"/>
          <w:sz w:val="24"/>
          <w:szCs w:val="24"/>
        </w:rPr>
      </w:pPr>
    </w:p>
    <w:p w:rsidRPr="00A66850" w:rsidR="00E32436" w:rsidP="00C06C35" w:rsidRDefault="0024385D" w14:paraId="6B93F6D0" w14:textId="77777777">
      <w:pPr>
        <w:pStyle w:val="NoSpacing"/>
        <w:keepNext/>
        <w:numPr>
          <w:ilvl w:val="0"/>
          <w:numId w:val="2"/>
        </w:numPr>
        <w:ind w:hanging="720"/>
        <w:rPr>
          <w:rFonts w:ascii="Times New Roman" w:hAnsi="Times New Roman" w:cs="Times New Roman"/>
          <w:b/>
          <w:sz w:val="24"/>
          <w:szCs w:val="24"/>
        </w:rPr>
      </w:pPr>
      <w:r w:rsidRPr="00A66850">
        <w:rPr>
          <w:rFonts w:ascii="Times New Roman" w:hAnsi="Times New Roman" w:cs="Times New Roman"/>
          <w:b/>
          <w:sz w:val="24"/>
          <w:szCs w:val="24"/>
        </w:rPr>
        <w:t>Exceptions to Certification for Paperwork Reduction Act Submissions</w:t>
      </w:r>
    </w:p>
    <w:p w:rsidRPr="00A66850" w:rsidR="00562093" w:rsidP="00C06C35" w:rsidRDefault="00562093" w14:paraId="26706E45" w14:textId="77777777">
      <w:pPr>
        <w:pStyle w:val="ListParagraph"/>
        <w:keepNext/>
        <w:spacing w:after="0" w:line="240" w:lineRule="auto"/>
        <w:ind w:left="0"/>
        <w:contextualSpacing w:val="0"/>
        <w:rPr>
          <w:rFonts w:ascii="Times New Roman" w:hAnsi="Times New Roman" w:cs="Times New Roman"/>
          <w:sz w:val="24"/>
          <w:szCs w:val="24"/>
        </w:rPr>
      </w:pPr>
    </w:p>
    <w:p w:rsidRPr="00A66850" w:rsidR="00C06C35" w:rsidP="00A66850" w:rsidRDefault="00562093" w14:paraId="20309DE5" w14:textId="62DDDB7F">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FTA does not claim exceptions to certification for Paperwork Reduction Act submissions.</w:t>
      </w:r>
    </w:p>
    <w:sectPr w:rsidRPr="00A66850" w:rsidR="00C06C35" w:rsidSect="0071647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8985" w14:textId="77777777" w:rsidR="00F77075" w:rsidRDefault="00F77075" w:rsidP="0067152B">
      <w:pPr>
        <w:spacing w:after="0" w:line="240" w:lineRule="auto"/>
      </w:pPr>
      <w:r>
        <w:separator/>
      </w:r>
    </w:p>
  </w:endnote>
  <w:endnote w:type="continuationSeparator" w:id="0">
    <w:p w14:paraId="7212051E" w14:textId="77777777" w:rsidR="00F77075" w:rsidRDefault="00F77075" w:rsidP="0067152B">
      <w:pPr>
        <w:spacing w:after="0" w:line="240" w:lineRule="auto"/>
      </w:pPr>
      <w:r>
        <w:continuationSeparator/>
      </w:r>
    </w:p>
  </w:endnote>
  <w:endnote w:type="continuationNotice" w:id="1">
    <w:p w14:paraId="2236A5F5" w14:textId="77777777" w:rsidR="00F77075" w:rsidRDefault="00F77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140969"/>
      <w:docPartObj>
        <w:docPartGallery w:val="Page Numbers (Bottom of Page)"/>
        <w:docPartUnique/>
      </w:docPartObj>
    </w:sdtPr>
    <w:sdtEndPr>
      <w:rPr>
        <w:rFonts w:ascii="Times New Roman" w:hAnsi="Times New Roman" w:cs="Times New Roman"/>
        <w:noProof/>
        <w:sz w:val="24"/>
        <w:szCs w:val="24"/>
      </w:rPr>
    </w:sdtEndPr>
    <w:sdtContent>
      <w:p w14:paraId="383CBA78" w14:textId="0C2CBA7B" w:rsidR="005202DD" w:rsidRPr="00840F7E" w:rsidRDefault="005202DD" w:rsidP="00A61279">
        <w:pPr>
          <w:pStyle w:val="Footer"/>
          <w:tabs>
            <w:tab w:val="clear" w:pos="4680"/>
            <w:tab w:val="clear" w:pos="9360"/>
          </w:tabs>
          <w:jc w:val="center"/>
          <w:rPr>
            <w:rFonts w:ascii="Times New Roman" w:hAnsi="Times New Roman" w:cs="Times New Roman"/>
            <w:sz w:val="24"/>
            <w:szCs w:val="24"/>
          </w:rPr>
        </w:pPr>
        <w:r w:rsidRPr="00840F7E">
          <w:rPr>
            <w:rFonts w:ascii="Times New Roman" w:hAnsi="Times New Roman" w:cs="Times New Roman"/>
            <w:sz w:val="24"/>
            <w:szCs w:val="24"/>
          </w:rPr>
          <w:fldChar w:fldCharType="begin"/>
        </w:r>
        <w:r w:rsidRPr="00840F7E">
          <w:rPr>
            <w:rFonts w:ascii="Times New Roman" w:hAnsi="Times New Roman" w:cs="Times New Roman"/>
            <w:sz w:val="24"/>
            <w:szCs w:val="24"/>
          </w:rPr>
          <w:instrText xml:space="preserve"> PAGE   \* MERGEFORMAT </w:instrText>
        </w:r>
        <w:r w:rsidRPr="00840F7E">
          <w:rPr>
            <w:rFonts w:ascii="Times New Roman" w:hAnsi="Times New Roman" w:cs="Times New Roman"/>
            <w:sz w:val="24"/>
            <w:szCs w:val="24"/>
          </w:rPr>
          <w:fldChar w:fldCharType="separate"/>
        </w:r>
        <w:r w:rsidR="003E515B">
          <w:rPr>
            <w:rFonts w:ascii="Times New Roman" w:hAnsi="Times New Roman" w:cs="Times New Roman"/>
            <w:noProof/>
            <w:sz w:val="24"/>
            <w:szCs w:val="24"/>
          </w:rPr>
          <w:t>11</w:t>
        </w:r>
        <w:r w:rsidRPr="00840F7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C716" w14:textId="77777777" w:rsidR="00F77075" w:rsidRDefault="00F77075" w:rsidP="0067152B">
      <w:pPr>
        <w:spacing w:after="0" w:line="240" w:lineRule="auto"/>
      </w:pPr>
      <w:r>
        <w:separator/>
      </w:r>
    </w:p>
  </w:footnote>
  <w:footnote w:type="continuationSeparator" w:id="0">
    <w:p w14:paraId="34C8B5C6" w14:textId="77777777" w:rsidR="00F77075" w:rsidRDefault="00F77075" w:rsidP="0067152B">
      <w:pPr>
        <w:spacing w:after="0" w:line="240" w:lineRule="auto"/>
      </w:pPr>
      <w:r>
        <w:continuationSeparator/>
      </w:r>
    </w:p>
  </w:footnote>
  <w:footnote w:type="continuationNotice" w:id="1">
    <w:p w14:paraId="74AE586F" w14:textId="77777777" w:rsidR="00F77075" w:rsidRDefault="00F77075">
      <w:pPr>
        <w:spacing w:after="0" w:line="240" w:lineRule="auto"/>
      </w:pPr>
    </w:p>
  </w:footnote>
  <w:footnote w:id="2">
    <w:p w14:paraId="1A845DA5" w14:textId="693AFEB3" w:rsidR="005202DD" w:rsidRPr="00B35761" w:rsidRDefault="005202DD" w:rsidP="00D9534E">
      <w:pPr>
        <w:pStyle w:val="FootnoteText"/>
        <w:rPr>
          <w:rFonts w:ascii="Times New Roman" w:hAnsi="Times New Roman" w:cs="Times New Roman"/>
        </w:rPr>
      </w:pPr>
      <w:r>
        <w:rPr>
          <w:rStyle w:val="FootnoteReference"/>
        </w:rPr>
        <w:footnoteRef/>
      </w:r>
      <w:r>
        <w:t xml:space="preserve"> </w:t>
      </w:r>
      <w:r w:rsidRPr="00B35761">
        <w:rPr>
          <w:rFonts w:ascii="Times New Roman" w:hAnsi="Times New Roman" w:cs="Times New Roman"/>
        </w:rPr>
        <w:t xml:space="preserve">Source: </w:t>
      </w:r>
      <w:r>
        <w:rPr>
          <w:rFonts w:ascii="Times New Roman" w:hAnsi="Times New Roman" w:cs="Times New Roman"/>
        </w:rPr>
        <w:t>Federal Transit Administration (FTA) Public Transportation Agency Safety Plan (PTASP) Technical Assistance Center (TAC)</w:t>
      </w:r>
      <w:r w:rsidRPr="00B35761">
        <w:rPr>
          <w:rFonts w:ascii="Times New Roman" w:hAnsi="Times New Roman" w:cs="Times New Roman"/>
        </w:rPr>
        <w:t xml:space="preserve">.  </w:t>
      </w:r>
    </w:p>
    <w:p w14:paraId="63094CF8" w14:textId="77777777" w:rsidR="005202DD" w:rsidRDefault="005202DD">
      <w:pPr>
        <w:pStyle w:val="FootnoteText"/>
      </w:pPr>
    </w:p>
  </w:footnote>
  <w:footnote w:id="3">
    <w:p w14:paraId="76DAB19D" w14:textId="77777777" w:rsidR="005202DD" w:rsidRPr="00B35761" w:rsidRDefault="005202DD" w:rsidP="002320B3">
      <w:pPr>
        <w:pStyle w:val="FootnoteText"/>
        <w:rPr>
          <w:rFonts w:ascii="Times New Roman" w:hAnsi="Times New Roman" w:cs="Times New Roman"/>
          <w:color w:val="0000FF" w:themeColor="hyperlink"/>
          <w:u w:val="single"/>
        </w:rPr>
      </w:pPr>
      <w:r w:rsidRPr="00B35761">
        <w:rPr>
          <w:rStyle w:val="FootnoteReference"/>
          <w:rFonts w:ascii="Times New Roman" w:hAnsi="Times New Roman" w:cs="Times New Roman"/>
        </w:rPr>
        <w:footnoteRef/>
      </w:r>
      <w:r w:rsidRPr="00B35761">
        <w:rPr>
          <w:rFonts w:ascii="Times New Roman" w:hAnsi="Times New Roman" w:cs="Times New Roman"/>
        </w:rPr>
        <w:t xml:space="preserve"> See </w:t>
      </w:r>
      <w:hyperlink r:id="rId1" w:history="1">
        <w:r w:rsidRPr="00B35761">
          <w:rPr>
            <w:rStyle w:val="Hyperlink"/>
            <w:rFonts w:ascii="Times New Roman" w:hAnsi="Times New Roman" w:cs="Times New Roman"/>
          </w:rPr>
          <w:t>http://www.bls.gov/oes/current/naics3_485000.htm</w:t>
        </w:r>
      </w:hyperlink>
    </w:p>
  </w:footnote>
  <w:footnote w:id="4">
    <w:p w14:paraId="3EDCC6FA" w14:textId="77777777" w:rsidR="005202DD" w:rsidRPr="00B35761" w:rsidRDefault="005202DD" w:rsidP="002320B3">
      <w:pPr>
        <w:pStyle w:val="footnote"/>
        <w:jc w:val="left"/>
        <w:rPr>
          <w:rFonts w:ascii="Times New Roman" w:hAnsi="Times New Roman"/>
        </w:rPr>
      </w:pPr>
      <w:r w:rsidRPr="00B35761">
        <w:rPr>
          <w:rStyle w:val="FootnoteReference"/>
          <w:rFonts w:ascii="Times New Roman" w:hAnsi="Times New Roman"/>
        </w:rPr>
        <w:footnoteRef/>
      </w:r>
      <w:r w:rsidRPr="00B35761">
        <w:rPr>
          <w:rFonts w:ascii="Times New Roman" w:hAnsi="Times New Roman"/>
        </w:rPr>
        <w:t xml:space="preserve"> BLS Employment Cost Index, December 2016, Table 11. </w:t>
      </w:r>
      <w:hyperlink r:id="rId2" w:history="1">
        <w:r w:rsidRPr="00B35761">
          <w:rPr>
            <w:rStyle w:val="Hyperlink"/>
            <w:rFonts w:ascii="Times New Roman" w:hAnsi="Times New Roman"/>
          </w:rPr>
          <w:t>https://www.bls.gov/news.release/eci.t11.htm</w:t>
        </w:r>
      </w:hyperlink>
      <w:r w:rsidRPr="00B35761">
        <w:rPr>
          <w:rFonts w:ascii="Times New Roman" w:hAnsi="Times New Roman"/>
        </w:rPr>
        <w:t>. For these employees, BLS data show wages increased 2.1% from 2015 to 2016.  This increase was included to adjust for inflation in the wage data from 2015 to 2016.</w:t>
      </w:r>
    </w:p>
    <w:p w14:paraId="36CA30E0" w14:textId="77777777" w:rsidR="005202DD" w:rsidRPr="00003701" w:rsidRDefault="005202DD" w:rsidP="002320B3">
      <w:pPr>
        <w:pStyle w:val="footnote"/>
        <w:jc w:val="left"/>
        <w:rPr>
          <w:rFonts w:ascii="Times New Roman" w:hAnsi="Times New Roman"/>
        </w:rPr>
      </w:pPr>
      <w:r w:rsidRPr="00B35761">
        <w:rPr>
          <w:rFonts w:ascii="Times New Roman" w:hAnsi="Times New Roman"/>
        </w:rPr>
        <w:t xml:space="preserve">BLS Employer Cost for Employee Compensation, December 2016, Table 3. </w:t>
      </w:r>
      <w:hyperlink r:id="rId3" w:history="1">
        <w:r w:rsidRPr="00B35761">
          <w:rPr>
            <w:rStyle w:val="Hyperlink"/>
            <w:rFonts w:ascii="Times New Roman" w:hAnsi="Times New Roman"/>
          </w:rPr>
          <w:t>https://www.bls.gov/news.release/archives/ecec_03172017.pdf</w:t>
        </w:r>
      </w:hyperlink>
      <w:r w:rsidRPr="00B35761">
        <w:rPr>
          <w:rFonts w:ascii="Times New Roman" w:hAnsi="Times New Roman"/>
        </w:rPr>
        <w:br/>
        <w:t xml:space="preserve">For these employees, BLS data show wages as 63% of total </w:t>
      </w:r>
      <w:r w:rsidRPr="00003701">
        <w:rPr>
          <w:rFonts w:ascii="Times New Roman" w:hAnsi="Times New Roman"/>
        </w:rPr>
        <w:t>compensation, with benefits at 37%.</w:t>
      </w:r>
    </w:p>
  </w:footnote>
  <w:footnote w:id="5">
    <w:p w14:paraId="285A74AF" w14:textId="6C0F741D" w:rsidR="005202DD" w:rsidRPr="00003701" w:rsidRDefault="005202DD">
      <w:pPr>
        <w:pStyle w:val="FootnoteText"/>
        <w:rPr>
          <w:rFonts w:ascii="Times New Roman" w:hAnsi="Times New Roman" w:cs="Times New Roman"/>
        </w:rPr>
      </w:pPr>
      <w:r w:rsidRPr="00003701">
        <w:rPr>
          <w:rStyle w:val="FootnoteReference"/>
          <w:rFonts w:ascii="Times New Roman" w:hAnsi="Times New Roman" w:cs="Times New Roman"/>
        </w:rPr>
        <w:footnoteRef/>
      </w:r>
      <w:r w:rsidRPr="00003701">
        <w:rPr>
          <w:rFonts w:ascii="Times New Roman" w:hAnsi="Times New Roman" w:cs="Times New Roman"/>
        </w:rPr>
        <w:t xml:space="preserve"> https://www.ssa.gov/oact/cola/awidevelop.html</w:t>
      </w:r>
    </w:p>
  </w:footnote>
  <w:footnote w:id="6">
    <w:p w14:paraId="05C1C2DE" w14:textId="24F5C17C" w:rsidR="005202DD" w:rsidRPr="00A73063" w:rsidRDefault="005202DD" w:rsidP="00C74115">
      <w:pPr>
        <w:pStyle w:val="FootnoteText"/>
        <w:rPr>
          <w:rFonts w:ascii="Times New Roman" w:hAnsi="Times New Roman" w:cs="Times New Roman"/>
        </w:rPr>
      </w:pPr>
      <w:r w:rsidRPr="00A73063">
        <w:rPr>
          <w:rStyle w:val="FootnoteReference"/>
          <w:rFonts w:ascii="Times New Roman" w:hAnsi="Times New Roman" w:cs="Times New Roman"/>
        </w:rPr>
        <w:footnoteRef/>
      </w:r>
      <w:r w:rsidRPr="00A73063">
        <w:rPr>
          <w:rFonts w:ascii="Times New Roman" w:hAnsi="Times New Roman" w:cs="Times New Roman"/>
        </w:rPr>
        <w:t xml:space="preserve"> The 2022 annual general schedule salary for a grade 12, step 5 employee in Washington, D.C. is $101,813. An employer-provided benefits multiplier of 1.587 was applied to the salary, which was then divided by 2080 to determine the hourly rate.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AB6"/>
    <w:multiLevelType w:val="hybridMultilevel"/>
    <w:tmpl w:val="A3687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C4AF5"/>
    <w:multiLevelType w:val="hybridMultilevel"/>
    <w:tmpl w:val="A4BC50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D4F84"/>
    <w:multiLevelType w:val="hybridMultilevel"/>
    <w:tmpl w:val="6212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92C26"/>
    <w:multiLevelType w:val="hybridMultilevel"/>
    <w:tmpl w:val="403CBBEC"/>
    <w:lvl w:ilvl="0" w:tplc="FC46AD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2467D"/>
    <w:multiLevelType w:val="hybridMultilevel"/>
    <w:tmpl w:val="FE64E9B4"/>
    <w:lvl w:ilvl="0" w:tplc="A976A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A92396"/>
    <w:multiLevelType w:val="hybridMultilevel"/>
    <w:tmpl w:val="B928B6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781C6E"/>
    <w:multiLevelType w:val="hybridMultilevel"/>
    <w:tmpl w:val="5F3AD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EE245B"/>
    <w:multiLevelType w:val="hybridMultilevel"/>
    <w:tmpl w:val="9F3E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479E1"/>
    <w:multiLevelType w:val="hybridMultilevel"/>
    <w:tmpl w:val="09D20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E17FE5"/>
    <w:multiLevelType w:val="hybridMultilevel"/>
    <w:tmpl w:val="0A942414"/>
    <w:lvl w:ilvl="0" w:tplc="3AC64E30">
      <w:start w:val="15"/>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F860B29"/>
    <w:multiLevelType w:val="hybridMultilevel"/>
    <w:tmpl w:val="F9A27336"/>
    <w:lvl w:ilvl="0" w:tplc="3AEA6F0E">
      <w:start w:val="1"/>
      <w:numFmt w:val="lowerLetter"/>
      <w:lvlText w:val="(%1)"/>
      <w:lvlJc w:val="left"/>
      <w:pPr>
        <w:ind w:left="1830" w:hanging="111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81DE6"/>
    <w:multiLevelType w:val="hybridMultilevel"/>
    <w:tmpl w:val="89A4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5314BB"/>
    <w:multiLevelType w:val="hybridMultilevel"/>
    <w:tmpl w:val="8766B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366E5"/>
    <w:multiLevelType w:val="hybridMultilevel"/>
    <w:tmpl w:val="60924D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2734EF"/>
    <w:multiLevelType w:val="hybridMultilevel"/>
    <w:tmpl w:val="D3480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6E3EE1"/>
    <w:multiLevelType w:val="hybridMultilevel"/>
    <w:tmpl w:val="83F6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A53AD"/>
    <w:multiLevelType w:val="hybridMultilevel"/>
    <w:tmpl w:val="9A08A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9F05D6"/>
    <w:multiLevelType w:val="hybridMultilevel"/>
    <w:tmpl w:val="3F04F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ED5445"/>
    <w:multiLevelType w:val="hybridMultilevel"/>
    <w:tmpl w:val="0658B444"/>
    <w:lvl w:ilvl="0" w:tplc="1FE850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62574"/>
    <w:multiLevelType w:val="hybridMultilevel"/>
    <w:tmpl w:val="56CEB3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F187D"/>
    <w:multiLevelType w:val="hybridMultilevel"/>
    <w:tmpl w:val="853A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D5CFD"/>
    <w:multiLevelType w:val="hybridMultilevel"/>
    <w:tmpl w:val="4E7C3D30"/>
    <w:lvl w:ilvl="0" w:tplc="8746E96A">
      <w:start w:val="1"/>
      <w:numFmt w:val="decimal"/>
      <w:lvlText w:val="(%1)"/>
      <w:lvlJc w:val="left"/>
      <w:pPr>
        <w:ind w:left="1515" w:hanging="40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2" w15:restartNumberingAfterBreak="0">
    <w:nsid w:val="3B87693C"/>
    <w:multiLevelType w:val="hybridMultilevel"/>
    <w:tmpl w:val="E018A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1F0BBC"/>
    <w:multiLevelType w:val="hybridMultilevel"/>
    <w:tmpl w:val="B8148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208DE"/>
    <w:multiLevelType w:val="hybridMultilevel"/>
    <w:tmpl w:val="83724C9C"/>
    <w:lvl w:ilvl="0" w:tplc="E416A6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96197C"/>
    <w:multiLevelType w:val="hybridMultilevel"/>
    <w:tmpl w:val="A538D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CC0268"/>
    <w:multiLevelType w:val="hybridMultilevel"/>
    <w:tmpl w:val="EDAA1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1047DA"/>
    <w:multiLevelType w:val="hybridMultilevel"/>
    <w:tmpl w:val="66D2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5098D"/>
    <w:multiLevelType w:val="hybridMultilevel"/>
    <w:tmpl w:val="4FB4F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7469E5"/>
    <w:multiLevelType w:val="hybridMultilevel"/>
    <w:tmpl w:val="83A826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4C442E"/>
    <w:multiLevelType w:val="hybridMultilevel"/>
    <w:tmpl w:val="C3564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7E2988"/>
    <w:multiLevelType w:val="hybridMultilevel"/>
    <w:tmpl w:val="DD48A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FA1037"/>
    <w:multiLevelType w:val="hybridMultilevel"/>
    <w:tmpl w:val="828226BE"/>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33" w15:restartNumberingAfterBreak="0">
    <w:nsid w:val="7AFC6CC5"/>
    <w:multiLevelType w:val="hybridMultilevel"/>
    <w:tmpl w:val="36629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6077E6"/>
    <w:multiLevelType w:val="hybridMultilevel"/>
    <w:tmpl w:val="ECF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534DF"/>
    <w:multiLevelType w:val="hybridMultilevel"/>
    <w:tmpl w:val="F54647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2364C2"/>
    <w:multiLevelType w:val="hybridMultilevel"/>
    <w:tmpl w:val="7FCE7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8"/>
  </w:num>
  <w:num w:numId="3">
    <w:abstractNumId w:val="0"/>
  </w:num>
  <w:num w:numId="4">
    <w:abstractNumId w:val="30"/>
  </w:num>
  <w:num w:numId="5">
    <w:abstractNumId w:val="17"/>
  </w:num>
  <w:num w:numId="6">
    <w:abstractNumId w:val="24"/>
  </w:num>
  <w:num w:numId="7">
    <w:abstractNumId w:val="26"/>
  </w:num>
  <w:num w:numId="8">
    <w:abstractNumId w:val="16"/>
  </w:num>
  <w:num w:numId="9">
    <w:abstractNumId w:val="4"/>
  </w:num>
  <w:num w:numId="10">
    <w:abstractNumId w:val="6"/>
  </w:num>
  <w:num w:numId="11">
    <w:abstractNumId w:val="23"/>
  </w:num>
  <w:num w:numId="12">
    <w:abstractNumId w:val="12"/>
  </w:num>
  <w:num w:numId="13">
    <w:abstractNumId w:val="25"/>
  </w:num>
  <w:num w:numId="14">
    <w:abstractNumId w:val="3"/>
  </w:num>
  <w:num w:numId="15">
    <w:abstractNumId w:val="35"/>
  </w:num>
  <w:num w:numId="16">
    <w:abstractNumId w:val="28"/>
  </w:num>
  <w:num w:numId="17">
    <w:abstractNumId w:val="33"/>
  </w:num>
  <w:num w:numId="18">
    <w:abstractNumId w:val="11"/>
  </w:num>
  <w:num w:numId="19">
    <w:abstractNumId w:val="13"/>
  </w:num>
  <w:num w:numId="20">
    <w:abstractNumId w:val="20"/>
  </w:num>
  <w:num w:numId="21">
    <w:abstractNumId w:val="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9"/>
  </w:num>
  <w:num w:numId="25">
    <w:abstractNumId w:val="27"/>
  </w:num>
  <w:num w:numId="26">
    <w:abstractNumId w:val="34"/>
  </w:num>
  <w:num w:numId="27">
    <w:abstractNumId w:val="8"/>
  </w:num>
  <w:num w:numId="28">
    <w:abstractNumId w:val="32"/>
  </w:num>
  <w:num w:numId="29">
    <w:abstractNumId w:val="10"/>
  </w:num>
  <w:num w:numId="30">
    <w:abstractNumId w:val="21"/>
  </w:num>
  <w:num w:numId="31">
    <w:abstractNumId w:val="2"/>
  </w:num>
  <w:num w:numId="32">
    <w:abstractNumId w:val="36"/>
  </w:num>
  <w:num w:numId="33">
    <w:abstractNumId w:val="31"/>
  </w:num>
  <w:num w:numId="34">
    <w:abstractNumId w:val="1"/>
  </w:num>
  <w:num w:numId="35">
    <w:abstractNumId w:val="5"/>
  </w:num>
  <w:num w:numId="36">
    <w:abstractNumId w:val="14"/>
  </w:num>
  <w:num w:numId="37">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D9"/>
    <w:rsid w:val="00000ED4"/>
    <w:rsid w:val="00002A88"/>
    <w:rsid w:val="00003701"/>
    <w:rsid w:val="000161B0"/>
    <w:rsid w:val="0003397C"/>
    <w:rsid w:val="00033B5E"/>
    <w:rsid w:val="00035CF0"/>
    <w:rsid w:val="000453C2"/>
    <w:rsid w:val="00053284"/>
    <w:rsid w:val="00053848"/>
    <w:rsid w:val="000543A7"/>
    <w:rsid w:val="00056840"/>
    <w:rsid w:val="000629FB"/>
    <w:rsid w:val="00063478"/>
    <w:rsid w:val="00063628"/>
    <w:rsid w:val="000645FD"/>
    <w:rsid w:val="000714B8"/>
    <w:rsid w:val="000716C7"/>
    <w:rsid w:val="000818A3"/>
    <w:rsid w:val="000826C3"/>
    <w:rsid w:val="00086708"/>
    <w:rsid w:val="000934F8"/>
    <w:rsid w:val="000A033E"/>
    <w:rsid w:val="000A1EBE"/>
    <w:rsid w:val="000B0489"/>
    <w:rsid w:val="000B3B61"/>
    <w:rsid w:val="000C3B8F"/>
    <w:rsid w:val="000C77CA"/>
    <w:rsid w:val="000C7F2B"/>
    <w:rsid w:val="000D1F14"/>
    <w:rsid w:val="000D426C"/>
    <w:rsid w:val="000D431A"/>
    <w:rsid w:val="000D487A"/>
    <w:rsid w:val="000D61C8"/>
    <w:rsid w:val="000E093A"/>
    <w:rsid w:val="000E77B0"/>
    <w:rsid w:val="000F6C2A"/>
    <w:rsid w:val="000F728E"/>
    <w:rsid w:val="001018A7"/>
    <w:rsid w:val="001054E1"/>
    <w:rsid w:val="00105D49"/>
    <w:rsid w:val="00116685"/>
    <w:rsid w:val="00117643"/>
    <w:rsid w:val="00122928"/>
    <w:rsid w:val="00122D5B"/>
    <w:rsid w:val="00124919"/>
    <w:rsid w:val="001276FE"/>
    <w:rsid w:val="001324C8"/>
    <w:rsid w:val="001338CC"/>
    <w:rsid w:val="00136A4F"/>
    <w:rsid w:val="0013700D"/>
    <w:rsid w:val="0014017C"/>
    <w:rsid w:val="00143E2B"/>
    <w:rsid w:val="00146D66"/>
    <w:rsid w:val="00147D24"/>
    <w:rsid w:val="00150AE4"/>
    <w:rsid w:val="00154557"/>
    <w:rsid w:val="00156631"/>
    <w:rsid w:val="001568A7"/>
    <w:rsid w:val="00164BF5"/>
    <w:rsid w:val="00170A58"/>
    <w:rsid w:val="0017346B"/>
    <w:rsid w:val="00173DF8"/>
    <w:rsid w:val="00176FF6"/>
    <w:rsid w:val="00181E6D"/>
    <w:rsid w:val="00185AE6"/>
    <w:rsid w:val="001878EA"/>
    <w:rsid w:val="00190425"/>
    <w:rsid w:val="001A0D10"/>
    <w:rsid w:val="001A1513"/>
    <w:rsid w:val="001B158B"/>
    <w:rsid w:val="001C19D9"/>
    <w:rsid w:val="001C61B7"/>
    <w:rsid w:val="001D5EB7"/>
    <w:rsid w:val="001E21A3"/>
    <w:rsid w:val="001E2948"/>
    <w:rsid w:val="001E5157"/>
    <w:rsid w:val="001F1EDC"/>
    <w:rsid w:val="001F68D4"/>
    <w:rsid w:val="002060CA"/>
    <w:rsid w:val="00212AC1"/>
    <w:rsid w:val="00213876"/>
    <w:rsid w:val="00215DDA"/>
    <w:rsid w:val="00223D3B"/>
    <w:rsid w:val="00223F4E"/>
    <w:rsid w:val="002320B3"/>
    <w:rsid w:val="00243626"/>
    <w:rsid w:val="0024385D"/>
    <w:rsid w:val="00245EF6"/>
    <w:rsid w:val="00250690"/>
    <w:rsid w:val="0025136B"/>
    <w:rsid w:val="002550A7"/>
    <w:rsid w:val="00256E72"/>
    <w:rsid w:val="0026546F"/>
    <w:rsid w:val="002672A4"/>
    <w:rsid w:val="0027566B"/>
    <w:rsid w:val="00283315"/>
    <w:rsid w:val="00292664"/>
    <w:rsid w:val="00293C8E"/>
    <w:rsid w:val="00295CD4"/>
    <w:rsid w:val="0029649F"/>
    <w:rsid w:val="002A26F7"/>
    <w:rsid w:val="002B016F"/>
    <w:rsid w:val="002B09A7"/>
    <w:rsid w:val="002B1A95"/>
    <w:rsid w:val="002B3E82"/>
    <w:rsid w:val="002C0516"/>
    <w:rsid w:val="002C0833"/>
    <w:rsid w:val="002C1AD6"/>
    <w:rsid w:val="002C7567"/>
    <w:rsid w:val="002E676F"/>
    <w:rsid w:val="002E7421"/>
    <w:rsid w:val="002F6627"/>
    <w:rsid w:val="0030035F"/>
    <w:rsid w:val="00303296"/>
    <w:rsid w:val="003032A9"/>
    <w:rsid w:val="00306CB7"/>
    <w:rsid w:val="00307E7A"/>
    <w:rsid w:val="00310AAE"/>
    <w:rsid w:val="00311E84"/>
    <w:rsid w:val="00312B4F"/>
    <w:rsid w:val="0031443E"/>
    <w:rsid w:val="00320E19"/>
    <w:rsid w:val="00322CE6"/>
    <w:rsid w:val="003253F2"/>
    <w:rsid w:val="0033174C"/>
    <w:rsid w:val="00331A1A"/>
    <w:rsid w:val="003324D1"/>
    <w:rsid w:val="003407A8"/>
    <w:rsid w:val="00342FFD"/>
    <w:rsid w:val="00344F1F"/>
    <w:rsid w:val="00356E06"/>
    <w:rsid w:val="003607BE"/>
    <w:rsid w:val="00360E37"/>
    <w:rsid w:val="003729D7"/>
    <w:rsid w:val="003779E3"/>
    <w:rsid w:val="00386262"/>
    <w:rsid w:val="00392E77"/>
    <w:rsid w:val="00392E98"/>
    <w:rsid w:val="00394108"/>
    <w:rsid w:val="003A2C10"/>
    <w:rsid w:val="003A36DB"/>
    <w:rsid w:val="003B0DBC"/>
    <w:rsid w:val="003B19D8"/>
    <w:rsid w:val="003B2E41"/>
    <w:rsid w:val="003B3968"/>
    <w:rsid w:val="003B5229"/>
    <w:rsid w:val="003B73CA"/>
    <w:rsid w:val="003C40A7"/>
    <w:rsid w:val="003C45E2"/>
    <w:rsid w:val="003D7172"/>
    <w:rsid w:val="003D7285"/>
    <w:rsid w:val="003E01FB"/>
    <w:rsid w:val="003E0B71"/>
    <w:rsid w:val="003E23D0"/>
    <w:rsid w:val="003E35AD"/>
    <w:rsid w:val="003E515B"/>
    <w:rsid w:val="003E5443"/>
    <w:rsid w:val="003E7E09"/>
    <w:rsid w:val="003F678F"/>
    <w:rsid w:val="003F71FB"/>
    <w:rsid w:val="00400B7B"/>
    <w:rsid w:val="00400C75"/>
    <w:rsid w:val="00405A23"/>
    <w:rsid w:val="0041087D"/>
    <w:rsid w:val="00411D73"/>
    <w:rsid w:val="004130AE"/>
    <w:rsid w:val="00413C77"/>
    <w:rsid w:val="004172FB"/>
    <w:rsid w:val="0042156B"/>
    <w:rsid w:val="004271CA"/>
    <w:rsid w:val="00434670"/>
    <w:rsid w:val="00435CF4"/>
    <w:rsid w:val="0044744E"/>
    <w:rsid w:val="00451C8A"/>
    <w:rsid w:val="00455455"/>
    <w:rsid w:val="00455E1B"/>
    <w:rsid w:val="00455F8D"/>
    <w:rsid w:val="00457816"/>
    <w:rsid w:val="00460471"/>
    <w:rsid w:val="00461814"/>
    <w:rsid w:val="004618C1"/>
    <w:rsid w:val="004644EC"/>
    <w:rsid w:val="0047611C"/>
    <w:rsid w:val="00480D7B"/>
    <w:rsid w:val="004824E2"/>
    <w:rsid w:val="004841D5"/>
    <w:rsid w:val="00484243"/>
    <w:rsid w:val="004853F0"/>
    <w:rsid w:val="00485418"/>
    <w:rsid w:val="00492FA3"/>
    <w:rsid w:val="0049372F"/>
    <w:rsid w:val="00497EB3"/>
    <w:rsid w:val="004A03D8"/>
    <w:rsid w:val="004A0BBF"/>
    <w:rsid w:val="004A1871"/>
    <w:rsid w:val="004A4502"/>
    <w:rsid w:val="004A6632"/>
    <w:rsid w:val="004B6B40"/>
    <w:rsid w:val="004C0721"/>
    <w:rsid w:val="004C4E6D"/>
    <w:rsid w:val="004C6AE6"/>
    <w:rsid w:val="004C6FFF"/>
    <w:rsid w:val="004C7DDA"/>
    <w:rsid w:val="004D2027"/>
    <w:rsid w:val="004D6792"/>
    <w:rsid w:val="004D7AE6"/>
    <w:rsid w:val="004E2AB6"/>
    <w:rsid w:val="004E3FBA"/>
    <w:rsid w:val="004E6329"/>
    <w:rsid w:val="004F0ACA"/>
    <w:rsid w:val="0050400A"/>
    <w:rsid w:val="00504978"/>
    <w:rsid w:val="005059F8"/>
    <w:rsid w:val="005063AA"/>
    <w:rsid w:val="00507D29"/>
    <w:rsid w:val="005164F9"/>
    <w:rsid w:val="00516DE7"/>
    <w:rsid w:val="0051767D"/>
    <w:rsid w:val="005202DD"/>
    <w:rsid w:val="00527455"/>
    <w:rsid w:val="00533C1D"/>
    <w:rsid w:val="00533CF0"/>
    <w:rsid w:val="0053534E"/>
    <w:rsid w:val="00537014"/>
    <w:rsid w:val="005454CD"/>
    <w:rsid w:val="00546B46"/>
    <w:rsid w:val="00552B16"/>
    <w:rsid w:val="00554822"/>
    <w:rsid w:val="00562093"/>
    <w:rsid w:val="00562419"/>
    <w:rsid w:val="00563897"/>
    <w:rsid w:val="00566E65"/>
    <w:rsid w:val="00584097"/>
    <w:rsid w:val="00587393"/>
    <w:rsid w:val="0059280A"/>
    <w:rsid w:val="00593C30"/>
    <w:rsid w:val="00595F74"/>
    <w:rsid w:val="00597A50"/>
    <w:rsid w:val="005A3E9C"/>
    <w:rsid w:val="005A7C16"/>
    <w:rsid w:val="005B0E66"/>
    <w:rsid w:val="005B2455"/>
    <w:rsid w:val="005B3BD1"/>
    <w:rsid w:val="005B7453"/>
    <w:rsid w:val="005C06AE"/>
    <w:rsid w:val="005D3093"/>
    <w:rsid w:val="005D39F7"/>
    <w:rsid w:val="005D3EA2"/>
    <w:rsid w:val="005D7E7B"/>
    <w:rsid w:val="005E1AD6"/>
    <w:rsid w:val="005E25D2"/>
    <w:rsid w:val="005E3C0B"/>
    <w:rsid w:val="005E63DF"/>
    <w:rsid w:val="005F2233"/>
    <w:rsid w:val="005F3CC0"/>
    <w:rsid w:val="005F50F6"/>
    <w:rsid w:val="005F565A"/>
    <w:rsid w:val="006017A1"/>
    <w:rsid w:val="006026A6"/>
    <w:rsid w:val="00607931"/>
    <w:rsid w:val="00614206"/>
    <w:rsid w:val="00622E64"/>
    <w:rsid w:val="006347BB"/>
    <w:rsid w:val="00636AFE"/>
    <w:rsid w:val="00640FDD"/>
    <w:rsid w:val="00641366"/>
    <w:rsid w:val="00641755"/>
    <w:rsid w:val="00641A35"/>
    <w:rsid w:val="00642234"/>
    <w:rsid w:val="00645607"/>
    <w:rsid w:val="006463F6"/>
    <w:rsid w:val="00652673"/>
    <w:rsid w:val="00657292"/>
    <w:rsid w:val="0067057A"/>
    <w:rsid w:val="0067152B"/>
    <w:rsid w:val="00674041"/>
    <w:rsid w:val="006740D4"/>
    <w:rsid w:val="006808C8"/>
    <w:rsid w:val="006816E9"/>
    <w:rsid w:val="0068224C"/>
    <w:rsid w:val="00682F6D"/>
    <w:rsid w:val="00687FD1"/>
    <w:rsid w:val="00691CDE"/>
    <w:rsid w:val="0069212D"/>
    <w:rsid w:val="006933BF"/>
    <w:rsid w:val="0069347E"/>
    <w:rsid w:val="00694CE1"/>
    <w:rsid w:val="006A05C5"/>
    <w:rsid w:val="006A2039"/>
    <w:rsid w:val="006A299E"/>
    <w:rsid w:val="006A35B8"/>
    <w:rsid w:val="006A4CEB"/>
    <w:rsid w:val="006A5AA4"/>
    <w:rsid w:val="006A5B70"/>
    <w:rsid w:val="006A78B4"/>
    <w:rsid w:val="006B2975"/>
    <w:rsid w:val="006B3D67"/>
    <w:rsid w:val="006C5535"/>
    <w:rsid w:val="006C66AF"/>
    <w:rsid w:val="006C70CC"/>
    <w:rsid w:val="006D12E7"/>
    <w:rsid w:val="006D59E1"/>
    <w:rsid w:val="006D74F1"/>
    <w:rsid w:val="006E1CD6"/>
    <w:rsid w:val="006E4FBE"/>
    <w:rsid w:val="006E5E85"/>
    <w:rsid w:val="006F6253"/>
    <w:rsid w:val="007019B6"/>
    <w:rsid w:val="007054AA"/>
    <w:rsid w:val="00715C6C"/>
    <w:rsid w:val="0071647F"/>
    <w:rsid w:val="00716CE9"/>
    <w:rsid w:val="0072591D"/>
    <w:rsid w:val="0073004C"/>
    <w:rsid w:val="0073148D"/>
    <w:rsid w:val="00732B5A"/>
    <w:rsid w:val="00733450"/>
    <w:rsid w:val="00734FCA"/>
    <w:rsid w:val="00743AA9"/>
    <w:rsid w:val="00746432"/>
    <w:rsid w:val="007467D4"/>
    <w:rsid w:val="00746EF9"/>
    <w:rsid w:val="0075056C"/>
    <w:rsid w:val="0076085C"/>
    <w:rsid w:val="00761979"/>
    <w:rsid w:val="0076393D"/>
    <w:rsid w:val="00764827"/>
    <w:rsid w:val="007707E8"/>
    <w:rsid w:val="00774245"/>
    <w:rsid w:val="0077571D"/>
    <w:rsid w:val="00780D60"/>
    <w:rsid w:val="007818F2"/>
    <w:rsid w:val="00790AD9"/>
    <w:rsid w:val="007A0C09"/>
    <w:rsid w:val="007A1CCB"/>
    <w:rsid w:val="007A466A"/>
    <w:rsid w:val="007B1125"/>
    <w:rsid w:val="007B63C0"/>
    <w:rsid w:val="007B7A53"/>
    <w:rsid w:val="007C131C"/>
    <w:rsid w:val="007C13F1"/>
    <w:rsid w:val="007C17C1"/>
    <w:rsid w:val="007C19ED"/>
    <w:rsid w:val="007C679F"/>
    <w:rsid w:val="007C6A13"/>
    <w:rsid w:val="007C75E4"/>
    <w:rsid w:val="007D1C88"/>
    <w:rsid w:val="007D2059"/>
    <w:rsid w:val="007D77C3"/>
    <w:rsid w:val="007E5BCC"/>
    <w:rsid w:val="007F04E7"/>
    <w:rsid w:val="007F25FD"/>
    <w:rsid w:val="007F4ED5"/>
    <w:rsid w:val="00801BD8"/>
    <w:rsid w:val="00824C05"/>
    <w:rsid w:val="00825030"/>
    <w:rsid w:val="00826D77"/>
    <w:rsid w:val="00840F7E"/>
    <w:rsid w:val="00842D10"/>
    <w:rsid w:val="008542FC"/>
    <w:rsid w:val="0086074B"/>
    <w:rsid w:val="00861723"/>
    <w:rsid w:val="008661D9"/>
    <w:rsid w:val="00872E2C"/>
    <w:rsid w:val="008878FD"/>
    <w:rsid w:val="00892551"/>
    <w:rsid w:val="00892B05"/>
    <w:rsid w:val="00893ABE"/>
    <w:rsid w:val="00894CB8"/>
    <w:rsid w:val="00897684"/>
    <w:rsid w:val="008979FB"/>
    <w:rsid w:val="008A1F38"/>
    <w:rsid w:val="008A333F"/>
    <w:rsid w:val="008A45A4"/>
    <w:rsid w:val="008B3D53"/>
    <w:rsid w:val="008B4CE5"/>
    <w:rsid w:val="008B698F"/>
    <w:rsid w:val="008B7630"/>
    <w:rsid w:val="008C4E2C"/>
    <w:rsid w:val="008D2EB6"/>
    <w:rsid w:val="008D6163"/>
    <w:rsid w:val="008F1B23"/>
    <w:rsid w:val="008F3043"/>
    <w:rsid w:val="008F3B1B"/>
    <w:rsid w:val="008F3D22"/>
    <w:rsid w:val="008F5D01"/>
    <w:rsid w:val="0090244F"/>
    <w:rsid w:val="00907617"/>
    <w:rsid w:val="0091070C"/>
    <w:rsid w:val="00910A61"/>
    <w:rsid w:val="00911B59"/>
    <w:rsid w:val="0091397B"/>
    <w:rsid w:val="00917BFA"/>
    <w:rsid w:val="00921A10"/>
    <w:rsid w:val="00921B3C"/>
    <w:rsid w:val="00934E7F"/>
    <w:rsid w:val="009437A3"/>
    <w:rsid w:val="00950D28"/>
    <w:rsid w:val="0095131B"/>
    <w:rsid w:val="009529CC"/>
    <w:rsid w:val="00954D85"/>
    <w:rsid w:val="0095747A"/>
    <w:rsid w:val="00962C48"/>
    <w:rsid w:val="00962D5E"/>
    <w:rsid w:val="00964AB1"/>
    <w:rsid w:val="00965E29"/>
    <w:rsid w:val="00972393"/>
    <w:rsid w:val="00973607"/>
    <w:rsid w:val="00974E72"/>
    <w:rsid w:val="00981B7D"/>
    <w:rsid w:val="00982CAD"/>
    <w:rsid w:val="00983537"/>
    <w:rsid w:val="00984269"/>
    <w:rsid w:val="009868C1"/>
    <w:rsid w:val="009923C9"/>
    <w:rsid w:val="00994FC0"/>
    <w:rsid w:val="009967E3"/>
    <w:rsid w:val="0099693C"/>
    <w:rsid w:val="009A0171"/>
    <w:rsid w:val="009A1C72"/>
    <w:rsid w:val="009A35AC"/>
    <w:rsid w:val="009B584C"/>
    <w:rsid w:val="009C018B"/>
    <w:rsid w:val="009C104C"/>
    <w:rsid w:val="009D394F"/>
    <w:rsid w:val="009D5714"/>
    <w:rsid w:val="009D5A04"/>
    <w:rsid w:val="009D7027"/>
    <w:rsid w:val="009E2D03"/>
    <w:rsid w:val="009E39E3"/>
    <w:rsid w:val="009E4F8C"/>
    <w:rsid w:val="009E7A6F"/>
    <w:rsid w:val="009F7AF8"/>
    <w:rsid w:val="00A04113"/>
    <w:rsid w:val="00A05CE8"/>
    <w:rsid w:val="00A10479"/>
    <w:rsid w:val="00A10AC3"/>
    <w:rsid w:val="00A17015"/>
    <w:rsid w:val="00A23D53"/>
    <w:rsid w:val="00A244F4"/>
    <w:rsid w:val="00A26F34"/>
    <w:rsid w:val="00A3194B"/>
    <w:rsid w:val="00A33EA0"/>
    <w:rsid w:val="00A4406C"/>
    <w:rsid w:val="00A44FC8"/>
    <w:rsid w:val="00A51564"/>
    <w:rsid w:val="00A60FF3"/>
    <w:rsid w:val="00A61279"/>
    <w:rsid w:val="00A63334"/>
    <w:rsid w:val="00A6452E"/>
    <w:rsid w:val="00A64A97"/>
    <w:rsid w:val="00A66850"/>
    <w:rsid w:val="00A73063"/>
    <w:rsid w:val="00A75EC7"/>
    <w:rsid w:val="00A80CF7"/>
    <w:rsid w:val="00A83077"/>
    <w:rsid w:val="00A831B9"/>
    <w:rsid w:val="00A8495C"/>
    <w:rsid w:val="00A865D0"/>
    <w:rsid w:val="00A9221E"/>
    <w:rsid w:val="00A93B65"/>
    <w:rsid w:val="00A95D43"/>
    <w:rsid w:val="00A97B44"/>
    <w:rsid w:val="00AA0DC1"/>
    <w:rsid w:val="00AA319F"/>
    <w:rsid w:val="00AB21BF"/>
    <w:rsid w:val="00AB36CF"/>
    <w:rsid w:val="00AB6823"/>
    <w:rsid w:val="00AB7028"/>
    <w:rsid w:val="00AC28AA"/>
    <w:rsid w:val="00AD370D"/>
    <w:rsid w:val="00AD75CB"/>
    <w:rsid w:val="00AE4CF9"/>
    <w:rsid w:val="00AE6116"/>
    <w:rsid w:val="00B001DA"/>
    <w:rsid w:val="00B01EB6"/>
    <w:rsid w:val="00B04205"/>
    <w:rsid w:val="00B0566C"/>
    <w:rsid w:val="00B17937"/>
    <w:rsid w:val="00B30F11"/>
    <w:rsid w:val="00B35051"/>
    <w:rsid w:val="00B37A96"/>
    <w:rsid w:val="00B42F97"/>
    <w:rsid w:val="00B5029F"/>
    <w:rsid w:val="00B50438"/>
    <w:rsid w:val="00B53E94"/>
    <w:rsid w:val="00B641DF"/>
    <w:rsid w:val="00B645ED"/>
    <w:rsid w:val="00B64DF8"/>
    <w:rsid w:val="00B65FAC"/>
    <w:rsid w:val="00B70E53"/>
    <w:rsid w:val="00B72EB2"/>
    <w:rsid w:val="00B76453"/>
    <w:rsid w:val="00B83D36"/>
    <w:rsid w:val="00B9099C"/>
    <w:rsid w:val="00B918FE"/>
    <w:rsid w:val="00B92AAD"/>
    <w:rsid w:val="00B9547C"/>
    <w:rsid w:val="00B95C28"/>
    <w:rsid w:val="00B970A0"/>
    <w:rsid w:val="00BA1AF8"/>
    <w:rsid w:val="00BA2189"/>
    <w:rsid w:val="00BA3A4D"/>
    <w:rsid w:val="00BB0187"/>
    <w:rsid w:val="00BB2D5F"/>
    <w:rsid w:val="00BC5E37"/>
    <w:rsid w:val="00BD1DF5"/>
    <w:rsid w:val="00BD7185"/>
    <w:rsid w:val="00BE2429"/>
    <w:rsid w:val="00BF137A"/>
    <w:rsid w:val="00BF1489"/>
    <w:rsid w:val="00BF226A"/>
    <w:rsid w:val="00BF6B85"/>
    <w:rsid w:val="00BF6F4D"/>
    <w:rsid w:val="00C04200"/>
    <w:rsid w:val="00C05408"/>
    <w:rsid w:val="00C0561F"/>
    <w:rsid w:val="00C06C35"/>
    <w:rsid w:val="00C07C11"/>
    <w:rsid w:val="00C13663"/>
    <w:rsid w:val="00C14851"/>
    <w:rsid w:val="00C14DE5"/>
    <w:rsid w:val="00C17D52"/>
    <w:rsid w:val="00C23AC1"/>
    <w:rsid w:val="00C2468B"/>
    <w:rsid w:val="00C26E31"/>
    <w:rsid w:val="00C30B36"/>
    <w:rsid w:val="00C30FE2"/>
    <w:rsid w:val="00C32AD0"/>
    <w:rsid w:val="00C35514"/>
    <w:rsid w:val="00C37644"/>
    <w:rsid w:val="00C4024A"/>
    <w:rsid w:val="00C41250"/>
    <w:rsid w:val="00C414A5"/>
    <w:rsid w:val="00C45EF4"/>
    <w:rsid w:val="00C47EAD"/>
    <w:rsid w:val="00C56397"/>
    <w:rsid w:val="00C62537"/>
    <w:rsid w:val="00C703D3"/>
    <w:rsid w:val="00C74115"/>
    <w:rsid w:val="00C75C26"/>
    <w:rsid w:val="00C82052"/>
    <w:rsid w:val="00C82103"/>
    <w:rsid w:val="00C85B8B"/>
    <w:rsid w:val="00C90675"/>
    <w:rsid w:val="00C90F35"/>
    <w:rsid w:val="00C95A38"/>
    <w:rsid w:val="00CB274B"/>
    <w:rsid w:val="00CB29B3"/>
    <w:rsid w:val="00CC5F8A"/>
    <w:rsid w:val="00CD21BE"/>
    <w:rsid w:val="00CD2A07"/>
    <w:rsid w:val="00CE0025"/>
    <w:rsid w:val="00CE1E9E"/>
    <w:rsid w:val="00CE238E"/>
    <w:rsid w:val="00CE2F38"/>
    <w:rsid w:val="00CE7761"/>
    <w:rsid w:val="00CF0C2F"/>
    <w:rsid w:val="00CF2257"/>
    <w:rsid w:val="00CF5DC4"/>
    <w:rsid w:val="00CF7D3E"/>
    <w:rsid w:val="00D01D56"/>
    <w:rsid w:val="00D027DF"/>
    <w:rsid w:val="00D02F21"/>
    <w:rsid w:val="00D11675"/>
    <w:rsid w:val="00D11F1A"/>
    <w:rsid w:val="00D13AE2"/>
    <w:rsid w:val="00D16574"/>
    <w:rsid w:val="00D173F8"/>
    <w:rsid w:val="00D2013F"/>
    <w:rsid w:val="00D279AD"/>
    <w:rsid w:val="00D40139"/>
    <w:rsid w:val="00D420E7"/>
    <w:rsid w:val="00D50F09"/>
    <w:rsid w:val="00D51738"/>
    <w:rsid w:val="00D51F2A"/>
    <w:rsid w:val="00D71A01"/>
    <w:rsid w:val="00D84420"/>
    <w:rsid w:val="00D917CD"/>
    <w:rsid w:val="00D93041"/>
    <w:rsid w:val="00D9534E"/>
    <w:rsid w:val="00DA537E"/>
    <w:rsid w:val="00DA7106"/>
    <w:rsid w:val="00DA730E"/>
    <w:rsid w:val="00DB0A1F"/>
    <w:rsid w:val="00DB5151"/>
    <w:rsid w:val="00DB6403"/>
    <w:rsid w:val="00DB6EFD"/>
    <w:rsid w:val="00DC0DF8"/>
    <w:rsid w:val="00DC1F16"/>
    <w:rsid w:val="00DC7A4A"/>
    <w:rsid w:val="00DD6F0B"/>
    <w:rsid w:val="00DD7BF5"/>
    <w:rsid w:val="00DE035F"/>
    <w:rsid w:val="00DE6722"/>
    <w:rsid w:val="00DF08A3"/>
    <w:rsid w:val="00DF3939"/>
    <w:rsid w:val="00DF66D9"/>
    <w:rsid w:val="00DF7BB1"/>
    <w:rsid w:val="00E0076F"/>
    <w:rsid w:val="00E0110A"/>
    <w:rsid w:val="00E01639"/>
    <w:rsid w:val="00E039F3"/>
    <w:rsid w:val="00E03B43"/>
    <w:rsid w:val="00E06335"/>
    <w:rsid w:val="00E10805"/>
    <w:rsid w:val="00E1654B"/>
    <w:rsid w:val="00E17FE4"/>
    <w:rsid w:val="00E2336F"/>
    <w:rsid w:val="00E263C1"/>
    <w:rsid w:val="00E26455"/>
    <w:rsid w:val="00E27E4A"/>
    <w:rsid w:val="00E32436"/>
    <w:rsid w:val="00E33573"/>
    <w:rsid w:val="00E36312"/>
    <w:rsid w:val="00E370C2"/>
    <w:rsid w:val="00E37F70"/>
    <w:rsid w:val="00E4024F"/>
    <w:rsid w:val="00E40CE3"/>
    <w:rsid w:val="00E50316"/>
    <w:rsid w:val="00E50B58"/>
    <w:rsid w:val="00E53568"/>
    <w:rsid w:val="00E557BA"/>
    <w:rsid w:val="00E55AD0"/>
    <w:rsid w:val="00E57346"/>
    <w:rsid w:val="00E6370E"/>
    <w:rsid w:val="00E637E5"/>
    <w:rsid w:val="00E65747"/>
    <w:rsid w:val="00E66029"/>
    <w:rsid w:val="00E6668B"/>
    <w:rsid w:val="00E66AF3"/>
    <w:rsid w:val="00E71003"/>
    <w:rsid w:val="00E718DD"/>
    <w:rsid w:val="00E71EEB"/>
    <w:rsid w:val="00E76C41"/>
    <w:rsid w:val="00E81B9E"/>
    <w:rsid w:val="00E879C9"/>
    <w:rsid w:val="00E9249E"/>
    <w:rsid w:val="00E960B2"/>
    <w:rsid w:val="00EA142B"/>
    <w:rsid w:val="00EA1F0A"/>
    <w:rsid w:val="00EB1BC0"/>
    <w:rsid w:val="00EB2D57"/>
    <w:rsid w:val="00EB4F6C"/>
    <w:rsid w:val="00EC1C74"/>
    <w:rsid w:val="00EC2623"/>
    <w:rsid w:val="00EC3B48"/>
    <w:rsid w:val="00EC5414"/>
    <w:rsid w:val="00ED74BD"/>
    <w:rsid w:val="00EE2279"/>
    <w:rsid w:val="00EE7486"/>
    <w:rsid w:val="00EF176E"/>
    <w:rsid w:val="00EF18CD"/>
    <w:rsid w:val="00EF7DA3"/>
    <w:rsid w:val="00F04F98"/>
    <w:rsid w:val="00F05A1D"/>
    <w:rsid w:val="00F06046"/>
    <w:rsid w:val="00F064B7"/>
    <w:rsid w:val="00F10F44"/>
    <w:rsid w:val="00F15038"/>
    <w:rsid w:val="00F16485"/>
    <w:rsid w:val="00F176FC"/>
    <w:rsid w:val="00F21238"/>
    <w:rsid w:val="00F26422"/>
    <w:rsid w:val="00F30F30"/>
    <w:rsid w:val="00F32355"/>
    <w:rsid w:val="00F43F23"/>
    <w:rsid w:val="00F453B1"/>
    <w:rsid w:val="00F46DBC"/>
    <w:rsid w:val="00F471AC"/>
    <w:rsid w:val="00F47775"/>
    <w:rsid w:val="00F52433"/>
    <w:rsid w:val="00F556A9"/>
    <w:rsid w:val="00F573E7"/>
    <w:rsid w:val="00F65D86"/>
    <w:rsid w:val="00F666C1"/>
    <w:rsid w:val="00F667B8"/>
    <w:rsid w:val="00F72711"/>
    <w:rsid w:val="00F75F79"/>
    <w:rsid w:val="00F77075"/>
    <w:rsid w:val="00F809CA"/>
    <w:rsid w:val="00F82A37"/>
    <w:rsid w:val="00F87767"/>
    <w:rsid w:val="00F97AE3"/>
    <w:rsid w:val="00FA1659"/>
    <w:rsid w:val="00FA1B19"/>
    <w:rsid w:val="00FA1F3E"/>
    <w:rsid w:val="00FB152D"/>
    <w:rsid w:val="00FB7E2E"/>
    <w:rsid w:val="00FC338A"/>
    <w:rsid w:val="00FC4CB3"/>
    <w:rsid w:val="00FD0156"/>
    <w:rsid w:val="00FD15A5"/>
    <w:rsid w:val="00FD19D7"/>
    <w:rsid w:val="00FD1DA6"/>
    <w:rsid w:val="00FD3B02"/>
    <w:rsid w:val="00FD7F2C"/>
    <w:rsid w:val="00FE158F"/>
    <w:rsid w:val="00FE267F"/>
    <w:rsid w:val="00FF0369"/>
    <w:rsid w:val="00FF617B"/>
    <w:rsid w:val="00FF772E"/>
    <w:rsid w:val="1E9BDCE9"/>
    <w:rsid w:val="39337D8F"/>
    <w:rsid w:val="3C6B1E51"/>
    <w:rsid w:val="68BCA0A8"/>
    <w:rsid w:val="6F12B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CA9C6"/>
  <w15:docId w15:val="{7E0A0FBD-6123-4206-ABB5-8B792111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6D9"/>
    <w:pPr>
      <w:ind w:left="720"/>
      <w:contextualSpacing/>
    </w:pPr>
  </w:style>
  <w:style w:type="paragraph" w:styleId="NoSpacing">
    <w:name w:val="No Spacing"/>
    <w:uiPriority w:val="1"/>
    <w:qFormat/>
    <w:rsid w:val="00A63334"/>
    <w:pPr>
      <w:spacing w:after="0" w:line="240" w:lineRule="auto"/>
    </w:pPr>
  </w:style>
  <w:style w:type="table" w:styleId="TableGrid">
    <w:name w:val="Table Grid"/>
    <w:basedOn w:val="TableNormal"/>
    <w:uiPriority w:val="59"/>
    <w:rsid w:val="0049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3F8"/>
    <w:rPr>
      <w:rFonts w:ascii="Tahoma" w:hAnsi="Tahoma" w:cs="Tahoma"/>
      <w:sz w:val="16"/>
      <w:szCs w:val="16"/>
    </w:rPr>
  </w:style>
  <w:style w:type="paragraph" w:styleId="Header">
    <w:name w:val="header"/>
    <w:basedOn w:val="Normal"/>
    <w:link w:val="HeaderChar"/>
    <w:uiPriority w:val="99"/>
    <w:unhideWhenUsed/>
    <w:rsid w:val="0067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2B"/>
  </w:style>
  <w:style w:type="paragraph" w:styleId="Footer">
    <w:name w:val="footer"/>
    <w:basedOn w:val="Normal"/>
    <w:link w:val="FooterChar"/>
    <w:uiPriority w:val="99"/>
    <w:unhideWhenUsed/>
    <w:rsid w:val="00671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2B"/>
  </w:style>
  <w:style w:type="character" w:styleId="CommentReference">
    <w:name w:val="annotation reference"/>
    <w:basedOn w:val="DefaultParagraphFont"/>
    <w:uiPriority w:val="99"/>
    <w:semiHidden/>
    <w:unhideWhenUsed/>
    <w:rsid w:val="00250690"/>
    <w:rPr>
      <w:sz w:val="16"/>
      <w:szCs w:val="16"/>
    </w:rPr>
  </w:style>
  <w:style w:type="paragraph" w:styleId="CommentText">
    <w:name w:val="annotation text"/>
    <w:basedOn w:val="Normal"/>
    <w:link w:val="CommentTextChar"/>
    <w:uiPriority w:val="99"/>
    <w:semiHidden/>
    <w:unhideWhenUsed/>
    <w:rsid w:val="00250690"/>
    <w:pPr>
      <w:spacing w:line="240" w:lineRule="auto"/>
    </w:pPr>
    <w:rPr>
      <w:sz w:val="20"/>
      <w:szCs w:val="20"/>
    </w:rPr>
  </w:style>
  <w:style w:type="character" w:customStyle="1" w:styleId="CommentTextChar">
    <w:name w:val="Comment Text Char"/>
    <w:basedOn w:val="DefaultParagraphFont"/>
    <w:link w:val="CommentText"/>
    <w:uiPriority w:val="99"/>
    <w:semiHidden/>
    <w:rsid w:val="00250690"/>
    <w:rPr>
      <w:sz w:val="20"/>
      <w:szCs w:val="20"/>
    </w:rPr>
  </w:style>
  <w:style w:type="paragraph" w:styleId="CommentSubject">
    <w:name w:val="annotation subject"/>
    <w:basedOn w:val="CommentText"/>
    <w:next w:val="CommentText"/>
    <w:link w:val="CommentSubjectChar"/>
    <w:uiPriority w:val="99"/>
    <w:semiHidden/>
    <w:unhideWhenUsed/>
    <w:rsid w:val="00250690"/>
    <w:rPr>
      <w:b/>
      <w:bCs/>
    </w:rPr>
  </w:style>
  <w:style w:type="character" w:customStyle="1" w:styleId="CommentSubjectChar">
    <w:name w:val="Comment Subject Char"/>
    <w:basedOn w:val="CommentTextChar"/>
    <w:link w:val="CommentSubject"/>
    <w:uiPriority w:val="99"/>
    <w:semiHidden/>
    <w:rsid w:val="00250690"/>
    <w:rPr>
      <w:b/>
      <w:bCs/>
      <w:sz w:val="20"/>
      <w:szCs w:val="20"/>
    </w:rPr>
  </w:style>
  <w:style w:type="paragraph" w:styleId="Subtitle">
    <w:name w:val="Subtitle"/>
    <w:basedOn w:val="Normal"/>
    <w:link w:val="SubtitleChar"/>
    <w:qFormat/>
    <w:rsid w:val="00983537"/>
    <w:pPr>
      <w:spacing w:after="0" w:line="240" w:lineRule="auto"/>
      <w:jc w:val="center"/>
    </w:pPr>
    <w:rPr>
      <w:rFonts w:ascii="Times New Roman" w:eastAsia="Times New Roman" w:hAnsi="Times New Roman" w:cs="Times New Roman"/>
      <w:sz w:val="24"/>
      <w:szCs w:val="20"/>
      <w:u w:val="single"/>
    </w:rPr>
  </w:style>
  <w:style w:type="character" w:customStyle="1" w:styleId="SubtitleChar">
    <w:name w:val="Subtitle Char"/>
    <w:basedOn w:val="DefaultParagraphFont"/>
    <w:link w:val="Subtitle"/>
    <w:rsid w:val="00983537"/>
    <w:rPr>
      <w:rFonts w:ascii="Times New Roman" w:eastAsia="Times New Roman" w:hAnsi="Times New Roman" w:cs="Times New Roman"/>
      <w:sz w:val="24"/>
      <w:szCs w:val="20"/>
      <w:u w:val="single"/>
    </w:rPr>
  </w:style>
  <w:style w:type="paragraph" w:styleId="Revision">
    <w:name w:val="Revision"/>
    <w:hidden/>
    <w:uiPriority w:val="99"/>
    <w:semiHidden/>
    <w:rsid w:val="0030035F"/>
    <w:pPr>
      <w:spacing w:after="0" w:line="240" w:lineRule="auto"/>
    </w:pPr>
  </w:style>
  <w:style w:type="character" w:styleId="Hyperlink">
    <w:name w:val="Hyperlink"/>
    <w:basedOn w:val="DefaultParagraphFont"/>
    <w:uiPriority w:val="99"/>
    <w:unhideWhenUsed/>
    <w:rsid w:val="00A60FF3"/>
    <w:rPr>
      <w:color w:val="0000FF" w:themeColor="hyperlink"/>
      <w:u w:val="single"/>
    </w:rPr>
  </w:style>
  <w:style w:type="paragraph" w:styleId="FootnoteText">
    <w:name w:val="footnote text"/>
    <w:basedOn w:val="Normal"/>
    <w:link w:val="FootnoteTextChar"/>
    <w:uiPriority w:val="99"/>
    <w:unhideWhenUsed/>
    <w:rsid w:val="002320B3"/>
    <w:pPr>
      <w:spacing w:after="0" w:line="240" w:lineRule="auto"/>
    </w:pPr>
    <w:rPr>
      <w:sz w:val="20"/>
      <w:szCs w:val="20"/>
    </w:rPr>
  </w:style>
  <w:style w:type="character" w:customStyle="1" w:styleId="FootnoteTextChar">
    <w:name w:val="Footnote Text Char"/>
    <w:basedOn w:val="DefaultParagraphFont"/>
    <w:link w:val="FootnoteText"/>
    <w:uiPriority w:val="99"/>
    <w:rsid w:val="002320B3"/>
    <w:rPr>
      <w:sz w:val="20"/>
      <w:szCs w:val="20"/>
    </w:rPr>
  </w:style>
  <w:style w:type="character" w:styleId="FootnoteReference">
    <w:name w:val="footnote reference"/>
    <w:basedOn w:val="DefaultParagraphFont"/>
    <w:uiPriority w:val="99"/>
    <w:unhideWhenUsed/>
    <w:rsid w:val="002320B3"/>
    <w:rPr>
      <w:vertAlign w:val="superscript"/>
    </w:rPr>
  </w:style>
  <w:style w:type="paragraph" w:customStyle="1" w:styleId="footnote">
    <w:name w:val="footnote"/>
    <w:basedOn w:val="FootnoteText"/>
    <w:link w:val="footnoteChar"/>
    <w:qFormat/>
    <w:rsid w:val="002320B3"/>
    <w:pPr>
      <w:jc w:val="both"/>
    </w:pPr>
    <w:rPr>
      <w:rFonts w:ascii="Calibri" w:eastAsia="Calibri" w:hAnsi="Calibri" w:cs="Times New Roman"/>
    </w:rPr>
  </w:style>
  <w:style w:type="character" w:customStyle="1" w:styleId="footnoteChar">
    <w:name w:val="footnote Char"/>
    <w:link w:val="footnote"/>
    <w:rsid w:val="002320B3"/>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6E5E85"/>
    <w:rPr>
      <w:color w:val="808080"/>
      <w:shd w:val="clear" w:color="auto" w:fill="E6E6E6"/>
    </w:rPr>
  </w:style>
  <w:style w:type="character" w:styleId="FollowedHyperlink">
    <w:name w:val="FollowedHyperlink"/>
    <w:basedOn w:val="DefaultParagraphFont"/>
    <w:uiPriority w:val="99"/>
    <w:semiHidden/>
    <w:unhideWhenUsed/>
    <w:rsid w:val="00AB6823"/>
    <w:rPr>
      <w:color w:val="800080" w:themeColor="followedHyperlink"/>
      <w:u w:val="single"/>
    </w:rPr>
  </w:style>
  <w:style w:type="character" w:customStyle="1" w:styleId="UnresolvedMention2">
    <w:name w:val="Unresolved Mention2"/>
    <w:basedOn w:val="DefaultParagraphFont"/>
    <w:uiPriority w:val="99"/>
    <w:semiHidden/>
    <w:unhideWhenUsed/>
    <w:rsid w:val="009E7A6F"/>
    <w:rPr>
      <w:color w:val="605E5C"/>
      <w:shd w:val="clear" w:color="auto" w:fill="E1DFDD"/>
    </w:rPr>
  </w:style>
  <w:style w:type="character" w:styleId="UnresolvedMention">
    <w:name w:val="Unresolved Mention"/>
    <w:basedOn w:val="DefaultParagraphFont"/>
    <w:uiPriority w:val="99"/>
    <w:semiHidden/>
    <w:unhideWhenUsed/>
    <w:rsid w:val="00C0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444">
      <w:bodyDiv w:val="1"/>
      <w:marLeft w:val="0"/>
      <w:marRight w:val="0"/>
      <w:marTop w:val="0"/>
      <w:marBottom w:val="0"/>
      <w:divBdr>
        <w:top w:val="none" w:sz="0" w:space="0" w:color="auto"/>
        <w:left w:val="none" w:sz="0" w:space="0" w:color="auto"/>
        <w:bottom w:val="none" w:sz="0" w:space="0" w:color="auto"/>
        <w:right w:val="none" w:sz="0" w:space="0" w:color="auto"/>
      </w:divBdr>
    </w:div>
    <w:div w:id="15886152">
      <w:bodyDiv w:val="1"/>
      <w:marLeft w:val="0"/>
      <w:marRight w:val="0"/>
      <w:marTop w:val="0"/>
      <w:marBottom w:val="0"/>
      <w:divBdr>
        <w:top w:val="none" w:sz="0" w:space="0" w:color="auto"/>
        <w:left w:val="none" w:sz="0" w:space="0" w:color="auto"/>
        <w:bottom w:val="none" w:sz="0" w:space="0" w:color="auto"/>
        <w:right w:val="none" w:sz="0" w:space="0" w:color="auto"/>
      </w:divBdr>
    </w:div>
    <w:div w:id="129133418">
      <w:bodyDiv w:val="1"/>
      <w:marLeft w:val="0"/>
      <w:marRight w:val="0"/>
      <w:marTop w:val="0"/>
      <w:marBottom w:val="0"/>
      <w:divBdr>
        <w:top w:val="none" w:sz="0" w:space="0" w:color="auto"/>
        <w:left w:val="none" w:sz="0" w:space="0" w:color="auto"/>
        <w:bottom w:val="none" w:sz="0" w:space="0" w:color="auto"/>
        <w:right w:val="none" w:sz="0" w:space="0" w:color="auto"/>
      </w:divBdr>
    </w:div>
    <w:div w:id="166330877">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93604930">
      <w:bodyDiv w:val="1"/>
      <w:marLeft w:val="0"/>
      <w:marRight w:val="0"/>
      <w:marTop w:val="0"/>
      <w:marBottom w:val="0"/>
      <w:divBdr>
        <w:top w:val="none" w:sz="0" w:space="0" w:color="auto"/>
        <w:left w:val="none" w:sz="0" w:space="0" w:color="auto"/>
        <w:bottom w:val="none" w:sz="0" w:space="0" w:color="auto"/>
        <w:right w:val="none" w:sz="0" w:space="0" w:color="auto"/>
      </w:divBdr>
    </w:div>
    <w:div w:id="433982466">
      <w:bodyDiv w:val="1"/>
      <w:marLeft w:val="0"/>
      <w:marRight w:val="0"/>
      <w:marTop w:val="0"/>
      <w:marBottom w:val="0"/>
      <w:divBdr>
        <w:top w:val="none" w:sz="0" w:space="0" w:color="auto"/>
        <w:left w:val="none" w:sz="0" w:space="0" w:color="auto"/>
        <w:bottom w:val="none" w:sz="0" w:space="0" w:color="auto"/>
        <w:right w:val="none" w:sz="0" w:space="0" w:color="auto"/>
      </w:divBdr>
    </w:div>
    <w:div w:id="781456090">
      <w:bodyDiv w:val="1"/>
      <w:marLeft w:val="0"/>
      <w:marRight w:val="0"/>
      <w:marTop w:val="0"/>
      <w:marBottom w:val="0"/>
      <w:divBdr>
        <w:top w:val="none" w:sz="0" w:space="0" w:color="auto"/>
        <w:left w:val="none" w:sz="0" w:space="0" w:color="auto"/>
        <w:bottom w:val="none" w:sz="0" w:space="0" w:color="auto"/>
        <w:right w:val="none" w:sz="0" w:space="0" w:color="auto"/>
      </w:divBdr>
    </w:div>
    <w:div w:id="831138162">
      <w:bodyDiv w:val="1"/>
      <w:marLeft w:val="0"/>
      <w:marRight w:val="0"/>
      <w:marTop w:val="0"/>
      <w:marBottom w:val="0"/>
      <w:divBdr>
        <w:top w:val="none" w:sz="0" w:space="0" w:color="auto"/>
        <w:left w:val="none" w:sz="0" w:space="0" w:color="auto"/>
        <w:bottom w:val="none" w:sz="0" w:space="0" w:color="auto"/>
        <w:right w:val="none" w:sz="0" w:space="0" w:color="auto"/>
      </w:divBdr>
    </w:div>
    <w:div w:id="1048257439">
      <w:bodyDiv w:val="1"/>
      <w:marLeft w:val="0"/>
      <w:marRight w:val="0"/>
      <w:marTop w:val="0"/>
      <w:marBottom w:val="0"/>
      <w:divBdr>
        <w:top w:val="none" w:sz="0" w:space="0" w:color="auto"/>
        <w:left w:val="none" w:sz="0" w:space="0" w:color="auto"/>
        <w:bottom w:val="none" w:sz="0" w:space="0" w:color="auto"/>
        <w:right w:val="none" w:sz="0" w:space="0" w:color="auto"/>
      </w:divBdr>
    </w:div>
    <w:div w:id="1084112601">
      <w:bodyDiv w:val="1"/>
      <w:marLeft w:val="0"/>
      <w:marRight w:val="0"/>
      <w:marTop w:val="0"/>
      <w:marBottom w:val="0"/>
      <w:divBdr>
        <w:top w:val="none" w:sz="0" w:space="0" w:color="auto"/>
        <w:left w:val="none" w:sz="0" w:space="0" w:color="auto"/>
        <w:bottom w:val="none" w:sz="0" w:space="0" w:color="auto"/>
        <w:right w:val="none" w:sz="0" w:space="0" w:color="auto"/>
      </w:divBdr>
    </w:div>
    <w:div w:id="1164514736">
      <w:bodyDiv w:val="1"/>
      <w:marLeft w:val="0"/>
      <w:marRight w:val="0"/>
      <w:marTop w:val="0"/>
      <w:marBottom w:val="0"/>
      <w:divBdr>
        <w:top w:val="none" w:sz="0" w:space="0" w:color="auto"/>
        <w:left w:val="none" w:sz="0" w:space="0" w:color="auto"/>
        <w:bottom w:val="none" w:sz="0" w:space="0" w:color="auto"/>
        <w:right w:val="none" w:sz="0" w:space="0" w:color="auto"/>
      </w:divBdr>
    </w:div>
    <w:div w:id="1247301721">
      <w:bodyDiv w:val="1"/>
      <w:marLeft w:val="0"/>
      <w:marRight w:val="0"/>
      <w:marTop w:val="0"/>
      <w:marBottom w:val="0"/>
      <w:divBdr>
        <w:top w:val="none" w:sz="0" w:space="0" w:color="auto"/>
        <w:left w:val="none" w:sz="0" w:space="0" w:color="auto"/>
        <w:bottom w:val="none" w:sz="0" w:space="0" w:color="auto"/>
        <w:right w:val="none" w:sz="0" w:space="0" w:color="auto"/>
      </w:divBdr>
    </w:div>
    <w:div w:id="1251817473">
      <w:bodyDiv w:val="1"/>
      <w:marLeft w:val="0"/>
      <w:marRight w:val="0"/>
      <w:marTop w:val="0"/>
      <w:marBottom w:val="0"/>
      <w:divBdr>
        <w:top w:val="none" w:sz="0" w:space="0" w:color="auto"/>
        <w:left w:val="none" w:sz="0" w:space="0" w:color="auto"/>
        <w:bottom w:val="none" w:sz="0" w:space="0" w:color="auto"/>
        <w:right w:val="none" w:sz="0" w:space="0" w:color="auto"/>
      </w:divBdr>
    </w:div>
    <w:div w:id="1363749152">
      <w:bodyDiv w:val="1"/>
      <w:marLeft w:val="0"/>
      <w:marRight w:val="0"/>
      <w:marTop w:val="0"/>
      <w:marBottom w:val="0"/>
      <w:divBdr>
        <w:top w:val="none" w:sz="0" w:space="0" w:color="auto"/>
        <w:left w:val="none" w:sz="0" w:space="0" w:color="auto"/>
        <w:bottom w:val="none" w:sz="0" w:space="0" w:color="auto"/>
        <w:right w:val="none" w:sz="0" w:space="0" w:color="auto"/>
      </w:divBdr>
    </w:div>
    <w:div w:id="140013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lnks.gd%2Fl%2FeyJhbGciOiJIUzI1NiJ9.eyJidWxsZXRpbl9saW5rX2lkIjoxMDUsInVyaSI6ImJwMjpjbGljayIsImJ1bGxldGluX2lkIjoiMjAyMjA2MjIuNTk3NTA4NzEiLCJ1cmwiOiJodHRwczovL3d3dy50cmFuc2l0LmRvdC5nb3Yvc2FmZXR5L3B1YmxpYy10cmFuc3BvcnRhdGlvbi1hZ2VuY3ktc2FmZXR5LXByb2dyYW0vYWdlbmN5LXNhZmV0eS1wbGFuLWFzcC1kaXJlY3RvcnkifQ.xO-ooPIiwI6DHlJ8SOgrx_fOhHRxJs6cAouqJXY05ws%2Fs%2F1184691756%2Fbr%2F133427115190-l&amp;data=05%7C01%7CTia.Swain%40dot.gov%7Cdb1616a0280343b474bb08da547cfd1f%7Cc4cd245b44f04395a1aa3848d258f78b%7C0%7C0%7C637915193070676988%7CUnknown%7CTWFpbGZsb3d8eyJWIjoiMC4wLjAwMDAiLCJQIjoiV2luMzIiLCJBTiI6Ik1haWwiLCJXVCI6Mn0%3D%7C3000%7C%7C%7C&amp;sdata=k7JZumPQyMatckhOd%2Fx9zJPsXfVG2UqaXFJUPfnFJuM%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172017.pdf" TargetMode="External"/><Relationship Id="rId2" Type="http://schemas.openxmlformats.org/officeDocument/2006/relationships/hyperlink" Target="https://www.bls.gov/news.release/eci.t11.htm" TargetMode="External"/><Relationship Id="rId1" Type="http://schemas.openxmlformats.org/officeDocument/2006/relationships/hyperlink" Target="http://www.bls.gov/oes/current/naics3_485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ternate xmlns="01cf3809-c3b2-45c4-a07e-5ad844958ba6" xsi:nil="true"/>
    <Application_x0023_ xmlns="01cf3809-c3b2-45c4-a07e-5ad844958ba6">COVID-2021</Application_x0023_>
    <SharedWithUsers xmlns="b235bb6d-4c41-4ff6-9a4f-86ce21e3d295">
      <UserInfo>
        <DisplayName>Swain, Tia (FTA)</DisplayName>
        <AccountId>335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BE80725B7A504ABBE9452E33B1ED8B" ma:contentTypeVersion="17" ma:contentTypeDescription="Create a new document." ma:contentTypeScope="" ma:versionID="69ac784074a373c0a021279eadaf42bb">
  <xsd:schema xmlns:xsd="http://www.w3.org/2001/XMLSchema" xmlns:xs="http://www.w3.org/2001/XMLSchema" xmlns:p="http://schemas.microsoft.com/office/2006/metadata/properties" xmlns:ns2="01cf3809-c3b2-45c4-a07e-5ad844958ba6" xmlns:ns3="b235bb6d-4c41-4ff6-9a4f-86ce21e3d295" targetNamespace="http://schemas.microsoft.com/office/2006/metadata/properties" ma:root="true" ma:fieldsID="c7682e3cc24d931d6b11c04bf410c68a" ns2:_="" ns3:_="">
    <xsd:import namespace="01cf3809-c3b2-45c4-a07e-5ad844958ba6"/>
    <xsd:import namespace="b235bb6d-4c41-4ff6-9a4f-86ce21e3d2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Alternate" minOccurs="0"/>
                <xsd:element ref="ns2:Application_x0023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3809-c3b2-45c4-a07e-5ad844958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lternate" ma:index="20" nillable="true" ma:displayName="Alternate" ma:format="Dropdown" ma:internalName="Alternate">
      <xsd:simpleType>
        <xsd:restriction base="dms:Choice">
          <xsd:enumeration value="Alternate"/>
          <xsd:enumeration value="Choice 2"/>
        </xsd:restriction>
      </xsd:simpleType>
    </xsd:element>
    <xsd:element name="Application_x0023_" ma:index="21" nillable="true" ma:displayName="Application #" ma:default="COVID-2021" ma:format="Dropdown" ma:internalName="Application_x0023_">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35bb6d-4c41-4ff6-9a4f-86ce21e3d2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C05B5-F0AD-4B20-86FB-D192DE70442C}">
  <ds:schemaRefs>
    <ds:schemaRef ds:uri="http://schemas.microsoft.com/office/2006/metadata/properties"/>
    <ds:schemaRef ds:uri="http://schemas.microsoft.com/office/infopath/2007/PartnerControls"/>
    <ds:schemaRef ds:uri="01cf3809-c3b2-45c4-a07e-5ad844958ba6"/>
    <ds:schemaRef ds:uri="b235bb6d-4c41-4ff6-9a4f-86ce21e3d295"/>
  </ds:schemaRefs>
</ds:datastoreItem>
</file>

<file path=customXml/itemProps2.xml><?xml version="1.0" encoding="utf-8"?>
<ds:datastoreItem xmlns:ds="http://schemas.openxmlformats.org/officeDocument/2006/customXml" ds:itemID="{EFDF44B1-45AC-4141-9226-4A73996FC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3809-c3b2-45c4-a07e-5ad844958ba6"/>
    <ds:schemaRef ds:uri="b235bb6d-4c41-4ff6-9a4f-86ce21e3d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BC093-BCA9-4A10-BF05-515BB8F954DE}">
  <ds:schemaRefs>
    <ds:schemaRef ds:uri="http://schemas.openxmlformats.org/officeDocument/2006/bibliography"/>
  </ds:schemaRefs>
</ds:datastoreItem>
</file>

<file path=customXml/itemProps4.xml><?xml version="1.0" encoding="utf-8"?>
<ds:datastoreItem xmlns:ds="http://schemas.openxmlformats.org/officeDocument/2006/customXml" ds:itemID="{2B9965F9-0A6D-4E5E-8329-46D1FCCE0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3908</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James (VOLPE)</dc:creator>
  <cp:keywords/>
  <dc:description/>
  <cp:lastModifiedBy>Swain, Tia (FTA)</cp:lastModifiedBy>
  <cp:revision>2</cp:revision>
  <cp:lastPrinted>2016-02-03T19:13:00Z</cp:lastPrinted>
  <dcterms:created xsi:type="dcterms:W3CDTF">2022-06-23T16:32:00Z</dcterms:created>
  <dcterms:modified xsi:type="dcterms:W3CDTF">2022-06-23T16:32:00Z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0x010100BCBE80725B7A504ABBE9452E33B1ED8B</vt:lpwstr>
  </property>
</Properties>
</file>