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7141B" w:rsidR="00BD1BF2" w:rsidRDefault="0017141B" w14:paraId="26958695" w14:textId="57435287">
      <w:pPr>
        <w:pStyle w:val="NormalWeb"/>
        <w:jc w:val="center"/>
        <w:rPr>
          <w:rFonts w:ascii="Times New Roman" w:hAnsi="Times New Roman" w:cs="Times New Roman"/>
          <w:b/>
          <w:bCs/>
          <w:sz w:val="20"/>
          <w:szCs w:val="20"/>
        </w:rPr>
      </w:pPr>
      <w:r>
        <w:rPr>
          <w:rFonts w:ascii="Times New Roman" w:hAnsi="Times New Roman" w:cs="Times New Roman"/>
          <w:b/>
          <w:bCs/>
        </w:rPr>
        <w:t>SUPPORTING STATEMENT</w:t>
      </w:r>
    </w:p>
    <w:p w:rsidRPr="0017141B" w:rsidR="00BD1BF2" w:rsidP="007B5632" w:rsidRDefault="009A74ED" w14:paraId="5158BF0B" w14:textId="5C790F0C">
      <w:pPr>
        <w:pStyle w:val="NormalWeb"/>
        <w:jc w:val="center"/>
        <w:rPr>
          <w:rFonts w:ascii="Times New Roman" w:hAnsi="Times New Roman" w:cs="Times New Roman"/>
          <w:b/>
          <w:bCs/>
          <w:szCs w:val="22"/>
        </w:rPr>
      </w:pPr>
      <w:r w:rsidRPr="0017141B">
        <w:rPr>
          <w:rFonts w:ascii="Times New Roman" w:hAnsi="Times New Roman" w:cs="Times New Roman"/>
          <w:b/>
          <w:bCs/>
          <w:szCs w:val="22"/>
        </w:rPr>
        <w:t>Freight Logistics Optimization Works (FLOW) Project</w:t>
      </w:r>
      <w:r w:rsidRPr="0017141B" w:rsidR="0017141B">
        <w:rPr>
          <w:rFonts w:ascii="Times New Roman" w:hAnsi="Times New Roman" w:cs="Times New Roman"/>
          <w:b/>
          <w:bCs/>
          <w:szCs w:val="22"/>
        </w:rPr>
        <w:t>: Pilot Phase</w:t>
      </w:r>
    </w:p>
    <w:p w:rsidRPr="00CE649C" w:rsidR="00BD1BF2" w:rsidRDefault="00BD1BF2" w14:paraId="54A5FCAF" w14:textId="77777777">
      <w:pPr>
        <w:pStyle w:val="NormalWeb"/>
        <w:rPr>
          <w:rFonts w:ascii="Times New Roman" w:hAnsi="Times New Roman" w:cs="Times New Roman"/>
        </w:rPr>
      </w:pPr>
      <w:r w:rsidRPr="00CE649C">
        <w:rPr>
          <w:rFonts w:ascii="Times New Roman" w:hAnsi="Times New Roman" w:cs="Times New Roman"/>
          <w:u w:val="single"/>
        </w:rPr>
        <w:t>Part A. Justification</w:t>
      </w:r>
      <w:r w:rsidRPr="00CE649C">
        <w:rPr>
          <w:rFonts w:ascii="Times New Roman" w:hAnsi="Times New Roman" w:cs="Times New Roman"/>
        </w:rPr>
        <w:t>.</w:t>
      </w:r>
    </w:p>
    <w:p w:rsidRPr="00CE649C" w:rsidR="00037F1B" w:rsidP="00037F1B" w:rsidRDefault="00BD1BF2" w14:paraId="7EDBB0CB" w14:textId="77777777">
      <w:pPr>
        <w:pStyle w:val="NormalWeb"/>
        <w:rPr>
          <w:rFonts w:ascii="Times New Roman" w:hAnsi="Times New Roman" w:cs="Times New Roman"/>
        </w:rPr>
      </w:pPr>
      <w:r w:rsidRPr="00CE649C">
        <w:rPr>
          <w:rFonts w:ascii="Times New Roman" w:hAnsi="Times New Roman" w:cs="Times New Roman"/>
        </w:rPr>
        <w:t xml:space="preserve">1. </w:t>
      </w:r>
      <w:r w:rsidRPr="00CE649C">
        <w:rPr>
          <w:rFonts w:ascii="Times New Roman" w:hAnsi="Times New Roman" w:cs="Times New Roman"/>
          <w:u w:val="single"/>
        </w:rPr>
        <w:t>Circumstances that make collection of information necessary</w:t>
      </w:r>
      <w:r w:rsidRPr="00CE649C">
        <w:rPr>
          <w:rFonts w:ascii="Times New Roman" w:hAnsi="Times New Roman" w:cs="Times New Roman"/>
        </w:rPr>
        <w:t>:</w:t>
      </w:r>
    </w:p>
    <w:p w:rsidRPr="00CE649C" w:rsidR="007E4968" w:rsidP="1842F320" w:rsidRDefault="6A04D547" w14:paraId="06DBEFE3" w14:textId="4260A339">
      <w:r w:rsidRPr="00CE649C">
        <w:t xml:space="preserve">Over the past </w:t>
      </w:r>
      <w:r w:rsidR="0017141B">
        <w:t>three</w:t>
      </w:r>
      <w:r w:rsidRPr="00CE649C">
        <w:t xml:space="preserve"> years, the U.S. supply chain has struggled with unprecedented congestion under COVID</w:t>
      </w:r>
      <w:r w:rsidR="0017141B">
        <w:t>-19</w:t>
      </w:r>
      <w:r w:rsidRPr="00CE649C">
        <w:t xml:space="preserve"> induced surges of containerized cargo through our ports and intermodal networks. In March </w:t>
      </w:r>
      <w:r w:rsidR="0017141B">
        <w:t>2022</w:t>
      </w:r>
      <w:r w:rsidRPr="00CE649C">
        <w:t xml:space="preserve">, the White House announced the launch of the Freight Logistics Optimization Works (FLOW) initiative with the Department of Transportation to facilitate </w:t>
      </w:r>
      <w:r w:rsidR="00AC791F">
        <w:t>the collaboration and sharing of</w:t>
      </w:r>
      <w:r w:rsidRPr="00CE649C">
        <w:t xml:space="preserve"> intermodal trade data. This collaboration would help improve supply chain efficiencies and reduce overall costs to U.S. consumers. </w:t>
      </w:r>
      <w:r w:rsidR="00AC791F">
        <w:t>The FLOW initiative builds on previous work by the Administration’s Supply Chain Disruptions Task Force to ensure the expeditious movement of cargo from ship to shelf.</w:t>
      </w:r>
    </w:p>
    <w:p w:rsidRPr="00CE649C" w:rsidR="6A04D547" w:rsidP="6A04D547" w:rsidRDefault="6A04D547" w14:paraId="76DF5600" w14:textId="59B7F40F">
      <w:pPr>
        <w:jc w:val="both"/>
      </w:pPr>
    </w:p>
    <w:p w:rsidR="007E4968" w:rsidP="1842F320" w:rsidRDefault="007E4968" w14:paraId="7F11A4D5" w14:textId="6F1B0611">
      <w:pPr>
        <w:pBdr>
          <w:top w:val="nil"/>
          <w:left w:val="nil"/>
          <w:bottom w:val="nil"/>
          <w:right w:val="nil"/>
          <w:between w:val="nil"/>
        </w:pBdr>
        <w:jc w:val="both"/>
      </w:pPr>
      <w:r w:rsidRPr="00CE649C" w:rsidDel="007E4968">
        <w:t>FLOW</w:t>
      </w:r>
      <w:r w:rsidRPr="00CE649C">
        <w:t xml:space="preserve"> is a joint</w:t>
      </w:r>
      <w:r w:rsidRPr="00CE649C" w:rsidR="00A65E7A">
        <w:t xml:space="preserve"> endeavor between the</w:t>
      </w:r>
      <w:r w:rsidRPr="00CE649C">
        <w:t xml:space="preserve"> United States Department of Transportation (USDOT) and </w:t>
      </w:r>
      <w:r w:rsidR="431D605B">
        <w:t xml:space="preserve">the </w:t>
      </w:r>
      <w:r w:rsidRPr="00CE649C">
        <w:t xml:space="preserve">freight industry aimed at improving </w:t>
      </w:r>
      <w:r w:rsidR="00AC791F">
        <w:t xml:space="preserve">key freight information exchange between parts of the goods movement supply chain. Data collected and exchanged will support industry </w:t>
      </w:r>
      <w:r w:rsidRPr="00CE649C">
        <w:t>collaborative demand management</w:t>
      </w:r>
      <w:r w:rsidR="00AC791F">
        <w:t xml:space="preserve"> (CDM) decision making associated with the daily management of cargo and assets. </w:t>
      </w:r>
      <w:r w:rsidRPr="00CE649C" w:rsidR="00A561FA">
        <w:t xml:space="preserve">Industry partners </w:t>
      </w:r>
      <w:r w:rsidRPr="00CE649C" w:rsidR="00712779">
        <w:t>involved with FLOW</w:t>
      </w:r>
      <w:r w:rsidRPr="00CE649C" w:rsidR="00F1261D">
        <w:t xml:space="preserve">, referred to as FLOW </w:t>
      </w:r>
      <w:r w:rsidRPr="00CE649C" w:rsidR="00682C16">
        <w:t>participants</w:t>
      </w:r>
      <w:r w:rsidRPr="00CE649C" w:rsidR="00F1261D">
        <w:t>,</w:t>
      </w:r>
      <w:r w:rsidRPr="00CE649C">
        <w:t xml:space="preserve"> include beneficial cargo owners (BCOs), ocean carriers, non-vessel operating common carriers (NVOs), ports and terminals, motor carriers, railroads, intermodal equipment providers (IEPs), and warehousers. </w:t>
      </w:r>
      <w:r w:rsidR="00AC791F">
        <w:t>It is expected that the practice of</w:t>
      </w:r>
      <w:r w:rsidRPr="00CE649C">
        <w:t xml:space="preserve"> sharing operational information between FLOW </w:t>
      </w:r>
      <w:r w:rsidRPr="00CE649C" w:rsidR="00682C16">
        <w:t xml:space="preserve">participants </w:t>
      </w:r>
      <w:r w:rsidRPr="00CE649C">
        <w:t xml:space="preserve">will be a source of significant benefit to the operation of the </w:t>
      </w:r>
      <w:r w:rsidR="00AC791F">
        <w:t>n</w:t>
      </w:r>
      <w:r w:rsidRPr="00CE649C" w:rsidR="004050DB">
        <w:t xml:space="preserve">ational </w:t>
      </w:r>
      <w:r w:rsidR="00AC791F">
        <w:t>l</w:t>
      </w:r>
      <w:r w:rsidRPr="00CE649C" w:rsidR="004050DB">
        <w:t xml:space="preserve">ogistics </w:t>
      </w:r>
      <w:r w:rsidR="00AC791F">
        <w:t>s</w:t>
      </w:r>
      <w:r w:rsidRPr="00CE649C" w:rsidR="004050DB">
        <w:t>ystem</w:t>
      </w:r>
      <w:r w:rsidR="00AC791F">
        <w:t>, i.e., the complex collection of personnel, transportation assets, vessels, trucks, railcars, equipment, and any and all other freight components that comprise the United States’ supply chain system.</w:t>
      </w:r>
    </w:p>
    <w:p w:rsidR="00AC791F" w:rsidP="1842F320" w:rsidRDefault="00AC791F" w14:paraId="7AC4A7CB" w14:textId="65660D0E">
      <w:pPr>
        <w:pBdr>
          <w:top w:val="nil"/>
          <w:left w:val="nil"/>
          <w:bottom w:val="nil"/>
          <w:right w:val="nil"/>
          <w:between w:val="nil"/>
        </w:pBdr>
        <w:jc w:val="both"/>
      </w:pPr>
    </w:p>
    <w:p w:rsidR="007E4968" w:rsidP="007E4968" w:rsidRDefault="00AC791F" w14:paraId="50E2175D" w14:textId="65999884">
      <w:pPr>
        <w:jc w:val="both"/>
      </w:pPr>
      <w:r w:rsidRPr="00AC791F">
        <w:t>Data collected under this initiative is necessary to support the Administration’s directive to identify and operationalize an information exchange to support a more resilient and fluid supply chain. Data submitted will include purchase order forecasts, cargo bookings, vessels in-transit, marine terminal space availability, drayage truck dispatch capacity, over-the-road truck dispatch capacity, chassis availability, and warehouse capacity. These data will be used to create an index of demand over capacity that is expected to act as a leading indicator of freight congestion and supply chain performance. The index, which will help communicate the degree of oversupply or undersupply of logistics assets, is intended to support a data driven approach to balance U.S. cargo traffic demand with system capacity.</w:t>
      </w:r>
    </w:p>
    <w:p w:rsidRPr="00CE649C" w:rsidR="00AC791F" w:rsidP="007E4968" w:rsidRDefault="00AC791F" w14:paraId="38851C40" w14:textId="77777777">
      <w:pPr>
        <w:jc w:val="both"/>
      </w:pPr>
    </w:p>
    <w:p w:rsidRPr="00CE649C" w:rsidR="007E4968" w:rsidP="007E4968" w:rsidRDefault="00000BC1" w14:paraId="36E6F3D5" w14:textId="1E72C11B">
      <w:pPr>
        <w:jc w:val="both"/>
      </w:pPr>
      <w:r w:rsidRPr="00CE649C">
        <w:t xml:space="preserve">The White House gave DOT and the FLOW participants </w:t>
      </w:r>
      <w:r w:rsidR="00AC791F">
        <w:t>six</w:t>
      </w:r>
      <w:r w:rsidRPr="00CE649C">
        <w:t xml:space="preserve"> months to formulate a pilot program in which data could be collected then calculated into an index to monitor </w:t>
      </w:r>
      <w:r w:rsidRPr="00CE649C">
        <w:lastRenderedPageBreak/>
        <w:t xml:space="preserve">congestion and the overall health of the U.S. supply chain. </w:t>
      </w:r>
      <w:r w:rsidRPr="00CE649C" w:rsidR="007E4968">
        <w:rPr>
          <w:color w:val="000000" w:themeColor="text1"/>
        </w:rPr>
        <w:t>The</w:t>
      </w:r>
      <w:r w:rsidRPr="00CE649C" w:rsidDel="00E1499B" w:rsidR="007E4968">
        <w:rPr>
          <w:color w:val="000000" w:themeColor="text1"/>
        </w:rPr>
        <w:t xml:space="preserve"> </w:t>
      </w:r>
      <w:r w:rsidRPr="00CE649C" w:rsidR="00E1499B">
        <w:rPr>
          <w:color w:val="000000" w:themeColor="text1"/>
        </w:rPr>
        <w:t xml:space="preserve">DOT </w:t>
      </w:r>
      <w:r w:rsidRPr="00CE649C" w:rsidR="007E4968">
        <w:rPr>
          <w:color w:val="000000" w:themeColor="text1"/>
        </w:rPr>
        <w:t xml:space="preserve">will work with an initial group of participating organizations to develop a proof-of-concept freight information exchange and operationalize it for commercial use by FLOW participants. </w:t>
      </w:r>
      <w:r w:rsidR="00AC791F">
        <w:rPr>
          <w:color w:val="000000" w:themeColor="text1"/>
        </w:rPr>
        <w:t>The pilot phase will focus on the flow of goods to and from a limited number of terminals (i.e., ports) and involve approximately 20 participating companies.</w:t>
      </w:r>
    </w:p>
    <w:p w:rsidRPr="00CE649C" w:rsidR="007E4968" w:rsidP="00937433" w:rsidRDefault="007E4968" w14:paraId="552501E0" w14:textId="77777777">
      <w:pPr>
        <w:pBdr>
          <w:top w:val="nil"/>
          <w:left w:val="nil"/>
          <w:bottom w:val="nil"/>
          <w:right w:val="nil"/>
          <w:between w:val="nil"/>
        </w:pBdr>
        <w:rPr>
          <w:color w:val="000000"/>
        </w:rPr>
      </w:pPr>
    </w:p>
    <w:p w:rsidRPr="00CE649C" w:rsidR="00937433" w:rsidP="00937433" w:rsidRDefault="00BC4C60" w14:paraId="07C5E3DE" w14:textId="1AD95F06">
      <w:pPr>
        <w:pBdr>
          <w:top w:val="nil"/>
          <w:left w:val="nil"/>
          <w:bottom w:val="nil"/>
          <w:right w:val="nil"/>
          <w:between w:val="nil"/>
        </w:pBdr>
        <w:rPr>
          <w:color w:val="000000"/>
        </w:rPr>
      </w:pPr>
      <w:r w:rsidRPr="00CE649C">
        <w:rPr>
          <w:color w:val="000000" w:themeColor="text1"/>
        </w:rPr>
        <w:t xml:space="preserve">BTS </w:t>
      </w:r>
      <w:r w:rsidR="00AC791F">
        <w:rPr>
          <w:color w:val="000000" w:themeColor="text1"/>
        </w:rPr>
        <w:t xml:space="preserve">will serve </w:t>
      </w:r>
      <w:r w:rsidRPr="00CE649C">
        <w:rPr>
          <w:color w:val="000000" w:themeColor="text1"/>
        </w:rPr>
        <w:t>as the independent steward of the data collection.</w:t>
      </w:r>
      <w:r w:rsidRPr="00CE649C" w:rsidR="00630BD9">
        <w:rPr>
          <w:color w:val="000000" w:themeColor="text1"/>
        </w:rPr>
        <w:t xml:space="preserve"> </w:t>
      </w:r>
      <w:r w:rsidRPr="00CE649C" w:rsidR="001E58D7">
        <w:rPr>
          <w:color w:val="000000" w:themeColor="text1"/>
        </w:rPr>
        <w:t>BTS is authorized by</w:t>
      </w:r>
      <w:r w:rsidRPr="00CE649C" w:rsidR="00F42EB3">
        <w:rPr>
          <w:color w:val="000000" w:themeColor="text1"/>
        </w:rPr>
        <w:t xml:space="preserve"> </w:t>
      </w:r>
      <w:r w:rsidRPr="00CE649C" w:rsidR="004A5A40">
        <w:rPr>
          <w:color w:val="000000" w:themeColor="text1"/>
        </w:rPr>
        <w:t>Title 49 U.S.C. Chapter 63</w:t>
      </w:r>
      <w:r w:rsidRPr="00CE649C" w:rsidR="00B96611">
        <w:rPr>
          <w:color w:val="000000" w:themeColor="text1"/>
        </w:rPr>
        <w:t xml:space="preserve"> to collect, compile, analyze, and publish a comprehensive set of transportation statistics on the performance and impacts of the national transportation system</w:t>
      </w:r>
      <w:r w:rsidR="00AC791F">
        <w:rPr>
          <w:color w:val="000000" w:themeColor="text1"/>
        </w:rPr>
        <w:t>,</w:t>
      </w:r>
      <w:r w:rsidRPr="00CE649C" w:rsidR="00865E75">
        <w:rPr>
          <w:color w:val="000000" w:themeColor="text1"/>
        </w:rPr>
        <w:t xml:space="preserve"> of which </w:t>
      </w:r>
      <w:r w:rsidRPr="00CE649C" w:rsidR="004E2D03">
        <w:rPr>
          <w:color w:val="000000" w:themeColor="text1"/>
        </w:rPr>
        <w:t>freight transportation is a key component</w:t>
      </w:r>
      <w:r w:rsidRPr="00CE649C" w:rsidR="00752E65">
        <w:rPr>
          <w:color w:val="000000" w:themeColor="text1"/>
        </w:rPr>
        <w:t xml:space="preserve">. </w:t>
      </w:r>
    </w:p>
    <w:p w:rsidRPr="00CE649C" w:rsidR="00BD1BF2" w:rsidRDefault="00BD1BF2" w14:paraId="5C76FCB6" w14:textId="77777777">
      <w:pPr>
        <w:pStyle w:val="NormalWeb"/>
        <w:rPr>
          <w:rFonts w:ascii="Times New Roman" w:hAnsi="Times New Roman" w:cs="Times New Roman"/>
        </w:rPr>
      </w:pPr>
      <w:r w:rsidRPr="00CE649C">
        <w:rPr>
          <w:rFonts w:ascii="Times New Roman" w:hAnsi="Times New Roman" w:cs="Times New Roman"/>
        </w:rPr>
        <w:t xml:space="preserve">2. </w:t>
      </w:r>
      <w:r w:rsidRPr="00CE649C">
        <w:rPr>
          <w:rFonts w:ascii="Times New Roman" w:hAnsi="Times New Roman" w:cs="Times New Roman"/>
          <w:u w:val="single"/>
        </w:rPr>
        <w:t>How, by whom, and for what purpose is the information used</w:t>
      </w:r>
      <w:r w:rsidRPr="00CE649C">
        <w:rPr>
          <w:rFonts w:ascii="Times New Roman" w:hAnsi="Times New Roman" w:cs="Times New Roman"/>
        </w:rPr>
        <w:t>:</w:t>
      </w:r>
    </w:p>
    <w:p w:rsidRPr="00CE649C" w:rsidR="00BD1BF2" w:rsidP="00937433" w:rsidRDefault="00937433" w14:paraId="5BC9B77E" w14:textId="4C851B82">
      <w:pPr>
        <w:pBdr>
          <w:top w:val="nil"/>
          <w:left w:val="nil"/>
          <w:bottom w:val="nil"/>
          <w:right w:val="nil"/>
          <w:between w:val="nil"/>
        </w:pBdr>
      </w:pPr>
      <w:r w:rsidRPr="00CE649C">
        <w:rPr>
          <w:color w:val="000000"/>
        </w:rPr>
        <w:t>This data collection will be used to test the idea that cooperation on foundational freight digital infrastructure is in the commercial interest of private parties and the national interest of the United States. The data will serve as a proof-of-concept to evaluate operational viability and commercial desirability of such an exchange.</w:t>
      </w:r>
      <w:r w:rsidRPr="00CE649C" w:rsidR="007E4968">
        <w:rPr>
          <w:color w:val="000000"/>
        </w:rPr>
        <w:t xml:space="preserve"> </w:t>
      </w:r>
      <w:r w:rsidRPr="00CE649C" w:rsidR="00037F1B">
        <w:t xml:space="preserve">This data will be necessary to complete </w:t>
      </w:r>
      <w:r w:rsidRPr="00CE649C" w:rsidR="007D1405">
        <w:t xml:space="preserve">the White House’s request </w:t>
      </w:r>
      <w:r w:rsidRPr="00CE649C" w:rsidR="00037F1B">
        <w:t xml:space="preserve">for a </w:t>
      </w:r>
      <w:r w:rsidRPr="00CE649C">
        <w:t>report on the proof-of-concept by September 2022</w:t>
      </w:r>
      <w:r w:rsidRPr="00CE649C" w:rsidR="00037F1B">
        <w:t xml:space="preserve">. </w:t>
      </w:r>
      <w:r w:rsidRPr="00CE649C">
        <w:t>The proof-of-concept will:</w:t>
      </w:r>
    </w:p>
    <w:p w:rsidRPr="00CE649C" w:rsidR="00937433" w:rsidP="00937433" w:rsidRDefault="00E81B5B" w14:paraId="649153C2" w14:textId="201F2EA4">
      <w:pPr>
        <w:numPr>
          <w:ilvl w:val="0"/>
          <w:numId w:val="3"/>
        </w:numPr>
        <w:pBdr>
          <w:top w:val="nil"/>
          <w:left w:val="nil"/>
          <w:bottom w:val="nil"/>
          <w:right w:val="nil"/>
          <w:between w:val="nil"/>
        </w:pBdr>
        <w:rPr>
          <w:color w:val="000000"/>
        </w:rPr>
      </w:pPr>
      <w:r w:rsidRPr="00CE649C">
        <w:rPr>
          <w:color w:val="000000"/>
        </w:rPr>
        <w:t xml:space="preserve">Define </w:t>
      </w:r>
      <w:r w:rsidRPr="00CE649C" w:rsidR="00937433">
        <w:rPr>
          <w:color w:val="000000"/>
        </w:rPr>
        <w:t xml:space="preserve">by consensus of a “minimum viable information” </w:t>
      </w:r>
      <w:proofErr w:type="gramStart"/>
      <w:r w:rsidRPr="00CE649C" w:rsidR="00937433">
        <w:rPr>
          <w:color w:val="000000"/>
        </w:rPr>
        <w:t>set</w:t>
      </w:r>
      <w:r w:rsidR="00AC791F">
        <w:rPr>
          <w:color w:val="000000"/>
        </w:rPr>
        <w:t>;</w:t>
      </w:r>
      <w:proofErr w:type="gramEnd"/>
    </w:p>
    <w:p w:rsidRPr="00CE649C" w:rsidR="00937433" w:rsidP="00937433" w:rsidRDefault="00E81B5B" w14:paraId="36472466" w14:textId="3CE179B9">
      <w:pPr>
        <w:numPr>
          <w:ilvl w:val="0"/>
          <w:numId w:val="3"/>
        </w:numPr>
        <w:pBdr>
          <w:top w:val="nil"/>
          <w:left w:val="nil"/>
          <w:bottom w:val="nil"/>
          <w:right w:val="nil"/>
          <w:between w:val="nil"/>
        </w:pBdr>
        <w:rPr>
          <w:color w:val="000000"/>
        </w:rPr>
      </w:pPr>
      <w:r w:rsidRPr="00CE649C">
        <w:rPr>
          <w:color w:val="000000"/>
        </w:rPr>
        <w:t xml:space="preserve">Determine </w:t>
      </w:r>
      <w:r w:rsidRPr="00CE649C" w:rsidR="00937433">
        <w:rPr>
          <w:color w:val="000000"/>
        </w:rPr>
        <w:t>the most appropriate data governance model</w:t>
      </w:r>
      <w:r w:rsidR="00AC791F">
        <w:rPr>
          <w:color w:val="000000"/>
        </w:rPr>
        <w:t>; and,</w:t>
      </w:r>
    </w:p>
    <w:p w:rsidRPr="00CE649C" w:rsidR="00937433" w:rsidP="00937433" w:rsidRDefault="00937433" w14:paraId="624C3E9C" w14:textId="31077CCF">
      <w:pPr>
        <w:numPr>
          <w:ilvl w:val="0"/>
          <w:numId w:val="3"/>
        </w:numPr>
        <w:pBdr>
          <w:top w:val="nil"/>
          <w:left w:val="nil"/>
          <w:bottom w:val="nil"/>
          <w:right w:val="nil"/>
          <w:between w:val="nil"/>
        </w:pBdr>
        <w:rPr>
          <w:color w:val="000000"/>
        </w:rPr>
      </w:pPr>
      <w:r w:rsidRPr="00CE649C">
        <w:rPr>
          <w:color w:val="000000"/>
        </w:rPr>
        <w:t>Select a universal standard reporting structure</w:t>
      </w:r>
      <w:r w:rsidR="00AC791F">
        <w:rPr>
          <w:color w:val="000000"/>
        </w:rPr>
        <w:t>.</w:t>
      </w:r>
    </w:p>
    <w:p w:rsidR="00776EC7" w:rsidP="00E140AD" w:rsidRDefault="00776EC7" w14:paraId="0E8594BE" w14:textId="6AECD880">
      <w:pPr>
        <w:spacing w:before="100" w:beforeAutospacing="1" w:after="100" w:afterAutospacing="1"/>
      </w:pPr>
      <w:r>
        <w:t>As described above, data collected</w:t>
      </w:r>
      <w:r w:rsidRPr="00AC791F">
        <w:t xml:space="preserve"> will be used to create an index of demand over capacity that is expected to act as a leading indicator of freight congestion and supply chain performance. The index, which will help communicate the degree of oversupply or undersupply of logistics assets, is intended to support a data driven approach to balance U.S. cargo traffic demand with system capacity.</w:t>
      </w:r>
    </w:p>
    <w:p w:rsidRPr="00776EC7" w:rsidR="00776EC7" w:rsidP="00E140AD" w:rsidRDefault="00776EC7" w14:paraId="1B3A9971" w14:textId="185E124A">
      <w:pPr>
        <w:spacing w:before="100" w:beforeAutospacing="1" w:after="100" w:afterAutospacing="1"/>
        <w:rPr>
          <w:b/>
          <w:bCs/>
        </w:rPr>
      </w:pPr>
      <w:r w:rsidRPr="00CE649C">
        <w:t>BTS will develop an analytical database using the reported data and other pertinent information</w:t>
      </w:r>
      <w:r w:rsidR="009E6BDF">
        <w:t>,</w:t>
      </w:r>
      <w:r w:rsidRPr="00CE649C">
        <w:t xml:space="preserve"> conduct statistical analyses</w:t>
      </w:r>
      <w:r w:rsidR="009E6BDF">
        <w:t>,</w:t>
      </w:r>
      <w:r w:rsidRPr="00CE649C">
        <w:t xml:space="preserve"> </w:t>
      </w:r>
      <w:r w:rsidR="009E6BDF">
        <w:t>calculate the index, and develop visualization and analytical tools to facilitate the sharing of results</w:t>
      </w:r>
      <w:r w:rsidRPr="00CE649C">
        <w:t>. FLOW partners will provide information that is likely to assess supply chain risk and allocate resources to address those risks, and to engage in informed discussions among FLOW stakeholders.</w:t>
      </w:r>
      <w:r>
        <w:t xml:space="preserve"> FLOW partners will use index information to support CDM decision making associated with the daily management of cargo and assets.</w:t>
      </w:r>
    </w:p>
    <w:p w:rsidRPr="00CE649C" w:rsidR="00BD1BF2" w:rsidRDefault="00BD1BF2" w14:paraId="1462526A" w14:textId="77777777">
      <w:pPr>
        <w:pStyle w:val="NormalWeb"/>
        <w:rPr>
          <w:rFonts w:ascii="Times New Roman" w:hAnsi="Times New Roman" w:cs="Times New Roman"/>
        </w:rPr>
      </w:pPr>
      <w:r w:rsidRPr="00CE649C">
        <w:rPr>
          <w:rFonts w:ascii="Times New Roman" w:hAnsi="Times New Roman" w:cs="Times New Roman"/>
        </w:rPr>
        <w:t>3.</w:t>
      </w:r>
      <w:r w:rsidRPr="00CE649C" w:rsidR="00565AFD">
        <w:rPr>
          <w:rStyle w:val="Strong"/>
          <w:rFonts w:ascii="Times New Roman" w:hAnsi="Times New Roman" w:cs="Times New Roman"/>
        </w:rPr>
        <w:t xml:space="preserve"> </w:t>
      </w:r>
      <w:r w:rsidRPr="00CE649C" w:rsidR="00565AFD">
        <w:rPr>
          <w:rStyle w:val="markedcontent"/>
          <w:rFonts w:ascii="Times New Roman" w:hAnsi="Times New Roman" w:cs="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CE649C" w:rsidR="00565AFD">
        <w:rPr>
          <w:rStyle w:val="markedcontent"/>
          <w:rFonts w:ascii="Times New Roman" w:hAnsi="Times New Roman" w:cs="Times New Roman"/>
        </w:rPr>
        <w:t xml:space="preserve"> </w:t>
      </w:r>
      <w:r w:rsidRPr="00CE649C">
        <w:rPr>
          <w:rFonts w:ascii="Times New Roman" w:hAnsi="Times New Roman" w:cs="Times New Roman"/>
        </w:rPr>
        <w:t xml:space="preserve"> </w:t>
      </w:r>
    </w:p>
    <w:p w:rsidRPr="00CE649C" w:rsidR="00BD1BF2" w:rsidP="000718A6" w:rsidRDefault="00937433" w14:paraId="1B007AF6" w14:textId="6BF05541">
      <w:pPr>
        <w:pStyle w:val="BodyText"/>
        <w:jc w:val="both"/>
        <w:rPr>
          <w:rFonts w:ascii="Times New Roman" w:hAnsi="Times New Roman" w:cs="Times New Roman"/>
          <w:b/>
          <w:i/>
          <w:color w:val="auto"/>
          <w:sz w:val="24"/>
          <w:szCs w:val="24"/>
        </w:rPr>
      </w:pPr>
      <w:r w:rsidRPr="00CE649C">
        <w:rPr>
          <w:rFonts w:ascii="Times New Roman" w:hAnsi="Times New Roman" w:cs="Times New Roman"/>
          <w:color w:val="auto"/>
          <w:sz w:val="24"/>
          <w:szCs w:val="24"/>
        </w:rPr>
        <w:lastRenderedPageBreak/>
        <w:t>Data will be collected on a voluntary basis through a secure portal</w:t>
      </w:r>
      <w:r w:rsidR="00AC791F">
        <w:rPr>
          <w:rFonts w:ascii="Times New Roman" w:hAnsi="Times New Roman" w:cs="Times New Roman"/>
          <w:color w:val="auto"/>
          <w:sz w:val="24"/>
          <w:szCs w:val="24"/>
        </w:rPr>
        <w:t xml:space="preserve"> administered by BTS</w:t>
      </w:r>
      <w:r w:rsidRPr="00CE649C">
        <w:rPr>
          <w:rFonts w:ascii="Times New Roman" w:hAnsi="Times New Roman" w:cs="Times New Roman"/>
          <w:color w:val="auto"/>
          <w:sz w:val="24"/>
          <w:szCs w:val="24"/>
        </w:rPr>
        <w:t xml:space="preserve">. All data collection will be electronic. </w:t>
      </w:r>
      <w:r w:rsidRPr="00CE649C" w:rsidR="005E7973">
        <w:rPr>
          <w:rFonts w:ascii="Times New Roman" w:hAnsi="Times New Roman" w:cs="Times New Roman"/>
          <w:color w:val="auto"/>
          <w:sz w:val="24"/>
          <w:szCs w:val="24"/>
        </w:rPr>
        <w:t>FLOW partners</w:t>
      </w:r>
      <w:r w:rsidRPr="00E140AD" w:rsidR="005E7973">
        <w:rPr>
          <w:rFonts w:ascii="Times New Roman" w:hAnsi="Times New Roman" w:cs="Times New Roman"/>
          <w:color w:val="auto"/>
          <w:sz w:val="24"/>
          <w:szCs w:val="24"/>
        </w:rPr>
        <w:t xml:space="preserve"> will work with BTS to determine a method for transfer, with the goal of allowing for submission of data in whatever format already in place to minimize incremental effort on the </w:t>
      </w:r>
      <w:r w:rsidRPr="00CE649C" w:rsidR="00CB300D">
        <w:rPr>
          <w:rFonts w:ascii="Times New Roman" w:hAnsi="Times New Roman" w:cs="Times New Roman"/>
          <w:color w:val="auto"/>
          <w:sz w:val="24"/>
          <w:szCs w:val="24"/>
        </w:rPr>
        <w:t>business</w:t>
      </w:r>
      <w:r w:rsidRPr="00E140AD" w:rsidR="005E7973">
        <w:rPr>
          <w:rFonts w:ascii="Times New Roman" w:hAnsi="Times New Roman" w:cs="Times New Roman"/>
          <w:color w:val="auto"/>
          <w:sz w:val="24"/>
          <w:szCs w:val="24"/>
        </w:rPr>
        <w:t>’ part.</w:t>
      </w:r>
    </w:p>
    <w:p w:rsidRPr="00CE649C" w:rsidR="00BD1BF2" w:rsidRDefault="00BD1BF2" w14:paraId="7C79E9A8" w14:textId="77777777">
      <w:pPr>
        <w:pStyle w:val="NormalWeb"/>
        <w:rPr>
          <w:rFonts w:ascii="Times New Roman" w:hAnsi="Times New Roman" w:cs="Times New Roman"/>
        </w:rPr>
      </w:pPr>
      <w:r w:rsidRPr="00CE649C">
        <w:rPr>
          <w:rFonts w:ascii="Times New Roman" w:hAnsi="Times New Roman" w:cs="Times New Roman"/>
        </w:rPr>
        <w:t xml:space="preserve">4. </w:t>
      </w:r>
      <w:r w:rsidRPr="00CE649C">
        <w:rPr>
          <w:rFonts w:ascii="Times New Roman" w:hAnsi="Times New Roman" w:cs="Times New Roman"/>
          <w:u w:val="single"/>
        </w:rPr>
        <w:t>Efforts to identify duplication</w:t>
      </w:r>
      <w:r w:rsidRPr="00CE649C">
        <w:rPr>
          <w:rFonts w:ascii="Times New Roman" w:hAnsi="Times New Roman" w:cs="Times New Roman"/>
        </w:rPr>
        <w:t>:</w:t>
      </w:r>
    </w:p>
    <w:p w:rsidRPr="00CE649C" w:rsidR="00BD1BF2" w:rsidRDefault="00937433" w14:paraId="6C05DE5F" w14:textId="6BBFABF2">
      <w:r w:rsidRPr="00CE649C">
        <w:t xml:space="preserve">These data are not currently collected by the </w:t>
      </w:r>
      <w:r w:rsidR="009E6BDF">
        <w:t>US</w:t>
      </w:r>
      <w:r w:rsidRPr="00CE649C">
        <w:t xml:space="preserve">DOT. </w:t>
      </w:r>
      <w:r w:rsidRPr="00CE649C" w:rsidR="006E5F6A">
        <w:t xml:space="preserve">Need for these data were identified by </w:t>
      </w:r>
      <w:r w:rsidRPr="00CE649C" w:rsidR="003E3A20">
        <w:t xml:space="preserve">the federal government and industry partners while the supply chain struggled with unprecedented </w:t>
      </w:r>
      <w:r w:rsidRPr="00CE649C" w:rsidR="00FD31A2">
        <w:t xml:space="preserve">congestion during the last </w:t>
      </w:r>
      <w:r w:rsidR="00AC791F">
        <w:t>three</w:t>
      </w:r>
      <w:r w:rsidRPr="00CE649C" w:rsidR="00FD31A2">
        <w:t xml:space="preserve"> years. </w:t>
      </w:r>
      <w:r w:rsidRPr="00CE649C" w:rsidR="00D22C0F">
        <w:t xml:space="preserve">Although other freight data are collected, </w:t>
      </w:r>
      <w:r w:rsidRPr="00CE649C" w:rsidR="002D43D4">
        <w:t xml:space="preserve">no data source can answer the demand and capacity </w:t>
      </w:r>
      <w:r w:rsidRPr="00CE649C" w:rsidR="00325EC4">
        <w:t>data needs identified nor</w:t>
      </w:r>
      <w:r w:rsidRPr="00CE649C" w:rsidR="008A718E">
        <w:t xml:space="preserve"> is there a similarly frequent data source that could </w:t>
      </w:r>
      <w:r w:rsidRPr="00CE649C" w:rsidR="00497B56">
        <w:t>support a timely</w:t>
      </w:r>
      <w:r w:rsidRPr="00CE649C" w:rsidR="009F30BF">
        <w:t xml:space="preserve"> </w:t>
      </w:r>
      <w:r w:rsidRPr="00CE649C" w:rsidR="00D969D8">
        <w:t xml:space="preserve">leading indicator such as </w:t>
      </w:r>
      <w:r w:rsidRPr="00CE649C" w:rsidR="00CD68A3">
        <w:t xml:space="preserve">the proposed index. </w:t>
      </w:r>
      <w:r w:rsidRPr="00CE649C" w:rsidR="00D969D8">
        <w:t xml:space="preserve"> </w:t>
      </w:r>
    </w:p>
    <w:p w:rsidRPr="00CE649C" w:rsidR="00BD1BF2" w:rsidRDefault="00BD1BF2" w14:paraId="3830C498" w14:textId="77777777">
      <w:pPr>
        <w:pStyle w:val="NormalWeb"/>
        <w:rPr>
          <w:rFonts w:ascii="Times New Roman" w:hAnsi="Times New Roman" w:cs="Times New Roman"/>
        </w:rPr>
      </w:pPr>
      <w:r w:rsidRPr="00CE649C">
        <w:rPr>
          <w:rFonts w:ascii="Times New Roman" w:hAnsi="Times New Roman" w:cs="Times New Roman"/>
        </w:rPr>
        <w:t xml:space="preserve">5. </w:t>
      </w:r>
      <w:r w:rsidRPr="00CE649C">
        <w:rPr>
          <w:rFonts w:ascii="Times New Roman" w:hAnsi="Times New Roman" w:cs="Times New Roman"/>
          <w:u w:val="single"/>
        </w:rPr>
        <w:t>Efforts to minimize the burden on small businesses</w:t>
      </w:r>
      <w:r w:rsidRPr="00CE649C">
        <w:rPr>
          <w:rFonts w:ascii="Times New Roman" w:hAnsi="Times New Roman" w:cs="Times New Roman"/>
        </w:rPr>
        <w:t>:</w:t>
      </w:r>
    </w:p>
    <w:p w:rsidRPr="00CE649C" w:rsidR="00BD1BF2" w:rsidRDefault="008C0F4A" w14:paraId="41F2CC37" w14:textId="44FBA40A">
      <w:r w:rsidRPr="00CE649C">
        <w:t>No small businesses will be included in th</w:t>
      </w:r>
      <w:r w:rsidRPr="00CE649C" w:rsidR="005B3D16">
        <w:t>e pilot test</w:t>
      </w:r>
      <w:r w:rsidRPr="00CE649C" w:rsidR="0020686F">
        <w:t>.</w:t>
      </w:r>
    </w:p>
    <w:p w:rsidRPr="00CE649C" w:rsidR="00BD1BF2" w:rsidRDefault="00BD1BF2" w14:paraId="1A914162" w14:textId="77777777">
      <w:pPr>
        <w:pStyle w:val="NormalWeb"/>
        <w:rPr>
          <w:rFonts w:ascii="Times New Roman" w:hAnsi="Times New Roman" w:cs="Times New Roman"/>
        </w:rPr>
      </w:pPr>
      <w:r w:rsidRPr="00CE649C">
        <w:rPr>
          <w:rFonts w:ascii="Times New Roman" w:hAnsi="Times New Roman" w:cs="Times New Roman"/>
        </w:rPr>
        <w:t xml:space="preserve">6. </w:t>
      </w:r>
      <w:r w:rsidRPr="00CE649C">
        <w:rPr>
          <w:rFonts w:ascii="Times New Roman" w:hAnsi="Times New Roman" w:cs="Times New Roman"/>
          <w:u w:val="single"/>
        </w:rPr>
        <w:t>Impact of less frequent collection of information</w:t>
      </w:r>
      <w:r w:rsidRPr="00CE649C">
        <w:rPr>
          <w:rFonts w:ascii="Times New Roman" w:hAnsi="Times New Roman" w:cs="Times New Roman"/>
        </w:rPr>
        <w:t>:</w:t>
      </w:r>
    </w:p>
    <w:p w:rsidRPr="00CE649C" w:rsidR="0085312C" w:rsidP="00B92BE9" w:rsidRDefault="00776EC7" w14:paraId="199BB5B4" w14:textId="7ACC7C3F">
      <w:pPr>
        <w:pStyle w:val="NormalWeb"/>
        <w:spacing w:before="0" w:beforeAutospacing="0" w:after="0" w:afterAutospacing="0"/>
        <w:rPr>
          <w:rFonts w:ascii="Times New Roman" w:hAnsi="Times New Roman" w:cs="Times New Roman"/>
        </w:rPr>
      </w:pPr>
      <w:r>
        <w:rPr>
          <w:rFonts w:ascii="Times New Roman" w:hAnsi="Times New Roman" w:cs="Times New Roman"/>
        </w:rPr>
        <w:t xml:space="preserve">This data collection is limited to a pilot effort. It is critical to collect sufficient data during the pilot phase to support the development of a proof-of-concept implementation and create the proposed index. It is anticipated that the frequency of submissions will be: (a) a one-time submission of historic data, and (b) periodic (up to daily) submissions of present-day data. BTS will work with participants to identify a mutually suitable and secure method to automate the present-day data submissions to the extent practicable and reduce burden on participants. Reduced frequency will </w:t>
      </w:r>
      <w:r w:rsidRPr="00E140AD" w:rsidR="0081627C">
        <w:rPr>
          <w:rFonts w:ascii="Times New Roman" w:hAnsi="Times New Roman" w:cs="Times New Roman"/>
        </w:rPr>
        <w:t xml:space="preserve">reduce the </w:t>
      </w:r>
      <w:r>
        <w:rPr>
          <w:rFonts w:ascii="Times New Roman" w:hAnsi="Times New Roman" w:cs="Times New Roman"/>
        </w:rPr>
        <w:t>US</w:t>
      </w:r>
      <w:r w:rsidRPr="00E140AD" w:rsidR="0081627C">
        <w:rPr>
          <w:rFonts w:ascii="Times New Roman" w:hAnsi="Times New Roman" w:cs="Times New Roman"/>
        </w:rPr>
        <w:t xml:space="preserve">DOT’s ability to </w:t>
      </w:r>
      <w:r w:rsidRPr="00E140AD" w:rsidR="00B46009">
        <w:rPr>
          <w:rFonts w:ascii="Times New Roman" w:hAnsi="Times New Roman" w:cs="Times New Roman"/>
        </w:rPr>
        <w:t xml:space="preserve">forecast </w:t>
      </w:r>
      <w:r w:rsidRPr="00E140AD" w:rsidR="005C005C">
        <w:rPr>
          <w:rFonts w:ascii="Times New Roman" w:hAnsi="Times New Roman" w:cs="Times New Roman"/>
        </w:rPr>
        <w:t xml:space="preserve">congestion in the supply chain </w:t>
      </w:r>
      <w:r w:rsidRPr="00E140AD" w:rsidR="007C0F13">
        <w:rPr>
          <w:rFonts w:ascii="Times New Roman" w:hAnsi="Times New Roman" w:cs="Times New Roman"/>
        </w:rPr>
        <w:t xml:space="preserve">and the </w:t>
      </w:r>
      <w:r w:rsidRPr="00E140AD" w:rsidR="009B0AA4">
        <w:rPr>
          <w:rFonts w:ascii="Times New Roman" w:hAnsi="Times New Roman" w:cs="Times New Roman"/>
        </w:rPr>
        <w:t>efficacy and value of the program.</w:t>
      </w:r>
    </w:p>
    <w:p w:rsidRPr="00CE649C" w:rsidR="00995617" w:rsidP="00995617" w:rsidRDefault="00995617" w14:paraId="6ED5C487" w14:textId="77777777"/>
    <w:p w:rsidRPr="00E140AD" w:rsidR="00995617" w:rsidP="00E140AD" w:rsidRDefault="00995617" w14:paraId="74458CB8" w14:textId="3DD5E74D">
      <w:pPr>
        <w:rPr>
          <w:u w:val="single"/>
        </w:rPr>
      </w:pPr>
      <w:r w:rsidRPr="00CE649C">
        <w:t xml:space="preserve">7. </w:t>
      </w:r>
      <w:r w:rsidRPr="00E140AD">
        <w:rPr>
          <w:u w:val="single"/>
        </w:rPr>
        <w:t>Explain any special circumstances that would cause an information collection to be conducted in a manner:</w:t>
      </w:r>
    </w:p>
    <w:p w:rsidRPr="00776EC7" w:rsidR="00995617" w:rsidP="00E140AD" w:rsidRDefault="00995617" w14:paraId="12957390" w14:textId="2B24CCEA">
      <w:pPr>
        <w:numPr>
          <w:ilvl w:val="0"/>
          <w:numId w:val="4"/>
        </w:numPr>
        <w:rPr>
          <w:u w:val="single"/>
        </w:rPr>
      </w:pPr>
      <w:r w:rsidRPr="00E140AD">
        <w:rPr>
          <w:u w:val="single"/>
        </w:rPr>
        <w:t xml:space="preserve">requiring respondents to report information to the agency more often than </w:t>
      </w:r>
      <w:proofErr w:type="gramStart"/>
      <w:r w:rsidRPr="00E140AD">
        <w:rPr>
          <w:u w:val="single"/>
        </w:rPr>
        <w:t>quarterly;</w:t>
      </w:r>
      <w:proofErr w:type="gramEnd"/>
    </w:p>
    <w:p w:rsidRPr="00776EC7" w:rsidR="00995617" w:rsidP="00E140AD" w:rsidRDefault="00995617" w14:paraId="4B4120B2" w14:textId="5DBC4792">
      <w:pPr>
        <w:numPr>
          <w:ilvl w:val="0"/>
          <w:numId w:val="5"/>
        </w:numPr>
        <w:rPr>
          <w:u w:val="single"/>
        </w:rPr>
      </w:pPr>
      <w:r w:rsidRPr="00E140AD">
        <w:rPr>
          <w:u w:val="single"/>
        </w:rPr>
        <w:t xml:space="preserve">requiring respondents to prepare a written response to a collection of information in fewer than 30 days after receipt of </w:t>
      </w:r>
      <w:proofErr w:type="gramStart"/>
      <w:r w:rsidRPr="00E140AD">
        <w:rPr>
          <w:u w:val="single"/>
        </w:rPr>
        <w:t>it;</w:t>
      </w:r>
      <w:proofErr w:type="gramEnd"/>
    </w:p>
    <w:p w:rsidRPr="00776EC7" w:rsidR="00995617" w:rsidP="00E140AD" w:rsidRDefault="00995617" w14:paraId="61F3CB18" w14:textId="511CDE37">
      <w:pPr>
        <w:numPr>
          <w:ilvl w:val="0"/>
          <w:numId w:val="6"/>
        </w:numPr>
        <w:rPr>
          <w:u w:val="single"/>
        </w:rPr>
      </w:pPr>
      <w:r w:rsidRPr="00E140AD">
        <w:rPr>
          <w:u w:val="single"/>
        </w:rPr>
        <w:t xml:space="preserve">requiring respondents to submit more than an original and two copies of any </w:t>
      </w:r>
      <w:proofErr w:type="gramStart"/>
      <w:r w:rsidRPr="00E140AD">
        <w:rPr>
          <w:u w:val="single"/>
        </w:rPr>
        <w:t>document;</w:t>
      </w:r>
      <w:proofErr w:type="gramEnd"/>
    </w:p>
    <w:p w:rsidRPr="00776EC7" w:rsidR="00995617" w:rsidP="00E140AD" w:rsidRDefault="00995617" w14:paraId="3C28A2EC" w14:textId="4BF25A99">
      <w:pPr>
        <w:numPr>
          <w:ilvl w:val="0"/>
          <w:numId w:val="7"/>
        </w:numPr>
        <w:rPr>
          <w:u w:val="single"/>
        </w:rPr>
      </w:pPr>
      <w:r w:rsidRPr="00E140AD">
        <w:rPr>
          <w:u w:val="single"/>
        </w:rPr>
        <w:t xml:space="preserve">requiring respondents to retain records, other than health, government contracts, grant-in-aid, or tax records for more than 3 </w:t>
      </w:r>
      <w:proofErr w:type="gramStart"/>
      <w:r w:rsidRPr="00E140AD">
        <w:rPr>
          <w:u w:val="single"/>
        </w:rPr>
        <w:t>years;</w:t>
      </w:r>
      <w:proofErr w:type="gramEnd"/>
    </w:p>
    <w:p w:rsidRPr="00776EC7" w:rsidR="00995617" w:rsidP="00E140AD" w:rsidRDefault="00995617" w14:paraId="3CED6A9A" w14:textId="64644145">
      <w:pPr>
        <w:numPr>
          <w:ilvl w:val="0"/>
          <w:numId w:val="8"/>
        </w:numPr>
        <w:rPr>
          <w:u w:val="single"/>
        </w:rPr>
      </w:pPr>
      <w:r w:rsidRPr="00E140AD">
        <w:rPr>
          <w:u w:val="single"/>
        </w:rPr>
        <w:t xml:space="preserve">in connection with a statistical survey, that is not designed to produce valid and reliable results that can be generalized to the universe of </w:t>
      </w:r>
      <w:proofErr w:type="gramStart"/>
      <w:r w:rsidRPr="00E140AD">
        <w:rPr>
          <w:u w:val="single"/>
        </w:rPr>
        <w:t>study;</w:t>
      </w:r>
      <w:proofErr w:type="gramEnd"/>
    </w:p>
    <w:p w:rsidRPr="00776EC7" w:rsidR="00995617" w:rsidP="00E140AD" w:rsidRDefault="00995617" w14:paraId="7EA0543E" w14:textId="5064CBD4">
      <w:pPr>
        <w:numPr>
          <w:ilvl w:val="0"/>
          <w:numId w:val="9"/>
        </w:numPr>
        <w:rPr>
          <w:u w:val="single"/>
        </w:rPr>
      </w:pPr>
      <w:r w:rsidRPr="00E140AD">
        <w:rPr>
          <w:u w:val="single"/>
        </w:rPr>
        <w:t xml:space="preserve">requiring the use of statistical data classification that has not been reviewed and approved by </w:t>
      </w:r>
      <w:proofErr w:type="gramStart"/>
      <w:r w:rsidRPr="00E140AD">
        <w:rPr>
          <w:u w:val="single"/>
        </w:rPr>
        <w:t>OMB;</w:t>
      </w:r>
      <w:proofErr w:type="gramEnd"/>
    </w:p>
    <w:p w:rsidRPr="00776EC7" w:rsidR="00995617" w:rsidP="00E140AD" w:rsidRDefault="00995617" w14:paraId="35A81864" w14:textId="1ABE2A26">
      <w:pPr>
        <w:numPr>
          <w:ilvl w:val="0"/>
          <w:numId w:val="10"/>
        </w:numPr>
        <w:rPr>
          <w:u w:val="single"/>
        </w:rPr>
      </w:pPr>
      <w:r w:rsidRPr="00E140AD">
        <w:rPr>
          <w:u w:val="single"/>
        </w:rPr>
        <w:lastRenderedPageBreak/>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E649C" w:rsidR="00995617" w:rsidP="00995617" w:rsidRDefault="00995617" w14:paraId="0CBC7538" w14:textId="77777777">
      <w:pPr>
        <w:numPr>
          <w:ilvl w:val="0"/>
          <w:numId w:val="11"/>
        </w:numPr>
        <w:rPr>
          <w:u w:val="single"/>
        </w:rPr>
      </w:pPr>
      <w:r w:rsidRPr="00E140AD">
        <w:rPr>
          <w:u w:val="single"/>
        </w:rPr>
        <w:t>requiring respondents to submit proprietary trade secrets, or other confidential information unless the agency can demonstrate that it has instituted procedures to protect the information’s confidentiality to the extent permitted by law.</w:t>
      </w:r>
    </w:p>
    <w:p w:rsidRPr="00CE649C" w:rsidR="00995617" w:rsidP="00995617" w:rsidRDefault="00995617" w14:paraId="53B61AAD" w14:textId="77777777">
      <w:pPr>
        <w:rPr>
          <w:u w:val="single"/>
        </w:rPr>
      </w:pPr>
    </w:p>
    <w:p w:rsidRPr="00776EC7" w:rsidR="00286F77" w:rsidP="00776EC7" w:rsidRDefault="00064077" w14:paraId="74FDB065" w14:textId="35573387">
      <w:r w:rsidRPr="00CE649C">
        <w:t>There are no special circumstances that pertain to this information collection.</w:t>
      </w:r>
    </w:p>
    <w:p w:rsidRPr="00CE649C" w:rsidR="00BD1BF2" w:rsidRDefault="00064077" w14:paraId="7FB160EE" w14:textId="1F5CC086">
      <w:pPr>
        <w:pStyle w:val="NormalWeb"/>
        <w:rPr>
          <w:rFonts w:ascii="Times New Roman" w:hAnsi="Times New Roman" w:cs="Times New Roman"/>
        </w:rPr>
      </w:pPr>
      <w:r w:rsidRPr="00CE649C">
        <w:rPr>
          <w:rFonts w:ascii="Times New Roman" w:hAnsi="Times New Roman" w:cs="Times New Roman"/>
        </w:rPr>
        <w:t>8</w:t>
      </w:r>
      <w:r w:rsidRPr="00CE649C" w:rsidR="00BD1BF2">
        <w:rPr>
          <w:rFonts w:ascii="Times New Roman" w:hAnsi="Times New Roman" w:cs="Times New Roman"/>
        </w:rPr>
        <w:t xml:space="preserve">. </w:t>
      </w:r>
      <w:r w:rsidRPr="00CE649C" w:rsidR="00BD1BF2">
        <w:rPr>
          <w:rFonts w:ascii="Times New Roman" w:hAnsi="Times New Roman" w:cs="Times New Roman"/>
          <w:u w:val="single"/>
        </w:rPr>
        <w:t>Compliance with 5 CFR 1320.8</w:t>
      </w:r>
      <w:r w:rsidRPr="00CE649C" w:rsidR="00BD1BF2">
        <w:rPr>
          <w:rFonts w:ascii="Times New Roman" w:hAnsi="Times New Roman" w:cs="Times New Roman"/>
        </w:rPr>
        <w:t>:</w:t>
      </w:r>
    </w:p>
    <w:p w:rsidRPr="00CE649C" w:rsidR="0085312C" w:rsidP="00776EC7" w:rsidRDefault="0085312C" w14:paraId="4DC5DA6F" w14:textId="23C7F987">
      <w:r w:rsidRPr="00E140AD">
        <w:rPr>
          <w:rFonts w:eastAsia="Arial Unicode MS"/>
        </w:rPr>
        <w:t xml:space="preserve">Collection of these data is conducted in a manner consistent with the guidelines in 5 CFR 1320.5. </w:t>
      </w:r>
    </w:p>
    <w:p w:rsidRPr="00CE649C" w:rsidR="00BD1BF2" w:rsidRDefault="008F6EEC" w14:paraId="07E193CA" w14:textId="49BC702E">
      <w:pPr>
        <w:pStyle w:val="NormalWeb"/>
        <w:rPr>
          <w:rFonts w:ascii="Times New Roman" w:hAnsi="Times New Roman" w:cs="Times New Roman"/>
        </w:rPr>
      </w:pPr>
      <w:r w:rsidRPr="00CE649C">
        <w:rPr>
          <w:rFonts w:ascii="Times New Roman" w:hAnsi="Times New Roman" w:cs="Times New Roman"/>
        </w:rPr>
        <w:t>9</w:t>
      </w:r>
      <w:r w:rsidRPr="00CE649C" w:rsidR="00BD1BF2">
        <w:rPr>
          <w:rFonts w:ascii="Times New Roman" w:hAnsi="Times New Roman" w:cs="Times New Roman"/>
        </w:rPr>
        <w:t xml:space="preserve">. </w:t>
      </w:r>
      <w:r w:rsidRPr="00CE649C" w:rsidR="00BD1BF2">
        <w:rPr>
          <w:rFonts w:ascii="Times New Roman" w:hAnsi="Times New Roman" w:cs="Times New Roman"/>
          <w:u w:val="single"/>
        </w:rPr>
        <w:t>Payments or gifts to respondents</w:t>
      </w:r>
      <w:r w:rsidRPr="00CE649C" w:rsidR="00BD1BF2">
        <w:rPr>
          <w:rFonts w:ascii="Times New Roman" w:hAnsi="Times New Roman" w:cs="Times New Roman"/>
        </w:rPr>
        <w:t>:</w:t>
      </w:r>
    </w:p>
    <w:p w:rsidRPr="00CE649C" w:rsidR="00BD1BF2" w:rsidRDefault="00961AC1" w14:paraId="73EF5E95" w14:textId="77777777">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No payments or gifts to respondents.</w:t>
      </w:r>
    </w:p>
    <w:p w:rsidRPr="00CE649C" w:rsidR="00BD1BF2" w:rsidRDefault="008F6EEC" w14:paraId="410C6ECB" w14:textId="5D288121">
      <w:pPr>
        <w:pStyle w:val="NormalWeb"/>
        <w:rPr>
          <w:rFonts w:ascii="Times New Roman" w:hAnsi="Times New Roman" w:cs="Times New Roman"/>
        </w:rPr>
      </w:pPr>
      <w:r w:rsidRPr="00CE649C">
        <w:rPr>
          <w:rFonts w:ascii="Times New Roman" w:hAnsi="Times New Roman" w:cs="Times New Roman"/>
        </w:rPr>
        <w:t>10</w:t>
      </w:r>
      <w:r w:rsidRPr="00CE649C" w:rsidR="00BD1BF2">
        <w:rPr>
          <w:rFonts w:ascii="Times New Roman" w:hAnsi="Times New Roman" w:cs="Times New Roman"/>
        </w:rPr>
        <w:t xml:space="preserve">. </w:t>
      </w:r>
      <w:r w:rsidRPr="00CE649C" w:rsidR="00BD1BF2">
        <w:rPr>
          <w:rFonts w:ascii="Times New Roman" w:hAnsi="Times New Roman" w:cs="Times New Roman"/>
          <w:u w:val="single"/>
        </w:rPr>
        <w:t>Assurance of confidentiality</w:t>
      </w:r>
      <w:r w:rsidRPr="00CE649C" w:rsidR="00BD1BF2">
        <w:rPr>
          <w:rFonts w:ascii="Times New Roman" w:hAnsi="Times New Roman" w:cs="Times New Roman"/>
        </w:rPr>
        <w:t>:</w:t>
      </w:r>
    </w:p>
    <w:p w:rsidR="00776EC7" w:rsidP="00776EC7" w:rsidRDefault="00776EC7" w14:paraId="0A2A1082" w14:textId="6A507064">
      <w:pPr>
        <w:spacing w:before="100" w:beforeAutospacing="1" w:after="100" w:afterAutospacing="1"/>
      </w:pPr>
      <w:r w:rsidRPr="00CE649C">
        <w:t xml:space="preserve">BTS will collect, store, process, and analyze the industry data while assuring data confidentiality. The information provided will be used for statistical purposes only, in accordance with the </w:t>
      </w:r>
      <w:r w:rsidRPr="00E140AD">
        <w:t xml:space="preserve">BTS confidentiality statute (49 U.S.C. § 6307) and the Confidential Information Protection and Statistical Efficiency Act (CIPSEA) of 2018 (Title III of the Foundations for Evidence-Based Policymaking Act of 2018, Pub. L. 115-435, codified in 44 U.S.C. </w:t>
      </w:r>
      <w:proofErr w:type="spellStart"/>
      <w:r w:rsidRPr="00E140AD">
        <w:t>ch.</w:t>
      </w:r>
      <w:proofErr w:type="spellEnd"/>
      <w:r w:rsidRPr="00E140AD">
        <w:t xml:space="preserve"> 35). </w:t>
      </w:r>
      <w:r>
        <w:t>In accordance with CIPSEA, information voluntarily submitted by industry partners will be used exclusively for statistical purposes and will not be disclosed in identifiable form except with the informed consent of the respondent. As applicable, BTS will apply appropriate disclosure avoidance methods</w:t>
      </w:r>
      <w:r w:rsidR="00BD19EB">
        <w:t xml:space="preserve"> associated with any publications or data releases</w:t>
      </w:r>
      <w:r>
        <w:t>.</w:t>
      </w:r>
    </w:p>
    <w:p w:rsidRPr="00CE649C" w:rsidR="00BD1BF2" w:rsidRDefault="0085312C" w14:paraId="37038752" w14:textId="649B0777">
      <w:pPr>
        <w:pStyle w:val="NormalWeb"/>
        <w:rPr>
          <w:rFonts w:ascii="Times New Roman" w:hAnsi="Times New Roman" w:cs="Times New Roman"/>
        </w:rPr>
      </w:pPr>
      <w:r w:rsidRPr="00CE649C">
        <w:rPr>
          <w:rFonts w:ascii="Times New Roman" w:hAnsi="Times New Roman" w:cs="Times New Roman"/>
        </w:rPr>
        <w:t>1</w:t>
      </w:r>
      <w:r w:rsidRPr="00CE649C" w:rsidR="008F6EEC">
        <w:rPr>
          <w:rFonts w:ascii="Times New Roman" w:hAnsi="Times New Roman" w:cs="Times New Roman"/>
        </w:rPr>
        <w:t>1</w:t>
      </w:r>
      <w:r w:rsidRPr="00CE649C" w:rsidR="00BD1BF2">
        <w:rPr>
          <w:rFonts w:ascii="Times New Roman" w:hAnsi="Times New Roman" w:cs="Times New Roman"/>
        </w:rPr>
        <w:t xml:space="preserve">. </w:t>
      </w:r>
      <w:r w:rsidRPr="00CE649C" w:rsidR="00BD1BF2">
        <w:rPr>
          <w:rFonts w:ascii="Times New Roman" w:hAnsi="Times New Roman" w:cs="Times New Roman"/>
          <w:u w:val="single"/>
        </w:rPr>
        <w:t>Justification for collection of sensitive information</w:t>
      </w:r>
      <w:r w:rsidRPr="00CE649C" w:rsidR="00BD1BF2">
        <w:rPr>
          <w:rFonts w:ascii="Times New Roman" w:hAnsi="Times New Roman" w:cs="Times New Roman"/>
        </w:rPr>
        <w:t>:</w:t>
      </w:r>
    </w:p>
    <w:p w:rsidRPr="00CE649C" w:rsidR="00BD1BF2" w:rsidRDefault="009E6BDF" w14:paraId="1D6B31ED" w14:textId="5CA1E36D">
      <w:pPr>
        <w:pStyle w:val="BodyText"/>
        <w:rPr>
          <w:rFonts w:ascii="Times New Roman" w:hAnsi="Times New Roman" w:cs="Times New Roman"/>
          <w:color w:val="auto"/>
          <w:sz w:val="24"/>
          <w:szCs w:val="24"/>
        </w:rPr>
      </w:pPr>
      <w:r>
        <w:rPr>
          <w:rFonts w:ascii="Times New Roman" w:hAnsi="Times New Roman" w:cs="Times New Roman"/>
          <w:color w:val="auto"/>
          <w:sz w:val="24"/>
          <w:szCs w:val="24"/>
        </w:rPr>
        <w:t>D</w:t>
      </w:r>
      <w:r w:rsidRPr="00CE649C" w:rsidR="00696AA9">
        <w:rPr>
          <w:rFonts w:ascii="Times New Roman" w:hAnsi="Times New Roman" w:cs="Times New Roman"/>
          <w:color w:val="auto"/>
          <w:sz w:val="24"/>
          <w:szCs w:val="24"/>
        </w:rPr>
        <w:t>ata</w:t>
      </w:r>
      <w:r>
        <w:rPr>
          <w:rFonts w:ascii="Times New Roman" w:hAnsi="Times New Roman" w:cs="Times New Roman"/>
          <w:color w:val="auto"/>
          <w:sz w:val="24"/>
          <w:szCs w:val="24"/>
        </w:rPr>
        <w:t xml:space="preserve"> collected</w:t>
      </w:r>
      <w:r w:rsidRPr="00CE649C" w:rsidR="00696AA9">
        <w:rPr>
          <w:rFonts w:ascii="Times New Roman" w:hAnsi="Times New Roman" w:cs="Times New Roman"/>
          <w:color w:val="auto"/>
          <w:sz w:val="24"/>
          <w:szCs w:val="24"/>
        </w:rPr>
        <w:t xml:space="preserve"> will be </w:t>
      </w:r>
      <w:r>
        <w:rPr>
          <w:rFonts w:ascii="Times New Roman" w:hAnsi="Times New Roman" w:cs="Times New Roman"/>
          <w:color w:val="auto"/>
          <w:sz w:val="24"/>
          <w:szCs w:val="24"/>
        </w:rPr>
        <w:t xml:space="preserve">considered confidential and </w:t>
      </w:r>
      <w:r w:rsidRPr="00CE649C" w:rsidR="00696AA9">
        <w:rPr>
          <w:rFonts w:ascii="Times New Roman" w:hAnsi="Times New Roman" w:cs="Times New Roman"/>
          <w:color w:val="auto"/>
          <w:sz w:val="24"/>
          <w:szCs w:val="24"/>
        </w:rPr>
        <w:t>protected under CIPSEA.</w:t>
      </w:r>
    </w:p>
    <w:p w:rsidR="00BD1BF2" w:rsidRDefault="008F6EEC" w14:paraId="34672279" w14:textId="6D0BC982">
      <w:pPr>
        <w:pStyle w:val="NormalWeb"/>
        <w:rPr>
          <w:rFonts w:ascii="Times New Roman" w:hAnsi="Times New Roman" w:cs="Times New Roman"/>
        </w:rPr>
      </w:pPr>
      <w:r w:rsidRPr="00CE649C">
        <w:rPr>
          <w:rFonts w:ascii="Times New Roman" w:hAnsi="Times New Roman" w:cs="Times New Roman"/>
        </w:rPr>
        <w:t>12</w:t>
      </w:r>
      <w:r w:rsidRPr="00CE649C" w:rsidR="00BD1BF2">
        <w:rPr>
          <w:rFonts w:ascii="Times New Roman" w:hAnsi="Times New Roman" w:cs="Times New Roman"/>
        </w:rPr>
        <w:t xml:space="preserve">. </w:t>
      </w:r>
      <w:r w:rsidRPr="00CE649C" w:rsidR="00BD1BF2">
        <w:rPr>
          <w:rFonts w:ascii="Times New Roman" w:hAnsi="Times New Roman" w:cs="Times New Roman"/>
          <w:u w:val="single"/>
        </w:rPr>
        <w:t>Estimate of burden hours for information requested</w:t>
      </w:r>
      <w:r w:rsidRPr="00CE649C" w:rsidR="00BD1BF2">
        <w:rPr>
          <w:rFonts w:ascii="Times New Roman" w:hAnsi="Times New Roman" w:cs="Times New Roman"/>
        </w:rPr>
        <w:t>:</w:t>
      </w:r>
    </w:p>
    <w:p w:rsidR="004F72E3" w:rsidRDefault="004F72E3" w14:paraId="783E8406" w14:textId="57A7DCEC">
      <w:pPr>
        <w:pStyle w:val="NormalWeb"/>
        <w:rPr>
          <w:rFonts w:ascii="Times New Roman" w:hAnsi="Times New Roman" w:cs="Times New Roman"/>
        </w:rPr>
      </w:pPr>
      <w:r>
        <w:rPr>
          <w:rFonts w:ascii="Times New Roman" w:hAnsi="Times New Roman" w:cs="Times New Roman"/>
        </w:rPr>
        <w:t>Approximately 2</w:t>
      </w:r>
      <w:r w:rsidR="006B54FF">
        <w:rPr>
          <w:rFonts w:ascii="Times New Roman" w:hAnsi="Times New Roman" w:cs="Times New Roman"/>
        </w:rPr>
        <w:t>1</w:t>
      </w:r>
      <w:r>
        <w:rPr>
          <w:rFonts w:ascii="Times New Roman" w:hAnsi="Times New Roman" w:cs="Times New Roman"/>
        </w:rPr>
        <w:t xml:space="preserve"> companies</w:t>
      </w:r>
      <w:r w:rsidR="006724F9">
        <w:rPr>
          <w:rFonts w:ascii="Times New Roman" w:hAnsi="Times New Roman" w:cs="Times New Roman"/>
        </w:rPr>
        <w:t xml:space="preserve"> will participate in the pilot phase. They comprise beneficial cargo owners (BCOs), ocean carriers, non-vessel operating common carriers (NVOs), ports and terminals, chassis providers, warehousing</w:t>
      </w:r>
      <w:r w:rsidR="006B54FF">
        <w:rPr>
          <w:rFonts w:ascii="Times New Roman" w:hAnsi="Times New Roman" w:cs="Times New Roman"/>
        </w:rPr>
        <w:t xml:space="preserve"> companies</w:t>
      </w:r>
      <w:r w:rsidR="006724F9">
        <w:rPr>
          <w:rFonts w:ascii="Times New Roman" w:hAnsi="Times New Roman" w:cs="Times New Roman"/>
        </w:rPr>
        <w:t>, and trucking</w:t>
      </w:r>
      <w:r w:rsidR="006B54FF">
        <w:rPr>
          <w:rFonts w:ascii="Times New Roman" w:hAnsi="Times New Roman" w:cs="Times New Roman"/>
        </w:rPr>
        <w:t xml:space="preserve"> companies</w:t>
      </w:r>
      <w:r w:rsidR="006724F9">
        <w:rPr>
          <w:rFonts w:ascii="Times New Roman" w:hAnsi="Times New Roman" w:cs="Times New Roman"/>
        </w:rPr>
        <w:t>.</w:t>
      </w:r>
    </w:p>
    <w:p w:rsidR="006B54FF" w:rsidRDefault="009D5719" w14:paraId="40362331" w14:textId="77D24DC1">
      <w:pPr>
        <w:pStyle w:val="NormalWeb"/>
        <w:rPr>
          <w:rFonts w:ascii="Times New Roman" w:hAnsi="Times New Roman" w:cs="Times New Roman"/>
        </w:rPr>
      </w:pPr>
      <w:r>
        <w:rPr>
          <w:rFonts w:ascii="Times New Roman" w:hAnsi="Times New Roman" w:cs="Times New Roman"/>
        </w:rPr>
        <w:t xml:space="preserve">It is expected that gathering and submitting historic data to support the pilot effort </w:t>
      </w:r>
      <w:r w:rsidR="0017141B">
        <w:rPr>
          <w:rFonts w:ascii="Times New Roman" w:hAnsi="Times New Roman" w:cs="Times New Roman"/>
        </w:rPr>
        <w:t>w</w:t>
      </w:r>
      <w:r>
        <w:rPr>
          <w:rFonts w:ascii="Times New Roman" w:hAnsi="Times New Roman" w:cs="Times New Roman"/>
        </w:rPr>
        <w:t>ill require a</w:t>
      </w:r>
      <w:r w:rsidR="006B54FF">
        <w:rPr>
          <w:rFonts w:ascii="Times New Roman" w:hAnsi="Times New Roman" w:cs="Times New Roman"/>
        </w:rPr>
        <w:t xml:space="preserve">pproximately four hours </w:t>
      </w:r>
      <w:r>
        <w:rPr>
          <w:rFonts w:ascii="Times New Roman" w:hAnsi="Times New Roman" w:cs="Times New Roman"/>
        </w:rPr>
        <w:t>per respondent</w:t>
      </w:r>
      <w:r w:rsidR="006B54FF">
        <w:rPr>
          <w:rFonts w:ascii="Times New Roman" w:hAnsi="Times New Roman" w:cs="Times New Roman"/>
        </w:rPr>
        <w:t xml:space="preserve">. It is anticipated that companies will </w:t>
      </w:r>
      <w:r w:rsidR="006B54FF">
        <w:rPr>
          <w:rFonts w:ascii="Times New Roman" w:hAnsi="Times New Roman" w:cs="Times New Roman"/>
        </w:rPr>
        <w:lastRenderedPageBreak/>
        <w:t xml:space="preserve">submit present-time data periodically, as frequently as </w:t>
      </w:r>
      <w:r>
        <w:rPr>
          <w:rFonts w:ascii="Times New Roman" w:hAnsi="Times New Roman" w:cs="Times New Roman"/>
        </w:rPr>
        <w:t>daily, during the pilot phase, with each submission requiring approximately 15 minutes for data gathering and submission. Over the course of the approximately 90-day pilot phase, this totals 22.5 hours for submission of present-time data. In total, per participant, the hours burden is 26.5 hours. The total burden hours are not expected to meaningfully vary between company types.</w:t>
      </w:r>
    </w:p>
    <w:p w:rsidRPr="00CE649C" w:rsidR="009D5719" w:rsidRDefault="009D5719" w14:paraId="09B7BCAE" w14:textId="58A8CB19">
      <w:pPr>
        <w:pStyle w:val="NormalWeb"/>
        <w:rPr>
          <w:rFonts w:ascii="Times New Roman" w:hAnsi="Times New Roman" w:cs="Times New Roman"/>
        </w:rPr>
      </w:pPr>
      <w:r>
        <w:rPr>
          <w:rFonts w:ascii="Times New Roman" w:hAnsi="Times New Roman" w:cs="Times New Roman"/>
        </w:rPr>
        <w:t xml:space="preserve">We expect this work will be </w:t>
      </w:r>
      <w:r w:rsidRPr="00753DC9">
        <w:rPr>
          <w:rFonts w:ascii="Times New Roman" w:hAnsi="Times New Roman" w:cs="Times New Roman"/>
        </w:rPr>
        <w:t xml:space="preserve">carried out by transportation, storage, and distribution managers. </w:t>
      </w:r>
      <w:r w:rsidR="00753DC9">
        <w:rPr>
          <w:rFonts w:ascii="Times New Roman" w:hAnsi="Times New Roman" w:cs="Times New Roman"/>
        </w:rPr>
        <w:t>Wage information for this occupation type for each industry sector participating in the pilot phase is shown in the table below. Based on the mean wage of transportation, storage, and distribution managers in each sector and the number of participating companies in each sector</w:t>
      </w:r>
      <w:r w:rsidRPr="00753DC9">
        <w:rPr>
          <w:rFonts w:ascii="Times New Roman" w:hAnsi="Times New Roman" w:cs="Times New Roman"/>
        </w:rPr>
        <w:t>,</w:t>
      </w:r>
      <w:r w:rsidRPr="00753DC9" w:rsidR="00753DC9">
        <w:rPr>
          <w:rFonts w:ascii="Times New Roman" w:hAnsi="Times New Roman" w:cs="Times New Roman"/>
        </w:rPr>
        <w:t xml:space="preserve"> </w:t>
      </w:r>
      <w:r w:rsidR="00753DC9">
        <w:rPr>
          <w:rFonts w:ascii="Times New Roman" w:hAnsi="Times New Roman" w:cs="Times New Roman"/>
        </w:rPr>
        <w:t xml:space="preserve">the total cost for the burden hours for this collection is estimated as </w:t>
      </w:r>
      <w:r w:rsidRPr="00753DC9" w:rsidR="00753DC9">
        <w:rPr>
          <w:rFonts w:ascii="Times New Roman" w:hAnsi="Times New Roman" w:cs="Times New Roman"/>
        </w:rPr>
        <w:t>$26,059.31</w:t>
      </w:r>
      <w:r w:rsidR="00753DC9">
        <w:rPr>
          <w:rFonts w:ascii="Times New Roman" w:hAnsi="Times New Roman" w:cs="Times New Roman"/>
        </w:rPr>
        <w:t>.</w:t>
      </w:r>
    </w:p>
    <w:p w:rsidR="00C01863" w:rsidP="00753DC9" w:rsidRDefault="00C01863" w14:paraId="3AD3E425" w14:textId="76D8CFBB">
      <w:pPr>
        <w:pStyle w:val="BodyText"/>
        <w:keepNext/>
        <w:rPr>
          <w:rFonts w:ascii="Times New Roman" w:hAnsi="Times New Roman" w:cs="Times New Roman"/>
          <w:color w:val="auto"/>
          <w:sz w:val="24"/>
          <w:szCs w:val="24"/>
        </w:rPr>
      </w:pPr>
      <w:r w:rsidRPr="00C01863">
        <w:rPr>
          <w:rFonts w:ascii="Times New Roman" w:hAnsi="Times New Roman" w:cs="Times New Roman"/>
          <w:color w:val="auto"/>
          <w:sz w:val="24"/>
          <w:szCs w:val="24"/>
        </w:rPr>
        <w:t>National Industry-Specific Occupational Employment and Wage Estimates</w:t>
      </w:r>
      <w:r>
        <w:rPr>
          <w:rFonts w:ascii="Times New Roman" w:hAnsi="Times New Roman" w:cs="Times New Roman"/>
          <w:color w:val="auto"/>
          <w:sz w:val="24"/>
          <w:szCs w:val="24"/>
        </w:rPr>
        <w:t>, May 2021</w:t>
      </w:r>
    </w:p>
    <w:p w:rsidR="00C01863" w:rsidP="00753DC9" w:rsidRDefault="00F438D7" w14:paraId="3E30EBD8" w14:textId="0D93AA45">
      <w:pPr>
        <w:pStyle w:val="BodyText"/>
        <w:keepNext/>
        <w:rPr>
          <w:rFonts w:ascii="Times New Roman" w:hAnsi="Times New Roman" w:cs="Times New Roman"/>
          <w:color w:val="auto"/>
          <w:sz w:val="24"/>
          <w:szCs w:val="24"/>
        </w:rPr>
      </w:pPr>
      <w:r>
        <w:rPr>
          <w:rFonts w:ascii="Times New Roman" w:hAnsi="Times New Roman" w:cs="Times New Roman"/>
          <w:color w:val="auto"/>
          <w:sz w:val="24"/>
          <w:szCs w:val="24"/>
        </w:rPr>
        <w:t>Occupation: Transportation, Storage, and Distribution Managers (SOC Code 113071)</w:t>
      </w:r>
    </w:p>
    <w:tbl>
      <w:tblPr>
        <w:tblStyle w:val="TableGrid"/>
        <w:tblW w:w="5000" w:type="pct"/>
        <w:tblCellMar>
          <w:left w:w="29" w:type="dxa"/>
          <w:right w:w="29" w:type="dxa"/>
        </w:tblCellMar>
        <w:tblLook w:val="04A0" w:firstRow="1" w:lastRow="0" w:firstColumn="1" w:lastColumn="0" w:noHBand="0" w:noVBand="1"/>
      </w:tblPr>
      <w:tblGrid>
        <w:gridCol w:w="1597"/>
        <w:gridCol w:w="885"/>
        <w:gridCol w:w="796"/>
        <w:gridCol w:w="501"/>
        <w:gridCol w:w="539"/>
        <w:gridCol w:w="625"/>
        <w:gridCol w:w="447"/>
        <w:gridCol w:w="539"/>
        <w:gridCol w:w="775"/>
        <w:gridCol w:w="628"/>
        <w:gridCol w:w="518"/>
        <w:gridCol w:w="780"/>
      </w:tblGrid>
      <w:tr w:rsidRPr="00F438D7" w:rsidR="009D5719" w:rsidTr="009D5719" w14:paraId="7C88DCA1" w14:textId="6DF9715B">
        <w:trPr>
          <w:cantSplit/>
          <w:trHeight w:val="1296"/>
        </w:trPr>
        <w:tc>
          <w:tcPr>
            <w:tcW w:w="925" w:type="pct"/>
            <w:shd w:val="clear" w:color="auto" w:fill="D9D9D9" w:themeFill="background1" w:themeFillShade="D9"/>
            <w:vAlign w:val="bottom"/>
            <w:hideMark/>
          </w:tcPr>
          <w:p w:rsidRPr="00F438D7" w:rsidR="00A96743" w:rsidP="00753DC9" w:rsidRDefault="00A96743" w14:paraId="12B3A205" w14:textId="77777777">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Occupation (SOC code)</w:t>
            </w:r>
          </w:p>
        </w:tc>
        <w:tc>
          <w:tcPr>
            <w:tcW w:w="513" w:type="pct"/>
            <w:shd w:val="clear" w:color="auto" w:fill="D9D9D9" w:themeFill="background1" w:themeFillShade="D9"/>
            <w:textDirection w:val="btLr"/>
            <w:vAlign w:val="center"/>
            <w:hideMark/>
          </w:tcPr>
          <w:p w:rsidRPr="00F438D7" w:rsidR="00A96743" w:rsidP="00753DC9" w:rsidRDefault="00A96743" w14:paraId="105B4953" w14:textId="77777777">
            <w:pPr>
              <w:pStyle w:val="BodyText"/>
              <w:keepNext/>
              <w:keepLines/>
              <w:ind w:left="113" w:right="113"/>
              <w:rPr>
                <w:rFonts w:ascii="Times New Roman" w:hAnsi="Times New Roman" w:cs="Times New Roman"/>
                <w:color w:val="auto"/>
                <w:sz w:val="16"/>
                <w:szCs w:val="16"/>
              </w:rPr>
            </w:pPr>
            <w:proofErr w:type="gramStart"/>
            <w:r w:rsidRPr="00F438D7">
              <w:rPr>
                <w:rFonts w:ascii="Times New Roman" w:hAnsi="Times New Roman" w:cs="Times New Roman"/>
                <w:color w:val="auto"/>
                <w:sz w:val="16"/>
                <w:szCs w:val="16"/>
              </w:rPr>
              <w:t>Employment</w:t>
            </w:r>
            <w:r w:rsidRPr="00F438D7">
              <w:rPr>
                <w:rFonts w:ascii="Times New Roman" w:hAnsi="Times New Roman" w:cs="Times New Roman"/>
                <w:color w:val="auto"/>
                <w:sz w:val="16"/>
                <w:szCs w:val="16"/>
                <w:vertAlign w:val="superscript"/>
              </w:rPr>
              <w:t>(</w:t>
            </w:r>
            <w:proofErr w:type="gramEnd"/>
            <w:r w:rsidRPr="00F438D7">
              <w:rPr>
                <w:rFonts w:ascii="Times New Roman" w:hAnsi="Times New Roman" w:cs="Times New Roman"/>
                <w:color w:val="auto"/>
                <w:sz w:val="16"/>
                <w:szCs w:val="16"/>
                <w:vertAlign w:val="superscript"/>
              </w:rPr>
              <w:t>1)</w:t>
            </w:r>
          </w:p>
        </w:tc>
        <w:tc>
          <w:tcPr>
            <w:tcW w:w="461" w:type="pct"/>
            <w:shd w:val="clear" w:color="auto" w:fill="D9D9D9" w:themeFill="background1" w:themeFillShade="D9"/>
            <w:textDirection w:val="btLr"/>
            <w:vAlign w:val="center"/>
            <w:hideMark/>
          </w:tcPr>
          <w:p w:rsidRPr="00F438D7" w:rsidR="00A96743" w:rsidP="00753DC9" w:rsidRDefault="00A96743" w14:paraId="1918AEC6"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Employment percent relative standard </w:t>
            </w:r>
            <w:proofErr w:type="gramStart"/>
            <w:r w:rsidRPr="00F438D7">
              <w:rPr>
                <w:rFonts w:ascii="Times New Roman" w:hAnsi="Times New Roman" w:cs="Times New Roman"/>
                <w:color w:val="auto"/>
                <w:sz w:val="16"/>
                <w:szCs w:val="16"/>
              </w:rPr>
              <w:t>error</w:t>
            </w:r>
            <w:r w:rsidRPr="00F438D7">
              <w:rPr>
                <w:rFonts w:ascii="Times New Roman" w:hAnsi="Times New Roman" w:cs="Times New Roman"/>
                <w:color w:val="auto"/>
                <w:sz w:val="16"/>
                <w:szCs w:val="16"/>
                <w:vertAlign w:val="superscript"/>
              </w:rPr>
              <w:t>(</w:t>
            </w:r>
            <w:proofErr w:type="gramEnd"/>
            <w:r w:rsidRPr="00F438D7">
              <w:rPr>
                <w:rFonts w:ascii="Times New Roman" w:hAnsi="Times New Roman" w:cs="Times New Roman"/>
                <w:color w:val="auto"/>
                <w:sz w:val="16"/>
                <w:szCs w:val="16"/>
                <w:vertAlign w:val="superscript"/>
              </w:rPr>
              <w:t>3)</w:t>
            </w:r>
          </w:p>
        </w:tc>
        <w:tc>
          <w:tcPr>
            <w:tcW w:w="290" w:type="pct"/>
            <w:shd w:val="clear" w:color="auto" w:fill="D9D9D9" w:themeFill="background1" w:themeFillShade="D9"/>
            <w:textDirection w:val="btLr"/>
            <w:vAlign w:val="center"/>
            <w:hideMark/>
          </w:tcPr>
          <w:p w:rsidRPr="00F438D7" w:rsidR="00A96743" w:rsidP="00753DC9" w:rsidRDefault="00A96743" w14:paraId="62F5AF8E"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Hourly mean wage</w:t>
            </w:r>
          </w:p>
        </w:tc>
        <w:tc>
          <w:tcPr>
            <w:tcW w:w="312" w:type="pct"/>
            <w:shd w:val="clear" w:color="auto" w:fill="D9D9D9" w:themeFill="background1" w:themeFillShade="D9"/>
            <w:textDirection w:val="btLr"/>
            <w:vAlign w:val="center"/>
            <w:hideMark/>
          </w:tcPr>
          <w:p w:rsidRPr="00F438D7" w:rsidR="00A96743" w:rsidP="00753DC9" w:rsidRDefault="00A96743" w14:paraId="065CBB52"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Annual mean </w:t>
            </w:r>
            <w:proofErr w:type="gramStart"/>
            <w:r w:rsidRPr="00F438D7">
              <w:rPr>
                <w:rFonts w:ascii="Times New Roman" w:hAnsi="Times New Roman" w:cs="Times New Roman"/>
                <w:color w:val="auto"/>
                <w:sz w:val="16"/>
                <w:szCs w:val="16"/>
              </w:rPr>
              <w:t>wage</w:t>
            </w:r>
            <w:r w:rsidRPr="00F438D7">
              <w:rPr>
                <w:rFonts w:ascii="Times New Roman" w:hAnsi="Times New Roman" w:cs="Times New Roman"/>
                <w:color w:val="auto"/>
                <w:sz w:val="16"/>
                <w:szCs w:val="16"/>
                <w:vertAlign w:val="superscript"/>
              </w:rPr>
              <w:t>(</w:t>
            </w:r>
            <w:proofErr w:type="gramEnd"/>
            <w:r w:rsidRPr="00F438D7">
              <w:rPr>
                <w:rFonts w:ascii="Times New Roman" w:hAnsi="Times New Roman" w:cs="Times New Roman"/>
                <w:color w:val="auto"/>
                <w:sz w:val="16"/>
                <w:szCs w:val="16"/>
                <w:vertAlign w:val="superscript"/>
              </w:rPr>
              <w:t>2)</w:t>
            </w:r>
          </w:p>
        </w:tc>
        <w:tc>
          <w:tcPr>
            <w:tcW w:w="362" w:type="pct"/>
            <w:shd w:val="clear" w:color="auto" w:fill="D9D9D9" w:themeFill="background1" w:themeFillShade="D9"/>
            <w:textDirection w:val="btLr"/>
            <w:vAlign w:val="center"/>
            <w:hideMark/>
          </w:tcPr>
          <w:p w:rsidRPr="00F438D7" w:rsidR="00A96743" w:rsidP="00753DC9" w:rsidRDefault="00A96743" w14:paraId="2E8AFF5F"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Wage percent relative standard </w:t>
            </w:r>
            <w:proofErr w:type="gramStart"/>
            <w:r w:rsidRPr="00F438D7">
              <w:rPr>
                <w:rFonts w:ascii="Times New Roman" w:hAnsi="Times New Roman" w:cs="Times New Roman"/>
                <w:color w:val="auto"/>
                <w:sz w:val="16"/>
                <w:szCs w:val="16"/>
              </w:rPr>
              <w:t>error</w:t>
            </w:r>
            <w:r w:rsidRPr="00F438D7">
              <w:rPr>
                <w:rFonts w:ascii="Times New Roman" w:hAnsi="Times New Roman" w:cs="Times New Roman"/>
                <w:color w:val="auto"/>
                <w:sz w:val="16"/>
                <w:szCs w:val="16"/>
                <w:vertAlign w:val="superscript"/>
              </w:rPr>
              <w:t>(</w:t>
            </w:r>
            <w:proofErr w:type="gramEnd"/>
            <w:r w:rsidRPr="00F438D7">
              <w:rPr>
                <w:rFonts w:ascii="Times New Roman" w:hAnsi="Times New Roman" w:cs="Times New Roman"/>
                <w:color w:val="auto"/>
                <w:sz w:val="16"/>
                <w:szCs w:val="16"/>
                <w:vertAlign w:val="superscript"/>
              </w:rPr>
              <w:t>3)</w:t>
            </w:r>
          </w:p>
        </w:tc>
        <w:tc>
          <w:tcPr>
            <w:tcW w:w="259" w:type="pct"/>
            <w:shd w:val="clear" w:color="auto" w:fill="D9D9D9" w:themeFill="background1" w:themeFillShade="D9"/>
            <w:textDirection w:val="btLr"/>
            <w:vAlign w:val="center"/>
            <w:hideMark/>
          </w:tcPr>
          <w:p w:rsidRPr="00F438D7" w:rsidR="00A96743" w:rsidP="00753DC9" w:rsidRDefault="00A96743" w14:paraId="2573BD66"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Hourly median wage</w:t>
            </w:r>
          </w:p>
        </w:tc>
        <w:tc>
          <w:tcPr>
            <w:tcW w:w="312" w:type="pct"/>
            <w:shd w:val="clear" w:color="auto" w:fill="D9D9D9" w:themeFill="background1" w:themeFillShade="D9"/>
            <w:textDirection w:val="btLr"/>
            <w:vAlign w:val="center"/>
            <w:hideMark/>
          </w:tcPr>
          <w:p w:rsidRPr="00F438D7" w:rsidR="00A96743" w:rsidP="00753DC9" w:rsidRDefault="00A96743" w14:paraId="6435BC62" w14:textId="77777777">
            <w:pPr>
              <w:pStyle w:val="BodyText"/>
              <w:keepNext/>
              <w:keepLines/>
              <w:ind w:left="113" w:right="113"/>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Annual median </w:t>
            </w:r>
            <w:proofErr w:type="gramStart"/>
            <w:r w:rsidRPr="00F438D7">
              <w:rPr>
                <w:rFonts w:ascii="Times New Roman" w:hAnsi="Times New Roman" w:cs="Times New Roman"/>
                <w:color w:val="auto"/>
                <w:sz w:val="16"/>
                <w:szCs w:val="16"/>
              </w:rPr>
              <w:t>wage</w:t>
            </w:r>
            <w:r w:rsidRPr="00F438D7">
              <w:rPr>
                <w:rFonts w:ascii="Times New Roman" w:hAnsi="Times New Roman" w:cs="Times New Roman"/>
                <w:color w:val="auto"/>
                <w:sz w:val="16"/>
                <w:szCs w:val="16"/>
                <w:vertAlign w:val="superscript"/>
              </w:rPr>
              <w:t>(</w:t>
            </w:r>
            <w:proofErr w:type="gramEnd"/>
            <w:r w:rsidRPr="00F438D7">
              <w:rPr>
                <w:rFonts w:ascii="Times New Roman" w:hAnsi="Times New Roman" w:cs="Times New Roman"/>
                <w:color w:val="auto"/>
                <w:sz w:val="16"/>
                <w:szCs w:val="16"/>
                <w:vertAlign w:val="superscript"/>
              </w:rPr>
              <w:t>2)</w:t>
            </w:r>
          </w:p>
        </w:tc>
        <w:tc>
          <w:tcPr>
            <w:tcW w:w="449" w:type="pct"/>
            <w:textDirection w:val="btLr"/>
            <w:vAlign w:val="center"/>
          </w:tcPr>
          <w:p w:rsidRPr="00753DC9" w:rsidR="00A96743" w:rsidP="00753DC9" w:rsidRDefault="00A96743" w14:paraId="60CA62FC" w14:textId="2E1DFA3C">
            <w:pPr>
              <w:pStyle w:val="BodyText"/>
              <w:keepNext/>
              <w:keepLines/>
              <w:ind w:left="113" w:right="113"/>
              <w:rPr>
                <w:rFonts w:ascii="Times New Roman" w:hAnsi="Times New Roman" w:cs="Times New Roman"/>
                <w:color w:val="auto"/>
                <w:sz w:val="16"/>
                <w:szCs w:val="16"/>
              </w:rPr>
            </w:pPr>
            <w:r w:rsidRPr="00753DC9">
              <w:rPr>
                <w:rFonts w:ascii="Times New Roman" w:hAnsi="Times New Roman" w:cs="Times New Roman"/>
                <w:color w:val="auto"/>
                <w:sz w:val="16"/>
                <w:szCs w:val="16"/>
              </w:rPr>
              <w:t>Expected Number of Respondents</w:t>
            </w:r>
          </w:p>
        </w:tc>
        <w:tc>
          <w:tcPr>
            <w:tcW w:w="364" w:type="pct"/>
            <w:textDirection w:val="btLr"/>
            <w:vAlign w:val="center"/>
          </w:tcPr>
          <w:p w:rsidRPr="00753DC9" w:rsidR="00A96743" w:rsidP="00753DC9" w:rsidRDefault="00A96743" w14:paraId="528B1326" w14:textId="6E82E0EA">
            <w:pPr>
              <w:pStyle w:val="BodyText"/>
              <w:keepNext/>
              <w:keepLines/>
              <w:ind w:left="113" w:right="113"/>
              <w:rPr>
                <w:rFonts w:ascii="Times New Roman" w:hAnsi="Times New Roman" w:cs="Times New Roman"/>
                <w:color w:val="auto"/>
                <w:sz w:val="16"/>
                <w:szCs w:val="16"/>
              </w:rPr>
            </w:pPr>
            <w:r w:rsidRPr="00753DC9">
              <w:rPr>
                <w:rFonts w:ascii="Times New Roman" w:hAnsi="Times New Roman" w:cs="Times New Roman"/>
                <w:color w:val="auto"/>
                <w:sz w:val="16"/>
                <w:szCs w:val="16"/>
              </w:rPr>
              <w:t>Expected Burden Hours per Response</w:t>
            </w:r>
          </w:p>
        </w:tc>
        <w:tc>
          <w:tcPr>
            <w:tcW w:w="300" w:type="pct"/>
            <w:textDirection w:val="btLr"/>
            <w:vAlign w:val="center"/>
          </w:tcPr>
          <w:p w:rsidRPr="00753DC9" w:rsidR="00A96743" w:rsidP="00753DC9" w:rsidRDefault="00A96743" w14:paraId="2F8B46F9" w14:textId="30E3F64D">
            <w:pPr>
              <w:pStyle w:val="BodyText"/>
              <w:keepNext/>
              <w:keepLines/>
              <w:ind w:left="113" w:right="113"/>
              <w:rPr>
                <w:rFonts w:ascii="Times New Roman" w:hAnsi="Times New Roman" w:cs="Times New Roman"/>
                <w:color w:val="auto"/>
                <w:sz w:val="16"/>
                <w:szCs w:val="16"/>
              </w:rPr>
            </w:pPr>
            <w:r w:rsidRPr="00753DC9">
              <w:rPr>
                <w:rFonts w:ascii="Times New Roman" w:hAnsi="Times New Roman" w:cs="Times New Roman"/>
                <w:color w:val="auto"/>
                <w:sz w:val="16"/>
                <w:szCs w:val="16"/>
              </w:rPr>
              <w:t>Total Burden Hours</w:t>
            </w:r>
          </w:p>
        </w:tc>
        <w:tc>
          <w:tcPr>
            <w:tcW w:w="452" w:type="pct"/>
            <w:textDirection w:val="btLr"/>
            <w:vAlign w:val="center"/>
          </w:tcPr>
          <w:p w:rsidRPr="00753DC9" w:rsidR="00A96743" w:rsidP="00753DC9" w:rsidRDefault="00A96743" w14:paraId="5BD091A3" w14:textId="1D9D6128">
            <w:pPr>
              <w:pStyle w:val="BodyText"/>
              <w:keepNext/>
              <w:keepLines/>
              <w:ind w:left="113" w:right="113"/>
              <w:rPr>
                <w:rFonts w:ascii="Times New Roman" w:hAnsi="Times New Roman" w:cs="Times New Roman"/>
                <w:color w:val="auto"/>
                <w:sz w:val="16"/>
                <w:szCs w:val="16"/>
              </w:rPr>
            </w:pPr>
            <w:r w:rsidRPr="00753DC9">
              <w:rPr>
                <w:rFonts w:ascii="Times New Roman" w:hAnsi="Times New Roman" w:cs="Times New Roman"/>
                <w:color w:val="auto"/>
                <w:sz w:val="16"/>
                <w:szCs w:val="16"/>
              </w:rPr>
              <w:t>Total Effort Cost</w:t>
            </w:r>
          </w:p>
        </w:tc>
      </w:tr>
      <w:tr w:rsidRPr="00F438D7" w:rsidR="009D5719" w:rsidTr="009D5719" w14:paraId="3E9D3227" w14:textId="356B4C79">
        <w:trPr>
          <w:trHeight w:val="20"/>
        </w:trPr>
        <w:tc>
          <w:tcPr>
            <w:tcW w:w="925" w:type="pct"/>
            <w:shd w:val="clear" w:color="auto" w:fill="D9D9D9" w:themeFill="background1" w:themeFillShade="D9"/>
            <w:vAlign w:val="center"/>
            <w:hideMark/>
          </w:tcPr>
          <w:p w:rsidRPr="00F438D7" w:rsidR="009D5719" w:rsidP="00753DC9" w:rsidRDefault="009D5719" w14:paraId="2985154F"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Dairy Product </w:t>
            </w:r>
            <w:proofErr w:type="gramStart"/>
            <w:r w:rsidRPr="00F438D7">
              <w:rPr>
                <w:rFonts w:ascii="Times New Roman" w:hAnsi="Times New Roman" w:cs="Times New Roman"/>
                <w:color w:val="auto"/>
                <w:sz w:val="16"/>
                <w:szCs w:val="16"/>
              </w:rPr>
              <w:t>Manufacturing(</w:t>
            </w:r>
            <w:proofErr w:type="gramEnd"/>
            <w:r w:rsidRPr="00F438D7">
              <w:rPr>
                <w:rFonts w:ascii="Times New Roman" w:hAnsi="Times New Roman" w:cs="Times New Roman"/>
                <w:color w:val="auto"/>
                <w:sz w:val="16"/>
                <w:szCs w:val="16"/>
              </w:rPr>
              <w:t>311500)</w:t>
            </w:r>
          </w:p>
        </w:tc>
        <w:tc>
          <w:tcPr>
            <w:tcW w:w="513" w:type="pct"/>
            <w:shd w:val="clear" w:color="auto" w:fill="D9D9D9" w:themeFill="background1" w:themeFillShade="D9"/>
            <w:vAlign w:val="center"/>
            <w:hideMark/>
          </w:tcPr>
          <w:p w:rsidRPr="00F438D7" w:rsidR="009D5719" w:rsidP="00753DC9" w:rsidRDefault="009D5719" w14:paraId="718F453F" w14:textId="3F48BF45">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450</w:t>
            </w:r>
          </w:p>
        </w:tc>
        <w:tc>
          <w:tcPr>
            <w:tcW w:w="461" w:type="pct"/>
            <w:shd w:val="clear" w:color="auto" w:fill="D9D9D9" w:themeFill="background1" w:themeFillShade="D9"/>
            <w:vAlign w:val="center"/>
            <w:hideMark/>
          </w:tcPr>
          <w:p w:rsidRPr="00F438D7" w:rsidR="009D5719" w:rsidP="00753DC9" w:rsidRDefault="009D5719" w14:paraId="20608204" w14:textId="64DE8525">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7.1</w:t>
            </w:r>
          </w:p>
        </w:tc>
        <w:tc>
          <w:tcPr>
            <w:tcW w:w="290" w:type="pct"/>
            <w:shd w:val="clear" w:color="auto" w:fill="D9D9D9" w:themeFill="background1" w:themeFillShade="D9"/>
            <w:vAlign w:val="center"/>
            <w:hideMark/>
          </w:tcPr>
          <w:p w:rsidRPr="00F438D7" w:rsidR="009D5719" w:rsidP="00753DC9" w:rsidRDefault="009D5719" w14:paraId="31689E4F" w14:textId="47A6B66E">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50.68</w:t>
            </w:r>
          </w:p>
        </w:tc>
        <w:tc>
          <w:tcPr>
            <w:tcW w:w="312" w:type="pct"/>
            <w:shd w:val="clear" w:color="auto" w:fill="D9D9D9" w:themeFill="background1" w:themeFillShade="D9"/>
            <w:vAlign w:val="center"/>
            <w:hideMark/>
          </w:tcPr>
          <w:p w:rsidRPr="00F438D7" w:rsidR="009D5719" w:rsidP="00753DC9" w:rsidRDefault="009D5719" w14:paraId="158E01C9" w14:textId="61B17991">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105420</w:t>
            </w:r>
          </w:p>
        </w:tc>
        <w:tc>
          <w:tcPr>
            <w:tcW w:w="362" w:type="pct"/>
            <w:shd w:val="clear" w:color="auto" w:fill="D9D9D9" w:themeFill="background1" w:themeFillShade="D9"/>
            <w:vAlign w:val="center"/>
            <w:hideMark/>
          </w:tcPr>
          <w:p w:rsidRPr="00F438D7" w:rsidR="009D5719" w:rsidP="00753DC9" w:rsidRDefault="009D5719" w14:paraId="03E741A2" w14:textId="7091A72F">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2.9</w:t>
            </w:r>
          </w:p>
        </w:tc>
        <w:tc>
          <w:tcPr>
            <w:tcW w:w="259" w:type="pct"/>
            <w:shd w:val="clear" w:color="auto" w:fill="D9D9D9" w:themeFill="background1" w:themeFillShade="D9"/>
            <w:vAlign w:val="center"/>
            <w:hideMark/>
          </w:tcPr>
          <w:p w:rsidRPr="00F438D7" w:rsidR="009D5719" w:rsidP="00753DC9" w:rsidRDefault="009D5719" w14:paraId="59CD8D83" w14:textId="1EC7AB6A">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47.62</w:t>
            </w:r>
          </w:p>
        </w:tc>
        <w:tc>
          <w:tcPr>
            <w:tcW w:w="312" w:type="pct"/>
            <w:shd w:val="clear" w:color="auto" w:fill="D9D9D9" w:themeFill="background1" w:themeFillShade="D9"/>
            <w:vAlign w:val="center"/>
            <w:hideMark/>
          </w:tcPr>
          <w:p w:rsidRPr="00F438D7" w:rsidR="009D5719" w:rsidP="00753DC9" w:rsidRDefault="009D5719" w14:paraId="3DBAB421" w14:textId="6D07C65D">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99040</w:t>
            </w:r>
          </w:p>
        </w:tc>
        <w:tc>
          <w:tcPr>
            <w:tcW w:w="449" w:type="pct"/>
            <w:vAlign w:val="center"/>
          </w:tcPr>
          <w:p w:rsidRPr="00753DC9" w:rsidR="009D5719" w:rsidP="00753DC9" w:rsidRDefault="009D5719" w14:paraId="0B40B246" w14:textId="79411EA6">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1</w:t>
            </w:r>
          </w:p>
        </w:tc>
        <w:tc>
          <w:tcPr>
            <w:tcW w:w="364" w:type="pct"/>
            <w:vAlign w:val="center"/>
          </w:tcPr>
          <w:p w:rsidRPr="00753DC9" w:rsidR="009D5719" w:rsidP="00753DC9" w:rsidRDefault="009D5719" w14:paraId="5B4CAF25" w14:textId="41D64AA0">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300" w:type="pct"/>
            <w:vAlign w:val="center"/>
          </w:tcPr>
          <w:p w:rsidRPr="00753DC9" w:rsidR="009D5719" w:rsidP="00753DC9" w:rsidRDefault="009D5719" w14:paraId="4D3128D4" w14:textId="091A49AD">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452" w:type="pct"/>
            <w:vAlign w:val="center"/>
          </w:tcPr>
          <w:p w:rsidRPr="00753DC9" w:rsidR="009D5719" w:rsidP="00753DC9" w:rsidRDefault="009D5719" w14:paraId="40AAB1FE" w14:textId="38611337">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1343.02</w:t>
            </w:r>
          </w:p>
        </w:tc>
      </w:tr>
      <w:tr w:rsidRPr="00F438D7" w:rsidR="009D5719" w:rsidTr="009D5719" w14:paraId="0DFE5215" w14:textId="6AC16203">
        <w:trPr>
          <w:trHeight w:val="20"/>
        </w:trPr>
        <w:tc>
          <w:tcPr>
            <w:tcW w:w="925" w:type="pct"/>
            <w:shd w:val="clear" w:color="auto" w:fill="D9D9D9" w:themeFill="background1" w:themeFillShade="D9"/>
            <w:vAlign w:val="center"/>
            <w:hideMark/>
          </w:tcPr>
          <w:p w:rsidRPr="00F438D7" w:rsidR="009D5719" w:rsidP="00753DC9" w:rsidRDefault="009D5719" w14:paraId="2F99C5AE"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Building Material and Supplies </w:t>
            </w:r>
            <w:proofErr w:type="gramStart"/>
            <w:r w:rsidRPr="00F438D7">
              <w:rPr>
                <w:rFonts w:ascii="Times New Roman" w:hAnsi="Times New Roman" w:cs="Times New Roman"/>
                <w:color w:val="auto"/>
                <w:sz w:val="16"/>
                <w:szCs w:val="16"/>
              </w:rPr>
              <w:t>Dealers(</w:t>
            </w:r>
            <w:proofErr w:type="gramEnd"/>
            <w:r w:rsidRPr="00F438D7">
              <w:rPr>
                <w:rFonts w:ascii="Times New Roman" w:hAnsi="Times New Roman" w:cs="Times New Roman"/>
                <w:color w:val="auto"/>
                <w:sz w:val="16"/>
                <w:szCs w:val="16"/>
              </w:rPr>
              <w:t>444100)</w:t>
            </w:r>
          </w:p>
        </w:tc>
        <w:tc>
          <w:tcPr>
            <w:tcW w:w="513" w:type="pct"/>
            <w:shd w:val="clear" w:color="auto" w:fill="D9D9D9" w:themeFill="background1" w:themeFillShade="D9"/>
            <w:vAlign w:val="center"/>
            <w:hideMark/>
          </w:tcPr>
          <w:p w:rsidRPr="00F438D7" w:rsidR="009D5719" w:rsidP="00753DC9" w:rsidRDefault="009D5719" w14:paraId="394170F0" w14:textId="5E51DB37">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1810</w:t>
            </w:r>
          </w:p>
        </w:tc>
        <w:tc>
          <w:tcPr>
            <w:tcW w:w="461" w:type="pct"/>
            <w:shd w:val="clear" w:color="auto" w:fill="D9D9D9" w:themeFill="background1" w:themeFillShade="D9"/>
            <w:vAlign w:val="center"/>
            <w:hideMark/>
          </w:tcPr>
          <w:p w:rsidRPr="00F438D7" w:rsidR="009D5719" w:rsidP="00753DC9" w:rsidRDefault="009D5719" w14:paraId="1E968107" w14:textId="0553A985">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7.1</w:t>
            </w:r>
          </w:p>
        </w:tc>
        <w:tc>
          <w:tcPr>
            <w:tcW w:w="290" w:type="pct"/>
            <w:shd w:val="clear" w:color="auto" w:fill="D9D9D9" w:themeFill="background1" w:themeFillShade="D9"/>
            <w:vAlign w:val="center"/>
            <w:hideMark/>
          </w:tcPr>
          <w:p w:rsidRPr="00F438D7" w:rsidR="009D5719" w:rsidP="00753DC9" w:rsidRDefault="009D5719" w14:paraId="0EE0BB38" w14:textId="759B134D">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28.56</w:t>
            </w:r>
          </w:p>
        </w:tc>
        <w:tc>
          <w:tcPr>
            <w:tcW w:w="312" w:type="pct"/>
            <w:shd w:val="clear" w:color="auto" w:fill="D9D9D9" w:themeFill="background1" w:themeFillShade="D9"/>
            <w:vAlign w:val="center"/>
            <w:hideMark/>
          </w:tcPr>
          <w:p w:rsidRPr="00F438D7" w:rsidR="009D5719" w:rsidP="00753DC9" w:rsidRDefault="009D5719" w14:paraId="5E7B065E" w14:textId="594075D2">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59410</w:t>
            </w:r>
          </w:p>
        </w:tc>
        <w:tc>
          <w:tcPr>
            <w:tcW w:w="362" w:type="pct"/>
            <w:shd w:val="clear" w:color="auto" w:fill="D9D9D9" w:themeFill="background1" w:themeFillShade="D9"/>
            <w:vAlign w:val="center"/>
            <w:hideMark/>
          </w:tcPr>
          <w:p w:rsidRPr="00F438D7" w:rsidR="009D5719" w:rsidP="00753DC9" w:rsidRDefault="009D5719" w14:paraId="30B038BD" w14:textId="18F4D514">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2.7</w:t>
            </w:r>
          </w:p>
        </w:tc>
        <w:tc>
          <w:tcPr>
            <w:tcW w:w="259" w:type="pct"/>
            <w:shd w:val="clear" w:color="auto" w:fill="D9D9D9" w:themeFill="background1" w:themeFillShade="D9"/>
            <w:vAlign w:val="center"/>
            <w:hideMark/>
          </w:tcPr>
          <w:p w:rsidRPr="00F438D7" w:rsidR="009D5719" w:rsidP="00753DC9" w:rsidRDefault="009D5719" w14:paraId="737D7669" w14:textId="039F274D">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23.89</w:t>
            </w:r>
          </w:p>
        </w:tc>
        <w:tc>
          <w:tcPr>
            <w:tcW w:w="312" w:type="pct"/>
            <w:shd w:val="clear" w:color="auto" w:fill="D9D9D9" w:themeFill="background1" w:themeFillShade="D9"/>
            <w:vAlign w:val="center"/>
            <w:hideMark/>
          </w:tcPr>
          <w:p w:rsidRPr="00F438D7" w:rsidR="009D5719" w:rsidP="00753DC9" w:rsidRDefault="009D5719" w14:paraId="2F348C7D" w14:textId="0BB36FF2">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49690</w:t>
            </w:r>
          </w:p>
        </w:tc>
        <w:tc>
          <w:tcPr>
            <w:tcW w:w="449" w:type="pct"/>
            <w:vAlign w:val="center"/>
          </w:tcPr>
          <w:p w:rsidRPr="00753DC9" w:rsidR="009D5719" w:rsidP="00753DC9" w:rsidRDefault="009D5719" w14:paraId="49DDD45E" w14:textId="2B87DD9D">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1</w:t>
            </w:r>
          </w:p>
        </w:tc>
        <w:tc>
          <w:tcPr>
            <w:tcW w:w="364" w:type="pct"/>
            <w:vAlign w:val="center"/>
          </w:tcPr>
          <w:p w:rsidRPr="00753DC9" w:rsidR="009D5719" w:rsidP="00753DC9" w:rsidRDefault="009D5719" w14:paraId="0CB90AF7" w14:textId="3BF68DFF">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300" w:type="pct"/>
            <w:vAlign w:val="center"/>
          </w:tcPr>
          <w:p w:rsidRPr="00753DC9" w:rsidR="009D5719" w:rsidP="00753DC9" w:rsidRDefault="009D5719" w14:paraId="5736D9E5" w14:textId="5E5223A5">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452" w:type="pct"/>
            <w:vAlign w:val="center"/>
          </w:tcPr>
          <w:p w:rsidRPr="00753DC9" w:rsidR="009D5719" w:rsidP="00753DC9" w:rsidRDefault="009D5719" w14:paraId="6320FAAC" w14:textId="5FE8736C">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756.84</w:t>
            </w:r>
          </w:p>
        </w:tc>
      </w:tr>
      <w:tr w:rsidRPr="00F438D7" w:rsidR="009D5719" w:rsidTr="009D5719" w14:paraId="5D8E6B96" w14:textId="215F9D63">
        <w:trPr>
          <w:trHeight w:val="20"/>
        </w:trPr>
        <w:tc>
          <w:tcPr>
            <w:tcW w:w="925" w:type="pct"/>
            <w:shd w:val="clear" w:color="auto" w:fill="D9D9D9" w:themeFill="background1" w:themeFillShade="D9"/>
            <w:vAlign w:val="center"/>
            <w:hideMark/>
          </w:tcPr>
          <w:p w:rsidRPr="00F438D7" w:rsidR="009D5719" w:rsidP="00753DC9" w:rsidRDefault="009D5719" w14:paraId="709FABB8"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Food and Beverage Stores (4451 and 4452 </w:t>
            </w:r>
            <w:proofErr w:type="gramStart"/>
            <w:r w:rsidRPr="00F438D7">
              <w:rPr>
                <w:rFonts w:ascii="Times New Roman" w:hAnsi="Times New Roman" w:cs="Times New Roman"/>
                <w:color w:val="auto"/>
                <w:sz w:val="16"/>
                <w:szCs w:val="16"/>
              </w:rPr>
              <w:t>only)(</w:t>
            </w:r>
            <w:proofErr w:type="gramEnd"/>
            <w:r w:rsidRPr="00F438D7">
              <w:rPr>
                <w:rFonts w:ascii="Times New Roman" w:hAnsi="Times New Roman" w:cs="Times New Roman"/>
                <w:color w:val="auto"/>
                <w:sz w:val="16"/>
                <w:szCs w:val="16"/>
              </w:rPr>
              <w:t>4450A1)</w:t>
            </w:r>
          </w:p>
        </w:tc>
        <w:tc>
          <w:tcPr>
            <w:tcW w:w="513" w:type="pct"/>
            <w:shd w:val="clear" w:color="auto" w:fill="D9D9D9" w:themeFill="background1" w:themeFillShade="D9"/>
            <w:vAlign w:val="center"/>
            <w:hideMark/>
          </w:tcPr>
          <w:p w:rsidRPr="00F438D7" w:rsidR="009D5719" w:rsidP="00753DC9" w:rsidRDefault="009D5719" w14:paraId="388BA59C" w14:textId="7DDA4883">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170</w:t>
            </w:r>
          </w:p>
        </w:tc>
        <w:tc>
          <w:tcPr>
            <w:tcW w:w="461" w:type="pct"/>
            <w:shd w:val="clear" w:color="auto" w:fill="D9D9D9" w:themeFill="background1" w:themeFillShade="D9"/>
            <w:vAlign w:val="center"/>
            <w:hideMark/>
          </w:tcPr>
          <w:p w:rsidRPr="00F438D7" w:rsidR="009D5719" w:rsidP="00753DC9" w:rsidRDefault="009D5719" w14:paraId="605D1D93" w14:textId="3A1CD33C">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16.7</w:t>
            </w:r>
          </w:p>
        </w:tc>
        <w:tc>
          <w:tcPr>
            <w:tcW w:w="290" w:type="pct"/>
            <w:shd w:val="clear" w:color="auto" w:fill="D9D9D9" w:themeFill="background1" w:themeFillShade="D9"/>
            <w:vAlign w:val="center"/>
            <w:hideMark/>
          </w:tcPr>
          <w:p w:rsidRPr="00F438D7" w:rsidR="009D5719" w:rsidP="00753DC9" w:rsidRDefault="009D5719" w14:paraId="6F446A50" w14:textId="7EE07232">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34.54</w:t>
            </w:r>
          </w:p>
        </w:tc>
        <w:tc>
          <w:tcPr>
            <w:tcW w:w="312" w:type="pct"/>
            <w:shd w:val="clear" w:color="auto" w:fill="D9D9D9" w:themeFill="background1" w:themeFillShade="D9"/>
            <w:vAlign w:val="center"/>
            <w:hideMark/>
          </w:tcPr>
          <w:p w:rsidRPr="00F438D7" w:rsidR="009D5719" w:rsidP="00753DC9" w:rsidRDefault="009D5719" w14:paraId="2EAF7E11" w14:textId="0389DA5C">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71850</w:t>
            </w:r>
          </w:p>
        </w:tc>
        <w:tc>
          <w:tcPr>
            <w:tcW w:w="362" w:type="pct"/>
            <w:shd w:val="clear" w:color="auto" w:fill="D9D9D9" w:themeFill="background1" w:themeFillShade="D9"/>
            <w:vAlign w:val="center"/>
            <w:hideMark/>
          </w:tcPr>
          <w:p w:rsidRPr="00F438D7" w:rsidR="009D5719" w:rsidP="00753DC9" w:rsidRDefault="009D5719" w14:paraId="1D842786" w14:textId="5A8AA801">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9.9</w:t>
            </w:r>
          </w:p>
        </w:tc>
        <w:tc>
          <w:tcPr>
            <w:tcW w:w="259" w:type="pct"/>
            <w:shd w:val="clear" w:color="auto" w:fill="D9D9D9" w:themeFill="background1" w:themeFillShade="D9"/>
            <w:vAlign w:val="center"/>
            <w:hideMark/>
          </w:tcPr>
          <w:p w:rsidRPr="00F438D7" w:rsidR="009D5719" w:rsidP="00753DC9" w:rsidRDefault="009D5719" w14:paraId="71ECEEE2" w14:textId="145C0B21">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34.91</w:t>
            </w:r>
          </w:p>
        </w:tc>
        <w:tc>
          <w:tcPr>
            <w:tcW w:w="312" w:type="pct"/>
            <w:shd w:val="clear" w:color="auto" w:fill="D9D9D9" w:themeFill="background1" w:themeFillShade="D9"/>
            <w:vAlign w:val="center"/>
            <w:hideMark/>
          </w:tcPr>
          <w:p w:rsidRPr="00F438D7" w:rsidR="009D5719" w:rsidP="00753DC9" w:rsidRDefault="009D5719" w14:paraId="29953E94" w14:textId="2A239F85">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72610</w:t>
            </w:r>
          </w:p>
        </w:tc>
        <w:tc>
          <w:tcPr>
            <w:tcW w:w="449" w:type="pct"/>
            <w:vAlign w:val="center"/>
          </w:tcPr>
          <w:p w:rsidRPr="00753DC9" w:rsidR="009D5719" w:rsidP="00753DC9" w:rsidRDefault="009D5719" w14:paraId="65DFAEAA" w14:textId="7F82CAB8">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1</w:t>
            </w:r>
          </w:p>
        </w:tc>
        <w:tc>
          <w:tcPr>
            <w:tcW w:w="364" w:type="pct"/>
            <w:vAlign w:val="center"/>
          </w:tcPr>
          <w:p w:rsidRPr="00753DC9" w:rsidR="009D5719" w:rsidP="00753DC9" w:rsidRDefault="009D5719" w14:paraId="6D385514" w14:textId="62D50F11">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300" w:type="pct"/>
            <w:vAlign w:val="center"/>
          </w:tcPr>
          <w:p w:rsidRPr="00753DC9" w:rsidR="009D5719" w:rsidP="00753DC9" w:rsidRDefault="009D5719" w14:paraId="5BEBF829" w14:textId="5407A7DE">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452" w:type="pct"/>
            <w:vAlign w:val="center"/>
          </w:tcPr>
          <w:p w:rsidRPr="00753DC9" w:rsidR="009D5719" w:rsidP="00753DC9" w:rsidRDefault="009D5719" w14:paraId="6C0EF581" w14:textId="0E1FE0E3">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915.31</w:t>
            </w:r>
          </w:p>
        </w:tc>
      </w:tr>
      <w:tr w:rsidRPr="00F438D7" w:rsidR="009D5719" w:rsidTr="009D5719" w14:paraId="35EFA144" w14:textId="7D271467">
        <w:trPr>
          <w:trHeight w:val="20"/>
        </w:trPr>
        <w:tc>
          <w:tcPr>
            <w:tcW w:w="925" w:type="pct"/>
            <w:shd w:val="clear" w:color="auto" w:fill="D9D9D9" w:themeFill="background1" w:themeFillShade="D9"/>
            <w:vAlign w:val="center"/>
            <w:hideMark/>
          </w:tcPr>
          <w:p w:rsidRPr="00F438D7" w:rsidR="009D5719" w:rsidP="00753DC9" w:rsidRDefault="009D5719" w14:paraId="3BC23FB2"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General Merchandise </w:t>
            </w:r>
            <w:proofErr w:type="gramStart"/>
            <w:r w:rsidRPr="00F438D7">
              <w:rPr>
                <w:rFonts w:ascii="Times New Roman" w:hAnsi="Times New Roman" w:cs="Times New Roman"/>
                <w:color w:val="auto"/>
                <w:sz w:val="16"/>
                <w:szCs w:val="16"/>
              </w:rPr>
              <w:t>Stores(</w:t>
            </w:r>
            <w:proofErr w:type="gramEnd"/>
            <w:r w:rsidRPr="00F438D7">
              <w:rPr>
                <w:rFonts w:ascii="Times New Roman" w:hAnsi="Times New Roman" w:cs="Times New Roman"/>
                <w:color w:val="auto"/>
                <w:sz w:val="16"/>
                <w:szCs w:val="16"/>
              </w:rPr>
              <w:t>452000)</w:t>
            </w:r>
          </w:p>
        </w:tc>
        <w:tc>
          <w:tcPr>
            <w:tcW w:w="513" w:type="pct"/>
            <w:shd w:val="clear" w:color="auto" w:fill="D9D9D9" w:themeFill="background1" w:themeFillShade="D9"/>
            <w:vAlign w:val="center"/>
            <w:hideMark/>
          </w:tcPr>
          <w:p w:rsidRPr="00F438D7" w:rsidR="009D5719" w:rsidP="00753DC9" w:rsidRDefault="009D5719" w14:paraId="26126037" w14:textId="33AB8370">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1870</w:t>
            </w:r>
          </w:p>
        </w:tc>
        <w:tc>
          <w:tcPr>
            <w:tcW w:w="461" w:type="pct"/>
            <w:shd w:val="clear" w:color="auto" w:fill="D9D9D9" w:themeFill="background1" w:themeFillShade="D9"/>
            <w:vAlign w:val="center"/>
            <w:hideMark/>
          </w:tcPr>
          <w:p w:rsidRPr="00F438D7" w:rsidR="009D5719" w:rsidP="00753DC9" w:rsidRDefault="009D5719" w14:paraId="2A01DB93" w14:textId="55DE3C86">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3.9</w:t>
            </w:r>
          </w:p>
        </w:tc>
        <w:tc>
          <w:tcPr>
            <w:tcW w:w="290" w:type="pct"/>
            <w:shd w:val="clear" w:color="auto" w:fill="D9D9D9" w:themeFill="background1" w:themeFillShade="D9"/>
            <w:vAlign w:val="center"/>
            <w:hideMark/>
          </w:tcPr>
          <w:p w:rsidRPr="00F438D7" w:rsidR="009D5719" w:rsidP="00753DC9" w:rsidRDefault="009D5719" w14:paraId="245155B8" w14:textId="49C4BC8B">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35.91</w:t>
            </w:r>
          </w:p>
        </w:tc>
        <w:tc>
          <w:tcPr>
            <w:tcW w:w="312" w:type="pct"/>
            <w:shd w:val="clear" w:color="auto" w:fill="D9D9D9" w:themeFill="background1" w:themeFillShade="D9"/>
            <w:vAlign w:val="center"/>
            <w:hideMark/>
          </w:tcPr>
          <w:p w:rsidRPr="00F438D7" w:rsidR="009D5719" w:rsidP="00753DC9" w:rsidRDefault="009D5719" w14:paraId="5F5239FA" w14:textId="1B81EE80">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74690</w:t>
            </w:r>
          </w:p>
        </w:tc>
        <w:tc>
          <w:tcPr>
            <w:tcW w:w="362" w:type="pct"/>
            <w:shd w:val="clear" w:color="auto" w:fill="D9D9D9" w:themeFill="background1" w:themeFillShade="D9"/>
            <w:vAlign w:val="center"/>
            <w:hideMark/>
          </w:tcPr>
          <w:p w:rsidRPr="00F438D7" w:rsidR="009D5719" w:rsidP="00753DC9" w:rsidRDefault="009D5719" w14:paraId="70870642" w14:textId="62A75B59">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1.7</w:t>
            </w:r>
          </w:p>
        </w:tc>
        <w:tc>
          <w:tcPr>
            <w:tcW w:w="259" w:type="pct"/>
            <w:shd w:val="clear" w:color="auto" w:fill="D9D9D9" w:themeFill="background1" w:themeFillShade="D9"/>
            <w:vAlign w:val="center"/>
            <w:hideMark/>
          </w:tcPr>
          <w:p w:rsidRPr="00F438D7" w:rsidR="009D5719" w:rsidP="00753DC9" w:rsidRDefault="009D5719" w14:paraId="0707F509" w14:textId="49683DAC">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35.91</w:t>
            </w:r>
          </w:p>
        </w:tc>
        <w:tc>
          <w:tcPr>
            <w:tcW w:w="312" w:type="pct"/>
            <w:shd w:val="clear" w:color="auto" w:fill="D9D9D9" w:themeFill="background1" w:themeFillShade="D9"/>
            <w:vAlign w:val="center"/>
            <w:hideMark/>
          </w:tcPr>
          <w:p w:rsidRPr="00F438D7" w:rsidR="009D5719" w:rsidP="00753DC9" w:rsidRDefault="009D5719" w14:paraId="575012D7" w14:textId="3F12CF3E">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74700</w:t>
            </w:r>
          </w:p>
        </w:tc>
        <w:tc>
          <w:tcPr>
            <w:tcW w:w="449" w:type="pct"/>
            <w:vAlign w:val="center"/>
          </w:tcPr>
          <w:p w:rsidRPr="00753DC9" w:rsidR="009D5719" w:rsidP="00753DC9" w:rsidRDefault="009D5719" w14:paraId="1D06E6C5" w14:textId="28027E03">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1</w:t>
            </w:r>
          </w:p>
        </w:tc>
        <w:tc>
          <w:tcPr>
            <w:tcW w:w="364" w:type="pct"/>
            <w:vAlign w:val="center"/>
          </w:tcPr>
          <w:p w:rsidRPr="00753DC9" w:rsidR="009D5719" w:rsidP="00753DC9" w:rsidRDefault="009D5719" w14:paraId="109C462D" w14:textId="27FAEC28">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300" w:type="pct"/>
            <w:vAlign w:val="center"/>
          </w:tcPr>
          <w:p w:rsidRPr="00753DC9" w:rsidR="009D5719" w:rsidP="00753DC9" w:rsidRDefault="009D5719" w14:paraId="31094EF7" w14:textId="72CA85A3">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452" w:type="pct"/>
            <w:vAlign w:val="center"/>
          </w:tcPr>
          <w:p w:rsidRPr="00753DC9" w:rsidR="009D5719" w:rsidP="00753DC9" w:rsidRDefault="009D5719" w14:paraId="6F4DFB62" w14:textId="628D6947">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951.615</w:t>
            </w:r>
          </w:p>
        </w:tc>
      </w:tr>
      <w:tr w:rsidRPr="00F438D7" w:rsidR="009D5719" w:rsidTr="009D5719" w14:paraId="4590DF98" w14:textId="35ADB4C9">
        <w:trPr>
          <w:trHeight w:val="20"/>
        </w:trPr>
        <w:tc>
          <w:tcPr>
            <w:tcW w:w="925" w:type="pct"/>
            <w:shd w:val="clear" w:color="auto" w:fill="D9D9D9" w:themeFill="background1" w:themeFillShade="D9"/>
            <w:vAlign w:val="center"/>
            <w:hideMark/>
          </w:tcPr>
          <w:p w:rsidRPr="00F438D7" w:rsidR="009D5719" w:rsidP="00753DC9" w:rsidRDefault="009D5719" w14:paraId="450A7B67"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Deep Sea, Coastal, and Great Lakes Water </w:t>
            </w:r>
            <w:proofErr w:type="gramStart"/>
            <w:r w:rsidRPr="00F438D7">
              <w:rPr>
                <w:rFonts w:ascii="Times New Roman" w:hAnsi="Times New Roman" w:cs="Times New Roman"/>
                <w:color w:val="auto"/>
                <w:sz w:val="16"/>
                <w:szCs w:val="16"/>
              </w:rPr>
              <w:t>Transportation(</w:t>
            </w:r>
            <w:proofErr w:type="gramEnd"/>
            <w:r w:rsidRPr="00F438D7">
              <w:rPr>
                <w:rFonts w:ascii="Times New Roman" w:hAnsi="Times New Roman" w:cs="Times New Roman"/>
                <w:color w:val="auto"/>
                <w:sz w:val="16"/>
                <w:szCs w:val="16"/>
              </w:rPr>
              <w:t>483100)</w:t>
            </w:r>
          </w:p>
        </w:tc>
        <w:tc>
          <w:tcPr>
            <w:tcW w:w="513" w:type="pct"/>
            <w:shd w:val="clear" w:color="auto" w:fill="D9D9D9" w:themeFill="background1" w:themeFillShade="D9"/>
            <w:vAlign w:val="center"/>
            <w:hideMark/>
          </w:tcPr>
          <w:p w:rsidRPr="00F438D7" w:rsidR="009D5719" w:rsidP="00753DC9" w:rsidRDefault="009D5719" w14:paraId="3E2D061F" w14:textId="4FA55C9B">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1510</w:t>
            </w:r>
          </w:p>
        </w:tc>
        <w:tc>
          <w:tcPr>
            <w:tcW w:w="461" w:type="pct"/>
            <w:shd w:val="clear" w:color="auto" w:fill="D9D9D9" w:themeFill="background1" w:themeFillShade="D9"/>
            <w:vAlign w:val="center"/>
            <w:hideMark/>
          </w:tcPr>
          <w:p w:rsidRPr="00F438D7" w:rsidR="009D5719" w:rsidP="00753DC9" w:rsidRDefault="009D5719" w14:paraId="605095B9" w14:textId="15DE9368">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10.2</w:t>
            </w:r>
          </w:p>
        </w:tc>
        <w:tc>
          <w:tcPr>
            <w:tcW w:w="290" w:type="pct"/>
            <w:shd w:val="clear" w:color="auto" w:fill="D9D9D9" w:themeFill="background1" w:themeFillShade="D9"/>
            <w:vAlign w:val="center"/>
            <w:hideMark/>
          </w:tcPr>
          <w:p w:rsidRPr="00F438D7" w:rsidR="009D5719" w:rsidP="00753DC9" w:rsidRDefault="009D5719" w14:paraId="0E8CB878" w14:textId="16C9C23E">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64.23</w:t>
            </w:r>
          </w:p>
        </w:tc>
        <w:tc>
          <w:tcPr>
            <w:tcW w:w="312" w:type="pct"/>
            <w:shd w:val="clear" w:color="auto" w:fill="D9D9D9" w:themeFill="background1" w:themeFillShade="D9"/>
            <w:vAlign w:val="center"/>
            <w:hideMark/>
          </w:tcPr>
          <w:p w:rsidRPr="00F438D7" w:rsidR="009D5719" w:rsidP="00753DC9" w:rsidRDefault="009D5719" w14:paraId="478D9A67" w14:textId="552D869C">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133600</w:t>
            </w:r>
          </w:p>
        </w:tc>
        <w:tc>
          <w:tcPr>
            <w:tcW w:w="362" w:type="pct"/>
            <w:shd w:val="clear" w:color="auto" w:fill="D9D9D9" w:themeFill="background1" w:themeFillShade="D9"/>
            <w:vAlign w:val="center"/>
            <w:hideMark/>
          </w:tcPr>
          <w:p w:rsidRPr="00F438D7" w:rsidR="009D5719" w:rsidP="00753DC9" w:rsidRDefault="009D5719" w14:paraId="1E692DD9" w14:textId="4E91F074">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1.5</w:t>
            </w:r>
          </w:p>
        </w:tc>
        <w:tc>
          <w:tcPr>
            <w:tcW w:w="259" w:type="pct"/>
            <w:shd w:val="clear" w:color="auto" w:fill="D9D9D9" w:themeFill="background1" w:themeFillShade="D9"/>
            <w:vAlign w:val="center"/>
            <w:hideMark/>
          </w:tcPr>
          <w:p w:rsidRPr="00F438D7" w:rsidR="009D5719" w:rsidP="00753DC9" w:rsidRDefault="009D5719" w14:paraId="44109BCC" w14:textId="4FC26D8D">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60.82</w:t>
            </w:r>
          </w:p>
        </w:tc>
        <w:tc>
          <w:tcPr>
            <w:tcW w:w="312" w:type="pct"/>
            <w:shd w:val="clear" w:color="auto" w:fill="D9D9D9" w:themeFill="background1" w:themeFillShade="D9"/>
            <w:vAlign w:val="center"/>
            <w:hideMark/>
          </w:tcPr>
          <w:p w:rsidRPr="00F438D7" w:rsidR="009D5719" w:rsidP="00753DC9" w:rsidRDefault="009D5719" w14:paraId="4C35C344" w14:textId="70F1AB23">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126500</w:t>
            </w:r>
          </w:p>
        </w:tc>
        <w:tc>
          <w:tcPr>
            <w:tcW w:w="449" w:type="pct"/>
            <w:vAlign w:val="center"/>
          </w:tcPr>
          <w:p w:rsidRPr="00753DC9" w:rsidR="009D5719" w:rsidP="00753DC9" w:rsidRDefault="009D5719" w14:paraId="3CEDE1D2" w14:textId="1287DBD2">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w:t>
            </w:r>
          </w:p>
        </w:tc>
        <w:tc>
          <w:tcPr>
            <w:tcW w:w="364" w:type="pct"/>
            <w:vAlign w:val="center"/>
          </w:tcPr>
          <w:p w:rsidRPr="00753DC9" w:rsidR="009D5719" w:rsidP="00753DC9" w:rsidRDefault="009D5719" w14:paraId="7735A0E6" w14:textId="4A197E89">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300" w:type="pct"/>
            <w:vAlign w:val="center"/>
          </w:tcPr>
          <w:p w:rsidRPr="00753DC9" w:rsidR="009D5719" w:rsidP="00753DC9" w:rsidRDefault="009D5719" w14:paraId="71AD93D5" w14:textId="6B9215DE">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53</w:t>
            </w:r>
          </w:p>
        </w:tc>
        <w:tc>
          <w:tcPr>
            <w:tcW w:w="452" w:type="pct"/>
            <w:vAlign w:val="center"/>
          </w:tcPr>
          <w:p w:rsidRPr="00753DC9" w:rsidR="009D5719" w:rsidP="00753DC9" w:rsidRDefault="009D5719" w14:paraId="4AD48122" w14:textId="51258683">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3404.19</w:t>
            </w:r>
          </w:p>
        </w:tc>
      </w:tr>
      <w:tr w:rsidRPr="00F438D7" w:rsidR="009D5719" w:rsidTr="009D5719" w14:paraId="5A4E108E" w14:textId="0A22529F">
        <w:trPr>
          <w:trHeight w:val="20"/>
        </w:trPr>
        <w:tc>
          <w:tcPr>
            <w:tcW w:w="925" w:type="pct"/>
            <w:shd w:val="clear" w:color="auto" w:fill="D9D9D9" w:themeFill="background1" w:themeFillShade="D9"/>
            <w:vAlign w:val="center"/>
            <w:hideMark/>
          </w:tcPr>
          <w:p w:rsidRPr="00F438D7" w:rsidR="009D5719" w:rsidP="00753DC9" w:rsidRDefault="009D5719" w14:paraId="61DEA687"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Truck </w:t>
            </w:r>
            <w:proofErr w:type="gramStart"/>
            <w:r w:rsidRPr="00F438D7">
              <w:rPr>
                <w:rFonts w:ascii="Times New Roman" w:hAnsi="Times New Roman" w:cs="Times New Roman"/>
                <w:color w:val="auto"/>
                <w:sz w:val="16"/>
                <w:szCs w:val="16"/>
              </w:rPr>
              <w:t>Transportation(</w:t>
            </w:r>
            <w:proofErr w:type="gramEnd"/>
            <w:r w:rsidRPr="00F438D7">
              <w:rPr>
                <w:rFonts w:ascii="Times New Roman" w:hAnsi="Times New Roman" w:cs="Times New Roman"/>
                <w:color w:val="auto"/>
                <w:sz w:val="16"/>
                <w:szCs w:val="16"/>
              </w:rPr>
              <w:t>484000)</w:t>
            </w:r>
          </w:p>
        </w:tc>
        <w:tc>
          <w:tcPr>
            <w:tcW w:w="513" w:type="pct"/>
            <w:shd w:val="clear" w:color="auto" w:fill="D9D9D9" w:themeFill="background1" w:themeFillShade="D9"/>
            <w:vAlign w:val="center"/>
            <w:hideMark/>
          </w:tcPr>
          <w:p w:rsidRPr="00F438D7" w:rsidR="009D5719" w:rsidP="00753DC9" w:rsidRDefault="009D5719" w14:paraId="35A780DB" w14:textId="023F53A8">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10450</w:t>
            </w:r>
          </w:p>
        </w:tc>
        <w:tc>
          <w:tcPr>
            <w:tcW w:w="461" w:type="pct"/>
            <w:shd w:val="clear" w:color="auto" w:fill="D9D9D9" w:themeFill="background1" w:themeFillShade="D9"/>
            <w:vAlign w:val="center"/>
            <w:hideMark/>
          </w:tcPr>
          <w:p w:rsidRPr="00F438D7" w:rsidR="009D5719" w:rsidP="00753DC9" w:rsidRDefault="009D5719" w14:paraId="7607160A" w14:textId="527903E9">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7.2</w:t>
            </w:r>
          </w:p>
        </w:tc>
        <w:tc>
          <w:tcPr>
            <w:tcW w:w="290" w:type="pct"/>
            <w:shd w:val="clear" w:color="auto" w:fill="D9D9D9" w:themeFill="background1" w:themeFillShade="D9"/>
            <w:vAlign w:val="center"/>
            <w:hideMark/>
          </w:tcPr>
          <w:p w:rsidRPr="00F438D7" w:rsidR="009D5719" w:rsidP="00753DC9" w:rsidRDefault="009D5719" w14:paraId="08E57E97" w14:textId="0797DE1D">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44.98</w:t>
            </w:r>
          </w:p>
        </w:tc>
        <w:tc>
          <w:tcPr>
            <w:tcW w:w="312" w:type="pct"/>
            <w:shd w:val="clear" w:color="auto" w:fill="D9D9D9" w:themeFill="background1" w:themeFillShade="D9"/>
            <w:vAlign w:val="center"/>
            <w:hideMark/>
          </w:tcPr>
          <w:p w:rsidRPr="00F438D7" w:rsidR="009D5719" w:rsidP="00753DC9" w:rsidRDefault="009D5719" w14:paraId="67360B32" w14:textId="6830A831">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93550</w:t>
            </w:r>
          </w:p>
        </w:tc>
        <w:tc>
          <w:tcPr>
            <w:tcW w:w="362" w:type="pct"/>
            <w:shd w:val="clear" w:color="auto" w:fill="D9D9D9" w:themeFill="background1" w:themeFillShade="D9"/>
            <w:vAlign w:val="center"/>
            <w:hideMark/>
          </w:tcPr>
          <w:p w:rsidRPr="00F438D7" w:rsidR="009D5719" w:rsidP="00753DC9" w:rsidRDefault="009D5719" w14:paraId="1F585AAD" w14:textId="2DB15FB4">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1.8</w:t>
            </w:r>
          </w:p>
        </w:tc>
        <w:tc>
          <w:tcPr>
            <w:tcW w:w="259" w:type="pct"/>
            <w:shd w:val="clear" w:color="auto" w:fill="D9D9D9" w:themeFill="background1" w:themeFillShade="D9"/>
            <w:vAlign w:val="center"/>
            <w:hideMark/>
          </w:tcPr>
          <w:p w:rsidRPr="00F438D7" w:rsidR="009D5719" w:rsidP="00753DC9" w:rsidRDefault="009D5719" w14:paraId="1B9B6CB3" w14:textId="08B1588E">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39.31</w:t>
            </w:r>
          </w:p>
        </w:tc>
        <w:tc>
          <w:tcPr>
            <w:tcW w:w="312" w:type="pct"/>
            <w:shd w:val="clear" w:color="auto" w:fill="D9D9D9" w:themeFill="background1" w:themeFillShade="D9"/>
            <w:vAlign w:val="center"/>
            <w:hideMark/>
          </w:tcPr>
          <w:p w:rsidRPr="00F438D7" w:rsidR="009D5719" w:rsidP="00753DC9" w:rsidRDefault="009D5719" w14:paraId="34A5DE4D" w14:textId="169F0319">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81770</w:t>
            </w:r>
          </w:p>
        </w:tc>
        <w:tc>
          <w:tcPr>
            <w:tcW w:w="449" w:type="pct"/>
            <w:vAlign w:val="center"/>
          </w:tcPr>
          <w:p w:rsidRPr="00753DC9" w:rsidR="009D5719" w:rsidP="00753DC9" w:rsidRDefault="009D5719" w14:paraId="61854A51" w14:textId="2FE5EC39">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4</w:t>
            </w:r>
          </w:p>
        </w:tc>
        <w:tc>
          <w:tcPr>
            <w:tcW w:w="364" w:type="pct"/>
            <w:vAlign w:val="center"/>
          </w:tcPr>
          <w:p w:rsidRPr="00753DC9" w:rsidR="009D5719" w:rsidP="00753DC9" w:rsidRDefault="009D5719" w14:paraId="18D68D6F" w14:textId="0DFD06F9">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300" w:type="pct"/>
            <w:vAlign w:val="center"/>
          </w:tcPr>
          <w:p w:rsidRPr="00753DC9" w:rsidR="009D5719" w:rsidP="00753DC9" w:rsidRDefault="009D5719" w14:paraId="375A0492" w14:textId="2E04B70E">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106</w:t>
            </w:r>
          </w:p>
        </w:tc>
        <w:tc>
          <w:tcPr>
            <w:tcW w:w="452" w:type="pct"/>
            <w:vAlign w:val="center"/>
          </w:tcPr>
          <w:p w:rsidRPr="00753DC9" w:rsidR="009D5719" w:rsidP="00753DC9" w:rsidRDefault="009D5719" w14:paraId="7DE8F8FA" w14:textId="4B8A2397">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4767.88</w:t>
            </w:r>
          </w:p>
        </w:tc>
      </w:tr>
      <w:tr w:rsidRPr="00F438D7" w:rsidR="009D5719" w:rsidTr="009D5719" w14:paraId="056E8D6D" w14:textId="5FDB208F">
        <w:trPr>
          <w:trHeight w:val="20"/>
        </w:trPr>
        <w:tc>
          <w:tcPr>
            <w:tcW w:w="925" w:type="pct"/>
            <w:shd w:val="clear" w:color="auto" w:fill="D9D9D9" w:themeFill="background1" w:themeFillShade="D9"/>
            <w:vAlign w:val="center"/>
            <w:hideMark/>
          </w:tcPr>
          <w:p w:rsidRPr="00F438D7" w:rsidR="009D5719" w:rsidP="00753DC9" w:rsidRDefault="009D5719" w14:paraId="7FDDF697"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Support Activities for Water </w:t>
            </w:r>
            <w:proofErr w:type="gramStart"/>
            <w:r w:rsidRPr="00F438D7">
              <w:rPr>
                <w:rFonts w:ascii="Times New Roman" w:hAnsi="Times New Roman" w:cs="Times New Roman"/>
                <w:color w:val="auto"/>
                <w:sz w:val="16"/>
                <w:szCs w:val="16"/>
              </w:rPr>
              <w:t>Transportation(</w:t>
            </w:r>
            <w:proofErr w:type="gramEnd"/>
            <w:r w:rsidRPr="00F438D7">
              <w:rPr>
                <w:rFonts w:ascii="Times New Roman" w:hAnsi="Times New Roman" w:cs="Times New Roman"/>
                <w:color w:val="auto"/>
                <w:sz w:val="16"/>
                <w:szCs w:val="16"/>
              </w:rPr>
              <w:t>488300)</w:t>
            </w:r>
          </w:p>
        </w:tc>
        <w:tc>
          <w:tcPr>
            <w:tcW w:w="513" w:type="pct"/>
            <w:shd w:val="clear" w:color="auto" w:fill="D9D9D9" w:themeFill="background1" w:themeFillShade="D9"/>
            <w:vAlign w:val="center"/>
            <w:hideMark/>
          </w:tcPr>
          <w:p w:rsidRPr="00F438D7" w:rsidR="009D5719" w:rsidP="00753DC9" w:rsidRDefault="009D5719" w14:paraId="014A0B5A" w14:textId="6D46A2CE">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1440</w:t>
            </w:r>
          </w:p>
        </w:tc>
        <w:tc>
          <w:tcPr>
            <w:tcW w:w="461" w:type="pct"/>
            <w:shd w:val="clear" w:color="auto" w:fill="D9D9D9" w:themeFill="background1" w:themeFillShade="D9"/>
            <w:vAlign w:val="center"/>
            <w:hideMark/>
          </w:tcPr>
          <w:p w:rsidRPr="00F438D7" w:rsidR="009D5719" w:rsidP="00753DC9" w:rsidRDefault="009D5719" w14:paraId="10A21EFD" w14:textId="49E0B90A">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27.2</w:t>
            </w:r>
          </w:p>
        </w:tc>
        <w:tc>
          <w:tcPr>
            <w:tcW w:w="290" w:type="pct"/>
            <w:shd w:val="clear" w:color="auto" w:fill="D9D9D9" w:themeFill="background1" w:themeFillShade="D9"/>
            <w:vAlign w:val="center"/>
            <w:hideMark/>
          </w:tcPr>
          <w:p w:rsidRPr="00F438D7" w:rsidR="009D5719" w:rsidP="00753DC9" w:rsidRDefault="009D5719" w14:paraId="368B9898" w14:textId="4D278661">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54.34</w:t>
            </w:r>
          </w:p>
        </w:tc>
        <w:tc>
          <w:tcPr>
            <w:tcW w:w="312" w:type="pct"/>
            <w:shd w:val="clear" w:color="auto" w:fill="D9D9D9" w:themeFill="background1" w:themeFillShade="D9"/>
            <w:vAlign w:val="center"/>
            <w:hideMark/>
          </w:tcPr>
          <w:p w:rsidRPr="00F438D7" w:rsidR="009D5719" w:rsidP="00753DC9" w:rsidRDefault="009D5719" w14:paraId="2469C58A" w14:textId="005B179A">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113030</w:t>
            </w:r>
          </w:p>
        </w:tc>
        <w:tc>
          <w:tcPr>
            <w:tcW w:w="362" w:type="pct"/>
            <w:shd w:val="clear" w:color="auto" w:fill="D9D9D9" w:themeFill="background1" w:themeFillShade="D9"/>
            <w:vAlign w:val="center"/>
            <w:hideMark/>
          </w:tcPr>
          <w:p w:rsidRPr="00F438D7" w:rsidR="009D5719" w:rsidP="00753DC9" w:rsidRDefault="009D5719" w14:paraId="08CC17DA" w14:textId="41A512B0">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5.8</w:t>
            </w:r>
          </w:p>
        </w:tc>
        <w:tc>
          <w:tcPr>
            <w:tcW w:w="259" w:type="pct"/>
            <w:shd w:val="clear" w:color="auto" w:fill="D9D9D9" w:themeFill="background1" w:themeFillShade="D9"/>
            <w:vAlign w:val="center"/>
            <w:hideMark/>
          </w:tcPr>
          <w:p w:rsidRPr="00F438D7" w:rsidR="009D5719" w:rsidP="00753DC9" w:rsidRDefault="009D5719" w14:paraId="18BBBC12" w14:textId="74CAB610">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54.59</w:t>
            </w:r>
          </w:p>
        </w:tc>
        <w:tc>
          <w:tcPr>
            <w:tcW w:w="312" w:type="pct"/>
            <w:shd w:val="clear" w:color="auto" w:fill="D9D9D9" w:themeFill="background1" w:themeFillShade="D9"/>
            <w:vAlign w:val="center"/>
            <w:hideMark/>
          </w:tcPr>
          <w:p w:rsidRPr="00F438D7" w:rsidR="009D5719" w:rsidP="00753DC9" w:rsidRDefault="009D5719" w14:paraId="752AC904" w14:textId="1FB78105">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113540</w:t>
            </w:r>
          </w:p>
        </w:tc>
        <w:tc>
          <w:tcPr>
            <w:tcW w:w="449" w:type="pct"/>
            <w:vAlign w:val="center"/>
          </w:tcPr>
          <w:p w:rsidRPr="00753DC9" w:rsidR="009D5719" w:rsidP="00753DC9" w:rsidRDefault="009D5719" w14:paraId="59D3B06C" w14:textId="25141896">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6</w:t>
            </w:r>
          </w:p>
        </w:tc>
        <w:tc>
          <w:tcPr>
            <w:tcW w:w="364" w:type="pct"/>
            <w:vAlign w:val="center"/>
          </w:tcPr>
          <w:p w:rsidRPr="00753DC9" w:rsidR="009D5719" w:rsidP="00753DC9" w:rsidRDefault="009D5719" w14:paraId="6A8EAE2A" w14:textId="0C84B17B">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300" w:type="pct"/>
            <w:vAlign w:val="center"/>
          </w:tcPr>
          <w:p w:rsidRPr="00753DC9" w:rsidR="009D5719" w:rsidP="00753DC9" w:rsidRDefault="009D5719" w14:paraId="015789F6" w14:textId="7024943A">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159</w:t>
            </w:r>
          </w:p>
        </w:tc>
        <w:tc>
          <w:tcPr>
            <w:tcW w:w="452" w:type="pct"/>
            <w:vAlign w:val="center"/>
          </w:tcPr>
          <w:p w:rsidRPr="00753DC9" w:rsidR="009D5719" w:rsidP="00753DC9" w:rsidRDefault="009D5719" w14:paraId="5D910508" w14:textId="1FFF2102">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8640.06</w:t>
            </w:r>
          </w:p>
        </w:tc>
      </w:tr>
      <w:tr w:rsidRPr="00F438D7" w:rsidR="009D5719" w:rsidTr="009D5719" w14:paraId="28B26BE6" w14:textId="79D47F85">
        <w:trPr>
          <w:trHeight w:val="20"/>
        </w:trPr>
        <w:tc>
          <w:tcPr>
            <w:tcW w:w="925" w:type="pct"/>
            <w:shd w:val="clear" w:color="auto" w:fill="D9D9D9" w:themeFill="background1" w:themeFillShade="D9"/>
            <w:vAlign w:val="center"/>
            <w:hideMark/>
          </w:tcPr>
          <w:p w:rsidRPr="00F438D7" w:rsidR="009D5719" w:rsidP="00753DC9" w:rsidRDefault="009D5719" w14:paraId="7D344285"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Freight Transportation </w:t>
            </w:r>
            <w:proofErr w:type="gramStart"/>
            <w:r w:rsidRPr="00F438D7">
              <w:rPr>
                <w:rFonts w:ascii="Times New Roman" w:hAnsi="Times New Roman" w:cs="Times New Roman"/>
                <w:color w:val="auto"/>
                <w:sz w:val="16"/>
                <w:szCs w:val="16"/>
              </w:rPr>
              <w:t>Arrangement(</w:t>
            </w:r>
            <w:proofErr w:type="gramEnd"/>
            <w:r w:rsidRPr="00F438D7">
              <w:rPr>
                <w:rFonts w:ascii="Times New Roman" w:hAnsi="Times New Roman" w:cs="Times New Roman"/>
                <w:color w:val="auto"/>
                <w:sz w:val="16"/>
                <w:szCs w:val="16"/>
              </w:rPr>
              <w:t>488500)</w:t>
            </w:r>
          </w:p>
        </w:tc>
        <w:tc>
          <w:tcPr>
            <w:tcW w:w="513" w:type="pct"/>
            <w:shd w:val="clear" w:color="auto" w:fill="D9D9D9" w:themeFill="background1" w:themeFillShade="D9"/>
            <w:vAlign w:val="center"/>
            <w:hideMark/>
          </w:tcPr>
          <w:p w:rsidRPr="00F438D7" w:rsidR="009D5719" w:rsidP="00753DC9" w:rsidRDefault="009D5719" w14:paraId="58E8E3CC" w14:textId="5DDD645F">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4010</w:t>
            </w:r>
          </w:p>
        </w:tc>
        <w:tc>
          <w:tcPr>
            <w:tcW w:w="461" w:type="pct"/>
            <w:shd w:val="clear" w:color="auto" w:fill="D9D9D9" w:themeFill="background1" w:themeFillShade="D9"/>
            <w:vAlign w:val="center"/>
            <w:hideMark/>
          </w:tcPr>
          <w:p w:rsidRPr="00F438D7" w:rsidR="009D5719" w:rsidP="00753DC9" w:rsidRDefault="009D5719" w14:paraId="7977F022" w14:textId="11607C43">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11.0</w:t>
            </w:r>
          </w:p>
        </w:tc>
        <w:tc>
          <w:tcPr>
            <w:tcW w:w="290" w:type="pct"/>
            <w:shd w:val="clear" w:color="auto" w:fill="D9D9D9" w:themeFill="background1" w:themeFillShade="D9"/>
            <w:vAlign w:val="center"/>
            <w:hideMark/>
          </w:tcPr>
          <w:p w:rsidRPr="00F438D7" w:rsidR="009D5719" w:rsidP="00753DC9" w:rsidRDefault="009D5719" w14:paraId="09443F31" w14:textId="3D8BD175">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48.72</w:t>
            </w:r>
          </w:p>
        </w:tc>
        <w:tc>
          <w:tcPr>
            <w:tcW w:w="312" w:type="pct"/>
            <w:shd w:val="clear" w:color="auto" w:fill="D9D9D9" w:themeFill="background1" w:themeFillShade="D9"/>
            <w:vAlign w:val="center"/>
            <w:hideMark/>
          </w:tcPr>
          <w:p w:rsidRPr="00F438D7" w:rsidR="009D5719" w:rsidP="00753DC9" w:rsidRDefault="009D5719" w14:paraId="1A38F193" w14:textId="37EF5B68">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101330</w:t>
            </w:r>
          </w:p>
        </w:tc>
        <w:tc>
          <w:tcPr>
            <w:tcW w:w="362" w:type="pct"/>
            <w:shd w:val="clear" w:color="auto" w:fill="D9D9D9" w:themeFill="background1" w:themeFillShade="D9"/>
            <w:vAlign w:val="center"/>
            <w:hideMark/>
          </w:tcPr>
          <w:p w:rsidRPr="00F438D7" w:rsidR="009D5719" w:rsidP="00753DC9" w:rsidRDefault="009D5719" w14:paraId="159865C7" w14:textId="74927FD1">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3.3</w:t>
            </w:r>
          </w:p>
        </w:tc>
        <w:tc>
          <w:tcPr>
            <w:tcW w:w="259" w:type="pct"/>
            <w:shd w:val="clear" w:color="auto" w:fill="D9D9D9" w:themeFill="background1" w:themeFillShade="D9"/>
            <w:vAlign w:val="center"/>
            <w:hideMark/>
          </w:tcPr>
          <w:p w:rsidRPr="00F438D7" w:rsidR="009D5719" w:rsidP="00753DC9" w:rsidRDefault="009D5719" w14:paraId="128540D0" w14:textId="333E695E">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44.19</w:t>
            </w:r>
          </w:p>
        </w:tc>
        <w:tc>
          <w:tcPr>
            <w:tcW w:w="312" w:type="pct"/>
            <w:shd w:val="clear" w:color="auto" w:fill="D9D9D9" w:themeFill="background1" w:themeFillShade="D9"/>
            <w:vAlign w:val="center"/>
            <w:hideMark/>
          </w:tcPr>
          <w:p w:rsidRPr="00F438D7" w:rsidR="009D5719" w:rsidP="00753DC9" w:rsidRDefault="009D5719" w14:paraId="1D1423E9" w14:textId="7C5CF91C">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91910</w:t>
            </w:r>
          </w:p>
        </w:tc>
        <w:tc>
          <w:tcPr>
            <w:tcW w:w="449" w:type="pct"/>
            <w:vAlign w:val="center"/>
          </w:tcPr>
          <w:p w:rsidRPr="00753DC9" w:rsidR="009D5719" w:rsidP="00753DC9" w:rsidRDefault="009D5719" w14:paraId="677578C6" w14:textId="7B5DED4D">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3</w:t>
            </w:r>
          </w:p>
        </w:tc>
        <w:tc>
          <w:tcPr>
            <w:tcW w:w="364" w:type="pct"/>
            <w:vAlign w:val="center"/>
          </w:tcPr>
          <w:p w:rsidRPr="00753DC9" w:rsidR="009D5719" w:rsidP="00753DC9" w:rsidRDefault="009D5719" w14:paraId="211599A9" w14:textId="20B015D2">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300" w:type="pct"/>
            <w:vAlign w:val="center"/>
          </w:tcPr>
          <w:p w:rsidRPr="00753DC9" w:rsidR="009D5719" w:rsidP="00753DC9" w:rsidRDefault="009D5719" w14:paraId="3E53DB49" w14:textId="61613E72">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79.5</w:t>
            </w:r>
          </w:p>
        </w:tc>
        <w:tc>
          <w:tcPr>
            <w:tcW w:w="452" w:type="pct"/>
            <w:vAlign w:val="center"/>
          </w:tcPr>
          <w:p w:rsidRPr="00753DC9" w:rsidR="009D5719" w:rsidP="00753DC9" w:rsidRDefault="009D5719" w14:paraId="487FAFB6" w14:textId="6AFFD438">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3873.24</w:t>
            </w:r>
          </w:p>
        </w:tc>
      </w:tr>
      <w:tr w:rsidRPr="00F438D7" w:rsidR="009D5719" w:rsidTr="009D5719" w14:paraId="71F4F4B4" w14:textId="25CC18A2">
        <w:trPr>
          <w:trHeight w:val="20"/>
        </w:trPr>
        <w:tc>
          <w:tcPr>
            <w:tcW w:w="925" w:type="pct"/>
            <w:shd w:val="clear" w:color="auto" w:fill="D9D9D9" w:themeFill="background1" w:themeFillShade="D9"/>
            <w:vAlign w:val="center"/>
            <w:hideMark/>
          </w:tcPr>
          <w:p w:rsidRPr="00F438D7" w:rsidR="009D5719" w:rsidP="00753DC9" w:rsidRDefault="009D5719" w14:paraId="5FE2309E" w14:textId="77777777">
            <w:pPr>
              <w:pStyle w:val="BodyText"/>
              <w:keepNext/>
              <w:keepLines/>
              <w:rPr>
                <w:rFonts w:ascii="Times New Roman" w:hAnsi="Times New Roman" w:cs="Times New Roman"/>
                <w:color w:val="auto"/>
                <w:sz w:val="16"/>
                <w:szCs w:val="16"/>
              </w:rPr>
            </w:pPr>
            <w:r w:rsidRPr="00F438D7">
              <w:rPr>
                <w:rFonts w:ascii="Times New Roman" w:hAnsi="Times New Roman" w:cs="Times New Roman"/>
                <w:color w:val="auto"/>
                <w:sz w:val="16"/>
                <w:szCs w:val="16"/>
              </w:rPr>
              <w:t xml:space="preserve">Automotive Equipment Rental and </w:t>
            </w:r>
            <w:proofErr w:type="gramStart"/>
            <w:r w:rsidRPr="00F438D7">
              <w:rPr>
                <w:rFonts w:ascii="Times New Roman" w:hAnsi="Times New Roman" w:cs="Times New Roman"/>
                <w:color w:val="auto"/>
                <w:sz w:val="16"/>
                <w:szCs w:val="16"/>
              </w:rPr>
              <w:t>Leasing(</w:t>
            </w:r>
            <w:proofErr w:type="gramEnd"/>
            <w:r w:rsidRPr="00F438D7">
              <w:rPr>
                <w:rFonts w:ascii="Times New Roman" w:hAnsi="Times New Roman" w:cs="Times New Roman"/>
                <w:color w:val="auto"/>
                <w:sz w:val="16"/>
                <w:szCs w:val="16"/>
              </w:rPr>
              <w:t>532100)</w:t>
            </w:r>
          </w:p>
        </w:tc>
        <w:tc>
          <w:tcPr>
            <w:tcW w:w="513" w:type="pct"/>
            <w:shd w:val="clear" w:color="auto" w:fill="D9D9D9" w:themeFill="background1" w:themeFillShade="D9"/>
            <w:vAlign w:val="center"/>
            <w:hideMark/>
          </w:tcPr>
          <w:p w:rsidRPr="00F438D7" w:rsidR="009D5719" w:rsidP="00753DC9" w:rsidRDefault="009D5719" w14:paraId="037003FB" w14:textId="15CDAFB2">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4260</w:t>
            </w:r>
          </w:p>
        </w:tc>
        <w:tc>
          <w:tcPr>
            <w:tcW w:w="461" w:type="pct"/>
            <w:shd w:val="clear" w:color="auto" w:fill="D9D9D9" w:themeFill="background1" w:themeFillShade="D9"/>
            <w:vAlign w:val="center"/>
            <w:hideMark/>
          </w:tcPr>
          <w:p w:rsidRPr="00F438D7" w:rsidR="009D5719" w:rsidP="00753DC9" w:rsidRDefault="009D5719" w14:paraId="7B555AD8" w14:textId="0ED9F158">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6.7</w:t>
            </w:r>
          </w:p>
        </w:tc>
        <w:tc>
          <w:tcPr>
            <w:tcW w:w="290" w:type="pct"/>
            <w:shd w:val="clear" w:color="auto" w:fill="D9D9D9" w:themeFill="background1" w:themeFillShade="D9"/>
            <w:vAlign w:val="center"/>
            <w:hideMark/>
          </w:tcPr>
          <w:p w:rsidRPr="00F438D7" w:rsidR="009D5719" w:rsidP="00753DC9" w:rsidRDefault="009D5719" w14:paraId="148B062F" w14:textId="5A0C80DA">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26.55</w:t>
            </w:r>
          </w:p>
        </w:tc>
        <w:tc>
          <w:tcPr>
            <w:tcW w:w="312" w:type="pct"/>
            <w:shd w:val="clear" w:color="auto" w:fill="D9D9D9" w:themeFill="background1" w:themeFillShade="D9"/>
            <w:vAlign w:val="center"/>
            <w:hideMark/>
          </w:tcPr>
          <w:p w:rsidRPr="00F438D7" w:rsidR="009D5719" w:rsidP="00753DC9" w:rsidRDefault="009D5719" w14:paraId="3478FA56" w14:textId="2CB81AC4">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55230</w:t>
            </w:r>
          </w:p>
        </w:tc>
        <w:tc>
          <w:tcPr>
            <w:tcW w:w="362" w:type="pct"/>
            <w:shd w:val="clear" w:color="auto" w:fill="D9D9D9" w:themeFill="background1" w:themeFillShade="D9"/>
            <w:vAlign w:val="center"/>
            <w:hideMark/>
          </w:tcPr>
          <w:p w:rsidRPr="00F438D7" w:rsidR="009D5719" w:rsidP="00753DC9" w:rsidRDefault="009D5719" w14:paraId="2028971A" w14:textId="2DE79670">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3.6</w:t>
            </w:r>
          </w:p>
        </w:tc>
        <w:tc>
          <w:tcPr>
            <w:tcW w:w="259" w:type="pct"/>
            <w:shd w:val="clear" w:color="auto" w:fill="D9D9D9" w:themeFill="background1" w:themeFillShade="D9"/>
            <w:vAlign w:val="center"/>
            <w:hideMark/>
          </w:tcPr>
          <w:p w:rsidRPr="00F438D7" w:rsidR="009D5719" w:rsidP="00753DC9" w:rsidRDefault="009D5719" w14:paraId="50397C76" w14:textId="28831A3C">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23.73</w:t>
            </w:r>
          </w:p>
        </w:tc>
        <w:tc>
          <w:tcPr>
            <w:tcW w:w="312" w:type="pct"/>
            <w:shd w:val="clear" w:color="auto" w:fill="D9D9D9" w:themeFill="background1" w:themeFillShade="D9"/>
            <w:vAlign w:val="center"/>
            <w:hideMark/>
          </w:tcPr>
          <w:p w:rsidRPr="00F438D7" w:rsidR="009D5719" w:rsidP="00753DC9" w:rsidRDefault="009D5719" w14:paraId="4868A7AA" w14:textId="48923794">
            <w:pPr>
              <w:pStyle w:val="BodyText"/>
              <w:keepNext/>
              <w:keepLines/>
              <w:jc w:val="center"/>
              <w:rPr>
                <w:rFonts w:ascii="Times New Roman" w:hAnsi="Times New Roman" w:cs="Times New Roman"/>
                <w:color w:val="auto"/>
                <w:sz w:val="16"/>
                <w:szCs w:val="16"/>
              </w:rPr>
            </w:pPr>
            <w:r w:rsidRPr="00F438D7">
              <w:rPr>
                <w:rFonts w:ascii="Times New Roman" w:hAnsi="Times New Roman" w:cs="Times New Roman"/>
                <w:color w:val="auto"/>
                <w:sz w:val="16"/>
                <w:szCs w:val="16"/>
              </w:rPr>
              <w:t>49350</w:t>
            </w:r>
          </w:p>
        </w:tc>
        <w:tc>
          <w:tcPr>
            <w:tcW w:w="449" w:type="pct"/>
            <w:vAlign w:val="center"/>
          </w:tcPr>
          <w:p w:rsidRPr="00753DC9" w:rsidR="009D5719" w:rsidP="00753DC9" w:rsidRDefault="009D5719" w14:paraId="4A8EEDCD" w14:textId="2B464A05">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w:t>
            </w:r>
          </w:p>
        </w:tc>
        <w:tc>
          <w:tcPr>
            <w:tcW w:w="364" w:type="pct"/>
            <w:vAlign w:val="center"/>
          </w:tcPr>
          <w:p w:rsidRPr="00753DC9" w:rsidR="009D5719" w:rsidP="00753DC9" w:rsidRDefault="009D5719" w14:paraId="343358FD" w14:textId="0911A889">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26.5</w:t>
            </w:r>
          </w:p>
        </w:tc>
        <w:tc>
          <w:tcPr>
            <w:tcW w:w="300" w:type="pct"/>
            <w:vAlign w:val="center"/>
          </w:tcPr>
          <w:p w:rsidRPr="00753DC9" w:rsidR="009D5719" w:rsidP="00753DC9" w:rsidRDefault="009D5719" w14:paraId="3905D733" w14:textId="63096DFD">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53</w:t>
            </w:r>
          </w:p>
        </w:tc>
        <w:tc>
          <w:tcPr>
            <w:tcW w:w="452" w:type="pct"/>
            <w:vAlign w:val="center"/>
          </w:tcPr>
          <w:p w:rsidRPr="00753DC9" w:rsidR="009D5719" w:rsidP="00753DC9" w:rsidRDefault="009D5719" w14:paraId="3116D88E" w14:textId="15F243CC">
            <w:pPr>
              <w:pStyle w:val="BodyText"/>
              <w:keepNext/>
              <w:keepLines/>
              <w:jc w:val="center"/>
              <w:rPr>
                <w:rFonts w:ascii="Times New Roman" w:hAnsi="Times New Roman" w:cs="Times New Roman"/>
                <w:color w:val="auto"/>
                <w:sz w:val="16"/>
                <w:szCs w:val="16"/>
              </w:rPr>
            </w:pPr>
            <w:r w:rsidRPr="00753DC9">
              <w:rPr>
                <w:rFonts w:ascii="Times New Roman" w:hAnsi="Times New Roman" w:cs="Times New Roman"/>
                <w:color w:val="auto"/>
                <w:sz w:val="16"/>
                <w:szCs w:val="16"/>
              </w:rPr>
              <w:t>1407.15</w:t>
            </w:r>
          </w:p>
        </w:tc>
      </w:tr>
      <w:tr w:rsidRPr="00F438D7" w:rsidR="009D5719" w:rsidTr="009D5719" w14:paraId="2AEAC18A" w14:textId="38BD6520">
        <w:trPr>
          <w:trHeight w:val="20"/>
        </w:trPr>
        <w:tc>
          <w:tcPr>
            <w:tcW w:w="925" w:type="pct"/>
            <w:vAlign w:val="center"/>
          </w:tcPr>
          <w:p w:rsidRPr="00F438D7" w:rsidR="009D5719" w:rsidP="00753DC9" w:rsidRDefault="009D5719" w14:paraId="76F2562E" w14:textId="17C8FCDD">
            <w:pPr>
              <w:pStyle w:val="BodyText"/>
              <w:keepNext/>
              <w:keepLines/>
              <w:rPr>
                <w:rFonts w:ascii="Times New Roman" w:hAnsi="Times New Roman" w:cs="Times New Roman"/>
                <w:color w:val="auto"/>
                <w:sz w:val="16"/>
                <w:szCs w:val="16"/>
              </w:rPr>
            </w:pPr>
            <w:r>
              <w:rPr>
                <w:rFonts w:ascii="Times New Roman" w:hAnsi="Times New Roman" w:cs="Times New Roman"/>
                <w:color w:val="auto"/>
                <w:sz w:val="16"/>
                <w:szCs w:val="16"/>
              </w:rPr>
              <w:t>Total Burden</w:t>
            </w:r>
          </w:p>
        </w:tc>
        <w:tc>
          <w:tcPr>
            <w:tcW w:w="513" w:type="pct"/>
            <w:vAlign w:val="center"/>
          </w:tcPr>
          <w:p w:rsidRPr="00F438D7" w:rsidR="009D5719" w:rsidP="00753DC9" w:rsidRDefault="009D5719" w14:paraId="49E120E4" w14:textId="77777777">
            <w:pPr>
              <w:pStyle w:val="BodyText"/>
              <w:keepNext/>
              <w:keepLines/>
              <w:jc w:val="center"/>
              <w:rPr>
                <w:rFonts w:ascii="Times New Roman" w:hAnsi="Times New Roman" w:cs="Times New Roman"/>
                <w:color w:val="auto"/>
                <w:sz w:val="16"/>
                <w:szCs w:val="16"/>
              </w:rPr>
            </w:pPr>
          </w:p>
        </w:tc>
        <w:tc>
          <w:tcPr>
            <w:tcW w:w="461" w:type="pct"/>
            <w:vAlign w:val="center"/>
          </w:tcPr>
          <w:p w:rsidRPr="00F438D7" w:rsidR="009D5719" w:rsidP="00753DC9" w:rsidRDefault="009D5719" w14:paraId="5CB7A02C" w14:textId="77777777">
            <w:pPr>
              <w:pStyle w:val="BodyText"/>
              <w:keepNext/>
              <w:keepLines/>
              <w:jc w:val="center"/>
              <w:rPr>
                <w:rFonts w:ascii="Times New Roman" w:hAnsi="Times New Roman" w:cs="Times New Roman"/>
                <w:color w:val="auto"/>
                <w:sz w:val="16"/>
                <w:szCs w:val="16"/>
              </w:rPr>
            </w:pPr>
          </w:p>
        </w:tc>
        <w:tc>
          <w:tcPr>
            <w:tcW w:w="290" w:type="pct"/>
            <w:vAlign w:val="center"/>
          </w:tcPr>
          <w:p w:rsidRPr="00F438D7" w:rsidR="009D5719" w:rsidP="00753DC9" w:rsidRDefault="009D5719" w14:paraId="0B888D8E" w14:textId="77777777">
            <w:pPr>
              <w:pStyle w:val="BodyText"/>
              <w:keepNext/>
              <w:keepLines/>
              <w:jc w:val="center"/>
              <w:rPr>
                <w:rFonts w:ascii="Times New Roman" w:hAnsi="Times New Roman" w:cs="Times New Roman"/>
                <w:color w:val="auto"/>
                <w:sz w:val="16"/>
                <w:szCs w:val="16"/>
              </w:rPr>
            </w:pPr>
          </w:p>
        </w:tc>
        <w:tc>
          <w:tcPr>
            <w:tcW w:w="312" w:type="pct"/>
            <w:vAlign w:val="center"/>
          </w:tcPr>
          <w:p w:rsidRPr="00F438D7" w:rsidR="009D5719" w:rsidP="00753DC9" w:rsidRDefault="009D5719" w14:paraId="10AB44B3" w14:textId="77777777">
            <w:pPr>
              <w:pStyle w:val="BodyText"/>
              <w:keepNext/>
              <w:keepLines/>
              <w:jc w:val="center"/>
              <w:rPr>
                <w:rFonts w:ascii="Times New Roman" w:hAnsi="Times New Roman" w:cs="Times New Roman"/>
                <w:color w:val="auto"/>
                <w:sz w:val="16"/>
                <w:szCs w:val="16"/>
              </w:rPr>
            </w:pPr>
          </w:p>
        </w:tc>
        <w:tc>
          <w:tcPr>
            <w:tcW w:w="362" w:type="pct"/>
            <w:vAlign w:val="center"/>
          </w:tcPr>
          <w:p w:rsidRPr="00F438D7" w:rsidR="009D5719" w:rsidP="00753DC9" w:rsidRDefault="009D5719" w14:paraId="15773EC7" w14:textId="77777777">
            <w:pPr>
              <w:pStyle w:val="BodyText"/>
              <w:keepNext/>
              <w:keepLines/>
              <w:jc w:val="center"/>
              <w:rPr>
                <w:rFonts w:ascii="Times New Roman" w:hAnsi="Times New Roman" w:cs="Times New Roman"/>
                <w:color w:val="auto"/>
                <w:sz w:val="16"/>
                <w:szCs w:val="16"/>
              </w:rPr>
            </w:pPr>
          </w:p>
        </w:tc>
        <w:tc>
          <w:tcPr>
            <w:tcW w:w="259" w:type="pct"/>
            <w:vAlign w:val="center"/>
          </w:tcPr>
          <w:p w:rsidRPr="00F438D7" w:rsidR="009D5719" w:rsidP="00753DC9" w:rsidRDefault="009D5719" w14:paraId="1AB0112B" w14:textId="77777777">
            <w:pPr>
              <w:pStyle w:val="BodyText"/>
              <w:keepNext/>
              <w:keepLines/>
              <w:jc w:val="center"/>
              <w:rPr>
                <w:rFonts w:ascii="Times New Roman" w:hAnsi="Times New Roman" w:cs="Times New Roman"/>
                <w:color w:val="auto"/>
                <w:sz w:val="16"/>
                <w:szCs w:val="16"/>
              </w:rPr>
            </w:pPr>
          </w:p>
        </w:tc>
        <w:tc>
          <w:tcPr>
            <w:tcW w:w="312" w:type="pct"/>
            <w:vAlign w:val="center"/>
          </w:tcPr>
          <w:p w:rsidRPr="00F438D7" w:rsidR="009D5719" w:rsidP="00753DC9" w:rsidRDefault="009D5719" w14:paraId="6F8F4CED" w14:textId="77777777">
            <w:pPr>
              <w:pStyle w:val="BodyText"/>
              <w:keepNext/>
              <w:keepLines/>
              <w:jc w:val="center"/>
              <w:rPr>
                <w:rFonts w:ascii="Times New Roman" w:hAnsi="Times New Roman" w:cs="Times New Roman"/>
                <w:color w:val="auto"/>
                <w:sz w:val="16"/>
                <w:szCs w:val="16"/>
              </w:rPr>
            </w:pPr>
          </w:p>
        </w:tc>
        <w:tc>
          <w:tcPr>
            <w:tcW w:w="449" w:type="pct"/>
            <w:vAlign w:val="center"/>
          </w:tcPr>
          <w:p w:rsidRPr="009D5719" w:rsidR="009D5719" w:rsidP="00753DC9" w:rsidRDefault="009D5719" w14:paraId="678703AD" w14:textId="00B5E311">
            <w:pPr>
              <w:pStyle w:val="BodyText"/>
              <w:keepNext/>
              <w:keepLines/>
              <w:jc w:val="center"/>
              <w:rPr>
                <w:rFonts w:ascii="Times New Roman" w:hAnsi="Times New Roman" w:cs="Times New Roman"/>
                <w:color w:val="auto"/>
                <w:sz w:val="16"/>
                <w:szCs w:val="16"/>
              </w:rPr>
            </w:pPr>
            <w:r w:rsidRPr="009D5719">
              <w:rPr>
                <w:rFonts w:ascii="Times New Roman" w:hAnsi="Times New Roman" w:cs="Times New Roman"/>
                <w:color w:val="auto"/>
                <w:sz w:val="16"/>
                <w:szCs w:val="16"/>
              </w:rPr>
              <w:t>21</w:t>
            </w:r>
          </w:p>
        </w:tc>
        <w:tc>
          <w:tcPr>
            <w:tcW w:w="364" w:type="pct"/>
            <w:vAlign w:val="center"/>
          </w:tcPr>
          <w:p w:rsidRPr="009D5719" w:rsidR="009D5719" w:rsidP="00753DC9" w:rsidRDefault="009D5719" w14:paraId="41A4ED1F" w14:textId="5CD4A4E4">
            <w:pPr>
              <w:pStyle w:val="BodyText"/>
              <w:keepNext/>
              <w:keepLines/>
              <w:jc w:val="center"/>
              <w:rPr>
                <w:rFonts w:ascii="Times New Roman" w:hAnsi="Times New Roman" w:cs="Times New Roman"/>
                <w:color w:val="auto"/>
                <w:sz w:val="16"/>
                <w:szCs w:val="16"/>
              </w:rPr>
            </w:pPr>
            <w:r w:rsidRPr="009D5719">
              <w:rPr>
                <w:rFonts w:ascii="Times New Roman" w:hAnsi="Times New Roman" w:cs="Times New Roman"/>
                <w:color w:val="auto"/>
                <w:sz w:val="16"/>
                <w:szCs w:val="16"/>
              </w:rPr>
              <w:t>26.5</w:t>
            </w:r>
          </w:p>
        </w:tc>
        <w:tc>
          <w:tcPr>
            <w:tcW w:w="300" w:type="pct"/>
            <w:vAlign w:val="center"/>
          </w:tcPr>
          <w:p w:rsidRPr="009D5719" w:rsidR="009D5719" w:rsidP="00753DC9" w:rsidRDefault="009D5719" w14:paraId="6F299FF7" w14:textId="64C6B4FD">
            <w:pPr>
              <w:pStyle w:val="BodyText"/>
              <w:keepNext/>
              <w:keepLines/>
              <w:jc w:val="center"/>
              <w:rPr>
                <w:rFonts w:ascii="Times New Roman" w:hAnsi="Times New Roman" w:cs="Times New Roman"/>
                <w:color w:val="auto"/>
                <w:sz w:val="16"/>
                <w:szCs w:val="16"/>
              </w:rPr>
            </w:pPr>
            <w:r w:rsidRPr="009D5719">
              <w:rPr>
                <w:rFonts w:ascii="Times New Roman" w:hAnsi="Times New Roman" w:cs="Times New Roman"/>
                <w:color w:val="auto"/>
                <w:sz w:val="16"/>
                <w:szCs w:val="16"/>
              </w:rPr>
              <w:t>556.5</w:t>
            </w:r>
          </w:p>
        </w:tc>
        <w:tc>
          <w:tcPr>
            <w:tcW w:w="452" w:type="pct"/>
            <w:vAlign w:val="center"/>
          </w:tcPr>
          <w:p w:rsidRPr="009D5719" w:rsidR="009D5719" w:rsidP="00753DC9" w:rsidRDefault="009D5719" w14:paraId="13BA6B59" w14:textId="0130313B">
            <w:pPr>
              <w:pStyle w:val="BodyText"/>
              <w:keepNext/>
              <w:keepLines/>
              <w:jc w:val="center"/>
              <w:rPr>
                <w:rFonts w:ascii="Times New Roman" w:hAnsi="Times New Roman" w:cs="Times New Roman"/>
                <w:color w:val="auto"/>
                <w:sz w:val="16"/>
                <w:szCs w:val="16"/>
              </w:rPr>
            </w:pPr>
            <w:r w:rsidRPr="009D5719">
              <w:rPr>
                <w:rFonts w:ascii="Times New Roman" w:hAnsi="Times New Roman" w:cs="Times New Roman"/>
                <w:color w:val="auto"/>
                <w:sz w:val="16"/>
                <w:szCs w:val="16"/>
              </w:rPr>
              <w:t>26059.31</w:t>
            </w:r>
          </w:p>
        </w:tc>
      </w:tr>
    </w:tbl>
    <w:p w:rsidR="00BD19EB" w:rsidP="00BD19EB" w:rsidRDefault="00BD19EB" w14:paraId="529B3C31" w14:textId="77777777">
      <w:pPr>
        <w:pStyle w:val="BodyText"/>
        <w:rPr>
          <w:rFonts w:ascii="Times New Roman" w:hAnsi="Times New Roman" w:cs="Times New Roman"/>
          <w:color w:val="auto"/>
          <w:sz w:val="16"/>
          <w:szCs w:val="16"/>
        </w:rPr>
      </w:pPr>
    </w:p>
    <w:p w:rsidRPr="006B54FF" w:rsidR="006B54FF" w:rsidP="006B54FF" w:rsidRDefault="006B54FF" w14:paraId="628CF0C5" w14:textId="34E865EE">
      <w:pPr>
        <w:pStyle w:val="BodyText"/>
        <w:shd w:val="clear" w:color="auto" w:fill="D9D9D9" w:themeFill="background1" w:themeFillShade="D9"/>
        <w:rPr>
          <w:rFonts w:ascii="Times New Roman" w:hAnsi="Times New Roman" w:cs="Times New Roman"/>
          <w:color w:val="auto"/>
          <w:sz w:val="16"/>
          <w:szCs w:val="16"/>
        </w:rPr>
      </w:pPr>
      <w:r w:rsidRPr="006B54FF">
        <w:rPr>
          <w:rFonts w:ascii="Times New Roman" w:hAnsi="Times New Roman" w:cs="Times New Roman"/>
          <w:color w:val="auto"/>
          <w:sz w:val="16"/>
          <w:szCs w:val="16"/>
        </w:rPr>
        <w:t>Cells in gray extracted from BLS National Industry-Specific Occupational Employment and Wage Estimates, May 2021</w:t>
      </w:r>
    </w:p>
    <w:p w:rsidRPr="00A96743" w:rsidR="00F438D7" w:rsidP="00F438D7" w:rsidRDefault="00F438D7" w14:paraId="2FD98E3D" w14:textId="1A315DCA">
      <w:pPr>
        <w:pStyle w:val="BodyText"/>
        <w:rPr>
          <w:rFonts w:ascii="Times New Roman" w:hAnsi="Times New Roman" w:cs="Times New Roman"/>
          <w:color w:val="auto"/>
          <w:sz w:val="16"/>
          <w:szCs w:val="16"/>
        </w:rPr>
      </w:pPr>
      <w:r w:rsidRPr="00A96743">
        <w:rPr>
          <w:rFonts w:ascii="Times New Roman" w:hAnsi="Times New Roman" w:cs="Times New Roman"/>
          <w:color w:val="auto"/>
          <w:sz w:val="16"/>
          <w:szCs w:val="16"/>
        </w:rPr>
        <w:t>(1) Estimates for detailed occupations do not sum to the totals because the totals include occupations not shown separately. Estimates do not include self-employed workers.</w:t>
      </w:r>
    </w:p>
    <w:p w:rsidRPr="00A96743" w:rsidR="00F438D7" w:rsidP="00F438D7" w:rsidRDefault="00F438D7" w14:paraId="4832853D" w14:textId="72E7CA66">
      <w:pPr>
        <w:pStyle w:val="BodyText"/>
        <w:rPr>
          <w:rFonts w:ascii="Times New Roman" w:hAnsi="Times New Roman" w:cs="Times New Roman"/>
          <w:color w:val="auto"/>
          <w:sz w:val="16"/>
          <w:szCs w:val="16"/>
        </w:rPr>
      </w:pPr>
      <w:r w:rsidRPr="00A96743">
        <w:rPr>
          <w:rFonts w:ascii="Times New Roman" w:hAnsi="Times New Roman" w:cs="Times New Roman"/>
          <w:color w:val="auto"/>
          <w:sz w:val="16"/>
          <w:szCs w:val="16"/>
        </w:rPr>
        <w:t>(2) Annual wages have been calculated by multiplying the corresponding hourly wage by 2,080 hours.</w:t>
      </w:r>
    </w:p>
    <w:p w:rsidR="00F438D7" w:rsidP="00F438D7" w:rsidRDefault="00F438D7" w14:paraId="552E4F26" w14:textId="286110C0">
      <w:pPr>
        <w:pStyle w:val="BodyText"/>
        <w:rPr>
          <w:rFonts w:ascii="Times New Roman" w:hAnsi="Times New Roman" w:cs="Times New Roman"/>
          <w:color w:val="auto"/>
          <w:sz w:val="16"/>
          <w:szCs w:val="16"/>
        </w:rPr>
      </w:pPr>
      <w:r w:rsidRPr="00A96743">
        <w:rPr>
          <w:rFonts w:ascii="Times New Roman" w:hAnsi="Times New Roman" w:cs="Times New Roman"/>
          <w:color w:val="auto"/>
          <w:sz w:val="16"/>
          <w:szCs w:val="16"/>
        </w:rPr>
        <w:t>(3) The relative standard error (RSE) is a measure of the reliability of a survey statistic. The smaller the relative standard error, the more precise the estimate.</w:t>
      </w:r>
    </w:p>
    <w:p w:rsidRPr="00A96743" w:rsidR="00BD19EB" w:rsidP="00F438D7" w:rsidRDefault="00BD19EB" w14:paraId="2ECC4D46" w14:textId="77777777">
      <w:pPr>
        <w:pStyle w:val="BodyText"/>
        <w:rPr>
          <w:rFonts w:ascii="Times New Roman" w:hAnsi="Times New Roman" w:cs="Times New Roman"/>
          <w:color w:val="auto"/>
          <w:sz w:val="16"/>
          <w:szCs w:val="16"/>
        </w:rPr>
      </w:pPr>
    </w:p>
    <w:p w:rsidRPr="00A96743" w:rsidR="00F438D7" w:rsidP="00F438D7" w:rsidRDefault="00F438D7" w14:paraId="51656714" w14:textId="25BC690A">
      <w:pPr>
        <w:pStyle w:val="BodyText"/>
        <w:rPr>
          <w:rFonts w:ascii="Times New Roman" w:hAnsi="Times New Roman" w:cs="Times New Roman"/>
          <w:color w:val="auto"/>
          <w:sz w:val="16"/>
          <w:szCs w:val="16"/>
        </w:rPr>
      </w:pPr>
      <w:r w:rsidRPr="00A96743">
        <w:rPr>
          <w:rFonts w:ascii="Times New Roman" w:hAnsi="Times New Roman" w:cs="Times New Roman"/>
          <w:color w:val="auto"/>
          <w:sz w:val="16"/>
          <w:szCs w:val="16"/>
        </w:rPr>
        <w:t xml:space="preserve">SOC code: Standard Occupational Classification code -- see </w:t>
      </w:r>
      <w:hyperlink w:history="1" r:id="rId9">
        <w:r w:rsidRPr="00A96743">
          <w:rPr>
            <w:rStyle w:val="Hyperlink"/>
            <w:rFonts w:ascii="Times New Roman" w:hAnsi="Times New Roman" w:cs="Times New Roman"/>
            <w:sz w:val="16"/>
            <w:szCs w:val="16"/>
          </w:rPr>
          <w:t>http://www.bls.gov/soc/home.htm</w:t>
        </w:r>
      </w:hyperlink>
      <w:r w:rsidRPr="00A96743">
        <w:rPr>
          <w:rFonts w:ascii="Times New Roman" w:hAnsi="Times New Roman" w:cs="Times New Roman"/>
          <w:color w:val="auto"/>
          <w:sz w:val="16"/>
          <w:szCs w:val="16"/>
        </w:rPr>
        <w:t xml:space="preserve"> </w:t>
      </w:r>
    </w:p>
    <w:p w:rsidRPr="00A96743" w:rsidR="00F438D7" w:rsidP="00F438D7" w:rsidRDefault="00F438D7" w14:paraId="297DB5E0" w14:textId="3A305C4F">
      <w:pPr>
        <w:pStyle w:val="BodyText"/>
        <w:rPr>
          <w:rFonts w:ascii="Times New Roman" w:hAnsi="Times New Roman" w:cs="Times New Roman"/>
          <w:color w:val="auto"/>
          <w:sz w:val="16"/>
          <w:szCs w:val="16"/>
        </w:rPr>
      </w:pPr>
      <w:r w:rsidRPr="00A96743">
        <w:rPr>
          <w:rFonts w:ascii="Times New Roman" w:hAnsi="Times New Roman" w:cs="Times New Roman"/>
          <w:color w:val="auto"/>
          <w:sz w:val="16"/>
          <w:szCs w:val="16"/>
        </w:rPr>
        <w:t xml:space="preserve">Date extracted </w:t>
      </w:r>
      <w:proofErr w:type="gramStart"/>
      <w:r w:rsidRPr="00A96743">
        <w:rPr>
          <w:rFonts w:ascii="Times New Roman" w:hAnsi="Times New Roman" w:cs="Times New Roman"/>
          <w:color w:val="auto"/>
          <w:sz w:val="16"/>
          <w:szCs w:val="16"/>
        </w:rPr>
        <w:t>on :Jun</w:t>
      </w:r>
      <w:proofErr w:type="gramEnd"/>
      <w:r w:rsidRPr="00A96743">
        <w:rPr>
          <w:rFonts w:ascii="Times New Roman" w:hAnsi="Times New Roman" w:cs="Times New Roman"/>
          <w:color w:val="auto"/>
          <w:sz w:val="16"/>
          <w:szCs w:val="16"/>
        </w:rPr>
        <w:t xml:space="preserve"> 30, 2022</w:t>
      </w:r>
    </w:p>
    <w:p w:rsidRPr="00F3276E" w:rsidR="00BD1BF2" w:rsidRDefault="00BD1BF2" w14:paraId="4E636CC4" w14:textId="0908560F">
      <w:pPr>
        <w:pStyle w:val="NormalWeb"/>
        <w:rPr>
          <w:rFonts w:ascii="Times New Roman" w:hAnsi="Times New Roman" w:cs="Times New Roman"/>
        </w:rPr>
      </w:pPr>
      <w:r w:rsidRPr="00F3276E">
        <w:rPr>
          <w:rFonts w:ascii="Times New Roman" w:hAnsi="Times New Roman" w:cs="Times New Roman"/>
        </w:rPr>
        <w:lastRenderedPageBreak/>
        <w:t xml:space="preserve">13. </w:t>
      </w:r>
      <w:r w:rsidRPr="00E140AD" w:rsidR="00F3276E">
        <w:rPr>
          <w:rFonts w:ascii="Times New Roman" w:hAnsi="Times New Roman" w:cs="Times New Roman"/>
          <w:u w:val="single"/>
        </w:rPr>
        <w:t xml:space="preserve">Provide an estimate of cost to the respondents. Do not include the cost of any hour burden shown in items 12 and 14. General estimates should not include purchase of equipment or </w:t>
      </w:r>
      <w:proofErr w:type="gramStart"/>
      <w:r w:rsidRPr="00E140AD" w:rsidR="00F3276E">
        <w:rPr>
          <w:rFonts w:ascii="Times New Roman" w:hAnsi="Times New Roman" w:cs="Times New Roman"/>
          <w:u w:val="single"/>
        </w:rPr>
        <w:t>services</w:t>
      </w:r>
      <w:proofErr w:type="gramEnd"/>
      <w:r w:rsidRPr="00E140AD" w:rsidR="00F3276E">
        <w:rPr>
          <w:rFonts w:ascii="Times New Roman" w:hAnsi="Times New Roman" w:cs="Times New Roman"/>
          <w:u w:val="single"/>
        </w:rPr>
        <w:t xml:space="preserve"> or portions thereof made prior to October, 1995.</w:t>
      </w:r>
    </w:p>
    <w:p w:rsidRPr="00CE649C" w:rsidR="00555867" w:rsidRDefault="00CB154A" w14:paraId="5750683A" w14:textId="41950743">
      <w:pPr>
        <w:pStyle w:val="NormalWeb"/>
        <w:rPr>
          <w:rFonts w:ascii="Times New Roman" w:hAnsi="Times New Roman" w:cs="Times New Roman"/>
        </w:rPr>
      </w:pPr>
      <w:r>
        <w:rPr>
          <w:rFonts w:ascii="Times New Roman" w:hAnsi="Times New Roman" w:cs="Times New Roman"/>
        </w:rPr>
        <w:t>There is no additional cost to the respondents.</w:t>
      </w:r>
    </w:p>
    <w:p w:rsidRPr="00CE649C" w:rsidR="00BD1BF2" w:rsidRDefault="00BD1BF2" w14:paraId="42BB6EC8" w14:textId="77777777">
      <w:pPr>
        <w:pStyle w:val="NormalWeb"/>
        <w:rPr>
          <w:rFonts w:ascii="Times New Roman" w:hAnsi="Times New Roman" w:cs="Times New Roman"/>
        </w:rPr>
      </w:pPr>
      <w:r w:rsidRPr="00CE649C">
        <w:rPr>
          <w:rFonts w:ascii="Times New Roman" w:hAnsi="Times New Roman" w:cs="Times New Roman"/>
        </w:rPr>
        <w:t xml:space="preserve">14. </w:t>
      </w:r>
      <w:r w:rsidRPr="00CE649C">
        <w:rPr>
          <w:rFonts w:ascii="Times New Roman" w:hAnsi="Times New Roman" w:cs="Times New Roman"/>
          <w:u w:val="single"/>
        </w:rPr>
        <w:t>Estimate of cost to the Federal government</w:t>
      </w:r>
      <w:r w:rsidRPr="00CE649C">
        <w:rPr>
          <w:rFonts w:ascii="Times New Roman" w:hAnsi="Times New Roman" w:cs="Times New Roman"/>
        </w:rPr>
        <w:t>:</w:t>
      </w:r>
    </w:p>
    <w:p w:rsidRPr="00CE649C" w:rsidR="00BD1BF2" w:rsidRDefault="003312DD" w14:paraId="2B95D635" w14:textId="3B3177C3">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 xml:space="preserve">Two full-time </w:t>
      </w:r>
      <w:r w:rsidR="0017141B">
        <w:rPr>
          <w:rFonts w:ascii="Times New Roman" w:hAnsi="Times New Roman" w:cs="Times New Roman"/>
          <w:color w:val="auto"/>
          <w:sz w:val="24"/>
          <w:szCs w:val="24"/>
        </w:rPr>
        <w:t xml:space="preserve">GS-12 </w:t>
      </w:r>
      <w:r w:rsidRPr="00CE649C">
        <w:rPr>
          <w:rFonts w:ascii="Times New Roman" w:hAnsi="Times New Roman" w:cs="Times New Roman"/>
          <w:color w:val="auto"/>
          <w:sz w:val="24"/>
          <w:szCs w:val="24"/>
        </w:rPr>
        <w:t>employees</w:t>
      </w:r>
      <w:r w:rsidR="0017141B">
        <w:rPr>
          <w:rFonts w:ascii="Times New Roman" w:hAnsi="Times New Roman" w:cs="Times New Roman"/>
          <w:color w:val="auto"/>
          <w:sz w:val="24"/>
          <w:szCs w:val="24"/>
        </w:rPr>
        <w:t xml:space="preserve"> </w:t>
      </w:r>
      <w:r w:rsidRPr="00CE649C">
        <w:rPr>
          <w:rFonts w:ascii="Times New Roman" w:hAnsi="Times New Roman" w:cs="Times New Roman"/>
          <w:color w:val="auto"/>
          <w:sz w:val="24"/>
          <w:szCs w:val="24"/>
        </w:rPr>
        <w:t>will be needed</w:t>
      </w:r>
      <w:r w:rsidRPr="00CE649C" w:rsidR="0090328E">
        <w:rPr>
          <w:rFonts w:ascii="Times New Roman" w:hAnsi="Times New Roman" w:cs="Times New Roman"/>
          <w:color w:val="auto"/>
          <w:sz w:val="24"/>
          <w:szCs w:val="24"/>
        </w:rPr>
        <w:t xml:space="preserve"> through September</w:t>
      </w:r>
      <w:r w:rsidR="0017141B">
        <w:rPr>
          <w:rFonts w:ascii="Times New Roman" w:hAnsi="Times New Roman" w:cs="Times New Roman"/>
          <w:color w:val="auto"/>
          <w:sz w:val="24"/>
          <w:szCs w:val="24"/>
        </w:rPr>
        <w:t xml:space="preserve"> to support the pilot phase</w:t>
      </w:r>
      <w:r w:rsidRPr="00CE649C" w:rsidR="0090328E">
        <w:rPr>
          <w:rFonts w:ascii="Times New Roman" w:hAnsi="Times New Roman" w:cs="Times New Roman"/>
          <w:color w:val="auto"/>
          <w:sz w:val="24"/>
          <w:szCs w:val="24"/>
        </w:rPr>
        <w:t xml:space="preserve">. The </w:t>
      </w:r>
      <w:r w:rsidR="0017141B">
        <w:rPr>
          <w:rFonts w:ascii="Times New Roman" w:hAnsi="Times New Roman" w:cs="Times New Roman"/>
          <w:color w:val="auto"/>
          <w:sz w:val="24"/>
          <w:szCs w:val="24"/>
        </w:rPr>
        <w:t xml:space="preserve">salary per employee estimated at the step 7 level </w:t>
      </w:r>
      <w:r w:rsidRPr="00CE649C" w:rsidR="0090328E">
        <w:rPr>
          <w:rFonts w:ascii="Times New Roman" w:hAnsi="Times New Roman" w:cs="Times New Roman"/>
          <w:color w:val="auto"/>
          <w:sz w:val="24"/>
          <w:szCs w:val="24"/>
        </w:rPr>
        <w:t xml:space="preserve">will be </w:t>
      </w:r>
      <w:r w:rsidR="00A31D77">
        <w:rPr>
          <w:rFonts w:ascii="Times New Roman" w:hAnsi="Times New Roman" w:cs="Times New Roman"/>
          <w:color w:val="auto"/>
          <w:sz w:val="24"/>
          <w:szCs w:val="24"/>
        </w:rPr>
        <w:t>$</w:t>
      </w:r>
      <w:r w:rsidRPr="00A31D77" w:rsidR="00A31D77">
        <w:rPr>
          <w:rFonts w:ascii="Times New Roman" w:hAnsi="Times New Roman" w:cs="Times New Roman"/>
          <w:color w:val="auto"/>
          <w:sz w:val="24"/>
          <w:szCs w:val="24"/>
        </w:rPr>
        <w:t>107</w:t>
      </w:r>
      <w:r w:rsidR="00A31D77">
        <w:rPr>
          <w:rFonts w:ascii="Times New Roman" w:hAnsi="Times New Roman" w:cs="Times New Roman"/>
          <w:color w:val="auto"/>
          <w:sz w:val="24"/>
          <w:szCs w:val="24"/>
        </w:rPr>
        <w:t>,</w:t>
      </w:r>
      <w:r w:rsidRPr="00A31D77" w:rsidR="00A31D77">
        <w:rPr>
          <w:rFonts w:ascii="Times New Roman" w:hAnsi="Times New Roman" w:cs="Times New Roman"/>
          <w:color w:val="auto"/>
          <w:sz w:val="24"/>
          <w:szCs w:val="24"/>
        </w:rPr>
        <w:t>803</w:t>
      </w:r>
      <w:r w:rsidR="00A31D77">
        <w:rPr>
          <w:rFonts w:ascii="Times New Roman" w:hAnsi="Times New Roman" w:cs="Times New Roman"/>
          <w:color w:val="auto"/>
          <w:sz w:val="24"/>
          <w:szCs w:val="24"/>
        </w:rPr>
        <w:t>.00</w:t>
      </w:r>
      <w:r w:rsidR="0017141B">
        <w:rPr>
          <w:rFonts w:ascii="Times New Roman" w:hAnsi="Times New Roman" w:cs="Times New Roman"/>
          <w:color w:val="auto"/>
          <w:sz w:val="24"/>
          <w:szCs w:val="24"/>
        </w:rPr>
        <w:t xml:space="preserve"> annually, which equals $26,950.75 for three months. The total fully loaded cost for two employees for three months is estimated as $75,462.10.</w:t>
      </w:r>
    </w:p>
    <w:p w:rsidRPr="00CE649C" w:rsidR="00BD1BF2" w:rsidRDefault="00BD1BF2" w14:paraId="2E478A25" w14:textId="77777777">
      <w:pPr>
        <w:pStyle w:val="NormalWeb"/>
        <w:rPr>
          <w:rFonts w:ascii="Times New Roman" w:hAnsi="Times New Roman" w:cs="Times New Roman"/>
        </w:rPr>
      </w:pPr>
      <w:r w:rsidRPr="00CE649C">
        <w:rPr>
          <w:rFonts w:ascii="Times New Roman" w:hAnsi="Times New Roman" w:cs="Times New Roman"/>
        </w:rPr>
        <w:t xml:space="preserve">15. </w:t>
      </w:r>
      <w:r w:rsidRPr="00CE649C">
        <w:rPr>
          <w:rFonts w:ascii="Times New Roman" w:hAnsi="Times New Roman" w:cs="Times New Roman"/>
          <w:u w:val="single"/>
        </w:rPr>
        <w:t>Explanation of program changes or adjustments</w:t>
      </w:r>
      <w:r w:rsidRPr="00CE649C">
        <w:rPr>
          <w:rFonts w:ascii="Times New Roman" w:hAnsi="Times New Roman" w:cs="Times New Roman"/>
        </w:rPr>
        <w:t>:</w:t>
      </w:r>
    </w:p>
    <w:p w:rsidRPr="00CE649C" w:rsidR="00BD1BF2" w:rsidP="006A7FCE" w:rsidRDefault="006A7FCE" w14:paraId="098B6D95" w14:textId="77F45641">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This is a new IC</w:t>
      </w:r>
      <w:r w:rsidRPr="00CE649C" w:rsidR="00565AFD">
        <w:rPr>
          <w:rFonts w:ascii="Times New Roman" w:hAnsi="Times New Roman" w:cs="Times New Roman"/>
          <w:color w:val="auto"/>
          <w:sz w:val="24"/>
          <w:szCs w:val="24"/>
        </w:rPr>
        <w:t>R</w:t>
      </w:r>
      <w:r w:rsidR="0017141B">
        <w:rPr>
          <w:rFonts w:ascii="Times New Roman" w:hAnsi="Times New Roman" w:cs="Times New Roman"/>
          <w:color w:val="auto"/>
          <w:sz w:val="24"/>
          <w:szCs w:val="24"/>
        </w:rPr>
        <w:t xml:space="preserve"> for a </w:t>
      </w:r>
      <w:r w:rsidR="009E6BDF">
        <w:rPr>
          <w:rFonts w:ascii="Times New Roman" w:hAnsi="Times New Roman" w:cs="Times New Roman"/>
          <w:color w:val="auto"/>
          <w:sz w:val="24"/>
          <w:szCs w:val="24"/>
        </w:rPr>
        <w:t>short-term</w:t>
      </w:r>
      <w:r w:rsidR="0017141B">
        <w:rPr>
          <w:rFonts w:ascii="Times New Roman" w:hAnsi="Times New Roman" w:cs="Times New Roman"/>
          <w:color w:val="auto"/>
          <w:sz w:val="24"/>
          <w:szCs w:val="24"/>
        </w:rPr>
        <w:t xml:space="preserve"> pilot</w:t>
      </w:r>
      <w:r w:rsidRPr="00CE649C">
        <w:rPr>
          <w:rFonts w:ascii="Times New Roman" w:hAnsi="Times New Roman" w:cs="Times New Roman"/>
          <w:color w:val="auto"/>
          <w:sz w:val="24"/>
          <w:szCs w:val="24"/>
        </w:rPr>
        <w:t>.</w:t>
      </w:r>
      <w:r w:rsidRPr="00CE649C" w:rsidR="002F0FCB">
        <w:rPr>
          <w:rFonts w:ascii="Times New Roman" w:hAnsi="Times New Roman" w:cs="Times New Roman"/>
          <w:color w:val="auto"/>
          <w:sz w:val="24"/>
          <w:szCs w:val="24"/>
        </w:rPr>
        <w:t xml:space="preserve"> </w:t>
      </w:r>
    </w:p>
    <w:p w:rsidRPr="00CE649C" w:rsidR="00BD1BF2" w:rsidRDefault="00BD1BF2" w14:paraId="44F7B330" w14:textId="77777777">
      <w:pPr>
        <w:pStyle w:val="NormalWeb"/>
        <w:rPr>
          <w:rFonts w:ascii="Times New Roman" w:hAnsi="Times New Roman" w:cs="Times New Roman"/>
        </w:rPr>
      </w:pPr>
      <w:r w:rsidRPr="00CE649C">
        <w:rPr>
          <w:rFonts w:ascii="Times New Roman" w:hAnsi="Times New Roman" w:cs="Times New Roman"/>
        </w:rPr>
        <w:t xml:space="preserve">16. </w:t>
      </w:r>
      <w:r w:rsidRPr="00CE649C">
        <w:rPr>
          <w:rFonts w:ascii="Times New Roman" w:hAnsi="Times New Roman" w:cs="Times New Roman"/>
          <w:u w:val="single"/>
        </w:rPr>
        <w:t>Publication of results of data collection</w:t>
      </w:r>
      <w:r w:rsidRPr="00CE649C">
        <w:rPr>
          <w:rFonts w:ascii="Times New Roman" w:hAnsi="Times New Roman" w:cs="Times New Roman"/>
        </w:rPr>
        <w:t>:</w:t>
      </w:r>
    </w:p>
    <w:p w:rsidRPr="00CE649C" w:rsidR="00E932A0" w:rsidP="00E932A0" w:rsidRDefault="00E932A0" w14:paraId="6DA20BE8" w14:textId="78E905CA">
      <w:pPr>
        <w:jc w:val="both"/>
      </w:pPr>
      <w:r w:rsidRPr="00CE649C">
        <w:t xml:space="preserve">At </w:t>
      </w:r>
      <w:r w:rsidR="0017141B">
        <w:t xml:space="preserve">the </w:t>
      </w:r>
      <w:r w:rsidRPr="00CE649C">
        <w:t xml:space="preserve">conclusion of the pilot, the </w:t>
      </w:r>
      <w:r w:rsidRPr="00CE649C" w:rsidR="008A55D5">
        <w:t>FLOW project</w:t>
      </w:r>
      <w:r w:rsidRPr="00CE649C">
        <w:t xml:space="preserve"> will provide a summary of status, progress, and recommendations. If scaled to a national program, this will become an annual summary that will include significant milestones, progress, adjustments, and accomplishments prepared by USDOT.</w:t>
      </w:r>
    </w:p>
    <w:p w:rsidRPr="00CE649C" w:rsidR="00BD1BF2" w:rsidRDefault="00BD1BF2" w14:paraId="7CAFAA74" w14:textId="77777777">
      <w:pPr>
        <w:pStyle w:val="NormalWeb"/>
        <w:rPr>
          <w:rFonts w:ascii="Times New Roman" w:hAnsi="Times New Roman" w:cs="Times New Roman"/>
        </w:rPr>
      </w:pPr>
      <w:r w:rsidRPr="00CE649C">
        <w:rPr>
          <w:rFonts w:ascii="Times New Roman" w:hAnsi="Times New Roman" w:cs="Times New Roman"/>
        </w:rPr>
        <w:t xml:space="preserve">17. </w:t>
      </w:r>
      <w:r w:rsidRPr="00CE649C">
        <w:rPr>
          <w:rFonts w:ascii="Times New Roman" w:hAnsi="Times New Roman" w:cs="Times New Roman"/>
          <w:u w:val="single"/>
        </w:rPr>
        <w:t>Approval for not displaying the expiration date of OMB approval</w:t>
      </w:r>
      <w:r w:rsidRPr="00CE649C">
        <w:rPr>
          <w:rFonts w:ascii="Times New Roman" w:hAnsi="Times New Roman" w:cs="Times New Roman"/>
        </w:rPr>
        <w:t>:</w:t>
      </w:r>
    </w:p>
    <w:p w:rsidRPr="00BD19EB" w:rsidR="00BD1BF2" w:rsidRDefault="002F0FCB" w14:paraId="64D04DB2" w14:textId="2AF49501">
      <w:pPr>
        <w:pStyle w:val="BodyText"/>
        <w:rPr>
          <w:rFonts w:ascii="Times New Roman" w:hAnsi="Times New Roman" w:cs="Times New Roman"/>
          <w:color w:val="auto"/>
          <w:sz w:val="24"/>
          <w:szCs w:val="24"/>
        </w:rPr>
      </w:pPr>
      <w:r w:rsidRPr="00CE649C">
        <w:rPr>
          <w:rFonts w:ascii="Times New Roman" w:hAnsi="Times New Roman" w:cs="Times New Roman"/>
          <w:color w:val="auto"/>
          <w:sz w:val="24"/>
          <w:szCs w:val="24"/>
        </w:rPr>
        <w:t xml:space="preserve">Not applicable. </w:t>
      </w:r>
      <w:r w:rsidRPr="00CE649C" w:rsidR="00565AFD">
        <w:rPr>
          <w:rFonts w:ascii="Times New Roman" w:hAnsi="Times New Roman" w:cs="Times New Roman"/>
          <w:color w:val="auto"/>
          <w:sz w:val="24"/>
          <w:szCs w:val="24"/>
        </w:rPr>
        <w:t>BTS</w:t>
      </w:r>
      <w:r w:rsidRPr="00CE649C">
        <w:rPr>
          <w:rFonts w:ascii="Times New Roman" w:hAnsi="Times New Roman" w:cs="Times New Roman"/>
          <w:color w:val="auto"/>
          <w:sz w:val="24"/>
          <w:szCs w:val="24"/>
        </w:rPr>
        <w:t xml:space="preserve"> is not seeking approval to not display the expiration date.</w:t>
      </w:r>
    </w:p>
    <w:p w:rsidRPr="00CE649C" w:rsidR="00BD1BF2" w:rsidRDefault="00BD1BF2" w14:paraId="26419323" w14:textId="77777777">
      <w:pPr>
        <w:pStyle w:val="NormalWeb"/>
        <w:rPr>
          <w:rFonts w:ascii="Times New Roman" w:hAnsi="Times New Roman" w:cs="Times New Roman"/>
        </w:rPr>
      </w:pPr>
      <w:r w:rsidRPr="00CE649C">
        <w:rPr>
          <w:rFonts w:ascii="Times New Roman" w:hAnsi="Times New Roman" w:cs="Times New Roman"/>
        </w:rPr>
        <w:t xml:space="preserve">18. </w:t>
      </w:r>
      <w:r w:rsidRPr="00CE649C">
        <w:rPr>
          <w:rFonts w:ascii="Times New Roman" w:hAnsi="Times New Roman" w:cs="Times New Roman"/>
          <w:u w:val="single"/>
        </w:rPr>
        <w:t>Exceptions to certification statement</w:t>
      </w:r>
      <w:r w:rsidRPr="00CE649C">
        <w:rPr>
          <w:rFonts w:ascii="Times New Roman" w:hAnsi="Times New Roman" w:cs="Times New Roman"/>
        </w:rPr>
        <w:t>:</w:t>
      </w:r>
    </w:p>
    <w:p w:rsidRPr="00CE649C" w:rsidR="002F0FCB" w:rsidP="002F0FCB" w:rsidRDefault="002F0FCB" w14:paraId="3CB667A7" w14:textId="77777777">
      <w:pPr>
        <w:pStyle w:val="NormalWeb"/>
        <w:rPr>
          <w:rFonts w:ascii="Times New Roman" w:hAnsi="Times New Roman" w:eastAsia="Times New Roman" w:cs="Times New Roman"/>
        </w:rPr>
      </w:pPr>
      <w:r w:rsidRPr="00CE649C">
        <w:rPr>
          <w:rFonts w:ascii="Times New Roman" w:hAnsi="Times New Roman" w:eastAsia="Times New Roman" w:cs="Times New Roman"/>
        </w:rPr>
        <w:t xml:space="preserve">Not applicable. </w:t>
      </w:r>
      <w:r w:rsidRPr="00CE649C" w:rsidR="00565AFD">
        <w:rPr>
          <w:rFonts w:ascii="Times New Roman" w:hAnsi="Times New Roman" w:eastAsia="Times New Roman" w:cs="Times New Roman"/>
        </w:rPr>
        <w:t>BTS</w:t>
      </w:r>
      <w:r w:rsidRPr="00CE649C">
        <w:rPr>
          <w:rFonts w:ascii="Times New Roman" w:hAnsi="Times New Roman" w:eastAsia="Times New Roman" w:cs="Times New Roman"/>
        </w:rPr>
        <w:t xml:space="preserve"> does not have any exceptions to the certification statement.</w:t>
      </w:r>
    </w:p>
    <w:p w:rsidRPr="007E4968" w:rsidR="00BD1BF2" w:rsidRDefault="00BD1BF2" w14:paraId="3CB34583" w14:textId="77777777">
      <w:pPr>
        <w:rPr>
          <w:color w:val="FF0000"/>
        </w:rPr>
      </w:pPr>
      <w:r w:rsidRPr="007E4968">
        <w:rPr>
          <w:color w:val="FF0000"/>
        </w:rPr>
        <w:br/>
      </w:r>
      <w:r w:rsidRPr="007E4968">
        <w:rPr>
          <w:color w:val="FF0000"/>
        </w:rPr>
        <w:br/>
      </w:r>
    </w:p>
    <w:sectPr w:rsidRPr="007E4968" w:rsidR="00BD1BF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408E4" w14:textId="77777777" w:rsidR="00D07811" w:rsidRDefault="00D07811" w:rsidP="00BD19EB">
      <w:pPr>
        <w:spacing w:line="240" w:lineRule="auto"/>
      </w:pPr>
      <w:r>
        <w:separator/>
      </w:r>
    </w:p>
  </w:endnote>
  <w:endnote w:type="continuationSeparator" w:id="0">
    <w:p w14:paraId="6CD3D9C3" w14:textId="77777777" w:rsidR="00D07811" w:rsidRDefault="00D07811" w:rsidP="00BD19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219183"/>
      <w:docPartObj>
        <w:docPartGallery w:val="Page Numbers (Bottom of Page)"/>
        <w:docPartUnique/>
      </w:docPartObj>
    </w:sdtPr>
    <w:sdtEndPr>
      <w:rPr>
        <w:noProof/>
      </w:rPr>
    </w:sdtEndPr>
    <w:sdtContent>
      <w:p w14:paraId="3165524C" w14:textId="2FC92386" w:rsidR="00BD19EB" w:rsidRDefault="00BD19EB" w:rsidP="00BD19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0A34D" w14:textId="77777777" w:rsidR="00D07811" w:rsidRDefault="00D07811" w:rsidP="00BD19EB">
      <w:pPr>
        <w:spacing w:line="240" w:lineRule="auto"/>
      </w:pPr>
      <w:r>
        <w:separator/>
      </w:r>
    </w:p>
  </w:footnote>
  <w:footnote w:type="continuationSeparator" w:id="0">
    <w:p w14:paraId="24FC1373" w14:textId="77777777" w:rsidR="00D07811" w:rsidRDefault="00D07811" w:rsidP="00BD19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8351E"/>
    <w:multiLevelType w:val="multilevel"/>
    <w:tmpl w:val="074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C5E5C"/>
    <w:multiLevelType w:val="multilevel"/>
    <w:tmpl w:val="72A6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890D89"/>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746243"/>
    <w:multiLevelType w:val="multilevel"/>
    <w:tmpl w:val="00A6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2373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4829B7"/>
    <w:multiLevelType w:val="multilevel"/>
    <w:tmpl w:val="2858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F135C"/>
    <w:multiLevelType w:val="multilevel"/>
    <w:tmpl w:val="BAE2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06A98"/>
    <w:multiLevelType w:val="multilevel"/>
    <w:tmpl w:val="1A824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C31A16"/>
    <w:multiLevelType w:val="multilevel"/>
    <w:tmpl w:val="0240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31390"/>
    <w:multiLevelType w:val="hybridMultilevel"/>
    <w:tmpl w:val="429E3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14E43"/>
    <w:multiLevelType w:val="multilevel"/>
    <w:tmpl w:val="6E80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4"/>
  </w:num>
  <w:num w:numId="4">
    <w:abstractNumId w:val="7"/>
  </w:num>
  <w:num w:numId="5">
    <w:abstractNumId w:val="10"/>
  </w:num>
  <w:num w:numId="6">
    <w:abstractNumId w:val="8"/>
  </w:num>
  <w:num w:numId="7">
    <w:abstractNumId w:val="5"/>
  </w:num>
  <w:num w:numId="8">
    <w:abstractNumId w:val="6"/>
  </w:num>
  <w:num w:numId="9">
    <w:abstractNumId w:val="0"/>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648"/>
    <w:rsid w:val="00000BC1"/>
    <w:rsid w:val="00007073"/>
    <w:rsid w:val="00020D05"/>
    <w:rsid w:val="00032AC0"/>
    <w:rsid w:val="00037F1B"/>
    <w:rsid w:val="00052712"/>
    <w:rsid w:val="00063A89"/>
    <w:rsid w:val="00064077"/>
    <w:rsid w:val="00071232"/>
    <w:rsid w:val="000718A6"/>
    <w:rsid w:val="00092E7B"/>
    <w:rsid w:val="000E7BB4"/>
    <w:rsid w:val="000F5E14"/>
    <w:rsid w:val="001010D9"/>
    <w:rsid w:val="001415C9"/>
    <w:rsid w:val="00143A07"/>
    <w:rsid w:val="00152247"/>
    <w:rsid w:val="0016268E"/>
    <w:rsid w:val="0017141B"/>
    <w:rsid w:val="00192948"/>
    <w:rsid w:val="001A1287"/>
    <w:rsid w:val="001B00C1"/>
    <w:rsid w:val="001C1EAC"/>
    <w:rsid w:val="001C248C"/>
    <w:rsid w:val="001C7374"/>
    <w:rsid w:val="001E58D7"/>
    <w:rsid w:val="001F17E7"/>
    <w:rsid w:val="001F1AE7"/>
    <w:rsid w:val="001F2F66"/>
    <w:rsid w:val="0020575A"/>
    <w:rsid w:val="00206393"/>
    <w:rsid w:val="0020686F"/>
    <w:rsid w:val="00210965"/>
    <w:rsid w:val="0022082B"/>
    <w:rsid w:val="00221016"/>
    <w:rsid w:val="00223C1C"/>
    <w:rsid w:val="00233883"/>
    <w:rsid w:val="00243CB5"/>
    <w:rsid w:val="002611A2"/>
    <w:rsid w:val="00273F99"/>
    <w:rsid w:val="00286F77"/>
    <w:rsid w:val="002B27C6"/>
    <w:rsid w:val="002C2ECA"/>
    <w:rsid w:val="002D2A4D"/>
    <w:rsid w:val="002D3D70"/>
    <w:rsid w:val="002D43D4"/>
    <w:rsid w:val="002F0FCB"/>
    <w:rsid w:val="002F18B7"/>
    <w:rsid w:val="00311C08"/>
    <w:rsid w:val="00312BB1"/>
    <w:rsid w:val="00313C68"/>
    <w:rsid w:val="003158DF"/>
    <w:rsid w:val="00325EC4"/>
    <w:rsid w:val="003277F3"/>
    <w:rsid w:val="003312DD"/>
    <w:rsid w:val="00331E9D"/>
    <w:rsid w:val="003337BD"/>
    <w:rsid w:val="00335C49"/>
    <w:rsid w:val="00382946"/>
    <w:rsid w:val="003C1910"/>
    <w:rsid w:val="003C2FD1"/>
    <w:rsid w:val="003C7BD1"/>
    <w:rsid w:val="003D08F5"/>
    <w:rsid w:val="003D3D1B"/>
    <w:rsid w:val="003D3EAE"/>
    <w:rsid w:val="003D5E27"/>
    <w:rsid w:val="003E2FFF"/>
    <w:rsid w:val="003E3A20"/>
    <w:rsid w:val="004050DB"/>
    <w:rsid w:val="00406730"/>
    <w:rsid w:val="00412E56"/>
    <w:rsid w:val="00445276"/>
    <w:rsid w:val="0046319D"/>
    <w:rsid w:val="00473CB6"/>
    <w:rsid w:val="004922E5"/>
    <w:rsid w:val="00492D0A"/>
    <w:rsid w:val="004951C1"/>
    <w:rsid w:val="00497B56"/>
    <w:rsid w:val="004A5A40"/>
    <w:rsid w:val="004B53C5"/>
    <w:rsid w:val="004C0B75"/>
    <w:rsid w:val="004C10D7"/>
    <w:rsid w:val="004C66E8"/>
    <w:rsid w:val="004E2D03"/>
    <w:rsid w:val="004F0DE8"/>
    <w:rsid w:val="004F72E3"/>
    <w:rsid w:val="0050261E"/>
    <w:rsid w:val="00547BBC"/>
    <w:rsid w:val="00555867"/>
    <w:rsid w:val="00565AFD"/>
    <w:rsid w:val="005945F2"/>
    <w:rsid w:val="00597B90"/>
    <w:rsid w:val="005B3D16"/>
    <w:rsid w:val="005C005C"/>
    <w:rsid w:val="005C424F"/>
    <w:rsid w:val="005E5DF3"/>
    <w:rsid w:val="005E786F"/>
    <w:rsid w:val="005E7973"/>
    <w:rsid w:val="00623E5A"/>
    <w:rsid w:val="00630BD9"/>
    <w:rsid w:val="006376AA"/>
    <w:rsid w:val="00660261"/>
    <w:rsid w:val="00663648"/>
    <w:rsid w:val="006724F9"/>
    <w:rsid w:val="00676175"/>
    <w:rsid w:val="00682C16"/>
    <w:rsid w:val="00686CFC"/>
    <w:rsid w:val="00696AA9"/>
    <w:rsid w:val="006A0B6A"/>
    <w:rsid w:val="006A3A8F"/>
    <w:rsid w:val="006A7FCE"/>
    <w:rsid w:val="006B4A50"/>
    <w:rsid w:val="006B54FF"/>
    <w:rsid w:val="006D23B5"/>
    <w:rsid w:val="006E5F6A"/>
    <w:rsid w:val="006F641E"/>
    <w:rsid w:val="0070217C"/>
    <w:rsid w:val="00712779"/>
    <w:rsid w:val="00750A0C"/>
    <w:rsid w:val="00751B6A"/>
    <w:rsid w:val="00752E65"/>
    <w:rsid w:val="00753DC9"/>
    <w:rsid w:val="0075781D"/>
    <w:rsid w:val="00776EC7"/>
    <w:rsid w:val="007833EB"/>
    <w:rsid w:val="007B2E4C"/>
    <w:rsid w:val="007B5632"/>
    <w:rsid w:val="007C0F13"/>
    <w:rsid w:val="007D1405"/>
    <w:rsid w:val="007E0F6A"/>
    <w:rsid w:val="007E4968"/>
    <w:rsid w:val="008109B0"/>
    <w:rsid w:val="0081627C"/>
    <w:rsid w:val="00821B28"/>
    <w:rsid w:val="00845262"/>
    <w:rsid w:val="00847FF7"/>
    <w:rsid w:val="0085312C"/>
    <w:rsid w:val="00864FA1"/>
    <w:rsid w:val="00865E75"/>
    <w:rsid w:val="00867CD0"/>
    <w:rsid w:val="008704C6"/>
    <w:rsid w:val="00891F90"/>
    <w:rsid w:val="008A4BE2"/>
    <w:rsid w:val="008A5139"/>
    <w:rsid w:val="008A55D5"/>
    <w:rsid w:val="008A718E"/>
    <w:rsid w:val="008B7D88"/>
    <w:rsid w:val="008B7E7A"/>
    <w:rsid w:val="008C0F4A"/>
    <w:rsid w:val="008E340E"/>
    <w:rsid w:val="008F6EEC"/>
    <w:rsid w:val="0090328E"/>
    <w:rsid w:val="00937433"/>
    <w:rsid w:val="0094568C"/>
    <w:rsid w:val="0095540B"/>
    <w:rsid w:val="00957B0E"/>
    <w:rsid w:val="00961AC1"/>
    <w:rsid w:val="009855CF"/>
    <w:rsid w:val="00995617"/>
    <w:rsid w:val="009A5C8B"/>
    <w:rsid w:val="009A74ED"/>
    <w:rsid w:val="009B0AA4"/>
    <w:rsid w:val="009D5719"/>
    <w:rsid w:val="009D7B9B"/>
    <w:rsid w:val="009E6BDF"/>
    <w:rsid w:val="009F30BF"/>
    <w:rsid w:val="00A027AA"/>
    <w:rsid w:val="00A1581E"/>
    <w:rsid w:val="00A21CE0"/>
    <w:rsid w:val="00A31D77"/>
    <w:rsid w:val="00A373FD"/>
    <w:rsid w:val="00A37AD7"/>
    <w:rsid w:val="00A561FA"/>
    <w:rsid w:val="00A65E7A"/>
    <w:rsid w:val="00A7223D"/>
    <w:rsid w:val="00A96743"/>
    <w:rsid w:val="00AB5E1A"/>
    <w:rsid w:val="00AC791F"/>
    <w:rsid w:val="00AD3986"/>
    <w:rsid w:val="00AE4C1B"/>
    <w:rsid w:val="00AF7C27"/>
    <w:rsid w:val="00B342F1"/>
    <w:rsid w:val="00B46009"/>
    <w:rsid w:val="00B54679"/>
    <w:rsid w:val="00B65679"/>
    <w:rsid w:val="00B66B1D"/>
    <w:rsid w:val="00B750F2"/>
    <w:rsid w:val="00B92BE9"/>
    <w:rsid w:val="00B96611"/>
    <w:rsid w:val="00BB10FE"/>
    <w:rsid w:val="00BC4C60"/>
    <w:rsid w:val="00BD087B"/>
    <w:rsid w:val="00BD19EB"/>
    <w:rsid w:val="00BD1BF2"/>
    <w:rsid w:val="00BD7FDC"/>
    <w:rsid w:val="00BE06FF"/>
    <w:rsid w:val="00C01863"/>
    <w:rsid w:val="00C552B1"/>
    <w:rsid w:val="00C61C06"/>
    <w:rsid w:val="00CA0F5D"/>
    <w:rsid w:val="00CB1354"/>
    <w:rsid w:val="00CB154A"/>
    <w:rsid w:val="00CB300D"/>
    <w:rsid w:val="00CD68A3"/>
    <w:rsid w:val="00CE3DF9"/>
    <w:rsid w:val="00CE649C"/>
    <w:rsid w:val="00CE66D8"/>
    <w:rsid w:val="00CF02D2"/>
    <w:rsid w:val="00D07811"/>
    <w:rsid w:val="00D1328B"/>
    <w:rsid w:val="00D15C77"/>
    <w:rsid w:val="00D22C0F"/>
    <w:rsid w:val="00D66A30"/>
    <w:rsid w:val="00D77B63"/>
    <w:rsid w:val="00D969D8"/>
    <w:rsid w:val="00DD374A"/>
    <w:rsid w:val="00DE5635"/>
    <w:rsid w:val="00E140AD"/>
    <w:rsid w:val="00E1499B"/>
    <w:rsid w:val="00E36772"/>
    <w:rsid w:val="00E74DFB"/>
    <w:rsid w:val="00E81B5B"/>
    <w:rsid w:val="00E903F2"/>
    <w:rsid w:val="00E932A0"/>
    <w:rsid w:val="00EA6051"/>
    <w:rsid w:val="00EB698A"/>
    <w:rsid w:val="00EC515C"/>
    <w:rsid w:val="00ED03C9"/>
    <w:rsid w:val="00EE196F"/>
    <w:rsid w:val="00EE7343"/>
    <w:rsid w:val="00F05AF2"/>
    <w:rsid w:val="00F1261D"/>
    <w:rsid w:val="00F3276E"/>
    <w:rsid w:val="00F4008D"/>
    <w:rsid w:val="00F42EB3"/>
    <w:rsid w:val="00F438D7"/>
    <w:rsid w:val="00F47E78"/>
    <w:rsid w:val="00F5088F"/>
    <w:rsid w:val="00F50B4D"/>
    <w:rsid w:val="00F66CC6"/>
    <w:rsid w:val="00F757A9"/>
    <w:rsid w:val="00F765B4"/>
    <w:rsid w:val="00FA4D1D"/>
    <w:rsid w:val="00FD31A2"/>
    <w:rsid w:val="00FE7033"/>
    <w:rsid w:val="00FF47E4"/>
    <w:rsid w:val="00FF6D9A"/>
    <w:rsid w:val="03D36D1A"/>
    <w:rsid w:val="066E1D61"/>
    <w:rsid w:val="0B2E09FF"/>
    <w:rsid w:val="0F597677"/>
    <w:rsid w:val="13A27E68"/>
    <w:rsid w:val="1842F320"/>
    <w:rsid w:val="18BB590B"/>
    <w:rsid w:val="1A1F5934"/>
    <w:rsid w:val="1DC5E6C8"/>
    <w:rsid w:val="1DD6F9FD"/>
    <w:rsid w:val="270C44C4"/>
    <w:rsid w:val="2744A35D"/>
    <w:rsid w:val="2777989B"/>
    <w:rsid w:val="2BB7CA92"/>
    <w:rsid w:val="2C817F0C"/>
    <w:rsid w:val="2DFDA177"/>
    <w:rsid w:val="30929E4B"/>
    <w:rsid w:val="33E1B493"/>
    <w:rsid w:val="368372ED"/>
    <w:rsid w:val="3841BACA"/>
    <w:rsid w:val="3B3FE207"/>
    <w:rsid w:val="431D605B"/>
    <w:rsid w:val="437B1A16"/>
    <w:rsid w:val="459334E9"/>
    <w:rsid w:val="48C66204"/>
    <w:rsid w:val="4BF01224"/>
    <w:rsid w:val="4E4A70AE"/>
    <w:rsid w:val="51FE86DE"/>
    <w:rsid w:val="5205D5B6"/>
    <w:rsid w:val="52E4AC04"/>
    <w:rsid w:val="56521930"/>
    <w:rsid w:val="5A5A3A8E"/>
    <w:rsid w:val="5B9AA40F"/>
    <w:rsid w:val="5C0FFDCF"/>
    <w:rsid w:val="5F9370A5"/>
    <w:rsid w:val="6466F98E"/>
    <w:rsid w:val="66CC741D"/>
    <w:rsid w:val="6A04D547"/>
    <w:rsid w:val="6AAF9530"/>
    <w:rsid w:val="70577578"/>
    <w:rsid w:val="72E8424A"/>
    <w:rsid w:val="731D0A71"/>
    <w:rsid w:val="74576531"/>
    <w:rsid w:val="7829F309"/>
    <w:rsid w:val="795F6B19"/>
    <w:rsid w:val="79ECBE6E"/>
    <w:rsid w:val="7B3B79AF"/>
    <w:rsid w:val="7D8273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5DCC8"/>
  <w15:chartTrackingRefBased/>
  <w15:docId w15:val="{A3934C62-BCC9-4DED-AECA-DEE50C11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41B"/>
    <w:pPr>
      <w:spacing w:line="259"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link w:val="BodyTextChar"/>
    <w:rPr>
      <w:rFonts w:ascii="Arial" w:hAnsi="Arial" w:cs="Arial"/>
      <w:color w:val="FF0000"/>
      <w:sz w:val="20"/>
      <w:szCs w:val="20"/>
    </w:rPr>
  </w:style>
  <w:style w:type="paragraph" w:styleId="BalloonText">
    <w:name w:val="Balloon Text"/>
    <w:basedOn w:val="Normal"/>
    <w:link w:val="BalloonTextChar"/>
    <w:rsid w:val="007B5632"/>
    <w:rPr>
      <w:rFonts w:ascii="Segoe UI" w:hAnsi="Segoe UI" w:cs="Segoe UI"/>
      <w:sz w:val="18"/>
      <w:szCs w:val="18"/>
    </w:rPr>
  </w:style>
  <w:style w:type="character" w:customStyle="1" w:styleId="BalloonTextChar">
    <w:name w:val="Balloon Text Char"/>
    <w:link w:val="BalloonText"/>
    <w:rsid w:val="007B5632"/>
    <w:rPr>
      <w:rFonts w:ascii="Segoe UI" w:hAnsi="Segoe UI" w:cs="Segoe UI"/>
      <w:sz w:val="18"/>
      <w:szCs w:val="18"/>
    </w:rPr>
  </w:style>
  <w:style w:type="character" w:customStyle="1" w:styleId="BodyTextChar">
    <w:name w:val="Body Text Char"/>
    <w:link w:val="BodyText"/>
    <w:rsid w:val="002F0FCB"/>
    <w:rPr>
      <w:rFonts w:ascii="Arial" w:hAnsi="Arial" w:cs="Arial"/>
      <w:color w:val="FF0000"/>
    </w:rPr>
  </w:style>
  <w:style w:type="character" w:customStyle="1" w:styleId="markedcontent">
    <w:name w:val="markedcontent"/>
    <w:basedOn w:val="DefaultParagraphFont"/>
    <w:rsid w:val="00565AFD"/>
  </w:style>
  <w:style w:type="character" w:styleId="CommentReference">
    <w:name w:val="annotation reference"/>
    <w:rsid w:val="007E4968"/>
    <w:rPr>
      <w:sz w:val="16"/>
      <w:szCs w:val="16"/>
    </w:rPr>
  </w:style>
  <w:style w:type="paragraph" w:styleId="CommentText">
    <w:name w:val="annotation text"/>
    <w:basedOn w:val="Normal"/>
    <w:link w:val="CommentTextChar"/>
    <w:rsid w:val="007E4968"/>
    <w:rPr>
      <w:sz w:val="20"/>
      <w:szCs w:val="20"/>
    </w:rPr>
  </w:style>
  <w:style w:type="character" w:customStyle="1" w:styleId="CommentTextChar">
    <w:name w:val="Comment Text Char"/>
    <w:basedOn w:val="DefaultParagraphFont"/>
    <w:link w:val="CommentText"/>
    <w:rsid w:val="007E4968"/>
  </w:style>
  <w:style w:type="paragraph" w:styleId="CommentSubject">
    <w:name w:val="annotation subject"/>
    <w:basedOn w:val="CommentText"/>
    <w:next w:val="CommentText"/>
    <w:link w:val="CommentSubjectChar"/>
    <w:rsid w:val="007E4968"/>
    <w:rPr>
      <w:b/>
      <w:bCs/>
    </w:rPr>
  </w:style>
  <w:style w:type="character" w:customStyle="1" w:styleId="CommentSubjectChar">
    <w:name w:val="Comment Subject Char"/>
    <w:link w:val="CommentSubject"/>
    <w:rsid w:val="007E4968"/>
    <w:rPr>
      <w:b/>
      <w:bCs/>
    </w:rPr>
  </w:style>
  <w:style w:type="table" w:styleId="TableGrid">
    <w:name w:val="Table Grid"/>
    <w:basedOn w:val="TableNormal"/>
    <w:rsid w:val="00F50B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38D7"/>
    <w:rPr>
      <w:color w:val="605E5C"/>
      <w:shd w:val="clear" w:color="auto" w:fill="E1DFDD"/>
    </w:rPr>
  </w:style>
  <w:style w:type="paragraph" w:styleId="Header">
    <w:name w:val="header"/>
    <w:basedOn w:val="Normal"/>
    <w:link w:val="HeaderChar"/>
    <w:rsid w:val="00BD19EB"/>
    <w:pPr>
      <w:tabs>
        <w:tab w:val="center" w:pos="4680"/>
        <w:tab w:val="right" w:pos="9360"/>
      </w:tabs>
      <w:spacing w:line="240" w:lineRule="auto"/>
    </w:pPr>
  </w:style>
  <w:style w:type="character" w:customStyle="1" w:styleId="HeaderChar">
    <w:name w:val="Header Char"/>
    <w:basedOn w:val="DefaultParagraphFont"/>
    <w:link w:val="Header"/>
    <w:rsid w:val="00BD19EB"/>
    <w:rPr>
      <w:sz w:val="24"/>
      <w:szCs w:val="24"/>
      <w:lang w:eastAsia="en-US"/>
    </w:rPr>
  </w:style>
  <w:style w:type="paragraph" w:styleId="Footer">
    <w:name w:val="footer"/>
    <w:basedOn w:val="Normal"/>
    <w:link w:val="FooterChar"/>
    <w:uiPriority w:val="99"/>
    <w:rsid w:val="00BD19EB"/>
    <w:pPr>
      <w:tabs>
        <w:tab w:val="center" w:pos="4680"/>
        <w:tab w:val="right" w:pos="9360"/>
      </w:tabs>
      <w:spacing w:line="240" w:lineRule="auto"/>
    </w:pPr>
  </w:style>
  <w:style w:type="character" w:customStyle="1" w:styleId="FooterChar">
    <w:name w:val="Footer Char"/>
    <w:basedOn w:val="DefaultParagraphFont"/>
    <w:link w:val="Footer"/>
    <w:uiPriority w:val="99"/>
    <w:rsid w:val="00BD19E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8429">
      <w:bodyDiv w:val="1"/>
      <w:marLeft w:val="0"/>
      <w:marRight w:val="0"/>
      <w:marTop w:val="0"/>
      <w:marBottom w:val="0"/>
      <w:divBdr>
        <w:top w:val="none" w:sz="0" w:space="0" w:color="auto"/>
        <w:left w:val="none" w:sz="0" w:space="0" w:color="auto"/>
        <w:bottom w:val="none" w:sz="0" w:space="0" w:color="auto"/>
        <w:right w:val="none" w:sz="0" w:space="0" w:color="auto"/>
      </w:divBdr>
    </w:div>
    <w:div w:id="222714170">
      <w:bodyDiv w:val="1"/>
      <w:marLeft w:val="0"/>
      <w:marRight w:val="0"/>
      <w:marTop w:val="0"/>
      <w:marBottom w:val="0"/>
      <w:divBdr>
        <w:top w:val="none" w:sz="0" w:space="0" w:color="auto"/>
        <w:left w:val="none" w:sz="0" w:space="0" w:color="auto"/>
        <w:bottom w:val="none" w:sz="0" w:space="0" w:color="auto"/>
        <w:right w:val="none" w:sz="0" w:space="0" w:color="auto"/>
      </w:divBdr>
    </w:div>
    <w:div w:id="329187674">
      <w:bodyDiv w:val="1"/>
      <w:marLeft w:val="0"/>
      <w:marRight w:val="0"/>
      <w:marTop w:val="0"/>
      <w:marBottom w:val="0"/>
      <w:divBdr>
        <w:top w:val="none" w:sz="0" w:space="0" w:color="auto"/>
        <w:left w:val="none" w:sz="0" w:space="0" w:color="auto"/>
        <w:bottom w:val="none" w:sz="0" w:space="0" w:color="auto"/>
        <w:right w:val="none" w:sz="0" w:space="0" w:color="auto"/>
      </w:divBdr>
    </w:div>
    <w:div w:id="371274386">
      <w:bodyDiv w:val="1"/>
      <w:marLeft w:val="0"/>
      <w:marRight w:val="0"/>
      <w:marTop w:val="0"/>
      <w:marBottom w:val="0"/>
      <w:divBdr>
        <w:top w:val="none" w:sz="0" w:space="0" w:color="auto"/>
        <w:left w:val="none" w:sz="0" w:space="0" w:color="auto"/>
        <w:bottom w:val="none" w:sz="0" w:space="0" w:color="auto"/>
        <w:right w:val="none" w:sz="0" w:space="0" w:color="auto"/>
      </w:divBdr>
    </w:div>
    <w:div w:id="428085723">
      <w:bodyDiv w:val="1"/>
      <w:marLeft w:val="0"/>
      <w:marRight w:val="0"/>
      <w:marTop w:val="0"/>
      <w:marBottom w:val="0"/>
      <w:divBdr>
        <w:top w:val="none" w:sz="0" w:space="0" w:color="auto"/>
        <w:left w:val="none" w:sz="0" w:space="0" w:color="auto"/>
        <w:bottom w:val="none" w:sz="0" w:space="0" w:color="auto"/>
        <w:right w:val="none" w:sz="0" w:space="0" w:color="auto"/>
      </w:divBdr>
    </w:div>
    <w:div w:id="631788767">
      <w:bodyDiv w:val="1"/>
      <w:marLeft w:val="0"/>
      <w:marRight w:val="0"/>
      <w:marTop w:val="0"/>
      <w:marBottom w:val="0"/>
      <w:divBdr>
        <w:top w:val="none" w:sz="0" w:space="0" w:color="auto"/>
        <w:left w:val="none" w:sz="0" w:space="0" w:color="auto"/>
        <w:bottom w:val="none" w:sz="0" w:space="0" w:color="auto"/>
        <w:right w:val="none" w:sz="0" w:space="0" w:color="auto"/>
      </w:divBdr>
    </w:div>
    <w:div w:id="1335455380">
      <w:bodyDiv w:val="1"/>
      <w:marLeft w:val="0"/>
      <w:marRight w:val="0"/>
      <w:marTop w:val="0"/>
      <w:marBottom w:val="0"/>
      <w:divBdr>
        <w:top w:val="none" w:sz="0" w:space="0" w:color="auto"/>
        <w:left w:val="none" w:sz="0" w:space="0" w:color="auto"/>
        <w:bottom w:val="none" w:sz="0" w:space="0" w:color="auto"/>
        <w:right w:val="none" w:sz="0" w:space="0" w:color="auto"/>
      </w:divBdr>
    </w:div>
    <w:div w:id="1403680713">
      <w:bodyDiv w:val="1"/>
      <w:marLeft w:val="0"/>
      <w:marRight w:val="0"/>
      <w:marTop w:val="0"/>
      <w:marBottom w:val="0"/>
      <w:divBdr>
        <w:top w:val="none" w:sz="0" w:space="0" w:color="auto"/>
        <w:left w:val="none" w:sz="0" w:space="0" w:color="auto"/>
        <w:bottom w:val="none" w:sz="0" w:space="0" w:color="auto"/>
        <w:right w:val="none" w:sz="0" w:space="0" w:color="auto"/>
      </w:divBdr>
    </w:div>
    <w:div w:id="202729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bls.gov/soc/ho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90BCF19F544D43B377207F0C4EF35B" ma:contentTypeVersion="5" ma:contentTypeDescription="Create a new document." ma:contentTypeScope="" ma:versionID="00ce0c226869b83007c3f938cca12fed">
  <xsd:schema xmlns:xsd="http://www.w3.org/2001/XMLSchema" xmlns:xs="http://www.w3.org/2001/XMLSchema" xmlns:p="http://schemas.microsoft.com/office/2006/metadata/properties" xmlns:ns3="fdda438c-7a5c-4f9a-a768-72890f1895c0" xmlns:ns4="b7951cc6-bc06-4bf4-92c2-f62803d8846f" targetNamespace="http://schemas.microsoft.com/office/2006/metadata/properties" ma:root="true" ma:fieldsID="c4de4fb95301293085f44ececdeb8159" ns3:_="" ns4:_="">
    <xsd:import namespace="fdda438c-7a5c-4f9a-a768-72890f1895c0"/>
    <xsd:import namespace="b7951cc6-bc06-4bf4-92c2-f62803d884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a438c-7a5c-4f9a-a768-72890f1895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51cc6-bc06-4bf4-92c2-f62803d884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213810-679A-488A-B48D-E6D0612FC826}">
  <ds:schemaRefs>
    <ds:schemaRef ds:uri="http://schemas.microsoft.com/sharepoint/v3/contenttype/forms"/>
  </ds:schemaRefs>
</ds:datastoreItem>
</file>

<file path=customXml/itemProps2.xml><?xml version="1.0" encoding="utf-8"?>
<ds:datastoreItem xmlns:ds="http://schemas.openxmlformats.org/officeDocument/2006/customXml" ds:itemID="{0B15CAEE-D8E8-4917-8866-704D5D940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a438c-7a5c-4f9a-a768-72890f1895c0"/>
    <ds:schemaRef ds:uri="b7951cc6-bc06-4bf4-92c2-f62803d88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2227</Words>
  <Characters>12700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cp:lastModifiedBy>Webb, Kimberly (OST)</cp:lastModifiedBy>
  <cp:revision>2</cp:revision>
  <cp:lastPrinted>2017-05-24T02:17:00Z</cp:lastPrinted>
  <dcterms:created xsi:type="dcterms:W3CDTF">2022-06-30T19:11:00Z</dcterms:created>
  <dcterms:modified xsi:type="dcterms:W3CDTF">2022-06-30T19:11:00Z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0x010100BF90BCF19F544D43B377207F0C4EF35B</vt:lpwstr>
  </property>
</Properties>
</file>