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1CA" w:rsidRDefault="00D221CA" w14:paraId="246EEB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221CA" w:rsidRDefault="00D221CA" w14:paraId="4E3BCE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221CA" w:rsidRDefault="00D221CA" w14:paraId="675CA662" w14:textId="77777777">
      <w:pPr>
        <w:rPr>
          <w:b/>
          <w:bCs/>
          <w:color w:val="000000"/>
          <w:sz w:val="24"/>
        </w:rPr>
      </w:pPr>
      <w:r>
        <w:rPr>
          <w:b/>
          <w:bCs/>
          <w:sz w:val="24"/>
        </w:rPr>
        <w:t>A.  Justi</w:t>
      </w:r>
      <w:r>
        <w:rPr>
          <w:b/>
          <w:bCs/>
          <w:color w:val="000000"/>
          <w:sz w:val="24"/>
        </w:rPr>
        <w:t>fication</w:t>
      </w:r>
    </w:p>
    <w:p w:rsidR="00D221CA" w:rsidRDefault="00D221CA" w14:paraId="6867D963" w14:textId="77777777">
      <w:pPr>
        <w:rPr>
          <w:color w:val="000000"/>
          <w:sz w:val="24"/>
        </w:rPr>
      </w:pPr>
    </w:p>
    <w:p w:rsidR="00932CCB" w:rsidP="009E5A80" w:rsidRDefault="001A0BE1" w14:paraId="730B985B" w14:textId="77777777">
      <w:pPr>
        <w:numPr>
          <w:ilvl w:val="0"/>
          <w:numId w:val="33"/>
        </w:numPr>
        <w:rPr>
          <w:sz w:val="24"/>
          <w:szCs w:val="24"/>
        </w:rPr>
      </w:pPr>
      <w:r w:rsidRPr="001A0BE1">
        <w:rPr>
          <w:sz w:val="24"/>
          <w:szCs w:val="24"/>
        </w:rPr>
        <w:t xml:space="preserve">HUD will require Public Housing Authorities (PHAs) </w:t>
      </w:r>
      <w:r w:rsidR="00703659">
        <w:rPr>
          <w:sz w:val="24"/>
          <w:szCs w:val="24"/>
        </w:rPr>
        <w:t xml:space="preserve">to </w:t>
      </w:r>
      <w:r w:rsidRPr="00703659" w:rsidR="00703659">
        <w:rPr>
          <w:sz w:val="24"/>
          <w:szCs w:val="24"/>
        </w:rPr>
        <w:t xml:space="preserve">submit </w:t>
      </w:r>
      <w:r w:rsidR="00687362">
        <w:rPr>
          <w:sz w:val="24"/>
          <w:szCs w:val="24"/>
        </w:rPr>
        <w:t>the</w:t>
      </w:r>
      <w:r w:rsidR="001A1BF7">
        <w:rPr>
          <w:sz w:val="24"/>
          <w:szCs w:val="24"/>
        </w:rPr>
        <w:t xml:space="preserve"> </w:t>
      </w:r>
      <w:r w:rsidRPr="00703659" w:rsidR="00703659">
        <w:rPr>
          <w:sz w:val="24"/>
          <w:szCs w:val="24"/>
        </w:rPr>
        <w:t>SF-425</w:t>
      </w:r>
      <w:r w:rsidR="00687362">
        <w:rPr>
          <w:sz w:val="24"/>
          <w:szCs w:val="24"/>
        </w:rPr>
        <w:t xml:space="preserve"> and the Public Housing Grants Support for Payment Vouchers</w:t>
      </w:r>
      <w:r w:rsidRPr="00703659" w:rsidR="00703659">
        <w:rPr>
          <w:sz w:val="24"/>
          <w:szCs w:val="24"/>
        </w:rPr>
        <w:t xml:space="preserve"> </w:t>
      </w:r>
      <w:r w:rsidR="0085032D">
        <w:rPr>
          <w:sz w:val="24"/>
          <w:szCs w:val="24"/>
        </w:rPr>
        <w:t xml:space="preserve">form </w:t>
      </w:r>
      <w:r w:rsidRPr="00703659" w:rsidR="00703659">
        <w:rPr>
          <w:sz w:val="24"/>
          <w:szCs w:val="24"/>
        </w:rPr>
        <w:t xml:space="preserve">for </w:t>
      </w:r>
      <w:r w:rsidR="00997A18">
        <w:rPr>
          <w:sz w:val="24"/>
          <w:szCs w:val="24"/>
        </w:rPr>
        <w:t>certain</w:t>
      </w:r>
      <w:r w:rsidRPr="00703659" w:rsidR="00703659">
        <w:rPr>
          <w:sz w:val="24"/>
          <w:szCs w:val="24"/>
        </w:rPr>
        <w:t xml:space="preserve"> </w:t>
      </w:r>
      <w:r w:rsidR="00DC19D0">
        <w:rPr>
          <w:sz w:val="24"/>
          <w:szCs w:val="24"/>
        </w:rPr>
        <w:t xml:space="preserve">Operating Fund Grants, </w:t>
      </w:r>
      <w:r w:rsidR="001A1BF7">
        <w:rPr>
          <w:sz w:val="24"/>
          <w:szCs w:val="24"/>
        </w:rPr>
        <w:t>Public Housing Grants</w:t>
      </w:r>
      <w:r w:rsidR="00DC19D0">
        <w:rPr>
          <w:sz w:val="24"/>
          <w:szCs w:val="24"/>
        </w:rPr>
        <w:t xml:space="preserve">, </w:t>
      </w:r>
      <w:r w:rsidRPr="00941531" w:rsidR="00DC19D0">
        <w:rPr>
          <w:sz w:val="24"/>
          <w:szCs w:val="24"/>
        </w:rPr>
        <w:t xml:space="preserve">or </w:t>
      </w:r>
      <w:r w:rsidRPr="00941531" w:rsidR="00997A18">
        <w:rPr>
          <w:sz w:val="24"/>
          <w:szCs w:val="24"/>
        </w:rPr>
        <w:t>supplemental grant</w:t>
      </w:r>
      <w:r w:rsidRPr="00941531" w:rsidR="001A1BF7">
        <w:rPr>
          <w:sz w:val="24"/>
          <w:szCs w:val="24"/>
        </w:rPr>
        <w:t>s</w:t>
      </w:r>
      <w:r w:rsidRPr="00941531" w:rsidR="00703659">
        <w:rPr>
          <w:sz w:val="24"/>
          <w:szCs w:val="24"/>
        </w:rPr>
        <w:t xml:space="preserve"> provided to PHAs </w:t>
      </w:r>
      <w:r w:rsidRPr="00941531" w:rsidR="001A1BF7">
        <w:rPr>
          <w:sz w:val="24"/>
          <w:szCs w:val="24"/>
        </w:rPr>
        <w:t xml:space="preserve">support their operation and maintenance of public housing developments or respond to </w:t>
      </w:r>
      <w:r w:rsidRPr="00941531" w:rsidR="00407200">
        <w:rPr>
          <w:sz w:val="24"/>
          <w:szCs w:val="24"/>
        </w:rPr>
        <w:t xml:space="preserve">federal emergencies, natural disasters, </w:t>
      </w:r>
      <w:r w:rsidRPr="00941531" w:rsidR="007B7261">
        <w:rPr>
          <w:sz w:val="24"/>
          <w:szCs w:val="24"/>
        </w:rPr>
        <w:t>and</w:t>
      </w:r>
      <w:r w:rsidRPr="00941531" w:rsidR="00687362">
        <w:rPr>
          <w:sz w:val="24"/>
          <w:szCs w:val="24"/>
        </w:rPr>
        <w:t xml:space="preserve"> national emergencies. </w:t>
      </w:r>
      <w:r w:rsidRPr="00941531" w:rsidR="00C01986">
        <w:rPr>
          <w:sz w:val="24"/>
          <w:szCs w:val="24"/>
        </w:rPr>
        <w:t xml:space="preserve">Currently, </w:t>
      </w:r>
      <w:r w:rsidR="00941531">
        <w:rPr>
          <w:sz w:val="24"/>
          <w:szCs w:val="24"/>
        </w:rPr>
        <w:t>these funds</w:t>
      </w:r>
      <w:r w:rsidRPr="00941531" w:rsidR="00C01986">
        <w:rPr>
          <w:sz w:val="24"/>
          <w:szCs w:val="24"/>
        </w:rPr>
        <w:t xml:space="preserve"> include </w:t>
      </w:r>
      <w:r w:rsidRPr="00941531" w:rsidR="00941531">
        <w:rPr>
          <w:sz w:val="24"/>
          <w:szCs w:val="24"/>
        </w:rPr>
        <w:t>Coronavirus Aid, Relief, and Economic Security Act (CARES Act) supplementary Operating Fund Grants and future grants</w:t>
      </w:r>
      <w:r w:rsidR="00941531">
        <w:rPr>
          <w:sz w:val="24"/>
          <w:szCs w:val="24"/>
        </w:rPr>
        <w:t xml:space="preserve"> not yet known grants.</w:t>
      </w:r>
      <w:r w:rsidRPr="00941531" w:rsidR="00941531">
        <w:rPr>
          <w:sz w:val="24"/>
          <w:szCs w:val="24"/>
        </w:rPr>
        <w:t xml:space="preserve"> </w:t>
      </w:r>
      <w:r w:rsidRPr="00941531" w:rsidR="0082530A">
        <w:rPr>
          <w:sz w:val="24"/>
          <w:szCs w:val="24"/>
        </w:rPr>
        <w:t xml:space="preserve">HUD further requires PHAs </w:t>
      </w:r>
      <w:r w:rsidRPr="00941531" w:rsidR="00A948C8">
        <w:rPr>
          <w:sz w:val="24"/>
          <w:szCs w:val="24"/>
        </w:rPr>
        <w:t xml:space="preserve">that </w:t>
      </w:r>
      <w:r w:rsidRPr="00941531" w:rsidR="0082530A">
        <w:rPr>
          <w:sz w:val="24"/>
          <w:szCs w:val="24"/>
        </w:rPr>
        <w:t>receive shortfall Operating Fund grants to submit the SF-425 annually, and PHAs that exit the public housing program to submit the SF-425</w:t>
      </w:r>
      <w:r w:rsidRPr="00941531" w:rsidR="00A948C8">
        <w:rPr>
          <w:sz w:val="24"/>
          <w:szCs w:val="24"/>
        </w:rPr>
        <w:t xml:space="preserve"> until the PHA expends all their Operating Fund grants</w:t>
      </w:r>
      <w:r w:rsidRPr="00941531" w:rsidR="0082530A">
        <w:rPr>
          <w:sz w:val="24"/>
          <w:szCs w:val="24"/>
        </w:rPr>
        <w:t xml:space="preserve">. </w:t>
      </w:r>
      <w:r w:rsidRPr="00941531" w:rsidR="00687362">
        <w:rPr>
          <w:sz w:val="24"/>
          <w:szCs w:val="24"/>
        </w:rPr>
        <w:t>HUD request</w:t>
      </w:r>
      <w:r w:rsidRPr="00941531" w:rsidR="00BB34D8">
        <w:rPr>
          <w:sz w:val="24"/>
          <w:szCs w:val="24"/>
        </w:rPr>
        <w:t>s</w:t>
      </w:r>
      <w:r w:rsidRPr="00941531" w:rsidR="00687362">
        <w:rPr>
          <w:sz w:val="24"/>
          <w:szCs w:val="24"/>
        </w:rPr>
        <w:t xml:space="preserve"> PHAs to complete these forms to </w:t>
      </w:r>
      <w:r w:rsidRPr="00941531" w:rsidR="00025E87">
        <w:rPr>
          <w:sz w:val="24"/>
          <w:szCs w:val="24"/>
        </w:rPr>
        <w:t xml:space="preserve">report </w:t>
      </w:r>
      <w:r w:rsidRPr="00941531" w:rsidR="004A6349">
        <w:rPr>
          <w:sz w:val="24"/>
          <w:szCs w:val="24"/>
        </w:rPr>
        <w:t>that</w:t>
      </w:r>
      <w:r w:rsidRPr="00941531" w:rsidR="009E5A80">
        <w:rPr>
          <w:sz w:val="24"/>
          <w:szCs w:val="24"/>
        </w:rPr>
        <w:t xml:space="preserve"> </w:t>
      </w:r>
      <w:r w:rsidRPr="00941531" w:rsidR="004A6349">
        <w:rPr>
          <w:sz w:val="24"/>
          <w:szCs w:val="24"/>
        </w:rPr>
        <w:t>PHAs</w:t>
      </w:r>
      <w:r w:rsidRPr="00941531" w:rsidR="00025E87">
        <w:rPr>
          <w:sz w:val="24"/>
          <w:szCs w:val="24"/>
        </w:rPr>
        <w:t xml:space="preserve"> </w:t>
      </w:r>
      <w:r w:rsidRPr="00941531" w:rsidR="004A6349">
        <w:rPr>
          <w:sz w:val="24"/>
          <w:szCs w:val="24"/>
        </w:rPr>
        <w:t>obligated and expended</w:t>
      </w:r>
      <w:r w:rsidRPr="00941531" w:rsidR="00687362">
        <w:rPr>
          <w:sz w:val="24"/>
          <w:szCs w:val="24"/>
        </w:rPr>
        <w:t xml:space="preserve"> </w:t>
      </w:r>
      <w:r w:rsidRPr="00941531" w:rsidR="004A6349">
        <w:rPr>
          <w:sz w:val="24"/>
          <w:szCs w:val="24"/>
        </w:rPr>
        <w:t xml:space="preserve">public housing grants </w:t>
      </w:r>
      <w:r w:rsidRPr="00941531" w:rsidR="00BB34D8">
        <w:rPr>
          <w:sz w:val="24"/>
          <w:szCs w:val="24"/>
        </w:rPr>
        <w:t>within the period of performance</w:t>
      </w:r>
      <w:r w:rsidRPr="00941531" w:rsidR="0085032D">
        <w:rPr>
          <w:sz w:val="24"/>
          <w:szCs w:val="24"/>
        </w:rPr>
        <w:t xml:space="preserve"> </w:t>
      </w:r>
      <w:r w:rsidRPr="00941531" w:rsidR="009E5A80">
        <w:rPr>
          <w:sz w:val="24"/>
          <w:szCs w:val="24"/>
        </w:rPr>
        <w:t xml:space="preserve">and that PHAs used the funds on eligible uses as </w:t>
      </w:r>
      <w:r w:rsidRPr="00941531" w:rsidR="00BB34D8">
        <w:rPr>
          <w:sz w:val="24"/>
          <w:szCs w:val="24"/>
        </w:rPr>
        <w:t xml:space="preserve">directed by HUD through regulations, guidance, and PIH Notices. </w:t>
      </w:r>
      <w:r w:rsidRPr="00941531" w:rsidR="009E5A80">
        <w:rPr>
          <w:sz w:val="24"/>
          <w:szCs w:val="24"/>
        </w:rPr>
        <w:t xml:space="preserve">The </w:t>
      </w:r>
      <w:r w:rsidRPr="00941531" w:rsidR="0085032D">
        <w:rPr>
          <w:sz w:val="24"/>
          <w:szCs w:val="24"/>
        </w:rPr>
        <w:t>information collected in the form</w:t>
      </w:r>
      <w:r w:rsidR="0085032D">
        <w:rPr>
          <w:sz w:val="24"/>
          <w:szCs w:val="24"/>
        </w:rPr>
        <w:t xml:space="preserve"> cover gaps that </w:t>
      </w:r>
      <w:r w:rsidRPr="00703659" w:rsidR="009E5A80">
        <w:rPr>
          <w:sz w:val="24"/>
          <w:szCs w:val="24"/>
        </w:rPr>
        <w:t xml:space="preserve">HUD’s </w:t>
      </w:r>
      <w:r w:rsidR="009E5A80">
        <w:rPr>
          <w:sz w:val="24"/>
          <w:szCs w:val="24"/>
        </w:rPr>
        <w:t xml:space="preserve">financial system of record the </w:t>
      </w:r>
      <w:r w:rsidRPr="00703659" w:rsidR="009E5A80">
        <w:rPr>
          <w:sz w:val="24"/>
          <w:szCs w:val="24"/>
        </w:rPr>
        <w:t>Line of Credit Control System (</w:t>
      </w:r>
      <w:proofErr w:type="spellStart"/>
      <w:r w:rsidR="009E5A80">
        <w:rPr>
          <w:sz w:val="24"/>
          <w:szCs w:val="24"/>
        </w:rPr>
        <w:t>e</w:t>
      </w:r>
      <w:r w:rsidRPr="00703659" w:rsidR="009E5A80">
        <w:rPr>
          <w:sz w:val="24"/>
          <w:szCs w:val="24"/>
        </w:rPr>
        <w:t>LOCCS</w:t>
      </w:r>
      <w:proofErr w:type="spellEnd"/>
      <w:r w:rsidRPr="00703659" w:rsidR="009E5A80">
        <w:rPr>
          <w:sz w:val="24"/>
          <w:szCs w:val="24"/>
        </w:rPr>
        <w:t>)</w:t>
      </w:r>
      <w:r w:rsidR="0085032D">
        <w:rPr>
          <w:sz w:val="24"/>
          <w:szCs w:val="24"/>
        </w:rPr>
        <w:t xml:space="preserve"> do not include. These gaps include the PHA’s description</w:t>
      </w:r>
      <w:r w:rsidR="00AC7F37">
        <w:rPr>
          <w:sz w:val="24"/>
          <w:szCs w:val="24"/>
        </w:rPr>
        <w:t xml:space="preserve"> </w:t>
      </w:r>
      <w:r w:rsidR="0085032D">
        <w:rPr>
          <w:sz w:val="24"/>
          <w:szCs w:val="24"/>
        </w:rPr>
        <w:t xml:space="preserve">for use of funds and, </w:t>
      </w:r>
      <w:r w:rsidR="00AC7F37">
        <w:rPr>
          <w:sz w:val="24"/>
          <w:szCs w:val="24"/>
        </w:rPr>
        <w:t xml:space="preserve">the PHA’s </w:t>
      </w:r>
      <w:r w:rsidR="0085032D">
        <w:rPr>
          <w:sz w:val="24"/>
          <w:szCs w:val="24"/>
        </w:rPr>
        <w:t>cash on hand and unliquidated obligation</w:t>
      </w:r>
      <w:r w:rsidR="00AC7F37">
        <w:rPr>
          <w:sz w:val="24"/>
          <w:szCs w:val="24"/>
        </w:rPr>
        <w:t>s for the grant</w:t>
      </w:r>
      <w:r w:rsidR="009E5A80">
        <w:rPr>
          <w:sz w:val="24"/>
          <w:szCs w:val="24"/>
        </w:rPr>
        <w:t xml:space="preserve">. PHAs can include supporting documentation to </w:t>
      </w:r>
      <w:r w:rsidR="00AC7F37">
        <w:rPr>
          <w:sz w:val="24"/>
          <w:szCs w:val="24"/>
        </w:rPr>
        <w:t>demonstrate</w:t>
      </w:r>
      <w:r w:rsidR="009E5A80">
        <w:rPr>
          <w:sz w:val="24"/>
          <w:szCs w:val="24"/>
        </w:rPr>
        <w:t xml:space="preserve"> that the funds were applied to eligible uses</w:t>
      </w:r>
      <w:r w:rsidRPr="00AC7F37" w:rsidR="00AC7F37">
        <w:rPr>
          <w:sz w:val="24"/>
          <w:szCs w:val="24"/>
        </w:rPr>
        <w:t xml:space="preserve"> </w:t>
      </w:r>
      <w:r w:rsidR="00AC7F37">
        <w:rPr>
          <w:sz w:val="24"/>
          <w:szCs w:val="24"/>
        </w:rPr>
        <w:t>and</w:t>
      </w:r>
      <w:r w:rsidRPr="00AC7F37" w:rsidR="00AC7F37">
        <w:rPr>
          <w:sz w:val="24"/>
          <w:szCs w:val="24"/>
        </w:rPr>
        <w:t xml:space="preserve"> </w:t>
      </w:r>
      <w:r w:rsidR="00AC7F37">
        <w:rPr>
          <w:sz w:val="24"/>
          <w:szCs w:val="24"/>
        </w:rPr>
        <w:t>obligated within the period of performance</w:t>
      </w:r>
      <w:r w:rsidR="009E5A80">
        <w:rPr>
          <w:sz w:val="24"/>
          <w:szCs w:val="24"/>
        </w:rPr>
        <w:t xml:space="preserve">. </w:t>
      </w:r>
    </w:p>
    <w:p w:rsidR="00932CCB" w:rsidP="00E0379A" w:rsidRDefault="00932CCB" w14:paraId="1EE0E2C2" w14:textId="77777777">
      <w:pPr>
        <w:ind w:left="720"/>
        <w:rPr>
          <w:sz w:val="24"/>
          <w:szCs w:val="24"/>
        </w:rPr>
      </w:pPr>
    </w:p>
    <w:p w:rsidR="00265155" w:rsidP="00265155" w:rsidRDefault="00932CCB" w14:paraId="3467DE28" w14:textId="77777777">
      <w:pPr>
        <w:ind w:left="720"/>
        <w:rPr>
          <w:sz w:val="24"/>
          <w:szCs w:val="24"/>
        </w:rPr>
      </w:pPr>
      <w:r>
        <w:rPr>
          <w:sz w:val="24"/>
          <w:szCs w:val="24"/>
        </w:rPr>
        <w:t xml:space="preserve">The Public Housing Grants Support for Payment Vouchers </w:t>
      </w:r>
      <w:r w:rsidR="00E50A45">
        <w:rPr>
          <w:sz w:val="24"/>
          <w:szCs w:val="24"/>
        </w:rPr>
        <w:t>supports</w:t>
      </w:r>
      <w:r>
        <w:rPr>
          <w:sz w:val="24"/>
          <w:szCs w:val="24"/>
        </w:rPr>
        <w:t xml:space="preserve"> the PHA’s </w:t>
      </w:r>
      <w:proofErr w:type="spellStart"/>
      <w:r>
        <w:rPr>
          <w:sz w:val="24"/>
          <w:szCs w:val="24"/>
        </w:rPr>
        <w:t>eLOCCS</w:t>
      </w:r>
      <w:proofErr w:type="spellEnd"/>
      <w:r>
        <w:rPr>
          <w:sz w:val="24"/>
          <w:szCs w:val="24"/>
        </w:rPr>
        <w:t xml:space="preserve"> voucher</w:t>
      </w:r>
      <w:r w:rsidR="00B94851">
        <w:rPr>
          <w:sz w:val="24"/>
          <w:szCs w:val="24"/>
        </w:rPr>
        <w:t>. In the form, the</w:t>
      </w:r>
      <w:r>
        <w:rPr>
          <w:sz w:val="24"/>
          <w:szCs w:val="24"/>
        </w:rPr>
        <w:t xml:space="preserve"> PHA describes the purpose of the </w:t>
      </w:r>
      <w:r w:rsidRPr="001A0BE1">
        <w:rPr>
          <w:sz w:val="24"/>
          <w:szCs w:val="24"/>
        </w:rPr>
        <w:t>expenditure</w:t>
      </w:r>
      <w:r>
        <w:rPr>
          <w:sz w:val="24"/>
          <w:szCs w:val="24"/>
        </w:rPr>
        <w:t xml:space="preserve"> and</w:t>
      </w:r>
      <w:r w:rsidRPr="001A0BE1" w:rsidR="00635A96">
        <w:rPr>
          <w:sz w:val="24"/>
          <w:szCs w:val="24"/>
        </w:rPr>
        <w:t xml:space="preserve"> </w:t>
      </w:r>
      <w:r w:rsidR="00B94851">
        <w:rPr>
          <w:sz w:val="24"/>
          <w:szCs w:val="24"/>
        </w:rPr>
        <w:t>certifies</w:t>
      </w:r>
      <w:r w:rsidRPr="001A0BE1" w:rsidR="00635A96">
        <w:rPr>
          <w:sz w:val="24"/>
          <w:szCs w:val="24"/>
        </w:rPr>
        <w:t xml:space="preserve"> the expense incurred </w:t>
      </w:r>
      <w:r>
        <w:rPr>
          <w:sz w:val="24"/>
          <w:szCs w:val="24"/>
        </w:rPr>
        <w:t>in the grant’s period of performance</w:t>
      </w:r>
      <w:r w:rsidR="00E50A45">
        <w:rPr>
          <w:sz w:val="24"/>
          <w:szCs w:val="24"/>
        </w:rPr>
        <w:t xml:space="preserve"> and the funds requested are required for immediate cash needs</w:t>
      </w:r>
      <w:r>
        <w:rPr>
          <w:sz w:val="24"/>
          <w:szCs w:val="24"/>
        </w:rPr>
        <w:t xml:space="preserve">. </w:t>
      </w:r>
      <w:r w:rsidRPr="00932CCB" w:rsidR="00635A96">
        <w:rPr>
          <w:sz w:val="24"/>
          <w:szCs w:val="24"/>
        </w:rPr>
        <w:t xml:space="preserve">HUD </w:t>
      </w:r>
      <w:r w:rsidR="00B94851">
        <w:rPr>
          <w:sz w:val="24"/>
          <w:szCs w:val="24"/>
        </w:rPr>
        <w:t>reviews</w:t>
      </w:r>
      <w:r w:rsidRPr="00932CCB" w:rsidR="00635A96">
        <w:rPr>
          <w:sz w:val="24"/>
          <w:szCs w:val="24"/>
        </w:rPr>
        <w:t xml:space="preserve"> forms </w:t>
      </w:r>
      <w:r w:rsidR="00B94851">
        <w:rPr>
          <w:sz w:val="24"/>
          <w:szCs w:val="24"/>
        </w:rPr>
        <w:t>before</w:t>
      </w:r>
      <w:r w:rsidRPr="00932CCB" w:rsidR="00635A96">
        <w:rPr>
          <w:sz w:val="24"/>
          <w:szCs w:val="24"/>
        </w:rPr>
        <w:t xml:space="preserve"> </w:t>
      </w:r>
      <w:r w:rsidR="00B94851">
        <w:rPr>
          <w:sz w:val="24"/>
          <w:szCs w:val="24"/>
        </w:rPr>
        <w:t>approving</w:t>
      </w:r>
      <w:r w:rsidRPr="00932CCB" w:rsidR="00635A96">
        <w:rPr>
          <w:sz w:val="24"/>
          <w:szCs w:val="24"/>
        </w:rPr>
        <w:t xml:space="preserve"> the PHA’s</w:t>
      </w:r>
      <w:r w:rsidR="00B94851">
        <w:rPr>
          <w:sz w:val="24"/>
          <w:szCs w:val="24"/>
        </w:rPr>
        <w:t xml:space="preserve"> voucher in </w:t>
      </w:r>
      <w:proofErr w:type="spellStart"/>
      <w:r w:rsidRPr="00932CCB" w:rsidR="00635A96">
        <w:rPr>
          <w:sz w:val="24"/>
          <w:szCs w:val="24"/>
        </w:rPr>
        <w:t>eLOCCS</w:t>
      </w:r>
      <w:proofErr w:type="spellEnd"/>
      <w:r>
        <w:rPr>
          <w:sz w:val="24"/>
          <w:szCs w:val="24"/>
        </w:rPr>
        <w:t xml:space="preserve">. </w:t>
      </w:r>
      <w:r w:rsidR="00B94851">
        <w:rPr>
          <w:sz w:val="24"/>
          <w:szCs w:val="24"/>
        </w:rPr>
        <w:t xml:space="preserve">The form is HUDs audit trail that the PHA’s drawdown of grant funds are used for their grants directed purpose. </w:t>
      </w:r>
    </w:p>
    <w:p w:rsidR="00265155" w:rsidP="00265155" w:rsidRDefault="00265155" w14:paraId="0FC2686B" w14:textId="77777777">
      <w:pPr>
        <w:ind w:left="720"/>
        <w:rPr>
          <w:sz w:val="24"/>
          <w:szCs w:val="24"/>
        </w:rPr>
      </w:pPr>
    </w:p>
    <w:p w:rsidR="00265155" w:rsidP="00265155" w:rsidRDefault="00265155" w14:paraId="302C9A14" w14:textId="77777777">
      <w:pPr>
        <w:ind w:left="720"/>
        <w:rPr>
          <w:sz w:val="24"/>
          <w:szCs w:val="24"/>
        </w:rPr>
      </w:pPr>
      <w:r>
        <w:rPr>
          <w:color w:val="000000"/>
          <w:sz w:val="24"/>
        </w:rPr>
        <w:t xml:space="preserve">The SF-425 requires the PHA to report grant receipts, disbursements, cash on hand, any unliquidated </w:t>
      </w:r>
      <w:proofErr w:type="gramStart"/>
      <w:r>
        <w:rPr>
          <w:color w:val="000000"/>
          <w:sz w:val="24"/>
        </w:rPr>
        <w:t>obligations</w:t>
      </w:r>
      <w:proofErr w:type="gramEnd"/>
      <w:r>
        <w:rPr>
          <w:color w:val="000000"/>
          <w:sz w:val="24"/>
        </w:rPr>
        <w:t xml:space="preserve"> and unobligated funds. HUD uses this information to determine if the </w:t>
      </w:r>
      <w:r w:rsidR="00A36A34">
        <w:rPr>
          <w:color w:val="000000"/>
          <w:sz w:val="24"/>
        </w:rPr>
        <w:t>PHA</w:t>
      </w:r>
      <w:r>
        <w:rPr>
          <w:color w:val="000000"/>
          <w:sz w:val="24"/>
        </w:rPr>
        <w:t xml:space="preserve"> </w:t>
      </w:r>
      <w:r w:rsidR="00A36A34">
        <w:rPr>
          <w:color w:val="000000"/>
          <w:sz w:val="24"/>
        </w:rPr>
        <w:t xml:space="preserve">must return </w:t>
      </w:r>
      <w:r>
        <w:rPr>
          <w:color w:val="000000"/>
          <w:sz w:val="24"/>
        </w:rPr>
        <w:t>cash on hand</w:t>
      </w:r>
      <w:r w:rsidR="00A36A34">
        <w:rPr>
          <w:color w:val="000000"/>
          <w:sz w:val="24"/>
        </w:rPr>
        <w:t xml:space="preserve"> back to the grant in </w:t>
      </w:r>
      <w:proofErr w:type="spellStart"/>
      <w:r w:rsidR="00A36A34">
        <w:rPr>
          <w:color w:val="000000"/>
          <w:sz w:val="24"/>
        </w:rPr>
        <w:t>eLOCCS</w:t>
      </w:r>
      <w:proofErr w:type="spellEnd"/>
      <w:r>
        <w:rPr>
          <w:color w:val="000000"/>
          <w:sz w:val="24"/>
        </w:rPr>
        <w:t>,</w:t>
      </w:r>
      <w:r w:rsidRPr="007F0A1F">
        <w:rPr>
          <w:color w:val="000000"/>
          <w:sz w:val="24"/>
        </w:rPr>
        <w:t xml:space="preserve"> </w:t>
      </w:r>
      <w:r>
        <w:rPr>
          <w:color w:val="000000"/>
          <w:sz w:val="24"/>
        </w:rPr>
        <w:t xml:space="preserve">as directed by the cash management requirements </w:t>
      </w:r>
      <w:r w:rsidR="002937CC">
        <w:rPr>
          <w:color w:val="000000"/>
          <w:sz w:val="24"/>
        </w:rPr>
        <w:t>pursuant</w:t>
      </w:r>
      <w:r>
        <w:rPr>
          <w:color w:val="000000"/>
          <w:sz w:val="24"/>
        </w:rPr>
        <w:t xml:space="preserve"> 2 CFR Part 200</w:t>
      </w:r>
      <w:r w:rsidR="00A36A34">
        <w:rPr>
          <w:color w:val="000000"/>
          <w:sz w:val="24"/>
        </w:rPr>
        <w:t xml:space="preserve">. HUD uses this information to track the PHA’s obligation and expenditure of grant </w:t>
      </w:r>
      <w:proofErr w:type="gramStart"/>
      <w:r w:rsidR="00A36A34">
        <w:rPr>
          <w:color w:val="000000"/>
          <w:sz w:val="24"/>
        </w:rPr>
        <w:t>funds, and</w:t>
      </w:r>
      <w:proofErr w:type="gramEnd"/>
      <w:r w:rsidR="00A36A34">
        <w:rPr>
          <w:color w:val="000000"/>
          <w:sz w:val="24"/>
        </w:rPr>
        <w:t xml:space="preserve"> recapture any funds unobligated after the grant’s period of performance and any unexpended funds after the grant’s end date. </w:t>
      </w:r>
    </w:p>
    <w:p w:rsidRPr="00E0379A" w:rsidR="00F15617" w:rsidP="00E0379A" w:rsidRDefault="00F15617" w14:paraId="3A1FB680" w14:textId="77777777">
      <w:pPr>
        <w:ind w:left="720"/>
        <w:rPr>
          <w:sz w:val="24"/>
          <w:szCs w:val="24"/>
        </w:rPr>
      </w:pPr>
    </w:p>
    <w:p w:rsidRPr="00265155" w:rsidR="00265155" w:rsidP="00265155" w:rsidRDefault="00265155" w14:paraId="6DA9200B" w14:textId="77777777">
      <w:pPr>
        <w:numPr>
          <w:ilvl w:val="0"/>
          <w:numId w:val="33"/>
        </w:numPr>
        <w:rPr>
          <w:sz w:val="24"/>
          <w:szCs w:val="24"/>
        </w:rPr>
      </w:pPr>
      <w:r w:rsidRPr="00265155">
        <w:rPr>
          <w:color w:val="000000"/>
          <w:sz w:val="24"/>
        </w:rPr>
        <w:t xml:space="preserve">HUD requests PHAs to provide support to HUD to approve the PHA’s vouchers in </w:t>
      </w:r>
      <w:proofErr w:type="spellStart"/>
      <w:r w:rsidRPr="00265155">
        <w:rPr>
          <w:color w:val="000000"/>
          <w:sz w:val="24"/>
        </w:rPr>
        <w:t>eLOCCS</w:t>
      </w:r>
      <w:proofErr w:type="spellEnd"/>
      <w:r w:rsidRPr="00265155">
        <w:rPr>
          <w:color w:val="000000"/>
          <w:sz w:val="24"/>
        </w:rPr>
        <w:t xml:space="preserve"> for certain Operating Fund and Public Housing Grants. PHAs provide this support through web-based forms called the Public Housing Grants Support for Payment Vouchers form. The form requires PHAs describe how the funds are applied for eligible uses and obligated for expenses incurred during the grant’s period of performance. HUD approves vouchers for eligible use and obligated according to the requirements and guidance HUD sets for the grant. HUD requests the PHA’s to complete SF-425 for certain Operating Fund and Public Housing Grants to report to HUD how much unliquidated obligations and unobligated grant funds remain after the period of performance and confirm the PHA has no cash on hand that violates cash management regulations directed by 2 CFR Part 200. PHAs complete the SF-425 by a web-based form. PHAs continue to submit both forms until all grant funds are obligated</w:t>
      </w:r>
    </w:p>
    <w:p w:rsidR="00D221CA" w:rsidRDefault="00D221CA" w14:paraId="0C3F3425" w14:textId="77777777">
      <w:pPr>
        <w:rPr>
          <w:sz w:val="24"/>
        </w:rPr>
      </w:pPr>
    </w:p>
    <w:p w:rsidR="00F15617" w:rsidP="001A0BE1" w:rsidRDefault="00A35A5B" w14:paraId="6FC02384" w14:textId="4E0B7186">
      <w:pPr>
        <w:pStyle w:val="BodyTextIndent2"/>
        <w:numPr>
          <w:ilvl w:val="0"/>
          <w:numId w:val="33"/>
        </w:numPr>
      </w:pPr>
      <w:r>
        <w:t xml:space="preserve">PHAs use </w:t>
      </w:r>
      <w:r w:rsidR="008B62F7">
        <w:t>web-based</w:t>
      </w:r>
      <w:r w:rsidR="003375F5">
        <w:t xml:space="preserve"> </w:t>
      </w:r>
      <w:r w:rsidR="002C2166">
        <w:t>form</w:t>
      </w:r>
      <w:r>
        <w:t xml:space="preserve"> in the Operating Fund Web Portal to submit data</w:t>
      </w:r>
      <w:r w:rsidR="00222055">
        <w:t xml:space="preserve">. The forms </w:t>
      </w:r>
      <w:r>
        <w:t>are</w:t>
      </w:r>
      <w:r w:rsidR="00222055">
        <w:t xml:space="preserve"> prepopulate</w:t>
      </w:r>
      <w:r>
        <w:t>d</w:t>
      </w:r>
      <w:r w:rsidR="00222055">
        <w:t xml:space="preserve"> </w:t>
      </w:r>
      <w:r>
        <w:t>with</w:t>
      </w:r>
      <w:r w:rsidR="00222055">
        <w:t xml:space="preserve"> much data as possible to assist the PHA complete the from quickly and without errors.</w:t>
      </w:r>
      <w:r w:rsidR="00B83FC6">
        <w:t xml:space="preserve"> PHAs</w:t>
      </w:r>
      <w:r>
        <w:t xml:space="preserve"> </w:t>
      </w:r>
      <w:r w:rsidR="00B83FC6">
        <w:t xml:space="preserve">certify the information in the form </w:t>
      </w:r>
      <w:r>
        <w:t xml:space="preserve">is accurate by </w:t>
      </w:r>
      <w:r w:rsidR="00B83FC6">
        <w:t xml:space="preserve">electronic signature. </w:t>
      </w:r>
    </w:p>
    <w:p w:rsidR="00F15617" w:rsidP="00F15617" w:rsidRDefault="00F15617" w14:paraId="391F6202" w14:textId="77777777">
      <w:pPr>
        <w:pStyle w:val="BodyTextIndent2"/>
        <w:ind w:left="720"/>
      </w:pPr>
    </w:p>
    <w:p w:rsidR="002D6D36" w:rsidP="001A0BE1" w:rsidRDefault="00D221CA" w14:paraId="03FFC5AA" w14:textId="77777777">
      <w:pPr>
        <w:pStyle w:val="BodyTextIndent2"/>
        <w:numPr>
          <w:ilvl w:val="0"/>
          <w:numId w:val="33"/>
        </w:numPr>
      </w:pPr>
      <w:r>
        <w:t xml:space="preserve">HUD’s Public Housing Information Center </w:t>
      </w:r>
      <w:r w:rsidR="00AC006F">
        <w:t>(PIC) system</w:t>
      </w:r>
      <w:r w:rsidR="00222055">
        <w:t xml:space="preserve"> and </w:t>
      </w:r>
      <w:proofErr w:type="spellStart"/>
      <w:r w:rsidR="00AF440F">
        <w:t>e</w:t>
      </w:r>
      <w:r w:rsidR="00222055">
        <w:t>LOCCS</w:t>
      </w:r>
      <w:proofErr w:type="spellEnd"/>
      <w:r w:rsidR="00222055">
        <w:t xml:space="preserve"> provide </w:t>
      </w:r>
      <w:r>
        <w:t xml:space="preserve">data elements used </w:t>
      </w:r>
      <w:r w:rsidR="005D3D03">
        <w:t xml:space="preserve">in </w:t>
      </w:r>
      <w:r w:rsidR="00222055">
        <w:t xml:space="preserve">the form. </w:t>
      </w:r>
      <w:r>
        <w:t xml:space="preserve">However, </w:t>
      </w:r>
      <w:r w:rsidR="00222055">
        <w:t>PHA’s description, justification, and support documentation</w:t>
      </w:r>
      <w:r w:rsidR="00A35A5B">
        <w:t xml:space="preserve"> for the </w:t>
      </w:r>
      <w:proofErr w:type="spellStart"/>
      <w:r w:rsidR="00A35A5B">
        <w:t>eLOCCS</w:t>
      </w:r>
      <w:proofErr w:type="spellEnd"/>
      <w:r w:rsidR="00A35A5B">
        <w:t xml:space="preserve"> vouchers</w:t>
      </w:r>
      <w:r w:rsidR="00222055">
        <w:t xml:space="preserve"> are </w:t>
      </w:r>
      <w:r w:rsidR="00E0379A">
        <w:t>not captured</w:t>
      </w:r>
      <w:r>
        <w:t xml:space="preserve"> </w:t>
      </w:r>
      <w:r w:rsidR="001A0BE1">
        <w:t>in any HUD systems.</w:t>
      </w:r>
      <w:r w:rsidR="00A35A5B">
        <w:t xml:space="preserve"> PHA’s cash on hand and unliquidated obligations are not captured in any HUD systems.</w:t>
      </w:r>
    </w:p>
    <w:p w:rsidR="002D6D36" w:rsidP="002D6D36" w:rsidRDefault="002D6D36" w14:paraId="064EC38F" w14:textId="77777777">
      <w:pPr>
        <w:pStyle w:val="ListParagraph"/>
      </w:pPr>
    </w:p>
    <w:p w:rsidR="002D6D36" w:rsidP="001A0BE1" w:rsidRDefault="00D221CA" w14:paraId="16B0EC4A" w14:textId="77777777">
      <w:pPr>
        <w:pStyle w:val="BodyTextIndent2"/>
        <w:numPr>
          <w:ilvl w:val="0"/>
          <w:numId w:val="33"/>
        </w:numPr>
      </w:pPr>
      <w:r w:rsidRPr="002D6D36">
        <w:t>The information being collected has no significant impact on small businesses or other small entities.</w:t>
      </w:r>
      <w:r w:rsidR="00B83FC6">
        <w:t xml:space="preserve"> </w:t>
      </w:r>
    </w:p>
    <w:p w:rsidR="002D6D36" w:rsidP="002D6D36" w:rsidRDefault="002D6D36" w14:paraId="1C659439" w14:textId="77777777">
      <w:pPr>
        <w:pStyle w:val="ListParagraph"/>
      </w:pPr>
    </w:p>
    <w:p w:rsidRPr="0062114E" w:rsidR="002D6D36" w:rsidP="0062114E" w:rsidRDefault="0062114E" w14:paraId="7FF4112A" w14:textId="77777777">
      <w:pPr>
        <w:numPr>
          <w:ilvl w:val="0"/>
          <w:numId w:val="33"/>
        </w:numPr>
        <w:rPr>
          <w:sz w:val="24"/>
          <w:szCs w:val="24"/>
        </w:rPr>
      </w:pPr>
      <w:r w:rsidRPr="0062114E">
        <w:rPr>
          <w:sz w:val="24"/>
          <w:szCs w:val="24"/>
        </w:rPr>
        <w:t xml:space="preserve">PHAs submit the Public Housing Grants Support for Payment Vouchers form when HUD requires the PHA to support their voucher request in </w:t>
      </w:r>
      <w:proofErr w:type="spellStart"/>
      <w:r w:rsidRPr="0062114E">
        <w:rPr>
          <w:sz w:val="24"/>
          <w:szCs w:val="24"/>
        </w:rPr>
        <w:t>eLOCCS</w:t>
      </w:r>
      <w:proofErr w:type="spellEnd"/>
      <w:r w:rsidRPr="0062114E">
        <w:rPr>
          <w:sz w:val="24"/>
          <w:szCs w:val="24"/>
        </w:rPr>
        <w:t>. PHAs are provided guidance and notice though PIH notices. Without the information provided in the forms, HUD cannot confidently ensure certain Operating Fund grants are obligated for eligible uses, with the period of performance, or to cover recently invoiced expenses. PHAs submit the SF-425 for HUD to track the amount of grant funds obligated but unliquidated or grant funds kept as cash on hand. HUD systems do not track these data points. These data points help HUD ensure that it does not de-obligate funds the PHA set aside for eligible commitments and that the PHA is not holding on to cash in violation of the cash management regulations directed by 2 CFR Part 200.</w:t>
      </w:r>
    </w:p>
    <w:p w:rsidR="002D6D36" w:rsidP="002D6D36" w:rsidRDefault="002D6D36" w14:paraId="51437CE1" w14:textId="77777777">
      <w:pPr>
        <w:pStyle w:val="ListParagraph"/>
      </w:pPr>
    </w:p>
    <w:p w:rsidR="002D6D36" w:rsidP="001A0BE1" w:rsidRDefault="00D221CA" w14:paraId="251AB110" w14:textId="77777777">
      <w:pPr>
        <w:pStyle w:val="BodyTextIndent2"/>
        <w:numPr>
          <w:ilvl w:val="0"/>
          <w:numId w:val="33"/>
        </w:numPr>
      </w:pPr>
      <w:r w:rsidRPr="002D6D36">
        <w:t>There are no special circumstances that require the collection to be conducted in a manner that is incon</w:t>
      </w:r>
      <w:r w:rsidRPr="002D6D36">
        <w:softHyphen/>
        <w:t>sistent with the guidelines in 5 CFR 1320.6.</w:t>
      </w:r>
    </w:p>
    <w:p w:rsidR="002D6D36" w:rsidP="002D6D36" w:rsidRDefault="002D6D36" w14:paraId="0C0766D1" w14:textId="77777777">
      <w:pPr>
        <w:pStyle w:val="ListParagraph"/>
        <w:rPr>
          <w:color w:val="000000"/>
        </w:rPr>
      </w:pPr>
    </w:p>
    <w:p w:rsidRPr="002D6D36" w:rsidR="002D6D36" w:rsidP="001A0BE1" w:rsidRDefault="00B1394A" w14:paraId="130015A7" w14:textId="114DD01A">
      <w:pPr>
        <w:pStyle w:val="BodyTextIndent2"/>
        <w:numPr>
          <w:ilvl w:val="0"/>
          <w:numId w:val="33"/>
        </w:numPr>
      </w:pPr>
      <w:r w:rsidRPr="00B1394A">
        <w:rPr>
          <w:color w:val="000000"/>
        </w:rPr>
        <w:t>In accordance with 5CFR 1320.8(d), this information collection soliciting public comments was announced in the Federal Register on April 29, 2022, Volume 87, No. 83, Pages 2551</w:t>
      </w:r>
      <w:r w:rsidR="00616037">
        <w:rPr>
          <w:color w:val="000000"/>
        </w:rPr>
        <w:t>4</w:t>
      </w:r>
      <w:r w:rsidRPr="00B1394A">
        <w:rPr>
          <w:color w:val="000000"/>
        </w:rPr>
        <w:t xml:space="preserve">.  </w:t>
      </w:r>
      <w:r w:rsidRPr="002D6D36" w:rsidR="00095E79">
        <w:rPr>
          <w:color w:val="000000"/>
        </w:rPr>
        <w:t>No comments were received.</w:t>
      </w:r>
    </w:p>
    <w:p w:rsidR="002D6D36" w:rsidP="002D6D36" w:rsidRDefault="002D6D36" w14:paraId="054B6437" w14:textId="77777777">
      <w:pPr>
        <w:pStyle w:val="ListParagraph"/>
      </w:pPr>
    </w:p>
    <w:p w:rsidR="002D6D36" w:rsidP="001A0BE1" w:rsidRDefault="00D221CA" w14:paraId="38503C77" w14:textId="77777777">
      <w:pPr>
        <w:pStyle w:val="BodyTextIndent2"/>
        <w:numPr>
          <w:ilvl w:val="0"/>
          <w:numId w:val="33"/>
        </w:numPr>
      </w:pPr>
      <w:r w:rsidRPr="002D6D36">
        <w:t>No payments or gifts to respondents are provided.</w:t>
      </w:r>
    </w:p>
    <w:p w:rsidR="002D6D36" w:rsidP="002D6D36" w:rsidRDefault="002D6D36" w14:paraId="792C7AB1" w14:textId="77777777">
      <w:pPr>
        <w:pStyle w:val="ListParagraph"/>
      </w:pPr>
    </w:p>
    <w:p w:rsidR="002D6D36" w:rsidP="001A0BE1" w:rsidRDefault="00D221CA" w14:paraId="3A6BD3DC" w14:textId="77777777">
      <w:pPr>
        <w:pStyle w:val="BodyTextIndent2"/>
        <w:numPr>
          <w:ilvl w:val="0"/>
          <w:numId w:val="33"/>
        </w:numPr>
      </w:pPr>
      <w:r w:rsidRPr="002D6D36">
        <w:t>No assurance of confidentiality is needed nor are any provided.</w:t>
      </w:r>
    </w:p>
    <w:p w:rsidR="002D6D36" w:rsidP="002D6D36" w:rsidRDefault="002D6D36" w14:paraId="55AB66A1" w14:textId="77777777">
      <w:pPr>
        <w:pStyle w:val="ListParagraph"/>
      </w:pPr>
    </w:p>
    <w:p w:rsidR="002D6D36" w:rsidP="001A0BE1" w:rsidRDefault="00D221CA" w14:paraId="2B8D01CF" w14:textId="77777777">
      <w:pPr>
        <w:pStyle w:val="BodyTextIndent2"/>
        <w:numPr>
          <w:ilvl w:val="0"/>
          <w:numId w:val="33"/>
        </w:numPr>
      </w:pPr>
      <w:r w:rsidRPr="002D6D36">
        <w:t>No sensitive questions are being asked.</w:t>
      </w:r>
    </w:p>
    <w:p w:rsidR="002D6D36" w:rsidP="002D6D36" w:rsidRDefault="002D6D36" w14:paraId="5B8B3B70" w14:textId="77777777">
      <w:pPr>
        <w:pStyle w:val="ListParagraph"/>
      </w:pPr>
    </w:p>
    <w:p w:rsidRPr="002D6D36" w:rsidR="00D221CA" w:rsidP="001A0BE1" w:rsidRDefault="00974B20" w14:paraId="07741E58" w14:textId="6232CAB8">
      <w:pPr>
        <w:pStyle w:val="BodyTextIndent2"/>
        <w:numPr>
          <w:ilvl w:val="0"/>
          <w:numId w:val="33"/>
        </w:numPr>
      </w:pPr>
      <w:r>
        <w:t xml:space="preserve">This will be a </w:t>
      </w:r>
      <w:r w:rsidR="008B62F7">
        <w:t>web-based</w:t>
      </w:r>
      <w:r>
        <w:t xml:space="preserve"> form</w:t>
      </w:r>
      <w:r w:rsidR="00C01986">
        <w:t>s</w:t>
      </w:r>
      <w:r>
        <w:t xml:space="preserve">. </w:t>
      </w:r>
      <w:r w:rsidRPr="002D6D36" w:rsidR="00D221CA">
        <w:t>The estimated burden hours for the collection of this data reflect</w:t>
      </w:r>
      <w:r>
        <w:t>s</w:t>
      </w:r>
      <w:r w:rsidRPr="002D6D36" w:rsidR="00D221CA">
        <w:t xml:space="preserve"> the PHAs’ experience with</w:t>
      </w:r>
      <w:r>
        <w:t xml:space="preserve"> navigating </w:t>
      </w:r>
      <w:r w:rsidR="004305D3">
        <w:t xml:space="preserve">the </w:t>
      </w:r>
      <w:r>
        <w:t>Operating Fund Web Portal</w:t>
      </w:r>
      <w:r w:rsidR="0062114E">
        <w:t>,</w:t>
      </w:r>
      <w:r w:rsidR="004305D3">
        <w:t xml:space="preserve"> which HUD uses </w:t>
      </w:r>
      <w:r>
        <w:t>to host the form</w:t>
      </w:r>
      <w:r w:rsidR="0062114E">
        <w:t>.</w:t>
      </w:r>
      <w:r w:rsidR="004305D3">
        <w:t xml:space="preserve"> HUD prepopulates the form,</w:t>
      </w:r>
      <w:r w:rsidRPr="002D6D36" w:rsidR="00D221CA">
        <w:t xml:space="preserve"> </w:t>
      </w:r>
      <w:r>
        <w:t xml:space="preserve">and </w:t>
      </w:r>
      <w:r w:rsidRPr="002D6D36" w:rsidR="00D221CA">
        <w:t xml:space="preserve">PHAs maintain </w:t>
      </w:r>
      <w:r>
        <w:t>the requested</w:t>
      </w:r>
      <w:r w:rsidRPr="002D6D36" w:rsidR="00D221CA">
        <w:t xml:space="preserve"> information as part of their operations</w:t>
      </w:r>
      <w:r>
        <w:t xml:space="preserve"> and policies</w:t>
      </w:r>
      <w:r w:rsidRPr="002D6D36" w:rsidR="00D221CA">
        <w:t xml:space="preserve">.  </w:t>
      </w:r>
      <w:r w:rsidRPr="002D6D36" w:rsidR="00AC006F">
        <w:t xml:space="preserve">HUD </w:t>
      </w:r>
      <w:r w:rsidRPr="002D6D36" w:rsidR="00D221CA">
        <w:t xml:space="preserve">estimates that the information collection requirements for this collection averages </w:t>
      </w:r>
      <w:r w:rsidR="009E6B1B">
        <w:t>0.</w:t>
      </w:r>
      <w:r w:rsidR="00F51E50">
        <w:t>5</w:t>
      </w:r>
      <w:r w:rsidRPr="002D6D36" w:rsidR="00D221CA">
        <w:t xml:space="preserve"> hours per form (</w:t>
      </w:r>
      <w:r w:rsidR="004015CF">
        <w:t>30</w:t>
      </w:r>
      <w:r w:rsidRPr="002D6D36" w:rsidR="00D221CA">
        <w:t xml:space="preserve"> minutes</w:t>
      </w:r>
      <w:r w:rsidR="004015CF">
        <w:t>)</w:t>
      </w:r>
      <w:r w:rsidR="00265155">
        <w:t xml:space="preserve"> for the Support for Payment Voucher Form and 0.25 hours per form (15 minutes) for the SF-425</w:t>
      </w:r>
      <w:r w:rsidR="004015CF">
        <w:t xml:space="preserve">. HUD expects </w:t>
      </w:r>
      <w:r w:rsidR="004305D3">
        <w:t>to require</w:t>
      </w:r>
      <w:r w:rsidR="004015CF">
        <w:t xml:space="preserve"> 600 PHAs to complete </w:t>
      </w:r>
      <w:r w:rsidR="004305D3">
        <w:t xml:space="preserve">this form and </w:t>
      </w:r>
      <w:r w:rsidR="004015CF">
        <w:t xml:space="preserve">submit no more </w:t>
      </w:r>
      <w:r w:rsidR="004305D3">
        <w:t>than 10</w:t>
      </w:r>
      <w:r w:rsidR="004015CF">
        <w:t xml:space="preserve"> forms </w:t>
      </w:r>
      <w:r w:rsidR="004305D3">
        <w:t xml:space="preserve">per PHA </w:t>
      </w:r>
      <w:r w:rsidR="004015CF">
        <w:t xml:space="preserve">in a calendar year. </w:t>
      </w:r>
      <w:r w:rsidR="00F65A70">
        <w:t>Operating</w:t>
      </w:r>
      <w:r w:rsidR="004015CF">
        <w:t xml:space="preserve"> Fund grants and </w:t>
      </w:r>
      <w:r w:rsidR="00F65A70">
        <w:t>supplementing Operating Fund grants are distributed on a calendar year basis. HUD expect that 600 PHA will</w:t>
      </w:r>
      <w:r w:rsidR="004015CF">
        <w:t xml:space="preserve"> participate or still have unobligated supplement</w:t>
      </w:r>
      <w:r w:rsidR="00F65A70">
        <w:t>al</w:t>
      </w:r>
      <w:r w:rsidR="004015CF">
        <w:t xml:space="preserve"> grant funds in a given calendar year. </w:t>
      </w:r>
      <w:r w:rsidR="00F65A70">
        <w:t xml:space="preserve">HUD </w:t>
      </w:r>
      <w:r w:rsidRPr="002D6D36" w:rsidR="00D221CA">
        <w:t xml:space="preserve">for each of the approximately </w:t>
      </w:r>
      <w:r w:rsidR="009E6B1B">
        <w:t xml:space="preserve">6,000 vouchers submitted in </w:t>
      </w:r>
      <w:proofErr w:type="spellStart"/>
      <w:r w:rsidR="00AF440F">
        <w:t>e</w:t>
      </w:r>
      <w:r w:rsidR="009E6B1B">
        <w:t>LOCCS</w:t>
      </w:r>
      <w:proofErr w:type="spellEnd"/>
      <w:r w:rsidRPr="002D6D36" w:rsidR="00D221CA">
        <w:t xml:space="preserve">, for a total of </w:t>
      </w:r>
      <w:r w:rsidR="009E6B1B">
        <w:t xml:space="preserve">3,000 </w:t>
      </w:r>
      <w:r w:rsidRPr="002D6D36" w:rsidR="00D221CA">
        <w:t xml:space="preserve">burden hours.  The estimated response time includes the </w:t>
      </w:r>
      <w:r w:rsidR="009E6B1B">
        <w:t>time to complete the form</w:t>
      </w:r>
      <w:r w:rsidRPr="002D6D36" w:rsidR="00D221CA">
        <w:t xml:space="preserve"> and any recordkeeping burden.</w:t>
      </w:r>
    </w:p>
    <w:p w:rsidR="00D221CA" w:rsidRDefault="00D221CA" w14:paraId="0CBCC39B" w14:textId="77777777">
      <w:pPr>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50"/>
        <w:gridCol w:w="1650"/>
        <w:gridCol w:w="1650"/>
        <w:gridCol w:w="1890"/>
      </w:tblGrid>
      <w:tr w:rsidR="000D469B" w:rsidTr="000D469B" w14:paraId="23619DE9" w14:textId="77777777">
        <w:trPr>
          <w:jc w:val="center"/>
        </w:trPr>
        <w:tc>
          <w:tcPr>
            <w:tcW w:w="6840" w:type="dxa"/>
            <w:gridSpan w:val="4"/>
          </w:tcPr>
          <w:p w:rsidRPr="000D469B" w:rsidR="000D469B" w:rsidRDefault="000D469B" w14:paraId="40A8B62C" w14:textId="77777777">
            <w:pPr>
              <w:jc w:val="center"/>
              <w:rPr>
                <w:b/>
                <w:bCs/>
                <w:sz w:val="24"/>
                <w:szCs w:val="24"/>
              </w:rPr>
            </w:pPr>
            <w:r w:rsidRPr="000D469B">
              <w:rPr>
                <w:b/>
                <w:bCs/>
                <w:sz w:val="24"/>
                <w:szCs w:val="24"/>
              </w:rPr>
              <w:t>Total Estimated Annual Burden Hours</w:t>
            </w:r>
          </w:p>
        </w:tc>
      </w:tr>
      <w:tr w:rsidR="000D469B" w:rsidTr="000D469B" w14:paraId="32169BA6" w14:textId="77777777">
        <w:trPr>
          <w:jc w:val="center"/>
        </w:trPr>
        <w:tc>
          <w:tcPr>
            <w:tcW w:w="1650" w:type="dxa"/>
          </w:tcPr>
          <w:p w:rsidR="000D469B" w:rsidRDefault="000D469B" w14:paraId="72F3CB02" w14:textId="77777777">
            <w:pPr>
              <w:jc w:val="center"/>
              <w:rPr>
                <w:b/>
                <w:bCs/>
                <w:sz w:val="24"/>
              </w:rPr>
            </w:pPr>
            <w:r>
              <w:rPr>
                <w:b/>
                <w:bCs/>
                <w:sz w:val="24"/>
              </w:rPr>
              <w:t>Number of Respondents</w:t>
            </w:r>
          </w:p>
        </w:tc>
        <w:tc>
          <w:tcPr>
            <w:tcW w:w="1650" w:type="dxa"/>
          </w:tcPr>
          <w:p w:rsidR="000D469B" w:rsidRDefault="000D469B" w14:paraId="0DC003FD" w14:textId="77777777">
            <w:pPr>
              <w:jc w:val="center"/>
              <w:rPr>
                <w:b/>
                <w:bCs/>
                <w:sz w:val="24"/>
              </w:rPr>
            </w:pPr>
            <w:r>
              <w:rPr>
                <w:b/>
                <w:bCs/>
                <w:sz w:val="24"/>
              </w:rPr>
              <w:t>Frequency of Response</w:t>
            </w:r>
          </w:p>
        </w:tc>
        <w:tc>
          <w:tcPr>
            <w:tcW w:w="1650" w:type="dxa"/>
          </w:tcPr>
          <w:p w:rsidR="000D469B" w:rsidRDefault="000D469B" w14:paraId="1A65C8EB" w14:textId="77777777">
            <w:pPr>
              <w:jc w:val="center"/>
              <w:rPr>
                <w:b/>
                <w:bCs/>
                <w:sz w:val="24"/>
              </w:rPr>
            </w:pPr>
            <w:r>
              <w:rPr>
                <w:b/>
                <w:bCs/>
                <w:sz w:val="24"/>
              </w:rPr>
              <w:t>Estimated Hours</w:t>
            </w:r>
          </w:p>
        </w:tc>
        <w:tc>
          <w:tcPr>
            <w:tcW w:w="1890" w:type="dxa"/>
          </w:tcPr>
          <w:p w:rsidR="000D469B" w:rsidRDefault="000D469B" w14:paraId="4DD9A833" w14:textId="77777777">
            <w:pPr>
              <w:jc w:val="center"/>
              <w:rPr>
                <w:b/>
                <w:bCs/>
                <w:sz w:val="24"/>
              </w:rPr>
            </w:pPr>
            <w:r>
              <w:rPr>
                <w:b/>
                <w:bCs/>
                <w:sz w:val="24"/>
              </w:rPr>
              <w:t>Total Annual Burden Hours</w:t>
            </w:r>
          </w:p>
        </w:tc>
      </w:tr>
      <w:tr w:rsidR="000D469B" w:rsidTr="000D469B" w14:paraId="4A399B75" w14:textId="77777777">
        <w:trPr>
          <w:jc w:val="center"/>
        </w:trPr>
        <w:tc>
          <w:tcPr>
            <w:tcW w:w="1650" w:type="dxa"/>
          </w:tcPr>
          <w:p w:rsidR="000D469B" w:rsidP="00D030BC" w:rsidRDefault="000D469B" w14:paraId="285DF118" w14:textId="77777777">
            <w:pPr>
              <w:jc w:val="center"/>
              <w:rPr>
                <w:sz w:val="24"/>
              </w:rPr>
            </w:pPr>
            <w:r>
              <w:rPr>
                <w:sz w:val="24"/>
              </w:rPr>
              <w:t>600</w:t>
            </w:r>
          </w:p>
        </w:tc>
        <w:tc>
          <w:tcPr>
            <w:tcW w:w="1650" w:type="dxa"/>
          </w:tcPr>
          <w:p w:rsidR="000D469B" w:rsidRDefault="000D469B" w14:paraId="36F6EBA1" w14:textId="77777777">
            <w:pPr>
              <w:jc w:val="center"/>
              <w:rPr>
                <w:sz w:val="24"/>
              </w:rPr>
            </w:pPr>
            <w:r>
              <w:rPr>
                <w:sz w:val="24"/>
              </w:rPr>
              <w:t>6000</w:t>
            </w:r>
          </w:p>
        </w:tc>
        <w:tc>
          <w:tcPr>
            <w:tcW w:w="1650" w:type="dxa"/>
          </w:tcPr>
          <w:p w:rsidR="000D469B" w:rsidRDefault="000D469B" w14:paraId="39BA4506" w14:textId="77777777">
            <w:pPr>
              <w:jc w:val="center"/>
              <w:rPr>
                <w:sz w:val="24"/>
              </w:rPr>
            </w:pPr>
            <w:r>
              <w:rPr>
                <w:sz w:val="24"/>
              </w:rPr>
              <w:t>0.</w:t>
            </w:r>
            <w:r w:rsidR="00F51E50">
              <w:rPr>
                <w:sz w:val="24"/>
              </w:rPr>
              <w:t>7</w:t>
            </w:r>
            <w:r>
              <w:rPr>
                <w:sz w:val="24"/>
              </w:rPr>
              <w:t>5</w:t>
            </w:r>
          </w:p>
        </w:tc>
        <w:tc>
          <w:tcPr>
            <w:tcW w:w="1890" w:type="dxa"/>
          </w:tcPr>
          <w:p w:rsidR="000D469B" w:rsidP="002D6D36" w:rsidRDefault="00F51E50" w14:paraId="39F6C03C" w14:textId="77777777">
            <w:pPr>
              <w:jc w:val="center"/>
              <w:rPr>
                <w:sz w:val="24"/>
              </w:rPr>
            </w:pPr>
            <w:r>
              <w:rPr>
                <w:sz w:val="24"/>
              </w:rPr>
              <w:t>45</w:t>
            </w:r>
            <w:r w:rsidR="000D469B">
              <w:rPr>
                <w:sz w:val="24"/>
              </w:rPr>
              <w:t>00</w:t>
            </w:r>
          </w:p>
        </w:tc>
      </w:tr>
    </w:tbl>
    <w:p w:rsidR="00D221CA" w:rsidRDefault="00D221CA" w14:paraId="1F0DB34B" w14:textId="77777777"/>
    <w:p w:rsidRPr="00531A9C" w:rsidR="00D221CA" w:rsidP="002D6D36" w:rsidRDefault="00D221CA" w14:paraId="6BA40B47" w14:textId="77777777">
      <w:pPr>
        <w:pStyle w:val="BodyTextIndent2"/>
        <w:ind w:left="810"/>
      </w:pPr>
      <w:r>
        <w:t>The estimated annualized cost to respondents is based on</w:t>
      </w:r>
      <w:r w:rsidRPr="00531A9C">
        <w:t xml:space="preserve"> the 20</w:t>
      </w:r>
      <w:r w:rsidR="00B50688">
        <w:t>2</w:t>
      </w:r>
      <w:r w:rsidR="00CC6A73">
        <w:t>2</w:t>
      </w:r>
      <w:r w:rsidRPr="00531A9C">
        <w:t xml:space="preserve"> general pay schedule for a GS-11, Step 1, rate </w:t>
      </w:r>
      <w:r w:rsidR="0017199E">
        <w:t xml:space="preserve">for Washington-Baltimore-Arlington, DC-MD-WV-PA </w:t>
      </w:r>
      <w:r w:rsidRPr="00531A9C">
        <w:t>(an average salary for a financial analyst) that is $</w:t>
      </w:r>
      <w:r w:rsidR="00B50688">
        <w:t>3</w:t>
      </w:r>
      <w:r w:rsidR="00A15F7E">
        <w:t xml:space="preserve">5.91 </w:t>
      </w:r>
      <w:r w:rsidRPr="00531A9C">
        <w:t>per hour.</w:t>
      </w:r>
    </w:p>
    <w:p w:rsidR="00D221CA" w:rsidRDefault="00D221CA" w14:paraId="0F518421" w14:textId="77777777">
      <w:pPr>
        <w:pStyle w:val="Header"/>
        <w:tabs>
          <w:tab w:val="clear" w:pos="4320"/>
          <w:tab w:val="clear" w:pos="8640"/>
        </w:tabs>
      </w:pPr>
    </w:p>
    <w:tbl>
      <w:tblPr>
        <w:tblW w:w="6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48"/>
        <w:gridCol w:w="1082"/>
        <w:gridCol w:w="227"/>
        <w:gridCol w:w="943"/>
        <w:gridCol w:w="360"/>
        <w:gridCol w:w="2160"/>
      </w:tblGrid>
      <w:tr w:rsidR="00D221CA" w:rsidTr="000D469B" w14:paraId="40353F02" w14:textId="77777777">
        <w:trPr>
          <w:cantSplit/>
          <w:trHeight w:val="288"/>
          <w:jc w:val="center"/>
        </w:trPr>
        <w:tc>
          <w:tcPr>
            <w:tcW w:w="6120" w:type="dxa"/>
            <w:gridSpan w:val="6"/>
            <w:vAlign w:val="center"/>
          </w:tcPr>
          <w:p w:rsidR="00D221CA" w:rsidRDefault="00D221CA" w14:paraId="454697AA" w14:textId="77777777">
            <w:pPr>
              <w:pStyle w:val="Heading6"/>
              <w:overflowPunct w:val="0"/>
              <w:autoSpaceDE w:val="0"/>
              <w:autoSpaceDN w:val="0"/>
              <w:adjustRightInd w:val="0"/>
              <w:textAlignment w:val="baseline"/>
            </w:pPr>
            <w:r>
              <w:t>Total Estimated Annual Costs to Respondents</w:t>
            </w:r>
          </w:p>
        </w:tc>
      </w:tr>
      <w:tr w:rsidR="000D469B" w:rsidTr="000D469B" w14:paraId="0B97251F" w14:textId="77777777">
        <w:trPr>
          <w:trHeight w:val="510"/>
          <w:jc w:val="center"/>
        </w:trPr>
        <w:tc>
          <w:tcPr>
            <w:tcW w:w="1348" w:type="dxa"/>
            <w:vAlign w:val="center"/>
          </w:tcPr>
          <w:p w:rsidR="000D469B" w:rsidRDefault="000D469B" w14:paraId="55BEF8EE" w14:textId="77777777">
            <w:pPr>
              <w:jc w:val="center"/>
              <w:rPr>
                <w:b/>
                <w:bCs/>
                <w:sz w:val="24"/>
              </w:rPr>
            </w:pPr>
            <w:r>
              <w:rPr>
                <w:b/>
                <w:bCs/>
                <w:sz w:val="24"/>
              </w:rPr>
              <w:t>Number of Respondents</w:t>
            </w:r>
          </w:p>
        </w:tc>
        <w:tc>
          <w:tcPr>
            <w:tcW w:w="1082" w:type="dxa"/>
            <w:vAlign w:val="center"/>
          </w:tcPr>
          <w:p w:rsidR="000D469B" w:rsidRDefault="000D469B" w14:paraId="1A60AE10" w14:textId="77777777">
            <w:pPr>
              <w:jc w:val="center"/>
              <w:rPr>
                <w:b/>
                <w:bCs/>
                <w:sz w:val="24"/>
              </w:rPr>
            </w:pPr>
            <w:r>
              <w:rPr>
                <w:b/>
                <w:bCs/>
                <w:sz w:val="24"/>
              </w:rPr>
              <w:t>Total Burden Hours</w:t>
            </w:r>
          </w:p>
        </w:tc>
        <w:tc>
          <w:tcPr>
            <w:tcW w:w="227" w:type="dxa"/>
            <w:vAlign w:val="center"/>
          </w:tcPr>
          <w:p w:rsidR="000D469B" w:rsidRDefault="000D469B" w14:paraId="0A0248FF" w14:textId="77777777">
            <w:pPr>
              <w:jc w:val="center"/>
              <w:rPr>
                <w:b/>
                <w:bCs/>
                <w:sz w:val="24"/>
              </w:rPr>
            </w:pPr>
            <w:r>
              <w:rPr>
                <w:b/>
                <w:bCs/>
                <w:sz w:val="24"/>
              </w:rPr>
              <w:t>X</w:t>
            </w:r>
          </w:p>
        </w:tc>
        <w:tc>
          <w:tcPr>
            <w:tcW w:w="943" w:type="dxa"/>
            <w:vAlign w:val="center"/>
          </w:tcPr>
          <w:p w:rsidR="000D469B" w:rsidRDefault="000D469B" w14:paraId="14B7266C" w14:textId="77777777">
            <w:pPr>
              <w:jc w:val="center"/>
              <w:rPr>
                <w:b/>
                <w:bCs/>
                <w:sz w:val="24"/>
              </w:rPr>
            </w:pPr>
            <w:r>
              <w:rPr>
                <w:b/>
                <w:bCs/>
                <w:sz w:val="24"/>
              </w:rPr>
              <w:t>Hourly Rate</w:t>
            </w:r>
          </w:p>
        </w:tc>
        <w:tc>
          <w:tcPr>
            <w:tcW w:w="360" w:type="dxa"/>
            <w:vAlign w:val="center"/>
          </w:tcPr>
          <w:p w:rsidR="000D469B" w:rsidRDefault="000D469B" w14:paraId="5149B129" w14:textId="77777777">
            <w:pPr>
              <w:jc w:val="center"/>
              <w:rPr>
                <w:b/>
                <w:bCs/>
                <w:sz w:val="24"/>
              </w:rPr>
            </w:pPr>
            <w:r>
              <w:rPr>
                <w:b/>
                <w:bCs/>
                <w:sz w:val="24"/>
              </w:rPr>
              <w:t>=</w:t>
            </w:r>
          </w:p>
        </w:tc>
        <w:tc>
          <w:tcPr>
            <w:tcW w:w="2160" w:type="dxa"/>
            <w:vAlign w:val="center"/>
          </w:tcPr>
          <w:p w:rsidR="000D469B" w:rsidRDefault="000D469B" w14:paraId="131E4704" w14:textId="77777777">
            <w:pPr>
              <w:jc w:val="center"/>
              <w:rPr>
                <w:b/>
                <w:bCs/>
                <w:sz w:val="24"/>
              </w:rPr>
            </w:pPr>
            <w:r>
              <w:rPr>
                <w:b/>
                <w:bCs/>
                <w:sz w:val="24"/>
              </w:rPr>
              <w:t>Annualized Cost</w:t>
            </w:r>
          </w:p>
        </w:tc>
      </w:tr>
      <w:tr w:rsidR="000D469B" w:rsidTr="000D469B" w14:paraId="1D7E7866" w14:textId="77777777">
        <w:trPr>
          <w:trHeight w:val="255"/>
          <w:jc w:val="center"/>
        </w:trPr>
        <w:tc>
          <w:tcPr>
            <w:tcW w:w="1348" w:type="dxa"/>
            <w:vAlign w:val="center"/>
          </w:tcPr>
          <w:p w:rsidR="000D469B" w:rsidP="00D030BC" w:rsidRDefault="000D469B" w14:paraId="4077C05F" w14:textId="77777777">
            <w:pPr>
              <w:jc w:val="center"/>
              <w:rPr>
                <w:sz w:val="24"/>
              </w:rPr>
            </w:pPr>
            <w:r>
              <w:rPr>
                <w:sz w:val="24"/>
              </w:rPr>
              <w:t>600</w:t>
            </w:r>
          </w:p>
        </w:tc>
        <w:tc>
          <w:tcPr>
            <w:tcW w:w="1082" w:type="dxa"/>
            <w:vAlign w:val="center"/>
          </w:tcPr>
          <w:p w:rsidR="000D469B" w:rsidP="00D030BC" w:rsidRDefault="00F51E50" w14:paraId="4D1BD97F" w14:textId="77777777">
            <w:pPr>
              <w:jc w:val="center"/>
              <w:rPr>
                <w:sz w:val="24"/>
              </w:rPr>
            </w:pPr>
            <w:r>
              <w:rPr>
                <w:sz w:val="24"/>
              </w:rPr>
              <w:t>45</w:t>
            </w:r>
            <w:r w:rsidR="000D469B">
              <w:rPr>
                <w:sz w:val="24"/>
              </w:rPr>
              <w:t>00</w:t>
            </w:r>
          </w:p>
        </w:tc>
        <w:tc>
          <w:tcPr>
            <w:tcW w:w="227" w:type="dxa"/>
            <w:vAlign w:val="center"/>
          </w:tcPr>
          <w:p w:rsidR="000D469B" w:rsidRDefault="000D469B" w14:paraId="4073C6F0" w14:textId="77777777">
            <w:pPr>
              <w:jc w:val="center"/>
              <w:rPr>
                <w:sz w:val="24"/>
              </w:rPr>
            </w:pPr>
          </w:p>
        </w:tc>
        <w:tc>
          <w:tcPr>
            <w:tcW w:w="943" w:type="dxa"/>
            <w:vAlign w:val="center"/>
          </w:tcPr>
          <w:p w:rsidRPr="009A64D0" w:rsidR="000D469B" w:rsidP="0017199E" w:rsidRDefault="000D469B" w14:paraId="34A3AAF2" w14:textId="77777777">
            <w:pPr>
              <w:jc w:val="center"/>
              <w:rPr>
                <w:sz w:val="24"/>
                <w:highlight w:val="yellow"/>
              </w:rPr>
            </w:pPr>
            <w:r w:rsidRPr="007B5BEF">
              <w:rPr>
                <w:sz w:val="24"/>
              </w:rPr>
              <w:t>$</w:t>
            </w:r>
            <w:r w:rsidR="00B50688">
              <w:rPr>
                <w:sz w:val="24"/>
              </w:rPr>
              <w:t>3</w:t>
            </w:r>
            <w:r w:rsidR="00A15F7E">
              <w:rPr>
                <w:sz w:val="24"/>
              </w:rPr>
              <w:t>5</w:t>
            </w:r>
            <w:r w:rsidR="00B50688">
              <w:rPr>
                <w:sz w:val="24"/>
              </w:rPr>
              <w:t>.</w:t>
            </w:r>
            <w:r w:rsidR="00A15F7E">
              <w:rPr>
                <w:sz w:val="24"/>
              </w:rPr>
              <w:t>91</w:t>
            </w:r>
          </w:p>
        </w:tc>
        <w:tc>
          <w:tcPr>
            <w:tcW w:w="360" w:type="dxa"/>
            <w:vAlign w:val="center"/>
          </w:tcPr>
          <w:p w:rsidR="000D469B" w:rsidRDefault="000D469B" w14:paraId="05E1E3E1" w14:textId="77777777">
            <w:pPr>
              <w:jc w:val="center"/>
              <w:rPr>
                <w:sz w:val="24"/>
              </w:rPr>
            </w:pPr>
          </w:p>
        </w:tc>
        <w:tc>
          <w:tcPr>
            <w:tcW w:w="2160" w:type="dxa"/>
            <w:vAlign w:val="center"/>
          </w:tcPr>
          <w:p w:rsidRPr="00531A9C" w:rsidR="000D469B" w:rsidP="002D6D36" w:rsidRDefault="000D469B" w14:paraId="45EFD9AC" w14:textId="77777777">
            <w:pPr>
              <w:jc w:val="center"/>
              <w:rPr>
                <w:sz w:val="24"/>
              </w:rPr>
            </w:pPr>
            <w:r w:rsidRPr="00531A9C">
              <w:rPr>
                <w:sz w:val="24"/>
              </w:rPr>
              <w:t>$</w:t>
            </w:r>
            <w:r w:rsidR="00F51E50">
              <w:rPr>
                <w:sz w:val="24"/>
              </w:rPr>
              <w:t>161,595</w:t>
            </w:r>
          </w:p>
        </w:tc>
      </w:tr>
    </w:tbl>
    <w:p w:rsidR="00D221CA" w:rsidRDefault="00D221CA" w14:paraId="17DD9D86" w14:textId="77777777">
      <w:pPr>
        <w:ind w:left="720"/>
        <w:rPr>
          <w:sz w:val="24"/>
        </w:rPr>
      </w:pPr>
    </w:p>
    <w:p w:rsidR="00215D4F" w:rsidP="00215D4F" w:rsidRDefault="00D221CA" w14:paraId="2BF0E78F" w14:textId="77777777">
      <w:pPr>
        <w:numPr>
          <w:ilvl w:val="0"/>
          <w:numId w:val="27"/>
        </w:numPr>
        <w:tabs>
          <w:tab w:val="clear" w:pos="360"/>
        </w:tabs>
        <w:ind w:left="720"/>
        <w:rPr>
          <w:sz w:val="24"/>
        </w:rPr>
      </w:pPr>
      <w:r>
        <w:rPr>
          <w:sz w:val="24"/>
        </w:rPr>
        <w:t>There will be no additional costs to the respondents.</w:t>
      </w:r>
    </w:p>
    <w:p w:rsidR="00215D4F" w:rsidP="00215D4F" w:rsidRDefault="00215D4F" w14:paraId="53F03689" w14:textId="77777777">
      <w:pPr>
        <w:ind w:left="360"/>
        <w:rPr>
          <w:sz w:val="24"/>
        </w:rPr>
      </w:pPr>
    </w:p>
    <w:p w:rsidRPr="009E6B1B" w:rsidR="00215D4F" w:rsidP="009E6B1B" w:rsidRDefault="00D221CA" w14:paraId="4168FA97" w14:textId="77777777">
      <w:pPr>
        <w:numPr>
          <w:ilvl w:val="0"/>
          <w:numId w:val="27"/>
        </w:numPr>
        <w:tabs>
          <w:tab w:val="clear" w:pos="360"/>
        </w:tabs>
        <w:ind w:left="720"/>
        <w:rPr>
          <w:sz w:val="24"/>
          <w:szCs w:val="24"/>
        </w:rPr>
      </w:pPr>
      <w:r w:rsidRPr="00215D4F">
        <w:rPr>
          <w:sz w:val="24"/>
          <w:szCs w:val="24"/>
        </w:rPr>
        <w:lastRenderedPageBreak/>
        <w:t>The estimated annualized cost to the federal government is based on the 20</w:t>
      </w:r>
      <w:r w:rsidR="000D469B">
        <w:rPr>
          <w:sz w:val="24"/>
          <w:szCs w:val="24"/>
        </w:rPr>
        <w:t>2</w:t>
      </w:r>
      <w:r w:rsidR="0082530A">
        <w:rPr>
          <w:sz w:val="24"/>
          <w:szCs w:val="24"/>
        </w:rPr>
        <w:t>2</w:t>
      </w:r>
      <w:r w:rsidRPr="00215D4F">
        <w:rPr>
          <w:sz w:val="24"/>
          <w:szCs w:val="24"/>
        </w:rPr>
        <w:t xml:space="preserve"> general pay schedule for a GS-11, Step 1</w:t>
      </w:r>
      <w:r w:rsidRPr="00215D4F" w:rsidR="0017199E">
        <w:rPr>
          <w:sz w:val="24"/>
          <w:szCs w:val="24"/>
        </w:rPr>
        <w:t xml:space="preserve"> rate for Washington-Baltimore-Arlington, DC-MD-WV-PA</w:t>
      </w:r>
      <w:r w:rsidRPr="00215D4F">
        <w:rPr>
          <w:sz w:val="24"/>
          <w:szCs w:val="24"/>
        </w:rPr>
        <w:t xml:space="preserve"> (an average salary for a financial analyst) that is $</w:t>
      </w:r>
      <w:r w:rsidR="00A15F7E">
        <w:rPr>
          <w:sz w:val="24"/>
        </w:rPr>
        <w:t>35.91</w:t>
      </w:r>
      <w:r w:rsidR="00B50688">
        <w:rPr>
          <w:sz w:val="24"/>
        </w:rPr>
        <w:t xml:space="preserve"> </w:t>
      </w:r>
      <w:r w:rsidRPr="00215D4F">
        <w:rPr>
          <w:sz w:val="24"/>
          <w:szCs w:val="24"/>
        </w:rPr>
        <w:t xml:space="preserve">per hour.  It is estimated that it takes approximately </w:t>
      </w:r>
      <w:r w:rsidR="000D469B">
        <w:rPr>
          <w:sz w:val="24"/>
          <w:szCs w:val="24"/>
        </w:rPr>
        <w:t xml:space="preserve">30 </w:t>
      </w:r>
      <w:r w:rsidR="00B50688">
        <w:rPr>
          <w:sz w:val="24"/>
          <w:szCs w:val="24"/>
        </w:rPr>
        <w:t>minutes</w:t>
      </w:r>
      <w:r w:rsidRPr="00215D4F">
        <w:rPr>
          <w:sz w:val="24"/>
          <w:szCs w:val="24"/>
        </w:rPr>
        <w:t xml:space="preserve"> to review </w:t>
      </w:r>
      <w:r w:rsidR="00F51E50">
        <w:rPr>
          <w:sz w:val="24"/>
          <w:szCs w:val="24"/>
        </w:rPr>
        <w:t>the Support for Payment Voucher form and 10 minutes to review the SF-425</w:t>
      </w:r>
      <w:r w:rsidRPr="00215D4F">
        <w:rPr>
          <w:sz w:val="24"/>
          <w:szCs w:val="24"/>
        </w:rPr>
        <w:t>.</w:t>
      </w:r>
    </w:p>
    <w:p w:rsidR="00D221CA" w:rsidRDefault="00D221CA" w14:paraId="73623E01" w14:textId="77777777">
      <w:pPr>
        <w:rPr>
          <w:sz w:val="24"/>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50"/>
        <w:gridCol w:w="1800"/>
        <w:gridCol w:w="390"/>
        <w:gridCol w:w="1170"/>
        <w:gridCol w:w="360"/>
        <w:gridCol w:w="1590"/>
      </w:tblGrid>
      <w:tr w:rsidR="00D221CA" w14:paraId="45871C36" w14:textId="77777777">
        <w:trPr>
          <w:cantSplit/>
        </w:trPr>
        <w:tc>
          <w:tcPr>
            <w:tcW w:w="7560" w:type="dxa"/>
            <w:gridSpan w:val="6"/>
          </w:tcPr>
          <w:p w:rsidR="00D221CA" w:rsidRDefault="00D221CA" w14:paraId="1AF1B3B0" w14:textId="77777777">
            <w:pPr>
              <w:pStyle w:val="Heading6"/>
              <w:overflowPunct w:val="0"/>
              <w:autoSpaceDE w:val="0"/>
              <w:autoSpaceDN w:val="0"/>
              <w:adjustRightInd w:val="0"/>
              <w:textAlignment w:val="baseline"/>
            </w:pPr>
            <w:r>
              <w:t>Total Estimated Annual Costs to the Federal Government</w:t>
            </w:r>
          </w:p>
        </w:tc>
      </w:tr>
      <w:tr w:rsidR="00D221CA" w14:paraId="7E451B9F" w14:textId="77777777">
        <w:tc>
          <w:tcPr>
            <w:tcW w:w="2250" w:type="dxa"/>
          </w:tcPr>
          <w:p w:rsidR="00D221CA" w:rsidRDefault="00D221CA" w14:paraId="6B522313" w14:textId="77777777">
            <w:pPr>
              <w:jc w:val="center"/>
              <w:rPr>
                <w:b/>
                <w:bCs/>
                <w:sz w:val="24"/>
              </w:rPr>
            </w:pPr>
            <w:r>
              <w:rPr>
                <w:b/>
                <w:bCs/>
                <w:sz w:val="24"/>
              </w:rPr>
              <w:t xml:space="preserve">No. of </w:t>
            </w:r>
            <w:r w:rsidR="00B50688">
              <w:rPr>
                <w:b/>
                <w:bCs/>
                <w:sz w:val="24"/>
              </w:rPr>
              <w:t>Responses</w:t>
            </w:r>
          </w:p>
        </w:tc>
        <w:tc>
          <w:tcPr>
            <w:tcW w:w="1800" w:type="dxa"/>
          </w:tcPr>
          <w:p w:rsidR="00D221CA" w:rsidRDefault="00D221CA" w14:paraId="4918797A" w14:textId="77777777">
            <w:pPr>
              <w:jc w:val="center"/>
              <w:rPr>
                <w:b/>
                <w:bCs/>
                <w:sz w:val="24"/>
              </w:rPr>
            </w:pPr>
            <w:r>
              <w:rPr>
                <w:b/>
                <w:bCs/>
                <w:sz w:val="24"/>
              </w:rPr>
              <w:t>Burden Hours</w:t>
            </w:r>
          </w:p>
        </w:tc>
        <w:tc>
          <w:tcPr>
            <w:tcW w:w="390" w:type="dxa"/>
          </w:tcPr>
          <w:p w:rsidR="00D221CA" w:rsidRDefault="00D221CA" w14:paraId="4AF9149D" w14:textId="77777777">
            <w:pPr>
              <w:pStyle w:val="Heading7"/>
              <w:jc w:val="center"/>
            </w:pPr>
            <w:r>
              <w:t>X</w:t>
            </w:r>
          </w:p>
        </w:tc>
        <w:tc>
          <w:tcPr>
            <w:tcW w:w="1170" w:type="dxa"/>
          </w:tcPr>
          <w:p w:rsidR="00D221CA" w:rsidRDefault="00D221CA" w14:paraId="509895F6" w14:textId="77777777">
            <w:pPr>
              <w:pStyle w:val="Heading7"/>
              <w:jc w:val="center"/>
            </w:pPr>
            <w:r>
              <w:t>Hr. Rate</w:t>
            </w:r>
          </w:p>
        </w:tc>
        <w:tc>
          <w:tcPr>
            <w:tcW w:w="360" w:type="dxa"/>
          </w:tcPr>
          <w:p w:rsidR="00D221CA" w:rsidRDefault="00D221CA" w14:paraId="08BDF0C9" w14:textId="77777777">
            <w:pPr>
              <w:jc w:val="center"/>
              <w:rPr>
                <w:sz w:val="24"/>
              </w:rPr>
            </w:pPr>
            <w:r>
              <w:rPr>
                <w:sz w:val="24"/>
              </w:rPr>
              <w:t>=</w:t>
            </w:r>
          </w:p>
        </w:tc>
        <w:tc>
          <w:tcPr>
            <w:tcW w:w="1590" w:type="dxa"/>
          </w:tcPr>
          <w:p w:rsidR="00D221CA" w:rsidRDefault="00D221CA" w14:paraId="79CB1081" w14:textId="77777777">
            <w:pPr>
              <w:pStyle w:val="Heading7"/>
              <w:jc w:val="center"/>
            </w:pPr>
            <w:r>
              <w:t>Annual Cost</w:t>
            </w:r>
          </w:p>
        </w:tc>
      </w:tr>
      <w:tr w:rsidR="00D221CA" w14:paraId="0D99A764" w14:textId="77777777">
        <w:tc>
          <w:tcPr>
            <w:tcW w:w="2250" w:type="dxa"/>
            <w:vAlign w:val="center"/>
          </w:tcPr>
          <w:p w:rsidR="00D221CA" w:rsidP="00D030BC" w:rsidRDefault="00B50688" w14:paraId="3C419F38" w14:textId="77777777">
            <w:pPr>
              <w:jc w:val="center"/>
              <w:rPr>
                <w:sz w:val="24"/>
              </w:rPr>
            </w:pPr>
            <w:r>
              <w:rPr>
                <w:sz w:val="24"/>
              </w:rPr>
              <w:t>6000</w:t>
            </w:r>
          </w:p>
        </w:tc>
        <w:tc>
          <w:tcPr>
            <w:tcW w:w="1800" w:type="dxa"/>
            <w:vAlign w:val="center"/>
          </w:tcPr>
          <w:p w:rsidR="00D221CA" w:rsidP="00D030BC" w:rsidRDefault="00F51E50" w14:paraId="3C85F5F2" w14:textId="77777777">
            <w:pPr>
              <w:jc w:val="center"/>
              <w:rPr>
                <w:sz w:val="24"/>
              </w:rPr>
            </w:pPr>
            <w:r>
              <w:rPr>
                <w:sz w:val="24"/>
              </w:rPr>
              <w:t>4</w:t>
            </w:r>
            <w:r w:rsidR="00B50688">
              <w:rPr>
                <w:sz w:val="24"/>
              </w:rPr>
              <w:t>000</w:t>
            </w:r>
          </w:p>
        </w:tc>
        <w:tc>
          <w:tcPr>
            <w:tcW w:w="390" w:type="dxa"/>
            <w:vAlign w:val="center"/>
          </w:tcPr>
          <w:p w:rsidR="00D221CA" w:rsidRDefault="00D221CA" w14:paraId="7A390D24" w14:textId="77777777">
            <w:pPr>
              <w:jc w:val="center"/>
              <w:rPr>
                <w:sz w:val="24"/>
              </w:rPr>
            </w:pPr>
          </w:p>
        </w:tc>
        <w:tc>
          <w:tcPr>
            <w:tcW w:w="1170" w:type="dxa"/>
            <w:vAlign w:val="center"/>
          </w:tcPr>
          <w:p w:rsidRPr="00531A9C" w:rsidR="00D221CA" w:rsidP="0017199E" w:rsidRDefault="00D221CA" w14:paraId="79BA222C" w14:textId="77777777">
            <w:pPr>
              <w:jc w:val="center"/>
              <w:rPr>
                <w:sz w:val="24"/>
              </w:rPr>
            </w:pPr>
            <w:r w:rsidRPr="00531A9C">
              <w:rPr>
                <w:sz w:val="24"/>
              </w:rPr>
              <w:t>$</w:t>
            </w:r>
            <w:r w:rsidR="00531A9C">
              <w:rPr>
                <w:sz w:val="24"/>
              </w:rPr>
              <w:t>3</w:t>
            </w:r>
            <w:r w:rsidR="00A15F7E">
              <w:rPr>
                <w:sz w:val="24"/>
              </w:rPr>
              <w:t>5.91</w:t>
            </w:r>
          </w:p>
        </w:tc>
        <w:tc>
          <w:tcPr>
            <w:tcW w:w="360" w:type="dxa"/>
            <w:vAlign w:val="center"/>
          </w:tcPr>
          <w:p w:rsidRPr="00531A9C" w:rsidR="00D221CA" w:rsidRDefault="00D221CA" w14:paraId="74BDFB2D" w14:textId="77777777">
            <w:pPr>
              <w:jc w:val="center"/>
              <w:rPr>
                <w:sz w:val="24"/>
              </w:rPr>
            </w:pPr>
          </w:p>
        </w:tc>
        <w:tc>
          <w:tcPr>
            <w:tcW w:w="1590" w:type="dxa"/>
            <w:vAlign w:val="center"/>
          </w:tcPr>
          <w:p w:rsidRPr="00531A9C" w:rsidR="00D221CA" w:rsidP="002D6D36" w:rsidRDefault="00D221CA" w14:paraId="3759DDAB" w14:textId="77777777">
            <w:pPr>
              <w:jc w:val="center"/>
              <w:rPr>
                <w:sz w:val="24"/>
              </w:rPr>
            </w:pPr>
            <w:r w:rsidRPr="00531A9C">
              <w:rPr>
                <w:sz w:val="24"/>
              </w:rPr>
              <w:t>$</w:t>
            </w:r>
            <w:r w:rsidR="00F51E50">
              <w:rPr>
                <w:sz w:val="24"/>
              </w:rPr>
              <w:t>143,640</w:t>
            </w:r>
          </w:p>
        </w:tc>
      </w:tr>
    </w:tbl>
    <w:p w:rsidR="00D221CA" w:rsidRDefault="00D221CA" w14:paraId="5AB758A1" w14:textId="77777777">
      <w:pPr>
        <w:rPr>
          <w:sz w:val="24"/>
        </w:rPr>
      </w:pPr>
    </w:p>
    <w:p w:rsidR="002D6D36" w:rsidP="00D56C14" w:rsidRDefault="00C01986" w14:paraId="46D00642" w14:textId="77777777">
      <w:pPr>
        <w:numPr>
          <w:ilvl w:val="0"/>
          <w:numId w:val="14"/>
        </w:numPr>
        <w:tabs>
          <w:tab w:val="clear" w:pos="360"/>
        </w:tabs>
        <w:ind w:left="810"/>
        <w:rPr>
          <w:sz w:val="24"/>
        </w:rPr>
      </w:pPr>
      <w:r>
        <w:rPr>
          <w:sz w:val="24"/>
        </w:rPr>
        <w:t xml:space="preserve">The total burden hours increased for respondents increased by 1,500 hours because the previous PRA did not include the burden hours for the SF-425. The burden hours for the Federal government increased by 1,000 hours because of the previous PRA did not include the burden hours for the SF-425. </w:t>
      </w:r>
    </w:p>
    <w:p w:rsidRPr="00D56C14" w:rsidR="00D56C14" w:rsidP="00D56C14" w:rsidRDefault="00D56C14" w14:paraId="358CEFCA" w14:textId="77777777">
      <w:pPr>
        <w:ind w:left="810"/>
        <w:rPr>
          <w:sz w:val="24"/>
        </w:rPr>
      </w:pPr>
    </w:p>
    <w:p w:rsidR="002D6D36" w:rsidP="002D6D36" w:rsidRDefault="00D221CA" w14:paraId="7AD7DBBD" w14:textId="77777777">
      <w:pPr>
        <w:numPr>
          <w:ilvl w:val="0"/>
          <w:numId w:val="14"/>
        </w:numPr>
        <w:tabs>
          <w:tab w:val="clear" w:pos="360"/>
        </w:tabs>
        <w:ind w:left="810"/>
        <w:rPr>
          <w:sz w:val="24"/>
        </w:rPr>
      </w:pPr>
      <w:r w:rsidRPr="002D6D36">
        <w:rPr>
          <w:sz w:val="24"/>
        </w:rPr>
        <w:t>The information collection will not be published.</w:t>
      </w:r>
    </w:p>
    <w:p w:rsidR="002D6D36" w:rsidP="002D6D36" w:rsidRDefault="002D6D36" w14:paraId="4615ED2D" w14:textId="77777777">
      <w:pPr>
        <w:pStyle w:val="ListParagraph"/>
        <w:rPr>
          <w:sz w:val="24"/>
        </w:rPr>
      </w:pPr>
    </w:p>
    <w:p w:rsidR="002D6D36" w:rsidP="002D6D36" w:rsidRDefault="00D221CA" w14:paraId="5238B994" w14:textId="77777777">
      <w:pPr>
        <w:numPr>
          <w:ilvl w:val="0"/>
          <w:numId w:val="14"/>
        </w:numPr>
        <w:tabs>
          <w:tab w:val="clear" w:pos="360"/>
        </w:tabs>
        <w:ind w:left="810"/>
        <w:rPr>
          <w:sz w:val="24"/>
        </w:rPr>
      </w:pPr>
      <w:r w:rsidRPr="002D6D36">
        <w:rPr>
          <w:sz w:val="24"/>
        </w:rPr>
        <w:t xml:space="preserve">HUD is not seeking approval to </w:t>
      </w:r>
      <w:r w:rsidR="008862A0">
        <w:rPr>
          <w:sz w:val="24"/>
        </w:rPr>
        <w:t>omit</w:t>
      </w:r>
      <w:r w:rsidRPr="002D6D36">
        <w:rPr>
          <w:sz w:val="24"/>
        </w:rPr>
        <w:t xml:space="preserve"> the expiration date of the OMB approval</w:t>
      </w:r>
      <w:r w:rsidR="008862A0">
        <w:rPr>
          <w:sz w:val="24"/>
        </w:rPr>
        <w:t xml:space="preserve"> in the form</w:t>
      </w:r>
      <w:r w:rsidRPr="002D6D36" w:rsidR="00B50688">
        <w:rPr>
          <w:sz w:val="24"/>
        </w:rPr>
        <w:t xml:space="preserve">. </w:t>
      </w:r>
      <w:r w:rsidRPr="002D6D36">
        <w:rPr>
          <w:sz w:val="24"/>
        </w:rPr>
        <w:t xml:space="preserve">The </w:t>
      </w:r>
      <w:r w:rsidR="008862A0">
        <w:rPr>
          <w:sz w:val="24"/>
        </w:rPr>
        <w:t xml:space="preserve">form will display the </w:t>
      </w:r>
      <w:r w:rsidRPr="002D6D36">
        <w:rPr>
          <w:sz w:val="24"/>
        </w:rPr>
        <w:t xml:space="preserve">OMB number and expiration date after OMB </w:t>
      </w:r>
      <w:r w:rsidR="008862A0">
        <w:rPr>
          <w:sz w:val="24"/>
        </w:rPr>
        <w:t>approval</w:t>
      </w:r>
      <w:r w:rsidRPr="002D6D36">
        <w:rPr>
          <w:sz w:val="24"/>
        </w:rPr>
        <w:t>.</w:t>
      </w:r>
    </w:p>
    <w:p w:rsidR="002D6D36" w:rsidP="002D6D36" w:rsidRDefault="002D6D36" w14:paraId="6534419F" w14:textId="77777777">
      <w:pPr>
        <w:pStyle w:val="ListParagraph"/>
        <w:rPr>
          <w:sz w:val="24"/>
        </w:rPr>
      </w:pPr>
    </w:p>
    <w:p w:rsidRPr="002D6D36" w:rsidR="00D221CA" w:rsidP="002D6D36" w:rsidRDefault="00D221CA" w14:paraId="20C66F51" w14:textId="77777777">
      <w:pPr>
        <w:numPr>
          <w:ilvl w:val="0"/>
          <w:numId w:val="14"/>
        </w:numPr>
        <w:tabs>
          <w:tab w:val="clear" w:pos="360"/>
        </w:tabs>
        <w:ind w:left="810"/>
        <w:rPr>
          <w:sz w:val="24"/>
        </w:rPr>
      </w:pPr>
      <w:r w:rsidRPr="002D6D36">
        <w:rPr>
          <w:sz w:val="24"/>
        </w:rPr>
        <w:t>There are no exceptions to item 19 of the OMB 83-I.</w:t>
      </w:r>
    </w:p>
    <w:p w:rsidR="00D221CA" w:rsidRDefault="00D221CA" w14:paraId="77A9483F" w14:textId="77777777">
      <w:pPr>
        <w:rPr>
          <w:color w:val="000000"/>
          <w:sz w:val="24"/>
        </w:rPr>
      </w:pPr>
    </w:p>
    <w:p w:rsidR="00D221CA" w:rsidRDefault="00D221CA" w14:paraId="34458037" w14:textId="77777777">
      <w:pPr>
        <w:pStyle w:val="Heading2"/>
      </w:pPr>
      <w:r>
        <w:t>B.  Collections of Information Employing Statistical Methods</w:t>
      </w:r>
    </w:p>
    <w:p w:rsidR="00D221CA" w:rsidRDefault="00D221CA" w14:paraId="69548409" w14:textId="77777777">
      <w:pPr>
        <w:rPr>
          <w:color w:val="000000"/>
          <w:sz w:val="24"/>
        </w:rPr>
      </w:pPr>
    </w:p>
    <w:p w:rsidR="00D221CA" w:rsidRDefault="00D221CA" w14:paraId="6A5A471A" w14:textId="77777777">
      <w:pPr>
        <w:rPr>
          <w:color w:val="000000"/>
          <w:sz w:val="24"/>
        </w:rPr>
      </w:pPr>
      <w:r>
        <w:rPr>
          <w:color w:val="000000"/>
          <w:sz w:val="24"/>
        </w:rPr>
        <w:t>There are no collections of information employing statistical methods.</w:t>
      </w:r>
    </w:p>
    <w:p w:rsidR="004958CA" w:rsidRDefault="004958CA" w14:paraId="246697A0" w14:textId="77777777">
      <w:pPr>
        <w:rPr>
          <w:color w:val="000000"/>
          <w:sz w:val="24"/>
        </w:rPr>
      </w:pPr>
    </w:p>
    <w:sectPr w:rsidR="004958CA">
      <w:footerReference w:type="default" r:id="rId13"/>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1BEF" w14:textId="77777777" w:rsidR="00292618" w:rsidRDefault="00292618">
      <w:r>
        <w:separator/>
      </w:r>
    </w:p>
  </w:endnote>
  <w:endnote w:type="continuationSeparator" w:id="0">
    <w:p w14:paraId="016C48B6" w14:textId="77777777" w:rsidR="00292618" w:rsidRDefault="0029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F186" w14:textId="77777777" w:rsidR="00B226EA" w:rsidRDefault="00B226E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8D2D" w14:textId="77777777" w:rsidR="00292618" w:rsidRDefault="00292618">
      <w:r>
        <w:separator/>
      </w:r>
    </w:p>
  </w:footnote>
  <w:footnote w:type="continuationSeparator" w:id="0">
    <w:p w14:paraId="5971BB1E" w14:textId="77777777" w:rsidR="00292618" w:rsidRDefault="0029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1F0141"/>
    <w:multiLevelType w:val="hybridMultilevel"/>
    <w:tmpl w:val="656EB3E2"/>
    <w:lvl w:ilvl="0" w:tplc="7BACF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6C2797"/>
    <w:multiLevelType w:val="hybridMultilevel"/>
    <w:tmpl w:val="F65E04FA"/>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C643D"/>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63E41CC"/>
    <w:multiLevelType w:val="hybridMultilevel"/>
    <w:tmpl w:val="E098ADB8"/>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7F2396"/>
    <w:multiLevelType w:val="hybridMultilevel"/>
    <w:tmpl w:val="F67A6B8A"/>
    <w:lvl w:ilvl="0" w:tplc="F17CE68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656F49"/>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80E3743"/>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950613F"/>
    <w:multiLevelType w:val="hybridMultilevel"/>
    <w:tmpl w:val="E250D536"/>
    <w:lvl w:ilvl="0" w:tplc="93BE7568">
      <w:start w:val="5"/>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53571A"/>
    <w:multiLevelType w:val="hybridMultilevel"/>
    <w:tmpl w:val="AB5C7136"/>
    <w:lvl w:ilvl="0" w:tplc="21C251EE">
      <w:start w:val="3"/>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4E748C"/>
    <w:multiLevelType w:val="hybridMultilevel"/>
    <w:tmpl w:val="058E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5402D"/>
    <w:multiLevelType w:val="hybridMultilevel"/>
    <w:tmpl w:val="A01AB1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4F567D"/>
    <w:multiLevelType w:val="hybridMultilevel"/>
    <w:tmpl w:val="8FF0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B4BD8"/>
    <w:multiLevelType w:val="hybridMultilevel"/>
    <w:tmpl w:val="BE0E930E"/>
    <w:lvl w:ilvl="0" w:tplc="06A2E35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8A1B51"/>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F2F69B9"/>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40AEB17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10A045D"/>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40AEB17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7BF5BD7"/>
    <w:multiLevelType w:val="hybridMultilevel"/>
    <w:tmpl w:val="1B4C9FE4"/>
    <w:lvl w:ilvl="0" w:tplc="42423612">
      <w:start w:val="15"/>
      <w:numFmt w:val="decimal"/>
      <w:lvlText w:val="%1."/>
      <w:lvlJc w:val="left"/>
      <w:pPr>
        <w:tabs>
          <w:tab w:val="num" w:pos="360"/>
        </w:tabs>
        <w:ind w:left="360" w:hanging="360"/>
      </w:pPr>
      <w:rPr>
        <w:rFonts w:hint="default"/>
      </w:rPr>
    </w:lvl>
    <w:lvl w:ilvl="1" w:tplc="F17CE68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B64981"/>
    <w:multiLevelType w:val="hybridMultilevel"/>
    <w:tmpl w:val="40E88302"/>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1E4204"/>
    <w:multiLevelType w:val="hybridMultilevel"/>
    <w:tmpl w:val="A76E9F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B0855E5"/>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4CC2091E">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AA21E2"/>
    <w:multiLevelType w:val="hybridMultilevel"/>
    <w:tmpl w:val="29BC6382"/>
    <w:lvl w:ilvl="0" w:tplc="F17CE686">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DE40041"/>
    <w:multiLevelType w:val="hybridMultilevel"/>
    <w:tmpl w:val="D66C9666"/>
    <w:lvl w:ilvl="0" w:tplc="1F8C9E10">
      <w:start w:val="1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15:restartNumberingAfterBreak="0">
    <w:nsid w:val="73A83719"/>
    <w:multiLevelType w:val="hybridMultilevel"/>
    <w:tmpl w:val="16E6F462"/>
    <w:lvl w:ilvl="0" w:tplc="F17CE686">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1" w15:restartNumberingAfterBreak="0">
    <w:nsid w:val="7EF270D0"/>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4CC2091E">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20189869">
    <w:abstractNumId w:val="5"/>
  </w:num>
  <w:num w:numId="2" w16cid:durableId="1874687785">
    <w:abstractNumId w:val="30"/>
  </w:num>
  <w:num w:numId="3" w16cid:durableId="927615406">
    <w:abstractNumId w:val="4"/>
  </w:num>
  <w:num w:numId="4" w16cid:durableId="1596286085">
    <w:abstractNumId w:val="29"/>
  </w:num>
  <w:num w:numId="5" w16cid:durableId="223873862">
    <w:abstractNumId w:val="27"/>
  </w:num>
  <w:num w:numId="6" w16cid:durableId="707336429">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80179355">
    <w:abstractNumId w:val="16"/>
  </w:num>
  <w:num w:numId="8" w16cid:durableId="106706709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763720074">
    <w:abstractNumId w:val="17"/>
  </w:num>
  <w:num w:numId="10" w16cid:durableId="2108765024">
    <w:abstractNumId w:val="13"/>
  </w:num>
  <w:num w:numId="11" w16cid:durableId="517737938">
    <w:abstractNumId w:val="11"/>
  </w:num>
  <w:num w:numId="12" w16cid:durableId="1790392543">
    <w:abstractNumId w:val="31"/>
  </w:num>
  <w:num w:numId="13" w16cid:durableId="5594138">
    <w:abstractNumId w:val="23"/>
  </w:num>
  <w:num w:numId="14" w16cid:durableId="167142825">
    <w:abstractNumId w:val="21"/>
  </w:num>
  <w:num w:numId="15" w16cid:durableId="1123378785">
    <w:abstractNumId w:val="19"/>
  </w:num>
  <w:num w:numId="16" w16cid:durableId="1747876558">
    <w:abstractNumId w:val="20"/>
  </w:num>
  <w:num w:numId="17" w16cid:durableId="2067871899">
    <w:abstractNumId w:val="18"/>
  </w:num>
  <w:num w:numId="18" w16cid:durableId="1077628920">
    <w:abstractNumId w:val="9"/>
  </w:num>
  <w:num w:numId="19" w16cid:durableId="835346563">
    <w:abstractNumId w:val="8"/>
  </w:num>
  <w:num w:numId="20" w16cid:durableId="1157451355">
    <w:abstractNumId w:val="3"/>
  </w:num>
  <w:num w:numId="21" w16cid:durableId="880938394">
    <w:abstractNumId w:val="10"/>
  </w:num>
  <w:num w:numId="22" w16cid:durableId="297611813">
    <w:abstractNumId w:val="1"/>
  </w:num>
  <w:num w:numId="23" w16cid:durableId="2040622972">
    <w:abstractNumId w:val="26"/>
  </w:num>
  <w:num w:numId="24" w16cid:durableId="1064988647">
    <w:abstractNumId w:val="2"/>
  </w:num>
  <w:num w:numId="25" w16cid:durableId="866866958">
    <w:abstractNumId w:val="22"/>
  </w:num>
  <w:num w:numId="26" w16cid:durableId="150952411">
    <w:abstractNumId w:val="6"/>
  </w:num>
  <w:num w:numId="27" w16cid:durableId="1968122613">
    <w:abstractNumId w:val="7"/>
  </w:num>
  <w:num w:numId="28" w16cid:durableId="922688897">
    <w:abstractNumId w:val="28"/>
  </w:num>
  <w:num w:numId="29" w16cid:durableId="217975941">
    <w:abstractNumId w:val="25"/>
  </w:num>
  <w:num w:numId="30" w16cid:durableId="2030835467">
    <w:abstractNumId w:val="15"/>
  </w:num>
  <w:num w:numId="31" w16cid:durableId="1056469155">
    <w:abstractNumId w:val="24"/>
  </w:num>
  <w:num w:numId="32" w16cid:durableId="1927152427">
    <w:abstractNumId w:val="14"/>
  </w:num>
  <w:num w:numId="33" w16cid:durableId="853156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A8"/>
    <w:rsid w:val="00025E87"/>
    <w:rsid w:val="00034D42"/>
    <w:rsid w:val="0004553D"/>
    <w:rsid w:val="00045CAB"/>
    <w:rsid w:val="0006780C"/>
    <w:rsid w:val="000808CE"/>
    <w:rsid w:val="000864FD"/>
    <w:rsid w:val="00095E79"/>
    <w:rsid w:val="000A383A"/>
    <w:rsid w:val="000B1894"/>
    <w:rsid w:val="000B5BA4"/>
    <w:rsid w:val="000D1DD2"/>
    <w:rsid w:val="000D20DA"/>
    <w:rsid w:val="000D3A3D"/>
    <w:rsid w:val="000D469B"/>
    <w:rsid w:val="00111DC9"/>
    <w:rsid w:val="00113AAE"/>
    <w:rsid w:val="00117191"/>
    <w:rsid w:val="00117921"/>
    <w:rsid w:val="0012703F"/>
    <w:rsid w:val="0013457E"/>
    <w:rsid w:val="00141C48"/>
    <w:rsid w:val="00152F7C"/>
    <w:rsid w:val="00166098"/>
    <w:rsid w:val="0017199E"/>
    <w:rsid w:val="00196D06"/>
    <w:rsid w:val="00197482"/>
    <w:rsid w:val="001A0BE1"/>
    <w:rsid w:val="001A1BF7"/>
    <w:rsid w:val="001B1484"/>
    <w:rsid w:val="001B72C0"/>
    <w:rsid w:val="001D3E9F"/>
    <w:rsid w:val="001E132C"/>
    <w:rsid w:val="001F3D03"/>
    <w:rsid w:val="00215D4F"/>
    <w:rsid w:val="00220942"/>
    <w:rsid w:val="00222055"/>
    <w:rsid w:val="00222566"/>
    <w:rsid w:val="002256A5"/>
    <w:rsid w:val="002431FC"/>
    <w:rsid w:val="00263121"/>
    <w:rsid w:val="00265155"/>
    <w:rsid w:val="00274133"/>
    <w:rsid w:val="00292618"/>
    <w:rsid w:val="00292D9E"/>
    <w:rsid w:val="002937CC"/>
    <w:rsid w:val="002A139D"/>
    <w:rsid w:val="002C2166"/>
    <w:rsid w:val="002D6D36"/>
    <w:rsid w:val="002E4135"/>
    <w:rsid w:val="002F5C2B"/>
    <w:rsid w:val="002F7077"/>
    <w:rsid w:val="00313E5C"/>
    <w:rsid w:val="00327F05"/>
    <w:rsid w:val="003375F5"/>
    <w:rsid w:val="00364B63"/>
    <w:rsid w:val="00370526"/>
    <w:rsid w:val="0038196A"/>
    <w:rsid w:val="00393806"/>
    <w:rsid w:val="003C0DF4"/>
    <w:rsid w:val="003D1E0C"/>
    <w:rsid w:val="003F4B24"/>
    <w:rsid w:val="003F71BA"/>
    <w:rsid w:val="003F7C69"/>
    <w:rsid w:val="004015CF"/>
    <w:rsid w:val="00407200"/>
    <w:rsid w:val="00410F7B"/>
    <w:rsid w:val="004305D3"/>
    <w:rsid w:val="00431A8A"/>
    <w:rsid w:val="0044359D"/>
    <w:rsid w:val="004556E7"/>
    <w:rsid w:val="004858CC"/>
    <w:rsid w:val="00493C0A"/>
    <w:rsid w:val="004958CA"/>
    <w:rsid w:val="004A6349"/>
    <w:rsid w:val="004B0EA4"/>
    <w:rsid w:val="004C0967"/>
    <w:rsid w:val="004C6503"/>
    <w:rsid w:val="004D7F05"/>
    <w:rsid w:val="004F3271"/>
    <w:rsid w:val="004F699B"/>
    <w:rsid w:val="00502A24"/>
    <w:rsid w:val="00503DD7"/>
    <w:rsid w:val="0052764F"/>
    <w:rsid w:val="00531A9C"/>
    <w:rsid w:val="00533112"/>
    <w:rsid w:val="00561D93"/>
    <w:rsid w:val="00584F86"/>
    <w:rsid w:val="005878CA"/>
    <w:rsid w:val="005909EA"/>
    <w:rsid w:val="005A107D"/>
    <w:rsid w:val="005C6FD1"/>
    <w:rsid w:val="005D3D03"/>
    <w:rsid w:val="005D6532"/>
    <w:rsid w:val="005E30C5"/>
    <w:rsid w:val="005F6AAA"/>
    <w:rsid w:val="00600D8E"/>
    <w:rsid w:val="00607DA6"/>
    <w:rsid w:val="00613A3F"/>
    <w:rsid w:val="00616037"/>
    <w:rsid w:val="0062114E"/>
    <w:rsid w:val="00635A96"/>
    <w:rsid w:val="00666FE2"/>
    <w:rsid w:val="0068462C"/>
    <w:rsid w:val="00687362"/>
    <w:rsid w:val="006968C3"/>
    <w:rsid w:val="006A7448"/>
    <w:rsid w:val="006B0E86"/>
    <w:rsid w:val="006B77EE"/>
    <w:rsid w:val="006F1ECE"/>
    <w:rsid w:val="00703659"/>
    <w:rsid w:val="007047A4"/>
    <w:rsid w:val="00710C76"/>
    <w:rsid w:val="00711CD3"/>
    <w:rsid w:val="0071511A"/>
    <w:rsid w:val="007470A0"/>
    <w:rsid w:val="00766C7B"/>
    <w:rsid w:val="007904A8"/>
    <w:rsid w:val="00792D4A"/>
    <w:rsid w:val="00793172"/>
    <w:rsid w:val="007A6387"/>
    <w:rsid w:val="007B5BEF"/>
    <w:rsid w:val="007B7261"/>
    <w:rsid w:val="007E79F5"/>
    <w:rsid w:val="00813A6E"/>
    <w:rsid w:val="0082530A"/>
    <w:rsid w:val="008317D9"/>
    <w:rsid w:val="0085032D"/>
    <w:rsid w:val="008643D6"/>
    <w:rsid w:val="008862A0"/>
    <w:rsid w:val="008B62F7"/>
    <w:rsid w:val="008E5880"/>
    <w:rsid w:val="00932CCB"/>
    <w:rsid w:val="00934437"/>
    <w:rsid w:val="00941531"/>
    <w:rsid w:val="0096646B"/>
    <w:rsid w:val="00973697"/>
    <w:rsid w:val="00974B20"/>
    <w:rsid w:val="00997A18"/>
    <w:rsid w:val="00997DD8"/>
    <w:rsid w:val="009A64D0"/>
    <w:rsid w:val="009E5A80"/>
    <w:rsid w:val="009E6B1B"/>
    <w:rsid w:val="009F5AF3"/>
    <w:rsid w:val="009F5B29"/>
    <w:rsid w:val="009F6988"/>
    <w:rsid w:val="00A10D68"/>
    <w:rsid w:val="00A15F7E"/>
    <w:rsid w:val="00A35A5B"/>
    <w:rsid w:val="00A36A34"/>
    <w:rsid w:val="00A50166"/>
    <w:rsid w:val="00A544DC"/>
    <w:rsid w:val="00A63A38"/>
    <w:rsid w:val="00A812B4"/>
    <w:rsid w:val="00A948C8"/>
    <w:rsid w:val="00AC006F"/>
    <w:rsid w:val="00AC7F37"/>
    <w:rsid w:val="00AD1DDC"/>
    <w:rsid w:val="00AE730E"/>
    <w:rsid w:val="00AF440F"/>
    <w:rsid w:val="00B0279E"/>
    <w:rsid w:val="00B04B88"/>
    <w:rsid w:val="00B1394A"/>
    <w:rsid w:val="00B15F39"/>
    <w:rsid w:val="00B226EA"/>
    <w:rsid w:val="00B44953"/>
    <w:rsid w:val="00B50688"/>
    <w:rsid w:val="00B56BE7"/>
    <w:rsid w:val="00B650AD"/>
    <w:rsid w:val="00B835EA"/>
    <w:rsid w:val="00B83FC6"/>
    <w:rsid w:val="00B90DC6"/>
    <w:rsid w:val="00B917BB"/>
    <w:rsid w:val="00B94851"/>
    <w:rsid w:val="00B96AEA"/>
    <w:rsid w:val="00BA2364"/>
    <w:rsid w:val="00BA2E79"/>
    <w:rsid w:val="00BB34D8"/>
    <w:rsid w:val="00BD1BF7"/>
    <w:rsid w:val="00BD4911"/>
    <w:rsid w:val="00BE0639"/>
    <w:rsid w:val="00C01986"/>
    <w:rsid w:val="00C400EF"/>
    <w:rsid w:val="00C447A5"/>
    <w:rsid w:val="00C55FEB"/>
    <w:rsid w:val="00C648B6"/>
    <w:rsid w:val="00C6635E"/>
    <w:rsid w:val="00C66DA7"/>
    <w:rsid w:val="00C80EA0"/>
    <w:rsid w:val="00C823D6"/>
    <w:rsid w:val="00C855A6"/>
    <w:rsid w:val="00C920ED"/>
    <w:rsid w:val="00C978D1"/>
    <w:rsid w:val="00CA1676"/>
    <w:rsid w:val="00CB0CC9"/>
    <w:rsid w:val="00CB3C8A"/>
    <w:rsid w:val="00CC6A73"/>
    <w:rsid w:val="00D030BC"/>
    <w:rsid w:val="00D221CA"/>
    <w:rsid w:val="00D41FB3"/>
    <w:rsid w:val="00D51846"/>
    <w:rsid w:val="00D56C14"/>
    <w:rsid w:val="00DA629C"/>
    <w:rsid w:val="00DB00B1"/>
    <w:rsid w:val="00DC19D0"/>
    <w:rsid w:val="00E021AF"/>
    <w:rsid w:val="00E0379A"/>
    <w:rsid w:val="00E10EAD"/>
    <w:rsid w:val="00E50A45"/>
    <w:rsid w:val="00E64239"/>
    <w:rsid w:val="00E85CEB"/>
    <w:rsid w:val="00EA02FE"/>
    <w:rsid w:val="00EA0A73"/>
    <w:rsid w:val="00EB271F"/>
    <w:rsid w:val="00EE4573"/>
    <w:rsid w:val="00EF249A"/>
    <w:rsid w:val="00F1519E"/>
    <w:rsid w:val="00F15617"/>
    <w:rsid w:val="00F24613"/>
    <w:rsid w:val="00F51E50"/>
    <w:rsid w:val="00F579FD"/>
    <w:rsid w:val="00F61D8F"/>
    <w:rsid w:val="00F65A70"/>
    <w:rsid w:val="00F85A2A"/>
    <w:rsid w:val="00F85D6C"/>
    <w:rsid w:val="00F93156"/>
    <w:rsid w:val="00FA5C62"/>
    <w:rsid w:val="00FB77F0"/>
    <w:rsid w:val="00FD4D06"/>
    <w:rsid w:val="00FF4C7B"/>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1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color w:val="000000"/>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color w:val="000000"/>
      <w:sz w:val="24"/>
    </w:rPr>
  </w:style>
  <w:style w:type="paragraph" w:styleId="Heading5">
    <w:name w:val="heading 5"/>
    <w:basedOn w:val="Normal"/>
    <w:next w:val="Normal"/>
    <w:qFormat/>
    <w:pPr>
      <w:keepNext/>
      <w:ind w:left="720"/>
      <w:jc w:val="center"/>
      <w:outlineLvl w:val="4"/>
    </w:pPr>
    <w:rPr>
      <w:b/>
      <w:bCs/>
      <w:sz w:val="24"/>
    </w:rPr>
  </w:style>
  <w:style w:type="paragraph" w:styleId="Heading6">
    <w:name w:val="heading 6"/>
    <w:basedOn w:val="Normal"/>
    <w:next w:val="Normal"/>
    <w:qFormat/>
    <w:pPr>
      <w:keepNext/>
      <w:overflowPunct/>
      <w:autoSpaceDE/>
      <w:autoSpaceDN/>
      <w:adjustRightInd/>
      <w:jc w:val="center"/>
      <w:textAlignment w:val="auto"/>
      <w:outlineLvl w:val="5"/>
    </w:pPr>
    <w:rPr>
      <w:b/>
      <w:bCs/>
      <w:sz w:val="24"/>
    </w:rPr>
  </w:style>
  <w:style w:type="paragraph" w:styleId="Heading7">
    <w:name w:val="heading 7"/>
    <w:basedOn w:val="Normal"/>
    <w:next w:val="Normal"/>
    <w:qFormat/>
    <w:pPr>
      <w:keepNext/>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keepLines/>
      <w:spacing w:after="80"/>
      <w:ind w:left="630"/>
    </w:pPr>
    <w:rPr>
      <w:sz w:val="24"/>
    </w:rPr>
  </w:style>
  <w:style w:type="paragraph" w:styleId="BodyTextIndent2">
    <w:name w:val="Body Text Indent 2"/>
    <w:basedOn w:val="Normal"/>
    <w:semiHidden/>
    <w:pPr>
      <w:ind w:left="360"/>
    </w:pPr>
    <w:rPr>
      <w:sz w:val="24"/>
    </w:rPr>
  </w:style>
  <w:style w:type="paragraph" w:styleId="BodyText">
    <w:name w:val="Body Text"/>
    <w:basedOn w:val="Normal"/>
    <w:semiHidden/>
    <w:rPr>
      <w:sz w:val="24"/>
    </w:rPr>
  </w:style>
  <w:style w:type="paragraph" w:styleId="BodyTextIndent3">
    <w:name w:val="Body Text Indent 3"/>
    <w:basedOn w:val="Normal"/>
    <w:semiHidden/>
    <w:pPr>
      <w:ind w:left="360" w:firstLine="360"/>
    </w:pPr>
    <w:rPr>
      <w:sz w:val="24"/>
    </w:rPr>
  </w:style>
  <w:style w:type="paragraph" w:styleId="Title">
    <w:name w:val="Title"/>
    <w:basedOn w:val="Normal"/>
    <w:qFormat/>
    <w:pPr>
      <w:jc w:val="center"/>
    </w:pPr>
    <w:rPr>
      <w:rFonts w:ascii="Helvetica" w:hAnsi="Helvetica"/>
      <w:b/>
      <w:sz w:val="28"/>
    </w:rPr>
  </w:style>
  <w:style w:type="paragraph" w:styleId="BalloonText">
    <w:name w:val="Balloon Text"/>
    <w:basedOn w:val="Normal"/>
    <w:link w:val="BalloonTextChar"/>
    <w:uiPriority w:val="99"/>
    <w:semiHidden/>
    <w:unhideWhenUsed/>
    <w:rsid w:val="007904A8"/>
    <w:rPr>
      <w:rFonts w:ascii="Tahoma" w:hAnsi="Tahoma" w:cs="Tahoma"/>
      <w:sz w:val="16"/>
      <w:szCs w:val="16"/>
    </w:rPr>
  </w:style>
  <w:style w:type="character" w:customStyle="1" w:styleId="BalloonTextChar">
    <w:name w:val="Balloon Text Char"/>
    <w:link w:val="BalloonText"/>
    <w:uiPriority w:val="99"/>
    <w:semiHidden/>
    <w:rsid w:val="007904A8"/>
    <w:rPr>
      <w:rFonts w:ascii="Tahoma" w:hAnsi="Tahoma" w:cs="Tahoma"/>
      <w:sz w:val="16"/>
      <w:szCs w:val="16"/>
    </w:rPr>
  </w:style>
  <w:style w:type="character" w:styleId="CommentReference">
    <w:name w:val="annotation reference"/>
    <w:uiPriority w:val="99"/>
    <w:semiHidden/>
    <w:unhideWhenUsed/>
    <w:rsid w:val="007904A8"/>
    <w:rPr>
      <w:sz w:val="16"/>
      <w:szCs w:val="16"/>
    </w:rPr>
  </w:style>
  <w:style w:type="paragraph" w:styleId="CommentText">
    <w:name w:val="annotation text"/>
    <w:basedOn w:val="Normal"/>
    <w:link w:val="CommentTextChar"/>
    <w:uiPriority w:val="99"/>
    <w:semiHidden/>
    <w:unhideWhenUsed/>
    <w:rsid w:val="007904A8"/>
  </w:style>
  <w:style w:type="character" w:customStyle="1" w:styleId="CommentTextChar">
    <w:name w:val="Comment Text Char"/>
    <w:basedOn w:val="DefaultParagraphFont"/>
    <w:link w:val="CommentText"/>
    <w:uiPriority w:val="99"/>
    <w:semiHidden/>
    <w:rsid w:val="007904A8"/>
  </w:style>
  <w:style w:type="paragraph" w:styleId="CommentSubject">
    <w:name w:val="annotation subject"/>
    <w:basedOn w:val="CommentText"/>
    <w:next w:val="CommentText"/>
    <w:link w:val="CommentSubjectChar"/>
    <w:uiPriority w:val="99"/>
    <w:semiHidden/>
    <w:unhideWhenUsed/>
    <w:rsid w:val="007904A8"/>
    <w:rPr>
      <w:b/>
      <w:bCs/>
    </w:rPr>
  </w:style>
  <w:style w:type="character" w:customStyle="1" w:styleId="CommentSubjectChar">
    <w:name w:val="Comment Subject Char"/>
    <w:link w:val="CommentSubject"/>
    <w:uiPriority w:val="99"/>
    <w:semiHidden/>
    <w:rsid w:val="007904A8"/>
    <w:rPr>
      <w:b/>
      <w:bCs/>
    </w:rPr>
  </w:style>
  <w:style w:type="paragraph" w:styleId="Revision">
    <w:name w:val="Revision"/>
    <w:hidden/>
    <w:uiPriority w:val="99"/>
    <w:semiHidden/>
    <w:rsid w:val="00034D42"/>
  </w:style>
  <w:style w:type="paragraph" w:styleId="ListParagraph">
    <w:name w:val="List Paragraph"/>
    <w:basedOn w:val="Normal"/>
    <w:uiPriority w:val="34"/>
    <w:qFormat/>
    <w:rsid w:val="002C2166"/>
    <w:pPr>
      <w:ind w:left="720"/>
    </w:pPr>
  </w:style>
  <w:style w:type="paragraph" w:customStyle="1" w:styleId="Default">
    <w:name w:val="Default"/>
    <w:rsid w:val="001719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2838</Clear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3120E-BF5D-4D85-AC65-48857F9B9518}">
  <ds:schemaRefs>
    <ds:schemaRef ds:uri="http://schemas.microsoft.com/sharepoint/events"/>
  </ds:schemaRefs>
</ds:datastoreItem>
</file>

<file path=customXml/itemProps2.xml><?xml version="1.0" encoding="utf-8"?>
<ds:datastoreItem xmlns:ds="http://schemas.openxmlformats.org/officeDocument/2006/customXml" ds:itemID="{6B0BCC29-FEF7-4DBD-A038-0EB3E4630F67}">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754A5EF7-8A00-461D-B899-4F022DA9ACF8}">
  <ds:schemaRefs>
    <ds:schemaRef ds:uri="http://schemas.microsoft.com/sharepoint/v3/contenttype/forms"/>
  </ds:schemaRefs>
</ds:datastoreItem>
</file>

<file path=customXml/itemProps4.xml><?xml version="1.0" encoding="utf-8"?>
<ds:datastoreItem xmlns:ds="http://schemas.openxmlformats.org/officeDocument/2006/customXml" ds:itemID="{7B5598BA-BC66-4027-87BC-F2332B524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06662-8CF2-45CB-9CC8-5F7A2CB21FA7}">
  <ds:schemaRefs>
    <ds:schemaRef ds:uri="http://schemas.microsoft.com/office/2006/metadata/longProperties"/>
  </ds:schemaRefs>
</ds:datastoreItem>
</file>

<file path=customXml/itemProps6.xml><?xml version="1.0" encoding="utf-8"?>
<ds:datastoreItem xmlns:ds="http://schemas.openxmlformats.org/officeDocument/2006/customXml" ds:itemID="{2A29E35F-3DDD-472A-845E-823C9120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2022-06-30T19:53:00Z</dcterms:created>
  <dcterms:modified xsi:type="dcterms:W3CDTF">2022-06-30T19:53:00Z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KG_ID">
    <vt:lpwstr>325.000000000000</vt:lpwstr>
  </property>
  <property fmtid="{D5CDD505-2E9C-101B-9397-08002B2CF9AE}" pid="4" name="FolderPath">
    <vt:lpwstr>/Concurrence DL/FMD/83-I for Support for Payment Vouchers PRA/83-I and Supporting Statement 20220124.doc</vt:lpwstr>
  </property>
  <property fmtid="{D5CDD505-2E9C-101B-9397-08002B2CF9AE}" pid="5" name="IsFolder">
    <vt:lpwstr>0</vt:lpwstr>
  </property>
</Properties>
</file>