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D10" w:rsidP="00584625" w:rsidRDefault="00463D10" w14:paraId="6A0B8E1F"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SUPPORTING STATEMENT</w:t>
      </w:r>
    </w:p>
    <w:p w:rsidRPr="00F61C47" w:rsidR="00463D10" w:rsidP="00584625" w:rsidRDefault="009808B9" w14:paraId="6A0B8E20" w14:textId="1143A5CE">
      <w:pPr>
        <w:spacing w:after="0" w:line="240" w:lineRule="auto"/>
        <w:jc w:val="center"/>
        <w:rPr>
          <w:rFonts w:ascii="Arial" w:hAnsi="Arial" w:eastAsia="Times New Roman" w:cs="Arial"/>
          <w:b/>
          <w:color w:val="000000" w:themeColor="text1"/>
          <w:sz w:val="24"/>
          <w:szCs w:val="24"/>
        </w:rPr>
      </w:pPr>
      <w:r w:rsidRPr="00F61C47">
        <w:rPr>
          <w:rFonts w:ascii="Arial" w:hAnsi="Arial" w:eastAsia="Times New Roman" w:cs="Arial"/>
          <w:b/>
          <w:color w:val="000000" w:themeColor="text1"/>
          <w:sz w:val="24"/>
          <w:szCs w:val="24"/>
        </w:rPr>
        <w:t xml:space="preserve">FNMA Forms 1004, 1004C, </w:t>
      </w:r>
      <w:r w:rsidRPr="00F61C47" w:rsidR="006F0BA3">
        <w:rPr>
          <w:rFonts w:ascii="Arial" w:hAnsi="Arial" w:eastAsia="Times New Roman" w:cs="Arial"/>
          <w:b/>
          <w:color w:val="000000" w:themeColor="text1"/>
          <w:sz w:val="24"/>
          <w:szCs w:val="24"/>
        </w:rPr>
        <w:t>1025, 2055 and 1075</w:t>
      </w:r>
    </w:p>
    <w:p w:rsidR="00AF2080" w:rsidP="00584625" w:rsidRDefault="00463D10" w14:paraId="3BE82B84" w14:textId="247E33C7">
      <w:pPr>
        <w:spacing w:after="0" w:line="240" w:lineRule="auto"/>
        <w:jc w:val="center"/>
        <w:rPr>
          <w:rFonts w:ascii="Arial" w:hAnsi="Arial" w:eastAsia="Times New Roman" w:cs="Arial"/>
          <w:b/>
          <w:color w:val="C00000"/>
          <w:sz w:val="24"/>
          <w:szCs w:val="24"/>
        </w:rPr>
      </w:pPr>
      <w:r>
        <w:rPr>
          <w:rFonts w:ascii="Arial" w:hAnsi="Arial" w:eastAsia="Times New Roman" w:cs="Arial"/>
          <w:b/>
          <w:sz w:val="24"/>
          <w:szCs w:val="24"/>
        </w:rPr>
        <w:t>OMB 2900</w:t>
      </w:r>
      <w:r w:rsidRPr="00AF2080" w:rsidR="00584625">
        <w:rPr>
          <w:rFonts w:ascii="Arial" w:hAnsi="Arial" w:eastAsia="Times New Roman" w:cs="Arial"/>
          <w:b/>
          <w:color w:val="000000" w:themeColor="text1"/>
          <w:sz w:val="24"/>
          <w:szCs w:val="24"/>
        </w:rPr>
        <w:t xml:space="preserve">- </w:t>
      </w:r>
      <w:r w:rsidR="009824AD">
        <w:rPr>
          <w:rFonts w:ascii="Arial" w:hAnsi="Arial" w:eastAsia="Times New Roman" w:cs="Arial"/>
          <w:b/>
          <w:color w:val="000000" w:themeColor="text1"/>
          <w:sz w:val="24"/>
          <w:szCs w:val="24"/>
        </w:rPr>
        <w:t>0890</w:t>
      </w:r>
    </w:p>
    <w:p w:rsidR="00463D10" w:rsidP="00584625" w:rsidRDefault="00463D10" w14:paraId="6A0B8E21" w14:textId="29D8F988">
      <w:pPr>
        <w:spacing w:after="0" w:line="240" w:lineRule="auto"/>
        <w:jc w:val="center"/>
        <w:rPr>
          <w:rFonts w:ascii="Arial" w:hAnsi="Arial" w:eastAsia="Times New Roman" w:cs="Arial"/>
          <w:sz w:val="24"/>
          <w:szCs w:val="24"/>
        </w:rPr>
      </w:pPr>
      <w:r>
        <w:rPr>
          <w:rFonts w:ascii="Arial" w:hAnsi="Arial" w:eastAsia="Times New Roman" w:cs="Arial"/>
          <w:b/>
          <w:sz w:val="24"/>
          <w:szCs w:val="24"/>
        </w:rPr>
        <w:br/>
      </w:r>
    </w:p>
    <w:p w:rsidR="00463D10" w:rsidP="00C50F64" w:rsidRDefault="00463D10" w14:paraId="6A0B8E22" w14:textId="77777777">
      <w:pPr>
        <w:tabs>
          <w:tab w:val="left" w:pos="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C50F64" w:rsidRDefault="00463D10" w14:paraId="6A0B8E23" w14:textId="77777777">
      <w:pPr>
        <w:tabs>
          <w:tab w:val="left" w:pos="0"/>
          <w:tab w:val="right" w:pos="8640"/>
        </w:tabs>
        <w:spacing w:after="0" w:line="240" w:lineRule="auto"/>
        <w:ind w:right="684"/>
        <w:rPr>
          <w:rFonts w:ascii="Arial" w:hAnsi="Arial" w:eastAsia="Times New Roman" w:cs="Arial"/>
          <w:b/>
          <w:sz w:val="24"/>
          <w:szCs w:val="24"/>
        </w:rPr>
      </w:pPr>
    </w:p>
    <w:p w:rsidRPr="00584625" w:rsidR="00463D10" w:rsidP="00584625" w:rsidRDefault="00463D10" w14:paraId="6A0B8E24"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sidRPr="00584625">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C50F64" w:rsidRDefault="00463D10" w14:paraId="6A0B8E25"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C163A0" w:rsidP="00E069F5" w:rsidRDefault="00E069F5" w14:paraId="12510EA5" w14:textId="27AA129E">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This information collection package seeks approval of </w:t>
      </w:r>
      <w:r w:rsidRPr="004310F8" w:rsidR="004310F8">
        <w:rPr>
          <w:rFonts w:ascii="Arial" w:hAnsi="Arial" w:eastAsia="Times New Roman" w:cs="Arial"/>
          <w:color w:val="000000" w:themeColor="text1"/>
          <w:sz w:val="24"/>
          <w:szCs w:val="24"/>
        </w:rPr>
        <w:t>Department of Veterans Affairs</w:t>
      </w:r>
      <w:r w:rsidR="004310F8">
        <w:rPr>
          <w:rFonts w:ascii="Arial" w:hAnsi="Arial" w:eastAsia="Times New Roman" w:cs="Arial"/>
          <w:color w:val="000000" w:themeColor="text1"/>
          <w:sz w:val="24"/>
          <w:szCs w:val="24"/>
        </w:rPr>
        <w:t xml:space="preserve"> (</w:t>
      </w:r>
      <w:r>
        <w:rPr>
          <w:rFonts w:ascii="Arial" w:hAnsi="Arial" w:eastAsia="Times New Roman" w:cs="Arial"/>
          <w:color w:val="000000" w:themeColor="text1"/>
          <w:sz w:val="24"/>
          <w:szCs w:val="24"/>
        </w:rPr>
        <w:t>VA</w:t>
      </w:r>
      <w:r w:rsidR="004310F8">
        <w:rPr>
          <w:rFonts w:ascii="Arial" w:hAnsi="Arial" w:eastAsia="Times New Roman" w:cs="Arial"/>
          <w:color w:val="000000" w:themeColor="text1"/>
          <w:sz w:val="24"/>
          <w:szCs w:val="24"/>
        </w:rPr>
        <w:t>)</w:t>
      </w:r>
      <w:r>
        <w:rPr>
          <w:rFonts w:ascii="Arial" w:hAnsi="Arial" w:eastAsia="Times New Roman" w:cs="Arial"/>
          <w:color w:val="000000" w:themeColor="text1"/>
          <w:sz w:val="24"/>
          <w:szCs w:val="24"/>
        </w:rPr>
        <w:t xml:space="preserve"> requirement that appraisers utilize certain industry-standard forms in completing an appraisal. </w:t>
      </w:r>
      <w:r w:rsidRPr="42C3A965">
        <w:rPr>
          <w:rFonts w:ascii="Arial" w:hAnsi="Arial" w:eastAsia="Times New Roman" w:cs="Arial"/>
          <w:color w:val="000000" w:themeColor="text1"/>
          <w:sz w:val="24"/>
          <w:szCs w:val="24"/>
        </w:rPr>
        <w:t>38 U</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S</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C</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 xml:space="preserve"> 3731 </w:t>
      </w:r>
      <w:r>
        <w:rPr>
          <w:rFonts w:ascii="Arial" w:hAnsi="Arial" w:eastAsia="Times New Roman" w:cs="Arial"/>
          <w:color w:val="000000" w:themeColor="text1"/>
          <w:sz w:val="24"/>
          <w:szCs w:val="24"/>
        </w:rPr>
        <w:t>authorizes</w:t>
      </w:r>
      <w:r w:rsidRPr="42C3A965">
        <w:rPr>
          <w:rFonts w:ascii="Arial" w:hAnsi="Arial" w:eastAsia="Times New Roman" w:cs="Arial"/>
          <w:color w:val="000000" w:themeColor="text1"/>
          <w:sz w:val="24"/>
          <w:szCs w:val="24"/>
        </w:rPr>
        <w:t xml:space="preserve"> the VA Secretary </w:t>
      </w:r>
      <w:r>
        <w:rPr>
          <w:rFonts w:ascii="Arial" w:hAnsi="Arial" w:eastAsia="Times New Roman" w:cs="Arial"/>
          <w:color w:val="000000" w:themeColor="text1"/>
          <w:sz w:val="24"/>
          <w:szCs w:val="24"/>
        </w:rPr>
        <w:t>to</w:t>
      </w:r>
      <w:r w:rsidRPr="42C3A965">
        <w:rPr>
          <w:rFonts w:ascii="Arial" w:hAnsi="Arial" w:eastAsia="Times New Roman" w:cs="Arial"/>
          <w:color w:val="000000" w:themeColor="text1"/>
          <w:sz w:val="24"/>
          <w:szCs w:val="24"/>
        </w:rPr>
        <w:t xml:space="preserve"> establish a panel of appraisers</w:t>
      </w:r>
      <w:r>
        <w:rPr>
          <w:rFonts w:ascii="Arial" w:hAnsi="Arial" w:eastAsia="Times New Roman" w:cs="Arial"/>
          <w:color w:val="000000" w:themeColor="text1"/>
          <w:sz w:val="24"/>
          <w:szCs w:val="24"/>
        </w:rPr>
        <w:t xml:space="preserve">, prescribe qualifications for such appraisers, and </w:t>
      </w:r>
      <w:r w:rsidR="00C163A0">
        <w:rPr>
          <w:rFonts w:ascii="Arial" w:hAnsi="Arial" w:eastAsia="Times New Roman" w:cs="Arial"/>
          <w:color w:val="000000" w:themeColor="text1"/>
          <w:sz w:val="24"/>
          <w:szCs w:val="24"/>
        </w:rPr>
        <w:t xml:space="preserve">determine reasonable value of a property, construction, repairs or alterations based on an appraisal report provided by a panel appraiser for the purpose of guaranteeing a loan. </w:t>
      </w:r>
    </w:p>
    <w:p w:rsidR="00363ED0" w:rsidP="00E069F5" w:rsidRDefault="00363ED0" w14:paraId="4E552CE5" w14:textId="293667BA">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p>
    <w:p w:rsidRPr="00951AFA" w:rsidR="00363ED0" w:rsidP="00C8256B" w:rsidRDefault="00C8256B" w14:paraId="273611FB" w14:textId="0A463DD6">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bookmarkStart w:name="_Hlk71627894" w:id="0"/>
      <w:r>
        <w:rPr>
          <w:rFonts w:ascii="Arial" w:hAnsi="Arial" w:eastAsia="Times New Roman" w:cs="Arial"/>
          <w:color w:val="000000" w:themeColor="text1"/>
          <w:sz w:val="24"/>
          <w:szCs w:val="24"/>
        </w:rPr>
        <w:t>VA is requesting</w:t>
      </w:r>
      <w:r w:rsidR="00C93B7B">
        <w:rPr>
          <w:rFonts w:ascii="Arial" w:hAnsi="Arial" w:eastAsia="Times New Roman" w:cs="Arial"/>
          <w:color w:val="000000" w:themeColor="text1"/>
          <w:sz w:val="24"/>
          <w:szCs w:val="24"/>
        </w:rPr>
        <w:t xml:space="preserve"> </w:t>
      </w:r>
      <w:r>
        <w:rPr>
          <w:rFonts w:ascii="Arial" w:hAnsi="Arial" w:eastAsia="Times New Roman" w:cs="Arial"/>
          <w:color w:val="000000" w:themeColor="text1"/>
          <w:sz w:val="24"/>
          <w:szCs w:val="24"/>
        </w:rPr>
        <w:t>approval to authorize collection of these forms because a</w:t>
      </w:r>
      <w:r w:rsidRPr="00951AFA" w:rsidR="00363ED0">
        <w:rPr>
          <w:rFonts w:ascii="Arial" w:hAnsi="Arial" w:eastAsia="Times New Roman" w:cs="Arial"/>
          <w:color w:val="000000" w:themeColor="text1"/>
          <w:sz w:val="24"/>
          <w:szCs w:val="24"/>
        </w:rPr>
        <w:t xml:space="preserve">ccurate and thorough appraisal reporting is critical to the accuracy of underwriting for the mortgage insurance process. </w:t>
      </w:r>
      <w:r w:rsidR="00821DB5">
        <w:rPr>
          <w:rFonts w:ascii="Arial" w:hAnsi="Arial" w:eastAsia="Times New Roman" w:cs="Arial"/>
          <w:color w:val="000000" w:themeColor="text1"/>
          <w:sz w:val="24"/>
          <w:szCs w:val="24"/>
        </w:rPr>
        <w:t xml:space="preserve">Additionally, VA is looking to expand the list of authorized forms for use due to ongoing needs related to the pandemic. </w:t>
      </w:r>
      <w:r w:rsidRPr="00951AFA" w:rsidR="00363ED0">
        <w:rPr>
          <w:rFonts w:ascii="Arial" w:hAnsi="Arial" w:eastAsia="Times New Roman" w:cs="Arial"/>
          <w:color w:val="000000" w:themeColor="text1"/>
          <w:sz w:val="24"/>
          <w:szCs w:val="24"/>
        </w:rPr>
        <w:t>This collection of information provides a more thorough and complete appraisal of prospective VA-guaranteed properties ensuring that mortgages are acceptable for VA guarantee and thereby protect the interest of VA, taxpayers, and the Veterans Housing Benefit Program Fund. Policies and procedures for governing the VA appraisal program are set forth in Chapter 36, Title 38 of the CFR.</w:t>
      </w:r>
      <w:r>
        <w:rPr>
          <w:rFonts w:ascii="Arial" w:hAnsi="Arial" w:eastAsia="Times New Roman" w:cs="Arial"/>
          <w:color w:val="000000" w:themeColor="text1"/>
          <w:sz w:val="24"/>
          <w:szCs w:val="24"/>
        </w:rPr>
        <w:t xml:space="preserve"> </w:t>
      </w:r>
    </w:p>
    <w:bookmarkEnd w:id="0"/>
    <w:p w:rsidR="00C163A0" w:rsidP="00E069F5" w:rsidRDefault="00C163A0" w14:paraId="33F9ADB9" w14:textId="3AE053C7">
      <w:pPr>
        <w:pStyle w:val="ListParagraph"/>
        <w:tabs>
          <w:tab w:val="left" w:pos="900"/>
          <w:tab w:val="right" w:pos="8640"/>
        </w:tabs>
        <w:spacing w:after="0" w:line="240" w:lineRule="auto"/>
        <w:ind w:right="-90"/>
        <w:rPr>
          <w:rFonts w:ascii="Arial" w:hAnsi="Arial" w:eastAsia="Times New Roman" w:cs="Arial"/>
          <w:color w:val="000000" w:themeColor="text1"/>
          <w:sz w:val="24"/>
          <w:szCs w:val="24"/>
        </w:rPr>
      </w:pPr>
    </w:p>
    <w:p w:rsidR="00463D10" w:rsidP="00584625" w:rsidRDefault="00463D10" w14:paraId="6A0B8E29"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584625" w:rsidP="00584625" w:rsidRDefault="00584625" w14:paraId="7CB17ADC" w14:textId="14BD697F">
      <w:pPr>
        <w:tabs>
          <w:tab w:val="left" w:pos="0"/>
          <w:tab w:val="left" w:pos="900"/>
          <w:tab w:val="right" w:pos="8640"/>
        </w:tabs>
        <w:spacing w:after="0" w:line="240" w:lineRule="auto"/>
        <w:ind w:right="-90"/>
        <w:contextualSpacing/>
        <w:rPr>
          <w:rFonts w:ascii="Arial" w:hAnsi="Arial" w:eastAsia="Times New Roman" w:cs="Arial"/>
          <w:sz w:val="24"/>
          <w:szCs w:val="24"/>
        </w:rPr>
      </w:pPr>
    </w:p>
    <w:p w:rsidRPr="00F61C47" w:rsidR="00A334A7" w:rsidP="00A334A7" w:rsidRDefault="00A334A7" w14:paraId="14EC8205" w14:textId="35BF58A3">
      <w:pPr>
        <w:pStyle w:val="ListParagraph"/>
        <w:tabs>
          <w:tab w:val="left" w:pos="0"/>
          <w:tab w:val="left" w:pos="900"/>
          <w:tab w:val="right" w:pos="8640"/>
        </w:tabs>
        <w:spacing w:after="0" w:line="240" w:lineRule="auto"/>
        <w:ind w:right="-90"/>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 xml:space="preserve">The appraisal report forms </w:t>
      </w:r>
      <w:r>
        <w:rPr>
          <w:rFonts w:ascii="Arial" w:hAnsi="Arial" w:eastAsia="Times New Roman" w:cs="Arial"/>
          <w:color w:val="000000" w:themeColor="text1"/>
          <w:sz w:val="24"/>
          <w:szCs w:val="24"/>
        </w:rPr>
        <w:t>listed below</w:t>
      </w:r>
      <w:r w:rsidRPr="00F61C47">
        <w:rPr>
          <w:rFonts w:ascii="Arial" w:hAnsi="Arial" w:eastAsia="Times New Roman" w:cs="Arial"/>
          <w:color w:val="000000" w:themeColor="text1"/>
          <w:sz w:val="24"/>
          <w:szCs w:val="24"/>
        </w:rPr>
        <w:t xml:space="preserve"> are the most common forms used in real estate appraisal profession</w:t>
      </w:r>
      <w:r w:rsidR="003E64A6">
        <w:rPr>
          <w:rFonts w:ascii="Arial" w:hAnsi="Arial" w:eastAsia="Times New Roman" w:cs="Arial"/>
          <w:color w:val="000000" w:themeColor="text1"/>
          <w:sz w:val="24"/>
          <w:szCs w:val="24"/>
        </w:rPr>
        <w:t xml:space="preserve"> and are industry-standard forms</w:t>
      </w:r>
      <w:r w:rsidRPr="00F61C47">
        <w:rPr>
          <w:rFonts w:ascii="Arial" w:hAnsi="Arial" w:eastAsia="Times New Roman" w:cs="Arial"/>
          <w:color w:val="000000" w:themeColor="text1"/>
          <w:sz w:val="24"/>
          <w:szCs w:val="24"/>
        </w:rPr>
        <w:t xml:space="preserve">. They were created to allow for standard reporting and analysis of single-family, Manufactured homes, Condominiums, and 2-4-unit multi-family dwellings. They are suitable for a building in a planned unit development (PUD). The forms that VA requests the </w:t>
      </w:r>
      <w:r w:rsidR="002730CF">
        <w:rPr>
          <w:rFonts w:ascii="Arial" w:hAnsi="Arial" w:eastAsia="Times New Roman" w:cs="Arial"/>
          <w:color w:val="000000" w:themeColor="text1"/>
          <w:sz w:val="24"/>
          <w:szCs w:val="24"/>
        </w:rPr>
        <w:t>a</w:t>
      </w:r>
      <w:r w:rsidRPr="00F61C47">
        <w:rPr>
          <w:rFonts w:ascii="Arial" w:hAnsi="Arial" w:eastAsia="Times New Roman" w:cs="Arial"/>
          <w:color w:val="000000" w:themeColor="text1"/>
          <w:sz w:val="24"/>
          <w:szCs w:val="24"/>
        </w:rPr>
        <w:t xml:space="preserve">ppraisers provide to VA are industry standard forms based upon the property type. </w:t>
      </w:r>
    </w:p>
    <w:p w:rsidR="00A334A7" w:rsidP="00A334A7" w:rsidRDefault="00A334A7" w14:paraId="5044C50B" w14:textId="77777777">
      <w:pPr>
        <w:tabs>
          <w:tab w:val="left" w:pos="0"/>
          <w:tab w:val="left" w:pos="900"/>
          <w:tab w:val="right" w:pos="8640"/>
        </w:tabs>
        <w:spacing w:after="0" w:line="240" w:lineRule="auto"/>
        <w:ind w:left="990" w:right="-90"/>
        <w:rPr>
          <w:rFonts w:ascii="Arial" w:hAnsi="Arial" w:eastAsia="Times New Roman" w:cs="Arial"/>
          <w:sz w:val="24"/>
          <w:szCs w:val="24"/>
        </w:rPr>
      </w:pPr>
    </w:p>
    <w:p w:rsidR="00463D10" w:rsidP="42C3A965" w:rsidRDefault="00463D10" w14:paraId="6A0B8E2C" w14:textId="1D8716EE">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 xml:space="preserve">VA will </w:t>
      </w:r>
      <w:r w:rsidR="005004CB">
        <w:rPr>
          <w:rFonts w:ascii="Arial" w:hAnsi="Arial" w:eastAsia="Times New Roman" w:cs="Arial"/>
          <w:color w:val="000000" w:themeColor="text1"/>
          <w:sz w:val="24"/>
          <w:szCs w:val="24"/>
        </w:rPr>
        <w:t>collect</w:t>
      </w:r>
      <w:r w:rsidRPr="42C3A965" w:rsidR="005004CB">
        <w:rPr>
          <w:rFonts w:ascii="Arial" w:hAnsi="Arial" w:eastAsia="Times New Roman" w:cs="Arial"/>
          <w:color w:val="000000" w:themeColor="text1"/>
          <w:sz w:val="24"/>
          <w:szCs w:val="24"/>
        </w:rPr>
        <w:t xml:space="preserve"> </w:t>
      </w:r>
      <w:r w:rsidRPr="42C3A965">
        <w:rPr>
          <w:rFonts w:ascii="Arial" w:hAnsi="Arial" w:eastAsia="Times New Roman" w:cs="Arial"/>
          <w:color w:val="000000" w:themeColor="text1"/>
          <w:sz w:val="24"/>
          <w:szCs w:val="24"/>
        </w:rPr>
        <w:t>th</w:t>
      </w:r>
      <w:r w:rsidR="003E64A6">
        <w:rPr>
          <w:rFonts w:ascii="Arial" w:hAnsi="Arial" w:eastAsia="Times New Roman" w:cs="Arial"/>
          <w:color w:val="000000" w:themeColor="text1"/>
          <w:sz w:val="24"/>
          <w:szCs w:val="24"/>
        </w:rPr>
        <w:t>e</w:t>
      </w:r>
      <w:r w:rsidRPr="42C3A965" w:rsidR="002E3B10">
        <w:rPr>
          <w:rFonts w:ascii="Arial" w:hAnsi="Arial" w:eastAsia="Times New Roman" w:cs="Arial"/>
          <w:color w:val="000000" w:themeColor="text1"/>
          <w:sz w:val="24"/>
          <w:szCs w:val="24"/>
        </w:rPr>
        <w:t>s</w:t>
      </w:r>
      <w:r w:rsidR="003E64A6">
        <w:rPr>
          <w:rFonts w:ascii="Arial" w:hAnsi="Arial" w:eastAsia="Times New Roman" w:cs="Arial"/>
          <w:color w:val="000000" w:themeColor="text1"/>
          <w:sz w:val="24"/>
          <w:szCs w:val="24"/>
        </w:rPr>
        <w:t>e</w:t>
      </w:r>
      <w:r w:rsidRPr="42C3A965" w:rsidR="002E3B10">
        <w:rPr>
          <w:rFonts w:ascii="Arial" w:hAnsi="Arial" w:eastAsia="Times New Roman" w:cs="Arial"/>
          <w:color w:val="000000" w:themeColor="text1"/>
          <w:sz w:val="24"/>
          <w:szCs w:val="24"/>
        </w:rPr>
        <w:t xml:space="preserve"> form</w:t>
      </w:r>
      <w:r w:rsidR="003E64A6">
        <w:rPr>
          <w:rFonts w:ascii="Arial" w:hAnsi="Arial" w:eastAsia="Times New Roman" w:cs="Arial"/>
          <w:color w:val="000000" w:themeColor="text1"/>
          <w:sz w:val="24"/>
          <w:szCs w:val="24"/>
        </w:rPr>
        <w:t>s</w:t>
      </w:r>
      <w:r w:rsidRPr="42C3A965" w:rsidR="002E3B10">
        <w:rPr>
          <w:rFonts w:ascii="Arial" w:hAnsi="Arial" w:eastAsia="Times New Roman" w:cs="Arial"/>
          <w:color w:val="000000" w:themeColor="text1"/>
          <w:sz w:val="24"/>
          <w:szCs w:val="24"/>
        </w:rPr>
        <w:t xml:space="preserve"> </w:t>
      </w:r>
      <w:r w:rsidR="005004CB">
        <w:rPr>
          <w:rFonts w:ascii="Arial" w:hAnsi="Arial" w:eastAsia="Times New Roman" w:cs="Arial"/>
          <w:color w:val="000000" w:themeColor="text1"/>
          <w:sz w:val="24"/>
          <w:szCs w:val="24"/>
        </w:rPr>
        <w:t xml:space="preserve">in accordance </w:t>
      </w:r>
      <w:r w:rsidRPr="42C3A965" w:rsidR="00AF2080">
        <w:rPr>
          <w:rFonts w:ascii="Arial" w:hAnsi="Arial" w:eastAsia="Times New Roman" w:cs="Arial"/>
          <w:color w:val="000000" w:themeColor="text1"/>
          <w:sz w:val="24"/>
          <w:szCs w:val="24"/>
        </w:rPr>
        <w:t xml:space="preserve">with </w:t>
      </w:r>
      <w:r w:rsidRPr="42C3A965" w:rsidR="002E3B10">
        <w:rPr>
          <w:rFonts w:ascii="Arial" w:hAnsi="Arial" w:eastAsia="Times New Roman" w:cs="Arial"/>
          <w:color w:val="000000" w:themeColor="text1"/>
          <w:sz w:val="24"/>
          <w:szCs w:val="24"/>
        </w:rPr>
        <w:t>38 U</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S</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C</w:t>
      </w:r>
      <w:r w:rsidR="003E64A6">
        <w:rPr>
          <w:rFonts w:ascii="Arial" w:hAnsi="Arial" w:eastAsia="Times New Roman" w:cs="Arial"/>
          <w:color w:val="000000" w:themeColor="text1"/>
          <w:sz w:val="24"/>
          <w:szCs w:val="24"/>
        </w:rPr>
        <w:t>.</w:t>
      </w:r>
      <w:r w:rsidRPr="42C3A965" w:rsidR="002E3B10">
        <w:rPr>
          <w:rFonts w:ascii="Arial" w:hAnsi="Arial" w:eastAsia="Times New Roman" w:cs="Arial"/>
          <w:color w:val="000000" w:themeColor="text1"/>
          <w:sz w:val="24"/>
          <w:szCs w:val="24"/>
        </w:rPr>
        <w:t xml:space="preserve"> 3731</w:t>
      </w:r>
      <w:r w:rsidR="005004CB">
        <w:rPr>
          <w:rFonts w:ascii="Arial" w:hAnsi="Arial" w:eastAsia="Times New Roman" w:cs="Arial"/>
          <w:color w:val="000000" w:themeColor="text1"/>
          <w:sz w:val="24"/>
          <w:szCs w:val="24"/>
        </w:rPr>
        <w:t>.</w:t>
      </w:r>
      <w:r w:rsidRPr="42C3A965" w:rsidR="1012596E">
        <w:rPr>
          <w:rFonts w:ascii="Arial" w:hAnsi="Arial" w:eastAsia="Times New Roman" w:cs="Arial"/>
          <w:color w:val="000000" w:themeColor="text1"/>
          <w:sz w:val="24"/>
          <w:szCs w:val="24"/>
        </w:rPr>
        <w:t xml:space="preserve"> </w:t>
      </w:r>
      <w:r w:rsidR="006409C6">
        <w:rPr>
          <w:rFonts w:ascii="Arial" w:hAnsi="Arial" w:eastAsia="Times New Roman" w:cs="Arial"/>
          <w:color w:val="000000" w:themeColor="text1"/>
          <w:sz w:val="24"/>
          <w:szCs w:val="24"/>
        </w:rPr>
        <w:t xml:space="preserve">Pursuant to VA statute, regulations, and policies, </w:t>
      </w:r>
      <w:r w:rsidRPr="42C3A965" w:rsidR="3C76763F">
        <w:rPr>
          <w:rFonts w:ascii="Arial" w:hAnsi="Arial" w:eastAsia="Times New Roman" w:cs="Arial"/>
          <w:color w:val="000000" w:themeColor="text1"/>
          <w:sz w:val="24"/>
          <w:szCs w:val="24"/>
        </w:rPr>
        <w:t xml:space="preserve">the appraiser must complete the </w:t>
      </w:r>
      <w:r w:rsidR="006409C6">
        <w:rPr>
          <w:rFonts w:ascii="Arial" w:hAnsi="Arial" w:eastAsia="Times New Roman" w:cs="Arial"/>
          <w:color w:val="000000" w:themeColor="text1"/>
          <w:sz w:val="24"/>
          <w:szCs w:val="24"/>
        </w:rPr>
        <w:t xml:space="preserve">appropriate </w:t>
      </w:r>
      <w:r w:rsidRPr="42C3A965" w:rsidR="7950F041">
        <w:rPr>
          <w:rFonts w:ascii="Arial" w:hAnsi="Arial" w:eastAsia="Times New Roman" w:cs="Arial"/>
          <w:color w:val="000000" w:themeColor="text1"/>
          <w:sz w:val="24"/>
          <w:szCs w:val="24"/>
        </w:rPr>
        <w:t xml:space="preserve">industry accepted </w:t>
      </w:r>
      <w:r w:rsidRPr="42C3A965" w:rsidR="3C76763F">
        <w:rPr>
          <w:rFonts w:ascii="Arial" w:hAnsi="Arial" w:eastAsia="Times New Roman" w:cs="Arial"/>
          <w:color w:val="000000" w:themeColor="text1"/>
          <w:sz w:val="24"/>
          <w:szCs w:val="24"/>
        </w:rPr>
        <w:t xml:space="preserve">appraisal form and send </w:t>
      </w:r>
      <w:r w:rsidR="002730CF">
        <w:rPr>
          <w:rFonts w:ascii="Arial" w:hAnsi="Arial" w:eastAsia="Times New Roman" w:cs="Arial"/>
          <w:color w:val="000000" w:themeColor="text1"/>
          <w:sz w:val="24"/>
          <w:szCs w:val="24"/>
        </w:rPr>
        <w:t>the information to</w:t>
      </w:r>
      <w:r w:rsidRPr="42C3A965" w:rsidR="3C76763F">
        <w:rPr>
          <w:rFonts w:ascii="Arial" w:hAnsi="Arial" w:eastAsia="Times New Roman" w:cs="Arial"/>
          <w:color w:val="000000" w:themeColor="text1"/>
          <w:sz w:val="24"/>
          <w:szCs w:val="24"/>
        </w:rPr>
        <w:t xml:space="preserve"> VA</w:t>
      </w:r>
      <w:r w:rsidRPr="42C3A965" w:rsidR="29B78234">
        <w:rPr>
          <w:rFonts w:ascii="Arial" w:hAnsi="Arial" w:eastAsia="Times New Roman" w:cs="Arial"/>
          <w:color w:val="000000" w:themeColor="text1"/>
          <w:sz w:val="24"/>
          <w:szCs w:val="24"/>
        </w:rPr>
        <w:t xml:space="preserve"> by electronic means, whether it is through an upload, or an </w:t>
      </w:r>
      <w:r w:rsidR="00F9397B">
        <w:rPr>
          <w:rFonts w:ascii="Arial" w:hAnsi="Arial" w:cs="Arial"/>
          <w:color w:val="202124"/>
          <w:shd w:val="clear" w:color="auto" w:fill="FFFFFF"/>
        </w:rPr>
        <w:t>Application Programming Interface</w:t>
      </w:r>
      <w:r w:rsidR="00F9397B">
        <w:rPr>
          <w:rFonts w:ascii="Arial" w:hAnsi="Arial" w:eastAsia="Times New Roman" w:cs="Arial"/>
          <w:color w:val="000000" w:themeColor="text1"/>
          <w:sz w:val="24"/>
          <w:szCs w:val="24"/>
        </w:rPr>
        <w:t xml:space="preserve"> (</w:t>
      </w:r>
      <w:r w:rsidRPr="42C3A965" w:rsidR="29B78234">
        <w:rPr>
          <w:rFonts w:ascii="Arial" w:hAnsi="Arial" w:eastAsia="Times New Roman" w:cs="Arial"/>
          <w:color w:val="000000" w:themeColor="text1"/>
          <w:sz w:val="24"/>
          <w:szCs w:val="24"/>
        </w:rPr>
        <w:t>API</w:t>
      </w:r>
      <w:r w:rsidR="00F9397B">
        <w:rPr>
          <w:rFonts w:ascii="Arial" w:hAnsi="Arial" w:eastAsia="Times New Roman" w:cs="Arial"/>
          <w:color w:val="000000" w:themeColor="text1"/>
          <w:sz w:val="24"/>
          <w:szCs w:val="24"/>
        </w:rPr>
        <w:t>)</w:t>
      </w:r>
      <w:r w:rsidRPr="42C3A965" w:rsidR="29B78234">
        <w:rPr>
          <w:rFonts w:ascii="Arial" w:hAnsi="Arial" w:eastAsia="Times New Roman" w:cs="Arial"/>
          <w:color w:val="000000" w:themeColor="text1"/>
          <w:sz w:val="24"/>
          <w:szCs w:val="24"/>
        </w:rPr>
        <w:t xml:space="preserve"> or </w:t>
      </w:r>
      <w:r w:rsidR="00F9397B">
        <w:rPr>
          <w:rFonts w:ascii="Arial" w:hAnsi="Arial" w:cs="Arial"/>
          <w:color w:val="202124"/>
          <w:shd w:val="clear" w:color="auto" w:fill="FFFFFF"/>
        </w:rPr>
        <w:t>Extensible Markup Language (</w:t>
      </w:r>
      <w:r w:rsidRPr="42C3A965" w:rsidR="29B78234">
        <w:rPr>
          <w:rFonts w:ascii="Arial" w:hAnsi="Arial" w:eastAsia="Times New Roman" w:cs="Arial"/>
          <w:color w:val="000000" w:themeColor="text1"/>
          <w:sz w:val="24"/>
          <w:szCs w:val="24"/>
        </w:rPr>
        <w:t>XML</w:t>
      </w:r>
      <w:r w:rsidR="00F9397B">
        <w:rPr>
          <w:rFonts w:ascii="Arial" w:hAnsi="Arial" w:eastAsia="Times New Roman" w:cs="Arial"/>
          <w:color w:val="000000" w:themeColor="text1"/>
          <w:sz w:val="24"/>
          <w:szCs w:val="24"/>
        </w:rPr>
        <w:t>)</w:t>
      </w:r>
      <w:r w:rsidRPr="42C3A965" w:rsidR="29B78234">
        <w:rPr>
          <w:rFonts w:ascii="Arial" w:hAnsi="Arial" w:eastAsia="Times New Roman" w:cs="Arial"/>
          <w:color w:val="000000" w:themeColor="text1"/>
          <w:sz w:val="24"/>
          <w:szCs w:val="24"/>
        </w:rPr>
        <w:t xml:space="preserve"> </w:t>
      </w:r>
      <w:r w:rsidRPr="42C3A965" w:rsidR="5D9385A6">
        <w:rPr>
          <w:rFonts w:ascii="Arial" w:hAnsi="Arial" w:eastAsia="Times New Roman" w:cs="Arial"/>
          <w:color w:val="000000" w:themeColor="text1"/>
          <w:sz w:val="24"/>
          <w:szCs w:val="24"/>
        </w:rPr>
        <w:t>data ex</w:t>
      </w:r>
      <w:r w:rsidRPr="42C3A965" w:rsidR="29B78234">
        <w:rPr>
          <w:rFonts w:ascii="Arial" w:hAnsi="Arial" w:eastAsia="Times New Roman" w:cs="Arial"/>
          <w:color w:val="000000" w:themeColor="text1"/>
          <w:sz w:val="24"/>
          <w:szCs w:val="24"/>
        </w:rPr>
        <w:t>change</w:t>
      </w:r>
      <w:r w:rsidRPr="42C3A965" w:rsidR="1EB579F1">
        <w:rPr>
          <w:rFonts w:ascii="Arial" w:hAnsi="Arial" w:eastAsia="Times New Roman" w:cs="Arial"/>
          <w:color w:val="000000" w:themeColor="text1"/>
          <w:sz w:val="24"/>
          <w:szCs w:val="24"/>
        </w:rPr>
        <w:t xml:space="preserve"> already in place with </w:t>
      </w:r>
      <w:r w:rsidRPr="42C3A965" w:rsidR="1EB579F1">
        <w:rPr>
          <w:rFonts w:ascii="Arial" w:hAnsi="Arial" w:eastAsia="Times New Roman" w:cs="Arial"/>
          <w:color w:val="000000" w:themeColor="text1"/>
          <w:sz w:val="24"/>
          <w:szCs w:val="24"/>
        </w:rPr>
        <w:lastRenderedPageBreak/>
        <w:t xml:space="preserve">other agencies, and Government Sponsored </w:t>
      </w:r>
      <w:r w:rsidR="009824AD">
        <w:rPr>
          <w:rFonts w:ascii="Arial" w:hAnsi="Arial" w:eastAsia="Times New Roman" w:cs="Arial"/>
          <w:color w:val="000000" w:themeColor="text1"/>
          <w:sz w:val="24"/>
          <w:szCs w:val="24"/>
        </w:rPr>
        <w:t>Enterprises</w:t>
      </w:r>
      <w:r w:rsidRPr="42C3A965" w:rsidR="1EB579F1">
        <w:rPr>
          <w:rFonts w:ascii="Arial" w:hAnsi="Arial" w:eastAsia="Times New Roman" w:cs="Arial"/>
          <w:color w:val="000000" w:themeColor="text1"/>
          <w:sz w:val="24"/>
          <w:szCs w:val="24"/>
        </w:rPr>
        <w:t xml:space="preserve"> (GSEs)</w:t>
      </w:r>
      <w:r w:rsidRPr="42C3A965" w:rsidR="3C76763F">
        <w:rPr>
          <w:rFonts w:ascii="Arial" w:hAnsi="Arial" w:eastAsia="Times New Roman" w:cs="Arial"/>
          <w:color w:val="000000" w:themeColor="text1"/>
          <w:sz w:val="24"/>
          <w:szCs w:val="24"/>
        </w:rPr>
        <w:t xml:space="preserve">. A </w:t>
      </w:r>
      <w:r w:rsidRPr="42C3A965" w:rsidR="71685DB9">
        <w:rPr>
          <w:rFonts w:ascii="Arial" w:hAnsi="Arial" w:eastAsia="Times New Roman" w:cs="Arial"/>
          <w:color w:val="000000" w:themeColor="text1"/>
          <w:sz w:val="24"/>
          <w:szCs w:val="24"/>
        </w:rPr>
        <w:t>VA Staff</w:t>
      </w:r>
      <w:r w:rsidRPr="42C3A965" w:rsidR="00AF2080">
        <w:rPr>
          <w:rFonts w:ascii="Arial" w:hAnsi="Arial" w:eastAsia="Times New Roman" w:cs="Arial"/>
          <w:color w:val="000000" w:themeColor="text1"/>
          <w:sz w:val="24"/>
          <w:szCs w:val="24"/>
        </w:rPr>
        <w:t xml:space="preserve"> </w:t>
      </w:r>
      <w:r w:rsidRPr="42C3A965" w:rsidR="015C6C06">
        <w:rPr>
          <w:rFonts w:ascii="Arial" w:hAnsi="Arial" w:eastAsia="Times New Roman" w:cs="Arial"/>
          <w:color w:val="000000" w:themeColor="text1"/>
          <w:sz w:val="24"/>
          <w:szCs w:val="24"/>
        </w:rPr>
        <w:t xml:space="preserve">Appraiser Reviewer (SAR), or a </w:t>
      </w:r>
      <w:r w:rsidR="002730CF">
        <w:rPr>
          <w:rFonts w:ascii="Arial" w:hAnsi="Arial" w:eastAsia="Times New Roman" w:cs="Arial"/>
          <w:color w:val="000000" w:themeColor="text1"/>
          <w:sz w:val="24"/>
          <w:szCs w:val="24"/>
        </w:rPr>
        <w:t>l</w:t>
      </w:r>
      <w:r w:rsidRPr="42C3A965" w:rsidR="015C6C06">
        <w:rPr>
          <w:rFonts w:ascii="Arial" w:hAnsi="Arial" w:eastAsia="Times New Roman" w:cs="Arial"/>
          <w:color w:val="000000" w:themeColor="text1"/>
          <w:sz w:val="24"/>
          <w:szCs w:val="24"/>
        </w:rPr>
        <w:t>ender delegated to perform the action under the Lender Appraisal Processing Program (LAPP) will issue the Notice of Value (NOV)</w:t>
      </w:r>
      <w:r w:rsidRPr="42C3A965" w:rsidR="588891C7">
        <w:rPr>
          <w:rFonts w:ascii="Arial" w:hAnsi="Arial" w:eastAsia="Times New Roman" w:cs="Arial"/>
          <w:color w:val="000000" w:themeColor="text1"/>
          <w:sz w:val="24"/>
          <w:szCs w:val="24"/>
        </w:rPr>
        <w:t xml:space="preserve">.  </w:t>
      </w:r>
      <w:r w:rsidRPr="42C3A965" w:rsidR="00DA69C0">
        <w:rPr>
          <w:rFonts w:ascii="Arial" w:hAnsi="Arial" w:eastAsia="Times New Roman" w:cs="Arial"/>
          <w:color w:val="000000" w:themeColor="text1"/>
          <w:sz w:val="24"/>
          <w:szCs w:val="24"/>
        </w:rPr>
        <w:t xml:space="preserve">The NOV establishes the </w:t>
      </w:r>
      <w:r w:rsidRPr="42C3A965" w:rsidR="008B6F22">
        <w:rPr>
          <w:rFonts w:ascii="Arial" w:hAnsi="Arial" w:eastAsia="Times New Roman" w:cs="Arial"/>
          <w:color w:val="000000" w:themeColor="text1"/>
          <w:sz w:val="24"/>
          <w:szCs w:val="24"/>
        </w:rPr>
        <w:t>fair market value (FMV) of the property either being purchased or refinanced.</w:t>
      </w:r>
      <w:r w:rsidRPr="42C3A965" w:rsidR="005C18C4">
        <w:rPr>
          <w:rFonts w:ascii="Arial" w:hAnsi="Arial" w:eastAsia="Times New Roman" w:cs="Arial"/>
          <w:color w:val="000000" w:themeColor="text1"/>
          <w:sz w:val="24"/>
          <w:szCs w:val="24"/>
        </w:rPr>
        <w:t xml:space="preserve">  </w:t>
      </w:r>
    </w:p>
    <w:p w:rsidR="00A334A7" w:rsidP="42C3A965" w:rsidRDefault="00A334A7" w14:paraId="46FF4587" w14:textId="370DD2D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3F36D9FF"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AC2241">
        <w:rPr>
          <w:rFonts w:ascii="Arial" w:hAnsi="Arial" w:eastAsia="Times New Roman" w:cs="Arial"/>
          <w:b/>
          <w:bCs/>
          <w:color w:val="000000" w:themeColor="text1"/>
          <w:sz w:val="24"/>
          <w:szCs w:val="24"/>
        </w:rPr>
        <w:t>Fannie Mae Form 1004 dated March 2005</w:t>
      </w:r>
      <w:r w:rsidRPr="00DC4FC1">
        <w:rPr>
          <w:rFonts w:ascii="Arial" w:hAnsi="Arial" w:eastAsia="Times New Roman" w:cs="Arial"/>
          <w:color w:val="000000" w:themeColor="text1"/>
          <w:sz w:val="24"/>
          <w:szCs w:val="24"/>
        </w:rPr>
        <w:t>, “Uniform Residential Appraisal Report” required to report an appraisal of a one-unit property or a one-unit property with an accessory unit.</w:t>
      </w:r>
    </w:p>
    <w:p w:rsidRPr="00DC4FC1" w:rsidR="00DC4FC1" w:rsidP="00DC4FC1" w:rsidRDefault="00DC4FC1" w14:paraId="3655DDFC"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1731D7ED"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AC2241">
        <w:rPr>
          <w:rFonts w:ascii="Arial" w:hAnsi="Arial" w:eastAsia="Times New Roman" w:cs="Arial"/>
          <w:b/>
          <w:bCs/>
          <w:color w:val="000000" w:themeColor="text1"/>
          <w:sz w:val="24"/>
          <w:szCs w:val="24"/>
        </w:rPr>
        <w:t>Fannie Mae Form 1004C dated March 2005</w:t>
      </w:r>
      <w:r w:rsidRPr="00DC4FC1">
        <w:rPr>
          <w:rFonts w:ascii="Arial" w:hAnsi="Arial" w:eastAsia="Times New Roman" w:cs="Arial"/>
          <w:color w:val="000000" w:themeColor="text1"/>
          <w:sz w:val="24"/>
          <w:szCs w:val="24"/>
        </w:rPr>
        <w:t>, “Manufactured Home Appraisal Report” required to report an appraisal of a one-unit manufactured home.</w:t>
      </w:r>
    </w:p>
    <w:p w:rsidRPr="00DC4FC1" w:rsidR="00DC4FC1" w:rsidP="00DC4FC1" w:rsidRDefault="00DC4FC1" w14:paraId="6E356E98"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12E0B2B6"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1025 dated March 2005</w:t>
      </w:r>
      <w:r w:rsidRPr="00DC4FC1">
        <w:rPr>
          <w:rFonts w:ascii="Arial" w:hAnsi="Arial" w:eastAsia="Times New Roman" w:cs="Arial"/>
          <w:color w:val="000000" w:themeColor="text1"/>
          <w:sz w:val="24"/>
          <w:szCs w:val="24"/>
        </w:rPr>
        <w:t>, “Small Residential Income Property Appraisal Report” required to report an appraisal of a two- to four-unit property.</w:t>
      </w:r>
    </w:p>
    <w:p w:rsidRPr="00DC4FC1" w:rsidR="00DC4FC1" w:rsidP="00DC4FC1" w:rsidRDefault="00DC4FC1" w14:paraId="51349C66"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Pr="00DC4FC1" w:rsidR="00DC4FC1" w:rsidP="00DC4FC1" w:rsidRDefault="00DC4FC1" w14:paraId="5631F1B4"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1075 dated March 2005</w:t>
      </w:r>
      <w:r w:rsidRPr="00DC4FC1">
        <w:rPr>
          <w:rFonts w:ascii="Arial" w:hAnsi="Arial" w:eastAsia="Times New Roman" w:cs="Arial"/>
          <w:color w:val="000000" w:themeColor="text1"/>
          <w:sz w:val="24"/>
          <w:szCs w:val="24"/>
        </w:rPr>
        <w:t>, “Exterior-Only Inspection Individual Condominium Unit Appraisal Report” may be used to report an appraisal of a unit in a condominium project or a condominium unit in a planned unit development (PUD) in an FHA-to-FHA refinance transaction only.</w:t>
      </w:r>
    </w:p>
    <w:p w:rsidRPr="00DC4FC1" w:rsidR="00DC4FC1" w:rsidP="00DC4FC1" w:rsidRDefault="00DC4FC1" w14:paraId="55127343" w14:textId="77777777">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00C167C0" w:rsidP="001F42B4" w:rsidRDefault="00DC4FC1" w14:paraId="0D53620E" w14:textId="2788072A">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sidRPr="001F42B4">
        <w:rPr>
          <w:rFonts w:ascii="Arial" w:hAnsi="Arial" w:eastAsia="Times New Roman" w:cs="Arial"/>
          <w:b/>
          <w:bCs/>
          <w:color w:val="000000" w:themeColor="text1"/>
          <w:sz w:val="24"/>
          <w:szCs w:val="24"/>
        </w:rPr>
        <w:t>Fannie Mae Form 2055 dated March 2005</w:t>
      </w:r>
      <w:r w:rsidRPr="00DC4FC1">
        <w:rPr>
          <w:rFonts w:ascii="Arial" w:hAnsi="Arial" w:eastAsia="Times New Roman" w:cs="Arial"/>
          <w:color w:val="000000" w:themeColor="text1"/>
          <w:sz w:val="24"/>
          <w:szCs w:val="24"/>
        </w:rPr>
        <w:t>, “Exterior-Only Inspection Residential Appraisal Report” may be used to report an appraisal of a one-unit property or a one-unit property with an accessory unit in an FHA-to-FHA refinance transaction only.</w:t>
      </w:r>
    </w:p>
    <w:p w:rsidR="00E34E18" w:rsidP="001F42B4" w:rsidRDefault="00E34E18" w14:paraId="2887A47C" w14:textId="76BDF4CC">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p>
    <w:p w:rsidR="00E34E18" w:rsidP="001F42B4" w:rsidRDefault="00E34E18" w14:paraId="70652873" w14:textId="65108F62">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Note:  The Fannie Mae 1004D is not required for VA purposes, but could be submitted if used for a reinspection of the property.     </w:t>
      </w:r>
    </w:p>
    <w:p w:rsidR="42C3A965" w:rsidP="42C3A965" w:rsidRDefault="42C3A965" w14:paraId="0D7C673E" w14:textId="3D7B556C">
      <w:pPr>
        <w:tabs>
          <w:tab w:val="left" w:pos="720"/>
          <w:tab w:val="right" w:pos="8640"/>
        </w:tabs>
        <w:spacing w:after="0" w:line="240" w:lineRule="auto"/>
        <w:ind w:left="720" w:right="-90"/>
        <w:rPr>
          <w:rFonts w:ascii="Arial" w:hAnsi="Arial" w:eastAsia="Times New Roman" w:cs="Arial"/>
          <w:color w:val="000000" w:themeColor="text1"/>
          <w:sz w:val="24"/>
          <w:szCs w:val="24"/>
        </w:rPr>
      </w:pPr>
    </w:p>
    <w:p w:rsidR="00463D10" w:rsidP="00584625" w:rsidRDefault="00463D10" w14:paraId="6A0B8E2D"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4625" w:rsidP="00584625" w:rsidRDefault="00584625" w14:paraId="49C5376B" w14:textId="77777777">
      <w:pPr>
        <w:tabs>
          <w:tab w:val="left" w:pos="0"/>
          <w:tab w:val="left" w:pos="900"/>
          <w:tab w:val="right" w:pos="8640"/>
        </w:tabs>
        <w:spacing w:after="0" w:line="240" w:lineRule="auto"/>
        <w:ind w:right="-90"/>
        <w:contextualSpacing/>
        <w:rPr>
          <w:rFonts w:ascii="Arial" w:hAnsi="Arial" w:eastAsia="Times New Roman" w:cs="Arial"/>
          <w:sz w:val="24"/>
          <w:szCs w:val="24"/>
        </w:rPr>
      </w:pPr>
    </w:p>
    <w:p w:rsidRPr="00F61C47" w:rsidR="00B90E79" w:rsidP="42C3A965" w:rsidRDefault="0078440F" w14:paraId="797C5459" w14:textId="4804B378">
      <w:pPr>
        <w:tabs>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Fannie Mae forms are available online at </w:t>
      </w:r>
      <w:hyperlink w:history="1" r:id="rId11">
        <w:r w:rsidRPr="001D46F1">
          <w:rPr>
            <w:rStyle w:val="Hyperlink"/>
            <w:rFonts w:ascii="Arial" w:hAnsi="Arial" w:eastAsia="Times New Roman" w:cs="Arial"/>
            <w:sz w:val="24"/>
            <w:szCs w:val="24"/>
          </w:rPr>
          <w:t>http://www.hudclips.org</w:t>
        </w:r>
      </w:hyperlink>
      <w:r>
        <w:rPr>
          <w:rFonts w:ascii="Arial" w:hAnsi="Arial" w:eastAsia="Times New Roman" w:cs="Arial"/>
          <w:color w:val="000000" w:themeColor="text1"/>
          <w:sz w:val="24"/>
          <w:szCs w:val="24"/>
        </w:rPr>
        <w:t xml:space="preserve">. </w:t>
      </w:r>
      <w:r w:rsidR="00666A7F">
        <w:rPr>
          <w:rFonts w:ascii="Arial" w:hAnsi="Arial" w:eastAsia="Times New Roman" w:cs="Arial"/>
          <w:color w:val="000000" w:themeColor="text1"/>
          <w:sz w:val="24"/>
          <w:szCs w:val="24"/>
        </w:rPr>
        <w:t xml:space="preserve">However, most appraisers access these </w:t>
      </w:r>
      <w:r w:rsidRPr="42C3A965" w:rsidR="00453CA9">
        <w:rPr>
          <w:rFonts w:ascii="Arial" w:hAnsi="Arial" w:eastAsia="Times New Roman" w:cs="Arial"/>
          <w:color w:val="000000" w:themeColor="text1"/>
          <w:sz w:val="24"/>
          <w:szCs w:val="24"/>
        </w:rPr>
        <w:t xml:space="preserve">forms through </w:t>
      </w:r>
      <w:r w:rsidRPr="42C3A965" w:rsidR="00F61C47">
        <w:rPr>
          <w:rFonts w:ascii="Arial" w:hAnsi="Arial" w:eastAsia="Times New Roman" w:cs="Arial"/>
          <w:color w:val="000000" w:themeColor="text1"/>
          <w:sz w:val="24"/>
          <w:szCs w:val="24"/>
        </w:rPr>
        <w:t>apprais</w:t>
      </w:r>
      <w:r w:rsidR="00666A7F">
        <w:rPr>
          <w:rFonts w:ascii="Arial" w:hAnsi="Arial" w:eastAsia="Times New Roman" w:cs="Arial"/>
          <w:color w:val="000000" w:themeColor="text1"/>
          <w:sz w:val="24"/>
          <w:szCs w:val="24"/>
        </w:rPr>
        <w:t>al</w:t>
      </w:r>
      <w:r w:rsidRPr="42C3A965" w:rsidR="00453CA9">
        <w:rPr>
          <w:rFonts w:ascii="Arial" w:hAnsi="Arial" w:eastAsia="Times New Roman" w:cs="Arial"/>
          <w:color w:val="000000" w:themeColor="text1"/>
          <w:sz w:val="24"/>
          <w:szCs w:val="24"/>
        </w:rPr>
        <w:t xml:space="preserve"> software. </w:t>
      </w:r>
      <w:r w:rsidR="00F827AB">
        <w:rPr>
          <w:rFonts w:ascii="Arial" w:hAnsi="Arial" w:eastAsia="Times New Roman" w:cs="Arial"/>
          <w:color w:val="000000" w:themeColor="text1"/>
          <w:sz w:val="24"/>
          <w:szCs w:val="24"/>
        </w:rPr>
        <w:t xml:space="preserve">Appraisers </w:t>
      </w:r>
      <w:r w:rsidR="005F12AD">
        <w:rPr>
          <w:rFonts w:ascii="Arial" w:hAnsi="Arial" w:eastAsia="Times New Roman" w:cs="Arial"/>
          <w:color w:val="000000" w:themeColor="text1"/>
          <w:sz w:val="24"/>
          <w:szCs w:val="24"/>
        </w:rPr>
        <w:t xml:space="preserve">must </w:t>
      </w:r>
      <w:r w:rsidRPr="42C3A965" w:rsidR="00F827AB">
        <w:rPr>
          <w:rFonts w:ascii="Arial" w:hAnsi="Arial" w:eastAsia="Times New Roman" w:cs="Arial"/>
          <w:color w:val="000000" w:themeColor="text1"/>
          <w:sz w:val="24"/>
          <w:szCs w:val="24"/>
        </w:rPr>
        <w:t>send t</w:t>
      </w:r>
      <w:r w:rsidR="005F12AD">
        <w:rPr>
          <w:rFonts w:ascii="Arial" w:hAnsi="Arial" w:eastAsia="Times New Roman" w:cs="Arial"/>
          <w:color w:val="000000" w:themeColor="text1"/>
          <w:sz w:val="24"/>
          <w:szCs w:val="24"/>
        </w:rPr>
        <w:t>he completed form to</w:t>
      </w:r>
      <w:r w:rsidRPr="42C3A965" w:rsidR="00F827AB">
        <w:rPr>
          <w:rFonts w:ascii="Arial" w:hAnsi="Arial" w:eastAsia="Times New Roman" w:cs="Arial"/>
          <w:color w:val="000000" w:themeColor="text1"/>
          <w:sz w:val="24"/>
          <w:szCs w:val="24"/>
        </w:rPr>
        <w:t xml:space="preserve"> VA </w:t>
      </w:r>
      <w:r w:rsidR="005F12AD">
        <w:rPr>
          <w:rFonts w:ascii="Arial" w:hAnsi="Arial" w:eastAsia="Times New Roman" w:cs="Arial"/>
          <w:color w:val="000000" w:themeColor="text1"/>
          <w:sz w:val="24"/>
          <w:szCs w:val="24"/>
        </w:rPr>
        <w:t>via</w:t>
      </w:r>
      <w:r w:rsidRPr="42C3A965" w:rsidR="00F827AB">
        <w:rPr>
          <w:rFonts w:ascii="Arial" w:hAnsi="Arial" w:eastAsia="Times New Roman" w:cs="Arial"/>
          <w:color w:val="000000" w:themeColor="text1"/>
          <w:sz w:val="24"/>
          <w:szCs w:val="24"/>
        </w:rPr>
        <w:t xml:space="preserve"> electronic means</w:t>
      </w:r>
      <w:r w:rsidR="00E34E18">
        <w:rPr>
          <w:rFonts w:ascii="Arial" w:hAnsi="Arial" w:eastAsia="Times New Roman" w:cs="Arial"/>
          <w:color w:val="000000" w:themeColor="text1"/>
          <w:sz w:val="24"/>
          <w:szCs w:val="24"/>
        </w:rPr>
        <w:t xml:space="preserve"> through the LGY HUB</w:t>
      </w:r>
      <w:r w:rsidRPr="42C3A965" w:rsidR="00F827AB">
        <w:rPr>
          <w:rFonts w:ascii="Arial" w:hAnsi="Arial" w:eastAsia="Times New Roman" w:cs="Arial"/>
          <w:color w:val="000000" w:themeColor="text1"/>
          <w:sz w:val="24"/>
          <w:szCs w:val="24"/>
        </w:rPr>
        <w:t>, whether it is through a</w:t>
      </w:r>
      <w:r w:rsidR="005F12AD">
        <w:rPr>
          <w:rFonts w:ascii="Arial" w:hAnsi="Arial" w:eastAsia="Times New Roman" w:cs="Arial"/>
          <w:color w:val="000000" w:themeColor="text1"/>
          <w:sz w:val="24"/>
          <w:szCs w:val="24"/>
        </w:rPr>
        <w:t xml:space="preserve"> manual</w:t>
      </w:r>
      <w:r w:rsidRPr="42C3A965" w:rsidR="00F827AB">
        <w:rPr>
          <w:rFonts w:ascii="Arial" w:hAnsi="Arial" w:eastAsia="Times New Roman" w:cs="Arial"/>
          <w:color w:val="000000" w:themeColor="text1"/>
          <w:sz w:val="24"/>
          <w:szCs w:val="24"/>
        </w:rPr>
        <w:t xml:space="preserve"> upload, or an API or XML data exchange. </w:t>
      </w:r>
    </w:p>
    <w:p w:rsidRPr="00F61C47" w:rsidR="00463D10" w:rsidP="00C50F64" w:rsidRDefault="00463D10" w14:paraId="6A0B8E31" w14:textId="77777777">
      <w:pPr>
        <w:tabs>
          <w:tab w:val="left" w:pos="0"/>
          <w:tab w:val="left" w:pos="900"/>
          <w:tab w:val="right" w:pos="8640"/>
        </w:tabs>
        <w:spacing w:after="0" w:line="240" w:lineRule="auto"/>
        <w:ind w:left="990" w:right="-90"/>
        <w:rPr>
          <w:rFonts w:ascii="Arial" w:hAnsi="Arial" w:eastAsia="Times New Roman" w:cs="Arial"/>
          <w:color w:val="000000" w:themeColor="text1"/>
          <w:sz w:val="24"/>
          <w:szCs w:val="24"/>
        </w:rPr>
      </w:pPr>
    </w:p>
    <w:p w:rsidR="00463D10" w:rsidP="00584625" w:rsidRDefault="00463D10" w14:paraId="6A0B8E32"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C50F64" w:rsidRDefault="00463D10" w14:paraId="6A0B8E33"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42C3A965" w:rsidRDefault="008B6E5A" w14:paraId="30ECEC46" w14:textId="19EE817B">
      <w:pPr>
        <w:tabs>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lastRenderedPageBreak/>
        <w:t>A review of other collections did not identify duplication with other forms or processes.</w:t>
      </w:r>
    </w:p>
    <w:p w:rsidR="42C3A965" w:rsidP="42C3A965" w:rsidRDefault="42C3A965" w14:paraId="41F0CD14" w14:textId="2C9949E0">
      <w:pPr>
        <w:tabs>
          <w:tab w:val="left" w:pos="720"/>
          <w:tab w:val="right" w:pos="8640"/>
        </w:tabs>
        <w:spacing w:after="0" w:line="240" w:lineRule="auto"/>
        <w:ind w:left="720" w:right="-90"/>
        <w:rPr>
          <w:rFonts w:ascii="Arial" w:hAnsi="Arial" w:eastAsia="Times New Roman" w:cs="Arial"/>
          <w:color w:val="000000" w:themeColor="text1"/>
          <w:sz w:val="24"/>
          <w:szCs w:val="24"/>
        </w:rPr>
      </w:pPr>
    </w:p>
    <w:p w:rsidR="00463D10" w:rsidP="00584625" w:rsidRDefault="00463D10" w14:paraId="6A0B8E37"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C50F64" w:rsidRDefault="00463D10" w14:paraId="6A0B8E38"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42C3A965" w:rsidRDefault="668A9D63" w14:paraId="6A0B8E3A" w14:textId="407D00EB">
      <w:pPr>
        <w:tabs>
          <w:tab w:val="left" w:pos="72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Due to the state requirements for appraisers to be licensed, the use of standardized forms do</w:t>
      </w:r>
      <w:r w:rsidR="00A63A2A">
        <w:rPr>
          <w:rFonts w:ascii="Arial" w:hAnsi="Arial" w:eastAsia="Times New Roman" w:cs="Arial"/>
          <w:color w:val="000000" w:themeColor="text1"/>
          <w:sz w:val="24"/>
          <w:szCs w:val="24"/>
        </w:rPr>
        <w:t>es</w:t>
      </w:r>
      <w:r w:rsidRPr="42C3A965">
        <w:rPr>
          <w:rFonts w:ascii="Arial" w:hAnsi="Arial" w:eastAsia="Times New Roman" w:cs="Arial"/>
          <w:color w:val="000000" w:themeColor="text1"/>
          <w:sz w:val="24"/>
          <w:szCs w:val="24"/>
        </w:rPr>
        <w:t xml:space="preserve"> not have a negative effect on smaller entities</w:t>
      </w:r>
      <w:r w:rsidRPr="42C3A965" w:rsidR="7B939AF4">
        <w:rPr>
          <w:rFonts w:ascii="Arial" w:hAnsi="Arial" w:eastAsia="Times New Roman" w:cs="Arial"/>
          <w:color w:val="000000" w:themeColor="text1"/>
          <w:sz w:val="24"/>
          <w:szCs w:val="24"/>
        </w:rPr>
        <w:t xml:space="preserve">.  </w:t>
      </w:r>
    </w:p>
    <w:p w:rsidR="42C3A965" w:rsidP="42C3A965" w:rsidRDefault="42C3A965" w14:paraId="0628147A" w14:textId="09C8BFCC">
      <w:pPr>
        <w:tabs>
          <w:tab w:val="left" w:pos="720"/>
          <w:tab w:val="left" w:pos="900"/>
          <w:tab w:val="right" w:pos="8640"/>
        </w:tabs>
        <w:spacing w:after="0" w:line="240" w:lineRule="auto"/>
        <w:ind w:left="720" w:right="-90"/>
        <w:rPr>
          <w:rFonts w:ascii="Arial" w:hAnsi="Arial" w:eastAsia="Times New Roman" w:cs="Arial"/>
          <w:color w:val="000000" w:themeColor="text1"/>
          <w:sz w:val="24"/>
          <w:szCs w:val="24"/>
        </w:rPr>
      </w:pPr>
    </w:p>
    <w:p w:rsidR="00463D10" w:rsidP="00AF00E3" w:rsidRDefault="00463D10" w14:paraId="6A0B8E3B"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C50F64" w:rsidRDefault="00463D10" w14:paraId="6A0B8E3C" w14:textId="77777777">
      <w:pPr>
        <w:tabs>
          <w:tab w:val="left" w:pos="0"/>
          <w:tab w:val="left" w:pos="900"/>
          <w:tab w:val="right" w:pos="8640"/>
        </w:tabs>
        <w:spacing w:after="0" w:line="240" w:lineRule="auto"/>
        <w:ind w:left="990" w:right="-90"/>
        <w:contextualSpacing/>
        <w:rPr>
          <w:rFonts w:ascii="Arial" w:hAnsi="Arial" w:eastAsia="Times New Roman" w:cs="Arial"/>
          <w:b/>
          <w:sz w:val="24"/>
          <w:szCs w:val="24"/>
        </w:rPr>
      </w:pPr>
    </w:p>
    <w:p w:rsidRPr="00F61C47" w:rsidR="00463D10" w:rsidP="42C3A965" w:rsidRDefault="474EEFC9" w14:paraId="6A0B8E3D" w14:textId="21EDADEC">
      <w:pPr>
        <w:tabs>
          <w:tab w:val="left" w:pos="900"/>
          <w:tab w:val="right" w:pos="8640"/>
        </w:tabs>
        <w:spacing w:after="0" w:line="240" w:lineRule="auto"/>
        <w:ind w:left="810" w:right="-90"/>
        <w:contextualSpacing/>
        <w:rPr>
          <w:rFonts w:ascii="Arial" w:hAnsi="Arial" w:eastAsia="Times New Roman" w:cs="Arial"/>
          <w:color w:val="000000" w:themeColor="text1"/>
          <w:sz w:val="24"/>
          <w:szCs w:val="24"/>
        </w:rPr>
      </w:pPr>
      <w:r w:rsidRPr="42C3A965">
        <w:rPr>
          <w:rFonts w:ascii="Arial" w:hAnsi="Arial" w:eastAsia="Times New Roman" w:cs="Arial"/>
          <w:color w:val="000000" w:themeColor="text1"/>
          <w:sz w:val="24"/>
          <w:szCs w:val="24"/>
        </w:rPr>
        <w:t xml:space="preserve">The inability to collect data from an appraisal report has a profound effect on the requirements to protect the </w:t>
      </w:r>
      <w:r w:rsidRPr="42C3A965" w:rsidR="0F3B8E66">
        <w:rPr>
          <w:rFonts w:ascii="Arial" w:hAnsi="Arial" w:eastAsia="Times New Roman" w:cs="Arial"/>
          <w:color w:val="000000" w:themeColor="text1"/>
          <w:sz w:val="24"/>
          <w:szCs w:val="24"/>
        </w:rPr>
        <w:t>Veteran and the VA program, as it would not be able to issue the guaranty and therefore would not allow VA</w:t>
      </w:r>
      <w:r w:rsidRPr="42C3A965" w:rsidR="19C4D299">
        <w:rPr>
          <w:rFonts w:ascii="Arial" w:hAnsi="Arial" w:eastAsia="Times New Roman" w:cs="Arial"/>
          <w:color w:val="000000" w:themeColor="text1"/>
          <w:sz w:val="24"/>
          <w:szCs w:val="24"/>
        </w:rPr>
        <w:t xml:space="preserve"> to verify the value, or the safe, sound and sanitary condition of the property before the Veteran makes a purchase</w:t>
      </w:r>
      <w:r w:rsidRPr="42C3A965" w:rsidR="44E2B65D">
        <w:rPr>
          <w:rFonts w:ascii="Arial" w:hAnsi="Arial" w:eastAsia="Times New Roman" w:cs="Arial"/>
          <w:color w:val="000000" w:themeColor="text1"/>
          <w:sz w:val="24"/>
          <w:szCs w:val="24"/>
        </w:rPr>
        <w:t xml:space="preserve"> or a refinance, especially if they are not already a VA customer</w:t>
      </w:r>
      <w:r w:rsidRPr="42C3A965" w:rsidR="19C4D299">
        <w:rPr>
          <w:rFonts w:ascii="Arial" w:hAnsi="Arial" w:eastAsia="Times New Roman" w:cs="Arial"/>
          <w:color w:val="000000" w:themeColor="text1"/>
          <w:sz w:val="24"/>
          <w:szCs w:val="24"/>
        </w:rPr>
        <w:t xml:space="preserve">.  </w:t>
      </w:r>
      <w:r w:rsidRPr="42C3A965" w:rsidR="00453CA9">
        <w:rPr>
          <w:rFonts w:ascii="Arial" w:hAnsi="Arial" w:eastAsia="Times New Roman" w:cs="Arial"/>
          <w:color w:val="000000" w:themeColor="text1"/>
          <w:sz w:val="24"/>
          <w:szCs w:val="24"/>
        </w:rPr>
        <w:t xml:space="preserve">This information collection </w:t>
      </w:r>
      <w:r w:rsidRPr="42C3A965" w:rsidR="3212ECA5">
        <w:rPr>
          <w:rFonts w:ascii="Arial" w:hAnsi="Arial" w:eastAsia="Times New Roman" w:cs="Arial"/>
          <w:color w:val="000000" w:themeColor="text1"/>
          <w:sz w:val="24"/>
          <w:szCs w:val="24"/>
        </w:rPr>
        <w:t xml:space="preserve">allows VA, </w:t>
      </w:r>
      <w:r w:rsidRPr="42C3A965" w:rsidR="631334AB">
        <w:rPr>
          <w:rFonts w:ascii="Arial" w:hAnsi="Arial" w:eastAsia="Times New Roman" w:cs="Arial"/>
          <w:color w:val="000000" w:themeColor="text1"/>
          <w:sz w:val="24"/>
          <w:szCs w:val="24"/>
        </w:rPr>
        <w:t xml:space="preserve">the </w:t>
      </w:r>
      <w:proofErr w:type="gramStart"/>
      <w:r w:rsidR="00E34E18">
        <w:rPr>
          <w:rFonts w:ascii="Arial" w:hAnsi="Arial" w:eastAsia="Times New Roman" w:cs="Arial"/>
          <w:color w:val="000000" w:themeColor="text1"/>
          <w:sz w:val="24"/>
          <w:szCs w:val="24"/>
        </w:rPr>
        <w:t>l</w:t>
      </w:r>
      <w:r w:rsidRPr="42C3A965" w:rsidR="3212ECA5">
        <w:rPr>
          <w:rFonts w:ascii="Arial" w:hAnsi="Arial" w:eastAsia="Times New Roman" w:cs="Arial"/>
          <w:color w:val="000000" w:themeColor="text1"/>
          <w:sz w:val="24"/>
          <w:szCs w:val="24"/>
        </w:rPr>
        <w:t>ender</w:t>
      </w:r>
      <w:proofErr w:type="gramEnd"/>
      <w:r w:rsidRPr="42C3A965" w:rsidR="3212ECA5">
        <w:rPr>
          <w:rFonts w:ascii="Arial" w:hAnsi="Arial" w:eastAsia="Times New Roman" w:cs="Arial"/>
          <w:color w:val="000000" w:themeColor="text1"/>
          <w:sz w:val="24"/>
          <w:szCs w:val="24"/>
        </w:rPr>
        <w:t xml:space="preserve"> and the Veteran </w:t>
      </w:r>
      <w:r w:rsidRPr="42C3A965" w:rsidR="6EFD82FE">
        <w:rPr>
          <w:rFonts w:ascii="Arial" w:hAnsi="Arial" w:eastAsia="Times New Roman" w:cs="Arial"/>
          <w:color w:val="000000" w:themeColor="text1"/>
          <w:sz w:val="24"/>
          <w:szCs w:val="24"/>
        </w:rPr>
        <w:t xml:space="preserve">a consistent understanding of how value was </w:t>
      </w:r>
      <w:r w:rsidRPr="42C3A965" w:rsidR="00BD12B8">
        <w:rPr>
          <w:rFonts w:ascii="Arial" w:hAnsi="Arial" w:eastAsia="Times New Roman" w:cs="Arial"/>
          <w:color w:val="000000" w:themeColor="text1"/>
          <w:sz w:val="24"/>
          <w:szCs w:val="24"/>
        </w:rPr>
        <w:t>determined and</w:t>
      </w:r>
      <w:r w:rsidRPr="42C3A965" w:rsidR="6EFD82FE">
        <w:rPr>
          <w:rFonts w:ascii="Arial" w:hAnsi="Arial" w:eastAsia="Times New Roman" w:cs="Arial"/>
          <w:color w:val="000000" w:themeColor="text1"/>
          <w:sz w:val="24"/>
          <w:szCs w:val="24"/>
        </w:rPr>
        <w:t xml:space="preserve"> gives VA a look into the performance and validity of the appraiser and the appraisal.  </w:t>
      </w:r>
      <w:r w:rsidRPr="42C3A965" w:rsidR="00453CA9">
        <w:rPr>
          <w:rFonts w:ascii="Arial" w:hAnsi="Arial" w:eastAsia="Times New Roman" w:cs="Arial"/>
          <w:color w:val="000000" w:themeColor="text1"/>
          <w:sz w:val="24"/>
          <w:szCs w:val="24"/>
        </w:rPr>
        <w:t xml:space="preserve">It is accomplished on a one-time basis per individual applicant. </w:t>
      </w:r>
    </w:p>
    <w:p w:rsidR="00463D10" w:rsidP="00C50F64" w:rsidRDefault="00463D10" w14:paraId="6A0B8E3F" w14:textId="77777777">
      <w:pPr>
        <w:tabs>
          <w:tab w:val="left" w:pos="0"/>
          <w:tab w:val="left" w:pos="900"/>
          <w:tab w:val="right" w:pos="8640"/>
        </w:tabs>
        <w:spacing w:after="0" w:line="240" w:lineRule="auto"/>
        <w:ind w:left="990" w:right="-90"/>
        <w:contextualSpacing/>
        <w:rPr>
          <w:rFonts w:ascii="Arial" w:hAnsi="Arial" w:eastAsia="Times New Roman" w:cs="Arial"/>
          <w:b/>
          <w:sz w:val="24"/>
          <w:szCs w:val="24"/>
        </w:rPr>
      </w:pPr>
    </w:p>
    <w:p w:rsidR="00463D10" w:rsidP="00AF00E3" w:rsidRDefault="00463D10" w14:paraId="6A0B8E40"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C50F64" w:rsidRDefault="00463D10" w14:paraId="6A0B8E41" w14:textId="77777777">
      <w:pPr>
        <w:tabs>
          <w:tab w:val="left" w:pos="0"/>
          <w:tab w:val="left" w:pos="900"/>
          <w:tab w:val="right" w:pos="8640"/>
        </w:tabs>
        <w:spacing w:after="0" w:line="240" w:lineRule="auto"/>
        <w:ind w:left="990" w:right="-90"/>
        <w:contextualSpacing/>
        <w:rPr>
          <w:rFonts w:ascii="Arial" w:hAnsi="Arial" w:eastAsia="Times New Roman" w:cs="Arial"/>
          <w:bCs/>
          <w:sz w:val="24"/>
          <w:szCs w:val="24"/>
        </w:rPr>
      </w:pPr>
    </w:p>
    <w:p w:rsidRPr="00F61C47" w:rsidR="00463D10" w:rsidP="00AF00E3" w:rsidRDefault="00463D10" w14:paraId="6A0B8E42" w14:textId="77777777">
      <w:pPr>
        <w:tabs>
          <w:tab w:val="left" w:pos="0"/>
          <w:tab w:val="left" w:pos="990"/>
          <w:tab w:val="right" w:pos="8640"/>
        </w:tabs>
        <w:spacing w:after="0" w:line="240" w:lineRule="auto"/>
        <w:ind w:left="720" w:right="-90"/>
        <w:contextualSpacing/>
        <w:rPr>
          <w:rFonts w:ascii="Arial" w:hAnsi="Arial" w:eastAsia="Times New Roman" w:cs="Arial"/>
          <w:bCs/>
          <w:color w:val="000000" w:themeColor="text1"/>
          <w:sz w:val="24"/>
          <w:szCs w:val="24"/>
        </w:rPr>
      </w:pPr>
      <w:r w:rsidRPr="00F61C47">
        <w:rPr>
          <w:rFonts w:ascii="Arial" w:hAnsi="Arial" w:eastAsia="Times New Roman" w:cs="Arial"/>
          <w:bCs/>
          <w:color w:val="000000" w:themeColor="text1"/>
          <w:sz w:val="24"/>
          <w:szCs w:val="24"/>
        </w:rPr>
        <w:t>There is no special circumstance requiring collection in a manner inconsistent with 5 CFR 1320.6 guidelines.</w:t>
      </w:r>
    </w:p>
    <w:p w:rsidR="00463D10" w:rsidP="00C50F64" w:rsidRDefault="00463D10" w14:paraId="6A0B8E43" w14:textId="77777777">
      <w:pPr>
        <w:tabs>
          <w:tab w:val="left" w:pos="0"/>
          <w:tab w:val="left" w:pos="900"/>
          <w:tab w:val="right" w:pos="8640"/>
        </w:tabs>
        <w:spacing w:after="0" w:line="240" w:lineRule="auto"/>
        <w:ind w:left="990" w:right="-90"/>
        <w:rPr>
          <w:rFonts w:ascii="Arial" w:hAnsi="Arial" w:eastAsia="Times New Roman" w:cs="Arial"/>
          <w:bCs/>
          <w:sz w:val="24"/>
          <w:szCs w:val="24"/>
        </w:rPr>
      </w:pPr>
    </w:p>
    <w:p w:rsidR="00463D10" w:rsidP="00AF00E3" w:rsidRDefault="00463D10" w14:paraId="6A0B8E44" w14:textId="1B42BE4B">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r w:rsidR="00410B44">
        <w:rPr>
          <w:rFonts w:ascii="Arial" w:hAnsi="Arial" w:eastAsia="Times New Roman" w:cs="Arial"/>
          <w:b/>
          <w:sz w:val="24"/>
          <w:szCs w:val="24"/>
        </w:rPr>
        <w:t>publications</w:t>
      </w:r>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62C53" w:rsidR="00463D10" w:rsidP="00C50F64" w:rsidRDefault="00463D10" w14:paraId="6A0B8E45" w14:textId="77777777">
      <w:pPr>
        <w:tabs>
          <w:tab w:val="left" w:pos="0"/>
          <w:tab w:val="left" w:pos="900"/>
          <w:tab w:val="right" w:pos="8640"/>
        </w:tabs>
        <w:spacing w:after="0" w:line="240" w:lineRule="auto"/>
        <w:ind w:left="990" w:right="-90"/>
        <w:contextualSpacing/>
        <w:rPr>
          <w:rFonts w:ascii="Arial" w:hAnsi="Arial" w:eastAsia="Times New Roman" w:cs="Arial"/>
          <w:color w:val="C00000"/>
          <w:sz w:val="24"/>
          <w:szCs w:val="24"/>
        </w:rPr>
      </w:pPr>
    </w:p>
    <w:p w:rsidRPr="001A3547" w:rsidR="000F4F0E" w:rsidP="00AF00E3" w:rsidRDefault="000F4F0E" w14:paraId="7A1F446E" w14:textId="31B7458A">
      <w:pPr>
        <w:tabs>
          <w:tab w:val="left" w:pos="0"/>
          <w:tab w:val="left" w:pos="900"/>
          <w:tab w:val="right" w:pos="8640"/>
        </w:tabs>
        <w:ind w:left="720" w:right="-90"/>
        <w:rPr>
          <w:rFonts w:ascii="Arial" w:hAnsi="Arial" w:cs="Arial"/>
          <w:color w:val="000000" w:themeColor="text1"/>
          <w:sz w:val="24"/>
          <w:szCs w:val="24"/>
        </w:rPr>
      </w:pPr>
      <w:r w:rsidRPr="001A3547">
        <w:rPr>
          <w:rFonts w:ascii="Arial" w:hAnsi="Arial" w:cs="Arial"/>
          <w:color w:val="000000" w:themeColor="text1"/>
          <w:sz w:val="24"/>
          <w:szCs w:val="24"/>
        </w:rPr>
        <w:t xml:space="preserve">The Department notice was published in the Federal Register on </w:t>
      </w:r>
      <w:r w:rsidR="00411566">
        <w:rPr>
          <w:rFonts w:ascii="Arial" w:hAnsi="Arial" w:cs="Arial"/>
          <w:color w:val="000000" w:themeColor="text1"/>
          <w:sz w:val="24"/>
          <w:szCs w:val="24"/>
        </w:rPr>
        <w:t>September 9, 2021</w:t>
      </w:r>
      <w:r w:rsidRPr="001A3547">
        <w:rPr>
          <w:rFonts w:ascii="Arial" w:hAnsi="Arial" w:cs="Arial"/>
          <w:color w:val="000000" w:themeColor="text1"/>
          <w:sz w:val="24"/>
          <w:szCs w:val="24"/>
        </w:rPr>
        <w:t>, Vol</w:t>
      </w:r>
      <w:r w:rsidR="00484A0B">
        <w:rPr>
          <w:rFonts w:ascii="Arial" w:hAnsi="Arial" w:cs="Arial"/>
          <w:color w:val="000000" w:themeColor="text1"/>
          <w:sz w:val="24"/>
          <w:szCs w:val="24"/>
        </w:rPr>
        <w:t>.</w:t>
      </w:r>
      <w:r w:rsidR="00411566">
        <w:rPr>
          <w:rFonts w:ascii="Arial" w:hAnsi="Arial" w:cs="Arial"/>
          <w:color w:val="000000" w:themeColor="text1"/>
          <w:sz w:val="24"/>
          <w:szCs w:val="24"/>
        </w:rPr>
        <w:t xml:space="preserve"> 86,</w:t>
      </w:r>
      <w:r w:rsidRPr="001A3547">
        <w:rPr>
          <w:rFonts w:ascii="Arial" w:hAnsi="Arial" w:cs="Arial"/>
          <w:color w:val="000000" w:themeColor="text1"/>
          <w:sz w:val="24"/>
          <w:szCs w:val="24"/>
        </w:rPr>
        <w:t xml:space="preserve"> No</w:t>
      </w:r>
      <w:r w:rsidR="00411566">
        <w:rPr>
          <w:rFonts w:ascii="Arial" w:hAnsi="Arial" w:cs="Arial"/>
          <w:color w:val="000000" w:themeColor="text1"/>
          <w:sz w:val="24"/>
          <w:szCs w:val="24"/>
        </w:rPr>
        <w:t>. 172</w:t>
      </w:r>
      <w:r w:rsidRPr="001A3547">
        <w:rPr>
          <w:rFonts w:ascii="Arial" w:hAnsi="Arial" w:cs="Arial"/>
          <w:color w:val="000000" w:themeColor="text1"/>
          <w:sz w:val="24"/>
          <w:szCs w:val="24"/>
        </w:rPr>
        <w:t>, pages</w:t>
      </w:r>
      <w:r w:rsidR="00411566">
        <w:rPr>
          <w:rFonts w:ascii="Arial" w:hAnsi="Arial" w:cs="Arial"/>
          <w:color w:val="000000" w:themeColor="text1"/>
          <w:sz w:val="24"/>
          <w:szCs w:val="24"/>
        </w:rPr>
        <w:t xml:space="preserve"> 50595 -50596</w:t>
      </w:r>
      <w:r w:rsidRPr="001A3547">
        <w:rPr>
          <w:rFonts w:ascii="Arial" w:hAnsi="Arial" w:cs="Arial"/>
          <w:color w:val="000000" w:themeColor="text1"/>
          <w:sz w:val="24"/>
          <w:szCs w:val="24"/>
        </w:rPr>
        <w:t>.</w:t>
      </w:r>
    </w:p>
    <w:p w:rsidRPr="00125F42" w:rsidR="00463D10" w:rsidP="00C50F64" w:rsidRDefault="00463D10" w14:paraId="6A0B8E46" w14:textId="24C9F920">
      <w:pPr>
        <w:tabs>
          <w:tab w:val="left" w:pos="0"/>
          <w:tab w:val="left" w:pos="900"/>
          <w:tab w:val="right" w:pos="8640"/>
        </w:tabs>
        <w:spacing w:after="0" w:line="240" w:lineRule="auto"/>
        <w:ind w:left="990" w:right="-90"/>
        <w:contextualSpacing/>
        <w:rPr>
          <w:rFonts w:ascii="Arial" w:hAnsi="Arial" w:eastAsia="Times New Roman" w:cs="Arial"/>
          <w:color w:val="C00000"/>
          <w:sz w:val="24"/>
          <w:szCs w:val="24"/>
        </w:rPr>
      </w:pPr>
    </w:p>
    <w:p w:rsidR="00463D10" w:rsidP="00AF00E3" w:rsidRDefault="00463D10" w14:paraId="6A0B8E48"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00463D10" w:rsidP="00C50F64" w:rsidRDefault="00463D10" w14:paraId="6A0B8E49" w14:textId="77777777">
      <w:pPr>
        <w:tabs>
          <w:tab w:val="left" w:pos="0"/>
          <w:tab w:val="left" w:pos="900"/>
          <w:tab w:val="right" w:pos="8640"/>
        </w:tabs>
        <w:spacing w:after="0" w:line="240" w:lineRule="auto"/>
        <w:ind w:left="990" w:right="-90"/>
        <w:contextualSpacing/>
        <w:rPr>
          <w:rFonts w:ascii="Arial" w:hAnsi="Arial" w:eastAsia="Times New Roman" w:cs="Arial"/>
          <w:color w:val="FF0000"/>
          <w:sz w:val="24"/>
          <w:szCs w:val="24"/>
        </w:rPr>
      </w:pPr>
    </w:p>
    <w:p w:rsidRPr="00F61C47" w:rsidR="00463D10" w:rsidP="00410B44" w:rsidRDefault="00AF00E3" w14:paraId="6A0B8E4A" w14:textId="19552A98">
      <w:pPr>
        <w:tabs>
          <w:tab w:val="left" w:pos="0"/>
          <w:tab w:val="left" w:pos="720"/>
          <w:tab w:val="right" w:pos="8640"/>
        </w:tabs>
        <w:spacing w:after="0" w:line="240" w:lineRule="auto"/>
        <w:ind w:left="720" w:right="-90"/>
        <w:contextualSpacing/>
        <w:rPr>
          <w:rFonts w:ascii="Arial" w:hAnsi="Arial" w:eastAsia="Times New Roman" w:cs="Arial"/>
          <w:color w:val="000000" w:themeColor="text1"/>
          <w:sz w:val="24"/>
          <w:szCs w:val="24"/>
        </w:rPr>
      </w:pPr>
      <w:r>
        <w:rPr>
          <w:rFonts w:ascii="Arial" w:hAnsi="Arial" w:eastAsia="Times New Roman" w:cs="Arial"/>
          <w:bCs/>
          <w:color w:val="C00000"/>
          <w:sz w:val="24"/>
          <w:szCs w:val="24"/>
        </w:rPr>
        <w:tab/>
      </w:r>
      <w:r w:rsidRPr="00F61C47" w:rsidR="00463D10">
        <w:rPr>
          <w:rFonts w:ascii="Arial" w:hAnsi="Arial" w:eastAsia="Times New Roman" w:cs="Arial"/>
          <w:bCs/>
          <w:color w:val="000000" w:themeColor="text1"/>
          <w:sz w:val="24"/>
          <w:szCs w:val="24"/>
        </w:rPr>
        <w:t>No payments or gifts to respondents have been made under this collection of</w:t>
      </w:r>
      <w:r w:rsidRPr="00F61C47" w:rsidR="00410B44">
        <w:rPr>
          <w:rFonts w:ascii="Arial" w:hAnsi="Arial" w:eastAsia="Times New Roman" w:cs="Arial"/>
          <w:bCs/>
          <w:color w:val="000000" w:themeColor="text1"/>
          <w:sz w:val="24"/>
          <w:szCs w:val="24"/>
        </w:rPr>
        <w:t xml:space="preserve"> </w:t>
      </w:r>
      <w:r w:rsidRPr="00F61C47" w:rsidR="00463D10">
        <w:rPr>
          <w:rFonts w:ascii="Arial" w:hAnsi="Arial" w:eastAsia="Times New Roman" w:cs="Arial"/>
          <w:bCs/>
          <w:color w:val="000000" w:themeColor="text1"/>
          <w:sz w:val="24"/>
          <w:szCs w:val="24"/>
        </w:rPr>
        <w:t>information.</w:t>
      </w:r>
    </w:p>
    <w:p w:rsidR="00463D10" w:rsidP="00C50F64" w:rsidRDefault="00463D10" w14:paraId="6A0B8E4B"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463D10" w:rsidP="00AF00E3" w:rsidRDefault="00AF00E3" w14:paraId="6A0B8E4C" w14:textId="501A357A">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color w:val="000000"/>
          <w:sz w:val="24"/>
          <w:szCs w:val="24"/>
        </w:rPr>
        <w:t xml:space="preserve"> </w:t>
      </w:r>
      <w:r w:rsidR="00463D10">
        <w:rPr>
          <w:rFonts w:ascii="Arial" w:hAnsi="Arial" w:eastAsia="Times New Roman" w:cs="Arial"/>
          <w:b/>
          <w:color w:val="000000"/>
          <w:sz w:val="24"/>
          <w:szCs w:val="24"/>
        </w:rPr>
        <w:t xml:space="preserve">Describe any assurance </w:t>
      </w:r>
      <w:r w:rsidR="00463D10">
        <w:rPr>
          <w:rFonts w:ascii="Arial" w:hAnsi="Arial" w:eastAsia="Times New Roman" w:cs="Arial"/>
          <w:b/>
          <w:sz w:val="24"/>
          <w:szCs w:val="24"/>
        </w:rPr>
        <w:t xml:space="preserve">of privacy, to the extent permitted by law, </w:t>
      </w:r>
      <w:r w:rsidR="00463D10">
        <w:rPr>
          <w:rFonts w:ascii="Arial" w:hAnsi="Arial" w:eastAsia="Times New Roman" w:cs="Arial"/>
          <w:b/>
          <w:color w:val="000000"/>
          <w:sz w:val="24"/>
          <w:szCs w:val="24"/>
        </w:rPr>
        <w:t>provided to respondents and the basis for the assurance in statute, regulation, or agency policy.</w:t>
      </w:r>
    </w:p>
    <w:p w:rsidR="00463D10" w:rsidP="00C50F64" w:rsidRDefault="00463D10" w14:paraId="6A0B8E4D"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304F14" w14:paraId="6A0B8E4F" w14:textId="142C1E92">
      <w:pPr>
        <w:tabs>
          <w:tab w:val="left" w:pos="0"/>
          <w:tab w:val="left" w:pos="99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VA will not disclose information collected on this form to any source other than what has been authorized under the Privacy Act of 1974, 78 FR 71727 and Title 38 Code of Federal Regulations 1.576 for routine uses identified in the VA system of records</w:t>
      </w:r>
      <w:r w:rsidR="00E34E18">
        <w:rPr>
          <w:rFonts w:ascii="Arial" w:hAnsi="Arial" w:eastAsia="Times New Roman" w:cs="Arial"/>
          <w:color w:val="000000" w:themeColor="text1"/>
          <w:sz w:val="24"/>
          <w:szCs w:val="24"/>
        </w:rPr>
        <w:t xml:space="preserve"> (17VA26 and 55VA26)</w:t>
      </w:r>
      <w:r w:rsidRPr="00F61C47">
        <w:rPr>
          <w:rFonts w:ascii="Arial" w:hAnsi="Arial" w:eastAsia="Times New Roman" w:cs="Arial"/>
          <w:color w:val="000000" w:themeColor="text1"/>
          <w:sz w:val="24"/>
          <w:szCs w:val="24"/>
        </w:rPr>
        <w:t>.</w:t>
      </w:r>
    </w:p>
    <w:p w:rsidR="00AF00E3" w:rsidP="00AF00E3" w:rsidRDefault="00AF00E3" w14:paraId="2A0EE49F" w14:textId="77777777">
      <w:pPr>
        <w:tabs>
          <w:tab w:val="left" w:pos="0"/>
          <w:tab w:val="left" w:pos="900"/>
          <w:tab w:val="right" w:pos="8640"/>
        </w:tabs>
        <w:spacing w:after="0" w:line="240" w:lineRule="auto"/>
        <w:ind w:right="-90"/>
        <w:contextualSpacing/>
        <w:rPr>
          <w:rFonts w:ascii="Arial" w:hAnsi="Arial" w:eastAsia="Times New Roman" w:cs="Arial"/>
          <w:b/>
          <w:sz w:val="24"/>
          <w:szCs w:val="24"/>
        </w:rPr>
      </w:pPr>
    </w:p>
    <w:p w:rsidR="00463D10" w:rsidP="00AF00E3" w:rsidRDefault="00AF00E3" w14:paraId="6A0B8E51" w14:textId="200EC12A">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 </w:t>
      </w:r>
      <w:r w:rsidR="00463D10">
        <w:rPr>
          <w:rFonts w:ascii="Arial" w:hAnsi="Arial" w:eastAsia="Times New Roman" w:cs="Arial"/>
          <w:b/>
          <w:sz w:val="24"/>
          <w:szCs w:val="24"/>
        </w:rPr>
        <w:t>Provide additional justification for any questions of a sensitive nature</w:t>
      </w:r>
      <w:r w:rsidR="00463D10">
        <w:rPr>
          <w:rFonts w:ascii="Arial" w:hAnsi="Arial" w:eastAsia="Times New Roman" w:cs="Arial"/>
          <w:b/>
          <w:color w:val="0000FF"/>
          <w:sz w:val="24"/>
          <w:szCs w:val="24"/>
        </w:rPr>
        <w:t xml:space="preserve"> </w:t>
      </w:r>
      <w:r w:rsidR="00463D10">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C50F64" w:rsidRDefault="00463D10" w14:paraId="6A0B8E52"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53" w14:textId="77777777">
      <w:pPr>
        <w:tabs>
          <w:tab w:val="left" w:pos="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There are no questions of a sensitive nature.</w:t>
      </w:r>
    </w:p>
    <w:p w:rsidR="00463D10" w:rsidP="00C50F64" w:rsidRDefault="00463D10" w14:paraId="6A0B8E54" w14:textId="77777777">
      <w:pPr>
        <w:tabs>
          <w:tab w:val="left" w:pos="0"/>
          <w:tab w:val="left" w:pos="900"/>
          <w:tab w:val="right" w:pos="8640"/>
        </w:tabs>
        <w:spacing w:after="0" w:line="240" w:lineRule="auto"/>
        <w:ind w:left="990" w:right="-90"/>
        <w:contextualSpacing/>
        <w:rPr>
          <w:rFonts w:ascii="Arial" w:hAnsi="Arial" w:eastAsia="Times New Roman" w:cs="Arial"/>
          <w:sz w:val="24"/>
          <w:szCs w:val="24"/>
        </w:rPr>
      </w:pPr>
    </w:p>
    <w:p w:rsidR="00463D10" w:rsidP="00AF00E3" w:rsidRDefault="00AF00E3" w14:paraId="6A0B8E55" w14:textId="5D1C6265">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 xml:space="preserve"> </w:t>
      </w:r>
      <w:r w:rsidR="00463D10">
        <w:rPr>
          <w:rFonts w:ascii="Arial" w:hAnsi="Arial" w:eastAsia="Times New Roman" w:cs="Arial"/>
          <w:b/>
          <w:sz w:val="24"/>
          <w:szCs w:val="24"/>
        </w:rPr>
        <w:t>Estimate of the hour burden of the collection of information:</w:t>
      </w:r>
    </w:p>
    <w:p w:rsidR="00AF00E3" w:rsidP="00AF00E3" w:rsidRDefault="00AF00E3" w14:paraId="24F7A6F1" w14:textId="77777777">
      <w:pPr>
        <w:pStyle w:val="ListParagraph"/>
        <w:tabs>
          <w:tab w:val="left" w:pos="0"/>
          <w:tab w:val="left" w:pos="900"/>
          <w:tab w:val="right" w:pos="8640"/>
        </w:tabs>
        <w:spacing w:after="0" w:line="240" w:lineRule="auto"/>
        <w:ind w:right="-90"/>
        <w:rPr>
          <w:rFonts w:ascii="Arial" w:hAnsi="Arial" w:eastAsia="Times New Roman" w:cs="Arial"/>
          <w:b/>
          <w:sz w:val="24"/>
          <w:szCs w:val="24"/>
        </w:rPr>
      </w:pPr>
    </w:p>
    <w:tbl>
      <w:tblPr>
        <w:tblW w:w="8840" w:type="dxa"/>
        <w:tblInd w:w="440" w:type="dxa"/>
        <w:tblLook w:val="04A0" w:firstRow="1" w:lastRow="0" w:firstColumn="1" w:lastColumn="0" w:noHBand="0" w:noVBand="1"/>
      </w:tblPr>
      <w:tblGrid>
        <w:gridCol w:w="1117"/>
        <w:gridCol w:w="1277"/>
        <w:gridCol w:w="1067"/>
        <w:gridCol w:w="1117"/>
        <w:gridCol w:w="1194"/>
        <w:gridCol w:w="1009"/>
        <w:gridCol w:w="767"/>
        <w:gridCol w:w="1292"/>
      </w:tblGrid>
      <w:tr w:rsidRPr="00C50F64" w:rsidR="00C50F64" w:rsidTr="002E09D0" w14:paraId="7E5F1075" w14:textId="77777777">
        <w:trPr>
          <w:trHeight w:val="552"/>
        </w:trPr>
        <w:tc>
          <w:tcPr>
            <w:tcW w:w="988" w:type="dxa"/>
            <w:vMerge w:val="restart"/>
            <w:tcBorders>
              <w:top w:val="single" w:color="auto" w:sz="8" w:space="0"/>
              <w:left w:val="single" w:color="auto" w:sz="8" w:space="0"/>
              <w:bottom w:val="single" w:color="auto" w:sz="4" w:space="0"/>
              <w:right w:val="single" w:color="auto" w:sz="4" w:space="0"/>
            </w:tcBorders>
            <w:shd w:val="clear" w:color="auto" w:fill="auto"/>
            <w:vAlign w:val="center"/>
            <w:hideMark/>
          </w:tcPr>
          <w:p w:rsidRPr="00C50F64" w:rsidR="00C50F64" w:rsidP="00C50F64" w:rsidRDefault="00C50F64" w14:paraId="4C9A356E"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Description of Information Collection</w:t>
            </w:r>
          </w:p>
        </w:tc>
        <w:tc>
          <w:tcPr>
            <w:tcW w:w="127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300A722"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Number of Respondents</w:t>
            </w:r>
          </w:p>
        </w:tc>
        <w:tc>
          <w:tcPr>
            <w:tcW w:w="106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B18ABF3"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Frequency of Response </w:t>
            </w:r>
          </w:p>
        </w:tc>
        <w:tc>
          <w:tcPr>
            <w:tcW w:w="111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C8978FE"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Total Annual Responses </w:t>
            </w:r>
          </w:p>
        </w:tc>
        <w:tc>
          <w:tcPr>
            <w:tcW w:w="1222" w:type="dxa"/>
            <w:tcBorders>
              <w:top w:val="single" w:color="auto" w:sz="8" w:space="0"/>
              <w:left w:val="nil"/>
              <w:bottom w:val="single" w:color="auto" w:sz="4" w:space="0"/>
              <w:right w:val="single" w:color="auto" w:sz="4" w:space="0"/>
            </w:tcBorders>
            <w:shd w:val="clear" w:color="auto" w:fill="auto"/>
            <w:vAlign w:val="center"/>
            <w:hideMark/>
          </w:tcPr>
          <w:p w:rsidRPr="00C50F64" w:rsidR="00C50F64" w:rsidP="00C50F64" w:rsidRDefault="00C50F64" w14:paraId="20F3A1CF"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Hours per Response</w:t>
            </w:r>
          </w:p>
        </w:tc>
        <w:tc>
          <w:tcPr>
            <w:tcW w:w="1084"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3D934D81"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Annual Burden Hours</w:t>
            </w:r>
          </w:p>
        </w:tc>
        <w:tc>
          <w:tcPr>
            <w:tcW w:w="767"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C50F64" w:rsidR="00C50F64" w:rsidP="00C50F64" w:rsidRDefault="00C50F64" w14:paraId="57111665"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Hourly Cost</w:t>
            </w:r>
          </w:p>
        </w:tc>
        <w:tc>
          <w:tcPr>
            <w:tcW w:w="1318" w:type="dxa"/>
            <w:vMerge w:val="restart"/>
            <w:tcBorders>
              <w:top w:val="single" w:color="auto" w:sz="8" w:space="0"/>
              <w:left w:val="single" w:color="auto" w:sz="4" w:space="0"/>
              <w:bottom w:val="single" w:color="auto" w:sz="4" w:space="0"/>
              <w:right w:val="single" w:color="auto" w:sz="8" w:space="0"/>
            </w:tcBorders>
            <w:shd w:val="clear" w:color="auto" w:fill="auto"/>
            <w:vAlign w:val="center"/>
            <w:hideMark/>
          </w:tcPr>
          <w:p w:rsidRPr="00C50F64" w:rsidR="00C50F64" w:rsidP="00C50F64" w:rsidRDefault="00C50F64" w14:paraId="4594F3F0"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Total Annual Cost</w:t>
            </w:r>
          </w:p>
        </w:tc>
      </w:tr>
      <w:tr w:rsidRPr="00C50F64" w:rsidR="00C50F64" w:rsidTr="002E09D0" w14:paraId="2157105F" w14:textId="77777777">
        <w:trPr>
          <w:trHeight w:val="1284"/>
        </w:trPr>
        <w:tc>
          <w:tcPr>
            <w:tcW w:w="988" w:type="dxa"/>
            <w:vMerge/>
            <w:tcBorders>
              <w:top w:val="single" w:color="auto" w:sz="8" w:space="0"/>
              <w:left w:val="single" w:color="auto" w:sz="8" w:space="0"/>
              <w:bottom w:val="single" w:color="auto" w:sz="4" w:space="0"/>
              <w:right w:val="single" w:color="auto" w:sz="4" w:space="0"/>
            </w:tcBorders>
            <w:vAlign w:val="center"/>
            <w:hideMark/>
          </w:tcPr>
          <w:p w:rsidRPr="00C50F64" w:rsidR="00C50F64" w:rsidP="00C50F64" w:rsidRDefault="00C50F64" w14:paraId="20074347" w14:textId="77777777">
            <w:pPr>
              <w:spacing w:after="0" w:line="240" w:lineRule="auto"/>
              <w:rPr>
                <w:rFonts w:ascii="Arial" w:hAnsi="Arial" w:eastAsia="Times New Roman" w:cs="Arial"/>
                <w:color w:val="000000"/>
                <w:sz w:val="18"/>
                <w:szCs w:val="18"/>
              </w:rPr>
            </w:pPr>
          </w:p>
        </w:tc>
        <w:tc>
          <w:tcPr>
            <w:tcW w:w="127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51ACCE7D" w14:textId="77777777">
            <w:pPr>
              <w:spacing w:after="0" w:line="240" w:lineRule="auto"/>
              <w:rPr>
                <w:rFonts w:ascii="Arial" w:hAnsi="Arial" w:eastAsia="Times New Roman" w:cs="Arial"/>
                <w:color w:val="000000"/>
                <w:sz w:val="18"/>
                <w:szCs w:val="18"/>
              </w:rPr>
            </w:pPr>
          </w:p>
        </w:tc>
        <w:tc>
          <w:tcPr>
            <w:tcW w:w="106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6D7A6720" w14:textId="77777777">
            <w:pPr>
              <w:spacing w:after="0" w:line="240" w:lineRule="auto"/>
              <w:rPr>
                <w:rFonts w:ascii="Arial" w:hAnsi="Arial" w:eastAsia="Times New Roman" w:cs="Arial"/>
                <w:color w:val="000000"/>
                <w:sz w:val="18"/>
                <w:szCs w:val="18"/>
              </w:rPr>
            </w:pPr>
          </w:p>
        </w:tc>
        <w:tc>
          <w:tcPr>
            <w:tcW w:w="111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0BD32F0A" w14:textId="77777777">
            <w:pPr>
              <w:spacing w:after="0" w:line="240" w:lineRule="auto"/>
              <w:rPr>
                <w:rFonts w:ascii="Arial" w:hAnsi="Arial" w:eastAsia="Times New Roman" w:cs="Arial"/>
                <w:color w:val="000000"/>
                <w:sz w:val="18"/>
                <w:szCs w:val="18"/>
              </w:rPr>
            </w:pPr>
          </w:p>
        </w:tc>
        <w:tc>
          <w:tcPr>
            <w:tcW w:w="1222"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3FC04236" w14:textId="77777777">
            <w:pPr>
              <w:spacing w:after="0" w:line="240" w:lineRule="auto"/>
              <w:jc w:val="center"/>
              <w:rPr>
                <w:rFonts w:ascii="Arial" w:hAnsi="Arial" w:eastAsia="Times New Roman" w:cs="Arial"/>
                <w:color w:val="000000"/>
                <w:sz w:val="18"/>
                <w:szCs w:val="18"/>
              </w:rPr>
            </w:pPr>
            <w:r w:rsidRPr="00C50F64">
              <w:rPr>
                <w:rFonts w:ascii="Arial" w:hAnsi="Arial" w:eastAsia="Times New Roman" w:cs="Arial"/>
                <w:color w:val="000000"/>
                <w:sz w:val="18"/>
                <w:szCs w:val="18"/>
              </w:rPr>
              <w:t>(expressed as percentage of hour for calculating burden hours)</w:t>
            </w:r>
          </w:p>
        </w:tc>
        <w:tc>
          <w:tcPr>
            <w:tcW w:w="1084"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4DB8F891" w14:textId="77777777">
            <w:pPr>
              <w:spacing w:after="0" w:line="240" w:lineRule="auto"/>
              <w:rPr>
                <w:rFonts w:ascii="Arial" w:hAnsi="Arial" w:eastAsia="Times New Roman" w:cs="Arial"/>
                <w:color w:val="000000"/>
                <w:sz w:val="18"/>
                <w:szCs w:val="18"/>
              </w:rPr>
            </w:pPr>
          </w:p>
        </w:tc>
        <w:tc>
          <w:tcPr>
            <w:tcW w:w="767" w:type="dxa"/>
            <w:vMerge/>
            <w:tcBorders>
              <w:top w:val="single" w:color="auto" w:sz="8" w:space="0"/>
              <w:left w:val="single" w:color="auto" w:sz="4" w:space="0"/>
              <w:bottom w:val="single" w:color="auto" w:sz="4" w:space="0"/>
              <w:right w:val="single" w:color="auto" w:sz="4" w:space="0"/>
            </w:tcBorders>
            <w:vAlign w:val="center"/>
            <w:hideMark/>
          </w:tcPr>
          <w:p w:rsidRPr="00C50F64" w:rsidR="00C50F64" w:rsidP="00C50F64" w:rsidRDefault="00C50F64" w14:paraId="4C24C28B" w14:textId="77777777">
            <w:pPr>
              <w:spacing w:after="0" w:line="240" w:lineRule="auto"/>
              <w:rPr>
                <w:rFonts w:ascii="Arial" w:hAnsi="Arial" w:eastAsia="Times New Roman" w:cs="Arial"/>
                <w:color w:val="000000"/>
                <w:sz w:val="18"/>
                <w:szCs w:val="18"/>
              </w:rPr>
            </w:pPr>
          </w:p>
        </w:tc>
        <w:tc>
          <w:tcPr>
            <w:tcW w:w="1318" w:type="dxa"/>
            <w:vMerge/>
            <w:tcBorders>
              <w:top w:val="single" w:color="auto" w:sz="8" w:space="0"/>
              <w:left w:val="single" w:color="auto" w:sz="4" w:space="0"/>
              <w:bottom w:val="single" w:color="auto" w:sz="4" w:space="0"/>
              <w:right w:val="single" w:color="auto" w:sz="8" w:space="0"/>
            </w:tcBorders>
            <w:vAlign w:val="center"/>
            <w:hideMark/>
          </w:tcPr>
          <w:p w:rsidRPr="00C50F64" w:rsidR="00C50F64" w:rsidP="00C50F64" w:rsidRDefault="00C50F64" w14:paraId="39482F9B" w14:textId="77777777">
            <w:pPr>
              <w:spacing w:after="0" w:line="240" w:lineRule="auto"/>
              <w:rPr>
                <w:rFonts w:ascii="Arial" w:hAnsi="Arial" w:eastAsia="Times New Roman" w:cs="Arial"/>
                <w:color w:val="000000"/>
                <w:sz w:val="18"/>
                <w:szCs w:val="18"/>
              </w:rPr>
            </w:pPr>
          </w:p>
        </w:tc>
      </w:tr>
      <w:tr w:rsidRPr="00C50F64" w:rsidR="00C50F64" w:rsidTr="00E34E18" w14:paraId="210A31B6" w14:textId="77777777">
        <w:trPr>
          <w:trHeight w:val="456"/>
        </w:trPr>
        <w:tc>
          <w:tcPr>
            <w:tcW w:w="988" w:type="dxa"/>
            <w:tcBorders>
              <w:top w:val="nil"/>
              <w:left w:val="single" w:color="auto" w:sz="8" w:space="0"/>
              <w:bottom w:val="single" w:color="auto" w:sz="4" w:space="0"/>
              <w:right w:val="single" w:color="auto" w:sz="4" w:space="0"/>
            </w:tcBorders>
            <w:shd w:val="clear" w:color="auto" w:fill="auto"/>
            <w:vAlign w:val="center"/>
            <w:hideMark/>
          </w:tcPr>
          <w:p w:rsidRPr="00C50F64" w:rsidR="00C50F64" w:rsidP="00A91ADE" w:rsidRDefault="00C50F64" w14:paraId="241BD5CB" w14:textId="77777777">
            <w:pPr>
              <w:spacing w:after="0" w:line="240" w:lineRule="auto"/>
              <w:jc w:val="both"/>
              <w:rPr>
                <w:rFonts w:ascii="Arial" w:hAnsi="Arial" w:eastAsia="Times New Roman" w:cs="Arial"/>
                <w:color w:val="000000"/>
                <w:sz w:val="18"/>
                <w:szCs w:val="18"/>
              </w:rPr>
            </w:pPr>
            <w:r w:rsidRPr="00C50F64">
              <w:rPr>
                <w:rFonts w:ascii="Arial" w:hAnsi="Arial" w:eastAsia="Times New Roman" w:cs="Arial"/>
                <w:color w:val="000000"/>
                <w:sz w:val="18"/>
                <w:szCs w:val="18"/>
              </w:rPr>
              <w:t>Providing appraisal form</w:t>
            </w:r>
          </w:p>
        </w:tc>
        <w:tc>
          <w:tcPr>
            <w:tcW w:w="1277"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5AE598F2"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         650,000 </w:t>
            </w:r>
          </w:p>
        </w:tc>
        <w:tc>
          <w:tcPr>
            <w:tcW w:w="1067" w:type="dxa"/>
            <w:tcBorders>
              <w:top w:val="nil"/>
              <w:left w:val="nil"/>
              <w:bottom w:val="single" w:color="auto" w:sz="4" w:space="0"/>
              <w:right w:val="single" w:color="auto" w:sz="4" w:space="0"/>
            </w:tcBorders>
            <w:shd w:val="clear" w:color="auto" w:fill="auto"/>
            <w:vAlign w:val="center"/>
            <w:hideMark/>
          </w:tcPr>
          <w:p w:rsidR="00A91ADE" w:rsidP="00C50F64" w:rsidRDefault="00A91ADE" w14:paraId="677AB799"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352971B4" w14:textId="5E9DD17E">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1.00</w:t>
            </w:r>
          </w:p>
        </w:tc>
        <w:tc>
          <w:tcPr>
            <w:tcW w:w="1117" w:type="dxa"/>
            <w:tcBorders>
              <w:top w:val="nil"/>
              <w:left w:val="nil"/>
              <w:bottom w:val="single" w:color="auto" w:sz="4" w:space="0"/>
              <w:right w:val="single" w:color="auto" w:sz="4" w:space="0"/>
            </w:tcBorders>
            <w:shd w:val="clear" w:color="auto" w:fill="auto"/>
            <w:vAlign w:val="center"/>
            <w:hideMark/>
          </w:tcPr>
          <w:p w:rsidRPr="00C50F64" w:rsidR="00C50F64" w:rsidP="00C50F64" w:rsidRDefault="00C50F64" w14:paraId="11FBCE8D" w14:textId="77777777">
            <w:pPr>
              <w:spacing w:after="0" w:line="240" w:lineRule="auto"/>
              <w:rPr>
                <w:rFonts w:ascii="Arial" w:hAnsi="Arial" w:eastAsia="Times New Roman" w:cs="Arial"/>
                <w:color w:val="000000"/>
                <w:sz w:val="18"/>
                <w:szCs w:val="18"/>
              </w:rPr>
            </w:pPr>
            <w:r w:rsidRPr="00C50F64">
              <w:rPr>
                <w:rFonts w:ascii="Arial" w:hAnsi="Arial" w:eastAsia="Times New Roman" w:cs="Arial"/>
                <w:color w:val="000000"/>
                <w:sz w:val="18"/>
                <w:szCs w:val="18"/>
              </w:rPr>
              <w:t xml:space="preserve">      650,000 </w:t>
            </w:r>
          </w:p>
        </w:tc>
        <w:tc>
          <w:tcPr>
            <w:tcW w:w="1222" w:type="dxa"/>
            <w:tcBorders>
              <w:top w:val="nil"/>
              <w:left w:val="nil"/>
              <w:bottom w:val="single" w:color="auto" w:sz="4" w:space="0"/>
              <w:right w:val="single" w:color="auto" w:sz="4" w:space="0"/>
            </w:tcBorders>
            <w:shd w:val="clear" w:color="auto" w:fill="auto"/>
            <w:vAlign w:val="center"/>
            <w:hideMark/>
          </w:tcPr>
          <w:p w:rsidR="00A91ADE" w:rsidP="00C50F64" w:rsidRDefault="00A91ADE" w14:paraId="28C49347" w14:textId="77777777">
            <w:pPr>
              <w:spacing w:after="0" w:line="240" w:lineRule="auto"/>
              <w:jc w:val="right"/>
              <w:rPr>
                <w:rFonts w:ascii="Arial" w:hAnsi="Arial" w:eastAsia="Times New Roman" w:cs="Arial"/>
                <w:color w:val="000000"/>
                <w:sz w:val="18"/>
                <w:szCs w:val="18"/>
              </w:rPr>
            </w:pPr>
          </w:p>
          <w:p w:rsidRPr="00C50F64" w:rsidR="00C50F64" w:rsidP="00C50F64" w:rsidRDefault="00E34E18" w14:paraId="042FA7A1" w14:textId="48E108D7">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.001</w:t>
            </w:r>
          </w:p>
        </w:tc>
        <w:tc>
          <w:tcPr>
            <w:tcW w:w="1084" w:type="dxa"/>
            <w:tcBorders>
              <w:top w:val="nil"/>
              <w:left w:val="nil"/>
              <w:bottom w:val="single" w:color="auto" w:sz="4" w:space="0"/>
              <w:right w:val="single" w:color="auto" w:sz="4" w:space="0"/>
            </w:tcBorders>
            <w:shd w:val="clear" w:color="auto" w:fill="auto"/>
            <w:vAlign w:val="center"/>
          </w:tcPr>
          <w:p w:rsidRPr="00C50F64" w:rsidR="00C50F64" w:rsidP="00C50F64" w:rsidRDefault="00E34E18" w14:paraId="333E8C01" w14:textId="45BFE691">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10,833</w:t>
            </w:r>
          </w:p>
        </w:tc>
        <w:tc>
          <w:tcPr>
            <w:tcW w:w="767" w:type="dxa"/>
            <w:tcBorders>
              <w:top w:val="nil"/>
              <w:left w:val="nil"/>
              <w:bottom w:val="single" w:color="auto" w:sz="4" w:space="0"/>
              <w:right w:val="single" w:color="auto" w:sz="4" w:space="0"/>
            </w:tcBorders>
            <w:shd w:val="clear" w:color="auto" w:fill="auto"/>
            <w:vAlign w:val="center"/>
            <w:hideMark/>
          </w:tcPr>
          <w:p w:rsidR="00A91ADE" w:rsidP="00C50F64" w:rsidRDefault="00A91ADE" w14:paraId="3D1763AC"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018DC4E7" w14:textId="1852D739">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$31.55</w:t>
            </w:r>
          </w:p>
        </w:tc>
        <w:tc>
          <w:tcPr>
            <w:tcW w:w="1318" w:type="dxa"/>
            <w:tcBorders>
              <w:top w:val="nil"/>
              <w:left w:val="nil"/>
              <w:bottom w:val="single" w:color="auto" w:sz="4" w:space="0"/>
              <w:right w:val="single" w:color="auto" w:sz="8" w:space="0"/>
            </w:tcBorders>
            <w:shd w:val="clear" w:color="auto" w:fill="auto"/>
            <w:vAlign w:val="center"/>
            <w:hideMark/>
          </w:tcPr>
          <w:p w:rsidR="00A91ADE" w:rsidP="00C50F64" w:rsidRDefault="00A91ADE" w14:paraId="4D942E78" w14:textId="77777777">
            <w:pPr>
              <w:spacing w:after="0" w:line="240" w:lineRule="auto"/>
              <w:jc w:val="right"/>
              <w:rPr>
                <w:rFonts w:ascii="Arial" w:hAnsi="Arial" w:eastAsia="Times New Roman" w:cs="Arial"/>
                <w:color w:val="000000"/>
                <w:sz w:val="18"/>
                <w:szCs w:val="18"/>
              </w:rPr>
            </w:pPr>
          </w:p>
          <w:p w:rsidRPr="00C50F64" w:rsidR="00C50F64" w:rsidP="00C50F64" w:rsidRDefault="00C50F64" w14:paraId="36C790C9" w14:textId="401CAAB4">
            <w:pPr>
              <w:spacing w:after="0" w:line="240" w:lineRule="auto"/>
              <w:jc w:val="right"/>
              <w:rPr>
                <w:rFonts w:ascii="Arial" w:hAnsi="Arial" w:eastAsia="Times New Roman" w:cs="Arial"/>
                <w:color w:val="000000"/>
                <w:sz w:val="18"/>
                <w:szCs w:val="18"/>
              </w:rPr>
            </w:pPr>
            <w:r w:rsidRPr="00C50F64">
              <w:rPr>
                <w:rFonts w:ascii="Arial" w:hAnsi="Arial" w:eastAsia="Times New Roman" w:cs="Arial"/>
                <w:color w:val="000000"/>
                <w:sz w:val="18"/>
                <w:szCs w:val="18"/>
              </w:rPr>
              <w:t>$</w:t>
            </w:r>
            <w:r w:rsidR="00E34E18">
              <w:rPr>
                <w:rFonts w:ascii="Arial" w:hAnsi="Arial" w:eastAsia="Times New Roman" w:cs="Arial"/>
                <w:color w:val="000000"/>
                <w:sz w:val="18"/>
                <w:szCs w:val="18"/>
              </w:rPr>
              <w:t>341</w:t>
            </w:r>
            <w:r w:rsidR="00F241FD">
              <w:rPr>
                <w:rFonts w:ascii="Arial" w:hAnsi="Arial" w:eastAsia="Times New Roman" w:cs="Arial"/>
                <w:color w:val="000000"/>
                <w:sz w:val="18"/>
                <w:szCs w:val="18"/>
              </w:rPr>
              <w:t>,</w:t>
            </w:r>
            <w:r w:rsidR="00E34E18">
              <w:rPr>
                <w:rFonts w:ascii="Arial" w:hAnsi="Arial" w:eastAsia="Times New Roman" w:cs="Arial"/>
                <w:color w:val="000000"/>
                <w:sz w:val="18"/>
                <w:szCs w:val="18"/>
              </w:rPr>
              <w:t>791.67</w:t>
            </w:r>
          </w:p>
        </w:tc>
      </w:tr>
      <w:tr w:rsidRPr="00C50F64" w:rsidR="00C50F64" w:rsidTr="002E09D0" w14:paraId="63587A27" w14:textId="77777777">
        <w:trPr>
          <w:trHeight w:val="300"/>
        </w:trPr>
        <w:tc>
          <w:tcPr>
            <w:tcW w:w="988" w:type="dxa"/>
            <w:tcBorders>
              <w:top w:val="nil"/>
              <w:left w:val="single" w:color="auto" w:sz="8" w:space="0"/>
              <w:bottom w:val="single" w:color="auto" w:sz="8" w:space="0"/>
              <w:right w:val="single" w:color="auto" w:sz="8" w:space="0"/>
            </w:tcBorders>
            <w:shd w:val="clear" w:color="auto" w:fill="auto"/>
            <w:vAlign w:val="center"/>
            <w:hideMark/>
          </w:tcPr>
          <w:p w:rsidRPr="00C50F64" w:rsidR="00C50F64" w:rsidP="00C50F64" w:rsidRDefault="00C50F64" w14:paraId="1F21C506"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Totals</w:t>
            </w:r>
          </w:p>
        </w:tc>
        <w:tc>
          <w:tcPr>
            <w:tcW w:w="127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6D90299B"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06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4E990283"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11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5F02484F" w14:textId="77777777">
            <w:pPr>
              <w:spacing w:after="0" w:line="240" w:lineRule="auto"/>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222"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E34E18" w14:paraId="759CEE0A" w14:textId="7D83B525">
            <w:pPr>
              <w:spacing w:after="0" w:line="240" w:lineRule="auto"/>
              <w:jc w:val="right"/>
              <w:rPr>
                <w:rFonts w:ascii="Arial" w:hAnsi="Arial" w:eastAsia="Times New Roman" w:cs="Arial"/>
                <w:b/>
                <w:bCs/>
                <w:color w:val="000000"/>
                <w:sz w:val="18"/>
                <w:szCs w:val="18"/>
              </w:rPr>
            </w:pPr>
            <w:r>
              <w:rPr>
                <w:rFonts w:ascii="Arial" w:hAnsi="Arial" w:eastAsia="Times New Roman" w:cs="Arial"/>
                <w:b/>
                <w:bCs/>
                <w:color w:val="000000"/>
                <w:sz w:val="18"/>
                <w:szCs w:val="18"/>
              </w:rPr>
              <w:t>.001</w:t>
            </w:r>
          </w:p>
        </w:tc>
        <w:tc>
          <w:tcPr>
            <w:tcW w:w="1084"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E34E18" w14:paraId="2064F2B1" w14:textId="4D4FA48B">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10,833</w:t>
            </w:r>
          </w:p>
        </w:tc>
        <w:tc>
          <w:tcPr>
            <w:tcW w:w="767" w:type="dxa"/>
            <w:tcBorders>
              <w:top w:val="nil"/>
              <w:left w:val="nil"/>
              <w:bottom w:val="single" w:color="auto" w:sz="8" w:space="0"/>
              <w:right w:val="single" w:color="auto" w:sz="8" w:space="0"/>
            </w:tcBorders>
            <w:shd w:val="clear" w:color="auto" w:fill="auto"/>
            <w:vAlign w:val="center"/>
            <w:hideMark/>
          </w:tcPr>
          <w:p w:rsidRPr="00C50F64" w:rsidR="00C50F64" w:rsidP="00C50F64" w:rsidRDefault="00C50F64" w14:paraId="5BBF29EB" w14:textId="77777777">
            <w:pPr>
              <w:spacing w:after="0" w:line="240" w:lineRule="auto"/>
              <w:jc w:val="right"/>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 </w:t>
            </w:r>
          </w:p>
        </w:tc>
        <w:tc>
          <w:tcPr>
            <w:tcW w:w="1318" w:type="dxa"/>
            <w:tcBorders>
              <w:top w:val="nil"/>
              <w:left w:val="nil"/>
              <w:bottom w:val="single" w:color="auto" w:sz="8" w:space="0"/>
              <w:right w:val="single" w:color="auto" w:sz="8" w:space="0"/>
            </w:tcBorders>
            <w:shd w:val="clear" w:color="auto" w:fill="auto"/>
            <w:vAlign w:val="center"/>
            <w:hideMark/>
          </w:tcPr>
          <w:p w:rsidR="00C50F64" w:rsidP="00C50F64" w:rsidRDefault="00C50F64" w14:paraId="19D33AA8" w14:textId="77777777">
            <w:pPr>
              <w:spacing w:after="0" w:line="240" w:lineRule="auto"/>
              <w:jc w:val="right"/>
              <w:rPr>
                <w:rFonts w:ascii="Arial" w:hAnsi="Arial" w:eastAsia="Times New Roman" w:cs="Arial"/>
                <w:b/>
                <w:bCs/>
                <w:color w:val="000000"/>
                <w:sz w:val="18"/>
                <w:szCs w:val="18"/>
              </w:rPr>
            </w:pPr>
            <w:r w:rsidRPr="00C50F64">
              <w:rPr>
                <w:rFonts w:ascii="Arial" w:hAnsi="Arial" w:eastAsia="Times New Roman" w:cs="Arial"/>
                <w:b/>
                <w:bCs/>
                <w:color w:val="000000"/>
                <w:sz w:val="18"/>
                <w:szCs w:val="18"/>
              </w:rPr>
              <w:t>$</w:t>
            </w:r>
            <w:r w:rsidR="00F241FD">
              <w:rPr>
                <w:rFonts w:ascii="Arial" w:hAnsi="Arial" w:eastAsia="Times New Roman" w:cs="Arial"/>
                <w:b/>
                <w:bCs/>
                <w:color w:val="000000"/>
                <w:sz w:val="18"/>
                <w:szCs w:val="18"/>
              </w:rPr>
              <w:t>341,791.67</w:t>
            </w:r>
          </w:p>
          <w:p w:rsidRPr="00C50F64" w:rsidR="00F241FD" w:rsidP="00F241FD" w:rsidRDefault="00F241FD" w14:paraId="4FB8105C" w14:textId="55D2FA25">
            <w:pPr>
              <w:spacing w:after="0" w:line="240" w:lineRule="auto"/>
              <w:jc w:val="center"/>
              <w:rPr>
                <w:rFonts w:ascii="Arial" w:hAnsi="Arial" w:eastAsia="Times New Roman" w:cs="Arial"/>
                <w:b/>
                <w:bCs/>
                <w:color w:val="000000"/>
                <w:sz w:val="18"/>
                <w:szCs w:val="18"/>
              </w:rPr>
            </w:pPr>
          </w:p>
        </w:tc>
      </w:tr>
    </w:tbl>
    <w:p w:rsidR="00C50F64" w:rsidP="00C50F64" w:rsidRDefault="00C50F64" w14:paraId="78CB7260" w14:textId="77777777">
      <w:pPr>
        <w:tabs>
          <w:tab w:val="left" w:pos="480"/>
          <w:tab w:val="left" w:pos="900"/>
          <w:tab w:val="right" w:pos="8640"/>
        </w:tabs>
        <w:spacing w:after="0" w:line="240" w:lineRule="auto"/>
        <w:ind w:right="-90"/>
        <w:contextualSpacing/>
        <w:rPr>
          <w:rFonts w:ascii="Arial" w:hAnsi="Arial" w:eastAsia="Times New Roman" w:cs="Arial"/>
          <w:b/>
          <w:sz w:val="24"/>
          <w:szCs w:val="24"/>
        </w:rPr>
      </w:pPr>
    </w:p>
    <w:p w:rsidR="00C50F64" w:rsidP="00C50F64" w:rsidRDefault="00C50F64" w14:paraId="0681C45A" w14:textId="77777777">
      <w:pPr>
        <w:tabs>
          <w:tab w:val="left" w:pos="480"/>
          <w:tab w:val="left" w:pos="900"/>
          <w:tab w:val="right" w:pos="8640"/>
        </w:tabs>
        <w:spacing w:after="0" w:line="240" w:lineRule="auto"/>
        <w:ind w:right="-90"/>
        <w:contextualSpacing/>
        <w:rPr>
          <w:rFonts w:ascii="Arial" w:hAnsi="Arial" w:eastAsia="Times New Roman" w:cs="Arial"/>
          <w:b/>
          <w:sz w:val="24"/>
          <w:szCs w:val="24"/>
        </w:rPr>
      </w:pPr>
    </w:p>
    <w:p w:rsidR="00463D10" w:rsidP="00C50F64" w:rsidRDefault="00E34E18" w14:paraId="6A0B8E56" w14:textId="577DF102">
      <w:pPr>
        <w:tabs>
          <w:tab w:val="left" w:pos="480"/>
          <w:tab w:val="left" w:pos="900"/>
          <w:tab w:val="right" w:pos="8640"/>
        </w:tabs>
        <w:spacing w:after="0" w:line="240" w:lineRule="auto"/>
        <w:ind w:left="990" w:right="-90"/>
        <w:contextualSpacing/>
        <w:rPr>
          <w:rFonts w:ascii="Arial" w:hAnsi="Arial" w:eastAsia="Times New Roman" w:cs="Arial"/>
          <w:sz w:val="24"/>
          <w:szCs w:val="24"/>
        </w:rPr>
      </w:pPr>
      <w:r>
        <w:rPr>
          <w:rFonts w:ascii="Arial" w:hAnsi="Arial" w:eastAsia="Times New Roman" w:cs="Arial"/>
          <w:sz w:val="24"/>
          <w:szCs w:val="24"/>
        </w:rPr>
        <w:t xml:space="preserve">Note: The appraiser is required to complete this information due to USPAP requirements.  VA’s burden is based on providing the required documents to VA.  </w:t>
      </w:r>
    </w:p>
    <w:p w:rsidR="00F241FD" w:rsidP="00C50F64" w:rsidRDefault="00F241FD" w14:paraId="1593B97D"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00463D10" w:rsidP="00F61C47" w:rsidRDefault="00301B0F" w14:paraId="6A0B8E57" w14:textId="684BA47A">
      <w:pPr>
        <w:tabs>
          <w:tab w:val="left" w:pos="480"/>
          <w:tab w:val="left" w:pos="900"/>
          <w:tab w:val="right" w:pos="8640"/>
        </w:tabs>
        <w:spacing w:after="0" w:line="240" w:lineRule="auto"/>
        <w:ind w:left="720" w:right="-90"/>
        <w:contextualSpacing/>
        <w:rPr>
          <w:rFonts w:ascii="Arial" w:hAnsi="Arial" w:eastAsia="Times New Roman" w:cs="Arial"/>
          <w:sz w:val="24"/>
          <w:szCs w:val="24"/>
        </w:rPr>
      </w:pPr>
      <w:r>
        <w:rPr>
          <w:rFonts w:ascii="Arial" w:hAnsi="Arial" w:eastAsia="Times New Roman" w:cs="Arial"/>
          <w:sz w:val="24"/>
          <w:szCs w:val="24"/>
        </w:rPr>
        <w:lastRenderedPageBreak/>
        <w:t xml:space="preserve">This is not a burden of time. This form is completed </w:t>
      </w:r>
      <w:r w:rsidR="00AF2080">
        <w:rPr>
          <w:rFonts w:ascii="Arial" w:hAnsi="Arial" w:eastAsia="Times New Roman" w:cs="Arial"/>
          <w:sz w:val="24"/>
          <w:szCs w:val="24"/>
        </w:rPr>
        <w:t>by</w:t>
      </w:r>
      <w:r>
        <w:rPr>
          <w:rFonts w:ascii="Arial" w:hAnsi="Arial" w:eastAsia="Times New Roman" w:cs="Arial"/>
          <w:sz w:val="24"/>
          <w:szCs w:val="24"/>
        </w:rPr>
        <w:t xml:space="preserve"> appraisers </w:t>
      </w:r>
      <w:r w:rsidR="00A94295">
        <w:rPr>
          <w:rFonts w:ascii="Arial" w:hAnsi="Arial" w:eastAsia="Times New Roman" w:cs="Arial"/>
          <w:sz w:val="24"/>
          <w:szCs w:val="24"/>
        </w:rPr>
        <w:t xml:space="preserve">to convey their opinion of value. </w:t>
      </w:r>
    </w:p>
    <w:p w:rsidR="00463D10" w:rsidP="00C50F64" w:rsidRDefault="00463D10" w14:paraId="6A0B8E58" w14:textId="77777777">
      <w:pPr>
        <w:tabs>
          <w:tab w:val="left" w:pos="900"/>
        </w:tabs>
        <w:spacing w:after="0" w:line="240" w:lineRule="auto"/>
        <w:ind w:left="990" w:right="-90"/>
        <w:rPr>
          <w:rFonts w:ascii="Arial" w:hAnsi="Arial" w:eastAsia="Times New Roman" w:cs="Arial"/>
          <w:sz w:val="24"/>
          <w:szCs w:val="24"/>
        </w:rPr>
      </w:pPr>
    </w:p>
    <w:p w:rsidRPr="00F61C47" w:rsidR="00463D10" w:rsidP="0064109F" w:rsidRDefault="002E09D0" w14:paraId="6A0B8E5A" w14:textId="42A73AEC">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color w:val="000000" w:themeColor="text1"/>
          <w:sz w:val="24"/>
          <w:szCs w:val="24"/>
        </w:rPr>
      </w:pPr>
      <w:r w:rsidRPr="00AE34F7">
        <w:rPr>
          <w:rFonts w:ascii="Arial" w:hAnsi="Arial" w:eastAsia="Times New Roman" w:cs="Arial"/>
          <w:sz w:val="24"/>
          <w:szCs w:val="24"/>
        </w:rPr>
        <w:t xml:space="preserve">Number </w:t>
      </w:r>
      <w:r w:rsidRPr="00AE34F7" w:rsidR="00463D10">
        <w:rPr>
          <w:rFonts w:ascii="Arial" w:hAnsi="Arial" w:eastAsia="Times New Roman" w:cs="Arial"/>
          <w:sz w:val="24"/>
          <w:szCs w:val="24"/>
        </w:rPr>
        <w:t xml:space="preserve">of Respondents: </w:t>
      </w:r>
      <w:r w:rsidRPr="00F61C47" w:rsidR="00304F14">
        <w:rPr>
          <w:rFonts w:ascii="Arial" w:hAnsi="Arial" w:eastAsia="Times New Roman" w:cs="Arial"/>
          <w:color w:val="000000" w:themeColor="text1"/>
          <w:sz w:val="24"/>
          <w:szCs w:val="24"/>
        </w:rPr>
        <w:t>650</w:t>
      </w:r>
      <w:r w:rsidRPr="00F61C47" w:rsidR="00A94295">
        <w:rPr>
          <w:rFonts w:ascii="Arial" w:hAnsi="Arial" w:eastAsia="Times New Roman" w:cs="Arial"/>
          <w:color w:val="000000" w:themeColor="text1"/>
          <w:sz w:val="24"/>
          <w:szCs w:val="24"/>
        </w:rPr>
        <w:t>,</w:t>
      </w:r>
      <w:r w:rsidRPr="00F61C47" w:rsidR="00304F14">
        <w:rPr>
          <w:rFonts w:ascii="Arial" w:hAnsi="Arial" w:eastAsia="Times New Roman" w:cs="Arial"/>
          <w:color w:val="000000" w:themeColor="text1"/>
          <w:sz w:val="24"/>
          <w:szCs w:val="24"/>
        </w:rPr>
        <w:t>000</w:t>
      </w:r>
    </w:p>
    <w:p w:rsidRPr="00F61C47" w:rsidR="00AE34F7" w:rsidP="0064109F" w:rsidRDefault="00AE34F7" w14:paraId="248C4707" w14:textId="5B9A8412">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Frequency of Response: Once</w:t>
      </w:r>
    </w:p>
    <w:p w:rsidRPr="00AE34F7" w:rsidR="00AE34F7" w:rsidP="0064109F" w:rsidRDefault="00AE34F7" w14:paraId="31C8FF42" w14:textId="78062510">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color w:val="000000" w:themeColor="text1"/>
          <w:sz w:val="24"/>
          <w:szCs w:val="24"/>
        </w:rPr>
        <w:t xml:space="preserve">Annual Burden Hours: </w:t>
      </w:r>
      <w:r w:rsidR="00F241FD">
        <w:rPr>
          <w:rFonts w:ascii="Arial" w:hAnsi="Arial" w:eastAsia="Times New Roman" w:cs="Arial"/>
          <w:color w:val="000000" w:themeColor="text1"/>
          <w:sz w:val="24"/>
          <w:szCs w:val="24"/>
        </w:rPr>
        <w:t>10,833</w:t>
      </w:r>
    </w:p>
    <w:p w:rsidRPr="00AE34F7" w:rsidR="00F13C27" w:rsidP="00F241FD" w:rsidRDefault="00AE34F7" w14:paraId="79066379" w14:textId="07B0013D">
      <w:pPr>
        <w:pStyle w:val="ListParagraph"/>
        <w:numPr>
          <w:ilvl w:val="0"/>
          <w:numId w:val="12"/>
        </w:num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color w:val="000000" w:themeColor="text1"/>
          <w:sz w:val="24"/>
          <w:szCs w:val="24"/>
        </w:rPr>
        <w:t xml:space="preserve">Estimated Completion Time:  </w:t>
      </w:r>
      <w:r w:rsidR="00F241FD">
        <w:rPr>
          <w:rFonts w:ascii="Arial" w:hAnsi="Arial" w:eastAsia="Times New Roman" w:cs="Arial"/>
          <w:color w:val="000000" w:themeColor="text1"/>
          <w:sz w:val="24"/>
          <w:szCs w:val="24"/>
        </w:rPr>
        <w:t xml:space="preserve">The estimated time to complete this is based on the appraiser uploading the report through the VA system, LGY HUB. </w:t>
      </w:r>
      <w:r w:rsidRPr="00AE34F7" w:rsidR="00495FED">
        <w:rPr>
          <w:rFonts w:ascii="Arial" w:hAnsi="Arial" w:eastAsia="Times New Roman" w:cs="Arial"/>
          <w:sz w:val="24"/>
          <w:szCs w:val="24"/>
        </w:rPr>
        <w:t xml:space="preserve">The respondent population that provides the Secretary their industry appraisal reports is composed of VA fee appraisers. </w:t>
      </w:r>
    </w:p>
    <w:p w:rsidRPr="00495FED" w:rsidR="00495FED" w:rsidP="00C50F64" w:rsidRDefault="00495FED" w14:paraId="0F0625EA" w14:textId="77777777">
      <w:pPr>
        <w:pStyle w:val="ListParagraph"/>
        <w:tabs>
          <w:tab w:val="left" w:pos="480"/>
          <w:tab w:val="left" w:pos="900"/>
          <w:tab w:val="left" w:pos="1080"/>
          <w:tab w:val="right" w:pos="8640"/>
        </w:tabs>
        <w:spacing w:after="0" w:line="240" w:lineRule="auto"/>
        <w:ind w:left="990" w:right="-90"/>
        <w:rPr>
          <w:rFonts w:ascii="Arial" w:hAnsi="Arial" w:eastAsia="Times New Roman" w:cs="Arial"/>
          <w:sz w:val="24"/>
          <w:szCs w:val="24"/>
        </w:rPr>
      </w:pPr>
    </w:p>
    <w:p w:rsidR="00495FED" w:rsidP="00C50F64" w:rsidRDefault="00495FED" w14:paraId="339F42FB" w14:textId="231DD05C">
      <w:pPr>
        <w:tabs>
          <w:tab w:val="left" w:pos="900"/>
          <w:tab w:val="left" w:pos="1080"/>
          <w:tab w:val="right" w:pos="8640"/>
        </w:tabs>
        <w:spacing w:after="0" w:line="240" w:lineRule="auto"/>
        <w:ind w:left="990" w:right="-90"/>
        <w:rPr>
          <w:rFonts w:ascii="Arial" w:hAnsi="Arial" w:eastAsia="Times New Roman" w:cs="Arial"/>
          <w:sz w:val="24"/>
          <w:szCs w:val="24"/>
        </w:rPr>
      </w:pPr>
      <w:r w:rsidRPr="00495FED">
        <w:rPr>
          <w:rFonts w:ascii="Arial" w:hAnsi="Arial" w:eastAsia="Times New Roman" w:cs="Arial"/>
          <w:sz w:val="24"/>
          <w:szCs w:val="24"/>
        </w:rPr>
        <w:t xml:space="preserve">The Bureau of Labor Statistics (BLS) gathers information on full-time wage and salary workers.  According to the latest available BLS data, the mean hourly wage is $31.55 based on the BLS wage code – “13-2020: Property Appraisers and Assessors.”  This information was taken from the following website: </w:t>
      </w:r>
      <w:hyperlink w:history="1" r:id="rId12">
        <w:r w:rsidRPr="008F006B">
          <w:rPr>
            <w:rStyle w:val="Hyperlink"/>
            <w:rFonts w:ascii="Arial" w:hAnsi="Arial" w:eastAsia="Times New Roman" w:cs="Arial"/>
            <w:sz w:val="24"/>
            <w:szCs w:val="24"/>
          </w:rPr>
          <w:t>https://www.bls.gov/oes/current/oes_nat.htm</w:t>
        </w:r>
      </w:hyperlink>
    </w:p>
    <w:p w:rsidR="00495FED" w:rsidP="00C50F64" w:rsidRDefault="00495FED" w14:paraId="2BB2313D" w14:textId="77777777">
      <w:pPr>
        <w:tabs>
          <w:tab w:val="left" w:pos="900"/>
          <w:tab w:val="left" w:pos="1080"/>
          <w:tab w:val="right" w:pos="8640"/>
        </w:tabs>
        <w:spacing w:after="0" w:line="240" w:lineRule="auto"/>
        <w:ind w:left="990" w:right="-90"/>
        <w:rPr>
          <w:rFonts w:ascii="Arial" w:hAnsi="Arial" w:eastAsia="Times New Roman" w:cs="Arial"/>
          <w:sz w:val="24"/>
          <w:szCs w:val="24"/>
        </w:rPr>
      </w:pPr>
    </w:p>
    <w:p w:rsidRPr="00A94295" w:rsidR="002F2C02" w:rsidP="00C50F64" w:rsidRDefault="00301B0F" w14:paraId="5342C230" w14:textId="460D83CD">
      <w:pPr>
        <w:tabs>
          <w:tab w:val="left" w:pos="480"/>
          <w:tab w:val="left" w:pos="900"/>
          <w:tab w:val="right" w:pos="8640"/>
        </w:tabs>
        <w:spacing w:after="0" w:line="240" w:lineRule="auto"/>
        <w:ind w:left="990" w:right="-90"/>
        <w:rPr>
          <w:rFonts w:ascii="Arial" w:hAnsi="Arial" w:eastAsia="Times New Roman" w:cs="Arial"/>
          <w:sz w:val="24"/>
          <w:szCs w:val="24"/>
        </w:rPr>
      </w:pPr>
      <w:r>
        <w:rPr>
          <w:rFonts w:ascii="Arial" w:hAnsi="Arial" w:eastAsia="Times New Roman" w:cs="Arial"/>
          <w:sz w:val="24"/>
          <w:szCs w:val="24"/>
        </w:rPr>
        <w:t xml:space="preserve">This is not a government form and the appraisal report requested is the only form that appraisers provide for residential lending. </w:t>
      </w:r>
      <w:r w:rsidR="00AE34F7">
        <w:rPr>
          <w:rFonts w:ascii="Arial" w:hAnsi="Arial" w:eastAsia="Times New Roman" w:cs="Arial"/>
          <w:sz w:val="24"/>
          <w:szCs w:val="24"/>
        </w:rPr>
        <w:t xml:space="preserve"> </w:t>
      </w:r>
      <w:r>
        <w:rPr>
          <w:rFonts w:ascii="Arial" w:hAnsi="Arial" w:eastAsia="Times New Roman" w:cs="Arial"/>
          <w:sz w:val="24"/>
          <w:szCs w:val="24"/>
        </w:rPr>
        <w:t xml:space="preserve">They receive payment when they are engaged to provide a valuation on a residential home. </w:t>
      </w:r>
      <w:r w:rsidR="00AE34F7">
        <w:rPr>
          <w:rFonts w:ascii="Arial" w:hAnsi="Arial" w:eastAsia="Times New Roman" w:cs="Arial"/>
          <w:sz w:val="24"/>
          <w:szCs w:val="24"/>
        </w:rPr>
        <w:t xml:space="preserve"> </w:t>
      </w:r>
      <w:r>
        <w:rPr>
          <w:rFonts w:ascii="Arial" w:hAnsi="Arial" w:eastAsia="Times New Roman" w:cs="Arial"/>
          <w:sz w:val="24"/>
          <w:szCs w:val="24"/>
        </w:rPr>
        <w:t>This value is provided on a form that the entire residential industry uses</w:t>
      </w:r>
      <w:r w:rsidR="002730CF">
        <w:rPr>
          <w:rFonts w:ascii="Arial" w:hAnsi="Arial" w:eastAsia="Times New Roman" w:cs="Arial"/>
          <w:sz w:val="24"/>
          <w:szCs w:val="24"/>
        </w:rPr>
        <w:t>.</w:t>
      </w:r>
    </w:p>
    <w:p w:rsidR="002F2C02" w:rsidP="00C50F64" w:rsidRDefault="002F2C02" w14:paraId="522CE063" w14:textId="77777777">
      <w:pPr>
        <w:tabs>
          <w:tab w:val="left" w:pos="480"/>
          <w:tab w:val="left" w:pos="900"/>
          <w:tab w:val="right" w:pos="8640"/>
        </w:tabs>
        <w:spacing w:after="0" w:line="240" w:lineRule="auto"/>
        <w:ind w:left="630" w:right="-90"/>
        <w:contextualSpacing/>
        <w:rPr>
          <w:rFonts w:ascii="Arial" w:hAnsi="Arial" w:eastAsia="Times New Roman" w:cs="Arial"/>
          <w:b/>
          <w:sz w:val="24"/>
          <w:szCs w:val="24"/>
        </w:rPr>
      </w:pPr>
    </w:p>
    <w:p w:rsidR="00463D10" w:rsidP="00AF00E3" w:rsidRDefault="00463D10" w14:paraId="6A0B8E6D" w14:textId="1427EB9D">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C50F64" w:rsidRDefault="00463D10" w14:paraId="6A0B8E6E"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6F" w14:textId="77777777">
      <w:pPr>
        <w:tabs>
          <w:tab w:val="left" w:pos="48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This submission does not involve any recordkeeping costs.</w:t>
      </w:r>
    </w:p>
    <w:p w:rsidR="00463D10" w:rsidP="00C50F64" w:rsidRDefault="00463D10" w14:paraId="6A0B8E70" w14:textId="77777777">
      <w:pPr>
        <w:tabs>
          <w:tab w:val="left" w:pos="900"/>
        </w:tabs>
        <w:spacing w:after="0" w:line="240" w:lineRule="auto"/>
        <w:ind w:left="990" w:right="-90"/>
        <w:rPr>
          <w:rFonts w:ascii="Arial" w:hAnsi="Arial" w:eastAsia="Times New Roman" w:cs="Arial"/>
          <w:sz w:val="24"/>
          <w:szCs w:val="24"/>
        </w:rPr>
      </w:pPr>
    </w:p>
    <w:p w:rsidR="00463D10" w:rsidP="00AF00E3" w:rsidRDefault="00463D10" w14:paraId="6A0B8E71" w14:textId="690C2A12">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0F64" w:rsidP="00C50F64" w:rsidRDefault="00C50F64" w14:paraId="12B6F259" w14:textId="0F7BF2D6">
      <w:pPr>
        <w:tabs>
          <w:tab w:val="left" w:pos="480"/>
          <w:tab w:val="left" w:pos="900"/>
          <w:tab w:val="right" w:pos="8640"/>
        </w:tabs>
        <w:spacing w:after="0" w:line="240" w:lineRule="auto"/>
        <w:ind w:left="720" w:right="-90"/>
        <w:contextualSpacing/>
        <w:rPr>
          <w:rFonts w:ascii="Arial" w:hAnsi="Arial" w:eastAsia="Times New Roman" w:cs="Arial"/>
          <w:b/>
          <w:sz w:val="24"/>
          <w:szCs w:val="24"/>
        </w:rPr>
      </w:pPr>
    </w:p>
    <w:tbl>
      <w:tblPr>
        <w:tblpPr w:leftFromText="180" w:rightFromText="180" w:horzAnchor="page" w:tblpX="2341" w:tblpY="230"/>
        <w:tblW w:w="8095" w:type="dxa"/>
        <w:tblLook w:val="04A0" w:firstRow="1" w:lastRow="0" w:firstColumn="1" w:lastColumn="0" w:noHBand="0" w:noVBand="1"/>
      </w:tblPr>
      <w:tblGrid>
        <w:gridCol w:w="1152"/>
        <w:gridCol w:w="626"/>
        <w:gridCol w:w="1000"/>
        <w:gridCol w:w="963"/>
        <w:gridCol w:w="830"/>
        <w:gridCol w:w="1092"/>
        <w:gridCol w:w="1092"/>
        <w:gridCol w:w="1340"/>
      </w:tblGrid>
      <w:tr w:rsidRPr="00C50F64" w:rsidR="00C50F64" w:rsidTr="00410B44" w14:paraId="2F347A00" w14:textId="77777777">
        <w:trPr>
          <w:trHeight w:val="552"/>
        </w:trPr>
        <w:tc>
          <w:tcPr>
            <w:tcW w:w="8095" w:type="dxa"/>
            <w:gridSpan w:val="8"/>
            <w:tcBorders>
              <w:top w:val="single" w:color="auto" w:sz="8" w:space="0"/>
              <w:left w:val="single" w:color="auto" w:sz="8" w:space="0"/>
              <w:bottom w:val="nil"/>
              <w:right w:val="single" w:color="000000" w:sz="8" w:space="0"/>
            </w:tcBorders>
            <w:shd w:val="clear" w:color="auto" w:fill="auto"/>
            <w:noWrap/>
            <w:vAlign w:val="bottom"/>
            <w:hideMark/>
          </w:tcPr>
          <w:p w:rsidRPr="00C50F64" w:rsidR="00C50F64" w:rsidP="00410B44" w:rsidRDefault="00C50F64" w14:paraId="2BB08D96" w14:textId="77777777">
            <w:pPr>
              <w:spacing w:after="0" w:line="240" w:lineRule="auto"/>
              <w:jc w:val="center"/>
              <w:rPr>
                <w:rFonts w:ascii="Calibri" w:hAnsi="Calibri" w:eastAsia="Times New Roman" w:cs="Calibri"/>
                <w:color w:val="000000"/>
                <w:sz w:val="28"/>
                <w:szCs w:val="28"/>
              </w:rPr>
            </w:pPr>
            <w:r w:rsidRPr="00C50F64">
              <w:rPr>
                <w:rFonts w:ascii="Calibri" w:hAnsi="Calibri" w:eastAsia="Times New Roman" w:cs="Calibri"/>
                <w:color w:val="000000"/>
                <w:sz w:val="28"/>
                <w:szCs w:val="28"/>
              </w:rPr>
              <w:t>Estimated Annualized Cost to the Federal Government</w:t>
            </w:r>
          </w:p>
        </w:tc>
      </w:tr>
      <w:tr w:rsidRPr="00C50F64" w:rsidR="00C50F64" w:rsidTr="00410B44" w14:paraId="5481E419" w14:textId="77777777">
        <w:trPr>
          <w:trHeight w:val="648"/>
        </w:trPr>
        <w:tc>
          <w:tcPr>
            <w:tcW w:w="1152" w:type="dxa"/>
            <w:tcBorders>
              <w:top w:val="nil"/>
              <w:left w:val="single" w:color="auto" w:sz="8" w:space="0"/>
              <w:bottom w:val="nil"/>
              <w:right w:val="nil"/>
            </w:tcBorders>
            <w:shd w:val="clear" w:color="auto" w:fill="auto"/>
            <w:vAlign w:val="bottom"/>
            <w:hideMark/>
          </w:tcPr>
          <w:p w:rsidRPr="00C50F64" w:rsidR="00C50F64" w:rsidP="00410B44" w:rsidRDefault="00C50F64" w14:paraId="0B3928EC"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Grade</w:t>
            </w:r>
          </w:p>
        </w:tc>
        <w:tc>
          <w:tcPr>
            <w:tcW w:w="626" w:type="dxa"/>
            <w:tcBorders>
              <w:top w:val="nil"/>
              <w:left w:val="nil"/>
              <w:bottom w:val="nil"/>
              <w:right w:val="nil"/>
            </w:tcBorders>
            <w:shd w:val="clear" w:color="auto" w:fill="auto"/>
            <w:vAlign w:val="bottom"/>
            <w:hideMark/>
          </w:tcPr>
          <w:p w:rsidRPr="00C50F64" w:rsidR="00C50F64" w:rsidP="00410B44" w:rsidRDefault="00C50F64" w14:paraId="2AE38DD3"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Step</w:t>
            </w:r>
          </w:p>
        </w:tc>
        <w:tc>
          <w:tcPr>
            <w:tcW w:w="1000" w:type="dxa"/>
            <w:tcBorders>
              <w:top w:val="nil"/>
              <w:left w:val="nil"/>
              <w:bottom w:val="nil"/>
              <w:right w:val="nil"/>
            </w:tcBorders>
            <w:shd w:val="clear" w:color="auto" w:fill="auto"/>
            <w:vAlign w:val="bottom"/>
            <w:hideMark/>
          </w:tcPr>
          <w:p w:rsidRPr="00C50F64" w:rsidR="00C50F64" w:rsidP="00410B44" w:rsidRDefault="00C50F64" w14:paraId="76C491F2"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Burden Time Min</w:t>
            </w:r>
          </w:p>
        </w:tc>
        <w:tc>
          <w:tcPr>
            <w:tcW w:w="963" w:type="dxa"/>
            <w:tcBorders>
              <w:top w:val="nil"/>
              <w:left w:val="nil"/>
              <w:bottom w:val="nil"/>
              <w:right w:val="nil"/>
            </w:tcBorders>
            <w:shd w:val="clear" w:color="auto" w:fill="auto"/>
            <w:vAlign w:val="bottom"/>
            <w:hideMark/>
          </w:tcPr>
          <w:p w:rsidRPr="00C50F64" w:rsidR="00C50F64" w:rsidP="00410B44" w:rsidRDefault="00C50F64" w14:paraId="6E1FD6E4"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Fraction of Hour</w:t>
            </w:r>
          </w:p>
        </w:tc>
        <w:tc>
          <w:tcPr>
            <w:tcW w:w="830" w:type="dxa"/>
            <w:tcBorders>
              <w:top w:val="nil"/>
              <w:left w:val="nil"/>
              <w:bottom w:val="nil"/>
              <w:right w:val="nil"/>
            </w:tcBorders>
            <w:shd w:val="clear" w:color="auto" w:fill="auto"/>
            <w:vAlign w:val="bottom"/>
            <w:hideMark/>
          </w:tcPr>
          <w:p w:rsidRPr="00C50F64" w:rsidR="00C50F64" w:rsidP="00410B44" w:rsidRDefault="00C50F64" w14:paraId="5683CAE9"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Hourly Rate</w:t>
            </w:r>
          </w:p>
        </w:tc>
        <w:tc>
          <w:tcPr>
            <w:tcW w:w="1092" w:type="dxa"/>
            <w:tcBorders>
              <w:top w:val="nil"/>
              <w:left w:val="nil"/>
              <w:bottom w:val="nil"/>
              <w:right w:val="nil"/>
            </w:tcBorders>
            <w:shd w:val="clear" w:color="auto" w:fill="auto"/>
            <w:vAlign w:val="bottom"/>
            <w:hideMark/>
          </w:tcPr>
          <w:p w:rsidRPr="00C50F64" w:rsidR="00C50F64" w:rsidP="00410B44" w:rsidRDefault="00C50F64" w14:paraId="190C1DA5"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Cost Per Response</w:t>
            </w:r>
          </w:p>
        </w:tc>
        <w:tc>
          <w:tcPr>
            <w:tcW w:w="1092" w:type="dxa"/>
            <w:tcBorders>
              <w:top w:val="nil"/>
              <w:left w:val="nil"/>
              <w:bottom w:val="nil"/>
              <w:right w:val="nil"/>
            </w:tcBorders>
            <w:shd w:val="clear" w:color="auto" w:fill="auto"/>
            <w:vAlign w:val="bottom"/>
            <w:hideMark/>
          </w:tcPr>
          <w:p w:rsidRPr="00C50F64" w:rsidR="00C50F64" w:rsidP="00410B44" w:rsidRDefault="00C50F64" w14:paraId="00DA03FC"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Total Response</w:t>
            </w:r>
          </w:p>
        </w:tc>
        <w:tc>
          <w:tcPr>
            <w:tcW w:w="1340" w:type="dxa"/>
            <w:tcBorders>
              <w:top w:val="nil"/>
              <w:left w:val="nil"/>
              <w:bottom w:val="nil"/>
              <w:right w:val="single" w:color="auto" w:sz="8" w:space="0"/>
            </w:tcBorders>
            <w:shd w:val="clear" w:color="auto" w:fill="auto"/>
            <w:vAlign w:val="bottom"/>
            <w:hideMark/>
          </w:tcPr>
          <w:p w:rsidRPr="00C50F64" w:rsidR="00C50F64" w:rsidP="00410B44" w:rsidRDefault="00C50F64" w14:paraId="46D78123" w14:textId="77777777">
            <w:pPr>
              <w:spacing w:after="0" w:line="240" w:lineRule="auto"/>
              <w:jc w:val="center"/>
              <w:rPr>
                <w:rFonts w:ascii="Calibri" w:hAnsi="Calibri" w:eastAsia="Times New Roman" w:cs="Calibri"/>
                <w:b/>
                <w:bCs/>
                <w:color w:val="000000"/>
              </w:rPr>
            </w:pPr>
            <w:r w:rsidRPr="00C50F64">
              <w:rPr>
                <w:rFonts w:ascii="Calibri" w:hAnsi="Calibri" w:eastAsia="Times New Roman" w:cs="Calibri"/>
                <w:b/>
                <w:bCs/>
                <w:color w:val="000000"/>
              </w:rPr>
              <w:t xml:space="preserve"> Total</w:t>
            </w:r>
          </w:p>
        </w:tc>
      </w:tr>
      <w:tr w:rsidRPr="00C50F64" w:rsidR="00C50F64" w:rsidTr="00410B44" w14:paraId="64157E8C" w14:textId="77777777">
        <w:trPr>
          <w:trHeight w:val="456"/>
        </w:trPr>
        <w:tc>
          <w:tcPr>
            <w:tcW w:w="1152" w:type="dxa"/>
            <w:tcBorders>
              <w:top w:val="nil"/>
              <w:left w:val="single" w:color="auto" w:sz="8" w:space="0"/>
              <w:bottom w:val="nil"/>
              <w:right w:val="nil"/>
            </w:tcBorders>
            <w:shd w:val="clear" w:color="auto" w:fill="auto"/>
            <w:noWrap/>
            <w:vAlign w:val="bottom"/>
            <w:hideMark/>
          </w:tcPr>
          <w:p w:rsidRPr="00C50F64" w:rsidR="00C50F64" w:rsidP="00410B44" w:rsidRDefault="00C50F64" w14:paraId="161863DC"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11</w:t>
            </w:r>
          </w:p>
        </w:tc>
        <w:tc>
          <w:tcPr>
            <w:tcW w:w="626" w:type="dxa"/>
            <w:tcBorders>
              <w:top w:val="nil"/>
              <w:left w:val="nil"/>
              <w:bottom w:val="nil"/>
              <w:right w:val="nil"/>
            </w:tcBorders>
            <w:shd w:val="clear" w:color="auto" w:fill="auto"/>
            <w:noWrap/>
            <w:vAlign w:val="bottom"/>
            <w:hideMark/>
          </w:tcPr>
          <w:p w:rsidRPr="00C50F64" w:rsidR="00C50F64" w:rsidP="00410B44" w:rsidRDefault="00C50F64" w14:paraId="40BB9B0E"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6</w:t>
            </w:r>
          </w:p>
        </w:tc>
        <w:tc>
          <w:tcPr>
            <w:tcW w:w="1000" w:type="dxa"/>
            <w:tcBorders>
              <w:top w:val="nil"/>
              <w:left w:val="nil"/>
              <w:bottom w:val="nil"/>
              <w:right w:val="nil"/>
            </w:tcBorders>
            <w:shd w:val="clear" w:color="auto" w:fill="auto"/>
            <w:noWrap/>
            <w:vAlign w:val="bottom"/>
            <w:hideMark/>
          </w:tcPr>
          <w:p w:rsidRPr="00C50F64" w:rsidR="00C50F64" w:rsidP="00410B44" w:rsidRDefault="00C50F64" w14:paraId="78384166"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45</w:t>
            </w:r>
          </w:p>
        </w:tc>
        <w:tc>
          <w:tcPr>
            <w:tcW w:w="963" w:type="dxa"/>
            <w:tcBorders>
              <w:top w:val="nil"/>
              <w:left w:val="nil"/>
              <w:bottom w:val="nil"/>
              <w:right w:val="nil"/>
            </w:tcBorders>
            <w:shd w:val="clear" w:color="auto" w:fill="auto"/>
            <w:noWrap/>
            <w:vAlign w:val="bottom"/>
            <w:hideMark/>
          </w:tcPr>
          <w:p w:rsidRPr="00C50F64" w:rsidR="00C50F64" w:rsidP="00410B44" w:rsidRDefault="00C50F64" w14:paraId="2131D3AD"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0.75</w:t>
            </w:r>
          </w:p>
        </w:tc>
        <w:tc>
          <w:tcPr>
            <w:tcW w:w="830" w:type="dxa"/>
            <w:tcBorders>
              <w:top w:val="nil"/>
              <w:left w:val="nil"/>
              <w:bottom w:val="nil"/>
              <w:right w:val="nil"/>
            </w:tcBorders>
            <w:shd w:val="clear" w:color="auto" w:fill="auto"/>
            <w:noWrap/>
            <w:vAlign w:val="bottom"/>
            <w:hideMark/>
          </w:tcPr>
          <w:p w:rsidRPr="00C50F64" w:rsidR="00C50F64" w:rsidP="00410B44" w:rsidRDefault="00C50F64" w14:paraId="0F9263CD" w14:textId="6579417F">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6</w:t>
            </w:r>
            <w:r w:rsidRPr="00C50F64">
              <w:rPr>
                <w:rFonts w:ascii="Calibri" w:hAnsi="Calibri" w:eastAsia="Times New Roman" w:cs="Calibri"/>
                <w:color w:val="000000"/>
              </w:rPr>
              <w:t>.1</w:t>
            </w:r>
            <w:r w:rsidR="00BA7532">
              <w:rPr>
                <w:rFonts w:ascii="Calibri" w:hAnsi="Calibri" w:eastAsia="Times New Roman" w:cs="Calibri"/>
                <w:color w:val="000000"/>
              </w:rPr>
              <w:t>4</w:t>
            </w:r>
          </w:p>
        </w:tc>
        <w:tc>
          <w:tcPr>
            <w:tcW w:w="1092" w:type="dxa"/>
            <w:tcBorders>
              <w:top w:val="nil"/>
              <w:left w:val="nil"/>
              <w:bottom w:val="nil"/>
              <w:right w:val="nil"/>
            </w:tcBorders>
            <w:shd w:val="clear" w:color="auto" w:fill="auto"/>
            <w:noWrap/>
            <w:vAlign w:val="bottom"/>
            <w:hideMark/>
          </w:tcPr>
          <w:p w:rsidRPr="00C50F64" w:rsidR="00C50F64" w:rsidP="00410B44" w:rsidRDefault="00C50F64" w14:paraId="7E0B5BAD" w14:textId="3439C94C">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$2</w:t>
            </w:r>
            <w:r w:rsidR="00BA7532">
              <w:rPr>
                <w:rFonts w:ascii="Calibri" w:hAnsi="Calibri" w:eastAsia="Times New Roman" w:cs="Calibri"/>
                <w:color w:val="000000"/>
              </w:rPr>
              <w:t>7</w:t>
            </w:r>
            <w:r w:rsidRPr="00C50F64">
              <w:rPr>
                <w:rFonts w:ascii="Calibri" w:hAnsi="Calibri" w:eastAsia="Times New Roman" w:cs="Calibri"/>
                <w:color w:val="000000"/>
              </w:rPr>
              <w:t>.</w:t>
            </w:r>
            <w:r w:rsidR="00BA7532">
              <w:rPr>
                <w:rFonts w:ascii="Calibri" w:hAnsi="Calibri" w:eastAsia="Times New Roman" w:cs="Calibri"/>
                <w:color w:val="000000"/>
              </w:rPr>
              <w:t>11</w:t>
            </w:r>
          </w:p>
        </w:tc>
        <w:tc>
          <w:tcPr>
            <w:tcW w:w="1092" w:type="dxa"/>
            <w:tcBorders>
              <w:top w:val="nil"/>
              <w:left w:val="nil"/>
              <w:bottom w:val="nil"/>
              <w:right w:val="nil"/>
            </w:tcBorders>
            <w:shd w:val="clear" w:color="auto" w:fill="auto"/>
            <w:noWrap/>
            <w:vAlign w:val="bottom"/>
            <w:hideMark/>
          </w:tcPr>
          <w:p w:rsidRPr="00C50F64" w:rsidR="00C50F64" w:rsidP="00410B44" w:rsidRDefault="00C50F64" w14:paraId="14C9027F" w14:textId="77777777">
            <w:pPr>
              <w:spacing w:after="0" w:line="240" w:lineRule="auto"/>
              <w:rPr>
                <w:rFonts w:ascii="Calibri" w:hAnsi="Calibri" w:eastAsia="Times New Roman" w:cs="Calibri"/>
                <w:color w:val="000000"/>
              </w:rPr>
            </w:pPr>
            <w:r w:rsidRPr="00C50F64">
              <w:rPr>
                <w:rFonts w:ascii="Calibri" w:hAnsi="Calibri" w:eastAsia="Times New Roman" w:cs="Calibri"/>
                <w:color w:val="000000"/>
              </w:rPr>
              <w:t xml:space="preserve">    13,000 </w:t>
            </w:r>
          </w:p>
        </w:tc>
        <w:tc>
          <w:tcPr>
            <w:tcW w:w="1340" w:type="dxa"/>
            <w:tcBorders>
              <w:top w:val="nil"/>
              <w:left w:val="nil"/>
              <w:bottom w:val="nil"/>
              <w:right w:val="single" w:color="auto" w:sz="8" w:space="0"/>
            </w:tcBorders>
            <w:shd w:val="clear" w:color="auto" w:fill="auto"/>
            <w:noWrap/>
            <w:vAlign w:val="bottom"/>
            <w:hideMark/>
          </w:tcPr>
          <w:p w:rsidRPr="00C50F64" w:rsidR="00C50F64" w:rsidP="00410B44" w:rsidRDefault="00C50F64" w14:paraId="7E718558" w14:textId="07DDDE60">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52</w:t>
            </w:r>
            <w:r w:rsidRPr="00C50F64">
              <w:rPr>
                <w:rFonts w:ascii="Calibri" w:hAnsi="Calibri" w:eastAsia="Times New Roman" w:cs="Calibri"/>
                <w:color w:val="000000"/>
              </w:rPr>
              <w:t>,</w:t>
            </w:r>
            <w:r w:rsidR="00BA7532">
              <w:rPr>
                <w:rFonts w:ascii="Calibri" w:hAnsi="Calibri" w:eastAsia="Times New Roman" w:cs="Calibri"/>
                <w:color w:val="000000"/>
              </w:rPr>
              <w:t>430</w:t>
            </w:r>
          </w:p>
        </w:tc>
      </w:tr>
      <w:tr w:rsidRPr="00C50F64" w:rsidR="00C50F64" w:rsidTr="00410B44" w14:paraId="7347FA3F" w14:textId="77777777">
        <w:trPr>
          <w:trHeight w:val="300"/>
        </w:trPr>
        <w:tc>
          <w:tcPr>
            <w:tcW w:w="8095" w:type="dxa"/>
            <w:gridSpan w:val="8"/>
            <w:tcBorders>
              <w:top w:val="nil"/>
              <w:left w:val="single" w:color="auto" w:sz="8" w:space="0"/>
              <w:bottom w:val="nil"/>
              <w:right w:val="single" w:color="000000" w:sz="8" w:space="0"/>
            </w:tcBorders>
            <w:shd w:val="clear" w:color="auto" w:fill="auto"/>
            <w:noWrap/>
            <w:vAlign w:val="bottom"/>
            <w:hideMark/>
          </w:tcPr>
          <w:p w:rsidRPr="00C50F64" w:rsidR="00C50F64" w:rsidP="00410B44" w:rsidRDefault="00C50F64" w14:paraId="27A4AB2F" w14:textId="77777777">
            <w:pPr>
              <w:spacing w:after="0" w:line="240" w:lineRule="auto"/>
              <w:rPr>
                <w:rFonts w:ascii="Calibri" w:hAnsi="Calibri" w:eastAsia="Times New Roman" w:cs="Calibri"/>
                <w:b/>
                <w:bCs/>
                <w:color w:val="000000"/>
              </w:rPr>
            </w:pPr>
            <w:r w:rsidRPr="00C50F64">
              <w:rPr>
                <w:rFonts w:ascii="Calibri" w:hAnsi="Calibri" w:eastAsia="Times New Roman" w:cs="Calibri"/>
                <w:b/>
                <w:bCs/>
                <w:color w:val="000000"/>
              </w:rPr>
              <w:t>Overhead at 100% Salary</w:t>
            </w:r>
          </w:p>
        </w:tc>
      </w:tr>
      <w:tr w:rsidRPr="00C50F64" w:rsidR="00C50F64" w:rsidTr="00410B44" w14:paraId="621094E2" w14:textId="77777777">
        <w:trPr>
          <w:trHeight w:val="288"/>
        </w:trPr>
        <w:tc>
          <w:tcPr>
            <w:tcW w:w="6755" w:type="dxa"/>
            <w:gridSpan w:val="7"/>
            <w:tcBorders>
              <w:top w:val="nil"/>
              <w:left w:val="single" w:color="auto" w:sz="8" w:space="0"/>
              <w:bottom w:val="nil"/>
              <w:right w:val="nil"/>
            </w:tcBorders>
            <w:shd w:val="clear" w:color="auto" w:fill="auto"/>
            <w:noWrap/>
            <w:vAlign w:val="bottom"/>
            <w:hideMark/>
          </w:tcPr>
          <w:p w:rsidRPr="00C50F64" w:rsidR="00C50F64" w:rsidP="00410B44" w:rsidRDefault="00C50F64" w14:paraId="2B582A5D"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Processing / Analyzing Costs</w:t>
            </w:r>
          </w:p>
        </w:tc>
        <w:tc>
          <w:tcPr>
            <w:tcW w:w="1340" w:type="dxa"/>
            <w:tcBorders>
              <w:top w:val="nil"/>
              <w:left w:val="nil"/>
              <w:bottom w:val="nil"/>
              <w:right w:val="single" w:color="auto" w:sz="8" w:space="0"/>
            </w:tcBorders>
            <w:shd w:val="clear" w:color="auto" w:fill="auto"/>
            <w:noWrap/>
            <w:vAlign w:val="bottom"/>
            <w:hideMark/>
          </w:tcPr>
          <w:p w:rsidRPr="00C50F64" w:rsidR="00C50F64" w:rsidP="00410B44" w:rsidRDefault="00C50F64" w14:paraId="705E05C7" w14:textId="4DB86901">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$3</w:t>
            </w:r>
            <w:r w:rsidR="00BA7532">
              <w:rPr>
                <w:rFonts w:ascii="Calibri" w:hAnsi="Calibri" w:eastAsia="Times New Roman" w:cs="Calibri"/>
                <w:color w:val="000000"/>
              </w:rPr>
              <w:t>52,430</w:t>
            </w:r>
          </w:p>
        </w:tc>
      </w:tr>
      <w:tr w:rsidRPr="00C50F64" w:rsidR="00C50F64" w:rsidTr="00410B44" w14:paraId="72C78D8A" w14:textId="77777777">
        <w:trPr>
          <w:trHeight w:val="300"/>
        </w:trPr>
        <w:tc>
          <w:tcPr>
            <w:tcW w:w="6755" w:type="dxa"/>
            <w:gridSpan w:val="7"/>
            <w:tcBorders>
              <w:top w:val="nil"/>
              <w:left w:val="single" w:color="auto" w:sz="8" w:space="0"/>
              <w:bottom w:val="single" w:color="auto" w:sz="8" w:space="0"/>
              <w:right w:val="nil"/>
            </w:tcBorders>
            <w:shd w:val="clear" w:color="auto" w:fill="auto"/>
            <w:noWrap/>
            <w:vAlign w:val="bottom"/>
            <w:hideMark/>
          </w:tcPr>
          <w:p w:rsidRPr="00C50F64" w:rsidR="00C50F64" w:rsidP="00410B44" w:rsidRDefault="00C50F64" w14:paraId="312C8A07"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Printing and Production Costs</w:t>
            </w:r>
          </w:p>
        </w:tc>
        <w:tc>
          <w:tcPr>
            <w:tcW w:w="1340" w:type="dxa"/>
            <w:tcBorders>
              <w:top w:val="nil"/>
              <w:left w:val="nil"/>
              <w:bottom w:val="single" w:color="auto" w:sz="8" w:space="0"/>
              <w:right w:val="single" w:color="auto" w:sz="8" w:space="0"/>
            </w:tcBorders>
            <w:shd w:val="clear" w:color="auto" w:fill="auto"/>
            <w:noWrap/>
            <w:vAlign w:val="bottom"/>
            <w:hideMark/>
          </w:tcPr>
          <w:p w:rsidRPr="00C50F64" w:rsidR="00C50F64" w:rsidP="00410B44" w:rsidRDefault="00C50F64" w14:paraId="14B805EA" w14:textId="77777777">
            <w:pPr>
              <w:spacing w:after="0" w:line="240" w:lineRule="auto"/>
              <w:jc w:val="right"/>
              <w:rPr>
                <w:rFonts w:ascii="Calibri" w:hAnsi="Calibri" w:eastAsia="Times New Roman" w:cs="Calibri"/>
                <w:color w:val="000000"/>
              </w:rPr>
            </w:pPr>
            <w:r w:rsidRPr="00C50F64">
              <w:rPr>
                <w:rFonts w:ascii="Calibri" w:hAnsi="Calibri" w:eastAsia="Times New Roman" w:cs="Calibri"/>
                <w:color w:val="000000"/>
              </w:rPr>
              <w:t>$0.00</w:t>
            </w:r>
          </w:p>
        </w:tc>
      </w:tr>
    </w:tbl>
    <w:p w:rsidRPr="004814CC" w:rsidR="00C50F64" w:rsidP="00C50F64" w:rsidRDefault="00C50F64" w14:paraId="211FBF8E" w14:textId="77777777">
      <w:pPr>
        <w:tabs>
          <w:tab w:val="left" w:pos="480"/>
          <w:tab w:val="left" w:pos="900"/>
          <w:tab w:val="right" w:pos="8640"/>
        </w:tabs>
        <w:spacing w:after="0" w:line="240" w:lineRule="auto"/>
        <w:ind w:left="720" w:right="-90"/>
        <w:contextualSpacing/>
        <w:rPr>
          <w:rFonts w:ascii="Arial" w:hAnsi="Arial" w:eastAsia="Times New Roman" w:cs="Arial"/>
          <w:b/>
          <w:sz w:val="24"/>
          <w:szCs w:val="24"/>
        </w:rPr>
      </w:pPr>
    </w:p>
    <w:p w:rsidRPr="004814CC" w:rsidR="000513C4" w:rsidP="00C50F64" w:rsidRDefault="000513C4" w14:paraId="4AC756B5" w14:textId="704F6E87">
      <w:pPr>
        <w:tabs>
          <w:tab w:val="left" w:pos="480"/>
          <w:tab w:val="left" w:pos="900"/>
          <w:tab w:val="right" w:pos="8640"/>
        </w:tabs>
        <w:spacing w:after="0" w:line="240" w:lineRule="auto"/>
        <w:ind w:left="990" w:right="-90"/>
        <w:contextualSpacing/>
        <w:rPr>
          <w:rFonts w:ascii="Arial" w:hAnsi="Arial" w:eastAsia="Times New Roman" w:cs="Arial"/>
          <w:b/>
          <w:sz w:val="24"/>
          <w:szCs w:val="24"/>
        </w:rPr>
      </w:pPr>
    </w:p>
    <w:p w:rsidR="00951AFA" w:rsidP="00410B44" w:rsidRDefault="00951AFA" w14:paraId="2E7CC983" w14:textId="7FC2782F">
      <w:pPr>
        <w:pStyle w:val="BodyText"/>
        <w:tabs>
          <w:tab w:val="left" w:pos="900"/>
        </w:tabs>
        <w:ind w:left="720" w:right="-90"/>
        <w:rPr>
          <w:rFonts w:ascii="Arial" w:hAnsi="Arial" w:cs="Arial"/>
          <w:color w:val="000000" w:themeColor="text1"/>
          <w:szCs w:val="24"/>
        </w:rPr>
      </w:pPr>
      <w:r>
        <w:rPr>
          <w:rFonts w:ascii="Arial" w:hAnsi="Arial" w:cs="Arial"/>
          <w:color w:val="000000" w:themeColor="text1"/>
          <w:szCs w:val="24"/>
        </w:rPr>
        <w:t>VA has an oversight responsibility to review at a min</w:t>
      </w:r>
      <w:r w:rsidR="00F241FD">
        <w:rPr>
          <w:rFonts w:ascii="Arial" w:hAnsi="Arial" w:cs="Arial"/>
          <w:color w:val="000000" w:themeColor="text1"/>
          <w:szCs w:val="24"/>
        </w:rPr>
        <w:t>imum</w:t>
      </w:r>
      <w:r>
        <w:rPr>
          <w:rFonts w:ascii="Arial" w:hAnsi="Arial" w:cs="Arial"/>
          <w:color w:val="000000" w:themeColor="text1"/>
          <w:szCs w:val="24"/>
        </w:rPr>
        <w:t xml:space="preserve"> of 2% of all appraisals that are provided. </w:t>
      </w:r>
      <w:r w:rsidR="00BA7532">
        <w:rPr>
          <w:rFonts w:ascii="Arial" w:hAnsi="Arial" w:cs="Arial"/>
          <w:color w:val="000000" w:themeColor="text1"/>
          <w:szCs w:val="24"/>
        </w:rPr>
        <w:t xml:space="preserve">The reports selected are based on risks associated with our automated internal Appraisal Management System scoring and any associated risks to the Secretary. </w:t>
      </w:r>
      <w:r w:rsidR="00F241FD">
        <w:rPr>
          <w:rFonts w:ascii="Arial" w:hAnsi="Arial" w:cs="Arial"/>
          <w:color w:val="000000" w:themeColor="text1"/>
          <w:szCs w:val="24"/>
        </w:rPr>
        <w:t>VA staff</w:t>
      </w:r>
      <w:r w:rsidR="00BA7532">
        <w:rPr>
          <w:rFonts w:ascii="Arial" w:hAnsi="Arial" w:cs="Arial"/>
          <w:color w:val="000000" w:themeColor="text1"/>
          <w:szCs w:val="24"/>
        </w:rPr>
        <w:t xml:space="preserve"> will review the appraisal forms for accuracy according to policy and credibility of the value. </w:t>
      </w:r>
    </w:p>
    <w:p w:rsidR="00951AFA" w:rsidP="00410B44" w:rsidRDefault="00951AFA" w14:paraId="5C717153" w14:textId="77777777">
      <w:pPr>
        <w:pStyle w:val="BodyText"/>
        <w:tabs>
          <w:tab w:val="left" w:pos="900"/>
        </w:tabs>
        <w:ind w:left="720" w:right="-90"/>
        <w:rPr>
          <w:rFonts w:ascii="Arial" w:hAnsi="Arial" w:cs="Arial"/>
          <w:color w:val="000000" w:themeColor="text1"/>
          <w:szCs w:val="24"/>
        </w:rPr>
      </w:pPr>
    </w:p>
    <w:p w:rsidRPr="00F61C47" w:rsidR="000513C4" w:rsidP="00410B44" w:rsidRDefault="006D11F3" w14:paraId="4FBAEF8F" w14:textId="044B6BC1">
      <w:pPr>
        <w:pStyle w:val="BodyText"/>
        <w:tabs>
          <w:tab w:val="left" w:pos="900"/>
        </w:tabs>
        <w:ind w:left="720" w:right="-90"/>
        <w:rPr>
          <w:rStyle w:val="Hyperlink"/>
          <w:rFonts w:ascii="Arial" w:hAnsi="Arial" w:cs="Arial"/>
          <w:color w:val="000000" w:themeColor="text1"/>
          <w:szCs w:val="24"/>
        </w:rPr>
      </w:pPr>
      <w:r w:rsidRPr="00F61C47">
        <w:rPr>
          <w:rFonts w:ascii="Arial" w:hAnsi="Arial" w:cs="Arial"/>
          <w:color w:val="000000" w:themeColor="text1"/>
          <w:szCs w:val="24"/>
        </w:rPr>
        <w:t>Estimated</w:t>
      </w:r>
      <w:r w:rsidRPr="00F61C47">
        <w:rPr>
          <w:rFonts w:ascii="Arial" w:hAnsi="Arial" w:cs="Arial"/>
          <w:color w:val="000000" w:themeColor="text1"/>
          <w:spacing w:val="26"/>
          <w:szCs w:val="24"/>
        </w:rPr>
        <w:t xml:space="preserve"> </w:t>
      </w:r>
      <w:r w:rsidRPr="00F61C47">
        <w:rPr>
          <w:rFonts w:ascii="Arial" w:hAnsi="Arial" w:cs="Arial"/>
          <w:color w:val="000000" w:themeColor="text1"/>
          <w:szCs w:val="24"/>
        </w:rPr>
        <w:t>Costs</w:t>
      </w:r>
      <w:r w:rsidRPr="00F61C47">
        <w:rPr>
          <w:rFonts w:ascii="Arial" w:hAnsi="Arial" w:cs="Arial"/>
          <w:color w:val="000000" w:themeColor="text1"/>
          <w:spacing w:val="13"/>
          <w:szCs w:val="24"/>
        </w:rPr>
        <w:t xml:space="preserve"> </w:t>
      </w:r>
      <w:r w:rsidRPr="00F61C47">
        <w:rPr>
          <w:rFonts w:ascii="Arial" w:hAnsi="Arial" w:cs="Arial"/>
          <w:color w:val="000000" w:themeColor="text1"/>
          <w:szCs w:val="24"/>
        </w:rPr>
        <w:t>to</w:t>
      </w:r>
      <w:r w:rsidRPr="00F61C47">
        <w:rPr>
          <w:rFonts w:ascii="Arial" w:hAnsi="Arial" w:cs="Arial"/>
          <w:color w:val="000000" w:themeColor="text1"/>
          <w:spacing w:val="21"/>
          <w:szCs w:val="24"/>
        </w:rPr>
        <w:t xml:space="preserve"> </w:t>
      </w:r>
      <w:r w:rsidRPr="00F61C47">
        <w:rPr>
          <w:rFonts w:ascii="Arial" w:hAnsi="Arial" w:cs="Arial"/>
          <w:color w:val="000000" w:themeColor="text1"/>
          <w:szCs w:val="24"/>
        </w:rPr>
        <w:t>the</w:t>
      </w:r>
      <w:r w:rsidRPr="00F61C47">
        <w:rPr>
          <w:rFonts w:ascii="Arial" w:hAnsi="Arial" w:cs="Arial"/>
          <w:color w:val="000000" w:themeColor="text1"/>
          <w:spacing w:val="32"/>
          <w:szCs w:val="24"/>
        </w:rPr>
        <w:t xml:space="preserve"> </w:t>
      </w:r>
      <w:r w:rsidRPr="00F61C47">
        <w:rPr>
          <w:rFonts w:ascii="Arial" w:hAnsi="Arial" w:cs="Arial"/>
          <w:color w:val="000000" w:themeColor="text1"/>
          <w:szCs w:val="24"/>
        </w:rPr>
        <w:t>Federal</w:t>
      </w:r>
      <w:r w:rsidRPr="00F61C47">
        <w:rPr>
          <w:rFonts w:ascii="Arial" w:hAnsi="Arial" w:cs="Arial"/>
          <w:color w:val="000000" w:themeColor="text1"/>
          <w:spacing w:val="16"/>
          <w:szCs w:val="24"/>
        </w:rPr>
        <w:t xml:space="preserve"> </w:t>
      </w:r>
      <w:r w:rsidRPr="00F61C47">
        <w:rPr>
          <w:rFonts w:ascii="Arial" w:hAnsi="Arial" w:cs="Arial"/>
          <w:color w:val="000000" w:themeColor="text1"/>
          <w:szCs w:val="24"/>
        </w:rPr>
        <w:t>Government are accessible through this link</w:t>
      </w:r>
      <w:r w:rsidRPr="00F61C47" w:rsidR="004814CC">
        <w:rPr>
          <w:rFonts w:ascii="Arial" w:hAnsi="Arial" w:cs="Arial"/>
          <w:color w:val="000000" w:themeColor="text1"/>
          <w:szCs w:val="24"/>
        </w:rPr>
        <w:t xml:space="preserve"> </w:t>
      </w:r>
      <w:hyperlink w:history="1" r:id="rId13">
        <w:r w:rsidRPr="00F61C47" w:rsidR="00E3551E">
          <w:rPr>
            <w:rStyle w:val="Hyperlink"/>
            <w:rFonts w:ascii="Arial" w:hAnsi="Arial" w:cs="Arial"/>
            <w:color w:val="000000" w:themeColor="text1"/>
          </w:rPr>
          <w:t>https://www.opm.gov/policy-data-oversight/pay-leave/salaries-wages/salary-tables/pdf/2021/RUS_h.pdf</w:t>
        </w:r>
      </w:hyperlink>
      <w:r w:rsidRPr="00F61C47" w:rsidR="002E09D0">
        <w:rPr>
          <w:rStyle w:val="Hyperlink"/>
          <w:rFonts w:ascii="Arial" w:hAnsi="Arial" w:cs="Arial"/>
          <w:color w:val="000000" w:themeColor="text1"/>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processing</w:t>
      </w:r>
      <w:r w:rsidRPr="00F61C47" w:rsidR="000513C4">
        <w:rPr>
          <w:rFonts w:ascii="Arial" w:hAnsi="Arial" w:cs="Arial"/>
          <w:color w:val="000000" w:themeColor="text1"/>
          <w:spacing w:val="18"/>
          <w:szCs w:val="24"/>
        </w:rPr>
        <w:t xml:space="preserve"> </w:t>
      </w:r>
      <w:r w:rsidRPr="00F61C47" w:rsidR="000513C4">
        <w:rPr>
          <w:rFonts w:ascii="Arial" w:hAnsi="Arial" w:cs="Arial"/>
          <w:color w:val="000000" w:themeColor="text1"/>
          <w:szCs w:val="24"/>
        </w:rPr>
        <w:t>time</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estimates</w:t>
      </w:r>
      <w:r w:rsidRPr="00F61C47" w:rsidR="000513C4">
        <w:rPr>
          <w:rFonts w:ascii="Arial" w:hAnsi="Arial" w:cs="Arial"/>
          <w:color w:val="000000" w:themeColor="text1"/>
          <w:spacing w:val="36"/>
          <w:szCs w:val="24"/>
        </w:rPr>
        <w:t xml:space="preserve"> </w:t>
      </w:r>
      <w:r w:rsidRPr="00F61C47" w:rsidR="000513C4">
        <w:rPr>
          <w:rFonts w:ascii="Arial" w:hAnsi="Arial" w:cs="Arial"/>
          <w:color w:val="000000" w:themeColor="text1"/>
          <w:szCs w:val="24"/>
        </w:rPr>
        <w:t>above</w:t>
      </w:r>
      <w:r w:rsidRPr="00F61C47" w:rsidR="000513C4">
        <w:rPr>
          <w:rFonts w:ascii="Arial" w:hAnsi="Arial" w:cs="Arial"/>
          <w:color w:val="000000" w:themeColor="text1"/>
          <w:spacing w:val="23"/>
          <w:szCs w:val="24"/>
        </w:rPr>
        <w:t xml:space="preserve"> </w:t>
      </w:r>
      <w:r w:rsidRPr="00F61C47" w:rsidR="000513C4">
        <w:rPr>
          <w:rFonts w:ascii="Arial" w:hAnsi="Arial" w:cs="Arial"/>
          <w:color w:val="000000" w:themeColor="text1"/>
          <w:szCs w:val="24"/>
        </w:rPr>
        <w:t>are</w:t>
      </w:r>
      <w:r w:rsidRPr="00F61C47" w:rsidR="000513C4">
        <w:rPr>
          <w:rFonts w:ascii="Arial" w:hAnsi="Arial" w:cs="Arial"/>
          <w:color w:val="000000" w:themeColor="text1"/>
          <w:spacing w:val="17"/>
          <w:szCs w:val="24"/>
        </w:rPr>
        <w:t xml:space="preserve"> </w:t>
      </w:r>
      <w:r w:rsidRPr="00F61C47" w:rsidR="000513C4">
        <w:rPr>
          <w:rFonts w:ascii="Arial" w:hAnsi="Arial" w:cs="Arial"/>
          <w:color w:val="000000" w:themeColor="text1"/>
          <w:szCs w:val="24"/>
        </w:rPr>
        <w:t>based</w:t>
      </w:r>
      <w:r w:rsidRPr="00F61C47" w:rsidR="000513C4">
        <w:rPr>
          <w:rFonts w:ascii="Arial" w:hAnsi="Arial" w:cs="Arial"/>
          <w:color w:val="000000" w:themeColor="text1"/>
          <w:spacing w:val="15"/>
          <w:szCs w:val="24"/>
        </w:rPr>
        <w:t xml:space="preserve"> </w:t>
      </w:r>
      <w:r w:rsidRPr="00F61C47" w:rsidR="000513C4">
        <w:rPr>
          <w:rFonts w:ascii="Arial" w:hAnsi="Arial" w:cs="Arial"/>
          <w:color w:val="000000" w:themeColor="text1"/>
          <w:szCs w:val="24"/>
        </w:rPr>
        <w:t>on</w:t>
      </w:r>
      <w:r w:rsidRPr="00F61C47" w:rsidR="000513C4">
        <w:rPr>
          <w:rFonts w:ascii="Arial" w:hAnsi="Arial" w:cs="Arial"/>
          <w:color w:val="000000" w:themeColor="text1"/>
          <w:spacing w:val="4"/>
          <w:szCs w:val="24"/>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17"/>
          <w:szCs w:val="24"/>
        </w:rPr>
        <w:t xml:space="preserve"> </w:t>
      </w:r>
      <w:r w:rsidRPr="00F61C47" w:rsidR="000513C4">
        <w:rPr>
          <w:rFonts w:ascii="Arial" w:hAnsi="Arial" w:cs="Arial"/>
          <w:color w:val="000000" w:themeColor="text1"/>
          <w:szCs w:val="24"/>
        </w:rPr>
        <w:t>actual</w:t>
      </w:r>
      <w:r w:rsidRPr="00F61C47" w:rsidR="000513C4">
        <w:rPr>
          <w:rFonts w:ascii="Arial" w:hAnsi="Arial" w:cs="Arial"/>
          <w:color w:val="000000" w:themeColor="text1"/>
          <w:spacing w:val="13"/>
          <w:szCs w:val="24"/>
        </w:rPr>
        <w:t xml:space="preserve"> </w:t>
      </w:r>
      <w:r w:rsidRPr="00F61C47" w:rsidR="000513C4">
        <w:rPr>
          <w:rFonts w:ascii="Arial" w:hAnsi="Arial" w:cs="Arial"/>
          <w:color w:val="000000" w:themeColor="text1"/>
          <w:szCs w:val="24"/>
        </w:rPr>
        <w:t>amount</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of</w:t>
      </w:r>
      <w:r w:rsidRPr="00F61C47" w:rsidR="000513C4">
        <w:rPr>
          <w:rFonts w:ascii="Arial" w:hAnsi="Arial" w:cs="Arial"/>
          <w:color w:val="000000" w:themeColor="text1"/>
          <w:spacing w:val="5"/>
          <w:szCs w:val="24"/>
        </w:rPr>
        <w:t xml:space="preserve"> </w:t>
      </w:r>
      <w:r w:rsidRPr="00F61C47" w:rsidR="000513C4">
        <w:rPr>
          <w:rFonts w:ascii="Arial" w:hAnsi="Arial" w:cs="Arial"/>
          <w:color w:val="000000" w:themeColor="text1"/>
          <w:szCs w:val="24"/>
        </w:rPr>
        <w:t>time</w:t>
      </w:r>
      <w:r w:rsidRPr="00F61C47" w:rsidR="000513C4">
        <w:rPr>
          <w:rFonts w:ascii="Arial" w:hAnsi="Arial" w:cs="Arial"/>
          <w:color w:val="000000" w:themeColor="text1"/>
          <w:w w:val="97"/>
          <w:szCs w:val="24"/>
        </w:rPr>
        <w:t xml:space="preserve"> </w:t>
      </w:r>
      <w:r w:rsidRPr="00F61C47" w:rsidR="000513C4">
        <w:rPr>
          <w:rFonts w:ascii="Arial" w:hAnsi="Arial" w:cs="Arial"/>
          <w:color w:val="000000" w:themeColor="text1"/>
          <w:spacing w:val="-1"/>
          <w:szCs w:val="24"/>
        </w:rPr>
        <w:t>employees</w:t>
      </w:r>
      <w:r w:rsidRPr="00F61C47" w:rsidR="000513C4">
        <w:rPr>
          <w:rFonts w:ascii="Arial" w:hAnsi="Arial" w:cs="Arial"/>
          <w:color w:val="000000" w:themeColor="text1"/>
          <w:spacing w:val="26"/>
          <w:szCs w:val="24"/>
        </w:rPr>
        <w:t xml:space="preserve"> </w:t>
      </w:r>
      <w:r w:rsidRPr="00F61C47" w:rsidR="000513C4">
        <w:rPr>
          <w:rFonts w:ascii="Arial" w:hAnsi="Arial" w:cs="Arial"/>
          <w:color w:val="000000" w:themeColor="text1"/>
          <w:szCs w:val="24"/>
        </w:rPr>
        <w:t>of</w:t>
      </w:r>
      <w:r w:rsidRPr="00F61C47" w:rsidR="000513C4">
        <w:rPr>
          <w:rFonts w:ascii="Arial" w:hAnsi="Arial" w:cs="Arial"/>
          <w:color w:val="000000" w:themeColor="text1"/>
          <w:spacing w:val="4"/>
          <w:szCs w:val="24"/>
        </w:rPr>
        <w:t xml:space="preserve"> </w:t>
      </w:r>
      <w:r w:rsidRPr="00F61C47" w:rsidR="000513C4">
        <w:rPr>
          <w:rFonts w:ascii="Arial" w:hAnsi="Arial" w:cs="Arial"/>
          <w:color w:val="000000" w:themeColor="text1"/>
          <w:szCs w:val="24"/>
        </w:rPr>
        <w:t>the</w:t>
      </w:r>
      <w:r w:rsidRPr="00F61C47" w:rsidR="000513C4">
        <w:rPr>
          <w:rFonts w:ascii="Arial" w:hAnsi="Arial" w:cs="Arial"/>
          <w:color w:val="000000" w:themeColor="text1"/>
          <w:spacing w:val="11"/>
          <w:szCs w:val="24"/>
        </w:rPr>
        <w:t xml:space="preserve"> </w:t>
      </w:r>
      <w:r w:rsidRPr="00F61C47" w:rsidR="000513C4">
        <w:rPr>
          <w:rFonts w:ascii="Arial" w:hAnsi="Arial" w:cs="Arial"/>
          <w:color w:val="000000" w:themeColor="text1"/>
          <w:szCs w:val="24"/>
        </w:rPr>
        <w:t>grade</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level</w:t>
      </w:r>
      <w:r w:rsidRPr="00F61C47" w:rsidR="000513C4">
        <w:rPr>
          <w:rFonts w:ascii="Arial" w:hAnsi="Arial" w:cs="Arial"/>
          <w:color w:val="000000" w:themeColor="text1"/>
          <w:spacing w:val="11"/>
          <w:szCs w:val="24"/>
        </w:rPr>
        <w:t xml:space="preserve"> </w:t>
      </w:r>
      <w:r w:rsidRPr="00F61C47" w:rsidR="000513C4">
        <w:rPr>
          <w:rFonts w:ascii="Arial" w:hAnsi="Arial" w:cs="Arial"/>
          <w:color w:val="000000" w:themeColor="text1"/>
          <w:szCs w:val="24"/>
        </w:rPr>
        <w:t>spend</w:t>
      </w:r>
      <w:r w:rsidRPr="00F61C47" w:rsidR="000513C4">
        <w:rPr>
          <w:rFonts w:ascii="Arial" w:hAnsi="Arial" w:cs="Arial"/>
          <w:color w:val="000000" w:themeColor="text1"/>
          <w:spacing w:val="19"/>
          <w:szCs w:val="24"/>
        </w:rPr>
        <w:t xml:space="preserve"> </w:t>
      </w:r>
      <w:r w:rsidRPr="00F61C47" w:rsidR="000513C4">
        <w:rPr>
          <w:rFonts w:ascii="Arial" w:hAnsi="Arial" w:cs="Arial"/>
          <w:color w:val="000000" w:themeColor="text1"/>
          <w:szCs w:val="24"/>
        </w:rPr>
        <w:t>to</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process</w:t>
      </w:r>
      <w:r w:rsidRPr="00F61C47" w:rsidR="000513C4">
        <w:rPr>
          <w:rFonts w:ascii="Arial" w:hAnsi="Arial" w:cs="Arial"/>
          <w:color w:val="000000" w:themeColor="text1"/>
          <w:spacing w:val="14"/>
          <w:szCs w:val="24"/>
        </w:rPr>
        <w:t xml:space="preserve"> </w:t>
      </w:r>
      <w:r w:rsidRPr="00F61C47" w:rsidR="000513C4">
        <w:rPr>
          <w:rFonts w:ascii="Arial" w:hAnsi="Arial" w:cs="Arial"/>
          <w:color w:val="000000" w:themeColor="text1"/>
          <w:szCs w:val="24"/>
        </w:rPr>
        <w:t>to</w:t>
      </w:r>
      <w:r w:rsidRPr="00F61C47" w:rsidR="000513C4">
        <w:rPr>
          <w:rFonts w:ascii="Arial" w:hAnsi="Arial" w:cs="Arial"/>
          <w:color w:val="000000" w:themeColor="text1"/>
          <w:spacing w:val="21"/>
          <w:szCs w:val="24"/>
        </w:rPr>
        <w:t xml:space="preserve"> </w:t>
      </w:r>
      <w:r w:rsidRPr="00F61C47" w:rsidR="000513C4">
        <w:rPr>
          <w:rFonts w:ascii="Arial" w:hAnsi="Arial" w:cs="Arial"/>
          <w:color w:val="000000" w:themeColor="text1"/>
          <w:szCs w:val="24"/>
        </w:rPr>
        <w:t>completion</w:t>
      </w:r>
      <w:r w:rsidRPr="00F61C47" w:rsidR="000513C4">
        <w:rPr>
          <w:rFonts w:ascii="Arial" w:hAnsi="Arial" w:cs="Arial"/>
          <w:color w:val="000000" w:themeColor="text1"/>
          <w:spacing w:val="30"/>
          <w:szCs w:val="24"/>
        </w:rPr>
        <w:t xml:space="preserve"> </w:t>
      </w:r>
      <w:r w:rsidRPr="00F61C47" w:rsidR="000513C4">
        <w:rPr>
          <w:rFonts w:ascii="Arial" w:hAnsi="Arial" w:cs="Arial"/>
          <w:color w:val="000000" w:themeColor="text1"/>
          <w:szCs w:val="24"/>
        </w:rPr>
        <w:t>a</w:t>
      </w:r>
      <w:r w:rsidRPr="00F61C47" w:rsidR="000513C4">
        <w:rPr>
          <w:rFonts w:ascii="Arial" w:hAnsi="Arial" w:cs="Arial"/>
          <w:color w:val="000000" w:themeColor="text1"/>
          <w:spacing w:val="15"/>
          <w:szCs w:val="24"/>
        </w:rPr>
        <w:t xml:space="preserve"> </w:t>
      </w:r>
      <w:r w:rsidRPr="00F61C47" w:rsidR="000513C4">
        <w:rPr>
          <w:rFonts w:ascii="Arial" w:hAnsi="Arial" w:cs="Arial"/>
          <w:color w:val="000000" w:themeColor="text1"/>
          <w:szCs w:val="24"/>
        </w:rPr>
        <w:t>claim</w:t>
      </w:r>
      <w:r w:rsidRPr="00F61C47" w:rsidR="000513C4">
        <w:rPr>
          <w:rFonts w:ascii="Arial" w:hAnsi="Arial" w:cs="Arial"/>
          <w:color w:val="000000" w:themeColor="text1"/>
          <w:spacing w:val="28"/>
          <w:szCs w:val="24"/>
        </w:rPr>
        <w:t xml:space="preserve"> </w:t>
      </w:r>
      <w:r w:rsidRPr="00F61C47" w:rsidR="000513C4">
        <w:rPr>
          <w:rFonts w:ascii="Arial" w:hAnsi="Arial" w:cs="Arial"/>
          <w:color w:val="000000" w:themeColor="text1"/>
          <w:szCs w:val="24"/>
        </w:rPr>
        <w:t>received</w:t>
      </w:r>
      <w:r w:rsidRPr="00F61C47" w:rsidR="000513C4">
        <w:rPr>
          <w:rFonts w:ascii="Arial" w:hAnsi="Arial" w:cs="Arial"/>
          <w:color w:val="000000" w:themeColor="text1"/>
          <w:spacing w:val="32"/>
          <w:szCs w:val="24"/>
        </w:rPr>
        <w:t xml:space="preserve"> </w:t>
      </w:r>
      <w:r w:rsidRPr="00F61C47" w:rsidR="000513C4">
        <w:rPr>
          <w:rFonts w:ascii="Arial" w:hAnsi="Arial" w:cs="Arial"/>
          <w:color w:val="000000" w:themeColor="text1"/>
          <w:szCs w:val="24"/>
        </w:rPr>
        <w:t>on</w:t>
      </w:r>
      <w:r w:rsidRPr="00F61C47" w:rsidR="000513C4">
        <w:rPr>
          <w:rFonts w:ascii="Arial" w:hAnsi="Arial" w:cs="Arial"/>
          <w:color w:val="000000" w:themeColor="text1"/>
          <w:spacing w:val="26"/>
          <w:w w:val="99"/>
          <w:szCs w:val="24"/>
        </w:rPr>
        <w:t xml:space="preserve"> </w:t>
      </w:r>
      <w:r w:rsidRPr="00F61C47" w:rsidR="000513C4">
        <w:rPr>
          <w:rFonts w:ascii="Arial" w:hAnsi="Arial" w:cs="Arial"/>
          <w:color w:val="000000" w:themeColor="text1"/>
          <w:szCs w:val="24"/>
        </w:rPr>
        <w:t>this</w:t>
      </w:r>
      <w:r w:rsidRPr="00F61C47" w:rsidR="000513C4">
        <w:rPr>
          <w:rFonts w:ascii="Arial" w:hAnsi="Arial" w:cs="Arial"/>
          <w:color w:val="000000" w:themeColor="text1"/>
          <w:spacing w:val="25"/>
          <w:szCs w:val="24"/>
        </w:rPr>
        <w:t xml:space="preserve"> </w:t>
      </w:r>
      <w:r w:rsidRPr="00F61C47" w:rsidR="000513C4">
        <w:rPr>
          <w:rFonts w:ascii="Arial" w:hAnsi="Arial" w:cs="Arial"/>
          <w:color w:val="000000" w:themeColor="text1"/>
          <w:szCs w:val="24"/>
        </w:rPr>
        <w:t>for</w:t>
      </w:r>
      <w:r w:rsidRPr="00F61C47" w:rsidR="000513C4">
        <w:rPr>
          <w:rFonts w:ascii="Arial" w:hAnsi="Arial" w:cs="Arial"/>
          <w:color w:val="000000" w:themeColor="text1"/>
          <w:spacing w:val="27"/>
          <w:szCs w:val="24"/>
        </w:rPr>
        <w:t>m</w:t>
      </w:r>
      <w:r w:rsidRPr="00F61C47" w:rsidR="000513C4">
        <w:rPr>
          <w:rFonts w:ascii="Arial" w:hAnsi="Arial" w:cs="Arial"/>
          <w:color w:val="000000" w:themeColor="text1"/>
          <w:szCs w:val="24"/>
        </w:rPr>
        <w:t>.</w:t>
      </w:r>
    </w:p>
    <w:p w:rsidR="00463D10" w:rsidP="00C50F64" w:rsidRDefault="00463D10" w14:paraId="6A0B8E82" w14:textId="77777777">
      <w:pPr>
        <w:tabs>
          <w:tab w:val="left" w:pos="480"/>
          <w:tab w:val="left" w:pos="900"/>
          <w:tab w:val="right" w:pos="8640"/>
        </w:tabs>
        <w:spacing w:after="0" w:line="240" w:lineRule="auto"/>
        <w:ind w:left="990" w:right="-90"/>
        <w:rPr>
          <w:rFonts w:ascii="Arial" w:hAnsi="Arial" w:eastAsia="Times New Roman" w:cs="Arial"/>
          <w:sz w:val="24"/>
          <w:szCs w:val="24"/>
        </w:rPr>
      </w:pPr>
    </w:p>
    <w:p w:rsidR="00463D10" w:rsidP="00AF00E3" w:rsidRDefault="00463D10" w14:paraId="6A0B8E83" w14:textId="4A9BAAD3">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00951AFA" w:rsidP="00951AFA" w:rsidRDefault="00951AFA" w14:paraId="50F54F05" w14:textId="5E441913">
      <w:pPr>
        <w:tabs>
          <w:tab w:val="left" w:pos="0"/>
          <w:tab w:val="left" w:pos="900"/>
          <w:tab w:val="right" w:pos="8640"/>
        </w:tabs>
        <w:spacing w:after="0" w:line="240" w:lineRule="auto"/>
        <w:ind w:right="-90"/>
        <w:rPr>
          <w:rFonts w:ascii="Arial" w:hAnsi="Arial" w:eastAsia="Times New Roman" w:cs="Arial"/>
          <w:b/>
          <w:sz w:val="24"/>
          <w:szCs w:val="24"/>
        </w:rPr>
      </w:pPr>
    </w:p>
    <w:p w:rsidRPr="00951AFA" w:rsidR="00951AFA" w:rsidP="00951AFA" w:rsidRDefault="00951AFA" w14:paraId="7582C80A" w14:textId="62875C6C">
      <w:pPr>
        <w:tabs>
          <w:tab w:val="left" w:pos="810"/>
          <w:tab w:val="left" w:pos="900"/>
          <w:tab w:val="right" w:pos="8640"/>
        </w:tabs>
        <w:spacing w:after="0" w:line="240" w:lineRule="auto"/>
        <w:ind w:left="810" w:right="-90" w:hanging="180"/>
        <w:rPr>
          <w:rFonts w:ascii="Arial" w:hAnsi="Arial" w:eastAsia="Times New Roman" w:cs="Arial"/>
          <w:bCs/>
          <w:sz w:val="24"/>
          <w:szCs w:val="24"/>
        </w:rPr>
      </w:pPr>
      <w:r>
        <w:rPr>
          <w:rFonts w:ascii="Arial" w:hAnsi="Arial" w:eastAsia="Times New Roman" w:cs="Arial"/>
          <w:b/>
          <w:sz w:val="24"/>
          <w:szCs w:val="24"/>
        </w:rPr>
        <w:tab/>
      </w:r>
      <w:r>
        <w:rPr>
          <w:rFonts w:ascii="Arial" w:hAnsi="Arial" w:eastAsia="Times New Roman" w:cs="Arial"/>
          <w:bCs/>
          <w:sz w:val="24"/>
          <w:szCs w:val="24"/>
        </w:rPr>
        <w:t xml:space="preserve">There is no change in burden hours. </w:t>
      </w:r>
    </w:p>
    <w:p w:rsidRPr="004814CC" w:rsidR="00463D10" w:rsidP="00C50F64" w:rsidRDefault="00463D10" w14:paraId="6A0B8E84" w14:textId="77777777">
      <w:pPr>
        <w:tabs>
          <w:tab w:val="left" w:pos="480"/>
          <w:tab w:val="left" w:pos="900"/>
          <w:tab w:val="right" w:pos="8640"/>
        </w:tabs>
        <w:spacing w:after="0" w:line="240" w:lineRule="auto"/>
        <w:ind w:left="990" w:right="-90"/>
        <w:contextualSpacing/>
        <w:rPr>
          <w:rFonts w:ascii="Arial" w:hAnsi="Arial" w:eastAsia="Times New Roman" w:cs="Arial"/>
          <w:color w:val="FF0000"/>
          <w:sz w:val="24"/>
          <w:szCs w:val="24"/>
        </w:rPr>
      </w:pPr>
    </w:p>
    <w:p w:rsidR="00463D10" w:rsidP="00AF00E3" w:rsidRDefault="00463D10" w14:paraId="6A0B8E87"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C50F64" w:rsidRDefault="00463D10" w14:paraId="6A0B8E88" w14:textId="77777777">
      <w:pPr>
        <w:tabs>
          <w:tab w:val="left" w:pos="480"/>
          <w:tab w:val="left" w:pos="900"/>
          <w:tab w:val="right" w:pos="8640"/>
        </w:tabs>
        <w:spacing w:after="0" w:line="240" w:lineRule="auto"/>
        <w:ind w:left="990" w:right="-90"/>
        <w:contextualSpacing/>
        <w:rPr>
          <w:rFonts w:ascii="Arial" w:hAnsi="Arial" w:eastAsia="Times New Roman" w:cs="Arial"/>
          <w:color w:val="FF0000"/>
          <w:sz w:val="24"/>
          <w:szCs w:val="24"/>
        </w:rPr>
      </w:pPr>
    </w:p>
    <w:p w:rsidRPr="00F61C47" w:rsidR="000513C4" w:rsidP="00AF00E3" w:rsidRDefault="000513C4" w14:paraId="7C078EDE" w14:textId="77777777">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VA does not publish this information or make it available for publication.</w:t>
      </w:r>
    </w:p>
    <w:p w:rsidR="00463D10" w:rsidP="00C50F64" w:rsidRDefault="00463D10" w14:paraId="6A0B8E8A" w14:textId="77777777">
      <w:pPr>
        <w:tabs>
          <w:tab w:val="left" w:pos="900"/>
        </w:tabs>
        <w:spacing w:after="0" w:line="240" w:lineRule="auto"/>
        <w:ind w:left="990" w:right="-90"/>
        <w:contextualSpacing/>
        <w:rPr>
          <w:rFonts w:ascii="Arial" w:hAnsi="Arial" w:eastAsia="Times New Roman" w:cs="Arial"/>
          <w:color w:val="A6A6A6" w:themeColor="background1" w:themeShade="A6"/>
          <w:sz w:val="24"/>
          <w:szCs w:val="24"/>
        </w:rPr>
      </w:pPr>
    </w:p>
    <w:p w:rsidR="00463D10" w:rsidP="00AF00E3" w:rsidRDefault="00463D10" w14:paraId="6A0B8E8B" w14:textId="215EC970">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C50F64" w:rsidRDefault="00463D10" w14:paraId="6A0B8E8C"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463D10" w:rsidP="00AF00E3" w:rsidRDefault="00463D10" w14:paraId="6A0B8E8D" w14:textId="5E5E3CD8">
      <w:pPr>
        <w:tabs>
          <w:tab w:val="left" w:pos="480"/>
          <w:tab w:val="left" w:pos="900"/>
          <w:tab w:val="right" w:pos="8640"/>
        </w:tabs>
        <w:spacing w:after="0" w:line="240" w:lineRule="auto"/>
        <w:ind w:left="720" w:right="-90"/>
        <w:contextualSpacing/>
        <w:rPr>
          <w:rFonts w:ascii="Arial" w:hAnsi="Arial" w:eastAsia="Times New Roman" w:cs="Arial"/>
          <w:color w:val="000000" w:themeColor="text1"/>
          <w:sz w:val="24"/>
          <w:szCs w:val="24"/>
        </w:rPr>
      </w:pPr>
      <w:r w:rsidRPr="00F61C47">
        <w:rPr>
          <w:rFonts w:ascii="Arial" w:hAnsi="Arial" w:eastAsia="Times New Roman" w:cs="Arial"/>
          <w:color w:val="000000" w:themeColor="text1"/>
          <w:sz w:val="24"/>
          <w:szCs w:val="24"/>
        </w:rPr>
        <w:t>We are not seeking approval to omit the expiration date for OMB approval.</w:t>
      </w:r>
    </w:p>
    <w:p w:rsidR="00125F42" w:rsidP="00C50F64" w:rsidRDefault="00125F42" w14:paraId="60511B4F"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00463D10" w:rsidP="002E09D0" w:rsidRDefault="00463D10" w14:paraId="6A0B8E8F" w14:textId="77777777">
      <w:pPr>
        <w:pStyle w:val="ListParagraph"/>
        <w:numPr>
          <w:ilvl w:val="0"/>
          <w:numId w:val="11"/>
        </w:numPr>
        <w:tabs>
          <w:tab w:val="left" w:pos="0"/>
          <w:tab w:val="left" w:pos="900"/>
          <w:tab w:val="right" w:pos="8640"/>
        </w:tabs>
        <w:spacing w:after="0" w:line="240" w:lineRule="auto"/>
        <w:ind w:right="-90"/>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463D10" w:rsidP="00C50F64" w:rsidRDefault="00463D10" w14:paraId="6A0B8E90" w14:textId="77777777">
      <w:pPr>
        <w:tabs>
          <w:tab w:val="left" w:pos="480"/>
          <w:tab w:val="left" w:pos="900"/>
          <w:tab w:val="right" w:pos="8640"/>
        </w:tabs>
        <w:spacing w:after="0" w:line="240" w:lineRule="auto"/>
        <w:ind w:left="990" w:right="-90"/>
        <w:contextualSpacing/>
        <w:rPr>
          <w:rFonts w:ascii="Arial" w:hAnsi="Arial" w:eastAsia="Times New Roman" w:cs="Arial"/>
          <w:sz w:val="24"/>
          <w:szCs w:val="24"/>
        </w:rPr>
      </w:pPr>
    </w:p>
    <w:p w:rsidRPr="00F61C47" w:rsidR="000513C4" w:rsidP="002E09D0" w:rsidRDefault="000513C4" w14:paraId="26F44C2A" w14:textId="5E928DF0">
      <w:pPr>
        <w:pStyle w:val="BodyText"/>
        <w:tabs>
          <w:tab w:val="left" w:pos="900"/>
        </w:tabs>
        <w:ind w:left="720" w:right="-90"/>
        <w:rPr>
          <w:rFonts w:ascii="Arial" w:hAnsi="Arial" w:cs="Arial"/>
          <w:color w:val="000000" w:themeColor="text1"/>
          <w:szCs w:val="24"/>
        </w:rPr>
      </w:pPr>
      <w:r w:rsidRPr="00F61C47">
        <w:rPr>
          <w:rFonts w:ascii="Arial" w:hAnsi="Arial" w:cs="Arial"/>
          <w:color w:val="000000" w:themeColor="text1"/>
          <w:szCs w:val="24"/>
        </w:rPr>
        <w:t>This information collection fully complies with all the requirements of 5 CFR 1320.8(b)(3).</w:t>
      </w:r>
    </w:p>
    <w:p w:rsidR="00463D10" w:rsidP="00C50F64" w:rsidRDefault="00463D10" w14:paraId="6A0B8E92" w14:textId="77777777">
      <w:pPr>
        <w:tabs>
          <w:tab w:val="left" w:pos="480"/>
          <w:tab w:val="left" w:pos="900"/>
          <w:tab w:val="right" w:pos="8640"/>
        </w:tabs>
        <w:spacing w:after="0" w:line="240" w:lineRule="auto"/>
        <w:ind w:left="990" w:right="-90"/>
        <w:rPr>
          <w:rFonts w:ascii="Arial" w:hAnsi="Arial" w:eastAsia="Times New Roman" w:cs="Arial"/>
          <w:bCs/>
          <w:sz w:val="24"/>
          <w:szCs w:val="24"/>
        </w:rPr>
      </w:pPr>
    </w:p>
    <w:p w:rsidR="00463D10" w:rsidP="002E09D0" w:rsidRDefault="00463D10" w14:paraId="6A0B8E93" w14:textId="1931015C">
      <w:pPr>
        <w:tabs>
          <w:tab w:val="left" w:pos="900"/>
        </w:tabs>
        <w:spacing w:after="0" w:line="240" w:lineRule="auto"/>
        <w:ind w:left="720" w:right="-9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Pr="00F61C47" w:rsidR="0064109F" w:rsidP="002E09D0" w:rsidRDefault="000513C4" w14:paraId="6A0B8E98" w14:textId="131D1A9C">
      <w:pPr>
        <w:pStyle w:val="BodyText"/>
        <w:tabs>
          <w:tab w:val="left" w:pos="900"/>
        </w:tabs>
        <w:ind w:left="720" w:right="-90"/>
        <w:rPr>
          <w:color w:val="000000" w:themeColor="text1"/>
        </w:rPr>
      </w:pPr>
      <w:r w:rsidRPr="00F61C47">
        <w:rPr>
          <w:rFonts w:ascii="Arial" w:hAnsi="Arial" w:cs="Arial"/>
          <w:color w:val="000000" w:themeColor="text1"/>
          <w:szCs w:val="24"/>
        </w:rPr>
        <w:t>This collection of information by the Veterans Benefits Administration does not employ statistical methods.</w:t>
      </w:r>
    </w:p>
    <w:sectPr w:rsidRPr="00F61C47" w:rsidR="0064109F" w:rsidSect="00410B44">
      <w:footerReference w:type="default" r:id="rId14"/>
      <w:pgSz w:w="12240" w:h="15840"/>
      <w:pgMar w:top="1440" w:right="171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40205" w14:textId="77777777" w:rsidR="00796D38" w:rsidRDefault="00796D38" w:rsidP="005F453F">
      <w:pPr>
        <w:spacing w:after="0" w:line="240" w:lineRule="auto"/>
      </w:pPr>
      <w:r>
        <w:separator/>
      </w:r>
    </w:p>
  </w:endnote>
  <w:endnote w:type="continuationSeparator" w:id="0">
    <w:p w14:paraId="5C12C965" w14:textId="77777777" w:rsidR="00796D38" w:rsidRDefault="00796D38" w:rsidP="005F453F">
      <w:pPr>
        <w:spacing w:after="0" w:line="240" w:lineRule="auto"/>
      </w:pPr>
      <w:r>
        <w:continuationSeparator/>
      </w:r>
    </w:p>
  </w:endnote>
  <w:endnote w:type="continuationNotice" w:id="1">
    <w:p w14:paraId="3F81A5EB" w14:textId="77777777" w:rsidR="00796D38" w:rsidRDefault="00796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220B" w14:textId="77777777" w:rsidR="00796D38" w:rsidRDefault="00796D38" w:rsidP="005F453F">
      <w:pPr>
        <w:spacing w:after="0" w:line="240" w:lineRule="auto"/>
      </w:pPr>
      <w:r>
        <w:separator/>
      </w:r>
    </w:p>
  </w:footnote>
  <w:footnote w:type="continuationSeparator" w:id="0">
    <w:p w14:paraId="1C652A73" w14:textId="77777777" w:rsidR="00796D38" w:rsidRDefault="00796D38" w:rsidP="005F453F">
      <w:pPr>
        <w:spacing w:after="0" w:line="240" w:lineRule="auto"/>
      </w:pPr>
      <w:r>
        <w:continuationSeparator/>
      </w:r>
    </w:p>
  </w:footnote>
  <w:footnote w:type="continuationNotice" w:id="1">
    <w:p w14:paraId="3A1982AE" w14:textId="77777777" w:rsidR="00796D38" w:rsidRDefault="00796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E3D"/>
    <w:multiLevelType w:val="hybridMultilevel"/>
    <w:tmpl w:val="38FA41DC"/>
    <w:lvl w:ilvl="0" w:tplc="EBB0542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02A4D50"/>
    <w:multiLevelType w:val="hybridMultilevel"/>
    <w:tmpl w:val="91D050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8043A"/>
    <w:multiLevelType w:val="hybridMultilevel"/>
    <w:tmpl w:val="B300BC6C"/>
    <w:lvl w:ilvl="0" w:tplc="B02C1B02">
      <w:start w:val="1"/>
      <w:numFmt w:val="lowerLetter"/>
      <w:lvlText w:val="%1."/>
      <w:lvlJc w:val="left"/>
      <w:pPr>
        <w:ind w:left="1530" w:hanging="360"/>
      </w:pPr>
      <w:rPr>
        <w:rFonts w:cs="Times New Roman"/>
      </w:r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11625"/>
    <w:rsid w:val="00034BE0"/>
    <w:rsid w:val="000513C4"/>
    <w:rsid w:val="00062614"/>
    <w:rsid w:val="000F4F0E"/>
    <w:rsid w:val="00124762"/>
    <w:rsid w:val="00125F42"/>
    <w:rsid w:val="001269E4"/>
    <w:rsid w:val="001451EE"/>
    <w:rsid w:val="0017467F"/>
    <w:rsid w:val="001771BD"/>
    <w:rsid w:val="001A3547"/>
    <w:rsid w:val="001F42B4"/>
    <w:rsid w:val="001F5B08"/>
    <w:rsid w:val="00206E36"/>
    <w:rsid w:val="00215DC3"/>
    <w:rsid w:val="0023060B"/>
    <w:rsid w:val="00255A1C"/>
    <w:rsid w:val="002730CF"/>
    <w:rsid w:val="002E09D0"/>
    <w:rsid w:val="002E3B10"/>
    <w:rsid w:val="002F2C02"/>
    <w:rsid w:val="00301B0F"/>
    <w:rsid w:val="00304F14"/>
    <w:rsid w:val="00344A7B"/>
    <w:rsid w:val="00363ED0"/>
    <w:rsid w:val="003B2651"/>
    <w:rsid w:val="003E64A6"/>
    <w:rsid w:val="003F6CC5"/>
    <w:rsid w:val="00410B44"/>
    <w:rsid w:val="00411566"/>
    <w:rsid w:val="00421F04"/>
    <w:rsid w:val="004310F8"/>
    <w:rsid w:val="00453329"/>
    <w:rsid w:val="00453CA9"/>
    <w:rsid w:val="004557DA"/>
    <w:rsid w:val="00463D10"/>
    <w:rsid w:val="00477ADA"/>
    <w:rsid w:val="004814CC"/>
    <w:rsid w:val="00481A75"/>
    <w:rsid w:val="00484A0B"/>
    <w:rsid w:val="00495FED"/>
    <w:rsid w:val="004A0810"/>
    <w:rsid w:val="004C2042"/>
    <w:rsid w:val="004E4CF9"/>
    <w:rsid w:val="005004CB"/>
    <w:rsid w:val="0051122B"/>
    <w:rsid w:val="00520432"/>
    <w:rsid w:val="005272B9"/>
    <w:rsid w:val="005310A9"/>
    <w:rsid w:val="00584625"/>
    <w:rsid w:val="005C18C4"/>
    <w:rsid w:val="005F12AD"/>
    <w:rsid w:val="005F453F"/>
    <w:rsid w:val="005F7370"/>
    <w:rsid w:val="00612C96"/>
    <w:rsid w:val="006409C6"/>
    <w:rsid w:val="0064109F"/>
    <w:rsid w:val="00646C5F"/>
    <w:rsid w:val="0065638F"/>
    <w:rsid w:val="00666A7F"/>
    <w:rsid w:val="006C7A43"/>
    <w:rsid w:val="006D11F3"/>
    <w:rsid w:val="006D6572"/>
    <w:rsid w:val="006D7EB0"/>
    <w:rsid w:val="006F0BA3"/>
    <w:rsid w:val="006F2F81"/>
    <w:rsid w:val="00704A2E"/>
    <w:rsid w:val="0072121E"/>
    <w:rsid w:val="0078440F"/>
    <w:rsid w:val="00796D38"/>
    <w:rsid w:val="007977A3"/>
    <w:rsid w:val="007F0162"/>
    <w:rsid w:val="00821DB5"/>
    <w:rsid w:val="00862C53"/>
    <w:rsid w:val="00880229"/>
    <w:rsid w:val="008A2A7A"/>
    <w:rsid w:val="008B6E5A"/>
    <w:rsid w:val="008B6F22"/>
    <w:rsid w:val="008F4CE8"/>
    <w:rsid w:val="00932185"/>
    <w:rsid w:val="00951AFA"/>
    <w:rsid w:val="009808B9"/>
    <w:rsid w:val="009824AD"/>
    <w:rsid w:val="009F5AA1"/>
    <w:rsid w:val="00A2152D"/>
    <w:rsid w:val="00A334A7"/>
    <w:rsid w:val="00A3725E"/>
    <w:rsid w:val="00A571C0"/>
    <w:rsid w:val="00A63A2A"/>
    <w:rsid w:val="00A85D76"/>
    <w:rsid w:val="00A91ADE"/>
    <w:rsid w:val="00A92A5E"/>
    <w:rsid w:val="00A94295"/>
    <w:rsid w:val="00AA212B"/>
    <w:rsid w:val="00AC2241"/>
    <w:rsid w:val="00AE34F7"/>
    <w:rsid w:val="00AE799C"/>
    <w:rsid w:val="00AF00E3"/>
    <w:rsid w:val="00AF2080"/>
    <w:rsid w:val="00B572A2"/>
    <w:rsid w:val="00B67E8E"/>
    <w:rsid w:val="00B82092"/>
    <w:rsid w:val="00B82210"/>
    <w:rsid w:val="00B90E79"/>
    <w:rsid w:val="00B9372E"/>
    <w:rsid w:val="00BA7532"/>
    <w:rsid w:val="00BB6C1F"/>
    <w:rsid w:val="00BD12B8"/>
    <w:rsid w:val="00BD39A2"/>
    <w:rsid w:val="00BF1095"/>
    <w:rsid w:val="00C163A0"/>
    <w:rsid w:val="00C167C0"/>
    <w:rsid w:val="00C17DA8"/>
    <w:rsid w:val="00C33BAE"/>
    <w:rsid w:val="00C50F64"/>
    <w:rsid w:val="00C55D64"/>
    <w:rsid w:val="00C8256B"/>
    <w:rsid w:val="00C93B7B"/>
    <w:rsid w:val="00CB7E10"/>
    <w:rsid w:val="00CC31A5"/>
    <w:rsid w:val="00D0327B"/>
    <w:rsid w:val="00D05C81"/>
    <w:rsid w:val="00D120F5"/>
    <w:rsid w:val="00D137D2"/>
    <w:rsid w:val="00D6735D"/>
    <w:rsid w:val="00D745EC"/>
    <w:rsid w:val="00DA69C0"/>
    <w:rsid w:val="00DB6F48"/>
    <w:rsid w:val="00DC0D70"/>
    <w:rsid w:val="00DC4FC1"/>
    <w:rsid w:val="00DD75AD"/>
    <w:rsid w:val="00DE3E87"/>
    <w:rsid w:val="00E069F5"/>
    <w:rsid w:val="00E11ADD"/>
    <w:rsid w:val="00E33FBE"/>
    <w:rsid w:val="00E34E18"/>
    <w:rsid w:val="00E3551E"/>
    <w:rsid w:val="00E42ED3"/>
    <w:rsid w:val="00E45518"/>
    <w:rsid w:val="00E600BD"/>
    <w:rsid w:val="00EC0EBB"/>
    <w:rsid w:val="00EE1A96"/>
    <w:rsid w:val="00F1030C"/>
    <w:rsid w:val="00F13C27"/>
    <w:rsid w:val="00F241FD"/>
    <w:rsid w:val="00F43544"/>
    <w:rsid w:val="00F61C47"/>
    <w:rsid w:val="00F827AB"/>
    <w:rsid w:val="00F85A66"/>
    <w:rsid w:val="00F9397B"/>
    <w:rsid w:val="00FC2E41"/>
    <w:rsid w:val="00FD4E43"/>
    <w:rsid w:val="012977B1"/>
    <w:rsid w:val="0131643C"/>
    <w:rsid w:val="015C6C06"/>
    <w:rsid w:val="01F3317F"/>
    <w:rsid w:val="021E36C3"/>
    <w:rsid w:val="028313AA"/>
    <w:rsid w:val="03047C8A"/>
    <w:rsid w:val="03789C0A"/>
    <w:rsid w:val="03C1F3AF"/>
    <w:rsid w:val="04B6B2C1"/>
    <w:rsid w:val="04CA4B78"/>
    <w:rsid w:val="04E60E23"/>
    <w:rsid w:val="05C01141"/>
    <w:rsid w:val="065512D8"/>
    <w:rsid w:val="065A6FAD"/>
    <w:rsid w:val="0670D583"/>
    <w:rsid w:val="0711C0AF"/>
    <w:rsid w:val="0719AD3A"/>
    <w:rsid w:val="08315234"/>
    <w:rsid w:val="0888B1EF"/>
    <w:rsid w:val="09F6ED56"/>
    <w:rsid w:val="0A2648B8"/>
    <w:rsid w:val="0B2FA738"/>
    <w:rsid w:val="0E1FF426"/>
    <w:rsid w:val="0F3B8E66"/>
    <w:rsid w:val="0F90BF43"/>
    <w:rsid w:val="1012596E"/>
    <w:rsid w:val="10ACC8D8"/>
    <w:rsid w:val="10E7CB86"/>
    <w:rsid w:val="115CF1BD"/>
    <w:rsid w:val="11C45E5A"/>
    <w:rsid w:val="1289C20A"/>
    <w:rsid w:val="12B68DB6"/>
    <w:rsid w:val="13F56DBB"/>
    <w:rsid w:val="145A4AA2"/>
    <w:rsid w:val="14B73AFE"/>
    <w:rsid w:val="14FDC584"/>
    <w:rsid w:val="15DEEBDF"/>
    <w:rsid w:val="16888CE4"/>
    <w:rsid w:val="1731649B"/>
    <w:rsid w:val="174D2746"/>
    <w:rsid w:val="174DF094"/>
    <w:rsid w:val="1793B1CC"/>
    <w:rsid w:val="17B03DC5"/>
    <w:rsid w:val="17F6C84B"/>
    <w:rsid w:val="19C4D299"/>
    <w:rsid w:val="19D9609B"/>
    <w:rsid w:val="1A2A6762"/>
    <w:rsid w:val="1A45AED2"/>
    <w:rsid w:val="1A8CB493"/>
    <w:rsid w:val="1AA5AA1F"/>
    <w:rsid w:val="1AFD7B0F"/>
    <w:rsid w:val="1B1F2674"/>
    <w:rsid w:val="1C0BF8FB"/>
    <w:rsid w:val="1C27BBA6"/>
    <w:rsid w:val="1C6E462C"/>
    <w:rsid w:val="1CD0935D"/>
    <w:rsid w:val="1CE4347B"/>
    <w:rsid w:val="1EB579F1"/>
    <w:rsid w:val="1F20BE6D"/>
    <w:rsid w:val="1F234E23"/>
    <w:rsid w:val="1F3F10CE"/>
    <w:rsid w:val="1FAD0A2B"/>
    <w:rsid w:val="1FB0A098"/>
    <w:rsid w:val="209819A0"/>
    <w:rsid w:val="211B4592"/>
    <w:rsid w:val="213274B6"/>
    <w:rsid w:val="2224A412"/>
    <w:rsid w:val="2243BFC1"/>
    <w:rsid w:val="22708B6D"/>
    <w:rsid w:val="22EA07C2"/>
    <w:rsid w:val="23C860FE"/>
    <w:rsid w:val="245BD996"/>
    <w:rsid w:val="24B7C33B"/>
    <w:rsid w:val="25698E34"/>
    <w:rsid w:val="2598E996"/>
    <w:rsid w:val="26BC06F0"/>
    <w:rsid w:val="2764DEA7"/>
    <w:rsid w:val="27816AA0"/>
    <w:rsid w:val="27AA79A7"/>
    <w:rsid w:val="27C72BD8"/>
    <w:rsid w:val="28CDFAA2"/>
    <w:rsid w:val="29B78234"/>
    <w:rsid w:val="2A5DE16E"/>
    <w:rsid w:val="2AA112F0"/>
    <w:rsid w:val="2B7F6C2C"/>
    <w:rsid w:val="2B830299"/>
    <w:rsid w:val="2C581FE4"/>
    <w:rsid w:val="2DDE1087"/>
    <w:rsid w:val="2E31E46D"/>
    <w:rsid w:val="2EBEF979"/>
    <w:rsid w:val="310E5B3B"/>
    <w:rsid w:val="316DC87F"/>
    <w:rsid w:val="3212ECA5"/>
    <w:rsid w:val="32902F59"/>
    <w:rsid w:val="3336775A"/>
    <w:rsid w:val="337D01E0"/>
    <w:rsid w:val="3398C48B"/>
    <w:rsid w:val="33998DD9"/>
    <w:rsid w:val="33E2E57E"/>
    <w:rsid w:val="33F67E35"/>
    <w:rsid w:val="342ECCD9"/>
    <w:rsid w:val="342F3764"/>
    <w:rsid w:val="34436C47"/>
    <w:rsid w:val="3458CB66"/>
    <w:rsid w:val="345EF189"/>
    <w:rsid w:val="347BD028"/>
    <w:rsid w:val="351E2F16"/>
    <w:rsid w:val="36626BF0"/>
    <w:rsid w:val="3691C752"/>
    <w:rsid w:val="36A666C0"/>
    <w:rsid w:val="37FAA5E4"/>
    <w:rsid w:val="38C56669"/>
    <w:rsid w:val="38D3DFB4"/>
    <w:rsid w:val="3924E67B"/>
    <w:rsid w:val="3BB67CA5"/>
    <w:rsid w:val="3C2E28F5"/>
    <w:rsid w:val="3C76763F"/>
    <w:rsid w:val="3C92462B"/>
    <w:rsid w:val="3CDA9719"/>
    <w:rsid w:val="3D4C26E3"/>
    <w:rsid w:val="3EABE8FF"/>
    <w:rsid w:val="3F0E3630"/>
    <w:rsid w:val="3F54C0B6"/>
    <w:rsid w:val="3F8F32A4"/>
    <w:rsid w:val="3F9B4B3C"/>
    <w:rsid w:val="40AC964E"/>
    <w:rsid w:val="40D4051E"/>
    <w:rsid w:val="4126129C"/>
    <w:rsid w:val="4141D547"/>
    <w:rsid w:val="419968CE"/>
    <w:rsid w:val="42C3A965"/>
    <w:rsid w:val="42D77F85"/>
    <w:rsid w:val="4329A567"/>
    <w:rsid w:val="43BC952F"/>
    <w:rsid w:val="44495159"/>
    <w:rsid w:val="44926B95"/>
    <w:rsid w:val="44D82CCD"/>
    <w:rsid w:val="44DBC33A"/>
    <w:rsid w:val="44E2B65D"/>
    <w:rsid w:val="455705F7"/>
    <w:rsid w:val="46147D1C"/>
    <w:rsid w:val="4630025E"/>
    <w:rsid w:val="46A97EB3"/>
    <w:rsid w:val="472857DD"/>
    <w:rsid w:val="474EEFC9"/>
    <w:rsid w:val="476EE263"/>
    <w:rsid w:val="478AA50E"/>
    <w:rsid w:val="47E85EB8"/>
    <w:rsid w:val="493F6AFB"/>
    <w:rsid w:val="4999CBA1"/>
    <w:rsid w:val="4AC40C38"/>
    <w:rsid w:val="4BBE281F"/>
    <w:rsid w:val="4BDA4551"/>
    <w:rsid w:val="4C2CEACA"/>
    <w:rsid w:val="4C79D8DC"/>
    <w:rsid w:val="4CC5C037"/>
    <w:rsid w:val="4D0EDA73"/>
    <w:rsid w:val="4D583218"/>
    <w:rsid w:val="4EDF630B"/>
    <w:rsid w:val="4F25ED91"/>
    <w:rsid w:val="4FC9A5DC"/>
    <w:rsid w:val="4FCEC548"/>
    <w:rsid w:val="4FFE20AA"/>
    <w:rsid w:val="504A0805"/>
    <w:rsid w:val="51077F2A"/>
    <w:rsid w:val="51754F53"/>
    <w:rsid w:val="517987A9"/>
    <w:rsid w:val="51CCE2DA"/>
    <w:rsid w:val="5292468A"/>
    <w:rsid w:val="53880C53"/>
    <w:rsid w:val="53E3F5F8"/>
    <w:rsid w:val="54C5E5A1"/>
    <w:rsid w:val="558A8003"/>
    <w:rsid w:val="55D10A89"/>
    <w:rsid w:val="56637C6A"/>
    <w:rsid w:val="5728E01A"/>
    <w:rsid w:val="57531C10"/>
    <w:rsid w:val="579C364C"/>
    <w:rsid w:val="57E58DF1"/>
    <w:rsid w:val="587A8F88"/>
    <w:rsid w:val="588891C7"/>
    <w:rsid w:val="58DD4BF8"/>
    <w:rsid w:val="591097D6"/>
    <w:rsid w:val="5953C958"/>
    <w:rsid w:val="5D25C886"/>
    <w:rsid w:val="5D2B255B"/>
    <w:rsid w:val="5D61BDF5"/>
    <w:rsid w:val="5D9385A6"/>
    <w:rsid w:val="5E4D7967"/>
    <w:rsid w:val="5E7E6849"/>
    <w:rsid w:val="5E9403ED"/>
    <w:rsid w:val="5F89C9B6"/>
    <w:rsid w:val="5FB92518"/>
    <w:rsid w:val="5FFD1FE8"/>
    <w:rsid w:val="601ECB4D"/>
    <w:rsid w:val="606759A4"/>
    <w:rsid w:val="60C7A304"/>
    <w:rsid w:val="6129F035"/>
    <w:rsid w:val="615F71BA"/>
    <w:rsid w:val="61A8C95F"/>
    <w:rsid w:val="61D3A11B"/>
    <w:rsid w:val="631334AB"/>
    <w:rsid w:val="638A5AF8"/>
    <w:rsid w:val="63F0012D"/>
    <w:rsid w:val="6447D21D"/>
    <w:rsid w:val="64DCD3B4"/>
    <w:rsid w:val="64E23089"/>
    <w:rsid w:val="6585AB6B"/>
    <w:rsid w:val="65BDFA0F"/>
    <w:rsid w:val="668A9D63"/>
    <w:rsid w:val="6696F676"/>
    <w:rsid w:val="67A84181"/>
    <w:rsid w:val="67B42B16"/>
    <w:rsid w:val="67CFB058"/>
    <w:rsid w:val="68063894"/>
    <w:rsid w:val="68E0FB63"/>
    <w:rsid w:val="69736D44"/>
    <w:rsid w:val="6AAD2DDD"/>
    <w:rsid w:val="6B120AC4"/>
    <w:rsid w:val="6B2B0050"/>
    <w:rsid w:val="6C06C9D6"/>
    <w:rsid w:val="6C5C2BF8"/>
    <w:rsid w:val="6DD761D0"/>
    <w:rsid w:val="6E1324E7"/>
    <w:rsid w:val="6EF7E012"/>
    <w:rsid w:val="6EFD82FE"/>
    <w:rsid w:val="70F5FDA4"/>
    <w:rsid w:val="715D6A41"/>
    <w:rsid w:val="71685DB9"/>
    <w:rsid w:val="718DCC5A"/>
    <w:rsid w:val="71EFDC22"/>
    <w:rsid w:val="71F538F7"/>
    <w:rsid w:val="7222CDF1"/>
    <w:rsid w:val="722E73E3"/>
    <w:rsid w:val="74B29416"/>
    <w:rsid w:val="75700B3B"/>
    <w:rsid w:val="75C218B9"/>
    <w:rsid w:val="7637FEA1"/>
    <w:rsid w:val="763D5B76"/>
    <w:rsid w:val="76E6332D"/>
    <w:rsid w:val="76FD6251"/>
    <w:rsid w:val="78032A64"/>
    <w:rsid w:val="784C8209"/>
    <w:rsid w:val="78690E02"/>
    <w:rsid w:val="788ADA17"/>
    <w:rsid w:val="792D6AFB"/>
    <w:rsid w:val="7950F041"/>
    <w:rsid w:val="7976C2A0"/>
    <w:rsid w:val="79A6E750"/>
    <w:rsid w:val="79A83DC1"/>
    <w:rsid w:val="79F2CEAB"/>
    <w:rsid w:val="7A3EB606"/>
    <w:rsid w:val="7A802120"/>
    <w:rsid w:val="7A880DAB"/>
    <w:rsid w:val="7B939AF4"/>
    <w:rsid w:val="7C10A38B"/>
    <w:rsid w:val="7CFFA792"/>
    <w:rsid w:val="7D29A61F"/>
    <w:rsid w:val="7D2F02F4"/>
    <w:rsid w:val="7E9E07A9"/>
    <w:rsid w:val="7F5D4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01EC8698-B75A-44BF-B949-750EF35E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 w:type="paragraph" w:styleId="NoSpacing">
    <w:name w:val="No Spacing"/>
    <w:basedOn w:val="Normal"/>
    <w:uiPriority w:val="1"/>
    <w:qFormat/>
    <w:rsid w:val="00A85D76"/>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363ED0"/>
    <w:pPr>
      <w:spacing w:after="120"/>
      <w:ind w:left="360"/>
    </w:pPr>
  </w:style>
  <w:style w:type="character" w:customStyle="1" w:styleId="BodyTextIndentChar">
    <w:name w:val="Body Text Indent Char"/>
    <w:basedOn w:val="DefaultParagraphFont"/>
    <w:link w:val="BodyTextIndent"/>
    <w:uiPriority w:val="99"/>
    <w:semiHidden/>
    <w:rsid w:val="00363ED0"/>
  </w:style>
  <w:style w:type="paragraph" w:styleId="BodyTextIndent2">
    <w:name w:val="Body Text Indent 2"/>
    <w:basedOn w:val="Normal"/>
    <w:link w:val="BodyTextIndent2Char"/>
    <w:uiPriority w:val="99"/>
    <w:semiHidden/>
    <w:unhideWhenUsed/>
    <w:rsid w:val="008B6E5A"/>
    <w:pPr>
      <w:spacing w:after="120" w:line="480" w:lineRule="auto"/>
      <w:ind w:left="360"/>
    </w:pPr>
  </w:style>
  <w:style w:type="character" w:customStyle="1" w:styleId="BodyTextIndent2Char">
    <w:name w:val="Body Text Indent 2 Char"/>
    <w:basedOn w:val="DefaultParagraphFont"/>
    <w:link w:val="BodyTextIndent2"/>
    <w:uiPriority w:val="99"/>
    <w:semiHidden/>
    <w:rsid w:val="008B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162015386">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291178689">
      <w:bodyDiv w:val="1"/>
      <w:marLeft w:val="0"/>
      <w:marRight w:val="0"/>
      <w:marTop w:val="0"/>
      <w:marBottom w:val="0"/>
      <w:divBdr>
        <w:top w:val="none" w:sz="0" w:space="0" w:color="auto"/>
        <w:left w:val="none" w:sz="0" w:space="0" w:color="auto"/>
        <w:bottom w:val="none" w:sz="0" w:space="0" w:color="auto"/>
        <w:right w:val="none" w:sz="0" w:space="0" w:color="auto"/>
      </w:divBdr>
    </w:div>
    <w:div w:id="362440234">
      <w:bodyDiv w:val="1"/>
      <w:marLeft w:val="0"/>
      <w:marRight w:val="0"/>
      <w:marTop w:val="0"/>
      <w:marBottom w:val="0"/>
      <w:divBdr>
        <w:top w:val="none" w:sz="0" w:space="0" w:color="auto"/>
        <w:left w:val="none" w:sz="0" w:space="0" w:color="auto"/>
        <w:bottom w:val="none" w:sz="0" w:space="0" w:color="auto"/>
        <w:right w:val="none" w:sz="0" w:space="0" w:color="auto"/>
      </w:divBdr>
    </w:div>
    <w:div w:id="472259398">
      <w:bodyDiv w:val="1"/>
      <w:marLeft w:val="0"/>
      <w:marRight w:val="0"/>
      <w:marTop w:val="0"/>
      <w:marBottom w:val="0"/>
      <w:divBdr>
        <w:top w:val="none" w:sz="0" w:space="0" w:color="auto"/>
        <w:left w:val="none" w:sz="0" w:space="0" w:color="auto"/>
        <w:bottom w:val="none" w:sz="0" w:space="0" w:color="auto"/>
        <w:right w:val="none" w:sz="0" w:space="0" w:color="auto"/>
      </w:divBdr>
    </w:div>
    <w:div w:id="639925885">
      <w:bodyDiv w:val="1"/>
      <w:marLeft w:val="0"/>
      <w:marRight w:val="0"/>
      <w:marTop w:val="0"/>
      <w:marBottom w:val="0"/>
      <w:divBdr>
        <w:top w:val="none" w:sz="0" w:space="0" w:color="auto"/>
        <w:left w:val="none" w:sz="0" w:space="0" w:color="auto"/>
        <w:bottom w:val="none" w:sz="0" w:space="0" w:color="auto"/>
        <w:right w:val="none" w:sz="0" w:space="0" w:color="auto"/>
      </w:divBdr>
    </w:div>
    <w:div w:id="1189296474">
      <w:bodyDiv w:val="1"/>
      <w:marLeft w:val="0"/>
      <w:marRight w:val="0"/>
      <w:marTop w:val="0"/>
      <w:marBottom w:val="0"/>
      <w:divBdr>
        <w:top w:val="none" w:sz="0" w:space="0" w:color="auto"/>
        <w:left w:val="none" w:sz="0" w:space="0" w:color="auto"/>
        <w:bottom w:val="none" w:sz="0" w:space="0" w:color="auto"/>
        <w:right w:val="none" w:sz="0" w:space="0" w:color="auto"/>
      </w:divBdr>
    </w:div>
    <w:div w:id="1372071251">
      <w:bodyDiv w:val="1"/>
      <w:marLeft w:val="0"/>
      <w:marRight w:val="0"/>
      <w:marTop w:val="0"/>
      <w:marBottom w:val="0"/>
      <w:divBdr>
        <w:top w:val="none" w:sz="0" w:space="0" w:color="auto"/>
        <w:left w:val="none" w:sz="0" w:space="0" w:color="auto"/>
        <w:bottom w:val="none" w:sz="0" w:space="0" w:color="auto"/>
        <w:right w:val="none" w:sz="0" w:space="0" w:color="auto"/>
      </w:divBdr>
    </w:div>
    <w:div w:id="16140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clip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A2B3CF0E400F48B9A01081577070D7" ma:contentTypeVersion="2" ma:contentTypeDescription="Create a new document." ma:contentTypeScope="" ma:versionID="22470bbb46443bd41ba054dcad31a3ce">
  <xsd:schema xmlns:xsd="http://www.w3.org/2001/XMLSchema" xmlns:xs="http://www.w3.org/2001/XMLSchema" xmlns:p="http://schemas.microsoft.com/office/2006/metadata/properties" xmlns:ns2="8e2866fb-779d-4877-ad5d-abd8f9398fc4" targetNamespace="http://schemas.microsoft.com/office/2006/metadata/properties" ma:root="true" ma:fieldsID="00eba12f0977baa256bb4b08e7fd1372" ns2:_="">
    <xsd:import namespace="8e2866fb-779d-4877-ad5d-abd8f9398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66fb-779d-4877-ad5d-abd8f939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F18731D-89B1-4EB3-A7A7-E247DF58B7B5}">
  <ds:schemaRefs>
    <ds:schemaRef ds:uri="http://schemas.openxmlformats.org/officeDocument/2006/bibliography"/>
  </ds:schemaRefs>
</ds:datastoreItem>
</file>

<file path=customXml/itemProps4.xml><?xml version="1.0" encoding="utf-8"?>
<ds:datastoreItem xmlns:ds="http://schemas.openxmlformats.org/officeDocument/2006/customXml" ds:itemID="{C49238B9-F009-4468-A97F-43C9C9C4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66fb-779d-4877-ad5d-abd8f939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Department of Veterans Affairs</dc:creator>
  <cp:keywords/>
  <dc:description/>
  <cp:lastModifiedBy>Richardson, Charnae, VBAVACO</cp:lastModifiedBy>
  <cp:revision>4</cp:revision>
  <dcterms:created xsi:type="dcterms:W3CDTF">2021-09-01T23:41:00Z</dcterms:created>
  <dcterms:modified xsi:type="dcterms:W3CDTF">2021-09-10T13:08:00Z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0x010100BCA2B3CF0E400F48B9A01081577070D7</vt:lpwstr>
  </property>
  <property fmtid="{D5CDD505-2E9C-101B-9397-08002B2CF9AE}" pid="3" name="_dlc_DocIdItemGuid">
    <vt:lpwstr>597cdca1-c2ce-4bfb-a905-6851913e9eb5</vt:lpwstr>
  </property>
</Properties>
</file>