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2010" w:rsidRDefault="003C2010" w14:paraId="14DEC78A" w14:textId="77777777">
      <w:pPr>
        <w:jc w:val="center"/>
      </w:pPr>
    </w:p>
    <w:p w:rsidRPr="007659C4" w:rsidR="003C2010" w:rsidRDefault="003C2010" w14:paraId="4199A963" w14:textId="77777777">
      <w:pPr>
        <w:jc w:val="center"/>
        <w:rPr>
          <w:rFonts w:ascii="Arial" w:hAnsi="Arial" w:cs="Arial"/>
          <w:b/>
        </w:rPr>
      </w:pPr>
      <w:r w:rsidRPr="007659C4">
        <w:rPr>
          <w:rFonts w:ascii="Arial" w:hAnsi="Arial" w:cs="Arial"/>
          <w:b/>
        </w:rPr>
        <w:t xml:space="preserve">SUPPORTING STATEMENT  </w:t>
      </w:r>
    </w:p>
    <w:p w:rsidRPr="007659C4" w:rsidR="003C2010" w:rsidRDefault="003C2010" w14:paraId="3F042246" w14:textId="1C2821AA">
      <w:pPr>
        <w:jc w:val="center"/>
        <w:rPr>
          <w:rFonts w:ascii="Arial" w:hAnsi="Arial" w:cs="Arial"/>
          <w:b/>
        </w:rPr>
      </w:pPr>
      <w:r w:rsidRPr="007659C4">
        <w:rPr>
          <w:rFonts w:ascii="Arial" w:hAnsi="Arial" w:cs="Arial"/>
          <w:b/>
        </w:rPr>
        <w:t xml:space="preserve">VA REQUEST FOR DETERMINATION OF REASONABLE VALUE </w:t>
      </w:r>
      <w:r w:rsidR="00AD3749">
        <w:rPr>
          <w:rFonts w:ascii="Arial" w:hAnsi="Arial" w:cs="Arial"/>
          <w:b/>
        </w:rPr>
        <w:t>AND APPRAISAL MANAGEMENT PROCESS</w:t>
      </w:r>
    </w:p>
    <w:p w:rsidRPr="007659C4" w:rsidR="00856729" w:rsidRDefault="00856729" w14:paraId="1CA3A548" w14:textId="77777777">
      <w:pPr>
        <w:jc w:val="center"/>
        <w:rPr>
          <w:rFonts w:ascii="Arial" w:hAnsi="Arial" w:cs="Arial"/>
          <w:b/>
        </w:rPr>
      </w:pPr>
      <w:r w:rsidRPr="007659C4">
        <w:rPr>
          <w:rFonts w:ascii="Arial" w:hAnsi="Arial" w:cs="Arial"/>
          <w:b/>
        </w:rPr>
        <w:t xml:space="preserve">OMB </w:t>
      </w:r>
      <w:r w:rsidRPr="007659C4" w:rsidR="003C2010">
        <w:rPr>
          <w:rFonts w:ascii="Arial" w:hAnsi="Arial" w:cs="Arial"/>
          <w:b/>
        </w:rPr>
        <w:t>2900-0045</w:t>
      </w:r>
      <w:r w:rsidRPr="007659C4">
        <w:rPr>
          <w:rFonts w:ascii="Arial" w:hAnsi="Arial" w:cs="Arial"/>
          <w:b/>
        </w:rPr>
        <w:t xml:space="preserve"> </w:t>
      </w:r>
    </w:p>
    <w:p w:rsidRPr="007659C4" w:rsidR="003C2010" w:rsidRDefault="00856729" w14:paraId="4D088A6E" w14:textId="77777777">
      <w:pPr>
        <w:jc w:val="center"/>
        <w:rPr>
          <w:rFonts w:ascii="Arial" w:hAnsi="Arial" w:cs="Arial"/>
          <w:b/>
        </w:rPr>
      </w:pPr>
      <w:r w:rsidRPr="007659C4">
        <w:rPr>
          <w:rFonts w:ascii="Arial" w:hAnsi="Arial" w:cs="Arial"/>
          <w:b/>
        </w:rPr>
        <w:t>VA FORMS 26-1805, and 26-1805-1</w:t>
      </w:r>
    </w:p>
    <w:p w:rsidRPr="007659C4" w:rsidR="003C2010" w:rsidRDefault="003C2010" w14:paraId="5BB37E8B" w14:textId="77777777">
      <w:pPr>
        <w:jc w:val="center"/>
        <w:rPr>
          <w:rFonts w:ascii="Arial" w:hAnsi="Arial" w:cs="Arial"/>
        </w:rPr>
      </w:pPr>
    </w:p>
    <w:p w:rsidRPr="007659C4" w:rsidR="003C2010" w:rsidP="007524B4" w:rsidRDefault="007524B4" w14:paraId="100A7982" w14:textId="77777777">
      <w:pPr>
        <w:rPr>
          <w:rFonts w:ascii="Arial" w:hAnsi="Arial" w:cs="Arial"/>
          <w:b/>
          <w:u w:val="single"/>
        </w:rPr>
      </w:pPr>
      <w:r w:rsidRPr="007659C4">
        <w:rPr>
          <w:rFonts w:ascii="Arial" w:hAnsi="Arial" w:cs="Arial"/>
          <w:b/>
        </w:rPr>
        <w:t xml:space="preserve">     </w:t>
      </w:r>
      <w:r w:rsidRPr="007659C4" w:rsidR="003C2010">
        <w:rPr>
          <w:rFonts w:ascii="Arial" w:hAnsi="Arial" w:cs="Arial"/>
          <w:b/>
        </w:rPr>
        <w:t xml:space="preserve">A.  </w:t>
      </w:r>
      <w:r w:rsidRPr="007659C4" w:rsidR="003C2010">
        <w:rPr>
          <w:rFonts w:ascii="Arial" w:hAnsi="Arial" w:cs="Arial"/>
          <w:b/>
          <w:u w:val="single"/>
        </w:rPr>
        <w:t>JUSTIFICATION</w:t>
      </w:r>
    </w:p>
    <w:p w:rsidRPr="007659C4" w:rsidR="003C2010" w:rsidRDefault="003C2010" w14:paraId="7CE42FFD" w14:textId="77777777">
      <w:pPr>
        <w:rPr>
          <w:rFonts w:ascii="Arial" w:hAnsi="Arial" w:cs="Arial"/>
          <w:u w:val="single"/>
        </w:rPr>
      </w:pPr>
    </w:p>
    <w:p w:rsidRPr="007659C4" w:rsidR="009D62AB" w:rsidP="00AD3749" w:rsidRDefault="009D62AB" w14:paraId="5911ECDA" w14:textId="77777777">
      <w:pPr>
        <w:numPr>
          <w:ilvl w:val="0"/>
          <w:numId w:val="6"/>
        </w:numPr>
        <w:autoSpaceDE/>
        <w:autoSpaceDN/>
        <w:contextualSpacing/>
        <w:rPr>
          <w:rFonts w:ascii="Arial" w:hAnsi="Arial" w:cs="Arial"/>
          <w:b/>
        </w:rPr>
      </w:pPr>
      <w:r w:rsidRPr="007659C4">
        <w:rPr>
          <w:rFonts w:ascii="Arial" w:hAnsi="Arial" w:cs="Arial"/>
          <w:b/>
        </w:rPr>
        <w:t xml:space="preserve">Explain the circumstances that make the collection of information necessary.  Identify legal or administrative requirements that necessitate the collection of information.  </w:t>
      </w:r>
    </w:p>
    <w:p w:rsidRPr="007659C4" w:rsidR="009D62AB" w:rsidP="009D62AB" w:rsidRDefault="009D62AB" w14:paraId="1FB84F6C" w14:textId="77777777">
      <w:pPr>
        <w:autoSpaceDE/>
        <w:autoSpaceDN/>
        <w:ind w:left="720" w:right="540"/>
        <w:contextualSpacing/>
        <w:rPr>
          <w:rFonts w:ascii="Arial" w:hAnsi="Arial" w:cs="Arial"/>
          <w:b/>
        </w:rPr>
      </w:pPr>
    </w:p>
    <w:p w:rsidR="00454EC7" w:rsidP="00454EC7" w:rsidRDefault="00A92AAD" w14:paraId="0E5EC979" w14:textId="69681D58">
      <w:pPr>
        <w:spacing w:after="120"/>
        <w:ind w:left="720"/>
        <w:rPr>
          <w:rFonts w:ascii="Arial" w:hAnsi="Arial" w:cs="Arial"/>
        </w:rPr>
      </w:pPr>
      <w:r>
        <w:rPr>
          <w:rFonts w:ascii="Arial" w:hAnsi="Arial" w:cs="Arial"/>
        </w:rPr>
        <w:t xml:space="preserve">This information collection clearance package seeks to revise the OMB Control Number of 2900-0045 in order to modernize and standardize the VA LGY appraisal management process. </w:t>
      </w:r>
      <w:r w:rsidRPr="00A92AAD">
        <w:rPr>
          <w:rFonts w:ascii="Arial" w:hAnsi="Arial" w:cs="Arial"/>
        </w:rPr>
        <w:t>38 USC 373</w:t>
      </w:r>
      <w:r>
        <w:rPr>
          <w:rFonts w:ascii="Arial" w:hAnsi="Arial" w:cs="Arial"/>
        </w:rPr>
        <w:t xml:space="preserve">1 (c) </w:t>
      </w:r>
      <w:r w:rsidR="00502244">
        <w:rPr>
          <w:rFonts w:ascii="Arial" w:hAnsi="Arial" w:cs="Arial"/>
        </w:rPr>
        <w:t>authorizes</w:t>
      </w:r>
      <w:r>
        <w:rPr>
          <w:rFonts w:ascii="Arial" w:hAnsi="Arial" w:cs="Arial"/>
        </w:rPr>
        <w:t xml:space="preserve"> VA to require that lenders provide an appraisal to VA to determine the reasonable value of a property, construction, repairs, or alterations</w:t>
      </w:r>
      <w:r w:rsidR="00454EC7">
        <w:rPr>
          <w:rFonts w:ascii="Arial" w:hAnsi="Arial" w:cs="Arial"/>
        </w:rPr>
        <w:t xml:space="preserve"> to qualify for one of VA LGY’s loan </w:t>
      </w:r>
      <w:r w:rsidR="00D1252B">
        <w:rPr>
          <w:rFonts w:ascii="Arial" w:hAnsi="Arial" w:cs="Arial"/>
        </w:rPr>
        <w:t xml:space="preserve">guaranty </w:t>
      </w:r>
      <w:r w:rsidR="00454EC7">
        <w:rPr>
          <w:rFonts w:ascii="Arial" w:hAnsi="Arial" w:cs="Arial"/>
        </w:rPr>
        <w:t>programs</w:t>
      </w:r>
      <w:r>
        <w:rPr>
          <w:rFonts w:ascii="Arial" w:hAnsi="Arial" w:cs="Arial"/>
        </w:rPr>
        <w:t xml:space="preserve">. Regulations codified in </w:t>
      </w:r>
      <w:r w:rsidRPr="00A92AAD">
        <w:rPr>
          <w:rFonts w:ascii="Arial" w:hAnsi="Arial" w:cs="Arial"/>
        </w:rPr>
        <w:t>38 CFR § 36.4339</w:t>
      </w:r>
      <w:r>
        <w:rPr>
          <w:rFonts w:ascii="Arial" w:hAnsi="Arial" w:cs="Arial"/>
        </w:rPr>
        <w:t>,</w:t>
      </w:r>
      <w:r w:rsidRPr="00A92AAD">
        <w:rPr>
          <w:rFonts w:ascii="Arial" w:hAnsi="Arial" w:cs="Arial"/>
        </w:rPr>
        <w:t xml:space="preserve"> 38 CFR § 36.4519</w:t>
      </w:r>
      <w:r>
        <w:rPr>
          <w:rFonts w:ascii="Arial" w:hAnsi="Arial" w:cs="Arial"/>
        </w:rPr>
        <w:t>,</w:t>
      </w:r>
      <w:r w:rsidRPr="00A92AAD">
        <w:rPr>
          <w:rFonts w:ascii="Arial" w:hAnsi="Arial" w:cs="Arial"/>
        </w:rPr>
        <w:t xml:space="preserve"> 38 CFR § 36.4347</w:t>
      </w:r>
      <w:r>
        <w:rPr>
          <w:rFonts w:ascii="Arial" w:hAnsi="Arial" w:cs="Arial"/>
        </w:rPr>
        <w:t xml:space="preserve">, and </w:t>
      </w:r>
      <w:r w:rsidRPr="00A92AAD" w:rsidR="004C28C6">
        <w:rPr>
          <w:rFonts w:ascii="Arial" w:hAnsi="Arial" w:cs="Arial"/>
        </w:rPr>
        <w:t>38 CFR § 36.4365</w:t>
      </w:r>
      <w:r w:rsidR="004C28C6">
        <w:rPr>
          <w:rFonts w:ascii="Arial" w:hAnsi="Arial" w:cs="Arial"/>
        </w:rPr>
        <w:t xml:space="preserve"> </w:t>
      </w:r>
      <w:r>
        <w:rPr>
          <w:rFonts w:ascii="Arial" w:hAnsi="Arial" w:cs="Arial"/>
        </w:rPr>
        <w:t xml:space="preserve">detail the requirements </w:t>
      </w:r>
      <w:r w:rsidR="00646E0C">
        <w:rPr>
          <w:rFonts w:ascii="Arial" w:hAnsi="Arial" w:cs="Arial"/>
        </w:rPr>
        <w:t xml:space="preserve">for determining reasonable value of a property for each of VA LGY’s programs (loan guaranty, direct loan, </w:t>
      </w:r>
      <w:r w:rsidR="00454EC7">
        <w:rPr>
          <w:rFonts w:ascii="Arial" w:hAnsi="Arial" w:cs="Arial"/>
        </w:rPr>
        <w:t>Lender Appraisal Processing Program (LAPP), and condominium program)</w:t>
      </w:r>
      <w:r w:rsidR="004C28C6">
        <w:rPr>
          <w:rFonts w:ascii="Arial" w:hAnsi="Arial" w:cs="Arial"/>
        </w:rPr>
        <w:t>.</w:t>
      </w:r>
      <w:r w:rsidR="004C28C6">
        <w:rPr>
          <w:rStyle w:val="FootnoteReference"/>
          <w:rFonts w:ascii="Arial" w:hAnsi="Arial" w:cs="Arial"/>
        </w:rPr>
        <w:footnoteReference w:id="2"/>
      </w:r>
    </w:p>
    <w:p w:rsidR="00454EC7" w:rsidP="00454EC7" w:rsidRDefault="00454EC7" w14:paraId="1FBECEF5" w14:textId="1557CAD2">
      <w:pPr>
        <w:spacing w:after="120"/>
        <w:ind w:left="720"/>
        <w:rPr>
          <w:rFonts w:ascii="Arial" w:hAnsi="Arial" w:cs="Arial"/>
        </w:rPr>
      </w:pPr>
      <w:r>
        <w:rPr>
          <w:rFonts w:ascii="Arial" w:hAnsi="Arial" w:cs="Arial"/>
        </w:rPr>
        <w:t xml:space="preserve">Under </w:t>
      </w:r>
      <w:r w:rsidRPr="00A92AAD" w:rsidR="00674738">
        <w:rPr>
          <w:rFonts w:ascii="Arial" w:hAnsi="Arial" w:cs="Arial"/>
        </w:rPr>
        <w:t>38 CFR § 36.4347</w:t>
      </w:r>
      <w:r w:rsidR="00674738">
        <w:rPr>
          <w:rFonts w:ascii="Arial" w:hAnsi="Arial" w:cs="Arial"/>
        </w:rPr>
        <w:t xml:space="preserve"> (</w:t>
      </w:r>
      <w:r>
        <w:rPr>
          <w:rFonts w:ascii="Arial" w:hAnsi="Arial" w:cs="Arial"/>
        </w:rPr>
        <w:t>LAPP</w:t>
      </w:r>
      <w:r w:rsidR="00674738">
        <w:rPr>
          <w:rFonts w:ascii="Arial" w:hAnsi="Arial" w:cs="Arial"/>
        </w:rPr>
        <w:t xml:space="preserve"> regulations)</w:t>
      </w:r>
      <w:r>
        <w:rPr>
          <w:rFonts w:ascii="Arial" w:hAnsi="Arial" w:cs="Arial"/>
        </w:rPr>
        <w:t>, the regulations state that “…a</w:t>
      </w:r>
      <w:r w:rsidRPr="00454EC7">
        <w:rPr>
          <w:rFonts w:ascii="Arial" w:hAnsi="Arial" w:cs="Arial"/>
        </w:rPr>
        <w:t xml:space="preserve"> copy of the lender notification letter to the veteran and the appraisal report must be forwarded to the VA office of jurisdiction at the same time the veteran is notified. In addition, the original appraisal report, related appraisal documentation, and a copy of the reasonable value determination notification to the veteran must be submitted to the VA with the request for loan guaranty.”</w:t>
      </w:r>
    </w:p>
    <w:p w:rsidR="008A4889" w:rsidP="00454EC7" w:rsidRDefault="00454EC7" w14:paraId="717A8389" w14:textId="7619B0F1">
      <w:pPr>
        <w:spacing w:after="120"/>
        <w:ind w:left="720"/>
        <w:rPr>
          <w:rFonts w:ascii="Arial" w:hAnsi="Arial" w:cs="Arial"/>
        </w:rPr>
      </w:pPr>
      <w:bookmarkStart w:name="_Hlk75250550" w:id="0"/>
      <w:r>
        <w:rPr>
          <w:rFonts w:ascii="Arial" w:hAnsi="Arial" w:cs="Arial"/>
        </w:rPr>
        <w:t>VA utilizes Form 26-1805</w:t>
      </w:r>
      <w:r w:rsidR="00566143">
        <w:rPr>
          <w:rFonts w:ascii="Arial" w:hAnsi="Arial" w:cs="Arial"/>
        </w:rPr>
        <w:t xml:space="preserve"> (paper form) and </w:t>
      </w:r>
      <w:r w:rsidRPr="00566143" w:rsidR="00566143">
        <w:rPr>
          <w:rFonts w:ascii="Arial" w:hAnsi="Arial" w:cs="Arial"/>
        </w:rPr>
        <w:t>26-1805-1</w:t>
      </w:r>
      <w:r w:rsidR="00566143">
        <w:rPr>
          <w:rFonts w:ascii="Arial" w:hAnsi="Arial" w:cs="Arial"/>
        </w:rPr>
        <w:t xml:space="preserve"> (digital form)</w:t>
      </w:r>
      <w:r>
        <w:rPr>
          <w:rFonts w:ascii="Arial" w:hAnsi="Arial" w:cs="Arial"/>
        </w:rPr>
        <w:t xml:space="preserve"> </w:t>
      </w:r>
      <w:r w:rsidR="00513C05">
        <w:rPr>
          <w:rFonts w:ascii="Arial" w:hAnsi="Arial" w:cs="Arial"/>
        </w:rPr>
        <w:t>for lenders to</w:t>
      </w:r>
      <w:r w:rsidRPr="00513C05" w:rsidR="00513C05">
        <w:rPr>
          <w:rFonts w:ascii="Arial" w:hAnsi="Arial" w:cs="Arial"/>
        </w:rPr>
        <w:t xml:space="preserve"> request an appraisal and </w:t>
      </w:r>
      <w:r w:rsidR="00513C05">
        <w:rPr>
          <w:rFonts w:ascii="Arial" w:hAnsi="Arial" w:cs="Arial"/>
        </w:rPr>
        <w:t>assign an</w:t>
      </w:r>
      <w:r w:rsidRPr="00513C05" w:rsidR="00513C05">
        <w:rPr>
          <w:rFonts w:ascii="Arial" w:hAnsi="Arial" w:cs="Arial"/>
        </w:rPr>
        <w:t xml:space="preserve"> appraiser</w:t>
      </w:r>
      <w:r w:rsidR="00513C05">
        <w:rPr>
          <w:rFonts w:ascii="Arial" w:hAnsi="Arial" w:cs="Arial"/>
        </w:rPr>
        <w:t xml:space="preserve"> (i.e., “ordering” an appraisal), which </w:t>
      </w:r>
      <w:r w:rsidR="00D82C21">
        <w:rPr>
          <w:rFonts w:ascii="Arial" w:hAnsi="Arial" w:cs="Arial"/>
        </w:rPr>
        <w:t xml:space="preserve">ultimately </w:t>
      </w:r>
      <w:r w:rsidR="00513C05">
        <w:rPr>
          <w:rFonts w:ascii="Arial" w:hAnsi="Arial" w:cs="Arial"/>
        </w:rPr>
        <w:t>provides the appraiser with the authority to be on the property to conduct the appraisal</w:t>
      </w:r>
      <w:r w:rsidR="003006C1">
        <w:rPr>
          <w:rFonts w:ascii="Arial" w:hAnsi="Arial" w:cs="Arial"/>
        </w:rPr>
        <w:t xml:space="preserve"> (i.e., an engagement letter)</w:t>
      </w:r>
      <w:r w:rsidR="00513C05">
        <w:rPr>
          <w:rFonts w:ascii="Arial" w:hAnsi="Arial" w:cs="Arial"/>
        </w:rPr>
        <w:t>.</w:t>
      </w:r>
      <w:r w:rsidRPr="00513C05" w:rsidR="00513C05">
        <w:rPr>
          <w:rFonts w:ascii="Arial" w:hAnsi="Arial" w:cs="Arial"/>
        </w:rPr>
        <w:t xml:space="preserve"> </w:t>
      </w:r>
      <w:r w:rsidR="00513C05">
        <w:rPr>
          <w:rFonts w:ascii="Arial" w:hAnsi="Arial" w:cs="Arial"/>
        </w:rPr>
        <w:t>This information collection request seeks to expand th</w:t>
      </w:r>
      <w:r w:rsidR="00D82C21">
        <w:rPr>
          <w:rFonts w:ascii="Arial" w:hAnsi="Arial" w:cs="Arial"/>
        </w:rPr>
        <w:t>is</w:t>
      </w:r>
      <w:r w:rsidR="00513C05">
        <w:rPr>
          <w:rFonts w:ascii="Arial" w:hAnsi="Arial" w:cs="Arial"/>
        </w:rPr>
        <w:t xml:space="preserve"> data collection </w:t>
      </w:r>
      <w:r w:rsidR="00D82C21">
        <w:rPr>
          <w:rFonts w:ascii="Arial" w:hAnsi="Arial" w:cs="Arial"/>
        </w:rPr>
        <w:t>clearance</w:t>
      </w:r>
      <w:r w:rsidR="00513C05">
        <w:rPr>
          <w:rFonts w:ascii="Arial" w:hAnsi="Arial" w:cs="Arial"/>
        </w:rPr>
        <w:t xml:space="preserve"> to encompass a modernized, end-to-end appraisal management process. Under this </w:t>
      </w:r>
      <w:r w:rsidR="00D82C21">
        <w:rPr>
          <w:rFonts w:ascii="Arial" w:hAnsi="Arial" w:cs="Arial"/>
        </w:rPr>
        <w:t xml:space="preserve">revised </w:t>
      </w:r>
      <w:r w:rsidR="00513C05">
        <w:rPr>
          <w:rFonts w:ascii="Arial" w:hAnsi="Arial" w:cs="Arial"/>
        </w:rPr>
        <w:t xml:space="preserve">ICR, VA will not only capture information from lenders around when an appraisal has been ordered (current </w:t>
      </w:r>
      <w:r w:rsidRPr="007659C4" w:rsidR="003C2010">
        <w:rPr>
          <w:rFonts w:ascii="Arial" w:hAnsi="Arial" w:cs="Arial"/>
        </w:rPr>
        <w:t>VA Form 26-1805</w:t>
      </w:r>
      <w:r w:rsidR="00513C05">
        <w:rPr>
          <w:rFonts w:ascii="Arial" w:hAnsi="Arial" w:cs="Arial"/>
        </w:rPr>
        <w:t xml:space="preserve">), but will also capture </w:t>
      </w:r>
      <w:r w:rsidR="00F322DC">
        <w:rPr>
          <w:rFonts w:ascii="Arial" w:hAnsi="Arial" w:cs="Arial"/>
        </w:rPr>
        <w:t xml:space="preserve">information </w:t>
      </w:r>
      <w:r w:rsidR="00513C05">
        <w:rPr>
          <w:rFonts w:ascii="Arial" w:hAnsi="Arial" w:cs="Arial"/>
        </w:rPr>
        <w:t>and workflow associated with the assignment</w:t>
      </w:r>
      <w:r w:rsidR="00F5689E">
        <w:rPr>
          <w:rFonts w:ascii="Arial" w:hAnsi="Arial" w:cs="Arial"/>
        </w:rPr>
        <w:t>,</w:t>
      </w:r>
      <w:r w:rsidR="00D82C21">
        <w:rPr>
          <w:rFonts w:ascii="Arial" w:hAnsi="Arial" w:cs="Arial"/>
        </w:rPr>
        <w:t xml:space="preserve"> </w:t>
      </w:r>
      <w:r w:rsidR="00513C05">
        <w:rPr>
          <w:rFonts w:ascii="Arial" w:hAnsi="Arial" w:cs="Arial"/>
        </w:rPr>
        <w:t>scheduling</w:t>
      </w:r>
      <w:r w:rsidR="00F5689E">
        <w:rPr>
          <w:rFonts w:ascii="Arial" w:hAnsi="Arial" w:cs="Arial"/>
        </w:rPr>
        <w:t>, and review</w:t>
      </w:r>
      <w:r w:rsidR="00D82C21">
        <w:rPr>
          <w:rFonts w:ascii="Arial" w:hAnsi="Arial" w:cs="Arial"/>
        </w:rPr>
        <w:t xml:space="preserve"> of an appraisal</w:t>
      </w:r>
      <w:r w:rsidR="00F5689E">
        <w:rPr>
          <w:rFonts w:ascii="Arial" w:hAnsi="Arial" w:cs="Arial"/>
        </w:rPr>
        <w:t xml:space="preserve"> by VA or a lender</w:t>
      </w:r>
      <w:r w:rsidR="00D82C21">
        <w:rPr>
          <w:rFonts w:ascii="Arial" w:hAnsi="Arial" w:cs="Arial"/>
        </w:rPr>
        <w:t>.</w:t>
      </w:r>
      <w:r w:rsidR="001A5A6F">
        <w:rPr>
          <w:rFonts w:ascii="Arial" w:hAnsi="Arial" w:cs="Arial"/>
        </w:rPr>
        <w:t xml:space="preserve"> </w:t>
      </w:r>
      <w:r w:rsidRPr="00F5689E" w:rsidR="001A5A6F">
        <w:rPr>
          <w:rFonts w:ascii="Arial" w:hAnsi="Arial" w:cs="Arial"/>
        </w:rPr>
        <w:t>This</w:t>
      </w:r>
      <w:r w:rsidR="00FA3243">
        <w:rPr>
          <w:rFonts w:ascii="Arial" w:hAnsi="Arial" w:cs="Arial"/>
        </w:rPr>
        <w:t xml:space="preserve"> </w:t>
      </w:r>
      <w:r w:rsidR="00FF4262">
        <w:rPr>
          <w:rFonts w:ascii="Arial" w:hAnsi="Arial" w:cs="Arial"/>
        </w:rPr>
        <w:t xml:space="preserve">new </w:t>
      </w:r>
      <w:r w:rsidR="00FA3243">
        <w:rPr>
          <w:rFonts w:ascii="Arial" w:hAnsi="Arial" w:cs="Arial"/>
        </w:rPr>
        <w:t xml:space="preserve">process </w:t>
      </w:r>
      <w:r w:rsidR="00FF4262">
        <w:rPr>
          <w:rFonts w:ascii="Arial" w:hAnsi="Arial" w:cs="Arial"/>
        </w:rPr>
        <w:t>will be</w:t>
      </w:r>
      <w:r w:rsidR="00FA3243">
        <w:rPr>
          <w:rFonts w:ascii="Arial" w:hAnsi="Arial" w:cs="Arial"/>
        </w:rPr>
        <w:t xml:space="preserve"> consistent with the rest of the mortgage industry, and will align LGY’s appraisal</w:t>
      </w:r>
      <w:r w:rsidRPr="00F5689E" w:rsidR="001A5A6F">
        <w:rPr>
          <w:rFonts w:ascii="Arial" w:hAnsi="Arial" w:cs="Arial"/>
        </w:rPr>
        <w:t xml:space="preserve"> process </w:t>
      </w:r>
      <w:r w:rsidR="00FA3243">
        <w:rPr>
          <w:rFonts w:ascii="Arial" w:hAnsi="Arial" w:cs="Arial"/>
        </w:rPr>
        <w:t xml:space="preserve">with the industry standard. </w:t>
      </w:r>
    </w:p>
    <w:bookmarkEnd w:id="0"/>
    <w:p w:rsidR="001C7164" w:rsidRDefault="00D82C21" w14:paraId="327E64E6" w14:textId="43430E41">
      <w:pPr>
        <w:spacing w:after="120"/>
        <w:ind w:left="720"/>
        <w:rPr>
          <w:rFonts w:ascii="Arial" w:hAnsi="Arial" w:cs="Arial"/>
        </w:rPr>
      </w:pPr>
      <w:r>
        <w:rPr>
          <w:rFonts w:ascii="Arial" w:hAnsi="Arial" w:cs="Arial"/>
        </w:rPr>
        <w:t xml:space="preserve">This revised ICR also seeks to </w:t>
      </w:r>
      <w:r w:rsidR="00E72329">
        <w:rPr>
          <w:rFonts w:ascii="Arial" w:hAnsi="Arial" w:cs="Arial"/>
        </w:rPr>
        <w:t>modify and fully digitize</w:t>
      </w:r>
      <w:r>
        <w:rPr>
          <w:rFonts w:ascii="Arial" w:hAnsi="Arial" w:cs="Arial"/>
        </w:rPr>
        <w:t xml:space="preserve"> the Form 26-1805</w:t>
      </w:r>
      <w:r w:rsidR="003F4A3B">
        <w:rPr>
          <w:rFonts w:ascii="Arial" w:hAnsi="Arial" w:cs="Arial"/>
        </w:rPr>
        <w:t xml:space="preserve"> to improve usability of the digital form</w:t>
      </w:r>
      <w:r w:rsidR="002D6037">
        <w:rPr>
          <w:rFonts w:ascii="Arial" w:hAnsi="Arial" w:cs="Arial"/>
        </w:rPr>
        <w:t xml:space="preserve">. The current Form 26-1805 contains many fields that are no longer relevant in the appraisal process, which adds additional burden on the appraisal requestor, the appraiser and LGY.  </w:t>
      </w:r>
      <w:r w:rsidR="002D6037">
        <w:rPr>
          <w:rFonts w:ascii="Arial" w:hAnsi="Arial" w:cs="Arial"/>
        </w:rPr>
        <w:lastRenderedPageBreak/>
        <w:t>A streamlined Form 26-1805 will reduce this burden, increase data accuracy and improve the timeliness of the appraisal request process.  Updates to Form 26-1805 include elimination of fields that are no longer relevant and captur</w:t>
      </w:r>
      <w:r w:rsidR="001C7164">
        <w:rPr>
          <w:rFonts w:ascii="Arial" w:hAnsi="Arial" w:cs="Arial"/>
        </w:rPr>
        <w:t>ing</w:t>
      </w:r>
      <w:r w:rsidR="002D6037">
        <w:rPr>
          <w:rFonts w:ascii="Arial" w:hAnsi="Arial" w:cs="Arial"/>
        </w:rPr>
        <w:t xml:space="preserve"> additional information that will provide for a more efficient appraisal ordering process. </w:t>
      </w:r>
      <w:r w:rsidR="001C583A">
        <w:rPr>
          <w:rFonts w:ascii="Arial" w:hAnsi="Arial" w:cs="Arial"/>
        </w:rPr>
        <w:t>This ICR also seeks to revise the Form 26-1805 to include additional data fields that will identify a point of contact for Tidewater.</w:t>
      </w:r>
    </w:p>
    <w:p w:rsidRPr="00454EC7" w:rsidR="008A4889" w:rsidRDefault="008A4889" w14:paraId="5A6180C9" w14:textId="5F4B2309">
      <w:pPr>
        <w:spacing w:after="120"/>
        <w:ind w:left="720"/>
        <w:rPr>
          <w:rFonts w:ascii="Arial" w:hAnsi="Arial" w:cs="Arial"/>
        </w:rPr>
      </w:pPr>
      <w:r>
        <w:rPr>
          <w:rFonts w:ascii="Arial" w:hAnsi="Arial" w:cs="Arial"/>
        </w:rPr>
        <w:t xml:space="preserve">This revised, expanded ICR will </w:t>
      </w:r>
      <w:r w:rsidR="0025615C">
        <w:rPr>
          <w:rFonts w:ascii="Arial" w:hAnsi="Arial" w:cs="Arial"/>
        </w:rPr>
        <w:t xml:space="preserve">also </w:t>
      </w:r>
      <w:r>
        <w:rPr>
          <w:rFonts w:ascii="Arial" w:hAnsi="Arial" w:cs="Arial"/>
        </w:rPr>
        <w:t xml:space="preserve">standardize communications </w:t>
      </w:r>
      <w:r w:rsidR="00F5689E">
        <w:rPr>
          <w:rFonts w:ascii="Arial" w:hAnsi="Arial" w:cs="Arial"/>
        </w:rPr>
        <w:t xml:space="preserve">and lender reviews </w:t>
      </w:r>
      <w:r>
        <w:rPr>
          <w:rFonts w:ascii="Arial" w:hAnsi="Arial" w:cs="Arial"/>
        </w:rPr>
        <w:t xml:space="preserve">around the LGY appraisal process, which will reduce the burden for lenders and appraisers that participate in LGY programs. Today, appraisal-related communications </w:t>
      </w:r>
      <w:r w:rsidR="00FF4262">
        <w:rPr>
          <w:rFonts w:ascii="Arial" w:hAnsi="Arial" w:cs="Arial"/>
        </w:rPr>
        <w:t>do not occur in a standardized format</w:t>
      </w:r>
      <w:r w:rsidR="009A5DDD">
        <w:rPr>
          <w:rFonts w:ascii="Arial" w:hAnsi="Arial" w:cs="Arial"/>
        </w:rPr>
        <w:t>.</w:t>
      </w:r>
      <w:r w:rsidR="00FF4262">
        <w:rPr>
          <w:rFonts w:ascii="Arial" w:hAnsi="Arial" w:cs="Arial"/>
        </w:rPr>
        <w:t xml:space="preserve"> </w:t>
      </w:r>
      <w:r>
        <w:rPr>
          <w:rFonts w:ascii="Arial" w:hAnsi="Arial" w:cs="Arial"/>
        </w:rPr>
        <w:t xml:space="preserve">This revised ICR will not only </w:t>
      </w:r>
      <w:r w:rsidR="00FF4262">
        <w:rPr>
          <w:rFonts w:ascii="Arial" w:hAnsi="Arial" w:cs="Arial"/>
        </w:rPr>
        <w:t>standardize</w:t>
      </w:r>
      <w:r>
        <w:rPr>
          <w:rFonts w:ascii="Arial" w:hAnsi="Arial" w:cs="Arial"/>
        </w:rPr>
        <w:t xml:space="preserve"> these communications directly within the </w:t>
      </w:r>
      <w:proofErr w:type="gramStart"/>
      <w:r>
        <w:rPr>
          <w:rFonts w:ascii="Arial" w:hAnsi="Arial" w:cs="Arial"/>
        </w:rPr>
        <w:t>system, but</w:t>
      </w:r>
      <w:proofErr w:type="gramEnd"/>
      <w:r>
        <w:rPr>
          <w:rFonts w:ascii="Arial" w:hAnsi="Arial" w:cs="Arial"/>
        </w:rPr>
        <w:t xml:space="preserve"> will support development of LGY appraisal reporting and dashboards</w:t>
      </w:r>
      <w:r w:rsidR="003F4A3B">
        <w:rPr>
          <w:rFonts w:ascii="Arial" w:hAnsi="Arial" w:cs="Arial"/>
        </w:rPr>
        <w:t xml:space="preserve"> to improve lender and appraiser operations. </w:t>
      </w:r>
    </w:p>
    <w:p w:rsidRPr="007659C4" w:rsidR="003C2010" w:rsidP="00F5689E" w:rsidRDefault="003C2010" w14:paraId="2D09ACF3" w14:textId="77777777">
      <w:pPr>
        <w:ind w:left="720"/>
        <w:rPr>
          <w:rFonts w:ascii="Arial" w:hAnsi="Arial" w:cs="Arial"/>
        </w:rPr>
      </w:pPr>
    </w:p>
    <w:p w:rsidRPr="007659C4" w:rsidR="009D62AB" w:rsidRDefault="009D62AB" w14:paraId="673CAFC8" w14:textId="6B3D8168">
      <w:pPr>
        <w:numPr>
          <w:ilvl w:val="0"/>
          <w:numId w:val="6"/>
        </w:numPr>
        <w:autoSpaceDE/>
        <w:autoSpaceDN/>
        <w:contextualSpacing/>
        <w:rPr>
          <w:rFonts w:ascii="Arial" w:hAnsi="Arial" w:cs="Arial"/>
          <w:b/>
        </w:rPr>
      </w:pPr>
      <w:r w:rsidRPr="007659C4">
        <w:rPr>
          <w:rFonts w:ascii="Arial" w:hAnsi="Arial" w:cs="Arial"/>
          <w:b/>
        </w:rPr>
        <w:t>Indicate how, by whom, and for what purposes the information is to be used; indicate actual use the agency has made of the information received from current collection.</w:t>
      </w:r>
    </w:p>
    <w:p w:rsidRPr="007659C4" w:rsidR="009D62AB" w:rsidP="00F5689E" w:rsidRDefault="009D62AB" w14:paraId="1E306CC4" w14:textId="77777777">
      <w:pPr>
        <w:ind w:left="720"/>
        <w:rPr>
          <w:rFonts w:ascii="Arial" w:hAnsi="Arial" w:cs="Arial"/>
        </w:rPr>
      </w:pPr>
    </w:p>
    <w:p w:rsidR="003E52D8" w:rsidRDefault="003E52D8" w14:paraId="7E99E4F6" w14:textId="596C589E">
      <w:pPr>
        <w:spacing w:after="120"/>
        <w:ind w:left="720"/>
        <w:rPr>
          <w:rFonts w:ascii="Arial" w:hAnsi="Arial" w:cs="Arial"/>
        </w:rPr>
      </w:pPr>
      <w:r>
        <w:rPr>
          <w:rFonts w:ascii="Arial" w:hAnsi="Arial" w:cs="Arial"/>
        </w:rPr>
        <w:t xml:space="preserve">LGY requires lenders to collect, review, and certify the appraised value of a property in order to comply with statutory and regulatory requirements for determining eligibility and reasonable value of a property for LGY loan programs. </w:t>
      </w:r>
      <w:r w:rsidR="00674738">
        <w:rPr>
          <w:rFonts w:ascii="Arial" w:hAnsi="Arial" w:cs="Arial"/>
        </w:rPr>
        <w:t xml:space="preserve">This section outlines the specific data collections from lender and appraiser respondents. </w:t>
      </w:r>
    </w:p>
    <w:p w:rsidR="003E52D8" w:rsidP="00F5689E" w:rsidRDefault="003E52D8" w14:paraId="5E9274C4" w14:textId="1926F8A2">
      <w:pPr>
        <w:ind w:left="720" w:firstLine="720"/>
        <w:rPr>
          <w:rFonts w:ascii="Arial" w:hAnsi="Arial" w:cs="Arial"/>
        </w:rPr>
      </w:pPr>
      <w:r w:rsidRPr="003E52D8">
        <w:rPr>
          <w:rFonts w:ascii="Arial" w:hAnsi="Arial" w:cs="Arial"/>
        </w:rPr>
        <w:t>The specific items of this information collection are as follows:</w:t>
      </w:r>
    </w:p>
    <w:p w:rsidR="003E52D8" w:rsidP="00F5689E" w:rsidRDefault="003E52D8" w14:paraId="071D1242" w14:textId="37FFE70A">
      <w:pPr>
        <w:ind w:left="720" w:firstLine="720"/>
        <w:rPr>
          <w:rFonts w:ascii="Arial" w:hAnsi="Arial" w:cs="Arial"/>
        </w:rPr>
      </w:pPr>
    </w:p>
    <w:p w:rsidR="00FF4262" w:rsidP="00FF4262" w:rsidRDefault="00094BA8" w14:paraId="7F0384DE" w14:textId="20772274">
      <w:pPr>
        <w:pStyle w:val="ListParagraph"/>
        <w:numPr>
          <w:ilvl w:val="0"/>
          <w:numId w:val="9"/>
        </w:numPr>
        <w:spacing w:after="120"/>
        <w:ind w:left="1080"/>
        <w:contextualSpacing w:val="0"/>
        <w:rPr>
          <w:rFonts w:ascii="Arial" w:hAnsi="Arial" w:cs="Arial"/>
        </w:rPr>
      </w:pPr>
      <w:r w:rsidRPr="00AD3749">
        <w:rPr>
          <w:rFonts w:ascii="Arial" w:hAnsi="Arial" w:cs="Arial"/>
          <w:b/>
          <w:bCs/>
        </w:rPr>
        <w:t xml:space="preserve">Initial </w:t>
      </w:r>
      <w:r w:rsidRPr="00AD3749" w:rsidR="003E52D8">
        <w:rPr>
          <w:rFonts w:ascii="Arial" w:hAnsi="Arial" w:cs="Arial"/>
          <w:b/>
          <w:bCs/>
        </w:rPr>
        <w:t>Appraisal Ordering (Form 26-1805)</w:t>
      </w:r>
      <w:r w:rsidR="00130749">
        <w:rPr>
          <w:rFonts w:ascii="Arial" w:hAnsi="Arial" w:cs="Arial"/>
          <w:b/>
          <w:bCs/>
        </w:rPr>
        <w:t xml:space="preserve">: </w:t>
      </w:r>
      <w:r w:rsidR="00674738">
        <w:rPr>
          <w:rFonts w:ascii="Arial" w:hAnsi="Arial" w:cs="Arial"/>
        </w:rPr>
        <w:t xml:space="preserve">The respondent in this process step is a lender. </w:t>
      </w:r>
      <w:r>
        <w:rPr>
          <w:rFonts w:ascii="Arial" w:hAnsi="Arial" w:cs="Arial"/>
        </w:rPr>
        <w:t xml:space="preserve">Lenders utilize Form 26-1805 to “order” an appraisal. As part of this process, a lender will request an appraisal for a particular property. In this revised ICR, the Form 26-1805 includes more prescriptive data fields </w:t>
      </w:r>
      <w:r w:rsidR="00757FFB">
        <w:rPr>
          <w:rFonts w:ascii="Arial" w:hAnsi="Arial" w:cs="Arial"/>
        </w:rPr>
        <w:t>that will increase data accuracy and capture necessary information to complete the appraisal request process more efficiently</w:t>
      </w:r>
      <w:r>
        <w:rPr>
          <w:rFonts w:ascii="Arial" w:hAnsi="Arial" w:cs="Arial"/>
        </w:rPr>
        <w:t xml:space="preserve">. </w:t>
      </w:r>
      <w:r w:rsidR="00757FFB">
        <w:rPr>
          <w:rFonts w:ascii="Arial" w:hAnsi="Arial" w:cs="Arial"/>
        </w:rPr>
        <w:t xml:space="preserve">The addition of relevant points of contact in the appraisal process will further improve </w:t>
      </w:r>
      <w:r w:rsidR="008C214C">
        <w:rPr>
          <w:rFonts w:ascii="Arial" w:hAnsi="Arial" w:cs="Arial"/>
        </w:rPr>
        <w:t xml:space="preserve">communications between the lender, </w:t>
      </w:r>
      <w:proofErr w:type="gramStart"/>
      <w:r w:rsidR="008C214C">
        <w:rPr>
          <w:rFonts w:ascii="Arial" w:hAnsi="Arial" w:cs="Arial"/>
        </w:rPr>
        <w:t>appraiser</w:t>
      </w:r>
      <w:proofErr w:type="gramEnd"/>
      <w:r w:rsidR="008C214C">
        <w:rPr>
          <w:rFonts w:ascii="Arial" w:hAnsi="Arial" w:cs="Arial"/>
        </w:rPr>
        <w:t xml:space="preserve"> and </w:t>
      </w:r>
      <w:r w:rsidR="009A5DDD">
        <w:rPr>
          <w:rFonts w:ascii="Arial" w:hAnsi="Arial" w:cs="Arial"/>
        </w:rPr>
        <w:t>VA</w:t>
      </w:r>
      <w:r w:rsidR="008C214C">
        <w:rPr>
          <w:rFonts w:ascii="Arial" w:hAnsi="Arial" w:cs="Arial"/>
        </w:rPr>
        <w:t xml:space="preserve">. </w:t>
      </w:r>
    </w:p>
    <w:p w:rsidR="00224AF0" w:rsidP="00FF4262" w:rsidRDefault="00B7231B" w14:paraId="5B2F21D2" w14:textId="77777777">
      <w:pPr>
        <w:pStyle w:val="ListParagraph"/>
        <w:numPr>
          <w:ilvl w:val="0"/>
          <w:numId w:val="9"/>
        </w:numPr>
        <w:spacing w:after="120"/>
        <w:ind w:left="1080"/>
        <w:contextualSpacing w:val="0"/>
        <w:rPr>
          <w:rFonts w:ascii="Arial" w:hAnsi="Arial" w:cs="Arial"/>
        </w:rPr>
      </w:pPr>
      <w:r w:rsidRPr="00FF4262">
        <w:rPr>
          <w:rFonts w:ascii="Arial" w:hAnsi="Arial" w:cs="Arial"/>
          <w:b/>
          <w:bCs/>
        </w:rPr>
        <w:t>Appraisal Ordering Acknowledgement</w:t>
      </w:r>
      <w:r w:rsidRPr="00FF4262" w:rsidR="00FE71BD">
        <w:rPr>
          <w:rFonts w:ascii="Arial" w:hAnsi="Arial" w:cs="Arial"/>
          <w:b/>
          <w:bCs/>
        </w:rPr>
        <w:t>:</w:t>
      </w:r>
      <w:r w:rsidRPr="00FF4262">
        <w:rPr>
          <w:rFonts w:ascii="Arial" w:hAnsi="Arial" w:cs="Arial"/>
        </w:rPr>
        <w:t xml:space="preserve"> </w:t>
      </w:r>
      <w:r w:rsidR="00674738">
        <w:rPr>
          <w:rFonts w:ascii="Arial" w:hAnsi="Arial" w:cs="Arial"/>
        </w:rPr>
        <w:t xml:space="preserve">The respondent in this process step is the appraiser. </w:t>
      </w:r>
      <w:r w:rsidRPr="00FF4262">
        <w:rPr>
          <w:rFonts w:ascii="Arial" w:hAnsi="Arial" w:cs="Arial"/>
        </w:rPr>
        <w:t>This revised ICR will enable the appraiser to receive an email notification when an appraisal has been requested, an</w:t>
      </w:r>
      <w:r w:rsidRPr="00FF4262" w:rsidR="00F15C38">
        <w:rPr>
          <w:rFonts w:ascii="Arial" w:hAnsi="Arial" w:cs="Arial"/>
        </w:rPr>
        <w:t>d</w:t>
      </w:r>
      <w:r w:rsidRPr="00FF4262">
        <w:rPr>
          <w:rFonts w:ascii="Arial" w:hAnsi="Arial" w:cs="Arial"/>
        </w:rPr>
        <w:t xml:space="preserve"> allow the appraiser to either accept or request reassignment of the appraisal. </w:t>
      </w:r>
    </w:p>
    <w:p w:rsidRPr="00FF4262" w:rsidR="00B7231B" w:rsidP="00FF4262" w:rsidRDefault="00224AF0" w14:paraId="6BAAD63A" w14:textId="2BFC0121">
      <w:pPr>
        <w:pStyle w:val="ListParagraph"/>
        <w:numPr>
          <w:ilvl w:val="0"/>
          <w:numId w:val="9"/>
        </w:numPr>
        <w:spacing w:after="120"/>
        <w:ind w:left="1080"/>
        <w:contextualSpacing w:val="0"/>
        <w:rPr>
          <w:rFonts w:ascii="Arial" w:hAnsi="Arial" w:cs="Arial"/>
        </w:rPr>
      </w:pPr>
      <w:r>
        <w:rPr>
          <w:rFonts w:ascii="Arial" w:hAnsi="Arial" w:cs="Arial"/>
          <w:b/>
          <w:bCs/>
        </w:rPr>
        <w:t>Appraisal Reassignment:</w:t>
      </w:r>
      <w:r>
        <w:rPr>
          <w:rFonts w:ascii="Arial" w:hAnsi="Arial" w:cs="Arial"/>
        </w:rPr>
        <w:t xml:space="preserve"> The respondent in this process step is the appraiser. In a small percentage of cases, the </w:t>
      </w:r>
      <w:r w:rsidRPr="00FF4262" w:rsidR="00B7231B">
        <w:rPr>
          <w:rFonts w:ascii="Arial" w:hAnsi="Arial" w:cs="Arial"/>
        </w:rPr>
        <w:t xml:space="preserve">appraiser </w:t>
      </w:r>
      <w:r>
        <w:rPr>
          <w:rFonts w:ascii="Arial" w:hAnsi="Arial" w:cs="Arial"/>
        </w:rPr>
        <w:t xml:space="preserve">may submit a </w:t>
      </w:r>
      <w:r w:rsidRPr="00FF4262" w:rsidR="00B7231B">
        <w:rPr>
          <w:rFonts w:ascii="Arial" w:hAnsi="Arial" w:cs="Arial"/>
        </w:rPr>
        <w:t>request to</w:t>
      </w:r>
      <w:r>
        <w:rPr>
          <w:rFonts w:ascii="Arial" w:hAnsi="Arial" w:cs="Arial"/>
        </w:rPr>
        <w:t xml:space="preserve"> LGY staff to</w:t>
      </w:r>
      <w:r w:rsidRPr="00FF4262" w:rsidR="00B7231B">
        <w:rPr>
          <w:rFonts w:ascii="Arial" w:hAnsi="Arial" w:cs="Arial"/>
        </w:rPr>
        <w:t xml:space="preserve"> reassign the appraisal to another appraiser</w:t>
      </w:r>
      <w:r>
        <w:rPr>
          <w:rFonts w:ascii="Arial" w:hAnsi="Arial" w:cs="Arial"/>
        </w:rPr>
        <w:t>.</w:t>
      </w:r>
      <w:r w:rsidRPr="00FF4262" w:rsidR="00B7231B">
        <w:rPr>
          <w:rFonts w:ascii="Arial" w:hAnsi="Arial" w:cs="Arial"/>
        </w:rPr>
        <w:t xml:space="preserve"> This process previously </w:t>
      </w:r>
      <w:r w:rsidRPr="00FF4262" w:rsidR="00FE71BD">
        <w:rPr>
          <w:rFonts w:ascii="Arial" w:hAnsi="Arial" w:cs="Arial"/>
        </w:rPr>
        <w:t xml:space="preserve">did not occur in a standardized format. </w:t>
      </w:r>
    </w:p>
    <w:p w:rsidR="00F5689E" w:rsidP="00F5689E" w:rsidRDefault="00B7231B" w14:paraId="32EF3760" w14:textId="602E399A">
      <w:pPr>
        <w:pStyle w:val="ListParagraph"/>
        <w:numPr>
          <w:ilvl w:val="0"/>
          <w:numId w:val="9"/>
        </w:numPr>
        <w:spacing w:after="120"/>
        <w:ind w:left="1080"/>
        <w:contextualSpacing w:val="0"/>
        <w:rPr>
          <w:rFonts w:ascii="Arial" w:hAnsi="Arial" w:cs="Arial"/>
        </w:rPr>
      </w:pPr>
      <w:r w:rsidRPr="00AD3749">
        <w:rPr>
          <w:rFonts w:ascii="Arial" w:hAnsi="Arial" w:cs="Arial"/>
          <w:b/>
          <w:bCs/>
        </w:rPr>
        <w:t>Appraisal Scheduling</w:t>
      </w:r>
      <w:r>
        <w:rPr>
          <w:rFonts w:ascii="Arial" w:hAnsi="Arial" w:cs="Arial"/>
        </w:rPr>
        <w:t xml:space="preserve">: </w:t>
      </w:r>
      <w:r w:rsidR="00674738">
        <w:rPr>
          <w:rFonts w:ascii="Arial" w:hAnsi="Arial" w:cs="Arial"/>
        </w:rPr>
        <w:t xml:space="preserve">The respondent in this process step is the appraiser. </w:t>
      </w:r>
      <w:r>
        <w:rPr>
          <w:rFonts w:ascii="Arial" w:hAnsi="Arial" w:cs="Arial"/>
        </w:rPr>
        <w:t xml:space="preserve">This revised ICR will enable the appraiser to inform LGY that he/she has scheduled the appraisal by providing the date that the appraisal has been scheduled directly within the system. The appraiser will also validate within the system that the appraisal </w:t>
      </w:r>
      <w:r w:rsidR="00072B0E">
        <w:rPr>
          <w:rFonts w:ascii="Arial" w:hAnsi="Arial" w:cs="Arial"/>
        </w:rPr>
        <w:t xml:space="preserve">site visit </w:t>
      </w:r>
      <w:r>
        <w:rPr>
          <w:rFonts w:ascii="Arial" w:hAnsi="Arial" w:cs="Arial"/>
        </w:rPr>
        <w:t xml:space="preserve">has been </w:t>
      </w:r>
      <w:r>
        <w:rPr>
          <w:rFonts w:ascii="Arial" w:hAnsi="Arial" w:cs="Arial"/>
        </w:rPr>
        <w:lastRenderedPageBreak/>
        <w:t xml:space="preserve">completed, or will indicate in the system that the appraisal needed to be rescheduled. </w:t>
      </w:r>
      <w:r w:rsidR="00FE71BD">
        <w:rPr>
          <w:rFonts w:ascii="Arial" w:hAnsi="Arial" w:cs="Arial"/>
        </w:rPr>
        <w:t>This process previously did not occur in a standardized format.</w:t>
      </w:r>
    </w:p>
    <w:p w:rsidR="00315F49" w:rsidP="00F5689E" w:rsidRDefault="00603249" w14:paraId="6864AEAD" w14:textId="0D24A892">
      <w:pPr>
        <w:pStyle w:val="ListParagraph"/>
        <w:numPr>
          <w:ilvl w:val="0"/>
          <w:numId w:val="9"/>
        </w:numPr>
        <w:spacing w:after="120"/>
        <w:ind w:left="1080"/>
        <w:contextualSpacing w:val="0"/>
        <w:rPr>
          <w:rFonts w:ascii="Arial" w:hAnsi="Arial" w:cs="Arial"/>
        </w:rPr>
      </w:pPr>
      <w:r>
        <w:rPr>
          <w:rFonts w:ascii="Arial" w:hAnsi="Arial" w:cs="Arial"/>
          <w:b/>
          <w:bCs/>
        </w:rPr>
        <w:t>Upload</w:t>
      </w:r>
      <w:r w:rsidR="00315F49">
        <w:rPr>
          <w:rFonts w:ascii="Arial" w:hAnsi="Arial" w:cs="Arial"/>
          <w:b/>
          <w:bCs/>
        </w:rPr>
        <w:t xml:space="preserve"> Appraisal</w:t>
      </w:r>
      <w:r w:rsidRPr="00E02C77" w:rsidR="00315F49">
        <w:rPr>
          <w:rFonts w:ascii="Arial" w:hAnsi="Arial" w:cs="Arial"/>
        </w:rPr>
        <w:t>:</w:t>
      </w:r>
      <w:r w:rsidR="00315F49">
        <w:rPr>
          <w:rFonts w:ascii="Arial" w:hAnsi="Arial" w:cs="Arial"/>
        </w:rPr>
        <w:t xml:space="preserve"> The respondent in this process step is the appraiser. The appraiser will send LGY information about the </w:t>
      </w:r>
      <w:r w:rsidR="00007AAC">
        <w:rPr>
          <w:rFonts w:ascii="Arial" w:hAnsi="Arial" w:cs="Arial"/>
        </w:rPr>
        <w:t xml:space="preserve">condition of the </w:t>
      </w:r>
      <w:r w:rsidR="00315F49">
        <w:rPr>
          <w:rFonts w:ascii="Arial" w:hAnsi="Arial" w:cs="Arial"/>
        </w:rPr>
        <w:t xml:space="preserve">property and other market research to determine his/her assessment of the value of the property. </w:t>
      </w:r>
    </w:p>
    <w:p w:rsidRPr="00F5689E" w:rsidR="00F5689E" w:rsidP="00F5689E" w:rsidRDefault="00F5689E" w14:paraId="5100B3C2" w14:textId="36CAF7BE">
      <w:pPr>
        <w:pStyle w:val="ListParagraph"/>
        <w:numPr>
          <w:ilvl w:val="0"/>
          <w:numId w:val="9"/>
        </w:numPr>
        <w:spacing w:after="120"/>
        <w:ind w:left="1080"/>
        <w:contextualSpacing w:val="0"/>
        <w:rPr>
          <w:rFonts w:ascii="Arial" w:hAnsi="Arial" w:cs="Arial"/>
        </w:rPr>
      </w:pPr>
      <w:r>
        <w:rPr>
          <w:rFonts w:ascii="Arial" w:hAnsi="Arial" w:cs="Arial"/>
          <w:b/>
          <w:bCs/>
        </w:rPr>
        <w:t xml:space="preserve">Appraisal Review Checklist: </w:t>
      </w:r>
      <w:r w:rsidR="00674738">
        <w:rPr>
          <w:rFonts w:ascii="Arial" w:hAnsi="Arial" w:cs="Arial"/>
        </w:rPr>
        <w:t xml:space="preserve">The respondent in this process step is the lender. </w:t>
      </w:r>
      <w:r>
        <w:rPr>
          <w:rFonts w:ascii="Arial" w:hAnsi="Arial" w:cs="Arial"/>
        </w:rPr>
        <w:t>The lender will review the appraisal</w:t>
      </w:r>
      <w:r w:rsidR="0090077A">
        <w:rPr>
          <w:rFonts w:ascii="Arial" w:hAnsi="Arial" w:cs="Arial"/>
        </w:rPr>
        <w:t xml:space="preserve"> and compare against a defined list of eligibility criteria within VA LGY systems</w:t>
      </w:r>
      <w:r w:rsidR="00674738">
        <w:rPr>
          <w:rFonts w:ascii="Arial" w:hAnsi="Arial" w:cs="Arial"/>
        </w:rPr>
        <w:t xml:space="preserve"> and provide LGY with a certification that all criteria were met</w:t>
      </w:r>
      <w:r w:rsidR="0090077A">
        <w:rPr>
          <w:rFonts w:ascii="Arial" w:hAnsi="Arial" w:cs="Arial"/>
        </w:rPr>
        <w:t xml:space="preserve">. </w:t>
      </w:r>
      <w:r w:rsidR="00FE71BD">
        <w:rPr>
          <w:rFonts w:ascii="Arial" w:hAnsi="Arial" w:cs="Arial"/>
        </w:rPr>
        <w:t>This process previously did not occur in a standardized format.</w:t>
      </w:r>
    </w:p>
    <w:p w:rsidR="00F5689E" w:rsidP="00F5689E" w:rsidRDefault="00F5689E" w14:paraId="5F67EACC" w14:textId="55A911FE">
      <w:pPr>
        <w:pStyle w:val="ListParagraph"/>
        <w:numPr>
          <w:ilvl w:val="0"/>
          <w:numId w:val="9"/>
        </w:numPr>
        <w:spacing w:after="120"/>
        <w:ind w:left="1080"/>
        <w:contextualSpacing w:val="0"/>
        <w:rPr>
          <w:rFonts w:ascii="Arial" w:hAnsi="Arial" w:cs="Arial"/>
        </w:rPr>
      </w:pPr>
      <w:r>
        <w:rPr>
          <w:rFonts w:ascii="Arial" w:hAnsi="Arial" w:cs="Arial"/>
          <w:b/>
          <w:bCs/>
        </w:rPr>
        <w:t>Issuance of Notice of Value (NOV)</w:t>
      </w:r>
      <w:r w:rsidR="00FE71BD">
        <w:rPr>
          <w:rFonts w:ascii="Arial" w:hAnsi="Arial" w:cs="Arial"/>
          <w:b/>
          <w:bCs/>
        </w:rPr>
        <w:t>:</w:t>
      </w:r>
      <w:r>
        <w:rPr>
          <w:rFonts w:ascii="Arial" w:hAnsi="Arial" w:cs="Arial"/>
          <w:b/>
          <w:bCs/>
        </w:rPr>
        <w:t xml:space="preserve"> </w:t>
      </w:r>
      <w:r w:rsidR="00674738">
        <w:rPr>
          <w:rFonts w:ascii="Arial" w:hAnsi="Arial" w:cs="Arial"/>
        </w:rPr>
        <w:t xml:space="preserve">The respondent in this process step is the lender. </w:t>
      </w:r>
      <w:r w:rsidR="008B5FBD">
        <w:rPr>
          <w:rFonts w:ascii="Arial" w:hAnsi="Arial" w:cs="Arial"/>
        </w:rPr>
        <w:t xml:space="preserve">Upon reviewing the appraisal, </w:t>
      </w:r>
      <w:r w:rsidRPr="00F5689E">
        <w:rPr>
          <w:rFonts w:ascii="Arial" w:hAnsi="Arial" w:cs="Arial"/>
        </w:rPr>
        <w:t xml:space="preserve">VA or a lender (if participating in LAPP) will </w:t>
      </w:r>
      <w:r w:rsidR="00674738">
        <w:rPr>
          <w:rFonts w:ascii="Arial" w:hAnsi="Arial" w:cs="Arial"/>
        </w:rPr>
        <w:t>submit approval of the appraisal to VA LGY in the form of a</w:t>
      </w:r>
      <w:r w:rsidRPr="00F5689E">
        <w:rPr>
          <w:rFonts w:ascii="Arial" w:hAnsi="Arial" w:cs="Arial"/>
        </w:rPr>
        <w:t xml:space="preserve"> Notice of Value (NOV</w:t>
      </w:r>
      <w:r>
        <w:rPr>
          <w:rFonts w:ascii="Arial" w:hAnsi="Arial" w:cs="Arial"/>
        </w:rPr>
        <w:t>)</w:t>
      </w:r>
      <w:r w:rsidRPr="00F5689E">
        <w:rPr>
          <w:rFonts w:ascii="Arial" w:hAnsi="Arial" w:cs="Arial"/>
        </w:rPr>
        <w:t>.</w:t>
      </w:r>
      <w:r w:rsidR="008B5FBD">
        <w:rPr>
          <w:rFonts w:ascii="Arial" w:hAnsi="Arial" w:cs="Arial"/>
        </w:rPr>
        <w:t xml:space="preserve"> The system will record when the NOV was issued. </w:t>
      </w:r>
      <w:r w:rsidR="00FE71BD">
        <w:rPr>
          <w:rFonts w:ascii="Arial" w:hAnsi="Arial" w:cs="Arial"/>
        </w:rPr>
        <w:t>This process previously did not occur in a standardized format.</w:t>
      </w:r>
    </w:p>
    <w:p w:rsidRPr="007659C4" w:rsidR="009D62AB" w:rsidP="009D62AB" w:rsidRDefault="009D62AB" w14:paraId="18FEDF2D" w14:textId="77777777">
      <w:pPr>
        <w:numPr>
          <w:ilvl w:val="0"/>
          <w:numId w:val="6"/>
        </w:numPr>
        <w:autoSpaceDE/>
        <w:autoSpaceDN/>
        <w:contextualSpacing/>
        <w:rPr>
          <w:rFonts w:ascii="Arial" w:hAnsi="Arial" w:cs="Arial"/>
          <w:b/>
        </w:rPr>
      </w:pPr>
      <w:r w:rsidRPr="007659C4">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659C4" w:rsidR="009D62AB" w:rsidRDefault="009D62AB" w14:paraId="04C48982" w14:textId="77777777">
      <w:pPr>
        <w:rPr>
          <w:rFonts w:ascii="Arial" w:hAnsi="Arial" w:cs="Arial"/>
        </w:rPr>
      </w:pPr>
    </w:p>
    <w:p w:rsidRPr="007659C4" w:rsidR="003C2010" w:rsidP="009D62AB" w:rsidRDefault="009653A6" w14:paraId="02DBF0A2" w14:textId="62587D6E">
      <w:pPr>
        <w:ind w:left="720"/>
        <w:rPr>
          <w:rFonts w:ascii="Arial" w:hAnsi="Arial" w:cs="Arial"/>
        </w:rPr>
      </w:pPr>
      <w:r>
        <w:rPr>
          <w:rFonts w:ascii="Arial" w:hAnsi="Arial" w:cs="Arial"/>
        </w:rPr>
        <w:t>The intended outcome of this ICR is to reduce the burden on LGY’s lender and appraiser customers by standardizing all communications and tracking of appraisals directly in a web-based system, which is not available today</w:t>
      </w:r>
      <w:r w:rsidR="00AD3749">
        <w:rPr>
          <w:rFonts w:ascii="Arial" w:hAnsi="Arial" w:cs="Arial"/>
        </w:rPr>
        <w:t xml:space="preserve"> under the existing ICR</w:t>
      </w:r>
      <w:r>
        <w:rPr>
          <w:rFonts w:ascii="Arial" w:hAnsi="Arial" w:cs="Arial"/>
        </w:rPr>
        <w:t>. Under this revised ICR, LGY staff, lenders, and appraisers will utilize</w:t>
      </w:r>
      <w:r w:rsidR="00072B0E">
        <w:rPr>
          <w:rFonts w:ascii="Arial" w:hAnsi="Arial" w:cs="Arial"/>
        </w:rPr>
        <w:t xml:space="preserve"> VA LGY systems </w:t>
      </w:r>
      <w:r>
        <w:rPr>
          <w:rFonts w:ascii="Arial" w:hAnsi="Arial" w:cs="Arial"/>
        </w:rPr>
        <w:t>to digitally record all process steps associated with the ordering</w:t>
      </w:r>
      <w:r w:rsidR="00AD3749">
        <w:rPr>
          <w:rFonts w:ascii="Arial" w:hAnsi="Arial" w:cs="Arial"/>
        </w:rPr>
        <w:t xml:space="preserve"> and scheduling an appraisal</w:t>
      </w:r>
      <w:r>
        <w:rPr>
          <w:rFonts w:ascii="Arial" w:hAnsi="Arial" w:cs="Arial"/>
        </w:rPr>
        <w:t xml:space="preserve">. WebLGY will also </w:t>
      </w:r>
      <w:r w:rsidRPr="007659C4" w:rsidR="003C2010">
        <w:rPr>
          <w:rFonts w:ascii="Arial" w:hAnsi="Arial" w:cs="Arial"/>
        </w:rPr>
        <w:t>automatically generate an appraisal request on VA Form 26-180</w:t>
      </w:r>
      <w:r>
        <w:rPr>
          <w:rFonts w:ascii="Arial" w:hAnsi="Arial" w:cs="Arial"/>
        </w:rPr>
        <w:t xml:space="preserve">5 </w:t>
      </w:r>
      <w:r w:rsidRPr="007659C4" w:rsidR="003C2010">
        <w:rPr>
          <w:rFonts w:ascii="Arial" w:hAnsi="Arial" w:cs="Arial"/>
        </w:rPr>
        <w:t xml:space="preserve">for the requester.  </w:t>
      </w:r>
      <w:r>
        <w:rPr>
          <w:rFonts w:ascii="Arial" w:hAnsi="Arial" w:cs="Arial"/>
        </w:rPr>
        <w:t xml:space="preserve">The revised Form 26-1805 will also request additional points of contact, which will minimize duplication of data entry at other points in the appraisal process. </w:t>
      </w:r>
    </w:p>
    <w:p w:rsidRPr="007659C4" w:rsidR="003C2010" w:rsidRDefault="003C2010" w14:paraId="4AAB375D" w14:textId="77777777">
      <w:pPr>
        <w:rPr>
          <w:rFonts w:ascii="Arial" w:hAnsi="Arial" w:cs="Arial"/>
        </w:rPr>
      </w:pPr>
    </w:p>
    <w:p w:rsidRPr="007659C4" w:rsidR="009D62AB" w:rsidP="009D62AB" w:rsidRDefault="009D62AB" w14:paraId="2577D3B0" w14:textId="77777777">
      <w:pPr>
        <w:numPr>
          <w:ilvl w:val="0"/>
          <w:numId w:val="6"/>
        </w:numPr>
        <w:autoSpaceDE/>
        <w:autoSpaceDN/>
        <w:contextualSpacing/>
        <w:rPr>
          <w:rFonts w:ascii="Arial" w:hAnsi="Arial" w:cs="Arial"/>
          <w:b/>
        </w:rPr>
      </w:pPr>
      <w:r w:rsidRPr="007659C4">
        <w:rPr>
          <w:rFonts w:ascii="Arial" w:hAnsi="Arial" w:cs="Arial"/>
          <w:b/>
        </w:rPr>
        <w:t>Describe efforts to identify duplication.  Show specifically why any similar information already available cannot be used or modified for use for the purposes described in Item 2 above.</w:t>
      </w:r>
    </w:p>
    <w:p w:rsidRPr="007659C4" w:rsidR="009D62AB" w:rsidP="009D62AB" w:rsidRDefault="009D62AB" w14:paraId="0100DCCF" w14:textId="77777777">
      <w:pPr>
        <w:autoSpaceDE/>
        <w:autoSpaceDN/>
        <w:ind w:left="720"/>
        <w:contextualSpacing/>
        <w:rPr>
          <w:rFonts w:ascii="Arial" w:hAnsi="Arial" w:cs="Arial"/>
          <w:b/>
        </w:rPr>
      </w:pPr>
    </w:p>
    <w:p w:rsidRPr="007659C4" w:rsidR="003C2010" w:rsidP="009D62AB" w:rsidRDefault="003C2010" w14:paraId="1923AAD2" w14:textId="77777777">
      <w:pPr>
        <w:pStyle w:val="ListParagraph"/>
        <w:rPr>
          <w:rFonts w:ascii="Arial" w:hAnsi="Arial" w:cs="Arial"/>
        </w:rPr>
      </w:pPr>
      <w:r w:rsidRPr="007659C4">
        <w:rPr>
          <w:rFonts w:ascii="Arial" w:hAnsi="Arial" w:cs="Arial"/>
        </w:rPr>
        <w:t>There is no duplication of information involved.</w:t>
      </w:r>
    </w:p>
    <w:p w:rsidRPr="009653A6" w:rsidR="009D62AB" w:rsidP="009653A6" w:rsidRDefault="009D62AB" w14:paraId="7405883D" w14:textId="77777777">
      <w:pPr>
        <w:rPr>
          <w:rFonts w:ascii="Arial" w:hAnsi="Arial" w:cs="Arial"/>
        </w:rPr>
      </w:pPr>
    </w:p>
    <w:p w:rsidRPr="007659C4" w:rsidR="009D62AB" w:rsidP="009D62AB" w:rsidRDefault="009D62AB" w14:paraId="134887C2" w14:textId="77777777">
      <w:pPr>
        <w:numPr>
          <w:ilvl w:val="0"/>
          <w:numId w:val="6"/>
        </w:numPr>
        <w:autoSpaceDE/>
        <w:autoSpaceDN/>
        <w:contextualSpacing/>
        <w:rPr>
          <w:rFonts w:ascii="Arial" w:hAnsi="Arial" w:cs="Arial"/>
          <w:b/>
        </w:rPr>
      </w:pPr>
      <w:r w:rsidRPr="007659C4">
        <w:rPr>
          <w:rFonts w:ascii="Arial" w:hAnsi="Arial" w:cs="Arial"/>
          <w:b/>
        </w:rPr>
        <w:t>If the collection of information impacts small businesses or other small entities, describe any methods used to minimize burden.</w:t>
      </w:r>
    </w:p>
    <w:p w:rsidRPr="007659C4" w:rsidR="009D62AB" w:rsidP="009D62AB" w:rsidRDefault="009D62AB" w14:paraId="608CD572" w14:textId="77777777">
      <w:pPr>
        <w:autoSpaceDE/>
        <w:autoSpaceDN/>
        <w:ind w:left="720"/>
        <w:contextualSpacing/>
        <w:rPr>
          <w:rFonts w:ascii="Arial" w:hAnsi="Arial" w:cs="Arial"/>
          <w:b/>
        </w:rPr>
      </w:pPr>
    </w:p>
    <w:p w:rsidRPr="007659C4" w:rsidR="003C2010" w:rsidP="009D62AB" w:rsidRDefault="008E0805" w14:paraId="15E56A8E" w14:textId="77777777">
      <w:pPr>
        <w:ind w:firstLine="720"/>
        <w:rPr>
          <w:rFonts w:ascii="Arial" w:hAnsi="Arial" w:cs="Arial"/>
        </w:rPr>
      </w:pPr>
      <w:r w:rsidRPr="007659C4">
        <w:rPr>
          <w:rFonts w:ascii="Arial" w:hAnsi="Arial" w:cs="Arial"/>
        </w:rPr>
        <w:t>The collection of information does not involve small businesses.</w:t>
      </w:r>
    </w:p>
    <w:p w:rsidRPr="007659C4" w:rsidR="003C2010" w:rsidRDefault="003C2010" w14:paraId="1D3591E5" w14:textId="77777777">
      <w:pPr>
        <w:rPr>
          <w:rFonts w:ascii="Arial" w:hAnsi="Arial" w:cs="Arial"/>
        </w:rPr>
      </w:pPr>
    </w:p>
    <w:p w:rsidRPr="007659C4" w:rsidR="009D62AB" w:rsidP="009D62AB" w:rsidRDefault="009D62AB" w14:paraId="2B2ABC89" w14:textId="77777777">
      <w:pPr>
        <w:numPr>
          <w:ilvl w:val="0"/>
          <w:numId w:val="6"/>
        </w:numPr>
        <w:autoSpaceDE/>
        <w:autoSpaceDN/>
        <w:contextualSpacing/>
        <w:rPr>
          <w:rFonts w:ascii="Arial" w:hAnsi="Arial" w:cs="Arial"/>
          <w:b/>
        </w:rPr>
      </w:pPr>
      <w:r w:rsidRPr="007659C4">
        <w:rPr>
          <w:rFonts w:ascii="Arial" w:hAnsi="Arial" w:cs="Arial"/>
          <w:b/>
        </w:rPr>
        <w:lastRenderedPageBreak/>
        <w:t>Describe the consequences to Federal program or policy activities if the collection is not conducted or is conducted less frequently as well as any technical or legal obstacles to reducing burden.</w:t>
      </w:r>
    </w:p>
    <w:p w:rsidRPr="007659C4" w:rsidR="009D62AB" w:rsidRDefault="009D62AB" w14:paraId="218F8C0B" w14:textId="77777777">
      <w:pPr>
        <w:rPr>
          <w:rFonts w:ascii="Arial" w:hAnsi="Arial" w:cs="Arial"/>
        </w:rPr>
      </w:pPr>
    </w:p>
    <w:p w:rsidRPr="007659C4" w:rsidR="003C2010" w:rsidP="009D62AB" w:rsidRDefault="003C2010" w14:paraId="1AFC4549" w14:textId="77777777">
      <w:pPr>
        <w:ind w:left="720"/>
        <w:rPr>
          <w:rFonts w:ascii="Arial" w:hAnsi="Arial" w:cs="Arial"/>
        </w:rPr>
      </w:pPr>
      <w:r w:rsidRPr="007659C4">
        <w:rPr>
          <w:rFonts w:ascii="Arial" w:hAnsi="Arial" w:cs="Arial"/>
        </w:rPr>
        <w:t xml:space="preserve">This information collection is not a recurring or repetitive report.  </w:t>
      </w:r>
      <w:r w:rsidRPr="007659C4" w:rsidR="008E0805">
        <w:rPr>
          <w:rFonts w:ascii="Arial" w:hAnsi="Arial" w:cs="Arial"/>
        </w:rPr>
        <w:t>The collection is generally conducted once per individual applicant.</w:t>
      </w:r>
    </w:p>
    <w:p w:rsidRPr="007659C4" w:rsidR="003C2010" w:rsidRDefault="003C2010" w14:paraId="5AFAB957" w14:textId="77777777">
      <w:pPr>
        <w:rPr>
          <w:rFonts w:ascii="Arial" w:hAnsi="Arial" w:cs="Arial"/>
        </w:rPr>
      </w:pPr>
    </w:p>
    <w:p w:rsidRPr="007659C4" w:rsidR="009D62AB" w:rsidP="009D62AB" w:rsidRDefault="009D62AB" w14:paraId="5FA524CE" w14:textId="77777777">
      <w:pPr>
        <w:numPr>
          <w:ilvl w:val="0"/>
          <w:numId w:val="6"/>
        </w:numPr>
        <w:autoSpaceDE/>
        <w:autoSpaceDN/>
        <w:contextualSpacing/>
        <w:rPr>
          <w:rFonts w:ascii="Arial" w:hAnsi="Arial" w:cs="Arial"/>
          <w:b/>
          <w:bCs/>
        </w:rPr>
      </w:pPr>
      <w:r w:rsidRPr="007659C4">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659C4" w:rsidR="009D62AB" w:rsidRDefault="009D62AB" w14:paraId="5D81E9BF" w14:textId="77777777">
      <w:pPr>
        <w:rPr>
          <w:rFonts w:ascii="Arial" w:hAnsi="Arial" w:cs="Arial"/>
        </w:rPr>
      </w:pPr>
    </w:p>
    <w:p w:rsidRPr="007659C4" w:rsidR="003C2010" w:rsidP="009D62AB" w:rsidRDefault="003C2010" w14:paraId="5BF12857" w14:textId="77777777">
      <w:pPr>
        <w:ind w:left="720"/>
        <w:rPr>
          <w:rFonts w:ascii="Arial" w:hAnsi="Arial" w:cs="Arial"/>
        </w:rPr>
      </w:pPr>
      <w:r w:rsidRPr="007659C4">
        <w:rPr>
          <w:rFonts w:ascii="Arial" w:hAnsi="Arial" w:cs="Arial"/>
        </w:rPr>
        <w:t>There are no special circumstances that require the collection to be conducted in a manner inconsistent with the guidelines in 5 CFR 1320.6.</w:t>
      </w:r>
    </w:p>
    <w:p w:rsidRPr="007659C4" w:rsidR="003C2010" w:rsidRDefault="003C2010" w14:paraId="4DA57748" w14:textId="77777777">
      <w:pPr>
        <w:rPr>
          <w:rFonts w:ascii="Arial" w:hAnsi="Arial" w:cs="Arial"/>
        </w:rPr>
      </w:pPr>
    </w:p>
    <w:p w:rsidRPr="007659C4" w:rsidR="009D62AB" w:rsidP="009D62AB" w:rsidRDefault="009D62AB" w14:paraId="5FDDF1A7" w14:textId="77777777">
      <w:pPr>
        <w:pStyle w:val="ListParagraph"/>
        <w:numPr>
          <w:ilvl w:val="0"/>
          <w:numId w:val="6"/>
        </w:numPr>
        <w:rPr>
          <w:rFonts w:ascii="Arial" w:hAnsi="Arial" w:cs="Arial"/>
          <w:b/>
        </w:rPr>
      </w:pPr>
      <w:r w:rsidRPr="007659C4">
        <w:rPr>
          <w:rFonts w:ascii="Arial" w:hAnsi="Arial" w:cs="Arial"/>
          <w:b/>
        </w:rPr>
        <w:t xml:space="preserve">If applicable, provide a copy and identify the date and page number of </w:t>
      </w:r>
      <w:proofErr w:type="gramStart"/>
      <w:r w:rsidRPr="007659C4">
        <w:rPr>
          <w:rFonts w:ascii="Arial" w:hAnsi="Arial" w:cs="Arial"/>
          <w:b/>
        </w:rPr>
        <w:t>publication</w:t>
      </w:r>
      <w:proofErr w:type="gramEnd"/>
      <w:r w:rsidRPr="007659C4">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7659C4" w:rsidR="009D62AB" w:rsidRDefault="009D62AB" w14:paraId="608C6E1B" w14:textId="77777777">
      <w:pPr>
        <w:rPr>
          <w:rFonts w:ascii="Arial" w:hAnsi="Arial" w:cs="Arial"/>
        </w:rPr>
      </w:pPr>
    </w:p>
    <w:p w:rsidRPr="007659C4" w:rsidR="003C2010" w:rsidP="009D62AB" w:rsidRDefault="003C2010" w14:paraId="0668E4DE" w14:textId="6384C54C">
      <w:pPr>
        <w:ind w:left="720"/>
        <w:rPr>
          <w:rFonts w:ascii="Arial" w:hAnsi="Arial" w:cs="Arial"/>
        </w:rPr>
      </w:pPr>
      <w:r w:rsidRPr="007659C4">
        <w:rPr>
          <w:rFonts w:ascii="Arial" w:hAnsi="Arial" w:cs="Arial"/>
        </w:rPr>
        <w:t xml:space="preserve">The Department notice was published in the Federal Register </w:t>
      </w:r>
      <w:r w:rsidR="00E053A6">
        <w:rPr>
          <w:rFonts w:ascii="Arial" w:hAnsi="Arial" w:cs="Arial"/>
        </w:rPr>
        <w:t>at</w:t>
      </w:r>
      <w:r w:rsidR="003C4576">
        <w:rPr>
          <w:rFonts w:ascii="Arial" w:hAnsi="Arial" w:cs="Arial"/>
        </w:rPr>
        <w:t xml:space="preserve"> </w:t>
      </w:r>
      <w:r w:rsidRPr="00D95F7B" w:rsidR="003C4576">
        <w:rPr>
          <w:rFonts w:ascii="Arial" w:hAnsi="Arial" w:cs="Arial"/>
        </w:rPr>
        <w:t>V</w:t>
      </w:r>
      <w:r w:rsidRPr="00D95F7B" w:rsidR="00EF4377">
        <w:rPr>
          <w:rFonts w:ascii="Arial" w:hAnsi="Arial" w:cs="Arial"/>
        </w:rPr>
        <w:t>olume</w:t>
      </w:r>
      <w:r w:rsidRPr="00D95F7B" w:rsidR="003C4576">
        <w:rPr>
          <w:rFonts w:ascii="Arial" w:hAnsi="Arial" w:cs="Arial"/>
        </w:rPr>
        <w:t xml:space="preserve"> </w:t>
      </w:r>
      <w:r w:rsidR="00E053A6">
        <w:rPr>
          <w:rFonts w:ascii="Arial" w:hAnsi="Arial" w:cs="Arial"/>
        </w:rPr>
        <w:t>86</w:t>
      </w:r>
      <w:r w:rsidRPr="00D95F7B" w:rsidR="00EF4377">
        <w:rPr>
          <w:rFonts w:ascii="Arial" w:hAnsi="Arial" w:cs="Arial"/>
        </w:rPr>
        <w:t xml:space="preserve">, </w:t>
      </w:r>
      <w:r w:rsidRPr="00D95F7B" w:rsidR="003C4576">
        <w:rPr>
          <w:rFonts w:ascii="Arial" w:hAnsi="Arial" w:cs="Arial"/>
        </w:rPr>
        <w:t>N</w:t>
      </w:r>
      <w:r w:rsidRPr="00D95F7B" w:rsidR="00EF4377">
        <w:rPr>
          <w:rFonts w:ascii="Arial" w:hAnsi="Arial" w:cs="Arial"/>
        </w:rPr>
        <w:t>umber</w:t>
      </w:r>
      <w:r w:rsidRPr="00D95F7B" w:rsidR="003C4576">
        <w:rPr>
          <w:rFonts w:ascii="Arial" w:hAnsi="Arial" w:cs="Arial"/>
        </w:rPr>
        <w:t xml:space="preserve"> </w:t>
      </w:r>
      <w:r w:rsidR="00E053A6">
        <w:rPr>
          <w:rFonts w:ascii="Arial" w:hAnsi="Arial" w:cs="Arial"/>
        </w:rPr>
        <w:t>142</w:t>
      </w:r>
      <w:r w:rsidRPr="00D95F7B" w:rsidR="003C4576">
        <w:rPr>
          <w:rFonts w:ascii="Arial" w:hAnsi="Arial" w:cs="Arial"/>
        </w:rPr>
        <w:t>,</w:t>
      </w:r>
      <w:r w:rsidRPr="00D95F7B">
        <w:rPr>
          <w:rFonts w:ascii="Arial" w:hAnsi="Arial" w:cs="Arial"/>
        </w:rPr>
        <w:t xml:space="preserve"> page</w:t>
      </w:r>
      <w:r w:rsidRPr="00D95F7B" w:rsidR="003C4576">
        <w:rPr>
          <w:rFonts w:ascii="Arial" w:hAnsi="Arial" w:cs="Arial"/>
        </w:rPr>
        <w:t xml:space="preserve">s </w:t>
      </w:r>
      <w:r w:rsidR="00E053A6">
        <w:rPr>
          <w:rFonts w:ascii="Arial" w:hAnsi="Arial" w:cs="Arial"/>
        </w:rPr>
        <w:t>40679</w:t>
      </w:r>
      <w:r w:rsidRPr="00D95F7B" w:rsidR="003C4576">
        <w:rPr>
          <w:rFonts w:ascii="Arial" w:hAnsi="Arial" w:cs="Arial"/>
        </w:rPr>
        <w:t xml:space="preserve"> and </w:t>
      </w:r>
      <w:r w:rsidR="00E053A6">
        <w:rPr>
          <w:rFonts w:ascii="Arial" w:hAnsi="Arial" w:cs="Arial"/>
        </w:rPr>
        <w:t>40680</w:t>
      </w:r>
      <w:r w:rsidRPr="00D95F7B">
        <w:rPr>
          <w:rFonts w:ascii="Arial" w:hAnsi="Arial" w:cs="Arial"/>
        </w:rPr>
        <w:t xml:space="preserve">.  </w:t>
      </w:r>
    </w:p>
    <w:p w:rsidRPr="007659C4" w:rsidR="003C2010" w:rsidRDefault="003C2010" w14:paraId="0120D113" w14:textId="77777777">
      <w:pPr>
        <w:rPr>
          <w:rFonts w:ascii="Arial" w:hAnsi="Arial" w:cs="Arial"/>
        </w:rPr>
      </w:pPr>
    </w:p>
    <w:p w:rsidRPr="007659C4" w:rsidR="00417FC8" w:rsidP="00AD3749" w:rsidRDefault="00417FC8" w14:paraId="630170C2" w14:textId="77777777">
      <w:pPr>
        <w:numPr>
          <w:ilvl w:val="0"/>
          <w:numId w:val="6"/>
        </w:numPr>
        <w:tabs>
          <w:tab w:val="left" w:pos="480"/>
          <w:tab w:val="right" w:pos="8640"/>
        </w:tabs>
        <w:autoSpaceDE/>
        <w:autoSpaceDN/>
        <w:contextualSpacing/>
        <w:rPr>
          <w:rFonts w:ascii="Arial" w:hAnsi="Arial" w:cs="Arial"/>
          <w:b/>
        </w:rPr>
      </w:pPr>
      <w:r w:rsidRPr="007659C4">
        <w:rPr>
          <w:rFonts w:ascii="Arial" w:hAnsi="Arial" w:cs="Arial"/>
          <w:b/>
        </w:rPr>
        <w:t>Explain any decision to provide any payment or gift to respondents, other than remuneration of contractors or grantees.</w:t>
      </w:r>
    </w:p>
    <w:p w:rsidRPr="007659C4" w:rsidR="00417FC8" w:rsidP="00417FC8" w:rsidRDefault="00417FC8" w14:paraId="494FBEC9" w14:textId="77777777">
      <w:pPr>
        <w:ind w:firstLine="720"/>
        <w:rPr>
          <w:rFonts w:ascii="Arial" w:hAnsi="Arial" w:cs="Arial"/>
        </w:rPr>
      </w:pPr>
    </w:p>
    <w:p w:rsidRPr="007659C4" w:rsidR="003C2010" w:rsidP="00417FC8" w:rsidRDefault="003C2010" w14:paraId="1356F113" w14:textId="77777777">
      <w:pPr>
        <w:ind w:firstLine="720"/>
        <w:rPr>
          <w:rFonts w:ascii="Arial" w:hAnsi="Arial" w:cs="Arial"/>
        </w:rPr>
      </w:pPr>
      <w:r w:rsidRPr="007659C4">
        <w:rPr>
          <w:rFonts w:ascii="Arial" w:hAnsi="Arial" w:cs="Arial"/>
        </w:rPr>
        <w:t>Decisions to provide any payment or gift to respondents does not apply.</w:t>
      </w:r>
    </w:p>
    <w:p w:rsidRPr="007659C4" w:rsidR="003C2010" w:rsidRDefault="003C2010" w14:paraId="096B2765" w14:textId="77777777">
      <w:pPr>
        <w:rPr>
          <w:rFonts w:ascii="Arial" w:hAnsi="Arial" w:cs="Arial"/>
        </w:rPr>
      </w:pPr>
    </w:p>
    <w:p w:rsidRPr="007659C4" w:rsidR="00417FC8" w:rsidP="00AD3749" w:rsidRDefault="00417FC8" w14:paraId="6ED2F7B9" w14:textId="77777777">
      <w:pPr>
        <w:numPr>
          <w:ilvl w:val="0"/>
          <w:numId w:val="6"/>
        </w:numPr>
        <w:tabs>
          <w:tab w:val="left" w:pos="480"/>
          <w:tab w:val="right" w:pos="8640"/>
        </w:tabs>
        <w:autoSpaceDE/>
        <w:autoSpaceDN/>
        <w:ind w:hanging="450"/>
        <w:contextualSpacing/>
        <w:rPr>
          <w:rFonts w:ascii="Arial" w:hAnsi="Arial" w:cs="Arial"/>
          <w:b/>
        </w:rPr>
      </w:pPr>
      <w:r w:rsidRPr="007659C4">
        <w:rPr>
          <w:rFonts w:ascii="Arial" w:hAnsi="Arial" w:cs="Arial"/>
          <w:b/>
          <w:color w:val="000000"/>
        </w:rPr>
        <w:t xml:space="preserve">Describe any assurance </w:t>
      </w:r>
      <w:r w:rsidRPr="007659C4">
        <w:rPr>
          <w:rFonts w:ascii="Arial" w:hAnsi="Arial" w:cs="Arial"/>
          <w:b/>
        </w:rPr>
        <w:t xml:space="preserve">of privacy, to the extent permitted by law, </w:t>
      </w:r>
      <w:r w:rsidRPr="007659C4">
        <w:rPr>
          <w:rFonts w:ascii="Arial" w:hAnsi="Arial" w:cs="Arial"/>
          <w:b/>
          <w:color w:val="000000"/>
        </w:rPr>
        <w:t>provided to respondents and the basis for the assurance in statute, regulation, or agency policy.</w:t>
      </w:r>
    </w:p>
    <w:p w:rsidRPr="007659C4" w:rsidR="00417FC8" w:rsidRDefault="00417FC8" w14:paraId="2E767097" w14:textId="77777777">
      <w:pPr>
        <w:rPr>
          <w:rFonts w:ascii="Arial" w:hAnsi="Arial" w:cs="Arial"/>
        </w:rPr>
      </w:pPr>
    </w:p>
    <w:p w:rsidRPr="00C177C5" w:rsidR="00E20078" w:rsidP="00E20078" w:rsidRDefault="00E20078" w14:paraId="10CA186A" w14:textId="77777777">
      <w:pPr>
        <w:ind w:left="720"/>
        <w:rPr>
          <w:rFonts w:ascii="Arial" w:hAnsi="Arial" w:cs="Arial"/>
        </w:rPr>
      </w:pPr>
      <w:r w:rsidRPr="001E706F">
        <w:rPr>
          <w:rFonts w:ascii="Arial" w:hAnsi="Arial" w:cs="Arial"/>
        </w:rPr>
        <w:t>Loan Guaranty Home, Condominium and Manufactured Home Loan Applicant Records, Specially Adapted Housing Applicant Records, and Vendee Loan Applicant Records - VA (55VA26)</w:t>
      </w:r>
      <w:r>
        <w:rPr>
          <w:rFonts w:ascii="Arial" w:hAnsi="Arial" w:cs="Arial"/>
          <w:b/>
        </w:rPr>
        <w:t xml:space="preserve">, </w:t>
      </w:r>
      <w:r w:rsidRPr="00D078DA">
        <w:rPr>
          <w:rFonts w:ascii="Arial" w:hAnsi="Arial" w:cs="Arial"/>
        </w:rPr>
        <w:t xml:space="preserve">and Loan Guaranty Fee Personnel and Program Participant Reports – VA (17VA26) </w:t>
      </w:r>
      <w:r w:rsidRPr="00C177C5">
        <w:rPr>
          <w:rFonts w:ascii="Arial" w:hAnsi="Arial" w:cs="Arial"/>
        </w:rPr>
        <w:t xml:space="preserve">are contained in the Privacy Act Issuances, </w:t>
      </w:r>
      <w:r w:rsidR="00DE39A0">
        <w:rPr>
          <w:rFonts w:ascii="Arial" w:hAnsi="Arial" w:cs="Arial"/>
        </w:rPr>
        <w:t xml:space="preserve">2013 and </w:t>
      </w:r>
      <w:r w:rsidRPr="00C177C5">
        <w:rPr>
          <w:rFonts w:ascii="Arial" w:hAnsi="Arial" w:cs="Arial"/>
        </w:rPr>
        <w:t>2014</w:t>
      </w:r>
      <w:r w:rsidR="00DE39A0">
        <w:rPr>
          <w:rFonts w:ascii="Arial" w:hAnsi="Arial" w:cs="Arial"/>
        </w:rPr>
        <w:t xml:space="preserve"> Compilations</w:t>
      </w:r>
      <w:r w:rsidRPr="00C177C5">
        <w:rPr>
          <w:rFonts w:ascii="Arial" w:hAnsi="Arial" w:cs="Arial"/>
        </w:rPr>
        <w:t>.</w:t>
      </w:r>
    </w:p>
    <w:p w:rsidRPr="007659C4" w:rsidR="007659C4" w:rsidP="00417FC8" w:rsidRDefault="007659C4" w14:paraId="34175FE4" w14:textId="77777777">
      <w:pPr>
        <w:ind w:left="720"/>
        <w:rPr>
          <w:rFonts w:ascii="Arial" w:hAnsi="Arial" w:cs="Arial"/>
        </w:rPr>
      </w:pPr>
    </w:p>
    <w:p w:rsidRPr="007659C4" w:rsidR="007659C4" w:rsidP="00AD3749" w:rsidRDefault="007659C4" w14:paraId="7FC68F4E" w14:textId="77777777">
      <w:pPr>
        <w:numPr>
          <w:ilvl w:val="0"/>
          <w:numId w:val="6"/>
        </w:numPr>
        <w:tabs>
          <w:tab w:val="left" w:pos="480"/>
          <w:tab w:val="right" w:pos="8640"/>
        </w:tabs>
        <w:autoSpaceDE/>
        <w:autoSpaceDN/>
        <w:spacing w:after="200" w:line="276" w:lineRule="auto"/>
        <w:ind w:hanging="450"/>
        <w:contextualSpacing/>
        <w:rPr>
          <w:rFonts w:ascii="Arial" w:hAnsi="Arial" w:cs="Arial"/>
          <w:b/>
        </w:rPr>
      </w:pPr>
      <w:r w:rsidRPr="007659C4">
        <w:rPr>
          <w:rFonts w:ascii="Arial" w:hAnsi="Arial" w:cs="Arial"/>
          <w:b/>
        </w:rPr>
        <w:t>Provide additional justification for any questions of a sensitive nature</w:t>
      </w:r>
      <w:r w:rsidRPr="007659C4">
        <w:rPr>
          <w:rFonts w:ascii="Arial" w:hAnsi="Arial" w:cs="Arial"/>
          <w:b/>
          <w:color w:val="0000FF"/>
        </w:rPr>
        <w:t xml:space="preserve"> </w:t>
      </w:r>
      <w:r w:rsidRPr="007659C4">
        <w:rPr>
          <w:rFonts w:ascii="Arial" w:hAnsi="Arial" w:cs="Arial"/>
          <w:b/>
        </w:rPr>
        <w:t xml:space="preserve">(Information that, with a reasonable degree of medical certainty, is likely to have a serious adverse effect on an individual's </w:t>
      </w:r>
      <w:r w:rsidRPr="007659C4">
        <w:rPr>
          <w:rFonts w:ascii="Arial" w:hAnsi="Arial" w:cs="Arial"/>
          <w:b/>
        </w:rPr>
        <w:lastRenderedPageBreak/>
        <w:t>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7659C4" w:rsidR="007659C4" w:rsidP="00417FC8" w:rsidRDefault="007659C4" w14:paraId="7F74AF99" w14:textId="77777777">
      <w:pPr>
        <w:ind w:left="720"/>
        <w:rPr>
          <w:rFonts w:ascii="Arial" w:hAnsi="Arial" w:cs="Arial"/>
        </w:rPr>
      </w:pPr>
    </w:p>
    <w:p w:rsidRPr="007659C4" w:rsidR="003C2010" w:rsidP="007659C4" w:rsidRDefault="00AF7FF1" w14:paraId="3A8181FC" w14:textId="77777777">
      <w:pPr>
        <w:ind w:firstLine="720"/>
        <w:rPr>
          <w:rFonts w:ascii="Arial" w:hAnsi="Arial" w:cs="Arial"/>
        </w:rPr>
      </w:pPr>
      <w:r w:rsidRPr="007659C4">
        <w:rPr>
          <w:rFonts w:ascii="Arial" w:hAnsi="Arial" w:cs="Arial"/>
        </w:rPr>
        <w:t>No questions of a sensitive nature are contained on the form.</w:t>
      </w:r>
    </w:p>
    <w:p w:rsidRPr="007659C4" w:rsidR="003C2010" w:rsidRDefault="003C2010" w14:paraId="15646EB3" w14:textId="77777777">
      <w:pPr>
        <w:rPr>
          <w:rFonts w:ascii="Arial" w:hAnsi="Arial" w:cs="Arial"/>
        </w:rPr>
      </w:pPr>
    </w:p>
    <w:p w:rsidRPr="007659C4" w:rsidR="007524B4" w:rsidP="007659C4" w:rsidRDefault="007524B4" w14:paraId="48F78DD0" w14:textId="319A511E">
      <w:pPr>
        <w:tabs>
          <w:tab w:val="left" w:pos="360"/>
        </w:tabs>
        <w:rPr>
          <w:rFonts w:ascii="Arial" w:hAnsi="Arial" w:cs="Arial"/>
        </w:rPr>
      </w:pPr>
      <w:r w:rsidRPr="007659C4">
        <w:rPr>
          <w:rFonts w:ascii="Arial" w:hAnsi="Arial" w:cs="Arial"/>
          <w:b/>
        </w:rPr>
        <w:t xml:space="preserve">     </w:t>
      </w:r>
      <w:r w:rsidRPr="007659C4" w:rsidR="003C2010">
        <w:rPr>
          <w:rFonts w:ascii="Arial" w:hAnsi="Arial" w:cs="Arial"/>
          <w:b/>
        </w:rPr>
        <w:t>12.</w:t>
      </w:r>
      <w:r w:rsidRPr="007659C4" w:rsidR="003C2010">
        <w:rPr>
          <w:rFonts w:ascii="Arial" w:hAnsi="Arial" w:cs="Arial"/>
        </w:rPr>
        <w:t xml:space="preserve">  </w:t>
      </w:r>
      <w:r w:rsidRPr="007659C4">
        <w:rPr>
          <w:rFonts w:ascii="Arial" w:hAnsi="Arial" w:cs="Arial"/>
          <w:b/>
        </w:rPr>
        <w:t>Estimate of the hour burden of the collection:</w:t>
      </w:r>
    </w:p>
    <w:p w:rsidRPr="007659C4" w:rsidR="007524B4" w:rsidRDefault="007524B4" w14:paraId="5C0834A9" w14:textId="77777777">
      <w:pPr>
        <w:rPr>
          <w:rFonts w:ascii="Arial" w:hAnsi="Arial" w:cs="Arial"/>
        </w:rPr>
      </w:pPr>
    </w:p>
    <w:p w:rsidR="00A26070" w:rsidP="00A26070" w:rsidRDefault="003C2010" w14:paraId="41D917E7" w14:textId="2CF88EEA">
      <w:pPr>
        <w:ind w:firstLine="810"/>
      </w:pPr>
      <w:r w:rsidRPr="007659C4">
        <w:rPr>
          <w:rFonts w:ascii="Arial" w:hAnsi="Arial" w:cs="Arial"/>
        </w:rPr>
        <w:t>Estimate of Information Collection Burden</w:t>
      </w:r>
      <w:r w:rsidR="009653A6">
        <w:rPr>
          <w:rFonts w:ascii="Arial" w:hAnsi="Arial" w:cs="Arial"/>
        </w:rPr>
        <w:t xml:space="preserve"> (totals):</w:t>
      </w:r>
      <w:r w:rsidR="00A26070">
        <w:t xml:space="preserve"> </w:t>
      </w:r>
    </w:p>
    <w:p w:rsidR="00A26070" w:rsidP="007659C4" w:rsidRDefault="00A26070" w14:paraId="1E936725" w14:textId="4CDCB608">
      <w:pPr>
        <w:ind w:firstLine="810"/>
        <w:rPr>
          <w:sz w:val="20"/>
          <w:szCs w:val="20"/>
        </w:rPr>
      </w:pPr>
      <w:r>
        <w:rPr>
          <w:rFonts w:ascii="Arial" w:hAnsi="Arial" w:cs="Arial"/>
        </w:rPr>
        <w:fldChar w:fldCharType="begin"/>
      </w:r>
      <w:r>
        <w:rPr>
          <w:rFonts w:ascii="Arial" w:hAnsi="Arial" w:cs="Arial"/>
        </w:rPr>
        <w:instrText xml:space="preserve"> LINK Excel.Sheet.12 "C:\\Users\\VBACOHeaslJ\\Documents\\PRA work sheet.xlsx" "Sheet1!R1C1:R11C8" \a \f 4 \h </w:instrText>
      </w:r>
      <w:r w:rsidR="00224AF0">
        <w:rPr>
          <w:rFonts w:ascii="Arial" w:hAnsi="Arial" w:cs="Arial"/>
        </w:rPr>
        <w:instrText xml:space="preserve"> \* MERGEFORMAT </w:instrText>
      </w:r>
      <w:r>
        <w:rPr>
          <w:rFonts w:ascii="Arial" w:hAnsi="Arial" w:cs="Arial"/>
        </w:rPr>
        <w:fldChar w:fldCharType="separate"/>
      </w:r>
    </w:p>
    <w:tbl>
      <w:tblPr>
        <w:tblW w:w="9625" w:type="dxa"/>
        <w:tblLook w:val="04A0" w:firstRow="1" w:lastRow="0" w:firstColumn="1" w:lastColumn="0" w:noHBand="0" w:noVBand="1"/>
      </w:tblPr>
      <w:tblGrid>
        <w:gridCol w:w="1687"/>
        <w:gridCol w:w="1277"/>
        <w:gridCol w:w="1067"/>
        <w:gridCol w:w="1117"/>
        <w:gridCol w:w="1117"/>
        <w:gridCol w:w="867"/>
        <w:gridCol w:w="767"/>
        <w:gridCol w:w="1187"/>
        <w:gridCol w:w="1217"/>
      </w:tblGrid>
      <w:tr w:rsidRPr="00A26070" w:rsidR="00E02C77" w:rsidTr="00E02C77" w14:paraId="15AF8C9D" w14:textId="77777777">
        <w:trPr>
          <w:trHeight w:val="456"/>
        </w:trPr>
        <w:tc>
          <w:tcPr>
            <w:tcW w:w="1392"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RDefault="00224AF0" w14:paraId="3A3A5836" w14:textId="710D1960">
            <w:pPr>
              <w:rPr>
                <w:rFonts w:ascii="Arial" w:hAnsi="Arial" w:cs="Arial"/>
                <w:color w:val="000000"/>
                <w:sz w:val="18"/>
                <w:szCs w:val="18"/>
              </w:rPr>
            </w:pPr>
            <w:r w:rsidRPr="00A26070">
              <w:rPr>
                <w:rFonts w:ascii="Arial" w:hAnsi="Arial" w:cs="Arial"/>
                <w:color w:val="000000"/>
                <w:sz w:val="18"/>
                <w:szCs w:val="18"/>
              </w:rPr>
              <w:t>Description of Information Collection</w:t>
            </w:r>
          </w:p>
        </w:tc>
        <w:tc>
          <w:tcPr>
            <w:tcW w:w="106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6B56D96B" w14:textId="77777777">
            <w:pPr>
              <w:autoSpaceDE/>
              <w:autoSpaceDN/>
              <w:jc w:val="center"/>
              <w:rPr>
                <w:rFonts w:ascii="Arial" w:hAnsi="Arial" w:cs="Arial"/>
                <w:color w:val="000000"/>
                <w:sz w:val="18"/>
                <w:szCs w:val="18"/>
              </w:rPr>
            </w:pPr>
            <w:r w:rsidRPr="00A26070">
              <w:rPr>
                <w:rFonts w:ascii="Arial" w:hAnsi="Arial" w:cs="Arial"/>
                <w:color w:val="000000"/>
                <w:sz w:val="18"/>
                <w:szCs w:val="18"/>
              </w:rPr>
              <w:t>Number of Respondents</w:t>
            </w:r>
          </w:p>
        </w:tc>
        <w:tc>
          <w:tcPr>
            <w:tcW w:w="89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7DDFDAD9" w14:textId="77777777">
            <w:pPr>
              <w:autoSpaceDE/>
              <w:autoSpaceDN/>
              <w:jc w:val="center"/>
              <w:rPr>
                <w:rFonts w:ascii="Arial" w:hAnsi="Arial" w:cs="Arial"/>
                <w:color w:val="000000"/>
                <w:sz w:val="18"/>
                <w:szCs w:val="18"/>
              </w:rPr>
            </w:pPr>
            <w:r w:rsidRPr="00A26070">
              <w:rPr>
                <w:rFonts w:ascii="Arial" w:hAnsi="Arial" w:cs="Arial"/>
                <w:color w:val="000000"/>
                <w:sz w:val="18"/>
                <w:szCs w:val="18"/>
              </w:rPr>
              <w:t xml:space="preserve">Frequency of Response </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0FDBB623" w14:textId="77777777">
            <w:pPr>
              <w:autoSpaceDE/>
              <w:autoSpaceDN/>
              <w:jc w:val="center"/>
              <w:rPr>
                <w:rFonts w:ascii="Arial" w:hAnsi="Arial" w:cs="Arial"/>
                <w:color w:val="000000"/>
                <w:sz w:val="18"/>
                <w:szCs w:val="18"/>
              </w:rPr>
            </w:pPr>
            <w:r w:rsidRPr="00A26070">
              <w:rPr>
                <w:rFonts w:ascii="Arial" w:hAnsi="Arial" w:cs="Arial"/>
                <w:color w:val="000000"/>
                <w:sz w:val="18"/>
                <w:szCs w:val="18"/>
              </w:rPr>
              <w:t xml:space="preserve">Total Annual Responses </w:t>
            </w:r>
          </w:p>
        </w:tc>
        <w:tc>
          <w:tcPr>
            <w:tcW w:w="937" w:type="dxa"/>
            <w:tcBorders>
              <w:top w:val="single" w:color="auto" w:sz="4" w:space="0"/>
              <w:left w:val="nil"/>
              <w:bottom w:val="single" w:color="auto" w:sz="4" w:space="0"/>
              <w:right w:val="single" w:color="auto" w:sz="4" w:space="0"/>
            </w:tcBorders>
            <w:shd w:val="clear" w:color="auto" w:fill="auto"/>
            <w:vAlign w:val="center"/>
            <w:hideMark/>
          </w:tcPr>
          <w:p w:rsidRPr="00A26070" w:rsidR="00224AF0" w:rsidP="00A26070" w:rsidRDefault="00224AF0" w14:paraId="7AE72791" w14:textId="77777777">
            <w:pPr>
              <w:autoSpaceDE/>
              <w:autoSpaceDN/>
              <w:jc w:val="center"/>
              <w:rPr>
                <w:rFonts w:ascii="Arial" w:hAnsi="Arial" w:cs="Arial"/>
                <w:color w:val="000000"/>
                <w:sz w:val="18"/>
                <w:szCs w:val="18"/>
              </w:rPr>
            </w:pPr>
            <w:r w:rsidRPr="00A26070">
              <w:rPr>
                <w:rFonts w:ascii="Arial" w:hAnsi="Arial" w:cs="Arial"/>
                <w:color w:val="000000"/>
                <w:sz w:val="18"/>
                <w:szCs w:val="18"/>
              </w:rPr>
              <w:t>Hours per Response</w:t>
            </w:r>
          </w:p>
        </w:tc>
        <w:tc>
          <w:tcPr>
            <w:tcW w:w="7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10E5D120" w14:textId="77777777">
            <w:pPr>
              <w:autoSpaceDE/>
              <w:autoSpaceDN/>
              <w:jc w:val="center"/>
              <w:rPr>
                <w:rFonts w:ascii="Arial" w:hAnsi="Arial" w:cs="Arial"/>
                <w:color w:val="000000"/>
                <w:sz w:val="18"/>
                <w:szCs w:val="18"/>
              </w:rPr>
            </w:pPr>
            <w:r w:rsidRPr="00A26070">
              <w:rPr>
                <w:rFonts w:ascii="Arial" w:hAnsi="Arial" w:cs="Arial"/>
                <w:color w:val="000000"/>
                <w:sz w:val="18"/>
                <w:szCs w:val="18"/>
              </w:rPr>
              <w:t>Annual Burden Hours</w:t>
            </w:r>
          </w:p>
        </w:tc>
        <w:tc>
          <w:tcPr>
            <w:tcW w:w="65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5B947E62" w14:textId="77777777">
            <w:pPr>
              <w:autoSpaceDE/>
              <w:autoSpaceDN/>
              <w:jc w:val="center"/>
              <w:rPr>
                <w:rFonts w:ascii="Arial" w:hAnsi="Arial" w:cs="Arial"/>
                <w:color w:val="000000"/>
                <w:sz w:val="18"/>
                <w:szCs w:val="18"/>
              </w:rPr>
            </w:pPr>
            <w:r w:rsidRPr="00A26070">
              <w:rPr>
                <w:rFonts w:ascii="Arial" w:hAnsi="Arial" w:cs="Arial"/>
                <w:color w:val="000000"/>
                <w:sz w:val="18"/>
                <w:szCs w:val="18"/>
              </w:rPr>
              <w:t>Hourly Cost</w:t>
            </w:r>
          </w:p>
        </w:tc>
        <w:tc>
          <w:tcPr>
            <w:tcW w:w="993" w:type="dxa"/>
            <w:vMerge w:val="restart"/>
            <w:tcBorders>
              <w:top w:val="single" w:color="auto" w:sz="4" w:space="0"/>
              <w:left w:val="single" w:color="auto" w:sz="4" w:space="0"/>
              <w:right w:val="single" w:color="auto" w:sz="4" w:space="0"/>
            </w:tcBorders>
            <w:vAlign w:val="center"/>
          </w:tcPr>
          <w:p w:rsidRPr="00A26070" w:rsidR="00224AF0" w:rsidP="00315F49" w:rsidRDefault="00224AF0" w14:paraId="409E4342" w14:textId="2E4DBE41">
            <w:pPr>
              <w:jc w:val="center"/>
              <w:rPr>
                <w:rFonts w:ascii="Arial" w:hAnsi="Arial" w:cs="Arial"/>
                <w:color w:val="000000"/>
                <w:sz w:val="18"/>
                <w:szCs w:val="18"/>
              </w:rPr>
            </w:pPr>
            <w:r>
              <w:rPr>
                <w:rFonts w:ascii="Arial" w:hAnsi="Arial" w:cs="Arial"/>
                <w:color w:val="000000"/>
                <w:sz w:val="18"/>
                <w:szCs w:val="18"/>
              </w:rPr>
              <w:t>Respondent</w:t>
            </w:r>
          </w:p>
        </w:tc>
        <w:tc>
          <w:tcPr>
            <w:tcW w:w="2012"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6AC1538F" w14:textId="19006E90">
            <w:pPr>
              <w:autoSpaceDE/>
              <w:autoSpaceDN/>
              <w:jc w:val="center"/>
              <w:rPr>
                <w:rFonts w:ascii="Arial" w:hAnsi="Arial" w:cs="Arial"/>
                <w:color w:val="000000"/>
                <w:sz w:val="18"/>
                <w:szCs w:val="18"/>
              </w:rPr>
            </w:pPr>
            <w:r w:rsidRPr="00A26070">
              <w:rPr>
                <w:rFonts w:ascii="Arial" w:hAnsi="Arial" w:cs="Arial"/>
                <w:color w:val="000000"/>
                <w:sz w:val="18"/>
                <w:szCs w:val="18"/>
              </w:rPr>
              <w:t>Total Annual Cost</w:t>
            </w:r>
          </w:p>
        </w:tc>
      </w:tr>
      <w:tr w:rsidRPr="00A26070" w:rsidR="00315F49" w:rsidTr="00E02C77" w14:paraId="0188323B" w14:textId="77777777">
        <w:trPr>
          <w:trHeight w:val="912"/>
        </w:trPr>
        <w:tc>
          <w:tcPr>
            <w:tcW w:w="1392" w:type="dxa"/>
            <w:vMerge/>
            <w:tcBorders>
              <w:top w:val="single" w:color="auto" w:sz="4" w:space="0"/>
              <w:left w:val="single" w:color="auto" w:sz="4" w:space="0"/>
              <w:bottom w:val="single" w:color="auto" w:sz="4" w:space="0"/>
              <w:right w:val="single" w:color="auto" w:sz="4" w:space="0"/>
            </w:tcBorders>
            <w:vAlign w:val="center"/>
            <w:hideMark/>
          </w:tcPr>
          <w:p w:rsidRPr="00A26070" w:rsidR="00224AF0" w:rsidP="00A26070" w:rsidRDefault="00224AF0" w14:paraId="0AB21996" w14:textId="77777777">
            <w:pPr>
              <w:autoSpaceDE/>
              <w:autoSpaceDN/>
              <w:rPr>
                <w:rFonts w:ascii="Arial" w:hAnsi="Arial" w:cs="Arial"/>
                <w:color w:val="000000"/>
                <w:sz w:val="18"/>
                <w:szCs w:val="18"/>
              </w:rPr>
            </w:pPr>
          </w:p>
        </w:tc>
        <w:tc>
          <w:tcPr>
            <w:tcW w:w="1064" w:type="dxa"/>
            <w:vMerge/>
            <w:tcBorders>
              <w:top w:val="single" w:color="auto" w:sz="4" w:space="0"/>
              <w:left w:val="single" w:color="auto" w:sz="4" w:space="0"/>
              <w:bottom w:val="single" w:color="auto" w:sz="4" w:space="0"/>
              <w:right w:val="single" w:color="auto" w:sz="4" w:space="0"/>
            </w:tcBorders>
            <w:vAlign w:val="center"/>
            <w:hideMark/>
          </w:tcPr>
          <w:p w:rsidRPr="00A26070" w:rsidR="00224AF0" w:rsidP="00A26070" w:rsidRDefault="00224AF0" w14:paraId="6D8C4BF5" w14:textId="77777777">
            <w:pPr>
              <w:autoSpaceDE/>
              <w:autoSpaceDN/>
              <w:rPr>
                <w:rFonts w:ascii="Arial" w:hAnsi="Arial" w:cs="Arial"/>
                <w:color w:val="000000"/>
                <w:sz w:val="18"/>
                <w:szCs w:val="18"/>
              </w:rPr>
            </w:pPr>
          </w:p>
        </w:tc>
        <w:tc>
          <w:tcPr>
            <w:tcW w:w="896" w:type="dxa"/>
            <w:vMerge/>
            <w:tcBorders>
              <w:top w:val="single" w:color="auto" w:sz="4" w:space="0"/>
              <w:left w:val="single" w:color="auto" w:sz="4" w:space="0"/>
              <w:bottom w:val="single" w:color="auto" w:sz="4" w:space="0"/>
              <w:right w:val="single" w:color="auto" w:sz="4" w:space="0"/>
            </w:tcBorders>
            <w:vAlign w:val="center"/>
            <w:hideMark/>
          </w:tcPr>
          <w:p w:rsidRPr="00A26070" w:rsidR="00224AF0" w:rsidP="00A26070" w:rsidRDefault="00224AF0" w14:paraId="3A4AE63F" w14:textId="77777777">
            <w:pPr>
              <w:autoSpaceDE/>
              <w:autoSpaceDN/>
              <w:rPr>
                <w:rFonts w:ascii="Arial" w:hAnsi="Arial" w:cs="Arial"/>
                <w:color w:val="000000"/>
                <w:sz w:val="18"/>
                <w:szCs w:val="18"/>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26070" w:rsidR="00224AF0" w:rsidP="00A26070" w:rsidRDefault="00224AF0" w14:paraId="666FDC9F" w14:textId="77777777">
            <w:pPr>
              <w:autoSpaceDE/>
              <w:autoSpaceDN/>
              <w:rPr>
                <w:rFonts w:ascii="Arial" w:hAnsi="Arial" w:cs="Arial"/>
                <w:color w:val="000000"/>
                <w:sz w:val="18"/>
                <w:szCs w:val="18"/>
              </w:rPr>
            </w:pP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6C6FA284" w14:textId="77777777">
            <w:pPr>
              <w:autoSpaceDE/>
              <w:autoSpaceDN/>
              <w:jc w:val="center"/>
              <w:rPr>
                <w:rFonts w:ascii="Arial" w:hAnsi="Arial" w:cs="Arial"/>
                <w:color w:val="000000"/>
                <w:sz w:val="18"/>
                <w:szCs w:val="18"/>
              </w:rPr>
            </w:pPr>
            <w:r w:rsidRPr="00A26070">
              <w:rPr>
                <w:rFonts w:ascii="Arial" w:hAnsi="Arial" w:cs="Arial"/>
                <w:color w:val="000000"/>
                <w:sz w:val="18"/>
                <w:szCs w:val="18"/>
              </w:rPr>
              <w:t>(expressed as percentage of hour for calculating burden hours)</w:t>
            </w:r>
          </w:p>
        </w:tc>
        <w:tc>
          <w:tcPr>
            <w:tcW w:w="737" w:type="dxa"/>
            <w:vMerge/>
            <w:tcBorders>
              <w:top w:val="single" w:color="auto" w:sz="4" w:space="0"/>
              <w:left w:val="single" w:color="auto" w:sz="4" w:space="0"/>
              <w:bottom w:val="single" w:color="auto" w:sz="4" w:space="0"/>
              <w:right w:val="single" w:color="auto" w:sz="4" w:space="0"/>
            </w:tcBorders>
            <w:vAlign w:val="center"/>
            <w:hideMark/>
          </w:tcPr>
          <w:p w:rsidRPr="00A26070" w:rsidR="00224AF0" w:rsidP="00A26070" w:rsidRDefault="00224AF0" w14:paraId="11BA8B3B" w14:textId="77777777">
            <w:pPr>
              <w:autoSpaceDE/>
              <w:autoSpaceDN/>
              <w:rPr>
                <w:rFonts w:ascii="Arial" w:hAnsi="Arial" w:cs="Arial"/>
                <w:color w:val="000000"/>
                <w:sz w:val="18"/>
                <w:szCs w:val="18"/>
              </w:rPr>
            </w:pPr>
          </w:p>
        </w:tc>
        <w:tc>
          <w:tcPr>
            <w:tcW w:w="657" w:type="dxa"/>
            <w:vMerge/>
            <w:tcBorders>
              <w:top w:val="single" w:color="auto" w:sz="4" w:space="0"/>
              <w:left w:val="single" w:color="auto" w:sz="4" w:space="0"/>
              <w:bottom w:val="single" w:color="auto" w:sz="4" w:space="0"/>
              <w:right w:val="single" w:color="auto" w:sz="4" w:space="0"/>
            </w:tcBorders>
            <w:vAlign w:val="center"/>
            <w:hideMark/>
          </w:tcPr>
          <w:p w:rsidRPr="00A26070" w:rsidR="00224AF0" w:rsidP="00A26070" w:rsidRDefault="00224AF0" w14:paraId="3C7C11DA" w14:textId="77777777">
            <w:pPr>
              <w:autoSpaceDE/>
              <w:autoSpaceDN/>
              <w:rPr>
                <w:rFonts w:ascii="Arial" w:hAnsi="Arial" w:cs="Arial"/>
                <w:color w:val="000000"/>
                <w:sz w:val="18"/>
                <w:szCs w:val="18"/>
              </w:rPr>
            </w:pPr>
          </w:p>
        </w:tc>
        <w:tc>
          <w:tcPr>
            <w:tcW w:w="993" w:type="dxa"/>
            <w:vMerge/>
            <w:tcBorders>
              <w:left w:val="single" w:color="auto" w:sz="4" w:space="0"/>
              <w:bottom w:val="single" w:color="auto" w:sz="4" w:space="0"/>
              <w:right w:val="single" w:color="auto" w:sz="4" w:space="0"/>
            </w:tcBorders>
          </w:tcPr>
          <w:p w:rsidRPr="00A26070" w:rsidR="00224AF0" w:rsidP="00A26070" w:rsidRDefault="00224AF0" w14:paraId="637B647E" w14:textId="415D2B2A">
            <w:pPr>
              <w:autoSpaceDE/>
              <w:autoSpaceDN/>
              <w:rPr>
                <w:rFonts w:ascii="Arial" w:hAnsi="Arial" w:cs="Arial"/>
                <w:color w:val="000000"/>
                <w:sz w:val="18"/>
                <w:szCs w:val="18"/>
              </w:rPr>
            </w:pPr>
          </w:p>
        </w:tc>
        <w:tc>
          <w:tcPr>
            <w:tcW w:w="2012" w:type="dxa"/>
            <w:vMerge/>
            <w:tcBorders>
              <w:top w:val="single" w:color="auto" w:sz="4" w:space="0"/>
              <w:left w:val="single" w:color="auto" w:sz="4" w:space="0"/>
              <w:bottom w:val="single" w:color="auto" w:sz="4" w:space="0"/>
              <w:right w:val="single" w:color="auto" w:sz="4" w:space="0"/>
            </w:tcBorders>
            <w:vAlign w:val="center"/>
            <w:hideMark/>
          </w:tcPr>
          <w:p w:rsidRPr="00A26070" w:rsidR="00224AF0" w:rsidP="00A26070" w:rsidRDefault="00224AF0" w14:paraId="7EC5B39B" w14:textId="1287169E">
            <w:pPr>
              <w:autoSpaceDE/>
              <w:autoSpaceDN/>
              <w:rPr>
                <w:rFonts w:ascii="Arial" w:hAnsi="Arial" w:cs="Arial"/>
                <w:color w:val="000000"/>
                <w:sz w:val="18"/>
                <w:szCs w:val="18"/>
              </w:rPr>
            </w:pPr>
          </w:p>
        </w:tc>
      </w:tr>
      <w:tr w:rsidRPr="00A26070" w:rsidR="00315F49" w:rsidTr="00315F49" w14:paraId="0709E617" w14:textId="77777777">
        <w:trPr>
          <w:trHeight w:val="684"/>
        </w:trPr>
        <w:tc>
          <w:tcPr>
            <w:tcW w:w="1392" w:type="dxa"/>
            <w:tcBorders>
              <w:top w:val="nil"/>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60FBAAB8" w14:textId="77777777">
            <w:pPr>
              <w:autoSpaceDE/>
              <w:autoSpaceDN/>
              <w:rPr>
                <w:rFonts w:ascii="Arial" w:hAnsi="Arial" w:cs="Arial"/>
                <w:color w:val="000000"/>
                <w:sz w:val="18"/>
                <w:szCs w:val="18"/>
              </w:rPr>
            </w:pPr>
            <w:r w:rsidRPr="00A26070">
              <w:rPr>
                <w:rFonts w:ascii="Arial" w:hAnsi="Arial" w:cs="Arial"/>
                <w:color w:val="000000"/>
                <w:sz w:val="18"/>
                <w:szCs w:val="18"/>
              </w:rPr>
              <w:t>Initial Appraisal Ordering (Form 26-1805)</w:t>
            </w:r>
          </w:p>
        </w:tc>
        <w:tc>
          <w:tcPr>
            <w:tcW w:w="1064"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31D131E8"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896"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41746726" w14:textId="77777777">
            <w:pPr>
              <w:autoSpaceDE/>
              <w:autoSpaceDN/>
              <w:jc w:val="right"/>
              <w:rPr>
                <w:rFonts w:ascii="Arial" w:hAnsi="Arial" w:cs="Arial"/>
                <w:color w:val="000000"/>
                <w:sz w:val="18"/>
                <w:szCs w:val="18"/>
              </w:rPr>
            </w:pPr>
            <w:r w:rsidRPr="00A26070">
              <w:rPr>
                <w:rFonts w:ascii="Arial" w:hAnsi="Arial" w:cs="Arial"/>
                <w:color w:val="000000"/>
                <w:sz w:val="18"/>
                <w:szCs w:val="18"/>
              </w:rPr>
              <w:t>1.00</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29A5FCCA"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5FDF9F02" w14:textId="77777777">
            <w:pPr>
              <w:autoSpaceDE/>
              <w:autoSpaceDN/>
              <w:jc w:val="right"/>
              <w:rPr>
                <w:rFonts w:ascii="Arial" w:hAnsi="Arial" w:cs="Arial"/>
                <w:color w:val="000000"/>
                <w:sz w:val="18"/>
                <w:szCs w:val="18"/>
              </w:rPr>
            </w:pPr>
            <w:r w:rsidRPr="00A26070">
              <w:rPr>
                <w:rFonts w:ascii="Arial" w:hAnsi="Arial" w:cs="Arial"/>
                <w:color w:val="000000"/>
                <w:sz w:val="18"/>
                <w:szCs w:val="18"/>
              </w:rPr>
              <w:t>0.10</w:t>
            </w:r>
          </w:p>
        </w:tc>
        <w:tc>
          <w:tcPr>
            <w:tcW w:w="7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20E3F076"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 </w:t>
            </w:r>
          </w:p>
        </w:tc>
        <w:tc>
          <w:tcPr>
            <w:tcW w:w="65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638CA573" w14:textId="77777777">
            <w:pPr>
              <w:autoSpaceDE/>
              <w:autoSpaceDN/>
              <w:jc w:val="right"/>
              <w:rPr>
                <w:rFonts w:ascii="Arial" w:hAnsi="Arial" w:cs="Arial"/>
                <w:color w:val="000000"/>
                <w:sz w:val="18"/>
                <w:szCs w:val="18"/>
              </w:rPr>
            </w:pPr>
            <w:r w:rsidRPr="00A26070">
              <w:rPr>
                <w:rFonts w:ascii="Arial" w:hAnsi="Arial" w:cs="Arial"/>
                <w:color w:val="000000"/>
                <w:sz w:val="18"/>
                <w:szCs w:val="18"/>
              </w:rPr>
              <w:t>$21.17</w:t>
            </w:r>
          </w:p>
        </w:tc>
        <w:tc>
          <w:tcPr>
            <w:tcW w:w="993" w:type="dxa"/>
            <w:tcBorders>
              <w:top w:val="single" w:color="auto" w:sz="4" w:space="0"/>
              <w:left w:val="nil"/>
              <w:bottom w:val="single" w:color="auto" w:sz="4" w:space="0"/>
              <w:right w:val="single" w:color="auto" w:sz="4" w:space="0"/>
            </w:tcBorders>
            <w:vAlign w:val="center"/>
          </w:tcPr>
          <w:p w:rsidRPr="00A26070" w:rsidR="00224AF0" w:rsidP="00315F49" w:rsidRDefault="00224AF0" w14:paraId="7E7E708C" w14:textId="64B157C5">
            <w:pPr>
              <w:autoSpaceDE/>
              <w:autoSpaceDN/>
              <w:jc w:val="center"/>
              <w:rPr>
                <w:rFonts w:ascii="Arial" w:hAnsi="Arial" w:cs="Arial"/>
                <w:color w:val="000000"/>
                <w:sz w:val="18"/>
                <w:szCs w:val="18"/>
              </w:rPr>
            </w:pPr>
            <w:r>
              <w:rPr>
                <w:rFonts w:ascii="Arial" w:hAnsi="Arial" w:cs="Arial"/>
                <w:color w:val="000000"/>
                <w:sz w:val="18"/>
                <w:szCs w:val="18"/>
              </w:rPr>
              <w:t>Lender</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25B40AAA" w14:textId="0FCB1F5A">
            <w:pPr>
              <w:autoSpaceDE/>
              <w:autoSpaceDN/>
              <w:jc w:val="right"/>
              <w:rPr>
                <w:rFonts w:ascii="Arial" w:hAnsi="Arial" w:cs="Arial"/>
                <w:color w:val="000000"/>
                <w:sz w:val="18"/>
                <w:szCs w:val="18"/>
              </w:rPr>
            </w:pPr>
            <w:r w:rsidRPr="00A26070">
              <w:rPr>
                <w:rFonts w:ascii="Arial" w:hAnsi="Arial" w:cs="Arial"/>
                <w:color w:val="000000"/>
                <w:sz w:val="18"/>
                <w:szCs w:val="18"/>
              </w:rPr>
              <w:t>$1,376,050</w:t>
            </w:r>
          </w:p>
        </w:tc>
      </w:tr>
      <w:tr w:rsidRPr="00A26070" w:rsidR="00315F49" w:rsidTr="00315F49" w14:paraId="36F675A0" w14:textId="77777777">
        <w:trPr>
          <w:trHeight w:val="456"/>
        </w:trPr>
        <w:tc>
          <w:tcPr>
            <w:tcW w:w="1392" w:type="dxa"/>
            <w:tcBorders>
              <w:top w:val="nil"/>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21CCBB07" w14:textId="77777777">
            <w:pPr>
              <w:autoSpaceDE/>
              <w:autoSpaceDN/>
              <w:rPr>
                <w:rFonts w:ascii="Arial" w:hAnsi="Arial" w:cs="Arial"/>
                <w:color w:val="000000"/>
                <w:sz w:val="18"/>
                <w:szCs w:val="18"/>
              </w:rPr>
            </w:pPr>
            <w:r w:rsidRPr="00A26070">
              <w:rPr>
                <w:rFonts w:ascii="Arial" w:hAnsi="Arial" w:cs="Arial"/>
                <w:color w:val="000000"/>
                <w:sz w:val="18"/>
                <w:szCs w:val="18"/>
              </w:rPr>
              <w:t>Appraisal Ordering Acknowledgement</w:t>
            </w:r>
          </w:p>
        </w:tc>
        <w:tc>
          <w:tcPr>
            <w:tcW w:w="1064"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462FB7A3"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896"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2FA4B59E" w14:textId="77777777">
            <w:pPr>
              <w:autoSpaceDE/>
              <w:autoSpaceDN/>
              <w:jc w:val="right"/>
              <w:rPr>
                <w:rFonts w:ascii="Arial" w:hAnsi="Arial" w:cs="Arial"/>
                <w:color w:val="000000"/>
                <w:sz w:val="18"/>
                <w:szCs w:val="18"/>
              </w:rPr>
            </w:pPr>
            <w:r w:rsidRPr="00A26070">
              <w:rPr>
                <w:rFonts w:ascii="Arial" w:hAnsi="Arial" w:cs="Arial"/>
                <w:color w:val="000000"/>
                <w:sz w:val="18"/>
                <w:szCs w:val="18"/>
              </w:rPr>
              <w:t>0.98</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5CD83A39"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637,000 </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6E3E9603" w14:textId="77777777">
            <w:pPr>
              <w:autoSpaceDE/>
              <w:autoSpaceDN/>
              <w:jc w:val="right"/>
              <w:rPr>
                <w:rFonts w:ascii="Arial" w:hAnsi="Arial" w:cs="Arial"/>
                <w:color w:val="000000"/>
                <w:sz w:val="18"/>
                <w:szCs w:val="18"/>
              </w:rPr>
            </w:pPr>
            <w:r w:rsidRPr="00A26070">
              <w:rPr>
                <w:rFonts w:ascii="Arial" w:hAnsi="Arial" w:cs="Arial"/>
                <w:color w:val="000000"/>
                <w:sz w:val="18"/>
                <w:szCs w:val="18"/>
              </w:rPr>
              <w:t>0.05</w:t>
            </w:r>
          </w:p>
        </w:tc>
        <w:tc>
          <w:tcPr>
            <w:tcW w:w="7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720DF436"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31,850 </w:t>
            </w:r>
          </w:p>
        </w:tc>
        <w:tc>
          <w:tcPr>
            <w:tcW w:w="65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1C5EB707" w14:textId="77777777">
            <w:pPr>
              <w:autoSpaceDE/>
              <w:autoSpaceDN/>
              <w:jc w:val="right"/>
              <w:rPr>
                <w:rFonts w:ascii="Arial" w:hAnsi="Arial" w:cs="Arial"/>
                <w:color w:val="000000"/>
                <w:sz w:val="18"/>
                <w:szCs w:val="18"/>
              </w:rPr>
            </w:pPr>
            <w:r w:rsidRPr="00A26070">
              <w:rPr>
                <w:rFonts w:ascii="Arial" w:hAnsi="Arial" w:cs="Arial"/>
                <w:color w:val="000000"/>
                <w:sz w:val="18"/>
                <w:szCs w:val="18"/>
              </w:rPr>
              <w:t>$30.58</w:t>
            </w:r>
          </w:p>
        </w:tc>
        <w:tc>
          <w:tcPr>
            <w:tcW w:w="993" w:type="dxa"/>
            <w:tcBorders>
              <w:top w:val="single" w:color="auto" w:sz="4" w:space="0"/>
              <w:left w:val="nil"/>
              <w:bottom w:val="single" w:color="auto" w:sz="4" w:space="0"/>
              <w:right w:val="single" w:color="auto" w:sz="4" w:space="0"/>
            </w:tcBorders>
            <w:vAlign w:val="center"/>
          </w:tcPr>
          <w:p w:rsidRPr="00A26070" w:rsidR="00224AF0" w:rsidP="00315F49" w:rsidRDefault="00224AF0" w14:paraId="3857FC53" w14:textId="6738D9F8">
            <w:pPr>
              <w:autoSpaceDE/>
              <w:autoSpaceDN/>
              <w:jc w:val="center"/>
              <w:rPr>
                <w:rFonts w:ascii="Arial" w:hAnsi="Arial" w:cs="Arial"/>
                <w:color w:val="000000"/>
                <w:sz w:val="18"/>
                <w:szCs w:val="18"/>
              </w:rPr>
            </w:pPr>
            <w:r>
              <w:rPr>
                <w:rFonts w:ascii="Arial" w:hAnsi="Arial" w:cs="Arial"/>
                <w:color w:val="000000"/>
                <w:sz w:val="18"/>
                <w:szCs w:val="18"/>
              </w:rPr>
              <w:t>Appraiser</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78A0414F" w14:textId="53B0952F">
            <w:pPr>
              <w:autoSpaceDE/>
              <w:autoSpaceDN/>
              <w:jc w:val="right"/>
              <w:rPr>
                <w:rFonts w:ascii="Arial" w:hAnsi="Arial" w:cs="Arial"/>
                <w:color w:val="000000"/>
                <w:sz w:val="18"/>
                <w:szCs w:val="18"/>
              </w:rPr>
            </w:pPr>
            <w:r w:rsidRPr="00A26070">
              <w:rPr>
                <w:rFonts w:ascii="Arial" w:hAnsi="Arial" w:cs="Arial"/>
                <w:color w:val="000000"/>
                <w:sz w:val="18"/>
                <w:szCs w:val="18"/>
              </w:rPr>
              <w:t>$973,973</w:t>
            </w:r>
          </w:p>
        </w:tc>
      </w:tr>
      <w:tr w:rsidRPr="00A26070" w:rsidR="00315F49" w:rsidTr="00315F49" w14:paraId="19EC3F00" w14:textId="77777777">
        <w:trPr>
          <w:trHeight w:val="456"/>
        </w:trPr>
        <w:tc>
          <w:tcPr>
            <w:tcW w:w="1392" w:type="dxa"/>
            <w:tcBorders>
              <w:top w:val="nil"/>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280B53C4" w14:textId="77777777">
            <w:pPr>
              <w:autoSpaceDE/>
              <w:autoSpaceDN/>
              <w:rPr>
                <w:rFonts w:ascii="Arial" w:hAnsi="Arial" w:cs="Arial"/>
                <w:color w:val="000000"/>
                <w:sz w:val="18"/>
                <w:szCs w:val="18"/>
              </w:rPr>
            </w:pPr>
            <w:r w:rsidRPr="00A26070">
              <w:rPr>
                <w:rFonts w:ascii="Arial" w:hAnsi="Arial" w:cs="Arial"/>
                <w:color w:val="000000"/>
                <w:sz w:val="18"/>
                <w:szCs w:val="18"/>
              </w:rPr>
              <w:t>Appraisal Reassignment</w:t>
            </w:r>
          </w:p>
        </w:tc>
        <w:tc>
          <w:tcPr>
            <w:tcW w:w="1064"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55995B78"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896"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7756FF8E" w14:textId="77777777">
            <w:pPr>
              <w:autoSpaceDE/>
              <w:autoSpaceDN/>
              <w:jc w:val="right"/>
              <w:rPr>
                <w:rFonts w:ascii="Arial" w:hAnsi="Arial" w:cs="Arial"/>
                <w:color w:val="000000"/>
                <w:sz w:val="18"/>
                <w:szCs w:val="18"/>
              </w:rPr>
            </w:pPr>
            <w:r w:rsidRPr="00A26070">
              <w:rPr>
                <w:rFonts w:ascii="Arial" w:hAnsi="Arial" w:cs="Arial"/>
                <w:color w:val="000000"/>
                <w:sz w:val="18"/>
                <w:szCs w:val="18"/>
              </w:rPr>
              <w:t>0.02</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5F96D92E"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13,000 </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39169772" w14:textId="77777777">
            <w:pPr>
              <w:autoSpaceDE/>
              <w:autoSpaceDN/>
              <w:jc w:val="right"/>
              <w:rPr>
                <w:rFonts w:ascii="Arial" w:hAnsi="Arial" w:cs="Arial"/>
                <w:color w:val="000000"/>
                <w:sz w:val="18"/>
                <w:szCs w:val="18"/>
              </w:rPr>
            </w:pPr>
            <w:r w:rsidRPr="00A26070">
              <w:rPr>
                <w:rFonts w:ascii="Arial" w:hAnsi="Arial" w:cs="Arial"/>
                <w:color w:val="000000"/>
                <w:sz w:val="18"/>
                <w:szCs w:val="18"/>
              </w:rPr>
              <w:t>0.05</w:t>
            </w:r>
          </w:p>
        </w:tc>
        <w:tc>
          <w:tcPr>
            <w:tcW w:w="7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32BCD32C"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 </w:t>
            </w:r>
          </w:p>
        </w:tc>
        <w:tc>
          <w:tcPr>
            <w:tcW w:w="65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10FE01E6" w14:textId="77777777">
            <w:pPr>
              <w:autoSpaceDE/>
              <w:autoSpaceDN/>
              <w:jc w:val="right"/>
              <w:rPr>
                <w:rFonts w:ascii="Arial" w:hAnsi="Arial" w:cs="Arial"/>
                <w:color w:val="000000"/>
                <w:sz w:val="18"/>
                <w:szCs w:val="18"/>
              </w:rPr>
            </w:pPr>
            <w:r w:rsidRPr="00A26070">
              <w:rPr>
                <w:rFonts w:ascii="Arial" w:hAnsi="Arial" w:cs="Arial"/>
                <w:color w:val="000000"/>
                <w:sz w:val="18"/>
                <w:szCs w:val="18"/>
              </w:rPr>
              <w:t>$30.58</w:t>
            </w:r>
          </w:p>
        </w:tc>
        <w:tc>
          <w:tcPr>
            <w:tcW w:w="993" w:type="dxa"/>
            <w:tcBorders>
              <w:top w:val="single" w:color="auto" w:sz="4" w:space="0"/>
              <w:left w:val="nil"/>
              <w:bottom w:val="single" w:color="auto" w:sz="4" w:space="0"/>
              <w:right w:val="single" w:color="auto" w:sz="4" w:space="0"/>
            </w:tcBorders>
            <w:vAlign w:val="center"/>
          </w:tcPr>
          <w:p w:rsidRPr="00A26070" w:rsidR="00224AF0" w:rsidP="00315F49" w:rsidRDefault="00224AF0" w14:paraId="67B00198" w14:textId="31CFDF1D">
            <w:pPr>
              <w:autoSpaceDE/>
              <w:autoSpaceDN/>
              <w:jc w:val="center"/>
              <w:rPr>
                <w:rFonts w:ascii="Arial" w:hAnsi="Arial" w:cs="Arial"/>
                <w:color w:val="000000"/>
                <w:sz w:val="18"/>
                <w:szCs w:val="18"/>
              </w:rPr>
            </w:pPr>
            <w:r>
              <w:rPr>
                <w:rFonts w:ascii="Arial" w:hAnsi="Arial" w:cs="Arial"/>
                <w:color w:val="000000"/>
                <w:sz w:val="18"/>
                <w:szCs w:val="18"/>
              </w:rPr>
              <w:t>Appraiser</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7B9B8FE5" w14:textId="2277C43C">
            <w:pPr>
              <w:autoSpaceDE/>
              <w:autoSpaceDN/>
              <w:jc w:val="right"/>
              <w:rPr>
                <w:rFonts w:ascii="Arial" w:hAnsi="Arial" w:cs="Arial"/>
                <w:color w:val="000000"/>
                <w:sz w:val="18"/>
                <w:szCs w:val="18"/>
              </w:rPr>
            </w:pPr>
            <w:r w:rsidRPr="00A26070">
              <w:rPr>
                <w:rFonts w:ascii="Arial" w:hAnsi="Arial" w:cs="Arial"/>
                <w:color w:val="000000"/>
                <w:sz w:val="18"/>
                <w:szCs w:val="18"/>
              </w:rPr>
              <w:t>$19,877</w:t>
            </w:r>
          </w:p>
        </w:tc>
      </w:tr>
      <w:tr w:rsidRPr="00A26070" w:rsidR="00315F49" w:rsidTr="00315F49" w14:paraId="5ABA158F" w14:textId="77777777">
        <w:trPr>
          <w:trHeight w:val="288"/>
        </w:trPr>
        <w:tc>
          <w:tcPr>
            <w:tcW w:w="1392" w:type="dxa"/>
            <w:tcBorders>
              <w:top w:val="nil"/>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1739B1C1" w14:textId="77777777">
            <w:pPr>
              <w:autoSpaceDE/>
              <w:autoSpaceDN/>
              <w:rPr>
                <w:rFonts w:ascii="Arial" w:hAnsi="Arial" w:cs="Arial"/>
                <w:color w:val="000000"/>
                <w:sz w:val="18"/>
                <w:szCs w:val="18"/>
              </w:rPr>
            </w:pPr>
            <w:r w:rsidRPr="00A26070">
              <w:rPr>
                <w:rFonts w:ascii="Arial" w:hAnsi="Arial" w:cs="Arial"/>
                <w:color w:val="000000"/>
                <w:sz w:val="18"/>
                <w:szCs w:val="18"/>
              </w:rPr>
              <w:t>Appraisal Scheduling</w:t>
            </w:r>
          </w:p>
        </w:tc>
        <w:tc>
          <w:tcPr>
            <w:tcW w:w="1064"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1B64E8EC"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896"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094854DE" w14:textId="77777777">
            <w:pPr>
              <w:autoSpaceDE/>
              <w:autoSpaceDN/>
              <w:jc w:val="right"/>
              <w:rPr>
                <w:rFonts w:ascii="Arial" w:hAnsi="Arial" w:cs="Arial"/>
                <w:color w:val="000000"/>
                <w:sz w:val="18"/>
                <w:szCs w:val="18"/>
              </w:rPr>
            </w:pPr>
            <w:r w:rsidRPr="00A26070">
              <w:rPr>
                <w:rFonts w:ascii="Arial" w:hAnsi="Arial" w:cs="Arial"/>
                <w:color w:val="000000"/>
                <w:sz w:val="18"/>
                <w:szCs w:val="18"/>
              </w:rPr>
              <w:t>1.00</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36EC85CA"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2AD5789E" w14:textId="77777777">
            <w:pPr>
              <w:autoSpaceDE/>
              <w:autoSpaceDN/>
              <w:jc w:val="right"/>
              <w:rPr>
                <w:rFonts w:ascii="Arial" w:hAnsi="Arial" w:cs="Arial"/>
                <w:color w:val="000000"/>
                <w:sz w:val="18"/>
                <w:szCs w:val="18"/>
              </w:rPr>
            </w:pPr>
            <w:r w:rsidRPr="00A26070">
              <w:rPr>
                <w:rFonts w:ascii="Arial" w:hAnsi="Arial" w:cs="Arial"/>
                <w:color w:val="000000"/>
                <w:sz w:val="18"/>
                <w:szCs w:val="18"/>
              </w:rPr>
              <w:t>0.05</w:t>
            </w:r>
          </w:p>
        </w:tc>
        <w:tc>
          <w:tcPr>
            <w:tcW w:w="7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5A80FDE5"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32,500 </w:t>
            </w:r>
          </w:p>
        </w:tc>
        <w:tc>
          <w:tcPr>
            <w:tcW w:w="65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21991262" w14:textId="77777777">
            <w:pPr>
              <w:autoSpaceDE/>
              <w:autoSpaceDN/>
              <w:jc w:val="right"/>
              <w:rPr>
                <w:rFonts w:ascii="Arial" w:hAnsi="Arial" w:cs="Arial"/>
                <w:color w:val="000000"/>
                <w:sz w:val="18"/>
                <w:szCs w:val="18"/>
              </w:rPr>
            </w:pPr>
            <w:r w:rsidRPr="00A26070">
              <w:rPr>
                <w:rFonts w:ascii="Arial" w:hAnsi="Arial" w:cs="Arial"/>
                <w:color w:val="000000"/>
                <w:sz w:val="18"/>
                <w:szCs w:val="18"/>
              </w:rPr>
              <w:t>$30.58</w:t>
            </w:r>
          </w:p>
        </w:tc>
        <w:tc>
          <w:tcPr>
            <w:tcW w:w="993" w:type="dxa"/>
            <w:tcBorders>
              <w:top w:val="single" w:color="auto" w:sz="4" w:space="0"/>
              <w:left w:val="nil"/>
              <w:bottom w:val="single" w:color="auto" w:sz="4" w:space="0"/>
              <w:right w:val="single" w:color="auto" w:sz="4" w:space="0"/>
            </w:tcBorders>
            <w:vAlign w:val="center"/>
          </w:tcPr>
          <w:p w:rsidRPr="00A26070" w:rsidR="00224AF0" w:rsidP="00315F49" w:rsidRDefault="00224AF0" w14:paraId="5C669981" w14:textId="1A655E5B">
            <w:pPr>
              <w:autoSpaceDE/>
              <w:autoSpaceDN/>
              <w:jc w:val="center"/>
              <w:rPr>
                <w:rFonts w:ascii="Arial" w:hAnsi="Arial" w:cs="Arial"/>
                <w:color w:val="000000"/>
                <w:sz w:val="18"/>
                <w:szCs w:val="18"/>
              </w:rPr>
            </w:pPr>
            <w:r>
              <w:rPr>
                <w:rFonts w:ascii="Arial" w:hAnsi="Arial" w:cs="Arial"/>
                <w:color w:val="000000"/>
                <w:sz w:val="18"/>
                <w:szCs w:val="18"/>
              </w:rPr>
              <w:t>Appraiser</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08630B6D" w14:textId="663A0F37">
            <w:pPr>
              <w:autoSpaceDE/>
              <w:autoSpaceDN/>
              <w:jc w:val="right"/>
              <w:rPr>
                <w:rFonts w:ascii="Arial" w:hAnsi="Arial" w:cs="Arial"/>
                <w:color w:val="000000"/>
                <w:sz w:val="18"/>
                <w:szCs w:val="18"/>
              </w:rPr>
            </w:pPr>
            <w:r w:rsidRPr="00A26070">
              <w:rPr>
                <w:rFonts w:ascii="Arial" w:hAnsi="Arial" w:cs="Arial"/>
                <w:color w:val="000000"/>
                <w:sz w:val="18"/>
                <w:szCs w:val="18"/>
              </w:rPr>
              <w:t>$993,850</w:t>
            </w:r>
          </w:p>
        </w:tc>
      </w:tr>
      <w:tr w:rsidRPr="00A26070" w:rsidR="00315F49" w:rsidTr="00315F49" w14:paraId="485C5387" w14:textId="77777777">
        <w:trPr>
          <w:trHeight w:val="288"/>
        </w:trPr>
        <w:tc>
          <w:tcPr>
            <w:tcW w:w="1392" w:type="dxa"/>
            <w:tcBorders>
              <w:top w:val="nil"/>
              <w:left w:val="single" w:color="auto" w:sz="4" w:space="0"/>
              <w:bottom w:val="single" w:color="auto" w:sz="4" w:space="0"/>
              <w:right w:val="single" w:color="auto" w:sz="4" w:space="0"/>
            </w:tcBorders>
            <w:shd w:val="clear" w:color="auto" w:fill="auto"/>
            <w:vAlign w:val="center"/>
            <w:hideMark/>
          </w:tcPr>
          <w:p w:rsidRPr="00A26070" w:rsidR="00224AF0" w:rsidP="00A26070" w:rsidRDefault="00603249" w14:paraId="2FD9FB4C" w14:textId="6BF16C4A">
            <w:pPr>
              <w:autoSpaceDE/>
              <w:autoSpaceDN/>
              <w:rPr>
                <w:rFonts w:ascii="Arial" w:hAnsi="Arial" w:cs="Arial"/>
                <w:color w:val="000000"/>
                <w:sz w:val="18"/>
                <w:szCs w:val="18"/>
              </w:rPr>
            </w:pPr>
            <w:r>
              <w:rPr>
                <w:rFonts w:ascii="Arial" w:hAnsi="Arial" w:cs="Arial"/>
                <w:color w:val="000000"/>
                <w:sz w:val="18"/>
                <w:szCs w:val="18"/>
              </w:rPr>
              <w:t xml:space="preserve">Upload </w:t>
            </w:r>
            <w:r w:rsidR="00315F49">
              <w:rPr>
                <w:rFonts w:ascii="Arial" w:hAnsi="Arial" w:cs="Arial"/>
                <w:color w:val="000000"/>
                <w:sz w:val="18"/>
                <w:szCs w:val="18"/>
              </w:rPr>
              <w:t>Appraisal</w:t>
            </w:r>
          </w:p>
        </w:tc>
        <w:tc>
          <w:tcPr>
            <w:tcW w:w="1064"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588A5F1C"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896"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4F6FA078" w14:textId="77777777">
            <w:pPr>
              <w:autoSpaceDE/>
              <w:autoSpaceDN/>
              <w:jc w:val="right"/>
              <w:rPr>
                <w:rFonts w:ascii="Arial" w:hAnsi="Arial" w:cs="Arial"/>
                <w:color w:val="000000"/>
                <w:sz w:val="18"/>
                <w:szCs w:val="18"/>
              </w:rPr>
            </w:pPr>
            <w:r w:rsidRPr="00A26070">
              <w:rPr>
                <w:rFonts w:ascii="Arial" w:hAnsi="Arial" w:cs="Arial"/>
                <w:color w:val="000000"/>
                <w:sz w:val="18"/>
                <w:szCs w:val="18"/>
              </w:rPr>
              <w:t>1.00</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086BF9A2"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31546DC1" w14:textId="0582F955">
            <w:pPr>
              <w:autoSpaceDE/>
              <w:autoSpaceDN/>
              <w:jc w:val="right"/>
              <w:rPr>
                <w:rFonts w:ascii="Arial" w:hAnsi="Arial" w:cs="Arial"/>
                <w:color w:val="000000"/>
                <w:sz w:val="18"/>
                <w:szCs w:val="18"/>
              </w:rPr>
            </w:pPr>
            <w:r w:rsidRPr="00A26070">
              <w:rPr>
                <w:rFonts w:ascii="Arial" w:hAnsi="Arial" w:cs="Arial"/>
                <w:color w:val="000000"/>
                <w:sz w:val="18"/>
                <w:szCs w:val="18"/>
              </w:rPr>
              <w:t>0.</w:t>
            </w:r>
            <w:r w:rsidR="00315F49">
              <w:rPr>
                <w:rFonts w:ascii="Arial" w:hAnsi="Arial" w:cs="Arial"/>
                <w:color w:val="000000"/>
                <w:sz w:val="18"/>
                <w:szCs w:val="18"/>
              </w:rPr>
              <w:t>10</w:t>
            </w:r>
          </w:p>
        </w:tc>
        <w:tc>
          <w:tcPr>
            <w:tcW w:w="7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0F035DE8" w14:textId="755D96C8">
            <w:pPr>
              <w:autoSpaceDE/>
              <w:autoSpaceDN/>
              <w:rPr>
                <w:rFonts w:ascii="Arial" w:hAnsi="Arial" w:cs="Arial"/>
                <w:color w:val="000000"/>
                <w:sz w:val="18"/>
                <w:szCs w:val="18"/>
              </w:rPr>
            </w:pPr>
            <w:r w:rsidRPr="00A26070">
              <w:rPr>
                <w:rFonts w:ascii="Arial" w:hAnsi="Arial" w:cs="Arial"/>
                <w:color w:val="000000"/>
                <w:sz w:val="18"/>
                <w:szCs w:val="18"/>
              </w:rPr>
              <w:t xml:space="preserve">     </w:t>
            </w:r>
            <w:r w:rsidR="000B028D">
              <w:rPr>
                <w:rFonts w:ascii="Arial" w:hAnsi="Arial" w:cs="Arial"/>
                <w:color w:val="000000"/>
                <w:sz w:val="18"/>
                <w:szCs w:val="18"/>
              </w:rPr>
              <w:t>65,000</w:t>
            </w:r>
            <w:r w:rsidRPr="00A26070">
              <w:rPr>
                <w:rFonts w:ascii="Arial" w:hAnsi="Arial" w:cs="Arial"/>
                <w:color w:val="000000"/>
                <w:sz w:val="18"/>
                <w:szCs w:val="18"/>
              </w:rPr>
              <w:t xml:space="preserve"> </w:t>
            </w:r>
          </w:p>
        </w:tc>
        <w:tc>
          <w:tcPr>
            <w:tcW w:w="65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0F364A20" w14:textId="77777777">
            <w:pPr>
              <w:autoSpaceDE/>
              <w:autoSpaceDN/>
              <w:jc w:val="right"/>
              <w:rPr>
                <w:rFonts w:ascii="Arial" w:hAnsi="Arial" w:cs="Arial"/>
                <w:color w:val="000000"/>
                <w:sz w:val="18"/>
                <w:szCs w:val="18"/>
              </w:rPr>
            </w:pPr>
            <w:r w:rsidRPr="00A26070">
              <w:rPr>
                <w:rFonts w:ascii="Arial" w:hAnsi="Arial" w:cs="Arial"/>
                <w:color w:val="000000"/>
                <w:sz w:val="18"/>
                <w:szCs w:val="18"/>
              </w:rPr>
              <w:t>$30.58</w:t>
            </w:r>
          </w:p>
        </w:tc>
        <w:tc>
          <w:tcPr>
            <w:tcW w:w="993" w:type="dxa"/>
            <w:tcBorders>
              <w:top w:val="single" w:color="auto" w:sz="4" w:space="0"/>
              <w:left w:val="nil"/>
              <w:bottom w:val="single" w:color="auto" w:sz="4" w:space="0"/>
              <w:right w:val="single" w:color="auto" w:sz="4" w:space="0"/>
            </w:tcBorders>
            <w:vAlign w:val="center"/>
          </w:tcPr>
          <w:p w:rsidRPr="00A26070" w:rsidR="00224AF0" w:rsidP="00315F49" w:rsidRDefault="00224AF0" w14:paraId="316BA854" w14:textId="5DEA227C">
            <w:pPr>
              <w:autoSpaceDE/>
              <w:autoSpaceDN/>
              <w:jc w:val="center"/>
              <w:rPr>
                <w:rFonts w:ascii="Arial" w:hAnsi="Arial" w:cs="Arial"/>
                <w:color w:val="000000"/>
                <w:sz w:val="18"/>
                <w:szCs w:val="18"/>
              </w:rPr>
            </w:pPr>
            <w:r>
              <w:rPr>
                <w:rFonts w:ascii="Arial" w:hAnsi="Arial" w:cs="Arial"/>
                <w:color w:val="000000"/>
                <w:sz w:val="18"/>
                <w:szCs w:val="18"/>
              </w:rPr>
              <w:t>Appraiser</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30C673FC" w14:textId="0CA3F697">
            <w:pPr>
              <w:autoSpaceDE/>
              <w:autoSpaceDN/>
              <w:jc w:val="right"/>
              <w:rPr>
                <w:rFonts w:ascii="Arial" w:hAnsi="Arial" w:cs="Arial"/>
                <w:color w:val="000000"/>
                <w:sz w:val="18"/>
                <w:szCs w:val="18"/>
              </w:rPr>
            </w:pPr>
            <w:r w:rsidRPr="00A26070">
              <w:rPr>
                <w:rFonts w:ascii="Arial" w:hAnsi="Arial" w:cs="Arial"/>
                <w:color w:val="000000"/>
                <w:sz w:val="18"/>
                <w:szCs w:val="18"/>
              </w:rPr>
              <w:t>$</w:t>
            </w:r>
            <w:r w:rsidR="00315F49">
              <w:t xml:space="preserve"> </w:t>
            </w:r>
            <w:r w:rsidRPr="00315F49" w:rsidR="00315F49">
              <w:rPr>
                <w:rFonts w:ascii="Arial" w:hAnsi="Arial" w:cs="Arial"/>
                <w:color w:val="000000"/>
                <w:sz w:val="18"/>
                <w:szCs w:val="18"/>
              </w:rPr>
              <w:t>1,987,700</w:t>
            </w:r>
          </w:p>
        </w:tc>
      </w:tr>
      <w:tr w:rsidRPr="00A26070" w:rsidR="00315F49" w:rsidTr="00315F49" w14:paraId="4E9542C1" w14:textId="77777777">
        <w:trPr>
          <w:trHeight w:val="456"/>
        </w:trPr>
        <w:tc>
          <w:tcPr>
            <w:tcW w:w="1392" w:type="dxa"/>
            <w:tcBorders>
              <w:top w:val="nil"/>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29793610" w14:textId="77777777">
            <w:pPr>
              <w:autoSpaceDE/>
              <w:autoSpaceDN/>
              <w:rPr>
                <w:rFonts w:ascii="Arial" w:hAnsi="Arial" w:cs="Arial"/>
                <w:color w:val="000000"/>
                <w:sz w:val="18"/>
                <w:szCs w:val="18"/>
              </w:rPr>
            </w:pPr>
            <w:r w:rsidRPr="00A26070">
              <w:rPr>
                <w:rFonts w:ascii="Arial" w:hAnsi="Arial" w:cs="Arial"/>
                <w:color w:val="000000"/>
                <w:sz w:val="18"/>
                <w:szCs w:val="18"/>
              </w:rPr>
              <w:t>Appraisal Review Checklist</w:t>
            </w:r>
          </w:p>
        </w:tc>
        <w:tc>
          <w:tcPr>
            <w:tcW w:w="1064"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2A1BC647"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896"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06925814" w14:textId="77777777">
            <w:pPr>
              <w:autoSpaceDE/>
              <w:autoSpaceDN/>
              <w:jc w:val="right"/>
              <w:rPr>
                <w:rFonts w:ascii="Arial" w:hAnsi="Arial" w:cs="Arial"/>
                <w:color w:val="000000"/>
                <w:sz w:val="18"/>
                <w:szCs w:val="18"/>
              </w:rPr>
            </w:pPr>
            <w:r w:rsidRPr="00A26070">
              <w:rPr>
                <w:rFonts w:ascii="Arial" w:hAnsi="Arial" w:cs="Arial"/>
                <w:color w:val="000000"/>
                <w:sz w:val="18"/>
                <w:szCs w:val="18"/>
              </w:rPr>
              <w:t>1.00</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3749B947"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2255B39C" w14:textId="77777777">
            <w:pPr>
              <w:autoSpaceDE/>
              <w:autoSpaceDN/>
              <w:jc w:val="right"/>
              <w:rPr>
                <w:rFonts w:ascii="Arial" w:hAnsi="Arial" w:cs="Arial"/>
                <w:color w:val="000000"/>
                <w:sz w:val="18"/>
                <w:szCs w:val="18"/>
              </w:rPr>
            </w:pPr>
            <w:r w:rsidRPr="00A26070">
              <w:rPr>
                <w:rFonts w:ascii="Arial" w:hAnsi="Arial" w:cs="Arial"/>
                <w:color w:val="000000"/>
                <w:sz w:val="18"/>
                <w:szCs w:val="18"/>
              </w:rPr>
              <w:t>0.50</w:t>
            </w:r>
          </w:p>
        </w:tc>
        <w:tc>
          <w:tcPr>
            <w:tcW w:w="7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4CD820D7"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325,000 </w:t>
            </w:r>
          </w:p>
        </w:tc>
        <w:tc>
          <w:tcPr>
            <w:tcW w:w="657" w:type="dxa"/>
            <w:tcBorders>
              <w:top w:val="nil"/>
              <w:left w:val="nil"/>
              <w:bottom w:val="single" w:color="auto" w:sz="4" w:space="0"/>
              <w:right w:val="single" w:color="auto" w:sz="4" w:space="0"/>
            </w:tcBorders>
            <w:shd w:val="clear" w:color="auto" w:fill="auto"/>
            <w:vAlign w:val="center"/>
            <w:hideMark/>
          </w:tcPr>
          <w:p w:rsidRPr="00E02C77" w:rsidR="00224AF0" w:rsidP="00A26070" w:rsidRDefault="00224AF0" w14:paraId="1A70C8A6" w14:textId="77777777">
            <w:pPr>
              <w:autoSpaceDE/>
              <w:autoSpaceDN/>
              <w:jc w:val="right"/>
              <w:rPr>
                <w:rFonts w:ascii="Arial" w:hAnsi="Arial" w:cs="Arial"/>
                <w:color w:val="000000"/>
                <w:sz w:val="18"/>
                <w:szCs w:val="18"/>
              </w:rPr>
            </w:pPr>
            <w:r w:rsidRPr="00E02C77">
              <w:rPr>
                <w:rFonts w:ascii="Arial" w:hAnsi="Arial" w:cs="Arial"/>
                <w:color w:val="000000"/>
                <w:sz w:val="18"/>
                <w:szCs w:val="18"/>
              </w:rPr>
              <w:t>$30.58</w:t>
            </w:r>
          </w:p>
        </w:tc>
        <w:tc>
          <w:tcPr>
            <w:tcW w:w="993" w:type="dxa"/>
            <w:tcBorders>
              <w:top w:val="single" w:color="auto" w:sz="4" w:space="0"/>
              <w:left w:val="nil"/>
              <w:bottom w:val="single" w:color="auto" w:sz="4" w:space="0"/>
              <w:right w:val="single" w:color="auto" w:sz="4" w:space="0"/>
            </w:tcBorders>
            <w:vAlign w:val="center"/>
          </w:tcPr>
          <w:p w:rsidRPr="00E02C77" w:rsidR="00224AF0" w:rsidP="00315F49" w:rsidRDefault="0035202E" w14:paraId="359E5507" w14:textId="1CDC140F">
            <w:pPr>
              <w:autoSpaceDE/>
              <w:autoSpaceDN/>
              <w:jc w:val="center"/>
              <w:rPr>
                <w:rFonts w:ascii="Arial" w:hAnsi="Arial" w:cs="Arial"/>
                <w:color w:val="000000"/>
                <w:sz w:val="18"/>
                <w:szCs w:val="18"/>
              </w:rPr>
            </w:pPr>
            <w:r w:rsidRPr="00E02C77">
              <w:rPr>
                <w:rFonts w:ascii="Arial" w:hAnsi="Arial" w:cs="Arial"/>
                <w:color w:val="000000"/>
                <w:sz w:val="18"/>
                <w:szCs w:val="18"/>
              </w:rPr>
              <w:t>Appraiser Reviewer</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73CE5B66" w14:textId="5143EB15">
            <w:pPr>
              <w:autoSpaceDE/>
              <w:autoSpaceDN/>
              <w:jc w:val="right"/>
              <w:rPr>
                <w:rFonts w:ascii="Arial" w:hAnsi="Arial" w:cs="Arial"/>
                <w:color w:val="000000"/>
                <w:sz w:val="18"/>
                <w:szCs w:val="18"/>
              </w:rPr>
            </w:pPr>
            <w:r w:rsidRPr="00A26070">
              <w:rPr>
                <w:rFonts w:ascii="Arial" w:hAnsi="Arial" w:cs="Arial"/>
                <w:color w:val="000000"/>
                <w:sz w:val="18"/>
                <w:szCs w:val="18"/>
              </w:rPr>
              <w:t>$9,938,500</w:t>
            </w:r>
          </w:p>
        </w:tc>
      </w:tr>
      <w:tr w:rsidRPr="00A26070" w:rsidR="00315F49" w:rsidTr="00315F49" w14:paraId="345D6076" w14:textId="77777777">
        <w:trPr>
          <w:trHeight w:val="288"/>
        </w:trPr>
        <w:tc>
          <w:tcPr>
            <w:tcW w:w="1392" w:type="dxa"/>
            <w:tcBorders>
              <w:top w:val="nil"/>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4F2EB2C4" w14:textId="059BB202">
            <w:pPr>
              <w:autoSpaceDE/>
              <w:autoSpaceDN/>
              <w:rPr>
                <w:rFonts w:ascii="Arial" w:hAnsi="Arial" w:cs="Arial"/>
                <w:color w:val="000000"/>
                <w:sz w:val="18"/>
                <w:szCs w:val="18"/>
              </w:rPr>
            </w:pPr>
            <w:r>
              <w:rPr>
                <w:rFonts w:ascii="Arial" w:hAnsi="Arial" w:cs="Arial"/>
                <w:color w:val="000000"/>
                <w:sz w:val="18"/>
                <w:szCs w:val="18"/>
              </w:rPr>
              <w:t>Issuance of Notice of Value (</w:t>
            </w:r>
            <w:r w:rsidRPr="00A26070">
              <w:rPr>
                <w:rFonts w:ascii="Arial" w:hAnsi="Arial" w:cs="Arial"/>
                <w:color w:val="000000"/>
                <w:sz w:val="18"/>
                <w:szCs w:val="18"/>
              </w:rPr>
              <w:t>NOV</w:t>
            </w:r>
            <w:r>
              <w:rPr>
                <w:rFonts w:ascii="Arial" w:hAnsi="Arial" w:cs="Arial"/>
                <w:color w:val="000000"/>
                <w:sz w:val="18"/>
                <w:szCs w:val="18"/>
              </w:rPr>
              <w:t>)</w:t>
            </w:r>
          </w:p>
        </w:tc>
        <w:tc>
          <w:tcPr>
            <w:tcW w:w="1064"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4D8CDC13"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896"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2FE39AB2" w14:textId="77777777">
            <w:pPr>
              <w:autoSpaceDE/>
              <w:autoSpaceDN/>
              <w:jc w:val="right"/>
              <w:rPr>
                <w:rFonts w:ascii="Arial" w:hAnsi="Arial" w:cs="Arial"/>
                <w:color w:val="000000"/>
                <w:sz w:val="18"/>
                <w:szCs w:val="18"/>
              </w:rPr>
            </w:pPr>
            <w:r w:rsidRPr="00A26070">
              <w:rPr>
                <w:rFonts w:ascii="Arial" w:hAnsi="Arial" w:cs="Arial"/>
                <w:color w:val="000000"/>
                <w:sz w:val="18"/>
                <w:szCs w:val="18"/>
              </w:rPr>
              <w:t>1.00</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49B277AE"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650,000 </w:t>
            </w:r>
          </w:p>
        </w:tc>
        <w:tc>
          <w:tcPr>
            <w:tcW w:w="9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5EA61FF5" w14:textId="77777777">
            <w:pPr>
              <w:autoSpaceDE/>
              <w:autoSpaceDN/>
              <w:jc w:val="right"/>
              <w:rPr>
                <w:rFonts w:ascii="Arial" w:hAnsi="Arial" w:cs="Arial"/>
                <w:color w:val="000000"/>
                <w:sz w:val="18"/>
                <w:szCs w:val="18"/>
              </w:rPr>
            </w:pPr>
            <w:r w:rsidRPr="00A26070">
              <w:rPr>
                <w:rFonts w:ascii="Arial" w:hAnsi="Arial" w:cs="Arial"/>
                <w:color w:val="000000"/>
                <w:sz w:val="18"/>
                <w:szCs w:val="18"/>
              </w:rPr>
              <w:t>0.10</w:t>
            </w:r>
          </w:p>
        </w:tc>
        <w:tc>
          <w:tcPr>
            <w:tcW w:w="737" w:type="dxa"/>
            <w:tcBorders>
              <w:top w:val="nil"/>
              <w:left w:val="nil"/>
              <w:bottom w:val="single" w:color="auto" w:sz="4" w:space="0"/>
              <w:right w:val="single" w:color="auto" w:sz="4" w:space="0"/>
            </w:tcBorders>
            <w:shd w:val="clear" w:color="auto" w:fill="auto"/>
            <w:vAlign w:val="center"/>
            <w:hideMark/>
          </w:tcPr>
          <w:p w:rsidRPr="00A26070" w:rsidR="00224AF0" w:rsidP="00A26070" w:rsidRDefault="00224AF0" w14:paraId="2624DA5D" w14:textId="77777777">
            <w:pPr>
              <w:autoSpaceDE/>
              <w:autoSpaceDN/>
              <w:rPr>
                <w:rFonts w:ascii="Arial" w:hAnsi="Arial" w:cs="Arial"/>
                <w:color w:val="000000"/>
                <w:sz w:val="18"/>
                <w:szCs w:val="18"/>
              </w:rPr>
            </w:pPr>
            <w:r w:rsidRPr="00A26070">
              <w:rPr>
                <w:rFonts w:ascii="Arial" w:hAnsi="Arial" w:cs="Arial"/>
                <w:color w:val="000000"/>
                <w:sz w:val="18"/>
                <w:szCs w:val="18"/>
              </w:rPr>
              <w:t xml:space="preserve">     65,000 </w:t>
            </w:r>
          </w:p>
        </w:tc>
        <w:tc>
          <w:tcPr>
            <w:tcW w:w="657" w:type="dxa"/>
            <w:tcBorders>
              <w:top w:val="nil"/>
              <w:left w:val="nil"/>
              <w:bottom w:val="single" w:color="auto" w:sz="4" w:space="0"/>
              <w:right w:val="single" w:color="auto" w:sz="4" w:space="0"/>
            </w:tcBorders>
            <w:shd w:val="clear" w:color="auto" w:fill="auto"/>
            <w:vAlign w:val="center"/>
            <w:hideMark/>
          </w:tcPr>
          <w:p w:rsidRPr="00E02C77" w:rsidR="00224AF0" w:rsidP="00A26070" w:rsidRDefault="00224AF0" w14:paraId="6ED9EBE3" w14:textId="77777777">
            <w:pPr>
              <w:autoSpaceDE/>
              <w:autoSpaceDN/>
              <w:jc w:val="right"/>
              <w:rPr>
                <w:rFonts w:ascii="Arial" w:hAnsi="Arial" w:cs="Arial"/>
                <w:color w:val="000000"/>
                <w:sz w:val="18"/>
                <w:szCs w:val="18"/>
              </w:rPr>
            </w:pPr>
            <w:r w:rsidRPr="00E02C77">
              <w:rPr>
                <w:rFonts w:ascii="Arial" w:hAnsi="Arial" w:cs="Arial"/>
                <w:color w:val="000000"/>
                <w:sz w:val="18"/>
                <w:szCs w:val="18"/>
              </w:rPr>
              <w:t>$30.58</w:t>
            </w:r>
          </w:p>
        </w:tc>
        <w:tc>
          <w:tcPr>
            <w:tcW w:w="993" w:type="dxa"/>
            <w:tcBorders>
              <w:top w:val="single" w:color="auto" w:sz="4" w:space="0"/>
              <w:left w:val="nil"/>
              <w:bottom w:val="single" w:color="auto" w:sz="4" w:space="0"/>
              <w:right w:val="single" w:color="auto" w:sz="4" w:space="0"/>
            </w:tcBorders>
            <w:vAlign w:val="center"/>
          </w:tcPr>
          <w:p w:rsidRPr="00E02C77" w:rsidR="00224AF0" w:rsidP="00315F49" w:rsidRDefault="0035202E" w14:paraId="67CB32DE" w14:textId="0D2B0307">
            <w:pPr>
              <w:autoSpaceDE/>
              <w:autoSpaceDN/>
              <w:jc w:val="center"/>
              <w:rPr>
                <w:rFonts w:ascii="Arial" w:hAnsi="Arial" w:cs="Arial"/>
                <w:color w:val="000000"/>
                <w:sz w:val="18"/>
                <w:szCs w:val="18"/>
              </w:rPr>
            </w:pPr>
            <w:r w:rsidRPr="00E02C77">
              <w:rPr>
                <w:rFonts w:ascii="Arial" w:hAnsi="Arial" w:cs="Arial"/>
                <w:color w:val="000000"/>
                <w:sz w:val="18"/>
                <w:szCs w:val="18"/>
              </w:rPr>
              <w:t>Appraiser Reviewer</w:t>
            </w: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393B55F5" w14:textId="1630C390">
            <w:pPr>
              <w:autoSpaceDE/>
              <w:autoSpaceDN/>
              <w:jc w:val="right"/>
              <w:rPr>
                <w:rFonts w:ascii="Arial" w:hAnsi="Arial" w:cs="Arial"/>
                <w:color w:val="000000"/>
                <w:sz w:val="18"/>
                <w:szCs w:val="18"/>
              </w:rPr>
            </w:pPr>
            <w:r w:rsidRPr="00A26070">
              <w:rPr>
                <w:rFonts w:ascii="Arial" w:hAnsi="Arial" w:cs="Arial"/>
                <w:color w:val="000000"/>
                <w:sz w:val="18"/>
                <w:szCs w:val="18"/>
              </w:rPr>
              <w:t>$1,987,700</w:t>
            </w:r>
          </w:p>
        </w:tc>
      </w:tr>
      <w:tr w:rsidRPr="00A26070" w:rsidR="00315F49" w:rsidTr="00315F49" w14:paraId="18F5154E" w14:textId="77777777">
        <w:trPr>
          <w:trHeight w:val="300"/>
        </w:trPr>
        <w:tc>
          <w:tcPr>
            <w:tcW w:w="1392" w:type="dxa"/>
            <w:tcBorders>
              <w:top w:val="nil"/>
              <w:left w:val="double" w:color="auto" w:sz="6" w:space="0"/>
              <w:bottom w:val="double" w:color="auto" w:sz="6" w:space="0"/>
              <w:right w:val="single" w:color="auto" w:sz="8" w:space="0"/>
            </w:tcBorders>
            <w:shd w:val="clear" w:color="auto" w:fill="auto"/>
            <w:vAlign w:val="center"/>
            <w:hideMark/>
          </w:tcPr>
          <w:p w:rsidRPr="00A26070" w:rsidR="00224AF0" w:rsidP="00A26070" w:rsidRDefault="00224AF0" w14:paraId="7D4A5B24" w14:textId="77777777">
            <w:pPr>
              <w:autoSpaceDE/>
              <w:autoSpaceDN/>
              <w:rPr>
                <w:rFonts w:ascii="Arial" w:hAnsi="Arial" w:cs="Arial"/>
                <w:b/>
                <w:bCs/>
                <w:color w:val="000000"/>
                <w:sz w:val="18"/>
                <w:szCs w:val="18"/>
              </w:rPr>
            </w:pPr>
            <w:r w:rsidRPr="00A26070">
              <w:rPr>
                <w:rFonts w:ascii="Arial" w:hAnsi="Arial" w:cs="Arial"/>
                <w:b/>
                <w:bCs/>
                <w:color w:val="000000"/>
                <w:sz w:val="18"/>
                <w:szCs w:val="18"/>
              </w:rPr>
              <w:t>Totals</w:t>
            </w:r>
          </w:p>
        </w:tc>
        <w:tc>
          <w:tcPr>
            <w:tcW w:w="1064" w:type="dxa"/>
            <w:tcBorders>
              <w:top w:val="nil"/>
              <w:left w:val="nil"/>
              <w:bottom w:val="double" w:color="auto" w:sz="6" w:space="0"/>
              <w:right w:val="single" w:color="auto" w:sz="8" w:space="0"/>
            </w:tcBorders>
            <w:shd w:val="clear" w:color="auto" w:fill="auto"/>
            <w:vAlign w:val="center"/>
            <w:hideMark/>
          </w:tcPr>
          <w:p w:rsidRPr="00A26070" w:rsidR="00224AF0" w:rsidP="00A26070" w:rsidRDefault="00224AF0" w14:paraId="289770D6" w14:textId="77777777">
            <w:pPr>
              <w:autoSpaceDE/>
              <w:autoSpaceDN/>
              <w:rPr>
                <w:rFonts w:ascii="Arial" w:hAnsi="Arial" w:cs="Arial"/>
                <w:b/>
                <w:bCs/>
                <w:color w:val="000000"/>
                <w:sz w:val="18"/>
                <w:szCs w:val="18"/>
              </w:rPr>
            </w:pPr>
            <w:r w:rsidRPr="00A26070">
              <w:rPr>
                <w:rFonts w:ascii="Arial" w:hAnsi="Arial" w:cs="Arial"/>
                <w:b/>
                <w:bCs/>
                <w:color w:val="000000"/>
                <w:sz w:val="18"/>
                <w:szCs w:val="18"/>
              </w:rPr>
              <w:t> </w:t>
            </w:r>
          </w:p>
        </w:tc>
        <w:tc>
          <w:tcPr>
            <w:tcW w:w="896" w:type="dxa"/>
            <w:tcBorders>
              <w:top w:val="nil"/>
              <w:left w:val="nil"/>
              <w:bottom w:val="double" w:color="auto" w:sz="6" w:space="0"/>
              <w:right w:val="single" w:color="auto" w:sz="8" w:space="0"/>
            </w:tcBorders>
            <w:shd w:val="clear" w:color="auto" w:fill="auto"/>
            <w:vAlign w:val="center"/>
            <w:hideMark/>
          </w:tcPr>
          <w:p w:rsidRPr="00A26070" w:rsidR="00224AF0" w:rsidP="00A26070" w:rsidRDefault="00224AF0" w14:paraId="54D085DA" w14:textId="77777777">
            <w:pPr>
              <w:autoSpaceDE/>
              <w:autoSpaceDN/>
              <w:rPr>
                <w:rFonts w:ascii="Arial" w:hAnsi="Arial" w:cs="Arial"/>
                <w:b/>
                <w:bCs/>
                <w:color w:val="000000"/>
                <w:sz w:val="18"/>
                <w:szCs w:val="18"/>
              </w:rPr>
            </w:pPr>
            <w:r w:rsidRPr="00A26070">
              <w:rPr>
                <w:rFonts w:ascii="Arial" w:hAnsi="Arial" w:cs="Arial"/>
                <w:b/>
                <w:bCs/>
                <w:color w:val="000000"/>
                <w:sz w:val="18"/>
                <w:szCs w:val="18"/>
              </w:rPr>
              <w:t> </w:t>
            </w:r>
          </w:p>
        </w:tc>
        <w:tc>
          <w:tcPr>
            <w:tcW w:w="937" w:type="dxa"/>
            <w:tcBorders>
              <w:top w:val="nil"/>
              <w:left w:val="nil"/>
              <w:bottom w:val="double" w:color="auto" w:sz="6" w:space="0"/>
              <w:right w:val="single" w:color="auto" w:sz="8" w:space="0"/>
            </w:tcBorders>
            <w:shd w:val="clear" w:color="auto" w:fill="auto"/>
            <w:vAlign w:val="center"/>
            <w:hideMark/>
          </w:tcPr>
          <w:p w:rsidRPr="00A26070" w:rsidR="00224AF0" w:rsidP="00A26070" w:rsidRDefault="00224AF0" w14:paraId="5EABDA4E" w14:textId="77777777">
            <w:pPr>
              <w:autoSpaceDE/>
              <w:autoSpaceDN/>
              <w:rPr>
                <w:rFonts w:ascii="Arial" w:hAnsi="Arial" w:cs="Arial"/>
                <w:b/>
                <w:bCs/>
                <w:color w:val="000000"/>
                <w:sz w:val="18"/>
                <w:szCs w:val="18"/>
              </w:rPr>
            </w:pPr>
            <w:r w:rsidRPr="00A26070">
              <w:rPr>
                <w:rFonts w:ascii="Arial" w:hAnsi="Arial" w:cs="Arial"/>
                <w:b/>
                <w:bCs/>
                <w:color w:val="000000"/>
                <w:sz w:val="18"/>
                <w:szCs w:val="18"/>
              </w:rPr>
              <w:t> </w:t>
            </w:r>
          </w:p>
        </w:tc>
        <w:tc>
          <w:tcPr>
            <w:tcW w:w="937" w:type="dxa"/>
            <w:tcBorders>
              <w:top w:val="nil"/>
              <w:left w:val="nil"/>
              <w:bottom w:val="double" w:color="auto" w:sz="6" w:space="0"/>
              <w:right w:val="single" w:color="auto" w:sz="8" w:space="0"/>
            </w:tcBorders>
            <w:shd w:val="clear" w:color="auto" w:fill="auto"/>
            <w:vAlign w:val="center"/>
            <w:hideMark/>
          </w:tcPr>
          <w:p w:rsidRPr="00A26070" w:rsidR="00224AF0" w:rsidP="00A26070" w:rsidRDefault="00224AF0" w14:paraId="01E2C193" w14:textId="77777777">
            <w:pPr>
              <w:autoSpaceDE/>
              <w:autoSpaceDN/>
              <w:jc w:val="right"/>
              <w:rPr>
                <w:rFonts w:ascii="Arial" w:hAnsi="Arial" w:cs="Arial"/>
                <w:b/>
                <w:bCs/>
                <w:color w:val="000000"/>
                <w:sz w:val="18"/>
                <w:szCs w:val="18"/>
              </w:rPr>
            </w:pPr>
            <w:r w:rsidRPr="00A26070">
              <w:rPr>
                <w:rFonts w:ascii="Arial" w:hAnsi="Arial" w:cs="Arial"/>
                <w:b/>
                <w:bCs/>
                <w:color w:val="000000"/>
                <w:sz w:val="18"/>
                <w:szCs w:val="18"/>
              </w:rPr>
              <w:t>0.95</w:t>
            </w:r>
          </w:p>
        </w:tc>
        <w:tc>
          <w:tcPr>
            <w:tcW w:w="737" w:type="dxa"/>
            <w:tcBorders>
              <w:top w:val="nil"/>
              <w:left w:val="nil"/>
              <w:bottom w:val="double" w:color="auto" w:sz="6" w:space="0"/>
              <w:right w:val="single" w:color="auto" w:sz="8" w:space="0"/>
            </w:tcBorders>
            <w:shd w:val="clear" w:color="auto" w:fill="auto"/>
            <w:vAlign w:val="center"/>
            <w:hideMark/>
          </w:tcPr>
          <w:p w:rsidRPr="00A26070" w:rsidR="00224AF0" w:rsidP="00A26070" w:rsidRDefault="00224AF0" w14:paraId="7328D2B5" w14:textId="77777777">
            <w:pPr>
              <w:autoSpaceDE/>
              <w:autoSpaceDN/>
              <w:rPr>
                <w:rFonts w:ascii="Arial" w:hAnsi="Arial" w:cs="Arial"/>
                <w:b/>
                <w:bCs/>
                <w:color w:val="000000"/>
                <w:sz w:val="18"/>
                <w:szCs w:val="18"/>
              </w:rPr>
            </w:pPr>
            <w:r w:rsidRPr="00A26070">
              <w:rPr>
                <w:rFonts w:ascii="Arial" w:hAnsi="Arial" w:cs="Arial"/>
                <w:b/>
                <w:bCs/>
                <w:color w:val="000000"/>
                <w:sz w:val="18"/>
                <w:szCs w:val="18"/>
              </w:rPr>
              <w:t xml:space="preserve">   585,000 </w:t>
            </w:r>
          </w:p>
        </w:tc>
        <w:tc>
          <w:tcPr>
            <w:tcW w:w="657" w:type="dxa"/>
            <w:tcBorders>
              <w:top w:val="nil"/>
              <w:left w:val="nil"/>
              <w:bottom w:val="double" w:color="auto" w:sz="6" w:space="0"/>
              <w:right w:val="single" w:color="auto" w:sz="4" w:space="0"/>
            </w:tcBorders>
            <w:shd w:val="clear" w:color="auto" w:fill="auto"/>
            <w:vAlign w:val="center"/>
            <w:hideMark/>
          </w:tcPr>
          <w:p w:rsidRPr="00A26070" w:rsidR="00224AF0" w:rsidP="00A26070" w:rsidRDefault="00224AF0" w14:paraId="00284D57" w14:textId="77777777">
            <w:pPr>
              <w:autoSpaceDE/>
              <w:autoSpaceDN/>
              <w:jc w:val="right"/>
              <w:rPr>
                <w:rFonts w:ascii="Arial" w:hAnsi="Arial" w:cs="Arial"/>
                <w:b/>
                <w:bCs/>
                <w:color w:val="000000"/>
                <w:sz w:val="18"/>
                <w:szCs w:val="18"/>
              </w:rPr>
            </w:pPr>
            <w:r w:rsidRPr="00A26070">
              <w:rPr>
                <w:rFonts w:ascii="Arial" w:hAnsi="Arial" w:cs="Arial"/>
                <w:b/>
                <w:bCs/>
                <w:color w:val="000000"/>
                <w:sz w:val="18"/>
                <w:szCs w:val="18"/>
              </w:rPr>
              <w:t> </w:t>
            </w:r>
          </w:p>
        </w:tc>
        <w:tc>
          <w:tcPr>
            <w:tcW w:w="993" w:type="dxa"/>
            <w:tcBorders>
              <w:top w:val="single" w:color="auto" w:sz="4" w:space="0"/>
              <w:left w:val="single" w:color="auto" w:sz="4" w:space="0"/>
              <w:bottom w:val="single" w:color="auto" w:sz="4" w:space="0"/>
              <w:right w:val="single" w:color="auto" w:sz="4" w:space="0"/>
            </w:tcBorders>
            <w:vAlign w:val="center"/>
          </w:tcPr>
          <w:p w:rsidRPr="00A26070" w:rsidR="00224AF0" w:rsidP="00315F49" w:rsidRDefault="00224AF0" w14:paraId="2677B62D" w14:textId="77777777">
            <w:pPr>
              <w:autoSpaceDE/>
              <w:autoSpaceDN/>
              <w:jc w:val="center"/>
              <w:rPr>
                <w:rFonts w:ascii="Arial" w:hAnsi="Arial" w:cs="Arial"/>
                <w:b/>
                <w:bCs/>
                <w:color w:val="000000"/>
                <w:sz w:val="18"/>
                <w:szCs w:val="18"/>
              </w:rPr>
            </w:pPr>
          </w:p>
        </w:tc>
        <w:tc>
          <w:tcPr>
            <w:tcW w:w="201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26070" w:rsidR="00224AF0" w:rsidP="00A26070" w:rsidRDefault="00224AF0" w14:paraId="252BB615" w14:textId="796B5A64">
            <w:pPr>
              <w:autoSpaceDE/>
              <w:autoSpaceDN/>
              <w:jc w:val="right"/>
              <w:rPr>
                <w:rFonts w:ascii="Arial" w:hAnsi="Arial" w:cs="Arial"/>
                <w:b/>
                <w:bCs/>
                <w:color w:val="000000"/>
                <w:sz w:val="18"/>
                <w:szCs w:val="18"/>
              </w:rPr>
            </w:pPr>
            <w:r w:rsidRPr="00A26070">
              <w:rPr>
                <w:rFonts w:ascii="Arial" w:hAnsi="Arial" w:cs="Arial"/>
                <w:b/>
                <w:bCs/>
                <w:color w:val="000000"/>
                <w:sz w:val="18"/>
                <w:szCs w:val="18"/>
              </w:rPr>
              <w:t>$17,277,650</w:t>
            </w:r>
          </w:p>
        </w:tc>
      </w:tr>
    </w:tbl>
    <w:p w:rsidRPr="007659C4" w:rsidR="008E3C3A" w:rsidP="007659C4" w:rsidRDefault="00A26070" w14:paraId="2B9A63E4" w14:textId="0D3F12C0">
      <w:pPr>
        <w:ind w:firstLine="810"/>
        <w:rPr>
          <w:rFonts w:ascii="Arial" w:hAnsi="Arial" w:cs="Arial"/>
        </w:rPr>
      </w:pPr>
      <w:r>
        <w:rPr>
          <w:rFonts w:ascii="Arial" w:hAnsi="Arial" w:cs="Arial"/>
        </w:rPr>
        <w:fldChar w:fldCharType="end"/>
      </w:r>
    </w:p>
    <w:p w:rsidRPr="007659C4" w:rsidR="003C2010" w:rsidRDefault="003C2010" w14:paraId="4076D0F6" w14:textId="77777777">
      <w:pPr>
        <w:rPr>
          <w:rFonts w:ascii="Arial" w:hAnsi="Arial" w:cs="Arial"/>
        </w:rPr>
      </w:pPr>
    </w:p>
    <w:p w:rsidRPr="006D3370" w:rsidR="006D3370" w:rsidP="00F5689E" w:rsidRDefault="006D3370" w14:paraId="79BC7CA5" w14:textId="004CFB95">
      <w:pPr>
        <w:ind w:left="720"/>
        <w:rPr>
          <w:highlight w:val="yellow"/>
        </w:rPr>
      </w:pPr>
      <w:r w:rsidRPr="00F5689E">
        <w:rPr>
          <w:rFonts w:ascii="Arial" w:hAnsi="Arial" w:cs="Arial"/>
        </w:rPr>
        <w:t xml:space="preserve">a. </w:t>
      </w:r>
      <w:r w:rsidRPr="00BB64CE" w:rsidR="003C2010">
        <w:rPr>
          <w:rFonts w:ascii="Arial" w:hAnsi="Arial" w:cs="Arial"/>
        </w:rPr>
        <w:t>Number of</w:t>
      </w:r>
      <w:r w:rsidRPr="00BB64CE" w:rsidR="004E779A">
        <w:rPr>
          <w:rFonts w:ascii="Arial" w:hAnsi="Arial" w:cs="Arial"/>
        </w:rPr>
        <w:t xml:space="preserve"> respondents is estimated at </w:t>
      </w:r>
      <w:r w:rsidRPr="00BB64CE" w:rsidR="005027BD">
        <w:rPr>
          <w:rFonts w:ascii="Arial" w:hAnsi="Arial" w:cs="Arial"/>
        </w:rPr>
        <w:t>650</w:t>
      </w:r>
      <w:r w:rsidRPr="00BB64CE" w:rsidR="003C2010">
        <w:rPr>
          <w:rFonts w:ascii="Arial" w:hAnsi="Arial" w:cs="Arial"/>
        </w:rPr>
        <w:t>,000 per year.</w:t>
      </w:r>
    </w:p>
    <w:p w:rsidR="006D3370" w:rsidP="00F5689E" w:rsidRDefault="006D3370" w14:paraId="786A06B2" w14:textId="245C2560">
      <w:pPr>
        <w:pStyle w:val="ListParagraph"/>
        <w:rPr>
          <w:highlight w:val="yellow"/>
        </w:rPr>
      </w:pPr>
    </w:p>
    <w:p w:rsidRPr="00CF718F" w:rsidR="006D3370" w:rsidP="00F5689E" w:rsidRDefault="006D3370" w14:paraId="6945DE37" w14:textId="4C9C87EC">
      <w:pPr>
        <w:ind w:left="720"/>
        <w:rPr>
          <w:rFonts w:ascii="Arial" w:hAnsi="Arial" w:cs="Arial"/>
        </w:rPr>
      </w:pPr>
      <w:r w:rsidRPr="00CF718F">
        <w:rPr>
          <w:rFonts w:ascii="Arial" w:hAnsi="Arial" w:cs="Arial"/>
        </w:rPr>
        <w:t xml:space="preserve">b. </w:t>
      </w:r>
      <w:r w:rsidRPr="00CF718F" w:rsidR="003C2010">
        <w:rPr>
          <w:rFonts w:ascii="Arial" w:hAnsi="Arial" w:cs="Arial"/>
        </w:rPr>
        <w:t>Frequency of response is generally one time</w:t>
      </w:r>
      <w:r w:rsidRPr="00CF718F" w:rsidR="00CF718F">
        <w:rPr>
          <w:rFonts w:ascii="Arial" w:hAnsi="Arial" w:cs="Arial"/>
        </w:rPr>
        <w:t xml:space="preserve"> per appraisal</w:t>
      </w:r>
      <w:r w:rsidRPr="00CF718F" w:rsidR="003C2010">
        <w:rPr>
          <w:rFonts w:ascii="Arial" w:hAnsi="Arial" w:cs="Arial"/>
        </w:rPr>
        <w:t>.</w:t>
      </w:r>
    </w:p>
    <w:p w:rsidR="006D3370" w:rsidP="00F5689E" w:rsidRDefault="006D3370" w14:paraId="3F764CDE" w14:textId="27EDC71C">
      <w:pPr>
        <w:pStyle w:val="ListParagraph"/>
        <w:rPr>
          <w:rFonts w:ascii="Arial" w:hAnsi="Arial" w:cs="Arial"/>
          <w:highlight w:val="yellow"/>
        </w:rPr>
      </w:pPr>
    </w:p>
    <w:p w:rsidRPr="00CF718F" w:rsidR="006D3370" w:rsidP="00F5689E" w:rsidRDefault="006D3370" w14:paraId="615D1400" w14:textId="395E16FF">
      <w:pPr>
        <w:ind w:left="720"/>
        <w:rPr>
          <w:rFonts w:ascii="Arial" w:hAnsi="Arial" w:cs="Arial"/>
        </w:rPr>
      </w:pPr>
      <w:r w:rsidRPr="00CF718F">
        <w:rPr>
          <w:rFonts w:ascii="Arial" w:hAnsi="Arial" w:cs="Arial"/>
        </w:rPr>
        <w:t xml:space="preserve">c. </w:t>
      </w:r>
      <w:r w:rsidRPr="00CF718F" w:rsidR="004E779A">
        <w:rPr>
          <w:rFonts w:ascii="Arial" w:hAnsi="Arial" w:cs="Arial"/>
        </w:rPr>
        <w:t xml:space="preserve">Annual </w:t>
      </w:r>
      <w:r w:rsidRPr="00CF718F" w:rsidR="007659C4">
        <w:rPr>
          <w:rFonts w:ascii="Arial" w:hAnsi="Arial" w:cs="Arial"/>
        </w:rPr>
        <w:t>B</w:t>
      </w:r>
      <w:r w:rsidRPr="00CF718F" w:rsidR="004E779A">
        <w:rPr>
          <w:rFonts w:ascii="Arial" w:hAnsi="Arial" w:cs="Arial"/>
        </w:rPr>
        <w:t xml:space="preserve">urden </w:t>
      </w:r>
      <w:r w:rsidRPr="00CF718F" w:rsidR="007659C4">
        <w:rPr>
          <w:rFonts w:ascii="Arial" w:hAnsi="Arial" w:cs="Arial"/>
        </w:rPr>
        <w:t>Hours:</w:t>
      </w:r>
      <w:r w:rsidRPr="00CF718F" w:rsidR="004E779A">
        <w:rPr>
          <w:rFonts w:ascii="Arial" w:hAnsi="Arial" w:cs="Arial"/>
        </w:rPr>
        <w:t xml:space="preserve"> </w:t>
      </w:r>
      <w:r w:rsidRPr="00CF718F" w:rsidR="00A26070">
        <w:rPr>
          <w:rFonts w:ascii="Arial" w:hAnsi="Arial" w:cs="Arial"/>
        </w:rPr>
        <w:t>585</w:t>
      </w:r>
      <w:r w:rsidRPr="00CF718F" w:rsidR="004E779A">
        <w:rPr>
          <w:rFonts w:ascii="Arial" w:hAnsi="Arial" w:cs="Arial"/>
        </w:rPr>
        <w:t>,</w:t>
      </w:r>
      <w:r w:rsidRPr="00CF718F" w:rsidR="005027BD">
        <w:rPr>
          <w:rFonts w:ascii="Arial" w:hAnsi="Arial" w:cs="Arial"/>
        </w:rPr>
        <w:t>0</w:t>
      </w:r>
      <w:r w:rsidRPr="00CF718F" w:rsidR="003C2010">
        <w:rPr>
          <w:rFonts w:ascii="Arial" w:hAnsi="Arial" w:cs="Arial"/>
        </w:rPr>
        <w:t>00 hours.</w:t>
      </w:r>
    </w:p>
    <w:p w:rsidRPr="00CF718F" w:rsidR="006D3370" w:rsidP="00F5689E" w:rsidRDefault="006D3370" w14:paraId="774ED608" w14:textId="77777777">
      <w:pPr>
        <w:pStyle w:val="ListParagraph"/>
        <w:rPr>
          <w:rFonts w:ascii="Arial" w:hAnsi="Arial" w:cs="Arial"/>
        </w:rPr>
      </w:pPr>
    </w:p>
    <w:p w:rsidR="003C2010" w:rsidP="006D3370" w:rsidRDefault="006D3370" w14:paraId="2687890F" w14:textId="65CCCCE9">
      <w:pPr>
        <w:ind w:left="720"/>
        <w:rPr>
          <w:rFonts w:ascii="Arial" w:hAnsi="Arial" w:cs="Arial"/>
        </w:rPr>
      </w:pPr>
      <w:r w:rsidRPr="00CF718F">
        <w:rPr>
          <w:rFonts w:ascii="Arial" w:hAnsi="Arial" w:cs="Arial"/>
        </w:rPr>
        <w:t xml:space="preserve">d. </w:t>
      </w:r>
      <w:r w:rsidRPr="00CF718F" w:rsidR="007659C4">
        <w:rPr>
          <w:rFonts w:ascii="Arial" w:hAnsi="Arial" w:cs="Arial"/>
        </w:rPr>
        <w:t>E</w:t>
      </w:r>
      <w:r w:rsidRPr="00CF718F" w:rsidR="003C2010">
        <w:rPr>
          <w:rFonts w:ascii="Arial" w:hAnsi="Arial" w:cs="Arial"/>
        </w:rPr>
        <w:t xml:space="preserve">stimated </w:t>
      </w:r>
      <w:r w:rsidRPr="00CF718F" w:rsidR="007659C4">
        <w:rPr>
          <w:rFonts w:ascii="Arial" w:hAnsi="Arial" w:cs="Arial"/>
        </w:rPr>
        <w:t>Completion Time:</w:t>
      </w:r>
      <w:r w:rsidR="00CF718F">
        <w:rPr>
          <w:rFonts w:ascii="Arial" w:hAnsi="Arial" w:cs="Arial"/>
        </w:rPr>
        <w:t xml:space="preserve"> </w:t>
      </w:r>
      <w:r w:rsidRPr="00CF718F" w:rsidR="00CF718F">
        <w:rPr>
          <w:rFonts w:ascii="Arial" w:hAnsi="Arial" w:cs="Arial"/>
        </w:rPr>
        <w:t xml:space="preserve">The combined burden is .95 of an </w:t>
      </w:r>
      <w:proofErr w:type="gramStart"/>
      <w:r w:rsidRPr="00CF718F" w:rsidR="00CF718F">
        <w:rPr>
          <w:rFonts w:ascii="Arial" w:hAnsi="Arial" w:cs="Arial"/>
        </w:rPr>
        <w:t>hour</w:t>
      </w:r>
      <w:proofErr w:type="gramEnd"/>
      <w:r w:rsidRPr="00CF718F" w:rsidR="00CF718F">
        <w:rPr>
          <w:rFonts w:ascii="Arial" w:hAnsi="Arial" w:cs="Arial"/>
        </w:rPr>
        <w:t xml:space="preserve"> or 57 min.</w:t>
      </w:r>
      <w:r w:rsidR="00CF718F">
        <w:rPr>
          <w:rFonts w:ascii="Arial" w:hAnsi="Arial" w:cs="Arial"/>
        </w:rPr>
        <w:t xml:space="preserve"> </w:t>
      </w:r>
      <w:r w:rsidRPr="00CF718F" w:rsidR="007659C4">
        <w:rPr>
          <w:rFonts w:ascii="Arial" w:hAnsi="Arial" w:cs="Arial"/>
        </w:rPr>
        <w:t xml:space="preserve"> </w:t>
      </w:r>
      <w:r w:rsidRPr="00CF718F" w:rsidR="00BA2C0E">
        <w:rPr>
          <w:rFonts w:ascii="Arial" w:hAnsi="Arial" w:cs="Arial"/>
        </w:rPr>
        <w:t>6</w:t>
      </w:r>
      <w:r w:rsidRPr="00CF718F" w:rsidR="00DE39A0">
        <w:rPr>
          <w:rFonts w:ascii="Arial" w:hAnsi="Arial" w:cs="Arial"/>
        </w:rPr>
        <w:t xml:space="preserve"> </w:t>
      </w:r>
      <w:r w:rsidRPr="00CF718F" w:rsidR="003C2010">
        <w:rPr>
          <w:rFonts w:ascii="Arial" w:hAnsi="Arial" w:cs="Arial"/>
        </w:rPr>
        <w:t xml:space="preserve">minutes </w:t>
      </w:r>
      <w:r w:rsidRPr="00CF718F">
        <w:rPr>
          <w:rFonts w:ascii="Arial" w:hAnsi="Arial" w:cs="Arial"/>
        </w:rPr>
        <w:t xml:space="preserve">for the initial ordering of the appraisal has been </w:t>
      </w:r>
      <w:r w:rsidRPr="00CF718F" w:rsidR="003C2010">
        <w:rPr>
          <w:rFonts w:ascii="Arial" w:hAnsi="Arial" w:cs="Arial"/>
        </w:rPr>
        <w:t>determined by lenders to be an average time spent to report the information requested and no wide variance is likely.</w:t>
      </w:r>
      <w:r w:rsidRPr="00CF718F" w:rsidR="005027BD">
        <w:rPr>
          <w:rFonts w:ascii="Arial" w:hAnsi="Arial" w:cs="Arial"/>
        </w:rPr>
        <w:t xml:space="preserve"> Due to the automation and removing a significant amount of unneeded </w:t>
      </w:r>
      <w:r w:rsidRPr="00CF718F" w:rsidR="00215A6D">
        <w:rPr>
          <w:rFonts w:ascii="Arial" w:hAnsi="Arial" w:cs="Arial"/>
        </w:rPr>
        <w:t>i</w:t>
      </w:r>
      <w:r w:rsidRPr="00CF718F" w:rsidR="005027BD">
        <w:rPr>
          <w:rFonts w:ascii="Arial" w:hAnsi="Arial" w:cs="Arial"/>
        </w:rPr>
        <w:t xml:space="preserve">nformation the </w:t>
      </w:r>
      <w:r w:rsidRPr="00CF718F" w:rsidR="00215A6D">
        <w:rPr>
          <w:rFonts w:ascii="Arial" w:hAnsi="Arial" w:cs="Arial"/>
        </w:rPr>
        <w:t xml:space="preserve">future </w:t>
      </w:r>
      <w:r w:rsidRPr="00CF718F" w:rsidR="005027BD">
        <w:rPr>
          <w:rFonts w:ascii="Arial" w:hAnsi="Arial" w:cs="Arial"/>
        </w:rPr>
        <w:t xml:space="preserve">estimated time to complete </w:t>
      </w:r>
      <w:r w:rsidRPr="00CF718F" w:rsidR="00215A6D">
        <w:rPr>
          <w:rFonts w:ascii="Arial" w:hAnsi="Arial" w:cs="Arial"/>
        </w:rPr>
        <w:t>will be</w:t>
      </w:r>
      <w:r w:rsidRPr="00CF718F" w:rsidR="005027BD">
        <w:rPr>
          <w:rFonts w:ascii="Arial" w:hAnsi="Arial" w:cs="Arial"/>
        </w:rPr>
        <w:t xml:space="preserve"> reduced by half. </w:t>
      </w:r>
      <w:r w:rsidRPr="00CF718F" w:rsidR="000B028D">
        <w:rPr>
          <w:rFonts w:ascii="Arial" w:hAnsi="Arial" w:cs="Arial"/>
        </w:rPr>
        <w:t xml:space="preserve">The time estimated for appraisers is estimated at 51 total min. </w:t>
      </w:r>
    </w:p>
    <w:p w:rsidR="006D3370" w:rsidP="006D3370" w:rsidRDefault="006D3370" w14:paraId="552ED088" w14:textId="0002C3D5">
      <w:pPr>
        <w:ind w:left="720"/>
        <w:rPr>
          <w:rFonts w:ascii="Arial" w:hAnsi="Arial" w:cs="Arial"/>
        </w:rPr>
      </w:pPr>
    </w:p>
    <w:p w:rsidR="006D3370" w:rsidP="00F5689E" w:rsidRDefault="006D3370" w14:paraId="702A00F1" w14:textId="69A501D0">
      <w:pPr>
        <w:ind w:left="720"/>
        <w:rPr>
          <w:rFonts w:ascii="Arial" w:hAnsi="Arial" w:cs="Arial"/>
        </w:rPr>
      </w:pPr>
      <w:r>
        <w:rPr>
          <w:rFonts w:ascii="Arial" w:hAnsi="Arial" w:cs="Arial"/>
        </w:rPr>
        <w:lastRenderedPageBreak/>
        <w:t xml:space="preserve">e. Appraisers ordering acknowledgement, reassignment, scheduling, inspection complete and the up loading of the appraisal is estimated at about 3 min for each transaction. This is approximately about the same time or less than the current configuration of typing in open text in a </w:t>
      </w:r>
      <w:proofErr w:type="gramStart"/>
      <w:r>
        <w:rPr>
          <w:rFonts w:ascii="Arial" w:hAnsi="Arial" w:cs="Arial"/>
        </w:rPr>
        <w:t>notes</w:t>
      </w:r>
      <w:proofErr w:type="gramEnd"/>
      <w:r>
        <w:rPr>
          <w:rFonts w:ascii="Arial" w:hAnsi="Arial" w:cs="Arial"/>
        </w:rPr>
        <w:t xml:space="preserve"> filed. </w:t>
      </w:r>
    </w:p>
    <w:p w:rsidR="00A26070" w:rsidP="00F5689E" w:rsidRDefault="00A26070" w14:paraId="7A4365D8" w14:textId="06A71525">
      <w:pPr>
        <w:ind w:left="720"/>
        <w:rPr>
          <w:rFonts w:ascii="Arial" w:hAnsi="Arial" w:cs="Arial"/>
        </w:rPr>
      </w:pPr>
    </w:p>
    <w:p w:rsidRPr="00F5689E" w:rsidR="00A26070" w:rsidP="00F5689E" w:rsidRDefault="00A26070" w14:paraId="52E2E1B7" w14:textId="19F781FE">
      <w:pPr>
        <w:ind w:left="720"/>
        <w:rPr>
          <w:rFonts w:ascii="Arial" w:hAnsi="Arial" w:cs="Arial"/>
        </w:rPr>
      </w:pPr>
      <w:r>
        <w:rPr>
          <w:rFonts w:ascii="Arial" w:hAnsi="Arial" w:cs="Arial"/>
        </w:rPr>
        <w:t xml:space="preserve">f.  Staff Appraiser Reviewer (SAR) reviews the appraisal in detail once received from the Appraiser from their lender. This has never been captured data as each lender does this task differently. Feedback from lenders has been that this task takes from 30 min to most have stated 1 hour. By the development of a standardized appraisal review checklist that is automated is anticipated to reduce this time to an estimated 30 mins across the board. This is anticipated to reduce errors and provide a more consistent loan process. This person also issues the Notice of Value (NOV). This position is unique for lenders and has the similar qualifications and job duties as the Appraisers and that same job code was used to determine the median hourly pay. </w:t>
      </w:r>
    </w:p>
    <w:p w:rsidRPr="007659C4" w:rsidR="003C2010" w:rsidRDefault="003C2010" w14:paraId="38A1C57D" w14:textId="77777777">
      <w:pPr>
        <w:rPr>
          <w:rFonts w:ascii="Arial" w:hAnsi="Arial" w:cs="Arial"/>
        </w:rPr>
      </w:pPr>
    </w:p>
    <w:p w:rsidR="00BA2C0E" w:rsidP="00EE06F3" w:rsidRDefault="00BA2C0E" w14:paraId="48C920C2" w14:textId="20AA8B10">
      <w:pPr>
        <w:tabs>
          <w:tab w:val="right" w:pos="8640"/>
        </w:tabs>
        <w:ind w:left="720"/>
        <w:rPr>
          <w:rFonts w:ascii="Arial" w:hAnsi="Arial" w:cs="Arial"/>
        </w:rPr>
      </w:pPr>
      <w:r w:rsidRPr="002C3167">
        <w:rPr>
          <w:rFonts w:ascii="Arial" w:hAnsi="Arial" w:cs="Arial"/>
        </w:rPr>
        <w:t xml:space="preserve">The respondent population for </w:t>
      </w:r>
      <w:r w:rsidRPr="002C3167">
        <w:rPr>
          <w:rFonts w:ascii="Arial" w:hAnsi="Arial" w:cs="Arial"/>
          <w:color w:val="000000"/>
        </w:rPr>
        <w:t xml:space="preserve">VA Form 26-1805 is </w:t>
      </w:r>
      <w:r w:rsidRPr="002C3167">
        <w:rPr>
          <w:rFonts w:ascii="Arial" w:hAnsi="Arial" w:cs="Arial"/>
        </w:rPr>
        <w:t>composed of</w:t>
      </w:r>
      <w:r w:rsidR="00E70022">
        <w:rPr>
          <w:rFonts w:ascii="Arial" w:hAnsi="Arial" w:cs="Arial"/>
        </w:rPr>
        <w:t xml:space="preserve"> both</w:t>
      </w:r>
      <w:r w:rsidRPr="003B1A0F" w:rsidR="003B1A0F">
        <w:t xml:space="preserve"> </w:t>
      </w:r>
      <w:r w:rsidRPr="003B1A0F" w:rsidR="003B1A0F">
        <w:rPr>
          <w:rFonts w:ascii="Arial" w:hAnsi="Arial" w:cs="Arial"/>
        </w:rPr>
        <w:t xml:space="preserve">Loan Interviewers and </w:t>
      </w:r>
      <w:r w:rsidR="003B1A0F">
        <w:rPr>
          <w:rFonts w:ascii="Arial" w:hAnsi="Arial" w:cs="Arial"/>
        </w:rPr>
        <w:t xml:space="preserve">clerks and </w:t>
      </w:r>
      <w:r w:rsidRPr="002C3167">
        <w:rPr>
          <w:rFonts w:ascii="Arial" w:hAnsi="Arial" w:cs="Arial"/>
        </w:rPr>
        <w:t>Property Appraisers and Assessors</w:t>
      </w:r>
      <w:r w:rsidR="00E70022">
        <w:rPr>
          <w:rFonts w:ascii="Arial" w:hAnsi="Arial" w:cs="Arial"/>
        </w:rPr>
        <w:t>.</w:t>
      </w:r>
      <w:r w:rsidRPr="002C3167">
        <w:rPr>
          <w:rFonts w:ascii="Arial" w:hAnsi="Arial" w:cs="Arial"/>
        </w:rPr>
        <w:t xml:space="preserve"> VA cannot make further assumptions about the population of respondents because of the variability of factors such as </w:t>
      </w:r>
      <w:r w:rsidR="00EE06F3">
        <w:rPr>
          <w:rFonts w:ascii="Arial" w:hAnsi="Arial" w:cs="Arial"/>
        </w:rPr>
        <w:t xml:space="preserve">the educational background and wage potential of respondents. </w:t>
      </w:r>
      <w:r w:rsidRPr="002C3167">
        <w:rPr>
          <w:rFonts w:ascii="Arial" w:hAnsi="Arial" w:cs="Arial"/>
        </w:rPr>
        <w:t xml:space="preserve">Therefore, VBA used general wage data to estimate the respondents’ costs associated with completing the information collection. </w:t>
      </w:r>
    </w:p>
    <w:p w:rsidR="003B1A0F" w:rsidP="00EE06F3" w:rsidRDefault="003B1A0F" w14:paraId="1714E7A1" w14:textId="1806D991">
      <w:pPr>
        <w:tabs>
          <w:tab w:val="right" w:pos="8640"/>
        </w:tabs>
        <w:ind w:left="720"/>
        <w:rPr>
          <w:rFonts w:ascii="Arial" w:hAnsi="Arial" w:cs="Arial"/>
        </w:rPr>
      </w:pPr>
    </w:p>
    <w:p w:rsidR="00BA2C0E" w:rsidP="004C370C" w:rsidRDefault="00BA2C0E" w14:paraId="35FF846D" w14:textId="08A8DC5F">
      <w:pPr>
        <w:tabs>
          <w:tab w:val="left" w:pos="480"/>
          <w:tab w:val="right" w:pos="8640"/>
        </w:tabs>
        <w:ind w:left="720"/>
        <w:rPr>
          <w:rFonts w:ascii="Arial" w:hAnsi="Arial" w:cs="Arial"/>
        </w:rPr>
      </w:pPr>
      <w:r w:rsidRPr="00FE71BD">
        <w:rPr>
          <w:rFonts w:ascii="Arial" w:hAnsi="Arial" w:cs="Arial"/>
        </w:rPr>
        <w:t>The Bureau of Labor Statistics (BLS) gathers information on full-time wage and salary workers.  According to the latest available BLS data, the mean hourly wage is $</w:t>
      </w:r>
      <w:r w:rsidRPr="00FE71BD" w:rsidR="004C370C">
        <w:rPr>
          <w:rFonts w:ascii="Arial" w:hAnsi="Arial" w:cs="Arial"/>
        </w:rPr>
        <w:t>21.17</w:t>
      </w:r>
      <w:r w:rsidRPr="00FE71BD">
        <w:rPr>
          <w:rFonts w:ascii="Arial" w:hAnsi="Arial" w:cs="Arial"/>
        </w:rPr>
        <w:t xml:space="preserve"> based on the BLS wage code – “</w:t>
      </w:r>
      <w:r w:rsidRPr="00F74C14" w:rsidR="00AF0C6B">
        <w:rPr>
          <w:rFonts w:ascii="Arial" w:hAnsi="Arial" w:cs="Arial"/>
          <w:b/>
          <w:bCs/>
        </w:rPr>
        <w:t>43-4131 Loan Interviewers and Cle</w:t>
      </w:r>
      <w:r w:rsidRPr="00F74C14" w:rsidR="004C370C">
        <w:rPr>
          <w:rFonts w:ascii="Arial" w:hAnsi="Arial" w:cs="Arial"/>
          <w:b/>
          <w:bCs/>
        </w:rPr>
        <w:t>r</w:t>
      </w:r>
      <w:r w:rsidRPr="00F74C14" w:rsidR="00AF0C6B">
        <w:rPr>
          <w:rFonts w:ascii="Arial" w:hAnsi="Arial" w:cs="Arial"/>
          <w:b/>
          <w:bCs/>
        </w:rPr>
        <w:t>ks</w:t>
      </w:r>
      <w:r w:rsidRPr="00F74C14">
        <w:rPr>
          <w:rFonts w:ascii="Arial" w:hAnsi="Arial" w:cs="Arial"/>
          <w:b/>
          <w:bCs/>
        </w:rPr>
        <w:t>.”</w:t>
      </w:r>
      <w:r w:rsidRPr="00FE71BD">
        <w:rPr>
          <w:rFonts w:ascii="Arial" w:hAnsi="Arial" w:cs="Arial"/>
        </w:rPr>
        <w:t>  This information was taken from the following website:</w:t>
      </w:r>
      <w:r w:rsidRPr="00FE71BD" w:rsidR="00AF0C6B">
        <w:rPr>
          <w:rFonts w:ascii="Arial" w:hAnsi="Arial" w:cs="Arial"/>
        </w:rPr>
        <w:t xml:space="preserve"> </w:t>
      </w:r>
      <w:hyperlink w:history="1" r:id="rId11">
        <w:r w:rsidRPr="00FE71BD" w:rsidR="004C370C">
          <w:rPr>
            <w:rStyle w:val="Hyperlink"/>
            <w:rFonts w:ascii="Arial" w:hAnsi="Arial" w:cs="Arial"/>
          </w:rPr>
          <w:t>https://www.bls.gov/oes/current/oes434131.htm</w:t>
        </w:r>
      </w:hyperlink>
      <w:r w:rsidRPr="00FE71BD">
        <w:rPr>
          <w:rFonts w:ascii="Arial" w:hAnsi="Arial" w:cs="Arial"/>
        </w:rPr>
        <w:t>.</w:t>
      </w:r>
    </w:p>
    <w:p w:rsidR="003B1A0F" w:rsidP="004C370C" w:rsidRDefault="003B1A0F" w14:paraId="511AEFFE" w14:textId="1175C80E">
      <w:pPr>
        <w:tabs>
          <w:tab w:val="left" w:pos="480"/>
          <w:tab w:val="right" w:pos="8640"/>
        </w:tabs>
        <w:ind w:left="720"/>
        <w:rPr>
          <w:rFonts w:ascii="Arial" w:hAnsi="Arial" w:cs="Arial"/>
        </w:rPr>
      </w:pPr>
    </w:p>
    <w:p w:rsidR="003B1A0F" w:rsidP="004C370C" w:rsidRDefault="003B1A0F" w14:paraId="6E888053" w14:textId="540C2D6C">
      <w:pPr>
        <w:tabs>
          <w:tab w:val="left" w:pos="480"/>
          <w:tab w:val="right" w:pos="8640"/>
        </w:tabs>
        <w:ind w:left="720"/>
        <w:rPr>
          <w:rFonts w:ascii="Arial" w:hAnsi="Arial" w:cs="Arial"/>
        </w:rPr>
      </w:pPr>
      <w:r w:rsidRPr="003B1A0F">
        <w:rPr>
          <w:rFonts w:ascii="Arial" w:hAnsi="Arial" w:cs="Arial"/>
        </w:rPr>
        <w:t>The Bureau of Labor Statistics (BLS) gathers information on full-time wage and salary workers.  According to the latest available BLS data, the mean hourly wage is $</w:t>
      </w:r>
      <w:r>
        <w:rPr>
          <w:rFonts w:ascii="Arial" w:hAnsi="Arial" w:cs="Arial"/>
        </w:rPr>
        <w:t>30.58</w:t>
      </w:r>
      <w:r w:rsidRPr="003B1A0F">
        <w:rPr>
          <w:rFonts w:ascii="Arial" w:hAnsi="Arial" w:cs="Arial"/>
        </w:rPr>
        <w:t xml:space="preserve"> based on the BLS wage code – “</w:t>
      </w:r>
      <w:r w:rsidRPr="00F74C14">
        <w:rPr>
          <w:rFonts w:ascii="Arial" w:hAnsi="Arial" w:cs="Arial"/>
          <w:b/>
          <w:bCs/>
        </w:rPr>
        <w:t xml:space="preserve">13-2020 Property Appraisers and Assessors” </w:t>
      </w:r>
      <w:r w:rsidRPr="003B1A0F">
        <w:rPr>
          <w:rFonts w:ascii="Arial" w:hAnsi="Arial" w:cs="Arial"/>
        </w:rPr>
        <w:t xml:space="preserve">This information was taken from the following website: </w:t>
      </w:r>
      <w:hyperlink w:history="1" r:id="rId12">
        <w:r w:rsidRPr="006347FB" w:rsidR="00F74C14">
          <w:rPr>
            <w:rStyle w:val="Hyperlink"/>
            <w:rFonts w:ascii="Arial" w:hAnsi="Arial" w:cs="Arial"/>
          </w:rPr>
          <w:t>https://www.bls.gov/oes/current/oes132020.htm</w:t>
        </w:r>
      </w:hyperlink>
    </w:p>
    <w:p w:rsidR="00F74C14" w:rsidP="004C370C" w:rsidRDefault="00F74C14" w14:paraId="25FD52F1" w14:textId="58D09A36">
      <w:pPr>
        <w:tabs>
          <w:tab w:val="left" w:pos="480"/>
          <w:tab w:val="right" w:pos="8640"/>
        </w:tabs>
        <w:ind w:left="720"/>
        <w:rPr>
          <w:rFonts w:ascii="Arial" w:hAnsi="Arial" w:cs="Arial"/>
        </w:rPr>
      </w:pPr>
    </w:p>
    <w:p w:rsidRPr="002A15B6" w:rsidR="00BA2C0E" w:rsidP="00BA2C0E" w:rsidRDefault="00BA2C0E" w14:paraId="4CAAF50E" w14:textId="46CFCF3C">
      <w:pPr>
        <w:pStyle w:val="NoSpacing"/>
        <w:ind w:left="720"/>
        <w:rPr>
          <w:rFonts w:ascii="Arial" w:hAnsi="Arial" w:cs="Arial"/>
        </w:rPr>
      </w:pPr>
      <w:r w:rsidRPr="007659C4">
        <w:rPr>
          <w:rFonts w:ascii="Arial" w:hAnsi="Arial" w:cs="Arial"/>
        </w:rPr>
        <w:t xml:space="preserve"> </w:t>
      </w:r>
      <w:r w:rsidRPr="002A15B6">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00E859DE">
        <w:rPr>
          <w:rFonts w:ascii="Arial" w:hAnsi="Arial" w:cs="Arial"/>
        </w:rPr>
        <w:t>15,901,600</w:t>
      </w:r>
      <w:r w:rsidRPr="002A15B6">
        <w:rPr>
          <w:rFonts w:ascii="Arial" w:hAnsi="Arial" w:cs="Arial"/>
        </w:rPr>
        <w:t xml:space="preserve"> (</w:t>
      </w:r>
      <w:r w:rsidR="00E859DE">
        <w:rPr>
          <w:rFonts w:ascii="Arial" w:hAnsi="Arial" w:cs="Arial"/>
        </w:rPr>
        <w:t>520</w:t>
      </w:r>
      <w:r w:rsidRPr="002A15B6">
        <w:rPr>
          <w:rFonts w:ascii="Arial" w:hAnsi="Arial" w:cs="Arial"/>
        </w:rPr>
        <w:t>,</w:t>
      </w:r>
      <w:r>
        <w:rPr>
          <w:rFonts w:ascii="Arial" w:hAnsi="Arial" w:cs="Arial"/>
        </w:rPr>
        <w:t>000</w:t>
      </w:r>
      <w:r w:rsidRPr="002A15B6">
        <w:rPr>
          <w:rFonts w:ascii="Arial" w:hAnsi="Arial" w:cs="Arial"/>
        </w:rPr>
        <w:t xml:space="preserve"> burden hours x $</w:t>
      </w:r>
      <w:r>
        <w:rPr>
          <w:rFonts w:ascii="Arial" w:hAnsi="Arial" w:cs="Arial"/>
        </w:rPr>
        <w:t>30.58</w:t>
      </w:r>
      <w:r w:rsidRPr="002A15B6">
        <w:rPr>
          <w:rFonts w:ascii="Arial" w:hAnsi="Arial" w:cs="Arial"/>
        </w:rPr>
        <w:t xml:space="preserve"> per hour).  </w:t>
      </w:r>
    </w:p>
    <w:p w:rsidRPr="007659C4" w:rsidR="00377C83" w:rsidP="00377C83" w:rsidRDefault="00377C83" w14:paraId="5252AFEE" w14:textId="02C9FDD0">
      <w:pPr>
        <w:spacing w:after="240"/>
        <w:rPr>
          <w:rFonts w:ascii="Arial" w:hAnsi="Arial" w:cs="Arial"/>
        </w:rPr>
      </w:pPr>
    </w:p>
    <w:p w:rsidRPr="007659C4" w:rsidR="007659C4" w:rsidP="00AD3749" w:rsidRDefault="007659C4" w14:paraId="493417F9" w14:textId="106D3D51">
      <w:pPr>
        <w:tabs>
          <w:tab w:val="left" w:pos="480"/>
          <w:tab w:val="left" w:pos="810"/>
          <w:tab w:val="left" w:pos="900"/>
          <w:tab w:val="right" w:pos="8640"/>
        </w:tabs>
        <w:autoSpaceDE/>
        <w:autoSpaceDN/>
        <w:ind w:left="900" w:hanging="810"/>
        <w:contextualSpacing/>
        <w:rPr>
          <w:rFonts w:ascii="Arial" w:hAnsi="Arial" w:cs="Arial"/>
          <w:b/>
        </w:rPr>
      </w:pPr>
      <w:r>
        <w:rPr>
          <w:rFonts w:ascii="Arial" w:hAnsi="Arial" w:cs="Arial"/>
        </w:rPr>
        <w:t xml:space="preserve">     </w:t>
      </w:r>
      <w:r w:rsidRPr="007659C4" w:rsidR="003C2010">
        <w:rPr>
          <w:rFonts w:ascii="Arial" w:hAnsi="Arial" w:cs="Arial"/>
          <w:b/>
        </w:rPr>
        <w:t>13.</w:t>
      </w:r>
      <w:r w:rsidR="00586E4C">
        <w:rPr>
          <w:rFonts w:ascii="Arial" w:hAnsi="Arial" w:cs="Arial"/>
          <w:b/>
        </w:rPr>
        <w:t xml:space="preserve">  </w:t>
      </w:r>
      <w:r w:rsidRPr="007659C4">
        <w:rPr>
          <w:rFonts w:ascii="Arial" w:hAnsi="Arial" w:cs="Arial"/>
          <w:b/>
        </w:rPr>
        <w:t xml:space="preserve">Provide an estimate of the total annual cost burden to </w:t>
      </w:r>
      <w:r>
        <w:rPr>
          <w:rFonts w:ascii="Arial" w:hAnsi="Arial" w:cs="Arial"/>
          <w:b/>
        </w:rPr>
        <w:t xml:space="preserve">      </w:t>
      </w:r>
      <w:r w:rsidR="00586E4C">
        <w:rPr>
          <w:rFonts w:ascii="Arial" w:hAnsi="Arial" w:cs="Arial"/>
          <w:b/>
        </w:rPr>
        <w:t xml:space="preserve"> </w:t>
      </w:r>
      <w:r>
        <w:rPr>
          <w:rFonts w:ascii="Arial" w:hAnsi="Arial" w:cs="Arial"/>
          <w:b/>
        </w:rPr>
        <w:t>r</w:t>
      </w:r>
      <w:r w:rsidRPr="007659C4">
        <w:rPr>
          <w:rFonts w:ascii="Arial" w:hAnsi="Arial" w:cs="Arial"/>
          <w:b/>
        </w:rPr>
        <w:t xml:space="preserve">espondents or record-keepers resulting from the collection of information. </w:t>
      </w:r>
      <w:r w:rsidR="00C9468A">
        <w:rPr>
          <w:rFonts w:ascii="Arial" w:hAnsi="Arial" w:cs="Arial"/>
          <w:b/>
        </w:rPr>
        <w:t xml:space="preserve">  </w:t>
      </w:r>
      <w:r w:rsidRPr="007659C4">
        <w:rPr>
          <w:rFonts w:ascii="Arial" w:hAnsi="Arial" w:cs="Arial"/>
          <w:b/>
        </w:rPr>
        <w:t xml:space="preserve"> (Do not include the cost of any hour burden shown in Items 12 and 14).</w:t>
      </w:r>
    </w:p>
    <w:p w:rsidR="007659C4" w:rsidP="00586E4C" w:rsidRDefault="007659C4" w14:paraId="6E88957A" w14:textId="77777777">
      <w:pPr>
        <w:tabs>
          <w:tab w:val="left" w:pos="990"/>
        </w:tabs>
        <w:rPr>
          <w:rFonts w:ascii="Arial" w:hAnsi="Arial" w:cs="Arial"/>
        </w:rPr>
      </w:pPr>
    </w:p>
    <w:p w:rsidRPr="007659C4" w:rsidR="003C2010" w:rsidP="00586E4C" w:rsidRDefault="004767C1" w14:paraId="08DB6A5A" w14:textId="77777777">
      <w:pPr>
        <w:tabs>
          <w:tab w:val="left" w:pos="990"/>
        </w:tabs>
        <w:ind w:firstLine="720"/>
        <w:rPr>
          <w:rFonts w:ascii="Arial" w:hAnsi="Arial" w:cs="Arial"/>
        </w:rPr>
      </w:pPr>
      <w:r>
        <w:rPr>
          <w:rFonts w:ascii="Arial" w:hAnsi="Arial" w:cs="Arial"/>
        </w:rPr>
        <w:t xml:space="preserve"> </w:t>
      </w:r>
      <w:r w:rsidRPr="007659C4" w:rsidR="003C2010">
        <w:rPr>
          <w:rFonts w:ascii="Arial" w:hAnsi="Arial" w:cs="Arial"/>
        </w:rPr>
        <w:t>This submission does not involve any recordkeeping costs.</w:t>
      </w:r>
    </w:p>
    <w:p w:rsidRPr="007659C4" w:rsidR="003C2010" w:rsidRDefault="003C2010" w14:paraId="648BAA14" w14:textId="77777777">
      <w:pPr>
        <w:rPr>
          <w:rFonts w:ascii="Arial" w:hAnsi="Arial" w:cs="Arial"/>
        </w:rPr>
      </w:pPr>
    </w:p>
    <w:p w:rsidRPr="007659C4" w:rsidR="007659C4" w:rsidP="00AD3749" w:rsidRDefault="007524B4" w14:paraId="5D08A19F" w14:textId="77777777">
      <w:pPr>
        <w:tabs>
          <w:tab w:val="left" w:pos="480"/>
          <w:tab w:val="right" w:pos="8640"/>
        </w:tabs>
        <w:autoSpaceDE/>
        <w:autoSpaceDN/>
        <w:ind w:left="900" w:hanging="540"/>
        <w:contextualSpacing/>
        <w:rPr>
          <w:rFonts w:ascii="Arial" w:hAnsi="Arial" w:cs="Arial"/>
          <w:b/>
        </w:rPr>
      </w:pPr>
      <w:r w:rsidRPr="007659C4">
        <w:rPr>
          <w:rFonts w:ascii="Arial" w:hAnsi="Arial" w:cs="Arial"/>
          <w:b/>
        </w:rPr>
        <w:lastRenderedPageBreak/>
        <w:t xml:space="preserve"> </w:t>
      </w:r>
      <w:r w:rsidRPr="007659C4" w:rsidR="007659C4">
        <w:rPr>
          <w:rFonts w:ascii="Arial" w:hAnsi="Arial" w:cs="Arial"/>
          <w:b/>
        </w:rPr>
        <w:t>14.</w:t>
      </w:r>
      <w:r w:rsidR="007659C4">
        <w:rPr>
          <w:rFonts w:ascii="Arial" w:hAnsi="Arial" w:cs="Arial"/>
        </w:rPr>
        <w:t xml:space="preserve"> </w:t>
      </w:r>
      <w:r w:rsidRPr="007659C4">
        <w:rPr>
          <w:rFonts w:ascii="Arial" w:hAnsi="Arial" w:cs="Arial"/>
        </w:rPr>
        <w:t xml:space="preserve"> </w:t>
      </w:r>
      <w:r w:rsidRPr="007659C4" w:rsidR="007659C4">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7659C4" w:rsidR="007659C4" w:rsidP="007524B4" w:rsidRDefault="007659C4" w14:paraId="2F2D413B" w14:textId="77777777">
      <w:pPr>
        <w:rPr>
          <w:rFonts w:ascii="Arial" w:hAnsi="Arial" w:cs="Arial"/>
        </w:rPr>
      </w:pPr>
    </w:p>
    <w:p w:rsidR="00C9468A" w:rsidP="00C9468A" w:rsidRDefault="003C2010" w14:paraId="4055C130" w14:textId="6A16A4C8">
      <w:pPr>
        <w:rPr>
          <w:rFonts w:ascii="Arial" w:hAnsi="Arial" w:cs="Arial"/>
        </w:rPr>
      </w:pPr>
      <w:r w:rsidRPr="00E02C77">
        <w:rPr>
          <w:rFonts w:ascii="Arial" w:hAnsi="Arial" w:cs="Arial"/>
        </w:rPr>
        <w:t xml:space="preserve">Estimated Annualized Cost to the Federal </w:t>
      </w:r>
      <w:r w:rsidRPr="00E02C77" w:rsidR="00C9468A">
        <w:rPr>
          <w:rFonts w:ascii="Arial" w:hAnsi="Arial" w:cs="Arial"/>
        </w:rPr>
        <w:t>Government.</w:t>
      </w:r>
    </w:p>
    <w:p w:rsidR="00C9468A" w:rsidP="00C9468A" w:rsidRDefault="00C9468A" w14:paraId="3D5839ED" w14:textId="7CB30D2A">
      <w:pPr>
        <w:rPr>
          <w:rFonts w:ascii="Arial" w:hAnsi="Arial" w:cs="Arial"/>
        </w:rPr>
      </w:pPr>
    </w:p>
    <w:p w:rsidR="00C9468A" w:rsidP="00C9468A" w:rsidRDefault="00C9468A" w14:paraId="15A1D27A" w14:textId="76AC0F95">
      <w:pPr>
        <w:rPr>
          <w:sz w:val="20"/>
          <w:szCs w:val="20"/>
        </w:rPr>
      </w:pPr>
      <w:r>
        <w:rPr>
          <w:rFonts w:ascii="Arial" w:hAnsi="Arial" w:cs="Arial"/>
          <w:u w:val="single"/>
        </w:rPr>
        <w:fldChar w:fldCharType="begin"/>
      </w:r>
      <w:r>
        <w:rPr>
          <w:rFonts w:ascii="Arial" w:hAnsi="Arial" w:cs="Arial"/>
          <w:u w:val="single"/>
        </w:rPr>
        <w:instrText xml:space="preserve"> LINK Excel.Sheet.12 "C:\\Users\\VBACOHeaslJ\\Documents\\PRA work sheet.xlsx" "Sheet1!R1C13:R8C20" \a \f 5 \h  \* MERGEFORMAT </w:instrText>
      </w:r>
      <w:r>
        <w:rPr>
          <w:rFonts w:ascii="Arial" w:hAnsi="Arial" w:cs="Arial"/>
          <w:u w:val="single"/>
        </w:rPr>
        <w:fldChar w:fldCharType="separate"/>
      </w:r>
    </w:p>
    <w:tbl>
      <w:tblPr>
        <w:tblStyle w:val="TableGrid"/>
        <w:tblW w:w="9625" w:type="dxa"/>
        <w:tblLayout w:type="fixed"/>
        <w:tblLook w:val="04A0" w:firstRow="1" w:lastRow="0" w:firstColumn="1" w:lastColumn="0" w:noHBand="0" w:noVBand="1"/>
      </w:tblPr>
      <w:tblGrid>
        <w:gridCol w:w="894"/>
        <w:gridCol w:w="733"/>
        <w:gridCol w:w="1158"/>
        <w:gridCol w:w="1170"/>
        <w:gridCol w:w="990"/>
        <w:gridCol w:w="1350"/>
        <w:gridCol w:w="1440"/>
        <w:gridCol w:w="1890"/>
      </w:tblGrid>
      <w:tr w:rsidRPr="00C9468A" w:rsidR="00C9468A" w:rsidTr="00C9468A" w14:paraId="132BFB0B" w14:textId="77777777">
        <w:trPr>
          <w:trHeight w:val="552"/>
        </w:trPr>
        <w:tc>
          <w:tcPr>
            <w:tcW w:w="9625" w:type="dxa"/>
            <w:gridSpan w:val="8"/>
            <w:noWrap/>
            <w:hideMark/>
          </w:tcPr>
          <w:p w:rsidRPr="00C9468A" w:rsidR="00C9468A" w:rsidP="00C9468A" w:rsidRDefault="00C9468A" w14:paraId="1E4333EE" w14:textId="1909522A">
            <w:pPr>
              <w:rPr>
                <w:rFonts w:ascii="Arial" w:hAnsi="Arial" w:cs="Arial"/>
              </w:rPr>
            </w:pPr>
            <w:r w:rsidRPr="00C9468A">
              <w:rPr>
                <w:rFonts w:ascii="Arial" w:hAnsi="Arial" w:cs="Arial"/>
              </w:rPr>
              <w:t>Estimated Annualized Cost to the Federal Government</w:t>
            </w:r>
          </w:p>
        </w:tc>
      </w:tr>
      <w:tr w:rsidRPr="00C9468A" w:rsidR="00C9468A" w:rsidTr="00C9468A" w14:paraId="67143E1B" w14:textId="77777777">
        <w:trPr>
          <w:trHeight w:val="564"/>
        </w:trPr>
        <w:tc>
          <w:tcPr>
            <w:tcW w:w="894" w:type="dxa"/>
            <w:hideMark/>
          </w:tcPr>
          <w:p w:rsidRPr="00C9468A" w:rsidR="00C9468A" w:rsidP="00C9468A" w:rsidRDefault="00C9468A" w14:paraId="194A96B6" w14:textId="77777777">
            <w:pPr>
              <w:rPr>
                <w:rFonts w:ascii="Arial" w:hAnsi="Arial" w:cs="Arial"/>
              </w:rPr>
            </w:pPr>
            <w:r w:rsidRPr="00C9468A">
              <w:rPr>
                <w:rFonts w:ascii="Arial" w:hAnsi="Arial" w:cs="Arial"/>
              </w:rPr>
              <w:t>Grade</w:t>
            </w:r>
          </w:p>
        </w:tc>
        <w:tc>
          <w:tcPr>
            <w:tcW w:w="733" w:type="dxa"/>
            <w:hideMark/>
          </w:tcPr>
          <w:p w:rsidRPr="00C9468A" w:rsidR="00C9468A" w:rsidP="00C9468A" w:rsidRDefault="00C9468A" w14:paraId="5D84830E" w14:textId="77777777">
            <w:pPr>
              <w:rPr>
                <w:rFonts w:ascii="Arial" w:hAnsi="Arial" w:cs="Arial"/>
              </w:rPr>
            </w:pPr>
            <w:r w:rsidRPr="00C9468A">
              <w:rPr>
                <w:rFonts w:ascii="Arial" w:hAnsi="Arial" w:cs="Arial"/>
              </w:rPr>
              <w:t>Step</w:t>
            </w:r>
          </w:p>
        </w:tc>
        <w:tc>
          <w:tcPr>
            <w:tcW w:w="1158" w:type="dxa"/>
            <w:hideMark/>
          </w:tcPr>
          <w:p w:rsidRPr="00C9468A" w:rsidR="00C9468A" w:rsidP="00C9468A" w:rsidRDefault="00C9468A" w14:paraId="3FA4A01B" w14:textId="77777777">
            <w:pPr>
              <w:rPr>
                <w:rFonts w:ascii="Arial" w:hAnsi="Arial" w:cs="Arial"/>
              </w:rPr>
            </w:pPr>
            <w:r w:rsidRPr="00C9468A">
              <w:rPr>
                <w:rFonts w:ascii="Arial" w:hAnsi="Arial" w:cs="Arial"/>
              </w:rPr>
              <w:t>Burden Time Min</w:t>
            </w:r>
          </w:p>
        </w:tc>
        <w:tc>
          <w:tcPr>
            <w:tcW w:w="1170" w:type="dxa"/>
            <w:hideMark/>
          </w:tcPr>
          <w:p w:rsidRPr="00C9468A" w:rsidR="00C9468A" w:rsidP="00C9468A" w:rsidRDefault="00C9468A" w14:paraId="299EF47E" w14:textId="77777777">
            <w:pPr>
              <w:rPr>
                <w:rFonts w:ascii="Arial" w:hAnsi="Arial" w:cs="Arial"/>
              </w:rPr>
            </w:pPr>
            <w:r w:rsidRPr="00C9468A">
              <w:rPr>
                <w:rFonts w:ascii="Arial" w:hAnsi="Arial" w:cs="Arial"/>
              </w:rPr>
              <w:t>Fraction of Hour</w:t>
            </w:r>
          </w:p>
        </w:tc>
        <w:tc>
          <w:tcPr>
            <w:tcW w:w="990" w:type="dxa"/>
            <w:hideMark/>
          </w:tcPr>
          <w:p w:rsidRPr="00C9468A" w:rsidR="00C9468A" w:rsidP="00C9468A" w:rsidRDefault="00C9468A" w14:paraId="52164097" w14:textId="77777777">
            <w:pPr>
              <w:rPr>
                <w:rFonts w:ascii="Arial" w:hAnsi="Arial" w:cs="Arial"/>
              </w:rPr>
            </w:pPr>
            <w:r w:rsidRPr="00C9468A">
              <w:rPr>
                <w:rFonts w:ascii="Arial" w:hAnsi="Arial" w:cs="Arial"/>
              </w:rPr>
              <w:t>Hourly Rate</w:t>
            </w:r>
          </w:p>
        </w:tc>
        <w:tc>
          <w:tcPr>
            <w:tcW w:w="1350" w:type="dxa"/>
            <w:hideMark/>
          </w:tcPr>
          <w:p w:rsidRPr="00C9468A" w:rsidR="00C9468A" w:rsidP="00C9468A" w:rsidRDefault="00C9468A" w14:paraId="3AB8D140" w14:textId="77777777">
            <w:pPr>
              <w:rPr>
                <w:rFonts w:ascii="Arial" w:hAnsi="Arial" w:cs="Arial"/>
              </w:rPr>
            </w:pPr>
            <w:r w:rsidRPr="00C9468A">
              <w:rPr>
                <w:rFonts w:ascii="Arial" w:hAnsi="Arial" w:cs="Arial"/>
              </w:rPr>
              <w:t>Cost Per Response</w:t>
            </w:r>
          </w:p>
        </w:tc>
        <w:tc>
          <w:tcPr>
            <w:tcW w:w="1440" w:type="dxa"/>
            <w:hideMark/>
          </w:tcPr>
          <w:p w:rsidRPr="00C9468A" w:rsidR="00C9468A" w:rsidP="00C9468A" w:rsidRDefault="00C9468A" w14:paraId="5F404968" w14:textId="77777777">
            <w:pPr>
              <w:rPr>
                <w:rFonts w:ascii="Arial" w:hAnsi="Arial" w:cs="Arial"/>
              </w:rPr>
            </w:pPr>
            <w:r w:rsidRPr="00C9468A">
              <w:rPr>
                <w:rFonts w:ascii="Arial" w:hAnsi="Arial" w:cs="Arial"/>
              </w:rPr>
              <w:t>Total Response</w:t>
            </w:r>
          </w:p>
        </w:tc>
        <w:tc>
          <w:tcPr>
            <w:tcW w:w="1890" w:type="dxa"/>
            <w:hideMark/>
          </w:tcPr>
          <w:p w:rsidRPr="00C9468A" w:rsidR="00C9468A" w:rsidP="00C9468A" w:rsidRDefault="00C9468A" w14:paraId="404D0DB9" w14:textId="77777777">
            <w:pPr>
              <w:rPr>
                <w:rFonts w:ascii="Arial" w:hAnsi="Arial" w:cs="Arial"/>
              </w:rPr>
            </w:pPr>
            <w:r w:rsidRPr="00C9468A">
              <w:rPr>
                <w:rFonts w:ascii="Arial" w:hAnsi="Arial" w:cs="Arial"/>
              </w:rPr>
              <w:t xml:space="preserve"> Total</w:t>
            </w:r>
          </w:p>
        </w:tc>
      </w:tr>
      <w:tr w:rsidRPr="00C9468A" w:rsidR="00C9468A" w:rsidTr="00C9468A" w14:paraId="7C00062E" w14:textId="77777777">
        <w:trPr>
          <w:trHeight w:val="684"/>
        </w:trPr>
        <w:tc>
          <w:tcPr>
            <w:tcW w:w="894" w:type="dxa"/>
            <w:noWrap/>
            <w:hideMark/>
          </w:tcPr>
          <w:p w:rsidRPr="00C9468A" w:rsidR="00C9468A" w:rsidP="00C9468A" w:rsidRDefault="00C9468A" w14:paraId="0E9F9217" w14:textId="77777777">
            <w:pPr>
              <w:rPr>
                <w:rFonts w:ascii="Arial" w:hAnsi="Arial" w:cs="Arial"/>
              </w:rPr>
            </w:pPr>
            <w:r w:rsidRPr="00C9468A">
              <w:rPr>
                <w:rFonts w:ascii="Arial" w:hAnsi="Arial" w:cs="Arial"/>
              </w:rPr>
              <w:t>11</w:t>
            </w:r>
          </w:p>
        </w:tc>
        <w:tc>
          <w:tcPr>
            <w:tcW w:w="733" w:type="dxa"/>
            <w:noWrap/>
            <w:hideMark/>
          </w:tcPr>
          <w:p w:rsidRPr="00C9468A" w:rsidR="00C9468A" w:rsidP="00C9468A" w:rsidRDefault="00C9468A" w14:paraId="1AB42EA3" w14:textId="77777777">
            <w:pPr>
              <w:rPr>
                <w:rFonts w:ascii="Arial" w:hAnsi="Arial" w:cs="Arial"/>
              </w:rPr>
            </w:pPr>
            <w:r w:rsidRPr="00C9468A">
              <w:rPr>
                <w:rFonts w:ascii="Arial" w:hAnsi="Arial" w:cs="Arial"/>
              </w:rPr>
              <w:t>6</w:t>
            </w:r>
          </w:p>
        </w:tc>
        <w:tc>
          <w:tcPr>
            <w:tcW w:w="1158" w:type="dxa"/>
            <w:noWrap/>
            <w:hideMark/>
          </w:tcPr>
          <w:p w:rsidRPr="00C9468A" w:rsidR="00C9468A" w:rsidP="00C9468A" w:rsidRDefault="00C9468A" w14:paraId="0D6DD220" w14:textId="77777777">
            <w:pPr>
              <w:rPr>
                <w:rFonts w:ascii="Arial" w:hAnsi="Arial" w:cs="Arial"/>
              </w:rPr>
            </w:pPr>
            <w:r w:rsidRPr="00C9468A">
              <w:rPr>
                <w:rFonts w:ascii="Arial" w:hAnsi="Arial" w:cs="Arial"/>
              </w:rPr>
              <w:t>60</w:t>
            </w:r>
          </w:p>
        </w:tc>
        <w:tc>
          <w:tcPr>
            <w:tcW w:w="1170" w:type="dxa"/>
            <w:noWrap/>
            <w:hideMark/>
          </w:tcPr>
          <w:p w:rsidRPr="00C9468A" w:rsidR="00C9468A" w:rsidP="00C9468A" w:rsidRDefault="00C9468A" w14:paraId="4922BDDC" w14:textId="77777777">
            <w:pPr>
              <w:rPr>
                <w:rFonts w:ascii="Arial" w:hAnsi="Arial" w:cs="Arial"/>
              </w:rPr>
            </w:pPr>
            <w:r w:rsidRPr="00C9468A">
              <w:rPr>
                <w:rFonts w:ascii="Arial" w:hAnsi="Arial" w:cs="Arial"/>
              </w:rPr>
              <w:t>1.00</w:t>
            </w:r>
          </w:p>
        </w:tc>
        <w:tc>
          <w:tcPr>
            <w:tcW w:w="990" w:type="dxa"/>
            <w:noWrap/>
            <w:hideMark/>
          </w:tcPr>
          <w:p w:rsidRPr="00C9468A" w:rsidR="00C9468A" w:rsidP="00C9468A" w:rsidRDefault="00C9468A" w14:paraId="54DA8F84" w14:textId="77777777">
            <w:pPr>
              <w:rPr>
                <w:rFonts w:ascii="Arial" w:hAnsi="Arial" w:cs="Arial"/>
              </w:rPr>
            </w:pPr>
            <w:r w:rsidRPr="00C9468A">
              <w:rPr>
                <w:rFonts w:ascii="Arial" w:hAnsi="Arial" w:cs="Arial"/>
              </w:rPr>
              <w:t>$31.17</w:t>
            </w:r>
          </w:p>
        </w:tc>
        <w:tc>
          <w:tcPr>
            <w:tcW w:w="1350" w:type="dxa"/>
            <w:noWrap/>
            <w:hideMark/>
          </w:tcPr>
          <w:p w:rsidRPr="00C9468A" w:rsidR="00C9468A" w:rsidP="00C9468A" w:rsidRDefault="00C9468A" w14:paraId="5FC098B0" w14:textId="77777777">
            <w:pPr>
              <w:rPr>
                <w:rFonts w:ascii="Arial" w:hAnsi="Arial" w:cs="Arial"/>
              </w:rPr>
            </w:pPr>
            <w:r w:rsidRPr="00C9468A">
              <w:rPr>
                <w:rFonts w:ascii="Arial" w:hAnsi="Arial" w:cs="Arial"/>
              </w:rPr>
              <w:t>$31.17</w:t>
            </w:r>
          </w:p>
        </w:tc>
        <w:tc>
          <w:tcPr>
            <w:tcW w:w="1440" w:type="dxa"/>
            <w:noWrap/>
            <w:hideMark/>
          </w:tcPr>
          <w:p w:rsidRPr="00C9468A" w:rsidR="00C9468A" w:rsidRDefault="00C9468A" w14:paraId="7AAE7AB1" w14:textId="77777777">
            <w:pPr>
              <w:rPr>
                <w:rFonts w:ascii="Arial" w:hAnsi="Arial" w:cs="Arial"/>
              </w:rPr>
            </w:pPr>
            <w:r w:rsidRPr="00C9468A">
              <w:rPr>
                <w:rFonts w:ascii="Arial" w:hAnsi="Arial" w:cs="Arial"/>
              </w:rPr>
              <w:t xml:space="preserve">    32,500 </w:t>
            </w:r>
          </w:p>
        </w:tc>
        <w:tc>
          <w:tcPr>
            <w:tcW w:w="1890" w:type="dxa"/>
            <w:noWrap/>
            <w:hideMark/>
          </w:tcPr>
          <w:p w:rsidRPr="00C9468A" w:rsidR="00C9468A" w:rsidP="00C9468A" w:rsidRDefault="00C9468A" w14:paraId="12A5C194" w14:textId="77777777">
            <w:pPr>
              <w:rPr>
                <w:rFonts w:ascii="Arial" w:hAnsi="Arial" w:cs="Arial"/>
              </w:rPr>
            </w:pPr>
            <w:r w:rsidRPr="00C9468A">
              <w:rPr>
                <w:rFonts w:ascii="Arial" w:hAnsi="Arial" w:cs="Arial"/>
              </w:rPr>
              <w:t>$1,013,025.00</w:t>
            </w:r>
          </w:p>
        </w:tc>
      </w:tr>
      <w:tr w:rsidRPr="00C9468A" w:rsidR="00C9468A" w:rsidTr="00C9468A" w14:paraId="3FF0C9F7" w14:textId="77777777">
        <w:trPr>
          <w:trHeight w:val="300"/>
        </w:trPr>
        <w:tc>
          <w:tcPr>
            <w:tcW w:w="9625" w:type="dxa"/>
            <w:gridSpan w:val="8"/>
            <w:noWrap/>
            <w:hideMark/>
          </w:tcPr>
          <w:p w:rsidRPr="00C9468A" w:rsidR="00C9468A" w:rsidRDefault="00C9468A" w14:paraId="27FA147D" w14:textId="77777777">
            <w:pPr>
              <w:rPr>
                <w:rFonts w:ascii="Arial" w:hAnsi="Arial" w:cs="Arial"/>
              </w:rPr>
            </w:pPr>
            <w:r w:rsidRPr="00C9468A">
              <w:rPr>
                <w:rFonts w:ascii="Arial" w:hAnsi="Arial" w:cs="Arial"/>
              </w:rPr>
              <w:t>Overhead at 100% Salary</w:t>
            </w:r>
          </w:p>
        </w:tc>
      </w:tr>
      <w:tr w:rsidRPr="00C9468A" w:rsidR="00C9468A" w:rsidTr="00C9468A" w14:paraId="5A4F7804" w14:textId="77777777">
        <w:trPr>
          <w:trHeight w:val="456"/>
        </w:trPr>
        <w:tc>
          <w:tcPr>
            <w:tcW w:w="894" w:type="dxa"/>
            <w:noWrap/>
            <w:hideMark/>
          </w:tcPr>
          <w:p w:rsidRPr="00C9468A" w:rsidR="00C9468A" w:rsidP="00C9468A" w:rsidRDefault="00C9468A" w14:paraId="1380D84F" w14:textId="77777777">
            <w:pPr>
              <w:rPr>
                <w:rFonts w:ascii="Arial" w:hAnsi="Arial" w:cs="Arial"/>
              </w:rPr>
            </w:pPr>
            <w:r w:rsidRPr="00C9468A">
              <w:rPr>
                <w:rFonts w:ascii="Arial" w:hAnsi="Arial" w:cs="Arial"/>
              </w:rPr>
              <w:t>13</w:t>
            </w:r>
          </w:p>
        </w:tc>
        <w:tc>
          <w:tcPr>
            <w:tcW w:w="733" w:type="dxa"/>
            <w:noWrap/>
            <w:hideMark/>
          </w:tcPr>
          <w:p w:rsidRPr="00C9468A" w:rsidR="00C9468A" w:rsidP="00C9468A" w:rsidRDefault="00C9468A" w14:paraId="50F6FE6E" w14:textId="77777777">
            <w:pPr>
              <w:rPr>
                <w:rFonts w:ascii="Arial" w:hAnsi="Arial" w:cs="Arial"/>
              </w:rPr>
            </w:pPr>
            <w:r w:rsidRPr="00C9468A">
              <w:rPr>
                <w:rFonts w:ascii="Arial" w:hAnsi="Arial" w:cs="Arial"/>
              </w:rPr>
              <w:t>6</w:t>
            </w:r>
          </w:p>
        </w:tc>
        <w:tc>
          <w:tcPr>
            <w:tcW w:w="1158" w:type="dxa"/>
            <w:noWrap/>
            <w:hideMark/>
          </w:tcPr>
          <w:p w:rsidRPr="00C9468A" w:rsidR="00C9468A" w:rsidP="00C9468A" w:rsidRDefault="00C9468A" w14:paraId="2E8B907D" w14:textId="77777777">
            <w:pPr>
              <w:rPr>
                <w:rFonts w:ascii="Arial" w:hAnsi="Arial" w:cs="Arial"/>
              </w:rPr>
            </w:pPr>
            <w:r w:rsidRPr="00C9468A">
              <w:rPr>
                <w:rFonts w:ascii="Arial" w:hAnsi="Arial" w:cs="Arial"/>
              </w:rPr>
              <w:t>15</w:t>
            </w:r>
          </w:p>
        </w:tc>
        <w:tc>
          <w:tcPr>
            <w:tcW w:w="1170" w:type="dxa"/>
            <w:noWrap/>
            <w:hideMark/>
          </w:tcPr>
          <w:p w:rsidRPr="00C9468A" w:rsidR="00C9468A" w:rsidP="00C9468A" w:rsidRDefault="00C9468A" w14:paraId="3B32CCAC" w14:textId="77777777">
            <w:pPr>
              <w:rPr>
                <w:rFonts w:ascii="Arial" w:hAnsi="Arial" w:cs="Arial"/>
              </w:rPr>
            </w:pPr>
            <w:r w:rsidRPr="00C9468A">
              <w:rPr>
                <w:rFonts w:ascii="Arial" w:hAnsi="Arial" w:cs="Arial"/>
              </w:rPr>
              <w:t>0.25</w:t>
            </w:r>
          </w:p>
        </w:tc>
        <w:tc>
          <w:tcPr>
            <w:tcW w:w="990" w:type="dxa"/>
            <w:noWrap/>
            <w:hideMark/>
          </w:tcPr>
          <w:p w:rsidRPr="00C9468A" w:rsidR="00C9468A" w:rsidP="00C9468A" w:rsidRDefault="00C9468A" w14:paraId="26E2C458" w14:textId="77777777">
            <w:pPr>
              <w:rPr>
                <w:rFonts w:ascii="Arial" w:hAnsi="Arial" w:cs="Arial"/>
              </w:rPr>
            </w:pPr>
            <w:r w:rsidRPr="00C9468A">
              <w:rPr>
                <w:rFonts w:ascii="Arial" w:hAnsi="Arial" w:cs="Arial"/>
              </w:rPr>
              <w:t>$44.42</w:t>
            </w:r>
          </w:p>
        </w:tc>
        <w:tc>
          <w:tcPr>
            <w:tcW w:w="1350" w:type="dxa"/>
            <w:noWrap/>
            <w:hideMark/>
          </w:tcPr>
          <w:p w:rsidRPr="00C9468A" w:rsidR="00C9468A" w:rsidP="00C9468A" w:rsidRDefault="00C9468A" w14:paraId="64931FFC" w14:textId="77777777">
            <w:pPr>
              <w:rPr>
                <w:rFonts w:ascii="Arial" w:hAnsi="Arial" w:cs="Arial"/>
              </w:rPr>
            </w:pPr>
            <w:r w:rsidRPr="00C9468A">
              <w:rPr>
                <w:rFonts w:ascii="Arial" w:hAnsi="Arial" w:cs="Arial"/>
              </w:rPr>
              <w:t>$11.11</w:t>
            </w:r>
          </w:p>
        </w:tc>
        <w:tc>
          <w:tcPr>
            <w:tcW w:w="1440" w:type="dxa"/>
            <w:noWrap/>
            <w:hideMark/>
          </w:tcPr>
          <w:p w:rsidRPr="00C9468A" w:rsidR="00C9468A" w:rsidRDefault="00C9468A" w14:paraId="7B3EF357" w14:textId="77777777">
            <w:pPr>
              <w:rPr>
                <w:rFonts w:ascii="Arial" w:hAnsi="Arial" w:cs="Arial"/>
              </w:rPr>
            </w:pPr>
            <w:r w:rsidRPr="00C9468A">
              <w:rPr>
                <w:rFonts w:ascii="Arial" w:hAnsi="Arial" w:cs="Arial"/>
              </w:rPr>
              <w:t xml:space="preserve">    32,500 </w:t>
            </w:r>
          </w:p>
        </w:tc>
        <w:tc>
          <w:tcPr>
            <w:tcW w:w="1890" w:type="dxa"/>
            <w:noWrap/>
            <w:hideMark/>
          </w:tcPr>
          <w:p w:rsidRPr="00C9468A" w:rsidR="00C9468A" w:rsidP="00C9468A" w:rsidRDefault="00C9468A" w14:paraId="390A46EB" w14:textId="77777777">
            <w:pPr>
              <w:rPr>
                <w:rFonts w:ascii="Arial" w:hAnsi="Arial" w:cs="Arial"/>
              </w:rPr>
            </w:pPr>
            <w:r w:rsidRPr="00C9468A">
              <w:rPr>
                <w:rFonts w:ascii="Arial" w:hAnsi="Arial" w:cs="Arial"/>
              </w:rPr>
              <w:t>$360,912.50</w:t>
            </w:r>
          </w:p>
        </w:tc>
      </w:tr>
      <w:tr w:rsidRPr="00C9468A" w:rsidR="00C9468A" w:rsidTr="00C9468A" w14:paraId="0C0C96C6" w14:textId="77777777">
        <w:trPr>
          <w:trHeight w:val="288"/>
        </w:trPr>
        <w:tc>
          <w:tcPr>
            <w:tcW w:w="9625" w:type="dxa"/>
            <w:gridSpan w:val="8"/>
            <w:noWrap/>
            <w:hideMark/>
          </w:tcPr>
          <w:p w:rsidRPr="00C9468A" w:rsidR="00C9468A" w:rsidRDefault="00C9468A" w14:paraId="35BC18B5" w14:textId="77777777">
            <w:pPr>
              <w:rPr>
                <w:rFonts w:ascii="Arial" w:hAnsi="Arial" w:cs="Arial"/>
              </w:rPr>
            </w:pPr>
            <w:r w:rsidRPr="00C9468A">
              <w:rPr>
                <w:rFonts w:ascii="Arial" w:hAnsi="Arial" w:cs="Arial"/>
              </w:rPr>
              <w:t>Overhead at 25% Salary</w:t>
            </w:r>
          </w:p>
        </w:tc>
      </w:tr>
      <w:tr w:rsidRPr="00C9468A" w:rsidR="00C9468A" w:rsidTr="00C9468A" w14:paraId="60BB4AFA" w14:textId="77777777">
        <w:trPr>
          <w:trHeight w:val="288"/>
        </w:trPr>
        <w:tc>
          <w:tcPr>
            <w:tcW w:w="7735" w:type="dxa"/>
            <w:gridSpan w:val="7"/>
            <w:noWrap/>
            <w:hideMark/>
          </w:tcPr>
          <w:p w:rsidRPr="00C9468A" w:rsidR="00C9468A" w:rsidP="009A5F57" w:rsidRDefault="00C9468A" w14:paraId="5A00D430" w14:textId="77777777">
            <w:pPr>
              <w:jc w:val="right"/>
              <w:rPr>
                <w:rFonts w:ascii="Arial" w:hAnsi="Arial" w:cs="Arial"/>
              </w:rPr>
            </w:pPr>
            <w:r w:rsidRPr="00C9468A">
              <w:rPr>
                <w:rFonts w:ascii="Arial" w:hAnsi="Arial" w:cs="Arial"/>
              </w:rPr>
              <w:t>Processing / Analyzing Costs</w:t>
            </w:r>
          </w:p>
        </w:tc>
        <w:tc>
          <w:tcPr>
            <w:tcW w:w="1890" w:type="dxa"/>
            <w:noWrap/>
            <w:hideMark/>
          </w:tcPr>
          <w:p w:rsidRPr="00C9468A" w:rsidR="00C9468A" w:rsidP="00C9468A" w:rsidRDefault="00C9468A" w14:paraId="6CD9205C" w14:textId="77777777">
            <w:pPr>
              <w:rPr>
                <w:rFonts w:ascii="Arial" w:hAnsi="Arial" w:cs="Arial"/>
              </w:rPr>
            </w:pPr>
            <w:r w:rsidRPr="00C9468A">
              <w:rPr>
                <w:rFonts w:ascii="Arial" w:hAnsi="Arial" w:cs="Arial"/>
              </w:rPr>
              <w:t>$1,373,937.50</w:t>
            </w:r>
          </w:p>
        </w:tc>
      </w:tr>
      <w:tr w:rsidRPr="00C9468A" w:rsidR="00C9468A" w:rsidTr="00C9468A" w14:paraId="4ADBFC93" w14:textId="77777777">
        <w:trPr>
          <w:trHeight w:val="300"/>
        </w:trPr>
        <w:tc>
          <w:tcPr>
            <w:tcW w:w="7735" w:type="dxa"/>
            <w:gridSpan w:val="7"/>
            <w:noWrap/>
            <w:hideMark/>
          </w:tcPr>
          <w:p w:rsidRPr="00C9468A" w:rsidR="00C9468A" w:rsidP="009A5F57" w:rsidRDefault="00C9468A" w14:paraId="0C3845D8" w14:textId="77777777">
            <w:pPr>
              <w:jc w:val="right"/>
              <w:rPr>
                <w:rFonts w:ascii="Arial" w:hAnsi="Arial" w:cs="Arial"/>
              </w:rPr>
            </w:pPr>
            <w:r w:rsidRPr="00C9468A">
              <w:rPr>
                <w:rFonts w:ascii="Arial" w:hAnsi="Arial" w:cs="Arial"/>
              </w:rPr>
              <w:t>Printing and Production Costs</w:t>
            </w:r>
          </w:p>
        </w:tc>
        <w:tc>
          <w:tcPr>
            <w:tcW w:w="1890" w:type="dxa"/>
            <w:noWrap/>
            <w:hideMark/>
          </w:tcPr>
          <w:p w:rsidRPr="00C9468A" w:rsidR="00C9468A" w:rsidP="00C9468A" w:rsidRDefault="00C9468A" w14:paraId="65DC2DF5" w14:textId="77777777">
            <w:pPr>
              <w:rPr>
                <w:rFonts w:ascii="Arial" w:hAnsi="Arial" w:cs="Arial"/>
              </w:rPr>
            </w:pPr>
            <w:r w:rsidRPr="00C9468A">
              <w:rPr>
                <w:rFonts w:ascii="Arial" w:hAnsi="Arial" w:cs="Arial"/>
              </w:rPr>
              <w:t>$0.00</w:t>
            </w:r>
          </w:p>
        </w:tc>
      </w:tr>
    </w:tbl>
    <w:p w:rsidRPr="007659C4" w:rsidR="00C9468A" w:rsidP="00C9468A" w:rsidRDefault="00C9468A" w14:paraId="7C0CFCD0" w14:textId="747574CE">
      <w:pPr>
        <w:rPr>
          <w:rFonts w:ascii="Arial" w:hAnsi="Arial" w:cs="Arial"/>
          <w:u w:val="single"/>
        </w:rPr>
      </w:pPr>
      <w:r>
        <w:rPr>
          <w:rFonts w:ascii="Arial" w:hAnsi="Arial" w:cs="Arial"/>
          <w:u w:val="single"/>
        </w:rPr>
        <w:fldChar w:fldCharType="end"/>
      </w:r>
    </w:p>
    <w:p w:rsidRPr="007659C4" w:rsidR="009152F5" w:rsidP="003D3AD3" w:rsidRDefault="009152F5" w14:paraId="77602DEC" w14:textId="4ABB434F">
      <w:pPr>
        <w:jc w:val="center"/>
        <w:rPr>
          <w:rFonts w:ascii="Arial" w:hAnsi="Arial" w:cs="Arial"/>
          <w:u w:val="single"/>
        </w:rPr>
      </w:pPr>
    </w:p>
    <w:p w:rsidR="00C9468A" w:rsidP="00791C1C" w:rsidRDefault="00C9468A" w14:paraId="73C70471" w14:textId="77777777">
      <w:pPr>
        <w:ind w:left="360"/>
        <w:rPr>
          <w:rFonts w:ascii="Arial" w:hAnsi="Arial" w:cs="Arial"/>
        </w:rPr>
      </w:pPr>
      <w:bookmarkStart w:name="_Hlk29579534" w:id="1"/>
    </w:p>
    <w:p w:rsidRPr="00791C1C" w:rsidR="00791C1C" w:rsidP="00791C1C" w:rsidRDefault="00791C1C" w14:paraId="00BE40A0" w14:textId="40BED390">
      <w:pPr>
        <w:ind w:left="360"/>
        <w:rPr>
          <w:rFonts w:ascii="Arial" w:hAnsi="Arial" w:cs="Arial"/>
        </w:rPr>
      </w:pPr>
      <w:r w:rsidRPr="00791C1C">
        <w:rPr>
          <w:rFonts w:ascii="Arial" w:hAnsi="Arial" w:cs="Arial"/>
        </w:rPr>
        <w:t>Note: The hourly wage information above is based on the hourly 2021 General Schedule (Base) Pay (</w:t>
      </w:r>
      <w:hyperlink w:history="1" r:id="rId13">
        <w:r w:rsidRPr="008935D2" w:rsidR="004C370C">
          <w:rPr>
            <w:rStyle w:val="Hyperlink"/>
            <w:rFonts w:ascii="Arial" w:hAnsi="Arial" w:cs="Arial"/>
          </w:rPr>
          <w:t>https://www.opm.gov/policy-data-oversight/pay-leave/salaries-wages/salary-tables/pdf/2021/GS_h.pdf</w:t>
        </w:r>
      </w:hyperlink>
      <w:r w:rsidRPr="00791C1C">
        <w:rPr>
          <w:rFonts w:ascii="Arial" w:hAnsi="Arial" w:cs="Arial"/>
        </w:rPr>
        <w:t>). This rate does not include any locality adjustment as applicable.</w:t>
      </w:r>
    </w:p>
    <w:bookmarkEnd w:id="1"/>
    <w:p w:rsidRPr="00791C1C" w:rsidR="00791C1C" w:rsidP="00791C1C" w:rsidRDefault="00791C1C" w14:paraId="1DC1F64B" w14:textId="77777777">
      <w:pPr>
        <w:ind w:left="360"/>
        <w:rPr>
          <w:rFonts w:ascii="Arial" w:hAnsi="Arial" w:cs="Arial"/>
        </w:rPr>
      </w:pPr>
    </w:p>
    <w:p w:rsidRPr="00791C1C" w:rsidR="00791C1C" w:rsidP="00791C1C" w:rsidRDefault="00791C1C" w14:paraId="35126F9E" w14:textId="77777777">
      <w:pPr>
        <w:ind w:left="360" w:right="684"/>
        <w:rPr>
          <w:rFonts w:ascii="Arial" w:hAnsi="Arial" w:cs="Arial"/>
        </w:rPr>
      </w:pPr>
      <w:r w:rsidRPr="00791C1C">
        <w:rPr>
          <w:rFonts w:ascii="Arial" w:hAnsi="Arial" w:cs="Arial"/>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7659C4" w:rsidR="003C2010" w:rsidRDefault="003C2010" w14:paraId="34E13444" w14:textId="77777777">
      <w:pPr>
        <w:rPr>
          <w:rFonts w:ascii="Arial" w:hAnsi="Arial" w:cs="Arial"/>
        </w:rPr>
      </w:pPr>
    </w:p>
    <w:p w:rsidRPr="00FA6E0B" w:rsidR="00A46E1B" w:rsidP="00A46E1B" w:rsidRDefault="007524B4" w14:paraId="3E9EE8C6" w14:textId="77777777">
      <w:pPr>
        <w:ind w:left="810" w:hanging="810"/>
        <w:rPr>
          <w:rFonts w:ascii="Arial" w:hAnsi="Arial" w:cs="Arial"/>
        </w:rPr>
      </w:pPr>
      <w:r w:rsidRPr="007659C4">
        <w:rPr>
          <w:rFonts w:ascii="Arial" w:hAnsi="Arial" w:cs="Arial"/>
        </w:rPr>
        <w:t xml:space="preserve">     </w:t>
      </w:r>
      <w:r w:rsidRPr="007659C4" w:rsidR="004E779A">
        <w:rPr>
          <w:rFonts w:ascii="Arial" w:hAnsi="Arial" w:cs="Arial"/>
        </w:rPr>
        <w:t xml:space="preserve"> </w:t>
      </w:r>
      <w:r w:rsidRPr="00CF2152" w:rsidR="00A46E1B">
        <w:rPr>
          <w:rFonts w:ascii="Arial" w:hAnsi="Arial" w:cs="Arial"/>
          <w:b/>
        </w:rPr>
        <w:t>15.</w:t>
      </w:r>
      <w:r w:rsidRPr="00FA6E0B" w:rsidR="00A46E1B">
        <w:rPr>
          <w:rFonts w:ascii="Arial" w:hAnsi="Arial" w:cs="Arial"/>
        </w:rPr>
        <w:t xml:space="preserve"> </w:t>
      </w:r>
      <w:r w:rsidRPr="00FA6E0B" w:rsidR="00A46E1B">
        <w:rPr>
          <w:rFonts w:ascii="Arial" w:hAnsi="Arial" w:cs="Arial"/>
          <w:b/>
        </w:rPr>
        <w:t>Explain the reason for any burden hour changes since the last submission.</w:t>
      </w:r>
    </w:p>
    <w:p w:rsidR="002A15B6" w:rsidP="002A15B6" w:rsidRDefault="002A15B6" w14:paraId="6B4093DF" w14:textId="77777777">
      <w:pPr>
        <w:ind w:left="1080" w:hanging="360"/>
        <w:rPr>
          <w:rFonts w:ascii="Arial" w:hAnsi="Arial" w:cs="Arial"/>
        </w:rPr>
      </w:pPr>
    </w:p>
    <w:p w:rsidR="002A15B6" w:rsidRDefault="008B5FBD" w14:paraId="008E57FC" w14:textId="1EED22D9">
      <w:pPr>
        <w:ind w:left="360"/>
        <w:rPr>
          <w:rFonts w:ascii="Arial" w:hAnsi="Arial" w:cs="Arial"/>
        </w:rPr>
      </w:pPr>
      <w:r>
        <w:rPr>
          <w:rFonts w:ascii="Arial" w:hAnsi="Arial" w:cs="Arial"/>
        </w:rPr>
        <w:t xml:space="preserve">VA LGY’s loan volume has increases substantially since the last time this ICR was completed, which is one driver for why the burden hour changes have increased. However, </w:t>
      </w:r>
      <w:r w:rsidRPr="008B5FBD" w:rsidR="007B3D91">
        <w:rPr>
          <w:rFonts w:ascii="Arial" w:hAnsi="Arial" w:cs="Arial"/>
        </w:rPr>
        <w:t xml:space="preserve">VA </w:t>
      </w:r>
      <w:r w:rsidR="00235749">
        <w:rPr>
          <w:rFonts w:ascii="Arial" w:hAnsi="Arial" w:cs="Arial"/>
        </w:rPr>
        <w:t xml:space="preserve">has also streamlined the initial appraisal ordering process (Form 26-1805), which has resulted in the reduction of several fields in the form. </w:t>
      </w:r>
      <w:r w:rsidRPr="008B5FBD" w:rsidR="002A15B6">
        <w:rPr>
          <w:rFonts w:ascii="Arial" w:hAnsi="Arial" w:cs="Arial"/>
        </w:rPr>
        <w:t>Due to the automation</w:t>
      </w:r>
      <w:r w:rsidRPr="008B5FBD" w:rsidR="0012204B">
        <w:rPr>
          <w:rFonts w:ascii="Arial" w:hAnsi="Arial" w:cs="Arial"/>
        </w:rPr>
        <w:t>,</w:t>
      </w:r>
      <w:r w:rsidRPr="008B5FBD" w:rsidR="002A15B6">
        <w:rPr>
          <w:rFonts w:ascii="Arial" w:hAnsi="Arial" w:cs="Arial"/>
        </w:rPr>
        <w:t xml:space="preserve"> the estimated time to complete</w:t>
      </w:r>
      <w:r w:rsidR="00235749">
        <w:rPr>
          <w:rFonts w:ascii="Arial" w:hAnsi="Arial" w:cs="Arial"/>
        </w:rPr>
        <w:t xml:space="preserve"> the Form 26-1805</w:t>
      </w:r>
      <w:r w:rsidRPr="008B5FBD" w:rsidR="002A15B6">
        <w:rPr>
          <w:rFonts w:ascii="Arial" w:hAnsi="Arial" w:cs="Arial"/>
        </w:rPr>
        <w:t xml:space="preserve"> has been reduced</w:t>
      </w:r>
      <w:r w:rsidRPr="008B5FBD" w:rsidR="007B3D91">
        <w:rPr>
          <w:rFonts w:ascii="Arial" w:hAnsi="Arial" w:cs="Arial"/>
        </w:rPr>
        <w:t xml:space="preserve"> from 12 minutes to 6 minutes</w:t>
      </w:r>
      <w:r w:rsidRPr="008B5FBD" w:rsidR="00B36F44">
        <w:rPr>
          <w:rFonts w:ascii="Arial" w:hAnsi="Arial" w:cs="Arial"/>
        </w:rPr>
        <w:t xml:space="preserve"> for the Loan Interviewees and Clerks only</w:t>
      </w:r>
      <w:r w:rsidRPr="008B5FBD" w:rsidR="007B3D91">
        <w:rPr>
          <w:rFonts w:ascii="Arial" w:hAnsi="Arial" w:cs="Arial"/>
        </w:rPr>
        <w:t>.</w:t>
      </w:r>
      <w:r w:rsidR="00B36F44">
        <w:rPr>
          <w:rFonts w:ascii="Arial" w:hAnsi="Arial" w:cs="Arial"/>
        </w:rPr>
        <w:t xml:space="preserve"> </w:t>
      </w:r>
    </w:p>
    <w:p w:rsidR="00235749" w:rsidRDefault="00235749" w14:paraId="0A5EA9C4" w14:textId="6CA369E4">
      <w:pPr>
        <w:ind w:left="360"/>
        <w:rPr>
          <w:rFonts w:ascii="Arial" w:hAnsi="Arial" w:cs="Arial"/>
        </w:rPr>
      </w:pPr>
    </w:p>
    <w:p w:rsidR="00235749" w:rsidRDefault="00235749" w14:paraId="542237AE" w14:textId="0A374991">
      <w:pPr>
        <w:ind w:left="360"/>
        <w:rPr>
          <w:rFonts w:ascii="Arial" w:hAnsi="Arial" w:cs="Arial"/>
        </w:rPr>
      </w:pPr>
      <w:r>
        <w:rPr>
          <w:rFonts w:ascii="Arial" w:hAnsi="Arial" w:cs="Arial"/>
        </w:rPr>
        <w:t xml:space="preserve">Additionally, this revised ICR includes new data collection fields for communication activities (appraisal acknowledgement, scheduling, NOV </w:t>
      </w:r>
      <w:r>
        <w:rPr>
          <w:rFonts w:ascii="Arial" w:hAnsi="Arial" w:cs="Arial"/>
        </w:rPr>
        <w:lastRenderedPageBreak/>
        <w:t xml:space="preserve">notifications) that were previously occurring “offline” through telephone calls, emails, or the “notes” fields of other systems. Those activities were not previously captured in </w:t>
      </w:r>
      <w:r w:rsidR="00FE71BD">
        <w:rPr>
          <w:rFonts w:ascii="Arial" w:hAnsi="Arial" w:cs="Arial"/>
        </w:rPr>
        <w:t>any standardize format</w:t>
      </w:r>
      <w:r>
        <w:rPr>
          <w:rFonts w:ascii="Arial" w:hAnsi="Arial" w:cs="Arial"/>
        </w:rPr>
        <w:t xml:space="preserve"> as part of any form or system. This ICR now includes estimated burden for those communication/notification activities, which has also caused the burden hour changes to increase since the last submission</w:t>
      </w:r>
      <w:r w:rsidR="00CF718F">
        <w:rPr>
          <w:rFonts w:ascii="Arial" w:hAnsi="Arial" w:cs="Arial"/>
        </w:rPr>
        <w:t xml:space="preserve"> by 51 minutes</w:t>
      </w:r>
      <w:r>
        <w:rPr>
          <w:rFonts w:ascii="Arial" w:hAnsi="Arial" w:cs="Arial"/>
        </w:rPr>
        <w:t xml:space="preserve">. However, VA LGY believes that the overall time burden of performing the end-to-end appraisal management process will ultimately decrease with these new system features (compared to the current state </w:t>
      </w:r>
      <w:r w:rsidR="00FE71BD">
        <w:rPr>
          <w:rFonts w:ascii="Arial" w:hAnsi="Arial" w:cs="Arial"/>
        </w:rPr>
        <w:t>where communications were captured in a non-standardized way</w:t>
      </w:r>
      <w:r>
        <w:rPr>
          <w:rFonts w:ascii="Arial" w:hAnsi="Arial" w:cs="Arial"/>
        </w:rPr>
        <w:t xml:space="preserve">). </w:t>
      </w:r>
    </w:p>
    <w:p w:rsidRPr="007659C4" w:rsidR="003C2010" w:rsidP="00E32533" w:rsidRDefault="003C2010" w14:paraId="5C415CB3" w14:textId="7ABC46D2">
      <w:pPr>
        <w:tabs>
          <w:tab w:val="left" w:pos="990"/>
        </w:tabs>
        <w:rPr>
          <w:rFonts w:ascii="Arial" w:hAnsi="Arial" w:cs="Arial"/>
        </w:rPr>
      </w:pP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p>
    <w:p w:rsidRPr="00FA6E0B" w:rsidR="00A46E1B" w:rsidP="00A46E1B" w:rsidRDefault="007524B4" w14:paraId="528E33C4" w14:textId="77777777">
      <w:pPr>
        <w:ind w:left="900" w:hanging="900"/>
        <w:rPr>
          <w:rFonts w:ascii="Arial" w:hAnsi="Arial" w:cs="Arial"/>
          <w:b/>
        </w:rPr>
      </w:pPr>
      <w:r w:rsidRPr="007659C4">
        <w:rPr>
          <w:rFonts w:ascii="Arial" w:hAnsi="Arial" w:cs="Arial"/>
        </w:rPr>
        <w:t xml:space="preserve">     </w:t>
      </w:r>
      <w:r w:rsidR="00A46E1B">
        <w:rPr>
          <w:rFonts w:ascii="Arial" w:hAnsi="Arial" w:cs="Arial"/>
        </w:rPr>
        <w:t xml:space="preserve">  </w:t>
      </w:r>
      <w:r w:rsidRPr="00CF2152" w:rsidR="00A46E1B">
        <w:rPr>
          <w:rFonts w:ascii="Arial" w:hAnsi="Arial" w:cs="Arial"/>
          <w:b/>
        </w:rPr>
        <w:t>16.</w:t>
      </w:r>
      <w:r w:rsidRPr="00FA6E0B" w:rsidR="00A46E1B">
        <w:rPr>
          <w:rFonts w:ascii="Arial" w:hAnsi="Arial" w:cs="Arial"/>
        </w:rPr>
        <w:t xml:space="preserve">  </w:t>
      </w:r>
      <w:r w:rsidRPr="00FA6E0B" w:rsidR="00A46E1B">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6E1B" w:rsidP="00377C83" w:rsidRDefault="00A46E1B" w14:paraId="3464BFE5" w14:textId="77777777">
      <w:pPr>
        <w:tabs>
          <w:tab w:val="left" w:pos="270"/>
          <w:tab w:val="right" w:pos="8550"/>
        </w:tabs>
        <w:spacing w:line="240" w:lineRule="exact"/>
        <w:ind w:right="864"/>
        <w:rPr>
          <w:rFonts w:ascii="Arial" w:hAnsi="Arial" w:cs="Arial"/>
        </w:rPr>
      </w:pPr>
    </w:p>
    <w:p w:rsidR="00A46E1B" w:rsidP="00377C83" w:rsidRDefault="00A46E1B" w14:paraId="182277EE" w14:textId="77777777">
      <w:pPr>
        <w:tabs>
          <w:tab w:val="left" w:pos="270"/>
          <w:tab w:val="right" w:pos="8550"/>
        </w:tabs>
        <w:spacing w:line="240" w:lineRule="exact"/>
        <w:ind w:right="864"/>
        <w:rPr>
          <w:rFonts w:ascii="Arial" w:hAnsi="Arial" w:cs="Arial"/>
        </w:rPr>
      </w:pPr>
    </w:p>
    <w:p w:rsidRPr="007659C4" w:rsidR="00377C83" w:rsidP="00A46E1B" w:rsidRDefault="00A46E1B" w14:paraId="7D5FA0BA" w14:textId="77777777">
      <w:pPr>
        <w:tabs>
          <w:tab w:val="left" w:pos="270"/>
          <w:tab w:val="right" w:pos="8550"/>
        </w:tabs>
        <w:spacing w:line="240" w:lineRule="exact"/>
        <w:ind w:right="864"/>
        <w:rPr>
          <w:rFonts w:ascii="Arial" w:hAnsi="Arial" w:cs="Arial"/>
        </w:rPr>
      </w:pPr>
      <w:r>
        <w:rPr>
          <w:rFonts w:ascii="Arial" w:hAnsi="Arial" w:cs="Arial"/>
        </w:rPr>
        <w:tab/>
        <w:t xml:space="preserve">         </w:t>
      </w:r>
      <w:r w:rsidRPr="007659C4" w:rsidR="00377C83">
        <w:rPr>
          <w:rFonts w:ascii="Arial" w:hAnsi="Arial" w:cs="Arial"/>
        </w:rPr>
        <w:t>Information collection is not for tabulation or publication use.</w:t>
      </w:r>
    </w:p>
    <w:p w:rsidRPr="007659C4" w:rsidR="003C2010" w:rsidRDefault="003C2010" w14:paraId="58A5F369" w14:textId="77777777">
      <w:pPr>
        <w:rPr>
          <w:rFonts w:ascii="Arial" w:hAnsi="Arial" w:cs="Arial"/>
        </w:rPr>
      </w:pPr>
    </w:p>
    <w:p w:rsidRPr="00A46E1B" w:rsidR="00A46E1B" w:rsidP="00A46E1B" w:rsidRDefault="007524B4" w14:paraId="7177D616" w14:textId="77777777">
      <w:pPr>
        <w:tabs>
          <w:tab w:val="left" w:pos="540"/>
          <w:tab w:val="left" w:pos="900"/>
        </w:tabs>
        <w:ind w:left="810" w:hanging="810"/>
        <w:rPr>
          <w:rFonts w:ascii="Arial" w:hAnsi="Arial" w:cs="Arial"/>
          <w:b/>
        </w:rPr>
      </w:pPr>
      <w:r w:rsidRPr="007659C4">
        <w:rPr>
          <w:rFonts w:ascii="Arial" w:hAnsi="Arial" w:cs="Arial"/>
        </w:rPr>
        <w:t xml:space="preserve">     </w:t>
      </w:r>
      <w:r w:rsidR="00A46E1B">
        <w:rPr>
          <w:rFonts w:ascii="Arial" w:hAnsi="Arial" w:cs="Arial"/>
        </w:rPr>
        <w:t xml:space="preserve"> </w:t>
      </w:r>
      <w:r w:rsidRPr="00A46E1B" w:rsidR="00A46E1B">
        <w:rPr>
          <w:rFonts w:ascii="Arial" w:hAnsi="Arial" w:cs="Arial"/>
          <w:b/>
        </w:rPr>
        <w:t>17.</w:t>
      </w:r>
      <w:r w:rsidRPr="00A46E1B" w:rsidR="00A46E1B">
        <w:rPr>
          <w:rFonts w:ascii="Arial" w:hAnsi="Arial" w:cs="Arial"/>
        </w:rPr>
        <w:t xml:space="preserve"> </w:t>
      </w:r>
      <w:r w:rsidR="00A46E1B">
        <w:rPr>
          <w:rFonts w:ascii="Arial" w:hAnsi="Arial" w:cs="Arial"/>
        </w:rPr>
        <w:t xml:space="preserve"> </w:t>
      </w:r>
      <w:r w:rsidRPr="00A46E1B" w:rsidR="00A46E1B">
        <w:rPr>
          <w:rFonts w:ascii="Arial" w:hAnsi="Arial" w:cs="Arial"/>
          <w:b/>
        </w:rPr>
        <w:t>If seeking approval to not display the expiration date</w:t>
      </w:r>
      <w:r w:rsidRPr="00A46E1B" w:rsidR="00A46E1B">
        <w:rPr>
          <w:rFonts w:ascii="Arial" w:hAnsi="Arial" w:cs="Arial"/>
          <w:b/>
          <w:color w:val="0000FF"/>
        </w:rPr>
        <w:t xml:space="preserve"> </w:t>
      </w:r>
      <w:r w:rsidRPr="00A46E1B" w:rsidR="00A46E1B">
        <w:rPr>
          <w:rFonts w:ascii="Arial" w:hAnsi="Arial" w:cs="Arial"/>
          <w:b/>
        </w:rPr>
        <w:t xml:space="preserve">for OMB </w:t>
      </w:r>
      <w:r w:rsidR="00A46E1B">
        <w:rPr>
          <w:rFonts w:ascii="Arial" w:hAnsi="Arial" w:cs="Arial"/>
          <w:b/>
        </w:rPr>
        <w:t xml:space="preserve">  </w:t>
      </w:r>
      <w:r w:rsidRPr="00A46E1B" w:rsidR="00A46E1B">
        <w:rPr>
          <w:rFonts w:ascii="Arial" w:hAnsi="Arial" w:cs="Arial"/>
          <w:b/>
        </w:rPr>
        <w:t>approval of the information collection, explain the reasons that display would be inappropriate.</w:t>
      </w:r>
    </w:p>
    <w:p w:rsidR="00F9248E" w:rsidP="00F9248E" w:rsidRDefault="00F9248E" w14:paraId="1D5D0D1F" w14:textId="77777777">
      <w:pPr>
        <w:tabs>
          <w:tab w:val="left" w:pos="990"/>
        </w:tabs>
        <w:ind w:left="1080" w:hanging="90"/>
        <w:rPr>
          <w:rFonts w:ascii="Arial" w:hAnsi="Arial" w:cs="Arial"/>
        </w:rPr>
      </w:pPr>
    </w:p>
    <w:p w:rsidRPr="00C177C5" w:rsidR="00F9248E" w:rsidP="00F9248E" w:rsidRDefault="00F9248E" w14:paraId="15CD0CF2" w14:textId="77777777">
      <w:pPr>
        <w:tabs>
          <w:tab w:val="left" w:pos="990"/>
        </w:tabs>
        <w:ind w:left="1080" w:hanging="270"/>
        <w:rPr>
          <w:rFonts w:ascii="Arial" w:hAnsi="Arial" w:cs="Arial"/>
        </w:rPr>
      </w:pPr>
      <w:r w:rsidRPr="00C177C5">
        <w:rPr>
          <w:rFonts w:ascii="Arial" w:hAnsi="Arial" w:cs="Arial"/>
        </w:rPr>
        <w:t>The expiration date placeholder is on the form.</w:t>
      </w:r>
    </w:p>
    <w:p w:rsidR="00A46E1B" w:rsidP="007524B4" w:rsidRDefault="00A46E1B" w14:paraId="7676599B" w14:textId="77777777">
      <w:pPr>
        <w:rPr>
          <w:rFonts w:ascii="Arial" w:hAnsi="Arial" w:cs="Arial"/>
        </w:rPr>
      </w:pPr>
    </w:p>
    <w:p w:rsidRPr="00FA6E0B" w:rsidR="0094651F" w:rsidP="00A0489C" w:rsidRDefault="007524B4" w14:paraId="35588A44" w14:textId="77777777">
      <w:pPr>
        <w:ind w:left="810" w:hanging="540"/>
        <w:rPr>
          <w:rFonts w:ascii="Arial" w:hAnsi="Arial" w:cs="Arial"/>
          <w:b/>
        </w:rPr>
      </w:pPr>
      <w:r w:rsidRPr="007659C4">
        <w:rPr>
          <w:rFonts w:ascii="Arial" w:hAnsi="Arial" w:cs="Arial"/>
        </w:rPr>
        <w:t xml:space="preserve">   </w:t>
      </w:r>
      <w:r w:rsidRPr="0094651F" w:rsidR="0094651F">
        <w:rPr>
          <w:rFonts w:ascii="Arial" w:hAnsi="Arial" w:cs="Arial"/>
          <w:b/>
        </w:rPr>
        <w:t>1</w:t>
      </w:r>
      <w:r w:rsidRPr="00CF2152" w:rsidR="0094651F">
        <w:rPr>
          <w:rFonts w:ascii="Arial" w:hAnsi="Arial" w:cs="Arial"/>
          <w:b/>
        </w:rPr>
        <w:t>8.</w:t>
      </w:r>
      <w:r w:rsidRPr="00FA6E0B" w:rsidR="0094651F">
        <w:rPr>
          <w:rFonts w:ascii="Arial" w:hAnsi="Arial" w:cs="Arial"/>
        </w:rPr>
        <w:t xml:space="preserve"> </w:t>
      </w:r>
      <w:r w:rsidRPr="00FA6E0B" w:rsidR="0094651F">
        <w:rPr>
          <w:rFonts w:ascii="Arial" w:hAnsi="Arial" w:cs="Arial"/>
          <w:b/>
        </w:rPr>
        <w:t>Explain each exception to the certification statement identified in Item 19,</w:t>
      </w:r>
      <w:r w:rsidR="0094651F">
        <w:rPr>
          <w:rFonts w:ascii="Arial" w:hAnsi="Arial" w:cs="Arial"/>
          <w:b/>
        </w:rPr>
        <w:t xml:space="preserve"> </w:t>
      </w:r>
      <w:r w:rsidRPr="00FA6E0B" w:rsidR="0094651F">
        <w:rPr>
          <w:rFonts w:ascii="Arial" w:hAnsi="Arial" w:cs="Arial"/>
          <w:b/>
        </w:rPr>
        <w:t>“Certification for Paperwork Reduction Act Submissions,” of OMB 83-I.</w:t>
      </w:r>
    </w:p>
    <w:p w:rsidR="00A0489C" w:rsidP="00A0489C" w:rsidRDefault="00A0489C" w14:paraId="20BD2F64" w14:textId="77777777">
      <w:pPr>
        <w:ind w:firstLine="810"/>
        <w:rPr>
          <w:rFonts w:ascii="Arial" w:hAnsi="Arial" w:cs="Arial"/>
        </w:rPr>
      </w:pPr>
    </w:p>
    <w:p w:rsidRPr="007659C4" w:rsidR="003C2010" w:rsidP="00A0489C" w:rsidRDefault="003C2010" w14:paraId="14CFDD42" w14:textId="77777777">
      <w:pPr>
        <w:ind w:firstLine="810"/>
        <w:rPr>
          <w:rFonts w:ascii="Arial" w:hAnsi="Arial" w:cs="Arial"/>
        </w:rPr>
      </w:pPr>
      <w:r w:rsidRPr="007659C4">
        <w:rPr>
          <w:rFonts w:ascii="Arial" w:hAnsi="Arial" w:cs="Arial"/>
        </w:rPr>
        <w:t xml:space="preserve">There is no exception to the certification statement identified in Item 19, </w:t>
      </w:r>
    </w:p>
    <w:p w:rsidRPr="007659C4" w:rsidR="003C2010" w:rsidP="00A0489C" w:rsidRDefault="003C2010" w14:paraId="0567DCDC" w14:textId="77777777">
      <w:pPr>
        <w:ind w:left="810"/>
        <w:rPr>
          <w:rFonts w:ascii="Arial" w:hAnsi="Arial" w:cs="Arial"/>
        </w:rPr>
      </w:pPr>
      <w:r w:rsidRPr="007659C4">
        <w:rPr>
          <w:rFonts w:ascii="Arial" w:hAnsi="Arial" w:cs="Arial"/>
        </w:rPr>
        <w:t>"Certification for Paperwork Reduction Act Submissions," of OMB Form 83-l.</w:t>
      </w:r>
    </w:p>
    <w:p w:rsidRPr="007659C4" w:rsidR="003C2010" w:rsidRDefault="003C2010" w14:paraId="7C909A04" w14:textId="77777777">
      <w:pPr>
        <w:rPr>
          <w:rFonts w:ascii="Arial" w:hAnsi="Arial" w:cs="Arial"/>
        </w:rPr>
      </w:pPr>
    </w:p>
    <w:p w:rsidRPr="00A0489C" w:rsidR="00377C83" w:rsidP="00A0489C" w:rsidRDefault="00377C83" w14:paraId="52719133" w14:textId="77777777">
      <w:pPr>
        <w:tabs>
          <w:tab w:val="left" w:pos="270"/>
          <w:tab w:val="left" w:pos="810"/>
          <w:tab w:val="right" w:pos="8550"/>
        </w:tabs>
        <w:autoSpaceDE/>
        <w:autoSpaceDN/>
        <w:spacing w:line="240" w:lineRule="exact"/>
        <w:ind w:left="810" w:right="864" w:hanging="360"/>
        <w:rPr>
          <w:rFonts w:ascii="Arial" w:hAnsi="Arial" w:cs="Arial"/>
          <w:b/>
          <w:u w:val="single"/>
        </w:rPr>
      </w:pPr>
      <w:r w:rsidRPr="007659C4">
        <w:rPr>
          <w:rFonts w:ascii="Arial" w:hAnsi="Arial" w:cs="Arial"/>
        </w:rPr>
        <w:t xml:space="preserve"> </w:t>
      </w:r>
      <w:r w:rsidRPr="00A0489C" w:rsidR="00A0489C">
        <w:rPr>
          <w:rFonts w:ascii="Arial" w:hAnsi="Arial" w:cs="Arial"/>
          <w:b/>
        </w:rPr>
        <w:t>B</w:t>
      </w:r>
      <w:r w:rsidRPr="00A0489C" w:rsidR="003C2010">
        <w:rPr>
          <w:rFonts w:ascii="Arial" w:hAnsi="Arial" w:cs="Arial"/>
          <w:b/>
        </w:rPr>
        <w:t xml:space="preserve">. </w:t>
      </w:r>
      <w:r w:rsidRPr="00A0489C">
        <w:rPr>
          <w:rFonts w:ascii="Arial" w:hAnsi="Arial" w:cs="Arial"/>
          <w:b/>
          <w:u w:val="single"/>
        </w:rPr>
        <w:t>C</w:t>
      </w:r>
      <w:r w:rsidRPr="00A0489C" w:rsidR="00A0489C">
        <w:rPr>
          <w:rFonts w:ascii="Arial" w:hAnsi="Arial" w:cs="Arial"/>
          <w:b/>
          <w:u w:val="single"/>
        </w:rPr>
        <w:t xml:space="preserve">ollection of Information Employing Statistical Methods </w:t>
      </w:r>
    </w:p>
    <w:p w:rsidRPr="007659C4" w:rsidR="003C2010" w:rsidRDefault="003C2010" w14:paraId="69DC3435" w14:textId="77777777">
      <w:pPr>
        <w:rPr>
          <w:rFonts w:ascii="Arial" w:hAnsi="Arial" w:cs="Arial"/>
          <w:u w:val="single"/>
        </w:rPr>
      </w:pPr>
    </w:p>
    <w:p w:rsidRPr="00FA6E0B" w:rsidR="00A0489C" w:rsidP="00A0489C" w:rsidRDefault="00377C83" w14:paraId="3FCBB78F" w14:textId="77777777">
      <w:pPr>
        <w:ind w:firstLine="720"/>
        <w:rPr>
          <w:rFonts w:ascii="Arial" w:hAnsi="Arial" w:cs="Arial"/>
        </w:rPr>
      </w:pPr>
      <w:r w:rsidRPr="007659C4">
        <w:rPr>
          <w:rFonts w:ascii="Arial" w:hAnsi="Arial" w:cs="Arial"/>
        </w:rPr>
        <w:t xml:space="preserve"> </w:t>
      </w:r>
      <w:r w:rsidRPr="00FA6E0B" w:rsidR="00A0489C">
        <w:rPr>
          <w:rFonts w:ascii="Arial" w:hAnsi="Arial" w:cs="Arial"/>
        </w:rPr>
        <w:t xml:space="preserve">The data collection does not employ statistical methods. </w:t>
      </w:r>
    </w:p>
    <w:p w:rsidRPr="007659C4" w:rsidR="003C2010" w:rsidP="00377C83" w:rsidRDefault="003C2010" w14:paraId="054DCEC8" w14:textId="77777777">
      <w:pPr>
        <w:pStyle w:val="BodyTextIndent2"/>
        <w:ind w:firstLine="0"/>
        <w:rPr>
          <w:rFonts w:ascii="Arial" w:hAnsi="Arial" w:cs="Arial"/>
        </w:rPr>
      </w:pPr>
    </w:p>
    <w:sectPr w:rsidRPr="007659C4" w:rsidR="003C2010">
      <w:pgSz w:w="12240" w:h="15840"/>
      <w:pgMar w:top="720" w:right="1800" w:bottom="720" w:left="180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445B0" w14:textId="77777777" w:rsidR="006201D9" w:rsidRDefault="006201D9" w:rsidP="00D1718C">
      <w:r>
        <w:separator/>
      </w:r>
    </w:p>
  </w:endnote>
  <w:endnote w:type="continuationSeparator" w:id="0">
    <w:p w14:paraId="7658F6F6" w14:textId="77777777" w:rsidR="006201D9" w:rsidRDefault="006201D9" w:rsidP="00D1718C">
      <w:r>
        <w:continuationSeparator/>
      </w:r>
    </w:p>
  </w:endnote>
  <w:endnote w:type="continuationNotice" w:id="1">
    <w:p w14:paraId="03CD8116" w14:textId="77777777" w:rsidR="006201D9" w:rsidRDefault="00620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4D2C8" w14:textId="77777777" w:rsidR="006201D9" w:rsidRDefault="006201D9" w:rsidP="00D1718C">
      <w:r>
        <w:separator/>
      </w:r>
    </w:p>
  </w:footnote>
  <w:footnote w:type="continuationSeparator" w:id="0">
    <w:p w14:paraId="3AC3C6A8" w14:textId="77777777" w:rsidR="006201D9" w:rsidRDefault="006201D9" w:rsidP="00D1718C">
      <w:r>
        <w:continuationSeparator/>
      </w:r>
    </w:p>
  </w:footnote>
  <w:footnote w:type="continuationNotice" w:id="1">
    <w:p w14:paraId="0450DA7B" w14:textId="77777777" w:rsidR="006201D9" w:rsidRDefault="006201D9"/>
  </w:footnote>
  <w:footnote w:id="2">
    <w:p w14:paraId="708416F5" w14:textId="24236FA3" w:rsidR="004C28C6" w:rsidRDefault="004C28C6">
      <w:pPr>
        <w:pStyle w:val="FootnoteText"/>
      </w:pPr>
      <w:r>
        <w:rPr>
          <w:rStyle w:val="FootnoteReference"/>
        </w:rPr>
        <w:footnoteRef/>
      </w:r>
      <w:r>
        <w:t xml:space="preserve"> Related to the Notice of Value process, which is covered under this revised ICR, 38 USC 3731 refers to this process as the Certificate of Value.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6BC"/>
    <w:multiLevelType w:val="hybridMultilevel"/>
    <w:tmpl w:val="323C9CB8"/>
    <w:lvl w:ilvl="0" w:tplc="BB9029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D7F3F26"/>
    <w:multiLevelType w:val="hybridMultilevel"/>
    <w:tmpl w:val="9694319A"/>
    <w:lvl w:ilvl="0" w:tplc="60B68F6C">
      <w:start w:val="18"/>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25F32061"/>
    <w:multiLevelType w:val="hybridMultilevel"/>
    <w:tmpl w:val="C46AB080"/>
    <w:lvl w:ilvl="0" w:tplc="04090019">
      <w:start w:val="1"/>
      <w:numFmt w:val="lowerLetter"/>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3"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CA54320"/>
    <w:multiLevelType w:val="hybridMultilevel"/>
    <w:tmpl w:val="EF705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80760F"/>
    <w:multiLevelType w:val="hybridMultilevel"/>
    <w:tmpl w:val="D3C49E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235F68"/>
    <w:multiLevelType w:val="hybridMultilevel"/>
    <w:tmpl w:val="D2D025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2110DF"/>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B4A7B11"/>
    <w:multiLevelType w:val="hybridMultilevel"/>
    <w:tmpl w:val="275697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3B5B0A"/>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6DE66446"/>
    <w:multiLevelType w:val="hybridMultilevel"/>
    <w:tmpl w:val="FC76FA00"/>
    <w:lvl w:ilvl="0" w:tplc="EFCAAE8E">
      <w:start w:val="17"/>
      <w:numFmt w:val="decimal"/>
      <w:lvlText w:val="%1."/>
      <w:lvlJc w:val="left"/>
      <w:pPr>
        <w:tabs>
          <w:tab w:val="num" w:pos="1140"/>
        </w:tabs>
        <w:ind w:left="1140" w:hanging="4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7215529D"/>
    <w:multiLevelType w:val="hybridMultilevel"/>
    <w:tmpl w:val="816A3A54"/>
    <w:lvl w:ilvl="0" w:tplc="C67ABD7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76752C04"/>
    <w:multiLevelType w:val="hybridMultilevel"/>
    <w:tmpl w:val="04907C62"/>
    <w:lvl w:ilvl="0" w:tplc="6082BB96">
      <w:start w:val="14"/>
      <w:numFmt w:val="decimal"/>
      <w:lvlText w:val="%1."/>
      <w:lvlJc w:val="left"/>
      <w:pPr>
        <w:tabs>
          <w:tab w:val="num" w:pos="1140"/>
        </w:tabs>
        <w:ind w:left="1140" w:hanging="420"/>
      </w:pPr>
      <w:rPr>
        <w:rFonts w:cs="Times New Roman" w:hint="default"/>
        <w:u w:val="none"/>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7DBB41CE"/>
    <w:multiLevelType w:val="hybridMultilevel"/>
    <w:tmpl w:val="5B80D320"/>
    <w:lvl w:ilvl="0" w:tplc="412ED7FC">
      <w:start w:val="2"/>
      <w:numFmt w:val="upperLetter"/>
      <w:lvlText w:val="%1."/>
      <w:lvlJc w:val="left"/>
      <w:pPr>
        <w:tabs>
          <w:tab w:val="num" w:pos="630"/>
        </w:tabs>
        <w:ind w:left="630" w:hanging="360"/>
      </w:pPr>
      <w:rPr>
        <w:rFonts w:cs="Times New Roman" w:hint="default"/>
        <w:u w:val="none"/>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12"/>
  </w:num>
  <w:num w:numId="2">
    <w:abstractNumId w:val="1"/>
  </w:num>
  <w:num w:numId="3">
    <w:abstractNumId w:val="10"/>
  </w:num>
  <w:num w:numId="4">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5"/>
  </w:num>
  <w:num w:numId="10">
    <w:abstractNumId w:val="0"/>
  </w:num>
  <w:num w:numId="11">
    <w:abstractNumId w:val="11"/>
  </w:num>
  <w:num w:numId="12">
    <w:abstractNumId w:val="4"/>
  </w:num>
  <w:num w:numId="13">
    <w:abstractNumId w:val="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07AAC"/>
    <w:rsid w:val="0001002B"/>
    <w:rsid w:val="00042531"/>
    <w:rsid w:val="00043937"/>
    <w:rsid w:val="00045ECC"/>
    <w:rsid w:val="00052260"/>
    <w:rsid w:val="000575D4"/>
    <w:rsid w:val="00072B0E"/>
    <w:rsid w:val="00074BCB"/>
    <w:rsid w:val="000835F7"/>
    <w:rsid w:val="00092E42"/>
    <w:rsid w:val="00094BA8"/>
    <w:rsid w:val="000A0071"/>
    <w:rsid w:val="000B028D"/>
    <w:rsid w:val="000C1B35"/>
    <w:rsid w:val="000C79D5"/>
    <w:rsid w:val="000E3623"/>
    <w:rsid w:val="000F1F63"/>
    <w:rsid w:val="0012204B"/>
    <w:rsid w:val="00130749"/>
    <w:rsid w:val="001474EC"/>
    <w:rsid w:val="00153D76"/>
    <w:rsid w:val="00156915"/>
    <w:rsid w:val="001A5A6F"/>
    <w:rsid w:val="001C583A"/>
    <w:rsid w:val="001C7164"/>
    <w:rsid w:val="001D25CF"/>
    <w:rsid w:val="001E3EBB"/>
    <w:rsid w:val="001E706F"/>
    <w:rsid w:val="001F425E"/>
    <w:rsid w:val="001F481D"/>
    <w:rsid w:val="001F6E88"/>
    <w:rsid w:val="00215A6D"/>
    <w:rsid w:val="00224AF0"/>
    <w:rsid w:val="00230D5D"/>
    <w:rsid w:val="00235749"/>
    <w:rsid w:val="0025615C"/>
    <w:rsid w:val="00277DA7"/>
    <w:rsid w:val="00280478"/>
    <w:rsid w:val="002A1159"/>
    <w:rsid w:val="002A15B6"/>
    <w:rsid w:val="002A2483"/>
    <w:rsid w:val="002C3167"/>
    <w:rsid w:val="002C4164"/>
    <w:rsid w:val="002D6037"/>
    <w:rsid w:val="003006C1"/>
    <w:rsid w:val="0030714B"/>
    <w:rsid w:val="00311A48"/>
    <w:rsid w:val="00315F49"/>
    <w:rsid w:val="00327917"/>
    <w:rsid w:val="0035202E"/>
    <w:rsid w:val="00353F12"/>
    <w:rsid w:val="00377C83"/>
    <w:rsid w:val="003B1A0F"/>
    <w:rsid w:val="003B381C"/>
    <w:rsid w:val="003C2010"/>
    <w:rsid w:val="003C4576"/>
    <w:rsid w:val="003D3AD3"/>
    <w:rsid w:val="003E52D8"/>
    <w:rsid w:val="003F34F2"/>
    <w:rsid w:val="003F4A3B"/>
    <w:rsid w:val="004171E1"/>
    <w:rsid w:val="00417FC8"/>
    <w:rsid w:val="00450415"/>
    <w:rsid w:val="00453517"/>
    <w:rsid w:val="00454EC7"/>
    <w:rsid w:val="00470CFE"/>
    <w:rsid w:val="00471F02"/>
    <w:rsid w:val="004767C1"/>
    <w:rsid w:val="00494CE6"/>
    <w:rsid w:val="004C28C6"/>
    <w:rsid w:val="004C370C"/>
    <w:rsid w:val="004C7704"/>
    <w:rsid w:val="004E55B7"/>
    <w:rsid w:val="004E620A"/>
    <w:rsid w:val="004E779A"/>
    <w:rsid w:val="004F36EF"/>
    <w:rsid w:val="00502244"/>
    <w:rsid w:val="005027BD"/>
    <w:rsid w:val="00513C05"/>
    <w:rsid w:val="005220B4"/>
    <w:rsid w:val="00535181"/>
    <w:rsid w:val="00542E7B"/>
    <w:rsid w:val="00550C7C"/>
    <w:rsid w:val="00566143"/>
    <w:rsid w:val="0057064D"/>
    <w:rsid w:val="00586A55"/>
    <w:rsid w:val="00586E4C"/>
    <w:rsid w:val="005A5448"/>
    <w:rsid w:val="005C2A00"/>
    <w:rsid w:val="005C3E1E"/>
    <w:rsid w:val="005D6C3E"/>
    <w:rsid w:val="005D720A"/>
    <w:rsid w:val="00603249"/>
    <w:rsid w:val="00603B08"/>
    <w:rsid w:val="006201D9"/>
    <w:rsid w:val="00636107"/>
    <w:rsid w:val="00637BC8"/>
    <w:rsid w:val="00642CE5"/>
    <w:rsid w:val="00646E0C"/>
    <w:rsid w:val="00674738"/>
    <w:rsid w:val="006A5FA9"/>
    <w:rsid w:val="006B7132"/>
    <w:rsid w:val="006C4730"/>
    <w:rsid w:val="006D3370"/>
    <w:rsid w:val="006E7201"/>
    <w:rsid w:val="006F19F6"/>
    <w:rsid w:val="007102B3"/>
    <w:rsid w:val="007115CF"/>
    <w:rsid w:val="007144B5"/>
    <w:rsid w:val="00730FE7"/>
    <w:rsid w:val="007347CC"/>
    <w:rsid w:val="0074230A"/>
    <w:rsid w:val="0074675E"/>
    <w:rsid w:val="007524B4"/>
    <w:rsid w:val="00757FFB"/>
    <w:rsid w:val="00765038"/>
    <w:rsid w:val="007659C4"/>
    <w:rsid w:val="00775454"/>
    <w:rsid w:val="00790FD3"/>
    <w:rsid w:val="00791C1C"/>
    <w:rsid w:val="007A015F"/>
    <w:rsid w:val="007A5750"/>
    <w:rsid w:val="007B3D91"/>
    <w:rsid w:val="007C4F40"/>
    <w:rsid w:val="007D4C57"/>
    <w:rsid w:val="007E1D89"/>
    <w:rsid w:val="007E353D"/>
    <w:rsid w:val="007E6330"/>
    <w:rsid w:val="00850E82"/>
    <w:rsid w:val="00856729"/>
    <w:rsid w:val="00864AD1"/>
    <w:rsid w:val="00872429"/>
    <w:rsid w:val="008A4889"/>
    <w:rsid w:val="008A4A15"/>
    <w:rsid w:val="008B16E3"/>
    <w:rsid w:val="008B5FBD"/>
    <w:rsid w:val="008C214C"/>
    <w:rsid w:val="008D350E"/>
    <w:rsid w:val="008D66B6"/>
    <w:rsid w:val="008E0805"/>
    <w:rsid w:val="008E3C3A"/>
    <w:rsid w:val="008F4815"/>
    <w:rsid w:val="008F5D5A"/>
    <w:rsid w:val="0090077A"/>
    <w:rsid w:val="00912421"/>
    <w:rsid w:val="009150DB"/>
    <w:rsid w:val="009152F5"/>
    <w:rsid w:val="00943E95"/>
    <w:rsid w:val="00944F66"/>
    <w:rsid w:val="0094651F"/>
    <w:rsid w:val="00960CDA"/>
    <w:rsid w:val="00960E25"/>
    <w:rsid w:val="009653A6"/>
    <w:rsid w:val="00991518"/>
    <w:rsid w:val="0099433A"/>
    <w:rsid w:val="009A2F4A"/>
    <w:rsid w:val="009A5DDD"/>
    <w:rsid w:val="009A5F57"/>
    <w:rsid w:val="009C5377"/>
    <w:rsid w:val="009C73E3"/>
    <w:rsid w:val="009D407F"/>
    <w:rsid w:val="009D62AB"/>
    <w:rsid w:val="009F61BD"/>
    <w:rsid w:val="00A0489C"/>
    <w:rsid w:val="00A26070"/>
    <w:rsid w:val="00A31D55"/>
    <w:rsid w:val="00A3454C"/>
    <w:rsid w:val="00A46E1B"/>
    <w:rsid w:val="00A91F38"/>
    <w:rsid w:val="00A92AAD"/>
    <w:rsid w:val="00AA4B1D"/>
    <w:rsid w:val="00AB69B8"/>
    <w:rsid w:val="00AC40DF"/>
    <w:rsid w:val="00AD3749"/>
    <w:rsid w:val="00AD723B"/>
    <w:rsid w:val="00AE5DD6"/>
    <w:rsid w:val="00AE6D91"/>
    <w:rsid w:val="00AF0C6B"/>
    <w:rsid w:val="00AF4429"/>
    <w:rsid w:val="00AF7FF1"/>
    <w:rsid w:val="00B06FCD"/>
    <w:rsid w:val="00B15525"/>
    <w:rsid w:val="00B2507D"/>
    <w:rsid w:val="00B3427C"/>
    <w:rsid w:val="00B36F44"/>
    <w:rsid w:val="00B56CA7"/>
    <w:rsid w:val="00B705A0"/>
    <w:rsid w:val="00B7231B"/>
    <w:rsid w:val="00B759CB"/>
    <w:rsid w:val="00B87081"/>
    <w:rsid w:val="00BA2C0E"/>
    <w:rsid w:val="00BA6A40"/>
    <w:rsid w:val="00BB1435"/>
    <w:rsid w:val="00BB3300"/>
    <w:rsid w:val="00BB64CE"/>
    <w:rsid w:val="00C177C5"/>
    <w:rsid w:val="00C3398B"/>
    <w:rsid w:val="00C9468A"/>
    <w:rsid w:val="00CD0117"/>
    <w:rsid w:val="00CE4EFF"/>
    <w:rsid w:val="00CF2152"/>
    <w:rsid w:val="00CF718F"/>
    <w:rsid w:val="00D078DA"/>
    <w:rsid w:val="00D1252B"/>
    <w:rsid w:val="00D1718C"/>
    <w:rsid w:val="00D55C5E"/>
    <w:rsid w:val="00D736DC"/>
    <w:rsid w:val="00D7399A"/>
    <w:rsid w:val="00D82C21"/>
    <w:rsid w:val="00D95F7B"/>
    <w:rsid w:val="00DA194C"/>
    <w:rsid w:val="00DA4B29"/>
    <w:rsid w:val="00DD4568"/>
    <w:rsid w:val="00DD5F33"/>
    <w:rsid w:val="00DE0808"/>
    <w:rsid w:val="00DE39A0"/>
    <w:rsid w:val="00DF3C28"/>
    <w:rsid w:val="00DF7B6F"/>
    <w:rsid w:val="00E02C77"/>
    <w:rsid w:val="00E053A6"/>
    <w:rsid w:val="00E20078"/>
    <w:rsid w:val="00E31A2C"/>
    <w:rsid w:val="00E32533"/>
    <w:rsid w:val="00E36225"/>
    <w:rsid w:val="00E362B8"/>
    <w:rsid w:val="00E438EB"/>
    <w:rsid w:val="00E47255"/>
    <w:rsid w:val="00E521EF"/>
    <w:rsid w:val="00E70022"/>
    <w:rsid w:val="00E72329"/>
    <w:rsid w:val="00E859DE"/>
    <w:rsid w:val="00E96220"/>
    <w:rsid w:val="00EB2852"/>
    <w:rsid w:val="00ED706F"/>
    <w:rsid w:val="00ED7D9D"/>
    <w:rsid w:val="00EE06F3"/>
    <w:rsid w:val="00EF05A7"/>
    <w:rsid w:val="00EF4377"/>
    <w:rsid w:val="00F15C38"/>
    <w:rsid w:val="00F162C8"/>
    <w:rsid w:val="00F322DC"/>
    <w:rsid w:val="00F5689E"/>
    <w:rsid w:val="00F6116F"/>
    <w:rsid w:val="00F72D0B"/>
    <w:rsid w:val="00F74890"/>
    <w:rsid w:val="00F74C14"/>
    <w:rsid w:val="00F9248E"/>
    <w:rsid w:val="00FA3243"/>
    <w:rsid w:val="00FA6E0B"/>
    <w:rsid w:val="00FB5A44"/>
    <w:rsid w:val="00FE6FC6"/>
    <w:rsid w:val="00FE71BD"/>
    <w:rsid w:val="00FF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4C2D73"/>
  <w14:defaultImageDpi w14:val="96"/>
  <w15:docId w15:val="{F1110B48-FE56-41B1-B7B2-743A64F8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character" w:styleId="CommentReference">
    <w:name w:val="annotation reference"/>
    <w:basedOn w:val="DefaultParagraphFont"/>
    <w:uiPriority w:val="99"/>
    <w:rsid w:val="00960E25"/>
    <w:rPr>
      <w:rFonts w:cs="Times New Roman"/>
      <w:sz w:val="16"/>
      <w:szCs w:val="16"/>
    </w:rPr>
  </w:style>
  <w:style w:type="paragraph" w:styleId="CommentText">
    <w:name w:val="annotation text"/>
    <w:basedOn w:val="Normal"/>
    <w:link w:val="CommentTextChar"/>
    <w:uiPriority w:val="99"/>
    <w:rsid w:val="00960E25"/>
    <w:rPr>
      <w:sz w:val="20"/>
      <w:szCs w:val="20"/>
    </w:rPr>
  </w:style>
  <w:style w:type="character" w:customStyle="1" w:styleId="CommentTextChar">
    <w:name w:val="Comment Text Char"/>
    <w:basedOn w:val="DefaultParagraphFont"/>
    <w:link w:val="CommentText"/>
    <w:uiPriority w:val="99"/>
    <w:locked/>
    <w:rsid w:val="00960E25"/>
    <w:rPr>
      <w:rFonts w:cs="Times New Roman"/>
    </w:rPr>
  </w:style>
  <w:style w:type="paragraph" w:styleId="CommentSubject">
    <w:name w:val="annotation subject"/>
    <w:basedOn w:val="CommentText"/>
    <w:next w:val="CommentText"/>
    <w:link w:val="CommentSubjectChar"/>
    <w:uiPriority w:val="99"/>
    <w:rsid w:val="00960E25"/>
    <w:rPr>
      <w:b/>
      <w:bCs/>
    </w:rPr>
  </w:style>
  <w:style w:type="character" w:customStyle="1" w:styleId="CommentSubjectChar">
    <w:name w:val="Comment Subject Char"/>
    <w:basedOn w:val="CommentTextChar"/>
    <w:link w:val="CommentSubject"/>
    <w:uiPriority w:val="99"/>
    <w:locked/>
    <w:rsid w:val="00960E25"/>
    <w:rPr>
      <w:rFonts w:cs="Times New Roman"/>
      <w:b/>
      <w:bCs/>
    </w:rPr>
  </w:style>
  <w:style w:type="paragraph" w:styleId="ListParagraph">
    <w:name w:val="List Paragraph"/>
    <w:basedOn w:val="Normal"/>
    <w:uiPriority w:val="34"/>
    <w:qFormat/>
    <w:rsid w:val="009D62AB"/>
    <w:pPr>
      <w:ind w:left="720"/>
      <w:contextualSpacing/>
    </w:pPr>
  </w:style>
  <w:style w:type="paragraph" w:styleId="BodyText">
    <w:name w:val="Body Text"/>
    <w:basedOn w:val="Normal"/>
    <w:link w:val="BodyTextChar"/>
    <w:uiPriority w:val="99"/>
    <w:rsid w:val="00A46E1B"/>
    <w:pPr>
      <w:autoSpaceDE/>
      <w:autoSpaceDN/>
      <w:spacing w:after="120"/>
    </w:pPr>
  </w:style>
  <w:style w:type="character" w:customStyle="1" w:styleId="BodyTextChar">
    <w:name w:val="Body Text Char"/>
    <w:basedOn w:val="DefaultParagraphFont"/>
    <w:link w:val="BodyText"/>
    <w:uiPriority w:val="99"/>
    <w:locked/>
    <w:rsid w:val="00A46E1B"/>
    <w:rPr>
      <w:rFonts w:cs="Times New Roman"/>
      <w:sz w:val="24"/>
      <w:szCs w:val="24"/>
    </w:rPr>
  </w:style>
  <w:style w:type="character" w:styleId="FollowedHyperlink">
    <w:name w:val="FollowedHyperlink"/>
    <w:basedOn w:val="DefaultParagraphFont"/>
    <w:uiPriority w:val="99"/>
    <w:rsid w:val="00864AD1"/>
    <w:rPr>
      <w:rFonts w:cs="Times New Roman"/>
      <w:color w:val="800080" w:themeColor="followedHyperlink"/>
      <w:u w:val="single"/>
    </w:rPr>
  </w:style>
  <w:style w:type="character" w:styleId="UnresolvedMention">
    <w:name w:val="Unresolved Mention"/>
    <w:basedOn w:val="DefaultParagraphFont"/>
    <w:uiPriority w:val="99"/>
    <w:semiHidden/>
    <w:unhideWhenUsed/>
    <w:rsid w:val="0001002B"/>
    <w:rPr>
      <w:rFonts w:cs="Times New Roman"/>
      <w:color w:val="605E5C"/>
      <w:shd w:val="clear" w:color="auto" w:fill="E1DFDD"/>
    </w:rPr>
  </w:style>
  <w:style w:type="paragraph" w:styleId="NoSpacing">
    <w:name w:val="No Spacing"/>
    <w:basedOn w:val="Normal"/>
    <w:uiPriority w:val="1"/>
    <w:qFormat/>
    <w:rsid w:val="002A15B6"/>
    <w:pPr>
      <w:autoSpaceDE/>
      <w:autoSpaceDN/>
    </w:pPr>
    <w:rPr>
      <w:rFonts w:eastAsiaTheme="minorHAnsi"/>
    </w:rPr>
  </w:style>
  <w:style w:type="paragraph" w:styleId="FootnoteText">
    <w:name w:val="footnote text"/>
    <w:basedOn w:val="Normal"/>
    <w:link w:val="FootnoteTextChar"/>
    <w:uiPriority w:val="99"/>
    <w:rsid w:val="00D1718C"/>
    <w:rPr>
      <w:sz w:val="20"/>
      <w:szCs w:val="20"/>
    </w:rPr>
  </w:style>
  <w:style w:type="character" w:customStyle="1" w:styleId="FootnoteTextChar">
    <w:name w:val="Footnote Text Char"/>
    <w:basedOn w:val="DefaultParagraphFont"/>
    <w:link w:val="FootnoteText"/>
    <w:uiPriority w:val="99"/>
    <w:rsid w:val="00D1718C"/>
  </w:style>
  <w:style w:type="character" w:styleId="FootnoteReference">
    <w:name w:val="footnote reference"/>
    <w:basedOn w:val="DefaultParagraphFont"/>
    <w:uiPriority w:val="99"/>
    <w:rsid w:val="00D1718C"/>
    <w:rPr>
      <w:vertAlign w:val="superscript"/>
    </w:rPr>
  </w:style>
  <w:style w:type="paragraph" w:styleId="Header">
    <w:name w:val="header"/>
    <w:basedOn w:val="Normal"/>
    <w:link w:val="HeaderChar"/>
    <w:uiPriority w:val="99"/>
    <w:rsid w:val="00B87081"/>
    <w:pPr>
      <w:tabs>
        <w:tab w:val="center" w:pos="4680"/>
        <w:tab w:val="right" w:pos="9360"/>
      </w:tabs>
    </w:pPr>
  </w:style>
  <w:style w:type="character" w:customStyle="1" w:styleId="HeaderChar">
    <w:name w:val="Header Char"/>
    <w:basedOn w:val="DefaultParagraphFont"/>
    <w:link w:val="Header"/>
    <w:uiPriority w:val="99"/>
    <w:rsid w:val="00B87081"/>
    <w:rPr>
      <w:sz w:val="24"/>
      <w:szCs w:val="24"/>
    </w:rPr>
  </w:style>
  <w:style w:type="paragraph" w:styleId="Footer">
    <w:name w:val="footer"/>
    <w:basedOn w:val="Normal"/>
    <w:link w:val="FooterChar"/>
    <w:uiPriority w:val="99"/>
    <w:rsid w:val="00B87081"/>
    <w:pPr>
      <w:tabs>
        <w:tab w:val="center" w:pos="4680"/>
        <w:tab w:val="right" w:pos="9360"/>
      </w:tabs>
    </w:pPr>
  </w:style>
  <w:style w:type="character" w:customStyle="1" w:styleId="FooterChar">
    <w:name w:val="Footer Char"/>
    <w:basedOn w:val="DefaultParagraphFont"/>
    <w:link w:val="Footer"/>
    <w:uiPriority w:val="99"/>
    <w:rsid w:val="00B87081"/>
    <w:rPr>
      <w:sz w:val="24"/>
      <w:szCs w:val="24"/>
    </w:rPr>
  </w:style>
  <w:style w:type="table" w:styleId="TableGrid">
    <w:name w:val="Table Grid"/>
    <w:basedOn w:val="TableNormal"/>
    <w:uiPriority w:val="59"/>
    <w:rsid w:val="00C9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994853">
      <w:bodyDiv w:val="1"/>
      <w:marLeft w:val="0"/>
      <w:marRight w:val="0"/>
      <w:marTop w:val="0"/>
      <w:marBottom w:val="0"/>
      <w:divBdr>
        <w:top w:val="none" w:sz="0" w:space="0" w:color="auto"/>
        <w:left w:val="none" w:sz="0" w:space="0" w:color="auto"/>
        <w:bottom w:val="none" w:sz="0" w:space="0" w:color="auto"/>
        <w:right w:val="none" w:sz="0" w:space="0" w:color="auto"/>
      </w:divBdr>
    </w:div>
    <w:div w:id="647898733">
      <w:bodyDiv w:val="1"/>
      <w:marLeft w:val="0"/>
      <w:marRight w:val="0"/>
      <w:marTop w:val="0"/>
      <w:marBottom w:val="0"/>
      <w:divBdr>
        <w:top w:val="none" w:sz="0" w:space="0" w:color="auto"/>
        <w:left w:val="none" w:sz="0" w:space="0" w:color="auto"/>
        <w:bottom w:val="none" w:sz="0" w:space="0" w:color="auto"/>
        <w:right w:val="none" w:sz="0" w:space="0" w:color="auto"/>
      </w:divBdr>
    </w:div>
    <w:div w:id="760876782">
      <w:bodyDiv w:val="1"/>
      <w:marLeft w:val="0"/>
      <w:marRight w:val="0"/>
      <w:marTop w:val="0"/>
      <w:marBottom w:val="0"/>
      <w:divBdr>
        <w:top w:val="none" w:sz="0" w:space="0" w:color="auto"/>
        <w:left w:val="none" w:sz="0" w:space="0" w:color="auto"/>
        <w:bottom w:val="none" w:sz="0" w:space="0" w:color="auto"/>
        <w:right w:val="none" w:sz="0" w:space="0" w:color="auto"/>
      </w:divBdr>
    </w:div>
    <w:div w:id="798837839">
      <w:bodyDiv w:val="1"/>
      <w:marLeft w:val="0"/>
      <w:marRight w:val="0"/>
      <w:marTop w:val="0"/>
      <w:marBottom w:val="0"/>
      <w:divBdr>
        <w:top w:val="none" w:sz="0" w:space="0" w:color="auto"/>
        <w:left w:val="none" w:sz="0" w:space="0" w:color="auto"/>
        <w:bottom w:val="none" w:sz="0" w:space="0" w:color="auto"/>
        <w:right w:val="none" w:sz="0" w:space="0" w:color="auto"/>
      </w:divBdr>
    </w:div>
    <w:div w:id="1549565741">
      <w:marLeft w:val="0"/>
      <w:marRight w:val="0"/>
      <w:marTop w:val="0"/>
      <w:marBottom w:val="0"/>
      <w:divBdr>
        <w:top w:val="none" w:sz="0" w:space="0" w:color="auto"/>
        <w:left w:val="none" w:sz="0" w:space="0" w:color="auto"/>
        <w:bottom w:val="none" w:sz="0" w:space="0" w:color="auto"/>
        <w:right w:val="none" w:sz="0" w:space="0" w:color="auto"/>
      </w:divBdr>
    </w:div>
    <w:div w:id="1560284083">
      <w:bodyDiv w:val="1"/>
      <w:marLeft w:val="0"/>
      <w:marRight w:val="0"/>
      <w:marTop w:val="0"/>
      <w:marBottom w:val="0"/>
      <w:divBdr>
        <w:top w:val="none" w:sz="0" w:space="0" w:color="auto"/>
        <w:left w:val="none" w:sz="0" w:space="0" w:color="auto"/>
        <w:bottom w:val="none" w:sz="0" w:space="0" w:color="auto"/>
        <w:right w:val="none" w:sz="0" w:space="0" w:color="auto"/>
      </w:divBdr>
    </w:div>
    <w:div w:id="1609849702">
      <w:bodyDiv w:val="1"/>
      <w:marLeft w:val="0"/>
      <w:marRight w:val="0"/>
      <w:marTop w:val="0"/>
      <w:marBottom w:val="0"/>
      <w:divBdr>
        <w:top w:val="none" w:sz="0" w:space="0" w:color="auto"/>
        <w:left w:val="none" w:sz="0" w:space="0" w:color="auto"/>
        <w:bottom w:val="none" w:sz="0" w:space="0" w:color="auto"/>
        <w:right w:val="none" w:sz="0" w:space="0" w:color="auto"/>
      </w:divBdr>
    </w:div>
    <w:div w:id="1615795172">
      <w:bodyDiv w:val="1"/>
      <w:marLeft w:val="0"/>
      <w:marRight w:val="0"/>
      <w:marTop w:val="0"/>
      <w:marBottom w:val="0"/>
      <w:divBdr>
        <w:top w:val="none" w:sz="0" w:space="0" w:color="auto"/>
        <w:left w:val="none" w:sz="0" w:space="0" w:color="auto"/>
        <w:bottom w:val="none" w:sz="0" w:space="0" w:color="auto"/>
        <w:right w:val="none" w:sz="0" w:space="0" w:color="auto"/>
      </w:divBdr>
    </w:div>
    <w:div w:id="1647272222">
      <w:bodyDiv w:val="1"/>
      <w:marLeft w:val="0"/>
      <w:marRight w:val="0"/>
      <w:marTop w:val="0"/>
      <w:marBottom w:val="0"/>
      <w:divBdr>
        <w:top w:val="none" w:sz="0" w:space="0" w:color="auto"/>
        <w:left w:val="none" w:sz="0" w:space="0" w:color="auto"/>
        <w:bottom w:val="none" w:sz="0" w:space="0" w:color="auto"/>
        <w:right w:val="none" w:sz="0" w:space="0" w:color="auto"/>
      </w:divBdr>
    </w:div>
    <w:div w:id="170821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G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3202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434131.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A2B3CF0E400F48B9A01081577070D7" ma:contentTypeVersion="2" ma:contentTypeDescription="Create a new document." ma:contentTypeScope="" ma:versionID="22470bbb46443bd41ba054dcad31a3ce">
  <xsd:schema xmlns:xsd="http://www.w3.org/2001/XMLSchema" xmlns:xs="http://www.w3.org/2001/XMLSchema" xmlns:p="http://schemas.microsoft.com/office/2006/metadata/properties" xmlns:ns2="8e2866fb-779d-4877-ad5d-abd8f9398fc4" targetNamespace="http://schemas.microsoft.com/office/2006/metadata/properties" ma:root="true" ma:fieldsID="00eba12f0977baa256bb4b08e7fd1372" ns2:_="">
    <xsd:import namespace="8e2866fb-779d-4877-ad5d-abd8f9398f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866fb-779d-4877-ad5d-abd8f939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FF5E-6C33-4B41-A8EC-73191E0924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210157-3C82-40D9-B562-ED436A8DA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866fb-779d-4877-ad5d-abd8f9398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AF438-B812-4685-B30F-1490FBC4F82E}">
  <ds:schemaRefs>
    <ds:schemaRef ds:uri="http://schemas.microsoft.com/sharepoint/v3/contenttype/forms"/>
  </ds:schemaRefs>
</ds:datastoreItem>
</file>

<file path=customXml/itemProps4.xml><?xml version="1.0" encoding="utf-8"?>
<ds:datastoreItem xmlns:ds="http://schemas.openxmlformats.org/officeDocument/2006/customXml" ds:itemID="{B3BE097E-2FD2-418A-B32A-3AA22290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2974</Words>
  <Characters>17399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subject/>
  <dc:creator>Veterans Benefits Administrat</dc:creator>
  <cp:keywords/>
  <dc:description/>
  <cp:lastModifiedBy>Richardson, Charnae, VBAVACO</cp:lastModifiedBy>
  <cp:revision>4</cp:revision>
  <cp:lastPrinted>2020-02-07T21:06:00Z</cp:lastPrinted>
  <dcterms:created xsi:type="dcterms:W3CDTF">2021-06-22T13:55:00Z</dcterms:created>
  <dcterms:modified xsi:type="dcterms:W3CDTF">2021-09-27T16:00:00Z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0x010100BCA2B3CF0E400F48B9A01081577070D7</vt:lpwstr>
  </property>
</Properties>
</file>