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33386" w:rsidR="00F67684" w:rsidP="00F67684" w:rsidRDefault="00F67684" w14:paraId="77C1FB42" w14:textId="77777777">
      <w:pPr>
        <w:spacing w:after="2" w:line="260" w:lineRule="exact"/>
        <w:ind w:right="216"/>
        <w:jc w:val="center"/>
        <w:rPr>
          <w:rFonts w:ascii="Arial" w:hAnsi="Arial" w:eastAsia="Calibri" w:cs="Arial"/>
          <w:b/>
          <w:bCs/>
          <w:sz w:val="24"/>
          <w:szCs w:val="24"/>
        </w:rPr>
      </w:pPr>
      <w:r w:rsidRPr="00F33386">
        <w:rPr>
          <w:rFonts w:ascii="Arial" w:hAnsi="Arial" w:eastAsia="Calibri" w:cs="Arial"/>
          <w:b/>
          <w:bCs/>
          <w:sz w:val="24"/>
          <w:szCs w:val="24"/>
        </w:rPr>
        <w:t>White Paper</w:t>
      </w:r>
    </w:p>
    <w:p w:rsidRPr="00F33386" w:rsidR="00F67684" w:rsidP="00F67684" w:rsidRDefault="00F67684" w14:paraId="67D11CC5" w14:textId="6637D38B">
      <w:pPr>
        <w:spacing w:after="2" w:line="260" w:lineRule="exact"/>
        <w:ind w:right="216"/>
        <w:jc w:val="center"/>
        <w:rPr>
          <w:rFonts w:ascii="Arial" w:hAnsi="Arial" w:eastAsia="Calibri" w:cs="Arial"/>
          <w:b/>
          <w:bCs/>
          <w:sz w:val="24"/>
          <w:szCs w:val="24"/>
        </w:rPr>
      </w:pPr>
      <w:r w:rsidRPr="00F33386">
        <w:rPr>
          <w:rFonts w:ascii="Arial" w:hAnsi="Arial" w:cs="Arial"/>
          <w:b/>
          <w:bCs/>
          <w:sz w:val="24"/>
          <w:szCs w:val="24"/>
        </w:rPr>
        <w:t>OMB #2900-</w:t>
      </w:r>
      <w:r w:rsidRPr="00F33386" w:rsidR="009375A6">
        <w:rPr>
          <w:rFonts w:ascii="Arial" w:hAnsi="Arial" w:cs="Arial"/>
          <w:b/>
          <w:bCs/>
          <w:sz w:val="24"/>
          <w:szCs w:val="24"/>
        </w:rPr>
        <w:t>0045</w:t>
      </w:r>
    </w:p>
    <w:p w:rsidRPr="00F33386" w:rsidR="00F67684" w:rsidP="00F67684" w:rsidRDefault="00F67684" w14:paraId="5C498CE7" w14:textId="7A54D1D1">
      <w:pPr>
        <w:spacing w:after="2" w:line="260" w:lineRule="exact"/>
        <w:ind w:right="216"/>
        <w:jc w:val="center"/>
        <w:rPr>
          <w:rFonts w:ascii="Arial" w:hAnsi="Arial" w:eastAsia="Calibri" w:cs="Arial"/>
          <w:b/>
          <w:bCs/>
          <w:sz w:val="24"/>
          <w:szCs w:val="24"/>
        </w:rPr>
      </w:pPr>
      <w:r w:rsidRPr="00F33386">
        <w:rPr>
          <w:rFonts w:ascii="Arial" w:hAnsi="Arial" w:eastAsia="Calibri" w:cs="Arial"/>
          <w:b/>
          <w:bCs/>
          <w:sz w:val="24"/>
          <w:szCs w:val="24"/>
        </w:rPr>
        <w:t>VA Form 26-</w:t>
      </w:r>
      <w:r w:rsidRPr="00F33386" w:rsidR="009375A6">
        <w:rPr>
          <w:rFonts w:ascii="Arial" w:hAnsi="Arial" w:eastAsia="Calibri" w:cs="Arial"/>
          <w:b/>
          <w:bCs/>
          <w:sz w:val="24"/>
          <w:szCs w:val="24"/>
        </w:rPr>
        <w:t>1805</w:t>
      </w:r>
    </w:p>
    <w:p w:rsidRPr="00F33386" w:rsidR="00F67684" w:rsidP="00F67684" w:rsidRDefault="00F67684" w14:paraId="0CAF63DF" w14:textId="77777777">
      <w:pPr>
        <w:spacing w:after="2" w:line="260" w:lineRule="exact"/>
        <w:ind w:right="216"/>
        <w:jc w:val="center"/>
        <w:rPr>
          <w:rFonts w:ascii="Arial" w:hAnsi="Arial" w:eastAsia="Calibri" w:cs="Arial"/>
          <w:b/>
          <w:bCs/>
          <w:sz w:val="24"/>
          <w:szCs w:val="24"/>
        </w:rPr>
      </w:pPr>
      <w:r w:rsidRPr="00F33386">
        <w:rPr>
          <w:rFonts w:ascii="Arial" w:hAnsi="Arial" w:eastAsia="Calibri" w:cs="Arial"/>
          <w:b/>
          <w:bCs/>
          <w:sz w:val="24"/>
          <w:szCs w:val="24"/>
        </w:rPr>
        <w:t>Non-substantive/</w:t>
      </w:r>
      <w:proofErr w:type="gramStart"/>
      <w:r w:rsidRPr="00F33386">
        <w:rPr>
          <w:rFonts w:ascii="Arial" w:hAnsi="Arial" w:eastAsia="Calibri" w:cs="Arial"/>
          <w:b/>
          <w:bCs/>
          <w:sz w:val="24"/>
          <w:szCs w:val="24"/>
        </w:rPr>
        <w:t>Non-material</w:t>
      </w:r>
      <w:proofErr w:type="gramEnd"/>
      <w:r w:rsidRPr="00F33386">
        <w:rPr>
          <w:rFonts w:ascii="Arial" w:hAnsi="Arial" w:eastAsia="Calibri" w:cs="Arial"/>
          <w:b/>
          <w:bCs/>
          <w:sz w:val="24"/>
          <w:szCs w:val="24"/>
        </w:rPr>
        <w:t xml:space="preserve"> change</w:t>
      </w:r>
    </w:p>
    <w:p w:rsidRPr="00F33386" w:rsidR="00F67684" w:rsidP="00F67684" w:rsidRDefault="00F67684" w14:paraId="3F970F58" w14:textId="77777777">
      <w:pPr>
        <w:spacing w:after="2" w:line="260" w:lineRule="exact"/>
        <w:ind w:right="216"/>
        <w:rPr>
          <w:rFonts w:ascii="Arial" w:hAnsi="Arial" w:eastAsia="Calibri" w:cs="Arial"/>
          <w:sz w:val="24"/>
          <w:szCs w:val="24"/>
        </w:rPr>
      </w:pPr>
    </w:p>
    <w:p w:rsidRPr="00F33386" w:rsidR="00F67684" w:rsidP="00F67684" w:rsidRDefault="00F67684" w14:paraId="58E1F891" w14:textId="77777777">
      <w:pPr>
        <w:spacing w:after="0" w:line="240" w:lineRule="auto"/>
        <w:rPr>
          <w:rFonts w:ascii="Arial" w:hAnsi="Arial" w:eastAsia="Calibri" w:cs="Arial"/>
          <w:sz w:val="24"/>
          <w:szCs w:val="24"/>
        </w:rPr>
      </w:pPr>
    </w:p>
    <w:p w:rsidRPr="003D3949" w:rsidR="0001222A" w:rsidP="0001222A" w:rsidRDefault="00C94137" w14:paraId="257745AC" w14:textId="0BE5579A">
      <w:pPr>
        <w:spacing w:after="120"/>
        <w:ind w:left="90"/>
        <w:rPr>
          <w:rFonts w:ascii="Arial" w:hAnsi="Arial" w:cs="Arial"/>
          <w:sz w:val="24"/>
          <w:szCs w:val="24"/>
        </w:rPr>
      </w:pPr>
      <w:r w:rsidRPr="003D3949">
        <w:rPr>
          <w:rFonts w:ascii="Arial" w:hAnsi="Arial" w:cs="Arial"/>
          <w:sz w:val="24"/>
          <w:szCs w:val="24"/>
        </w:rPr>
        <w:t>This is a non-substantial revision to the electronic version of the VA 26-1805 and Tidewater process, OMB# 2900-0045. The previous</w:t>
      </w:r>
      <w:r w:rsidRPr="003D3949" w:rsidR="00FE6620">
        <w:rPr>
          <w:rFonts w:ascii="Arial" w:hAnsi="Arial" w:cs="Arial"/>
          <w:sz w:val="24"/>
          <w:szCs w:val="24"/>
        </w:rPr>
        <w:t xml:space="preserve">ly approved collection includes </w:t>
      </w:r>
      <w:r w:rsidRPr="003D3949">
        <w:rPr>
          <w:rFonts w:ascii="Arial" w:hAnsi="Arial" w:cs="Arial"/>
          <w:sz w:val="24"/>
          <w:szCs w:val="24"/>
        </w:rPr>
        <w:t>the collection of Tidewater Point of Contact</w:t>
      </w:r>
      <w:r w:rsidRPr="003D3949" w:rsidR="00FE6620">
        <w:rPr>
          <w:rFonts w:ascii="Arial" w:hAnsi="Arial" w:cs="Arial"/>
          <w:sz w:val="24"/>
          <w:szCs w:val="24"/>
        </w:rPr>
        <w:t xml:space="preserve"> (POC)</w:t>
      </w:r>
      <w:r w:rsidRPr="003D3949">
        <w:rPr>
          <w:rFonts w:ascii="Arial" w:hAnsi="Arial" w:cs="Arial"/>
          <w:sz w:val="24"/>
          <w:szCs w:val="24"/>
        </w:rPr>
        <w:t xml:space="preserve"> information to allow for electronic processing of Tidewater in the LGY system. </w:t>
      </w:r>
      <w:r w:rsidR="00F33386">
        <w:rPr>
          <w:rFonts w:ascii="Arial" w:hAnsi="Arial" w:cs="Arial"/>
          <w:sz w:val="24"/>
          <w:szCs w:val="24"/>
        </w:rPr>
        <w:t>For</w:t>
      </w:r>
      <w:r w:rsidRPr="003D3949" w:rsidR="00FE6620">
        <w:rPr>
          <w:rFonts w:ascii="Arial" w:hAnsi="Arial" w:cs="Arial"/>
          <w:sz w:val="24"/>
          <w:szCs w:val="24"/>
        </w:rPr>
        <w:t xml:space="preserve"> the changes to be made in the system, the following, non-substantial revisions are required:</w:t>
      </w:r>
    </w:p>
    <w:p w:rsidRPr="003D3949" w:rsidR="00850B9A" w:rsidP="00F33386" w:rsidRDefault="00B72E69" w14:paraId="5ECCCABC" w14:textId="2BF3AEEE">
      <w:pPr>
        <w:numPr>
          <w:ilvl w:val="0"/>
          <w:numId w:val="1"/>
        </w:numPr>
        <w:shd w:val="clear" w:color="auto" w:fill="FFFFFF"/>
        <w:spacing w:before="100" w:beforeAutospacing="1" w:after="100" w:afterAutospacing="1" w:line="240" w:lineRule="auto"/>
        <w:rPr>
          <w:rFonts w:ascii="Arial" w:hAnsi="Arial" w:eastAsia="Times New Roman" w:cs="Arial"/>
          <w:color w:val="242424"/>
          <w:sz w:val="24"/>
          <w:szCs w:val="24"/>
        </w:rPr>
      </w:pPr>
      <w:r w:rsidRPr="003D3949">
        <w:rPr>
          <w:rFonts w:ascii="Arial" w:hAnsi="Arial" w:eastAsia="Times New Roman" w:cs="Arial"/>
          <w:color w:val="242424"/>
          <w:sz w:val="24"/>
          <w:szCs w:val="24"/>
        </w:rPr>
        <w:t xml:space="preserve">The Appraiser will be allowed to invoke the Tidewater process in </w:t>
      </w:r>
      <w:proofErr w:type="spellStart"/>
      <w:r w:rsidRPr="003D3949">
        <w:rPr>
          <w:rFonts w:ascii="Arial" w:hAnsi="Arial" w:eastAsia="Times New Roman" w:cs="Arial"/>
          <w:color w:val="242424"/>
          <w:sz w:val="24"/>
          <w:szCs w:val="24"/>
        </w:rPr>
        <w:t>LGYHub</w:t>
      </w:r>
      <w:proofErr w:type="spellEnd"/>
      <w:r w:rsidRPr="003D3949">
        <w:rPr>
          <w:rFonts w:ascii="Arial" w:hAnsi="Arial" w:eastAsia="Times New Roman" w:cs="Arial"/>
          <w:color w:val="242424"/>
          <w:sz w:val="24"/>
          <w:szCs w:val="24"/>
        </w:rPr>
        <w:t xml:space="preserve"> by checking a box and hitting "submit" to start the process.</w:t>
      </w:r>
      <w:r w:rsidRPr="003D3949" w:rsidR="00FE6620">
        <w:rPr>
          <w:rFonts w:ascii="Arial" w:hAnsi="Arial" w:eastAsia="Times New Roman" w:cs="Arial"/>
          <w:color w:val="242424"/>
          <w:sz w:val="24"/>
          <w:szCs w:val="24"/>
        </w:rPr>
        <w:t xml:space="preserve">  </w:t>
      </w:r>
      <w:r w:rsidRPr="003D3949">
        <w:rPr>
          <w:rFonts w:ascii="Arial" w:hAnsi="Arial" w:eastAsia="Times New Roman" w:cs="Arial"/>
          <w:color w:val="242424"/>
          <w:sz w:val="24"/>
          <w:szCs w:val="24"/>
        </w:rPr>
        <w:t xml:space="preserve">The system will auto-generate an email sent to the </w:t>
      </w:r>
      <w:r w:rsidRPr="003D3949" w:rsidR="00FE6620">
        <w:rPr>
          <w:rFonts w:ascii="Arial" w:hAnsi="Arial" w:eastAsia="Times New Roman" w:cs="Arial"/>
          <w:color w:val="242424"/>
          <w:sz w:val="24"/>
          <w:szCs w:val="24"/>
        </w:rPr>
        <w:t>lender</w:t>
      </w:r>
      <w:r w:rsidRPr="003D3949" w:rsidR="002B45FB">
        <w:rPr>
          <w:rFonts w:ascii="Arial" w:hAnsi="Arial" w:eastAsia="Times New Roman" w:cs="Arial"/>
          <w:color w:val="242424"/>
          <w:sz w:val="24"/>
          <w:szCs w:val="24"/>
        </w:rPr>
        <w:t xml:space="preserve"> and </w:t>
      </w:r>
      <w:r w:rsidRPr="003D3949">
        <w:rPr>
          <w:rFonts w:ascii="Arial" w:hAnsi="Arial" w:eastAsia="Times New Roman" w:cs="Arial"/>
          <w:color w:val="242424"/>
          <w:sz w:val="24"/>
          <w:szCs w:val="24"/>
        </w:rPr>
        <w:t xml:space="preserve">the Tidewater POC to notify them that the </w:t>
      </w:r>
      <w:r w:rsidRPr="003D3949" w:rsidR="00FE6620">
        <w:rPr>
          <w:rFonts w:ascii="Arial" w:hAnsi="Arial" w:eastAsia="Times New Roman" w:cs="Arial"/>
          <w:color w:val="242424"/>
          <w:sz w:val="24"/>
          <w:szCs w:val="24"/>
        </w:rPr>
        <w:t>a</w:t>
      </w:r>
      <w:r w:rsidRPr="003D3949">
        <w:rPr>
          <w:rFonts w:ascii="Arial" w:hAnsi="Arial" w:eastAsia="Times New Roman" w:cs="Arial"/>
          <w:color w:val="242424"/>
          <w:sz w:val="24"/>
          <w:szCs w:val="24"/>
        </w:rPr>
        <w:t>ppraiser has invoked Tidewater. The email instructs them to upload supporting documentation in WebLGY and add notes.</w:t>
      </w:r>
      <w:r w:rsidRPr="003D3949" w:rsidR="00F33386">
        <w:rPr>
          <w:rFonts w:ascii="Arial" w:hAnsi="Arial" w:eastAsia="Times New Roman" w:cs="Arial"/>
          <w:color w:val="242424"/>
          <w:sz w:val="24"/>
          <w:szCs w:val="24"/>
        </w:rPr>
        <w:t xml:space="preserve"> </w:t>
      </w:r>
      <w:r w:rsidR="00F33386">
        <w:rPr>
          <w:rFonts w:ascii="Arial" w:hAnsi="Arial" w:eastAsia="Times New Roman" w:cs="Arial"/>
          <w:color w:val="242424"/>
          <w:sz w:val="24"/>
          <w:szCs w:val="24"/>
        </w:rPr>
        <w:t>In the email, it will state that i</w:t>
      </w:r>
      <w:r w:rsidRPr="003D3949" w:rsidR="00F33386">
        <w:rPr>
          <w:rFonts w:ascii="Arial" w:hAnsi="Arial" w:eastAsia="Times New Roman" w:cs="Arial"/>
          <w:color w:val="242424"/>
          <w:sz w:val="24"/>
          <w:szCs w:val="24"/>
        </w:rPr>
        <w:t>t is the responsibility of the lender to provide sufficient information for the appraiser to analyze within two business days.  If Tidewater documentation is not received within two business days, the appraiser will complete appraisal process as planned.</w:t>
      </w:r>
    </w:p>
    <w:p w:rsidRPr="003D3949" w:rsidR="00F33386" w:rsidP="00F33386" w:rsidRDefault="00F33386" w14:paraId="3C212ED5" w14:textId="71FC9C7B">
      <w:pPr>
        <w:pStyle w:val="NormalWeb"/>
        <w:shd w:val="clear" w:color="auto" w:fill="FFFFFF"/>
        <w:spacing w:before="0" w:beforeAutospacing="0" w:after="0" w:afterAutospacing="0"/>
        <w:rPr>
          <w:rFonts w:ascii="Arial" w:hAnsi="Arial" w:cs="Arial"/>
          <w:color w:val="242424"/>
        </w:rPr>
      </w:pPr>
      <w:r w:rsidRPr="003D3949">
        <w:rPr>
          <w:rFonts w:ascii="Arial" w:hAnsi="Arial" w:cs="Arial"/>
          <w:b/>
          <w:bCs/>
          <w:color w:val="242424"/>
        </w:rPr>
        <w:t>Please note:</w:t>
      </w:r>
      <w:r w:rsidRPr="00F33386">
        <w:rPr>
          <w:rFonts w:ascii="Arial" w:hAnsi="Arial" w:cs="Arial"/>
          <w:color w:val="242424"/>
        </w:rPr>
        <w:t xml:space="preserve">  </w:t>
      </w:r>
      <w:r w:rsidRPr="003D3949">
        <w:rPr>
          <w:rFonts w:ascii="Arial" w:hAnsi="Arial" w:cs="Arial"/>
          <w:color w:val="242424"/>
        </w:rPr>
        <w:t>The tidewater process is outlined in the VA Lender Handbook, VA Pamphlet 26-7, Chapter 10. For each potential comparable sale submitted, the following information should be provided:</w:t>
      </w:r>
    </w:p>
    <w:p w:rsidRPr="003D3949" w:rsidR="00F33386" w:rsidP="00F33386" w:rsidRDefault="00F33386" w14:paraId="263DE928" w14:textId="77777777">
      <w:pPr>
        <w:numPr>
          <w:ilvl w:val="0"/>
          <w:numId w:val="8"/>
        </w:numPr>
        <w:shd w:val="clear" w:color="auto" w:fill="FFFFFF"/>
        <w:spacing w:before="100" w:beforeAutospacing="1" w:after="100" w:afterAutospacing="1" w:line="240" w:lineRule="auto"/>
        <w:rPr>
          <w:rFonts w:ascii="Arial" w:hAnsi="Arial" w:eastAsia="Times New Roman" w:cs="Arial"/>
          <w:color w:val="242424"/>
          <w:sz w:val="24"/>
          <w:szCs w:val="24"/>
        </w:rPr>
      </w:pPr>
      <w:r w:rsidRPr="003D3949">
        <w:rPr>
          <w:rFonts w:ascii="Arial" w:hAnsi="Arial" w:eastAsia="Times New Roman" w:cs="Arial"/>
          <w:color w:val="242424"/>
          <w:sz w:val="24"/>
          <w:szCs w:val="24"/>
        </w:rPr>
        <w:t>street address,</w:t>
      </w:r>
    </w:p>
    <w:p w:rsidRPr="003D3949" w:rsidR="00F33386" w:rsidP="00F33386" w:rsidRDefault="00F33386" w14:paraId="30266758" w14:textId="77777777">
      <w:pPr>
        <w:numPr>
          <w:ilvl w:val="0"/>
          <w:numId w:val="8"/>
        </w:numPr>
        <w:shd w:val="clear" w:color="auto" w:fill="FFFFFF"/>
        <w:spacing w:before="100" w:beforeAutospacing="1" w:after="100" w:afterAutospacing="1" w:line="240" w:lineRule="auto"/>
        <w:rPr>
          <w:rFonts w:ascii="Arial" w:hAnsi="Arial" w:eastAsia="Times New Roman" w:cs="Arial"/>
          <w:color w:val="242424"/>
          <w:sz w:val="24"/>
          <w:szCs w:val="24"/>
        </w:rPr>
      </w:pPr>
      <w:r w:rsidRPr="003D3949">
        <w:rPr>
          <w:rFonts w:ascii="Arial" w:hAnsi="Arial" w:eastAsia="Times New Roman" w:cs="Arial"/>
          <w:color w:val="242424"/>
          <w:sz w:val="24"/>
          <w:szCs w:val="24"/>
        </w:rPr>
        <w:t>sales price,</w:t>
      </w:r>
    </w:p>
    <w:p w:rsidRPr="003D3949" w:rsidR="00F33386" w:rsidP="00F33386" w:rsidRDefault="00F33386" w14:paraId="4C575D34" w14:textId="77777777">
      <w:pPr>
        <w:numPr>
          <w:ilvl w:val="0"/>
          <w:numId w:val="8"/>
        </w:numPr>
        <w:shd w:val="clear" w:color="auto" w:fill="FFFFFF"/>
        <w:spacing w:before="100" w:beforeAutospacing="1" w:after="100" w:afterAutospacing="1" w:line="240" w:lineRule="auto"/>
        <w:rPr>
          <w:rFonts w:ascii="Arial" w:hAnsi="Arial" w:eastAsia="Times New Roman" w:cs="Arial"/>
          <w:color w:val="242424"/>
          <w:sz w:val="24"/>
          <w:szCs w:val="24"/>
        </w:rPr>
      </w:pPr>
      <w:r w:rsidRPr="003D3949">
        <w:rPr>
          <w:rFonts w:ascii="Arial" w:hAnsi="Arial" w:eastAsia="Times New Roman" w:cs="Arial"/>
          <w:color w:val="242424"/>
          <w:sz w:val="24"/>
          <w:szCs w:val="24"/>
        </w:rPr>
        <w:t>date of sale,</w:t>
      </w:r>
    </w:p>
    <w:p w:rsidRPr="003D3949" w:rsidR="00F33386" w:rsidP="00F33386" w:rsidRDefault="00F33386" w14:paraId="4E9F839C" w14:textId="77777777">
      <w:pPr>
        <w:numPr>
          <w:ilvl w:val="0"/>
          <w:numId w:val="8"/>
        </w:numPr>
        <w:shd w:val="clear" w:color="auto" w:fill="FFFFFF"/>
        <w:spacing w:before="100" w:beforeAutospacing="1" w:after="100" w:afterAutospacing="1" w:line="240" w:lineRule="auto"/>
        <w:rPr>
          <w:rFonts w:ascii="Arial" w:hAnsi="Arial" w:eastAsia="Times New Roman" w:cs="Arial"/>
          <w:color w:val="242424"/>
          <w:sz w:val="24"/>
          <w:szCs w:val="24"/>
        </w:rPr>
      </w:pPr>
      <w:r w:rsidRPr="003D3949">
        <w:rPr>
          <w:rFonts w:ascii="Arial" w:hAnsi="Arial" w:eastAsia="Times New Roman" w:cs="Arial"/>
          <w:color w:val="242424"/>
          <w:sz w:val="24"/>
          <w:szCs w:val="24"/>
        </w:rPr>
        <w:t>gross living area,</w:t>
      </w:r>
    </w:p>
    <w:p w:rsidRPr="003D3949" w:rsidR="00F33386" w:rsidP="00F33386" w:rsidRDefault="00F33386" w14:paraId="63D7EAC8" w14:textId="77777777">
      <w:pPr>
        <w:numPr>
          <w:ilvl w:val="0"/>
          <w:numId w:val="8"/>
        </w:numPr>
        <w:shd w:val="clear" w:color="auto" w:fill="FFFFFF"/>
        <w:spacing w:before="100" w:beforeAutospacing="1" w:after="100" w:afterAutospacing="1" w:line="240" w:lineRule="auto"/>
        <w:rPr>
          <w:rFonts w:ascii="Arial" w:hAnsi="Arial" w:eastAsia="Times New Roman" w:cs="Arial"/>
          <w:color w:val="242424"/>
          <w:sz w:val="24"/>
          <w:szCs w:val="24"/>
        </w:rPr>
      </w:pPr>
      <w:r w:rsidRPr="003D3949">
        <w:rPr>
          <w:rFonts w:ascii="Arial" w:hAnsi="Arial" w:eastAsia="Times New Roman" w:cs="Arial"/>
          <w:color w:val="242424"/>
          <w:sz w:val="24"/>
          <w:szCs w:val="24"/>
        </w:rPr>
        <w:t>if the property was listed, a copy of the listing with details about the property, and</w:t>
      </w:r>
    </w:p>
    <w:p w:rsidRPr="003D3949" w:rsidR="00F33386" w:rsidP="003D3949" w:rsidRDefault="00F33386" w14:paraId="12DA8BC6" w14:textId="7BCC3345">
      <w:pPr>
        <w:numPr>
          <w:ilvl w:val="0"/>
          <w:numId w:val="8"/>
        </w:numPr>
        <w:shd w:val="clear" w:color="auto" w:fill="FFFFFF"/>
        <w:spacing w:before="100" w:beforeAutospacing="1" w:after="100" w:afterAutospacing="1" w:line="240" w:lineRule="auto"/>
        <w:rPr>
          <w:rFonts w:ascii="Arial" w:hAnsi="Arial" w:eastAsia="Times New Roman" w:cs="Arial"/>
          <w:color w:val="242424"/>
          <w:sz w:val="24"/>
          <w:szCs w:val="24"/>
        </w:rPr>
      </w:pPr>
      <w:r w:rsidRPr="003D3949">
        <w:rPr>
          <w:rFonts w:ascii="Arial" w:hAnsi="Arial" w:eastAsia="Times New Roman" w:cs="Arial"/>
          <w:color w:val="242424"/>
          <w:sz w:val="24"/>
          <w:szCs w:val="24"/>
        </w:rPr>
        <w:t>any other information to assist the appraiser in determining whether the sale could be used as a comparable property. It is the responsibility of the requester to provide sufficient information for the appraiser to analyze.</w:t>
      </w:r>
    </w:p>
    <w:p w:rsidRPr="003D3949" w:rsidR="00013D79" w:rsidP="00013D79" w:rsidRDefault="00013D79" w14:paraId="64AC220A" w14:textId="7400D375">
      <w:pPr>
        <w:numPr>
          <w:ilvl w:val="0"/>
          <w:numId w:val="1"/>
        </w:numPr>
        <w:shd w:val="clear" w:color="auto" w:fill="FFFFFF"/>
        <w:spacing w:before="100" w:beforeAutospacing="1" w:after="100" w:afterAutospacing="1" w:line="240" w:lineRule="auto"/>
        <w:rPr>
          <w:rFonts w:ascii="Arial" w:hAnsi="Arial" w:eastAsia="Times New Roman" w:cs="Arial"/>
          <w:color w:val="242424"/>
          <w:sz w:val="24"/>
          <w:szCs w:val="24"/>
        </w:rPr>
      </w:pPr>
      <w:r w:rsidRPr="003D3949">
        <w:rPr>
          <w:rFonts w:ascii="Arial" w:hAnsi="Arial" w:eastAsia="Times New Roman" w:cs="Arial"/>
          <w:color w:val="242424"/>
          <w:sz w:val="24"/>
          <w:szCs w:val="24"/>
        </w:rPr>
        <w:t xml:space="preserve">The system will automatically </w:t>
      </w:r>
      <w:r w:rsidRPr="003D3949" w:rsidR="00FE6620">
        <w:rPr>
          <w:rFonts w:ascii="Arial" w:hAnsi="Arial" w:eastAsia="Times New Roman" w:cs="Arial"/>
          <w:color w:val="242424"/>
          <w:sz w:val="24"/>
          <w:szCs w:val="24"/>
        </w:rPr>
        <w:t xml:space="preserve">select </w:t>
      </w:r>
      <w:r w:rsidRPr="003D3949">
        <w:rPr>
          <w:rFonts w:ascii="Arial" w:hAnsi="Arial" w:eastAsia="Times New Roman" w:cs="Arial"/>
          <w:color w:val="242424"/>
          <w:sz w:val="24"/>
          <w:szCs w:val="24"/>
        </w:rPr>
        <w:t xml:space="preserve">the Tidewater </w:t>
      </w:r>
      <w:r w:rsidRPr="003D3949" w:rsidR="00D96A6A">
        <w:rPr>
          <w:rFonts w:ascii="Arial" w:hAnsi="Arial" w:eastAsia="Times New Roman" w:cs="Arial"/>
          <w:color w:val="242424"/>
          <w:sz w:val="24"/>
          <w:szCs w:val="24"/>
        </w:rPr>
        <w:t>i</w:t>
      </w:r>
      <w:r w:rsidRPr="003D3949">
        <w:rPr>
          <w:rFonts w:ascii="Arial" w:hAnsi="Arial" w:eastAsia="Times New Roman" w:cs="Arial"/>
          <w:color w:val="242424"/>
          <w:sz w:val="24"/>
          <w:szCs w:val="24"/>
        </w:rPr>
        <w:t xml:space="preserve">ndicator on the Issue </w:t>
      </w:r>
      <w:r w:rsidRPr="003D3949" w:rsidR="00FE6620">
        <w:rPr>
          <w:rFonts w:ascii="Arial" w:hAnsi="Arial" w:eastAsia="Times New Roman" w:cs="Arial"/>
          <w:color w:val="242424"/>
          <w:sz w:val="24"/>
          <w:szCs w:val="24"/>
        </w:rPr>
        <w:t xml:space="preserve">Notice of Value </w:t>
      </w:r>
      <w:r w:rsidRPr="003D3949">
        <w:rPr>
          <w:rFonts w:ascii="Arial" w:hAnsi="Arial" w:eastAsia="Times New Roman" w:cs="Arial"/>
          <w:color w:val="242424"/>
          <w:sz w:val="24"/>
          <w:szCs w:val="24"/>
        </w:rPr>
        <w:t>screen.</w:t>
      </w:r>
    </w:p>
    <w:p w:rsidRPr="003D3949" w:rsidR="00013D79" w:rsidP="00013D79" w:rsidRDefault="00013D79" w14:paraId="3AA2D14B" w14:textId="2968ABA4">
      <w:pPr>
        <w:numPr>
          <w:ilvl w:val="0"/>
          <w:numId w:val="1"/>
        </w:numPr>
        <w:shd w:val="clear" w:color="auto" w:fill="FFFFFF"/>
        <w:spacing w:before="100" w:beforeAutospacing="1" w:after="100" w:afterAutospacing="1" w:line="240" w:lineRule="auto"/>
        <w:rPr>
          <w:rFonts w:ascii="Arial" w:hAnsi="Arial" w:eastAsia="Times New Roman" w:cs="Arial"/>
          <w:color w:val="242424"/>
          <w:sz w:val="24"/>
          <w:szCs w:val="24"/>
        </w:rPr>
      </w:pPr>
      <w:r w:rsidRPr="003D3949">
        <w:rPr>
          <w:rFonts w:ascii="Arial" w:hAnsi="Arial" w:eastAsia="Times New Roman" w:cs="Arial"/>
          <w:color w:val="242424"/>
          <w:sz w:val="24"/>
          <w:szCs w:val="24"/>
        </w:rPr>
        <w:t>The WebLGY advanced search will allow users to include Tidewater in their search criteria.</w:t>
      </w:r>
    </w:p>
    <w:p w:rsidRPr="003D3949" w:rsidR="001A6271" w:rsidP="003D3949" w:rsidRDefault="001A6271" w14:paraId="01B866CE" w14:textId="3A973E44">
      <w:pPr>
        <w:rPr>
          <w:rFonts w:ascii="Arial" w:hAnsi="Arial" w:cs="Arial"/>
        </w:rPr>
      </w:pPr>
    </w:p>
    <w:sectPr w:rsidRPr="003D3949" w:rsidR="001A6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5C1"/>
    <w:multiLevelType w:val="hybridMultilevel"/>
    <w:tmpl w:val="75607EA4"/>
    <w:lvl w:ilvl="0" w:tplc="04090001">
      <w:start w:val="1"/>
      <w:numFmt w:val="bullet"/>
      <w:lvlText w:val=""/>
      <w:lvlJc w:val="left"/>
      <w:pPr>
        <w:ind w:left="801" w:hanging="360"/>
      </w:pPr>
      <w:rPr>
        <w:rFonts w:ascii="Symbol" w:hAnsi="Symbol" w:hint="default"/>
      </w:rPr>
    </w:lvl>
    <w:lvl w:ilvl="1" w:tplc="04090003">
      <w:start w:val="1"/>
      <w:numFmt w:val="bullet"/>
      <w:lvlText w:val="o"/>
      <w:lvlJc w:val="left"/>
      <w:pPr>
        <w:ind w:left="1521" w:hanging="360"/>
      </w:pPr>
      <w:rPr>
        <w:rFonts w:ascii="Courier New" w:hAnsi="Courier New" w:cs="Courier New" w:hint="default"/>
      </w:rPr>
    </w:lvl>
    <w:lvl w:ilvl="2" w:tplc="04090005">
      <w:start w:val="1"/>
      <w:numFmt w:val="bullet"/>
      <w:lvlText w:val=""/>
      <w:lvlJc w:val="left"/>
      <w:pPr>
        <w:ind w:left="2241" w:hanging="360"/>
      </w:pPr>
      <w:rPr>
        <w:rFonts w:ascii="Wingdings" w:hAnsi="Wingdings" w:hint="default"/>
      </w:rPr>
    </w:lvl>
    <w:lvl w:ilvl="3" w:tplc="04090001">
      <w:start w:val="1"/>
      <w:numFmt w:val="bullet"/>
      <w:lvlText w:val=""/>
      <w:lvlJc w:val="left"/>
      <w:pPr>
        <w:ind w:left="2961" w:hanging="360"/>
      </w:pPr>
      <w:rPr>
        <w:rFonts w:ascii="Symbol" w:hAnsi="Symbol" w:hint="default"/>
      </w:rPr>
    </w:lvl>
    <w:lvl w:ilvl="4" w:tplc="04090003">
      <w:start w:val="1"/>
      <w:numFmt w:val="bullet"/>
      <w:lvlText w:val="o"/>
      <w:lvlJc w:val="left"/>
      <w:pPr>
        <w:ind w:left="3681" w:hanging="360"/>
      </w:pPr>
      <w:rPr>
        <w:rFonts w:ascii="Courier New" w:hAnsi="Courier New" w:cs="Courier New" w:hint="default"/>
      </w:rPr>
    </w:lvl>
    <w:lvl w:ilvl="5" w:tplc="04090005">
      <w:start w:val="1"/>
      <w:numFmt w:val="bullet"/>
      <w:lvlText w:val=""/>
      <w:lvlJc w:val="left"/>
      <w:pPr>
        <w:ind w:left="4401" w:hanging="360"/>
      </w:pPr>
      <w:rPr>
        <w:rFonts w:ascii="Wingdings" w:hAnsi="Wingdings" w:hint="default"/>
      </w:rPr>
    </w:lvl>
    <w:lvl w:ilvl="6" w:tplc="04090001">
      <w:start w:val="1"/>
      <w:numFmt w:val="bullet"/>
      <w:lvlText w:val=""/>
      <w:lvlJc w:val="left"/>
      <w:pPr>
        <w:ind w:left="5121" w:hanging="360"/>
      </w:pPr>
      <w:rPr>
        <w:rFonts w:ascii="Symbol" w:hAnsi="Symbol" w:hint="default"/>
      </w:rPr>
    </w:lvl>
    <w:lvl w:ilvl="7" w:tplc="04090003">
      <w:start w:val="1"/>
      <w:numFmt w:val="bullet"/>
      <w:lvlText w:val="o"/>
      <w:lvlJc w:val="left"/>
      <w:pPr>
        <w:ind w:left="5841" w:hanging="360"/>
      </w:pPr>
      <w:rPr>
        <w:rFonts w:ascii="Courier New" w:hAnsi="Courier New" w:cs="Courier New" w:hint="default"/>
      </w:rPr>
    </w:lvl>
    <w:lvl w:ilvl="8" w:tplc="04090005">
      <w:start w:val="1"/>
      <w:numFmt w:val="bullet"/>
      <w:lvlText w:val=""/>
      <w:lvlJc w:val="left"/>
      <w:pPr>
        <w:ind w:left="6561" w:hanging="360"/>
      </w:pPr>
      <w:rPr>
        <w:rFonts w:ascii="Wingdings" w:hAnsi="Wingdings" w:hint="default"/>
      </w:rPr>
    </w:lvl>
  </w:abstractNum>
  <w:abstractNum w:abstractNumId="1" w15:restartNumberingAfterBreak="0">
    <w:nsid w:val="11D37369"/>
    <w:multiLevelType w:val="multilevel"/>
    <w:tmpl w:val="85F8F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5D35BB"/>
    <w:multiLevelType w:val="hybridMultilevel"/>
    <w:tmpl w:val="66CAB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86842"/>
    <w:multiLevelType w:val="multilevel"/>
    <w:tmpl w:val="DAD83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D81823"/>
    <w:multiLevelType w:val="multilevel"/>
    <w:tmpl w:val="3A88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537683"/>
    <w:multiLevelType w:val="hybridMultilevel"/>
    <w:tmpl w:val="9F925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2C70D9"/>
    <w:multiLevelType w:val="hybridMultilevel"/>
    <w:tmpl w:val="E4F42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F81CF9"/>
    <w:multiLevelType w:val="multilevel"/>
    <w:tmpl w:val="82EAB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6"/>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84"/>
    <w:rsid w:val="0001222A"/>
    <w:rsid w:val="00013D79"/>
    <w:rsid w:val="0003288A"/>
    <w:rsid w:val="0006322B"/>
    <w:rsid w:val="000A0390"/>
    <w:rsid w:val="000B2F28"/>
    <w:rsid w:val="0015707D"/>
    <w:rsid w:val="001A6271"/>
    <w:rsid w:val="001D5190"/>
    <w:rsid w:val="00252542"/>
    <w:rsid w:val="002B45FB"/>
    <w:rsid w:val="002E74CA"/>
    <w:rsid w:val="002F34C4"/>
    <w:rsid w:val="0033169B"/>
    <w:rsid w:val="003D3949"/>
    <w:rsid w:val="004353DC"/>
    <w:rsid w:val="004F0FE1"/>
    <w:rsid w:val="00505D79"/>
    <w:rsid w:val="0056653F"/>
    <w:rsid w:val="005D0B3D"/>
    <w:rsid w:val="006529E8"/>
    <w:rsid w:val="00655EF6"/>
    <w:rsid w:val="00670CF6"/>
    <w:rsid w:val="00694AA1"/>
    <w:rsid w:val="00710F64"/>
    <w:rsid w:val="00756E0E"/>
    <w:rsid w:val="007708EF"/>
    <w:rsid w:val="00786EEA"/>
    <w:rsid w:val="007B563C"/>
    <w:rsid w:val="007B6722"/>
    <w:rsid w:val="007C7046"/>
    <w:rsid w:val="008034CC"/>
    <w:rsid w:val="00806524"/>
    <w:rsid w:val="00847DDF"/>
    <w:rsid w:val="00850B9A"/>
    <w:rsid w:val="0086492D"/>
    <w:rsid w:val="008E595D"/>
    <w:rsid w:val="009375A6"/>
    <w:rsid w:val="009522F2"/>
    <w:rsid w:val="009D61BD"/>
    <w:rsid w:val="009F6D9E"/>
    <w:rsid w:val="00A37134"/>
    <w:rsid w:val="00AB596D"/>
    <w:rsid w:val="00B72E69"/>
    <w:rsid w:val="00BB40D1"/>
    <w:rsid w:val="00C20A87"/>
    <w:rsid w:val="00C94137"/>
    <w:rsid w:val="00D96A6A"/>
    <w:rsid w:val="00E24E18"/>
    <w:rsid w:val="00E340DC"/>
    <w:rsid w:val="00EA2C29"/>
    <w:rsid w:val="00F3133E"/>
    <w:rsid w:val="00F33386"/>
    <w:rsid w:val="00F67684"/>
    <w:rsid w:val="00F71267"/>
    <w:rsid w:val="00FA1A3E"/>
    <w:rsid w:val="00FC1129"/>
    <w:rsid w:val="00FE6620"/>
    <w:rsid w:val="00FF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F943"/>
  <w15:chartTrackingRefBased/>
  <w15:docId w15:val="{B46C90CE-6DB4-4B1D-A2D1-B91D4A0A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68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0B3D"/>
    <w:rPr>
      <w:sz w:val="16"/>
      <w:szCs w:val="16"/>
    </w:rPr>
  </w:style>
  <w:style w:type="paragraph" w:styleId="CommentText">
    <w:name w:val="annotation text"/>
    <w:basedOn w:val="Normal"/>
    <w:link w:val="CommentTextChar"/>
    <w:uiPriority w:val="99"/>
    <w:unhideWhenUsed/>
    <w:rsid w:val="005D0B3D"/>
    <w:pPr>
      <w:spacing w:line="240" w:lineRule="auto"/>
    </w:pPr>
    <w:rPr>
      <w:sz w:val="20"/>
      <w:szCs w:val="20"/>
    </w:rPr>
  </w:style>
  <w:style w:type="character" w:customStyle="1" w:styleId="CommentTextChar">
    <w:name w:val="Comment Text Char"/>
    <w:basedOn w:val="DefaultParagraphFont"/>
    <w:link w:val="CommentText"/>
    <w:uiPriority w:val="99"/>
    <w:rsid w:val="005D0B3D"/>
    <w:rPr>
      <w:sz w:val="20"/>
      <w:szCs w:val="20"/>
    </w:rPr>
  </w:style>
  <w:style w:type="paragraph" w:styleId="CommentSubject">
    <w:name w:val="annotation subject"/>
    <w:basedOn w:val="CommentText"/>
    <w:next w:val="CommentText"/>
    <w:link w:val="CommentSubjectChar"/>
    <w:uiPriority w:val="99"/>
    <w:semiHidden/>
    <w:unhideWhenUsed/>
    <w:rsid w:val="005D0B3D"/>
    <w:rPr>
      <w:b/>
      <w:bCs/>
    </w:rPr>
  </w:style>
  <w:style w:type="character" w:customStyle="1" w:styleId="CommentSubjectChar">
    <w:name w:val="Comment Subject Char"/>
    <w:basedOn w:val="CommentTextChar"/>
    <w:link w:val="CommentSubject"/>
    <w:uiPriority w:val="99"/>
    <w:semiHidden/>
    <w:rsid w:val="005D0B3D"/>
    <w:rPr>
      <w:b/>
      <w:bCs/>
      <w:sz w:val="20"/>
      <w:szCs w:val="20"/>
    </w:rPr>
  </w:style>
  <w:style w:type="paragraph" w:styleId="BalloonText">
    <w:name w:val="Balloon Text"/>
    <w:basedOn w:val="Normal"/>
    <w:link w:val="BalloonTextChar"/>
    <w:uiPriority w:val="99"/>
    <w:semiHidden/>
    <w:unhideWhenUsed/>
    <w:rsid w:val="005D0B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B3D"/>
    <w:rPr>
      <w:rFonts w:ascii="Segoe UI" w:hAnsi="Segoe UI" w:cs="Segoe UI"/>
      <w:sz w:val="18"/>
      <w:szCs w:val="18"/>
    </w:rPr>
  </w:style>
  <w:style w:type="character" w:styleId="Strong">
    <w:name w:val="Strong"/>
    <w:basedOn w:val="DefaultParagraphFont"/>
    <w:uiPriority w:val="22"/>
    <w:qFormat/>
    <w:rsid w:val="00B72E69"/>
    <w:rPr>
      <w:b/>
      <w:bCs/>
    </w:rPr>
  </w:style>
  <w:style w:type="paragraph" w:styleId="ListParagraph">
    <w:name w:val="List Paragraph"/>
    <w:basedOn w:val="Normal"/>
    <w:uiPriority w:val="34"/>
    <w:qFormat/>
    <w:rsid w:val="002F34C4"/>
    <w:pPr>
      <w:spacing w:after="0" w:line="240" w:lineRule="auto"/>
      <w:ind w:left="720"/>
    </w:pPr>
    <w:rPr>
      <w:rFonts w:ascii="Calibri" w:hAnsi="Calibri" w:cs="Calibri"/>
    </w:rPr>
  </w:style>
  <w:style w:type="paragraph" w:styleId="NormalWeb">
    <w:name w:val="Normal (Web)"/>
    <w:basedOn w:val="Normal"/>
    <w:uiPriority w:val="99"/>
    <w:unhideWhenUsed/>
    <w:rsid w:val="001A627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6271"/>
    <w:rPr>
      <w:i/>
      <w:iCs/>
    </w:rPr>
  </w:style>
  <w:style w:type="paragraph" w:customStyle="1" w:styleId="Default">
    <w:name w:val="Default"/>
    <w:rsid w:val="002E74C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1836">
      <w:bodyDiv w:val="1"/>
      <w:marLeft w:val="0"/>
      <w:marRight w:val="0"/>
      <w:marTop w:val="0"/>
      <w:marBottom w:val="0"/>
      <w:divBdr>
        <w:top w:val="none" w:sz="0" w:space="0" w:color="auto"/>
        <w:left w:val="none" w:sz="0" w:space="0" w:color="auto"/>
        <w:bottom w:val="none" w:sz="0" w:space="0" w:color="auto"/>
        <w:right w:val="none" w:sz="0" w:space="0" w:color="auto"/>
      </w:divBdr>
    </w:div>
    <w:div w:id="437330222">
      <w:bodyDiv w:val="1"/>
      <w:marLeft w:val="0"/>
      <w:marRight w:val="0"/>
      <w:marTop w:val="0"/>
      <w:marBottom w:val="0"/>
      <w:divBdr>
        <w:top w:val="none" w:sz="0" w:space="0" w:color="auto"/>
        <w:left w:val="none" w:sz="0" w:space="0" w:color="auto"/>
        <w:bottom w:val="none" w:sz="0" w:space="0" w:color="auto"/>
        <w:right w:val="none" w:sz="0" w:space="0" w:color="auto"/>
      </w:divBdr>
    </w:div>
    <w:div w:id="660230798">
      <w:bodyDiv w:val="1"/>
      <w:marLeft w:val="0"/>
      <w:marRight w:val="0"/>
      <w:marTop w:val="0"/>
      <w:marBottom w:val="0"/>
      <w:divBdr>
        <w:top w:val="none" w:sz="0" w:space="0" w:color="auto"/>
        <w:left w:val="none" w:sz="0" w:space="0" w:color="auto"/>
        <w:bottom w:val="none" w:sz="0" w:space="0" w:color="auto"/>
        <w:right w:val="none" w:sz="0" w:space="0" w:color="auto"/>
      </w:divBdr>
    </w:div>
    <w:div w:id="681080831">
      <w:bodyDiv w:val="1"/>
      <w:marLeft w:val="0"/>
      <w:marRight w:val="0"/>
      <w:marTop w:val="0"/>
      <w:marBottom w:val="0"/>
      <w:divBdr>
        <w:top w:val="none" w:sz="0" w:space="0" w:color="auto"/>
        <w:left w:val="none" w:sz="0" w:space="0" w:color="auto"/>
        <w:bottom w:val="none" w:sz="0" w:space="0" w:color="auto"/>
        <w:right w:val="none" w:sz="0" w:space="0" w:color="auto"/>
      </w:divBdr>
    </w:div>
    <w:div w:id="829753040">
      <w:bodyDiv w:val="1"/>
      <w:marLeft w:val="0"/>
      <w:marRight w:val="0"/>
      <w:marTop w:val="0"/>
      <w:marBottom w:val="0"/>
      <w:divBdr>
        <w:top w:val="none" w:sz="0" w:space="0" w:color="auto"/>
        <w:left w:val="none" w:sz="0" w:space="0" w:color="auto"/>
        <w:bottom w:val="none" w:sz="0" w:space="0" w:color="auto"/>
        <w:right w:val="none" w:sz="0" w:space="0" w:color="auto"/>
      </w:divBdr>
    </w:div>
    <w:div w:id="1013264410">
      <w:bodyDiv w:val="1"/>
      <w:marLeft w:val="0"/>
      <w:marRight w:val="0"/>
      <w:marTop w:val="0"/>
      <w:marBottom w:val="0"/>
      <w:divBdr>
        <w:top w:val="none" w:sz="0" w:space="0" w:color="auto"/>
        <w:left w:val="none" w:sz="0" w:space="0" w:color="auto"/>
        <w:bottom w:val="none" w:sz="0" w:space="0" w:color="auto"/>
        <w:right w:val="none" w:sz="0" w:space="0" w:color="auto"/>
      </w:divBdr>
    </w:div>
    <w:div w:id="1167357464">
      <w:bodyDiv w:val="1"/>
      <w:marLeft w:val="0"/>
      <w:marRight w:val="0"/>
      <w:marTop w:val="0"/>
      <w:marBottom w:val="0"/>
      <w:divBdr>
        <w:top w:val="none" w:sz="0" w:space="0" w:color="auto"/>
        <w:left w:val="none" w:sz="0" w:space="0" w:color="auto"/>
        <w:bottom w:val="none" w:sz="0" w:space="0" w:color="auto"/>
        <w:right w:val="none" w:sz="0" w:space="0" w:color="auto"/>
      </w:divBdr>
    </w:div>
    <w:div w:id="1455900762">
      <w:bodyDiv w:val="1"/>
      <w:marLeft w:val="0"/>
      <w:marRight w:val="0"/>
      <w:marTop w:val="0"/>
      <w:marBottom w:val="0"/>
      <w:divBdr>
        <w:top w:val="none" w:sz="0" w:space="0" w:color="auto"/>
        <w:left w:val="none" w:sz="0" w:space="0" w:color="auto"/>
        <w:bottom w:val="none" w:sz="0" w:space="0" w:color="auto"/>
        <w:right w:val="none" w:sz="0" w:space="0" w:color="auto"/>
      </w:divBdr>
    </w:div>
    <w:div w:id="1466856024">
      <w:bodyDiv w:val="1"/>
      <w:marLeft w:val="0"/>
      <w:marRight w:val="0"/>
      <w:marTop w:val="0"/>
      <w:marBottom w:val="0"/>
      <w:divBdr>
        <w:top w:val="none" w:sz="0" w:space="0" w:color="auto"/>
        <w:left w:val="none" w:sz="0" w:space="0" w:color="auto"/>
        <w:bottom w:val="none" w:sz="0" w:space="0" w:color="auto"/>
        <w:right w:val="none" w:sz="0" w:space="0" w:color="auto"/>
      </w:divBdr>
    </w:div>
    <w:div w:id="1650405987">
      <w:bodyDiv w:val="1"/>
      <w:marLeft w:val="0"/>
      <w:marRight w:val="0"/>
      <w:marTop w:val="0"/>
      <w:marBottom w:val="0"/>
      <w:divBdr>
        <w:top w:val="none" w:sz="0" w:space="0" w:color="auto"/>
        <w:left w:val="none" w:sz="0" w:space="0" w:color="auto"/>
        <w:bottom w:val="none" w:sz="0" w:space="0" w:color="auto"/>
        <w:right w:val="none" w:sz="0" w:space="0" w:color="auto"/>
      </w:divBdr>
    </w:div>
    <w:div w:id="194734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Charnae, VBAVACO</dc:creator>
  <cp:keywords/>
  <dc:description/>
  <cp:lastModifiedBy>Stewart, Deborah, VBAVACO</cp:lastModifiedBy>
  <cp:revision>2</cp:revision>
  <dcterms:created xsi:type="dcterms:W3CDTF">2022-06-17T18:54:00Z</dcterms:created>
  <dcterms:modified xsi:type="dcterms:W3CDTF">2022-06-17T18:54:00Z</dcterms:modified>
</cp:coreProperties>
</file>