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E4123" w:rsidR="006F724B" w:rsidP="006F724B" w:rsidRDefault="00AC1DCD" w14:paraId="113EF541" w14:textId="07A0983D">
      <w:pPr>
        <w:spacing w:after="160"/>
        <w:rPr>
          <w:sz w:val="22"/>
          <w:szCs w:val="22"/>
        </w:rPr>
      </w:pPr>
      <w:bookmarkStart w:name="_Hlk97223964" w:id="0"/>
      <w:r>
        <w:rPr>
          <w:sz w:val="22"/>
          <w:szCs w:val="22"/>
        </w:rPr>
        <w:t>March</w:t>
      </w:r>
      <w:r w:rsidRPr="00FE4123" w:rsidR="00F90540">
        <w:rPr>
          <w:sz w:val="22"/>
          <w:szCs w:val="22"/>
        </w:rPr>
        <w:t xml:space="preserve"> </w:t>
      </w:r>
      <w:r w:rsidR="002D0A13">
        <w:rPr>
          <w:sz w:val="22"/>
          <w:szCs w:val="22"/>
        </w:rPr>
        <w:t>8</w:t>
      </w:r>
      <w:r w:rsidRPr="00FE4123" w:rsidR="006F724B">
        <w:rPr>
          <w:sz w:val="22"/>
          <w:szCs w:val="22"/>
        </w:rPr>
        <w:t>, 202</w:t>
      </w:r>
      <w:r w:rsidRPr="00FE4123" w:rsidR="00F90540">
        <w:rPr>
          <w:sz w:val="22"/>
          <w:szCs w:val="22"/>
        </w:rPr>
        <w:t>2</w:t>
      </w:r>
    </w:p>
    <w:p w:rsidRPr="00FE4123" w:rsidR="006F724B" w:rsidP="006F724B" w:rsidRDefault="006F724B" w14:paraId="37537F5A" w14:textId="77777777">
      <w:pPr>
        <w:spacing w:after="160"/>
        <w:rPr>
          <w:sz w:val="22"/>
          <w:szCs w:val="22"/>
        </w:rPr>
      </w:pPr>
      <w:r w:rsidRPr="00FE4123">
        <w:rPr>
          <w:sz w:val="22"/>
          <w:szCs w:val="22"/>
        </w:rPr>
        <w:t>FEDERAL COMMUNICATIONS COMMISSION</w:t>
      </w:r>
    </w:p>
    <w:p w:rsidRPr="00FE4123" w:rsidR="006F724B" w:rsidP="006F724B" w:rsidRDefault="006F724B" w14:paraId="19497724" w14:textId="4FB17815">
      <w:pPr>
        <w:spacing w:after="160"/>
        <w:rPr>
          <w:sz w:val="22"/>
          <w:szCs w:val="22"/>
        </w:rPr>
      </w:pPr>
      <w:r w:rsidRPr="00FE4123">
        <w:rPr>
          <w:sz w:val="22"/>
          <w:szCs w:val="22"/>
        </w:rPr>
        <w:t xml:space="preserve">OMB Control Number:  3060-0800  </w:t>
      </w:r>
    </w:p>
    <w:p w:rsidRPr="00FE4123" w:rsidR="006F724B" w:rsidP="006F724B" w:rsidRDefault="006F724B" w14:paraId="326C5295" w14:textId="469E1483">
      <w:pPr>
        <w:spacing w:after="160"/>
        <w:rPr>
          <w:sz w:val="22"/>
          <w:szCs w:val="22"/>
        </w:rPr>
      </w:pPr>
      <w:r w:rsidRPr="00FE4123">
        <w:rPr>
          <w:sz w:val="22"/>
          <w:szCs w:val="22"/>
        </w:rPr>
        <w:t>FCC Form 603</w:t>
      </w:r>
    </w:p>
    <w:p w:rsidRPr="00FE4123" w:rsidR="006F724B" w:rsidP="006F724B" w:rsidRDefault="006F724B" w14:paraId="00A8E1F1" w14:textId="77777777">
      <w:pPr>
        <w:spacing w:after="160"/>
        <w:rPr>
          <w:sz w:val="22"/>
          <w:szCs w:val="22"/>
        </w:rPr>
      </w:pPr>
      <w:r w:rsidRPr="00FE4123">
        <w:rPr>
          <w:sz w:val="22"/>
          <w:szCs w:val="22"/>
        </w:rPr>
        <w:t>Requested Action: Non-substantive change/non-material change request</w:t>
      </w:r>
    </w:p>
    <w:p w:rsidRPr="00FE4123" w:rsidR="006F724B" w:rsidP="006F724B" w:rsidRDefault="006F724B" w14:paraId="69F09CC9" w14:textId="77777777">
      <w:pPr>
        <w:spacing w:after="120"/>
        <w:rPr>
          <w:sz w:val="22"/>
          <w:szCs w:val="22"/>
          <w:u w:val="single"/>
        </w:rPr>
      </w:pPr>
      <w:r w:rsidRPr="00FE4123">
        <w:rPr>
          <w:sz w:val="22"/>
          <w:szCs w:val="22"/>
          <w:u w:val="single"/>
        </w:rPr>
        <w:t>______________________________________________________________________________</w:t>
      </w:r>
    </w:p>
    <w:bookmarkEnd w:id="0"/>
    <w:p w:rsidRPr="00FE4123" w:rsidR="00AF2BEA" w:rsidP="00AF2BEA" w:rsidRDefault="00AF2BEA" w14:paraId="5DCC6C19" w14:textId="77777777">
      <w:pPr>
        <w:rPr>
          <w:color w:val="000000" w:themeColor="text1"/>
          <w:sz w:val="22"/>
          <w:szCs w:val="22"/>
        </w:rPr>
      </w:pPr>
    </w:p>
    <w:p w:rsidRPr="00FE4123" w:rsidR="00AF2BEA" w:rsidP="00832B81" w:rsidRDefault="006F724B" w14:paraId="065BD394" w14:textId="5CC41CE4">
      <w:pPr>
        <w:rPr>
          <w:color w:val="000000" w:themeColor="text1"/>
          <w:sz w:val="22"/>
          <w:szCs w:val="22"/>
        </w:rPr>
      </w:pPr>
      <w:bookmarkStart w:name="_Hlk97224094" w:id="1"/>
      <w:r w:rsidRPr="00FE4123">
        <w:rPr>
          <w:sz w:val="22"/>
          <w:szCs w:val="22"/>
        </w:rPr>
        <w:t>The Federal Communications Commission submits this non-substantive change request to the Office of Management and Budget (OMB) for approval of non-substantive/non-material changes to FCC Form 603 (OMB Control Number 3060-0800)</w:t>
      </w:r>
      <w:r w:rsidRPr="00FE4123">
        <w:rPr>
          <w:bCs/>
          <w:sz w:val="22"/>
          <w:szCs w:val="22"/>
        </w:rPr>
        <w:t xml:space="preserve">.  </w:t>
      </w:r>
      <w:bookmarkEnd w:id="1"/>
      <w:r w:rsidRPr="00FE4123" w:rsidR="00AF2BEA">
        <w:rPr>
          <w:color w:val="000000" w:themeColor="text1"/>
          <w:sz w:val="22"/>
          <w:szCs w:val="22"/>
        </w:rPr>
        <w:t xml:space="preserve">FCC Form 603 is a multipurpose form that is used </w:t>
      </w:r>
      <w:r w:rsidR="00C17AC6">
        <w:rPr>
          <w:color w:val="000000" w:themeColor="text1"/>
          <w:sz w:val="22"/>
          <w:szCs w:val="22"/>
        </w:rPr>
        <w:t>to administer licenses in the Wireless Radio Service</w:t>
      </w:r>
      <w:r w:rsidR="00131C77">
        <w:rPr>
          <w:color w:val="000000" w:themeColor="text1"/>
          <w:sz w:val="22"/>
          <w:szCs w:val="22"/>
        </w:rPr>
        <w:t>s</w:t>
      </w:r>
      <w:r w:rsidR="00C17AC6">
        <w:rPr>
          <w:color w:val="000000" w:themeColor="text1"/>
          <w:sz w:val="22"/>
          <w:szCs w:val="22"/>
        </w:rPr>
        <w:t xml:space="preserve"> and Private Wireless Services using the </w:t>
      </w:r>
      <w:r w:rsidRPr="00FE4123" w:rsidR="00AF2BEA">
        <w:rPr>
          <w:color w:val="000000" w:themeColor="text1"/>
          <w:sz w:val="22"/>
          <w:szCs w:val="22"/>
        </w:rPr>
        <w:t xml:space="preserve">Universal Licensing System (ULS) </w:t>
      </w:r>
      <w:r w:rsidRPr="00FE4123" w:rsidR="00AF2BEA">
        <w:rPr>
          <w:sz w:val="22"/>
          <w:szCs w:val="22"/>
        </w:rPr>
        <w:t>or any other electronic filing interface the Commission develops</w:t>
      </w:r>
      <w:r w:rsidRPr="00FE4123" w:rsidR="00AF2BEA">
        <w:rPr>
          <w:color w:val="000000" w:themeColor="text1"/>
          <w:sz w:val="22"/>
          <w:szCs w:val="22"/>
        </w:rPr>
        <w:t xml:space="preserve">.  FCC Form 603 is composed of a main form that contains the administrative information and a series of schedules used for filing technical information.  These schedules are required when applying for </w:t>
      </w:r>
      <w:r w:rsidR="00823738">
        <w:rPr>
          <w:color w:val="000000" w:themeColor="text1"/>
          <w:sz w:val="22"/>
          <w:szCs w:val="22"/>
        </w:rPr>
        <w:t xml:space="preserve">Wireless Radio and/or Private Wireless </w:t>
      </w:r>
      <w:r w:rsidRPr="00FE4123" w:rsidR="00AF2BEA">
        <w:rPr>
          <w:color w:val="000000" w:themeColor="text1"/>
          <w:sz w:val="22"/>
          <w:szCs w:val="22"/>
        </w:rPr>
        <w:t xml:space="preserve">Services, </w:t>
      </w:r>
      <w:r w:rsidR="00823738">
        <w:rPr>
          <w:color w:val="000000" w:themeColor="text1"/>
          <w:sz w:val="22"/>
          <w:szCs w:val="22"/>
        </w:rPr>
        <w:t>p</w:t>
      </w:r>
      <w:r w:rsidRPr="00FE4123" w:rsidR="00AF2BEA">
        <w:rPr>
          <w:color w:val="000000" w:themeColor="text1"/>
          <w:sz w:val="22"/>
          <w:szCs w:val="22"/>
        </w:rPr>
        <w:t xml:space="preserve">artitioning and </w:t>
      </w:r>
      <w:r w:rsidR="00823738">
        <w:rPr>
          <w:color w:val="000000" w:themeColor="text1"/>
          <w:sz w:val="22"/>
          <w:szCs w:val="22"/>
        </w:rPr>
        <w:t>d</w:t>
      </w:r>
      <w:r w:rsidRPr="00FE4123" w:rsidR="00AF2BEA">
        <w:rPr>
          <w:color w:val="000000" w:themeColor="text1"/>
          <w:sz w:val="22"/>
          <w:szCs w:val="22"/>
        </w:rPr>
        <w:t xml:space="preserve">isaggregation, </w:t>
      </w:r>
      <w:r w:rsidR="00823738">
        <w:rPr>
          <w:color w:val="000000" w:themeColor="text1"/>
          <w:sz w:val="22"/>
          <w:szCs w:val="22"/>
        </w:rPr>
        <w:t>u</w:t>
      </w:r>
      <w:r w:rsidRPr="00FE4123" w:rsidR="00AF2BEA">
        <w:rPr>
          <w:color w:val="000000" w:themeColor="text1"/>
          <w:sz w:val="22"/>
          <w:szCs w:val="22"/>
        </w:rPr>
        <w:t xml:space="preserve">ndefined </w:t>
      </w:r>
      <w:r w:rsidR="00823738">
        <w:rPr>
          <w:color w:val="000000" w:themeColor="text1"/>
          <w:sz w:val="22"/>
          <w:szCs w:val="22"/>
        </w:rPr>
        <w:t>g</w:t>
      </w:r>
      <w:r w:rsidRPr="00FE4123" w:rsidR="00AF2BEA">
        <w:rPr>
          <w:color w:val="000000" w:themeColor="text1"/>
          <w:sz w:val="22"/>
          <w:szCs w:val="22"/>
        </w:rPr>
        <w:t xml:space="preserve">eographical </w:t>
      </w:r>
      <w:r w:rsidR="00823738">
        <w:rPr>
          <w:color w:val="000000" w:themeColor="text1"/>
          <w:sz w:val="22"/>
          <w:szCs w:val="22"/>
        </w:rPr>
        <w:t>a</w:t>
      </w:r>
      <w:r w:rsidRPr="00FE4123" w:rsidR="00AF2BEA">
        <w:rPr>
          <w:color w:val="000000" w:themeColor="text1"/>
          <w:sz w:val="22"/>
          <w:szCs w:val="22"/>
        </w:rPr>
        <w:t xml:space="preserve">rea </w:t>
      </w:r>
      <w:r w:rsidR="00823738">
        <w:rPr>
          <w:color w:val="000000" w:themeColor="text1"/>
          <w:sz w:val="22"/>
          <w:szCs w:val="22"/>
        </w:rPr>
        <w:t>p</w:t>
      </w:r>
      <w:r w:rsidRPr="00FE4123" w:rsidR="00AF2BEA">
        <w:rPr>
          <w:color w:val="000000" w:themeColor="text1"/>
          <w:sz w:val="22"/>
          <w:szCs w:val="22"/>
        </w:rPr>
        <w:t xml:space="preserve">artitioning, and </w:t>
      </w:r>
      <w:r w:rsidR="00823738">
        <w:rPr>
          <w:color w:val="000000" w:themeColor="text1"/>
          <w:sz w:val="22"/>
          <w:szCs w:val="22"/>
        </w:rPr>
        <w:t>n</w:t>
      </w:r>
      <w:r w:rsidRPr="00FE4123" w:rsidR="00AF2BEA">
        <w:rPr>
          <w:color w:val="000000" w:themeColor="text1"/>
          <w:sz w:val="22"/>
          <w:szCs w:val="22"/>
        </w:rPr>
        <w:t xml:space="preserve">otification of </w:t>
      </w:r>
      <w:r w:rsidR="00823738">
        <w:rPr>
          <w:color w:val="000000" w:themeColor="text1"/>
          <w:sz w:val="22"/>
          <w:szCs w:val="22"/>
        </w:rPr>
        <w:t>c</w:t>
      </w:r>
      <w:r w:rsidRPr="00FE4123" w:rsidR="00AF2BEA">
        <w:rPr>
          <w:color w:val="000000" w:themeColor="text1"/>
          <w:sz w:val="22"/>
          <w:szCs w:val="22"/>
        </w:rPr>
        <w:t xml:space="preserve">onsummation or </w:t>
      </w:r>
      <w:r w:rsidR="00823738">
        <w:rPr>
          <w:color w:val="000000" w:themeColor="text1"/>
          <w:sz w:val="22"/>
          <w:szCs w:val="22"/>
        </w:rPr>
        <w:t>r</w:t>
      </w:r>
      <w:r w:rsidRPr="00FE4123" w:rsidR="00AF2BEA">
        <w:rPr>
          <w:color w:val="000000" w:themeColor="text1"/>
          <w:sz w:val="22"/>
          <w:szCs w:val="22"/>
        </w:rPr>
        <w:t xml:space="preserve">equest for </w:t>
      </w:r>
      <w:r w:rsidR="00823738">
        <w:rPr>
          <w:color w:val="000000" w:themeColor="text1"/>
          <w:sz w:val="22"/>
          <w:szCs w:val="22"/>
        </w:rPr>
        <w:t>e</w:t>
      </w:r>
      <w:r w:rsidRPr="00FE4123" w:rsidR="00AF2BEA">
        <w:rPr>
          <w:color w:val="000000" w:themeColor="text1"/>
          <w:sz w:val="22"/>
          <w:szCs w:val="22"/>
        </w:rPr>
        <w:t xml:space="preserve">xtension of </w:t>
      </w:r>
      <w:r w:rsidR="00823738">
        <w:rPr>
          <w:color w:val="000000" w:themeColor="text1"/>
          <w:sz w:val="22"/>
          <w:szCs w:val="22"/>
        </w:rPr>
        <w:t>t</w:t>
      </w:r>
      <w:r w:rsidRPr="00FE4123" w:rsidR="00AF2BEA">
        <w:rPr>
          <w:color w:val="000000" w:themeColor="text1"/>
          <w:sz w:val="22"/>
          <w:szCs w:val="22"/>
        </w:rPr>
        <w:t xml:space="preserve">ime for </w:t>
      </w:r>
      <w:r w:rsidR="00823738">
        <w:rPr>
          <w:color w:val="000000" w:themeColor="text1"/>
          <w:sz w:val="22"/>
          <w:szCs w:val="22"/>
        </w:rPr>
        <w:t>c</w:t>
      </w:r>
      <w:r w:rsidRPr="00FE4123" w:rsidR="00AF2BEA">
        <w:rPr>
          <w:color w:val="000000" w:themeColor="text1"/>
          <w:sz w:val="22"/>
          <w:szCs w:val="22"/>
        </w:rPr>
        <w:t xml:space="preserve">onsummation. </w:t>
      </w:r>
      <w:r w:rsidRPr="00FE4123">
        <w:rPr>
          <w:color w:val="000000" w:themeColor="text1"/>
          <w:sz w:val="22"/>
          <w:szCs w:val="22"/>
        </w:rPr>
        <w:t xml:space="preserve"> </w:t>
      </w:r>
      <w:r w:rsidR="00823738">
        <w:rPr>
          <w:color w:val="000000" w:themeColor="text1"/>
          <w:sz w:val="22"/>
          <w:szCs w:val="22"/>
        </w:rPr>
        <w:t xml:space="preserve">For example, </w:t>
      </w:r>
      <w:r w:rsidR="00131C77">
        <w:rPr>
          <w:color w:val="000000" w:themeColor="text1"/>
          <w:sz w:val="22"/>
          <w:szCs w:val="22"/>
        </w:rPr>
        <w:t>a</w:t>
      </w:r>
      <w:r w:rsidRPr="00FE4123" w:rsidR="00AF2BEA">
        <w:rPr>
          <w:color w:val="000000" w:themeColor="text1"/>
          <w:sz w:val="22"/>
          <w:szCs w:val="22"/>
        </w:rPr>
        <w:t>pplicants/licensees use FCC Form 603 to apply for an assignment or transfer</w:t>
      </w:r>
      <w:r w:rsidR="00823738">
        <w:rPr>
          <w:color w:val="000000" w:themeColor="text1"/>
          <w:sz w:val="22"/>
          <w:szCs w:val="22"/>
        </w:rPr>
        <w:t xml:space="preserve"> of control</w:t>
      </w:r>
      <w:r w:rsidRPr="00FE4123" w:rsidR="00AF2BEA">
        <w:rPr>
          <w:color w:val="000000" w:themeColor="text1"/>
          <w:sz w:val="22"/>
          <w:szCs w:val="22"/>
        </w:rPr>
        <w:t>, to establish their parties’ basic eligibility and qualifications, to classify the filing, and/or to determine the nature of the proposed service.  This form is also used to notify the FCC of consummated assignments and transfers of wireless licenses to which the</w:t>
      </w:r>
      <w:r w:rsidRPr="00FE4123">
        <w:rPr>
          <w:color w:val="000000" w:themeColor="text1"/>
          <w:sz w:val="22"/>
          <w:szCs w:val="22"/>
        </w:rPr>
        <w:t xml:space="preserve"> </w:t>
      </w:r>
      <w:r w:rsidRPr="00FE4123" w:rsidR="00AF2BEA">
        <w:rPr>
          <w:color w:val="000000" w:themeColor="text1"/>
          <w:sz w:val="22"/>
          <w:szCs w:val="22"/>
        </w:rPr>
        <w:t>Commission has previously consented or for which notification but not prior consent is required</w:t>
      </w:r>
      <w:r w:rsidR="00823738">
        <w:rPr>
          <w:color w:val="000000" w:themeColor="text1"/>
          <w:sz w:val="22"/>
          <w:szCs w:val="22"/>
        </w:rPr>
        <w:t>, or to request an extension of time for consummation.</w:t>
      </w:r>
      <w:r w:rsidRPr="00FE4123" w:rsidR="00AF2BEA">
        <w:rPr>
          <w:color w:val="000000" w:themeColor="text1"/>
          <w:sz w:val="22"/>
          <w:szCs w:val="22"/>
        </w:rPr>
        <w:t xml:space="preserve">  Respondents are </w:t>
      </w:r>
      <w:r w:rsidRPr="00FE4123">
        <w:rPr>
          <w:color w:val="000000" w:themeColor="text1"/>
          <w:sz w:val="22"/>
          <w:szCs w:val="22"/>
        </w:rPr>
        <w:t xml:space="preserve">required </w:t>
      </w:r>
      <w:r w:rsidRPr="00FE4123" w:rsidR="00AF2BEA">
        <w:rPr>
          <w:color w:val="000000" w:themeColor="text1"/>
          <w:sz w:val="22"/>
          <w:szCs w:val="22"/>
        </w:rPr>
        <w:t xml:space="preserve">to submit FCC Form 603 electronically.   </w:t>
      </w:r>
    </w:p>
    <w:p w:rsidRPr="00FE4123" w:rsidR="00AF2BEA" w:rsidP="00832B81" w:rsidRDefault="00AF2BEA" w14:paraId="0BD075BD" w14:textId="77777777">
      <w:pPr>
        <w:rPr>
          <w:color w:val="000000" w:themeColor="text1"/>
          <w:sz w:val="22"/>
          <w:szCs w:val="22"/>
        </w:rPr>
      </w:pPr>
    </w:p>
    <w:p w:rsidRPr="00FE4123" w:rsidR="006F724B" w:rsidP="00832B81" w:rsidRDefault="00F90540" w14:paraId="3FA70416" w14:textId="7B2DA29F">
      <w:pPr>
        <w:rPr>
          <w:sz w:val="22"/>
          <w:szCs w:val="22"/>
        </w:rPr>
      </w:pPr>
      <w:r w:rsidRPr="00FE4123">
        <w:rPr>
          <w:sz w:val="22"/>
          <w:szCs w:val="22"/>
        </w:rPr>
        <w:t>The Commission submits to OMB for approval the following non-substantive changes to the FCC Form 603 to implement licensing administration and spectrum policies that have been published in recent Commission orders, and to make general ministerial updates to the form:</w:t>
      </w:r>
      <w:r w:rsidRPr="00FE4123" w:rsidR="00AF2BEA">
        <w:rPr>
          <w:sz w:val="22"/>
          <w:szCs w:val="22"/>
        </w:rPr>
        <w:t xml:space="preserve">  </w:t>
      </w:r>
    </w:p>
    <w:p w:rsidRPr="00FE4123" w:rsidR="006F724B" w:rsidP="00832B81" w:rsidRDefault="006F724B" w14:paraId="1ACF0458" w14:textId="77777777">
      <w:pPr>
        <w:rPr>
          <w:sz w:val="22"/>
          <w:szCs w:val="22"/>
        </w:rPr>
      </w:pPr>
    </w:p>
    <w:p w:rsidRPr="00FE4123" w:rsidR="006F724B" w:rsidP="00832B81" w:rsidRDefault="00AF2BEA" w14:paraId="4F72504C" w14:textId="1382B9A0">
      <w:pPr>
        <w:rPr>
          <w:sz w:val="22"/>
          <w:szCs w:val="22"/>
        </w:rPr>
      </w:pPr>
      <w:r w:rsidRPr="00FE4123">
        <w:rPr>
          <w:sz w:val="22"/>
          <w:szCs w:val="22"/>
        </w:rPr>
        <w:t>(</w:t>
      </w:r>
      <w:r w:rsidRPr="00FE4123" w:rsidR="006F724B">
        <w:rPr>
          <w:sz w:val="22"/>
          <w:szCs w:val="22"/>
        </w:rPr>
        <w:t>1</w:t>
      </w:r>
      <w:r w:rsidRPr="00FE4123">
        <w:rPr>
          <w:sz w:val="22"/>
          <w:szCs w:val="22"/>
        </w:rPr>
        <w:t xml:space="preserve">) </w:t>
      </w:r>
      <w:r w:rsidR="00D267C3">
        <w:rPr>
          <w:sz w:val="22"/>
          <w:szCs w:val="22"/>
        </w:rPr>
        <w:t xml:space="preserve">Adding a </w:t>
      </w:r>
      <w:r w:rsidR="00E6619D">
        <w:rPr>
          <w:sz w:val="22"/>
          <w:szCs w:val="22"/>
        </w:rPr>
        <w:t xml:space="preserve">checkbox </w:t>
      </w:r>
      <w:r w:rsidR="00D267C3">
        <w:rPr>
          <w:sz w:val="22"/>
          <w:szCs w:val="22"/>
        </w:rPr>
        <w:t xml:space="preserve">to the form </w:t>
      </w:r>
      <w:r w:rsidR="00E6619D">
        <w:rPr>
          <w:sz w:val="22"/>
          <w:szCs w:val="22"/>
        </w:rPr>
        <w:t xml:space="preserve">for any </w:t>
      </w:r>
      <w:r w:rsidRPr="00FE4123" w:rsidR="00F90540">
        <w:rPr>
          <w:sz w:val="22"/>
          <w:szCs w:val="22"/>
        </w:rPr>
        <w:t>a</w:t>
      </w:r>
      <w:r w:rsidRPr="00FE4123" w:rsidR="006F724B">
        <w:rPr>
          <w:sz w:val="22"/>
          <w:szCs w:val="22"/>
        </w:rPr>
        <w:t>pplicant</w:t>
      </w:r>
      <w:r w:rsidR="00E6619D">
        <w:rPr>
          <w:sz w:val="22"/>
          <w:szCs w:val="22"/>
        </w:rPr>
        <w:t xml:space="preserve"> </w:t>
      </w:r>
      <w:r w:rsidR="00D267C3">
        <w:rPr>
          <w:sz w:val="22"/>
          <w:szCs w:val="22"/>
        </w:rPr>
        <w:t xml:space="preserve">who wishes </w:t>
      </w:r>
      <w:r w:rsidRPr="00FE4123" w:rsidR="00C60975">
        <w:rPr>
          <w:sz w:val="22"/>
          <w:szCs w:val="22"/>
        </w:rPr>
        <w:t xml:space="preserve">to assign or transfer </w:t>
      </w:r>
      <w:r w:rsidR="00D267C3">
        <w:rPr>
          <w:sz w:val="22"/>
          <w:szCs w:val="22"/>
        </w:rPr>
        <w:t xml:space="preserve">a </w:t>
      </w:r>
      <w:r w:rsidRPr="00FE4123" w:rsidR="00C60975">
        <w:rPr>
          <w:sz w:val="22"/>
          <w:szCs w:val="22"/>
        </w:rPr>
        <w:t>3.5 GHz Priority Access License</w:t>
      </w:r>
      <w:r w:rsidRPr="00FE4123" w:rsidR="006F724B">
        <w:rPr>
          <w:sz w:val="22"/>
          <w:szCs w:val="22"/>
        </w:rPr>
        <w:t xml:space="preserve"> (PAL)</w:t>
      </w:r>
      <w:r w:rsidR="00250044">
        <w:rPr>
          <w:sz w:val="22"/>
          <w:szCs w:val="22"/>
        </w:rPr>
        <w:t xml:space="preserve"> or </w:t>
      </w:r>
      <w:r w:rsidR="00131C77">
        <w:rPr>
          <w:sz w:val="22"/>
          <w:szCs w:val="22"/>
        </w:rPr>
        <w:t xml:space="preserve">some </w:t>
      </w:r>
      <w:r w:rsidR="00250044">
        <w:rPr>
          <w:sz w:val="22"/>
          <w:szCs w:val="22"/>
        </w:rPr>
        <w:t>portion thereof</w:t>
      </w:r>
      <w:r w:rsidR="00D267C3">
        <w:rPr>
          <w:sz w:val="22"/>
          <w:szCs w:val="22"/>
        </w:rPr>
        <w:t xml:space="preserve">.  By checking the box, the applicant </w:t>
      </w:r>
      <w:r w:rsidRPr="00FE4123" w:rsidR="006F724B">
        <w:rPr>
          <w:sz w:val="22"/>
          <w:szCs w:val="22"/>
        </w:rPr>
        <w:t>certif</w:t>
      </w:r>
      <w:r w:rsidR="00D267C3">
        <w:rPr>
          <w:sz w:val="22"/>
          <w:szCs w:val="22"/>
        </w:rPr>
        <w:t>ies</w:t>
      </w:r>
      <w:r w:rsidRPr="00FE4123" w:rsidR="00F90540">
        <w:rPr>
          <w:sz w:val="22"/>
          <w:szCs w:val="22"/>
        </w:rPr>
        <w:t xml:space="preserve"> </w:t>
      </w:r>
      <w:r w:rsidR="00D267C3">
        <w:rPr>
          <w:sz w:val="22"/>
          <w:szCs w:val="22"/>
        </w:rPr>
        <w:t xml:space="preserve">that </w:t>
      </w:r>
      <w:r w:rsidRPr="00FE4123" w:rsidR="003643A5">
        <w:rPr>
          <w:sz w:val="22"/>
          <w:szCs w:val="22"/>
        </w:rPr>
        <w:t xml:space="preserve">grant of the application would not </w:t>
      </w:r>
      <w:r w:rsidR="00131C77">
        <w:rPr>
          <w:sz w:val="22"/>
          <w:szCs w:val="22"/>
        </w:rPr>
        <w:t xml:space="preserve">result in a </w:t>
      </w:r>
      <w:r w:rsidRPr="00FE4123" w:rsidR="003643A5">
        <w:rPr>
          <w:sz w:val="22"/>
          <w:szCs w:val="22"/>
        </w:rPr>
        <w:t xml:space="preserve">violation of the 40 </w:t>
      </w:r>
      <w:r w:rsidR="00AB6FDD">
        <w:rPr>
          <w:sz w:val="22"/>
          <w:szCs w:val="22"/>
        </w:rPr>
        <w:t>megahertz</w:t>
      </w:r>
      <w:r w:rsidRPr="00FE4123" w:rsidR="003643A5">
        <w:rPr>
          <w:sz w:val="22"/>
          <w:szCs w:val="22"/>
        </w:rPr>
        <w:t xml:space="preserve"> in-band spectrum aggregation limit set forth under section 96.31 of the Commission’s rules, taking into consideration the spectrum attribution rules under section 20.22(b) of the Commission’s rules</w:t>
      </w:r>
      <w:r w:rsidR="00D267C3">
        <w:rPr>
          <w:sz w:val="22"/>
          <w:szCs w:val="22"/>
        </w:rPr>
        <w:t>.</w:t>
      </w:r>
    </w:p>
    <w:p w:rsidRPr="00FE4123" w:rsidR="006F724B" w:rsidP="00832B81" w:rsidRDefault="006F724B" w14:paraId="007215F9" w14:textId="77777777">
      <w:pPr>
        <w:rPr>
          <w:sz w:val="22"/>
          <w:szCs w:val="22"/>
        </w:rPr>
      </w:pPr>
    </w:p>
    <w:p w:rsidR="00445B8E" w:rsidP="00832B81" w:rsidRDefault="00C60975" w14:paraId="53FCBB98" w14:textId="5E022ABA">
      <w:pPr>
        <w:rPr>
          <w:sz w:val="22"/>
          <w:szCs w:val="22"/>
        </w:rPr>
      </w:pPr>
      <w:r w:rsidRPr="00FE4123">
        <w:rPr>
          <w:sz w:val="22"/>
          <w:szCs w:val="22"/>
        </w:rPr>
        <w:t>(</w:t>
      </w:r>
      <w:r w:rsidRPr="00FE4123" w:rsidR="006F724B">
        <w:rPr>
          <w:sz w:val="22"/>
          <w:szCs w:val="22"/>
        </w:rPr>
        <w:t>2</w:t>
      </w:r>
      <w:r w:rsidRPr="00FE4123">
        <w:rPr>
          <w:sz w:val="22"/>
          <w:szCs w:val="22"/>
        </w:rPr>
        <w:t xml:space="preserve">) </w:t>
      </w:r>
      <w:r w:rsidR="00D267C3">
        <w:rPr>
          <w:sz w:val="22"/>
          <w:szCs w:val="22"/>
        </w:rPr>
        <w:t xml:space="preserve">Adding a checkbox to the form for any </w:t>
      </w:r>
      <w:r w:rsidRPr="00FE4123">
        <w:rPr>
          <w:sz w:val="22"/>
          <w:szCs w:val="22"/>
        </w:rPr>
        <w:t>applicant</w:t>
      </w:r>
      <w:r w:rsidR="00D267C3">
        <w:rPr>
          <w:sz w:val="22"/>
          <w:szCs w:val="22"/>
        </w:rPr>
        <w:t xml:space="preserve"> who wishes to </w:t>
      </w:r>
      <w:r w:rsidRPr="00FE4123">
        <w:rPr>
          <w:sz w:val="22"/>
          <w:szCs w:val="22"/>
        </w:rPr>
        <w:t xml:space="preserve">assign or transfer </w:t>
      </w:r>
      <w:r w:rsidR="00D267C3">
        <w:rPr>
          <w:sz w:val="22"/>
          <w:szCs w:val="22"/>
        </w:rPr>
        <w:t xml:space="preserve">a </w:t>
      </w:r>
      <w:r w:rsidRPr="00FE4123">
        <w:rPr>
          <w:sz w:val="22"/>
          <w:szCs w:val="22"/>
        </w:rPr>
        <w:t>3.45 GHz license</w:t>
      </w:r>
      <w:r w:rsidR="00250044">
        <w:rPr>
          <w:sz w:val="22"/>
          <w:szCs w:val="22"/>
        </w:rPr>
        <w:t xml:space="preserve"> or </w:t>
      </w:r>
      <w:r w:rsidR="00131C77">
        <w:rPr>
          <w:sz w:val="22"/>
          <w:szCs w:val="22"/>
        </w:rPr>
        <w:t xml:space="preserve">some </w:t>
      </w:r>
      <w:r w:rsidR="00250044">
        <w:rPr>
          <w:sz w:val="22"/>
          <w:szCs w:val="22"/>
        </w:rPr>
        <w:t>portion thereof</w:t>
      </w:r>
      <w:r w:rsidR="00D267C3">
        <w:rPr>
          <w:sz w:val="22"/>
          <w:szCs w:val="22"/>
        </w:rPr>
        <w:t>.</w:t>
      </w:r>
      <w:r w:rsidRPr="00FE4123" w:rsidR="0049343C">
        <w:rPr>
          <w:sz w:val="22"/>
          <w:szCs w:val="22"/>
        </w:rPr>
        <w:t xml:space="preserve"> </w:t>
      </w:r>
      <w:r w:rsidR="00250044">
        <w:rPr>
          <w:sz w:val="22"/>
          <w:szCs w:val="22"/>
        </w:rPr>
        <w:t xml:space="preserve"> </w:t>
      </w:r>
      <w:r w:rsidR="00D267C3">
        <w:rPr>
          <w:sz w:val="22"/>
          <w:szCs w:val="22"/>
        </w:rPr>
        <w:t xml:space="preserve">By checking the box, the applicant certifies </w:t>
      </w:r>
      <w:r w:rsidRPr="00FE4123" w:rsidR="0049343C">
        <w:rPr>
          <w:sz w:val="22"/>
          <w:szCs w:val="22"/>
        </w:rPr>
        <w:t xml:space="preserve">that </w:t>
      </w:r>
      <w:r w:rsidRPr="00FE4123">
        <w:rPr>
          <w:sz w:val="22"/>
          <w:szCs w:val="22"/>
        </w:rPr>
        <w:t xml:space="preserve">grant of the application would </w:t>
      </w:r>
      <w:r w:rsidR="00131C77">
        <w:rPr>
          <w:sz w:val="22"/>
          <w:szCs w:val="22"/>
        </w:rPr>
        <w:t>not result</w:t>
      </w:r>
      <w:r w:rsidRPr="00FE4123">
        <w:rPr>
          <w:sz w:val="22"/>
          <w:szCs w:val="22"/>
        </w:rPr>
        <w:t xml:space="preserve"> in </w:t>
      </w:r>
      <w:r w:rsidR="00131C77">
        <w:rPr>
          <w:sz w:val="22"/>
          <w:szCs w:val="22"/>
        </w:rPr>
        <w:t xml:space="preserve">a </w:t>
      </w:r>
      <w:r w:rsidRPr="00FE4123">
        <w:rPr>
          <w:sz w:val="22"/>
          <w:szCs w:val="22"/>
        </w:rPr>
        <w:t xml:space="preserve">violation of the 40 </w:t>
      </w:r>
      <w:r w:rsidR="00AB6FDD">
        <w:rPr>
          <w:sz w:val="22"/>
          <w:szCs w:val="22"/>
        </w:rPr>
        <w:t>megahertz</w:t>
      </w:r>
      <w:r w:rsidRPr="00FE4123">
        <w:rPr>
          <w:sz w:val="22"/>
          <w:szCs w:val="22"/>
        </w:rPr>
        <w:t xml:space="preserve"> in-band spectrum aggregation limit set forth under section 27.1606 of the Commission’s rules, taking into consideration the spectrum attribution rules under section 20.22(b) of the Commission’s rules.  </w:t>
      </w:r>
    </w:p>
    <w:p w:rsidR="00445B8E" w:rsidP="00832B81" w:rsidRDefault="00445B8E" w14:paraId="142E1C02" w14:textId="77777777">
      <w:pPr>
        <w:rPr>
          <w:sz w:val="22"/>
          <w:szCs w:val="22"/>
        </w:rPr>
      </w:pPr>
    </w:p>
    <w:p w:rsidRPr="00FE4123" w:rsidR="002C1170" w:rsidP="00445B8E" w:rsidRDefault="00445B8E" w14:paraId="261400AD" w14:textId="61D67621">
      <w:pPr>
        <w:rPr>
          <w:sz w:val="22"/>
          <w:szCs w:val="22"/>
        </w:rPr>
      </w:pPr>
      <w:r w:rsidRPr="00445B8E">
        <w:rPr>
          <w:sz w:val="22"/>
          <w:szCs w:val="22"/>
        </w:rPr>
        <w:t xml:space="preserve">(3) Removing question 6b in the form to reflect recent changes in the Commission’s rules concerning application fees. </w:t>
      </w:r>
    </w:p>
    <w:p w:rsidR="00445B8E" w:rsidP="007420A2" w:rsidRDefault="00445B8E" w14:paraId="228865C1" w14:textId="77777777">
      <w:pPr>
        <w:widowControl/>
        <w:shd w:val="clear" w:color="auto" w:fill="FFFFFF"/>
        <w:textAlignment w:val="baseline"/>
        <w:rPr>
          <w:i/>
          <w:iCs/>
          <w:snapToGrid/>
          <w:color w:val="000000" w:themeColor="text1"/>
          <w:sz w:val="22"/>
          <w:szCs w:val="22"/>
        </w:rPr>
      </w:pPr>
    </w:p>
    <w:p w:rsidRPr="00FE4123" w:rsidR="00FC5A9F" w:rsidP="007420A2" w:rsidRDefault="006452EA" w14:paraId="177C2673" w14:textId="47F5248F">
      <w:pPr>
        <w:widowControl/>
        <w:shd w:val="clear" w:color="auto" w:fill="FFFFFF"/>
        <w:textAlignment w:val="baseline"/>
        <w:rPr>
          <w:sz w:val="22"/>
          <w:szCs w:val="22"/>
        </w:rPr>
      </w:pPr>
      <w:r w:rsidRPr="00FE4123">
        <w:rPr>
          <w:i/>
          <w:iCs/>
          <w:snapToGrid/>
          <w:color w:val="000000" w:themeColor="text1"/>
          <w:sz w:val="22"/>
          <w:szCs w:val="22"/>
        </w:rPr>
        <w:t xml:space="preserve">Change </w:t>
      </w:r>
      <w:r w:rsidRPr="00FE4123" w:rsidR="0049343C">
        <w:rPr>
          <w:i/>
          <w:iCs/>
          <w:snapToGrid/>
          <w:color w:val="000000" w:themeColor="text1"/>
          <w:sz w:val="22"/>
          <w:szCs w:val="22"/>
        </w:rPr>
        <w:t>1</w:t>
      </w:r>
      <w:r w:rsidRPr="00FE4123">
        <w:rPr>
          <w:snapToGrid/>
          <w:color w:val="000000" w:themeColor="text1"/>
          <w:sz w:val="22"/>
          <w:szCs w:val="22"/>
        </w:rPr>
        <w:t xml:space="preserve">. </w:t>
      </w:r>
      <w:r w:rsidRPr="00FE4123" w:rsidR="0049343C">
        <w:rPr>
          <w:snapToGrid/>
          <w:color w:val="000000" w:themeColor="text1"/>
          <w:sz w:val="22"/>
          <w:szCs w:val="22"/>
        </w:rPr>
        <w:t xml:space="preserve"> </w:t>
      </w:r>
      <w:r w:rsidRPr="00FE4123" w:rsidR="007420A2">
        <w:rPr>
          <w:snapToGrid/>
          <w:color w:val="000000" w:themeColor="text1"/>
          <w:sz w:val="22"/>
          <w:szCs w:val="22"/>
        </w:rPr>
        <w:t xml:space="preserve">On April 21, 2015, the Commission </w:t>
      </w:r>
      <w:r w:rsidRPr="00FE4123" w:rsidR="00FC5A9F">
        <w:rPr>
          <w:snapToGrid/>
          <w:color w:val="000000" w:themeColor="text1"/>
          <w:sz w:val="22"/>
          <w:szCs w:val="22"/>
        </w:rPr>
        <w:t>adopted</w:t>
      </w:r>
      <w:r w:rsidRPr="00FE4123" w:rsidR="007420A2">
        <w:rPr>
          <w:snapToGrid/>
          <w:color w:val="000000" w:themeColor="text1"/>
          <w:sz w:val="22"/>
          <w:szCs w:val="22"/>
        </w:rPr>
        <w:t xml:space="preserve"> the 3.5 GHz Report and Order and Further Notice of Proposed Rulemaking in which it created service rules for </w:t>
      </w:r>
      <w:r w:rsidRPr="00FE4123" w:rsidR="00FC5A9F">
        <w:rPr>
          <w:snapToGrid/>
          <w:color w:val="000000" w:themeColor="text1"/>
          <w:sz w:val="22"/>
          <w:szCs w:val="22"/>
        </w:rPr>
        <w:t xml:space="preserve">shared </w:t>
      </w:r>
      <w:r w:rsidRPr="00FE4123" w:rsidR="007420A2">
        <w:rPr>
          <w:snapToGrid/>
          <w:color w:val="000000" w:themeColor="text1"/>
          <w:sz w:val="22"/>
          <w:szCs w:val="22"/>
        </w:rPr>
        <w:t xml:space="preserve">commercial use of </w:t>
      </w:r>
      <w:r w:rsidR="00192D3A">
        <w:rPr>
          <w:snapToGrid/>
          <w:color w:val="000000" w:themeColor="text1"/>
          <w:sz w:val="22"/>
          <w:szCs w:val="22"/>
        </w:rPr>
        <w:t>the</w:t>
      </w:r>
      <w:r w:rsidRPr="00FE4123" w:rsidR="007420A2">
        <w:rPr>
          <w:snapToGrid/>
          <w:color w:val="000000" w:themeColor="text1"/>
          <w:sz w:val="22"/>
          <w:szCs w:val="22"/>
        </w:rPr>
        <w:t xml:space="preserve"> 3550-3700 </w:t>
      </w:r>
      <w:r w:rsidR="008C4506">
        <w:rPr>
          <w:snapToGrid/>
          <w:color w:val="000000" w:themeColor="text1"/>
          <w:sz w:val="22"/>
          <w:szCs w:val="22"/>
        </w:rPr>
        <w:t>MHz</w:t>
      </w:r>
      <w:r w:rsidR="00D267C3">
        <w:rPr>
          <w:snapToGrid/>
          <w:color w:val="000000" w:themeColor="text1"/>
          <w:sz w:val="22"/>
          <w:szCs w:val="22"/>
        </w:rPr>
        <w:t xml:space="preserve"> band</w:t>
      </w:r>
      <w:r w:rsidRPr="00FE4123" w:rsidR="007420A2">
        <w:rPr>
          <w:snapToGrid/>
          <w:color w:val="000000" w:themeColor="text1"/>
          <w:sz w:val="22"/>
          <w:szCs w:val="22"/>
        </w:rPr>
        <w:t xml:space="preserve"> (3.5 GHz Band). </w:t>
      </w:r>
      <w:r w:rsidR="006C4A98">
        <w:rPr>
          <w:snapToGrid/>
          <w:color w:val="000000" w:themeColor="text1"/>
          <w:sz w:val="22"/>
          <w:szCs w:val="22"/>
        </w:rPr>
        <w:t xml:space="preserve"> </w:t>
      </w:r>
      <w:r w:rsidRPr="00FE4123" w:rsidR="00255FFB">
        <w:rPr>
          <w:snapToGrid/>
          <w:color w:val="000000" w:themeColor="text1"/>
          <w:sz w:val="22"/>
          <w:szCs w:val="22"/>
        </w:rPr>
        <w:t>(</w:t>
      </w:r>
      <w:r w:rsidRPr="00FE4123" w:rsidR="00255FFB">
        <w:rPr>
          <w:iCs/>
          <w:sz w:val="22"/>
          <w:szCs w:val="22"/>
        </w:rPr>
        <w:t xml:space="preserve">See Amendment of the Commission’s Rules with Regard to Commercial Operations in the 3550-3650 MHz Band, GN Docket No. 12-354, Report and Order and Second Further Notice of Proposed Rulemaking, 30 FCC Rcd 3959 (2015); </w:t>
      </w:r>
      <w:r w:rsidR="00C51790">
        <w:rPr>
          <w:iCs/>
          <w:sz w:val="22"/>
          <w:szCs w:val="22"/>
        </w:rPr>
        <w:t>s</w:t>
      </w:r>
      <w:r w:rsidR="00192D3A">
        <w:rPr>
          <w:iCs/>
          <w:sz w:val="22"/>
          <w:szCs w:val="22"/>
        </w:rPr>
        <w:t xml:space="preserve">ee also </w:t>
      </w:r>
      <w:r w:rsidRPr="00FE4123" w:rsidR="00255FFB">
        <w:rPr>
          <w:iCs/>
          <w:sz w:val="22"/>
          <w:szCs w:val="22"/>
        </w:rPr>
        <w:t xml:space="preserve">Amendment of the </w:t>
      </w:r>
      <w:r w:rsidRPr="00FE4123" w:rsidR="00255FFB">
        <w:rPr>
          <w:iCs/>
          <w:sz w:val="22"/>
          <w:szCs w:val="22"/>
        </w:rPr>
        <w:lastRenderedPageBreak/>
        <w:t xml:space="preserve">Commission’s Rules with Regard to Commercial Operations in the 3550-3650 </w:t>
      </w:r>
      <w:r w:rsidR="00657D11">
        <w:rPr>
          <w:iCs/>
          <w:sz w:val="22"/>
          <w:szCs w:val="22"/>
        </w:rPr>
        <w:t>MHz</w:t>
      </w:r>
      <w:r w:rsidRPr="00FE4123" w:rsidR="00255FFB">
        <w:rPr>
          <w:iCs/>
          <w:sz w:val="22"/>
          <w:szCs w:val="22"/>
        </w:rPr>
        <w:t xml:space="preserve"> Band, GN Docket No. 12-354, Order on Reconsideration and Second Report and Order, 31 FCC Rcd 5011 (2016); Promoting Investment in the 3550-3700 </w:t>
      </w:r>
      <w:r w:rsidR="00657D11">
        <w:rPr>
          <w:iCs/>
          <w:sz w:val="22"/>
          <w:szCs w:val="22"/>
        </w:rPr>
        <w:t>MHz</w:t>
      </w:r>
      <w:r w:rsidRPr="00FE4123" w:rsidR="00255FFB">
        <w:rPr>
          <w:iCs/>
          <w:sz w:val="22"/>
          <w:szCs w:val="22"/>
        </w:rPr>
        <w:t xml:space="preserve"> Band, GN Docket No. 17-258, Report and Order, 33 FCC Rcd 10598 (2018)</w:t>
      </w:r>
      <w:r w:rsidRPr="00FE4123" w:rsidR="00ED2642">
        <w:rPr>
          <w:iCs/>
          <w:sz w:val="22"/>
          <w:szCs w:val="22"/>
        </w:rPr>
        <w:t>.)</w:t>
      </w:r>
      <w:r w:rsidRPr="00FE4123" w:rsidR="007420A2">
        <w:rPr>
          <w:snapToGrid/>
          <w:color w:val="000000" w:themeColor="text1"/>
          <w:sz w:val="22"/>
          <w:szCs w:val="22"/>
        </w:rPr>
        <w:t xml:space="preserve"> </w:t>
      </w:r>
      <w:r w:rsidRPr="00FE4123" w:rsidR="00255FFB">
        <w:rPr>
          <w:snapToGrid/>
          <w:color w:val="000000" w:themeColor="text1"/>
          <w:sz w:val="22"/>
          <w:szCs w:val="22"/>
        </w:rPr>
        <w:t xml:space="preserve"> </w:t>
      </w:r>
      <w:r w:rsidRPr="00FE4123" w:rsidR="00FC5A9F">
        <w:rPr>
          <w:snapToGrid/>
          <w:color w:val="000000" w:themeColor="text1"/>
          <w:sz w:val="22"/>
          <w:szCs w:val="22"/>
        </w:rPr>
        <w:t>In doing so, i</w:t>
      </w:r>
      <w:r w:rsidRPr="00FE4123" w:rsidR="00FC5A9F">
        <w:rPr>
          <w:sz w:val="22"/>
          <w:szCs w:val="22"/>
        </w:rPr>
        <w:t xml:space="preserve">t created a three-tiered access and authorization framework to coordinate shared federal and non-federal use of the band.  Incumbents comprise the first tier (Incumbent Access) and receive protection from all other users, followed by PALs, the second tier (Priority Access), and General Authorized Access (GAA), the third tier.  </w:t>
      </w:r>
    </w:p>
    <w:p w:rsidRPr="00FE4123" w:rsidR="00FC5A9F" w:rsidP="007420A2" w:rsidRDefault="00FC5A9F" w14:paraId="58C19ABE" w14:textId="77777777">
      <w:pPr>
        <w:widowControl/>
        <w:shd w:val="clear" w:color="auto" w:fill="FFFFFF"/>
        <w:textAlignment w:val="baseline"/>
        <w:rPr>
          <w:sz w:val="22"/>
          <w:szCs w:val="22"/>
        </w:rPr>
      </w:pPr>
    </w:p>
    <w:p w:rsidRPr="00FE4123" w:rsidR="00A169CA" w:rsidP="007420A2" w:rsidRDefault="0049343C" w14:paraId="39B8E356" w14:textId="000C97EA">
      <w:pPr>
        <w:widowControl/>
        <w:shd w:val="clear" w:color="auto" w:fill="FFFFFF"/>
        <w:textAlignment w:val="baseline"/>
        <w:rPr>
          <w:snapToGrid/>
          <w:color w:val="000000" w:themeColor="text1"/>
          <w:sz w:val="22"/>
          <w:szCs w:val="22"/>
        </w:rPr>
      </w:pPr>
      <w:r w:rsidRPr="00FE4123">
        <w:rPr>
          <w:snapToGrid/>
          <w:color w:val="000000" w:themeColor="text1"/>
          <w:sz w:val="22"/>
          <w:szCs w:val="22"/>
        </w:rPr>
        <w:t>As part of the service rules</w:t>
      </w:r>
      <w:r w:rsidRPr="00FE4123" w:rsidR="00FC5A9F">
        <w:rPr>
          <w:snapToGrid/>
          <w:color w:val="000000" w:themeColor="text1"/>
          <w:sz w:val="22"/>
          <w:szCs w:val="22"/>
        </w:rPr>
        <w:t xml:space="preserve"> for PALs</w:t>
      </w:r>
      <w:r w:rsidRPr="00FE4123">
        <w:rPr>
          <w:snapToGrid/>
          <w:color w:val="000000" w:themeColor="text1"/>
          <w:sz w:val="22"/>
          <w:szCs w:val="22"/>
        </w:rPr>
        <w:t xml:space="preserve">, the Commission </w:t>
      </w:r>
      <w:r w:rsidRPr="00FE4123" w:rsidR="007420A2">
        <w:rPr>
          <w:snapToGrid/>
          <w:color w:val="000000" w:themeColor="text1"/>
          <w:sz w:val="22"/>
          <w:szCs w:val="22"/>
        </w:rPr>
        <w:t>adopt</w:t>
      </w:r>
      <w:r w:rsidRPr="00FE4123">
        <w:rPr>
          <w:snapToGrid/>
          <w:color w:val="000000" w:themeColor="text1"/>
          <w:sz w:val="22"/>
          <w:szCs w:val="22"/>
        </w:rPr>
        <w:t xml:space="preserve">ed </w:t>
      </w:r>
      <w:r w:rsidRPr="00FE4123" w:rsidR="007420A2">
        <w:rPr>
          <w:snapToGrid/>
          <w:color w:val="000000" w:themeColor="text1"/>
          <w:sz w:val="22"/>
          <w:szCs w:val="22"/>
        </w:rPr>
        <w:t xml:space="preserve">an in-band </w:t>
      </w:r>
      <w:r w:rsidRPr="00FE4123">
        <w:rPr>
          <w:snapToGrid/>
          <w:color w:val="000000" w:themeColor="text1"/>
          <w:sz w:val="22"/>
          <w:szCs w:val="22"/>
        </w:rPr>
        <w:t xml:space="preserve">spectrum </w:t>
      </w:r>
      <w:r w:rsidRPr="00FE4123" w:rsidR="007420A2">
        <w:rPr>
          <w:snapToGrid/>
          <w:color w:val="000000" w:themeColor="text1"/>
          <w:sz w:val="22"/>
          <w:szCs w:val="22"/>
        </w:rPr>
        <w:t xml:space="preserve">aggregation limit of 40 </w:t>
      </w:r>
      <w:r w:rsidR="00AB6FDD">
        <w:rPr>
          <w:snapToGrid/>
          <w:color w:val="000000" w:themeColor="text1"/>
          <w:sz w:val="22"/>
          <w:szCs w:val="22"/>
        </w:rPr>
        <w:t>megahertz</w:t>
      </w:r>
      <w:r w:rsidRPr="00FE4123" w:rsidR="007420A2">
        <w:rPr>
          <w:snapToGrid/>
          <w:color w:val="000000" w:themeColor="text1"/>
          <w:sz w:val="22"/>
          <w:szCs w:val="22"/>
        </w:rPr>
        <w:t xml:space="preserve"> of the possible 70 </w:t>
      </w:r>
      <w:r w:rsidR="00AB6FDD">
        <w:rPr>
          <w:snapToGrid/>
          <w:color w:val="000000" w:themeColor="text1"/>
          <w:sz w:val="22"/>
          <w:szCs w:val="22"/>
        </w:rPr>
        <w:t>megahertz</w:t>
      </w:r>
      <w:r w:rsidRPr="00FE4123" w:rsidR="007420A2">
        <w:rPr>
          <w:snapToGrid/>
          <w:color w:val="000000" w:themeColor="text1"/>
          <w:sz w:val="22"/>
          <w:szCs w:val="22"/>
        </w:rPr>
        <w:t xml:space="preserve"> per license area at any given time</w:t>
      </w:r>
      <w:r w:rsidRPr="00FE4123">
        <w:rPr>
          <w:snapToGrid/>
          <w:color w:val="000000" w:themeColor="text1"/>
          <w:sz w:val="22"/>
          <w:szCs w:val="22"/>
        </w:rPr>
        <w:t xml:space="preserve">.  This in-band spectrum aggregation </w:t>
      </w:r>
      <w:r w:rsidR="008476FD">
        <w:rPr>
          <w:snapToGrid/>
          <w:color w:val="000000" w:themeColor="text1"/>
          <w:sz w:val="22"/>
          <w:szCs w:val="22"/>
        </w:rPr>
        <w:t xml:space="preserve">limit </w:t>
      </w:r>
      <w:r w:rsidRPr="00FE4123">
        <w:rPr>
          <w:snapToGrid/>
          <w:color w:val="000000" w:themeColor="text1"/>
          <w:sz w:val="22"/>
          <w:szCs w:val="22"/>
        </w:rPr>
        <w:t xml:space="preserve">applies to </w:t>
      </w:r>
      <w:r w:rsidRPr="00FE4123" w:rsidR="00255FFB">
        <w:rPr>
          <w:snapToGrid/>
          <w:color w:val="000000" w:themeColor="text1"/>
          <w:sz w:val="22"/>
          <w:szCs w:val="22"/>
        </w:rPr>
        <w:t>secondary market transactions</w:t>
      </w:r>
      <w:r w:rsidRPr="00FE4123">
        <w:rPr>
          <w:snapToGrid/>
          <w:color w:val="000000" w:themeColor="text1"/>
          <w:sz w:val="22"/>
          <w:szCs w:val="22"/>
        </w:rPr>
        <w:t xml:space="preserve">, including </w:t>
      </w:r>
      <w:r w:rsidR="00971116">
        <w:rPr>
          <w:snapToGrid/>
          <w:color w:val="000000" w:themeColor="text1"/>
          <w:sz w:val="22"/>
          <w:szCs w:val="22"/>
        </w:rPr>
        <w:t xml:space="preserve">an </w:t>
      </w:r>
      <w:r w:rsidRPr="00FE4123">
        <w:rPr>
          <w:snapToGrid/>
          <w:color w:val="000000" w:themeColor="text1"/>
          <w:sz w:val="22"/>
          <w:szCs w:val="22"/>
        </w:rPr>
        <w:t xml:space="preserve">assignment or transfer of control </w:t>
      </w:r>
      <w:r w:rsidR="00971116">
        <w:rPr>
          <w:snapToGrid/>
          <w:color w:val="000000" w:themeColor="text1"/>
          <w:sz w:val="22"/>
          <w:szCs w:val="22"/>
        </w:rPr>
        <w:t>involving</w:t>
      </w:r>
      <w:r w:rsidRPr="00FE4123">
        <w:rPr>
          <w:snapToGrid/>
          <w:color w:val="000000" w:themeColor="text1"/>
          <w:sz w:val="22"/>
          <w:szCs w:val="22"/>
        </w:rPr>
        <w:t xml:space="preserve"> </w:t>
      </w:r>
      <w:r w:rsidR="00FC2DF6">
        <w:rPr>
          <w:snapToGrid/>
          <w:color w:val="000000" w:themeColor="text1"/>
          <w:sz w:val="22"/>
          <w:szCs w:val="22"/>
        </w:rPr>
        <w:t xml:space="preserve">a </w:t>
      </w:r>
      <w:r w:rsidRPr="00FE4123">
        <w:rPr>
          <w:snapToGrid/>
          <w:color w:val="000000" w:themeColor="text1"/>
          <w:sz w:val="22"/>
          <w:szCs w:val="22"/>
        </w:rPr>
        <w:t>PAL</w:t>
      </w:r>
      <w:r w:rsidRPr="00FE4123" w:rsidR="00255FFB">
        <w:rPr>
          <w:snapToGrid/>
          <w:color w:val="000000" w:themeColor="text1"/>
          <w:sz w:val="22"/>
          <w:szCs w:val="22"/>
        </w:rPr>
        <w:t>.</w:t>
      </w:r>
      <w:r w:rsidRPr="00FE4123" w:rsidR="007420A2">
        <w:rPr>
          <w:snapToGrid/>
          <w:color w:val="000000" w:themeColor="text1"/>
          <w:sz w:val="22"/>
          <w:szCs w:val="22"/>
        </w:rPr>
        <w:t xml:space="preserve"> </w:t>
      </w:r>
      <w:r w:rsidRPr="00FE4123">
        <w:rPr>
          <w:snapToGrid/>
          <w:color w:val="000000" w:themeColor="text1"/>
          <w:sz w:val="22"/>
          <w:szCs w:val="22"/>
        </w:rPr>
        <w:t xml:space="preserve"> </w:t>
      </w:r>
      <w:r w:rsidRPr="00FE4123" w:rsidR="00A169CA">
        <w:rPr>
          <w:snapToGrid/>
          <w:color w:val="000000" w:themeColor="text1"/>
          <w:sz w:val="22"/>
          <w:szCs w:val="22"/>
        </w:rPr>
        <w:t>In adopting this cap, t</w:t>
      </w:r>
      <w:r w:rsidRPr="00FE4123" w:rsidR="007420A2">
        <w:rPr>
          <w:snapToGrid/>
          <w:color w:val="000000" w:themeColor="text1"/>
          <w:sz w:val="22"/>
          <w:szCs w:val="22"/>
        </w:rPr>
        <w:t>he Commission concluded that the benefits of facilitating competition, innovation, and the efficient use of the 3.5 GHz band outweighed any harms of imposing such an aggregation limit.</w:t>
      </w:r>
      <w:r w:rsidRPr="00FE4123" w:rsidR="00255FFB">
        <w:rPr>
          <w:snapToGrid/>
          <w:color w:val="000000" w:themeColor="text1"/>
          <w:sz w:val="22"/>
          <w:szCs w:val="22"/>
        </w:rPr>
        <w:t xml:space="preserve"> </w:t>
      </w:r>
      <w:r w:rsidRPr="00FE4123" w:rsidR="00E76454">
        <w:rPr>
          <w:snapToGrid/>
          <w:color w:val="000000" w:themeColor="text1"/>
          <w:sz w:val="22"/>
          <w:szCs w:val="22"/>
        </w:rPr>
        <w:t xml:space="preserve"> </w:t>
      </w:r>
      <w:r w:rsidRPr="00FE4123" w:rsidR="00FC5A9F">
        <w:rPr>
          <w:snapToGrid/>
          <w:color w:val="000000" w:themeColor="text1"/>
          <w:sz w:val="22"/>
          <w:szCs w:val="22"/>
        </w:rPr>
        <w:t>In particular</w:t>
      </w:r>
      <w:r w:rsidR="00D267C3">
        <w:rPr>
          <w:snapToGrid/>
          <w:color w:val="000000" w:themeColor="text1"/>
          <w:sz w:val="22"/>
          <w:szCs w:val="22"/>
        </w:rPr>
        <w:t>,</w:t>
      </w:r>
      <w:r w:rsidRPr="00FE4123" w:rsidR="00FC5A9F">
        <w:rPr>
          <w:snapToGrid/>
          <w:color w:val="000000" w:themeColor="text1"/>
          <w:sz w:val="22"/>
          <w:szCs w:val="22"/>
        </w:rPr>
        <w:t xml:space="preserve"> the Commission recognized that the spectrum aggregation limit will ensure the availability of PAL</w:t>
      </w:r>
      <w:r w:rsidR="00724C29">
        <w:rPr>
          <w:snapToGrid/>
          <w:color w:val="000000" w:themeColor="text1"/>
          <w:sz w:val="22"/>
          <w:szCs w:val="22"/>
        </w:rPr>
        <w:t>s</w:t>
      </w:r>
      <w:r w:rsidRPr="00FE4123" w:rsidR="00FC5A9F">
        <w:rPr>
          <w:snapToGrid/>
          <w:color w:val="000000" w:themeColor="text1"/>
          <w:sz w:val="22"/>
          <w:szCs w:val="22"/>
        </w:rPr>
        <w:t xml:space="preserve"> to at least two users in those geographic areas where there is greatest likelihood of high demand for such spectrum.  The limit also provides a minimum degree of diversity among </w:t>
      </w:r>
      <w:r w:rsidR="001F5C49">
        <w:rPr>
          <w:snapToGrid/>
          <w:color w:val="000000" w:themeColor="text1"/>
          <w:sz w:val="22"/>
          <w:szCs w:val="22"/>
        </w:rPr>
        <w:t>Citizen</w:t>
      </w:r>
      <w:r w:rsidR="00AB6FDD">
        <w:rPr>
          <w:snapToGrid/>
          <w:color w:val="000000" w:themeColor="text1"/>
          <w:sz w:val="22"/>
          <w:szCs w:val="22"/>
        </w:rPr>
        <w:t>s</w:t>
      </w:r>
      <w:r w:rsidR="001F5C49">
        <w:rPr>
          <w:snapToGrid/>
          <w:color w:val="000000" w:themeColor="text1"/>
          <w:sz w:val="22"/>
          <w:szCs w:val="22"/>
        </w:rPr>
        <w:t xml:space="preserve"> Broadband Radio </w:t>
      </w:r>
      <w:r w:rsidR="00AB6FDD">
        <w:rPr>
          <w:snapToGrid/>
          <w:color w:val="000000" w:themeColor="text1"/>
          <w:sz w:val="22"/>
          <w:szCs w:val="22"/>
        </w:rPr>
        <w:t>Service</w:t>
      </w:r>
      <w:r w:rsidR="00AC5DE9">
        <w:rPr>
          <w:snapToGrid/>
          <w:color w:val="000000" w:themeColor="text1"/>
          <w:sz w:val="22"/>
          <w:szCs w:val="22"/>
        </w:rPr>
        <w:t xml:space="preserve"> </w:t>
      </w:r>
      <w:r w:rsidRPr="00FE4123" w:rsidR="00FC5A9F">
        <w:rPr>
          <w:snapToGrid/>
          <w:color w:val="000000" w:themeColor="text1"/>
          <w:sz w:val="22"/>
          <w:szCs w:val="22"/>
        </w:rPr>
        <w:t xml:space="preserve">users that likely will be operating </w:t>
      </w:r>
      <w:r w:rsidRPr="00FE4123" w:rsidR="00BC443A">
        <w:rPr>
          <w:snapToGrid/>
          <w:color w:val="000000" w:themeColor="text1"/>
          <w:sz w:val="22"/>
          <w:szCs w:val="22"/>
        </w:rPr>
        <w:t xml:space="preserve">in this band, which is important to encourage innovation in technologies and business models that include access to shared spectrum in a multi-user environment. </w:t>
      </w:r>
      <w:r w:rsidRPr="00FE4123" w:rsidR="00FC5A9F">
        <w:rPr>
          <w:snapToGrid/>
          <w:color w:val="000000" w:themeColor="text1"/>
          <w:sz w:val="22"/>
          <w:szCs w:val="22"/>
        </w:rPr>
        <w:t xml:space="preserve"> </w:t>
      </w:r>
    </w:p>
    <w:p w:rsidRPr="00FE4123" w:rsidR="00A169CA" w:rsidP="007420A2" w:rsidRDefault="00A169CA" w14:paraId="74F972A2" w14:textId="77777777">
      <w:pPr>
        <w:widowControl/>
        <w:shd w:val="clear" w:color="auto" w:fill="FFFFFF"/>
        <w:textAlignment w:val="baseline"/>
        <w:rPr>
          <w:snapToGrid/>
          <w:color w:val="000000" w:themeColor="text1"/>
          <w:sz w:val="22"/>
          <w:szCs w:val="22"/>
        </w:rPr>
      </w:pPr>
    </w:p>
    <w:p w:rsidR="00921A36" w:rsidP="00694BA5" w:rsidRDefault="00275F3D" w14:paraId="351B5E99" w14:textId="3B9CA86D">
      <w:pPr>
        <w:rPr>
          <w:snapToGrid/>
          <w:color w:val="000000" w:themeColor="text1"/>
          <w:sz w:val="22"/>
          <w:szCs w:val="22"/>
        </w:rPr>
      </w:pPr>
      <w:r w:rsidRPr="00FE4123">
        <w:rPr>
          <w:sz w:val="22"/>
          <w:szCs w:val="22"/>
        </w:rPr>
        <w:t xml:space="preserve">The </w:t>
      </w:r>
      <w:r w:rsidR="00D267C3">
        <w:rPr>
          <w:sz w:val="22"/>
          <w:szCs w:val="22"/>
        </w:rPr>
        <w:t xml:space="preserve">40 </w:t>
      </w:r>
      <w:r w:rsidR="00AB6FDD">
        <w:rPr>
          <w:sz w:val="22"/>
          <w:szCs w:val="22"/>
        </w:rPr>
        <w:t>megahertz</w:t>
      </w:r>
      <w:r w:rsidR="00D267C3">
        <w:rPr>
          <w:sz w:val="22"/>
          <w:szCs w:val="22"/>
        </w:rPr>
        <w:t xml:space="preserve"> a</w:t>
      </w:r>
      <w:r w:rsidRPr="00FE4123">
        <w:rPr>
          <w:sz w:val="22"/>
          <w:szCs w:val="22"/>
        </w:rPr>
        <w:t xml:space="preserve">ggregation limit for </w:t>
      </w:r>
      <w:r w:rsidR="001744B1">
        <w:rPr>
          <w:sz w:val="22"/>
          <w:szCs w:val="22"/>
        </w:rPr>
        <w:t xml:space="preserve">PALs </w:t>
      </w:r>
      <w:r w:rsidRPr="00FE4123">
        <w:rPr>
          <w:sz w:val="22"/>
          <w:szCs w:val="22"/>
        </w:rPr>
        <w:t>is codified under section 96.31 of the Commission’s rules</w:t>
      </w:r>
      <w:r w:rsidR="00E6669A">
        <w:rPr>
          <w:sz w:val="22"/>
          <w:szCs w:val="22"/>
        </w:rPr>
        <w:t xml:space="preserve"> and became effective on August 25, 2016. </w:t>
      </w:r>
      <w:r w:rsidRPr="00FE4123">
        <w:rPr>
          <w:sz w:val="22"/>
          <w:szCs w:val="22"/>
        </w:rPr>
        <w:t xml:space="preserve"> </w:t>
      </w:r>
      <w:r w:rsidR="00D267C3">
        <w:rPr>
          <w:sz w:val="22"/>
          <w:szCs w:val="22"/>
        </w:rPr>
        <w:t>47 CFR § 96.31</w:t>
      </w:r>
      <w:r w:rsidR="00E6669A">
        <w:rPr>
          <w:sz w:val="22"/>
          <w:szCs w:val="22"/>
        </w:rPr>
        <w:t>; 81 FR 49023.</w:t>
      </w:r>
      <w:r w:rsidRPr="00FE4123">
        <w:rPr>
          <w:sz w:val="22"/>
          <w:szCs w:val="22"/>
        </w:rPr>
        <w:t xml:space="preserve"> </w:t>
      </w:r>
      <w:r w:rsidR="00D267C3">
        <w:rPr>
          <w:sz w:val="22"/>
          <w:szCs w:val="22"/>
        </w:rPr>
        <w:t xml:space="preserve"> </w:t>
      </w:r>
      <w:r w:rsidRPr="00FE4123">
        <w:rPr>
          <w:sz w:val="22"/>
          <w:szCs w:val="22"/>
        </w:rPr>
        <w:t xml:space="preserve">In secondary market transactions involving </w:t>
      </w:r>
      <w:r w:rsidRPr="00FE4123" w:rsidR="00694BA5">
        <w:rPr>
          <w:sz w:val="22"/>
          <w:szCs w:val="22"/>
        </w:rPr>
        <w:t>such</w:t>
      </w:r>
      <w:r w:rsidRPr="00FE4123">
        <w:rPr>
          <w:sz w:val="22"/>
          <w:szCs w:val="22"/>
        </w:rPr>
        <w:t xml:space="preserve"> licenses, the Commission will apply the criteria under section 20.22(b) of the Commission’s rules to attribute partial ownership and other interests </w:t>
      </w:r>
      <w:r w:rsidR="00636BA3">
        <w:rPr>
          <w:sz w:val="22"/>
          <w:szCs w:val="22"/>
        </w:rPr>
        <w:t xml:space="preserve">related to the applicants </w:t>
      </w:r>
      <w:r w:rsidRPr="00FE4123">
        <w:rPr>
          <w:sz w:val="22"/>
          <w:szCs w:val="22"/>
        </w:rPr>
        <w:t xml:space="preserve">to determine whether the transaction, if consummated, complies with the </w:t>
      </w:r>
      <w:r w:rsidR="00131C77">
        <w:rPr>
          <w:sz w:val="22"/>
          <w:szCs w:val="22"/>
        </w:rPr>
        <w:t xml:space="preserve">40 </w:t>
      </w:r>
      <w:r w:rsidR="00AB6FDD">
        <w:rPr>
          <w:sz w:val="22"/>
          <w:szCs w:val="22"/>
        </w:rPr>
        <w:t>megahertz</w:t>
      </w:r>
      <w:r w:rsidRPr="00FE4123">
        <w:rPr>
          <w:sz w:val="22"/>
          <w:szCs w:val="22"/>
        </w:rPr>
        <w:t xml:space="preserve"> aggregation limit.  </w:t>
      </w:r>
      <w:r w:rsidR="00D267C3">
        <w:rPr>
          <w:sz w:val="22"/>
          <w:szCs w:val="22"/>
        </w:rPr>
        <w:t>47 CFR § 20.22(b).</w:t>
      </w:r>
      <w:r w:rsidRPr="00FE4123" w:rsidR="00D267C3">
        <w:rPr>
          <w:sz w:val="22"/>
          <w:szCs w:val="22"/>
        </w:rPr>
        <w:t xml:space="preserve"> </w:t>
      </w:r>
      <w:r w:rsidR="00D267C3">
        <w:rPr>
          <w:sz w:val="22"/>
          <w:szCs w:val="22"/>
        </w:rPr>
        <w:t xml:space="preserve"> </w:t>
      </w:r>
      <w:r w:rsidRPr="00FE4123">
        <w:rPr>
          <w:sz w:val="22"/>
          <w:szCs w:val="22"/>
        </w:rPr>
        <w:t xml:space="preserve">To implement this requirement, the Commission is currently working to modify </w:t>
      </w:r>
      <w:r w:rsidR="00636BA3">
        <w:rPr>
          <w:sz w:val="22"/>
          <w:szCs w:val="22"/>
        </w:rPr>
        <w:t>the electronic</w:t>
      </w:r>
      <w:r w:rsidRPr="00FE4123" w:rsidR="004E4087">
        <w:rPr>
          <w:sz w:val="22"/>
          <w:szCs w:val="22"/>
        </w:rPr>
        <w:t xml:space="preserve"> version of the </w:t>
      </w:r>
      <w:r w:rsidRPr="00FE4123" w:rsidR="00694BA5">
        <w:rPr>
          <w:sz w:val="22"/>
          <w:szCs w:val="22"/>
        </w:rPr>
        <w:t xml:space="preserve">FCC </w:t>
      </w:r>
      <w:r w:rsidRPr="00FE4123">
        <w:rPr>
          <w:sz w:val="22"/>
          <w:szCs w:val="22"/>
        </w:rPr>
        <w:t xml:space="preserve">Form 603 </w:t>
      </w:r>
      <w:r w:rsidR="00D267C3">
        <w:rPr>
          <w:sz w:val="22"/>
          <w:szCs w:val="22"/>
        </w:rPr>
        <w:t xml:space="preserve">in ULS </w:t>
      </w:r>
      <w:r w:rsidRPr="00FE4123">
        <w:rPr>
          <w:sz w:val="22"/>
          <w:szCs w:val="22"/>
        </w:rPr>
        <w:t xml:space="preserve">to add a </w:t>
      </w:r>
      <w:r w:rsidR="00D267C3">
        <w:rPr>
          <w:sz w:val="22"/>
          <w:szCs w:val="22"/>
        </w:rPr>
        <w:t xml:space="preserve">certification via a </w:t>
      </w:r>
      <w:r w:rsidRPr="00FE4123">
        <w:rPr>
          <w:sz w:val="22"/>
          <w:szCs w:val="22"/>
        </w:rPr>
        <w:t>checkbox</w:t>
      </w:r>
      <w:r w:rsidRPr="00FE4123" w:rsidR="00694BA5">
        <w:rPr>
          <w:sz w:val="22"/>
          <w:szCs w:val="22"/>
        </w:rPr>
        <w:t xml:space="preserve">.  Specifically, to submit the form electronically, an </w:t>
      </w:r>
      <w:r w:rsidRPr="00FE4123">
        <w:rPr>
          <w:sz w:val="22"/>
          <w:szCs w:val="22"/>
        </w:rPr>
        <w:t xml:space="preserve">assignee/transferee to a transaction involving </w:t>
      </w:r>
      <w:r w:rsidR="00250044">
        <w:rPr>
          <w:sz w:val="22"/>
          <w:szCs w:val="22"/>
        </w:rPr>
        <w:t xml:space="preserve">a </w:t>
      </w:r>
      <w:r w:rsidR="008972E8">
        <w:rPr>
          <w:snapToGrid/>
          <w:color w:val="000000" w:themeColor="text1"/>
          <w:sz w:val="22"/>
          <w:szCs w:val="22"/>
        </w:rPr>
        <w:t>PAL</w:t>
      </w:r>
      <w:r w:rsidRPr="00FE4123" w:rsidR="00CC163A">
        <w:rPr>
          <w:snapToGrid/>
          <w:color w:val="000000" w:themeColor="text1"/>
          <w:sz w:val="22"/>
          <w:szCs w:val="22"/>
        </w:rPr>
        <w:t xml:space="preserve"> must certify</w:t>
      </w:r>
      <w:r w:rsidRPr="00FE4123" w:rsidR="00694BA5">
        <w:rPr>
          <w:snapToGrid/>
          <w:color w:val="000000" w:themeColor="text1"/>
          <w:sz w:val="22"/>
          <w:szCs w:val="22"/>
        </w:rPr>
        <w:t>—by checking the box—</w:t>
      </w:r>
      <w:r w:rsidRPr="00FE4123" w:rsidR="00CC163A">
        <w:rPr>
          <w:snapToGrid/>
          <w:color w:val="000000" w:themeColor="text1"/>
          <w:sz w:val="22"/>
          <w:szCs w:val="22"/>
        </w:rPr>
        <w:t xml:space="preserve">that the grant of the application would not cause the assignee/transferee to be in violation of the 40 </w:t>
      </w:r>
      <w:r w:rsidR="00AB6FDD">
        <w:rPr>
          <w:snapToGrid/>
          <w:color w:val="000000" w:themeColor="text1"/>
          <w:sz w:val="22"/>
          <w:szCs w:val="22"/>
        </w:rPr>
        <w:t>megahertz</w:t>
      </w:r>
      <w:r w:rsidRPr="00FE4123" w:rsidR="00CC163A">
        <w:rPr>
          <w:snapToGrid/>
          <w:color w:val="000000" w:themeColor="text1"/>
          <w:sz w:val="22"/>
          <w:szCs w:val="22"/>
        </w:rPr>
        <w:t xml:space="preserve"> in-band spectrum aggregation limit set forth under section 96.31 of the Commission’s rules, taking into consideration the spectrum attribution rule under section 20.22(b) of the Commission’s rules.  </w:t>
      </w:r>
      <w:r w:rsidRPr="00FE4123" w:rsidR="00BD2C5A">
        <w:rPr>
          <w:snapToGrid/>
          <w:color w:val="000000" w:themeColor="text1"/>
          <w:sz w:val="22"/>
          <w:szCs w:val="22"/>
        </w:rPr>
        <w:t xml:space="preserve">The assignee/transferee may make the certification/check the box if it has sought a waiver of section 96.31 in connection with the application.  </w:t>
      </w:r>
    </w:p>
    <w:p w:rsidR="00921A36" w:rsidP="00694BA5" w:rsidRDefault="00921A36" w14:paraId="4E2A69AF" w14:textId="77777777">
      <w:pPr>
        <w:rPr>
          <w:snapToGrid/>
          <w:color w:val="000000" w:themeColor="text1"/>
          <w:sz w:val="22"/>
          <w:szCs w:val="22"/>
        </w:rPr>
      </w:pPr>
    </w:p>
    <w:p w:rsidRPr="00FE4123" w:rsidR="00694BA5" w:rsidP="00694BA5" w:rsidRDefault="00CC163A" w14:paraId="111682DA" w14:textId="28743637">
      <w:pPr>
        <w:rPr>
          <w:sz w:val="22"/>
          <w:szCs w:val="22"/>
        </w:rPr>
      </w:pPr>
      <w:r w:rsidRPr="00FE4123">
        <w:rPr>
          <w:snapToGrid/>
          <w:color w:val="000000" w:themeColor="text1"/>
          <w:sz w:val="22"/>
          <w:szCs w:val="22"/>
        </w:rPr>
        <w:t xml:space="preserve">This </w:t>
      </w:r>
      <w:r w:rsidRPr="00FE4123" w:rsidR="00694BA5">
        <w:rPr>
          <w:snapToGrid/>
          <w:color w:val="000000" w:themeColor="text1"/>
          <w:sz w:val="22"/>
          <w:szCs w:val="22"/>
        </w:rPr>
        <w:t>checkbox</w:t>
      </w:r>
      <w:r w:rsidRPr="00FE4123">
        <w:rPr>
          <w:snapToGrid/>
          <w:color w:val="000000" w:themeColor="text1"/>
          <w:sz w:val="22"/>
          <w:szCs w:val="22"/>
        </w:rPr>
        <w:t xml:space="preserve"> w</w:t>
      </w:r>
      <w:r w:rsidRPr="00FE4123" w:rsidR="00694BA5">
        <w:rPr>
          <w:snapToGrid/>
          <w:color w:val="000000" w:themeColor="text1"/>
          <w:sz w:val="22"/>
          <w:szCs w:val="22"/>
        </w:rPr>
        <w:t>ill o</w:t>
      </w:r>
      <w:r w:rsidRPr="00FE4123">
        <w:rPr>
          <w:snapToGrid/>
          <w:color w:val="000000" w:themeColor="text1"/>
          <w:sz w:val="22"/>
          <w:szCs w:val="22"/>
        </w:rPr>
        <w:t xml:space="preserve">nly appear </w:t>
      </w:r>
      <w:r w:rsidRPr="00FE4123" w:rsidR="00694BA5">
        <w:rPr>
          <w:snapToGrid/>
          <w:color w:val="000000" w:themeColor="text1"/>
          <w:sz w:val="22"/>
          <w:szCs w:val="22"/>
        </w:rPr>
        <w:t>in the form</w:t>
      </w:r>
      <w:r w:rsidRPr="00FE4123">
        <w:rPr>
          <w:snapToGrid/>
          <w:color w:val="000000" w:themeColor="text1"/>
          <w:sz w:val="22"/>
          <w:szCs w:val="22"/>
        </w:rPr>
        <w:t xml:space="preserve"> if </w:t>
      </w:r>
      <w:r w:rsidR="0071378D">
        <w:rPr>
          <w:snapToGrid/>
          <w:color w:val="000000" w:themeColor="text1"/>
          <w:sz w:val="22"/>
          <w:szCs w:val="22"/>
        </w:rPr>
        <w:t>the assignment/transfer of control involves at</w:t>
      </w:r>
      <w:r w:rsidRPr="00FE4123">
        <w:rPr>
          <w:snapToGrid/>
          <w:color w:val="000000" w:themeColor="text1"/>
          <w:sz w:val="22"/>
          <w:szCs w:val="22"/>
        </w:rPr>
        <w:t xml:space="preserve"> least one </w:t>
      </w:r>
      <w:r w:rsidR="00543DAA">
        <w:rPr>
          <w:snapToGrid/>
          <w:color w:val="000000" w:themeColor="text1"/>
          <w:sz w:val="22"/>
          <w:szCs w:val="22"/>
        </w:rPr>
        <w:t>PAL</w:t>
      </w:r>
      <w:r w:rsidRPr="00FE4123" w:rsidR="005963EF">
        <w:rPr>
          <w:snapToGrid/>
          <w:color w:val="000000" w:themeColor="text1"/>
          <w:sz w:val="22"/>
          <w:szCs w:val="22"/>
        </w:rPr>
        <w:t xml:space="preserve"> </w:t>
      </w:r>
      <w:r w:rsidR="00C30C68">
        <w:rPr>
          <w:snapToGrid/>
          <w:color w:val="000000" w:themeColor="text1"/>
          <w:sz w:val="22"/>
          <w:szCs w:val="22"/>
        </w:rPr>
        <w:t xml:space="preserve">or </w:t>
      </w:r>
      <w:r w:rsidR="00131C77">
        <w:rPr>
          <w:snapToGrid/>
          <w:color w:val="000000" w:themeColor="text1"/>
          <w:sz w:val="22"/>
          <w:szCs w:val="22"/>
        </w:rPr>
        <w:t xml:space="preserve">some </w:t>
      </w:r>
      <w:r w:rsidR="00C30C68">
        <w:rPr>
          <w:snapToGrid/>
          <w:color w:val="000000" w:themeColor="text1"/>
          <w:sz w:val="22"/>
          <w:szCs w:val="22"/>
        </w:rPr>
        <w:t>portion thereof</w:t>
      </w:r>
      <w:r w:rsidRPr="00FE4123" w:rsidR="00694BA5">
        <w:rPr>
          <w:snapToGrid/>
          <w:color w:val="000000" w:themeColor="text1"/>
          <w:sz w:val="22"/>
          <w:szCs w:val="22"/>
        </w:rPr>
        <w:t xml:space="preserve">.  </w:t>
      </w:r>
      <w:r w:rsidRPr="00FE4123" w:rsidR="00694BA5">
        <w:rPr>
          <w:sz w:val="22"/>
          <w:szCs w:val="22"/>
        </w:rPr>
        <w:t>The Commission will submit screenshots of the new/additional screens of FCC Form 603 to OMB once the required modifications to the form described above have been completed.</w:t>
      </w:r>
    </w:p>
    <w:p w:rsidRPr="00FE4123" w:rsidR="007420A2" w:rsidP="007420A2" w:rsidRDefault="00CC163A" w14:paraId="2193029F" w14:textId="27A6A543">
      <w:pPr>
        <w:widowControl/>
        <w:shd w:val="clear" w:color="auto" w:fill="FFFFFF"/>
        <w:textAlignment w:val="baseline"/>
        <w:rPr>
          <w:snapToGrid/>
          <w:color w:val="000000" w:themeColor="text1"/>
          <w:sz w:val="22"/>
          <w:szCs w:val="22"/>
        </w:rPr>
      </w:pPr>
      <w:r w:rsidRPr="00FE4123">
        <w:rPr>
          <w:snapToGrid/>
          <w:color w:val="000000" w:themeColor="text1"/>
          <w:sz w:val="22"/>
          <w:szCs w:val="22"/>
        </w:rPr>
        <w:t xml:space="preserve"> </w:t>
      </w:r>
    </w:p>
    <w:p w:rsidRPr="00FE4123" w:rsidR="006826AF" w:rsidP="00E76454" w:rsidRDefault="00E76454" w14:paraId="6D9668F0" w14:textId="029482C0">
      <w:pPr>
        <w:widowControl/>
        <w:shd w:val="clear" w:color="auto" w:fill="FFFFFF"/>
        <w:textAlignment w:val="baseline"/>
        <w:rPr>
          <w:snapToGrid/>
          <w:color w:val="000000" w:themeColor="text1"/>
          <w:sz w:val="22"/>
          <w:szCs w:val="22"/>
        </w:rPr>
      </w:pPr>
      <w:r w:rsidRPr="00FE4123">
        <w:rPr>
          <w:i/>
          <w:iCs/>
          <w:snapToGrid/>
          <w:color w:val="000000" w:themeColor="text1"/>
          <w:sz w:val="22"/>
          <w:szCs w:val="22"/>
        </w:rPr>
        <w:t xml:space="preserve">Change </w:t>
      </w:r>
      <w:r w:rsidRPr="00FE4123" w:rsidR="004E4087">
        <w:rPr>
          <w:i/>
          <w:iCs/>
          <w:snapToGrid/>
          <w:color w:val="000000" w:themeColor="text1"/>
          <w:sz w:val="22"/>
          <w:szCs w:val="22"/>
        </w:rPr>
        <w:t>2</w:t>
      </w:r>
      <w:r w:rsidRPr="00FE4123">
        <w:rPr>
          <w:snapToGrid/>
          <w:color w:val="000000" w:themeColor="text1"/>
          <w:sz w:val="22"/>
          <w:szCs w:val="22"/>
        </w:rPr>
        <w:t xml:space="preserve">. </w:t>
      </w:r>
      <w:r w:rsidRPr="00FE4123" w:rsidR="00E75E4F">
        <w:rPr>
          <w:snapToGrid/>
          <w:color w:val="000000" w:themeColor="text1"/>
          <w:sz w:val="22"/>
          <w:szCs w:val="22"/>
        </w:rPr>
        <w:t xml:space="preserve"> On March 18, 2021, the Commission released t</w:t>
      </w:r>
      <w:r w:rsidRPr="00FE4123" w:rsidR="00ED2642">
        <w:rPr>
          <w:snapToGrid/>
          <w:color w:val="000000" w:themeColor="text1"/>
          <w:sz w:val="22"/>
          <w:szCs w:val="22"/>
        </w:rPr>
        <w:t xml:space="preserve">he </w:t>
      </w:r>
      <w:r w:rsidRPr="00FE4123" w:rsidR="00E75E4F">
        <w:rPr>
          <w:snapToGrid/>
          <w:color w:val="000000" w:themeColor="text1"/>
          <w:sz w:val="22"/>
          <w:szCs w:val="22"/>
        </w:rPr>
        <w:t xml:space="preserve">3.45 GHz Second Report and Order, Order on Reconsideration, and Order of Proposed Modification which began implementation of the </w:t>
      </w:r>
      <w:r w:rsidRPr="00FE4123" w:rsidR="00E75E4F">
        <w:rPr>
          <w:sz w:val="22"/>
          <w:szCs w:val="22"/>
        </w:rPr>
        <w:t>Beat China by Harnessing Important, National Airwaves for 5G Act of 2020</w:t>
      </w:r>
      <w:r w:rsidRPr="00FE4123" w:rsidR="006826AF">
        <w:rPr>
          <w:sz w:val="22"/>
          <w:szCs w:val="22"/>
        </w:rPr>
        <w:t xml:space="preserve"> (3.45 GHz Order).  </w:t>
      </w:r>
      <w:r w:rsidRPr="00FE4123" w:rsidR="00131C77">
        <w:rPr>
          <w:snapToGrid/>
          <w:color w:val="000000" w:themeColor="text1"/>
          <w:sz w:val="22"/>
          <w:szCs w:val="22"/>
        </w:rPr>
        <w:t xml:space="preserve">(See </w:t>
      </w:r>
      <w:r w:rsidRPr="00FE4123" w:rsidR="00131C77">
        <w:rPr>
          <w:sz w:val="22"/>
          <w:szCs w:val="22"/>
        </w:rPr>
        <w:t xml:space="preserve">Facilitating Shared Use in the 3100-3550 </w:t>
      </w:r>
      <w:r w:rsidR="00131C77">
        <w:rPr>
          <w:sz w:val="22"/>
          <w:szCs w:val="22"/>
        </w:rPr>
        <w:t>MHz</w:t>
      </w:r>
      <w:r w:rsidRPr="00FE4123" w:rsidR="00131C77">
        <w:rPr>
          <w:sz w:val="22"/>
          <w:szCs w:val="22"/>
        </w:rPr>
        <w:t xml:space="preserve"> Band, WT Docket No. 19-348, Second Report and Order, Order on Reconsideration, and Order of Proposed Modification, </w:t>
      </w:r>
      <w:r w:rsidR="00131C77">
        <w:rPr>
          <w:sz w:val="22"/>
          <w:szCs w:val="22"/>
        </w:rPr>
        <w:t>36 FCC Rcd 5987</w:t>
      </w:r>
      <w:r w:rsidRPr="00FE4123" w:rsidR="00131C77">
        <w:rPr>
          <w:sz w:val="22"/>
          <w:szCs w:val="22"/>
        </w:rPr>
        <w:t xml:space="preserve"> (2021).)</w:t>
      </w:r>
      <w:r w:rsidRPr="00FE4123" w:rsidR="00131C77">
        <w:rPr>
          <w:snapToGrid/>
          <w:color w:val="000000" w:themeColor="text1"/>
          <w:sz w:val="22"/>
          <w:szCs w:val="22"/>
        </w:rPr>
        <w:t xml:space="preserve">  </w:t>
      </w:r>
      <w:r w:rsidRPr="00FE4123" w:rsidR="006826AF">
        <w:rPr>
          <w:sz w:val="22"/>
          <w:szCs w:val="22"/>
        </w:rPr>
        <w:t xml:space="preserve">The statute </w:t>
      </w:r>
      <w:r w:rsidRPr="00FE4123" w:rsidR="00E75E4F">
        <w:rPr>
          <w:sz w:val="22"/>
          <w:szCs w:val="22"/>
        </w:rPr>
        <w:t xml:space="preserve">requires the Commission to start an auction to grant new initial licenses subject to flexible use in the 3450-3550 </w:t>
      </w:r>
      <w:r w:rsidR="008C4506">
        <w:rPr>
          <w:sz w:val="22"/>
          <w:szCs w:val="22"/>
        </w:rPr>
        <w:t>MHz</w:t>
      </w:r>
      <w:r w:rsidRPr="00FE4123" w:rsidR="00E75E4F">
        <w:rPr>
          <w:sz w:val="22"/>
          <w:szCs w:val="22"/>
        </w:rPr>
        <w:t xml:space="preserve"> band by December 31, 2021.</w:t>
      </w:r>
      <w:r w:rsidRPr="00FE4123" w:rsidR="00E75E4F">
        <w:rPr>
          <w:snapToGrid/>
          <w:color w:val="000000" w:themeColor="text1"/>
          <w:sz w:val="22"/>
          <w:szCs w:val="22"/>
        </w:rPr>
        <w:t xml:space="preserve"> </w:t>
      </w:r>
      <w:r w:rsidRPr="00FE4123" w:rsidR="000A2FAC">
        <w:rPr>
          <w:snapToGrid/>
          <w:color w:val="000000" w:themeColor="text1"/>
          <w:sz w:val="22"/>
          <w:szCs w:val="22"/>
        </w:rPr>
        <w:t xml:space="preserve"> </w:t>
      </w:r>
      <w:r w:rsidRPr="00FE4123" w:rsidR="006826AF">
        <w:rPr>
          <w:snapToGrid/>
          <w:color w:val="000000" w:themeColor="text1"/>
          <w:sz w:val="22"/>
          <w:szCs w:val="22"/>
        </w:rPr>
        <w:t xml:space="preserve">The auction started on </w:t>
      </w:r>
      <w:r w:rsidR="008C4506">
        <w:rPr>
          <w:snapToGrid/>
          <w:color w:val="000000" w:themeColor="text1"/>
          <w:sz w:val="22"/>
          <w:szCs w:val="22"/>
        </w:rPr>
        <w:t>October 21, 2021,</w:t>
      </w:r>
      <w:r w:rsidRPr="00FE4123" w:rsidR="006826AF">
        <w:rPr>
          <w:snapToGrid/>
          <w:color w:val="000000" w:themeColor="text1"/>
          <w:sz w:val="22"/>
          <w:szCs w:val="22"/>
        </w:rPr>
        <w:t xml:space="preserve"> and concluded on </w:t>
      </w:r>
      <w:r w:rsidR="008C4506">
        <w:rPr>
          <w:snapToGrid/>
          <w:color w:val="000000" w:themeColor="text1"/>
          <w:sz w:val="22"/>
          <w:szCs w:val="22"/>
        </w:rPr>
        <w:t>January 14, 2022</w:t>
      </w:r>
      <w:r w:rsidRPr="00FE4123" w:rsidR="006826AF">
        <w:rPr>
          <w:snapToGrid/>
          <w:color w:val="000000" w:themeColor="text1"/>
          <w:sz w:val="22"/>
          <w:szCs w:val="22"/>
        </w:rPr>
        <w:t xml:space="preserve">. </w:t>
      </w:r>
    </w:p>
    <w:p w:rsidRPr="00FE4123" w:rsidR="006826AF" w:rsidP="00E76454" w:rsidRDefault="006826AF" w14:paraId="6BFF6D36" w14:textId="77777777">
      <w:pPr>
        <w:widowControl/>
        <w:shd w:val="clear" w:color="auto" w:fill="FFFFFF"/>
        <w:textAlignment w:val="baseline"/>
        <w:rPr>
          <w:snapToGrid/>
          <w:color w:val="000000" w:themeColor="text1"/>
          <w:sz w:val="22"/>
          <w:szCs w:val="22"/>
        </w:rPr>
      </w:pPr>
    </w:p>
    <w:p w:rsidRPr="00FE4123" w:rsidR="004E4087" w:rsidP="00E76454" w:rsidRDefault="006826AF" w14:paraId="1ECCAB15" w14:textId="1BFC514D">
      <w:pPr>
        <w:widowControl/>
        <w:shd w:val="clear" w:color="auto" w:fill="FFFFFF"/>
        <w:textAlignment w:val="baseline"/>
        <w:rPr>
          <w:snapToGrid/>
          <w:color w:val="000000" w:themeColor="text1"/>
          <w:sz w:val="22"/>
          <w:szCs w:val="22"/>
        </w:rPr>
      </w:pPr>
      <w:r w:rsidRPr="00FE4123">
        <w:rPr>
          <w:snapToGrid/>
          <w:color w:val="000000" w:themeColor="text1"/>
          <w:sz w:val="22"/>
          <w:szCs w:val="22"/>
        </w:rPr>
        <w:t xml:space="preserve">In adopting the 3.45 GHz Order, the Commission </w:t>
      </w:r>
      <w:r w:rsidRPr="00FE4123" w:rsidR="00E75E4F">
        <w:rPr>
          <w:snapToGrid/>
          <w:color w:val="000000" w:themeColor="text1"/>
          <w:sz w:val="22"/>
          <w:szCs w:val="22"/>
        </w:rPr>
        <w:t xml:space="preserve">made available 100 </w:t>
      </w:r>
      <w:r w:rsidR="00AB6FDD">
        <w:rPr>
          <w:snapToGrid/>
          <w:color w:val="000000" w:themeColor="text1"/>
          <w:sz w:val="22"/>
          <w:szCs w:val="22"/>
        </w:rPr>
        <w:t>megahertz</w:t>
      </w:r>
      <w:r w:rsidRPr="00FE4123" w:rsidR="00E75E4F">
        <w:rPr>
          <w:snapToGrid/>
          <w:color w:val="000000" w:themeColor="text1"/>
          <w:sz w:val="22"/>
          <w:szCs w:val="22"/>
        </w:rPr>
        <w:t xml:space="preserve"> of mid-band spectrum in the 3.45 GHz band available for flexible use.  </w:t>
      </w:r>
      <w:r w:rsidRPr="00FE4123">
        <w:rPr>
          <w:snapToGrid/>
          <w:color w:val="000000" w:themeColor="text1"/>
          <w:sz w:val="22"/>
          <w:szCs w:val="22"/>
        </w:rPr>
        <w:t xml:space="preserve">Like for </w:t>
      </w:r>
      <w:r w:rsidR="009867CE">
        <w:rPr>
          <w:snapToGrid/>
          <w:color w:val="000000" w:themeColor="text1"/>
          <w:sz w:val="22"/>
          <w:szCs w:val="22"/>
        </w:rPr>
        <w:t>PALs</w:t>
      </w:r>
      <w:r w:rsidRPr="00FE4123">
        <w:rPr>
          <w:snapToGrid/>
          <w:color w:val="000000" w:themeColor="text1"/>
          <w:sz w:val="22"/>
          <w:szCs w:val="22"/>
        </w:rPr>
        <w:t>, t</w:t>
      </w:r>
      <w:r w:rsidRPr="00FE4123" w:rsidR="00E75E4F">
        <w:rPr>
          <w:snapToGrid/>
          <w:color w:val="000000" w:themeColor="text1"/>
          <w:sz w:val="22"/>
          <w:szCs w:val="22"/>
        </w:rPr>
        <w:t>h</w:t>
      </w:r>
      <w:r w:rsidRPr="00FE4123" w:rsidR="00ED2642">
        <w:rPr>
          <w:snapToGrid/>
          <w:color w:val="000000" w:themeColor="text1"/>
          <w:sz w:val="22"/>
          <w:szCs w:val="22"/>
        </w:rPr>
        <w:t>e</w:t>
      </w:r>
      <w:r w:rsidRPr="00FE4123" w:rsidR="00E75E4F">
        <w:rPr>
          <w:snapToGrid/>
          <w:color w:val="000000" w:themeColor="text1"/>
          <w:sz w:val="22"/>
          <w:szCs w:val="22"/>
        </w:rPr>
        <w:t xml:space="preserve"> service rules for th</w:t>
      </w:r>
      <w:r w:rsidRPr="00FE4123">
        <w:rPr>
          <w:snapToGrid/>
          <w:color w:val="000000" w:themeColor="text1"/>
          <w:sz w:val="22"/>
          <w:szCs w:val="22"/>
        </w:rPr>
        <w:t>is</w:t>
      </w:r>
      <w:r w:rsidRPr="00FE4123" w:rsidR="00E75E4F">
        <w:rPr>
          <w:snapToGrid/>
          <w:color w:val="000000" w:themeColor="text1"/>
          <w:sz w:val="22"/>
          <w:szCs w:val="22"/>
        </w:rPr>
        <w:t xml:space="preserve"> band also included an in-band aggregation limit of 40 </w:t>
      </w:r>
      <w:r w:rsidR="00AB6FDD">
        <w:rPr>
          <w:snapToGrid/>
          <w:color w:val="000000" w:themeColor="text1"/>
          <w:sz w:val="22"/>
          <w:szCs w:val="22"/>
        </w:rPr>
        <w:t>megahertz</w:t>
      </w:r>
      <w:r w:rsidRPr="00FE4123" w:rsidR="006A45D1">
        <w:rPr>
          <w:snapToGrid/>
          <w:color w:val="000000" w:themeColor="text1"/>
          <w:sz w:val="22"/>
          <w:szCs w:val="22"/>
        </w:rPr>
        <w:t xml:space="preserve">.  In implementing this in-band aggregation limit, the Commission sought to balance the statutory objectives informing the Commission’s design and </w:t>
      </w:r>
      <w:r w:rsidRPr="00FE4123" w:rsidR="006A45D1">
        <w:rPr>
          <w:snapToGrid/>
          <w:color w:val="000000" w:themeColor="text1"/>
          <w:sz w:val="22"/>
          <w:szCs w:val="22"/>
        </w:rPr>
        <w:lastRenderedPageBreak/>
        <w:t xml:space="preserve">implementation of competitive bidding systems because this limit will, for example, help to promote spectrum access and encourage competition in the provision of 5G service, while still supporting the efficient and intensive use of spectrum. </w:t>
      </w:r>
      <w:r w:rsidRPr="00FE4123" w:rsidR="00E75E4F">
        <w:rPr>
          <w:snapToGrid/>
          <w:color w:val="000000" w:themeColor="text1"/>
          <w:sz w:val="22"/>
          <w:szCs w:val="22"/>
        </w:rPr>
        <w:t xml:space="preserve"> </w:t>
      </w:r>
      <w:r w:rsidRPr="00FE4123" w:rsidR="00FE4123">
        <w:rPr>
          <w:sz w:val="22"/>
          <w:szCs w:val="22"/>
        </w:rPr>
        <w:t xml:space="preserve">For instance, the Communications Act requires the Commission to examine closely the impact of spectrum aggregation on competition, innovation, and the efficient use of spectrum to ensure that spectrum is assigned in a manner that serves the public interest, convenience, and necessity.  47 U.S.C. §§ 303(g), 307, 308(b), 310.  Additionally, section 309(j)(3) of the Communications Act provides that, in designing systems of competitive bidding, the Commission must “include safeguards to protect the public interest in the use of the spectrum,” and must seek to promote various objectives, including “promoting economic opportunity and competition and ensuring that new and innovative technologies are readily accessible to the American people by avoiding excessive concentration of licenses and by disseminating licenses among a wide variety of applicants,” and promoting the “efficient and intensive use” of spectrum.  </w:t>
      </w:r>
      <w:r w:rsidRPr="00FE4123" w:rsidR="00FE4123">
        <w:rPr>
          <w:rFonts w:eastAsia="Calibri"/>
          <w:sz w:val="22"/>
          <w:szCs w:val="22"/>
        </w:rPr>
        <w:t>47 U.S.C. § 309(j)(3).</w:t>
      </w:r>
      <w:r w:rsidRPr="00FE4123" w:rsidR="00FE4123">
        <w:rPr>
          <w:sz w:val="22"/>
          <w:szCs w:val="22"/>
        </w:rPr>
        <w:t xml:space="preserve">  </w:t>
      </w:r>
      <w:r w:rsidRPr="00FE4123" w:rsidR="006A45D1">
        <w:rPr>
          <w:snapToGrid/>
          <w:color w:val="000000" w:themeColor="text1"/>
          <w:sz w:val="22"/>
          <w:szCs w:val="22"/>
        </w:rPr>
        <w:t xml:space="preserve">This in-band aggregation limit will </w:t>
      </w:r>
      <w:r w:rsidR="00131C77">
        <w:rPr>
          <w:snapToGrid/>
          <w:color w:val="000000" w:themeColor="text1"/>
          <w:sz w:val="22"/>
          <w:szCs w:val="22"/>
        </w:rPr>
        <w:t xml:space="preserve">be in effect </w:t>
      </w:r>
      <w:r w:rsidRPr="00FE4123" w:rsidR="006A45D1">
        <w:rPr>
          <w:snapToGrid/>
          <w:color w:val="000000" w:themeColor="text1"/>
          <w:sz w:val="22"/>
          <w:szCs w:val="22"/>
        </w:rPr>
        <w:t xml:space="preserve">for four years after the close of </w:t>
      </w:r>
      <w:r w:rsidR="00030C68">
        <w:rPr>
          <w:snapToGrid/>
          <w:color w:val="000000" w:themeColor="text1"/>
          <w:sz w:val="22"/>
          <w:szCs w:val="22"/>
        </w:rPr>
        <w:t>the a</w:t>
      </w:r>
      <w:r w:rsidRPr="00FE4123" w:rsidR="006A45D1">
        <w:rPr>
          <w:snapToGrid/>
          <w:color w:val="000000" w:themeColor="text1"/>
          <w:sz w:val="22"/>
          <w:szCs w:val="22"/>
        </w:rPr>
        <w:t>uction</w:t>
      </w:r>
      <w:r w:rsidR="0091537E">
        <w:rPr>
          <w:snapToGrid/>
          <w:color w:val="000000" w:themeColor="text1"/>
          <w:sz w:val="22"/>
          <w:szCs w:val="22"/>
        </w:rPr>
        <w:t>, i.e., January 14, 2026.</w:t>
      </w:r>
      <w:r w:rsidRPr="00FE4123" w:rsidR="006A45D1">
        <w:rPr>
          <w:snapToGrid/>
          <w:color w:val="000000" w:themeColor="text1"/>
          <w:sz w:val="22"/>
          <w:szCs w:val="22"/>
        </w:rPr>
        <w:t xml:space="preserve">  </w:t>
      </w:r>
    </w:p>
    <w:p w:rsidRPr="00FE4123" w:rsidR="004E4087" w:rsidP="00E76454" w:rsidRDefault="004E4087" w14:paraId="2B864C9D" w14:textId="77777777">
      <w:pPr>
        <w:widowControl/>
        <w:shd w:val="clear" w:color="auto" w:fill="FFFFFF"/>
        <w:textAlignment w:val="baseline"/>
        <w:rPr>
          <w:snapToGrid/>
          <w:color w:val="000000" w:themeColor="text1"/>
          <w:sz w:val="22"/>
          <w:szCs w:val="22"/>
        </w:rPr>
      </w:pPr>
    </w:p>
    <w:p w:rsidR="00921A36" w:rsidP="0091537E" w:rsidRDefault="004E4087" w14:paraId="3F73B983" w14:textId="5119DFBC">
      <w:pPr>
        <w:rPr>
          <w:snapToGrid/>
          <w:color w:val="000000" w:themeColor="text1"/>
          <w:sz w:val="22"/>
          <w:szCs w:val="22"/>
        </w:rPr>
      </w:pPr>
      <w:r w:rsidRPr="00FE4123">
        <w:rPr>
          <w:sz w:val="22"/>
          <w:szCs w:val="22"/>
        </w:rPr>
        <w:t xml:space="preserve">The 40 </w:t>
      </w:r>
      <w:r w:rsidR="00AB6FDD">
        <w:rPr>
          <w:sz w:val="22"/>
          <w:szCs w:val="22"/>
        </w:rPr>
        <w:t>megahertz</w:t>
      </w:r>
      <w:r w:rsidRPr="00FE4123">
        <w:rPr>
          <w:sz w:val="22"/>
          <w:szCs w:val="22"/>
        </w:rPr>
        <w:t xml:space="preserve"> aggregation limit for 3.45 GHz licenses is codified under section 27.1606 of the Commission’s rules</w:t>
      </w:r>
      <w:r w:rsidR="00F517DF">
        <w:rPr>
          <w:sz w:val="22"/>
          <w:szCs w:val="22"/>
        </w:rPr>
        <w:t xml:space="preserve"> and </w:t>
      </w:r>
      <w:r w:rsidR="00E6669A">
        <w:rPr>
          <w:sz w:val="22"/>
          <w:szCs w:val="22"/>
        </w:rPr>
        <w:t>became</w:t>
      </w:r>
      <w:r w:rsidR="00F517DF">
        <w:rPr>
          <w:sz w:val="22"/>
          <w:szCs w:val="22"/>
        </w:rPr>
        <w:t xml:space="preserve"> effective on June 7, 2021</w:t>
      </w:r>
      <w:r w:rsidRPr="00FE4123">
        <w:rPr>
          <w:sz w:val="22"/>
          <w:szCs w:val="22"/>
        </w:rPr>
        <w:t xml:space="preserve">.  </w:t>
      </w:r>
      <w:r w:rsidR="0091537E">
        <w:rPr>
          <w:sz w:val="22"/>
          <w:szCs w:val="22"/>
        </w:rPr>
        <w:t>47 CFR § 27.1606</w:t>
      </w:r>
      <w:r w:rsidR="00F517DF">
        <w:rPr>
          <w:sz w:val="22"/>
          <w:szCs w:val="22"/>
        </w:rPr>
        <w:t>; 86 FR 17920</w:t>
      </w:r>
      <w:r w:rsidR="0091537E">
        <w:rPr>
          <w:sz w:val="22"/>
          <w:szCs w:val="22"/>
        </w:rPr>
        <w:t xml:space="preserve">.  </w:t>
      </w:r>
      <w:r w:rsidRPr="00FE4123">
        <w:rPr>
          <w:sz w:val="22"/>
          <w:szCs w:val="22"/>
        </w:rPr>
        <w:t xml:space="preserve">In secondary market transactions involving such licenses, the Commission will apply the criteria under section 20.22(b) of the Commission’s rules to attribute partial ownership and other interests </w:t>
      </w:r>
      <w:r w:rsidR="00636BA3">
        <w:rPr>
          <w:sz w:val="22"/>
          <w:szCs w:val="22"/>
        </w:rPr>
        <w:t xml:space="preserve">related to the applicant </w:t>
      </w:r>
      <w:r w:rsidRPr="00FE4123">
        <w:rPr>
          <w:sz w:val="22"/>
          <w:szCs w:val="22"/>
        </w:rPr>
        <w:t xml:space="preserve">to determine whether the transaction, if consummated, complies with the 40 </w:t>
      </w:r>
      <w:r w:rsidR="00AB6FDD">
        <w:rPr>
          <w:sz w:val="22"/>
          <w:szCs w:val="22"/>
        </w:rPr>
        <w:t>megahertz</w:t>
      </w:r>
      <w:r w:rsidRPr="00FE4123">
        <w:rPr>
          <w:sz w:val="22"/>
          <w:szCs w:val="22"/>
        </w:rPr>
        <w:t xml:space="preserve"> aggregation limit.  To implement this requirement, the Commission is currently working to modify the</w:t>
      </w:r>
      <w:r w:rsidR="00636BA3">
        <w:rPr>
          <w:sz w:val="22"/>
          <w:szCs w:val="22"/>
        </w:rPr>
        <w:t xml:space="preserve"> electronic </w:t>
      </w:r>
      <w:r w:rsidRPr="00FE4123">
        <w:rPr>
          <w:sz w:val="22"/>
          <w:szCs w:val="22"/>
        </w:rPr>
        <w:t xml:space="preserve">version of the FCC Form 603 </w:t>
      </w:r>
      <w:r w:rsidR="0091537E">
        <w:rPr>
          <w:sz w:val="22"/>
          <w:szCs w:val="22"/>
        </w:rPr>
        <w:t xml:space="preserve">in ULS </w:t>
      </w:r>
      <w:r w:rsidRPr="00FE4123">
        <w:rPr>
          <w:sz w:val="22"/>
          <w:szCs w:val="22"/>
        </w:rPr>
        <w:t xml:space="preserve">to add a </w:t>
      </w:r>
      <w:r w:rsidR="0091537E">
        <w:rPr>
          <w:sz w:val="22"/>
          <w:szCs w:val="22"/>
        </w:rPr>
        <w:t xml:space="preserve">certification via a </w:t>
      </w:r>
      <w:r w:rsidRPr="00FE4123">
        <w:rPr>
          <w:sz w:val="22"/>
          <w:szCs w:val="22"/>
        </w:rPr>
        <w:t xml:space="preserve">checkbox.  Specifically, to submit the form electronically, an assignee/transferee to a transaction involving a </w:t>
      </w:r>
      <w:r w:rsidRPr="00FE4123">
        <w:rPr>
          <w:snapToGrid/>
          <w:color w:val="000000" w:themeColor="text1"/>
          <w:sz w:val="22"/>
          <w:szCs w:val="22"/>
        </w:rPr>
        <w:t xml:space="preserve">3.45 GHz license must certify—by checking the box—that the grant of the application would not cause the assignee/transferee to be in violation of the 40 </w:t>
      </w:r>
      <w:r w:rsidR="00AB6FDD">
        <w:rPr>
          <w:snapToGrid/>
          <w:color w:val="000000" w:themeColor="text1"/>
          <w:sz w:val="22"/>
          <w:szCs w:val="22"/>
        </w:rPr>
        <w:t>megahertz</w:t>
      </w:r>
      <w:r w:rsidRPr="00FE4123">
        <w:rPr>
          <w:snapToGrid/>
          <w:color w:val="000000" w:themeColor="text1"/>
          <w:sz w:val="22"/>
          <w:szCs w:val="22"/>
        </w:rPr>
        <w:t xml:space="preserve"> in-band spectrum aggregation limit set forth under section 27.1606 of the Commission’s rules, taking into consideration the spectrum attribution rule under section 20.22(b) of the Commission’s rules.  The assignee/transferee may make the certification/check the box if it has sought a waiver of section 27.1606 in connection with the application.  </w:t>
      </w:r>
    </w:p>
    <w:p w:rsidR="00921A36" w:rsidP="0091537E" w:rsidRDefault="00921A36" w14:paraId="126EE8AF" w14:textId="77777777">
      <w:pPr>
        <w:rPr>
          <w:snapToGrid/>
          <w:color w:val="000000" w:themeColor="text1"/>
          <w:sz w:val="22"/>
          <w:szCs w:val="22"/>
        </w:rPr>
      </w:pPr>
    </w:p>
    <w:p w:rsidRPr="00FE4123" w:rsidR="00E76454" w:rsidP="0091537E" w:rsidRDefault="004E4087" w14:paraId="3D2E35B7" w14:textId="68A914D3">
      <w:pPr>
        <w:rPr>
          <w:snapToGrid/>
          <w:color w:val="000000" w:themeColor="text1"/>
          <w:sz w:val="22"/>
          <w:szCs w:val="22"/>
        </w:rPr>
      </w:pPr>
      <w:r w:rsidRPr="00FE4123">
        <w:rPr>
          <w:snapToGrid/>
          <w:color w:val="000000" w:themeColor="text1"/>
          <w:sz w:val="22"/>
          <w:szCs w:val="22"/>
        </w:rPr>
        <w:t xml:space="preserve">This checkbox will only appear in the form if </w:t>
      </w:r>
      <w:r w:rsidR="00030C68">
        <w:rPr>
          <w:snapToGrid/>
          <w:color w:val="000000" w:themeColor="text1"/>
          <w:sz w:val="22"/>
          <w:szCs w:val="22"/>
        </w:rPr>
        <w:t>the assignment/transfer of control involves a</w:t>
      </w:r>
      <w:r w:rsidRPr="00FE4123">
        <w:rPr>
          <w:snapToGrid/>
          <w:color w:val="000000" w:themeColor="text1"/>
          <w:sz w:val="22"/>
          <w:szCs w:val="22"/>
        </w:rPr>
        <w:t>t least one 3.45 GHz license</w:t>
      </w:r>
      <w:r w:rsidR="00921A36">
        <w:rPr>
          <w:snapToGrid/>
          <w:color w:val="000000" w:themeColor="text1"/>
          <w:sz w:val="22"/>
          <w:szCs w:val="22"/>
        </w:rPr>
        <w:t xml:space="preserve"> or </w:t>
      </w:r>
      <w:r w:rsidR="00131C77">
        <w:rPr>
          <w:snapToGrid/>
          <w:color w:val="000000" w:themeColor="text1"/>
          <w:sz w:val="22"/>
          <w:szCs w:val="22"/>
        </w:rPr>
        <w:t xml:space="preserve">some </w:t>
      </w:r>
      <w:r w:rsidR="00921A36">
        <w:rPr>
          <w:snapToGrid/>
          <w:color w:val="000000" w:themeColor="text1"/>
          <w:sz w:val="22"/>
          <w:szCs w:val="22"/>
        </w:rPr>
        <w:t>portion thereof</w:t>
      </w:r>
      <w:r w:rsidRPr="00FE4123">
        <w:rPr>
          <w:snapToGrid/>
          <w:color w:val="000000" w:themeColor="text1"/>
          <w:sz w:val="22"/>
          <w:szCs w:val="22"/>
        </w:rPr>
        <w:t xml:space="preserve">.  </w:t>
      </w:r>
      <w:r w:rsidRPr="00FE4123">
        <w:rPr>
          <w:sz w:val="22"/>
          <w:szCs w:val="22"/>
        </w:rPr>
        <w:t>The Commission will submit screenshots of the new/additional screens of FCC Form 603 to OMB once the required modifications to the form described above have been completed.</w:t>
      </w:r>
      <w:r w:rsidR="0091537E">
        <w:rPr>
          <w:sz w:val="22"/>
          <w:szCs w:val="22"/>
        </w:rPr>
        <w:t xml:space="preserve">  </w:t>
      </w:r>
      <w:r w:rsidRPr="00FE4123">
        <w:rPr>
          <w:snapToGrid/>
          <w:color w:val="000000" w:themeColor="text1"/>
          <w:sz w:val="22"/>
          <w:szCs w:val="22"/>
        </w:rPr>
        <w:t xml:space="preserve">Consistent with the termination of the in-band </w:t>
      </w:r>
      <w:r w:rsidR="00131C77">
        <w:rPr>
          <w:snapToGrid/>
          <w:color w:val="000000" w:themeColor="text1"/>
          <w:sz w:val="22"/>
          <w:szCs w:val="22"/>
        </w:rPr>
        <w:t xml:space="preserve">spectrum </w:t>
      </w:r>
      <w:r w:rsidRPr="00FE4123">
        <w:rPr>
          <w:snapToGrid/>
          <w:color w:val="000000" w:themeColor="text1"/>
          <w:sz w:val="22"/>
          <w:szCs w:val="22"/>
        </w:rPr>
        <w:t>aggregation limit in four years, t</w:t>
      </w:r>
      <w:r w:rsidRPr="00FE4123" w:rsidR="006A45D1">
        <w:rPr>
          <w:snapToGrid/>
          <w:color w:val="000000" w:themeColor="text1"/>
          <w:sz w:val="22"/>
          <w:szCs w:val="22"/>
        </w:rPr>
        <w:t xml:space="preserve">he certification </w:t>
      </w:r>
      <w:r w:rsidRPr="00FE4123">
        <w:rPr>
          <w:snapToGrid/>
          <w:color w:val="000000" w:themeColor="text1"/>
          <w:sz w:val="22"/>
          <w:szCs w:val="22"/>
        </w:rPr>
        <w:t>will</w:t>
      </w:r>
      <w:r w:rsidRPr="00FE4123" w:rsidR="006A45D1">
        <w:rPr>
          <w:snapToGrid/>
          <w:color w:val="000000" w:themeColor="text1"/>
          <w:sz w:val="22"/>
          <w:szCs w:val="22"/>
        </w:rPr>
        <w:t xml:space="preserve"> </w:t>
      </w:r>
      <w:r w:rsidR="00131C77">
        <w:rPr>
          <w:snapToGrid/>
          <w:color w:val="000000" w:themeColor="text1"/>
          <w:sz w:val="22"/>
          <w:szCs w:val="22"/>
        </w:rPr>
        <w:t xml:space="preserve">no longer be relevant after </w:t>
      </w:r>
      <w:r w:rsidR="0091537E">
        <w:rPr>
          <w:snapToGrid/>
          <w:color w:val="000000" w:themeColor="text1"/>
          <w:sz w:val="22"/>
          <w:szCs w:val="22"/>
        </w:rPr>
        <w:t>January 14, 2026</w:t>
      </w:r>
      <w:r w:rsidRPr="00FE4123">
        <w:rPr>
          <w:snapToGrid/>
          <w:color w:val="000000" w:themeColor="text1"/>
          <w:sz w:val="22"/>
          <w:szCs w:val="22"/>
        </w:rPr>
        <w:t>.</w:t>
      </w:r>
      <w:r w:rsidRPr="00FE4123" w:rsidR="006A45D1">
        <w:rPr>
          <w:snapToGrid/>
          <w:color w:val="000000" w:themeColor="text1"/>
          <w:sz w:val="22"/>
          <w:szCs w:val="22"/>
        </w:rPr>
        <w:t xml:space="preserve"> </w:t>
      </w:r>
    </w:p>
    <w:p w:rsidRPr="00FE4123" w:rsidR="002822C9" w:rsidP="00445B8E" w:rsidRDefault="004853FE" w14:paraId="6F3D11E3" w14:textId="24C24C74">
      <w:pPr>
        <w:tabs>
          <w:tab w:val="left" w:pos="5730"/>
          <w:tab w:val="left" w:pos="6390"/>
        </w:tabs>
        <w:rPr>
          <w:sz w:val="22"/>
          <w:szCs w:val="22"/>
        </w:rPr>
      </w:pPr>
      <w:r>
        <w:rPr>
          <w:sz w:val="22"/>
          <w:szCs w:val="22"/>
        </w:rPr>
        <w:tab/>
      </w:r>
      <w:r>
        <w:rPr>
          <w:sz w:val="22"/>
          <w:szCs w:val="22"/>
        </w:rPr>
        <w:tab/>
      </w:r>
    </w:p>
    <w:p w:rsidR="00AF2BEA" w:rsidP="00445B8E" w:rsidRDefault="004853FE" w14:paraId="71DFF3B6" w14:textId="3EE76873">
      <w:pPr>
        <w:rPr>
          <w:sz w:val="22"/>
          <w:szCs w:val="22"/>
        </w:rPr>
      </w:pPr>
      <w:r w:rsidRPr="00445B8E">
        <w:rPr>
          <w:i/>
          <w:iCs/>
          <w:sz w:val="22"/>
          <w:szCs w:val="22"/>
        </w:rPr>
        <w:t>Change 3</w:t>
      </w:r>
      <w:r w:rsidRPr="004853FE">
        <w:rPr>
          <w:sz w:val="22"/>
          <w:szCs w:val="22"/>
        </w:rPr>
        <w:t>.  On December 29, 2020, the Commission adopted a Report and Order that significantly amended FCC application fees. (</w:t>
      </w:r>
      <w:r w:rsidRPr="00445B8E">
        <w:rPr>
          <w:i/>
          <w:iCs/>
          <w:sz w:val="22"/>
          <w:szCs w:val="22"/>
        </w:rPr>
        <w:t>See</w:t>
      </w:r>
      <w:r w:rsidRPr="004853FE">
        <w:rPr>
          <w:sz w:val="22"/>
          <w:szCs w:val="22"/>
        </w:rPr>
        <w:t xml:space="preserve"> Amendment of the Schedule of Application Fees Set Forth in Sections 1.1102 through 1.1109 of the Commission’s Rules, MD Docket No. 20-270, Report and Order, 35 FCC Rcd 5089 (2020)). As a result, the Commission will no longer calculate waiver fees according to the number of rule waivers requested, and applicants are only required to indicate that they are requesting a waiver. Accordingly, question 6b, which requests the number of rules involved in the request, is being deleted and is no longer necessary.   </w:t>
      </w:r>
    </w:p>
    <w:p w:rsidR="008F3BE6" w:rsidP="00445B8E" w:rsidRDefault="008F3BE6" w14:paraId="4E9ED30E" w14:textId="3E13914F">
      <w:pPr>
        <w:rPr>
          <w:sz w:val="22"/>
          <w:szCs w:val="22"/>
        </w:rPr>
      </w:pPr>
    </w:p>
    <w:p w:rsidRPr="008F3BE6" w:rsidR="008F3BE6" w:rsidP="008F3BE6" w:rsidRDefault="008F3BE6" w14:paraId="232294D4" w14:textId="77777777">
      <w:pPr>
        <w:widowControl/>
        <w:rPr>
          <w:snapToGrid/>
          <w:sz w:val="22"/>
          <w:szCs w:val="22"/>
        </w:rPr>
      </w:pPr>
      <w:r w:rsidRPr="008F3BE6">
        <w:rPr>
          <w:snapToGrid/>
          <w:sz w:val="22"/>
          <w:szCs w:val="22"/>
        </w:rPr>
        <w:t>These non-substantive changes will not impact on the annual burden hours or the annual cost for this collection.</w:t>
      </w:r>
    </w:p>
    <w:p w:rsidRPr="00FE4123" w:rsidR="008F3BE6" w:rsidP="00445B8E" w:rsidRDefault="008F3BE6" w14:paraId="0FBA59A5" w14:textId="77777777">
      <w:pPr>
        <w:rPr>
          <w:sz w:val="22"/>
          <w:szCs w:val="22"/>
        </w:rPr>
      </w:pPr>
    </w:p>
    <w:sectPr w:rsidRPr="00FE4123" w:rsidR="008F3B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60684" w14:textId="77777777" w:rsidR="007420A2" w:rsidRDefault="007420A2" w:rsidP="007420A2">
      <w:r>
        <w:separator/>
      </w:r>
    </w:p>
  </w:endnote>
  <w:endnote w:type="continuationSeparator" w:id="0">
    <w:p w14:paraId="004E6A37" w14:textId="77777777" w:rsidR="007420A2" w:rsidRDefault="007420A2" w:rsidP="007420A2">
      <w:r>
        <w:continuationSeparator/>
      </w:r>
    </w:p>
  </w:endnote>
  <w:endnote w:type="continuationNotice" w:id="1">
    <w:p w14:paraId="445BEC4D" w14:textId="77777777" w:rsidR="00596D4E" w:rsidRDefault="00596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8EF15" w14:textId="77777777" w:rsidR="007420A2" w:rsidRDefault="007420A2" w:rsidP="007420A2">
      <w:r>
        <w:separator/>
      </w:r>
    </w:p>
  </w:footnote>
  <w:footnote w:type="continuationSeparator" w:id="0">
    <w:p w14:paraId="08C54F23" w14:textId="77777777" w:rsidR="007420A2" w:rsidRDefault="007420A2" w:rsidP="007420A2">
      <w:r>
        <w:continuationSeparator/>
      </w:r>
    </w:p>
  </w:footnote>
  <w:footnote w:type="continuationNotice" w:id="1">
    <w:p w14:paraId="1C07C05A" w14:textId="77777777" w:rsidR="00596D4E" w:rsidRDefault="00596D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FB6952"/>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EA"/>
    <w:rsid w:val="00030C68"/>
    <w:rsid w:val="00035398"/>
    <w:rsid w:val="000549F5"/>
    <w:rsid w:val="0009262E"/>
    <w:rsid w:val="000A2FAC"/>
    <w:rsid w:val="000A7988"/>
    <w:rsid w:val="00120884"/>
    <w:rsid w:val="00131C77"/>
    <w:rsid w:val="001645D6"/>
    <w:rsid w:val="001744B1"/>
    <w:rsid w:val="00192D3A"/>
    <w:rsid w:val="001F5C49"/>
    <w:rsid w:val="00216A00"/>
    <w:rsid w:val="002176B0"/>
    <w:rsid w:val="002305FC"/>
    <w:rsid w:val="00240E78"/>
    <w:rsid w:val="00250044"/>
    <w:rsid w:val="00255A64"/>
    <w:rsid w:val="00255FFB"/>
    <w:rsid w:val="002660C3"/>
    <w:rsid w:val="00275B32"/>
    <w:rsid w:val="00275F3D"/>
    <w:rsid w:val="002822C9"/>
    <w:rsid w:val="002825F1"/>
    <w:rsid w:val="00290E5B"/>
    <w:rsid w:val="002C1170"/>
    <w:rsid w:val="002D0A13"/>
    <w:rsid w:val="002D5FC6"/>
    <w:rsid w:val="002F3E47"/>
    <w:rsid w:val="003643A5"/>
    <w:rsid w:val="003A4ABC"/>
    <w:rsid w:val="003C61F7"/>
    <w:rsid w:val="003F1A08"/>
    <w:rsid w:val="00445B8E"/>
    <w:rsid w:val="00453FBD"/>
    <w:rsid w:val="004853FE"/>
    <w:rsid w:val="0049343C"/>
    <w:rsid w:val="004A29E1"/>
    <w:rsid w:val="004B42F0"/>
    <w:rsid w:val="004E4087"/>
    <w:rsid w:val="00501A03"/>
    <w:rsid w:val="0051767F"/>
    <w:rsid w:val="00543DAA"/>
    <w:rsid w:val="00573B1F"/>
    <w:rsid w:val="005963EF"/>
    <w:rsid w:val="00596D4E"/>
    <w:rsid w:val="005B0C6C"/>
    <w:rsid w:val="005D4684"/>
    <w:rsid w:val="00636BA3"/>
    <w:rsid w:val="006452EA"/>
    <w:rsid w:val="00657D11"/>
    <w:rsid w:val="00665923"/>
    <w:rsid w:val="006826AF"/>
    <w:rsid w:val="00694BA5"/>
    <w:rsid w:val="006A45D1"/>
    <w:rsid w:val="006C4A98"/>
    <w:rsid w:val="006F13BB"/>
    <w:rsid w:val="006F724B"/>
    <w:rsid w:val="0071378D"/>
    <w:rsid w:val="00716F43"/>
    <w:rsid w:val="00724C29"/>
    <w:rsid w:val="00737B68"/>
    <w:rsid w:val="007420A2"/>
    <w:rsid w:val="0079182F"/>
    <w:rsid w:val="007C7463"/>
    <w:rsid w:val="00806A4F"/>
    <w:rsid w:val="00823738"/>
    <w:rsid w:val="00832B81"/>
    <w:rsid w:val="00835DB6"/>
    <w:rsid w:val="00837308"/>
    <w:rsid w:val="008476FD"/>
    <w:rsid w:val="008972E8"/>
    <w:rsid w:val="008B4BDF"/>
    <w:rsid w:val="008C4506"/>
    <w:rsid w:val="008C66B1"/>
    <w:rsid w:val="008F1E4D"/>
    <w:rsid w:val="008F3BE6"/>
    <w:rsid w:val="0091537E"/>
    <w:rsid w:val="00921A36"/>
    <w:rsid w:val="00970DAB"/>
    <w:rsid w:val="00970F3D"/>
    <w:rsid w:val="00971116"/>
    <w:rsid w:val="009867CE"/>
    <w:rsid w:val="009A05CF"/>
    <w:rsid w:val="009D3F4A"/>
    <w:rsid w:val="009D7D52"/>
    <w:rsid w:val="009E6813"/>
    <w:rsid w:val="00A169CA"/>
    <w:rsid w:val="00A761DE"/>
    <w:rsid w:val="00A9296F"/>
    <w:rsid w:val="00AB6FDD"/>
    <w:rsid w:val="00AC1DCD"/>
    <w:rsid w:val="00AC5DE9"/>
    <w:rsid w:val="00AC7908"/>
    <w:rsid w:val="00AF2BEA"/>
    <w:rsid w:val="00B02AE0"/>
    <w:rsid w:val="00BA4539"/>
    <w:rsid w:val="00BC443A"/>
    <w:rsid w:val="00BD2C5A"/>
    <w:rsid w:val="00BF7C74"/>
    <w:rsid w:val="00C028E3"/>
    <w:rsid w:val="00C17AC6"/>
    <w:rsid w:val="00C30C68"/>
    <w:rsid w:val="00C51790"/>
    <w:rsid w:val="00C60975"/>
    <w:rsid w:val="00C67DDE"/>
    <w:rsid w:val="00CC163A"/>
    <w:rsid w:val="00D267C3"/>
    <w:rsid w:val="00D641D3"/>
    <w:rsid w:val="00E00835"/>
    <w:rsid w:val="00E03180"/>
    <w:rsid w:val="00E4054C"/>
    <w:rsid w:val="00E46636"/>
    <w:rsid w:val="00E53F5F"/>
    <w:rsid w:val="00E55E7D"/>
    <w:rsid w:val="00E575A7"/>
    <w:rsid w:val="00E6619D"/>
    <w:rsid w:val="00E6669A"/>
    <w:rsid w:val="00E75E4F"/>
    <w:rsid w:val="00E76454"/>
    <w:rsid w:val="00E76C12"/>
    <w:rsid w:val="00EA376F"/>
    <w:rsid w:val="00EB566B"/>
    <w:rsid w:val="00ED2642"/>
    <w:rsid w:val="00F22F6C"/>
    <w:rsid w:val="00F3148F"/>
    <w:rsid w:val="00F517DF"/>
    <w:rsid w:val="00F61026"/>
    <w:rsid w:val="00F90540"/>
    <w:rsid w:val="00F9114C"/>
    <w:rsid w:val="00FC2DF6"/>
    <w:rsid w:val="00FC5A9F"/>
    <w:rsid w:val="00FD0C0C"/>
    <w:rsid w:val="00FD70D2"/>
    <w:rsid w:val="00FE0888"/>
    <w:rsid w:val="00FE4123"/>
    <w:rsid w:val="00FF1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17B81"/>
  <w15:chartTrackingRefBased/>
  <w15:docId w15:val="{64BC34CC-7D50-486B-96AB-5119270B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BEA"/>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AF2BE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2BEA"/>
    <w:rPr>
      <w:rFonts w:ascii="Times New Roman" w:eastAsia="Times New Roman" w:hAnsi="Times New Roman" w:cs="Times New Roman"/>
      <w:b/>
      <w:snapToGrid w:val="0"/>
      <w:sz w:val="24"/>
      <w:szCs w:val="20"/>
    </w:rPr>
  </w:style>
  <w:style w:type="paragraph" w:styleId="BalloonText">
    <w:name w:val="Balloon Text"/>
    <w:basedOn w:val="Normal"/>
    <w:link w:val="BalloonTextChar"/>
    <w:uiPriority w:val="99"/>
    <w:semiHidden/>
    <w:unhideWhenUsed/>
    <w:rsid w:val="00F911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14C"/>
    <w:rPr>
      <w:rFonts w:ascii="Segoe UI" w:eastAsia="Times New Roman" w:hAnsi="Segoe UI" w:cs="Segoe UI"/>
      <w:snapToGrid w:val="0"/>
      <w:sz w:val="18"/>
      <w:szCs w:val="18"/>
    </w:rPr>
  </w:style>
  <w:style w:type="paragraph" w:styleId="FootnoteText">
    <w:name w:val="footnote text"/>
    <w:basedOn w:val="Normal"/>
    <w:link w:val="FootnoteTextChar"/>
    <w:rsid w:val="007420A2"/>
  </w:style>
  <w:style w:type="character" w:customStyle="1" w:styleId="FootnoteTextChar">
    <w:name w:val="Footnote Text Char"/>
    <w:basedOn w:val="DefaultParagraphFont"/>
    <w:link w:val="FootnoteText"/>
    <w:rsid w:val="007420A2"/>
    <w:rPr>
      <w:rFonts w:ascii="Times New Roman" w:eastAsia="Times New Roman" w:hAnsi="Times New Roman" w:cs="Times New Roman"/>
      <w:snapToGrid w:val="0"/>
      <w:sz w:val="24"/>
      <w:szCs w:val="20"/>
    </w:rPr>
  </w:style>
  <w:style w:type="character" w:styleId="FootnoteReference">
    <w:name w:val="footnote reference"/>
    <w:rsid w:val="007420A2"/>
    <w:rPr>
      <w:vertAlign w:val="superscript"/>
    </w:rPr>
  </w:style>
  <w:style w:type="paragraph" w:styleId="Header">
    <w:name w:val="header"/>
    <w:basedOn w:val="Normal"/>
    <w:link w:val="HeaderChar"/>
    <w:unhideWhenUsed/>
    <w:rsid w:val="00E76C12"/>
    <w:pPr>
      <w:tabs>
        <w:tab w:val="center" w:pos="4680"/>
        <w:tab w:val="right" w:pos="9360"/>
      </w:tabs>
    </w:pPr>
  </w:style>
  <w:style w:type="character" w:customStyle="1" w:styleId="HeaderChar">
    <w:name w:val="Header Char"/>
    <w:basedOn w:val="DefaultParagraphFont"/>
    <w:link w:val="Header"/>
    <w:rsid w:val="00E76C12"/>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76C12"/>
    <w:pPr>
      <w:tabs>
        <w:tab w:val="center" w:pos="4680"/>
        <w:tab w:val="right" w:pos="9360"/>
      </w:tabs>
    </w:pPr>
  </w:style>
  <w:style w:type="character" w:customStyle="1" w:styleId="FooterChar">
    <w:name w:val="Footer Char"/>
    <w:basedOn w:val="DefaultParagraphFont"/>
    <w:link w:val="Footer"/>
    <w:uiPriority w:val="99"/>
    <w:rsid w:val="00E76C12"/>
    <w:rPr>
      <w:rFonts w:ascii="Times New Roman" w:eastAsia="Times New Roman" w:hAnsi="Times New Roman" w:cs="Times New Roman"/>
      <w:snapToGrid w:val="0"/>
      <w:sz w:val="24"/>
      <w:szCs w:val="20"/>
    </w:rPr>
  </w:style>
  <w:style w:type="paragraph" w:styleId="Revision">
    <w:name w:val="Revision"/>
    <w:hidden/>
    <w:uiPriority w:val="99"/>
    <w:semiHidden/>
    <w:rsid w:val="00596D4E"/>
    <w:pPr>
      <w:spacing w:after="0" w:line="240" w:lineRule="auto"/>
    </w:pPr>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596D4E"/>
    <w:rPr>
      <w:sz w:val="16"/>
      <w:szCs w:val="16"/>
    </w:rPr>
  </w:style>
  <w:style w:type="paragraph" w:styleId="CommentText">
    <w:name w:val="annotation text"/>
    <w:basedOn w:val="Normal"/>
    <w:link w:val="CommentTextChar"/>
    <w:uiPriority w:val="99"/>
    <w:semiHidden/>
    <w:unhideWhenUsed/>
    <w:rsid w:val="00596D4E"/>
    <w:rPr>
      <w:sz w:val="20"/>
    </w:rPr>
  </w:style>
  <w:style w:type="character" w:customStyle="1" w:styleId="CommentTextChar">
    <w:name w:val="Comment Text Char"/>
    <w:basedOn w:val="DefaultParagraphFont"/>
    <w:link w:val="CommentText"/>
    <w:uiPriority w:val="99"/>
    <w:semiHidden/>
    <w:rsid w:val="00596D4E"/>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596D4E"/>
    <w:rPr>
      <w:b/>
      <w:bCs/>
    </w:rPr>
  </w:style>
  <w:style w:type="character" w:customStyle="1" w:styleId="CommentSubjectChar">
    <w:name w:val="Comment Subject Char"/>
    <w:basedOn w:val="CommentTextChar"/>
    <w:link w:val="CommentSubject"/>
    <w:uiPriority w:val="99"/>
    <w:semiHidden/>
    <w:rsid w:val="00596D4E"/>
    <w:rPr>
      <w:rFonts w:ascii="Times New Roman" w:eastAsia="Times New Roman" w:hAnsi="Times New Roman"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Barnes</dc:creator>
  <cp:keywords/>
  <dc:description/>
  <cp:lastModifiedBy>Cathy Williams</cp:lastModifiedBy>
  <cp:revision>3</cp:revision>
  <cp:lastPrinted>2022-03-04T15:45:00Z</cp:lastPrinted>
  <dcterms:created xsi:type="dcterms:W3CDTF">2022-03-08T12:44:00Z</dcterms:created>
  <dcterms:modified xsi:type="dcterms:W3CDTF">2022-03-08T12:51:00Z</dcterms:modified>
</cp:coreProperties>
</file>