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60F4" w:rsidR="00611B6B" w:rsidP="00E2213C" w:rsidRDefault="00E2213C" w14:paraId="137E72E6" w14:textId="77777777">
      <w:pPr>
        <w:rPr>
          <w:b/>
          <w:sz w:val="22"/>
          <w:szCs w:val="22"/>
        </w:rPr>
      </w:pPr>
      <w:r w:rsidRPr="00AD0D71">
        <w:rPr>
          <w:b/>
          <w:sz w:val="22"/>
          <w:szCs w:val="22"/>
        </w:rPr>
        <w:t>Inmate Calling Service</w:t>
      </w:r>
      <w:r w:rsidRPr="00F95991" w:rsidR="00131FA8">
        <w:rPr>
          <w:b/>
          <w:sz w:val="22"/>
          <w:szCs w:val="22"/>
        </w:rPr>
        <w:t>s</w:t>
      </w:r>
      <w:r w:rsidRPr="00AB1E80">
        <w:rPr>
          <w:b/>
          <w:sz w:val="22"/>
          <w:szCs w:val="22"/>
        </w:rPr>
        <w:t xml:space="preserve"> </w:t>
      </w:r>
      <w:r w:rsidRPr="00AB1E80" w:rsidR="00611B6B">
        <w:rPr>
          <w:b/>
          <w:sz w:val="22"/>
          <w:szCs w:val="22"/>
        </w:rPr>
        <w:t xml:space="preserve">(ICS) </w:t>
      </w:r>
      <w:r w:rsidRPr="00AB1E80">
        <w:rPr>
          <w:b/>
          <w:sz w:val="22"/>
          <w:szCs w:val="22"/>
        </w:rPr>
        <w:t xml:space="preserve">Provider Annual </w:t>
      </w:r>
      <w:r w:rsidRPr="004460F4" w:rsidR="00611B6B">
        <w:rPr>
          <w:b/>
          <w:sz w:val="22"/>
          <w:szCs w:val="22"/>
        </w:rPr>
        <w:tab/>
      </w:r>
      <w:r w:rsidRPr="004460F4" w:rsidR="00611B6B">
        <w:rPr>
          <w:b/>
          <w:sz w:val="22"/>
          <w:szCs w:val="22"/>
        </w:rPr>
        <w:tab/>
      </w:r>
      <w:r w:rsidRPr="004460F4" w:rsidR="00611B6B">
        <w:rPr>
          <w:b/>
          <w:sz w:val="22"/>
          <w:szCs w:val="22"/>
        </w:rPr>
        <w:tab/>
      </w:r>
      <w:r w:rsidRPr="004460F4" w:rsidR="00430D37">
        <w:rPr>
          <w:b/>
          <w:sz w:val="22"/>
          <w:szCs w:val="22"/>
        </w:rPr>
        <w:tab/>
      </w:r>
      <w:r w:rsidRPr="004460F4" w:rsidR="00430D37">
        <w:rPr>
          <w:b/>
          <w:sz w:val="22"/>
          <w:szCs w:val="22"/>
        </w:rPr>
        <w:tab/>
      </w:r>
      <w:r w:rsidRPr="004460F4" w:rsidR="00611B6B">
        <w:rPr>
          <w:b/>
          <w:sz w:val="22"/>
          <w:szCs w:val="22"/>
        </w:rPr>
        <w:t>3060-</w:t>
      </w:r>
      <w:r w:rsidR="00845E1B">
        <w:rPr>
          <w:b/>
          <w:sz w:val="22"/>
          <w:szCs w:val="22"/>
        </w:rPr>
        <w:t>1222</w:t>
      </w:r>
    </w:p>
    <w:p w:rsidR="00CA439C" w:rsidP="00E2213C" w:rsidRDefault="00E2213C" w14:paraId="1809F3DA" w14:textId="1DCC5C24">
      <w:pPr>
        <w:rPr>
          <w:b/>
          <w:sz w:val="22"/>
          <w:szCs w:val="22"/>
        </w:rPr>
      </w:pPr>
      <w:r w:rsidRPr="004460F4">
        <w:rPr>
          <w:b/>
          <w:sz w:val="22"/>
          <w:szCs w:val="22"/>
        </w:rPr>
        <w:t>Reporting, Certification, Consumer Disclosure,</w:t>
      </w:r>
      <w:r w:rsidR="00965693">
        <w:rPr>
          <w:b/>
          <w:sz w:val="22"/>
          <w:szCs w:val="22"/>
        </w:rPr>
        <w:tab/>
      </w:r>
      <w:r w:rsidR="00965693">
        <w:rPr>
          <w:b/>
          <w:sz w:val="22"/>
          <w:szCs w:val="22"/>
        </w:rPr>
        <w:tab/>
      </w:r>
      <w:r w:rsidR="00965693">
        <w:rPr>
          <w:b/>
          <w:sz w:val="22"/>
          <w:szCs w:val="22"/>
        </w:rPr>
        <w:tab/>
      </w:r>
      <w:r w:rsidR="00965693">
        <w:rPr>
          <w:b/>
          <w:sz w:val="22"/>
          <w:szCs w:val="22"/>
        </w:rPr>
        <w:tab/>
      </w:r>
      <w:r w:rsidR="00965693">
        <w:rPr>
          <w:b/>
          <w:sz w:val="22"/>
          <w:szCs w:val="22"/>
        </w:rPr>
        <w:tab/>
      </w:r>
      <w:r w:rsidR="00547328">
        <w:rPr>
          <w:b/>
          <w:sz w:val="22"/>
          <w:szCs w:val="22"/>
        </w:rPr>
        <w:t xml:space="preserve"> July 2022</w:t>
      </w:r>
    </w:p>
    <w:p w:rsidRPr="004460F4" w:rsidR="00E2213C" w:rsidP="00E2213C" w:rsidRDefault="00CA439C" w14:paraId="750A8BF6" w14:textId="7994335B">
      <w:pPr>
        <w:rPr>
          <w:b/>
          <w:sz w:val="22"/>
          <w:szCs w:val="22"/>
          <w:u w:val="single"/>
        </w:rPr>
      </w:pPr>
      <w:r>
        <w:rPr>
          <w:b/>
          <w:sz w:val="22"/>
          <w:szCs w:val="22"/>
        </w:rPr>
        <w:t xml:space="preserve">and Waiver </w:t>
      </w:r>
      <w:r w:rsidR="001565D2">
        <w:rPr>
          <w:b/>
          <w:sz w:val="22"/>
          <w:szCs w:val="22"/>
        </w:rPr>
        <w:t xml:space="preserve">Request </w:t>
      </w:r>
      <w:r w:rsidR="004F5E30">
        <w:rPr>
          <w:b/>
          <w:sz w:val="22"/>
          <w:szCs w:val="22"/>
        </w:rPr>
        <w:t>R</w:t>
      </w:r>
      <w:r>
        <w:rPr>
          <w:b/>
          <w:sz w:val="22"/>
          <w:szCs w:val="22"/>
        </w:rPr>
        <w:t>equirements</w:t>
      </w:r>
    </w:p>
    <w:p w:rsidRPr="004460F4" w:rsidR="00E2213C" w:rsidP="00E2213C" w:rsidRDefault="00E2213C" w14:paraId="30A8553A" w14:textId="77777777">
      <w:pPr>
        <w:rPr>
          <w:b/>
          <w:sz w:val="22"/>
          <w:szCs w:val="22"/>
        </w:rPr>
      </w:pPr>
      <w:r w:rsidRPr="004460F4">
        <w:rPr>
          <w:b/>
          <w:sz w:val="22"/>
          <w:szCs w:val="22"/>
        </w:rPr>
        <w:t xml:space="preserve">WC Docket No. 12-375, FCC </w:t>
      </w:r>
      <w:r w:rsidR="00540872">
        <w:rPr>
          <w:b/>
          <w:sz w:val="22"/>
          <w:szCs w:val="22"/>
        </w:rPr>
        <w:t>21-60</w:t>
      </w:r>
    </w:p>
    <w:p w:rsidRPr="004460F4" w:rsidR="00810818" w:rsidP="00E2213C" w:rsidRDefault="00810818" w14:paraId="44DA6B76" w14:textId="77777777">
      <w:pPr>
        <w:jc w:val="right"/>
        <w:rPr>
          <w:b/>
          <w:sz w:val="22"/>
          <w:szCs w:val="22"/>
          <w:u w:val="single"/>
        </w:rPr>
      </w:pPr>
    </w:p>
    <w:p w:rsidRPr="004460F4" w:rsidR="007E0735" w:rsidP="007E0735" w:rsidRDefault="007E0735" w14:paraId="0A595C19" w14:textId="77777777">
      <w:pPr>
        <w:pStyle w:val="Heading3"/>
        <w:jc w:val="center"/>
        <w:rPr>
          <w:b/>
          <w:sz w:val="22"/>
          <w:szCs w:val="22"/>
          <w:u w:val="none"/>
        </w:rPr>
      </w:pPr>
      <w:r w:rsidRPr="004460F4">
        <w:rPr>
          <w:b/>
          <w:sz w:val="22"/>
          <w:szCs w:val="22"/>
          <w:u w:val="none"/>
        </w:rPr>
        <w:t>SUPPORTING STATEMENT</w:t>
      </w:r>
    </w:p>
    <w:p w:rsidRPr="004460F4" w:rsidR="007A4A45" w:rsidP="007A4A45" w:rsidRDefault="007A4A45" w14:paraId="212ED079" w14:textId="77777777">
      <w:pPr>
        <w:rPr>
          <w:sz w:val="22"/>
          <w:szCs w:val="22"/>
        </w:rPr>
      </w:pPr>
    </w:p>
    <w:p w:rsidR="00262EFF" w:rsidP="00262EFF" w:rsidRDefault="0085271E" w14:paraId="2DEB273E" w14:textId="45832098">
      <w:pPr>
        <w:pStyle w:val="Numberedparagraphs"/>
        <w:numPr>
          <w:ilvl w:val="0"/>
          <w:numId w:val="0"/>
        </w:numPr>
        <w:tabs>
          <w:tab w:val="clear" w:pos="1440"/>
          <w:tab w:val="left" w:pos="720"/>
        </w:tabs>
        <w:rPr>
          <w:sz w:val="22"/>
          <w:szCs w:val="22"/>
        </w:rPr>
      </w:pPr>
      <w:r>
        <w:rPr>
          <w:sz w:val="22"/>
          <w:szCs w:val="22"/>
        </w:rPr>
        <w:tab/>
      </w:r>
      <w:r w:rsidRPr="004460F4" w:rsidR="007A4A45">
        <w:rPr>
          <w:sz w:val="22"/>
          <w:szCs w:val="22"/>
        </w:rPr>
        <w:t>This submission is being made pursuant to 44 U.S.C. §</w:t>
      </w:r>
      <w:r w:rsidRPr="004460F4" w:rsidR="007A7A22">
        <w:rPr>
          <w:sz w:val="22"/>
          <w:szCs w:val="22"/>
        </w:rPr>
        <w:t xml:space="preserve"> </w:t>
      </w:r>
      <w:r w:rsidRPr="004460F4" w:rsidR="007A4A45">
        <w:rPr>
          <w:sz w:val="22"/>
          <w:szCs w:val="22"/>
        </w:rPr>
        <w:t>3507 of</w:t>
      </w:r>
      <w:r w:rsidRPr="004460F4" w:rsidR="004153C5">
        <w:rPr>
          <w:sz w:val="22"/>
          <w:szCs w:val="22"/>
        </w:rPr>
        <w:t xml:space="preserve"> the</w:t>
      </w:r>
      <w:r w:rsidRPr="004460F4" w:rsidR="007A4A45">
        <w:rPr>
          <w:sz w:val="22"/>
          <w:szCs w:val="22"/>
        </w:rPr>
        <w:t xml:space="preserve"> Paperwork Reduction Act of 1995 to </w:t>
      </w:r>
      <w:r w:rsidR="00845E1B">
        <w:rPr>
          <w:sz w:val="22"/>
          <w:szCs w:val="22"/>
        </w:rPr>
        <w:t xml:space="preserve">revise an </w:t>
      </w:r>
      <w:r w:rsidRPr="004460F4" w:rsidR="007A4A45">
        <w:rPr>
          <w:sz w:val="22"/>
          <w:szCs w:val="22"/>
        </w:rPr>
        <w:t xml:space="preserve">existing </w:t>
      </w:r>
      <w:r w:rsidR="00845E1B">
        <w:rPr>
          <w:sz w:val="22"/>
          <w:szCs w:val="22"/>
        </w:rPr>
        <w:t xml:space="preserve">information collection in order to obtain </w:t>
      </w:r>
      <w:r w:rsidRPr="004460F4" w:rsidR="007A4A45">
        <w:rPr>
          <w:sz w:val="22"/>
          <w:szCs w:val="22"/>
        </w:rPr>
        <w:t xml:space="preserve">Office of Management and Budget (OMB) approval </w:t>
      </w:r>
      <w:r w:rsidR="00845E1B">
        <w:rPr>
          <w:sz w:val="22"/>
          <w:szCs w:val="22"/>
        </w:rPr>
        <w:t xml:space="preserve">for </w:t>
      </w:r>
      <w:r w:rsidRPr="004460F4" w:rsidR="007A4A45">
        <w:rPr>
          <w:sz w:val="22"/>
          <w:szCs w:val="22"/>
        </w:rPr>
        <w:t>the full three-year clearance.</w:t>
      </w:r>
      <w:r w:rsidR="0001772A">
        <w:rPr>
          <w:sz w:val="22"/>
          <w:szCs w:val="22"/>
        </w:rPr>
        <w:t xml:space="preserve"> </w:t>
      </w:r>
    </w:p>
    <w:p w:rsidRPr="00AB1E80" w:rsidR="00B9212C" w:rsidP="00262EFF" w:rsidRDefault="00B9212C" w14:paraId="59EC1AB5" w14:textId="3E21B35F">
      <w:pPr>
        <w:pStyle w:val="Numberedparagraphs"/>
        <w:numPr>
          <w:ilvl w:val="0"/>
          <w:numId w:val="0"/>
        </w:numPr>
        <w:tabs>
          <w:tab w:val="clear" w:pos="1440"/>
          <w:tab w:val="left" w:pos="720"/>
        </w:tabs>
        <w:rPr>
          <w:b/>
          <w:sz w:val="22"/>
          <w:szCs w:val="22"/>
          <w:u w:val="single"/>
        </w:rPr>
      </w:pPr>
      <w:r w:rsidRPr="00AB1E80">
        <w:rPr>
          <w:b/>
          <w:sz w:val="22"/>
          <w:szCs w:val="22"/>
          <w:u w:val="single"/>
        </w:rPr>
        <w:t>Justification:</w:t>
      </w:r>
    </w:p>
    <w:p w:rsidRPr="00AC68A8" w:rsidR="00F358ED" w:rsidP="00BA50EC" w:rsidRDefault="00F358ED" w14:paraId="36656113" w14:textId="77777777">
      <w:pPr>
        <w:rPr>
          <w:b/>
          <w:sz w:val="22"/>
          <w:szCs w:val="22"/>
        </w:rPr>
      </w:pPr>
      <w:r w:rsidRPr="00AC68A8">
        <w:rPr>
          <w:b/>
          <w:i/>
          <w:sz w:val="22"/>
          <w:szCs w:val="22"/>
        </w:rPr>
        <w:t>Circumstances that make the collection necessary</w:t>
      </w:r>
      <w:r w:rsidRPr="00AC68A8">
        <w:rPr>
          <w:b/>
          <w:sz w:val="22"/>
          <w:szCs w:val="22"/>
        </w:rPr>
        <w:t>:</w:t>
      </w:r>
    </w:p>
    <w:p w:rsidRPr="004460F4" w:rsidR="007E0735" w:rsidP="007E0735" w:rsidRDefault="007E0735" w14:paraId="6A49E0FA" w14:textId="77777777">
      <w:pPr>
        <w:pStyle w:val="ParaNum"/>
        <w:numPr>
          <w:ilvl w:val="0"/>
          <w:numId w:val="0"/>
        </w:numPr>
        <w:tabs>
          <w:tab w:val="left" w:pos="1440"/>
        </w:tabs>
        <w:spacing w:after="0"/>
        <w:jc w:val="left"/>
        <w:rPr>
          <w:szCs w:val="22"/>
        </w:rPr>
      </w:pPr>
    </w:p>
    <w:p w:rsidR="0026132B" w:rsidP="0066727F" w:rsidRDefault="007E0735" w14:paraId="2F48D72C" w14:textId="314219B3">
      <w:pPr>
        <w:ind w:firstLine="720"/>
        <w:rPr>
          <w:szCs w:val="22"/>
        </w:rPr>
      </w:pPr>
      <w:r w:rsidRPr="004460F4">
        <w:rPr>
          <w:sz w:val="22"/>
          <w:szCs w:val="22"/>
        </w:rPr>
        <w:t xml:space="preserve">1.  </w:t>
      </w:r>
      <w:r w:rsidR="00DC025F">
        <w:rPr>
          <w:sz w:val="22"/>
          <w:szCs w:val="22"/>
        </w:rPr>
        <w:t>Inmate Calling Service</w:t>
      </w:r>
      <w:r w:rsidR="000219B7">
        <w:rPr>
          <w:sz w:val="22"/>
          <w:szCs w:val="22"/>
        </w:rPr>
        <w:t>s</w:t>
      </w:r>
      <w:r w:rsidR="00DC025F">
        <w:rPr>
          <w:sz w:val="22"/>
          <w:szCs w:val="22"/>
        </w:rPr>
        <w:t xml:space="preserve"> (</w:t>
      </w:r>
      <w:r w:rsidR="00055E4A">
        <w:rPr>
          <w:sz w:val="22"/>
          <w:szCs w:val="22"/>
        </w:rPr>
        <w:t>ICS</w:t>
      </w:r>
      <w:r w:rsidR="00DC025F">
        <w:rPr>
          <w:sz w:val="22"/>
          <w:szCs w:val="22"/>
        </w:rPr>
        <w:t>)</w:t>
      </w:r>
      <w:r w:rsidR="00055E4A">
        <w:rPr>
          <w:sz w:val="22"/>
          <w:szCs w:val="22"/>
        </w:rPr>
        <w:t xml:space="preserve"> </w:t>
      </w:r>
      <w:r w:rsidRPr="004460F4" w:rsidR="00FF6908">
        <w:rPr>
          <w:sz w:val="22"/>
          <w:szCs w:val="22"/>
        </w:rPr>
        <w:t xml:space="preserve">allow </w:t>
      </w:r>
      <w:r w:rsidR="00A10ECF">
        <w:rPr>
          <w:sz w:val="22"/>
          <w:szCs w:val="22"/>
        </w:rPr>
        <w:t>incarcerated people</w:t>
      </w:r>
      <w:r w:rsidRPr="004460F4" w:rsidR="00FF6908">
        <w:rPr>
          <w:sz w:val="22"/>
          <w:szCs w:val="22"/>
        </w:rPr>
        <w:t xml:space="preserve"> to make calls to individuals outside the correctional facilit</w:t>
      </w:r>
      <w:r w:rsidRPr="004460F4" w:rsidR="009063AF">
        <w:rPr>
          <w:sz w:val="22"/>
          <w:szCs w:val="22"/>
        </w:rPr>
        <w:t>ies</w:t>
      </w:r>
      <w:r w:rsidRPr="004460F4" w:rsidR="00FF6908">
        <w:rPr>
          <w:sz w:val="22"/>
          <w:szCs w:val="22"/>
        </w:rPr>
        <w:t xml:space="preserve"> where </w:t>
      </w:r>
      <w:r w:rsidRPr="004460F4" w:rsidR="009063AF">
        <w:rPr>
          <w:sz w:val="22"/>
          <w:szCs w:val="22"/>
        </w:rPr>
        <w:t>they are</w:t>
      </w:r>
      <w:r w:rsidRPr="004460F4" w:rsidR="00FF6908">
        <w:rPr>
          <w:sz w:val="22"/>
          <w:szCs w:val="22"/>
        </w:rPr>
        <w:t xml:space="preserve"> being held, regardless of the technology used to deliver the service.  </w:t>
      </w:r>
      <w:r w:rsidRPr="004460F4" w:rsidR="0026132B">
        <w:rPr>
          <w:sz w:val="22"/>
          <w:szCs w:val="22"/>
        </w:rPr>
        <w:t xml:space="preserve">Section 201 of the Communications Act of 1934, as amended </w:t>
      </w:r>
      <w:r w:rsidRPr="004460F4" w:rsidR="009063AF">
        <w:rPr>
          <w:sz w:val="22"/>
          <w:szCs w:val="22"/>
        </w:rPr>
        <w:t xml:space="preserve">(Act), </w:t>
      </w:r>
      <w:r w:rsidRPr="004460F4" w:rsidR="0026132B">
        <w:rPr>
          <w:sz w:val="22"/>
          <w:szCs w:val="22"/>
        </w:rPr>
        <w:t xml:space="preserve">47 U.S.C. </w:t>
      </w:r>
      <w:r w:rsidRPr="004460F4" w:rsidR="00DC025F">
        <w:rPr>
          <w:sz w:val="22"/>
          <w:szCs w:val="22"/>
        </w:rPr>
        <w:t>§</w:t>
      </w:r>
      <w:r w:rsidR="00DC025F">
        <w:rPr>
          <w:sz w:val="22"/>
          <w:szCs w:val="22"/>
        </w:rPr>
        <w:t> </w:t>
      </w:r>
      <w:r w:rsidRPr="00AB1E80" w:rsidR="0026132B">
        <w:rPr>
          <w:sz w:val="22"/>
          <w:szCs w:val="22"/>
        </w:rPr>
        <w:t>201</w:t>
      </w:r>
      <w:r w:rsidR="00640B4E">
        <w:rPr>
          <w:sz w:val="22"/>
          <w:szCs w:val="22"/>
        </w:rPr>
        <w:t>(b)</w:t>
      </w:r>
      <w:r w:rsidRPr="00AB1E80" w:rsidR="0026132B">
        <w:rPr>
          <w:sz w:val="22"/>
          <w:szCs w:val="22"/>
        </w:rPr>
        <w:t xml:space="preserve">, requires that </w:t>
      </w:r>
      <w:r w:rsidRPr="00AB1E80" w:rsidR="00BB5F7C">
        <w:rPr>
          <w:sz w:val="22"/>
          <w:szCs w:val="22"/>
        </w:rPr>
        <w:t xml:space="preserve">ICS </w:t>
      </w:r>
      <w:r w:rsidRPr="004460F4" w:rsidR="0026132B">
        <w:rPr>
          <w:sz w:val="22"/>
          <w:szCs w:val="22"/>
        </w:rPr>
        <w:t xml:space="preserve">providers’ </w:t>
      </w:r>
      <w:r w:rsidRPr="004460F4" w:rsidR="004153C5">
        <w:rPr>
          <w:sz w:val="22"/>
          <w:szCs w:val="22"/>
        </w:rPr>
        <w:t xml:space="preserve">interstate and international </w:t>
      </w:r>
      <w:r w:rsidRPr="004460F4" w:rsidR="0026132B">
        <w:rPr>
          <w:sz w:val="22"/>
          <w:szCs w:val="22"/>
        </w:rPr>
        <w:t>rates and practices be just and reasonable.</w:t>
      </w:r>
      <w:r w:rsidRPr="004460F4" w:rsidR="009063AF">
        <w:rPr>
          <w:sz w:val="22"/>
          <w:szCs w:val="22"/>
        </w:rPr>
        <w:t xml:space="preserve"> </w:t>
      </w:r>
      <w:r w:rsidRPr="004460F4" w:rsidR="0026132B">
        <w:rPr>
          <w:sz w:val="22"/>
          <w:szCs w:val="22"/>
        </w:rPr>
        <w:t xml:space="preserve"> Section 276 of the Act, 47 U.S.C. </w:t>
      </w:r>
      <w:r w:rsidRPr="004460F4" w:rsidR="007A7A22">
        <w:rPr>
          <w:sz w:val="22"/>
          <w:szCs w:val="22"/>
        </w:rPr>
        <w:t>§</w:t>
      </w:r>
      <w:r w:rsidR="001D190E">
        <w:rPr>
          <w:sz w:val="22"/>
          <w:szCs w:val="22"/>
        </w:rPr>
        <w:t> </w:t>
      </w:r>
      <w:r w:rsidRPr="00AB1E80" w:rsidR="0026132B">
        <w:rPr>
          <w:sz w:val="22"/>
          <w:szCs w:val="22"/>
        </w:rPr>
        <w:t xml:space="preserve">276, requires that payphone service providers (including </w:t>
      </w:r>
      <w:r w:rsidRPr="004460F4" w:rsidR="0026132B">
        <w:rPr>
          <w:sz w:val="22"/>
          <w:szCs w:val="22"/>
        </w:rPr>
        <w:t>ICS providers) be fairly compensated</w:t>
      </w:r>
      <w:r w:rsidRPr="004460F4" w:rsidR="00FE7DC4">
        <w:rPr>
          <w:sz w:val="22"/>
          <w:szCs w:val="22"/>
        </w:rPr>
        <w:t xml:space="preserve"> for completed calls</w:t>
      </w:r>
      <w:r w:rsidRPr="004460F4" w:rsidR="0026132B">
        <w:rPr>
          <w:sz w:val="22"/>
          <w:szCs w:val="22"/>
        </w:rPr>
        <w:t>.</w:t>
      </w:r>
      <w:r w:rsidR="002C09DB">
        <w:rPr>
          <w:sz w:val="22"/>
          <w:szCs w:val="22"/>
        </w:rPr>
        <w:t xml:space="preserve"> </w:t>
      </w:r>
    </w:p>
    <w:p w:rsidRPr="00447E7B" w:rsidR="00447E7B" w:rsidP="003A6944" w:rsidRDefault="00447E7B" w14:paraId="6305CC49" w14:textId="77777777">
      <w:pPr>
        <w:rPr>
          <w:b/>
          <w:i/>
          <w:sz w:val="22"/>
          <w:szCs w:val="22"/>
        </w:rPr>
      </w:pPr>
    </w:p>
    <w:p w:rsidR="006C364F" w:rsidP="006C364F" w:rsidRDefault="00C2637D" w14:paraId="3D0725C4" w14:textId="3D17D74B">
      <w:pPr>
        <w:pStyle w:val="ParaNumChar1"/>
        <w:tabs>
          <w:tab w:val="clear" w:pos="1080"/>
          <w:tab w:val="clear" w:pos="1440"/>
          <w:tab w:val="left" w:pos="720"/>
        </w:tabs>
        <w:ind w:firstLine="0"/>
        <w:rPr>
          <w:szCs w:val="22"/>
        </w:rPr>
      </w:pPr>
      <w:r>
        <w:rPr>
          <w:szCs w:val="22"/>
        </w:rPr>
        <w:tab/>
      </w:r>
      <w:r w:rsidRPr="00D7761B" w:rsidR="00DC025F">
        <w:rPr>
          <w:i/>
          <w:iCs/>
          <w:szCs w:val="22"/>
        </w:rPr>
        <w:t>Annual Reports</w:t>
      </w:r>
      <w:r w:rsidR="00DC025F">
        <w:rPr>
          <w:szCs w:val="22"/>
        </w:rPr>
        <w:t xml:space="preserve">.  </w:t>
      </w:r>
      <w:r w:rsidR="00722332">
        <w:rPr>
          <w:szCs w:val="22"/>
        </w:rPr>
        <w:t>In the</w:t>
      </w:r>
      <w:r w:rsidR="00730E82">
        <w:rPr>
          <w:szCs w:val="22"/>
        </w:rPr>
        <w:t xml:space="preserve"> </w:t>
      </w:r>
      <w:r w:rsidR="005B18A7">
        <w:rPr>
          <w:i/>
          <w:szCs w:val="22"/>
        </w:rPr>
        <w:t xml:space="preserve">2015 ICS </w:t>
      </w:r>
      <w:r w:rsidRPr="004460F4" w:rsidR="00015BEB">
        <w:rPr>
          <w:i/>
          <w:szCs w:val="22"/>
        </w:rPr>
        <w:t>Order</w:t>
      </w:r>
      <w:r w:rsidRPr="004460F4" w:rsidR="0006415C">
        <w:rPr>
          <w:i/>
          <w:szCs w:val="22"/>
        </w:rPr>
        <w:t>,</w:t>
      </w:r>
      <w:r w:rsidRPr="009F3BD2" w:rsidR="009520AB">
        <w:rPr>
          <w:rStyle w:val="FootnoteReference"/>
          <w:sz w:val="20"/>
        </w:rPr>
        <w:footnoteReference w:id="2"/>
      </w:r>
      <w:r w:rsidRPr="00AB1E80" w:rsidR="006C685C">
        <w:rPr>
          <w:szCs w:val="22"/>
        </w:rPr>
        <w:t xml:space="preserve"> </w:t>
      </w:r>
      <w:r w:rsidR="00722332">
        <w:rPr>
          <w:szCs w:val="22"/>
        </w:rPr>
        <w:t xml:space="preserve">the Commission </w:t>
      </w:r>
      <w:r w:rsidRPr="004460F4" w:rsidR="00015BEB">
        <w:rPr>
          <w:szCs w:val="22"/>
        </w:rPr>
        <w:t>undertook comprehensive reform of the ICS marketplace.</w:t>
      </w:r>
      <w:r w:rsidRPr="00AB1E80" w:rsidR="00015BEB">
        <w:rPr>
          <w:szCs w:val="22"/>
        </w:rPr>
        <w:t xml:space="preserve"> </w:t>
      </w:r>
      <w:r w:rsidRPr="00AB1E80" w:rsidR="000534FD">
        <w:rPr>
          <w:szCs w:val="22"/>
        </w:rPr>
        <w:t xml:space="preserve"> </w:t>
      </w:r>
      <w:bookmarkStart w:name="_Hlk15923025" w:id="0"/>
      <w:r w:rsidRPr="004460F4" w:rsidR="009A6D77">
        <w:rPr>
          <w:szCs w:val="22"/>
        </w:rPr>
        <w:t xml:space="preserve">To enable the Commission to </w:t>
      </w:r>
      <w:bookmarkStart w:name="_Hlk27407176" w:id="1"/>
      <w:r w:rsidR="0054259E">
        <w:rPr>
          <w:szCs w:val="22"/>
        </w:rPr>
        <w:t xml:space="preserve">monitor </w:t>
      </w:r>
      <w:r w:rsidRPr="004460F4" w:rsidR="009A6D77">
        <w:rPr>
          <w:szCs w:val="22"/>
        </w:rPr>
        <w:t xml:space="preserve">and track trends in the </w:t>
      </w:r>
      <w:r w:rsidRPr="00CA240C" w:rsidR="009A6D77">
        <w:rPr>
          <w:szCs w:val="22"/>
        </w:rPr>
        <w:t>ICS market</w:t>
      </w:r>
      <w:r w:rsidRPr="00CA240C" w:rsidR="009063AF">
        <w:rPr>
          <w:szCs w:val="22"/>
        </w:rPr>
        <w:t>place</w:t>
      </w:r>
      <w:r w:rsidRPr="00CA240C" w:rsidR="009A6D77">
        <w:rPr>
          <w:szCs w:val="22"/>
        </w:rPr>
        <w:t xml:space="preserve">, </w:t>
      </w:r>
      <w:r w:rsidR="0054259E">
        <w:rPr>
          <w:szCs w:val="22"/>
        </w:rPr>
        <w:t xml:space="preserve">increase provider transparency, </w:t>
      </w:r>
      <w:r w:rsidRPr="00CA240C" w:rsidR="009A6D77">
        <w:rPr>
          <w:szCs w:val="22"/>
        </w:rPr>
        <w:t>a</w:t>
      </w:r>
      <w:r w:rsidRPr="00CA240C" w:rsidR="00D94F0C">
        <w:rPr>
          <w:szCs w:val="22"/>
        </w:rPr>
        <w:t xml:space="preserve">nd </w:t>
      </w:r>
      <w:r w:rsidR="0054259E">
        <w:rPr>
          <w:szCs w:val="22"/>
        </w:rPr>
        <w:t xml:space="preserve">ensure </w:t>
      </w:r>
      <w:r w:rsidRPr="00CA240C" w:rsidR="009A6D77">
        <w:rPr>
          <w:szCs w:val="22"/>
        </w:rPr>
        <w:t xml:space="preserve">compliance with </w:t>
      </w:r>
      <w:r w:rsidRPr="00CA240C" w:rsidR="00D94F0C">
        <w:rPr>
          <w:szCs w:val="22"/>
        </w:rPr>
        <w:t>the</w:t>
      </w:r>
      <w:bookmarkEnd w:id="1"/>
      <w:r w:rsidR="00706523">
        <w:rPr>
          <w:szCs w:val="22"/>
        </w:rPr>
        <w:t xml:space="preserve"> Commission’s rules</w:t>
      </w:r>
      <w:r w:rsidRPr="00CA240C" w:rsidR="009A6D77">
        <w:rPr>
          <w:szCs w:val="22"/>
        </w:rPr>
        <w:t>,</w:t>
      </w:r>
      <w:r w:rsidRPr="00CA240C" w:rsidR="000858BC">
        <w:rPr>
          <w:szCs w:val="22"/>
        </w:rPr>
        <w:t xml:space="preserve"> </w:t>
      </w:r>
      <w:bookmarkEnd w:id="0"/>
      <w:r w:rsidRPr="00CA240C" w:rsidR="009A6D77">
        <w:rPr>
          <w:szCs w:val="22"/>
        </w:rPr>
        <w:t xml:space="preserve">the Commission required all ICS providers to </w:t>
      </w:r>
      <w:r w:rsidRPr="00CA240C" w:rsidR="00255597">
        <w:rPr>
          <w:szCs w:val="22"/>
        </w:rPr>
        <w:t xml:space="preserve">file </w:t>
      </w:r>
      <w:r w:rsidR="00B72FED">
        <w:rPr>
          <w:szCs w:val="22"/>
        </w:rPr>
        <w:t>A</w:t>
      </w:r>
      <w:r w:rsidRPr="00CA240C" w:rsidR="00F443F3">
        <w:rPr>
          <w:szCs w:val="22"/>
        </w:rPr>
        <w:t>n</w:t>
      </w:r>
      <w:r w:rsidRPr="00CA240C" w:rsidR="00A03F5D">
        <w:rPr>
          <w:szCs w:val="22"/>
        </w:rPr>
        <w:t xml:space="preserve">nual </w:t>
      </w:r>
      <w:r w:rsidR="00B72FED">
        <w:rPr>
          <w:szCs w:val="22"/>
        </w:rPr>
        <w:t>R</w:t>
      </w:r>
      <w:r w:rsidRPr="00CA240C" w:rsidR="00A03F5D">
        <w:rPr>
          <w:szCs w:val="22"/>
        </w:rPr>
        <w:t xml:space="preserve">eports providing </w:t>
      </w:r>
      <w:r w:rsidR="004B1A9A">
        <w:rPr>
          <w:szCs w:val="22"/>
        </w:rPr>
        <w:t xml:space="preserve">ICS rate </w:t>
      </w:r>
      <w:r w:rsidRPr="00CA240C" w:rsidR="00A03F5D">
        <w:rPr>
          <w:szCs w:val="22"/>
        </w:rPr>
        <w:t xml:space="preserve">data and other information on </w:t>
      </w:r>
      <w:r w:rsidRPr="00CA240C" w:rsidR="009A6D77">
        <w:rPr>
          <w:szCs w:val="22"/>
        </w:rPr>
        <w:t>their ICS</w:t>
      </w:r>
      <w:r w:rsidRPr="00CA240C" w:rsidR="00A03F5D">
        <w:rPr>
          <w:szCs w:val="22"/>
        </w:rPr>
        <w:t xml:space="preserve"> operations</w:t>
      </w:r>
      <w:r w:rsidRPr="00CA240C" w:rsidR="009A6D77">
        <w:rPr>
          <w:szCs w:val="22"/>
        </w:rPr>
        <w:t>.</w:t>
      </w:r>
      <w:r w:rsidRPr="00B60941" w:rsidR="00C230BA">
        <w:rPr>
          <w:rStyle w:val="FootnoteReference"/>
          <w:sz w:val="20"/>
        </w:rPr>
        <w:footnoteReference w:id="3"/>
      </w:r>
      <w:r w:rsidRPr="00CA240C" w:rsidR="00FE7DC4">
        <w:rPr>
          <w:szCs w:val="22"/>
        </w:rPr>
        <w:t xml:space="preserve"> </w:t>
      </w:r>
      <w:r w:rsidR="00971D58">
        <w:rPr>
          <w:szCs w:val="22"/>
        </w:rPr>
        <w:t xml:space="preserve"> </w:t>
      </w:r>
      <w:r w:rsidRPr="004460F4" w:rsidR="006C364F">
        <w:rPr>
          <w:szCs w:val="22"/>
        </w:rPr>
        <w:t xml:space="preserve">Pursuant to the authority delegated to it by the Commission in the </w:t>
      </w:r>
      <w:r w:rsidRPr="004460F4" w:rsidR="006C364F">
        <w:rPr>
          <w:i/>
          <w:szCs w:val="22"/>
        </w:rPr>
        <w:t xml:space="preserve">2015 </w:t>
      </w:r>
      <w:r w:rsidR="00B917C1">
        <w:rPr>
          <w:i/>
          <w:szCs w:val="22"/>
        </w:rPr>
        <w:t xml:space="preserve">ICS </w:t>
      </w:r>
      <w:r w:rsidRPr="004460F4" w:rsidR="006C364F">
        <w:rPr>
          <w:i/>
          <w:szCs w:val="22"/>
        </w:rPr>
        <w:t>Order</w:t>
      </w:r>
      <w:r w:rsidRPr="004460F4" w:rsidR="006C364F">
        <w:rPr>
          <w:szCs w:val="22"/>
        </w:rPr>
        <w:t>,</w:t>
      </w:r>
      <w:r w:rsidRPr="00B60941" w:rsidR="004C0565">
        <w:rPr>
          <w:rStyle w:val="FootnoteReference"/>
          <w:sz w:val="20"/>
        </w:rPr>
        <w:footnoteReference w:id="4"/>
      </w:r>
      <w:r w:rsidRPr="004460F4" w:rsidR="006C364F">
        <w:rPr>
          <w:szCs w:val="22"/>
        </w:rPr>
        <w:t xml:space="preserve"> the Wireline Competition Bureau (Bureau) created </w:t>
      </w:r>
      <w:r w:rsidR="00D33BE6">
        <w:rPr>
          <w:szCs w:val="22"/>
        </w:rPr>
        <w:t xml:space="preserve">a </w:t>
      </w:r>
      <w:r w:rsidRPr="004460F4" w:rsidR="006C364F">
        <w:rPr>
          <w:szCs w:val="22"/>
        </w:rPr>
        <w:t xml:space="preserve">standardized </w:t>
      </w:r>
      <w:r w:rsidR="00652822">
        <w:rPr>
          <w:szCs w:val="22"/>
        </w:rPr>
        <w:t xml:space="preserve">reporting </w:t>
      </w:r>
      <w:r w:rsidRPr="004460F4" w:rsidR="006C364F">
        <w:rPr>
          <w:bCs/>
          <w:szCs w:val="22"/>
        </w:rPr>
        <w:t xml:space="preserve">template </w:t>
      </w:r>
      <w:r w:rsidR="00DA21D0">
        <w:rPr>
          <w:bCs/>
          <w:szCs w:val="22"/>
        </w:rPr>
        <w:t>(FCC Form 2301(a)</w:t>
      </w:r>
      <w:r w:rsidR="00D33BE6">
        <w:rPr>
          <w:bCs/>
          <w:szCs w:val="22"/>
        </w:rPr>
        <w:t>)</w:t>
      </w:r>
      <w:r w:rsidR="00DA21D0">
        <w:rPr>
          <w:bCs/>
          <w:szCs w:val="22"/>
        </w:rPr>
        <w:t>,</w:t>
      </w:r>
      <w:r w:rsidRPr="00B60941" w:rsidR="00BA010A">
        <w:rPr>
          <w:rStyle w:val="FootnoteReference"/>
          <w:bCs/>
          <w:sz w:val="20"/>
        </w:rPr>
        <w:footnoteReference w:id="5"/>
      </w:r>
      <w:r w:rsidR="00DA21D0">
        <w:rPr>
          <w:bCs/>
          <w:szCs w:val="22"/>
        </w:rPr>
        <w:t xml:space="preserve"> as well as instructions to guide providers through the reporting process.  </w:t>
      </w:r>
      <w:r w:rsidRPr="004460F4" w:rsidR="006C364F">
        <w:rPr>
          <w:bCs/>
          <w:szCs w:val="22"/>
        </w:rPr>
        <w:t xml:space="preserve">The </w:t>
      </w:r>
      <w:r w:rsidR="00AC7B37">
        <w:rPr>
          <w:bCs/>
          <w:szCs w:val="22"/>
        </w:rPr>
        <w:t>instructions explain</w:t>
      </w:r>
      <w:r w:rsidR="00A11CA7">
        <w:rPr>
          <w:bCs/>
          <w:szCs w:val="22"/>
        </w:rPr>
        <w:t>ed</w:t>
      </w:r>
      <w:r w:rsidR="00AC7B37">
        <w:rPr>
          <w:bCs/>
          <w:szCs w:val="22"/>
        </w:rPr>
        <w:t xml:space="preserve"> </w:t>
      </w:r>
      <w:r w:rsidRPr="004460F4" w:rsidR="006C364F">
        <w:rPr>
          <w:bCs/>
          <w:szCs w:val="22"/>
        </w:rPr>
        <w:t>the reporting and certification requirements.</w:t>
      </w:r>
      <w:r w:rsidRPr="00B60941" w:rsidR="00260DE4">
        <w:rPr>
          <w:rStyle w:val="FootnoteReference"/>
          <w:bCs/>
          <w:sz w:val="20"/>
        </w:rPr>
        <w:footnoteReference w:id="6"/>
      </w:r>
    </w:p>
    <w:p w:rsidR="00260DE4" w:rsidP="00B9102C" w:rsidRDefault="00971D58" w14:paraId="4BFB55BB" w14:textId="77777777">
      <w:pPr>
        <w:pStyle w:val="ParaNumChar1"/>
        <w:tabs>
          <w:tab w:val="clear" w:pos="1080"/>
          <w:tab w:val="clear" w:pos="1440"/>
          <w:tab w:val="left" w:pos="720"/>
        </w:tabs>
        <w:ind w:firstLine="0"/>
        <w:rPr>
          <w:szCs w:val="22"/>
        </w:rPr>
      </w:pPr>
      <w:r>
        <w:rPr>
          <w:szCs w:val="22"/>
        </w:rPr>
        <w:tab/>
      </w:r>
      <w:bookmarkStart w:name="_Hlk17101997" w:id="3"/>
      <w:r w:rsidRPr="00D7761B" w:rsidR="00260DE4">
        <w:rPr>
          <w:i/>
          <w:iCs/>
          <w:szCs w:val="22"/>
        </w:rPr>
        <w:t>Certification Requirement</w:t>
      </w:r>
      <w:r w:rsidR="00260DE4">
        <w:rPr>
          <w:szCs w:val="22"/>
        </w:rPr>
        <w:t xml:space="preserve">.  The Commission also required that an officer of each ICS provider certify annually as to the accuracy of the data and other information submitted in the provider’s Annual Report.  </w:t>
      </w:r>
      <w:r w:rsidRPr="004460F4" w:rsidR="00260DE4">
        <w:rPr>
          <w:szCs w:val="22"/>
        </w:rPr>
        <w:t xml:space="preserve">Pursuant to </w:t>
      </w:r>
      <w:r w:rsidR="00260DE4">
        <w:rPr>
          <w:szCs w:val="22"/>
        </w:rPr>
        <w:t xml:space="preserve">its delegated </w:t>
      </w:r>
      <w:r w:rsidRPr="004460F4" w:rsidR="00260DE4">
        <w:rPr>
          <w:szCs w:val="22"/>
        </w:rPr>
        <w:t>authority</w:t>
      </w:r>
      <w:r w:rsidR="00260DE4">
        <w:rPr>
          <w:szCs w:val="22"/>
        </w:rPr>
        <w:t>,</w:t>
      </w:r>
      <w:r w:rsidRPr="00B60941" w:rsidR="00260DE4">
        <w:rPr>
          <w:rStyle w:val="FootnoteReference"/>
          <w:sz w:val="20"/>
        </w:rPr>
        <w:footnoteReference w:id="7"/>
      </w:r>
      <w:r w:rsidRPr="004460F4" w:rsidR="00260DE4">
        <w:rPr>
          <w:szCs w:val="22"/>
        </w:rPr>
        <w:t xml:space="preserve"> </w:t>
      </w:r>
      <w:r w:rsidR="00260DE4">
        <w:rPr>
          <w:szCs w:val="22"/>
        </w:rPr>
        <w:t xml:space="preserve">the </w:t>
      </w:r>
      <w:r w:rsidRPr="004460F4" w:rsidR="00260DE4">
        <w:rPr>
          <w:szCs w:val="22"/>
        </w:rPr>
        <w:t xml:space="preserve">Bureau created </w:t>
      </w:r>
      <w:r w:rsidR="00260DE4">
        <w:rPr>
          <w:szCs w:val="22"/>
        </w:rPr>
        <w:t xml:space="preserve">a form </w:t>
      </w:r>
      <w:r w:rsidR="00260DE4">
        <w:rPr>
          <w:bCs/>
          <w:szCs w:val="22"/>
        </w:rPr>
        <w:t>(FCC Form 2301(b)) and related instructions for this certification, which also requires that the officer certify as</w:t>
      </w:r>
      <w:r w:rsidR="00260DE4">
        <w:rPr>
          <w:szCs w:val="22"/>
        </w:rPr>
        <w:t xml:space="preserve"> to the provider’s compliance with the Commission’s ICS rules.</w:t>
      </w:r>
      <w:r w:rsidRPr="00AB1E80" w:rsidR="00390ED2">
        <w:rPr>
          <w:szCs w:val="22"/>
        </w:rPr>
        <w:t xml:space="preserve"> </w:t>
      </w:r>
    </w:p>
    <w:p w:rsidR="00260DE4" w:rsidP="00B9102C" w:rsidRDefault="00260DE4" w14:paraId="2E6D387D" w14:textId="73A30173">
      <w:pPr>
        <w:pStyle w:val="ParaNumChar1"/>
        <w:tabs>
          <w:tab w:val="clear" w:pos="1080"/>
          <w:tab w:val="clear" w:pos="1440"/>
          <w:tab w:val="left" w:pos="720"/>
        </w:tabs>
        <w:ind w:firstLine="0"/>
        <w:rPr>
          <w:szCs w:val="22"/>
        </w:rPr>
      </w:pPr>
      <w:r>
        <w:rPr>
          <w:szCs w:val="22"/>
        </w:rPr>
        <w:tab/>
      </w:r>
      <w:r w:rsidRPr="000C1163">
        <w:rPr>
          <w:i/>
          <w:szCs w:val="22"/>
        </w:rPr>
        <w:t>Consumer Disclosure Requirement</w:t>
      </w:r>
      <w:r>
        <w:rPr>
          <w:i/>
          <w:szCs w:val="22"/>
        </w:rPr>
        <w:t>s</w:t>
      </w:r>
      <w:r>
        <w:rPr>
          <w:szCs w:val="22"/>
        </w:rPr>
        <w:t xml:space="preserve">.  The Commission further </w:t>
      </w:r>
      <w:r w:rsidRPr="004460F4">
        <w:rPr>
          <w:szCs w:val="22"/>
        </w:rPr>
        <w:t>required ICS providers to disclose to consumers their interstate, intrastate, and international rates and ancillary service charges</w:t>
      </w:r>
      <w:r>
        <w:rPr>
          <w:szCs w:val="22"/>
        </w:rPr>
        <w:t xml:space="preserve"> on their </w:t>
      </w:r>
      <w:r>
        <w:rPr>
          <w:szCs w:val="22"/>
        </w:rPr>
        <w:lastRenderedPageBreak/>
        <w:t>websites or in another reasonable manner readily available to consumers.</w:t>
      </w:r>
      <w:r w:rsidRPr="00B60941">
        <w:rPr>
          <w:rStyle w:val="FootnoteReference"/>
          <w:sz w:val="20"/>
        </w:rPr>
        <w:footnoteReference w:id="8"/>
      </w:r>
      <w:r w:rsidRPr="00B60941">
        <w:rPr>
          <w:sz w:val="20"/>
        </w:rPr>
        <w:t xml:space="preserve"> </w:t>
      </w:r>
      <w:r>
        <w:rPr>
          <w:szCs w:val="22"/>
        </w:rPr>
        <w:t xml:space="preserve"> </w:t>
      </w:r>
      <w:r w:rsidRPr="004460F4">
        <w:rPr>
          <w:szCs w:val="22"/>
        </w:rPr>
        <w:t>The Commission did not dictate the precise form of the consumer disclosure, but stated that it would evaluate disclosures for reasonableness based on a number of factors, including disclosure of information regarding all material charges and use of plain language that can be readily understood by end users.</w:t>
      </w:r>
    </w:p>
    <w:p w:rsidRPr="00B9102C" w:rsidR="0014675A" w:rsidP="00B9102C" w:rsidRDefault="00260DE4" w14:paraId="5B710B03" w14:textId="70CB84D0">
      <w:pPr>
        <w:pStyle w:val="ParaNumChar1"/>
        <w:tabs>
          <w:tab w:val="clear" w:pos="1080"/>
          <w:tab w:val="clear" w:pos="1440"/>
          <w:tab w:val="left" w:pos="720"/>
        </w:tabs>
        <w:ind w:firstLine="0"/>
        <w:rPr>
          <w:szCs w:val="22"/>
        </w:rPr>
      </w:pPr>
      <w:r>
        <w:rPr>
          <w:szCs w:val="22"/>
        </w:rPr>
        <w:tab/>
      </w:r>
      <w:r w:rsidR="00F83CCA">
        <w:rPr>
          <w:szCs w:val="22"/>
        </w:rPr>
        <w:t>In 2020</w:t>
      </w:r>
      <w:r w:rsidR="004B7714">
        <w:rPr>
          <w:szCs w:val="22"/>
        </w:rPr>
        <w:t>, t</w:t>
      </w:r>
      <w:r w:rsidR="007919EC">
        <w:rPr>
          <w:szCs w:val="22"/>
        </w:rPr>
        <w:t xml:space="preserve">he </w:t>
      </w:r>
      <w:r w:rsidR="00D91DF9">
        <w:rPr>
          <w:szCs w:val="22"/>
        </w:rPr>
        <w:t xml:space="preserve">Commission </w:t>
      </w:r>
      <w:r w:rsidR="00B60FC9">
        <w:rPr>
          <w:szCs w:val="22"/>
        </w:rPr>
        <w:t>revised the instructions and template for the Annual Reports in order to improve the quality of the information collected.</w:t>
      </w:r>
      <w:r w:rsidRPr="00B60941" w:rsidR="00B60FC9">
        <w:rPr>
          <w:rStyle w:val="FootnoteReference"/>
          <w:sz w:val="20"/>
        </w:rPr>
        <w:footnoteReference w:id="9"/>
      </w:r>
      <w:r w:rsidR="00B60FC9">
        <w:rPr>
          <w:szCs w:val="22"/>
        </w:rPr>
        <w:t xml:space="preserve"> </w:t>
      </w:r>
      <w:r w:rsidR="005C6569">
        <w:rPr>
          <w:szCs w:val="22"/>
        </w:rPr>
        <w:t xml:space="preserve"> </w:t>
      </w:r>
      <w:r w:rsidR="00B60FC9">
        <w:rPr>
          <w:szCs w:val="22"/>
        </w:rPr>
        <w:t xml:space="preserve">These revisions reflected </w:t>
      </w:r>
      <w:r w:rsidR="00CF5B48">
        <w:rPr>
          <w:szCs w:val="22"/>
        </w:rPr>
        <w:t>formal and informal input from ICS providers</w:t>
      </w:r>
      <w:r w:rsidR="007919EC">
        <w:rPr>
          <w:szCs w:val="22"/>
        </w:rPr>
        <w:t>,</w:t>
      </w:r>
      <w:r w:rsidR="00CF5B48">
        <w:rPr>
          <w:szCs w:val="22"/>
        </w:rPr>
        <w:t xml:space="preserve"> as well as the Commission’s staff</w:t>
      </w:r>
      <w:r w:rsidR="00F83CCA">
        <w:rPr>
          <w:szCs w:val="22"/>
        </w:rPr>
        <w:t>’s</w:t>
      </w:r>
      <w:r w:rsidR="00CF5B48">
        <w:rPr>
          <w:szCs w:val="22"/>
        </w:rPr>
        <w:t xml:space="preserve"> experience in analyzing the </w:t>
      </w:r>
      <w:r w:rsidR="008A3652">
        <w:rPr>
          <w:szCs w:val="22"/>
        </w:rPr>
        <w:t>A</w:t>
      </w:r>
      <w:r w:rsidR="00CF5B48">
        <w:rPr>
          <w:szCs w:val="22"/>
        </w:rPr>
        <w:t xml:space="preserve">nnual </w:t>
      </w:r>
      <w:r w:rsidR="008A3652">
        <w:rPr>
          <w:szCs w:val="22"/>
        </w:rPr>
        <w:t>R</w:t>
      </w:r>
      <w:r w:rsidR="00CF5B48">
        <w:rPr>
          <w:szCs w:val="22"/>
        </w:rPr>
        <w:t>eports.</w:t>
      </w:r>
      <w:r w:rsidR="000F2F62">
        <w:rPr>
          <w:szCs w:val="22"/>
        </w:rPr>
        <w:t xml:space="preserve"> </w:t>
      </w:r>
      <w:r w:rsidR="008345A4">
        <w:rPr>
          <w:szCs w:val="22"/>
        </w:rPr>
        <w:t xml:space="preserve"> </w:t>
      </w:r>
      <w:r w:rsidR="001B03B0">
        <w:rPr>
          <w:szCs w:val="22"/>
        </w:rPr>
        <w:t xml:space="preserve">The amended instructions </w:t>
      </w:r>
      <w:r w:rsidR="000819EF">
        <w:rPr>
          <w:szCs w:val="22"/>
        </w:rPr>
        <w:t>were</w:t>
      </w:r>
      <w:r w:rsidR="00CF5B48">
        <w:rPr>
          <w:szCs w:val="22"/>
        </w:rPr>
        <w:t xml:space="preserve"> clearer </w:t>
      </w:r>
      <w:r w:rsidR="000819EF">
        <w:rPr>
          <w:szCs w:val="22"/>
        </w:rPr>
        <w:t xml:space="preserve">than the original instructions and resulted in </w:t>
      </w:r>
      <w:r w:rsidR="008A3652">
        <w:rPr>
          <w:szCs w:val="22"/>
        </w:rPr>
        <w:t>A</w:t>
      </w:r>
      <w:r w:rsidRPr="004460F4" w:rsidR="00CF5B48">
        <w:rPr>
          <w:szCs w:val="22"/>
        </w:rPr>
        <w:t xml:space="preserve">nnual </w:t>
      </w:r>
      <w:r w:rsidR="008A3652">
        <w:rPr>
          <w:szCs w:val="22"/>
        </w:rPr>
        <w:t>R</w:t>
      </w:r>
      <w:r w:rsidRPr="004460F4" w:rsidR="00CF5B48">
        <w:rPr>
          <w:szCs w:val="22"/>
        </w:rPr>
        <w:t>eport</w:t>
      </w:r>
      <w:r w:rsidR="00CF5B48">
        <w:rPr>
          <w:szCs w:val="22"/>
        </w:rPr>
        <w:t xml:space="preserve">s </w:t>
      </w:r>
      <w:r w:rsidR="000819EF">
        <w:rPr>
          <w:szCs w:val="22"/>
        </w:rPr>
        <w:t xml:space="preserve">that were </w:t>
      </w:r>
      <w:r w:rsidR="00CF5B48">
        <w:rPr>
          <w:szCs w:val="22"/>
        </w:rPr>
        <w:t xml:space="preserve">easier to understand and </w:t>
      </w:r>
      <w:r w:rsidRPr="004460F4" w:rsidR="00CF5B48">
        <w:rPr>
          <w:szCs w:val="22"/>
        </w:rPr>
        <w:t>analyze</w:t>
      </w:r>
      <w:bookmarkEnd w:id="3"/>
      <w:r w:rsidR="00926D2E">
        <w:rPr>
          <w:szCs w:val="22"/>
        </w:rPr>
        <w:t>.</w:t>
      </w:r>
      <w:r w:rsidR="0060163E">
        <w:rPr>
          <w:szCs w:val="22"/>
        </w:rPr>
        <w:t xml:space="preserve">  </w:t>
      </w:r>
    </w:p>
    <w:p w:rsidRPr="00B60941" w:rsidR="00530A9F" w:rsidP="00FF7281" w:rsidRDefault="0014675A" w14:paraId="70D9FDAD" w14:textId="4FD71B2D">
      <w:pPr>
        <w:rPr>
          <w:sz w:val="22"/>
          <w:szCs w:val="22"/>
        </w:rPr>
      </w:pPr>
      <w:r w:rsidRPr="00B60941">
        <w:rPr>
          <w:sz w:val="22"/>
          <w:szCs w:val="22"/>
        </w:rPr>
        <w:tab/>
      </w:r>
      <w:r w:rsidRPr="00B60941" w:rsidR="001C4554">
        <w:rPr>
          <w:sz w:val="22"/>
          <w:szCs w:val="22"/>
        </w:rPr>
        <w:t xml:space="preserve">On May 24, 2021, the Commission released the </w:t>
      </w:r>
      <w:r w:rsidRPr="00B60941" w:rsidR="00066BD3">
        <w:rPr>
          <w:i/>
          <w:sz w:val="22"/>
          <w:szCs w:val="22"/>
        </w:rPr>
        <w:t>202</w:t>
      </w:r>
      <w:r w:rsidRPr="00B60941" w:rsidR="00C614D3">
        <w:rPr>
          <w:i/>
          <w:sz w:val="22"/>
          <w:szCs w:val="22"/>
        </w:rPr>
        <w:t>1 ICS Order</w:t>
      </w:r>
      <w:r w:rsidRPr="00B60941" w:rsidR="00C614D3">
        <w:rPr>
          <w:sz w:val="22"/>
          <w:szCs w:val="22"/>
        </w:rPr>
        <w:t>,</w:t>
      </w:r>
      <w:r w:rsidRPr="00B60941" w:rsidR="00C614D3">
        <w:rPr>
          <w:rStyle w:val="FootnoteReference"/>
          <w:sz w:val="20"/>
        </w:rPr>
        <w:footnoteReference w:id="10"/>
      </w:r>
      <w:r w:rsidRPr="00B60941" w:rsidR="00C614D3">
        <w:rPr>
          <w:sz w:val="22"/>
          <w:szCs w:val="22"/>
        </w:rPr>
        <w:t xml:space="preserve"> </w:t>
      </w:r>
      <w:r w:rsidRPr="00B60941" w:rsidR="00EE1B5F">
        <w:rPr>
          <w:sz w:val="22"/>
          <w:szCs w:val="22"/>
        </w:rPr>
        <w:t>in which it</w:t>
      </w:r>
      <w:r w:rsidRPr="00B60941" w:rsidR="00D1683E">
        <w:rPr>
          <w:sz w:val="22"/>
          <w:szCs w:val="22"/>
        </w:rPr>
        <w:t xml:space="preserve"> </w:t>
      </w:r>
      <w:r w:rsidRPr="00B60941" w:rsidR="00D82691">
        <w:rPr>
          <w:sz w:val="22"/>
          <w:szCs w:val="22"/>
        </w:rPr>
        <w:t xml:space="preserve">revised its rules by adopting, </w:t>
      </w:r>
      <w:r w:rsidRPr="00B60941" w:rsidR="00D82691">
        <w:rPr>
          <w:i/>
          <w:sz w:val="22"/>
          <w:szCs w:val="22"/>
        </w:rPr>
        <w:t>inter alia</w:t>
      </w:r>
      <w:r w:rsidRPr="00B60941" w:rsidR="00D82691">
        <w:rPr>
          <w:sz w:val="22"/>
          <w:szCs w:val="22"/>
        </w:rPr>
        <w:t xml:space="preserve">, lower interim rate caps for interstate calls, new interim rate caps for international </w:t>
      </w:r>
      <w:r w:rsidRPr="00B60941" w:rsidR="00A77DB6">
        <w:rPr>
          <w:sz w:val="22"/>
          <w:szCs w:val="22"/>
        </w:rPr>
        <w:t xml:space="preserve">ICS </w:t>
      </w:r>
      <w:r w:rsidRPr="00B60941" w:rsidR="00D82691">
        <w:rPr>
          <w:sz w:val="22"/>
          <w:szCs w:val="22"/>
        </w:rPr>
        <w:t>calls, and a rate cap structure that requires ICS providers to differentiate between legally</w:t>
      </w:r>
      <w:r w:rsidRPr="00B60941" w:rsidR="000819EF">
        <w:rPr>
          <w:sz w:val="22"/>
          <w:szCs w:val="22"/>
        </w:rPr>
        <w:t>-</w:t>
      </w:r>
      <w:r w:rsidRPr="00B60941" w:rsidR="00D82691">
        <w:rPr>
          <w:sz w:val="22"/>
          <w:szCs w:val="22"/>
        </w:rPr>
        <w:t>mandated and contractually</w:t>
      </w:r>
      <w:r w:rsidRPr="00B60941" w:rsidR="000819EF">
        <w:rPr>
          <w:sz w:val="22"/>
          <w:szCs w:val="22"/>
        </w:rPr>
        <w:t>-</w:t>
      </w:r>
      <w:r w:rsidRPr="00B60941" w:rsidR="006362B7">
        <w:rPr>
          <w:sz w:val="22"/>
          <w:szCs w:val="22"/>
        </w:rPr>
        <w:t>prescribed</w:t>
      </w:r>
      <w:r w:rsidRPr="00B60941" w:rsidR="00280DFE">
        <w:rPr>
          <w:sz w:val="22"/>
          <w:szCs w:val="22"/>
        </w:rPr>
        <w:t xml:space="preserve"> site commissions</w:t>
      </w:r>
      <w:r w:rsidRPr="00B60941" w:rsidR="00366145">
        <w:rPr>
          <w:sz w:val="22"/>
          <w:szCs w:val="22"/>
        </w:rPr>
        <w:t>.</w:t>
      </w:r>
      <w:r w:rsidRPr="00B60941" w:rsidR="00D25625">
        <w:rPr>
          <w:rStyle w:val="FootnoteReference"/>
          <w:sz w:val="20"/>
        </w:rPr>
        <w:footnoteReference w:id="11"/>
      </w:r>
      <w:r w:rsidRPr="00B60941" w:rsidR="00D25625">
        <w:rPr>
          <w:sz w:val="20"/>
        </w:rPr>
        <w:t xml:space="preserve"> </w:t>
      </w:r>
      <w:r w:rsidRPr="00B60941" w:rsidR="00FF7281">
        <w:rPr>
          <w:sz w:val="22"/>
          <w:szCs w:val="22"/>
        </w:rPr>
        <w:t xml:space="preserve"> These rule changes necessitated further changes to the annual reporting and certification templates, which the Wireline Competition Bureau proposed in </w:t>
      </w:r>
      <w:r w:rsidR="004C1CBF">
        <w:rPr>
          <w:sz w:val="22"/>
          <w:szCs w:val="22"/>
        </w:rPr>
        <w:t>a</w:t>
      </w:r>
      <w:r w:rsidRPr="00B60941" w:rsidR="004C1CBF">
        <w:rPr>
          <w:sz w:val="22"/>
          <w:szCs w:val="22"/>
        </w:rPr>
        <w:t xml:space="preserve"> </w:t>
      </w:r>
      <w:r w:rsidRPr="00B60941" w:rsidR="00FF7281">
        <w:rPr>
          <w:i/>
          <w:iCs/>
          <w:sz w:val="22"/>
          <w:szCs w:val="22"/>
        </w:rPr>
        <w:t>December 2021 Public Notice</w:t>
      </w:r>
      <w:r w:rsidRPr="00B60941" w:rsidR="00FF7281">
        <w:rPr>
          <w:sz w:val="22"/>
          <w:szCs w:val="22"/>
        </w:rPr>
        <w:t>.</w:t>
      </w:r>
      <w:r w:rsidRPr="00B60941" w:rsidR="00530A9F">
        <w:rPr>
          <w:rStyle w:val="FootnoteReference"/>
          <w:sz w:val="20"/>
        </w:rPr>
        <w:footnoteReference w:id="12"/>
      </w:r>
      <w:r w:rsidRPr="00B60941" w:rsidR="00FF7281">
        <w:rPr>
          <w:sz w:val="22"/>
          <w:szCs w:val="22"/>
        </w:rPr>
        <w:t xml:space="preserve">  In response to the</w:t>
      </w:r>
      <w:r w:rsidRPr="00B60941" w:rsidR="00530A9F">
        <w:rPr>
          <w:sz w:val="22"/>
          <w:szCs w:val="22"/>
        </w:rPr>
        <w:t xml:space="preserve"> </w:t>
      </w:r>
      <w:r w:rsidRPr="00B60941" w:rsidR="00530A9F">
        <w:rPr>
          <w:i/>
          <w:iCs/>
          <w:sz w:val="22"/>
          <w:szCs w:val="22"/>
        </w:rPr>
        <w:t>Public Notice</w:t>
      </w:r>
      <w:r w:rsidRPr="00B60941" w:rsidR="00530A9F">
        <w:rPr>
          <w:sz w:val="22"/>
          <w:szCs w:val="22"/>
        </w:rPr>
        <w:t xml:space="preserve">, </w:t>
      </w:r>
      <w:r w:rsidRPr="00B60941" w:rsidR="00FF7281">
        <w:rPr>
          <w:sz w:val="22"/>
          <w:szCs w:val="22"/>
        </w:rPr>
        <w:t>the Bureau received comments from ICS providers, public interest advocates, and other interested parties.</w:t>
      </w:r>
    </w:p>
    <w:p w:rsidR="0091075F" w:rsidP="00FF7281" w:rsidRDefault="0091075F" w14:paraId="70968750" w14:textId="77777777">
      <w:pPr>
        <w:rPr>
          <w:szCs w:val="22"/>
        </w:rPr>
      </w:pPr>
    </w:p>
    <w:p w:rsidRPr="00185D03" w:rsidR="00621F0F" w:rsidP="00261F1D" w:rsidRDefault="00530A9F" w14:paraId="6272FF2B" w14:textId="7F6F5825">
      <w:pPr>
        <w:rPr>
          <w:bCs/>
          <w:sz w:val="22"/>
          <w:szCs w:val="22"/>
        </w:rPr>
      </w:pPr>
      <w:r>
        <w:rPr>
          <w:szCs w:val="22"/>
        </w:rPr>
        <w:tab/>
      </w:r>
      <w:r w:rsidRPr="007108BA">
        <w:rPr>
          <w:sz w:val="22"/>
          <w:szCs w:val="22"/>
        </w:rPr>
        <w:t xml:space="preserve">Pursuant to its delegated authority, the Bureau </w:t>
      </w:r>
      <w:r w:rsidRPr="007108BA" w:rsidR="004358F7">
        <w:rPr>
          <w:bCs/>
          <w:sz w:val="22"/>
          <w:szCs w:val="22"/>
        </w:rPr>
        <w:t xml:space="preserve">released </w:t>
      </w:r>
      <w:r w:rsidRPr="007108BA" w:rsidR="00AC33C0">
        <w:rPr>
          <w:bCs/>
          <w:sz w:val="22"/>
          <w:szCs w:val="22"/>
        </w:rPr>
        <w:t>an Order on</w:t>
      </w:r>
      <w:r w:rsidR="002E04F2">
        <w:rPr>
          <w:bCs/>
          <w:sz w:val="22"/>
          <w:szCs w:val="22"/>
        </w:rPr>
        <w:t xml:space="preserve"> June </w:t>
      </w:r>
      <w:r w:rsidR="00B94732">
        <w:rPr>
          <w:bCs/>
          <w:sz w:val="22"/>
          <w:szCs w:val="22"/>
        </w:rPr>
        <w:t>24</w:t>
      </w:r>
      <w:r w:rsidRPr="007108BA" w:rsidR="00AC33C0">
        <w:rPr>
          <w:bCs/>
          <w:sz w:val="22"/>
          <w:szCs w:val="22"/>
        </w:rPr>
        <w:t>, 2022</w:t>
      </w:r>
      <w:r w:rsidRPr="007108BA" w:rsidR="004358F7">
        <w:rPr>
          <w:bCs/>
          <w:sz w:val="22"/>
          <w:szCs w:val="22"/>
        </w:rPr>
        <w:t xml:space="preserve"> adopting </w:t>
      </w:r>
      <w:r w:rsidR="00103F8D">
        <w:rPr>
          <w:bCs/>
          <w:sz w:val="22"/>
          <w:szCs w:val="22"/>
        </w:rPr>
        <w:t xml:space="preserve">revised </w:t>
      </w:r>
      <w:r w:rsidRPr="007108BA" w:rsidR="004358F7">
        <w:rPr>
          <w:bCs/>
          <w:sz w:val="22"/>
          <w:szCs w:val="22"/>
        </w:rPr>
        <w:t xml:space="preserve">instructions </w:t>
      </w:r>
      <w:r w:rsidRPr="007108BA" w:rsidR="006E153A">
        <w:rPr>
          <w:bCs/>
          <w:sz w:val="22"/>
          <w:szCs w:val="22"/>
        </w:rPr>
        <w:t>and templates for</w:t>
      </w:r>
      <w:r w:rsidR="00F83CCA">
        <w:rPr>
          <w:bCs/>
          <w:sz w:val="22"/>
          <w:szCs w:val="22"/>
        </w:rPr>
        <w:t xml:space="preserve"> ICS providers’</w:t>
      </w:r>
      <w:r w:rsidRPr="007108BA" w:rsidR="006E153A">
        <w:rPr>
          <w:bCs/>
          <w:sz w:val="22"/>
          <w:szCs w:val="22"/>
        </w:rPr>
        <w:t xml:space="preserve"> annual reports and certifications.</w:t>
      </w:r>
      <w:r w:rsidRPr="00B60941" w:rsidR="00AC33C0">
        <w:rPr>
          <w:rStyle w:val="FootnoteReference"/>
          <w:bCs/>
          <w:sz w:val="20"/>
        </w:rPr>
        <w:footnoteReference w:id="13"/>
      </w:r>
      <w:r w:rsidRPr="00B60941" w:rsidR="00661EC1">
        <w:rPr>
          <w:bCs/>
          <w:sz w:val="20"/>
        </w:rPr>
        <w:t xml:space="preserve"> </w:t>
      </w:r>
      <w:r w:rsidRPr="007108BA" w:rsidR="00661EC1">
        <w:rPr>
          <w:bCs/>
          <w:sz w:val="22"/>
          <w:szCs w:val="22"/>
        </w:rPr>
        <w:t xml:space="preserve"> </w:t>
      </w:r>
      <w:r w:rsidR="00F83CCA">
        <w:rPr>
          <w:bCs/>
          <w:sz w:val="22"/>
          <w:szCs w:val="22"/>
        </w:rPr>
        <w:t>As t</w:t>
      </w:r>
      <w:r w:rsidRPr="007108BA" w:rsidR="006E153A">
        <w:rPr>
          <w:bCs/>
          <w:sz w:val="22"/>
          <w:szCs w:val="22"/>
        </w:rPr>
        <w:t xml:space="preserve">he Bureau </w:t>
      </w:r>
      <w:r w:rsidR="00F83CCA">
        <w:rPr>
          <w:bCs/>
          <w:sz w:val="22"/>
          <w:szCs w:val="22"/>
        </w:rPr>
        <w:t xml:space="preserve">explained, </w:t>
      </w:r>
      <w:r w:rsidRPr="007108BA" w:rsidR="004358F7">
        <w:rPr>
          <w:bCs/>
          <w:sz w:val="22"/>
          <w:szCs w:val="22"/>
        </w:rPr>
        <w:t xml:space="preserve">the instructions and templates </w:t>
      </w:r>
      <w:r w:rsidRPr="000E3290" w:rsidR="000E3290">
        <w:rPr>
          <w:bCs/>
          <w:sz w:val="22"/>
          <w:szCs w:val="22"/>
        </w:rPr>
        <w:t>largely adopt</w:t>
      </w:r>
      <w:r w:rsidR="00C86ED4">
        <w:rPr>
          <w:bCs/>
          <w:sz w:val="22"/>
          <w:szCs w:val="22"/>
        </w:rPr>
        <w:t>ed</w:t>
      </w:r>
      <w:r w:rsidRPr="000E3290" w:rsidR="000E3290">
        <w:rPr>
          <w:bCs/>
          <w:sz w:val="22"/>
          <w:szCs w:val="22"/>
        </w:rPr>
        <w:t xml:space="preserve"> the proposals contained in </w:t>
      </w:r>
      <w:r w:rsidR="000E3290">
        <w:rPr>
          <w:bCs/>
          <w:sz w:val="22"/>
          <w:szCs w:val="22"/>
        </w:rPr>
        <w:t>the</w:t>
      </w:r>
      <w:r w:rsidRPr="000E3290" w:rsidR="000E3290">
        <w:rPr>
          <w:bCs/>
          <w:sz w:val="22"/>
          <w:szCs w:val="22"/>
        </w:rPr>
        <w:t xml:space="preserve"> </w:t>
      </w:r>
      <w:r w:rsidRPr="000E3290" w:rsidR="000E3290">
        <w:rPr>
          <w:bCs/>
          <w:i/>
          <w:iCs/>
          <w:sz w:val="22"/>
          <w:szCs w:val="22"/>
        </w:rPr>
        <w:t>December 2021 Public Notice</w:t>
      </w:r>
      <w:r w:rsidRPr="007108BA" w:rsidR="00661EC1">
        <w:rPr>
          <w:bCs/>
          <w:sz w:val="22"/>
          <w:szCs w:val="22"/>
        </w:rPr>
        <w:t xml:space="preserve">, </w:t>
      </w:r>
      <w:r w:rsidR="00C73C58">
        <w:rPr>
          <w:bCs/>
          <w:sz w:val="22"/>
          <w:szCs w:val="22"/>
        </w:rPr>
        <w:t>“</w:t>
      </w:r>
      <w:r w:rsidRPr="007108BA" w:rsidR="00661EC1">
        <w:rPr>
          <w:bCs/>
          <w:sz w:val="22"/>
          <w:szCs w:val="22"/>
        </w:rPr>
        <w:t>with</w:t>
      </w:r>
      <w:r w:rsidR="004F4E11">
        <w:rPr>
          <w:bCs/>
          <w:sz w:val="22"/>
          <w:szCs w:val="22"/>
        </w:rPr>
        <w:t xml:space="preserve"> </w:t>
      </w:r>
      <w:r w:rsidRPr="004F4E11" w:rsidR="004F4E11">
        <w:rPr>
          <w:bCs/>
          <w:sz w:val="22"/>
          <w:szCs w:val="22"/>
        </w:rPr>
        <w:t xml:space="preserve">certain minor refinements and reevaluations responsive to comments filed in response to that </w:t>
      </w:r>
      <w:r w:rsidRPr="000E3290" w:rsidR="004F4E11">
        <w:rPr>
          <w:bCs/>
          <w:i/>
          <w:iCs/>
          <w:sz w:val="22"/>
          <w:szCs w:val="22"/>
        </w:rPr>
        <w:t>Public Notice</w:t>
      </w:r>
      <w:r w:rsidRPr="007108BA" w:rsidR="00BD7554">
        <w:rPr>
          <w:bCs/>
          <w:sz w:val="22"/>
          <w:szCs w:val="22"/>
        </w:rPr>
        <w:t>.</w:t>
      </w:r>
      <w:r w:rsidR="00C73C58">
        <w:rPr>
          <w:bCs/>
          <w:sz w:val="22"/>
          <w:szCs w:val="22"/>
        </w:rPr>
        <w:t>”</w:t>
      </w:r>
      <w:r w:rsidRPr="00B60941" w:rsidR="007F5B9F">
        <w:rPr>
          <w:rStyle w:val="FootnoteReference"/>
          <w:bCs/>
          <w:sz w:val="20"/>
        </w:rPr>
        <w:footnoteReference w:id="14"/>
      </w:r>
      <w:r w:rsidR="00D3169C">
        <w:rPr>
          <w:bCs/>
          <w:sz w:val="22"/>
          <w:szCs w:val="22"/>
        </w:rPr>
        <w:t xml:space="preserve"> </w:t>
      </w:r>
      <w:r w:rsidR="00C73C58">
        <w:rPr>
          <w:bCs/>
          <w:sz w:val="22"/>
          <w:szCs w:val="22"/>
        </w:rPr>
        <w:t xml:space="preserve"> Further, the Bureau stated that it expected the detailed instructions and templates it adopted to result in reports “that provide the Commission, its state counterparts, and the public with a clearer, more complete picture of ICS providers’ operations than was available under prior </w:t>
      </w:r>
      <w:r w:rsidR="00C73C58">
        <w:rPr>
          <w:bCs/>
          <w:sz w:val="22"/>
          <w:szCs w:val="22"/>
        </w:rPr>
        <w:lastRenderedPageBreak/>
        <w:t>annual reports, without unduly increasing burdens on providers.”</w:t>
      </w:r>
      <w:r w:rsidRPr="00B60941" w:rsidR="00C73C58">
        <w:rPr>
          <w:rStyle w:val="FootnoteReference"/>
          <w:bCs/>
          <w:sz w:val="20"/>
        </w:rPr>
        <w:footnoteReference w:id="15"/>
      </w:r>
      <w:r w:rsidRPr="00B60941" w:rsidR="006C494F">
        <w:rPr>
          <w:bCs/>
          <w:sz w:val="20"/>
        </w:rPr>
        <w:t xml:space="preserve"> </w:t>
      </w:r>
      <w:r w:rsidR="006C494F">
        <w:rPr>
          <w:bCs/>
          <w:sz w:val="22"/>
          <w:szCs w:val="22"/>
        </w:rPr>
        <w:t xml:space="preserve"> The Bureau explained that the changes it was making to the instructions and template “will make ICS providers’ rates, ancillary charges, and practices more transparent and, through that increased transparency, help ensure compliance with the Commission’s ICS rules.</w:t>
      </w:r>
      <w:r w:rsidR="00992065">
        <w:rPr>
          <w:bCs/>
          <w:sz w:val="22"/>
          <w:szCs w:val="22"/>
        </w:rPr>
        <w:t>”</w:t>
      </w:r>
      <w:r w:rsidRPr="00B60941" w:rsidR="006C494F">
        <w:rPr>
          <w:rStyle w:val="FootnoteReference"/>
          <w:bCs/>
          <w:sz w:val="20"/>
        </w:rPr>
        <w:footnoteReference w:id="16"/>
      </w:r>
    </w:p>
    <w:p w:rsidRPr="00185D03" w:rsidR="00AC781E" w:rsidP="00261F1D" w:rsidRDefault="00AC781E" w14:paraId="4689DAA4" w14:textId="77777777">
      <w:pPr>
        <w:rPr>
          <w:sz w:val="22"/>
          <w:szCs w:val="22"/>
        </w:rPr>
      </w:pPr>
    </w:p>
    <w:p w:rsidR="00591CAC" w:rsidP="00713380" w:rsidRDefault="00621F0F" w14:paraId="065DC189" w14:textId="416C2F66">
      <w:pPr>
        <w:rPr>
          <w:sz w:val="22"/>
          <w:szCs w:val="22"/>
        </w:rPr>
      </w:pPr>
      <w:r w:rsidRPr="00185D03">
        <w:rPr>
          <w:bCs/>
          <w:sz w:val="22"/>
          <w:szCs w:val="22"/>
        </w:rPr>
        <w:tab/>
      </w:r>
      <w:r w:rsidRPr="00185D03" w:rsidR="002B4627">
        <w:rPr>
          <w:bCs/>
          <w:sz w:val="22"/>
          <w:szCs w:val="22"/>
        </w:rPr>
        <w:t xml:space="preserve"> Under </w:t>
      </w:r>
      <w:r w:rsidRPr="00185D03" w:rsidR="00AC781E">
        <w:rPr>
          <w:bCs/>
          <w:sz w:val="22"/>
          <w:szCs w:val="22"/>
        </w:rPr>
        <w:t>the Bureau’s</w:t>
      </w:r>
      <w:r w:rsidRPr="00185D03" w:rsidR="002B4627">
        <w:rPr>
          <w:bCs/>
          <w:sz w:val="22"/>
          <w:szCs w:val="22"/>
        </w:rPr>
        <w:t xml:space="preserve"> Order, ICS providers </w:t>
      </w:r>
      <w:r w:rsidR="00FF1F5C">
        <w:rPr>
          <w:bCs/>
          <w:sz w:val="22"/>
          <w:szCs w:val="22"/>
        </w:rPr>
        <w:t xml:space="preserve">must </w:t>
      </w:r>
      <w:r w:rsidR="003F5485">
        <w:rPr>
          <w:bCs/>
          <w:sz w:val="22"/>
          <w:szCs w:val="22"/>
        </w:rPr>
        <w:t xml:space="preserve">continue </w:t>
      </w:r>
      <w:r w:rsidRPr="00185D03" w:rsidR="0053422E">
        <w:rPr>
          <w:sz w:val="22"/>
          <w:szCs w:val="22"/>
        </w:rPr>
        <w:t>to submit all reports using the electronic template provided by the Commission, and to provide the data in a machine-readable, manipulatable format.</w:t>
      </w:r>
      <w:r w:rsidRPr="00185D03">
        <w:rPr>
          <w:sz w:val="22"/>
          <w:szCs w:val="22"/>
        </w:rPr>
        <w:t xml:space="preserve">  </w:t>
      </w:r>
      <w:r w:rsidR="00813D40">
        <w:rPr>
          <w:sz w:val="22"/>
          <w:szCs w:val="22"/>
        </w:rPr>
        <w:t xml:space="preserve">The reporting requirements cover the </w:t>
      </w:r>
      <w:r w:rsidR="00FC7457">
        <w:rPr>
          <w:sz w:val="22"/>
          <w:szCs w:val="22"/>
        </w:rPr>
        <w:t>general categories</w:t>
      </w:r>
      <w:r w:rsidR="00803DD9">
        <w:rPr>
          <w:sz w:val="22"/>
          <w:szCs w:val="22"/>
        </w:rPr>
        <w:t xml:space="preserve"> of information proposed in the </w:t>
      </w:r>
      <w:r w:rsidRPr="00803DD9" w:rsidR="00803DD9">
        <w:rPr>
          <w:i/>
          <w:iCs/>
          <w:sz w:val="22"/>
          <w:szCs w:val="22"/>
        </w:rPr>
        <w:t>December 2021 Public Notice</w:t>
      </w:r>
      <w:r w:rsidR="00803DD9">
        <w:rPr>
          <w:sz w:val="22"/>
          <w:szCs w:val="22"/>
        </w:rPr>
        <w:t xml:space="preserve">.  These categories include the submission of information on facilities served; </w:t>
      </w:r>
      <w:r w:rsidRPr="00185D03" w:rsidR="00886FFE">
        <w:rPr>
          <w:sz w:val="22"/>
          <w:szCs w:val="22"/>
        </w:rPr>
        <w:t xml:space="preserve">interstate, intrastate, and international ICS rates; ancillary service charges; site commissions; and disability access, among other matters.  </w:t>
      </w:r>
      <w:bookmarkStart w:name="_Hlk103951264" w:id="6"/>
      <w:r w:rsidR="00D3043C">
        <w:rPr>
          <w:sz w:val="22"/>
          <w:szCs w:val="22"/>
        </w:rPr>
        <w:t xml:space="preserve">Collectively, the </w:t>
      </w:r>
      <w:r w:rsidR="009B00D8">
        <w:rPr>
          <w:sz w:val="22"/>
          <w:szCs w:val="22"/>
        </w:rPr>
        <w:t xml:space="preserve">revised instructions and reporting template more precisely target the information to be collected than did the prior instructions and templates, and will </w:t>
      </w:r>
      <w:r w:rsidR="00D3043C">
        <w:rPr>
          <w:sz w:val="22"/>
          <w:szCs w:val="22"/>
        </w:rPr>
        <w:t xml:space="preserve">increase </w:t>
      </w:r>
      <w:r w:rsidR="009B00D8">
        <w:rPr>
          <w:sz w:val="22"/>
          <w:szCs w:val="22"/>
        </w:rPr>
        <w:t xml:space="preserve">the </w:t>
      </w:r>
      <w:r w:rsidR="00D3043C">
        <w:rPr>
          <w:sz w:val="22"/>
          <w:szCs w:val="22"/>
        </w:rPr>
        <w:t>transparency</w:t>
      </w:r>
      <w:r w:rsidR="009B00D8">
        <w:rPr>
          <w:sz w:val="22"/>
          <w:szCs w:val="22"/>
        </w:rPr>
        <w:t xml:space="preserve"> of ICS providers’ operations</w:t>
      </w:r>
      <w:r w:rsidR="00D3043C">
        <w:rPr>
          <w:sz w:val="22"/>
          <w:szCs w:val="22"/>
        </w:rPr>
        <w:t xml:space="preserve"> and simplify </w:t>
      </w:r>
      <w:r w:rsidR="009B00D8">
        <w:rPr>
          <w:sz w:val="22"/>
          <w:szCs w:val="22"/>
        </w:rPr>
        <w:t xml:space="preserve">providers’ </w:t>
      </w:r>
      <w:r w:rsidR="00D3043C">
        <w:rPr>
          <w:sz w:val="22"/>
          <w:szCs w:val="22"/>
        </w:rPr>
        <w:t>compliance</w:t>
      </w:r>
      <w:r w:rsidR="009B00D8">
        <w:rPr>
          <w:sz w:val="22"/>
          <w:szCs w:val="22"/>
        </w:rPr>
        <w:t xml:space="preserve"> with the reporting </w:t>
      </w:r>
      <w:r w:rsidR="004757CB">
        <w:rPr>
          <w:sz w:val="22"/>
          <w:szCs w:val="22"/>
        </w:rPr>
        <w:t>requirements</w:t>
      </w:r>
      <w:r w:rsidR="009B00D8">
        <w:rPr>
          <w:sz w:val="22"/>
          <w:szCs w:val="22"/>
        </w:rPr>
        <w:t>.</w:t>
      </w:r>
      <w:bookmarkEnd w:id="6"/>
    </w:p>
    <w:p w:rsidRPr="004460F4" w:rsidR="00AA1FC5" w:rsidP="00713380" w:rsidRDefault="00AA1FC5" w14:paraId="1053F44E" w14:textId="77777777">
      <w:pPr>
        <w:rPr>
          <w:bCs/>
          <w:sz w:val="22"/>
          <w:szCs w:val="22"/>
        </w:rPr>
      </w:pPr>
    </w:p>
    <w:p w:rsidR="006362B7" w:rsidP="006362B7" w:rsidRDefault="006362B7" w14:paraId="36BDE082" w14:textId="0CBE5CC9">
      <w:pPr>
        <w:ind w:firstLine="720"/>
        <w:rPr>
          <w:bCs/>
          <w:sz w:val="22"/>
          <w:szCs w:val="22"/>
        </w:rPr>
      </w:pPr>
      <w:r w:rsidRPr="004819DA">
        <w:rPr>
          <w:bCs/>
          <w:sz w:val="22"/>
          <w:szCs w:val="22"/>
        </w:rPr>
        <w:t>We estimate that appro</w:t>
      </w:r>
      <w:r w:rsidRPr="0039281E">
        <w:rPr>
          <w:bCs/>
          <w:sz w:val="22"/>
          <w:szCs w:val="22"/>
        </w:rPr>
        <w:t xml:space="preserve">ximately 20 ICS providers will file Annual Reports and Certifications </w:t>
      </w:r>
      <w:r w:rsidR="000667DE">
        <w:rPr>
          <w:bCs/>
          <w:sz w:val="22"/>
          <w:szCs w:val="22"/>
        </w:rPr>
        <w:t>each year</w:t>
      </w:r>
      <w:r w:rsidRPr="0039281E">
        <w:rPr>
          <w:bCs/>
          <w:sz w:val="22"/>
          <w:szCs w:val="22"/>
        </w:rPr>
        <w:t xml:space="preserve"> using the revised instructions</w:t>
      </w:r>
      <w:r w:rsidR="00A125C6">
        <w:rPr>
          <w:bCs/>
          <w:sz w:val="22"/>
          <w:szCs w:val="22"/>
        </w:rPr>
        <w:t xml:space="preserve"> and template.</w:t>
      </w:r>
    </w:p>
    <w:p w:rsidRPr="004819DA" w:rsidR="006362B7" w:rsidP="00D7761B" w:rsidRDefault="006362B7" w14:paraId="37021A58" w14:textId="77777777">
      <w:pPr>
        <w:rPr>
          <w:bCs/>
          <w:sz w:val="22"/>
          <w:szCs w:val="22"/>
        </w:rPr>
      </w:pPr>
    </w:p>
    <w:p w:rsidRPr="004460F4" w:rsidR="003345D4" w:rsidP="00B9212C" w:rsidRDefault="006362B7" w14:paraId="4EB84952" w14:textId="66B98193">
      <w:pPr>
        <w:pStyle w:val="ParaNumChar1"/>
        <w:tabs>
          <w:tab w:val="clear" w:pos="1080"/>
          <w:tab w:val="clear" w:pos="1440"/>
          <w:tab w:val="left" w:pos="720"/>
        </w:tabs>
        <w:ind w:firstLine="0"/>
        <w:rPr>
          <w:szCs w:val="22"/>
        </w:rPr>
      </w:pPr>
      <w:r>
        <w:rPr>
          <w:szCs w:val="22"/>
        </w:rPr>
        <w:tab/>
      </w:r>
      <w:r w:rsidRPr="004460F4" w:rsidR="007E0735">
        <w:rPr>
          <w:szCs w:val="22"/>
        </w:rPr>
        <w:t xml:space="preserve">Statutory authority for this information collection is contained in </w:t>
      </w:r>
      <w:r w:rsidR="006C3295">
        <w:rPr>
          <w:szCs w:val="22"/>
        </w:rPr>
        <w:t>sections</w:t>
      </w:r>
      <w:r w:rsidRPr="004460F4" w:rsidR="007E0735">
        <w:rPr>
          <w:szCs w:val="22"/>
        </w:rPr>
        <w:t xml:space="preserve"> 1, 4(</w:t>
      </w:r>
      <w:proofErr w:type="spellStart"/>
      <w:r w:rsidRPr="004460F4" w:rsidR="007E0735">
        <w:rPr>
          <w:szCs w:val="22"/>
        </w:rPr>
        <w:t>i</w:t>
      </w:r>
      <w:proofErr w:type="spellEnd"/>
      <w:r w:rsidRPr="004460F4" w:rsidR="007E0735">
        <w:rPr>
          <w:szCs w:val="22"/>
        </w:rPr>
        <w:t>)</w:t>
      </w:r>
      <w:r w:rsidR="00CD72EB">
        <w:rPr>
          <w:szCs w:val="22"/>
        </w:rPr>
        <w:t>-</w:t>
      </w:r>
      <w:r w:rsidRPr="004460F4" w:rsidR="007E0735">
        <w:rPr>
          <w:szCs w:val="22"/>
        </w:rPr>
        <w:t>4(j), 201</w:t>
      </w:r>
      <w:r w:rsidR="00CD72EB">
        <w:rPr>
          <w:szCs w:val="22"/>
        </w:rPr>
        <w:t>(b)</w:t>
      </w:r>
      <w:r w:rsidRPr="004460F4" w:rsidR="007E0735">
        <w:rPr>
          <w:szCs w:val="22"/>
        </w:rPr>
        <w:t xml:space="preserve">, </w:t>
      </w:r>
      <w:r w:rsidR="00CD72EB">
        <w:rPr>
          <w:szCs w:val="22"/>
        </w:rPr>
        <w:t xml:space="preserve">218, </w:t>
      </w:r>
      <w:r w:rsidR="006C3295">
        <w:rPr>
          <w:szCs w:val="22"/>
        </w:rPr>
        <w:t xml:space="preserve">220, </w:t>
      </w:r>
      <w:r w:rsidRPr="004460F4" w:rsidR="007E0735">
        <w:rPr>
          <w:szCs w:val="22"/>
        </w:rPr>
        <w:t xml:space="preserve">225, </w:t>
      </w:r>
      <w:r w:rsidR="006C3295">
        <w:rPr>
          <w:szCs w:val="22"/>
        </w:rPr>
        <w:t xml:space="preserve">255, </w:t>
      </w:r>
      <w:r w:rsidRPr="004460F4" w:rsidR="007E0735">
        <w:rPr>
          <w:szCs w:val="22"/>
        </w:rPr>
        <w:t xml:space="preserve">276, </w:t>
      </w:r>
      <w:r w:rsidR="00CD72EB">
        <w:rPr>
          <w:szCs w:val="22"/>
        </w:rPr>
        <w:t xml:space="preserve">403, </w:t>
      </w:r>
      <w:r w:rsidRPr="004460F4" w:rsidR="007E0735">
        <w:rPr>
          <w:szCs w:val="22"/>
        </w:rPr>
        <w:t xml:space="preserve">and </w:t>
      </w:r>
      <w:r w:rsidR="00CD72EB">
        <w:rPr>
          <w:szCs w:val="22"/>
        </w:rPr>
        <w:t xml:space="preserve">716 </w:t>
      </w:r>
      <w:r w:rsidRPr="004460F4" w:rsidR="007E0735">
        <w:rPr>
          <w:szCs w:val="22"/>
        </w:rPr>
        <w:t>of the Communications Act of 1934, as amended, 47 U.S.C. §§ 151, 154(</w:t>
      </w:r>
      <w:proofErr w:type="spellStart"/>
      <w:r w:rsidRPr="004460F4" w:rsidR="007E0735">
        <w:rPr>
          <w:szCs w:val="22"/>
        </w:rPr>
        <w:t>i</w:t>
      </w:r>
      <w:proofErr w:type="spellEnd"/>
      <w:r w:rsidR="006C3295">
        <w:rPr>
          <w:szCs w:val="22"/>
        </w:rPr>
        <w:t>-</w:t>
      </w:r>
      <w:r w:rsidR="00705BC0">
        <w:rPr>
          <w:szCs w:val="22"/>
        </w:rPr>
        <w:t>(j)</w:t>
      </w:r>
      <w:r w:rsidRPr="004460F4" w:rsidR="007E0735">
        <w:rPr>
          <w:szCs w:val="22"/>
        </w:rPr>
        <w:t>, 201</w:t>
      </w:r>
      <w:r w:rsidR="00CD72EB">
        <w:rPr>
          <w:szCs w:val="22"/>
        </w:rPr>
        <w:t>(b)</w:t>
      </w:r>
      <w:r w:rsidRPr="004460F4" w:rsidR="007E0735">
        <w:rPr>
          <w:szCs w:val="22"/>
        </w:rPr>
        <w:t xml:space="preserve">, </w:t>
      </w:r>
      <w:r w:rsidR="00CD72EB">
        <w:rPr>
          <w:szCs w:val="22"/>
        </w:rPr>
        <w:t xml:space="preserve">218, </w:t>
      </w:r>
      <w:r w:rsidR="006C3295">
        <w:rPr>
          <w:szCs w:val="22"/>
        </w:rPr>
        <w:t xml:space="preserve">220, </w:t>
      </w:r>
      <w:r w:rsidRPr="004460F4" w:rsidR="007E0735">
        <w:rPr>
          <w:szCs w:val="22"/>
        </w:rPr>
        <w:t xml:space="preserve">225, </w:t>
      </w:r>
      <w:r w:rsidR="006C3295">
        <w:rPr>
          <w:szCs w:val="22"/>
        </w:rPr>
        <w:t xml:space="preserve">255, </w:t>
      </w:r>
      <w:r w:rsidRPr="004460F4" w:rsidR="007E0735">
        <w:rPr>
          <w:szCs w:val="22"/>
        </w:rPr>
        <w:t>276</w:t>
      </w:r>
      <w:r w:rsidR="00705BC0">
        <w:rPr>
          <w:szCs w:val="22"/>
        </w:rPr>
        <w:t>,</w:t>
      </w:r>
      <w:r w:rsidRPr="004460F4" w:rsidR="007E0735">
        <w:rPr>
          <w:szCs w:val="22"/>
        </w:rPr>
        <w:t xml:space="preserve"> </w:t>
      </w:r>
      <w:r w:rsidR="00CD72EB">
        <w:rPr>
          <w:szCs w:val="22"/>
        </w:rPr>
        <w:t xml:space="preserve">403 </w:t>
      </w:r>
      <w:r w:rsidRPr="004460F4" w:rsidR="007E0735">
        <w:rPr>
          <w:szCs w:val="22"/>
        </w:rPr>
        <w:t xml:space="preserve">and </w:t>
      </w:r>
      <w:r w:rsidR="006C3295">
        <w:rPr>
          <w:szCs w:val="22"/>
        </w:rPr>
        <w:t>617</w:t>
      </w:r>
      <w:r w:rsidRPr="004460F4" w:rsidR="007E0735">
        <w:rPr>
          <w:szCs w:val="22"/>
        </w:rPr>
        <w:t xml:space="preserve">. </w:t>
      </w:r>
    </w:p>
    <w:p w:rsidRPr="004460F4" w:rsidR="00E2213C" w:rsidP="00AB4BAF" w:rsidRDefault="00326FEB" w14:paraId="0EE1A5A2" w14:textId="77777777">
      <w:pPr>
        <w:spacing w:after="120"/>
        <w:ind w:firstLine="720"/>
        <w:rPr>
          <w:sz w:val="22"/>
          <w:szCs w:val="22"/>
        </w:rPr>
      </w:pPr>
      <w:r w:rsidRPr="004460F4">
        <w:rPr>
          <w:sz w:val="22"/>
          <w:szCs w:val="22"/>
        </w:rPr>
        <w:t>This information collection does not affect individuals or households; thus, there are no impacts under the Privacy Act.</w:t>
      </w:r>
    </w:p>
    <w:p w:rsidRPr="00AB1E80" w:rsidR="007E0735" w:rsidP="00EB2A74" w:rsidRDefault="009256BF" w14:paraId="589F44A8" w14:textId="04996377">
      <w:pPr>
        <w:pStyle w:val="Numberedparagraphs"/>
        <w:numPr>
          <w:ilvl w:val="0"/>
          <w:numId w:val="0"/>
        </w:numPr>
        <w:tabs>
          <w:tab w:val="clear" w:pos="1440"/>
          <w:tab w:val="left" w:pos="720"/>
        </w:tabs>
      </w:pPr>
      <w:r w:rsidRPr="004460F4">
        <w:rPr>
          <w:sz w:val="22"/>
          <w:szCs w:val="22"/>
        </w:rPr>
        <w:tab/>
        <w:t xml:space="preserve">2.  </w:t>
      </w:r>
      <w:bookmarkStart w:name="_Hlk14172746" w:id="7"/>
      <w:r w:rsidRPr="004460F4" w:rsidR="0029304C">
        <w:rPr>
          <w:sz w:val="22"/>
          <w:szCs w:val="22"/>
        </w:rPr>
        <w:t>The information requirements set forth below ensure that the Commission has access to the information it needs to fulfill its</w:t>
      </w:r>
      <w:r w:rsidR="00EF19DE">
        <w:rPr>
          <w:sz w:val="22"/>
          <w:szCs w:val="22"/>
        </w:rPr>
        <w:t xml:space="preserve"> statutory and</w:t>
      </w:r>
      <w:r w:rsidRPr="004460F4" w:rsidR="0029304C">
        <w:rPr>
          <w:sz w:val="22"/>
          <w:szCs w:val="22"/>
        </w:rPr>
        <w:t xml:space="preserve"> regulatory duties</w:t>
      </w:r>
      <w:r w:rsidRPr="004460F4" w:rsidR="003D4CB7">
        <w:rPr>
          <w:sz w:val="22"/>
          <w:szCs w:val="22"/>
        </w:rPr>
        <w:t>,</w:t>
      </w:r>
      <w:r w:rsidRPr="004460F4" w:rsidR="0029304C">
        <w:rPr>
          <w:sz w:val="22"/>
          <w:szCs w:val="22"/>
        </w:rPr>
        <w:t xml:space="preserve"> while minimizing the burden on ICS providers.</w:t>
      </w:r>
      <w:r w:rsidRPr="004460F4" w:rsidR="006D646C">
        <w:rPr>
          <w:sz w:val="22"/>
          <w:szCs w:val="22"/>
        </w:rPr>
        <w:t xml:space="preserve"> </w:t>
      </w:r>
      <w:r w:rsidR="00C007D9">
        <w:rPr>
          <w:sz w:val="22"/>
          <w:szCs w:val="22"/>
        </w:rPr>
        <w:t xml:space="preserve"> </w:t>
      </w:r>
      <w:r w:rsidRPr="004460F4" w:rsidR="006D646C">
        <w:rPr>
          <w:sz w:val="22"/>
          <w:szCs w:val="22"/>
        </w:rPr>
        <w:t xml:space="preserve">Requiring ICS providers to file </w:t>
      </w:r>
      <w:r w:rsidR="00E620BC">
        <w:rPr>
          <w:sz w:val="22"/>
          <w:szCs w:val="22"/>
        </w:rPr>
        <w:t>A</w:t>
      </w:r>
      <w:r w:rsidRPr="004460F4" w:rsidR="006D646C">
        <w:rPr>
          <w:sz w:val="22"/>
          <w:szCs w:val="22"/>
        </w:rPr>
        <w:t xml:space="preserve">nnual </w:t>
      </w:r>
      <w:r w:rsidR="00E620BC">
        <w:rPr>
          <w:sz w:val="22"/>
          <w:szCs w:val="22"/>
        </w:rPr>
        <w:t>Re</w:t>
      </w:r>
      <w:r w:rsidRPr="004460F4" w:rsidR="006D646C">
        <w:rPr>
          <w:sz w:val="22"/>
          <w:szCs w:val="22"/>
        </w:rPr>
        <w:t xml:space="preserve">ports </w:t>
      </w:r>
      <w:r w:rsidRPr="004460F4" w:rsidR="00D039F8">
        <w:rPr>
          <w:sz w:val="22"/>
          <w:szCs w:val="22"/>
        </w:rPr>
        <w:t xml:space="preserve">and </w:t>
      </w:r>
      <w:r w:rsidR="00E620BC">
        <w:rPr>
          <w:sz w:val="22"/>
          <w:szCs w:val="22"/>
        </w:rPr>
        <w:t>C</w:t>
      </w:r>
      <w:r w:rsidRPr="004460F4" w:rsidR="00D039F8">
        <w:rPr>
          <w:sz w:val="22"/>
          <w:szCs w:val="22"/>
        </w:rPr>
        <w:t xml:space="preserve">ertifications </w:t>
      </w:r>
      <w:r w:rsidRPr="00035D86" w:rsidR="00194C59">
        <w:rPr>
          <w:sz w:val="22"/>
          <w:szCs w:val="22"/>
        </w:rPr>
        <w:t xml:space="preserve">will help the Commission discharge </w:t>
      </w:r>
      <w:r w:rsidRPr="00035D86" w:rsidR="006D646C">
        <w:rPr>
          <w:sz w:val="22"/>
          <w:szCs w:val="22"/>
        </w:rPr>
        <w:t>its</w:t>
      </w:r>
      <w:r w:rsidRPr="00035D86" w:rsidR="007A7A22">
        <w:rPr>
          <w:sz w:val="22"/>
          <w:szCs w:val="22"/>
        </w:rPr>
        <w:t xml:space="preserve"> statutory</w:t>
      </w:r>
      <w:r w:rsidRPr="00035D86" w:rsidR="006D646C">
        <w:rPr>
          <w:sz w:val="22"/>
          <w:szCs w:val="22"/>
        </w:rPr>
        <w:t xml:space="preserve"> mandate</w:t>
      </w:r>
      <w:r w:rsidRPr="00035D86" w:rsidR="007A7A22">
        <w:rPr>
          <w:sz w:val="22"/>
          <w:szCs w:val="22"/>
        </w:rPr>
        <w:t>s</w:t>
      </w:r>
      <w:r w:rsidRPr="00035D86" w:rsidR="006D646C">
        <w:rPr>
          <w:sz w:val="22"/>
          <w:szCs w:val="22"/>
        </w:rPr>
        <w:t xml:space="preserve"> </w:t>
      </w:r>
      <w:r w:rsidR="00C934E5">
        <w:rPr>
          <w:sz w:val="22"/>
          <w:szCs w:val="22"/>
        </w:rPr>
        <w:t xml:space="preserve">regarding </w:t>
      </w:r>
      <w:r w:rsidRPr="00035D86" w:rsidR="007A7A22">
        <w:rPr>
          <w:sz w:val="22"/>
          <w:szCs w:val="22"/>
        </w:rPr>
        <w:t>ICS</w:t>
      </w:r>
      <w:r w:rsidRPr="00EC3A4C" w:rsidR="006D646C">
        <w:rPr>
          <w:sz w:val="22"/>
          <w:szCs w:val="22"/>
        </w:rPr>
        <w:t>.</w:t>
      </w:r>
      <w:r w:rsidRPr="00EC3A4C" w:rsidR="00E67A94">
        <w:rPr>
          <w:sz w:val="22"/>
          <w:szCs w:val="22"/>
        </w:rPr>
        <w:t xml:space="preserve"> </w:t>
      </w:r>
      <w:r w:rsidR="00C669FB">
        <w:rPr>
          <w:sz w:val="22"/>
          <w:szCs w:val="22"/>
        </w:rPr>
        <w:t xml:space="preserve"> </w:t>
      </w:r>
      <w:r w:rsidRPr="00EC3A4C" w:rsidR="00E67A94">
        <w:rPr>
          <w:sz w:val="22"/>
          <w:szCs w:val="22"/>
        </w:rPr>
        <w:t xml:space="preserve">The </w:t>
      </w:r>
      <w:r w:rsidR="00E620BC">
        <w:rPr>
          <w:sz w:val="22"/>
          <w:szCs w:val="22"/>
        </w:rPr>
        <w:t>A</w:t>
      </w:r>
      <w:r w:rsidRPr="00EC3A4C" w:rsidR="00E67A94">
        <w:rPr>
          <w:sz w:val="22"/>
          <w:szCs w:val="22"/>
        </w:rPr>
        <w:t xml:space="preserve">nnual </w:t>
      </w:r>
      <w:r w:rsidR="00E620BC">
        <w:rPr>
          <w:sz w:val="22"/>
          <w:szCs w:val="22"/>
        </w:rPr>
        <w:t>R</w:t>
      </w:r>
      <w:r w:rsidRPr="00EC3A4C" w:rsidR="00E67A94">
        <w:rPr>
          <w:sz w:val="22"/>
          <w:szCs w:val="22"/>
        </w:rPr>
        <w:t xml:space="preserve">eports </w:t>
      </w:r>
      <w:r w:rsidRPr="00EC3A4C" w:rsidR="00C12D01">
        <w:rPr>
          <w:sz w:val="22"/>
          <w:szCs w:val="22"/>
        </w:rPr>
        <w:t xml:space="preserve">also </w:t>
      </w:r>
      <w:r w:rsidRPr="00EC3A4C" w:rsidR="0085271E">
        <w:rPr>
          <w:sz w:val="22"/>
          <w:szCs w:val="22"/>
        </w:rPr>
        <w:t xml:space="preserve">will </w:t>
      </w:r>
      <w:r w:rsidRPr="00EC3A4C" w:rsidR="00E67A94">
        <w:rPr>
          <w:sz w:val="22"/>
          <w:szCs w:val="22"/>
        </w:rPr>
        <w:t xml:space="preserve">provide </w:t>
      </w:r>
      <w:r w:rsidR="00A10ECF">
        <w:rPr>
          <w:sz w:val="22"/>
          <w:szCs w:val="22"/>
        </w:rPr>
        <w:t>incarcerated people</w:t>
      </w:r>
      <w:r w:rsidRPr="00EC3A4C" w:rsidR="00E67A94">
        <w:rPr>
          <w:sz w:val="22"/>
          <w:szCs w:val="22"/>
        </w:rPr>
        <w:t xml:space="preserve">, their families, </w:t>
      </w:r>
      <w:r w:rsidRPr="00EC3A4C" w:rsidR="002507CA">
        <w:rPr>
          <w:sz w:val="22"/>
          <w:szCs w:val="22"/>
        </w:rPr>
        <w:t>t</w:t>
      </w:r>
      <w:r w:rsidRPr="00EC3A4C" w:rsidR="00E67A94">
        <w:rPr>
          <w:sz w:val="22"/>
          <w:szCs w:val="22"/>
        </w:rPr>
        <w:t xml:space="preserve">heir representatives, </w:t>
      </w:r>
      <w:r w:rsidRPr="00EC3A4C" w:rsidR="002507CA">
        <w:rPr>
          <w:sz w:val="22"/>
          <w:szCs w:val="22"/>
        </w:rPr>
        <w:t xml:space="preserve">and the general public </w:t>
      </w:r>
      <w:r w:rsidRPr="00EC3A4C" w:rsidR="00E67A94">
        <w:rPr>
          <w:sz w:val="22"/>
          <w:szCs w:val="22"/>
        </w:rPr>
        <w:t>with access to information affecting the provision of interstate and international ICS.</w:t>
      </w:r>
      <w:bookmarkEnd w:id="7"/>
    </w:p>
    <w:p w:rsidRPr="004460F4" w:rsidR="007E0735" w:rsidP="007E0735" w:rsidRDefault="007E0735" w14:paraId="04E625D9" w14:textId="48AA789B">
      <w:pPr>
        <w:pStyle w:val="Numberedparagraphs"/>
        <w:numPr>
          <w:ilvl w:val="0"/>
          <w:numId w:val="0"/>
        </w:numPr>
        <w:tabs>
          <w:tab w:val="clear" w:pos="1440"/>
          <w:tab w:val="left" w:pos="720"/>
        </w:tabs>
        <w:rPr>
          <w:sz w:val="22"/>
          <w:szCs w:val="22"/>
        </w:rPr>
      </w:pPr>
      <w:r w:rsidRPr="004460F4">
        <w:rPr>
          <w:sz w:val="22"/>
          <w:szCs w:val="22"/>
        </w:rPr>
        <w:tab/>
        <w:t xml:space="preserve">3.  </w:t>
      </w:r>
      <w:r w:rsidR="005145B1">
        <w:rPr>
          <w:sz w:val="22"/>
          <w:szCs w:val="22"/>
        </w:rPr>
        <w:t xml:space="preserve">This collection involves the use of </w:t>
      </w:r>
      <w:r w:rsidR="003B1F05">
        <w:rPr>
          <w:sz w:val="22"/>
          <w:szCs w:val="22"/>
        </w:rPr>
        <w:t xml:space="preserve">informational technology </w:t>
      </w:r>
      <w:r w:rsidR="005145B1">
        <w:rPr>
          <w:sz w:val="22"/>
          <w:szCs w:val="22"/>
        </w:rPr>
        <w:t xml:space="preserve">to permit the electronic submission of </w:t>
      </w:r>
      <w:r w:rsidR="003B1F05">
        <w:rPr>
          <w:sz w:val="22"/>
          <w:szCs w:val="22"/>
        </w:rPr>
        <w:t xml:space="preserve">responses.  In particular, the Commission directed staff to develop a standardized template for the submission of </w:t>
      </w:r>
      <w:r w:rsidR="00C669FB">
        <w:rPr>
          <w:sz w:val="22"/>
          <w:szCs w:val="22"/>
        </w:rPr>
        <w:t xml:space="preserve">the </w:t>
      </w:r>
      <w:r w:rsidR="0055474E">
        <w:rPr>
          <w:sz w:val="22"/>
          <w:szCs w:val="22"/>
        </w:rPr>
        <w:t>A</w:t>
      </w:r>
      <w:r w:rsidR="00C669FB">
        <w:rPr>
          <w:sz w:val="22"/>
          <w:szCs w:val="22"/>
        </w:rPr>
        <w:t xml:space="preserve">nnual </w:t>
      </w:r>
      <w:r w:rsidR="0055474E">
        <w:rPr>
          <w:sz w:val="22"/>
          <w:szCs w:val="22"/>
        </w:rPr>
        <w:t>R</w:t>
      </w:r>
      <w:r w:rsidR="00C669FB">
        <w:rPr>
          <w:sz w:val="22"/>
          <w:szCs w:val="22"/>
        </w:rPr>
        <w:t>eports</w:t>
      </w:r>
      <w:r w:rsidR="003B1F05">
        <w:rPr>
          <w:sz w:val="22"/>
          <w:szCs w:val="22"/>
        </w:rPr>
        <w:t xml:space="preserve"> and to provide instructions to simplify compliance with, and reduce the burden of, the information requirements</w:t>
      </w:r>
      <w:r w:rsidR="00C669FB">
        <w:rPr>
          <w:sz w:val="22"/>
          <w:szCs w:val="22"/>
        </w:rPr>
        <w:t xml:space="preserve"> related to those reports</w:t>
      </w:r>
      <w:r w:rsidR="003B1F05">
        <w:rPr>
          <w:sz w:val="22"/>
          <w:szCs w:val="22"/>
        </w:rPr>
        <w:t xml:space="preserve">.  The template includes instructions and </w:t>
      </w:r>
      <w:r w:rsidR="004974DF">
        <w:rPr>
          <w:sz w:val="22"/>
          <w:szCs w:val="22"/>
        </w:rPr>
        <w:t xml:space="preserve">both </w:t>
      </w:r>
      <w:r w:rsidR="003B1F05">
        <w:rPr>
          <w:sz w:val="22"/>
          <w:szCs w:val="22"/>
        </w:rPr>
        <w:t>text fields</w:t>
      </w:r>
      <w:r w:rsidR="004974DF">
        <w:rPr>
          <w:sz w:val="22"/>
          <w:szCs w:val="22"/>
        </w:rPr>
        <w:t xml:space="preserve"> and spreadsheet cells</w:t>
      </w:r>
      <w:r w:rsidR="003B1F05">
        <w:rPr>
          <w:sz w:val="22"/>
          <w:szCs w:val="22"/>
        </w:rPr>
        <w:t xml:space="preserve"> for respondents to use to report the required data.  Providers are directed to file their </w:t>
      </w:r>
      <w:r w:rsidR="0055474E">
        <w:rPr>
          <w:sz w:val="22"/>
          <w:szCs w:val="22"/>
        </w:rPr>
        <w:t>A</w:t>
      </w:r>
      <w:r w:rsidR="003B1F05">
        <w:rPr>
          <w:sz w:val="22"/>
          <w:szCs w:val="22"/>
        </w:rPr>
        <w:t xml:space="preserve">nnual </w:t>
      </w:r>
      <w:r w:rsidR="0055474E">
        <w:rPr>
          <w:sz w:val="22"/>
          <w:szCs w:val="22"/>
        </w:rPr>
        <w:t>R</w:t>
      </w:r>
      <w:r w:rsidR="003B1F05">
        <w:rPr>
          <w:sz w:val="22"/>
          <w:szCs w:val="22"/>
        </w:rPr>
        <w:t>eports and certifications electronically using the Commission’s Electronic Comment Filing System (ECFS)</w:t>
      </w:r>
      <w:r w:rsidR="0086577C">
        <w:rPr>
          <w:sz w:val="22"/>
          <w:szCs w:val="22"/>
        </w:rPr>
        <w:t>.</w:t>
      </w:r>
    </w:p>
    <w:p w:rsidRPr="004460F4" w:rsidR="007E0735" w:rsidP="007E0735" w:rsidRDefault="007E0735" w14:paraId="0C46A604" w14:textId="40A30C99">
      <w:pPr>
        <w:pStyle w:val="Numberedparagraphs"/>
        <w:numPr>
          <w:ilvl w:val="0"/>
          <w:numId w:val="0"/>
        </w:numPr>
        <w:tabs>
          <w:tab w:val="clear" w:pos="1440"/>
          <w:tab w:val="left" w:pos="720"/>
        </w:tabs>
        <w:rPr>
          <w:sz w:val="22"/>
          <w:szCs w:val="22"/>
        </w:rPr>
      </w:pPr>
      <w:r w:rsidRPr="004460F4">
        <w:rPr>
          <w:sz w:val="22"/>
          <w:szCs w:val="22"/>
        </w:rPr>
        <w:tab/>
        <w:t xml:space="preserve">4.  The Commission is not aware of any similar information already available that </w:t>
      </w:r>
      <w:r w:rsidR="00276AED">
        <w:rPr>
          <w:sz w:val="22"/>
          <w:szCs w:val="22"/>
        </w:rPr>
        <w:t xml:space="preserve">can be used or </w:t>
      </w:r>
      <w:r w:rsidRPr="004460F4">
        <w:rPr>
          <w:sz w:val="22"/>
          <w:szCs w:val="22"/>
        </w:rPr>
        <w:t xml:space="preserve">modified for the purposes described in Item 2 above. </w:t>
      </w:r>
      <w:r w:rsidR="0058708E">
        <w:rPr>
          <w:sz w:val="22"/>
          <w:szCs w:val="22"/>
        </w:rPr>
        <w:t xml:space="preserve">  The</w:t>
      </w:r>
      <w:r w:rsidR="003F7F1C">
        <w:rPr>
          <w:sz w:val="22"/>
          <w:szCs w:val="22"/>
        </w:rPr>
        <w:t xml:space="preserve"> annual</w:t>
      </w:r>
      <w:r w:rsidR="00964EC2">
        <w:rPr>
          <w:sz w:val="22"/>
          <w:szCs w:val="22"/>
        </w:rPr>
        <w:t xml:space="preserve"> reports prepared in accordance with the revised instructions should provide the Commission, its state counterparts, and the public with a more complete picture of ICS providers’ operations than was available under the prior annual reports without unduly increasing the burdens on providers.</w:t>
      </w:r>
    </w:p>
    <w:p w:rsidR="00845E1B" w:rsidP="006437B7" w:rsidRDefault="006437B7" w14:paraId="0D5B9311" w14:textId="5DDECEFC">
      <w:pPr>
        <w:pStyle w:val="Numberedparagraphs"/>
        <w:numPr>
          <w:ilvl w:val="0"/>
          <w:numId w:val="0"/>
        </w:numPr>
        <w:tabs>
          <w:tab w:val="left" w:pos="720"/>
        </w:tabs>
        <w:ind w:left="180"/>
        <w:rPr>
          <w:sz w:val="22"/>
          <w:szCs w:val="22"/>
        </w:rPr>
      </w:pPr>
      <w:r>
        <w:rPr>
          <w:sz w:val="22"/>
          <w:szCs w:val="22"/>
        </w:rPr>
        <w:lastRenderedPageBreak/>
        <w:tab/>
      </w:r>
      <w:r w:rsidRPr="004460F4" w:rsidR="007E0735">
        <w:rPr>
          <w:sz w:val="22"/>
          <w:szCs w:val="22"/>
        </w:rPr>
        <w:t>5.  Because the Commission</w:t>
      </w:r>
      <w:r w:rsidR="005008B4">
        <w:rPr>
          <w:sz w:val="22"/>
          <w:szCs w:val="22"/>
        </w:rPr>
        <w:t xml:space="preserve"> </w:t>
      </w:r>
      <w:r w:rsidRPr="004460F4" w:rsidR="007E0735">
        <w:rPr>
          <w:sz w:val="22"/>
          <w:szCs w:val="22"/>
        </w:rPr>
        <w:t>requir</w:t>
      </w:r>
      <w:r w:rsidR="005008B4">
        <w:rPr>
          <w:sz w:val="22"/>
          <w:szCs w:val="22"/>
        </w:rPr>
        <w:t>es</w:t>
      </w:r>
      <w:r w:rsidRPr="004460F4" w:rsidR="007E0735">
        <w:rPr>
          <w:sz w:val="22"/>
          <w:szCs w:val="22"/>
        </w:rPr>
        <w:t xml:space="preserve"> all ICS providers to </w:t>
      </w:r>
      <w:r w:rsidR="009E5E9C">
        <w:rPr>
          <w:sz w:val="22"/>
          <w:szCs w:val="22"/>
        </w:rPr>
        <w:t xml:space="preserve">comply with </w:t>
      </w:r>
      <w:r w:rsidR="0048570E">
        <w:rPr>
          <w:sz w:val="22"/>
          <w:szCs w:val="22"/>
        </w:rPr>
        <w:t>the Annual Report and Certification requirements</w:t>
      </w:r>
      <w:r w:rsidRPr="004460F4" w:rsidR="007E0735">
        <w:rPr>
          <w:sz w:val="22"/>
          <w:szCs w:val="22"/>
        </w:rPr>
        <w:t xml:space="preserve">, </w:t>
      </w:r>
      <w:r w:rsidR="0048570E">
        <w:rPr>
          <w:sz w:val="22"/>
          <w:szCs w:val="22"/>
        </w:rPr>
        <w:t xml:space="preserve">this information collection </w:t>
      </w:r>
      <w:r w:rsidRPr="004460F4" w:rsidR="007E0735">
        <w:rPr>
          <w:sz w:val="22"/>
          <w:szCs w:val="22"/>
        </w:rPr>
        <w:t xml:space="preserve">will affect smaller as well as larger ICS providers.  </w:t>
      </w:r>
      <w:r w:rsidR="0048570E">
        <w:rPr>
          <w:sz w:val="22"/>
          <w:szCs w:val="22"/>
        </w:rPr>
        <w:t>The Commission has taken steps to ensure that the reporting templates are competitively neutral and not unduly burdensome for any set of providers</w:t>
      </w:r>
      <w:r w:rsidRPr="004460F4" w:rsidR="007E0735">
        <w:rPr>
          <w:sz w:val="22"/>
          <w:szCs w:val="22"/>
        </w:rPr>
        <w:t xml:space="preserve">. </w:t>
      </w:r>
    </w:p>
    <w:p w:rsidR="004817AC" w:rsidP="006437B7" w:rsidRDefault="00845E1B" w14:paraId="0D259BB7" w14:textId="7667DADB">
      <w:pPr>
        <w:pStyle w:val="Numberedparagraphs"/>
        <w:numPr>
          <w:ilvl w:val="0"/>
          <w:numId w:val="0"/>
        </w:numPr>
        <w:tabs>
          <w:tab w:val="left" w:pos="720"/>
        </w:tabs>
        <w:ind w:left="180"/>
        <w:rPr>
          <w:sz w:val="22"/>
          <w:szCs w:val="22"/>
        </w:rPr>
      </w:pPr>
      <w:r>
        <w:rPr>
          <w:sz w:val="22"/>
          <w:szCs w:val="22"/>
        </w:rPr>
        <w:tab/>
      </w:r>
      <w:r w:rsidRPr="004460F4" w:rsidR="007E0735">
        <w:rPr>
          <w:sz w:val="22"/>
          <w:szCs w:val="22"/>
        </w:rPr>
        <w:t xml:space="preserve">6.  </w:t>
      </w:r>
      <w:r w:rsidRPr="004460F4" w:rsidR="00387192">
        <w:rPr>
          <w:sz w:val="22"/>
          <w:szCs w:val="22"/>
        </w:rPr>
        <w:t>Collecting</w:t>
      </w:r>
      <w:r w:rsidRPr="004460F4" w:rsidR="007E0735">
        <w:rPr>
          <w:sz w:val="22"/>
          <w:szCs w:val="22"/>
        </w:rPr>
        <w:t xml:space="preserve"> the </w:t>
      </w:r>
      <w:r w:rsidR="00646C17">
        <w:rPr>
          <w:sz w:val="22"/>
          <w:szCs w:val="22"/>
        </w:rPr>
        <w:t>information</w:t>
      </w:r>
      <w:r w:rsidRPr="004460F4" w:rsidR="007E0735">
        <w:rPr>
          <w:sz w:val="22"/>
          <w:szCs w:val="22"/>
        </w:rPr>
        <w:t xml:space="preserve"> on a less frequent basis</w:t>
      </w:r>
      <w:r w:rsidRPr="004460F4" w:rsidR="00FF3566">
        <w:rPr>
          <w:sz w:val="22"/>
          <w:szCs w:val="22"/>
        </w:rPr>
        <w:t>,</w:t>
      </w:r>
      <w:r w:rsidRPr="004460F4" w:rsidR="007E0735">
        <w:rPr>
          <w:sz w:val="22"/>
          <w:szCs w:val="22"/>
        </w:rPr>
        <w:t xml:space="preserve"> or not at all</w:t>
      </w:r>
      <w:r w:rsidRPr="004460F4" w:rsidR="00FF3566">
        <w:rPr>
          <w:sz w:val="22"/>
          <w:szCs w:val="22"/>
        </w:rPr>
        <w:t>,</w:t>
      </w:r>
      <w:r w:rsidRPr="004460F4" w:rsidR="007E0735">
        <w:rPr>
          <w:sz w:val="22"/>
          <w:szCs w:val="22"/>
        </w:rPr>
        <w:t xml:space="preserve"> would undermine the Commission’s efforts to ensure</w:t>
      </w:r>
      <w:r w:rsidRPr="004460F4" w:rsidR="003F701F">
        <w:rPr>
          <w:sz w:val="22"/>
          <w:szCs w:val="22"/>
        </w:rPr>
        <w:t xml:space="preserve"> that </w:t>
      </w:r>
      <w:r w:rsidR="009E5E9C">
        <w:rPr>
          <w:sz w:val="22"/>
          <w:szCs w:val="22"/>
        </w:rPr>
        <w:t xml:space="preserve">interstate and international </w:t>
      </w:r>
      <w:r w:rsidRPr="004460F4" w:rsidR="003F701F">
        <w:rPr>
          <w:sz w:val="22"/>
          <w:szCs w:val="22"/>
        </w:rPr>
        <w:t xml:space="preserve">ICS </w:t>
      </w:r>
      <w:r w:rsidRPr="00085F84" w:rsidR="003F701F">
        <w:rPr>
          <w:sz w:val="22"/>
          <w:szCs w:val="22"/>
        </w:rPr>
        <w:t>is provided at</w:t>
      </w:r>
      <w:r w:rsidRPr="00085F84" w:rsidR="007E0735">
        <w:rPr>
          <w:sz w:val="22"/>
          <w:szCs w:val="22"/>
        </w:rPr>
        <w:t xml:space="preserve"> </w:t>
      </w:r>
      <w:r w:rsidRPr="00085F84" w:rsidR="00152BFD">
        <w:rPr>
          <w:sz w:val="22"/>
          <w:szCs w:val="22"/>
        </w:rPr>
        <w:t>just</w:t>
      </w:r>
      <w:r w:rsidRPr="00085F84" w:rsidR="009E5E9C">
        <w:rPr>
          <w:sz w:val="22"/>
          <w:szCs w:val="22"/>
        </w:rPr>
        <w:t xml:space="preserve"> and </w:t>
      </w:r>
      <w:r w:rsidRPr="00085F84" w:rsidR="00152BFD">
        <w:rPr>
          <w:sz w:val="22"/>
          <w:szCs w:val="22"/>
        </w:rPr>
        <w:t>reasonable</w:t>
      </w:r>
      <w:r w:rsidRPr="00085F84" w:rsidR="009E5E9C">
        <w:rPr>
          <w:sz w:val="22"/>
          <w:szCs w:val="22"/>
        </w:rPr>
        <w:t xml:space="preserve"> </w:t>
      </w:r>
      <w:r w:rsidRPr="00085F84" w:rsidR="003F701F">
        <w:rPr>
          <w:sz w:val="22"/>
          <w:szCs w:val="22"/>
        </w:rPr>
        <w:t>rates</w:t>
      </w:r>
      <w:r w:rsidRPr="00085F84" w:rsidR="00D137E9">
        <w:rPr>
          <w:sz w:val="22"/>
          <w:szCs w:val="22"/>
        </w:rPr>
        <w:t xml:space="preserve"> and</w:t>
      </w:r>
      <w:r w:rsidRPr="00085F84" w:rsidR="003F701F">
        <w:rPr>
          <w:sz w:val="22"/>
          <w:szCs w:val="22"/>
        </w:rPr>
        <w:t xml:space="preserve"> to ensure that any ancillary services charges associated with </w:t>
      </w:r>
      <w:r w:rsidRPr="00085F84" w:rsidR="009E5E9C">
        <w:rPr>
          <w:sz w:val="22"/>
          <w:szCs w:val="22"/>
        </w:rPr>
        <w:t xml:space="preserve">interstate and international </w:t>
      </w:r>
      <w:r w:rsidRPr="00085F84" w:rsidR="003F701F">
        <w:rPr>
          <w:sz w:val="22"/>
          <w:szCs w:val="22"/>
        </w:rPr>
        <w:t xml:space="preserve">ICS are also </w:t>
      </w:r>
      <w:r w:rsidRPr="00085F84" w:rsidR="00152BFD">
        <w:rPr>
          <w:sz w:val="22"/>
          <w:szCs w:val="22"/>
        </w:rPr>
        <w:t>just</w:t>
      </w:r>
      <w:r w:rsidRPr="00085F84" w:rsidR="009E5E9C">
        <w:rPr>
          <w:sz w:val="22"/>
          <w:szCs w:val="22"/>
        </w:rPr>
        <w:t xml:space="preserve"> and </w:t>
      </w:r>
      <w:r w:rsidRPr="00085F84" w:rsidR="003F701F">
        <w:rPr>
          <w:sz w:val="22"/>
          <w:szCs w:val="22"/>
        </w:rPr>
        <w:t>reasonable</w:t>
      </w:r>
      <w:r w:rsidRPr="00085F84" w:rsidR="007E0735">
        <w:rPr>
          <w:sz w:val="22"/>
          <w:szCs w:val="22"/>
        </w:rPr>
        <w:t xml:space="preserve">.  It would also deprive consumers and other affected parties of the ability to monitor ICS </w:t>
      </w:r>
      <w:r w:rsidRPr="00085F84" w:rsidR="001A2055">
        <w:rPr>
          <w:sz w:val="22"/>
          <w:szCs w:val="22"/>
        </w:rPr>
        <w:t xml:space="preserve">quality, </w:t>
      </w:r>
      <w:r w:rsidRPr="00085F84" w:rsidR="007E0735">
        <w:rPr>
          <w:sz w:val="22"/>
          <w:szCs w:val="22"/>
        </w:rPr>
        <w:t>rates</w:t>
      </w:r>
      <w:r w:rsidRPr="00085F84" w:rsidR="001A2055">
        <w:rPr>
          <w:sz w:val="22"/>
          <w:szCs w:val="22"/>
        </w:rPr>
        <w:t>, and fees</w:t>
      </w:r>
      <w:r w:rsidRPr="00085F84" w:rsidR="00873901">
        <w:rPr>
          <w:sz w:val="22"/>
          <w:szCs w:val="22"/>
        </w:rPr>
        <w:t>.</w:t>
      </w:r>
      <w:r w:rsidRPr="00085F84" w:rsidR="00937004">
        <w:rPr>
          <w:sz w:val="22"/>
          <w:szCs w:val="22"/>
        </w:rPr>
        <w:t xml:space="preserve"> </w:t>
      </w:r>
      <w:r w:rsidR="00646C17">
        <w:rPr>
          <w:sz w:val="22"/>
          <w:szCs w:val="22"/>
        </w:rPr>
        <w:t xml:space="preserve"> </w:t>
      </w:r>
      <w:r w:rsidRPr="00085F84" w:rsidR="00B136F6">
        <w:rPr>
          <w:sz w:val="22"/>
          <w:szCs w:val="22"/>
        </w:rPr>
        <w:t xml:space="preserve">Finally, not requiring ICS providers to inform customers </w:t>
      </w:r>
      <w:r w:rsidR="00646C17">
        <w:rPr>
          <w:sz w:val="22"/>
          <w:szCs w:val="22"/>
        </w:rPr>
        <w:t xml:space="preserve">fully </w:t>
      </w:r>
      <w:r w:rsidRPr="00085F84" w:rsidR="00B136F6">
        <w:rPr>
          <w:sz w:val="22"/>
          <w:szCs w:val="22"/>
        </w:rPr>
        <w:t xml:space="preserve">of </w:t>
      </w:r>
      <w:r w:rsidR="00646C17">
        <w:rPr>
          <w:sz w:val="22"/>
          <w:szCs w:val="22"/>
        </w:rPr>
        <w:t>providers</w:t>
      </w:r>
      <w:r w:rsidR="009146C2">
        <w:rPr>
          <w:sz w:val="22"/>
          <w:szCs w:val="22"/>
        </w:rPr>
        <w:t>’</w:t>
      </w:r>
      <w:r w:rsidRPr="00085F84" w:rsidR="00646C17">
        <w:rPr>
          <w:sz w:val="22"/>
          <w:szCs w:val="22"/>
        </w:rPr>
        <w:t xml:space="preserve"> </w:t>
      </w:r>
      <w:r w:rsidR="00646C17">
        <w:rPr>
          <w:sz w:val="22"/>
          <w:szCs w:val="22"/>
        </w:rPr>
        <w:t>charges</w:t>
      </w:r>
      <w:r w:rsidRPr="00085F84" w:rsidR="00646C17">
        <w:rPr>
          <w:sz w:val="22"/>
          <w:szCs w:val="22"/>
        </w:rPr>
        <w:t xml:space="preserve"> </w:t>
      </w:r>
      <w:r w:rsidRPr="00085F84" w:rsidR="00B136F6">
        <w:rPr>
          <w:sz w:val="22"/>
          <w:szCs w:val="22"/>
        </w:rPr>
        <w:t>would prevent customers from making informed decisions on whether to proceed with ICS call</w:t>
      </w:r>
      <w:r w:rsidRPr="00085F84" w:rsidR="00241DC3">
        <w:rPr>
          <w:sz w:val="22"/>
          <w:szCs w:val="22"/>
        </w:rPr>
        <w:t>s.</w:t>
      </w:r>
    </w:p>
    <w:p w:rsidRPr="004817AC" w:rsidR="007E0735" w:rsidP="009D38D4" w:rsidRDefault="009D38D4" w14:paraId="76D37938" w14:textId="77777777">
      <w:pPr>
        <w:pStyle w:val="Numberedparagraphs"/>
        <w:numPr>
          <w:ilvl w:val="0"/>
          <w:numId w:val="0"/>
        </w:numPr>
        <w:tabs>
          <w:tab w:val="clear" w:pos="1440"/>
          <w:tab w:val="left" w:pos="720"/>
        </w:tabs>
        <w:ind w:left="180"/>
        <w:rPr>
          <w:sz w:val="22"/>
          <w:szCs w:val="22"/>
        </w:rPr>
      </w:pPr>
      <w:r>
        <w:rPr>
          <w:sz w:val="22"/>
          <w:szCs w:val="22"/>
        </w:rPr>
        <w:tab/>
      </w:r>
      <w:r w:rsidRPr="004817AC" w:rsidR="007E0735">
        <w:rPr>
          <w:sz w:val="22"/>
          <w:szCs w:val="22"/>
        </w:rPr>
        <w:t xml:space="preserve">7.  No other special circumstances will apply to this information collection. </w:t>
      </w:r>
    </w:p>
    <w:p w:rsidR="00605A4F" w:rsidP="00F3346B" w:rsidRDefault="007E0735" w14:paraId="7AC73B24" w14:textId="32E2AD23">
      <w:pPr>
        <w:pStyle w:val="Numberedparagraphs"/>
        <w:numPr>
          <w:ilvl w:val="0"/>
          <w:numId w:val="0"/>
        </w:numPr>
        <w:tabs>
          <w:tab w:val="clear" w:pos="1440"/>
          <w:tab w:val="left" w:pos="720"/>
        </w:tabs>
        <w:rPr>
          <w:sz w:val="22"/>
          <w:szCs w:val="22"/>
        </w:rPr>
      </w:pPr>
      <w:r w:rsidRPr="00937004">
        <w:rPr>
          <w:sz w:val="22"/>
          <w:szCs w:val="22"/>
        </w:rPr>
        <w:tab/>
        <w:t>8.  Pursuant to 5 C.F.R. § 1320.8 (d),</w:t>
      </w:r>
      <w:r w:rsidRPr="00A23058" w:rsidR="00A23058">
        <w:rPr>
          <w:sz w:val="22"/>
          <w:szCs w:val="22"/>
        </w:rPr>
        <w:t xml:space="preserve"> </w:t>
      </w:r>
      <w:r w:rsidR="003808BD">
        <w:rPr>
          <w:sz w:val="22"/>
          <w:szCs w:val="22"/>
        </w:rPr>
        <w:t xml:space="preserve">on January 14, 2022 </w:t>
      </w:r>
      <w:r w:rsidRPr="00937004">
        <w:rPr>
          <w:sz w:val="22"/>
          <w:szCs w:val="22"/>
        </w:rPr>
        <w:t xml:space="preserve">the Commission </w:t>
      </w:r>
      <w:r w:rsidRPr="00937004" w:rsidR="000C5AE1">
        <w:rPr>
          <w:sz w:val="22"/>
          <w:szCs w:val="22"/>
        </w:rPr>
        <w:t>publish</w:t>
      </w:r>
      <w:r w:rsidRPr="00937004" w:rsidR="001946D2">
        <w:rPr>
          <w:sz w:val="22"/>
          <w:szCs w:val="22"/>
        </w:rPr>
        <w:t>ed</w:t>
      </w:r>
      <w:r w:rsidRPr="00937004">
        <w:rPr>
          <w:sz w:val="22"/>
          <w:szCs w:val="22"/>
        </w:rPr>
        <w:t xml:space="preserve"> a </w:t>
      </w:r>
      <w:bookmarkStart w:name="_Hlk102471039" w:id="8"/>
      <w:r w:rsidRPr="00937004">
        <w:rPr>
          <w:sz w:val="22"/>
          <w:szCs w:val="22"/>
        </w:rPr>
        <w:t xml:space="preserve">60-day notice in the Federal Register </w:t>
      </w:r>
      <w:r w:rsidR="009F1A3F">
        <w:rPr>
          <w:sz w:val="22"/>
          <w:szCs w:val="22"/>
        </w:rPr>
        <w:t xml:space="preserve">seeking public comment </w:t>
      </w:r>
      <w:r w:rsidR="0046265D">
        <w:rPr>
          <w:sz w:val="22"/>
          <w:szCs w:val="22"/>
        </w:rPr>
        <w:t>(</w:t>
      </w:r>
      <w:r w:rsidR="00B53367">
        <w:rPr>
          <w:sz w:val="22"/>
          <w:szCs w:val="22"/>
        </w:rPr>
        <w:t>87 FR 2432)</w:t>
      </w:r>
      <w:r w:rsidR="00056B3D">
        <w:rPr>
          <w:sz w:val="22"/>
          <w:szCs w:val="22"/>
        </w:rPr>
        <w:t xml:space="preserve">. </w:t>
      </w:r>
      <w:r w:rsidR="003808BD">
        <w:rPr>
          <w:sz w:val="22"/>
          <w:szCs w:val="22"/>
        </w:rPr>
        <w:t xml:space="preserve"> </w:t>
      </w:r>
      <w:r w:rsidR="00F3346B">
        <w:rPr>
          <w:sz w:val="22"/>
          <w:szCs w:val="22"/>
        </w:rPr>
        <w:t>No comments were received.</w:t>
      </w:r>
      <w:bookmarkStart w:name="_Hlk26368662" w:id="9"/>
    </w:p>
    <w:bookmarkEnd w:id="8"/>
    <w:bookmarkEnd w:id="9"/>
    <w:p w:rsidRPr="004460F4" w:rsidR="007E0735" w:rsidP="007E0735" w:rsidRDefault="007E0735" w14:paraId="503B3755" w14:textId="77777777">
      <w:pPr>
        <w:pStyle w:val="Numberedparagraphs"/>
        <w:numPr>
          <w:ilvl w:val="0"/>
          <w:numId w:val="0"/>
        </w:numPr>
        <w:tabs>
          <w:tab w:val="clear" w:pos="1440"/>
          <w:tab w:val="left" w:pos="720"/>
        </w:tabs>
        <w:rPr>
          <w:sz w:val="22"/>
          <w:szCs w:val="22"/>
        </w:rPr>
      </w:pPr>
      <w:r w:rsidRPr="004460F4">
        <w:rPr>
          <w:sz w:val="22"/>
          <w:szCs w:val="22"/>
        </w:rPr>
        <w:tab/>
        <w:t>9.  The Commission does not anticipate providing any payment or gift to respondents.</w:t>
      </w:r>
    </w:p>
    <w:p w:rsidRPr="004460F4" w:rsidR="007E0735" w:rsidP="007E0735" w:rsidRDefault="007E0735" w14:paraId="0AC69A0A" w14:textId="3EE9562E">
      <w:pPr>
        <w:pStyle w:val="Numberedparagraphs"/>
        <w:numPr>
          <w:ilvl w:val="0"/>
          <w:numId w:val="0"/>
        </w:numPr>
        <w:tabs>
          <w:tab w:val="clear" w:pos="1440"/>
          <w:tab w:val="left" w:pos="720"/>
        </w:tabs>
        <w:rPr>
          <w:sz w:val="22"/>
          <w:szCs w:val="22"/>
        </w:rPr>
      </w:pPr>
      <w:r w:rsidRPr="004460F4">
        <w:rPr>
          <w:sz w:val="22"/>
          <w:szCs w:val="22"/>
        </w:rPr>
        <w:tab/>
        <w:t>10.  The</w:t>
      </w:r>
      <w:r w:rsidR="0063588A">
        <w:rPr>
          <w:sz w:val="22"/>
          <w:szCs w:val="22"/>
        </w:rPr>
        <w:t xml:space="preserve"> </w:t>
      </w:r>
      <w:r w:rsidR="0063588A">
        <w:rPr>
          <w:i/>
          <w:sz w:val="22"/>
          <w:szCs w:val="22"/>
        </w:rPr>
        <w:t>P</w:t>
      </w:r>
      <w:r w:rsidRPr="004460F4" w:rsidR="00CF71C4">
        <w:rPr>
          <w:i/>
          <w:sz w:val="22"/>
          <w:szCs w:val="22"/>
        </w:rPr>
        <w:t>r</w:t>
      </w:r>
      <w:r w:rsidRPr="004460F4" w:rsidR="00884782">
        <w:rPr>
          <w:i/>
          <w:sz w:val="22"/>
          <w:szCs w:val="22"/>
        </w:rPr>
        <w:t xml:space="preserve">otective </w:t>
      </w:r>
      <w:r w:rsidRPr="004460F4" w:rsidR="00CF71C4">
        <w:rPr>
          <w:i/>
          <w:sz w:val="22"/>
          <w:szCs w:val="22"/>
        </w:rPr>
        <w:t>O</w:t>
      </w:r>
      <w:r w:rsidRPr="004460F4" w:rsidR="00884782">
        <w:rPr>
          <w:i/>
          <w:sz w:val="22"/>
          <w:szCs w:val="22"/>
        </w:rPr>
        <w:t>rder</w:t>
      </w:r>
      <w:r w:rsidRPr="00AB1E80" w:rsidR="00884782">
        <w:rPr>
          <w:sz w:val="22"/>
          <w:szCs w:val="22"/>
        </w:rPr>
        <w:t xml:space="preserve"> </w:t>
      </w:r>
      <w:r w:rsidR="009146C2">
        <w:rPr>
          <w:sz w:val="22"/>
          <w:szCs w:val="22"/>
        </w:rPr>
        <w:t xml:space="preserve">adopted </w:t>
      </w:r>
      <w:r w:rsidRPr="00AB1E80" w:rsidR="00884782">
        <w:rPr>
          <w:sz w:val="22"/>
          <w:szCs w:val="22"/>
        </w:rPr>
        <w:t xml:space="preserve">in </w:t>
      </w:r>
      <w:r w:rsidR="00146B94">
        <w:rPr>
          <w:sz w:val="22"/>
          <w:szCs w:val="22"/>
        </w:rPr>
        <w:t>the Commission’s ICS</w:t>
      </w:r>
      <w:r w:rsidRPr="00AB1E80" w:rsidR="00146B94">
        <w:rPr>
          <w:sz w:val="22"/>
          <w:szCs w:val="22"/>
        </w:rPr>
        <w:t xml:space="preserve"> </w:t>
      </w:r>
      <w:r w:rsidRPr="00AB1E80" w:rsidR="00884782">
        <w:rPr>
          <w:sz w:val="22"/>
          <w:szCs w:val="22"/>
        </w:rPr>
        <w:t>proceeding</w:t>
      </w:r>
      <w:r w:rsidRPr="00AB1E80">
        <w:rPr>
          <w:sz w:val="22"/>
          <w:szCs w:val="22"/>
        </w:rPr>
        <w:t xml:space="preserve"> </w:t>
      </w:r>
      <w:r w:rsidRPr="00AB1E80" w:rsidR="00884782">
        <w:rPr>
          <w:sz w:val="22"/>
          <w:szCs w:val="22"/>
        </w:rPr>
        <w:t>provides</w:t>
      </w:r>
      <w:r w:rsidRPr="004460F4">
        <w:rPr>
          <w:sz w:val="22"/>
          <w:szCs w:val="22"/>
        </w:rPr>
        <w:t xml:space="preserve"> confidential treatment for the proprietary information submitted by ICS providers in response </w:t>
      </w:r>
      <w:r w:rsidR="00A60F59">
        <w:rPr>
          <w:sz w:val="22"/>
          <w:szCs w:val="22"/>
        </w:rPr>
        <w:t>to Commission directives</w:t>
      </w:r>
      <w:r w:rsidRPr="004460F4">
        <w:rPr>
          <w:sz w:val="22"/>
          <w:szCs w:val="22"/>
        </w:rPr>
        <w:t>.</w:t>
      </w:r>
      <w:r w:rsidRPr="00B60941" w:rsidR="00B05037">
        <w:rPr>
          <w:rStyle w:val="FootnoteReference"/>
          <w:sz w:val="20"/>
        </w:rPr>
        <w:footnoteReference w:id="17"/>
      </w:r>
      <w:r w:rsidRPr="00B60941">
        <w:rPr>
          <w:sz w:val="20"/>
        </w:rPr>
        <w:t xml:space="preserve"> </w:t>
      </w:r>
      <w:r w:rsidRPr="00AB1E80">
        <w:rPr>
          <w:sz w:val="22"/>
          <w:szCs w:val="22"/>
        </w:rPr>
        <w:t xml:space="preserve"> </w:t>
      </w:r>
      <w:r w:rsidRPr="00AB1E80" w:rsidR="00884782">
        <w:rPr>
          <w:sz w:val="22"/>
          <w:szCs w:val="22"/>
        </w:rPr>
        <w:t xml:space="preserve">The Commission will </w:t>
      </w:r>
      <w:r w:rsidR="00CF71C4">
        <w:rPr>
          <w:sz w:val="22"/>
          <w:szCs w:val="22"/>
        </w:rPr>
        <w:t xml:space="preserve">treat as presumptively </w:t>
      </w:r>
      <w:r w:rsidRPr="004460F4" w:rsidR="00884782">
        <w:rPr>
          <w:sz w:val="22"/>
          <w:szCs w:val="22"/>
        </w:rPr>
        <w:t>confidential any particular information identified as confidential by the provider</w:t>
      </w:r>
      <w:r w:rsidR="009146C2">
        <w:rPr>
          <w:sz w:val="22"/>
          <w:szCs w:val="22"/>
        </w:rPr>
        <w:t>,</w:t>
      </w:r>
      <w:r w:rsidR="00CF71C4">
        <w:rPr>
          <w:sz w:val="22"/>
          <w:szCs w:val="22"/>
        </w:rPr>
        <w:t xml:space="preserve"> in accordance with </w:t>
      </w:r>
      <w:r w:rsidRPr="00AB1E80" w:rsidR="00AC7A68">
        <w:rPr>
          <w:sz w:val="22"/>
          <w:szCs w:val="22"/>
        </w:rPr>
        <w:t>the Freedom of Information Act and Commission rules.</w:t>
      </w:r>
      <w:r w:rsidRPr="004460F4" w:rsidR="00AC7A68">
        <w:rPr>
          <w:sz w:val="22"/>
          <w:szCs w:val="22"/>
        </w:rPr>
        <w:t xml:space="preserve"> </w:t>
      </w:r>
      <w:r w:rsidRPr="004460F4" w:rsidR="00884782">
        <w:rPr>
          <w:sz w:val="22"/>
          <w:szCs w:val="22"/>
        </w:rPr>
        <w:t xml:space="preserve"> Each confidential document should be stamped and submitted to the Secretary’s Office with an accompanying cover letter, as specified by </w:t>
      </w:r>
      <w:r w:rsidR="0063588A">
        <w:rPr>
          <w:sz w:val="22"/>
          <w:szCs w:val="22"/>
        </w:rPr>
        <w:t xml:space="preserve">the </w:t>
      </w:r>
      <w:r w:rsidRPr="004460F4" w:rsidR="00884782">
        <w:rPr>
          <w:i/>
          <w:sz w:val="22"/>
          <w:szCs w:val="22"/>
        </w:rPr>
        <w:t>Protective Order</w:t>
      </w:r>
      <w:r w:rsidRPr="004460F4" w:rsidR="00884782">
        <w:rPr>
          <w:sz w:val="22"/>
          <w:szCs w:val="22"/>
        </w:rPr>
        <w:t xml:space="preserve">.  </w:t>
      </w:r>
      <w:r w:rsidRPr="004460F4">
        <w:rPr>
          <w:sz w:val="22"/>
          <w:szCs w:val="22"/>
        </w:rPr>
        <w:t xml:space="preserve">This is standard practice when the Commission seeks competitively sensitive information for ratemaking or other purposes.  </w:t>
      </w:r>
    </w:p>
    <w:p w:rsidRPr="004460F4" w:rsidR="00A92A86" w:rsidP="007E0735" w:rsidRDefault="007E0735" w14:paraId="0010232A" w14:textId="77777777">
      <w:pPr>
        <w:pStyle w:val="Numberedparagraphs"/>
        <w:numPr>
          <w:ilvl w:val="0"/>
          <w:numId w:val="0"/>
        </w:numPr>
        <w:tabs>
          <w:tab w:val="clear" w:pos="1440"/>
          <w:tab w:val="left" w:pos="720"/>
        </w:tabs>
        <w:rPr>
          <w:sz w:val="22"/>
          <w:szCs w:val="22"/>
        </w:rPr>
      </w:pPr>
      <w:r w:rsidRPr="004460F4">
        <w:rPr>
          <w:sz w:val="22"/>
          <w:szCs w:val="22"/>
        </w:rPr>
        <w:tab/>
        <w:t>11.  The information collection does not address any matters of a sensitive nature.</w:t>
      </w:r>
      <w:r w:rsidRPr="004460F4">
        <w:rPr>
          <w:sz w:val="22"/>
          <w:szCs w:val="22"/>
        </w:rPr>
        <w:tab/>
      </w:r>
    </w:p>
    <w:p w:rsidR="009A513E" w:rsidP="00B60941" w:rsidRDefault="001946D2" w14:paraId="2628F5AF" w14:textId="0999E8BD">
      <w:pPr>
        <w:pStyle w:val="Numberedparagraphs"/>
        <w:numPr>
          <w:ilvl w:val="0"/>
          <w:numId w:val="0"/>
        </w:numPr>
        <w:tabs>
          <w:tab w:val="clear" w:pos="1440"/>
          <w:tab w:val="left" w:pos="720"/>
        </w:tabs>
        <w:rPr>
          <w:sz w:val="22"/>
          <w:szCs w:val="22"/>
        </w:rPr>
      </w:pPr>
      <w:r w:rsidRPr="004460F4">
        <w:rPr>
          <w:sz w:val="22"/>
          <w:szCs w:val="22"/>
        </w:rPr>
        <w:tab/>
      </w:r>
      <w:r w:rsidRPr="004460F4" w:rsidR="007E0735">
        <w:rPr>
          <w:sz w:val="22"/>
          <w:szCs w:val="22"/>
        </w:rPr>
        <w:t xml:space="preserve">12.  The following </w:t>
      </w:r>
      <w:r w:rsidR="009146C2">
        <w:rPr>
          <w:sz w:val="22"/>
          <w:szCs w:val="22"/>
        </w:rPr>
        <w:t xml:space="preserve">describes </w:t>
      </w:r>
      <w:r w:rsidRPr="004460F4" w:rsidR="007E0735">
        <w:rPr>
          <w:sz w:val="22"/>
          <w:szCs w:val="22"/>
        </w:rPr>
        <w:t xml:space="preserve">the </w:t>
      </w:r>
      <w:r w:rsidR="008C2814">
        <w:rPr>
          <w:sz w:val="22"/>
          <w:szCs w:val="22"/>
        </w:rPr>
        <w:t>burden hours</w:t>
      </w:r>
      <w:r w:rsidRPr="004460F4" w:rsidR="007E0735">
        <w:rPr>
          <w:sz w:val="22"/>
          <w:szCs w:val="22"/>
        </w:rPr>
        <w:t xml:space="preserve"> </w:t>
      </w:r>
      <w:r w:rsidR="009146C2">
        <w:rPr>
          <w:sz w:val="22"/>
          <w:szCs w:val="22"/>
        </w:rPr>
        <w:t xml:space="preserve">associated with </w:t>
      </w:r>
      <w:r w:rsidRPr="004460F4" w:rsidR="007E0735">
        <w:rPr>
          <w:sz w:val="22"/>
          <w:szCs w:val="22"/>
        </w:rPr>
        <w:t>the collections of information discussed herein</w:t>
      </w:r>
      <w:r w:rsidR="00992065">
        <w:rPr>
          <w:sz w:val="22"/>
          <w:szCs w:val="22"/>
        </w:rPr>
        <w:t xml:space="preserve">. </w:t>
      </w:r>
      <w:r w:rsidR="00A72A30">
        <w:rPr>
          <w:sz w:val="22"/>
          <w:szCs w:val="22"/>
        </w:rPr>
        <w:t>We note that this information collection was revised in December 2021</w:t>
      </w:r>
      <w:r w:rsidR="00D25E2E">
        <w:rPr>
          <w:sz w:val="22"/>
          <w:szCs w:val="22"/>
        </w:rPr>
        <w:t xml:space="preserve"> to add</w:t>
      </w:r>
      <w:r w:rsidR="00A72A30">
        <w:rPr>
          <w:sz w:val="22"/>
          <w:szCs w:val="22"/>
        </w:rPr>
        <w:t xml:space="preserve"> </w:t>
      </w:r>
      <w:r w:rsidRPr="00D25E2E" w:rsidR="00D25E2E">
        <w:rPr>
          <w:sz w:val="22"/>
          <w:szCs w:val="22"/>
        </w:rPr>
        <w:t>consumer disclosure and waiver request requirements to the collection</w:t>
      </w:r>
      <w:r w:rsidR="00D25E2E">
        <w:rPr>
          <w:sz w:val="22"/>
          <w:szCs w:val="22"/>
        </w:rPr>
        <w:t xml:space="preserve">.  </w:t>
      </w:r>
      <w:r w:rsidR="00A72A30">
        <w:rPr>
          <w:sz w:val="22"/>
          <w:szCs w:val="22"/>
        </w:rPr>
        <w:t>OMB granted approval of the</w:t>
      </w:r>
      <w:r w:rsidR="003F7F1C">
        <w:rPr>
          <w:sz w:val="22"/>
          <w:szCs w:val="22"/>
        </w:rPr>
        <w:t>se</w:t>
      </w:r>
      <w:r w:rsidR="00592815">
        <w:rPr>
          <w:sz w:val="22"/>
          <w:szCs w:val="22"/>
        </w:rPr>
        <w:t xml:space="preserve"> </w:t>
      </w:r>
      <w:r w:rsidR="00A72A30">
        <w:rPr>
          <w:sz w:val="22"/>
          <w:szCs w:val="22"/>
        </w:rPr>
        <w:t>revisions on January</w:t>
      </w:r>
      <w:r w:rsidR="00DA78E3">
        <w:rPr>
          <w:sz w:val="22"/>
          <w:szCs w:val="22"/>
        </w:rPr>
        <w:t xml:space="preserve"> 24</w:t>
      </w:r>
      <w:r w:rsidR="00A72A30">
        <w:rPr>
          <w:sz w:val="22"/>
          <w:szCs w:val="22"/>
        </w:rPr>
        <w:t xml:space="preserve">, 2022. </w:t>
      </w:r>
    </w:p>
    <w:p w:rsidR="00E80D71" w:rsidP="007E0735" w:rsidRDefault="009A513E" w14:paraId="627E290E" w14:textId="6A39A2D5">
      <w:pPr>
        <w:pStyle w:val="Numberedparagraphs"/>
        <w:numPr>
          <w:ilvl w:val="0"/>
          <w:numId w:val="0"/>
        </w:numPr>
        <w:tabs>
          <w:tab w:val="clear" w:pos="1440"/>
          <w:tab w:val="left" w:pos="720"/>
        </w:tabs>
        <w:rPr>
          <w:sz w:val="22"/>
          <w:szCs w:val="22"/>
        </w:rPr>
      </w:pPr>
      <w:r w:rsidRPr="009A513E">
        <w:rPr>
          <w:b/>
          <w:bCs/>
          <w:sz w:val="22"/>
          <w:szCs w:val="22"/>
          <w:u w:val="single"/>
        </w:rPr>
        <w:t>Previously-Approved</w:t>
      </w:r>
      <w:r>
        <w:rPr>
          <w:sz w:val="22"/>
          <w:szCs w:val="22"/>
        </w:rPr>
        <w:t xml:space="preserve"> </w:t>
      </w:r>
      <w:r w:rsidRPr="0055282B" w:rsidR="00E80D71">
        <w:rPr>
          <w:b/>
          <w:bCs/>
          <w:sz w:val="22"/>
          <w:szCs w:val="22"/>
          <w:u w:val="single"/>
        </w:rPr>
        <w:t>Information Collection Requirements</w:t>
      </w:r>
      <w:r w:rsidR="005C4C4E">
        <w:rPr>
          <w:b/>
          <w:bCs/>
          <w:sz w:val="22"/>
          <w:szCs w:val="22"/>
          <w:u w:val="single"/>
        </w:rPr>
        <w:t>:</w:t>
      </w:r>
      <w:r w:rsidRPr="00B60941" w:rsidR="0043063C">
        <w:rPr>
          <w:rStyle w:val="FootnoteReference"/>
          <w:b/>
          <w:bCs/>
          <w:sz w:val="20"/>
          <w:u w:val="single"/>
        </w:rPr>
        <w:footnoteReference w:id="18"/>
      </w:r>
    </w:p>
    <w:p w:rsidR="009B6A56" w:rsidP="00866CF3" w:rsidRDefault="003B2498" w14:paraId="52888D52" w14:textId="52514F3F">
      <w:pPr>
        <w:pStyle w:val="Numberedparagraphs"/>
        <w:numPr>
          <w:ilvl w:val="0"/>
          <w:numId w:val="36"/>
        </w:numPr>
        <w:tabs>
          <w:tab w:val="left" w:pos="720"/>
        </w:tabs>
        <w:rPr>
          <w:sz w:val="22"/>
          <w:szCs w:val="22"/>
        </w:rPr>
      </w:pPr>
      <w:r w:rsidRPr="00751AE4">
        <w:rPr>
          <w:b/>
          <w:bCs/>
          <w:sz w:val="22"/>
          <w:szCs w:val="22"/>
          <w:u w:val="single"/>
        </w:rPr>
        <w:t>Consumer Disclosure Requirements</w:t>
      </w:r>
      <w:r>
        <w:rPr>
          <w:sz w:val="22"/>
          <w:szCs w:val="22"/>
        </w:rPr>
        <w:t>:</w:t>
      </w:r>
    </w:p>
    <w:p w:rsidR="003B2498" w:rsidP="003B2498" w:rsidRDefault="003B2498" w14:paraId="47BB74D4" w14:textId="19F8B8E0">
      <w:pPr>
        <w:pStyle w:val="Numberedparagraphs"/>
        <w:numPr>
          <w:ilvl w:val="0"/>
          <w:numId w:val="38"/>
        </w:numPr>
        <w:tabs>
          <w:tab w:val="left" w:pos="720"/>
        </w:tabs>
        <w:rPr>
          <w:sz w:val="22"/>
          <w:szCs w:val="22"/>
        </w:rPr>
      </w:pPr>
      <w:r w:rsidRPr="0055282B">
        <w:rPr>
          <w:sz w:val="22"/>
          <w:szCs w:val="22"/>
          <w:u w:val="single"/>
        </w:rPr>
        <w:t>Consumer Disclosure of Interstate, Intrastate, and International Rates and Ancillary Service Charges</w:t>
      </w:r>
      <w:r>
        <w:rPr>
          <w:sz w:val="22"/>
          <w:szCs w:val="22"/>
        </w:rPr>
        <w:t>:</w:t>
      </w:r>
    </w:p>
    <w:p w:rsidR="003B2498" w:rsidP="003B2498" w:rsidRDefault="003B2498" w14:paraId="75D932F4" w14:textId="7D0460AF">
      <w:pPr>
        <w:pStyle w:val="Numberedparagraphs"/>
        <w:numPr>
          <w:ilvl w:val="0"/>
          <w:numId w:val="39"/>
        </w:numPr>
        <w:tabs>
          <w:tab w:val="left" w:pos="720"/>
        </w:tabs>
        <w:rPr>
          <w:sz w:val="22"/>
          <w:szCs w:val="22"/>
        </w:rPr>
      </w:pPr>
      <w:r w:rsidRPr="000C304B">
        <w:rPr>
          <w:sz w:val="22"/>
          <w:szCs w:val="22"/>
          <w:u w:val="single"/>
        </w:rPr>
        <w:t>Number of respondents</w:t>
      </w:r>
      <w:r>
        <w:rPr>
          <w:sz w:val="22"/>
          <w:szCs w:val="22"/>
        </w:rPr>
        <w:t>:  Approximately 20.</w:t>
      </w:r>
    </w:p>
    <w:p w:rsidR="003B2498" w:rsidP="003B2498" w:rsidRDefault="003B2498" w14:paraId="0ED63851" w14:textId="70825ED8">
      <w:pPr>
        <w:pStyle w:val="Numberedparagraphs"/>
        <w:numPr>
          <w:ilvl w:val="0"/>
          <w:numId w:val="39"/>
        </w:numPr>
        <w:tabs>
          <w:tab w:val="left" w:pos="720"/>
        </w:tabs>
        <w:rPr>
          <w:sz w:val="22"/>
          <w:szCs w:val="22"/>
        </w:rPr>
      </w:pPr>
      <w:r w:rsidRPr="000C304B">
        <w:rPr>
          <w:sz w:val="22"/>
          <w:szCs w:val="22"/>
          <w:u w:val="single"/>
        </w:rPr>
        <w:t>Frequency of response</w:t>
      </w:r>
      <w:r>
        <w:rPr>
          <w:sz w:val="22"/>
          <w:szCs w:val="22"/>
        </w:rPr>
        <w:t>:  Ongoing third</w:t>
      </w:r>
      <w:r w:rsidR="009146C2">
        <w:rPr>
          <w:sz w:val="22"/>
          <w:szCs w:val="22"/>
        </w:rPr>
        <w:t>-</w:t>
      </w:r>
      <w:r>
        <w:rPr>
          <w:sz w:val="22"/>
          <w:szCs w:val="22"/>
        </w:rPr>
        <w:t>party disclosure requirement.</w:t>
      </w:r>
    </w:p>
    <w:p w:rsidR="003B2498" w:rsidP="003B2498" w:rsidRDefault="003B2498" w14:paraId="07F55840" w14:textId="2BFE07F2">
      <w:pPr>
        <w:pStyle w:val="Numberedparagraphs"/>
        <w:numPr>
          <w:ilvl w:val="0"/>
          <w:numId w:val="39"/>
        </w:numPr>
        <w:tabs>
          <w:tab w:val="left" w:pos="720"/>
        </w:tabs>
        <w:rPr>
          <w:sz w:val="22"/>
          <w:szCs w:val="22"/>
        </w:rPr>
      </w:pPr>
      <w:r w:rsidRPr="000C304B">
        <w:rPr>
          <w:sz w:val="22"/>
          <w:szCs w:val="22"/>
          <w:u w:val="single"/>
        </w:rPr>
        <w:lastRenderedPageBreak/>
        <w:t>Total number of responses annually</w:t>
      </w:r>
      <w:r>
        <w:rPr>
          <w:sz w:val="22"/>
          <w:szCs w:val="22"/>
        </w:rPr>
        <w:t>:  Approximately 20.</w:t>
      </w:r>
    </w:p>
    <w:p w:rsidR="003B2498" w:rsidP="003B2498" w:rsidRDefault="003B2498" w14:paraId="0FA0F745" w14:textId="133BBEC0">
      <w:pPr>
        <w:pStyle w:val="Numberedparagraphs"/>
        <w:numPr>
          <w:ilvl w:val="0"/>
          <w:numId w:val="39"/>
        </w:numPr>
        <w:tabs>
          <w:tab w:val="left" w:pos="720"/>
        </w:tabs>
        <w:rPr>
          <w:sz w:val="22"/>
          <w:szCs w:val="22"/>
        </w:rPr>
      </w:pPr>
      <w:r w:rsidRPr="000C304B">
        <w:rPr>
          <w:sz w:val="22"/>
          <w:szCs w:val="22"/>
          <w:u w:val="single"/>
        </w:rPr>
        <w:t>Estimated Time per Response</w:t>
      </w:r>
      <w:r>
        <w:rPr>
          <w:sz w:val="22"/>
          <w:szCs w:val="22"/>
        </w:rPr>
        <w:t>:  Approximately 20 hours.</w:t>
      </w:r>
    </w:p>
    <w:p w:rsidR="003B2498" w:rsidP="003B2498" w:rsidRDefault="003B2498" w14:paraId="76118C8F" w14:textId="1DA3AAEE">
      <w:pPr>
        <w:pStyle w:val="Numberedparagraphs"/>
        <w:numPr>
          <w:ilvl w:val="0"/>
          <w:numId w:val="0"/>
        </w:numPr>
        <w:tabs>
          <w:tab w:val="left" w:pos="720"/>
        </w:tabs>
        <w:ind w:left="1080"/>
        <w:rPr>
          <w:sz w:val="22"/>
          <w:szCs w:val="22"/>
        </w:rPr>
      </w:pPr>
      <w:r>
        <w:rPr>
          <w:sz w:val="22"/>
          <w:szCs w:val="22"/>
        </w:rPr>
        <w:t>We estimate that compliance will require approximately 20 hours per provider annually.</w:t>
      </w:r>
    </w:p>
    <w:p w:rsidR="003B2498" w:rsidP="003B2498" w:rsidRDefault="003B2498" w14:paraId="2AE12C60" w14:textId="7A8EAA74">
      <w:pPr>
        <w:pStyle w:val="Numberedparagraphs"/>
        <w:numPr>
          <w:ilvl w:val="0"/>
          <w:numId w:val="0"/>
        </w:numPr>
        <w:tabs>
          <w:tab w:val="left" w:pos="720"/>
        </w:tabs>
        <w:ind w:left="1080"/>
        <w:rPr>
          <w:sz w:val="22"/>
          <w:szCs w:val="22"/>
        </w:rPr>
      </w:pPr>
      <w:r>
        <w:rPr>
          <w:sz w:val="22"/>
          <w:szCs w:val="22"/>
        </w:rPr>
        <w:tab/>
        <w:t>20 respondents x 20 hours per response x 1 response per year per respondent = 400 hours.</w:t>
      </w:r>
    </w:p>
    <w:p w:rsidR="003B2498" w:rsidP="003B2498" w:rsidRDefault="003B2498" w14:paraId="46CA316F" w14:textId="145B0D54">
      <w:pPr>
        <w:pStyle w:val="Numberedparagraphs"/>
        <w:numPr>
          <w:ilvl w:val="0"/>
          <w:numId w:val="0"/>
        </w:numPr>
        <w:tabs>
          <w:tab w:val="left" w:pos="720"/>
        </w:tabs>
        <w:ind w:left="1080"/>
        <w:rPr>
          <w:sz w:val="22"/>
          <w:szCs w:val="22"/>
        </w:rPr>
      </w:pPr>
      <w:r>
        <w:rPr>
          <w:sz w:val="22"/>
          <w:szCs w:val="22"/>
        </w:rPr>
        <w:t xml:space="preserve">(5)  </w:t>
      </w:r>
      <w:r w:rsidRPr="000C304B">
        <w:rPr>
          <w:sz w:val="22"/>
          <w:szCs w:val="22"/>
          <w:u w:val="single"/>
        </w:rPr>
        <w:t>Total annual burden</w:t>
      </w:r>
      <w:r>
        <w:rPr>
          <w:sz w:val="22"/>
          <w:szCs w:val="22"/>
        </w:rPr>
        <w:t xml:space="preserve">:  </w:t>
      </w:r>
      <w:r w:rsidRPr="000C304B">
        <w:rPr>
          <w:b/>
          <w:bCs/>
          <w:sz w:val="22"/>
          <w:szCs w:val="22"/>
        </w:rPr>
        <w:t>Approximately 400 hours</w:t>
      </w:r>
      <w:r>
        <w:rPr>
          <w:sz w:val="22"/>
          <w:szCs w:val="22"/>
        </w:rPr>
        <w:t>.</w:t>
      </w:r>
    </w:p>
    <w:p w:rsidR="003B2498" w:rsidP="003B2498" w:rsidRDefault="003B2498" w14:paraId="041B0AB7" w14:textId="30938204">
      <w:pPr>
        <w:pStyle w:val="Numberedparagraphs"/>
        <w:numPr>
          <w:ilvl w:val="0"/>
          <w:numId w:val="0"/>
        </w:numPr>
        <w:tabs>
          <w:tab w:val="left" w:pos="720"/>
        </w:tabs>
        <w:ind w:left="1440"/>
        <w:rPr>
          <w:sz w:val="22"/>
          <w:szCs w:val="22"/>
        </w:rPr>
      </w:pPr>
      <w:r>
        <w:rPr>
          <w:sz w:val="22"/>
          <w:szCs w:val="22"/>
        </w:rPr>
        <w:t>The Commission estimates that approximately 20 ICS providers will require  approximately 20 hours each to comply with this requirement.</w:t>
      </w:r>
    </w:p>
    <w:p w:rsidR="003B2498" w:rsidP="003B2498" w:rsidRDefault="003B2498" w14:paraId="6F54F6C9" w14:textId="1D84C3E7">
      <w:pPr>
        <w:pStyle w:val="Numberedparagraphs"/>
        <w:numPr>
          <w:ilvl w:val="0"/>
          <w:numId w:val="0"/>
        </w:numPr>
        <w:tabs>
          <w:tab w:val="left" w:pos="720"/>
        </w:tabs>
        <w:ind w:left="1440"/>
        <w:rPr>
          <w:sz w:val="22"/>
          <w:szCs w:val="22"/>
        </w:rPr>
      </w:pPr>
      <w:r>
        <w:rPr>
          <w:sz w:val="22"/>
          <w:szCs w:val="22"/>
        </w:rPr>
        <w:t xml:space="preserve">Approximately </w:t>
      </w:r>
      <w:r w:rsidR="00EF4296">
        <w:rPr>
          <w:sz w:val="22"/>
          <w:szCs w:val="22"/>
        </w:rPr>
        <w:t>20</w:t>
      </w:r>
      <w:r>
        <w:rPr>
          <w:sz w:val="22"/>
          <w:szCs w:val="22"/>
        </w:rPr>
        <w:t xml:space="preserve"> respondents x approximately 1 response per year per respondent x approximately 20 hours per response = Approximately 400 hours.</w:t>
      </w:r>
    </w:p>
    <w:p w:rsidR="008E701E" w:rsidP="0097127B" w:rsidRDefault="0097127B" w14:paraId="67EB02FB" w14:textId="2BB1061B">
      <w:pPr>
        <w:pStyle w:val="Numberedparagraphs"/>
        <w:numPr>
          <w:ilvl w:val="0"/>
          <w:numId w:val="39"/>
        </w:numPr>
        <w:tabs>
          <w:tab w:val="left" w:pos="720"/>
        </w:tabs>
        <w:rPr>
          <w:sz w:val="22"/>
          <w:szCs w:val="22"/>
        </w:rPr>
      </w:pPr>
      <w:r w:rsidRPr="00206F15">
        <w:rPr>
          <w:sz w:val="22"/>
          <w:szCs w:val="22"/>
          <w:u w:val="single"/>
        </w:rPr>
        <w:t>Total estimate of “in-house”</w:t>
      </w:r>
      <w:r w:rsidR="009146C2">
        <w:rPr>
          <w:sz w:val="22"/>
          <w:szCs w:val="22"/>
          <w:u w:val="single"/>
        </w:rPr>
        <w:t xml:space="preserve"> </w:t>
      </w:r>
      <w:r w:rsidRPr="00206F15">
        <w:rPr>
          <w:sz w:val="22"/>
          <w:szCs w:val="22"/>
          <w:u w:val="single"/>
        </w:rPr>
        <w:t>cost to responden</w:t>
      </w:r>
      <w:r>
        <w:rPr>
          <w:sz w:val="22"/>
          <w:szCs w:val="22"/>
        </w:rPr>
        <w:t xml:space="preserve">ts:  </w:t>
      </w:r>
      <w:r w:rsidRPr="00501942">
        <w:rPr>
          <w:b/>
          <w:bCs/>
          <w:sz w:val="22"/>
          <w:szCs w:val="22"/>
        </w:rPr>
        <w:t>$</w:t>
      </w:r>
      <w:r w:rsidR="008369A9">
        <w:rPr>
          <w:b/>
          <w:bCs/>
          <w:sz w:val="22"/>
          <w:szCs w:val="22"/>
        </w:rPr>
        <w:t>23,204.</w:t>
      </w:r>
    </w:p>
    <w:p w:rsidR="0097127B" w:rsidP="0097127B" w:rsidRDefault="0097127B" w14:paraId="6F7AE92F" w14:textId="1DF8446C">
      <w:pPr>
        <w:pStyle w:val="Numberedparagraphs"/>
        <w:numPr>
          <w:ilvl w:val="0"/>
          <w:numId w:val="39"/>
        </w:numPr>
        <w:tabs>
          <w:tab w:val="left" w:pos="720"/>
        </w:tabs>
        <w:rPr>
          <w:sz w:val="22"/>
          <w:szCs w:val="22"/>
        </w:rPr>
      </w:pPr>
      <w:r w:rsidRPr="00206F15">
        <w:rPr>
          <w:sz w:val="22"/>
          <w:szCs w:val="22"/>
          <w:u w:val="single"/>
        </w:rPr>
        <w:t>Explanation of the calculation</w:t>
      </w:r>
      <w:r>
        <w:rPr>
          <w:sz w:val="22"/>
          <w:szCs w:val="22"/>
        </w:rPr>
        <w:t xml:space="preserve">:  </w:t>
      </w:r>
    </w:p>
    <w:p w:rsidR="00B23DA8" w:rsidP="00B23DA8" w:rsidRDefault="00B23DA8" w14:paraId="58659D4D" w14:textId="0FB1BC5A">
      <w:pPr>
        <w:pStyle w:val="Numberedparagraphs"/>
        <w:numPr>
          <w:ilvl w:val="0"/>
          <w:numId w:val="0"/>
        </w:numPr>
        <w:tabs>
          <w:tab w:val="left" w:pos="720"/>
        </w:tabs>
        <w:ind w:left="1440"/>
        <w:rPr>
          <w:sz w:val="22"/>
          <w:szCs w:val="22"/>
        </w:rPr>
      </w:pPr>
      <w:r>
        <w:rPr>
          <w:sz w:val="22"/>
          <w:szCs w:val="22"/>
        </w:rPr>
        <w:t>The Commission estimates that 20 ICS providers will be subject to the consumer disclosure requirement.</w:t>
      </w:r>
    </w:p>
    <w:p w:rsidR="00B23DA8" w:rsidP="00B23DA8" w:rsidRDefault="00B23DA8" w14:paraId="0C893496" w14:textId="7338F819">
      <w:pPr>
        <w:pStyle w:val="Numberedparagraphs"/>
        <w:numPr>
          <w:ilvl w:val="0"/>
          <w:numId w:val="0"/>
        </w:numPr>
        <w:tabs>
          <w:tab w:val="left" w:pos="720"/>
        </w:tabs>
        <w:ind w:left="1440"/>
        <w:rPr>
          <w:sz w:val="22"/>
          <w:szCs w:val="22"/>
        </w:rPr>
      </w:pPr>
      <w:r>
        <w:rPr>
          <w:sz w:val="22"/>
          <w:szCs w:val="22"/>
        </w:rPr>
        <w:t>The Commission estimates that respondents will use personnel comparable in pay to a GS 13/Step 5 employee earning $</w:t>
      </w:r>
      <w:r w:rsidR="008369A9">
        <w:rPr>
          <w:sz w:val="22"/>
          <w:szCs w:val="22"/>
        </w:rPr>
        <w:t>58.01</w:t>
      </w:r>
      <w:r>
        <w:rPr>
          <w:sz w:val="22"/>
          <w:szCs w:val="22"/>
        </w:rPr>
        <w:t xml:space="preserve"> per hour.  Thus:</w:t>
      </w:r>
    </w:p>
    <w:p w:rsidR="006D0E19" w:rsidP="00B23DA8" w:rsidRDefault="006D0E19" w14:paraId="3CCF5487" w14:textId="5A4671E7">
      <w:pPr>
        <w:pStyle w:val="Numberedparagraphs"/>
        <w:numPr>
          <w:ilvl w:val="0"/>
          <w:numId w:val="0"/>
        </w:numPr>
        <w:tabs>
          <w:tab w:val="left" w:pos="720"/>
        </w:tabs>
        <w:ind w:left="1440"/>
        <w:rPr>
          <w:sz w:val="22"/>
          <w:szCs w:val="22"/>
        </w:rPr>
      </w:pPr>
      <w:r>
        <w:rPr>
          <w:sz w:val="22"/>
          <w:szCs w:val="22"/>
        </w:rPr>
        <w:t>400 hours x $</w:t>
      </w:r>
      <w:r w:rsidR="008369A9">
        <w:rPr>
          <w:sz w:val="22"/>
          <w:szCs w:val="22"/>
        </w:rPr>
        <w:t>58.01</w:t>
      </w:r>
      <w:r>
        <w:rPr>
          <w:sz w:val="22"/>
          <w:szCs w:val="22"/>
        </w:rPr>
        <w:t>= $</w:t>
      </w:r>
      <w:r w:rsidR="008369A9">
        <w:rPr>
          <w:sz w:val="22"/>
          <w:szCs w:val="22"/>
        </w:rPr>
        <w:t>23,204.</w:t>
      </w:r>
    </w:p>
    <w:p w:rsidRPr="0055282B" w:rsidR="006D0E19" w:rsidP="006D0E19" w:rsidRDefault="006D0E19" w14:paraId="68F821FA" w14:textId="709E04D4">
      <w:pPr>
        <w:pStyle w:val="Numberedparagraphs"/>
        <w:numPr>
          <w:ilvl w:val="0"/>
          <w:numId w:val="38"/>
        </w:numPr>
        <w:tabs>
          <w:tab w:val="left" w:pos="720"/>
        </w:tabs>
        <w:rPr>
          <w:b/>
          <w:bCs/>
          <w:sz w:val="22"/>
          <w:szCs w:val="22"/>
          <w:u w:val="single"/>
        </w:rPr>
      </w:pPr>
      <w:r w:rsidRPr="0055282B">
        <w:rPr>
          <w:b/>
          <w:bCs/>
          <w:sz w:val="22"/>
          <w:szCs w:val="22"/>
          <w:u w:val="single"/>
        </w:rPr>
        <w:t>Consumer Disclosure Billing Requirement</w:t>
      </w:r>
      <w:r w:rsidR="00A4433F">
        <w:rPr>
          <w:b/>
          <w:bCs/>
          <w:sz w:val="22"/>
          <w:szCs w:val="22"/>
          <w:u w:val="single"/>
        </w:rPr>
        <w:t>s</w:t>
      </w:r>
      <w:r w:rsidR="0055282B">
        <w:rPr>
          <w:b/>
          <w:bCs/>
          <w:sz w:val="22"/>
          <w:szCs w:val="22"/>
          <w:u w:val="single"/>
        </w:rPr>
        <w:t>:</w:t>
      </w:r>
    </w:p>
    <w:p w:rsidRPr="0055282B" w:rsidR="006D0E19" w:rsidP="006D0E19" w:rsidRDefault="006D0E19" w14:paraId="574CAA1D" w14:textId="25EFAB92">
      <w:pPr>
        <w:pStyle w:val="Numberedparagraphs"/>
        <w:numPr>
          <w:ilvl w:val="0"/>
          <w:numId w:val="41"/>
        </w:numPr>
        <w:tabs>
          <w:tab w:val="left" w:pos="720"/>
        </w:tabs>
        <w:rPr>
          <w:b/>
          <w:bCs/>
          <w:sz w:val="22"/>
          <w:szCs w:val="22"/>
          <w:u w:val="single"/>
        </w:rPr>
      </w:pPr>
      <w:r w:rsidRPr="00206F15">
        <w:rPr>
          <w:sz w:val="22"/>
          <w:szCs w:val="22"/>
          <w:u w:val="single"/>
        </w:rPr>
        <w:t>Number of respondents</w:t>
      </w:r>
      <w:r>
        <w:rPr>
          <w:sz w:val="22"/>
          <w:szCs w:val="22"/>
        </w:rPr>
        <w:t>:  Approximate</w:t>
      </w:r>
      <w:r w:rsidR="0055282B">
        <w:rPr>
          <w:sz w:val="22"/>
          <w:szCs w:val="22"/>
        </w:rPr>
        <w:t>ly</w:t>
      </w:r>
      <w:r>
        <w:rPr>
          <w:sz w:val="22"/>
          <w:szCs w:val="22"/>
        </w:rPr>
        <w:t xml:space="preserve"> 20.</w:t>
      </w:r>
    </w:p>
    <w:p w:rsidRPr="0055282B" w:rsidR="002329CB" w:rsidP="006D0E19" w:rsidRDefault="002329CB" w14:paraId="7D8F8C59" w14:textId="7E1E0282">
      <w:pPr>
        <w:pStyle w:val="Numberedparagraphs"/>
        <w:numPr>
          <w:ilvl w:val="0"/>
          <w:numId w:val="41"/>
        </w:numPr>
        <w:tabs>
          <w:tab w:val="left" w:pos="720"/>
        </w:tabs>
        <w:rPr>
          <w:b/>
          <w:bCs/>
          <w:sz w:val="22"/>
          <w:szCs w:val="22"/>
          <w:u w:val="single"/>
        </w:rPr>
      </w:pPr>
      <w:r w:rsidRPr="00206F15">
        <w:rPr>
          <w:sz w:val="22"/>
          <w:szCs w:val="22"/>
          <w:u w:val="single"/>
        </w:rPr>
        <w:t>Frequency of response</w:t>
      </w:r>
      <w:r>
        <w:rPr>
          <w:sz w:val="22"/>
          <w:szCs w:val="22"/>
        </w:rPr>
        <w:t>:  T</w:t>
      </w:r>
      <w:r w:rsidR="00A4433F">
        <w:rPr>
          <w:sz w:val="22"/>
          <w:szCs w:val="22"/>
        </w:rPr>
        <w:t>hird-party-disclosure requirement.</w:t>
      </w:r>
    </w:p>
    <w:p w:rsidRPr="0055282B" w:rsidR="00A4433F" w:rsidP="006D0E19" w:rsidRDefault="00A4433F" w14:paraId="60533C05" w14:textId="44DA2577">
      <w:pPr>
        <w:pStyle w:val="Numberedparagraphs"/>
        <w:numPr>
          <w:ilvl w:val="0"/>
          <w:numId w:val="41"/>
        </w:numPr>
        <w:tabs>
          <w:tab w:val="left" w:pos="720"/>
        </w:tabs>
        <w:rPr>
          <w:b/>
          <w:bCs/>
          <w:sz w:val="22"/>
          <w:szCs w:val="22"/>
          <w:u w:val="single"/>
        </w:rPr>
      </w:pPr>
      <w:r w:rsidRPr="00206F15">
        <w:rPr>
          <w:sz w:val="22"/>
          <w:szCs w:val="22"/>
          <w:u w:val="single"/>
        </w:rPr>
        <w:t>Total number of responses annually</w:t>
      </w:r>
      <w:r>
        <w:rPr>
          <w:sz w:val="22"/>
          <w:szCs w:val="22"/>
        </w:rPr>
        <w:t>:  Approximately 20.</w:t>
      </w:r>
    </w:p>
    <w:p w:rsidR="00242C65" w:rsidP="00242C65" w:rsidRDefault="00A4433F" w14:paraId="54A7A876" w14:textId="77777777">
      <w:pPr>
        <w:pStyle w:val="Numberedparagraphs"/>
        <w:numPr>
          <w:ilvl w:val="0"/>
          <w:numId w:val="41"/>
        </w:numPr>
        <w:tabs>
          <w:tab w:val="left" w:pos="720"/>
        </w:tabs>
        <w:rPr>
          <w:b/>
          <w:bCs/>
          <w:sz w:val="22"/>
          <w:szCs w:val="22"/>
          <w:u w:val="single"/>
        </w:rPr>
      </w:pPr>
      <w:r w:rsidRPr="00206F15">
        <w:rPr>
          <w:sz w:val="22"/>
          <w:szCs w:val="22"/>
          <w:u w:val="single"/>
        </w:rPr>
        <w:t>Estimated time per response</w:t>
      </w:r>
      <w:r>
        <w:rPr>
          <w:sz w:val="22"/>
          <w:szCs w:val="22"/>
        </w:rPr>
        <w:t>:  Approximately 30 hours.</w:t>
      </w:r>
    </w:p>
    <w:p w:rsidR="00AB4149" w:rsidP="00AB4149" w:rsidRDefault="008A23F0" w14:paraId="7CCA1471" w14:textId="63D63878">
      <w:pPr>
        <w:pStyle w:val="Numberedparagraphs"/>
        <w:numPr>
          <w:ilvl w:val="0"/>
          <w:numId w:val="0"/>
        </w:numPr>
        <w:tabs>
          <w:tab w:val="left" w:pos="720"/>
        </w:tabs>
        <w:ind w:left="1800"/>
        <w:rPr>
          <w:sz w:val="22"/>
          <w:szCs w:val="22"/>
        </w:rPr>
      </w:pPr>
      <w:r w:rsidRPr="00242C65">
        <w:rPr>
          <w:sz w:val="22"/>
          <w:szCs w:val="22"/>
        </w:rPr>
        <w:t>We esti</w:t>
      </w:r>
      <w:r w:rsidRPr="00242C65" w:rsidR="00CE1692">
        <w:rPr>
          <w:sz w:val="22"/>
          <w:szCs w:val="22"/>
        </w:rPr>
        <w:t>mate that</w:t>
      </w:r>
      <w:r w:rsidR="00AB4149">
        <w:rPr>
          <w:sz w:val="22"/>
          <w:szCs w:val="22"/>
        </w:rPr>
        <w:t xml:space="preserve"> compliance will require approximately 30 hours per provider per year</w:t>
      </w:r>
      <w:r w:rsidRPr="00AB4149" w:rsidR="00CE1692">
        <w:rPr>
          <w:sz w:val="22"/>
          <w:szCs w:val="22"/>
        </w:rPr>
        <w:t>.</w:t>
      </w:r>
    </w:p>
    <w:p w:rsidR="00AB4149" w:rsidP="00ED071A" w:rsidRDefault="00ED071A" w14:paraId="75497914" w14:textId="0FB10DF0">
      <w:pPr>
        <w:pStyle w:val="Numberedparagraphs"/>
        <w:numPr>
          <w:ilvl w:val="0"/>
          <w:numId w:val="41"/>
        </w:numPr>
        <w:tabs>
          <w:tab w:val="left" w:pos="720"/>
        </w:tabs>
        <w:rPr>
          <w:sz w:val="22"/>
          <w:szCs w:val="22"/>
        </w:rPr>
      </w:pPr>
      <w:r w:rsidRPr="005074ED">
        <w:rPr>
          <w:sz w:val="22"/>
          <w:szCs w:val="22"/>
          <w:u w:val="single"/>
        </w:rPr>
        <w:t>Total annual burden</w:t>
      </w:r>
      <w:r>
        <w:rPr>
          <w:sz w:val="22"/>
          <w:szCs w:val="22"/>
        </w:rPr>
        <w:t xml:space="preserve">:  </w:t>
      </w:r>
      <w:r w:rsidRPr="00501942" w:rsidR="00501942">
        <w:rPr>
          <w:b/>
          <w:bCs/>
          <w:sz w:val="22"/>
          <w:szCs w:val="22"/>
        </w:rPr>
        <w:t xml:space="preserve">Approximately </w:t>
      </w:r>
      <w:r w:rsidRPr="00501942">
        <w:rPr>
          <w:b/>
          <w:bCs/>
          <w:sz w:val="22"/>
          <w:szCs w:val="22"/>
        </w:rPr>
        <w:t>600 hours</w:t>
      </w:r>
      <w:r w:rsidR="00501942">
        <w:rPr>
          <w:sz w:val="22"/>
          <w:szCs w:val="22"/>
        </w:rPr>
        <w:t>.</w:t>
      </w:r>
    </w:p>
    <w:p w:rsidR="00ED071A" w:rsidP="00ED071A" w:rsidRDefault="00ED071A" w14:paraId="417124E1" w14:textId="6034018D">
      <w:pPr>
        <w:pStyle w:val="Numberedparagraphs"/>
        <w:numPr>
          <w:ilvl w:val="0"/>
          <w:numId w:val="0"/>
        </w:numPr>
        <w:tabs>
          <w:tab w:val="left" w:pos="720"/>
        </w:tabs>
        <w:ind w:left="1800"/>
        <w:rPr>
          <w:sz w:val="22"/>
          <w:szCs w:val="22"/>
        </w:rPr>
      </w:pPr>
      <w:r>
        <w:rPr>
          <w:sz w:val="22"/>
          <w:szCs w:val="22"/>
        </w:rPr>
        <w:t>The Commission estimates that approximately 20 providers will require approximately 30 hours each to comply with this requirement.</w:t>
      </w:r>
    </w:p>
    <w:p w:rsidR="00ED071A" w:rsidP="00ED071A" w:rsidRDefault="00ED071A" w14:paraId="7E82593A" w14:textId="462C5C42">
      <w:pPr>
        <w:pStyle w:val="Numberedparagraphs"/>
        <w:numPr>
          <w:ilvl w:val="0"/>
          <w:numId w:val="0"/>
        </w:numPr>
        <w:tabs>
          <w:tab w:val="left" w:pos="720"/>
        </w:tabs>
        <w:ind w:left="1800"/>
        <w:rPr>
          <w:sz w:val="22"/>
          <w:szCs w:val="22"/>
        </w:rPr>
      </w:pPr>
      <w:r>
        <w:rPr>
          <w:sz w:val="22"/>
          <w:szCs w:val="22"/>
        </w:rPr>
        <w:t>Approximately 20 respondents x approximately 1 response per year per respondent x approximately 30 hours per response = approximately 600 hours.</w:t>
      </w:r>
    </w:p>
    <w:p w:rsidRPr="00501942" w:rsidR="00ED071A" w:rsidP="00ED071A" w:rsidRDefault="00ED071A" w14:paraId="43172E2F" w14:textId="4AA3A840">
      <w:pPr>
        <w:pStyle w:val="Numberedparagraphs"/>
        <w:numPr>
          <w:ilvl w:val="0"/>
          <w:numId w:val="41"/>
        </w:numPr>
        <w:tabs>
          <w:tab w:val="left" w:pos="720"/>
        </w:tabs>
        <w:rPr>
          <w:b/>
          <w:bCs/>
          <w:sz w:val="22"/>
          <w:szCs w:val="22"/>
        </w:rPr>
      </w:pPr>
      <w:r w:rsidRPr="005074ED">
        <w:rPr>
          <w:sz w:val="22"/>
          <w:szCs w:val="22"/>
          <w:u w:val="single"/>
        </w:rPr>
        <w:t>Total estimate of “in-house” cost to respondents</w:t>
      </w:r>
      <w:r>
        <w:rPr>
          <w:sz w:val="22"/>
          <w:szCs w:val="22"/>
        </w:rPr>
        <w:t xml:space="preserve"> = </w:t>
      </w:r>
      <w:r w:rsidRPr="00501942">
        <w:rPr>
          <w:b/>
          <w:bCs/>
          <w:sz w:val="22"/>
          <w:szCs w:val="22"/>
        </w:rPr>
        <w:t>$</w:t>
      </w:r>
      <w:r w:rsidR="00F00055">
        <w:rPr>
          <w:b/>
          <w:bCs/>
          <w:sz w:val="22"/>
          <w:szCs w:val="22"/>
        </w:rPr>
        <w:t>34,806.</w:t>
      </w:r>
    </w:p>
    <w:p w:rsidR="00ED071A" w:rsidP="00ED071A" w:rsidRDefault="00ED071A" w14:paraId="35F280F0" w14:textId="7844C290">
      <w:pPr>
        <w:pStyle w:val="Numberedparagraphs"/>
        <w:numPr>
          <w:ilvl w:val="0"/>
          <w:numId w:val="41"/>
        </w:numPr>
        <w:tabs>
          <w:tab w:val="left" w:pos="720"/>
        </w:tabs>
        <w:rPr>
          <w:sz w:val="22"/>
          <w:szCs w:val="22"/>
        </w:rPr>
      </w:pPr>
      <w:r w:rsidRPr="005074ED">
        <w:rPr>
          <w:sz w:val="22"/>
          <w:szCs w:val="22"/>
          <w:u w:val="single"/>
        </w:rPr>
        <w:t>Explanation of this calculation</w:t>
      </w:r>
      <w:r>
        <w:rPr>
          <w:sz w:val="22"/>
          <w:szCs w:val="22"/>
        </w:rPr>
        <w:t>:</w:t>
      </w:r>
    </w:p>
    <w:p w:rsidR="00ED071A" w:rsidP="00ED071A" w:rsidRDefault="00ED071A" w14:paraId="00E8FCFC" w14:textId="2653DE94">
      <w:pPr>
        <w:pStyle w:val="Numberedparagraphs"/>
        <w:numPr>
          <w:ilvl w:val="0"/>
          <w:numId w:val="0"/>
        </w:numPr>
        <w:tabs>
          <w:tab w:val="left" w:pos="720"/>
        </w:tabs>
        <w:ind w:left="1800"/>
        <w:rPr>
          <w:sz w:val="22"/>
          <w:szCs w:val="22"/>
        </w:rPr>
      </w:pPr>
      <w:r>
        <w:rPr>
          <w:sz w:val="22"/>
          <w:szCs w:val="22"/>
        </w:rPr>
        <w:lastRenderedPageBreak/>
        <w:t>The Commission estimates that 20 ICS providers will be subject to the consumer disclosure billing requirement.</w:t>
      </w:r>
    </w:p>
    <w:p w:rsidR="00ED071A" w:rsidP="00ED071A" w:rsidRDefault="00ED071A" w14:paraId="7E389F8D" w14:textId="1B0ACD03">
      <w:pPr>
        <w:pStyle w:val="Numberedparagraphs"/>
        <w:numPr>
          <w:ilvl w:val="0"/>
          <w:numId w:val="0"/>
        </w:numPr>
        <w:tabs>
          <w:tab w:val="left" w:pos="720"/>
        </w:tabs>
        <w:ind w:left="1800"/>
        <w:rPr>
          <w:sz w:val="22"/>
          <w:szCs w:val="22"/>
        </w:rPr>
      </w:pPr>
      <w:r>
        <w:rPr>
          <w:sz w:val="22"/>
          <w:szCs w:val="22"/>
        </w:rPr>
        <w:t>The Commission estimates that respondents will use personnel comparable in pay to a GS 13/Step 5 employee earning $</w:t>
      </w:r>
      <w:r w:rsidR="00881843">
        <w:rPr>
          <w:sz w:val="22"/>
          <w:szCs w:val="22"/>
        </w:rPr>
        <w:t>58.01</w:t>
      </w:r>
      <w:r>
        <w:rPr>
          <w:sz w:val="22"/>
          <w:szCs w:val="22"/>
        </w:rPr>
        <w:t xml:space="preserve"> per hour.</w:t>
      </w:r>
    </w:p>
    <w:p w:rsidR="009A513E" w:rsidP="006F621E" w:rsidRDefault="00ED071A" w14:paraId="76E91872" w14:textId="4028AB35">
      <w:pPr>
        <w:pStyle w:val="Numberedparagraphs"/>
        <w:numPr>
          <w:ilvl w:val="0"/>
          <w:numId w:val="0"/>
        </w:numPr>
        <w:tabs>
          <w:tab w:val="left" w:pos="720"/>
        </w:tabs>
        <w:ind w:left="1800"/>
        <w:rPr>
          <w:sz w:val="22"/>
          <w:szCs w:val="22"/>
        </w:rPr>
      </w:pPr>
      <w:r>
        <w:rPr>
          <w:sz w:val="22"/>
          <w:szCs w:val="22"/>
        </w:rPr>
        <w:t>Thus, 600 hours x $</w:t>
      </w:r>
      <w:r w:rsidR="00881843">
        <w:rPr>
          <w:sz w:val="22"/>
          <w:szCs w:val="22"/>
        </w:rPr>
        <w:t>58.01</w:t>
      </w:r>
      <w:r>
        <w:rPr>
          <w:sz w:val="22"/>
          <w:szCs w:val="22"/>
        </w:rPr>
        <w:t xml:space="preserve">= </w:t>
      </w:r>
      <w:r w:rsidRPr="00501942">
        <w:rPr>
          <w:b/>
          <w:bCs/>
          <w:sz w:val="22"/>
          <w:szCs w:val="22"/>
        </w:rPr>
        <w:t>$</w:t>
      </w:r>
      <w:r w:rsidR="00881843">
        <w:rPr>
          <w:sz w:val="22"/>
          <w:szCs w:val="22"/>
        </w:rPr>
        <w:t>34,806.</w:t>
      </w:r>
    </w:p>
    <w:p w:rsidR="00EC2F8C" w:rsidP="009A513E" w:rsidRDefault="004E68B1" w14:paraId="6A586559" w14:textId="34F62094">
      <w:pPr>
        <w:pStyle w:val="Numberedparagraphs"/>
        <w:numPr>
          <w:ilvl w:val="0"/>
          <w:numId w:val="36"/>
        </w:numPr>
        <w:tabs>
          <w:tab w:val="clear" w:pos="1440"/>
          <w:tab w:val="left" w:pos="720"/>
        </w:tabs>
        <w:rPr>
          <w:sz w:val="22"/>
          <w:szCs w:val="22"/>
        </w:rPr>
      </w:pPr>
      <w:r w:rsidRPr="00751AE4">
        <w:rPr>
          <w:b/>
          <w:bCs/>
          <w:sz w:val="22"/>
          <w:szCs w:val="22"/>
          <w:u w:val="single"/>
        </w:rPr>
        <w:t>Waiver Request Reporting Requirement</w:t>
      </w:r>
      <w:r>
        <w:rPr>
          <w:sz w:val="22"/>
          <w:szCs w:val="22"/>
        </w:rPr>
        <w:t>:</w:t>
      </w:r>
    </w:p>
    <w:p w:rsidR="004E68B1" w:rsidP="004E68B1" w:rsidRDefault="004E68B1" w14:paraId="614C9120" w14:textId="4F04409E">
      <w:pPr>
        <w:pStyle w:val="Numberedparagraphs"/>
        <w:numPr>
          <w:ilvl w:val="0"/>
          <w:numId w:val="42"/>
        </w:numPr>
        <w:tabs>
          <w:tab w:val="clear" w:pos="1440"/>
          <w:tab w:val="left" w:pos="720"/>
        </w:tabs>
        <w:rPr>
          <w:sz w:val="22"/>
          <w:szCs w:val="22"/>
        </w:rPr>
      </w:pPr>
      <w:r>
        <w:rPr>
          <w:sz w:val="22"/>
          <w:szCs w:val="22"/>
        </w:rPr>
        <w:t>Number of respondents:  Approximately 3.</w:t>
      </w:r>
    </w:p>
    <w:p w:rsidR="004E68B1" w:rsidP="004E68B1" w:rsidRDefault="00E80818" w14:paraId="712FBD1F" w14:textId="1D01FB5A">
      <w:pPr>
        <w:pStyle w:val="Numberedparagraphs"/>
        <w:numPr>
          <w:ilvl w:val="0"/>
          <w:numId w:val="42"/>
        </w:numPr>
        <w:tabs>
          <w:tab w:val="clear" w:pos="1440"/>
          <w:tab w:val="left" w:pos="720"/>
        </w:tabs>
        <w:rPr>
          <w:sz w:val="22"/>
          <w:szCs w:val="22"/>
        </w:rPr>
      </w:pPr>
      <w:r>
        <w:rPr>
          <w:sz w:val="22"/>
          <w:szCs w:val="22"/>
        </w:rPr>
        <w:t>Frequency of response:  On occasion reporting requirement as requested by filer.</w:t>
      </w:r>
    </w:p>
    <w:p w:rsidR="00E80818" w:rsidP="004E68B1" w:rsidRDefault="00E80818" w14:paraId="701476C5" w14:textId="3FC975EB">
      <w:pPr>
        <w:pStyle w:val="Numberedparagraphs"/>
        <w:numPr>
          <w:ilvl w:val="0"/>
          <w:numId w:val="42"/>
        </w:numPr>
        <w:tabs>
          <w:tab w:val="clear" w:pos="1440"/>
          <w:tab w:val="left" w:pos="720"/>
        </w:tabs>
        <w:rPr>
          <w:sz w:val="22"/>
          <w:szCs w:val="22"/>
        </w:rPr>
      </w:pPr>
      <w:r>
        <w:rPr>
          <w:sz w:val="22"/>
          <w:szCs w:val="22"/>
        </w:rPr>
        <w:t>Total number or responses annually:  Approximately 3.</w:t>
      </w:r>
    </w:p>
    <w:p w:rsidR="00E80818" w:rsidP="004E68B1" w:rsidRDefault="008A603C" w14:paraId="2EBD9595" w14:textId="2ED521A3">
      <w:pPr>
        <w:pStyle w:val="Numberedparagraphs"/>
        <w:numPr>
          <w:ilvl w:val="0"/>
          <w:numId w:val="42"/>
        </w:numPr>
        <w:tabs>
          <w:tab w:val="clear" w:pos="1440"/>
          <w:tab w:val="left" w:pos="720"/>
        </w:tabs>
        <w:rPr>
          <w:sz w:val="22"/>
          <w:szCs w:val="22"/>
        </w:rPr>
      </w:pPr>
      <w:r>
        <w:rPr>
          <w:sz w:val="22"/>
          <w:szCs w:val="22"/>
        </w:rPr>
        <w:t>Estimated Time per Response:  Approximately 80 hours per provider.</w:t>
      </w:r>
    </w:p>
    <w:p w:rsidR="008A603C" w:rsidP="004E68B1" w:rsidRDefault="008A603C" w14:paraId="41783DC3" w14:textId="26AE726D">
      <w:pPr>
        <w:pStyle w:val="Numberedparagraphs"/>
        <w:numPr>
          <w:ilvl w:val="0"/>
          <w:numId w:val="42"/>
        </w:numPr>
        <w:tabs>
          <w:tab w:val="clear" w:pos="1440"/>
          <w:tab w:val="left" w:pos="720"/>
        </w:tabs>
        <w:rPr>
          <w:sz w:val="22"/>
          <w:szCs w:val="22"/>
        </w:rPr>
      </w:pPr>
      <w:r>
        <w:rPr>
          <w:sz w:val="22"/>
          <w:szCs w:val="22"/>
        </w:rPr>
        <w:t>Total annual burden:  Approximately 240 hours.</w:t>
      </w:r>
    </w:p>
    <w:p w:rsidR="008A603C" w:rsidP="008A603C" w:rsidRDefault="008A603C" w14:paraId="0D687CAB" w14:textId="4D9087E5">
      <w:pPr>
        <w:pStyle w:val="Numberedparagraphs"/>
        <w:numPr>
          <w:ilvl w:val="0"/>
          <w:numId w:val="0"/>
        </w:numPr>
        <w:tabs>
          <w:tab w:val="clear" w:pos="1440"/>
          <w:tab w:val="left" w:pos="720"/>
        </w:tabs>
        <w:ind w:left="1080"/>
        <w:rPr>
          <w:sz w:val="22"/>
          <w:szCs w:val="22"/>
        </w:rPr>
      </w:pPr>
      <w:r>
        <w:rPr>
          <w:sz w:val="22"/>
          <w:szCs w:val="22"/>
        </w:rPr>
        <w:t>The Commission estimates that approximately three ICS providers will require approximately 80 hours each to comply with this requirement annually.</w:t>
      </w:r>
    </w:p>
    <w:p w:rsidR="008A603C" w:rsidP="008A603C" w:rsidRDefault="008A603C" w14:paraId="3CBA2F37" w14:textId="5CC79495">
      <w:pPr>
        <w:pStyle w:val="Numberedparagraphs"/>
        <w:numPr>
          <w:ilvl w:val="0"/>
          <w:numId w:val="0"/>
        </w:numPr>
        <w:tabs>
          <w:tab w:val="clear" w:pos="1440"/>
          <w:tab w:val="left" w:pos="720"/>
        </w:tabs>
        <w:ind w:left="1080"/>
        <w:rPr>
          <w:sz w:val="22"/>
          <w:szCs w:val="22"/>
        </w:rPr>
      </w:pPr>
      <w:r>
        <w:rPr>
          <w:sz w:val="22"/>
          <w:szCs w:val="22"/>
        </w:rPr>
        <w:t>Approximately 3 respondents x approximately 1 response annually x approximately 80 hours per response = approximately 240 hours.</w:t>
      </w:r>
    </w:p>
    <w:p w:rsidR="008A603C" w:rsidP="008A603C" w:rsidRDefault="008A603C" w14:paraId="6F9C066C" w14:textId="05E30BC6">
      <w:pPr>
        <w:pStyle w:val="Numberedparagraphs"/>
        <w:numPr>
          <w:ilvl w:val="0"/>
          <w:numId w:val="42"/>
        </w:numPr>
        <w:tabs>
          <w:tab w:val="clear" w:pos="1440"/>
          <w:tab w:val="left" w:pos="720"/>
        </w:tabs>
        <w:rPr>
          <w:sz w:val="22"/>
          <w:szCs w:val="22"/>
        </w:rPr>
      </w:pPr>
      <w:r>
        <w:rPr>
          <w:sz w:val="22"/>
          <w:szCs w:val="22"/>
        </w:rPr>
        <w:t xml:space="preserve">Total estimate of “in-house” cost to respondents:  </w:t>
      </w:r>
      <w:r w:rsidRPr="00C93A47">
        <w:rPr>
          <w:b/>
          <w:bCs/>
          <w:sz w:val="22"/>
          <w:szCs w:val="22"/>
        </w:rPr>
        <w:t>$30,000.00</w:t>
      </w:r>
      <w:r>
        <w:rPr>
          <w:sz w:val="22"/>
          <w:szCs w:val="22"/>
        </w:rPr>
        <w:t>.</w:t>
      </w:r>
    </w:p>
    <w:p w:rsidR="008A603C" w:rsidP="008A603C" w:rsidRDefault="008A603C" w14:paraId="7247643F" w14:textId="744C062D">
      <w:pPr>
        <w:pStyle w:val="Numberedparagraphs"/>
        <w:numPr>
          <w:ilvl w:val="0"/>
          <w:numId w:val="42"/>
        </w:numPr>
        <w:tabs>
          <w:tab w:val="clear" w:pos="1440"/>
          <w:tab w:val="left" w:pos="720"/>
        </w:tabs>
        <w:rPr>
          <w:sz w:val="22"/>
          <w:szCs w:val="22"/>
        </w:rPr>
      </w:pPr>
      <w:r>
        <w:rPr>
          <w:sz w:val="22"/>
          <w:szCs w:val="22"/>
        </w:rPr>
        <w:t>Explanation of the calculation:</w:t>
      </w:r>
    </w:p>
    <w:p w:rsidR="008A603C" w:rsidP="008A603C" w:rsidRDefault="008A603C" w14:paraId="2395E3C9" w14:textId="5D2DBB7F">
      <w:pPr>
        <w:pStyle w:val="Numberedparagraphs"/>
        <w:numPr>
          <w:ilvl w:val="0"/>
          <w:numId w:val="0"/>
        </w:numPr>
        <w:tabs>
          <w:tab w:val="clear" w:pos="1440"/>
          <w:tab w:val="left" w:pos="720"/>
        </w:tabs>
        <w:ind w:left="1080"/>
        <w:rPr>
          <w:sz w:val="22"/>
          <w:szCs w:val="22"/>
        </w:rPr>
      </w:pPr>
      <w:r>
        <w:rPr>
          <w:sz w:val="22"/>
          <w:szCs w:val="22"/>
        </w:rPr>
        <w:t>We estimate that respondents will use approximately 80 hours of professional personnel (rate of approximately $125 per hour) to satisfy this waiver request requirement.</w:t>
      </w:r>
    </w:p>
    <w:p w:rsidR="00AC0351" w:rsidP="009A513E" w:rsidRDefault="008A603C" w14:paraId="4EC7031A" w14:textId="59D67C5B">
      <w:pPr>
        <w:pStyle w:val="Numberedparagraphs"/>
        <w:numPr>
          <w:ilvl w:val="0"/>
          <w:numId w:val="0"/>
        </w:numPr>
        <w:tabs>
          <w:tab w:val="clear" w:pos="1440"/>
          <w:tab w:val="left" w:pos="720"/>
        </w:tabs>
        <w:ind w:left="1080"/>
        <w:rPr>
          <w:sz w:val="22"/>
          <w:szCs w:val="22"/>
        </w:rPr>
      </w:pPr>
      <w:r>
        <w:rPr>
          <w:sz w:val="22"/>
          <w:szCs w:val="22"/>
        </w:rPr>
        <w:t>Thus, 240 hours per year x $125.00 = $30,000.00.</w:t>
      </w:r>
    </w:p>
    <w:p w:rsidR="008B0876" w:rsidP="007E0735" w:rsidRDefault="00866CF3" w14:paraId="289DF84B" w14:textId="4AA2EFCD">
      <w:pPr>
        <w:pStyle w:val="Numberedparagraphs"/>
        <w:numPr>
          <w:ilvl w:val="0"/>
          <w:numId w:val="0"/>
        </w:numPr>
        <w:tabs>
          <w:tab w:val="clear" w:pos="1440"/>
          <w:tab w:val="left" w:pos="720"/>
        </w:tabs>
        <w:rPr>
          <w:b/>
          <w:bCs/>
          <w:sz w:val="22"/>
          <w:szCs w:val="22"/>
          <w:u w:val="single"/>
        </w:rPr>
      </w:pPr>
      <w:bookmarkStart w:name="_Hlk90909531" w:id="10"/>
      <w:r w:rsidRPr="008B0876">
        <w:rPr>
          <w:b/>
          <w:bCs/>
          <w:sz w:val="22"/>
          <w:szCs w:val="22"/>
          <w:u w:val="single"/>
        </w:rPr>
        <w:t xml:space="preserve">Revised </w:t>
      </w:r>
      <w:r w:rsidRPr="008B0876" w:rsidR="00905497">
        <w:rPr>
          <w:b/>
          <w:bCs/>
          <w:sz w:val="22"/>
          <w:szCs w:val="22"/>
          <w:u w:val="single"/>
        </w:rPr>
        <w:t>Requirements</w:t>
      </w:r>
      <w:r w:rsidR="00F665C2">
        <w:rPr>
          <w:b/>
          <w:bCs/>
          <w:sz w:val="22"/>
          <w:szCs w:val="22"/>
          <w:u w:val="single"/>
        </w:rPr>
        <w:t xml:space="preserve"> for Annual Reports</w:t>
      </w:r>
      <w:r w:rsidRPr="008B0876" w:rsidR="00905497">
        <w:rPr>
          <w:b/>
          <w:bCs/>
          <w:sz w:val="22"/>
          <w:szCs w:val="22"/>
          <w:u w:val="single"/>
        </w:rPr>
        <w:t>:</w:t>
      </w:r>
    </w:p>
    <w:p w:rsidR="00B91FFE" w:rsidP="00334EFE" w:rsidRDefault="007D5317" w14:paraId="1CCB0F0E" w14:textId="42D4258A">
      <w:pPr>
        <w:pStyle w:val="Numberedparagraphs"/>
        <w:numPr>
          <w:ilvl w:val="0"/>
          <w:numId w:val="0"/>
        </w:numPr>
        <w:tabs>
          <w:tab w:val="clear" w:pos="1440"/>
          <w:tab w:val="left" w:pos="720"/>
        </w:tabs>
        <w:rPr>
          <w:bCs/>
          <w:sz w:val="22"/>
          <w:szCs w:val="22"/>
        </w:rPr>
      </w:pPr>
      <w:r>
        <w:rPr>
          <w:b/>
          <w:sz w:val="22"/>
          <w:szCs w:val="22"/>
        </w:rPr>
        <w:t>a</w:t>
      </w:r>
      <w:r w:rsidR="00E6647D">
        <w:rPr>
          <w:b/>
          <w:sz w:val="22"/>
          <w:szCs w:val="22"/>
        </w:rPr>
        <w:t>.</w:t>
      </w:r>
      <w:r>
        <w:rPr>
          <w:b/>
          <w:sz w:val="22"/>
          <w:szCs w:val="22"/>
        </w:rPr>
        <w:tab/>
      </w:r>
      <w:r w:rsidRPr="00B91FFE" w:rsidR="009979A3">
        <w:rPr>
          <w:b/>
          <w:sz w:val="22"/>
          <w:szCs w:val="22"/>
          <w:u w:val="single"/>
        </w:rPr>
        <w:t>Reporting Requirement (</w:t>
      </w:r>
      <w:r w:rsidR="00DD2210">
        <w:rPr>
          <w:b/>
          <w:sz w:val="22"/>
          <w:szCs w:val="22"/>
          <w:u w:val="single"/>
        </w:rPr>
        <w:t>A</w:t>
      </w:r>
      <w:r w:rsidRPr="00B91FFE" w:rsidR="009979A3">
        <w:rPr>
          <w:b/>
          <w:sz w:val="22"/>
          <w:szCs w:val="22"/>
          <w:u w:val="single"/>
        </w:rPr>
        <w:t>nnual Reports)</w:t>
      </w:r>
      <w:r w:rsidRPr="00EE3220" w:rsidR="009979A3">
        <w:rPr>
          <w:b/>
          <w:sz w:val="22"/>
          <w:szCs w:val="22"/>
        </w:rPr>
        <w:t>:</w:t>
      </w:r>
      <w:r w:rsidRPr="003E24F0">
        <w:rPr>
          <w:bCs/>
          <w:sz w:val="22"/>
          <w:szCs w:val="22"/>
        </w:rPr>
        <w:tab/>
      </w:r>
    </w:p>
    <w:p w:rsidRPr="00B91FFE" w:rsidR="009979A3" w:rsidP="00334EFE" w:rsidRDefault="00B91FFE" w14:paraId="732C62B1" w14:textId="4E2E2A69">
      <w:pPr>
        <w:pStyle w:val="Numberedparagraphs"/>
        <w:numPr>
          <w:ilvl w:val="0"/>
          <w:numId w:val="0"/>
        </w:numPr>
        <w:tabs>
          <w:tab w:val="clear" w:pos="1440"/>
          <w:tab w:val="left" w:pos="720"/>
        </w:tabs>
        <w:rPr>
          <w:bCs/>
          <w:sz w:val="22"/>
          <w:szCs w:val="22"/>
        </w:rPr>
      </w:pPr>
      <w:r>
        <w:rPr>
          <w:bCs/>
          <w:sz w:val="22"/>
          <w:szCs w:val="22"/>
        </w:rPr>
        <w:tab/>
      </w:r>
      <w:r w:rsidRPr="00B91FFE" w:rsidR="009979A3">
        <w:rPr>
          <w:bCs/>
          <w:sz w:val="22"/>
          <w:szCs w:val="22"/>
        </w:rPr>
        <w:t xml:space="preserve">(1)  </w:t>
      </w:r>
      <w:r w:rsidRPr="00B91FFE" w:rsidR="009979A3">
        <w:rPr>
          <w:bCs/>
          <w:sz w:val="22"/>
          <w:szCs w:val="22"/>
          <w:u w:val="single"/>
        </w:rPr>
        <w:t>Number of respondents</w:t>
      </w:r>
      <w:r w:rsidRPr="00B91FFE" w:rsidR="009979A3">
        <w:rPr>
          <w:bCs/>
          <w:sz w:val="22"/>
          <w:szCs w:val="22"/>
        </w:rPr>
        <w:t xml:space="preserve">:  </w:t>
      </w:r>
      <w:r w:rsidRPr="00B91FFE" w:rsidR="00FB334B">
        <w:rPr>
          <w:bCs/>
          <w:sz w:val="22"/>
          <w:szCs w:val="22"/>
        </w:rPr>
        <w:t>Approximately</w:t>
      </w:r>
      <w:r w:rsidR="00830484">
        <w:rPr>
          <w:bCs/>
          <w:sz w:val="22"/>
          <w:szCs w:val="22"/>
        </w:rPr>
        <w:t xml:space="preserve"> </w:t>
      </w:r>
      <w:r w:rsidR="00B97D32">
        <w:rPr>
          <w:bCs/>
          <w:sz w:val="22"/>
          <w:szCs w:val="22"/>
        </w:rPr>
        <w:t>20</w:t>
      </w:r>
      <w:r w:rsidR="00830484">
        <w:rPr>
          <w:bCs/>
          <w:sz w:val="22"/>
          <w:szCs w:val="22"/>
        </w:rPr>
        <w:t>.</w:t>
      </w:r>
    </w:p>
    <w:p w:rsidRPr="00B91FFE" w:rsidR="009979A3" w:rsidP="00334EFE" w:rsidRDefault="009979A3" w14:paraId="25524C37" w14:textId="015412EB">
      <w:pPr>
        <w:pStyle w:val="Numberedparagraphs"/>
        <w:numPr>
          <w:ilvl w:val="0"/>
          <w:numId w:val="0"/>
        </w:numPr>
        <w:tabs>
          <w:tab w:val="clear" w:pos="1440"/>
          <w:tab w:val="left" w:pos="720"/>
        </w:tabs>
        <w:rPr>
          <w:bCs/>
          <w:sz w:val="22"/>
          <w:szCs w:val="22"/>
        </w:rPr>
      </w:pPr>
      <w:r w:rsidRPr="00B91FFE">
        <w:rPr>
          <w:bCs/>
          <w:sz w:val="22"/>
          <w:szCs w:val="22"/>
        </w:rPr>
        <w:tab/>
        <w:t xml:space="preserve">(2)  </w:t>
      </w:r>
      <w:r w:rsidRPr="00B91FFE">
        <w:rPr>
          <w:bCs/>
          <w:sz w:val="22"/>
          <w:szCs w:val="22"/>
          <w:u w:val="single"/>
        </w:rPr>
        <w:t>Frequency of response</w:t>
      </w:r>
      <w:r w:rsidRPr="00B91FFE">
        <w:rPr>
          <w:bCs/>
          <w:sz w:val="22"/>
          <w:szCs w:val="22"/>
        </w:rPr>
        <w:t>:</w:t>
      </w:r>
      <w:r w:rsidRPr="00B91FFE" w:rsidR="00FB334B">
        <w:rPr>
          <w:bCs/>
          <w:sz w:val="22"/>
          <w:szCs w:val="22"/>
        </w:rPr>
        <w:t xml:space="preserve">  Annual.</w:t>
      </w:r>
    </w:p>
    <w:p w:rsidRPr="00B91FFE" w:rsidR="009979A3" w:rsidP="00334EFE" w:rsidRDefault="009979A3" w14:paraId="38AC2373" w14:textId="6CB3F619">
      <w:pPr>
        <w:pStyle w:val="Numberedparagraphs"/>
        <w:numPr>
          <w:ilvl w:val="0"/>
          <w:numId w:val="0"/>
        </w:numPr>
        <w:tabs>
          <w:tab w:val="clear" w:pos="1440"/>
          <w:tab w:val="left" w:pos="720"/>
        </w:tabs>
        <w:rPr>
          <w:bCs/>
          <w:sz w:val="22"/>
          <w:szCs w:val="22"/>
        </w:rPr>
      </w:pPr>
      <w:r w:rsidRPr="00B91FFE">
        <w:rPr>
          <w:bCs/>
          <w:sz w:val="22"/>
          <w:szCs w:val="22"/>
        </w:rPr>
        <w:tab/>
        <w:t xml:space="preserve">(3)  </w:t>
      </w:r>
      <w:r w:rsidRPr="00B91FFE">
        <w:rPr>
          <w:bCs/>
          <w:sz w:val="22"/>
          <w:szCs w:val="22"/>
          <w:u w:val="single"/>
        </w:rPr>
        <w:t>Total number of responses annually</w:t>
      </w:r>
      <w:r w:rsidRPr="00B91FFE">
        <w:rPr>
          <w:bCs/>
          <w:sz w:val="22"/>
          <w:szCs w:val="22"/>
        </w:rPr>
        <w:t xml:space="preserve">:  Approximately </w:t>
      </w:r>
      <w:r w:rsidR="002B1E45">
        <w:rPr>
          <w:bCs/>
          <w:sz w:val="22"/>
          <w:szCs w:val="22"/>
        </w:rPr>
        <w:t>20</w:t>
      </w:r>
      <w:r w:rsidRPr="00B91FFE">
        <w:rPr>
          <w:bCs/>
          <w:sz w:val="22"/>
          <w:szCs w:val="22"/>
        </w:rPr>
        <w:t>.</w:t>
      </w:r>
    </w:p>
    <w:p w:rsidRPr="00B91FFE" w:rsidR="009979A3" w:rsidP="00334EFE" w:rsidRDefault="009979A3" w14:paraId="777786BE" w14:textId="7317420F">
      <w:pPr>
        <w:pStyle w:val="Numberedparagraphs"/>
        <w:numPr>
          <w:ilvl w:val="0"/>
          <w:numId w:val="0"/>
        </w:numPr>
        <w:tabs>
          <w:tab w:val="clear" w:pos="1440"/>
          <w:tab w:val="left" w:pos="720"/>
        </w:tabs>
        <w:rPr>
          <w:bCs/>
          <w:sz w:val="22"/>
          <w:szCs w:val="22"/>
        </w:rPr>
      </w:pPr>
      <w:r w:rsidRPr="00B91FFE">
        <w:rPr>
          <w:bCs/>
          <w:sz w:val="22"/>
          <w:szCs w:val="22"/>
        </w:rPr>
        <w:tab/>
        <w:t xml:space="preserve">(4)  </w:t>
      </w:r>
      <w:r w:rsidRPr="00B91FFE">
        <w:rPr>
          <w:bCs/>
          <w:sz w:val="22"/>
          <w:szCs w:val="22"/>
          <w:u w:val="single"/>
        </w:rPr>
        <w:t>Estimated Time per Response</w:t>
      </w:r>
      <w:r w:rsidRPr="00B91FFE">
        <w:rPr>
          <w:bCs/>
          <w:sz w:val="22"/>
          <w:szCs w:val="22"/>
        </w:rPr>
        <w:t>:</w:t>
      </w:r>
      <w:r w:rsidRPr="00B91FFE" w:rsidR="00FB334B">
        <w:rPr>
          <w:bCs/>
          <w:sz w:val="22"/>
          <w:szCs w:val="22"/>
        </w:rPr>
        <w:t xml:space="preserve">  </w:t>
      </w:r>
      <w:r w:rsidR="000D39D1">
        <w:rPr>
          <w:bCs/>
          <w:sz w:val="22"/>
          <w:szCs w:val="22"/>
        </w:rPr>
        <w:t>Approximately</w:t>
      </w:r>
      <w:r w:rsidR="00D25E2E">
        <w:rPr>
          <w:bCs/>
          <w:sz w:val="22"/>
          <w:szCs w:val="22"/>
        </w:rPr>
        <w:t xml:space="preserve"> 120</w:t>
      </w:r>
      <w:r w:rsidR="00605A4F">
        <w:rPr>
          <w:bCs/>
          <w:sz w:val="22"/>
          <w:szCs w:val="22"/>
        </w:rPr>
        <w:t xml:space="preserve"> </w:t>
      </w:r>
      <w:r w:rsidR="00126861">
        <w:rPr>
          <w:bCs/>
          <w:sz w:val="22"/>
          <w:szCs w:val="22"/>
        </w:rPr>
        <w:t>hours.</w:t>
      </w:r>
    </w:p>
    <w:p w:rsidRPr="00B91FFE" w:rsidR="00CE7BBD" w:rsidP="00FB334B" w:rsidRDefault="007D5317" w14:paraId="24F99491" w14:textId="4BE58318">
      <w:pPr>
        <w:pStyle w:val="Numberedparagraphs"/>
        <w:numPr>
          <w:ilvl w:val="0"/>
          <w:numId w:val="0"/>
        </w:numPr>
        <w:tabs>
          <w:tab w:val="clear" w:pos="1440"/>
          <w:tab w:val="left" w:pos="720"/>
        </w:tabs>
        <w:ind w:left="720"/>
        <w:rPr>
          <w:bCs/>
          <w:sz w:val="22"/>
          <w:szCs w:val="22"/>
        </w:rPr>
      </w:pPr>
      <w:r>
        <w:rPr>
          <w:bCs/>
          <w:sz w:val="22"/>
          <w:szCs w:val="22"/>
        </w:rPr>
        <w:tab/>
      </w:r>
      <w:r w:rsidR="00B97D32">
        <w:rPr>
          <w:bCs/>
          <w:sz w:val="22"/>
          <w:szCs w:val="22"/>
        </w:rPr>
        <w:t>20</w:t>
      </w:r>
      <w:r w:rsidRPr="00B91FFE" w:rsidR="00CE7BBD">
        <w:rPr>
          <w:bCs/>
          <w:sz w:val="22"/>
          <w:szCs w:val="22"/>
        </w:rPr>
        <w:t xml:space="preserve"> </w:t>
      </w:r>
      <w:r w:rsidR="00547328">
        <w:rPr>
          <w:bCs/>
          <w:sz w:val="22"/>
          <w:szCs w:val="22"/>
        </w:rPr>
        <w:t xml:space="preserve">respondents </w:t>
      </w:r>
      <w:r w:rsidRPr="00B91FFE" w:rsidR="00CE7BBD">
        <w:rPr>
          <w:bCs/>
          <w:sz w:val="22"/>
          <w:szCs w:val="22"/>
        </w:rPr>
        <w:t xml:space="preserve">x </w:t>
      </w:r>
      <w:r w:rsidR="000D39D1">
        <w:rPr>
          <w:bCs/>
          <w:sz w:val="22"/>
          <w:szCs w:val="22"/>
        </w:rPr>
        <w:t>approximately</w:t>
      </w:r>
      <w:r w:rsidR="00126861">
        <w:rPr>
          <w:bCs/>
          <w:sz w:val="22"/>
          <w:szCs w:val="22"/>
        </w:rPr>
        <w:t xml:space="preserve"> </w:t>
      </w:r>
      <w:r w:rsidR="00605A4F">
        <w:rPr>
          <w:bCs/>
          <w:sz w:val="22"/>
          <w:szCs w:val="22"/>
        </w:rPr>
        <w:t xml:space="preserve">120 </w:t>
      </w:r>
      <w:r w:rsidRPr="00B91FFE" w:rsidR="00CE7BBD">
        <w:rPr>
          <w:bCs/>
          <w:sz w:val="22"/>
          <w:szCs w:val="22"/>
        </w:rPr>
        <w:t xml:space="preserve">hours per response x 1 response </w:t>
      </w:r>
      <w:r w:rsidR="008F71AD">
        <w:rPr>
          <w:bCs/>
          <w:sz w:val="22"/>
          <w:szCs w:val="22"/>
        </w:rPr>
        <w:t xml:space="preserve">per respondent </w:t>
      </w:r>
      <w:r w:rsidRPr="00B91FFE" w:rsidR="00CE7BBD">
        <w:rPr>
          <w:bCs/>
          <w:sz w:val="22"/>
          <w:szCs w:val="22"/>
        </w:rPr>
        <w:t xml:space="preserve">= </w:t>
      </w:r>
      <w:r w:rsidR="00605A4F">
        <w:rPr>
          <w:bCs/>
          <w:sz w:val="22"/>
          <w:szCs w:val="22"/>
        </w:rPr>
        <w:t xml:space="preserve">2,400 </w:t>
      </w:r>
      <w:r w:rsidR="0030102E">
        <w:rPr>
          <w:bCs/>
          <w:sz w:val="22"/>
          <w:szCs w:val="22"/>
        </w:rPr>
        <w:t>hours</w:t>
      </w:r>
      <w:r w:rsidRPr="00B91FFE" w:rsidR="00CE7BBD">
        <w:rPr>
          <w:bCs/>
          <w:sz w:val="22"/>
          <w:szCs w:val="22"/>
        </w:rPr>
        <w:t>.</w:t>
      </w:r>
    </w:p>
    <w:p w:rsidRPr="00B91FFE" w:rsidR="00CE7BBD" w:rsidP="00334EFE" w:rsidRDefault="00CE7BBD" w14:paraId="020C1AEB" w14:textId="77E11CEB">
      <w:pPr>
        <w:pStyle w:val="Numberedparagraphs"/>
        <w:numPr>
          <w:ilvl w:val="0"/>
          <w:numId w:val="0"/>
        </w:numPr>
        <w:tabs>
          <w:tab w:val="clear" w:pos="1440"/>
          <w:tab w:val="left" w:pos="720"/>
        </w:tabs>
        <w:rPr>
          <w:bCs/>
          <w:sz w:val="22"/>
          <w:szCs w:val="22"/>
        </w:rPr>
      </w:pPr>
      <w:r w:rsidRPr="00B91FFE">
        <w:rPr>
          <w:bCs/>
          <w:sz w:val="22"/>
          <w:szCs w:val="22"/>
        </w:rPr>
        <w:tab/>
        <w:t xml:space="preserve">(5)  </w:t>
      </w:r>
      <w:r w:rsidRPr="00B91FFE">
        <w:rPr>
          <w:bCs/>
          <w:sz w:val="22"/>
          <w:szCs w:val="22"/>
          <w:u w:val="single"/>
        </w:rPr>
        <w:t>Total annual burden</w:t>
      </w:r>
      <w:r w:rsidRPr="00B91FFE">
        <w:rPr>
          <w:bCs/>
          <w:sz w:val="22"/>
          <w:szCs w:val="22"/>
        </w:rPr>
        <w:t xml:space="preserve">:  </w:t>
      </w:r>
      <w:r w:rsidRPr="00D7761B" w:rsidR="00605A4F">
        <w:rPr>
          <w:b/>
          <w:sz w:val="22"/>
          <w:szCs w:val="22"/>
        </w:rPr>
        <w:t>2</w:t>
      </w:r>
      <w:r w:rsidR="00605A4F">
        <w:rPr>
          <w:b/>
          <w:sz w:val="22"/>
          <w:szCs w:val="22"/>
        </w:rPr>
        <w:t>,</w:t>
      </w:r>
      <w:r w:rsidRPr="00D7761B" w:rsidR="00605A4F">
        <w:rPr>
          <w:b/>
          <w:sz w:val="22"/>
          <w:szCs w:val="22"/>
        </w:rPr>
        <w:t>400</w:t>
      </w:r>
      <w:r w:rsidR="00605A4F">
        <w:rPr>
          <w:bCs/>
          <w:sz w:val="22"/>
          <w:szCs w:val="22"/>
        </w:rPr>
        <w:t xml:space="preserve"> </w:t>
      </w:r>
      <w:r w:rsidRPr="004C0C38" w:rsidR="004C0C38">
        <w:rPr>
          <w:b/>
          <w:sz w:val="22"/>
          <w:szCs w:val="22"/>
        </w:rPr>
        <w:t>hours</w:t>
      </w:r>
      <w:r w:rsidR="004C0C38">
        <w:rPr>
          <w:bCs/>
          <w:sz w:val="22"/>
          <w:szCs w:val="22"/>
        </w:rPr>
        <w:t>.</w:t>
      </w:r>
    </w:p>
    <w:p w:rsidRPr="00B91FFE" w:rsidR="00CE7BBD" w:rsidP="00FB334B" w:rsidRDefault="00CE7BBD" w14:paraId="604CF372" w14:textId="5C1DEB2A">
      <w:pPr>
        <w:pStyle w:val="Numberedparagraphs"/>
        <w:numPr>
          <w:ilvl w:val="0"/>
          <w:numId w:val="0"/>
        </w:numPr>
        <w:tabs>
          <w:tab w:val="clear" w:pos="1440"/>
          <w:tab w:val="left" w:pos="720"/>
        </w:tabs>
        <w:ind w:left="1440"/>
        <w:rPr>
          <w:bCs/>
          <w:sz w:val="22"/>
          <w:szCs w:val="22"/>
        </w:rPr>
      </w:pPr>
      <w:r w:rsidRPr="00B91FFE">
        <w:rPr>
          <w:bCs/>
          <w:sz w:val="22"/>
          <w:szCs w:val="22"/>
        </w:rPr>
        <w:t xml:space="preserve">The Commission estimates that </w:t>
      </w:r>
      <w:r w:rsidRPr="00B91FFE" w:rsidR="00FB334B">
        <w:rPr>
          <w:bCs/>
          <w:sz w:val="22"/>
          <w:szCs w:val="22"/>
        </w:rPr>
        <w:t xml:space="preserve">approximate </w:t>
      </w:r>
      <w:r w:rsidR="000278B1">
        <w:rPr>
          <w:bCs/>
          <w:sz w:val="22"/>
          <w:szCs w:val="22"/>
        </w:rPr>
        <w:t>20</w:t>
      </w:r>
      <w:r w:rsidRPr="00B91FFE" w:rsidR="00FB334B">
        <w:rPr>
          <w:bCs/>
          <w:sz w:val="22"/>
          <w:szCs w:val="22"/>
        </w:rPr>
        <w:t xml:space="preserve"> ICS providers will require </w:t>
      </w:r>
      <w:r w:rsidR="000D39D1">
        <w:rPr>
          <w:bCs/>
          <w:sz w:val="22"/>
          <w:szCs w:val="22"/>
        </w:rPr>
        <w:t xml:space="preserve">approximately </w:t>
      </w:r>
      <w:r w:rsidR="00605A4F">
        <w:rPr>
          <w:bCs/>
          <w:sz w:val="22"/>
          <w:szCs w:val="22"/>
        </w:rPr>
        <w:t xml:space="preserve">120 </w:t>
      </w:r>
      <w:r w:rsidRPr="00B91FFE" w:rsidR="00FB334B">
        <w:rPr>
          <w:bCs/>
          <w:sz w:val="22"/>
          <w:szCs w:val="22"/>
        </w:rPr>
        <w:t>hours of reporting time</w:t>
      </w:r>
      <w:r w:rsidR="00F665C2">
        <w:rPr>
          <w:bCs/>
          <w:sz w:val="22"/>
          <w:szCs w:val="22"/>
        </w:rPr>
        <w:t>.</w:t>
      </w:r>
    </w:p>
    <w:p w:rsidRPr="00B91FFE" w:rsidR="00FB334B" w:rsidP="00FB334B" w:rsidRDefault="00FB334B" w14:paraId="5E079CEF" w14:textId="5BC3B7E8">
      <w:pPr>
        <w:pStyle w:val="Numberedparagraphs"/>
        <w:numPr>
          <w:ilvl w:val="0"/>
          <w:numId w:val="0"/>
        </w:numPr>
        <w:tabs>
          <w:tab w:val="clear" w:pos="1440"/>
          <w:tab w:val="left" w:pos="720"/>
        </w:tabs>
        <w:ind w:left="720"/>
        <w:rPr>
          <w:bCs/>
          <w:sz w:val="22"/>
          <w:szCs w:val="22"/>
        </w:rPr>
      </w:pPr>
      <w:r w:rsidRPr="00B91FFE">
        <w:rPr>
          <w:bCs/>
          <w:sz w:val="22"/>
          <w:szCs w:val="22"/>
        </w:rPr>
        <w:lastRenderedPageBreak/>
        <w:t xml:space="preserve">(6)  </w:t>
      </w:r>
      <w:r w:rsidRPr="00B91FFE">
        <w:rPr>
          <w:bCs/>
          <w:sz w:val="22"/>
          <w:szCs w:val="22"/>
          <w:u w:val="single"/>
        </w:rPr>
        <w:t>Total estimate of “in-house” costs to respondents</w:t>
      </w:r>
      <w:r w:rsidRPr="00CC3072">
        <w:rPr>
          <w:b/>
          <w:sz w:val="22"/>
          <w:szCs w:val="22"/>
        </w:rPr>
        <w:t>:  $</w:t>
      </w:r>
      <w:r w:rsidR="00455DF7">
        <w:rPr>
          <w:b/>
          <w:sz w:val="22"/>
          <w:szCs w:val="22"/>
        </w:rPr>
        <w:t>139,224.</w:t>
      </w:r>
    </w:p>
    <w:p w:rsidRPr="00B91FFE" w:rsidR="00FB334B" w:rsidP="00FB334B" w:rsidRDefault="00FB334B" w14:paraId="525D2C34" w14:textId="5D6244A5">
      <w:pPr>
        <w:pStyle w:val="Numberedparagraphs"/>
        <w:numPr>
          <w:ilvl w:val="0"/>
          <w:numId w:val="0"/>
        </w:numPr>
        <w:tabs>
          <w:tab w:val="clear" w:pos="1440"/>
          <w:tab w:val="left" w:pos="720"/>
        </w:tabs>
        <w:ind w:left="720"/>
        <w:rPr>
          <w:bCs/>
          <w:sz w:val="22"/>
          <w:szCs w:val="22"/>
        </w:rPr>
      </w:pPr>
      <w:r w:rsidRPr="00B91FFE">
        <w:rPr>
          <w:bCs/>
          <w:sz w:val="22"/>
          <w:szCs w:val="22"/>
        </w:rPr>
        <w:t xml:space="preserve">(7)  </w:t>
      </w:r>
      <w:r w:rsidRPr="00B91FFE">
        <w:rPr>
          <w:bCs/>
          <w:sz w:val="22"/>
          <w:szCs w:val="22"/>
          <w:u w:val="single"/>
        </w:rPr>
        <w:t>Explanation of calculation</w:t>
      </w:r>
      <w:r w:rsidRPr="00B91FFE">
        <w:rPr>
          <w:bCs/>
          <w:sz w:val="22"/>
          <w:szCs w:val="22"/>
        </w:rPr>
        <w:t>:</w:t>
      </w:r>
    </w:p>
    <w:p w:rsidRPr="00B91FFE" w:rsidR="00FB334B" w:rsidP="00FB334B" w:rsidRDefault="00FB334B" w14:paraId="1DF055A5" w14:textId="02D38F1E">
      <w:pPr>
        <w:pStyle w:val="Numberedparagraphs"/>
        <w:numPr>
          <w:ilvl w:val="0"/>
          <w:numId w:val="0"/>
        </w:numPr>
        <w:tabs>
          <w:tab w:val="clear" w:pos="1440"/>
          <w:tab w:val="left" w:pos="720"/>
        </w:tabs>
        <w:ind w:left="1440"/>
        <w:rPr>
          <w:bCs/>
          <w:sz w:val="22"/>
          <w:szCs w:val="22"/>
        </w:rPr>
      </w:pPr>
      <w:r w:rsidRPr="00B91FFE">
        <w:rPr>
          <w:bCs/>
          <w:sz w:val="22"/>
          <w:szCs w:val="22"/>
        </w:rPr>
        <w:t xml:space="preserve">The Commission estimates that approximately </w:t>
      </w:r>
      <w:r w:rsidR="000278B1">
        <w:rPr>
          <w:bCs/>
          <w:sz w:val="22"/>
          <w:szCs w:val="22"/>
        </w:rPr>
        <w:t>20</w:t>
      </w:r>
      <w:r w:rsidRPr="00B91FFE">
        <w:rPr>
          <w:bCs/>
          <w:sz w:val="22"/>
          <w:szCs w:val="22"/>
        </w:rPr>
        <w:t xml:space="preserve"> ICS providers will be subject to this reporting requirement.</w:t>
      </w:r>
    </w:p>
    <w:p w:rsidR="002D71AF" w:rsidP="00FE3990" w:rsidRDefault="004C711A" w14:paraId="23FF5050" w14:textId="28AF1FA2">
      <w:pPr>
        <w:pStyle w:val="Numberedparagraphs"/>
        <w:numPr>
          <w:ilvl w:val="0"/>
          <w:numId w:val="0"/>
        </w:numPr>
        <w:tabs>
          <w:tab w:val="clear" w:pos="1440"/>
          <w:tab w:val="left" w:pos="720"/>
        </w:tabs>
        <w:ind w:left="1440"/>
      </w:pPr>
      <w:bookmarkStart w:name="_Hlk79443509" w:id="11"/>
      <w:r w:rsidRPr="004C711A">
        <w:rPr>
          <w:bCs/>
          <w:sz w:val="22"/>
          <w:szCs w:val="22"/>
        </w:rPr>
        <w:t>The Commission estimates that respondents will use</w:t>
      </w:r>
      <w:r w:rsidR="001B7ECF">
        <w:rPr>
          <w:bCs/>
          <w:sz w:val="22"/>
          <w:szCs w:val="22"/>
        </w:rPr>
        <w:t xml:space="preserve"> </w:t>
      </w:r>
      <w:r w:rsidR="00EF09B5">
        <w:rPr>
          <w:bCs/>
          <w:sz w:val="22"/>
          <w:szCs w:val="22"/>
        </w:rPr>
        <w:t xml:space="preserve">personnel </w:t>
      </w:r>
      <w:r w:rsidRPr="004C711A">
        <w:rPr>
          <w:bCs/>
          <w:sz w:val="22"/>
          <w:szCs w:val="22"/>
        </w:rPr>
        <w:t>comparable in pay to a GS 13/Step 5 employee earning $</w:t>
      </w:r>
      <w:r w:rsidR="00A3739D">
        <w:rPr>
          <w:bCs/>
          <w:sz w:val="22"/>
          <w:szCs w:val="22"/>
        </w:rPr>
        <w:t>58.0</w:t>
      </w:r>
      <w:r w:rsidRPr="004C711A">
        <w:rPr>
          <w:bCs/>
          <w:sz w:val="22"/>
          <w:szCs w:val="22"/>
        </w:rPr>
        <w:t>1 per hou</w:t>
      </w:r>
      <w:bookmarkEnd w:id="11"/>
      <w:r w:rsidR="009B3D09">
        <w:rPr>
          <w:bCs/>
          <w:sz w:val="22"/>
          <w:szCs w:val="22"/>
        </w:rPr>
        <w:t>r.</w:t>
      </w:r>
    </w:p>
    <w:p w:rsidRPr="004460F4" w:rsidR="00CE7D9E" w:rsidP="00605A4F" w:rsidRDefault="00FB334B" w14:paraId="0F2DA22D" w14:textId="00001888">
      <w:pPr>
        <w:pStyle w:val="Numberedparagraphs"/>
        <w:numPr>
          <w:ilvl w:val="0"/>
          <w:numId w:val="0"/>
        </w:numPr>
        <w:tabs>
          <w:tab w:val="clear" w:pos="1440"/>
          <w:tab w:val="left" w:pos="720"/>
        </w:tabs>
        <w:ind w:left="1440"/>
      </w:pPr>
      <w:r w:rsidRPr="00B91FFE">
        <w:rPr>
          <w:bCs/>
          <w:sz w:val="22"/>
          <w:szCs w:val="22"/>
        </w:rPr>
        <w:t xml:space="preserve">Thus, </w:t>
      </w:r>
      <w:r w:rsidR="00605A4F">
        <w:rPr>
          <w:bCs/>
          <w:szCs w:val="22"/>
        </w:rPr>
        <w:t xml:space="preserve">2,400 </w:t>
      </w:r>
      <w:r w:rsidRPr="00B91FFE" w:rsidR="00605A4F">
        <w:rPr>
          <w:bCs/>
          <w:szCs w:val="22"/>
        </w:rPr>
        <w:t>hours x $</w:t>
      </w:r>
      <w:r w:rsidR="00455DF7">
        <w:rPr>
          <w:bCs/>
          <w:szCs w:val="22"/>
        </w:rPr>
        <w:t xml:space="preserve">58.01 </w:t>
      </w:r>
      <w:r w:rsidR="00605A4F">
        <w:rPr>
          <w:bCs/>
          <w:szCs w:val="22"/>
        </w:rPr>
        <w:t>per hour</w:t>
      </w:r>
      <w:r w:rsidRPr="00B91FFE" w:rsidR="00605A4F">
        <w:rPr>
          <w:bCs/>
          <w:szCs w:val="22"/>
        </w:rPr>
        <w:t xml:space="preserve"> = </w:t>
      </w:r>
      <w:r w:rsidR="00605A4F">
        <w:rPr>
          <w:bCs/>
          <w:szCs w:val="22"/>
        </w:rPr>
        <w:t>$</w:t>
      </w:r>
      <w:r w:rsidR="00455DF7">
        <w:rPr>
          <w:bCs/>
          <w:szCs w:val="22"/>
        </w:rPr>
        <w:t>139,224.</w:t>
      </w:r>
    </w:p>
    <w:p w:rsidRPr="00AB1E80" w:rsidR="007E0735" w:rsidP="007E0735" w:rsidRDefault="000F1303" w14:paraId="4A558D44" w14:textId="487F5917">
      <w:pPr>
        <w:keepLines/>
        <w:tabs>
          <w:tab w:val="left" w:pos="-720"/>
        </w:tabs>
        <w:suppressAutoHyphens/>
        <w:rPr>
          <w:b/>
          <w:spacing w:val="-3"/>
          <w:sz w:val="22"/>
          <w:szCs w:val="22"/>
        </w:rPr>
      </w:pPr>
      <w:bookmarkStart w:name="_Hlk76650929" w:id="12"/>
      <w:r>
        <w:rPr>
          <w:b/>
          <w:spacing w:val="-3"/>
          <w:sz w:val="22"/>
          <w:szCs w:val="22"/>
        </w:rPr>
        <w:t>b.</w:t>
      </w:r>
      <w:r>
        <w:rPr>
          <w:b/>
          <w:spacing w:val="-3"/>
          <w:sz w:val="22"/>
          <w:szCs w:val="22"/>
        </w:rPr>
        <w:tab/>
      </w:r>
      <w:r w:rsidRPr="004460F4" w:rsidR="00C65260">
        <w:rPr>
          <w:b/>
          <w:spacing w:val="-3"/>
          <w:sz w:val="22"/>
          <w:szCs w:val="22"/>
          <w:u w:val="single"/>
        </w:rPr>
        <w:t xml:space="preserve">Certification </w:t>
      </w:r>
      <w:r w:rsidR="00462E09">
        <w:rPr>
          <w:b/>
          <w:spacing w:val="-3"/>
          <w:sz w:val="22"/>
          <w:szCs w:val="22"/>
          <w:u w:val="single"/>
        </w:rPr>
        <w:t xml:space="preserve">of </w:t>
      </w:r>
      <w:r w:rsidR="00167BC1">
        <w:rPr>
          <w:b/>
          <w:spacing w:val="-3"/>
          <w:sz w:val="22"/>
          <w:szCs w:val="22"/>
          <w:u w:val="single"/>
        </w:rPr>
        <w:t xml:space="preserve">Information and Data in the </w:t>
      </w:r>
      <w:r w:rsidR="00462E09">
        <w:rPr>
          <w:b/>
          <w:spacing w:val="-3"/>
          <w:sz w:val="22"/>
          <w:szCs w:val="22"/>
          <w:u w:val="single"/>
        </w:rPr>
        <w:t>Annual Report</w:t>
      </w:r>
      <w:r w:rsidR="00D15538">
        <w:rPr>
          <w:b/>
          <w:spacing w:val="-3"/>
          <w:sz w:val="22"/>
          <w:szCs w:val="22"/>
          <w:u w:val="single"/>
        </w:rPr>
        <w:t>s</w:t>
      </w:r>
      <w:r w:rsidR="00462E09">
        <w:rPr>
          <w:b/>
          <w:spacing w:val="-3"/>
          <w:sz w:val="22"/>
          <w:szCs w:val="22"/>
          <w:u w:val="single"/>
        </w:rPr>
        <w:t>:</w:t>
      </w:r>
    </w:p>
    <w:p w:rsidRPr="004460F4" w:rsidR="007E0735" w:rsidP="007E0735" w:rsidRDefault="007E0735" w14:paraId="4F193528" w14:textId="77777777">
      <w:pPr>
        <w:keepLines/>
        <w:tabs>
          <w:tab w:val="left" w:pos="-720"/>
        </w:tabs>
        <w:suppressAutoHyphens/>
        <w:rPr>
          <w:spacing w:val="-3"/>
          <w:sz w:val="22"/>
          <w:szCs w:val="22"/>
        </w:rPr>
      </w:pPr>
    </w:p>
    <w:p w:rsidRPr="00F46FB3" w:rsidR="007E0735" w:rsidP="00F46FB3" w:rsidRDefault="007E0735" w14:paraId="15191600" w14:textId="358E9294">
      <w:pPr>
        <w:pStyle w:val="ListParagraph"/>
        <w:keepLines/>
        <w:numPr>
          <w:ilvl w:val="0"/>
          <w:numId w:val="31"/>
        </w:numPr>
        <w:tabs>
          <w:tab w:val="left" w:pos="-720"/>
        </w:tabs>
        <w:suppressAutoHyphens/>
        <w:rPr>
          <w:spacing w:val="-3"/>
          <w:sz w:val="22"/>
          <w:szCs w:val="22"/>
        </w:rPr>
      </w:pPr>
      <w:r w:rsidRPr="00F46FB3">
        <w:rPr>
          <w:spacing w:val="-3"/>
          <w:sz w:val="22"/>
          <w:szCs w:val="22"/>
          <w:u w:val="single"/>
        </w:rPr>
        <w:t>Number of respondents</w:t>
      </w:r>
      <w:r w:rsidRPr="00F46FB3">
        <w:rPr>
          <w:spacing w:val="-3"/>
          <w:sz w:val="22"/>
          <w:szCs w:val="22"/>
        </w:rPr>
        <w:t xml:space="preserve">:  Approximately </w:t>
      </w:r>
      <w:r w:rsidR="008E1B23">
        <w:rPr>
          <w:spacing w:val="-3"/>
          <w:sz w:val="22"/>
          <w:szCs w:val="22"/>
        </w:rPr>
        <w:t>20</w:t>
      </w:r>
      <w:r w:rsidRPr="00F46FB3">
        <w:rPr>
          <w:spacing w:val="-3"/>
          <w:sz w:val="22"/>
          <w:szCs w:val="22"/>
        </w:rPr>
        <w:t>.</w:t>
      </w:r>
    </w:p>
    <w:p w:rsidRPr="004460F4" w:rsidR="007E0735" w:rsidP="007E0735" w:rsidRDefault="007E0735" w14:paraId="7E6DC900" w14:textId="77777777">
      <w:pPr>
        <w:keepLines/>
        <w:tabs>
          <w:tab w:val="left" w:pos="-720"/>
        </w:tabs>
        <w:suppressAutoHyphens/>
        <w:rPr>
          <w:spacing w:val="-3"/>
          <w:sz w:val="22"/>
          <w:szCs w:val="22"/>
        </w:rPr>
      </w:pPr>
    </w:p>
    <w:p w:rsidRPr="004460F4" w:rsidR="007E0735" w:rsidP="007E0735" w:rsidRDefault="007E0735" w14:paraId="54C4FE62" w14:textId="77777777">
      <w:pPr>
        <w:keepLines/>
        <w:tabs>
          <w:tab w:val="left" w:pos="-720"/>
        </w:tabs>
        <w:suppressAutoHyphens/>
        <w:rPr>
          <w:spacing w:val="-3"/>
          <w:sz w:val="22"/>
          <w:szCs w:val="22"/>
        </w:rPr>
      </w:pPr>
      <w:r w:rsidRPr="004460F4">
        <w:rPr>
          <w:spacing w:val="-3"/>
          <w:sz w:val="22"/>
          <w:szCs w:val="22"/>
        </w:rPr>
        <w:tab/>
        <w:t xml:space="preserve">(2)  </w:t>
      </w:r>
      <w:r w:rsidRPr="004460F4">
        <w:rPr>
          <w:spacing w:val="-3"/>
          <w:sz w:val="22"/>
          <w:szCs w:val="22"/>
          <w:u w:val="single"/>
        </w:rPr>
        <w:t>Frequency of response</w:t>
      </w:r>
      <w:r w:rsidRPr="004460F4">
        <w:rPr>
          <w:spacing w:val="-3"/>
          <w:sz w:val="22"/>
          <w:szCs w:val="22"/>
        </w:rPr>
        <w:t xml:space="preserve">:  </w:t>
      </w:r>
      <w:r w:rsidRPr="004460F4" w:rsidR="00F41E80">
        <w:rPr>
          <w:spacing w:val="-3"/>
          <w:sz w:val="22"/>
          <w:szCs w:val="22"/>
        </w:rPr>
        <w:t>Annual</w:t>
      </w:r>
      <w:r w:rsidRPr="004460F4">
        <w:rPr>
          <w:spacing w:val="-3"/>
          <w:sz w:val="22"/>
          <w:szCs w:val="22"/>
        </w:rPr>
        <w:t xml:space="preserve">.  </w:t>
      </w:r>
    </w:p>
    <w:p w:rsidRPr="004460F4" w:rsidR="007E0735" w:rsidP="007E0735" w:rsidRDefault="007E0735" w14:paraId="245FD955" w14:textId="77777777">
      <w:pPr>
        <w:tabs>
          <w:tab w:val="left" w:pos="-720"/>
        </w:tabs>
        <w:suppressAutoHyphens/>
        <w:rPr>
          <w:spacing w:val="-3"/>
          <w:sz w:val="22"/>
          <w:szCs w:val="22"/>
        </w:rPr>
      </w:pPr>
    </w:p>
    <w:p w:rsidRPr="004460F4" w:rsidR="007E0735" w:rsidP="007E0735" w:rsidRDefault="007E0735" w14:paraId="0C2162A8" w14:textId="399A06E4">
      <w:pPr>
        <w:tabs>
          <w:tab w:val="left" w:pos="-720"/>
        </w:tabs>
        <w:suppressAutoHyphens/>
        <w:rPr>
          <w:spacing w:val="-3"/>
          <w:sz w:val="22"/>
          <w:szCs w:val="22"/>
        </w:rPr>
      </w:pPr>
      <w:r w:rsidRPr="004460F4">
        <w:rPr>
          <w:spacing w:val="-3"/>
          <w:sz w:val="22"/>
          <w:szCs w:val="22"/>
        </w:rPr>
        <w:tab/>
        <w:t xml:space="preserve">(3)  </w:t>
      </w:r>
      <w:r w:rsidRPr="004460F4">
        <w:rPr>
          <w:spacing w:val="-3"/>
          <w:sz w:val="22"/>
          <w:szCs w:val="22"/>
          <w:u w:val="single"/>
        </w:rPr>
        <w:t>Total number of responses annually</w:t>
      </w:r>
      <w:r w:rsidRPr="004460F4">
        <w:rPr>
          <w:spacing w:val="-3"/>
          <w:sz w:val="22"/>
          <w:szCs w:val="22"/>
        </w:rPr>
        <w:t xml:space="preserve">:  Approximately </w:t>
      </w:r>
      <w:r w:rsidR="008E1B23">
        <w:rPr>
          <w:spacing w:val="-3"/>
          <w:sz w:val="22"/>
          <w:szCs w:val="22"/>
        </w:rPr>
        <w:t>20</w:t>
      </w:r>
      <w:r w:rsidRPr="004460F4">
        <w:rPr>
          <w:spacing w:val="-3"/>
          <w:sz w:val="22"/>
          <w:szCs w:val="22"/>
        </w:rPr>
        <w:t>.</w:t>
      </w:r>
    </w:p>
    <w:p w:rsidRPr="004460F4" w:rsidR="007E0735" w:rsidP="007E0735" w:rsidRDefault="007E0735" w14:paraId="77D27329" w14:textId="77777777">
      <w:pPr>
        <w:tabs>
          <w:tab w:val="left" w:pos="-720"/>
        </w:tabs>
        <w:suppressAutoHyphens/>
        <w:rPr>
          <w:spacing w:val="-3"/>
          <w:sz w:val="22"/>
          <w:szCs w:val="22"/>
        </w:rPr>
      </w:pPr>
    </w:p>
    <w:p w:rsidRPr="004460F4" w:rsidR="007E0735" w:rsidP="007E0735" w:rsidRDefault="007E0735" w14:paraId="5F98EB92" w14:textId="52D3314A">
      <w:pPr>
        <w:tabs>
          <w:tab w:val="left" w:pos="-720"/>
        </w:tabs>
        <w:suppressAutoHyphens/>
        <w:rPr>
          <w:spacing w:val="-3"/>
          <w:sz w:val="22"/>
          <w:szCs w:val="22"/>
        </w:rPr>
      </w:pPr>
      <w:r w:rsidRPr="004460F4">
        <w:rPr>
          <w:spacing w:val="-3"/>
          <w:sz w:val="22"/>
          <w:szCs w:val="22"/>
        </w:rPr>
        <w:tab/>
        <w:t xml:space="preserve">(4)  </w:t>
      </w:r>
      <w:r w:rsidRPr="004460F4">
        <w:rPr>
          <w:spacing w:val="-3"/>
          <w:sz w:val="22"/>
          <w:szCs w:val="22"/>
          <w:u w:val="single"/>
        </w:rPr>
        <w:t xml:space="preserve">Estimated Time </w:t>
      </w:r>
      <w:r w:rsidRPr="004460F4" w:rsidR="00073508">
        <w:rPr>
          <w:spacing w:val="-3"/>
          <w:sz w:val="22"/>
          <w:szCs w:val="22"/>
          <w:u w:val="single"/>
        </w:rPr>
        <w:t>per</w:t>
      </w:r>
      <w:r w:rsidRPr="004460F4">
        <w:rPr>
          <w:spacing w:val="-3"/>
          <w:sz w:val="22"/>
          <w:szCs w:val="22"/>
          <w:u w:val="single"/>
        </w:rPr>
        <w:t xml:space="preserve"> Response</w:t>
      </w:r>
      <w:r w:rsidRPr="004460F4" w:rsidR="00A92A86">
        <w:rPr>
          <w:spacing w:val="-3"/>
          <w:sz w:val="22"/>
          <w:szCs w:val="22"/>
        </w:rPr>
        <w:t xml:space="preserve">:  </w:t>
      </w:r>
      <w:r w:rsidR="000D39D1">
        <w:rPr>
          <w:spacing w:val="-3"/>
          <w:sz w:val="22"/>
          <w:szCs w:val="22"/>
        </w:rPr>
        <w:t xml:space="preserve">Approximately </w:t>
      </w:r>
      <w:r w:rsidR="00662505">
        <w:rPr>
          <w:spacing w:val="-3"/>
          <w:sz w:val="22"/>
          <w:szCs w:val="22"/>
        </w:rPr>
        <w:t xml:space="preserve">5 </w:t>
      </w:r>
      <w:r w:rsidRPr="004460F4">
        <w:rPr>
          <w:spacing w:val="-3"/>
          <w:sz w:val="22"/>
          <w:szCs w:val="22"/>
        </w:rPr>
        <w:t>hours.</w:t>
      </w:r>
    </w:p>
    <w:p w:rsidRPr="004460F4" w:rsidR="007E0735" w:rsidP="007E0735" w:rsidRDefault="007E0735" w14:paraId="08922DAA" w14:textId="77777777">
      <w:pPr>
        <w:tabs>
          <w:tab w:val="left" w:pos="-720"/>
        </w:tabs>
        <w:suppressAutoHyphens/>
        <w:rPr>
          <w:spacing w:val="-3"/>
          <w:sz w:val="22"/>
          <w:szCs w:val="22"/>
        </w:rPr>
      </w:pPr>
    </w:p>
    <w:p w:rsidRPr="004460F4" w:rsidR="007E0735" w:rsidP="007E0735" w:rsidRDefault="007E0735" w14:paraId="6AEE7C44" w14:textId="6BF9A6C9">
      <w:pPr>
        <w:tabs>
          <w:tab w:val="left" w:pos="-720"/>
        </w:tabs>
        <w:suppressAutoHyphens/>
        <w:rPr>
          <w:spacing w:val="-3"/>
          <w:sz w:val="22"/>
          <w:szCs w:val="22"/>
        </w:rPr>
      </w:pPr>
      <w:r w:rsidRPr="004460F4">
        <w:rPr>
          <w:spacing w:val="-3"/>
          <w:sz w:val="22"/>
          <w:szCs w:val="22"/>
        </w:rPr>
        <w:tab/>
      </w:r>
      <w:r w:rsidRPr="004460F4">
        <w:rPr>
          <w:spacing w:val="-3"/>
          <w:sz w:val="22"/>
          <w:szCs w:val="22"/>
        </w:rPr>
        <w:tab/>
      </w:r>
      <w:r w:rsidR="008529D6">
        <w:rPr>
          <w:spacing w:val="-3"/>
          <w:sz w:val="22"/>
          <w:szCs w:val="22"/>
        </w:rPr>
        <w:t>20</w:t>
      </w:r>
      <w:r w:rsidRPr="004460F4" w:rsidR="00A019AC">
        <w:rPr>
          <w:spacing w:val="-3"/>
          <w:sz w:val="22"/>
          <w:szCs w:val="22"/>
        </w:rPr>
        <w:t xml:space="preserve"> </w:t>
      </w:r>
      <w:r w:rsidR="00547328">
        <w:rPr>
          <w:spacing w:val="-3"/>
          <w:sz w:val="22"/>
          <w:szCs w:val="22"/>
        </w:rPr>
        <w:t xml:space="preserve">respondents </w:t>
      </w:r>
      <w:r w:rsidRPr="004460F4" w:rsidR="00A92A86">
        <w:rPr>
          <w:spacing w:val="-3"/>
          <w:sz w:val="22"/>
          <w:szCs w:val="22"/>
        </w:rPr>
        <w:t xml:space="preserve">x </w:t>
      </w:r>
      <w:r w:rsidRPr="004460F4" w:rsidR="00B305EF">
        <w:rPr>
          <w:spacing w:val="-3"/>
          <w:sz w:val="22"/>
          <w:szCs w:val="22"/>
        </w:rPr>
        <w:t>5</w:t>
      </w:r>
      <w:r w:rsidRPr="004460F4" w:rsidR="00A92A86">
        <w:rPr>
          <w:spacing w:val="-3"/>
          <w:sz w:val="22"/>
          <w:szCs w:val="22"/>
        </w:rPr>
        <w:t xml:space="preserve"> </w:t>
      </w:r>
      <w:r w:rsidRPr="004460F4">
        <w:rPr>
          <w:spacing w:val="-3"/>
          <w:sz w:val="22"/>
          <w:szCs w:val="22"/>
        </w:rPr>
        <w:t xml:space="preserve">hours per response x 1 response per year per respondent = </w:t>
      </w:r>
      <w:r w:rsidR="008529D6">
        <w:rPr>
          <w:spacing w:val="-3"/>
          <w:sz w:val="22"/>
          <w:szCs w:val="22"/>
        </w:rPr>
        <w:t>100 hours</w:t>
      </w:r>
      <w:r w:rsidR="000D39D1">
        <w:rPr>
          <w:spacing w:val="-3"/>
          <w:sz w:val="22"/>
          <w:szCs w:val="22"/>
        </w:rPr>
        <w:t>.</w:t>
      </w:r>
    </w:p>
    <w:p w:rsidRPr="004460F4" w:rsidR="007E0735" w:rsidP="007E0735" w:rsidRDefault="007E0735" w14:paraId="5A222EAB" w14:textId="77777777">
      <w:pPr>
        <w:tabs>
          <w:tab w:val="left" w:pos="-720"/>
        </w:tabs>
        <w:suppressAutoHyphens/>
        <w:rPr>
          <w:spacing w:val="-3"/>
          <w:sz w:val="22"/>
          <w:szCs w:val="22"/>
        </w:rPr>
      </w:pPr>
    </w:p>
    <w:p w:rsidRPr="004460F4" w:rsidR="007E0735" w:rsidP="007E0735" w:rsidRDefault="007E0735" w14:paraId="6C653A99" w14:textId="48D57504">
      <w:pPr>
        <w:tabs>
          <w:tab w:val="left" w:pos="-720"/>
        </w:tabs>
        <w:suppressAutoHyphens/>
        <w:rPr>
          <w:spacing w:val="-3"/>
          <w:sz w:val="22"/>
          <w:szCs w:val="22"/>
        </w:rPr>
      </w:pPr>
      <w:r w:rsidRPr="004460F4">
        <w:rPr>
          <w:spacing w:val="-3"/>
          <w:sz w:val="22"/>
          <w:szCs w:val="22"/>
        </w:rPr>
        <w:tab/>
        <w:t xml:space="preserve">(5)  </w:t>
      </w:r>
      <w:r w:rsidRPr="004460F4">
        <w:rPr>
          <w:spacing w:val="-3"/>
          <w:sz w:val="22"/>
          <w:szCs w:val="22"/>
          <w:u w:val="single"/>
        </w:rPr>
        <w:t>Total annual burden</w:t>
      </w:r>
      <w:r w:rsidRPr="004460F4">
        <w:rPr>
          <w:spacing w:val="-3"/>
          <w:sz w:val="22"/>
          <w:szCs w:val="22"/>
        </w:rPr>
        <w:t xml:space="preserve">:  </w:t>
      </w:r>
      <w:r w:rsidR="00164C7C">
        <w:rPr>
          <w:spacing w:val="-3"/>
          <w:sz w:val="22"/>
          <w:szCs w:val="22"/>
        </w:rPr>
        <w:t xml:space="preserve">Approximately </w:t>
      </w:r>
      <w:r w:rsidR="008529D6">
        <w:rPr>
          <w:b/>
          <w:spacing w:val="-3"/>
          <w:sz w:val="22"/>
          <w:szCs w:val="22"/>
        </w:rPr>
        <w:t>100</w:t>
      </w:r>
      <w:r w:rsidR="006D46FD">
        <w:rPr>
          <w:b/>
          <w:spacing w:val="-3"/>
          <w:sz w:val="22"/>
          <w:szCs w:val="22"/>
        </w:rPr>
        <w:t xml:space="preserve"> </w:t>
      </w:r>
      <w:r w:rsidRPr="004460F4">
        <w:rPr>
          <w:b/>
          <w:spacing w:val="-3"/>
          <w:sz w:val="22"/>
          <w:szCs w:val="22"/>
        </w:rPr>
        <w:t>hours</w:t>
      </w:r>
      <w:r w:rsidRPr="004460F4">
        <w:rPr>
          <w:spacing w:val="-3"/>
          <w:sz w:val="22"/>
          <w:szCs w:val="22"/>
        </w:rPr>
        <w:t>.</w:t>
      </w:r>
    </w:p>
    <w:p w:rsidRPr="004460F4" w:rsidR="007E0735" w:rsidP="007E0735" w:rsidRDefault="007E0735" w14:paraId="0285EFAE" w14:textId="77777777">
      <w:pPr>
        <w:tabs>
          <w:tab w:val="left" w:pos="-720"/>
        </w:tabs>
        <w:suppressAutoHyphens/>
        <w:rPr>
          <w:spacing w:val="-3"/>
          <w:sz w:val="22"/>
          <w:szCs w:val="22"/>
        </w:rPr>
      </w:pPr>
    </w:p>
    <w:p w:rsidRPr="004460F4" w:rsidR="007E0735" w:rsidP="007E0735" w:rsidRDefault="007E0735" w14:paraId="67488F7F" w14:textId="65072B79">
      <w:pPr>
        <w:tabs>
          <w:tab w:val="left" w:pos="-720"/>
        </w:tabs>
        <w:suppressAutoHyphens/>
        <w:ind w:left="1440"/>
        <w:rPr>
          <w:spacing w:val="-3"/>
          <w:sz w:val="22"/>
          <w:szCs w:val="22"/>
        </w:rPr>
      </w:pPr>
      <w:r w:rsidRPr="004460F4">
        <w:rPr>
          <w:spacing w:val="-3"/>
          <w:sz w:val="22"/>
          <w:szCs w:val="22"/>
        </w:rPr>
        <w:t xml:space="preserve">The Commission estimates that approximately </w:t>
      </w:r>
      <w:r w:rsidR="008E1B23">
        <w:rPr>
          <w:spacing w:val="-3"/>
          <w:sz w:val="22"/>
          <w:szCs w:val="22"/>
        </w:rPr>
        <w:t>20</w:t>
      </w:r>
      <w:r w:rsidRPr="004460F4" w:rsidR="00A019AC">
        <w:rPr>
          <w:spacing w:val="-3"/>
          <w:sz w:val="22"/>
          <w:szCs w:val="22"/>
        </w:rPr>
        <w:t xml:space="preserve"> </w:t>
      </w:r>
      <w:r w:rsidRPr="004460F4" w:rsidR="00BE0E62">
        <w:rPr>
          <w:spacing w:val="-3"/>
          <w:sz w:val="22"/>
          <w:szCs w:val="22"/>
        </w:rPr>
        <w:t>ICS</w:t>
      </w:r>
      <w:r w:rsidRPr="004460F4">
        <w:rPr>
          <w:spacing w:val="-3"/>
          <w:sz w:val="22"/>
          <w:szCs w:val="22"/>
        </w:rPr>
        <w:t xml:space="preserve"> providers will require </w:t>
      </w:r>
      <w:r w:rsidR="000D39D1">
        <w:rPr>
          <w:spacing w:val="-3"/>
          <w:sz w:val="22"/>
          <w:szCs w:val="22"/>
        </w:rPr>
        <w:t xml:space="preserve">approximately </w:t>
      </w:r>
      <w:r w:rsidR="006C2ABB">
        <w:rPr>
          <w:spacing w:val="-3"/>
          <w:sz w:val="22"/>
          <w:szCs w:val="22"/>
        </w:rPr>
        <w:t>5</w:t>
      </w:r>
      <w:r w:rsidRPr="004460F4" w:rsidR="00985F5C">
        <w:rPr>
          <w:spacing w:val="-3"/>
          <w:sz w:val="22"/>
          <w:szCs w:val="22"/>
        </w:rPr>
        <w:t xml:space="preserve"> hours </w:t>
      </w:r>
      <w:r w:rsidRPr="004460F4">
        <w:rPr>
          <w:spacing w:val="-3"/>
          <w:sz w:val="22"/>
          <w:szCs w:val="22"/>
        </w:rPr>
        <w:t xml:space="preserve">of time per annual filing.  </w:t>
      </w:r>
      <w:r w:rsidR="006773A2">
        <w:rPr>
          <w:spacing w:val="-3"/>
          <w:sz w:val="22"/>
          <w:szCs w:val="22"/>
        </w:rPr>
        <w:t>Although the certification reporting requirement has been revised, t</w:t>
      </w:r>
      <w:r w:rsidR="00F47BB8">
        <w:rPr>
          <w:spacing w:val="-3"/>
          <w:sz w:val="22"/>
          <w:szCs w:val="22"/>
        </w:rPr>
        <w:t xml:space="preserve">he burden </w:t>
      </w:r>
      <w:r w:rsidR="006773A2">
        <w:rPr>
          <w:spacing w:val="-3"/>
          <w:sz w:val="22"/>
          <w:szCs w:val="22"/>
        </w:rPr>
        <w:t xml:space="preserve">per ICS provider </w:t>
      </w:r>
      <w:r w:rsidR="00F47BB8">
        <w:rPr>
          <w:spacing w:val="-3"/>
          <w:sz w:val="22"/>
          <w:szCs w:val="22"/>
        </w:rPr>
        <w:t>has not change</w:t>
      </w:r>
      <w:r w:rsidR="006773A2">
        <w:rPr>
          <w:spacing w:val="-3"/>
          <w:sz w:val="22"/>
          <w:szCs w:val="22"/>
        </w:rPr>
        <w:t>d.</w:t>
      </w:r>
    </w:p>
    <w:p w:rsidRPr="004460F4" w:rsidR="007E0735" w:rsidP="007E0735" w:rsidRDefault="007E0735" w14:paraId="65B5D833" w14:textId="77777777">
      <w:pPr>
        <w:tabs>
          <w:tab w:val="left" w:pos="-720"/>
        </w:tabs>
        <w:suppressAutoHyphens/>
        <w:ind w:left="1440"/>
        <w:rPr>
          <w:spacing w:val="-3"/>
          <w:sz w:val="22"/>
          <w:szCs w:val="22"/>
        </w:rPr>
      </w:pPr>
    </w:p>
    <w:p w:rsidRPr="004460F4" w:rsidR="007E0735" w:rsidP="007E0735" w:rsidRDefault="00A92A86" w14:paraId="0C33FDF0" w14:textId="64A19862">
      <w:pPr>
        <w:tabs>
          <w:tab w:val="left" w:pos="-720"/>
        </w:tabs>
        <w:suppressAutoHyphens/>
        <w:ind w:left="1440"/>
        <w:rPr>
          <w:spacing w:val="-3"/>
          <w:sz w:val="22"/>
          <w:szCs w:val="22"/>
        </w:rPr>
      </w:pPr>
      <w:r w:rsidRPr="004460F4">
        <w:rPr>
          <w:spacing w:val="-3"/>
          <w:sz w:val="22"/>
          <w:szCs w:val="22"/>
        </w:rPr>
        <w:t xml:space="preserve">Approximately </w:t>
      </w:r>
      <w:r w:rsidR="008E1B23">
        <w:rPr>
          <w:spacing w:val="-3"/>
          <w:sz w:val="22"/>
          <w:szCs w:val="22"/>
        </w:rPr>
        <w:t>20</w:t>
      </w:r>
      <w:r w:rsidRPr="004460F4" w:rsidR="00A019AC">
        <w:rPr>
          <w:spacing w:val="-3"/>
          <w:sz w:val="22"/>
          <w:szCs w:val="22"/>
        </w:rPr>
        <w:t xml:space="preserve"> </w:t>
      </w:r>
      <w:r w:rsidRPr="004460F4" w:rsidR="007E0735">
        <w:rPr>
          <w:spacing w:val="-3"/>
          <w:sz w:val="22"/>
          <w:szCs w:val="22"/>
        </w:rPr>
        <w:t>respondents an</w:t>
      </w:r>
      <w:r w:rsidRPr="004460F4">
        <w:rPr>
          <w:spacing w:val="-3"/>
          <w:sz w:val="22"/>
          <w:szCs w:val="22"/>
        </w:rPr>
        <w:t xml:space="preserve">nually x 1 response annually x </w:t>
      </w:r>
      <w:r w:rsidR="006C2ABB">
        <w:rPr>
          <w:spacing w:val="-3"/>
          <w:sz w:val="22"/>
          <w:szCs w:val="22"/>
        </w:rPr>
        <w:t>5</w:t>
      </w:r>
      <w:r w:rsidRPr="004460F4">
        <w:rPr>
          <w:spacing w:val="-3"/>
          <w:sz w:val="22"/>
          <w:szCs w:val="22"/>
        </w:rPr>
        <w:t xml:space="preserve"> hours per response = </w:t>
      </w:r>
      <w:r w:rsidR="008529D6">
        <w:rPr>
          <w:spacing w:val="-3"/>
          <w:sz w:val="22"/>
          <w:szCs w:val="22"/>
        </w:rPr>
        <w:t xml:space="preserve">100 </w:t>
      </w:r>
      <w:r w:rsidRPr="004460F4" w:rsidR="007E0735">
        <w:rPr>
          <w:spacing w:val="-3"/>
          <w:sz w:val="22"/>
          <w:szCs w:val="22"/>
        </w:rPr>
        <w:t>hours.</w:t>
      </w:r>
    </w:p>
    <w:p w:rsidRPr="004460F4" w:rsidR="007E0735" w:rsidP="007E0735" w:rsidRDefault="007E0735" w14:paraId="41A198C2" w14:textId="77777777">
      <w:pPr>
        <w:tabs>
          <w:tab w:val="left" w:pos="-720"/>
        </w:tabs>
        <w:suppressAutoHyphens/>
        <w:rPr>
          <w:spacing w:val="-3"/>
          <w:sz w:val="22"/>
          <w:szCs w:val="22"/>
        </w:rPr>
      </w:pPr>
    </w:p>
    <w:p w:rsidRPr="004460F4" w:rsidR="007E0735" w:rsidP="007E0735" w:rsidRDefault="007E0735" w14:paraId="70401FEA" w14:textId="733CE452">
      <w:pPr>
        <w:tabs>
          <w:tab w:val="left" w:pos="-720"/>
        </w:tabs>
        <w:suppressAutoHyphens/>
        <w:rPr>
          <w:spacing w:val="-3"/>
          <w:sz w:val="22"/>
          <w:szCs w:val="22"/>
        </w:rPr>
      </w:pPr>
      <w:r w:rsidRPr="004460F4">
        <w:rPr>
          <w:spacing w:val="-3"/>
          <w:sz w:val="22"/>
          <w:szCs w:val="22"/>
        </w:rPr>
        <w:tab/>
        <w:t xml:space="preserve">(6)  </w:t>
      </w:r>
      <w:r w:rsidRPr="004460F4">
        <w:rPr>
          <w:spacing w:val="-3"/>
          <w:sz w:val="22"/>
          <w:szCs w:val="22"/>
          <w:u w:val="single"/>
        </w:rPr>
        <w:t>Total estimate of “in</w:t>
      </w:r>
      <w:r w:rsidRPr="004460F4" w:rsidR="00D17D63">
        <w:rPr>
          <w:spacing w:val="-3"/>
          <w:sz w:val="22"/>
          <w:szCs w:val="22"/>
          <w:u w:val="single"/>
        </w:rPr>
        <w:t>-</w:t>
      </w:r>
      <w:r w:rsidRPr="004460F4">
        <w:rPr>
          <w:spacing w:val="-3"/>
          <w:sz w:val="22"/>
          <w:szCs w:val="22"/>
          <w:u w:val="single"/>
        </w:rPr>
        <w:t>house” cost to respondents</w:t>
      </w:r>
      <w:r w:rsidRPr="00CC3072">
        <w:rPr>
          <w:b/>
          <w:bCs/>
          <w:spacing w:val="-3"/>
          <w:sz w:val="22"/>
          <w:szCs w:val="22"/>
          <w:u w:val="single"/>
        </w:rPr>
        <w:t>:</w:t>
      </w:r>
      <w:r w:rsidRPr="00CC3072">
        <w:rPr>
          <w:b/>
          <w:bCs/>
          <w:spacing w:val="-3"/>
          <w:sz w:val="22"/>
          <w:szCs w:val="22"/>
        </w:rPr>
        <w:t xml:space="preserve">  </w:t>
      </w:r>
      <w:bookmarkStart w:name="_Hlk79444475" w:id="13"/>
      <w:r w:rsidRPr="00CC3072">
        <w:rPr>
          <w:b/>
          <w:bCs/>
          <w:sz w:val="22"/>
          <w:szCs w:val="22"/>
        </w:rPr>
        <w:t>$</w:t>
      </w:r>
      <w:r w:rsidRPr="00CC3072" w:rsidR="00DD3995">
        <w:rPr>
          <w:b/>
          <w:bCs/>
          <w:sz w:val="22"/>
          <w:szCs w:val="22"/>
        </w:rPr>
        <w:t>12,500</w:t>
      </w:r>
      <w:bookmarkEnd w:id="13"/>
      <w:r w:rsidR="00D72D11">
        <w:rPr>
          <w:sz w:val="22"/>
          <w:szCs w:val="22"/>
        </w:rPr>
        <w:t>.</w:t>
      </w:r>
    </w:p>
    <w:p w:rsidRPr="004460F4" w:rsidR="007E0735" w:rsidP="007E0735" w:rsidRDefault="007E0735" w14:paraId="67153BC8" w14:textId="77777777">
      <w:pPr>
        <w:tabs>
          <w:tab w:val="left" w:pos="-720"/>
        </w:tabs>
        <w:suppressAutoHyphens/>
        <w:rPr>
          <w:sz w:val="22"/>
          <w:szCs w:val="22"/>
        </w:rPr>
      </w:pPr>
      <w:r w:rsidRPr="004460F4">
        <w:rPr>
          <w:sz w:val="22"/>
          <w:szCs w:val="22"/>
        </w:rPr>
        <w:tab/>
        <w:t xml:space="preserve">(7)  </w:t>
      </w:r>
      <w:r w:rsidRPr="004460F4">
        <w:rPr>
          <w:sz w:val="22"/>
          <w:szCs w:val="22"/>
          <w:u w:val="single"/>
        </w:rPr>
        <w:t>Explanation of the calculation</w:t>
      </w:r>
      <w:r w:rsidRPr="004460F4">
        <w:rPr>
          <w:sz w:val="22"/>
          <w:szCs w:val="22"/>
        </w:rPr>
        <w:t xml:space="preserve">:  </w:t>
      </w:r>
    </w:p>
    <w:p w:rsidRPr="004460F4" w:rsidR="007E0735" w:rsidP="007E0735" w:rsidRDefault="007E0735" w14:paraId="34A35786" w14:textId="77777777">
      <w:pPr>
        <w:tabs>
          <w:tab w:val="left" w:pos="-720"/>
        </w:tabs>
        <w:suppressAutoHyphens/>
        <w:rPr>
          <w:sz w:val="22"/>
          <w:szCs w:val="22"/>
        </w:rPr>
      </w:pPr>
    </w:p>
    <w:p w:rsidRPr="004460F4" w:rsidR="007E0735" w:rsidP="007E0735" w:rsidRDefault="007E0735" w14:paraId="796190C9" w14:textId="5F1BA835">
      <w:pPr>
        <w:tabs>
          <w:tab w:val="left" w:pos="-720"/>
        </w:tabs>
        <w:suppressAutoHyphens/>
        <w:ind w:left="1440"/>
        <w:rPr>
          <w:sz w:val="22"/>
          <w:szCs w:val="22"/>
        </w:rPr>
      </w:pPr>
      <w:r w:rsidRPr="004460F4">
        <w:rPr>
          <w:sz w:val="22"/>
          <w:szCs w:val="22"/>
        </w:rPr>
        <w:t xml:space="preserve">The Commission estimates that </w:t>
      </w:r>
      <w:r w:rsidR="008E1B23">
        <w:rPr>
          <w:sz w:val="22"/>
          <w:szCs w:val="22"/>
        </w:rPr>
        <w:t>20</w:t>
      </w:r>
      <w:r w:rsidRPr="004460F4" w:rsidR="00A019AC">
        <w:rPr>
          <w:sz w:val="22"/>
          <w:szCs w:val="22"/>
        </w:rPr>
        <w:t xml:space="preserve"> </w:t>
      </w:r>
      <w:r w:rsidRPr="004460F4">
        <w:rPr>
          <w:sz w:val="22"/>
          <w:szCs w:val="22"/>
        </w:rPr>
        <w:t xml:space="preserve">ICS providers will be subject to this </w:t>
      </w:r>
      <w:r w:rsidRPr="004460F4" w:rsidR="00B45F9C">
        <w:rPr>
          <w:sz w:val="22"/>
          <w:szCs w:val="22"/>
        </w:rPr>
        <w:t xml:space="preserve">certification </w:t>
      </w:r>
      <w:r w:rsidRPr="004460F4">
        <w:rPr>
          <w:sz w:val="22"/>
          <w:szCs w:val="22"/>
        </w:rPr>
        <w:t>requirement.</w:t>
      </w:r>
    </w:p>
    <w:p w:rsidRPr="004460F4" w:rsidR="007E0735" w:rsidP="007E0735" w:rsidRDefault="007E0735" w14:paraId="2EFC5872" w14:textId="77777777">
      <w:pPr>
        <w:tabs>
          <w:tab w:val="left" w:pos="-720"/>
        </w:tabs>
        <w:suppressAutoHyphens/>
        <w:rPr>
          <w:sz w:val="22"/>
          <w:szCs w:val="22"/>
        </w:rPr>
      </w:pPr>
    </w:p>
    <w:p w:rsidR="00164C7C" w:rsidP="007E0735" w:rsidRDefault="007E0735" w14:paraId="3C0F04AA" w14:textId="7AB9841B">
      <w:pPr>
        <w:tabs>
          <w:tab w:val="left" w:pos="-720"/>
        </w:tabs>
        <w:suppressAutoHyphens/>
        <w:ind w:left="1440"/>
        <w:rPr>
          <w:sz w:val="22"/>
          <w:szCs w:val="22"/>
        </w:rPr>
      </w:pPr>
      <w:r w:rsidRPr="004460F4">
        <w:rPr>
          <w:sz w:val="22"/>
          <w:szCs w:val="22"/>
        </w:rPr>
        <w:t xml:space="preserve">We </w:t>
      </w:r>
      <w:r w:rsidR="006F7C73">
        <w:rPr>
          <w:sz w:val="22"/>
          <w:szCs w:val="22"/>
        </w:rPr>
        <w:t>estimate</w:t>
      </w:r>
      <w:r w:rsidRPr="004460F4">
        <w:rPr>
          <w:sz w:val="22"/>
          <w:szCs w:val="22"/>
        </w:rPr>
        <w:t xml:space="preserve"> that respondents will use </w:t>
      </w:r>
      <w:r w:rsidRPr="004460F4" w:rsidR="00FC796C">
        <w:rPr>
          <w:sz w:val="22"/>
          <w:szCs w:val="22"/>
        </w:rPr>
        <w:t>5</w:t>
      </w:r>
      <w:r w:rsidRPr="004460F4" w:rsidR="00DD740A">
        <w:rPr>
          <w:sz w:val="22"/>
          <w:szCs w:val="22"/>
        </w:rPr>
        <w:t xml:space="preserve"> </w:t>
      </w:r>
      <w:r w:rsidRPr="004460F4">
        <w:rPr>
          <w:sz w:val="22"/>
          <w:szCs w:val="22"/>
        </w:rPr>
        <w:t xml:space="preserve">hours of an officer </w:t>
      </w:r>
      <w:r w:rsidR="00164C7C">
        <w:rPr>
          <w:sz w:val="22"/>
          <w:szCs w:val="22"/>
        </w:rPr>
        <w:t>of the company’s time (</w:t>
      </w:r>
      <w:r w:rsidRPr="004460F4">
        <w:rPr>
          <w:sz w:val="22"/>
          <w:szCs w:val="22"/>
        </w:rPr>
        <w:t xml:space="preserve">rate of </w:t>
      </w:r>
      <w:r w:rsidR="00B67D48">
        <w:rPr>
          <w:sz w:val="22"/>
          <w:szCs w:val="22"/>
        </w:rPr>
        <w:t xml:space="preserve">approximately </w:t>
      </w:r>
      <w:r w:rsidRPr="004460F4">
        <w:rPr>
          <w:sz w:val="22"/>
          <w:szCs w:val="22"/>
        </w:rPr>
        <w:t>$1</w:t>
      </w:r>
      <w:r w:rsidRPr="004460F4" w:rsidR="00DD740A">
        <w:rPr>
          <w:sz w:val="22"/>
          <w:szCs w:val="22"/>
        </w:rPr>
        <w:t>25</w:t>
      </w:r>
      <w:r w:rsidRPr="004460F4">
        <w:rPr>
          <w:sz w:val="22"/>
          <w:szCs w:val="22"/>
        </w:rPr>
        <w:t xml:space="preserve">/hour) to satisfy this </w:t>
      </w:r>
      <w:r w:rsidRPr="004460F4" w:rsidR="00B45F9C">
        <w:rPr>
          <w:sz w:val="22"/>
          <w:szCs w:val="22"/>
        </w:rPr>
        <w:t xml:space="preserve">certification </w:t>
      </w:r>
      <w:r w:rsidRPr="004460F4">
        <w:rPr>
          <w:sz w:val="22"/>
          <w:szCs w:val="22"/>
        </w:rPr>
        <w:t xml:space="preserve">requirement.  </w:t>
      </w:r>
    </w:p>
    <w:p w:rsidR="00D36D7B" w:rsidP="007E0735" w:rsidRDefault="00D36D7B" w14:paraId="3A0DE7BC" w14:textId="7939BD79">
      <w:pPr>
        <w:tabs>
          <w:tab w:val="left" w:pos="-720"/>
        </w:tabs>
        <w:suppressAutoHyphens/>
        <w:ind w:left="1440"/>
        <w:rPr>
          <w:sz w:val="22"/>
          <w:szCs w:val="22"/>
        </w:rPr>
      </w:pPr>
      <w:r>
        <w:rPr>
          <w:sz w:val="22"/>
          <w:szCs w:val="22"/>
        </w:rPr>
        <w:t xml:space="preserve">Thus, </w:t>
      </w:r>
      <w:r w:rsidR="00126861">
        <w:rPr>
          <w:sz w:val="22"/>
          <w:szCs w:val="22"/>
        </w:rPr>
        <w:t>approximately 100 hours per year x $125 = $12,500.</w:t>
      </w:r>
    </w:p>
    <w:p w:rsidR="00164C7C" w:rsidP="007E0735" w:rsidRDefault="00164C7C" w14:paraId="5F1ACD0A" w14:textId="77777777">
      <w:pPr>
        <w:tabs>
          <w:tab w:val="left" w:pos="-720"/>
        </w:tabs>
        <w:suppressAutoHyphens/>
        <w:ind w:left="1440"/>
        <w:rPr>
          <w:sz w:val="22"/>
          <w:szCs w:val="22"/>
        </w:rPr>
      </w:pPr>
    </w:p>
    <w:bookmarkEnd w:id="10"/>
    <w:bookmarkEnd w:id="12"/>
    <w:p w:rsidRPr="006E6E53" w:rsidR="007E0735" w:rsidP="007E0735" w:rsidRDefault="001327A8" w14:paraId="7D7AB5B5" w14:textId="1B77A6FB">
      <w:pPr>
        <w:keepLines/>
        <w:tabs>
          <w:tab w:val="left" w:pos="-720"/>
        </w:tabs>
        <w:suppressAutoHyphens/>
        <w:rPr>
          <w:sz w:val="22"/>
          <w:szCs w:val="22"/>
        </w:rPr>
      </w:pPr>
      <w:r>
        <w:rPr>
          <w:b/>
          <w:spacing w:val="-3"/>
          <w:sz w:val="22"/>
          <w:szCs w:val="22"/>
        </w:rPr>
        <w:t>c</w:t>
      </w:r>
      <w:r w:rsidRPr="004460F4" w:rsidR="007E0735">
        <w:rPr>
          <w:b/>
          <w:spacing w:val="-3"/>
          <w:sz w:val="22"/>
          <w:szCs w:val="22"/>
        </w:rPr>
        <w:t>.</w:t>
      </w:r>
      <w:r w:rsidR="00CF71C4">
        <w:rPr>
          <w:b/>
          <w:spacing w:val="-3"/>
          <w:sz w:val="22"/>
          <w:szCs w:val="22"/>
        </w:rPr>
        <w:t xml:space="preserve"> </w:t>
      </w:r>
      <w:r w:rsidRPr="00AB1E80" w:rsidR="00D136C4">
        <w:rPr>
          <w:b/>
          <w:spacing w:val="-3"/>
          <w:sz w:val="22"/>
          <w:szCs w:val="22"/>
        </w:rPr>
        <w:t xml:space="preserve"> </w:t>
      </w:r>
      <w:r w:rsidR="000F1303">
        <w:rPr>
          <w:b/>
          <w:spacing w:val="-3"/>
          <w:sz w:val="22"/>
          <w:szCs w:val="22"/>
        </w:rPr>
        <w:tab/>
      </w:r>
      <w:r w:rsidRPr="004460F4" w:rsidR="007E0735">
        <w:rPr>
          <w:b/>
          <w:spacing w:val="-3"/>
          <w:sz w:val="22"/>
          <w:szCs w:val="22"/>
          <w:u w:val="single"/>
        </w:rPr>
        <w:t>Total Annual Burden Hours:</w:t>
      </w:r>
    </w:p>
    <w:p w:rsidRPr="004460F4" w:rsidR="007E0735" w:rsidP="007E0735" w:rsidRDefault="007E0735" w14:paraId="6799D783" w14:textId="77777777">
      <w:pPr>
        <w:tabs>
          <w:tab w:val="left" w:pos="-720"/>
        </w:tabs>
        <w:suppressAutoHyphens/>
        <w:rPr>
          <w:b/>
          <w:spacing w:val="-3"/>
          <w:sz w:val="22"/>
          <w:szCs w:val="22"/>
        </w:rPr>
      </w:pPr>
    </w:p>
    <w:p w:rsidR="00777DC3" w:rsidP="007E0735" w:rsidRDefault="007E0735" w14:paraId="375BD404" w14:textId="7D3793B1">
      <w:pPr>
        <w:tabs>
          <w:tab w:val="left" w:pos="-720"/>
        </w:tabs>
        <w:suppressAutoHyphens/>
        <w:ind w:left="1440"/>
        <w:rPr>
          <w:spacing w:val="-3"/>
          <w:sz w:val="22"/>
          <w:szCs w:val="22"/>
        </w:rPr>
      </w:pPr>
      <w:r w:rsidRPr="004460F4">
        <w:rPr>
          <w:spacing w:val="-3"/>
          <w:sz w:val="22"/>
          <w:szCs w:val="22"/>
        </w:rPr>
        <w:t xml:space="preserve"> (</w:t>
      </w:r>
      <w:r w:rsidRPr="004460F4" w:rsidR="00F41E80">
        <w:rPr>
          <w:spacing w:val="-3"/>
          <w:sz w:val="22"/>
          <w:szCs w:val="22"/>
        </w:rPr>
        <w:t>a)</w:t>
      </w:r>
      <w:r w:rsidRPr="004460F4" w:rsidR="00F41E80">
        <w:rPr>
          <w:spacing w:val="-3"/>
          <w:sz w:val="22"/>
          <w:szCs w:val="22"/>
        </w:rPr>
        <w:tab/>
        <w:t>Re</w:t>
      </w:r>
      <w:r w:rsidRPr="004460F4" w:rsidR="003B712A">
        <w:rPr>
          <w:spacing w:val="-3"/>
          <w:sz w:val="22"/>
          <w:szCs w:val="22"/>
        </w:rPr>
        <w:t>porting</w:t>
      </w:r>
      <w:r w:rsidRPr="004460F4" w:rsidR="00F41E80">
        <w:rPr>
          <w:spacing w:val="-3"/>
          <w:sz w:val="22"/>
          <w:szCs w:val="22"/>
        </w:rPr>
        <w:t xml:space="preserve"> Requirement</w:t>
      </w:r>
      <w:r w:rsidR="00C47AAF">
        <w:rPr>
          <w:spacing w:val="-3"/>
          <w:sz w:val="22"/>
          <w:szCs w:val="22"/>
        </w:rPr>
        <w:t xml:space="preserve"> (Annual Reports)</w:t>
      </w:r>
      <w:r w:rsidR="0070245F">
        <w:rPr>
          <w:spacing w:val="-3"/>
          <w:sz w:val="22"/>
          <w:szCs w:val="22"/>
        </w:rPr>
        <w:t>:</w:t>
      </w:r>
      <w:r w:rsidR="00C64D05">
        <w:rPr>
          <w:spacing w:val="-3"/>
          <w:sz w:val="22"/>
          <w:szCs w:val="22"/>
        </w:rPr>
        <w:tab/>
      </w:r>
      <w:r w:rsidR="00C64D05">
        <w:rPr>
          <w:spacing w:val="-3"/>
          <w:sz w:val="22"/>
          <w:szCs w:val="22"/>
        </w:rPr>
        <w:tab/>
      </w:r>
      <w:r w:rsidR="00F665C2">
        <w:rPr>
          <w:spacing w:val="-3"/>
          <w:sz w:val="22"/>
          <w:szCs w:val="22"/>
        </w:rPr>
        <w:t>2,400</w:t>
      </w:r>
      <w:r w:rsidR="00C64D05">
        <w:rPr>
          <w:spacing w:val="-3"/>
          <w:sz w:val="22"/>
          <w:szCs w:val="22"/>
        </w:rPr>
        <w:tab/>
      </w:r>
      <w:r w:rsidR="00C64D05">
        <w:rPr>
          <w:spacing w:val="-3"/>
          <w:sz w:val="22"/>
          <w:szCs w:val="22"/>
        </w:rPr>
        <w:tab/>
      </w:r>
      <w:r w:rsidR="003D2931">
        <w:rPr>
          <w:spacing w:val="-3"/>
          <w:sz w:val="22"/>
          <w:szCs w:val="22"/>
        </w:rPr>
        <w:tab/>
      </w:r>
      <w:r w:rsidRPr="004460F4" w:rsidR="00763527">
        <w:rPr>
          <w:spacing w:val="-3"/>
          <w:sz w:val="22"/>
          <w:szCs w:val="22"/>
        </w:rPr>
        <w:t xml:space="preserve"> </w:t>
      </w:r>
    </w:p>
    <w:p w:rsidRPr="00AB1E80" w:rsidR="007E0735" w:rsidP="007E0735" w:rsidRDefault="00763527" w14:paraId="13EDB90C" w14:textId="3F7645AD">
      <w:pPr>
        <w:tabs>
          <w:tab w:val="left" w:pos="-720"/>
        </w:tabs>
        <w:suppressAutoHyphens/>
        <w:ind w:left="1440"/>
        <w:rPr>
          <w:spacing w:val="-3"/>
          <w:sz w:val="22"/>
          <w:szCs w:val="22"/>
        </w:rPr>
      </w:pPr>
      <w:r w:rsidRPr="004460F4">
        <w:rPr>
          <w:spacing w:val="-3"/>
          <w:sz w:val="22"/>
          <w:szCs w:val="22"/>
        </w:rPr>
        <w:t xml:space="preserve">  </w:t>
      </w:r>
      <w:r w:rsidR="00CF71C4">
        <w:rPr>
          <w:spacing w:val="-3"/>
          <w:sz w:val="22"/>
          <w:szCs w:val="22"/>
        </w:rPr>
        <w:tab/>
      </w:r>
    </w:p>
    <w:p w:rsidR="002375FE" w:rsidP="00715D7E" w:rsidRDefault="007E0735" w14:paraId="2B9F9A5D" w14:textId="3320225F">
      <w:pPr>
        <w:tabs>
          <w:tab w:val="left" w:pos="-720"/>
        </w:tabs>
        <w:suppressAutoHyphens/>
        <w:ind w:left="1440"/>
        <w:rPr>
          <w:spacing w:val="-3"/>
          <w:sz w:val="22"/>
          <w:szCs w:val="22"/>
        </w:rPr>
      </w:pPr>
      <w:r w:rsidRPr="004460F4">
        <w:rPr>
          <w:spacing w:val="-3"/>
          <w:sz w:val="22"/>
          <w:szCs w:val="22"/>
        </w:rPr>
        <w:t xml:space="preserve"> (b)</w:t>
      </w:r>
      <w:r w:rsidRPr="004460F4">
        <w:rPr>
          <w:spacing w:val="-3"/>
          <w:sz w:val="22"/>
          <w:szCs w:val="22"/>
        </w:rPr>
        <w:tab/>
      </w:r>
      <w:r w:rsidRPr="004460F4" w:rsidR="003B712A">
        <w:rPr>
          <w:spacing w:val="-3"/>
          <w:sz w:val="22"/>
          <w:szCs w:val="22"/>
        </w:rPr>
        <w:t xml:space="preserve">Certification </w:t>
      </w:r>
      <w:r w:rsidRPr="004460F4">
        <w:rPr>
          <w:spacing w:val="-3"/>
          <w:sz w:val="22"/>
          <w:szCs w:val="22"/>
        </w:rPr>
        <w:t>Requirement:</w:t>
      </w:r>
      <w:r w:rsidR="00C64D05">
        <w:rPr>
          <w:spacing w:val="-3"/>
          <w:sz w:val="22"/>
          <w:szCs w:val="22"/>
        </w:rPr>
        <w:tab/>
      </w:r>
      <w:r w:rsidR="00C64D05">
        <w:rPr>
          <w:spacing w:val="-3"/>
          <w:sz w:val="22"/>
          <w:szCs w:val="22"/>
        </w:rPr>
        <w:tab/>
      </w:r>
      <w:r w:rsidR="00C64D05">
        <w:rPr>
          <w:spacing w:val="-3"/>
          <w:sz w:val="22"/>
          <w:szCs w:val="22"/>
        </w:rPr>
        <w:tab/>
      </w:r>
      <w:r w:rsidR="00C64D05">
        <w:rPr>
          <w:spacing w:val="-3"/>
          <w:sz w:val="22"/>
          <w:szCs w:val="22"/>
        </w:rPr>
        <w:tab/>
      </w:r>
      <w:r w:rsidR="00F665C2">
        <w:rPr>
          <w:spacing w:val="-3"/>
          <w:sz w:val="22"/>
          <w:szCs w:val="22"/>
        </w:rPr>
        <w:t xml:space="preserve">   </w:t>
      </w:r>
      <w:r w:rsidR="00C64D05">
        <w:rPr>
          <w:spacing w:val="-3"/>
          <w:sz w:val="22"/>
          <w:szCs w:val="22"/>
        </w:rPr>
        <w:t>100</w:t>
      </w:r>
      <w:r w:rsidR="00C64D05">
        <w:rPr>
          <w:spacing w:val="-3"/>
          <w:sz w:val="22"/>
          <w:szCs w:val="22"/>
        </w:rPr>
        <w:tab/>
      </w:r>
      <w:r w:rsidR="00C64D05">
        <w:rPr>
          <w:spacing w:val="-3"/>
          <w:sz w:val="22"/>
          <w:szCs w:val="22"/>
        </w:rPr>
        <w:tab/>
      </w:r>
      <w:r w:rsidR="00C64D05">
        <w:rPr>
          <w:spacing w:val="-3"/>
          <w:sz w:val="22"/>
          <w:szCs w:val="22"/>
        </w:rPr>
        <w:tab/>
      </w:r>
    </w:p>
    <w:p w:rsidR="00126AB9" w:rsidP="00715D7E" w:rsidRDefault="00126AB9" w14:paraId="7D83C35B" w14:textId="2A7BF340">
      <w:pPr>
        <w:tabs>
          <w:tab w:val="left" w:pos="-720"/>
        </w:tabs>
        <w:suppressAutoHyphens/>
        <w:ind w:left="1440"/>
        <w:rPr>
          <w:spacing w:val="-3"/>
          <w:sz w:val="22"/>
          <w:szCs w:val="22"/>
        </w:rPr>
      </w:pPr>
    </w:p>
    <w:p w:rsidR="00126AB9" w:rsidP="00126AB9" w:rsidRDefault="00126AB9" w14:paraId="3D9E291B" w14:textId="4266DAAE">
      <w:pPr>
        <w:tabs>
          <w:tab w:val="left" w:pos="-720"/>
        </w:tabs>
        <w:suppressAutoHyphens/>
        <w:ind w:left="1440"/>
        <w:rPr>
          <w:spacing w:val="-3"/>
          <w:sz w:val="22"/>
          <w:szCs w:val="22"/>
        </w:rPr>
      </w:pPr>
      <w:r>
        <w:rPr>
          <w:spacing w:val="-3"/>
          <w:sz w:val="22"/>
          <w:szCs w:val="22"/>
        </w:rPr>
        <w:t xml:space="preserve"> (c)</w:t>
      </w:r>
      <w:r>
        <w:rPr>
          <w:spacing w:val="-3"/>
          <w:sz w:val="22"/>
          <w:szCs w:val="22"/>
        </w:rPr>
        <w:tab/>
        <w:t>Consumer Disclosure Requirements:</w:t>
      </w:r>
    </w:p>
    <w:p w:rsidR="00126AB9" w:rsidP="00126AB9" w:rsidRDefault="00126AB9" w14:paraId="7E7A80C5" w14:textId="3CAB0804">
      <w:pPr>
        <w:tabs>
          <w:tab w:val="left" w:pos="-720"/>
        </w:tabs>
        <w:suppressAutoHyphens/>
        <w:ind w:left="1440"/>
        <w:rPr>
          <w:spacing w:val="-3"/>
          <w:sz w:val="22"/>
          <w:szCs w:val="22"/>
        </w:rPr>
      </w:pPr>
    </w:p>
    <w:p w:rsidR="00126AB9" w:rsidP="00126AB9" w:rsidRDefault="00126AB9" w14:paraId="085F6470" w14:textId="71B5D0B2">
      <w:pPr>
        <w:pStyle w:val="ListParagraph"/>
        <w:numPr>
          <w:ilvl w:val="0"/>
          <w:numId w:val="47"/>
        </w:numPr>
        <w:tabs>
          <w:tab w:val="left" w:pos="-720"/>
        </w:tabs>
        <w:suppressAutoHyphens/>
        <w:rPr>
          <w:spacing w:val="-3"/>
          <w:sz w:val="22"/>
          <w:szCs w:val="22"/>
        </w:rPr>
      </w:pPr>
      <w:r>
        <w:rPr>
          <w:spacing w:val="-3"/>
          <w:sz w:val="22"/>
          <w:szCs w:val="22"/>
        </w:rPr>
        <w:lastRenderedPageBreak/>
        <w:t>Disclosure of Interstate, Intrastate, and</w:t>
      </w:r>
    </w:p>
    <w:p w:rsidR="00126AB9" w:rsidP="00126AB9" w:rsidRDefault="00126AB9" w14:paraId="67143260" w14:textId="2592DF80">
      <w:pPr>
        <w:pStyle w:val="ListParagraph"/>
        <w:tabs>
          <w:tab w:val="left" w:pos="-720"/>
        </w:tabs>
        <w:suppressAutoHyphens/>
        <w:ind w:left="2520"/>
        <w:rPr>
          <w:spacing w:val="-3"/>
          <w:sz w:val="22"/>
          <w:szCs w:val="22"/>
        </w:rPr>
      </w:pPr>
      <w:r>
        <w:rPr>
          <w:spacing w:val="-3"/>
          <w:sz w:val="22"/>
          <w:szCs w:val="22"/>
        </w:rPr>
        <w:t>International Rates and Ancillary Service Charges</w:t>
      </w:r>
      <w:r w:rsidR="00C64D05">
        <w:rPr>
          <w:spacing w:val="-3"/>
          <w:sz w:val="22"/>
          <w:szCs w:val="22"/>
        </w:rPr>
        <w:tab/>
      </w:r>
      <w:r w:rsidR="00F665C2">
        <w:rPr>
          <w:spacing w:val="-3"/>
          <w:sz w:val="22"/>
          <w:szCs w:val="22"/>
        </w:rPr>
        <w:t xml:space="preserve">   </w:t>
      </w:r>
      <w:r w:rsidR="00C64D05">
        <w:rPr>
          <w:spacing w:val="-3"/>
          <w:sz w:val="22"/>
          <w:szCs w:val="22"/>
        </w:rPr>
        <w:t>400</w:t>
      </w:r>
    </w:p>
    <w:p w:rsidR="00126AB9" w:rsidP="00126AB9" w:rsidRDefault="00126AB9" w14:paraId="0B33FA89" w14:textId="4620AADD">
      <w:pPr>
        <w:tabs>
          <w:tab w:val="left" w:pos="-720"/>
        </w:tabs>
        <w:suppressAutoHyphens/>
        <w:rPr>
          <w:spacing w:val="-3"/>
          <w:sz w:val="22"/>
          <w:szCs w:val="22"/>
        </w:rPr>
      </w:pPr>
    </w:p>
    <w:p w:rsidR="00126AB9" w:rsidP="00126AB9" w:rsidRDefault="00126AB9" w14:paraId="6E47C8A8" w14:textId="4F69C863">
      <w:pPr>
        <w:pStyle w:val="ListParagraph"/>
        <w:numPr>
          <w:ilvl w:val="0"/>
          <w:numId w:val="47"/>
        </w:numPr>
        <w:tabs>
          <w:tab w:val="left" w:pos="-720"/>
        </w:tabs>
        <w:suppressAutoHyphens/>
        <w:rPr>
          <w:spacing w:val="-3"/>
          <w:sz w:val="22"/>
          <w:szCs w:val="22"/>
        </w:rPr>
      </w:pPr>
      <w:r>
        <w:rPr>
          <w:spacing w:val="-3"/>
          <w:sz w:val="22"/>
          <w:szCs w:val="22"/>
        </w:rPr>
        <w:t>Consumer Disclosure Billing Requirement:</w:t>
      </w:r>
      <w:r w:rsidR="00C64D05">
        <w:rPr>
          <w:spacing w:val="-3"/>
          <w:sz w:val="22"/>
          <w:szCs w:val="22"/>
        </w:rPr>
        <w:tab/>
      </w:r>
      <w:r w:rsidR="00C64D05">
        <w:rPr>
          <w:spacing w:val="-3"/>
          <w:sz w:val="22"/>
          <w:szCs w:val="22"/>
        </w:rPr>
        <w:tab/>
      </w:r>
      <w:r w:rsidR="00AC0351">
        <w:rPr>
          <w:spacing w:val="-3"/>
          <w:sz w:val="22"/>
          <w:szCs w:val="22"/>
        </w:rPr>
        <w:t xml:space="preserve">   </w:t>
      </w:r>
      <w:r w:rsidR="00C64D05">
        <w:rPr>
          <w:spacing w:val="-3"/>
          <w:sz w:val="22"/>
          <w:szCs w:val="22"/>
        </w:rPr>
        <w:t>600</w:t>
      </w:r>
    </w:p>
    <w:p w:rsidR="00F665C2" w:rsidP="00F665C2" w:rsidRDefault="00F665C2" w14:paraId="0140BB13" w14:textId="77777777">
      <w:pPr>
        <w:pStyle w:val="ListParagraph"/>
        <w:tabs>
          <w:tab w:val="left" w:pos="-720"/>
        </w:tabs>
        <w:suppressAutoHyphens/>
        <w:ind w:left="2520"/>
        <w:rPr>
          <w:spacing w:val="-3"/>
          <w:sz w:val="22"/>
          <w:szCs w:val="22"/>
        </w:rPr>
      </w:pPr>
    </w:p>
    <w:p w:rsidRPr="009A513E" w:rsidR="00126AB9" w:rsidP="00126AB9" w:rsidRDefault="00126AB9" w14:paraId="113DEA5B" w14:textId="7DF0C468">
      <w:pPr>
        <w:tabs>
          <w:tab w:val="left" w:pos="-720"/>
        </w:tabs>
        <w:suppressAutoHyphens/>
        <w:rPr>
          <w:spacing w:val="-3"/>
          <w:sz w:val="22"/>
          <w:szCs w:val="22"/>
          <w:u w:val="single"/>
        </w:rPr>
      </w:pPr>
      <w:r>
        <w:rPr>
          <w:spacing w:val="-3"/>
          <w:sz w:val="22"/>
          <w:szCs w:val="22"/>
        </w:rPr>
        <w:tab/>
      </w:r>
      <w:r>
        <w:rPr>
          <w:spacing w:val="-3"/>
          <w:sz w:val="22"/>
          <w:szCs w:val="22"/>
        </w:rPr>
        <w:tab/>
        <w:t>(d)</w:t>
      </w:r>
      <w:r>
        <w:rPr>
          <w:spacing w:val="-3"/>
          <w:sz w:val="22"/>
          <w:szCs w:val="22"/>
        </w:rPr>
        <w:tab/>
        <w:t>Waiver Request Reporting Requirement:</w:t>
      </w:r>
      <w:r w:rsidR="00C64D05">
        <w:rPr>
          <w:spacing w:val="-3"/>
          <w:sz w:val="22"/>
          <w:szCs w:val="22"/>
        </w:rPr>
        <w:tab/>
      </w:r>
      <w:r w:rsidR="00C64D05">
        <w:rPr>
          <w:spacing w:val="-3"/>
          <w:sz w:val="22"/>
          <w:szCs w:val="22"/>
        </w:rPr>
        <w:tab/>
      </w:r>
      <w:r w:rsidR="00C64D05">
        <w:rPr>
          <w:spacing w:val="-3"/>
          <w:sz w:val="22"/>
          <w:szCs w:val="22"/>
        </w:rPr>
        <w:tab/>
      </w:r>
      <w:r w:rsidRPr="009A513E" w:rsidR="00AC0351">
        <w:rPr>
          <w:spacing w:val="-3"/>
          <w:sz w:val="22"/>
          <w:szCs w:val="22"/>
          <w:u w:val="single"/>
        </w:rPr>
        <w:t xml:space="preserve">   </w:t>
      </w:r>
      <w:r w:rsidRPr="009A513E" w:rsidR="00C64D05">
        <w:rPr>
          <w:spacing w:val="-3"/>
          <w:sz w:val="22"/>
          <w:szCs w:val="22"/>
          <w:u w:val="single"/>
        </w:rPr>
        <w:t>240</w:t>
      </w:r>
    </w:p>
    <w:p w:rsidR="00126AB9" w:rsidP="00126AB9" w:rsidRDefault="009A513E" w14:paraId="245B5FB4" w14:textId="6273DBEB">
      <w:pPr>
        <w:pStyle w:val="ListParagraph"/>
        <w:tabs>
          <w:tab w:val="left" w:pos="-720"/>
        </w:tabs>
        <w:suppressAutoHyphens/>
        <w:ind w:left="2520"/>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t>3,740</w:t>
      </w:r>
    </w:p>
    <w:p w:rsidRPr="00126AB9" w:rsidR="00126AB9" w:rsidP="00126AB9" w:rsidRDefault="00126AB9" w14:paraId="3DFA6994" w14:textId="77777777">
      <w:pPr>
        <w:pStyle w:val="ListParagraph"/>
        <w:tabs>
          <w:tab w:val="left" w:pos="-720"/>
        </w:tabs>
        <w:suppressAutoHyphens/>
        <w:ind w:left="2520"/>
        <w:rPr>
          <w:spacing w:val="-3"/>
          <w:sz w:val="22"/>
          <w:szCs w:val="22"/>
        </w:rPr>
      </w:pPr>
    </w:p>
    <w:p w:rsidRPr="00AB1E80" w:rsidR="001946D2" w:rsidP="007E0735" w:rsidRDefault="001946D2" w14:paraId="2019BFB2" w14:textId="42D18AAF">
      <w:pPr>
        <w:tabs>
          <w:tab w:val="left" w:pos="-720"/>
        </w:tabs>
        <w:suppressAutoHyphens/>
        <w:ind w:left="720"/>
        <w:rPr>
          <w:b/>
          <w:spacing w:val="-3"/>
          <w:sz w:val="22"/>
          <w:szCs w:val="22"/>
        </w:rPr>
      </w:pPr>
      <w:r w:rsidRPr="004460F4">
        <w:rPr>
          <w:b/>
          <w:spacing w:val="-3"/>
          <w:sz w:val="22"/>
          <w:szCs w:val="22"/>
        </w:rPr>
        <w:t xml:space="preserve">Total Respondents:  </w:t>
      </w:r>
      <w:r w:rsidR="00521B88">
        <w:rPr>
          <w:b/>
          <w:spacing w:val="-3"/>
          <w:sz w:val="22"/>
          <w:szCs w:val="22"/>
        </w:rPr>
        <w:t>20</w:t>
      </w:r>
      <w:r w:rsidR="00715D7E">
        <w:rPr>
          <w:b/>
          <w:spacing w:val="-3"/>
          <w:sz w:val="22"/>
          <w:szCs w:val="22"/>
        </w:rPr>
        <w:t>.</w:t>
      </w:r>
    </w:p>
    <w:p w:rsidR="00E34679" w:rsidP="007E0735" w:rsidRDefault="001946D2" w14:paraId="387F1BE6" w14:textId="41896D84">
      <w:pPr>
        <w:tabs>
          <w:tab w:val="left" w:pos="-720"/>
        </w:tabs>
        <w:suppressAutoHyphens/>
        <w:ind w:left="720"/>
        <w:rPr>
          <w:b/>
          <w:spacing w:val="-3"/>
          <w:sz w:val="22"/>
          <w:szCs w:val="22"/>
        </w:rPr>
      </w:pPr>
      <w:r w:rsidRPr="00AB1E80">
        <w:rPr>
          <w:b/>
          <w:spacing w:val="-3"/>
          <w:sz w:val="22"/>
          <w:szCs w:val="22"/>
        </w:rPr>
        <w:t>Total Responses</w:t>
      </w:r>
      <w:r w:rsidR="00B13E33">
        <w:rPr>
          <w:b/>
          <w:spacing w:val="-3"/>
          <w:sz w:val="22"/>
          <w:szCs w:val="22"/>
        </w:rPr>
        <w:t xml:space="preserve">: </w:t>
      </w:r>
      <w:r w:rsidR="002C4EF3">
        <w:rPr>
          <w:b/>
          <w:spacing w:val="-3"/>
          <w:sz w:val="22"/>
          <w:szCs w:val="22"/>
        </w:rPr>
        <w:t xml:space="preserve"> </w:t>
      </w:r>
      <w:r w:rsidR="00CC17DB">
        <w:rPr>
          <w:b/>
          <w:spacing w:val="-3"/>
          <w:sz w:val="22"/>
          <w:szCs w:val="22"/>
        </w:rPr>
        <w:t>20 +</w:t>
      </w:r>
      <w:r w:rsidR="006768D0">
        <w:rPr>
          <w:b/>
          <w:spacing w:val="-3"/>
          <w:sz w:val="22"/>
          <w:szCs w:val="22"/>
        </w:rPr>
        <w:t xml:space="preserve"> </w:t>
      </w:r>
      <w:r w:rsidR="00CC17DB">
        <w:rPr>
          <w:b/>
          <w:spacing w:val="-3"/>
          <w:sz w:val="22"/>
          <w:szCs w:val="22"/>
        </w:rPr>
        <w:t>3</w:t>
      </w:r>
      <w:r w:rsidR="001227B4">
        <w:rPr>
          <w:b/>
          <w:spacing w:val="-3"/>
          <w:sz w:val="22"/>
          <w:szCs w:val="22"/>
        </w:rPr>
        <w:t xml:space="preserve"> </w:t>
      </w:r>
      <w:r w:rsidR="00CC17DB">
        <w:rPr>
          <w:b/>
          <w:spacing w:val="-3"/>
          <w:sz w:val="22"/>
          <w:szCs w:val="22"/>
        </w:rPr>
        <w:t>= 23</w:t>
      </w:r>
      <w:r w:rsidR="00715D7E">
        <w:rPr>
          <w:b/>
          <w:spacing w:val="-3"/>
          <w:sz w:val="22"/>
          <w:szCs w:val="22"/>
        </w:rPr>
        <w:t>.</w:t>
      </w:r>
    </w:p>
    <w:p w:rsidRPr="00AB1E80" w:rsidR="001946D2" w:rsidP="007A005D" w:rsidRDefault="007A005D" w14:paraId="0769F2CC" w14:textId="377BB896">
      <w:pPr>
        <w:tabs>
          <w:tab w:val="left" w:pos="-720"/>
        </w:tabs>
        <w:suppressAutoHyphens/>
        <w:rPr>
          <w:spacing w:val="-3"/>
          <w:sz w:val="22"/>
          <w:szCs w:val="22"/>
        </w:rPr>
      </w:pPr>
      <w:r>
        <w:rPr>
          <w:b/>
          <w:spacing w:val="-3"/>
          <w:sz w:val="22"/>
          <w:szCs w:val="22"/>
        </w:rPr>
        <w:tab/>
      </w:r>
      <w:r w:rsidRPr="00AB1E80" w:rsidR="001946D2">
        <w:rPr>
          <w:b/>
          <w:spacing w:val="-3"/>
          <w:sz w:val="22"/>
          <w:szCs w:val="22"/>
        </w:rPr>
        <w:t xml:space="preserve">Total In-House Costs:  </w:t>
      </w:r>
      <w:r w:rsidR="003B0ED9">
        <w:rPr>
          <w:b/>
          <w:spacing w:val="-3"/>
          <w:sz w:val="22"/>
          <w:szCs w:val="22"/>
        </w:rPr>
        <w:t>$</w:t>
      </w:r>
      <w:r w:rsidR="00C93A47">
        <w:rPr>
          <w:b/>
          <w:spacing w:val="-3"/>
          <w:sz w:val="22"/>
          <w:szCs w:val="22"/>
        </w:rPr>
        <w:t>23,204</w:t>
      </w:r>
      <w:r w:rsidR="003B0ED9">
        <w:rPr>
          <w:b/>
          <w:spacing w:val="-3"/>
          <w:sz w:val="22"/>
          <w:szCs w:val="22"/>
        </w:rPr>
        <w:t xml:space="preserve"> +</w:t>
      </w:r>
      <w:r w:rsidR="007F3D19">
        <w:rPr>
          <w:b/>
          <w:spacing w:val="-3"/>
          <w:sz w:val="22"/>
          <w:szCs w:val="22"/>
        </w:rPr>
        <w:t xml:space="preserve"> </w:t>
      </w:r>
      <w:r w:rsidR="008E72A0">
        <w:rPr>
          <w:b/>
          <w:spacing w:val="-3"/>
          <w:sz w:val="22"/>
          <w:szCs w:val="22"/>
        </w:rPr>
        <w:t>$</w:t>
      </w:r>
      <w:r w:rsidR="00C93A47">
        <w:rPr>
          <w:b/>
          <w:spacing w:val="-3"/>
          <w:sz w:val="22"/>
          <w:szCs w:val="22"/>
        </w:rPr>
        <w:t>34,806</w:t>
      </w:r>
      <w:r w:rsidR="008E72A0">
        <w:rPr>
          <w:b/>
          <w:spacing w:val="-3"/>
          <w:sz w:val="22"/>
          <w:szCs w:val="22"/>
        </w:rPr>
        <w:t xml:space="preserve"> +</w:t>
      </w:r>
      <w:r w:rsidR="007F3D19">
        <w:rPr>
          <w:b/>
          <w:spacing w:val="-3"/>
          <w:sz w:val="22"/>
          <w:szCs w:val="22"/>
        </w:rPr>
        <w:t xml:space="preserve"> </w:t>
      </w:r>
      <w:r w:rsidR="008E72A0">
        <w:rPr>
          <w:b/>
          <w:spacing w:val="-3"/>
          <w:sz w:val="22"/>
          <w:szCs w:val="22"/>
        </w:rPr>
        <w:t xml:space="preserve">$30,000 +  </w:t>
      </w:r>
      <w:r w:rsidR="00603D2E">
        <w:rPr>
          <w:b/>
          <w:spacing w:val="-3"/>
          <w:sz w:val="22"/>
          <w:szCs w:val="22"/>
        </w:rPr>
        <w:t>$</w:t>
      </w:r>
      <w:r w:rsidR="00B45CCA">
        <w:rPr>
          <w:b/>
          <w:spacing w:val="-3"/>
          <w:sz w:val="22"/>
          <w:szCs w:val="22"/>
        </w:rPr>
        <w:t>139,224</w:t>
      </w:r>
      <w:r w:rsidR="00603D2E">
        <w:rPr>
          <w:b/>
          <w:spacing w:val="-3"/>
          <w:sz w:val="22"/>
          <w:szCs w:val="22"/>
        </w:rPr>
        <w:t xml:space="preserve"> +</w:t>
      </w:r>
      <w:r w:rsidR="007F3D19">
        <w:rPr>
          <w:b/>
          <w:spacing w:val="-3"/>
          <w:sz w:val="22"/>
          <w:szCs w:val="22"/>
        </w:rPr>
        <w:t xml:space="preserve"> </w:t>
      </w:r>
      <w:r w:rsidR="00603D2E">
        <w:rPr>
          <w:b/>
          <w:spacing w:val="-3"/>
          <w:sz w:val="22"/>
          <w:szCs w:val="22"/>
        </w:rPr>
        <w:t>$12,500 = $</w:t>
      </w:r>
      <w:r w:rsidR="00B45CCA">
        <w:rPr>
          <w:b/>
          <w:spacing w:val="-3"/>
          <w:sz w:val="22"/>
          <w:szCs w:val="22"/>
        </w:rPr>
        <w:t>239,73</w:t>
      </w:r>
      <w:r w:rsidR="00366CBA">
        <w:rPr>
          <w:b/>
          <w:spacing w:val="-3"/>
          <w:sz w:val="22"/>
          <w:szCs w:val="22"/>
        </w:rPr>
        <w:t>4.</w:t>
      </w:r>
    </w:p>
    <w:p w:rsidRPr="00AB1E80" w:rsidR="007E0735" w:rsidP="007E0735" w:rsidRDefault="007E0735" w14:paraId="06943668" w14:textId="45DDCDC0">
      <w:pPr>
        <w:tabs>
          <w:tab w:val="left" w:pos="-720"/>
        </w:tabs>
        <w:suppressAutoHyphens/>
        <w:ind w:left="720"/>
        <w:rPr>
          <w:b/>
          <w:spacing w:val="-3"/>
          <w:sz w:val="22"/>
          <w:szCs w:val="22"/>
        </w:rPr>
      </w:pPr>
      <w:r w:rsidRPr="00AB1E80">
        <w:rPr>
          <w:b/>
          <w:spacing w:val="-3"/>
          <w:sz w:val="22"/>
          <w:szCs w:val="22"/>
        </w:rPr>
        <w:t>Total Annual Burden Hours</w:t>
      </w:r>
      <w:r w:rsidR="00C47AAF">
        <w:rPr>
          <w:b/>
          <w:spacing w:val="-3"/>
          <w:sz w:val="22"/>
          <w:szCs w:val="22"/>
        </w:rPr>
        <w:t xml:space="preserve">:  </w:t>
      </w:r>
      <w:r w:rsidR="00B70F61">
        <w:rPr>
          <w:b/>
          <w:spacing w:val="-3"/>
          <w:sz w:val="22"/>
          <w:szCs w:val="22"/>
        </w:rPr>
        <w:t xml:space="preserve">2,400 + 100 + 400 + 600 + 240 = </w:t>
      </w:r>
      <w:r w:rsidR="00484ED9">
        <w:rPr>
          <w:b/>
          <w:spacing w:val="-3"/>
          <w:sz w:val="22"/>
          <w:szCs w:val="22"/>
        </w:rPr>
        <w:t>3,740.</w:t>
      </w:r>
    </w:p>
    <w:p w:rsidRPr="004460F4" w:rsidR="007E0735" w:rsidP="007E0735" w:rsidRDefault="007E0735" w14:paraId="7EF7F364" w14:textId="77777777">
      <w:pPr>
        <w:tabs>
          <w:tab w:val="left" w:pos="-720"/>
        </w:tabs>
        <w:suppressAutoHyphens/>
        <w:rPr>
          <w:b/>
          <w:spacing w:val="-3"/>
          <w:sz w:val="22"/>
          <w:szCs w:val="22"/>
        </w:rPr>
      </w:pPr>
    </w:p>
    <w:p w:rsidRPr="004460F4" w:rsidR="007E0735" w:rsidP="007E0735" w:rsidRDefault="007E0735" w14:paraId="09414BB4" w14:textId="77777777">
      <w:pPr>
        <w:pStyle w:val="Numberedparagraphs"/>
        <w:numPr>
          <w:ilvl w:val="0"/>
          <w:numId w:val="0"/>
        </w:numPr>
        <w:tabs>
          <w:tab w:val="clear" w:pos="1440"/>
        </w:tabs>
        <w:ind w:firstLine="720"/>
        <w:rPr>
          <w:sz w:val="22"/>
          <w:szCs w:val="22"/>
        </w:rPr>
      </w:pPr>
      <w:r w:rsidRPr="004460F4">
        <w:rPr>
          <w:spacing w:val="-3"/>
          <w:sz w:val="22"/>
          <w:szCs w:val="22"/>
        </w:rPr>
        <w:t>13.  E</w:t>
      </w:r>
      <w:r w:rsidRPr="004460F4">
        <w:rPr>
          <w:sz w:val="22"/>
          <w:szCs w:val="22"/>
        </w:rPr>
        <w:t>stimated operations and maintenance (O&amp;M) costs of respondents resulting from the collection of information:</w:t>
      </w:r>
    </w:p>
    <w:p w:rsidRPr="004460F4" w:rsidR="00443F78" w:rsidP="007E0735" w:rsidRDefault="007E0735" w14:paraId="2901DBFC" w14:textId="77777777">
      <w:pPr>
        <w:pStyle w:val="Numberedparagraphs"/>
        <w:numPr>
          <w:ilvl w:val="0"/>
          <w:numId w:val="0"/>
        </w:numPr>
        <w:tabs>
          <w:tab w:val="clear" w:pos="1440"/>
          <w:tab w:val="left" w:pos="720"/>
        </w:tabs>
        <w:rPr>
          <w:sz w:val="22"/>
          <w:szCs w:val="22"/>
        </w:rPr>
      </w:pPr>
      <w:r w:rsidRPr="004460F4">
        <w:rPr>
          <w:sz w:val="22"/>
          <w:szCs w:val="22"/>
        </w:rPr>
        <w:tab/>
        <w:t>(a)</w:t>
      </w:r>
      <w:r w:rsidRPr="004460F4">
        <w:rPr>
          <w:sz w:val="22"/>
          <w:szCs w:val="22"/>
        </w:rPr>
        <w:tab/>
      </w:r>
      <w:r w:rsidRPr="004460F4">
        <w:rPr>
          <w:sz w:val="22"/>
          <w:szCs w:val="22"/>
          <w:u w:val="single"/>
        </w:rPr>
        <w:t>Total capital start-up costs component annualized over its expected useful life:</w:t>
      </w:r>
      <w:r w:rsidRPr="004460F4">
        <w:rPr>
          <w:sz w:val="22"/>
          <w:szCs w:val="22"/>
        </w:rPr>
        <w:t xml:space="preserve"> </w:t>
      </w:r>
      <w:r w:rsidRPr="00E63ED6">
        <w:rPr>
          <w:b/>
          <w:bCs/>
          <w:sz w:val="22"/>
          <w:szCs w:val="22"/>
        </w:rPr>
        <w:t>$0</w:t>
      </w:r>
      <w:r w:rsidRPr="004460F4">
        <w:rPr>
          <w:sz w:val="22"/>
          <w:szCs w:val="22"/>
        </w:rPr>
        <w:t xml:space="preserve">.  </w:t>
      </w:r>
    </w:p>
    <w:p w:rsidRPr="004460F4" w:rsidR="007E0735" w:rsidP="007E0735" w:rsidRDefault="00443F78" w14:paraId="476110BD" w14:textId="2DC8AFB6">
      <w:pPr>
        <w:pStyle w:val="Numberedparagraphs"/>
        <w:numPr>
          <w:ilvl w:val="0"/>
          <w:numId w:val="0"/>
        </w:numPr>
        <w:tabs>
          <w:tab w:val="clear" w:pos="1440"/>
          <w:tab w:val="left" w:pos="720"/>
        </w:tabs>
        <w:rPr>
          <w:sz w:val="22"/>
          <w:szCs w:val="22"/>
        </w:rPr>
      </w:pPr>
      <w:r w:rsidRPr="004460F4">
        <w:rPr>
          <w:sz w:val="22"/>
          <w:szCs w:val="22"/>
        </w:rPr>
        <w:tab/>
      </w:r>
      <w:r w:rsidRPr="004460F4" w:rsidR="007E0735">
        <w:rPr>
          <w:sz w:val="22"/>
          <w:szCs w:val="22"/>
        </w:rPr>
        <w:t xml:space="preserve">The collections will not result in additional capital expenditures such as computers or software.  </w:t>
      </w:r>
      <w:r w:rsidR="00687115">
        <w:rPr>
          <w:sz w:val="22"/>
          <w:szCs w:val="22"/>
        </w:rPr>
        <w:t xml:space="preserve">Providers, however, </w:t>
      </w:r>
      <w:r w:rsidR="00B13E33">
        <w:rPr>
          <w:sz w:val="22"/>
          <w:szCs w:val="22"/>
        </w:rPr>
        <w:t>may</w:t>
      </w:r>
      <w:r w:rsidR="00687115">
        <w:rPr>
          <w:sz w:val="22"/>
          <w:szCs w:val="22"/>
        </w:rPr>
        <w:t xml:space="preserve"> need to update existing software to comply with the </w:t>
      </w:r>
      <w:r w:rsidRPr="003E24F0" w:rsidR="00687115">
        <w:rPr>
          <w:sz w:val="22"/>
          <w:szCs w:val="22"/>
        </w:rPr>
        <w:t xml:space="preserve">requirement that ICS providers clearly label </w:t>
      </w:r>
      <w:r w:rsidR="00687115">
        <w:rPr>
          <w:sz w:val="22"/>
          <w:szCs w:val="22"/>
        </w:rPr>
        <w:t>ce</w:t>
      </w:r>
      <w:r w:rsidR="00D111C6">
        <w:rPr>
          <w:sz w:val="22"/>
          <w:szCs w:val="22"/>
        </w:rPr>
        <w:t>rtain</w:t>
      </w:r>
      <w:r w:rsidRPr="003E24F0" w:rsidR="00687115">
        <w:rPr>
          <w:sz w:val="22"/>
          <w:szCs w:val="22"/>
        </w:rPr>
        <w:t xml:space="preserve"> rate components as separate line items on consumer bills</w:t>
      </w:r>
      <w:r w:rsidR="00D111C6">
        <w:rPr>
          <w:sz w:val="22"/>
          <w:szCs w:val="22"/>
        </w:rPr>
        <w:t>.</w:t>
      </w:r>
    </w:p>
    <w:p w:rsidRPr="004460F4" w:rsidR="007E0735" w:rsidP="007E0735" w:rsidRDefault="007E0735" w14:paraId="71CBF35B" w14:textId="77777777">
      <w:pPr>
        <w:pStyle w:val="Numberedparagraphs"/>
        <w:numPr>
          <w:ilvl w:val="0"/>
          <w:numId w:val="0"/>
        </w:numPr>
        <w:tabs>
          <w:tab w:val="clear" w:pos="1440"/>
          <w:tab w:val="left" w:pos="720"/>
        </w:tabs>
        <w:rPr>
          <w:sz w:val="22"/>
          <w:szCs w:val="22"/>
        </w:rPr>
      </w:pPr>
      <w:r w:rsidRPr="004460F4">
        <w:rPr>
          <w:sz w:val="22"/>
          <w:szCs w:val="22"/>
        </w:rPr>
        <w:tab/>
        <w:t>(b)</w:t>
      </w:r>
      <w:r w:rsidRPr="004460F4">
        <w:rPr>
          <w:sz w:val="22"/>
          <w:szCs w:val="22"/>
        </w:rPr>
        <w:tab/>
      </w:r>
      <w:r w:rsidRPr="004460F4">
        <w:rPr>
          <w:sz w:val="22"/>
          <w:szCs w:val="22"/>
          <w:u w:val="single"/>
        </w:rPr>
        <w:t>Total operation and maintenance and purchase of services component:</w:t>
      </w:r>
      <w:r w:rsidRPr="004460F4">
        <w:rPr>
          <w:sz w:val="22"/>
          <w:szCs w:val="22"/>
        </w:rPr>
        <w:t xml:space="preserve">  </w:t>
      </w:r>
      <w:r w:rsidRPr="00E63ED6">
        <w:rPr>
          <w:b/>
          <w:bCs/>
          <w:sz w:val="22"/>
          <w:szCs w:val="22"/>
        </w:rPr>
        <w:t>$0</w:t>
      </w:r>
      <w:r w:rsidRPr="004460F4">
        <w:rPr>
          <w:sz w:val="22"/>
          <w:szCs w:val="22"/>
        </w:rPr>
        <w:t>.</w:t>
      </w:r>
    </w:p>
    <w:p w:rsidRPr="004460F4" w:rsidR="007E0735" w:rsidP="007E0735" w:rsidRDefault="007E0735" w14:paraId="3843DBF3" w14:textId="77777777">
      <w:pPr>
        <w:pStyle w:val="Numberedparagraphs"/>
        <w:numPr>
          <w:ilvl w:val="0"/>
          <w:numId w:val="0"/>
        </w:numPr>
        <w:tabs>
          <w:tab w:val="clear" w:pos="1440"/>
          <w:tab w:val="left" w:pos="720"/>
        </w:tabs>
        <w:rPr>
          <w:sz w:val="22"/>
          <w:szCs w:val="22"/>
        </w:rPr>
      </w:pPr>
      <w:r w:rsidRPr="004460F4">
        <w:rPr>
          <w:sz w:val="22"/>
          <w:szCs w:val="22"/>
        </w:rPr>
        <w:tab/>
        <w:t>(c)</w:t>
      </w:r>
      <w:r w:rsidRPr="004460F4">
        <w:rPr>
          <w:sz w:val="22"/>
          <w:szCs w:val="22"/>
        </w:rPr>
        <w:tab/>
      </w:r>
      <w:r w:rsidRPr="004460F4">
        <w:rPr>
          <w:sz w:val="22"/>
          <w:szCs w:val="22"/>
          <w:u w:val="single"/>
        </w:rPr>
        <w:t>Total annualized cost requested</w:t>
      </w:r>
      <w:r w:rsidRPr="004460F4">
        <w:rPr>
          <w:sz w:val="22"/>
          <w:szCs w:val="22"/>
        </w:rPr>
        <w:t xml:space="preserve">:  </w:t>
      </w:r>
      <w:r w:rsidRPr="004460F4">
        <w:rPr>
          <w:b/>
          <w:sz w:val="22"/>
          <w:szCs w:val="22"/>
        </w:rPr>
        <w:t>$0</w:t>
      </w:r>
      <w:r w:rsidRPr="004460F4">
        <w:rPr>
          <w:sz w:val="22"/>
          <w:szCs w:val="22"/>
        </w:rPr>
        <w:t>.</w:t>
      </w:r>
    </w:p>
    <w:p w:rsidRPr="004460F4" w:rsidR="007E0735" w:rsidP="007E0735" w:rsidRDefault="007E0735" w14:paraId="1E59D6B7" w14:textId="77777777">
      <w:pPr>
        <w:pStyle w:val="Numberedparagraphs"/>
        <w:numPr>
          <w:ilvl w:val="0"/>
          <w:numId w:val="0"/>
        </w:numPr>
        <w:tabs>
          <w:tab w:val="clear" w:pos="1440"/>
        </w:tabs>
        <w:ind w:firstLine="720"/>
        <w:rPr>
          <w:sz w:val="22"/>
          <w:szCs w:val="22"/>
        </w:rPr>
      </w:pPr>
      <w:r w:rsidRPr="004460F4">
        <w:rPr>
          <w:sz w:val="22"/>
          <w:szCs w:val="22"/>
        </w:rPr>
        <w:t>14.  There are unlikely to be any additional costs to the Commission because the data will be submitted by ICS providers in WC Docket No. 12-375 via the Commission’s Electronic Comment Filing System, requiring no additional Commission resources to process or publish.</w:t>
      </w:r>
    </w:p>
    <w:p w:rsidRPr="00715D7E" w:rsidR="00B7333E" w:rsidP="00B7333E" w:rsidRDefault="007E0735" w14:paraId="617C06A2" w14:textId="76225A7B">
      <w:pPr>
        <w:pStyle w:val="Numberedparagraphs"/>
        <w:numPr>
          <w:ilvl w:val="0"/>
          <w:numId w:val="0"/>
        </w:numPr>
        <w:tabs>
          <w:tab w:val="clear" w:pos="1440"/>
        </w:tabs>
        <w:ind w:firstLine="720"/>
        <w:rPr>
          <w:sz w:val="22"/>
          <w:szCs w:val="22"/>
        </w:rPr>
      </w:pPr>
      <w:r w:rsidRPr="004460F4">
        <w:rPr>
          <w:sz w:val="22"/>
          <w:szCs w:val="22"/>
        </w:rPr>
        <w:t xml:space="preserve">15.  </w:t>
      </w:r>
      <w:r w:rsidR="00845E1B">
        <w:rPr>
          <w:sz w:val="22"/>
          <w:szCs w:val="22"/>
        </w:rPr>
        <w:t>Since the last submission to OMB, t</w:t>
      </w:r>
      <w:r w:rsidRPr="00BA594A" w:rsidR="003E4D0A">
        <w:rPr>
          <w:sz w:val="22"/>
          <w:szCs w:val="22"/>
        </w:rPr>
        <w:t xml:space="preserve">he Commission </w:t>
      </w:r>
      <w:r w:rsidRPr="00715D7E" w:rsidR="003E4D0A">
        <w:rPr>
          <w:sz w:val="22"/>
          <w:szCs w:val="22"/>
        </w:rPr>
        <w:t>is reporting a program change</w:t>
      </w:r>
      <w:r w:rsidRPr="00715D7E" w:rsidR="00B7333E">
        <w:rPr>
          <w:sz w:val="22"/>
          <w:szCs w:val="22"/>
        </w:rPr>
        <w:t>/increase</w:t>
      </w:r>
      <w:r w:rsidRPr="00715D7E" w:rsidR="003E4D0A">
        <w:rPr>
          <w:sz w:val="22"/>
          <w:szCs w:val="22"/>
        </w:rPr>
        <w:t xml:space="preserve"> to this collection</w:t>
      </w:r>
      <w:r w:rsidRPr="00715D7E" w:rsidR="00B7333E">
        <w:rPr>
          <w:sz w:val="22"/>
          <w:szCs w:val="22"/>
        </w:rPr>
        <w:t xml:space="preserve"> as a result of </w:t>
      </w:r>
      <w:r w:rsidR="001D5677">
        <w:rPr>
          <w:sz w:val="22"/>
          <w:szCs w:val="22"/>
        </w:rPr>
        <w:t>revisions to</w:t>
      </w:r>
      <w:r w:rsidR="00DC00C8">
        <w:rPr>
          <w:sz w:val="22"/>
          <w:szCs w:val="22"/>
        </w:rPr>
        <w:t xml:space="preserve"> the Annual Report, Instructions, and Certifications</w:t>
      </w:r>
      <w:r w:rsidRPr="00715D7E" w:rsidR="00597805">
        <w:rPr>
          <w:sz w:val="22"/>
          <w:szCs w:val="22"/>
        </w:rPr>
        <w:t xml:space="preserve">.  </w:t>
      </w:r>
      <w:r w:rsidRPr="00D7761B" w:rsidR="00715D7E">
        <w:rPr>
          <w:sz w:val="22"/>
          <w:szCs w:val="22"/>
        </w:rPr>
        <w:t xml:space="preserve">The burden hours have increased from </w:t>
      </w:r>
      <w:r w:rsidR="00F74CC9">
        <w:rPr>
          <w:sz w:val="22"/>
          <w:szCs w:val="22"/>
        </w:rPr>
        <w:t>2,940 to 3,740</w:t>
      </w:r>
      <w:r w:rsidR="002A1695">
        <w:rPr>
          <w:sz w:val="22"/>
          <w:szCs w:val="22"/>
        </w:rPr>
        <w:t xml:space="preserve"> (+800)</w:t>
      </w:r>
      <w:r w:rsidR="00CB420E">
        <w:rPr>
          <w:sz w:val="22"/>
          <w:szCs w:val="22"/>
        </w:rPr>
        <w:t xml:space="preserve"> to reflect these changes.  The number of respondents and responses has not changed</w:t>
      </w:r>
      <w:r w:rsidR="0099587A">
        <w:rPr>
          <w:sz w:val="22"/>
          <w:szCs w:val="22"/>
        </w:rPr>
        <w:t xml:space="preserve"> since the last submission.</w:t>
      </w:r>
    </w:p>
    <w:p w:rsidRPr="00AB1E80" w:rsidR="007E0735" w:rsidP="004460F4" w:rsidRDefault="007E0735" w14:paraId="41CE502E" w14:textId="379D5124">
      <w:pPr>
        <w:pStyle w:val="Numberedparagraphs"/>
        <w:numPr>
          <w:ilvl w:val="0"/>
          <w:numId w:val="0"/>
        </w:numPr>
        <w:tabs>
          <w:tab w:val="clear" w:pos="1440"/>
        </w:tabs>
        <w:ind w:firstLine="720"/>
        <w:rPr>
          <w:sz w:val="22"/>
          <w:szCs w:val="22"/>
        </w:rPr>
      </w:pPr>
      <w:r w:rsidRPr="004460F4">
        <w:rPr>
          <w:sz w:val="22"/>
          <w:szCs w:val="22"/>
        </w:rPr>
        <w:t>16.  The Commission does not anticipate publishing any of the information collected.  Rather, the ICS provider</w:t>
      </w:r>
      <w:r w:rsidR="00AB1E80">
        <w:rPr>
          <w:sz w:val="22"/>
          <w:szCs w:val="22"/>
        </w:rPr>
        <w:t xml:space="preserve">s’ </w:t>
      </w:r>
      <w:r w:rsidR="0055474E">
        <w:rPr>
          <w:sz w:val="22"/>
          <w:szCs w:val="22"/>
        </w:rPr>
        <w:t>A</w:t>
      </w:r>
      <w:r w:rsidR="00AB1E80">
        <w:rPr>
          <w:sz w:val="22"/>
          <w:szCs w:val="22"/>
        </w:rPr>
        <w:t xml:space="preserve">nnual </w:t>
      </w:r>
      <w:r w:rsidR="0055474E">
        <w:rPr>
          <w:sz w:val="22"/>
          <w:szCs w:val="22"/>
        </w:rPr>
        <w:t>R</w:t>
      </w:r>
      <w:r w:rsidR="00AB1E80">
        <w:rPr>
          <w:sz w:val="22"/>
          <w:szCs w:val="22"/>
        </w:rPr>
        <w:t>eports and</w:t>
      </w:r>
      <w:r w:rsidRPr="00AB1E80">
        <w:rPr>
          <w:sz w:val="22"/>
          <w:szCs w:val="22"/>
        </w:rPr>
        <w:t xml:space="preserve"> </w:t>
      </w:r>
      <w:r w:rsidR="0055474E">
        <w:rPr>
          <w:sz w:val="22"/>
          <w:szCs w:val="22"/>
        </w:rPr>
        <w:t>C</w:t>
      </w:r>
      <w:r w:rsidRPr="00AB1E80">
        <w:rPr>
          <w:sz w:val="22"/>
          <w:szCs w:val="22"/>
        </w:rPr>
        <w:t>ertifications will be available for public review via the Commission’s ECFS.</w:t>
      </w:r>
    </w:p>
    <w:p w:rsidRPr="004460F4" w:rsidR="007E0735" w:rsidP="004460F4" w:rsidRDefault="007E0735" w14:paraId="22E6D4FF" w14:textId="77777777">
      <w:pPr>
        <w:pStyle w:val="Numberedparagraphs"/>
        <w:numPr>
          <w:ilvl w:val="0"/>
          <w:numId w:val="0"/>
        </w:numPr>
        <w:tabs>
          <w:tab w:val="clear" w:pos="1440"/>
        </w:tabs>
        <w:ind w:firstLine="720"/>
        <w:rPr>
          <w:sz w:val="22"/>
          <w:szCs w:val="22"/>
        </w:rPr>
      </w:pPr>
      <w:r w:rsidRPr="004460F4">
        <w:rPr>
          <w:sz w:val="22"/>
          <w:szCs w:val="22"/>
        </w:rPr>
        <w:t>17.  The Commission is not seeking approval not to display an OMB expiration date.</w:t>
      </w:r>
    </w:p>
    <w:p w:rsidR="004F73C4" w:rsidP="00354239" w:rsidRDefault="007E0735" w14:paraId="751E8D26" w14:textId="34B45136">
      <w:pPr>
        <w:pStyle w:val="Numberedparagraphs"/>
        <w:numPr>
          <w:ilvl w:val="0"/>
          <w:numId w:val="0"/>
        </w:numPr>
        <w:tabs>
          <w:tab w:val="clear" w:pos="1440"/>
        </w:tabs>
        <w:ind w:firstLine="720"/>
        <w:rPr>
          <w:sz w:val="22"/>
          <w:szCs w:val="22"/>
        </w:rPr>
      </w:pPr>
      <w:r w:rsidRPr="004460F4">
        <w:rPr>
          <w:sz w:val="22"/>
          <w:szCs w:val="22"/>
        </w:rPr>
        <w:t xml:space="preserve">18.  </w:t>
      </w:r>
      <w:r w:rsidR="00F93EE1">
        <w:rPr>
          <w:sz w:val="22"/>
          <w:szCs w:val="22"/>
        </w:rPr>
        <w:t>When t</w:t>
      </w:r>
      <w:r w:rsidR="00845E1B">
        <w:rPr>
          <w:sz w:val="22"/>
          <w:szCs w:val="22"/>
        </w:rPr>
        <w:t>he</w:t>
      </w:r>
      <w:r w:rsidR="00F93EE1">
        <w:rPr>
          <w:sz w:val="22"/>
          <w:szCs w:val="22"/>
        </w:rPr>
        <w:t xml:space="preserve"> 60/30</w:t>
      </w:r>
      <w:r w:rsidR="00C9452F">
        <w:rPr>
          <w:sz w:val="22"/>
          <w:szCs w:val="22"/>
        </w:rPr>
        <w:t>-</w:t>
      </w:r>
      <w:r w:rsidR="00F93EE1">
        <w:rPr>
          <w:sz w:val="22"/>
          <w:szCs w:val="22"/>
        </w:rPr>
        <w:t xml:space="preserve">Day notices were published in the Federal Register on </w:t>
      </w:r>
      <w:r w:rsidR="004F73C4">
        <w:rPr>
          <w:sz w:val="22"/>
          <w:szCs w:val="22"/>
        </w:rPr>
        <w:t xml:space="preserve">January 14, 2022 and July 22, 2022, respectively (87 FR </w:t>
      </w:r>
      <w:r w:rsidR="00EC2D85">
        <w:rPr>
          <w:sz w:val="22"/>
          <w:szCs w:val="22"/>
        </w:rPr>
        <w:t>2432</w:t>
      </w:r>
      <w:r w:rsidR="004F73C4">
        <w:rPr>
          <w:sz w:val="22"/>
          <w:szCs w:val="22"/>
        </w:rPr>
        <w:t xml:space="preserve"> and 87 FR</w:t>
      </w:r>
      <w:r w:rsidR="00C9452F">
        <w:rPr>
          <w:sz w:val="22"/>
          <w:szCs w:val="22"/>
        </w:rPr>
        <w:t xml:space="preserve"> 43849</w:t>
      </w:r>
      <w:r w:rsidR="00EC2D85">
        <w:rPr>
          <w:sz w:val="22"/>
          <w:szCs w:val="22"/>
        </w:rPr>
        <w:t>),</w:t>
      </w:r>
      <w:r w:rsidR="004F73C4">
        <w:rPr>
          <w:sz w:val="22"/>
          <w:szCs w:val="22"/>
        </w:rPr>
        <w:t xml:space="preserve"> the Commission inadvertently omitted the rulemaking</w:t>
      </w:r>
      <w:r w:rsidR="00A964E1">
        <w:rPr>
          <w:sz w:val="22"/>
          <w:szCs w:val="22"/>
        </w:rPr>
        <w:t xml:space="preserve"> number</w:t>
      </w:r>
      <w:r w:rsidR="004F73C4">
        <w:rPr>
          <w:sz w:val="22"/>
          <w:szCs w:val="22"/>
        </w:rPr>
        <w:t xml:space="preserve"> in the title of this information collection. This update </w:t>
      </w:r>
      <w:r w:rsidR="00EC2D85">
        <w:rPr>
          <w:sz w:val="22"/>
          <w:szCs w:val="22"/>
        </w:rPr>
        <w:t xml:space="preserve">in the title is </w:t>
      </w:r>
      <w:r w:rsidR="00A964E1">
        <w:rPr>
          <w:sz w:val="22"/>
          <w:szCs w:val="22"/>
        </w:rPr>
        <w:t xml:space="preserve">now </w:t>
      </w:r>
      <w:r w:rsidR="00EC2D85">
        <w:rPr>
          <w:sz w:val="22"/>
          <w:szCs w:val="22"/>
        </w:rPr>
        <w:t xml:space="preserve">reflected </w:t>
      </w:r>
      <w:r w:rsidR="004F73C4">
        <w:rPr>
          <w:sz w:val="22"/>
          <w:szCs w:val="22"/>
        </w:rPr>
        <w:t>in this submission to OMB.</w:t>
      </w:r>
    </w:p>
    <w:p w:rsidRPr="00AB1E80" w:rsidR="00BA7DEE" w:rsidP="00354239" w:rsidRDefault="004F73C4" w14:paraId="0C85FDC7" w14:textId="5B0E45C9">
      <w:pPr>
        <w:pStyle w:val="Numberedparagraphs"/>
        <w:numPr>
          <w:ilvl w:val="0"/>
          <w:numId w:val="0"/>
        </w:numPr>
        <w:tabs>
          <w:tab w:val="clear" w:pos="1440"/>
        </w:tabs>
        <w:ind w:firstLine="720"/>
        <w:rPr>
          <w:sz w:val="22"/>
          <w:szCs w:val="22"/>
        </w:rPr>
      </w:pPr>
      <w:r>
        <w:rPr>
          <w:sz w:val="22"/>
          <w:szCs w:val="22"/>
        </w:rPr>
        <w:t>The</w:t>
      </w:r>
      <w:r w:rsidR="00845E1B">
        <w:rPr>
          <w:sz w:val="22"/>
          <w:szCs w:val="22"/>
        </w:rPr>
        <w:t xml:space="preserve">re are no </w:t>
      </w:r>
      <w:r>
        <w:rPr>
          <w:sz w:val="22"/>
          <w:szCs w:val="22"/>
        </w:rPr>
        <w:t xml:space="preserve">other </w:t>
      </w:r>
      <w:r w:rsidR="00845E1B">
        <w:rPr>
          <w:sz w:val="22"/>
          <w:szCs w:val="22"/>
        </w:rPr>
        <w:t xml:space="preserve">exceptions to the </w:t>
      </w:r>
      <w:r w:rsidR="006518C0">
        <w:rPr>
          <w:sz w:val="22"/>
          <w:szCs w:val="22"/>
        </w:rPr>
        <w:t xml:space="preserve">Certification Statement. </w:t>
      </w:r>
    </w:p>
    <w:p w:rsidRPr="004460F4" w:rsidR="007E0735" w:rsidP="007E0735" w:rsidRDefault="007E0735" w14:paraId="0B65652E" w14:textId="77777777">
      <w:pPr>
        <w:rPr>
          <w:b/>
          <w:sz w:val="22"/>
          <w:szCs w:val="22"/>
        </w:rPr>
      </w:pPr>
      <w:r w:rsidRPr="004460F4">
        <w:rPr>
          <w:b/>
          <w:sz w:val="22"/>
          <w:szCs w:val="22"/>
        </w:rPr>
        <w:t xml:space="preserve">B.  </w:t>
      </w:r>
      <w:r w:rsidRPr="004460F4">
        <w:rPr>
          <w:b/>
          <w:sz w:val="22"/>
          <w:szCs w:val="22"/>
        </w:rPr>
        <w:tab/>
      </w:r>
      <w:r w:rsidRPr="004460F4">
        <w:rPr>
          <w:b/>
          <w:sz w:val="22"/>
          <w:szCs w:val="22"/>
          <w:u w:val="single"/>
        </w:rPr>
        <w:t>Collections of Information Employing Statistical Methods:</w:t>
      </w:r>
    </w:p>
    <w:p w:rsidRPr="004460F4" w:rsidR="007E0735" w:rsidP="007E0735" w:rsidRDefault="007E0735" w14:paraId="4BE75DCB" w14:textId="77777777">
      <w:pPr>
        <w:rPr>
          <w:sz w:val="22"/>
          <w:szCs w:val="22"/>
        </w:rPr>
      </w:pPr>
    </w:p>
    <w:p w:rsidRPr="004460F4" w:rsidR="007E0735" w:rsidP="00B136F6" w:rsidRDefault="00DC538F" w14:paraId="0606048C" w14:textId="474C3A54">
      <w:pPr>
        <w:pStyle w:val="Numberedparagraphs"/>
        <w:numPr>
          <w:ilvl w:val="0"/>
          <w:numId w:val="0"/>
        </w:numPr>
        <w:tabs>
          <w:tab w:val="clear" w:pos="1440"/>
        </w:tabs>
        <w:ind w:firstLine="720"/>
        <w:rPr>
          <w:sz w:val="22"/>
          <w:szCs w:val="22"/>
        </w:rPr>
      </w:pPr>
      <w:r>
        <w:rPr>
          <w:sz w:val="22"/>
          <w:szCs w:val="22"/>
        </w:rPr>
        <w:t xml:space="preserve">19.  </w:t>
      </w:r>
      <w:r w:rsidRPr="004460F4" w:rsidR="007E0735">
        <w:rPr>
          <w:sz w:val="22"/>
          <w:szCs w:val="22"/>
        </w:rPr>
        <w:t>The Commission does not anticipate that the proposed collection of information will employ statistical methods.</w:t>
      </w:r>
    </w:p>
    <w:sectPr w:rsidRPr="004460F4" w:rsidR="007E0735" w:rsidSect="00306CA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3F3B" w14:textId="77777777" w:rsidR="00C27D18" w:rsidRDefault="00C27D18" w:rsidP="00C72C3F">
      <w:r>
        <w:separator/>
      </w:r>
    </w:p>
  </w:endnote>
  <w:endnote w:type="continuationSeparator" w:id="0">
    <w:p w14:paraId="5800EEC7" w14:textId="77777777" w:rsidR="00C27D18" w:rsidRDefault="00C27D18" w:rsidP="00C72C3F">
      <w:r>
        <w:continuationSeparator/>
      </w:r>
    </w:p>
  </w:endnote>
  <w:endnote w:type="continuationNotice" w:id="1">
    <w:p w14:paraId="2968C594" w14:textId="77777777" w:rsidR="00C27D18" w:rsidRDefault="00C27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2D40" w14:textId="77777777" w:rsidR="00646C17" w:rsidRDefault="00646C17" w:rsidP="00432BA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FADBEC" w14:textId="77777777" w:rsidR="00646C17" w:rsidRDefault="00646C17" w:rsidP="001F76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5363962"/>
      <w:docPartObj>
        <w:docPartGallery w:val="Page Numbers (Bottom of Page)"/>
        <w:docPartUnique/>
      </w:docPartObj>
    </w:sdtPr>
    <w:sdtEndPr>
      <w:rPr>
        <w:rStyle w:val="PageNumber"/>
      </w:rPr>
    </w:sdtEndPr>
    <w:sdtContent>
      <w:p w14:paraId="068FA5EA" w14:textId="77777777" w:rsidR="00646C17" w:rsidRDefault="00646C17" w:rsidP="00432B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FDCB662" w14:textId="77777777" w:rsidR="00646C17" w:rsidRPr="00CA240C" w:rsidRDefault="00646C17" w:rsidP="001F7620">
    <w:pPr>
      <w:pStyle w:val="Footer"/>
      <w:ind w:right="360"/>
      <w:jc w:val="center"/>
      <w:rPr>
        <w:sz w:val="22"/>
        <w:szCs w:val="22"/>
      </w:rPr>
    </w:pPr>
  </w:p>
  <w:p w14:paraId="614DA62A" w14:textId="77777777" w:rsidR="00646C17" w:rsidRPr="00CA240C" w:rsidRDefault="00646C17">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0936" w14:textId="77777777" w:rsidR="00C27D18" w:rsidRDefault="00C27D18" w:rsidP="00C72C3F">
      <w:r>
        <w:separator/>
      </w:r>
    </w:p>
  </w:footnote>
  <w:footnote w:type="continuationSeparator" w:id="0">
    <w:p w14:paraId="54CA61EE" w14:textId="77777777" w:rsidR="00C27D18" w:rsidRDefault="00C27D18" w:rsidP="00C72C3F">
      <w:r>
        <w:continuationSeparator/>
      </w:r>
    </w:p>
  </w:footnote>
  <w:footnote w:type="continuationNotice" w:id="1">
    <w:p w14:paraId="0DC496C4" w14:textId="77777777" w:rsidR="00C27D18" w:rsidRDefault="00C27D18"/>
  </w:footnote>
  <w:footnote w:id="2">
    <w:p w14:paraId="6B50003F" w14:textId="0C9CF3C3" w:rsidR="004C0565" w:rsidRPr="00605A4F" w:rsidRDefault="00646C17" w:rsidP="00D7761B">
      <w:pPr>
        <w:autoSpaceDE w:val="0"/>
        <w:autoSpaceDN w:val="0"/>
        <w:adjustRightInd w:val="0"/>
        <w:spacing w:after="120"/>
        <w:rPr>
          <w:sz w:val="20"/>
        </w:rPr>
      </w:pPr>
      <w:r w:rsidRPr="004B1A9A">
        <w:rPr>
          <w:rStyle w:val="FootnoteReference"/>
          <w:sz w:val="20"/>
        </w:rPr>
        <w:footnoteRef/>
      </w:r>
      <w:r w:rsidRPr="004B1A9A">
        <w:rPr>
          <w:i/>
          <w:sz w:val="20"/>
        </w:rPr>
        <w:t xml:space="preserve"> Rates for Interstate Inmate Calling Services</w:t>
      </w:r>
      <w:r w:rsidRPr="004B1A9A">
        <w:rPr>
          <w:sz w:val="20"/>
        </w:rPr>
        <w:t xml:space="preserve">, WC Docket No. 12-375, Second Report and Order and Third Further Notice of Proposed Rulemaking, 30 FCC Rcd 12763 (2015) </w:t>
      </w:r>
      <w:r w:rsidRPr="00260DE4">
        <w:rPr>
          <w:sz w:val="20"/>
        </w:rPr>
        <w:t>(</w:t>
      </w:r>
      <w:r w:rsidRPr="00260DE4">
        <w:rPr>
          <w:i/>
          <w:sz w:val="20"/>
        </w:rPr>
        <w:t>2015 ICS Order</w:t>
      </w:r>
      <w:r w:rsidRPr="00260DE4">
        <w:rPr>
          <w:sz w:val="20"/>
        </w:rPr>
        <w:t>).</w:t>
      </w:r>
    </w:p>
  </w:footnote>
  <w:footnote w:id="3">
    <w:p w14:paraId="6A132CD6" w14:textId="7C403749" w:rsidR="004C0565" w:rsidRPr="00605A4F" w:rsidRDefault="00646C17" w:rsidP="00D7761B">
      <w:pPr>
        <w:autoSpaceDE w:val="0"/>
        <w:autoSpaceDN w:val="0"/>
        <w:adjustRightInd w:val="0"/>
        <w:spacing w:after="120"/>
        <w:rPr>
          <w:sz w:val="20"/>
        </w:rPr>
      </w:pPr>
      <w:r w:rsidRPr="004B1A9A">
        <w:rPr>
          <w:rStyle w:val="FootnoteReference"/>
          <w:sz w:val="20"/>
        </w:rPr>
        <w:footnoteRef/>
      </w:r>
      <w:r w:rsidRPr="004B1A9A">
        <w:rPr>
          <w:sz w:val="20"/>
        </w:rPr>
        <w:t xml:space="preserve"> </w:t>
      </w:r>
      <w:r w:rsidR="00D82691" w:rsidRPr="004B1A9A">
        <w:rPr>
          <w:i/>
          <w:sz w:val="20"/>
        </w:rPr>
        <w:t>2015 ICS Order</w:t>
      </w:r>
      <w:r w:rsidR="00D82691" w:rsidRPr="004B1A9A">
        <w:rPr>
          <w:sz w:val="20"/>
        </w:rPr>
        <w:t>, 30 FCC Rcd 12763, 12892, paras. 9, 267-6</w:t>
      </w:r>
      <w:r w:rsidR="00D82691" w:rsidRPr="00336959">
        <w:rPr>
          <w:sz w:val="20"/>
        </w:rPr>
        <w:t>8</w:t>
      </w:r>
      <w:r w:rsidR="00D82691" w:rsidRPr="000959C2">
        <w:rPr>
          <w:rFonts w:eastAsiaTheme="minorHAnsi"/>
          <w:color w:val="231F20"/>
          <w:sz w:val="20"/>
        </w:rPr>
        <w:t>;</w:t>
      </w:r>
      <w:r w:rsidR="00D82691" w:rsidRPr="004B1A9A">
        <w:rPr>
          <w:rFonts w:eastAsiaTheme="minorHAnsi"/>
          <w:i/>
          <w:color w:val="231F20"/>
          <w:sz w:val="20"/>
        </w:rPr>
        <w:t xml:space="preserve"> see also </w:t>
      </w:r>
      <w:r w:rsidR="00D82691" w:rsidRPr="004B1A9A">
        <w:rPr>
          <w:sz w:val="20"/>
        </w:rPr>
        <w:t xml:space="preserve">47 CFR § 64.6060(a).  </w:t>
      </w:r>
    </w:p>
  </w:footnote>
  <w:footnote w:id="4">
    <w:p w14:paraId="75BC3DB3" w14:textId="4695D53E" w:rsidR="004C0565" w:rsidRPr="00605A4F" w:rsidRDefault="004C0565" w:rsidP="00D7761B">
      <w:pPr>
        <w:pStyle w:val="FootnoteText"/>
        <w:spacing w:after="120"/>
      </w:pPr>
      <w:r w:rsidRPr="004B1A9A">
        <w:rPr>
          <w:rStyle w:val="FootnoteReference"/>
        </w:rPr>
        <w:footnoteRef/>
      </w:r>
      <w:r w:rsidRPr="004B1A9A">
        <w:t xml:space="preserve"> </w:t>
      </w:r>
      <w:r w:rsidRPr="004B1A9A">
        <w:rPr>
          <w:i/>
        </w:rPr>
        <w:t>2015 ICS Order</w:t>
      </w:r>
      <w:r w:rsidRPr="004B1A9A">
        <w:t>, 30 FCC Rcd at 12891, para. 267.</w:t>
      </w:r>
    </w:p>
  </w:footnote>
  <w:footnote w:id="5">
    <w:p w14:paraId="1534E7F6" w14:textId="049668A5" w:rsidR="00BA010A" w:rsidRPr="00605A4F" w:rsidRDefault="00BA010A" w:rsidP="00D7761B">
      <w:pPr>
        <w:pStyle w:val="FootnoteText"/>
        <w:spacing w:after="120"/>
      </w:pPr>
      <w:r w:rsidRPr="004B1A9A">
        <w:rPr>
          <w:rStyle w:val="FootnoteReference"/>
        </w:rPr>
        <w:footnoteRef/>
      </w:r>
      <w:r w:rsidRPr="004B1A9A">
        <w:t xml:space="preserve"> </w:t>
      </w:r>
      <w:r w:rsidRPr="004B1A9A">
        <w:rPr>
          <w:i/>
        </w:rPr>
        <w:t>See generally</w:t>
      </w:r>
      <w:r w:rsidRPr="004B1A9A">
        <w:t xml:space="preserve"> ICS Annual Reporting Form (2017-2019),</w:t>
      </w:r>
      <w:r w:rsidRPr="004B1A9A">
        <w:rPr>
          <w:i/>
          <w:iCs/>
        </w:rPr>
        <w:t xml:space="preserve"> </w:t>
      </w:r>
      <w:hyperlink r:id="rId1" w:history="1">
        <w:r w:rsidR="001438B8" w:rsidRPr="001438B8">
          <w:rPr>
            <w:rStyle w:val="Hyperlink"/>
          </w:rPr>
          <w:t>https://www.fcc.gov/general/ics-data-collections</w:t>
        </w:r>
      </w:hyperlink>
      <w:r w:rsidRPr="004B1A9A">
        <w:t>; ICS</w:t>
      </w:r>
      <w:bookmarkStart w:id="2" w:name="_Hlk85806426"/>
      <w:r w:rsidRPr="004B1A9A">
        <w:t xml:space="preserve"> Annual Reporting Certification Form</w:t>
      </w:r>
      <w:bookmarkEnd w:id="2"/>
      <w:r w:rsidRPr="004B1A9A">
        <w:t xml:space="preserve"> (2017-2019), </w:t>
      </w:r>
      <w:hyperlink r:id="rId2" w:history="1">
        <w:r w:rsidRPr="004B1A9A">
          <w:rPr>
            <w:rStyle w:val="Hyperlink"/>
          </w:rPr>
          <w:t>https://www.fcc.gov/general/ics-data-collections</w:t>
        </w:r>
      </w:hyperlink>
      <w:r w:rsidRPr="004B1A9A">
        <w:t xml:space="preserve">.  </w:t>
      </w:r>
    </w:p>
  </w:footnote>
  <w:footnote w:id="6">
    <w:p w14:paraId="31ACA2FE" w14:textId="44C5A465" w:rsidR="00260DE4" w:rsidRPr="00E159A8" w:rsidRDefault="00260DE4" w:rsidP="00260DE4">
      <w:pPr>
        <w:pStyle w:val="FootnoteText"/>
        <w:spacing w:after="120"/>
      </w:pPr>
      <w:r w:rsidRPr="004B1A9A">
        <w:rPr>
          <w:rStyle w:val="FootnoteReference"/>
        </w:rPr>
        <w:footnoteRef/>
      </w:r>
      <w:r w:rsidRPr="004B1A9A">
        <w:t xml:space="preserve"> ICS Annual Reporting Form Instructions (2017-2019), </w:t>
      </w:r>
      <w:hyperlink r:id="rId3" w:history="1">
        <w:r w:rsidRPr="004B1A9A">
          <w:rPr>
            <w:rStyle w:val="Hyperlink"/>
          </w:rPr>
          <w:t>https://www.fcc.gov/general/ics-data-collections</w:t>
        </w:r>
      </w:hyperlink>
      <w:r w:rsidRPr="004B1A9A">
        <w:t>.</w:t>
      </w:r>
    </w:p>
  </w:footnote>
  <w:footnote w:id="7">
    <w:p w14:paraId="4D9D9513" w14:textId="77777777" w:rsidR="00260DE4" w:rsidRDefault="00260DE4" w:rsidP="00260DE4">
      <w:pPr>
        <w:pStyle w:val="FootnoteText"/>
      </w:pPr>
      <w:r>
        <w:rPr>
          <w:rStyle w:val="FootnoteReference"/>
        </w:rPr>
        <w:footnoteRef/>
      </w:r>
      <w:r>
        <w:t xml:space="preserve"> </w:t>
      </w:r>
      <w:r w:rsidRPr="00B05097">
        <w:rPr>
          <w:i/>
        </w:rPr>
        <w:t>2015 ICS Order</w:t>
      </w:r>
      <w:r w:rsidRPr="001F7E3E">
        <w:t>, 30 FCC Rcd at 12891, para. 267</w:t>
      </w:r>
      <w:r>
        <w:t>.</w:t>
      </w:r>
    </w:p>
  </w:footnote>
  <w:footnote w:id="8">
    <w:p w14:paraId="59A1E7A7" w14:textId="795070E3" w:rsidR="00260DE4" w:rsidRDefault="00260DE4" w:rsidP="00260DE4">
      <w:pPr>
        <w:pStyle w:val="FootnoteText"/>
      </w:pPr>
      <w:r w:rsidRPr="00B05097">
        <w:rPr>
          <w:rStyle w:val="FootnoteReference"/>
        </w:rPr>
        <w:footnoteRef/>
      </w:r>
      <w:r w:rsidRPr="00B05097">
        <w:t xml:space="preserve"> 47 CFR </w:t>
      </w:r>
      <w:r>
        <w:t>§ </w:t>
      </w:r>
      <w:r w:rsidRPr="00B05097">
        <w:t>64.6110</w:t>
      </w:r>
      <w:r w:rsidR="009F23A4">
        <w:t>.</w:t>
      </w:r>
    </w:p>
    <w:p w14:paraId="6E0B3176" w14:textId="77777777" w:rsidR="00D25625" w:rsidRPr="00B05097" w:rsidRDefault="00D25625" w:rsidP="00260DE4">
      <w:pPr>
        <w:pStyle w:val="FootnoteText"/>
      </w:pPr>
    </w:p>
  </w:footnote>
  <w:footnote w:id="9">
    <w:p w14:paraId="7593C436" w14:textId="3217FECD" w:rsidR="00B60FC9" w:rsidRPr="00605A4F" w:rsidRDefault="00B60FC9" w:rsidP="00D7761B">
      <w:pPr>
        <w:pStyle w:val="FootnoteText"/>
        <w:spacing w:after="120"/>
      </w:pPr>
      <w:r w:rsidRPr="004B1A9A">
        <w:rPr>
          <w:rStyle w:val="FootnoteReference"/>
        </w:rPr>
        <w:footnoteRef/>
      </w:r>
      <w:r w:rsidRPr="004B1A9A">
        <w:t xml:space="preserve"> </w:t>
      </w:r>
      <w:bookmarkStart w:id="4" w:name="_Hlk102568460"/>
      <w:r w:rsidRPr="00260DE4">
        <w:rPr>
          <w:i/>
        </w:rPr>
        <w:t>See</w:t>
      </w:r>
      <w:r w:rsidRPr="00260DE4">
        <w:t xml:space="preserve"> OMB Control Number 3060-1222, December 2019 (approved by OMB on Jan. 1, 2020)</w:t>
      </w:r>
      <w:bookmarkEnd w:id="4"/>
      <w:r w:rsidRPr="00260DE4">
        <w:t xml:space="preserve">.  </w:t>
      </w:r>
      <w:r w:rsidRPr="00260DE4">
        <w:rPr>
          <w:i/>
          <w:iCs/>
        </w:rPr>
        <w:t>See Wireline Competition Bureau Announces OMB Renewal of Information Collection Concerning Inmate Calling Services</w:t>
      </w:r>
      <w:r w:rsidRPr="00260DE4">
        <w:t>, WC Docket No. 12-375, Public Notice, 35 FCC Rcd 1456 (WCB 2020).</w:t>
      </w:r>
    </w:p>
  </w:footnote>
  <w:footnote w:id="10">
    <w:p w14:paraId="306F4565" w14:textId="411F148D" w:rsidR="0079163B" w:rsidRPr="00605A4F" w:rsidRDefault="00646C17" w:rsidP="00D7761B">
      <w:pPr>
        <w:pStyle w:val="FootnoteText"/>
        <w:spacing w:after="120"/>
        <w:rPr>
          <w:iCs/>
        </w:rPr>
      </w:pPr>
      <w:r w:rsidRPr="004B1A9A">
        <w:rPr>
          <w:rStyle w:val="FootnoteReference"/>
        </w:rPr>
        <w:footnoteRef/>
      </w:r>
      <w:r w:rsidRPr="004B1A9A">
        <w:t xml:space="preserve"> </w:t>
      </w:r>
      <w:r w:rsidRPr="00260DE4">
        <w:rPr>
          <w:i/>
        </w:rPr>
        <w:t>Rates for Interstate Inmate Calling Services</w:t>
      </w:r>
      <w:r w:rsidRPr="00260DE4">
        <w:t xml:space="preserve">, WC Docket No. 12-375, Third Report and Order, Order on Reconsideration, and Fifth Further Notice of Proposed Rulemaking, </w:t>
      </w:r>
      <w:r w:rsidR="008E688F">
        <w:t xml:space="preserve">36 FCC Rcd 9519 </w:t>
      </w:r>
      <w:r w:rsidRPr="00260DE4">
        <w:t>(2021) (</w:t>
      </w:r>
      <w:r w:rsidRPr="00260DE4">
        <w:rPr>
          <w:i/>
        </w:rPr>
        <w:t>2021 ICS Order</w:t>
      </w:r>
      <w:r w:rsidRPr="00260DE4">
        <w:rPr>
          <w:iCs/>
        </w:rPr>
        <w:t>).</w:t>
      </w:r>
      <w:bookmarkStart w:id="5" w:name="_Hlk79443258"/>
      <w:r w:rsidR="00053CCB" w:rsidRPr="00260DE4">
        <w:rPr>
          <w:iCs/>
        </w:rPr>
        <w:t xml:space="preserve">  </w:t>
      </w:r>
    </w:p>
    <w:bookmarkEnd w:id="5"/>
  </w:footnote>
  <w:footnote w:id="11">
    <w:p w14:paraId="6FBCF835" w14:textId="46F41C67" w:rsidR="00D25625" w:rsidRDefault="00D25625">
      <w:pPr>
        <w:pStyle w:val="FootnoteText"/>
      </w:pPr>
      <w:r>
        <w:rPr>
          <w:rStyle w:val="FootnoteReference"/>
        </w:rPr>
        <w:footnoteRef/>
      </w:r>
      <w:r>
        <w:t xml:space="preserve"> </w:t>
      </w:r>
      <w:r w:rsidRPr="00D25625">
        <w:rPr>
          <w:i/>
          <w:iCs/>
        </w:rPr>
        <w:t>See</w:t>
      </w:r>
      <w:r w:rsidR="00293421">
        <w:rPr>
          <w:i/>
          <w:iCs/>
        </w:rPr>
        <w:t xml:space="preserve"> 2021 ICS Order, passim.</w:t>
      </w:r>
      <w:r w:rsidR="00850A67">
        <w:rPr>
          <w:i/>
          <w:iCs/>
        </w:rPr>
        <w:t xml:space="preserve"> </w:t>
      </w:r>
      <w:r>
        <w:t xml:space="preserve"> </w:t>
      </w:r>
      <w:r w:rsidR="004B3DF9" w:rsidRPr="004B3DF9">
        <w:t>The re</w:t>
      </w:r>
      <w:r w:rsidR="004B3DF9">
        <w:t>visions</w:t>
      </w:r>
      <w:r w:rsidR="004B3DF9" w:rsidRPr="004B3DF9">
        <w:t xml:space="preserve"> also included expanded consumer disclosure requirements</w:t>
      </w:r>
      <w:r w:rsidR="00D63B7F">
        <w:t xml:space="preserve">.  </w:t>
      </w:r>
      <w:r w:rsidR="004B3DF9" w:rsidRPr="004B3DF9">
        <w:t>In particular, the Commission required ICS providers to clearly label all charges for international calls as separate line items on consumer bills, and specified that the bills must identify the amount charged to the consumer for the international call, including the amounts paid by the provider to its underlying international providers to terminate the international call to the international destination of the call</w:t>
      </w:r>
      <w:r w:rsidR="00DC2C1D">
        <w:t>.</w:t>
      </w:r>
      <w:r w:rsidR="00162D0B">
        <w:t xml:space="preserve"> </w:t>
      </w:r>
      <w:r w:rsidR="00D63B7F">
        <w:t xml:space="preserve">The Commission also added new requirements for </w:t>
      </w:r>
      <w:r w:rsidR="0041496C">
        <w:t xml:space="preserve">ICS providers </w:t>
      </w:r>
      <w:r w:rsidR="00377037">
        <w:t>that seek waiver of the Commission’s interstate and international caps.</w:t>
      </w:r>
      <w:r w:rsidR="00DC2C1D">
        <w:t xml:space="preserve">  </w:t>
      </w:r>
      <w:r w:rsidR="004B3DF9" w:rsidRPr="004B3DF9">
        <w:t>On January 24, 2022, OMB approved the revised consumer disclosure requirements and new waiver request reporting requirement</w:t>
      </w:r>
      <w:r w:rsidR="00C73C58">
        <w:t>s</w:t>
      </w:r>
      <w:r w:rsidR="004B3DF9" w:rsidRPr="004B3DF9">
        <w:t xml:space="preserve">. </w:t>
      </w:r>
      <w:r w:rsidR="00C73C58">
        <w:t xml:space="preserve"> </w:t>
      </w:r>
      <w:r w:rsidR="004B3DF9" w:rsidRPr="004B3DF9">
        <w:t xml:space="preserve">47 CFR §§ 64.6110(a); 64.6110(b)(1)-(4); 64.6110(c); and 64.6120.  </w:t>
      </w:r>
      <w:r w:rsidR="00415A86" w:rsidRPr="00415A86">
        <w:rPr>
          <w:i/>
          <w:iCs/>
        </w:rPr>
        <w:t>See</w:t>
      </w:r>
      <w:r w:rsidR="00415A86">
        <w:t xml:space="preserve"> </w:t>
      </w:r>
      <w:r w:rsidR="004B3DF9" w:rsidRPr="004B3DF9">
        <w:t>Federal Communications Commission, Information Collection Approved by the Office of Management and Budget, 87 FR 7955 (Feb. 11, 2022).</w:t>
      </w:r>
    </w:p>
    <w:p w14:paraId="2DABD5DD" w14:textId="77777777" w:rsidR="00D25625" w:rsidRDefault="00D25625">
      <w:pPr>
        <w:pStyle w:val="FootnoteText"/>
      </w:pPr>
    </w:p>
  </w:footnote>
  <w:footnote w:id="12">
    <w:p w14:paraId="2CA590FC" w14:textId="7D42B117" w:rsidR="00530A9F" w:rsidRDefault="00530A9F">
      <w:pPr>
        <w:pStyle w:val="FootnoteText"/>
      </w:pPr>
      <w:r>
        <w:rPr>
          <w:rStyle w:val="FootnoteReference"/>
        </w:rPr>
        <w:footnoteRef/>
      </w:r>
      <w:r w:rsidR="00FB63D2">
        <w:rPr>
          <w:i/>
          <w:iCs/>
        </w:rPr>
        <w:t xml:space="preserve"> </w:t>
      </w:r>
      <w:r w:rsidRPr="00261F1D">
        <w:rPr>
          <w:i/>
          <w:iCs/>
        </w:rPr>
        <w:t>Wireline Competition Bureau Seeks Comment on Revisions to Annual Reporting and Certification Requirements for ICS Providers</w:t>
      </w:r>
      <w:r w:rsidRPr="00530A9F">
        <w:t>, WC Docket No. 12-375. Public Notice, DA 21-1583 (WCB Dec. 15, 2021) (</w:t>
      </w:r>
      <w:r w:rsidRPr="00BA63E4">
        <w:rPr>
          <w:i/>
          <w:iCs/>
        </w:rPr>
        <w:t xml:space="preserve">December 2021 Public Notice </w:t>
      </w:r>
      <w:r w:rsidRPr="00530A9F">
        <w:t xml:space="preserve">or </w:t>
      </w:r>
      <w:r w:rsidRPr="00BA63E4">
        <w:rPr>
          <w:i/>
          <w:iCs/>
        </w:rPr>
        <w:t>Public Notice</w:t>
      </w:r>
      <w:r w:rsidRPr="00530A9F">
        <w:t>).</w:t>
      </w:r>
      <w:r>
        <w:t xml:space="preserve"> </w:t>
      </w:r>
    </w:p>
    <w:p w14:paraId="36781FEF" w14:textId="77777777" w:rsidR="00530A9F" w:rsidRDefault="00530A9F">
      <w:pPr>
        <w:pStyle w:val="FootnoteText"/>
      </w:pPr>
    </w:p>
  </w:footnote>
  <w:footnote w:id="13">
    <w:p w14:paraId="421CB5B6" w14:textId="0290B0BA" w:rsidR="00AC33C0" w:rsidRDefault="00AC33C0">
      <w:pPr>
        <w:pStyle w:val="FootnoteText"/>
      </w:pPr>
      <w:r>
        <w:rPr>
          <w:rStyle w:val="FootnoteReference"/>
        </w:rPr>
        <w:footnoteRef/>
      </w:r>
      <w:r w:rsidR="00FB63D2">
        <w:rPr>
          <w:i/>
          <w:iCs/>
        </w:rPr>
        <w:t xml:space="preserve"> </w:t>
      </w:r>
      <w:r w:rsidR="00DB32DE" w:rsidRPr="00DB32DE">
        <w:rPr>
          <w:i/>
          <w:iCs/>
        </w:rPr>
        <w:t>Rates for Interstate Inmate Calling Services</w:t>
      </w:r>
      <w:r w:rsidR="00DB32DE">
        <w:t>, WC Docket No. 12-375, Order, DA 22-676 (WCB June 24, 2022) (</w:t>
      </w:r>
      <w:r w:rsidR="00DB32DE" w:rsidRPr="00DB32DE">
        <w:rPr>
          <w:i/>
          <w:iCs/>
        </w:rPr>
        <w:t>Annual Reports Adoption Order</w:t>
      </w:r>
      <w:r w:rsidR="00DB32DE">
        <w:t>).</w:t>
      </w:r>
    </w:p>
    <w:p w14:paraId="100F895C" w14:textId="77777777" w:rsidR="007F5B9F" w:rsidRDefault="007F5B9F">
      <w:pPr>
        <w:pStyle w:val="FootnoteText"/>
      </w:pPr>
    </w:p>
  </w:footnote>
  <w:footnote w:id="14">
    <w:p w14:paraId="43466C4F" w14:textId="4B013E8F" w:rsidR="007F5B9F" w:rsidRDefault="007F5B9F">
      <w:pPr>
        <w:pStyle w:val="FootnoteText"/>
      </w:pPr>
      <w:r>
        <w:rPr>
          <w:rStyle w:val="FootnoteReference"/>
        </w:rPr>
        <w:footnoteRef/>
      </w:r>
      <w:r w:rsidR="001C38DC">
        <w:t xml:space="preserve"> </w:t>
      </w:r>
      <w:r w:rsidR="00FB63D2" w:rsidRPr="00FB63D2">
        <w:rPr>
          <w:i/>
          <w:iCs/>
        </w:rPr>
        <w:t>See Annual Reports Adoption Order</w:t>
      </w:r>
      <w:r w:rsidR="00FB63D2">
        <w:t xml:space="preserve"> at para. </w:t>
      </w:r>
      <w:r w:rsidR="004F4E11">
        <w:t>1.</w:t>
      </w:r>
    </w:p>
  </w:footnote>
  <w:footnote w:id="15">
    <w:p w14:paraId="596CD000" w14:textId="19ED5164" w:rsidR="00C73C58" w:rsidRDefault="00C73C58">
      <w:pPr>
        <w:pStyle w:val="FootnoteText"/>
      </w:pPr>
      <w:r>
        <w:rPr>
          <w:rStyle w:val="FootnoteReference"/>
        </w:rPr>
        <w:footnoteRef/>
      </w:r>
      <w:r>
        <w:t xml:space="preserve"> </w:t>
      </w:r>
      <w:r w:rsidR="00A81FA4">
        <w:rPr>
          <w:i/>
          <w:iCs/>
        </w:rPr>
        <w:t xml:space="preserve">Id. </w:t>
      </w:r>
      <w:r w:rsidR="00152796">
        <w:t>at para. 4.</w:t>
      </w:r>
    </w:p>
    <w:p w14:paraId="1F896378" w14:textId="77777777" w:rsidR="006C494F" w:rsidRDefault="006C494F">
      <w:pPr>
        <w:pStyle w:val="FootnoteText"/>
      </w:pPr>
    </w:p>
  </w:footnote>
  <w:footnote w:id="16">
    <w:p w14:paraId="3AF7EF5D" w14:textId="73944871" w:rsidR="006C494F" w:rsidRDefault="006C494F">
      <w:pPr>
        <w:pStyle w:val="FootnoteText"/>
      </w:pPr>
      <w:r>
        <w:rPr>
          <w:rStyle w:val="FootnoteReference"/>
        </w:rPr>
        <w:footnoteRef/>
      </w:r>
      <w:r>
        <w:t xml:space="preserve"> </w:t>
      </w:r>
      <w:r w:rsidR="00152796" w:rsidRPr="00152796">
        <w:rPr>
          <w:i/>
          <w:iCs/>
        </w:rPr>
        <w:t>Id</w:t>
      </w:r>
      <w:r w:rsidR="00152796">
        <w:t xml:space="preserve">. </w:t>
      </w:r>
    </w:p>
    <w:p w14:paraId="691C9A0A" w14:textId="77777777" w:rsidR="00860A21" w:rsidRDefault="00860A21">
      <w:pPr>
        <w:pStyle w:val="FootnoteText"/>
      </w:pPr>
    </w:p>
  </w:footnote>
  <w:footnote w:id="17">
    <w:p w14:paraId="3F4E1F95" w14:textId="022ED113" w:rsidR="00646C17" w:rsidRDefault="00646C17" w:rsidP="00D7761B">
      <w:pPr>
        <w:pStyle w:val="FootnoteText"/>
        <w:spacing w:after="120"/>
      </w:pPr>
      <w:r w:rsidRPr="004B1A9A">
        <w:rPr>
          <w:rStyle w:val="FootnoteReference"/>
        </w:rPr>
        <w:footnoteRef/>
      </w:r>
      <w:r w:rsidRPr="004B1A9A">
        <w:t xml:space="preserve"> </w:t>
      </w:r>
      <w:r w:rsidR="007268D5" w:rsidRPr="004B1A9A">
        <w:rPr>
          <w:i/>
          <w:iCs/>
        </w:rPr>
        <w:t>Rates for Inmate Calling Services</w:t>
      </w:r>
      <w:r w:rsidR="007268D5" w:rsidRPr="004B1A9A">
        <w:t xml:space="preserve">, WC Docket No. 12-375, </w:t>
      </w:r>
      <w:r w:rsidR="00985DF6" w:rsidRPr="00260DE4">
        <w:t xml:space="preserve">Protective </w:t>
      </w:r>
      <w:r w:rsidR="007268D5" w:rsidRPr="00260DE4">
        <w:t xml:space="preserve">Order, 28 FCC Rcd 16954 (WCB 2013); </w:t>
      </w:r>
      <w:r w:rsidR="007268D5" w:rsidRPr="00260DE4">
        <w:rPr>
          <w:i/>
          <w:iCs/>
        </w:rPr>
        <w:t>see also</w:t>
      </w:r>
      <w:r w:rsidR="007268D5" w:rsidRPr="00260DE4">
        <w:t xml:space="preserve"> </w:t>
      </w:r>
      <w:r w:rsidR="007268D5" w:rsidRPr="000819EF">
        <w:rPr>
          <w:i/>
          <w:iCs/>
        </w:rPr>
        <w:t>Rates for</w:t>
      </w:r>
      <w:r w:rsidR="007268D5" w:rsidRPr="004819DA">
        <w:rPr>
          <w:i/>
          <w:iCs/>
        </w:rPr>
        <w:t xml:space="preserve"> Interstate Inmate Calling Services</w:t>
      </w:r>
      <w:r w:rsidR="007268D5" w:rsidRPr="004819DA">
        <w:t>, WC Docket No. 12-375, 35 FCC Rcd 9267 (WCB 2020)</w:t>
      </w:r>
      <w:r w:rsidR="00985DF6" w:rsidRPr="004819DA">
        <w:t xml:space="preserve"> (</w:t>
      </w:r>
      <w:r w:rsidR="00605888" w:rsidRPr="006362B7">
        <w:t xml:space="preserve">mandating </w:t>
      </w:r>
      <w:r w:rsidR="00985DF6" w:rsidRPr="004974DF">
        <w:t>non-confidential treatment</w:t>
      </w:r>
      <w:r w:rsidR="00985DF6" w:rsidRPr="00985DF6">
        <w:t xml:space="preserve"> </w:t>
      </w:r>
      <w:r w:rsidR="00605888">
        <w:t>of</w:t>
      </w:r>
      <w:r w:rsidR="00605888" w:rsidRPr="00985DF6">
        <w:t xml:space="preserve"> </w:t>
      </w:r>
      <w:r w:rsidR="00985DF6" w:rsidRPr="00985DF6">
        <w:t xml:space="preserve">certain </w:t>
      </w:r>
      <w:r w:rsidR="00605888">
        <w:t xml:space="preserve">types of </w:t>
      </w:r>
      <w:r w:rsidR="00985DF6" w:rsidRPr="00985DF6">
        <w:t>information</w:t>
      </w:r>
      <w:r w:rsidR="00985DF6">
        <w:t>).</w:t>
      </w:r>
    </w:p>
  </w:footnote>
  <w:footnote w:id="18">
    <w:p w14:paraId="5A4D03D8" w14:textId="551D9208" w:rsidR="0043063C" w:rsidRDefault="0043063C">
      <w:pPr>
        <w:pStyle w:val="FootnoteText"/>
      </w:pPr>
      <w:r>
        <w:rPr>
          <w:rStyle w:val="FootnoteReference"/>
        </w:rPr>
        <w:footnoteRef/>
      </w:r>
      <w:r>
        <w:t xml:space="preserve"> </w:t>
      </w:r>
      <w:r w:rsidRPr="0043063C">
        <w:rPr>
          <w:i/>
          <w:iCs/>
        </w:rPr>
        <w:t>See</w:t>
      </w:r>
      <w:r>
        <w:t xml:space="preserve"> </w:t>
      </w:r>
      <w:r w:rsidRPr="00B60941">
        <w:rPr>
          <w:i/>
        </w:rPr>
        <w:t>supra</w:t>
      </w:r>
      <w:r>
        <w:t xml:space="preserve"> n.1</w:t>
      </w:r>
      <w:r w:rsidR="00A645CE">
        <w:t>0</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A66"/>
    <w:multiLevelType w:val="hybridMultilevel"/>
    <w:tmpl w:val="C0809F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6AE5"/>
    <w:multiLevelType w:val="hybridMultilevel"/>
    <w:tmpl w:val="F4B6749C"/>
    <w:lvl w:ilvl="0" w:tplc="FC6AF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E4BB5"/>
    <w:multiLevelType w:val="hybridMultilevel"/>
    <w:tmpl w:val="032AE482"/>
    <w:lvl w:ilvl="0" w:tplc="FB987B34">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36F3D69"/>
    <w:multiLevelType w:val="hybridMultilevel"/>
    <w:tmpl w:val="8B28EAEC"/>
    <w:lvl w:ilvl="0" w:tplc="454843CE">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A1553CD"/>
    <w:multiLevelType w:val="hybridMultilevel"/>
    <w:tmpl w:val="92A68A2C"/>
    <w:lvl w:ilvl="0" w:tplc="5FB87836">
      <w:start w:val="3"/>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737A6"/>
    <w:multiLevelType w:val="hybridMultilevel"/>
    <w:tmpl w:val="D1D8CB6E"/>
    <w:lvl w:ilvl="0" w:tplc="E8D025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192563"/>
    <w:multiLevelType w:val="multilevel"/>
    <w:tmpl w:val="16A40868"/>
    <w:lvl w:ilvl="0">
      <w:start w:val="1"/>
      <w:numFmt w:val="decimal"/>
      <w:pStyle w:val="Para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6332512"/>
    <w:multiLevelType w:val="hybridMultilevel"/>
    <w:tmpl w:val="999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7C59AB"/>
    <w:multiLevelType w:val="hybridMultilevel"/>
    <w:tmpl w:val="22602170"/>
    <w:lvl w:ilvl="0" w:tplc="971A24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5805D8"/>
    <w:multiLevelType w:val="hybridMultilevel"/>
    <w:tmpl w:val="712AD9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B3779D"/>
    <w:multiLevelType w:val="hybridMultilevel"/>
    <w:tmpl w:val="14823210"/>
    <w:lvl w:ilvl="0" w:tplc="B6CE8754">
      <w:start w:val="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DDB67FB"/>
    <w:multiLevelType w:val="hybridMultilevel"/>
    <w:tmpl w:val="88E89A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A00B5"/>
    <w:multiLevelType w:val="hybridMultilevel"/>
    <w:tmpl w:val="703058AC"/>
    <w:lvl w:ilvl="0" w:tplc="D70681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512FE9"/>
    <w:multiLevelType w:val="hybridMultilevel"/>
    <w:tmpl w:val="C24A125E"/>
    <w:lvl w:ilvl="0" w:tplc="E954DA9A">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D83D08"/>
    <w:multiLevelType w:val="multilevel"/>
    <w:tmpl w:val="93B4F0E6"/>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1"/>
      <w:numFmt w:val="lowerLetter"/>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5" w15:restartNumberingAfterBreak="0">
    <w:nsid w:val="48634E05"/>
    <w:multiLevelType w:val="hybridMultilevel"/>
    <w:tmpl w:val="D95E861E"/>
    <w:lvl w:ilvl="0" w:tplc="2042C53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F256FF"/>
    <w:multiLevelType w:val="hybridMultilevel"/>
    <w:tmpl w:val="951CF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B22719"/>
    <w:multiLevelType w:val="hybridMultilevel"/>
    <w:tmpl w:val="F43AF322"/>
    <w:lvl w:ilvl="0" w:tplc="EC90F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B02597"/>
    <w:multiLevelType w:val="hybridMultilevel"/>
    <w:tmpl w:val="03089C92"/>
    <w:lvl w:ilvl="0" w:tplc="554EECF4">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51557A9"/>
    <w:multiLevelType w:val="hybridMultilevel"/>
    <w:tmpl w:val="7C2868F2"/>
    <w:lvl w:ilvl="0" w:tplc="A7E81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B76128"/>
    <w:multiLevelType w:val="hybridMultilevel"/>
    <w:tmpl w:val="96F24634"/>
    <w:lvl w:ilvl="0" w:tplc="B302C7E8">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8728D"/>
    <w:multiLevelType w:val="hybridMultilevel"/>
    <w:tmpl w:val="53A2C534"/>
    <w:lvl w:ilvl="0" w:tplc="93CA35C6">
      <w:start w:val="6"/>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C608C7"/>
    <w:multiLevelType w:val="hybridMultilevel"/>
    <w:tmpl w:val="2F1CC4F4"/>
    <w:lvl w:ilvl="0" w:tplc="B3BCC2D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96DA2"/>
    <w:multiLevelType w:val="hybridMultilevel"/>
    <w:tmpl w:val="BCE63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8481B"/>
    <w:multiLevelType w:val="hybridMultilevel"/>
    <w:tmpl w:val="A1C0C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26" w15:restartNumberingAfterBreak="0">
    <w:nsid w:val="655C3CD1"/>
    <w:multiLevelType w:val="hybridMultilevel"/>
    <w:tmpl w:val="E5C8A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D2DFB"/>
    <w:multiLevelType w:val="hybridMultilevel"/>
    <w:tmpl w:val="6172D740"/>
    <w:lvl w:ilvl="0" w:tplc="E5768776">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CE2AFA"/>
    <w:multiLevelType w:val="hybridMultilevel"/>
    <w:tmpl w:val="47EEE210"/>
    <w:lvl w:ilvl="0" w:tplc="63541F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D31D58"/>
    <w:multiLevelType w:val="hybridMultilevel"/>
    <w:tmpl w:val="CA16242A"/>
    <w:lvl w:ilvl="0" w:tplc="0486D570">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1AD5540"/>
    <w:multiLevelType w:val="hybridMultilevel"/>
    <w:tmpl w:val="3996ADA0"/>
    <w:lvl w:ilvl="0" w:tplc="9C9EF3D8">
      <w:start w:val="20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F0317B"/>
    <w:multiLevelType w:val="hybridMultilevel"/>
    <w:tmpl w:val="38A68310"/>
    <w:lvl w:ilvl="0" w:tplc="E82EC0E2">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792751469">
    <w:abstractNumId w:val="14"/>
  </w:num>
  <w:num w:numId="2" w16cid:durableId="472064607">
    <w:abstractNumId w:val="6"/>
  </w:num>
  <w:num w:numId="3" w16cid:durableId="637221622">
    <w:abstractNumId w:val="21"/>
  </w:num>
  <w:num w:numId="4" w16cid:durableId="388651810">
    <w:abstractNumId w:val="12"/>
  </w:num>
  <w:num w:numId="5" w16cid:durableId="257910135">
    <w:abstractNumId w:val="5"/>
  </w:num>
  <w:num w:numId="6" w16cid:durableId="1278215515">
    <w:abstractNumId w:val="25"/>
  </w:num>
  <w:num w:numId="7" w16cid:durableId="365835327">
    <w:abstractNumId w:val="20"/>
  </w:num>
  <w:num w:numId="8" w16cid:durableId="1890408937">
    <w:abstractNumId w:val="24"/>
  </w:num>
  <w:num w:numId="9" w16cid:durableId="1641570295">
    <w:abstractNumId w:val="0"/>
  </w:num>
  <w:num w:numId="10" w16cid:durableId="1893151144">
    <w:abstractNumId w:val="22"/>
  </w:num>
  <w:num w:numId="11" w16cid:durableId="266279778">
    <w:abstractNumId w:val="23"/>
  </w:num>
  <w:num w:numId="12" w16cid:durableId="1611667743">
    <w:abstractNumId w:val="28"/>
  </w:num>
  <w:num w:numId="13" w16cid:durableId="1776091678">
    <w:abstractNumId w:val="14"/>
  </w:num>
  <w:num w:numId="14" w16cid:durableId="348332305">
    <w:abstractNumId w:val="14"/>
  </w:num>
  <w:num w:numId="15" w16cid:durableId="1544712749">
    <w:abstractNumId w:val="14"/>
  </w:num>
  <w:num w:numId="16" w16cid:durableId="89471970">
    <w:abstractNumId w:val="14"/>
  </w:num>
  <w:num w:numId="17" w16cid:durableId="1528175646">
    <w:abstractNumId w:val="14"/>
  </w:num>
  <w:num w:numId="18" w16cid:durableId="624114878">
    <w:abstractNumId w:val="14"/>
  </w:num>
  <w:num w:numId="19" w16cid:durableId="2058042171">
    <w:abstractNumId w:val="14"/>
  </w:num>
  <w:num w:numId="20" w16cid:durableId="421684392">
    <w:abstractNumId w:val="14"/>
  </w:num>
  <w:num w:numId="21" w16cid:durableId="1490823900">
    <w:abstractNumId w:val="14"/>
  </w:num>
  <w:num w:numId="22" w16cid:durableId="1318345102">
    <w:abstractNumId w:val="14"/>
  </w:num>
  <w:num w:numId="23" w16cid:durableId="1135178390">
    <w:abstractNumId w:val="14"/>
  </w:num>
  <w:num w:numId="24" w16cid:durableId="2127771097">
    <w:abstractNumId w:val="14"/>
  </w:num>
  <w:num w:numId="25" w16cid:durableId="2058502846">
    <w:abstractNumId w:val="14"/>
  </w:num>
  <w:num w:numId="26" w16cid:durableId="2065444219">
    <w:abstractNumId w:val="14"/>
  </w:num>
  <w:num w:numId="27" w16cid:durableId="115494436">
    <w:abstractNumId w:val="14"/>
  </w:num>
  <w:num w:numId="28" w16cid:durableId="1434714599">
    <w:abstractNumId w:val="30"/>
  </w:num>
  <w:num w:numId="29" w16cid:durableId="691689839">
    <w:abstractNumId w:val="19"/>
  </w:num>
  <w:num w:numId="30" w16cid:durableId="1400975570">
    <w:abstractNumId w:val="15"/>
  </w:num>
  <w:num w:numId="31" w16cid:durableId="1512794961">
    <w:abstractNumId w:val="1"/>
  </w:num>
  <w:num w:numId="32" w16cid:durableId="1204824762">
    <w:abstractNumId w:val="16"/>
  </w:num>
  <w:num w:numId="33" w16cid:durableId="1020351235">
    <w:abstractNumId w:val="10"/>
  </w:num>
  <w:num w:numId="34" w16cid:durableId="1608082923">
    <w:abstractNumId w:val="4"/>
  </w:num>
  <w:num w:numId="35" w16cid:durableId="1666400998">
    <w:abstractNumId w:val="26"/>
  </w:num>
  <w:num w:numId="36" w16cid:durableId="1595474923">
    <w:abstractNumId w:val="11"/>
  </w:num>
  <w:num w:numId="37" w16cid:durableId="1592154026">
    <w:abstractNumId w:val="7"/>
  </w:num>
  <w:num w:numId="38" w16cid:durableId="1983802738">
    <w:abstractNumId w:val="9"/>
  </w:num>
  <w:num w:numId="39" w16cid:durableId="1152798274">
    <w:abstractNumId w:val="8"/>
  </w:num>
  <w:num w:numId="40" w16cid:durableId="1574662015">
    <w:abstractNumId w:val="13"/>
  </w:num>
  <w:num w:numId="41" w16cid:durableId="440809010">
    <w:abstractNumId w:val="18"/>
  </w:num>
  <w:num w:numId="42" w16cid:durableId="448283022">
    <w:abstractNumId w:val="17"/>
  </w:num>
  <w:num w:numId="43" w16cid:durableId="188615435">
    <w:abstractNumId w:val="27"/>
  </w:num>
  <w:num w:numId="44" w16cid:durableId="1385376642">
    <w:abstractNumId w:val="2"/>
  </w:num>
  <w:num w:numId="45" w16cid:durableId="1291012871">
    <w:abstractNumId w:val="29"/>
  </w:num>
  <w:num w:numId="46" w16cid:durableId="1354725116">
    <w:abstractNumId w:val="31"/>
  </w:num>
  <w:num w:numId="47" w16cid:durableId="1665159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35"/>
    <w:rsid w:val="000023F2"/>
    <w:rsid w:val="00002461"/>
    <w:rsid w:val="00003469"/>
    <w:rsid w:val="00003C05"/>
    <w:rsid w:val="0000460F"/>
    <w:rsid w:val="00010AF4"/>
    <w:rsid w:val="0001349F"/>
    <w:rsid w:val="0001401B"/>
    <w:rsid w:val="00015695"/>
    <w:rsid w:val="00015BEB"/>
    <w:rsid w:val="0001604C"/>
    <w:rsid w:val="0001755F"/>
    <w:rsid w:val="0001772A"/>
    <w:rsid w:val="00017734"/>
    <w:rsid w:val="000203C5"/>
    <w:rsid w:val="00020514"/>
    <w:rsid w:val="0002125D"/>
    <w:rsid w:val="000219B7"/>
    <w:rsid w:val="00022705"/>
    <w:rsid w:val="00023A56"/>
    <w:rsid w:val="00023FA5"/>
    <w:rsid w:val="000244DC"/>
    <w:rsid w:val="000256E9"/>
    <w:rsid w:val="00025B0D"/>
    <w:rsid w:val="00025B60"/>
    <w:rsid w:val="00025C91"/>
    <w:rsid w:val="00026C7D"/>
    <w:rsid w:val="000270C4"/>
    <w:rsid w:val="000278B1"/>
    <w:rsid w:val="00030522"/>
    <w:rsid w:val="00030A44"/>
    <w:rsid w:val="00030AC2"/>
    <w:rsid w:val="00031A49"/>
    <w:rsid w:val="00032FBD"/>
    <w:rsid w:val="00033109"/>
    <w:rsid w:val="00033827"/>
    <w:rsid w:val="0003428C"/>
    <w:rsid w:val="00035B66"/>
    <w:rsid w:val="00035D86"/>
    <w:rsid w:val="0003674F"/>
    <w:rsid w:val="00036C3E"/>
    <w:rsid w:val="00037B6C"/>
    <w:rsid w:val="00040D88"/>
    <w:rsid w:val="00040EFD"/>
    <w:rsid w:val="000410FE"/>
    <w:rsid w:val="000433ED"/>
    <w:rsid w:val="00044FA7"/>
    <w:rsid w:val="00045055"/>
    <w:rsid w:val="0004511E"/>
    <w:rsid w:val="0004515D"/>
    <w:rsid w:val="0004610E"/>
    <w:rsid w:val="00046723"/>
    <w:rsid w:val="000476AD"/>
    <w:rsid w:val="00050097"/>
    <w:rsid w:val="0005146E"/>
    <w:rsid w:val="0005170F"/>
    <w:rsid w:val="00051E08"/>
    <w:rsid w:val="000534FD"/>
    <w:rsid w:val="000537D2"/>
    <w:rsid w:val="00053CCB"/>
    <w:rsid w:val="000558A8"/>
    <w:rsid w:val="00055E2D"/>
    <w:rsid w:val="00055E4A"/>
    <w:rsid w:val="000562CD"/>
    <w:rsid w:val="00056B3D"/>
    <w:rsid w:val="00057923"/>
    <w:rsid w:val="000600B6"/>
    <w:rsid w:val="00061546"/>
    <w:rsid w:val="00061E3D"/>
    <w:rsid w:val="00062010"/>
    <w:rsid w:val="0006218A"/>
    <w:rsid w:val="00062562"/>
    <w:rsid w:val="00062BCA"/>
    <w:rsid w:val="00063A4F"/>
    <w:rsid w:val="0006415C"/>
    <w:rsid w:val="00065AAD"/>
    <w:rsid w:val="000667DE"/>
    <w:rsid w:val="00066BD3"/>
    <w:rsid w:val="00066CCB"/>
    <w:rsid w:val="00067718"/>
    <w:rsid w:val="00070841"/>
    <w:rsid w:val="00071504"/>
    <w:rsid w:val="00071945"/>
    <w:rsid w:val="00071B2A"/>
    <w:rsid w:val="00072EA1"/>
    <w:rsid w:val="00072FE6"/>
    <w:rsid w:val="00073508"/>
    <w:rsid w:val="000740E9"/>
    <w:rsid w:val="000759E2"/>
    <w:rsid w:val="00075D2E"/>
    <w:rsid w:val="00077520"/>
    <w:rsid w:val="000816E0"/>
    <w:rsid w:val="000819EF"/>
    <w:rsid w:val="00081A45"/>
    <w:rsid w:val="00081B8D"/>
    <w:rsid w:val="000835A7"/>
    <w:rsid w:val="00083CE7"/>
    <w:rsid w:val="00084DE5"/>
    <w:rsid w:val="000858BC"/>
    <w:rsid w:val="00085CCC"/>
    <w:rsid w:val="00085F84"/>
    <w:rsid w:val="00086ADF"/>
    <w:rsid w:val="00087B72"/>
    <w:rsid w:val="00087E84"/>
    <w:rsid w:val="000902A8"/>
    <w:rsid w:val="0009154E"/>
    <w:rsid w:val="0009284F"/>
    <w:rsid w:val="00092EC3"/>
    <w:rsid w:val="00094398"/>
    <w:rsid w:val="00094A8E"/>
    <w:rsid w:val="000959C2"/>
    <w:rsid w:val="000959D4"/>
    <w:rsid w:val="00095C2D"/>
    <w:rsid w:val="00095F19"/>
    <w:rsid w:val="00096821"/>
    <w:rsid w:val="000A0ABE"/>
    <w:rsid w:val="000A0B76"/>
    <w:rsid w:val="000A3E3E"/>
    <w:rsid w:val="000A43FB"/>
    <w:rsid w:val="000A4D0C"/>
    <w:rsid w:val="000A50AC"/>
    <w:rsid w:val="000A56A3"/>
    <w:rsid w:val="000A5A22"/>
    <w:rsid w:val="000A6111"/>
    <w:rsid w:val="000A73AF"/>
    <w:rsid w:val="000A7661"/>
    <w:rsid w:val="000B0385"/>
    <w:rsid w:val="000B0F32"/>
    <w:rsid w:val="000B2D17"/>
    <w:rsid w:val="000B51F4"/>
    <w:rsid w:val="000B71A9"/>
    <w:rsid w:val="000C1C8F"/>
    <w:rsid w:val="000C1F87"/>
    <w:rsid w:val="000C2392"/>
    <w:rsid w:val="000C28F8"/>
    <w:rsid w:val="000C2921"/>
    <w:rsid w:val="000C304B"/>
    <w:rsid w:val="000C414E"/>
    <w:rsid w:val="000C5AE1"/>
    <w:rsid w:val="000C6E5D"/>
    <w:rsid w:val="000C718B"/>
    <w:rsid w:val="000C7B92"/>
    <w:rsid w:val="000C7FE5"/>
    <w:rsid w:val="000D08F4"/>
    <w:rsid w:val="000D14FC"/>
    <w:rsid w:val="000D1C0E"/>
    <w:rsid w:val="000D39D1"/>
    <w:rsid w:val="000D4BE6"/>
    <w:rsid w:val="000D55EA"/>
    <w:rsid w:val="000D675B"/>
    <w:rsid w:val="000D6E50"/>
    <w:rsid w:val="000E18BD"/>
    <w:rsid w:val="000E1E08"/>
    <w:rsid w:val="000E2777"/>
    <w:rsid w:val="000E2FCD"/>
    <w:rsid w:val="000E3070"/>
    <w:rsid w:val="000E3225"/>
    <w:rsid w:val="000E3290"/>
    <w:rsid w:val="000E36B6"/>
    <w:rsid w:val="000E5959"/>
    <w:rsid w:val="000E6484"/>
    <w:rsid w:val="000E6A49"/>
    <w:rsid w:val="000E7967"/>
    <w:rsid w:val="000F0C41"/>
    <w:rsid w:val="000F0E1C"/>
    <w:rsid w:val="000F1303"/>
    <w:rsid w:val="000F15C0"/>
    <w:rsid w:val="000F2188"/>
    <w:rsid w:val="000F26DC"/>
    <w:rsid w:val="000F2994"/>
    <w:rsid w:val="000F2F62"/>
    <w:rsid w:val="000F4EBF"/>
    <w:rsid w:val="000F6908"/>
    <w:rsid w:val="000F75DE"/>
    <w:rsid w:val="00100279"/>
    <w:rsid w:val="00100344"/>
    <w:rsid w:val="00101C6B"/>
    <w:rsid w:val="001026CB"/>
    <w:rsid w:val="00103F8D"/>
    <w:rsid w:val="0010660A"/>
    <w:rsid w:val="0010673F"/>
    <w:rsid w:val="00106CAF"/>
    <w:rsid w:val="00107296"/>
    <w:rsid w:val="0010760F"/>
    <w:rsid w:val="001076F9"/>
    <w:rsid w:val="001125FD"/>
    <w:rsid w:val="001130FC"/>
    <w:rsid w:val="00113419"/>
    <w:rsid w:val="00113C0C"/>
    <w:rsid w:val="00113DD9"/>
    <w:rsid w:val="001153CA"/>
    <w:rsid w:val="0011553F"/>
    <w:rsid w:val="00115EDD"/>
    <w:rsid w:val="00116F53"/>
    <w:rsid w:val="001203EF"/>
    <w:rsid w:val="00120860"/>
    <w:rsid w:val="001212F3"/>
    <w:rsid w:val="00121942"/>
    <w:rsid w:val="001227B4"/>
    <w:rsid w:val="001238E0"/>
    <w:rsid w:val="00125B7E"/>
    <w:rsid w:val="001263DB"/>
    <w:rsid w:val="00126861"/>
    <w:rsid w:val="00126AB9"/>
    <w:rsid w:val="00126F3E"/>
    <w:rsid w:val="00130322"/>
    <w:rsid w:val="00130CEA"/>
    <w:rsid w:val="00131FA8"/>
    <w:rsid w:val="001327A8"/>
    <w:rsid w:val="00132DD6"/>
    <w:rsid w:val="0013430A"/>
    <w:rsid w:val="00135102"/>
    <w:rsid w:val="00135A53"/>
    <w:rsid w:val="00135C2F"/>
    <w:rsid w:val="001362E7"/>
    <w:rsid w:val="00137377"/>
    <w:rsid w:val="00137F8C"/>
    <w:rsid w:val="0014049D"/>
    <w:rsid w:val="00140DD4"/>
    <w:rsid w:val="00141125"/>
    <w:rsid w:val="001414A9"/>
    <w:rsid w:val="0014369E"/>
    <w:rsid w:val="001436C9"/>
    <w:rsid w:val="001438B8"/>
    <w:rsid w:val="001450A4"/>
    <w:rsid w:val="001451E0"/>
    <w:rsid w:val="0014586D"/>
    <w:rsid w:val="001458D5"/>
    <w:rsid w:val="00145999"/>
    <w:rsid w:val="00145F7B"/>
    <w:rsid w:val="0014606F"/>
    <w:rsid w:val="0014675A"/>
    <w:rsid w:val="001467D9"/>
    <w:rsid w:val="00146B94"/>
    <w:rsid w:val="00146BD4"/>
    <w:rsid w:val="00147195"/>
    <w:rsid w:val="001476BC"/>
    <w:rsid w:val="00150D56"/>
    <w:rsid w:val="001511A4"/>
    <w:rsid w:val="00151538"/>
    <w:rsid w:val="00151825"/>
    <w:rsid w:val="00151BD2"/>
    <w:rsid w:val="001523D8"/>
    <w:rsid w:val="00152796"/>
    <w:rsid w:val="00152831"/>
    <w:rsid w:val="00152BFD"/>
    <w:rsid w:val="0015371B"/>
    <w:rsid w:val="00153C31"/>
    <w:rsid w:val="00154025"/>
    <w:rsid w:val="001542A5"/>
    <w:rsid w:val="00154C4F"/>
    <w:rsid w:val="00154CB0"/>
    <w:rsid w:val="00154F0B"/>
    <w:rsid w:val="001562B6"/>
    <w:rsid w:val="001565D2"/>
    <w:rsid w:val="001579BD"/>
    <w:rsid w:val="00160F7A"/>
    <w:rsid w:val="0016241F"/>
    <w:rsid w:val="00162CC6"/>
    <w:rsid w:val="00162D0B"/>
    <w:rsid w:val="001645DE"/>
    <w:rsid w:val="00164A3E"/>
    <w:rsid w:val="00164A8B"/>
    <w:rsid w:val="00164B8F"/>
    <w:rsid w:val="00164C7C"/>
    <w:rsid w:val="00165996"/>
    <w:rsid w:val="0016668B"/>
    <w:rsid w:val="00166DFE"/>
    <w:rsid w:val="00167ACD"/>
    <w:rsid w:val="00167BC1"/>
    <w:rsid w:val="001702C0"/>
    <w:rsid w:val="00170511"/>
    <w:rsid w:val="001737FE"/>
    <w:rsid w:val="00174255"/>
    <w:rsid w:val="00175166"/>
    <w:rsid w:val="001755DC"/>
    <w:rsid w:val="001766E6"/>
    <w:rsid w:val="00176DDA"/>
    <w:rsid w:val="001770F8"/>
    <w:rsid w:val="00177BBE"/>
    <w:rsid w:val="00177F33"/>
    <w:rsid w:val="00180AFD"/>
    <w:rsid w:val="001810F8"/>
    <w:rsid w:val="001814EE"/>
    <w:rsid w:val="00181D64"/>
    <w:rsid w:val="00182113"/>
    <w:rsid w:val="00182782"/>
    <w:rsid w:val="00182C29"/>
    <w:rsid w:val="00183BF5"/>
    <w:rsid w:val="00184ACB"/>
    <w:rsid w:val="001851FA"/>
    <w:rsid w:val="00185D03"/>
    <w:rsid w:val="00185E13"/>
    <w:rsid w:val="00186BB8"/>
    <w:rsid w:val="00186CAC"/>
    <w:rsid w:val="001870FA"/>
    <w:rsid w:val="001872B4"/>
    <w:rsid w:val="0018790C"/>
    <w:rsid w:val="001913BA"/>
    <w:rsid w:val="00191AB8"/>
    <w:rsid w:val="001946D2"/>
    <w:rsid w:val="001948F2"/>
    <w:rsid w:val="00194C59"/>
    <w:rsid w:val="00194E5E"/>
    <w:rsid w:val="00195FD3"/>
    <w:rsid w:val="001960CD"/>
    <w:rsid w:val="001963D3"/>
    <w:rsid w:val="00196CF0"/>
    <w:rsid w:val="00197A0E"/>
    <w:rsid w:val="001A1A75"/>
    <w:rsid w:val="001A2055"/>
    <w:rsid w:val="001A3135"/>
    <w:rsid w:val="001A3239"/>
    <w:rsid w:val="001A394E"/>
    <w:rsid w:val="001A398B"/>
    <w:rsid w:val="001A5942"/>
    <w:rsid w:val="001A5DAE"/>
    <w:rsid w:val="001A7026"/>
    <w:rsid w:val="001B03B0"/>
    <w:rsid w:val="001B0DCC"/>
    <w:rsid w:val="001B1D60"/>
    <w:rsid w:val="001B24C4"/>
    <w:rsid w:val="001B395D"/>
    <w:rsid w:val="001B40C1"/>
    <w:rsid w:val="001B56E5"/>
    <w:rsid w:val="001B7B01"/>
    <w:rsid w:val="001B7ECF"/>
    <w:rsid w:val="001B7FB1"/>
    <w:rsid w:val="001C2215"/>
    <w:rsid w:val="001C2467"/>
    <w:rsid w:val="001C2FB8"/>
    <w:rsid w:val="001C3563"/>
    <w:rsid w:val="001C38DC"/>
    <w:rsid w:val="001C44C2"/>
    <w:rsid w:val="001C4554"/>
    <w:rsid w:val="001C4F67"/>
    <w:rsid w:val="001C64C2"/>
    <w:rsid w:val="001C6A7F"/>
    <w:rsid w:val="001C7F2C"/>
    <w:rsid w:val="001D0EFA"/>
    <w:rsid w:val="001D126D"/>
    <w:rsid w:val="001D190E"/>
    <w:rsid w:val="001D4AD7"/>
    <w:rsid w:val="001D4CA2"/>
    <w:rsid w:val="001D4CFC"/>
    <w:rsid w:val="001D5555"/>
    <w:rsid w:val="001D5677"/>
    <w:rsid w:val="001D5C33"/>
    <w:rsid w:val="001D6C17"/>
    <w:rsid w:val="001D6CD5"/>
    <w:rsid w:val="001E0039"/>
    <w:rsid w:val="001E057F"/>
    <w:rsid w:val="001E0801"/>
    <w:rsid w:val="001E2BD7"/>
    <w:rsid w:val="001E3B70"/>
    <w:rsid w:val="001E486B"/>
    <w:rsid w:val="001E5811"/>
    <w:rsid w:val="001E589B"/>
    <w:rsid w:val="001E609E"/>
    <w:rsid w:val="001E60F3"/>
    <w:rsid w:val="001E66B0"/>
    <w:rsid w:val="001F0C91"/>
    <w:rsid w:val="001F17D0"/>
    <w:rsid w:val="001F21CC"/>
    <w:rsid w:val="001F23C8"/>
    <w:rsid w:val="001F3C2B"/>
    <w:rsid w:val="001F42E7"/>
    <w:rsid w:val="001F4768"/>
    <w:rsid w:val="001F4D14"/>
    <w:rsid w:val="001F52CD"/>
    <w:rsid w:val="001F5803"/>
    <w:rsid w:val="001F7620"/>
    <w:rsid w:val="002001B6"/>
    <w:rsid w:val="0020021D"/>
    <w:rsid w:val="00200589"/>
    <w:rsid w:val="00203A8F"/>
    <w:rsid w:val="00204475"/>
    <w:rsid w:val="00205709"/>
    <w:rsid w:val="002063AC"/>
    <w:rsid w:val="00206F15"/>
    <w:rsid w:val="0021050B"/>
    <w:rsid w:val="00211000"/>
    <w:rsid w:val="00211649"/>
    <w:rsid w:val="00211E8D"/>
    <w:rsid w:val="002125C9"/>
    <w:rsid w:val="00212C7D"/>
    <w:rsid w:val="00213406"/>
    <w:rsid w:val="0021411B"/>
    <w:rsid w:val="002141B2"/>
    <w:rsid w:val="002178B4"/>
    <w:rsid w:val="00220F9B"/>
    <w:rsid w:val="00221A66"/>
    <w:rsid w:val="00221E38"/>
    <w:rsid w:val="0022274B"/>
    <w:rsid w:val="002229C4"/>
    <w:rsid w:val="0022325C"/>
    <w:rsid w:val="0022480A"/>
    <w:rsid w:val="00224EDC"/>
    <w:rsid w:val="00225529"/>
    <w:rsid w:val="00226C84"/>
    <w:rsid w:val="00227391"/>
    <w:rsid w:val="0023096A"/>
    <w:rsid w:val="00231416"/>
    <w:rsid w:val="00231EBE"/>
    <w:rsid w:val="00232240"/>
    <w:rsid w:val="002327DA"/>
    <w:rsid w:val="002329CB"/>
    <w:rsid w:val="00232FCF"/>
    <w:rsid w:val="00235977"/>
    <w:rsid w:val="002375FE"/>
    <w:rsid w:val="00240B54"/>
    <w:rsid w:val="00240EA1"/>
    <w:rsid w:val="002411AD"/>
    <w:rsid w:val="0024125D"/>
    <w:rsid w:val="0024198A"/>
    <w:rsid w:val="00241D9F"/>
    <w:rsid w:val="00241DC3"/>
    <w:rsid w:val="00241FD0"/>
    <w:rsid w:val="00242C65"/>
    <w:rsid w:val="00245B94"/>
    <w:rsid w:val="00246B04"/>
    <w:rsid w:val="002470D7"/>
    <w:rsid w:val="002507CA"/>
    <w:rsid w:val="002515CE"/>
    <w:rsid w:val="00252BBD"/>
    <w:rsid w:val="0025308F"/>
    <w:rsid w:val="00254139"/>
    <w:rsid w:val="00255597"/>
    <w:rsid w:val="00255ECD"/>
    <w:rsid w:val="00256CE5"/>
    <w:rsid w:val="0025760D"/>
    <w:rsid w:val="00257F0A"/>
    <w:rsid w:val="00257F3A"/>
    <w:rsid w:val="00260DE4"/>
    <w:rsid w:val="0026132B"/>
    <w:rsid w:val="00261E89"/>
    <w:rsid w:val="00261F1D"/>
    <w:rsid w:val="00262EFF"/>
    <w:rsid w:val="002644BA"/>
    <w:rsid w:val="00264AE7"/>
    <w:rsid w:val="00265DC2"/>
    <w:rsid w:val="00270D88"/>
    <w:rsid w:val="00271EB4"/>
    <w:rsid w:val="00272D08"/>
    <w:rsid w:val="002735A3"/>
    <w:rsid w:val="00273820"/>
    <w:rsid w:val="00273B9F"/>
    <w:rsid w:val="00276033"/>
    <w:rsid w:val="00276AED"/>
    <w:rsid w:val="002774A2"/>
    <w:rsid w:val="00280689"/>
    <w:rsid w:val="00280DFE"/>
    <w:rsid w:val="00281529"/>
    <w:rsid w:val="00281C59"/>
    <w:rsid w:val="002831D7"/>
    <w:rsid w:val="00284012"/>
    <w:rsid w:val="002843B2"/>
    <w:rsid w:val="00284B0B"/>
    <w:rsid w:val="00284E18"/>
    <w:rsid w:val="00284F42"/>
    <w:rsid w:val="0028550E"/>
    <w:rsid w:val="0028571D"/>
    <w:rsid w:val="00286E70"/>
    <w:rsid w:val="00286F11"/>
    <w:rsid w:val="00287012"/>
    <w:rsid w:val="0029063B"/>
    <w:rsid w:val="00292578"/>
    <w:rsid w:val="0029304C"/>
    <w:rsid w:val="00293421"/>
    <w:rsid w:val="002950C2"/>
    <w:rsid w:val="00297313"/>
    <w:rsid w:val="0029774E"/>
    <w:rsid w:val="002979F9"/>
    <w:rsid w:val="002A1372"/>
    <w:rsid w:val="002A1695"/>
    <w:rsid w:val="002A1710"/>
    <w:rsid w:val="002A2C53"/>
    <w:rsid w:val="002A366E"/>
    <w:rsid w:val="002A51B1"/>
    <w:rsid w:val="002A591A"/>
    <w:rsid w:val="002A5CC3"/>
    <w:rsid w:val="002A69B7"/>
    <w:rsid w:val="002A7108"/>
    <w:rsid w:val="002B001C"/>
    <w:rsid w:val="002B1E45"/>
    <w:rsid w:val="002B2013"/>
    <w:rsid w:val="002B4627"/>
    <w:rsid w:val="002B4A07"/>
    <w:rsid w:val="002B65EC"/>
    <w:rsid w:val="002B6F3A"/>
    <w:rsid w:val="002C03EC"/>
    <w:rsid w:val="002C0455"/>
    <w:rsid w:val="002C09DB"/>
    <w:rsid w:val="002C1448"/>
    <w:rsid w:val="002C25D2"/>
    <w:rsid w:val="002C3886"/>
    <w:rsid w:val="002C3D23"/>
    <w:rsid w:val="002C4EF3"/>
    <w:rsid w:val="002C5590"/>
    <w:rsid w:val="002C6D41"/>
    <w:rsid w:val="002C6F64"/>
    <w:rsid w:val="002C7A09"/>
    <w:rsid w:val="002C7B9A"/>
    <w:rsid w:val="002C7E3E"/>
    <w:rsid w:val="002D1BF2"/>
    <w:rsid w:val="002D1FF3"/>
    <w:rsid w:val="002D2049"/>
    <w:rsid w:val="002D28A9"/>
    <w:rsid w:val="002D4961"/>
    <w:rsid w:val="002D4BB7"/>
    <w:rsid w:val="002D5C42"/>
    <w:rsid w:val="002D71AF"/>
    <w:rsid w:val="002E04F2"/>
    <w:rsid w:val="002E078A"/>
    <w:rsid w:val="002E14B6"/>
    <w:rsid w:val="002E1B8D"/>
    <w:rsid w:val="002E4B70"/>
    <w:rsid w:val="002E781D"/>
    <w:rsid w:val="002E7907"/>
    <w:rsid w:val="002F0502"/>
    <w:rsid w:val="002F23A4"/>
    <w:rsid w:val="002F312B"/>
    <w:rsid w:val="002F3135"/>
    <w:rsid w:val="002F474E"/>
    <w:rsid w:val="002F4F13"/>
    <w:rsid w:val="002F5A50"/>
    <w:rsid w:val="002F69FE"/>
    <w:rsid w:val="0030045E"/>
    <w:rsid w:val="0030102E"/>
    <w:rsid w:val="003013C9"/>
    <w:rsid w:val="0030417E"/>
    <w:rsid w:val="003068B6"/>
    <w:rsid w:val="00306CAB"/>
    <w:rsid w:val="00310023"/>
    <w:rsid w:val="003102A5"/>
    <w:rsid w:val="00311987"/>
    <w:rsid w:val="00311B8F"/>
    <w:rsid w:val="00313D68"/>
    <w:rsid w:val="00315030"/>
    <w:rsid w:val="00316292"/>
    <w:rsid w:val="00317379"/>
    <w:rsid w:val="00317654"/>
    <w:rsid w:val="003201B3"/>
    <w:rsid w:val="00322228"/>
    <w:rsid w:val="00326C66"/>
    <w:rsid w:val="00326E1C"/>
    <w:rsid w:val="00326FEB"/>
    <w:rsid w:val="00332008"/>
    <w:rsid w:val="003323D3"/>
    <w:rsid w:val="00332D41"/>
    <w:rsid w:val="003331EE"/>
    <w:rsid w:val="003345D4"/>
    <w:rsid w:val="003348B9"/>
    <w:rsid w:val="00334EFE"/>
    <w:rsid w:val="00335744"/>
    <w:rsid w:val="0033578E"/>
    <w:rsid w:val="003357DD"/>
    <w:rsid w:val="00335D3D"/>
    <w:rsid w:val="00336959"/>
    <w:rsid w:val="00336972"/>
    <w:rsid w:val="00337264"/>
    <w:rsid w:val="00337A48"/>
    <w:rsid w:val="00341160"/>
    <w:rsid w:val="00341B43"/>
    <w:rsid w:val="00341BEA"/>
    <w:rsid w:val="00342300"/>
    <w:rsid w:val="00343277"/>
    <w:rsid w:val="00343285"/>
    <w:rsid w:val="003439EC"/>
    <w:rsid w:val="00346388"/>
    <w:rsid w:val="00346911"/>
    <w:rsid w:val="0034731A"/>
    <w:rsid w:val="00347810"/>
    <w:rsid w:val="00350171"/>
    <w:rsid w:val="00352282"/>
    <w:rsid w:val="00352F56"/>
    <w:rsid w:val="003532AB"/>
    <w:rsid w:val="00353522"/>
    <w:rsid w:val="00354239"/>
    <w:rsid w:val="00355F5A"/>
    <w:rsid w:val="00356317"/>
    <w:rsid w:val="00357A72"/>
    <w:rsid w:val="00357CEA"/>
    <w:rsid w:val="00361355"/>
    <w:rsid w:val="0036180E"/>
    <w:rsid w:val="00362151"/>
    <w:rsid w:val="00363591"/>
    <w:rsid w:val="0036407B"/>
    <w:rsid w:val="003641B2"/>
    <w:rsid w:val="0036430C"/>
    <w:rsid w:val="003648F1"/>
    <w:rsid w:val="00364F41"/>
    <w:rsid w:val="003650B1"/>
    <w:rsid w:val="00365DEF"/>
    <w:rsid w:val="00366145"/>
    <w:rsid w:val="00366CBA"/>
    <w:rsid w:val="00370080"/>
    <w:rsid w:val="00370ABC"/>
    <w:rsid w:val="0037145F"/>
    <w:rsid w:val="0037183B"/>
    <w:rsid w:val="00371ADD"/>
    <w:rsid w:val="0037256F"/>
    <w:rsid w:val="00373C59"/>
    <w:rsid w:val="00373FD2"/>
    <w:rsid w:val="00374D32"/>
    <w:rsid w:val="00374FDA"/>
    <w:rsid w:val="003759E7"/>
    <w:rsid w:val="00375B34"/>
    <w:rsid w:val="003760F0"/>
    <w:rsid w:val="00377037"/>
    <w:rsid w:val="0037793B"/>
    <w:rsid w:val="00377C35"/>
    <w:rsid w:val="00377CBC"/>
    <w:rsid w:val="003808BD"/>
    <w:rsid w:val="003818BB"/>
    <w:rsid w:val="00381CBD"/>
    <w:rsid w:val="0038286E"/>
    <w:rsid w:val="00382BA5"/>
    <w:rsid w:val="003835FC"/>
    <w:rsid w:val="003836EE"/>
    <w:rsid w:val="00383D50"/>
    <w:rsid w:val="00384034"/>
    <w:rsid w:val="00385762"/>
    <w:rsid w:val="00385C0F"/>
    <w:rsid w:val="00387192"/>
    <w:rsid w:val="00390644"/>
    <w:rsid w:val="00390E1F"/>
    <w:rsid w:val="00390EB1"/>
    <w:rsid w:val="00390ED2"/>
    <w:rsid w:val="003919FD"/>
    <w:rsid w:val="00391E2B"/>
    <w:rsid w:val="00393297"/>
    <w:rsid w:val="00394157"/>
    <w:rsid w:val="00394880"/>
    <w:rsid w:val="00396CB1"/>
    <w:rsid w:val="00397499"/>
    <w:rsid w:val="003978EC"/>
    <w:rsid w:val="003A0972"/>
    <w:rsid w:val="003A10F5"/>
    <w:rsid w:val="003A1813"/>
    <w:rsid w:val="003A1D2C"/>
    <w:rsid w:val="003A2431"/>
    <w:rsid w:val="003A379A"/>
    <w:rsid w:val="003A48E4"/>
    <w:rsid w:val="003A4CE2"/>
    <w:rsid w:val="003A5F11"/>
    <w:rsid w:val="003A6944"/>
    <w:rsid w:val="003B0ED9"/>
    <w:rsid w:val="003B168F"/>
    <w:rsid w:val="003B1F05"/>
    <w:rsid w:val="003B2498"/>
    <w:rsid w:val="003B29A9"/>
    <w:rsid w:val="003B2A53"/>
    <w:rsid w:val="003B2CFC"/>
    <w:rsid w:val="003B30BE"/>
    <w:rsid w:val="003B56D1"/>
    <w:rsid w:val="003B5DBD"/>
    <w:rsid w:val="003B712A"/>
    <w:rsid w:val="003B7D4A"/>
    <w:rsid w:val="003C1BF8"/>
    <w:rsid w:val="003C2C08"/>
    <w:rsid w:val="003C4F41"/>
    <w:rsid w:val="003C5D1D"/>
    <w:rsid w:val="003C6852"/>
    <w:rsid w:val="003C7385"/>
    <w:rsid w:val="003C7C87"/>
    <w:rsid w:val="003C7E0A"/>
    <w:rsid w:val="003C7F7D"/>
    <w:rsid w:val="003D0DB9"/>
    <w:rsid w:val="003D25A5"/>
    <w:rsid w:val="003D2931"/>
    <w:rsid w:val="003D2E01"/>
    <w:rsid w:val="003D49B2"/>
    <w:rsid w:val="003D4B90"/>
    <w:rsid w:val="003D4BC9"/>
    <w:rsid w:val="003D4CB7"/>
    <w:rsid w:val="003D6299"/>
    <w:rsid w:val="003D6CB8"/>
    <w:rsid w:val="003D6D05"/>
    <w:rsid w:val="003D771E"/>
    <w:rsid w:val="003E24F0"/>
    <w:rsid w:val="003E2AF3"/>
    <w:rsid w:val="003E31BD"/>
    <w:rsid w:val="003E3674"/>
    <w:rsid w:val="003E38F8"/>
    <w:rsid w:val="003E4D0A"/>
    <w:rsid w:val="003E59F8"/>
    <w:rsid w:val="003E6CA2"/>
    <w:rsid w:val="003E7D3A"/>
    <w:rsid w:val="003F012B"/>
    <w:rsid w:val="003F027E"/>
    <w:rsid w:val="003F0561"/>
    <w:rsid w:val="003F0792"/>
    <w:rsid w:val="003F098C"/>
    <w:rsid w:val="003F143D"/>
    <w:rsid w:val="003F1A5A"/>
    <w:rsid w:val="003F4793"/>
    <w:rsid w:val="003F4911"/>
    <w:rsid w:val="003F5485"/>
    <w:rsid w:val="003F5D0F"/>
    <w:rsid w:val="003F5F43"/>
    <w:rsid w:val="003F63AF"/>
    <w:rsid w:val="003F701F"/>
    <w:rsid w:val="003F7029"/>
    <w:rsid w:val="003F7DA0"/>
    <w:rsid w:val="003F7F1C"/>
    <w:rsid w:val="00400915"/>
    <w:rsid w:val="004018F1"/>
    <w:rsid w:val="00402382"/>
    <w:rsid w:val="00402416"/>
    <w:rsid w:val="0040259F"/>
    <w:rsid w:val="00402A00"/>
    <w:rsid w:val="00402A52"/>
    <w:rsid w:val="00402A53"/>
    <w:rsid w:val="00402C72"/>
    <w:rsid w:val="004036B3"/>
    <w:rsid w:val="004036D6"/>
    <w:rsid w:val="00403878"/>
    <w:rsid w:val="00404B60"/>
    <w:rsid w:val="00404BA3"/>
    <w:rsid w:val="00405121"/>
    <w:rsid w:val="004053DA"/>
    <w:rsid w:val="00406599"/>
    <w:rsid w:val="004067EE"/>
    <w:rsid w:val="004070FD"/>
    <w:rsid w:val="004105EE"/>
    <w:rsid w:val="004111EF"/>
    <w:rsid w:val="004123F4"/>
    <w:rsid w:val="004127AC"/>
    <w:rsid w:val="00412E8B"/>
    <w:rsid w:val="004134EC"/>
    <w:rsid w:val="0041464B"/>
    <w:rsid w:val="0041496C"/>
    <w:rsid w:val="004151E8"/>
    <w:rsid w:val="004153C5"/>
    <w:rsid w:val="00415A86"/>
    <w:rsid w:val="004166ED"/>
    <w:rsid w:val="00420ACA"/>
    <w:rsid w:val="00421736"/>
    <w:rsid w:val="00421C40"/>
    <w:rsid w:val="00422B67"/>
    <w:rsid w:val="00423B3E"/>
    <w:rsid w:val="00423F09"/>
    <w:rsid w:val="004259BB"/>
    <w:rsid w:val="0042624D"/>
    <w:rsid w:val="004267F3"/>
    <w:rsid w:val="0043063C"/>
    <w:rsid w:val="00430D37"/>
    <w:rsid w:val="0043125F"/>
    <w:rsid w:val="0043215D"/>
    <w:rsid w:val="004326E7"/>
    <w:rsid w:val="00432BAA"/>
    <w:rsid w:val="0043319F"/>
    <w:rsid w:val="004358F7"/>
    <w:rsid w:val="004369E8"/>
    <w:rsid w:val="00436F39"/>
    <w:rsid w:val="0043766E"/>
    <w:rsid w:val="004412A3"/>
    <w:rsid w:val="00441524"/>
    <w:rsid w:val="0044188B"/>
    <w:rsid w:val="00441954"/>
    <w:rsid w:val="00442C2D"/>
    <w:rsid w:val="00442E32"/>
    <w:rsid w:val="004433A4"/>
    <w:rsid w:val="0044340B"/>
    <w:rsid w:val="00443B0C"/>
    <w:rsid w:val="00443F78"/>
    <w:rsid w:val="00444714"/>
    <w:rsid w:val="00444860"/>
    <w:rsid w:val="00444942"/>
    <w:rsid w:val="004453A1"/>
    <w:rsid w:val="004460F4"/>
    <w:rsid w:val="00446781"/>
    <w:rsid w:val="00446B10"/>
    <w:rsid w:val="00447230"/>
    <w:rsid w:val="004475AC"/>
    <w:rsid w:val="00447638"/>
    <w:rsid w:val="00447925"/>
    <w:rsid w:val="00447E7B"/>
    <w:rsid w:val="004505BF"/>
    <w:rsid w:val="00451AF1"/>
    <w:rsid w:val="00451BCD"/>
    <w:rsid w:val="00451EEA"/>
    <w:rsid w:val="00451FFC"/>
    <w:rsid w:val="0045218F"/>
    <w:rsid w:val="00452E1B"/>
    <w:rsid w:val="004532BE"/>
    <w:rsid w:val="00453E91"/>
    <w:rsid w:val="00454112"/>
    <w:rsid w:val="00455DF7"/>
    <w:rsid w:val="0046043E"/>
    <w:rsid w:val="00460660"/>
    <w:rsid w:val="004610DC"/>
    <w:rsid w:val="00461969"/>
    <w:rsid w:val="0046233C"/>
    <w:rsid w:val="0046265D"/>
    <w:rsid w:val="00462DD5"/>
    <w:rsid w:val="00462E09"/>
    <w:rsid w:val="0046484D"/>
    <w:rsid w:val="0046497C"/>
    <w:rsid w:val="004649CC"/>
    <w:rsid w:val="004650FD"/>
    <w:rsid w:val="00465987"/>
    <w:rsid w:val="0046616A"/>
    <w:rsid w:val="0046618B"/>
    <w:rsid w:val="00466382"/>
    <w:rsid w:val="00467235"/>
    <w:rsid w:val="0046755C"/>
    <w:rsid w:val="0046762C"/>
    <w:rsid w:val="00467F55"/>
    <w:rsid w:val="00471416"/>
    <w:rsid w:val="00472A28"/>
    <w:rsid w:val="00473340"/>
    <w:rsid w:val="00473B5E"/>
    <w:rsid w:val="00474DC0"/>
    <w:rsid w:val="0047516C"/>
    <w:rsid w:val="004757CB"/>
    <w:rsid w:val="0047588F"/>
    <w:rsid w:val="004764B5"/>
    <w:rsid w:val="00480DB7"/>
    <w:rsid w:val="004812CA"/>
    <w:rsid w:val="004817AC"/>
    <w:rsid w:val="004819DA"/>
    <w:rsid w:val="004842B9"/>
    <w:rsid w:val="004844A3"/>
    <w:rsid w:val="00484ED9"/>
    <w:rsid w:val="0048570E"/>
    <w:rsid w:val="00486409"/>
    <w:rsid w:val="004864B3"/>
    <w:rsid w:val="004864C9"/>
    <w:rsid w:val="00487425"/>
    <w:rsid w:val="0048776F"/>
    <w:rsid w:val="00490A96"/>
    <w:rsid w:val="004914F0"/>
    <w:rsid w:val="0049182B"/>
    <w:rsid w:val="00491DA2"/>
    <w:rsid w:val="00492713"/>
    <w:rsid w:val="00492D5A"/>
    <w:rsid w:val="00492E3D"/>
    <w:rsid w:val="0049317E"/>
    <w:rsid w:val="00494BAF"/>
    <w:rsid w:val="0049608E"/>
    <w:rsid w:val="0049646B"/>
    <w:rsid w:val="004974DF"/>
    <w:rsid w:val="004974E5"/>
    <w:rsid w:val="004974FE"/>
    <w:rsid w:val="00497504"/>
    <w:rsid w:val="00497727"/>
    <w:rsid w:val="004A069A"/>
    <w:rsid w:val="004A0C0A"/>
    <w:rsid w:val="004A3194"/>
    <w:rsid w:val="004A3D20"/>
    <w:rsid w:val="004A470C"/>
    <w:rsid w:val="004A5223"/>
    <w:rsid w:val="004A5356"/>
    <w:rsid w:val="004A6A8E"/>
    <w:rsid w:val="004B132E"/>
    <w:rsid w:val="004B1A9A"/>
    <w:rsid w:val="004B1E0F"/>
    <w:rsid w:val="004B2786"/>
    <w:rsid w:val="004B3DF9"/>
    <w:rsid w:val="004B4904"/>
    <w:rsid w:val="004B71D1"/>
    <w:rsid w:val="004B72D6"/>
    <w:rsid w:val="004B7714"/>
    <w:rsid w:val="004B78D6"/>
    <w:rsid w:val="004B7D01"/>
    <w:rsid w:val="004C035A"/>
    <w:rsid w:val="004C04D2"/>
    <w:rsid w:val="004C0521"/>
    <w:rsid w:val="004C0565"/>
    <w:rsid w:val="004C0C38"/>
    <w:rsid w:val="004C16F9"/>
    <w:rsid w:val="004C175F"/>
    <w:rsid w:val="004C1CBF"/>
    <w:rsid w:val="004C2414"/>
    <w:rsid w:val="004C403B"/>
    <w:rsid w:val="004C4593"/>
    <w:rsid w:val="004C4797"/>
    <w:rsid w:val="004C4DBC"/>
    <w:rsid w:val="004C707A"/>
    <w:rsid w:val="004C711A"/>
    <w:rsid w:val="004C720C"/>
    <w:rsid w:val="004D0D1F"/>
    <w:rsid w:val="004D2369"/>
    <w:rsid w:val="004D3A27"/>
    <w:rsid w:val="004D4CB4"/>
    <w:rsid w:val="004D4D1D"/>
    <w:rsid w:val="004D4F59"/>
    <w:rsid w:val="004D6E2D"/>
    <w:rsid w:val="004E1E5C"/>
    <w:rsid w:val="004E35C0"/>
    <w:rsid w:val="004E464B"/>
    <w:rsid w:val="004E4CCF"/>
    <w:rsid w:val="004E4D76"/>
    <w:rsid w:val="004E5362"/>
    <w:rsid w:val="004E6787"/>
    <w:rsid w:val="004E68B1"/>
    <w:rsid w:val="004E6998"/>
    <w:rsid w:val="004E7DBA"/>
    <w:rsid w:val="004F112E"/>
    <w:rsid w:val="004F1C95"/>
    <w:rsid w:val="004F3418"/>
    <w:rsid w:val="004F3846"/>
    <w:rsid w:val="004F433D"/>
    <w:rsid w:val="004F4E11"/>
    <w:rsid w:val="004F4FE0"/>
    <w:rsid w:val="004F589C"/>
    <w:rsid w:val="004F597F"/>
    <w:rsid w:val="004F5A0C"/>
    <w:rsid w:val="004F5BA8"/>
    <w:rsid w:val="004F5E30"/>
    <w:rsid w:val="004F73C4"/>
    <w:rsid w:val="004F756C"/>
    <w:rsid w:val="004F7A28"/>
    <w:rsid w:val="00500677"/>
    <w:rsid w:val="005008B4"/>
    <w:rsid w:val="00500D40"/>
    <w:rsid w:val="005011EB"/>
    <w:rsid w:val="00501942"/>
    <w:rsid w:val="0050284B"/>
    <w:rsid w:val="00502FCF"/>
    <w:rsid w:val="005046C1"/>
    <w:rsid w:val="005050BB"/>
    <w:rsid w:val="00505C1A"/>
    <w:rsid w:val="00505F2C"/>
    <w:rsid w:val="0050689B"/>
    <w:rsid w:val="005070CD"/>
    <w:rsid w:val="0050725B"/>
    <w:rsid w:val="005074ED"/>
    <w:rsid w:val="00507BF4"/>
    <w:rsid w:val="00507DED"/>
    <w:rsid w:val="0051080B"/>
    <w:rsid w:val="00510A8F"/>
    <w:rsid w:val="005112CE"/>
    <w:rsid w:val="00511DE3"/>
    <w:rsid w:val="00512143"/>
    <w:rsid w:val="005145B1"/>
    <w:rsid w:val="005147EC"/>
    <w:rsid w:val="00514EDE"/>
    <w:rsid w:val="0051641F"/>
    <w:rsid w:val="005174B1"/>
    <w:rsid w:val="005205EC"/>
    <w:rsid w:val="00521908"/>
    <w:rsid w:val="00521A23"/>
    <w:rsid w:val="00521B88"/>
    <w:rsid w:val="00521EA5"/>
    <w:rsid w:val="00522920"/>
    <w:rsid w:val="00522AC4"/>
    <w:rsid w:val="00522FC3"/>
    <w:rsid w:val="005232FD"/>
    <w:rsid w:val="0052356C"/>
    <w:rsid w:val="005261D0"/>
    <w:rsid w:val="00526EBF"/>
    <w:rsid w:val="00527902"/>
    <w:rsid w:val="00530A9F"/>
    <w:rsid w:val="00533EB5"/>
    <w:rsid w:val="0053403D"/>
    <w:rsid w:val="0053422E"/>
    <w:rsid w:val="005342CC"/>
    <w:rsid w:val="0053435B"/>
    <w:rsid w:val="005351EE"/>
    <w:rsid w:val="00535D27"/>
    <w:rsid w:val="00536036"/>
    <w:rsid w:val="00540872"/>
    <w:rsid w:val="0054114F"/>
    <w:rsid w:val="005411F7"/>
    <w:rsid w:val="005424F2"/>
    <w:rsid w:val="0054259E"/>
    <w:rsid w:val="00542E05"/>
    <w:rsid w:val="00543391"/>
    <w:rsid w:val="005435C7"/>
    <w:rsid w:val="00544193"/>
    <w:rsid w:val="00544463"/>
    <w:rsid w:val="0054468E"/>
    <w:rsid w:val="00544A46"/>
    <w:rsid w:val="00544E9C"/>
    <w:rsid w:val="00545DAD"/>
    <w:rsid w:val="00546896"/>
    <w:rsid w:val="00547328"/>
    <w:rsid w:val="00547393"/>
    <w:rsid w:val="00551511"/>
    <w:rsid w:val="00551930"/>
    <w:rsid w:val="0055282B"/>
    <w:rsid w:val="00552BED"/>
    <w:rsid w:val="005535E0"/>
    <w:rsid w:val="005539D3"/>
    <w:rsid w:val="0055474E"/>
    <w:rsid w:val="0055532E"/>
    <w:rsid w:val="00556A98"/>
    <w:rsid w:val="00560D1E"/>
    <w:rsid w:val="00561293"/>
    <w:rsid w:val="005613D9"/>
    <w:rsid w:val="00562134"/>
    <w:rsid w:val="0056302F"/>
    <w:rsid w:val="00563A4C"/>
    <w:rsid w:val="00565190"/>
    <w:rsid w:val="00566AF3"/>
    <w:rsid w:val="00566B91"/>
    <w:rsid w:val="005674C0"/>
    <w:rsid w:val="00567EEE"/>
    <w:rsid w:val="00567FFD"/>
    <w:rsid w:val="0057069C"/>
    <w:rsid w:val="00570C88"/>
    <w:rsid w:val="0057275D"/>
    <w:rsid w:val="00572BA5"/>
    <w:rsid w:val="00573664"/>
    <w:rsid w:val="005736D0"/>
    <w:rsid w:val="00573747"/>
    <w:rsid w:val="00574FD5"/>
    <w:rsid w:val="00575A7B"/>
    <w:rsid w:val="00576C47"/>
    <w:rsid w:val="00576CD1"/>
    <w:rsid w:val="00576FFE"/>
    <w:rsid w:val="00577724"/>
    <w:rsid w:val="00577F39"/>
    <w:rsid w:val="0058004B"/>
    <w:rsid w:val="005802B9"/>
    <w:rsid w:val="00581178"/>
    <w:rsid w:val="005825A4"/>
    <w:rsid w:val="00583FCD"/>
    <w:rsid w:val="005844D9"/>
    <w:rsid w:val="00584C93"/>
    <w:rsid w:val="00585311"/>
    <w:rsid w:val="00585747"/>
    <w:rsid w:val="00586D6A"/>
    <w:rsid w:val="00586F20"/>
    <w:rsid w:val="0058708E"/>
    <w:rsid w:val="0058710E"/>
    <w:rsid w:val="00587D66"/>
    <w:rsid w:val="005904D2"/>
    <w:rsid w:val="00590803"/>
    <w:rsid w:val="00590EE8"/>
    <w:rsid w:val="00591CAC"/>
    <w:rsid w:val="00592815"/>
    <w:rsid w:val="00592B89"/>
    <w:rsid w:val="00592D03"/>
    <w:rsid w:val="0059336B"/>
    <w:rsid w:val="00594BEE"/>
    <w:rsid w:val="005957F7"/>
    <w:rsid w:val="005958B5"/>
    <w:rsid w:val="00595BB8"/>
    <w:rsid w:val="0059607A"/>
    <w:rsid w:val="00596794"/>
    <w:rsid w:val="00597437"/>
    <w:rsid w:val="00597805"/>
    <w:rsid w:val="005A12B5"/>
    <w:rsid w:val="005A151D"/>
    <w:rsid w:val="005A22D2"/>
    <w:rsid w:val="005A2BBD"/>
    <w:rsid w:val="005A404E"/>
    <w:rsid w:val="005A59F7"/>
    <w:rsid w:val="005A7A52"/>
    <w:rsid w:val="005A7E8A"/>
    <w:rsid w:val="005A7F71"/>
    <w:rsid w:val="005B18A7"/>
    <w:rsid w:val="005B1C6B"/>
    <w:rsid w:val="005B2848"/>
    <w:rsid w:val="005B3B7B"/>
    <w:rsid w:val="005B55D7"/>
    <w:rsid w:val="005B5BC0"/>
    <w:rsid w:val="005B5C20"/>
    <w:rsid w:val="005B619F"/>
    <w:rsid w:val="005B63CB"/>
    <w:rsid w:val="005B63F6"/>
    <w:rsid w:val="005B655C"/>
    <w:rsid w:val="005B722B"/>
    <w:rsid w:val="005B7D95"/>
    <w:rsid w:val="005C16CC"/>
    <w:rsid w:val="005C2778"/>
    <w:rsid w:val="005C29AC"/>
    <w:rsid w:val="005C3AE3"/>
    <w:rsid w:val="005C3D8A"/>
    <w:rsid w:val="005C3DC9"/>
    <w:rsid w:val="005C4C4E"/>
    <w:rsid w:val="005C5204"/>
    <w:rsid w:val="005C6569"/>
    <w:rsid w:val="005C6DA5"/>
    <w:rsid w:val="005D0320"/>
    <w:rsid w:val="005D0586"/>
    <w:rsid w:val="005D0730"/>
    <w:rsid w:val="005D0856"/>
    <w:rsid w:val="005D1E29"/>
    <w:rsid w:val="005D1E56"/>
    <w:rsid w:val="005D2DD5"/>
    <w:rsid w:val="005D335E"/>
    <w:rsid w:val="005D3D2A"/>
    <w:rsid w:val="005D48CC"/>
    <w:rsid w:val="005D4D38"/>
    <w:rsid w:val="005D52B2"/>
    <w:rsid w:val="005D673F"/>
    <w:rsid w:val="005D689B"/>
    <w:rsid w:val="005D689E"/>
    <w:rsid w:val="005D78C7"/>
    <w:rsid w:val="005E1B35"/>
    <w:rsid w:val="005E1DD4"/>
    <w:rsid w:val="005E282B"/>
    <w:rsid w:val="005E71E7"/>
    <w:rsid w:val="005E7C14"/>
    <w:rsid w:val="005F0F13"/>
    <w:rsid w:val="005F1498"/>
    <w:rsid w:val="005F1761"/>
    <w:rsid w:val="005F2FF3"/>
    <w:rsid w:val="005F3316"/>
    <w:rsid w:val="005F5AB2"/>
    <w:rsid w:val="005F671F"/>
    <w:rsid w:val="005F7197"/>
    <w:rsid w:val="005F795A"/>
    <w:rsid w:val="005F7980"/>
    <w:rsid w:val="006000B0"/>
    <w:rsid w:val="0060073C"/>
    <w:rsid w:val="006008E8"/>
    <w:rsid w:val="0060163E"/>
    <w:rsid w:val="006024B6"/>
    <w:rsid w:val="00602678"/>
    <w:rsid w:val="006027EA"/>
    <w:rsid w:val="0060378D"/>
    <w:rsid w:val="00603D2E"/>
    <w:rsid w:val="00603E78"/>
    <w:rsid w:val="006046B5"/>
    <w:rsid w:val="00605888"/>
    <w:rsid w:val="00605A4F"/>
    <w:rsid w:val="00605EFA"/>
    <w:rsid w:val="006071D2"/>
    <w:rsid w:val="006075C1"/>
    <w:rsid w:val="006108EE"/>
    <w:rsid w:val="00611063"/>
    <w:rsid w:val="00611775"/>
    <w:rsid w:val="00611B6B"/>
    <w:rsid w:val="0061274C"/>
    <w:rsid w:val="0061287C"/>
    <w:rsid w:val="006129A5"/>
    <w:rsid w:val="00613A35"/>
    <w:rsid w:val="00613EC3"/>
    <w:rsid w:val="00614D56"/>
    <w:rsid w:val="00614E14"/>
    <w:rsid w:val="00615133"/>
    <w:rsid w:val="0061544B"/>
    <w:rsid w:val="00615662"/>
    <w:rsid w:val="00615D1B"/>
    <w:rsid w:val="0061664D"/>
    <w:rsid w:val="006166E1"/>
    <w:rsid w:val="00617C12"/>
    <w:rsid w:val="006205BF"/>
    <w:rsid w:val="006215A5"/>
    <w:rsid w:val="00621DAE"/>
    <w:rsid w:val="00621F0F"/>
    <w:rsid w:val="00622B7B"/>
    <w:rsid w:val="006232B9"/>
    <w:rsid w:val="0062372B"/>
    <w:rsid w:val="0062432F"/>
    <w:rsid w:val="00625B20"/>
    <w:rsid w:val="00625F87"/>
    <w:rsid w:val="00627570"/>
    <w:rsid w:val="006276CB"/>
    <w:rsid w:val="00627ABE"/>
    <w:rsid w:val="006305F9"/>
    <w:rsid w:val="0063071F"/>
    <w:rsid w:val="00630BB3"/>
    <w:rsid w:val="006310EF"/>
    <w:rsid w:val="0063177E"/>
    <w:rsid w:val="00632469"/>
    <w:rsid w:val="00632F76"/>
    <w:rsid w:val="00635268"/>
    <w:rsid w:val="0063588A"/>
    <w:rsid w:val="0063599B"/>
    <w:rsid w:val="00635EFD"/>
    <w:rsid w:val="006362B7"/>
    <w:rsid w:val="00637086"/>
    <w:rsid w:val="00640B4E"/>
    <w:rsid w:val="0064247A"/>
    <w:rsid w:val="00642872"/>
    <w:rsid w:val="006437B7"/>
    <w:rsid w:val="00645190"/>
    <w:rsid w:val="00645326"/>
    <w:rsid w:val="00645B9D"/>
    <w:rsid w:val="00646C17"/>
    <w:rsid w:val="0065091B"/>
    <w:rsid w:val="006509C7"/>
    <w:rsid w:val="006516AB"/>
    <w:rsid w:val="006518C0"/>
    <w:rsid w:val="00652822"/>
    <w:rsid w:val="00652C97"/>
    <w:rsid w:val="00652D18"/>
    <w:rsid w:val="00652E88"/>
    <w:rsid w:val="0065525A"/>
    <w:rsid w:val="0065747C"/>
    <w:rsid w:val="00657D30"/>
    <w:rsid w:val="00657DB4"/>
    <w:rsid w:val="00660AA1"/>
    <w:rsid w:val="00661954"/>
    <w:rsid w:val="00661EC1"/>
    <w:rsid w:val="00662505"/>
    <w:rsid w:val="00662A40"/>
    <w:rsid w:val="00662BF2"/>
    <w:rsid w:val="00665964"/>
    <w:rsid w:val="0066727F"/>
    <w:rsid w:val="00667923"/>
    <w:rsid w:val="006718D7"/>
    <w:rsid w:val="00671E70"/>
    <w:rsid w:val="00671F91"/>
    <w:rsid w:val="006724C0"/>
    <w:rsid w:val="00672AFB"/>
    <w:rsid w:val="00673056"/>
    <w:rsid w:val="006741B6"/>
    <w:rsid w:val="0067458D"/>
    <w:rsid w:val="0067485F"/>
    <w:rsid w:val="006768D0"/>
    <w:rsid w:val="006773A2"/>
    <w:rsid w:val="0067765F"/>
    <w:rsid w:val="006779F8"/>
    <w:rsid w:val="00677CC2"/>
    <w:rsid w:val="0068301C"/>
    <w:rsid w:val="00683CEC"/>
    <w:rsid w:val="0068538A"/>
    <w:rsid w:val="00685A16"/>
    <w:rsid w:val="00685CB0"/>
    <w:rsid w:val="00685E31"/>
    <w:rsid w:val="006862BA"/>
    <w:rsid w:val="00686640"/>
    <w:rsid w:val="00687115"/>
    <w:rsid w:val="00687F9F"/>
    <w:rsid w:val="0069043D"/>
    <w:rsid w:val="0069257D"/>
    <w:rsid w:val="006926C7"/>
    <w:rsid w:val="00693A4B"/>
    <w:rsid w:val="00693ACE"/>
    <w:rsid w:val="00695DAB"/>
    <w:rsid w:val="00696B34"/>
    <w:rsid w:val="006A0270"/>
    <w:rsid w:val="006A0866"/>
    <w:rsid w:val="006A10B3"/>
    <w:rsid w:val="006A11A2"/>
    <w:rsid w:val="006A1757"/>
    <w:rsid w:val="006A1D73"/>
    <w:rsid w:val="006A1EF5"/>
    <w:rsid w:val="006A28E8"/>
    <w:rsid w:val="006A3091"/>
    <w:rsid w:val="006A32C4"/>
    <w:rsid w:val="006A4740"/>
    <w:rsid w:val="006A511A"/>
    <w:rsid w:val="006A6B9F"/>
    <w:rsid w:val="006A6E50"/>
    <w:rsid w:val="006A70D1"/>
    <w:rsid w:val="006A736A"/>
    <w:rsid w:val="006A7F8B"/>
    <w:rsid w:val="006B0772"/>
    <w:rsid w:val="006B0EB7"/>
    <w:rsid w:val="006B1746"/>
    <w:rsid w:val="006B1870"/>
    <w:rsid w:val="006B1DCC"/>
    <w:rsid w:val="006B29E8"/>
    <w:rsid w:val="006B2AE3"/>
    <w:rsid w:val="006B2CED"/>
    <w:rsid w:val="006B54B4"/>
    <w:rsid w:val="006B6AE4"/>
    <w:rsid w:val="006B75E4"/>
    <w:rsid w:val="006C1385"/>
    <w:rsid w:val="006C1963"/>
    <w:rsid w:val="006C1DD8"/>
    <w:rsid w:val="006C2228"/>
    <w:rsid w:val="006C227A"/>
    <w:rsid w:val="006C2ABB"/>
    <w:rsid w:val="006C31C1"/>
    <w:rsid w:val="006C3295"/>
    <w:rsid w:val="006C364F"/>
    <w:rsid w:val="006C4481"/>
    <w:rsid w:val="006C494F"/>
    <w:rsid w:val="006C4AEC"/>
    <w:rsid w:val="006C4ED5"/>
    <w:rsid w:val="006C5490"/>
    <w:rsid w:val="006C558D"/>
    <w:rsid w:val="006C6049"/>
    <w:rsid w:val="006C6745"/>
    <w:rsid w:val="006C685C"/>
    <w:rsid w:val="006C6C66"/>
    <w:rsid w:val="006C79CB"/>
    <w:rsid w:val="006D0E19"/>
    <w:rsid w:val="006D1310"/>
    <w:rsid w:val="006D3167"/>
    <w:rsid w:val="006D335A"/>
    <w:rsid w:val="006D359B"/>
    <w:rsid w:val="006D46FD"/>
    <w:rsid w:val="006D53F3"/>
    <w:rsid w:val="006D587E"/>
    <w:rsid w:val="006D5B47"/>
    <w:rsid w:val="006D646C"/>
    <w:rsid w:val="006D6924"/>
    <w:rsid w:val="006D6E14"/>
    <w:rsid w:val="006D7336"/>
    <w:rsid w:val="006D7357"/>
    <w:rsid w:val="006E053B"/>
    <w:rsid w:val="006E0DF4"/>
    <w:rsid w:val="006E0F97"/>
    <w:rsid w:val="006E153A"/>
    <w:rsid w:val="006E1675"/>
    <w:rsid w:val="006E1EF0"/>
    <w:rsid w:val="006E3DA3"/>
    <w:rsid w:val="006E41FE"/>
    <w:rsid w:val="006E65EE"/>
    <w:rsid w:val="006E6E53"/>
    <w:rsid w:val="006E6ED5"/>
    <w:rsid w:val="006E735D"/>
    <w:rsid w:val="006E78ED"/>
    <w:rsid w:val="006F0097"/>
    <w:rsid w:val="006F020B"/>
    <w:rsid w:val="006F1A9B"/>
    <w:rsid w:val="006F2C99"/>
    <w:rsid w:val="006F52EA"/>
    <w:rsid w:val="006F545D"/>
    <w:rsid w:val="006F621E"/>
    <w:rsid w:val="006F78BE"/>
    <w:rsid w:val="006F7C73"/>
    <w:rsid w:val="00700AEA"/>
    <w:rsid w:val="007013E6"/>
    <w:rsid w:val="0070245F"/>
    <w:rsid w:val="00702605"/>
    <w:rsid w:val="00702FC6"/>
    <w:rsid w:val="00704BA0"/>
    <w:rsid w:val="00705BC0"/>
    <w:rsid w:val="00706523"/>
    <w:rsid w:val="00710160"/>
    <w:rsid w:val="00710176"/>
    <w:rsid w:val="007103AF"/>
    <w:rsid w:val="007105F3"/>
    <w:rsid w:val="007108BA"/>
    <w:rsid w:val="00710FAE"/>
    <w:rsid w:val="00711BB9"/>
    <w:rsid w:val="00711FDE"/>
    <w:rsid w:val="00712F9F"/>
    <w:rsid w:val="00713380"/>
    <w:rsid w:val="00714162"/>
    <w:rsid w:val="007148FF"/>
    <w:rsid w:val="00715D7E"/>
    <w:rsid w:val="00717B14"/>
    <w:rsid w:val="007207E4"/>
    <w:rsid w:val="00721191"/>
    <w:rsid w:val="00722107"/>
    <w:rsid w:val="007221FA"/>
    <w:rsid w:val="00722332"/>
    <w:rsid w:val="00723170"/>
    <w:rsid w:val="00724932"/>
    <w:rsid w:val="0072532F"/>
    <w:rsid w:val="007253E1"/>
    <w:rsid w:val="007268D5"/>
    <w:rsid w:val="00727861"/>
    <w:rsid w:val="00730349"/>
    <w:rsid w:val="007307D2"/>
    <w:rsid w:val="00730E82"/>
    <w:rsid w:val="00733934"/>
    <w:rsid w:val="007348AB"/>
    <w:rsid w:val="007365F4"/>
    <w:rsid w:val="007407CF"/>
    <w:rsid w:val="0074211D"/>
    <w:rsid w:val="007437AA"/>
    <w:rsid w:val="00743AAA"/>
    <w:rsid w:val="007446F6"/>
    <w:rsid w:val="00745159"/>
    <w:rsid w:val="007454ED"/>
    <w:rsid w:val="007463E2"/>
    <w:rsid w:val="00751AE4"/>
    <w:rsid w:val="007528B1"/>
    <w:rsid w:val="00752BC4"/>
    <w:rsid w:val="007534D3"/>
    <w:rsid w:val="00753632"/>
    <w:rsid w:val="0075369C"/>
    <w:rsid w:val="00755F9F"/>
    <w:rsid w:val="00762486"/>
    <w:rsid w:val="007624E1"/>
    <w:rsid w:val="00762DEB"/>
    <w:rsid w:val="0076313E"/>
    <w:rsid w:val="00763527"/>
    <w:rsid w:val="00763612"/>
    <w:rsid w:val="007659EE"/>
    <w:rsid w:val="00766733"/>
    <w:rsid w:val="0076718C"/>
    <w:rsid w:val="00770470"/>
    <w:rsid w:val="00770E2D"/>
    <w:rsid w:val="00771493"/>
    <w:rsid w:val="0077264C"/>
    <w:rsid w:val="007726CC"/>
    <w:rsid w:val="007735FE"/>
    <w:rsid w:val="00774458"/>
    <w:rsid w:val="007754E6"/>
    <w:rsid w:val="0077620F"/>
    <w:rsid w:val="007762DD"/>
    <w:rsid w:val="0077664D"/>
    <w:rsid w:val="007776B4"/>
    <w:rsid w:val="00777DC3"/>
    <w:rsid w:val="0078013F"/>
    <w:rsid w:val="007834B7"/>
    <w:rsid w:val="007838A0"/>
    <w:rsid w:val="007851A5"/>
    <w:rsid w:val="00787F33"/>
    <w:rsid w:val="00790B3A"/>
    <w:rsid w:val="007912EB"/>
    <w:rsid w:val="0079163B"/>
    <w:rsid w:val="007919EC"/>
    <w:rsid w:val="00792E84"/>
    <w:rsid w:val="0079341B"/>
    <w:rsid w:val="0079488E"/>
    <w:rsid w:val="00796D26"/>
    <w:rsid w:val="007A005D"/>
    <w:rsid w:val="007A1345"/>
    <w:rsid w:val="007A1491"/>
    <w:rsid w:val="007A180D"/>
    <w:rsid w:val="007A18BE"/>
    <w:rsid w:val="007A1EAE"/>
    <w:rsid w:val="007A25FF"/>
    <w:rsid w:val="007A3567"/>
    <w:rsid w:val="007A3B65"/>
    <w:rsid w:val="007A4A45"/>
    <w:rsid w:val="007A537B"/>
    <w:rsid w:val="007A57A8"/>
    <w:rsid w:val="007A64AC"/>
    <w:rsid w:val="007A6683"/>
    <w:rsid w:val="007A7A22"/>
    <w:rsid w:val="007B02D8"/>
    <w:rsid w:val="007B0852"/>
    <w:rsid w:val="007B0EC8"/>
    <w:rsid w:val="007B1AFB"/>
    <w:rsid w:val="007B2C55"/>
    <w:rsid w:val="007B3247"/>
    <w:rsid w:val="007B39AD"/>
    <w:rsid w:val="007B427F"/>
    <w:rsid w:val="007B4B53"/>
    <w:rsid w:val="007B4B95"/>
    <w:rsid w:val="007B520F"/>
    <w:rsid w:val="007B5725"/>
    <w:rsid w:val="007B5F3A"/>
    <w:rsid w:val="007B72CA"/>
    <w:rsid w:val="007B74C2"/>
    <w:rsid w:val="007C0E8E"/>
    <w:rsid w:val="007C13F8"/>
    <w:rsid w:val="007C2EB5"/>
    <w:rsid w:val="007C4600"/>
    <w:rsid w:val="007C468B"/>
    <w:rsid w:val="007C4950"/>
    <w:rsid w:val="007C5460"/>
    <w:rsid w:val="007C5C5A"/>
    <w:rsid w:val="007D0624"/>
    <w:rsid w:val="007D1FAA"/>
    <w:rsid w:val="007D2758"/>
    <w:rsid w:val="007D37BE"/>
    <w:rsid w:val="007D494D"/>
    <w:rsid w:val="007D4E7C"/>
    <w:rsid w:val="007D5317"/>
    <w:rsid w:val="007D5857"/>
    <w:rsid w:val="007D7054"/>
    <w:rsid w:val="007D7DDC"/>
    <w:rsid w:val="007E01FC"/>
    <w:rsid w:val="007E048E"/>
    <w:rsid w:val="007E0735"/>
    <w:rsid w:val="007E07E9"/>
    <w:rsid w:val="007E0CC4"/>
    <w:rsid w:val="007E0DF7"/>
    <w:rsid w:val="007E2525"/>
    <w:rsid w:val="007E43F8"/>
    <w:rsid w:val="007E4A94"/>
    <w:rsid w:val="007E52A5"/>
    <w:rsid w:val="007E5C81"/>
    <w:rsid w:val="007E6313"/>
    <w:rsid w:val="007E63C2"/>
    <w:rsid w:val="007E6614"/>
    <w:rsid w:val="007E7F80"/>
    <w:rsid w:val="007F05B9"/>
    <w:rsid w:val="007F1E7A"/>
    <w:rsid w:val="007F1F15"/>
    <w:rsid w:val="007F2843"/>
    <w:rsid w:val="007F347C"/>
    <w:rsid w:val="007F3D19"/>
    <w:rsid w:val="007F44FD"/>
    <w:rsid w:val="007F5109"/>
    <w:rsid w:val="007F58F3"/>
    <w:rsid w:val="007F5B9F"/>
    <w:rsid w:val="007F5DE4"/>
    <w:rsid w:val="007F5E65"/>
    <w:rsid w:val="007F6195"/>
    <w:rsid w:val="007F7976"/>
    <w:rsid w:val="008012F4"/>
    <w:rsid w:val="008016D2"/>
    <w:rsid w:val="00801B34"/>
    <w:rsid w:val="00801DB2"/>
    <w:rsid w:val="00801FAE"/>
    <w:rsid w:val="0080228B"/>
    <w:rsid w:val="00802336"/>
    <w:rsid w:val="008025AF"/>
    <w:rsid w:val="00803BA9"/>
    <w:rsid w:val="00803DD9"/>
    <w:rsid w:val="00803E18"/>
    <w:rsid w:val="008053C1"/>
    <w:rsid w:val="008058D3"/>
    <w:rsid w:val="00807250"/>
    <w:rsid w:val="00807703"/>
    <w:rsid w:val="00810818"/>
    <w:rsid w:val="0081092F"/>
    <w:rsid w:val="00810E9A"/>
    <w:rsid w:val="0081123A"/>
    <w:rsid w:val="0081137B"/>
    <w:rsid w:val="00811381"/>
    <w:rsid w:val="0081348F"/>
    <w:rsid w:val="00813D40"/>
    <w:rsid w:val="0081559B"/>
    <w:rsid w:val="0081629A"/>
    <w:rsid w:val="0081640F"/>
    <w:rsid w:val="0081720F"/>
    <w:rsid w:val="00820664"/>
    <w:rsid w:val="008219B5"/>
    <w:rsid w:val="008220FF"/>
    <w:rsid w:val="008221B2"/>
    <w:rsid w:val="00823AA0"/>
    <w:rsid w:val="00824470"/>
    <w:rsid w:val="00824D29"/>
    <w:rsid w:val="00824E5E"/>
    <w:rsid w:val="00826139"/>
    <w:rsid w:val="0082643C"/>
    <w:rsid w:val="00830057"/>
    <w:rsid w:val="00830484"/>
    <w:rsid w:val="00830C29"/>
    <w:rsid w:val="00830DDF"/>
    <w:rsid w:val="008310D5"/>
    <w:rsid w:val="00831E96"/>
    <w:rsid w:val="00833341"/>
    <w:rsid w:val="00833C71"/>
    <w:rsid w:val="008345A4"/>
    <w:rsid w:val="00834D64"/>
    <w:rsid w:val="00835C81"/>
    <w:rsid w:val="008360A3"/>
    <w:rsid w:val="008360E2"/>
    <w:rsid w:val="008369A9"/>
    <w:rsid w:val="0083701F"/>
    <w:rsid w:val="0083716F"/>
    <w:rsid w:val="00837F7E"/>
    <w:rsid w:val="008427B9"/>
    <w:rsid w:val="00842DB3"/>
    <w:rsid w:val="00843F5D"/>
    <w:rsid w:val="00844E13"/>
    <w:rsid w:val="00845BC8"/>
    <w:rsid w:val="00845CB9"/>
    <w:rsid w:val="00845E1B"/>
    <w:rsid w:val="00850A67"/>
    <w:rsid w:val="00851058"/>
    <w:rsid w:val="00851AA0"/>
    <w:rsid w:val="00851CE0"/>
    <w:rsid w:val="008524E1"/>
    <w:rsid w:val="0085271E"/>
    <w:rsid w:val="008529D6"/>
    <w:rsid w:val="00852AC0"/>
    <w:rsid w:val="00852D58"/>
    <w:rsid w:val="00852D68"/>
    <w:rsid w:val="00853CE7"/>
    <w:rsid w:val="008557D8"/>
    <w:rsid w:val="00856815"/>
    <w:rsid w:val="0085682B"/>
    <w:rsid w:val="0085703A"/>
    <w:rsid w:val="00857391"/>
    <w:rsid w:val="00860A21"/>
    <w:rsid w:val="008615EA"/>
    <w:rsid w:val="0086266C"/>
    <w:rsid w:val="0086386C"/>
    <w:rsid w:val="0086432D"/>
    <w:rsid w:val="0086577C"/>
    <w:rsid w:val="00866CF3"/>
    <w:rsid w:val="00870B60"/>
    <w:rsid w:val="00872185"/>
    <w:rsid w:val="00873901"/>
    <w:rsid w:val="00873CD8"/>
    <w:rsid w:val="00874770"/>
    <w:rsid w:val="00874CBF"/>
    <w:rsid w:val="00874D41"/>
    <w:rsid w:val="00880557"/>
    <w:rsid w:val="00881843"/>
    <w:rsid w:val="00883222"/>
    <w:rsid w:val="008841F4"/>
    <w:rsid w:val="00884782"/>
    <w:rsid w:val="00884930"/>
    <w:rsid w:val="00884966"/>
    <w:rsid w:val="008852A0"/>
    <w:rsid w:val="008852AE"/>
    <w:rsid w:val="0088598E"/>
    <w:rsid w:val="008865EA"/>
    <w:rsid w:val="00886BBD"/>
    <w:rsid w:val="00886EC2"/>
    <w:rsid w:val="00886FFE"/>
    <w:rsid w:val="00887BA5"/>
    <w:rsid w:val="0089018D"/>
    <w:rsid w:val="0089054A"/>
    <w:rsid w:val="00891BA4"/>
    <w:rsid w:val="00892464"/>
    <w:rsid w:val="00892B6C"/>
    <w:rsid w:val="0089429C"/>
    <w:rsid w:val="008976A2"/>
    <w:rsid w:val="00897ACE"/>
    <w:rsid w:val="00897B87"/>
    <w:rsid w:val="008A06EB"/>
    <w:rsid w:val="008A23F0"/>
    <w:rsid w:val="008A2F17"/>
    <w:rsid w:val="008A3652"/>
    <w:rsid w:val="008A402C"/>
    <w:rsid w:val="008A450D"/>
    <w:rsid w:val="008A4C4A"/>
    <w:rsid w:val="008A5248"/>
    <w:rsid w:val="008A5AB1"/>
    <w:rsid w:val="008A5EA2"/>
    <w:rsid w:val="008A603C"/>
    <w:rsid w:val="008A732D"/>
    <w:rsid w:val="008A7650"/>
    <w:rsid w:val="008A7AA3"/>
    <w:rsid w:val="008B0542"/>
    <w:rsid w:val="008B0876"/>
    <w:rsid w:val="008B08E4"/>
    <w:rsid w:val="008B2CF2"/>
    <w:rsid w:val="008B3F37"/>
    <w:rsid w:val="008B4243"/>
    <w:rsid w:val="008B4B47"/>
    <w:rsid w:val="008B5118"/>
    <w:rsid w:val="008B59D5"/>
    <w:rsid w:val="008B60CA"/>
    <w:rsid w:val="008B6272"/>
    <w:rsid w:val="008B6597"/>
    <w:rsid w:val="008B65B9"/>
    <w:rsid w:val="008B6A62"/>
    <w:rsid w:val="008B6C42"/>
    <w:rsid w:val="008B715E"/>
    <w:rsid w:val="008B7301"/>
    <w:rsid w:val="008C046C"/>
    <w:rsid w:val="008C2814"/>
    <w:rsid w:val="008C2B0B"/>
    <w:rsid w:val="008C3604"/>
    <w:rsid w:val="008C5FD1"/>
    <w:rsid w:val="008C7F21"/>
    <w:rsid w:val="008D15BF"/>
    <w:rsid w:val="008D1D2A"/>
    <w:rsid w:val="008D2AA5"/>
    <w:rsid w:val="008D3CC2"/>
    <w:rsid w:val="008D3F1E"/>
    <w:rsid w:val="008D5865"/>
    <w:rsid w:val="008D6033"/>
    <w:rsid w:val="008D60E4"/>
    <w:rsid w:val="008D6884"/>
    <w:rsid w:val="008D6DB6"/>
    <w:rsid w:val="008D7821"/>
    <w:rsid w:val="008E16F4"/>
    <w:rsid w:val="008E1B23"/>
    <w:rsid w:val="008E256D"/>
    <w:rsid w:val="008E28A5"/>
    <w:rsid w:val="008E3843"/>
    <w:rsid w:val="008E48A9"/>
    <w:rsid w:val="008E4932"/>
    <w:rsid w:val="008E5ED5"/>
    <w:rsid w:val="008E6504"/>
    <w:rsid w:val="008E688F"/>
    <w:rsid w:val="008E701E"/>
    <w:rsid w:val="008E72A0"/>
    <w:rsid w:val="008E73DB"/>
    <w:rsid w:val="008E7877"/>
    <w:rsid w:val="008F012C"/>
    <w:rsid w:val="008F03B2"/>
    <w:rsid w:val="008F0DB6"/>
    <w:rsid w:val="008F0DF2"/>
    <w:rsid w:val="008F0F57"/>
    <w:rsid w:val="008F14A2"/>
    <w:rsid w:val="008F2677"/>
    <w:rsid w:val="008F3EA5"/>
    <w:rsid w:val="008F40F4"/>
    <w:rsid w:val="008F4E19"/>
    <w:rsid w:val="008F554E"/>
    <w:rsid w:val="008F5A9E"/>
    <w:rsid w:val="008F6B4A"/>
    <w:rsid w:val="008F71AD"/>
    <w:rsid w:val="008F749C"/>
    <w:rsid w:val="008F754F"/>
    <w:rsid w:val="008F7AFE"/>
    <w:rsid w:val="00900D9D"/>
    <w:rsid w:val="00902747"/>
    <w:rsid w:val="00904581"/>
    <w:rsid w:val="00904DCA"/>
    <w:rsid w:val="00905497"/>
    <w:rsid w:val="00905510"/>
    <w:rsid w:val="009063AF"/>
    <w:rsid w:val="0090652D"/>
    <w:rsid w:val="009068D9"/>
    <w:rsid w:val="0091029E"/>
    <w:rsid w:val="0091075F"/>
    <w:rsid w:val="00910798"/>
    <w:rsid w:val="0091106A"/>
    <w:rsid w:val="0091113A"/>
    <w:rsid w:val="00911377"/>
    <w:rsid w:val="00911973"/>
    <w:rsid w:val="00911B11"/>
    <w:rsid w:val="00911DA8"/>
    <w:rsid w:val="009121A2"/>
    <w:rsid w:val="0091356E"/>
    <w:rsid w:val="00913AFB"/>
    <w:rsid w:val="00913CE8"/>
    <w:rsid w:val="009146C2"/>
    <w:rsid w:val="0091499A"/>
    <w:rsid w:val="00917756"/>
    <w:rsid w:val="009202FD"/>
    <w:rsid w:val="009209B0"/>
    <w:rsid w:val="009224A0"/>
    <w:rsid w:val="00923039"/>
    <w:rsid w:val="00924315"/>
    <w:rsid w:val="009256BF"/>
    <w:rsid w:val="00926D2E"/>
    <w:rsid w:val="00927BB4"/>
    <w:rsid w:val="00927FE5"/>
    <w:rsid w:val="009316AA"/>
    <w:rsid w:val="009322E6"/>
    <w:rsid w:val="009328FE"/>
    <w:rsid w:val="00933F03"/>
    <w:rsid w:val="00933FAF"/>
    <w:rsid w:val="00934268"/>
    <w:rsid w:val="00934F62"/>
    <w:rsid w:val="009358CE"/>
    <w:rsid w:val="00935F0A"/>
    <w:rsid w:val="00936568"/>
    <w:rsid w:val="0093682A"/>
    <w:rsid w:val="00936EEA"/>
    <w:rsid w:val="00937004"/>
    <w:rsid w:val="0093712D"/>
    <w:rsid w:val="0093767E"/>
    <w:rsid w:val="00937BF9"/>
    <w:rsid w:val="00940ED7"/>
    <w:rsid w:val="0094100F"/>
    <w:rsid w:val="00941498"/>
    <w:rsid w:val="009421B0"/>
    <w:rsid w:val="009432C2"/>
    <w:rsid w:val="009448B8"/>
    <w:rsid w:val="00945CFE"/>
    <w:rsid w:val="00946667"/>
    <w:rsid w:val="00946BAD"/>
    <w:rsid w:val="00946E43"/>
    <w:rsid w:val="00950B13"/>
    <w:rsid w:val="009520AB"/>
    <w:rsid w:val="00952B63"/>
    <w:rsid w:val="009546D0"/>
    <w:rsid w:val="009552BA"/>
    <w:rsid w:val="00955806"/>
    <w:rsid w:val="00955DB2"/>
    <w:rsid w:val="00955E57"/>
    <w:rsid w:val="0095669B"/>
    <w:rsid w:val="00956BD5"/>
    <w:rsid w:val="00960A39"/>
    <w:rsid w:val="00961CFD"/>
    <w:rsid w:val="00962D13"/>
    <w:rsid w:val="00963140"/>
    <w:rsid w:val="00963AC1"/>
    <w:rsid w:val="00963B2E"/>
    <w:rsid w:val="00963B60"/>
    <w:rsid w:val="00963F31"/>
    <w:rsid w:val="00964474"/>
    <w:rsid w:val="00964EC2"/>
    <w:rsid w:val="00965693"/>
    <w:rsid w:val="00965934"/>
    <w:rsid w:val="00970D03"/>
    <w:rsid w:val="0097127B"/>
    <w:rsid w:val="00971611"/>
    <w:rsid w:val="00971D58"/>
    <w:rsid w:val="00973C62"/>
    <w:rsid w:val="00973E3D"/>
    <w:rsid w:val="009746B3"/>
    <w:rsid w:val="00974C06"/>
    <w:rsid w:val="0097585C"/>
    <w:rsid w:val="0097676F"/>
    <w:rsid w:val="0098247C"/>
    <w:rsid w:val="00982927"/>
    <w:rsid w:val="00982BB6"/>
    <w:rsid w:val="00983B91"/>
    <w:rsid w:val="0098596E"/>
    <w:rsid w:val="00985DF6"/>
    <w:rsid w:val="00985F5C"/>
    <w:rsid w:val="0098615E"/>
    <w:rsid w:val="009869EF"/>
    <w:rsid w:val="00987390"/>
    <w:rsid w:val="00987989"/>
    <w:rsid w:val="009909DE"/>
    <w:rsid w:val="00990E94"/>
    <w:rsid w:val="00990FAC"/>
    <w:rsid w:val="009913B1"/>
    <w:rsid w:val="00992065"/>
    <w:rsid w:val="00992387"/>
    <w:rsid w:val="00992695"/>
    <w:rsid w:val="00992B8D"/>
    <w:rsid w:val="009933F5"/>
    <w:rsid w:val="00993512"/>
    <w:rsid w:val="009935BD"/>
    <w:rsid w:val="00994A41"/>
    <w:rsid w:val="00994D20"/>
    <w:rsid w:val="0099582E"/>
    <w:rsid w:val="0099587A"/>
    <w:rsid w:val="0099601B"/>
    <w:rsid w:val="009962D8"/>
    <w:rsid w:val="00997377"/>
    <w:rsid w:val="009979A3"/>
    <w:rsid w:val="00997B91"/>
    <w:rsid w:val="009A1B8F"/>
    <w:rsid w:val="009A3611"/>
    <w:rsid w:val="009A3735"/>
    <w:rsid w:val="009A43C8"/>
    <w:rsid w:val="009A49C4"/>
    <w:rsid w:val="009A4A23"/>
    <w:rsid w:val="009A513E"/>
    <w:rsid w:val="009A6500"/>
    <w:rsid w:val="009A6538"/>
    <w:rsid w:val="009A6D77"/>
    <w:rsid w:val="009A6E30"/>
    <w:rsid w:val="009A72D3"/>
    <w:rsid w:val="009B00D8"/>
    <w:rsid w:val="009B04F0"/>
    <w:rsid w:val="009B0753"/>
    <w:rsid w:val="009B2069"/>
    <w:rsid w:val="009B22E6"/>
    <w:rsid w:val="009B26C3"/>
    <w:rsid w:val="009B2AE3"/>
    <w:rsid w:val="009B3139"/>
    <w:rsid w:val="009B3189"/>
    <w:rsid w:val="009B3D09"/>
    <w:rsid w:val="009B54AD"/>
    <w:rsid w:val="009B5614"/>
    <w:rsid w:val="009B5939"/>
    <w:rsid w:val="009B6A56"/>
    <w:rsid w:val="009B6DD8"/>
    <w:rsid w:val="009B759C"/>
    <w:rsid w:val="009C0056"/>
    <w:rsid w:val="009C064F"/>
    <w:rsid w:val="009C0658"/>
    <w:rsid w:val="009C1E8D"/>
    <w:rsid w:val="009C21C2"/>
    <w:rsid w:val="009C31F9"/>
    <w:rsid w:val="009C3C4C"/>
    <w:rsid w:val="009C5C3E"/>
    <w:rsid w:val="009C5F3A"/>
    <w:rsid w:val="009C6331"/>
    <w:rsid w:val="009C6C93"/>
    <w:rsid w:val="009C7891"/>
    <w:rsid w:val="009C7983"/>
    <w:rsid w:val="009D013D"/>
    <w:rsid w:val="009D0A94"/>
    <w:rsid w:val="009D0CAF"/>
    <w:rsid w:val="009D1E3E"/>
    <w:rsid w:val="009D2639"/>
    <w:rsid w:val="009D38D4"/>
    <w:rsid w:val="009D4B76"/>
    <w:rsid w:val="009D5858"/>
    <w:rsid w:val="009D630B"/>
    <w:rsid w:val="009D73CF"/>
    <w:rsid w:val="009E0C0C"/>
    <w:rsid w:val="009E14F3"/>
    <w:rsid w:val="009E3915"/>
    <w:rsid w:val="009E403F"/>
    <w:rsid w:val="009E4351"/>
    <w:rsid w:val="009E4745"/>
    <w:rsid w:val="009E5BAD"/>
    <w:rsid w:val="009E5E9C"/>
    <w:rsid w:val="009E616B"/>
    <w:rsid w:val="009E725E"/>
    <w:rsid w:val="009F0373"/>
    <w:rsid w:val="009F1187"/>
    <w:rsid w:val="009F13BE"/>
    <w:rsid w:val="009F1A3F"/>
    <w:rsid w:val="009F23A4"/>
    <w:rsid w:val="009F2A3F"/>
    <w:rsid w:val="009F3235"/>
    <w:rsid w:val="009F38FA"/>
    <w:rsid w:val="009F3BD2"/>
    <w:rsid w:val="009F3C96"/>
    <w:rsid w:val="009F4D26"/>
    <w:rsid w:val="009F5E31"/>
    <w:rsid w:val="009F61FB"/>
    <w:rsid w:val="009F6549"/>
    <w:rsid w:val="009F785E"/>
    <w:rsid w:val="00A01079"/>
    <w:rsid w:val="00A011CA"/>
    <w:rsid w:val="00A019AC"/>
    <w:rsid w:val="00A01B8E"/>
    <w:rsid w:val="00A02F7D"/>
    <w:rsid w:val="00A03F5D"/>
    <w:rsid w:val="00A042E6"/>
    <w:rsid w:val="00A04E38"/>
    <w:rsid w:val="00A058FB"/>
    <w:rsid w:val="00A068B9"/>
    <w:rsid w:val="00A06C41"/>
    <w:rsid w:val="00A0711C"/>
    <w:rsid w:val="00A07144"/>
    <w:rsid w:val="00A102A0"/>
    <w:rsid w:val="00A10546"/>
    <w:rsid w:val="00A10ECF"/>
    <w:rsid w:val="00A11417"/>
    <w:rsid w:val="00A11A17"/>
    <w:rsid w:val="00A11CA7"/>
    <w:rsid w:val="00A11D77"/>
    <w:rsid w:val="00A125C6"/>
    <w:rsid w:val="00A13721"/>
    <w:rsid w:val="00A15A51"/>
    <w:rsid w:val="00A1616C"/>
    <w:rsid w:val="00A16349"/>
    <w:rsid w:val="00A210C2"/>
    <w:rsid w:val="00A21C05"/>
    <w:rsid w:val="00A228D4"/>
    <w:rsid w:val="00A23058"/>
    <w:rsid w:val="00A2370C"/>
    <w:rsid w:val="00A239A0"/>
    <w:rsid w:val="00A23A44"/>
    <w:rsid w:val="00A25460"/>
    <w:rsid w:val="00A2646E"/>
    <w:rsid w:val="00A26F28"/>
    <w:rsid w:val="00A27BF5"/>
    <w:rsid w:val="00A312B6"/>
    <w:rsid w:val="00A316CF"/>
    <w:rsid w:val="00A31B83"/>
    <w:rsid w:val="00A34695"/>
    <w:rsid w:val="00A34B71"/>
    <w:rsid w:val="00A36615"/>
    <w:rsid w:val="00A3739D"/>
    <w:rsid w:val="00A37432"/>
    <w:rsid w:val="00A37784"/>
    <w:rsid w:val="00A37C63"/>
    <w:rsid w:val="00A37CD0"/>
    <w:rsid w:val="00A4078D"/>
    <w:rsid w:val="00A409CD"/>
    <w:rsid w:val="00A415A7"/>
    <w:rsid w:val="00A4433F"/>
    <w:rsid w:val="00A46770"/>
    <w:rsid w:val="00A46898"/>
    <w:rsid w:val="00A47701"/>
    <w:rsid w:val="00A5024E"/>
    <w:rsid w:val="00A502CC"/>
    <w:rsid w:val="00A5038C"/>
    <w:rsid w:val="00A5043B"/>
    <w:rsid w:val="00A50732"/>
    <w:rsid w:val="00A50876"/>
    <w:rsid w:val="00A510CA"/>
    <w:rsid w:val="00A519D9"/>
    <w:rsid w:val="00A52D6F"/>
    <w:rsid w:val="00A52DDD"/>
    <w:rsid w:val="00A52F06"/>
    <w:rsid w:val="00A52F8B"/>
    <w:rsid w:val="00A537D0"/>
    <w:rsid w:val="00A54F78"/>
    <w:rsid w:val="00A5533F"/>
    <w:rsid w:val="00A56CA4"/>
    <w:rsid w:val="00A57169"/>
    <w:rsid w:val="00A5724B"/>
    <w:rsid w:val="00A5745A"/>
    <w:rsid w:val="00A5756D"/>
    <w:rsid w:val="00A578CA"/>
    <w:rsid w:val="00A60E8A"/>
    <w:rsid w:val="00A60F59"/>
    <w:rsid w:val="00A613AA"/>
    <w:rsid w:val="00A64064"/>
    <w:rsid w:val="00A640F9"/>
    <w:rsid w:val="00A64123"/>
    <w:rsid w:val="00A645CE"/>
    <w:rsid w:val="00A647EC"/>
    <w:rsid w:val="00A64DA9"/>
    <w:rsid w:val="00A65E9B"/>
    <w:rsid w:val="00A6612C"/>
    <w:rsid w:val="00A6619B"/>
    <w:rsid w:val="00A67DFF"/>
    <w:rsid w:val="00A706C9"/>
    <w:rsid w:val="00A711EA"/>
    <w:rsid w:val="00A71407"/>
    <w:rsid w:val="00A71505"/>
    <w:rsid w:val="00A717B1"/>
    <w:rsid w:val="00A71821"/>
    <w:rsid w:val="00A723CE"/>
    <w:rsid w:val="00A72A30"/>
    <w:rsid w:val="00A72B28"/>
    <w:rsid w:val="00A72E4C"/>
    <w:rsid w:val="00A73032"/>
    <w:rsid w:val="00A743F3"/>
    <w:rsid w:val="00A74A4F"/>
    <w:rsid w:val="00A74EFC"/>
    <w:rsid w:val="00A754F6"/>
    <w:rsid w:val="00A7570B"/>
    <w:rsid w:val="00A75989"/>
    <w:rsid w:val="00A7639E"/>
    <w:rsid w:val="00A767EB"/>
    <w:rsid w:val="00A769C1"/>
    <w:rsid w:val="00A77DB6"/>
    <w:rsid w:val="00A80909"/>
    <w:rsid w:val="00A81FA4"/>
    <w:rsid w:val="00A82195"/>
    <w:rsid w:val="00A82656"/>
    <w:rsid w:val="00A827F7"/>
    <w:rsid w:val="00A82B74"/>
    <w:rsid w:val="00A8391D"/>
    <w:rsid w:val="00A83A75"/>
    <w:rsid w:val="00A84D6B"/>
    <w:rsid w:val="00A87E8D"/>
    <w:rsid w:val="00A90038"/>
    <w:rsid w:val="00A92A86"/>
    <w:rsid w:val="00A94885"/>
    <w:rsid w:val="00A94CD2"/>
    <w:rsid w:val="00A95D7A"/>
    <w:rsid w:val="00A95EF0"/>
    <w:rsid w:val="00A96005"/>
    <w:rsid w:val="00A964E1"/>
    <w:rsid w:val="00AA01AD"/>
    <w:rsid w:val="00AA07CF"/>
    <w:rsid w:val="00AA0889"/>
    <w:rsid w:val="00AA0988"/>
    <w:rsid w:val="00AA15C9"/>
    <w:rsid w:val="00AA1FC5"/>
    <w:rsid w:val="00AA2F8D"/>
    <w:rsid w:val="00AA30D5"/>
    <w:rsid w:val="00AA3245"/>
    <w:rsid w:val="00AA4BC6"/>
    <w:rsid w:val="00AA5D7D"/>
    <w:rsid w:val="00AA67BA"/>
    <w:rsid w:val="00AA7005"/>
    <w:rsid w:val="00AA7716"/>
    <w:rsid w:val="00AB0859"/>
    <w:rsid w:val="00AB1E80"/>
    <w:rsid w:val="00AB2E21"/>
    <w:rsid w:val="00AB38BF"/>
    <w:rsid w:val="00AB4149"/>
    <w:rsid w:val="00AB4BAF"/>
    <w:rsid w:val="00AB6551"/>
    <w:rsid w:val="00AB65B2"/>
    <w:rsid w:val="00AB6FF6"/>
    <w:rsid w:val="00AB737D"/>
    <w:rsid w:val="00AC0351"/>
    <w:rsid w:val="00AC19AC"/>
    <w:rsid w:val="00AC1B54"/>
    <w:rsid w:val="00AC2853"/>
    <w:rsid w:val="00AC306D"/>
    <w:rsid w:val="00AC33C0"/>
    <w:rsid w:val="00AC536F"/>
    <w:rsid w:val="00AC68A8"/>
    <w:rsid w:val="00AC6B50"/>
    <w:rsid w:val="00AC706C"/>
    <w:rsid w:val="00AC781E"/>
    <w:rsid w:val="00AC7A68"/>
    <w:rsid w:val="00AC7B37"/>
    <w:rsid w:val="00AD0413"/>
    <w:rsid w:val="00AD05A4"/>
    <w:rsid w:val="00AD0D71"/>
    <w:rsid w:val="00AD1E31"/>
    <w:rsid w:val="00AD376D"/>
    <w:rsid w:val="00AD39C1"/>
    <w:rsid w:val="00AD4F58"/>
    <w:rsid w:val="00AD59B2"/>
    <w:rsid w:val="00AD7059"/>
    <w:rsid w:val="00AD7A92"/>
    <w:rsid w:val="00AD7ADA"/>
    <w:rsid w:val="00AE034D"/>
    <w:rsid w:val="00AE094E"/>
    <w:rsid w:val="00AE098B"/>
    <w:rsid w:val="00AE1BD5"/>
    <w:rsid w:val="00AE2773"/>
    <w:rsid w:val="00AE4A4D"/>
    <w:rsid w:val="00AE5789"/>
    <w:rsid w:val="00AE6DB4"/>
    <w:rsid w:val="00AE7F8A"/>
    <w:rsid w:val="00AF1F9B"/>
    <w:rsid w:val="00AF2F1D"/>
    <w:rsid w:val="00AF2FAB"/>
    <w:rsid w:val="00AF3351"/>
    <w:rsid w:val="00AF5339"/>
    <w:rsid w:val="00AF5817"/>
    <w:rsid w:val="00AF5C11"/>
    <w:rsid w:val="00AF5E66"/>
    <w:rsid w:val="00AF669B"/>
    <w:rsid w:val="00AF66AA"/>
    <w:rsid w:val="00B020F6"/>
    <w:rsid w:val="00B02BBF"/>
    <w:rsid w:val="00B031EF"/>
    <w:rsid w:val="00B039F2"/>
    <w:rsid w:val="00B04131"/>
    <w:rsid w:val="00B0463C"/>
    <w:rsid w:val="00B05037"/>
    <w:rsid w:val="00B05353"/>
    <w:rsid w:val="00B0598A"/>
    <w:rsid w:val="00B063E4"/>
    <w:rsid w:val="00B0643B"/>
    <w:rsid w:val="00B067C7"/>
    <w:rsid w:val="00B067DE"/>
    <w:rsid w:val="00B06BB6"/>
    <w:rsid w:val="00B10929"/>
    <w:rsid w:val="00B109CC"/>
    <w:rsid w:val="00B10B6C"/>
    <w:rsid w:val="00B11EF0"/>
    <w:rsid w:val="00B136F6"/>
    <w:rsid w:val="00B13E33"/>
    <w:rsid w:val="00B14E49"/>
    <w:rsid w:val="00B15629"/>
    <w:rsid w:val="00B1567C"/>
    <w:rsid w:val="00B15A33"/>
    <w:rsid w:val="00B16658"/>
    <w:rsid w:val="00B17A19"/>
    <w:rsid w:val="00B17EE2"/>
    <w:rsid w:val="00B219B5"/>
    <w:rsid w:val="00B22590"/>
    <w:rsid w:val="00B22E2D"/>
    <w:rsid w:val="00B22F10"/>
    <w:rsid w:val="00B23DA8"/>
    <w:rsid w:val="00B24A27"/>
    <w:rsid w:val="00B24D36"/>
    <w:rsid w:val="00B24D87"/>
    <w:rsid w:val="00B26740"/>
    <w:rsid w:val="00B26F30"/>
    <w:rsid w:val="00B2772C"/>
    <w:rsid w:val="00B30360"/>
    <w:rsid w:val="00B305EF"/>
    <w:rsid w:val="00B32969"/>
    <w:rsid w:val="00B32EAF"/>
    <w:rsid w:val="00B3300D"/>
    <w:rsid w:val="00B332EA"/>
    <w:rsid w:val="00B334CF"/>
    <w:rsid w:val="00B34B3E"/>
    <w:rsid w:val="00B35B06"/>
    <w:rsid w:val="00B35C92"/>
    <w:rsid w:val="00B4023C"/>
    <w:rsid w:val="00B409A9"/>
    <w:rsid w:val="00B42E85"/>
    <w:rsid w:val="00B43B05"/>
    <w:rsid w:val="00B44021"/>
    <w:rsid w:val="00B44D24"/>
    <w:rsid w:val="00B45373"/>
    <w:rsid w:val="00B45470"/>
    <w:rsid w:val="00B45BAD"/>
    <w:rsid w:val="00B45CCA"/>
    <w:rsid w:val="00B45EA7"/>
    <w:rsid w:val="00B45F9C"/>
    <w:rsid w:val="00B47021"/>
    <w:rsid w:val="00B47972"/>
    <w:rsid w:val="00B47C32"/>
    <w:rsid w:val="00B5163F"/>
    <w:rsid w:val="00B51CBA"/>
    <w:rsid w:val="00B53367"/>
    <w:rsid w:val="00B53E19"/>
    <w:rsid w:val="00B54043"/>
    <w:rsid w:val="00B5499A"/>
    <w:rsid w:val="00B55865"/>
    <w:rsid w:val="00B5589D"/>
    <w:rsid w:val="00B5700C"/>
    <w:rsid w:val="00B607EE"/>
    <w:rsid w:val="00B60941"/>
    <w:rsid w:val="00B60F12"/>
    <w:rsid w:val="00B60FC9"/>
    <w:rsid w:val="00B61578"/>
    <w:rsid w:val="00B631BD"/>
    <w:rsid w:val="00B63FCE"/>
    <w:rsid w:val="00B64F39"/>
    <w:rsid w:val="00B64FDD"/>
    <w:rsid w:val="00B65B50"/>
    <w:rsid w:val="00B66AB8"/>
    <w:rsid w:val="00B67B55"/>
    <w:rsid w:val="00B67B7C"/>
    <w:rsid w:val="00B67D48"/>
    <w:rsid w:val="00B709DF"/>
    <w:rsid w:val="00B70F61"/>
    <w:rsid w:val="00B710F8"/>
    <w:rsid w:val="00B71ED6"/>
    <w:rsid w:val="00B72278"/>
    <w:rsid w:val="00B72FED"/>
    <w:rsid w:val="00B7333E"/>
    <w:rsid w:val="00B73A68"/>
    <w:rsid w:val="00B74B77"/>
    <w:rsid w:val="00B770CC"/>
    <w:rsid w:val="00B7713E"/>
    <w:rsid w:val="00B77975"/>
    <w:rsid w:val="00B81D03"/>
    <w:rsid w:val="00B81D7A"/>
    <w:rsid w:val="00B833AF"/>
    <w:rsid w:val="00B83F25"/>
    <w:rsid w:val="00B841DD"/>
    <w:rsid w:val="00B8498D"/>
    <w:rsid w:val="00B84A4F"/>
    <w:rsid w:val="00B85536"/>
    <w:rsid w:val="00B8583D"/>
    <w:rsid w:val="00B85B08"/>
    <w:rsid w:val="00B86398"/>
    <w:rsid w:val="00B90205"/>
    <w:rsid w:val="00B90B7D"/>
    <w:rsid w:val="00B9102C"/>
    <w:rsid w:val="00B917C1"/>
    <w:rsid w:val="00B91F5B"/>
    <w:rsid w:val="00B91FFE"/>
    <w:rsid w:val="00B9212C"/>
    <w:rsid w:val="00B9292D"/>
    <w:rsid w:val="00B929E9"/>
    <w:rsid w:val="00B92C6A"/>
    <w:rsid w:val="00B93508"/>
    <w:rsid w:val="00B9439A"/>
    <w:rsid w:val="00B94519"/>
    <w:rsid w:val="00B94732"/>
    <w:rsid w:val="00B95027"/>
    <w:rsid w:val="00B95856"/>
    <w:rsid w:val="00B964FC"/>
    <w:rsid w:val="00B969F0"/>
    <w:rsid w:val="00B978D7"/>
    <w:rsid w:val="00B97CBC"/>
    <w:rsid w:val="00B97D32"/>
    <w:rsid w:val="00B97F21"/>
    <w:rsid w:val="00BA010A"/>
    <w:rsid w:val="00BA20CD"/>
    <w:rsid w:val="00BA20FF"/>
    <w:rsid w:val="00BA23C0"/>
    <w:rsid w:val="00BA26AF"/>
    <w:rsid w:val="00BA3139"/>
    <w:rsid w:val="00BA3B6B"/>
    <w:rsid w:val="00BA50EC"/>
    <w:rsid w:val="00BA594A"/>
    <w:rsid w:val="00BA63E4"/>
    <w:rsid w:val="00BA6905"/>
    <w:rsid w:val="00BA69E2"/>
    <w:rsid w:val="00BA7DEE"/>
    <w:rsid w:val="00BB136F"/>
    <w:rsid w:val="00BB1AB7"/>
    <w:rsid w:val="00BB2D21"/>
    <w:rsid w:val="00BB3716"/>
    <w:rsid w:val="00BB3744"/>
    <w:rsid w:val="00BB4153"/>
    <w:rsid w:val="00BB4C23"/>
    <w:rsid w:val="00BB51C2"/>
    <w:rsid w:val="00BB5F7C"/>
    <w:rsid w:val="00BB5FBD"/>
    <w:rsid w:val="00BB66E1"/>
    <w:rsid w:val="00BC09EA"/>
    <w:rsid w:val="00BC2075"/>
    <w:rsid w:val="00BC243B"/>
    <w:rsid w:val="00BC26C2"/>
    <w:rsid w:val="00BC2D30"/>
    <w:rsid w:val="00BC2D3B"/>
    <w:rsid w:val="00BC3330"/>
    <w:rsid w:val="00BC352C"/>
    <w:rsid w:val="00BC3AD5"/>
    <w:rsid w:val="00BC49E9"/>
    <w:rsid w:val="00BC55F4"/>
    <w:rsid w:val="00BC764C"/>
    <w:rsid w:val="00BD244E"/>
    <w:rsid w:val="00BD2AD6"/>
    <w:rsid w:val="00BD3F7D"/>
    <w:rsid w:val="00BD4289"/>
    <w:rsid w:val="00BD5457"/>
    <w:rsid w:val="00BD577C"/>
    <w:rsid w:val="00BD5864"/>
    <w:rsid w:val="00BD6E08"/>
    <w:rsid w:val="00BD7551"/>
    <w:rsid w:val="00BD7554"/>
    <w:rsid w:val="00BD7984"/>
    <w:rsid w:val="00BE0E62"/>
    <w:rsid w:val="00BE1FC3"/>
    <w:rsid w:val="00BE2A13"/>
    <w:rsid w:val="00BE2C2C"/>
    <w:rsid w:val="00BE2DF1"/>
    <w:rsid w:val="00BE5DD1"/>
    <w:rsid w:val="00BE6085"/>
    <w:rsid w:val="00BF0B98"/>
    <w:rsid w:val="00BF2577"/>
    <w:rsid w:val="00BF4956"/>
    <w:rsid w:val="00BF6DB7"/>
    <w:rsid w:val="00C0034F"/>
    <w:rsid w:val="00C007D9"/>
    <w:rsid w:val="00C011B0"/>
    <w:rsid w:val="00C02639"/>
    <w:rsid w:val="00C027E4"/>
    <w:rsid w:val="00C02FB7"/>
    <w:rsid w:val="00C03465"/>
    <w:rsid w:val="00C05186"/>
    <w:rsid w:val="00C057B2"/>
    <w:rsid w:val="00C05D4B"/>
    <w:rsid w:val="00C06CBE"/>
    <w:rsid w:val="00C07C65"/>
    <w:rsid w:val="00C1012D"/>
    <w:rsid w:val="00C102A8"/>
    <w:rsid w:val="00C10E96"/>
    <w:rsid w:val="00C1128E"/>
    <w:rsid w:val="00C115D3"/>
    <w:rsid w:val="00C12D00"/>
    <w:rsid w:val="00C12D01"/>
    <w:rsid w:val="00C132A0"/>
    <w:rsid w:val="00C14195"/>
    <w:rsid w:val="00C14529"/>
    <w:rsid w:val="00C14EDC"/>
    <w:rsid w:val="00C15E53"/>
    <w:rsid w:val="00C16EB1"/>
    <w:rsid w:val="00C16F9B"/>
    <w:rsid w:val="00C17A00"/>
    <w:rsid w:val="00C20C5E"/>
    <w:rsid w:val="00C2123A"/>
    <w:rsid w:val="00C2142B"/>
    <w:rsid w:val="00C21DF7"/>
    <w:rsid w:val="00C230BA"/>
    <w:rsid w:val="00C24520"/>
    <w:rsid w:val="00C247B0"/>
    <w:rsid w:val="00C25AC4"/>
    <w:rsid w:val="00C260A2"/>
    <w:rsid w:val="00C2637D"/>
    <w:rsid w:val="00C26BF3"/>
    <w:rsid w:val="00C271F1"/>
    <w:rsid w:val="00C27202"/>
    <w:rsid w:val="00C275B6"/>
    <w:rsid w:val="00C27D18"/>
    <w:rsid w:val="00C3069B"/>
    <w:rsid w:val="00C30CA8"/>
    <w:rsid w:val="00C31413"/>
    <w:rsid w:val="00C3161E"/>
    <w:rsid w:val="00C3190C"/>
    <w:rsid w:val="00C32330"/>
    <w:rsid w:val="00C32C90"/>
    <w:rsid w:val="00C32FBB"/>
    <w:rsid w:val="00C35CD4"/>
    <w:rsid w:val="00C36081"/>
    <w:rsid w:val="00C37F79"/>
    <w:rsid w:val="00C402FB"/>
    <w:rsid w:val="00C411A1"/>
    <w:rsid w:val="00C417EA"/>
    <w:rsid w:val="00C421DB"/>
    <w:rsid w:val="00C4347F"/>
    <w:rsid w:val="00C43E9C"/>
    <w:rsid w:val="00C44FF8"/>
    <w:rsid w:val="00C458FA"/>
    <w:rsid w:val="00C45B55"/>
    <w:rsid w:val="00C4637A"/>
    <w:rsid w:val="00C46CA7"/>
    <w:rsid w:val="00C46CF4"/>
    <w:rsid w:val="00C47AAF"/>
    <w:rsid w:val="00C50530"/>
    <w:rsid w:val="00C50AE6"/>
    <w:rsid w:val="00C51196"/>
    <w:rsid w:val="00C5474D"/>
    <w:rsid w:val="00C574C0"/>
    <w:rsid w:val="00C57D4F"/>
    <w:rsid w:val="00C6009E"/>
    <w:rsid w:val="00C60D63"/>
    <w:rsid w:val="00C614D3"/>
    <w:rsid w:val="00C62A51"/>
    <w:rsid w:val="00C634BF"/>
    <w:rsid w:val="00C64C49"/>
    <w:rsid w:val="00C64C56"/>
    <w:rsid w:val="00C64D05"/>
    <w:rsid w:val="00C65260"/>
    <w:rsid w:val="00C66140"/>
    <w:rsid w:val="00C669FB"/>
    <w:rsid w:val="00C678F4"/>
    <w:rsid w:val="00C70995"/>
    <w:rsid w:val="00C70BCC"/>
    <w:rsid w:val="00C7105A"/>
    <w:rsid w:val="00C71230"/>
    <w:rsid w:val="00C72C3F"/>
    <w:rsid w:val="00C7318F"/>
    <w:rsid w:val="00C73C58"/>
    <w:rsid w:val="00C74315"/>
    <w:rsid w:val="00C754D1"/>
    <w:rsid w:val="00C773EA"/>
    <w:rsid w:val="00C8032C"/>
    <w:rsid w:val="00C8052A"/>
    <w:rsid w:val="00C80DDD"/>
    <w:rsid w:val="00C81473"/>
    <w:rsid w:val="00C81E17"/>
    <w:rsid w:val="00C81FDA"/>
    <w:rsid w:val="00C824ED"/>
    <w:rsid w:val="00C8251A"/>
    <w:rsid w:val="00C82790"/>
    <w:rsid w:val="00C82A34"/>
    <w:rsid w:val="00C8337A"/>
    <w:rsid w:val="00C83558"/>
    <w:rsid w:val="00C84048"/>
    <w:rsid w:val="00C841D3"/>
    <w:rsid w:val="00C86CF4"/>
    <w:rsid w:val="00C86D97"/>
    <w:rsid w:val="00C86ED4"/>
    <w:rsid w:val="00C90A0A"/>
    <w:rsid w:val="00C9121B"/>
    <w:rsid w:val="00C9179E"/>
    <w:rsid w:val="00C93094"/>
    <w:rsid w:val="00C934E5"/>
    <w:rsid w:val="00C93795"/>
    <w:rsid w:val="00C93A47"/>
    <w:rsid w:val="00C9452F"/>
    <w:rsid w:val="00C950D2"/>
    <w:rsid w:val="00C97A34"/>
    <w:rsid w:val="00C97B76"/>
    <w:rsid w:val="00CA0954"/>
    <w:rsid w:val="00CA09AF"/>
    <w:rsid w:val="00CA1DE6"/>
    <w:rsid w:val="00CA1EC0"/>
    <w:rsid w:val="00CA240C"/>
    <w:rsid w:val="00CA331F"/>
    <w:rsid w:val="00CA3358"/>
    <w:rsid w:val="00CA393B"/>
    <w:rsid w:val="00CA42D3"/>
    <w:rsid w:val="00CA439C"/>
    <w:rsid w:val="00CA4943"/>
    <w:rsid w:val="00CA4DFF"/>
    <w:rsid w:val="00CA51F1"/>
    <w:rsid w:val="00CA5A96"/>
    <w:rsid w:val="00CB04C5"/>
    <w:rsid w:val="00CB0A73"/>
    <w:rsid w:val="00CB0F98"/>
    <w:rsid w:val="00CB151A"/>
    <w:rsid w:val="00CB21C8"/>
    <w:rsid w:val="00CB2931"/>
    <w:rsid w:val="00CB2E83"/>
    <w:rsid w:val="00CB2F7C"/>
    <w:rsid w:val="00CB31AD"/>
    <w:rsid w:val="00CB401F"/>
    <w:rsid w:val="00CB420E"/>
    <w:rsid w:val="00CB4FBF"/>
    <w:rsid w:val="00CB520C"/>
    <w:rsid w:val="00CB591B"/>
    <w:rsid w:val="00CB7654"/>
    <w:rsid w:val="00CB77F2"/>
    <w:rsid w:val="00CB7CA2"/>
    <w:rsid w:val="00CB7CC3"/>
    <w:rsid w:val="00CC06DD"/>
    <w:rsid w:val="00CC070C"/>
    <w:rsid w:val="00CC163B"/>
    <w:rsid w:val="00CC16CE"/>
    <w:rsid w:val="00CC17DB"/>
    <w:rsid w:val="00CC18FF"/>
    <w:rsid w:val="00CC1966"/>
    <w:rsid w:val="00CC2DE2"/>
    <w:rsid w:val="00CC3072"/>
    <w:rsid w:val="00CC3086"/>
    <w:rsid w:val="00CC3E29"/>
    <w:rsid w:val="00CC4CE3"/>
    <w:rsid w:val="00CC5387"/>
    <w:rsid w:val="00CC5CA5"/>
    <w:rsid w:val="00CC6159"/>
    <w:rsid w:val="00CC7A3E"/>
    <w:rsid w:val="00CD0066"/>
    <w:rsid w:val="00CD0EAF"/>
    <w:rsid w:val="00CD125E"/>
    <w:rsid w:val="00CD163A"/>
    <w:rsid w:val="00CD16CE"/>
    <w:rsid w:val="00CD380F"/>
    <w:rsid w:val="00CD3B3A"/>
    <w:rsid w:val="00CD3BD3"/>
    <w:rsid w:val="00CD4643"/>
    <w:rsid w:val="00CD526A"/>
    <w:rsid w:val="00CD5EF5"/>
    <w:rsid w:val="00CD5F3B"/>
    <w:rsid w:val="00CD6333"/>
    <w:rsid w:val="00CD6BDD"/>
    <w:rsid w:val="00CD6E0E"/>
    <w:rsid w:val="00CD711F"/>
    <w:rsid w:val="00CD72C6"/>
    <w:rsid w:val="00CD72EB"/>
    <w:rsid w:val="00CD73E8"/>
    <w:rsid w:val="00CE042A"/>
    <w:rsid w:val="00CE063A"/>
    <w:rsid w:val="00CE08CA"/>
    <w:rsid w:val="00CE120F"/>
    <w:rsid w:val="00CE1236"/>
    <w:rsid w:val="00CE12E8"/>
    <w:rsid w:val="00CE1692"/>
    <w:rsid w:val="00CE1B36"/>
    <w:rsid w:val="00CE2EB8"/>
    <w:rsid w:val="00CE7604"/>
    <w:rsid w:val="00CE76AA"/>
    <w:rsid w:val="00CE7BBD"/>
    <w:rsid w:val="00CE7D9E"/>
    <w:rsid w:val="00CF0A79"/>
    <w:rsid w:val="00CF21D0"/>
    <w:rsid w:val="00CF262D"/>
    <w:rsid w:val="00CF2A19"/>
    <w:rsid w:val="00CF2CD0"/>
    <w:rsid w:val="00CF3AA6"/>
    <w:rsid w:val="00CF3D52"/>
    <w:rsid w:val="00CF5B48"/>
    <w:rsid w:val="00CF71C4"/>
    <w:rsid w:val="00CF7D5A"/>
    <w:rsid w:val="00D00281"/>
    <w:rsid w:val="00D00FEF"/>
    <w:rsid w:val="00D01027"/>
    <w:rsid w:val="00D0315C"/>
    <w:rsid w:val="00D0395F"/>
    <w:rsid w:val="00D039F8"/>
    <w:rsid w:val="00D04465"/>
    <w:rsid w:val="00D0488A"/>
    <w:rsid w:val="00D04A7A"/>
    <w:rsid w:val="00D04B4C"/>
    <w:rsid w:val="00D06092"/>
    <w:rsid w:val="00D06263"/>
    <w:rsid w:val="00D063FA"/>
    <w:rsid w:val="00D0682B"/>
    <w:rsid w:val="00D06A2A"/>
    <w:rsid w:val="00D06D7F"/>
    <w:rsid w:val="00D07A7E"/>
    <w:rsid w:val="00D111C6"/>
    <w:rsid w:val="00D12287"/>
    <w:rsid w:val="00D123F2"/>
    <w:rsid w:val="00D136C4"/>
    <w:rsid w:val="00D137E9"/>
    <w:rsid w:val="00D13BA5"/>
    <w:rsid w:val="00D13E06"/>
    <w:rsid w:val="00D14BEB"/>
    <w:rsid w:val="00D15538"/>
    <w:rsid w:val="00D15C96"/>
    <w:rsid w:val="00D1683E"/>
    <w:rsid w:val="00D16C2F"/>
    <w:rsid w:val="00D17D0B"/>
    <w:rsid w:val="00D17D63"/>
    <w:rsid w:val="00D208A2"/>
    <w:rsid w:val="00D20F4C"/>
    <w:rsid w:val="00D22517"/>
    <w:rsid w:val="00D22E21"/>
    <w:rsid w:val="00D22FD4"/>
    <w:rsid w:val="00D232F6"/>
    <w:rsid w:val="00D2345C"/>
    <w:rsid w:val="00D235A3"/>
    <w:rsid w:val="00D23DE6"/>
    <w:rsid w:val="00D244BC"/>
    <w:rsid w:val="00D25081"/>
    <w:rsid w:val="00D2541B"/>
    <w:rsid w:val="00D254A9"/>
    <w:rsid w:val="00D25625"/>
    <w:rsid w:val="00D25E2E"/>
    <w:rsid w:val="00D26196"/>
    <w:rsid w:val="00D2779E"/>
    <w:rsid w:val="00D3043C"/>
    <w:rsid w:val="00D30B02"/>
    <w:rsid w:val="00D314C9"/>
    <w:rsid w:val="00D3169C"/>
    <w:rsid w:val="00D326D4"/>
    <w:rsid w:val="00D33B1B"/>
    <w:rsid w:val="00D33BE6"/>
    <w:rsid w:val="00D34D19"/>
    <w:rsid w:val="00D34D4E"/>
    <w:rsid w:val="00D350BF"/>
    <w:rsid w:val="00D3520F"/>
    <w:rsid w:val="00D3604C"/>
    <w:rsid w:val="00D36D7B"/>
    <w:rsid w:val="00D3758E"/>
    <w:rsid w:val="00D376B7"/>
    <w:rsid w:val="00D37AD6"/>
    <w:rsid w:val="00D37EC6"/>
    <w:rsid w:val="00D4021E"/>
    <w:rsid w:val="00D40299"/>
    <w:rsid w:val="00D416BB"/>
    <w:rsid w:val="00D41B3A"/>
    <w:rsid w:val="00D467B6"/>
    <w:rsid w:val="00D47AC8"/>
    <w:rsid w:val="00D50157"/>
    <w:rsid w:val="00D51B1E"/>
    <w:rsid w:val="00D53B96"/>
    <w:rsid w:val="00D54B67"/>
    <w:rsid w:val="00D54DB3"/>
    <w:rsid w:val="00D55DA4"/>
    <w:rsid w:val="00D56E08"/>
    <w:rsid w:val="00D57102"/>
    <w:rsid w:val="00D57247"/>
    <w:rsid w:val="00D57D4C"/>
    <w:rsid w:val="00D601EE"/>
    <w:rsid w:val="00D6061C"/>
    <w:rsid w:val="00D611ED"/>
    <w:rsid w:val="00D633B7"/>
    <w:rsid w:val="00D63B77"/>
    <w:rsid w:val="00D63B7F"/>
    <w:rsid w:val="00D65905"/>
    <w:rsid w:val="00D65C27"/>
    <w:rsid w:val="00D67BDF"/>
    <w:rsid w:val="00D708AA"/>
    <w:rsid w:val="00D70AFB"/>
    <w:rsid w:val="00D726C5"/>
    <w:rsid w:val="00D72D11"/>
    <w:rsid w:val="00D7324D"/>
    <w:rsid w:val="00D73399"/>
    <w:rsid w:val="00D7465E"/>
    <w:rsid w:val="00D74AD5"/>
    <w:rsid w:val="00D75AAC"/>
    <w:rsid w:val="00D75C36"/>
    <w:rsid w:val="00D75DDF"/>
    <w:rsid w:val="00D76571"/>
    <w:rsid w:val="00D7761B"/>
    <w:rsid w:val="00D7782F"/>
    <w:rsid w:val="00D778E5"/>
    <w:rsid w:val="00D809A8"/>
    <w:rsid w:val="00D80CCB"/>
    <w:rsid w:val="00D810B2"/>
    <w:rsid w:val="00D8180D"/>
    <w:rsid w:val="00D81929"/>
    <w:rsid w:val="00D82691"/>
    <w:rsid w:val="00D83668"/>
    <w:rsid w:val="00D91DF9"/>
    <w:rsid w:val="00D93EB3"/>
    <w:rsid w:val="00D94F0C"/>
    <w:rsid w:val="00D9503A"/>
    <w:rsid w:val="00D957BC"/>
    <w:rsid w:val="00D96394"/>
    <w:rsid w:val="00D97674"/>
    <w:rsid w:val="00D97BE7"/>
    <w:rsid w:val="00DA0FC4"/>
    <w:rsid w:val="00DA21D0"/>
    <w:rsid w:val="00DA2A5C"/>
    <w:rsid w:val="00DA2BE4"/>
    <w:rsid w:val="00DA3A07"/>
    <w:rsid w:val="00DA78E3"/>
    <w:rsid w:val="00DA7D48"/>
    <w:rsid w:val="00DB003C"/>
    <w:rsid w:val="00DB1A0D"/>
    <w:rsid w:val="00DB1D92"/>
    <w:rsid w:val="00DB23FF"/>
    <w:rsid w:val="00DB32DE"/>
    <w:rsid w:val="00DB3658"/>
    <w:rsid w:val="00DB38F4"/>
    <w:rsid w:val="00DB391D"/>
    <w:rsid w:val="00DB3E37"/>
    <w:rsid w:val="00DB4614"/>
    <w:rsid w:val="00DB6143"/>
    <w:rsid w:val="00DB73E4"/>
    <w:rsid w:val="00DB76C2"/>
    <w:rsid w:val="00DC00C8"/>
    <w:rsid w:val="00DC025F"/>
    <w:rsid w:val="00DC17D9"/>
    <w:rsid w:val="00DC1A4D"/>
    <w:rsid w:val="00DC20E5"/>
    <w:rsid w:val="00DC28AF"/>
    <w:rsid w:val="00DC2C1D"/>
    <w:rsid w:val="00DC2F9D"/>
    <w:rsid w:val="00DC3D08"/>
    <w:rsid w:val="00DC4B45"/>
    <w:rsid w:val="00DC51B7"/>
    <w:rsid w:val="00DC538F"/>
    <w:rsid w:val="00DC69E8"/>
    <w:rsid w:val="00DC6C58"/>
    <w:rsid w:val="00DC7578"/>
    <w:rsid w:val="00DD04D9"/>
    <w:rsid w:val="00DD074D"/>
    <w:rsid w:val="00DD09BB"/>
    <w:rsid w:val="00DD1A83"/>
    <w:rsid w:val="00DD2210"/>
    <w:rsid w:val="00DD2B63"/>
    <w:rsid w:val="00DD3067"/>
    <w:rsid w:val="00DD3995"/>
    <w:rsid w:val="00DD41D0"/>
    <w:rsid w:val="00DD740A"/>
    <w:rsid w:val="00DE138A"/>
    <w:rsid w:val="00DE1F76"/>
    <w:rsid w:val="00DE2D16"/>
    <w:rsid w:val="00DE36AA"/>
    <w:rsid w:val="00DE440F"/>
    <w:rsid w:val="00DE7666"/>
    <w:rsid w:val="00DF0A12"/>
    <w:rsid w:val="00DF1A36"/>
    <w:rsid w:val="00DF3261"/>
    <w:rsid w:val="00DF3669"/>
    <w:rsid w:val="00DF39CE"/>
    <w:rsid w:val="00DF3D38"/>
    <w:rsid w:val="00DF41E9"/>
    <w:rsid w:val="00DF5230"/>
    <w:rsid w:val="00DF7843"/>
    <w:rsid w:val="00DF7F69"/>
    <w:rsid w:val="00E01A83"/>
    <w:rsid w:val="00E0221F"/>
    <w:rsid w:val="00E04243"/>
    <w:rsid w:val="00E05CFD"/>
    <w:rsid w:val="00E06025"/>
    <w:rsid w:val="00E06910"/>
    <w:rsid w:val="00E06DEF"/>
    <w:rsid w:val="00E071EF"/>
    <w:rsid w:val="00E10387"/>
    <w:rsid w:val="00E1147C"/>
    <w:rsid w:val="00E11B0E"/>
    <w:rsid w:val="00E1338D"/>
    <w:rsid w:val="00E13C82"/>
    <w:rsid w:val="00E13CCF"/>
    <w:rsid w:val="00E142E5"/>
    <w:rsid w:val="00E146F4"/>
    <w:rsid w:val="00E14F50"/>
    <w:rsid w:val="00E14F54"/>
    <w:rsid w:val="00E15B79"/>
    <w:rsid w:val="00E16166"/>
    <w:rsid w:val="00E1644B"/>
    <w:rsid w:val="00E16DA5"/>
    <w:rsid w:val="00E17BF4"/>
    <w:rsid w:val="00E204D1"/>
    <w:rsid w:val="00E20D13"/>
    <w:rsid w:val="00E2165E"/>
    <w:rsid w:val="00E21E22"/>
    <w:rsid w:val="00E2213C"/>
    <w:rsid w:val="00E229FB"/>
    <w:rsid w:val="00E24938"/>
    <w:rsid w:val="00E25E2A"/>
    <w:rsid w:val="00E269AA"/>
    <w:rsid w:val="00E27F9C"/>
    <w:rsid w:val="00E30CE5"/>
    <w:rsid w:val="00E30F72"/>
    <w:rsid w:val="00E3107F"/>
    <w:rsid w:val="00E3130F"/>
    <w:rsid w:val="00E34679"/>
    <w:rsid w:val="00E36357"/>
    <w:rsid w:val="00E36EE1"/>
    <w:rsid w:val="00E37582"/>
    <w:rsid w:val="00E37F80"/>
    <w:rsid w:val="00E41374"/>
    <w:rsid w:val="00E41469"/>
    <w:rsid w:val="00E41AC3"/>
    <w:rsid w:val="00E41BB8"/>
    <w:rsid w:val="00E41CCA"/>
    <w:rsid w:val="00E41E10"/>
    <w:rsid w:val="00E41E36"/>
    <w:rsid w:val="00E431D2"/>
    <w:rsid w:val="00E43328"/>
    <w:rsid w:val="00E451FB"/>
    <w:rsid w:val="00E4531D"/>
    <w:rsid w:val="00E45631"/>
    <w:rsid w:val="00E46E5F"/>
    <w:rsid w:val="00E502B6"/>
    <w:rsid w:val="00E52249"/>
    <w:rsid w:val="00E537C9"/>
    <w:rsid w:val="00E5386F"/>
    <w:rsid w:val="00E53954"/>
    <w:rsid w:val="00E53CFF"/>
    <w:rsid w:val="00E544DA"/>
    <w:rsid w:val="00E54C38"/>
    <w:rsid w:val="00E55798"/>
    <w:rsid w:val="00E55CD2"/>
    <w:rsid w:val="00E560C6"/>
    <w:rsid w:val="00E56B46"/>
    <w:rsid w:val="00E5757A"/>
    <w:rsid w:val="00E601FA"/>
    <w:rsid w:val="00E607E3"/>
    <w:rsid w:val="00E6185D"/>
    <w:rsid w:val="00E61CDE"/>
    <w:rsid w:val="00E620BC"/>
    <w:rsid w:val="00E6330C"/>
    <w:rsid w:val="00E63764"/>
    <w:rsid w:val="00E63910"/>
    <w:rsid w:val="00E63DCE"/>
    <w:rsid w:val="00E63ED6"/>
    <w:rsid w:val="00E652F4"/>
    <w:rsid w:val="00E6647D"/>
    <w:rsid w:val="00E67A94"/>
    <w:rsid w:val="00E7168C"/>
    <w:rsid w:val="00E72579"/>
    <w:rsid w:val="00E73550"/>
    <w:rsid w:val="00E73E51"/>
    <w:rsid w:val="00E76C92"/>
    <w:rsid w:val="00E80818"/>
    <w:rsid w:val="00E80A4A"/>
    <w:rsid w:val="00E80D71"/>
    <w:rsid w:val="00E818CE"/>
    <w:rsid w:val="00E83E3C"/>
    <w:rsid w:val="00E84EAB"/>
    <w:rsid w:val="00E852E5"/>
    <w:rsid w:val="00E86974"/>
    <w:rsid w:val="00E87955"/>
    <w:rsid w:val="00E87ED5"/>
    <w:rsid w:val="00E903F0"/>
    <w:rsid w:val="00E90EAA"/>
    <w:rsid w:val="00E9195C"/>
    <w:rsid w:val="00E91FA5"/>
    <w:rsid w:val="00E92236"/>
    <w:rsid w:val="00E93B32"/>
    <w:rsid w:val="00E951E0"/>
    <w:rsid w:val="00E952CE"/>
    <w:rsid w:val="00E960B4"/>
    <w:rsid w:val="00E96232"/>
    <w:rsid w:val="00EA03C2"/>
    <w:rsid w:val="00EA15F3"/>
    <w:rsid w:val="00EA2550"/>
    <w:rsid w:val="00EA29B1"/>
    <w:rsid w:val="00EA2C6A"/>
    <w:rsid w:val="00EA2DDD"/>
    <w:rsid w:val="00EA3205"/>
    <w:rsid w:val="00EA498A"/>
    <w:rsid w:val="00EA55AF"/>
    <w:rsid w:val="00EA5B00"/>
    <w:rsid w:val="00EA5F2E"/>
    <w:rsid w:val="00EA69B7"/>
    <w:rsid w:val="00EA7773"/>
    <w:rsid w:val="00EB04CF"/>
    <w:rsid w:val="00EB2A74"/>
    <w:rsid w:val="00EB2C24"/>
    <w:rsid w:val="00EB2CDF"/>
    <w:rsid w:val="00EB361D"/>
    <w:rsid w:val="00EB3808"/>
    <w:rsid w:val="00EB3DE2"/>
    <w:rsid w:val="00EB41C9"/>
    <w:rsid w:val="00EB4C0F"/>
    <w:rsid w:val="00EB6545"/>
    <w:rsid w:val="00EC0277"/>
    <w:rsid w:val="00EC2D85"/>
    <w:rsid w:val="00EC2F8C"/>
    <w:rsid w:val="00EC2FA1"/>
    <w:rsid w:val="00EC3A4C"/>
    <w:rsid w:val="00EC4DB5"/>
    <w:rsid w:val="00EC5298"/>
    <w:rsid w:val="00EC6333"/>
    <w:rsid w:val="00ED071A"/>
    <w:rsid w:val="00ED1458"/>
    <w:rsid w:val="00ED165E"/>
    <w:rsid w:val="00ED224D"/>
    <w:rsid w:val="00ED2410"/>
    <w:rsid w:val="00ED2522"/>
    <w:rsid w:val="00ED3067"/>
    <w:rsid w:val="00ED33C9"/>
    <w:rsid w:val="00ED371E"/>
    <w:rsid w:val="00ED48CC"/>
    <w:rsid w:val="00ED5A0F"/>
    <w:rsid w:val="00ED5F04"/>
    <w:rsid w:val="00ED6353"/>
    <w:rsid w:val="00ED6465"/>
    <w:rsid w:val="00EE07AC"/>
    <w:rsid w:val="00EE0D9C"/>
    <w:rsid w:val="00EE0E40"/>
    <w:rsid w:val="00EE18B8"/>
    <w:rsid w:val="00EE1B5F"/>
    <w:rsid w:val="00EE2182"/>
    <w:rsid w:val="00EE21C5"/>
    <w:rsid w:val="00EE3220"/>
    <w:rsid w:val="00EE3C60"/>
    <w:rsid w:val="00EE3E21"/>
    <w:rsid w:val="00EE6453"/>
    <w:rsid w:val="00EE6AEE"/>
    <w:rsid w:val="00EE7D3D"/>
    <w:rsid w:val="00EF0474"/>
    <w:rsid w:val="00EF09B5"/>
    <w:rsid w:val="00EF0DB4"/>
    <w:rsid w:val="00EF19DE"/>
    <w:rsid w:val="00EF1AF4"/>
    <w:rsid w:val="00EF4296"/>
    <w:rsid w:val="00EF42E3"/>
    <w:rsid w:val="00EF5122"/>
    <w:rsid w:val="00EF56F2"/>
    <w:rsid w:val="00EF74C9"/>
    <w:rsid w:val="00F00055"/>
    <w:rsid w:val="00F000C6"/>
    <w:rsid w:val="00F00404"/>
    <w:rsid w:val="00F00560"/>
    <w:rsid w:val="00F010AD"/>
    <w:rsid w:val="00F024FE"/>
    <w:rsid w:val="00F03B9A"/>
    <w:rsid w:val="00F050B5"/>
    <w:rsid w:val="00F053E0"/>
    <w:rsid w:val="00F07025"/>
    <w:rsid w:val="00F1129C"/>
    <w:rsid w:val="00F12073"/>
    <w:rsid w:val="00F12995"/>
    <w:rsid w:val="00F13B5D"/>
    <w:rsid w:val="00F1417E"/>
    <w:rsid w:val="00F155F2"/>
    <w:rsid w:val="00F15D65"/>
    <w:rsid w:val="00F16111"/>
    <w:rsid w:val="00F16DC7"/>
    <w:rsid w:val="00F16DF8"/>
    <w:rsid w:val="00F16E9D"/>
    <w:rsid w:val="00F17A7C"/>
    <w:rsid w:val="00F17DCB"/>
    <w:rsid w:val="00F24439"/>
    <w:rsid w:val="00F24796"/>
    <w:rsid w:val="00F25F56"/>
    <w:rsid w:val="00F26176"/>
    <w:rsid w:val="00F2630E"/>
    <w:rsid w:val="00F26E03"/>
    <w:rsid w:val="00F27898"/>
    <w:rsid w:val="00F27B01"/>
    <w:rsid w:val="00F30A2B"/>
    <w:rsid w:val="00F323F7"/>
    <w:rsid w:val="00F32BC3"/>
    <w:rsid w:val="00F3346B"/>
    <w:rsid w:val="00F354C7"/>
    <w:rsid w:val="00F358ED"/>
    <w:rsid w:val="00F3613C"/>
    <w:rsid w:val="00F365FA"/>
    <w:rsid w:val="00F36686"/>
    <w:rsid w:val="00F36872"/>
    <w:rsid w:val="00F37655"/>
    <w:rsid w:val="00F407E2"/>
    <w:rsid w:val="00F41E80"/>
    <w:rsid w:val="00F41FCA"/>
    <w:rsid w:val="00F42216"/>
    <w:rsid w:val="00F43A0D"/>
    <w:rsid w:val="00F44070"/>
    <w:rsid w:val="00F443F3"/>
    <w:rsid w:val="00F46AFF"/>
    <w:rsid w:val="00F46FB3"/>
    <w:rsid w:val="00F46FEE"/>
    <w:rsid w:val="00F47BB8"/>
    <w:rsid w:val="00F511A8"/>
    <w:rsid w:val="00F51ABA"/>
    <w:rsid w:val="00F526D9"/>
    <w:rsid w:val="00F53E75"/>
    <w:rsid w:val="00F54B58"/>
    <w:rsid w:val="00F557AA"/>
    <w:rsid w:val="00F5624D"/>
    <w:rsid w:val="00F574B7"/>
    <w:rsid w:val="00F63F0C"/>
    <w:rsid w:val="00F65469"/>
    <w:rsid w:val="00F6560A"/>
    <w:rsid w:val="00F65FF3"/>
    <w:rsid w:val="00F665C2"/>
    <w:rsid w:val="00F66810"/>
    <w:rsid w:val="00F66BA4"/>
    <w:rsid w:val="00F66DCD"/>
    <w:rsid w:val="00F70D56"/>
    <w:rsid w:val="00F71A79"/>
    <w:rsid w:val="00F737BA"/>
    <w:rsid w:val="00F73D09"/>
    <w:rsid w:val="00F73E48"/>
    <w:rsid w:val="00F74A07"/>
    <w:rsid w:val="00F74C5A"/>
    <w:rsid w:val="00F74CC9"/>
    <w:rsid w:val="00F761D0"/>
    <w:rsid w:val="00F767A6"/>
    <w:rsid w:val="00F80726"/>
    <w:rsid w:val="00F80DC1"/>
    <w:rsid w:val="00F80E9A"/>
    <w:rsid w:val="00F81954"/>
    <w:rsid w:val="00F81F00"/>
    <w:rsid w:val="00F82A85"/>
    <w:rsid w:val="00F82B8C"/>
    <w:rsid w:val="00F82B9E"/>
    <w:rsid w:val="00F82CAB"/>
    <w:rsid w:val="00F82CCA"/>
    <w:rsid w:val="00F83AF1"/>
    <w:rsid w:val="00F83B75"/>
    <w:rsid w:val="00F83CCA"/>
    <w:rsid w:val="00F843B6"/>
    <w:rsid w:val="00F87AEF"/>
    <w:rsid w:val="00F91ED3"/>
    <w:rsid w:val="00F922AA"/>
    <w:rsid w:val="00F92AE0"/>
    <w:rsid w:val="00F93A48"/>
    <w:rsid w:val="00F93B01"/>
    <w:rsid w:val="00F93EE1"/>
    <w:rsid w:val="00F93FE7"/>
    <w:rsid w:val="00F956CC"/>
    <w:rsid w:val="00F95985"/>
    <w:rsid w:val="00F95991"/>
    <w:rsid w:val="00F966EE"/>
    <w:rsid w:val="00F96CD6"/>
    <w:rsid w:val="00FA0904"/>
    <w:rsid w:val="00FA095E"/>
    <w:rsid w:val="00FA232D"/>
    <w:rsid w:val="00FA24EC"/>
    <w:rsid w:val="00FA2980"/>
    <w:rsid w:val="00FA29C0"/>
    <w:rsid w:val="00FA5A43"/>
    <w:rsid w:val="00FA64A4"/>
    <w:rsid w:val="00FA6BB3"/>
    <w:rsid w:val="00FB05B5"/>
    <w:rsid w:val="00FB0830"/>
    <w:rsid w:val="00FB0928"/>
    <w:rsid w:val="00FB14FE"/>
    <w:rsid w:val="00FB1A1E"/>
    <w:rsid w:val="00FB2154"/>
    <w:rsid w:val="00FB334B"/>
    <w:rsid w:val="00FB362F"/>
    <w:rsid w:val="00FB37BC"/>
    <w:rsid w:val="00FB4E4D"/>
    <w:rsid w:val="00FB61FA"/>
    <w:rsid w:val="00FB63D2"/>
    <w:rsid w:val="00FB69BD"/>
    <w:rsid w:val="00FB6C4D"/>
    <w:rsid w:val="00FB713D"/>
    <w:rsid w:val="00FB7562"/>
    <w:rsid w:val="00FC163B"/>
    <w:rsid w:val="00FC170F"/>
    <w:rsid w:val="00FC1CA1"/>
    <w:rsid w:val="00FC275B"/>
    <w:rsid w:val="00FC2A54"/>
    <w:rsid w:val="00FC2B82"/>
    <w:rsid w:val="00FC311E"/>
    <w:rsid w:val="00FC3866"/>
    <w:rsid w:val="00FC4043"/>
    <w:rsid w:val="00FC470A"/>
    <w:rsid w:val="00FC5366"/>
    <w:rsid w:val="00FC5B27"/>
    <w:rsid w:val="00FC5BD2"/>
    <w:rsid w:val="00FC5DC1"/>
    <w:rsid w:val="00FC7457"/>
    <w:rsid w:val="00FC7953"/>
    <w:rsid w:val="00FC796C"/>
    <w:rsid w:val="00FD0207"/>
    <w:rsid w:val="00FD1187"/>
    <w:rsid w:val="00FD22BE"/>
    <w:rsid w:val="00FD327B"/>
    <w:rsid w:val="00FD52FD"/>
    <w:rsid w:val="00FD6B3F"/>
    <w:rsid w:val="00FD6EB6"/>
    <w:rsid w:val="00FE16B4"/>
    <w:rsid w:val="00FE1BBB"/>
    <w:rsid w:val="00FE3990"/>
    <w:rsid w:val="00FE3EB5"/>
    <w:rsid w:val="00FE42F6"/>
    <w:rsid w:val="00FE68E8"/>
    <w:rsid w:val="00FE7DC4"/>
    <w:rsid w:val="00FF1A2B"/>
    <w:rsid w:val="00FF1BCC"/>
    <w:rsid w:val="00FF1F5C"/>
    <w:rsid w:val="00FF26B6"/>
    <w:rsid w:val="00FF3566"/>
    <w:rsid w:val="00FF3CCF"/>
    <w:rsid w:val="00FF3EDA"/>
    <w:rsid w:val="00FF444C"/>
    <w:rsid w:val="00FF58D6"/>
    <w:rsid w:val="00FF63F1"/>
    <w:rsid w:val="00FF6908"/>
    <w:rsid w:val="00FF721E"/>
    <w:rsid w:val="00FF7281"/>
    <w:rsid w:val="00FF7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B89AA"/>
  <w15:docId w15:val="{67E721EB-60A4-485D-A299-7B9596F1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35"/>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7E0735"/>
    <w:pPr>
      <w:keepNext/>
      <w:numPr>
        <w:ilvl w:val="1"/>
        <w:numId w:val="1"/>
      </w:numPr>
      <w:spacing w:after="220"/>
      <w:outlineLvl w:val="1"/>
    </w:pPr>
    <w:rPr>
      <w:rFonts w:ascii="Times New Roman Bold" w:hAnsi="Times New Roman Bold"/>
      <w:b/>
    </w:rPr>
  </w:style>
  <w:style w:type="paragraph" w:styleId="Heading3">
    <w:name w:val="heading 3"/>
    <w:basedOn w:val="Normal"/>
    <w:next w:val="Normal"/>
    <w:link w:val="Heading3Char"/>
    <w:qFormat/>
    <w:rsid w:val="007E0735"/>
    <w:pPr>
      <w:keepNext/>
      <w:outlineLvl w:val="2"/>
    </w:pPr>
    <w:rPr>
      <w:u w:val="single"/>
    </w:rPr>
  </w:style>
  <w:style w:type="paragraph" w:styleId="Heading4">
    <w:name w:val="heading 4"/>
    <w:basedOn w:val="Normal"/>
    <w:next w:val="Normal"/>
    <w:link w:val="Heading4Char"/>
    <w:qFormat/>
    <w:rsid w:val="007E0735"/>
    <w:pPr>
      <w:keepNext/>
      <w:numPr>
        <w:ilvl w:val="3"/>
        <w:numId w:val="1"/>
      </w:numPr>
      <w:spacing w:before="240" w:after="60"/>
      <w:outlineLvl w:val="3"/>
    </w:pPr>
    <w:rPr>
      <w:rFonts w:ascii="Arial" w:hAnsi="Arial"/>
      <w:b/>
    </w:rPr>
  </w:style>
  <w:style w:type="paragraph" w:styleId="Heading5">
    <w:name w:val="heading 5"/>
    <w:basedOn w:val="Normal"/>
    <w:next w:val="Normal"/>
    <w:link w:val="Heading5Char"/>
    <w:qFormat/>
    <w:rsid w:val="007E0735"/>
    <w:pPr>
      <w:numPr>
        <w:ilvl w:val="4"/>
        <w:numId w:val="1"/>
      </w:numPr>
      <w:spacing w:before="240" w:after="60"/>
      <w:outlineLvl w:val="4"/>
    </w:pPr>
    <w:rPr>
      <w:sz w:val="22"/>
    </w:rPr>
  </w:style>
  <w:style w:type="paragraph" w:styleId="Heading6">
    <w:name w:val="heading 6"/>
    <w:basedOn w:val="Normal"/>
    <w:next w:val="Normal"/>
    <w:link w:val="Heading6Char"/>
    <w:qFormat/>
    <w:rsid w:val="007E0735"/>
    <w:pPr>
      <w:numPr>
        <w:ilvl w:val="5"/>
        <w:numId w:val="1"/>
      </w:numPr>
      <w:spacing w:before="240" w:after="60"/>
      <w:outlineLvl w:val="5"/>
    </w:pPr>
    <w:rPr>
      <w:i/>
      <w:sz w:val="22"/>
    </w:rPr>
  </w:style>
  <w:style w:type="paragraph" w:styleId="Heading7">
    <w:name w:val="heading 7"/>
    <w:basedOn w:val="Normal"/>
    <w:next w:val="Normal"/>
    <w:link w:val="Heading7Char"/>
    <w:qFormat/>
    <w:rsid w:val="007E0735"/>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7E0735"/>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7E073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0735"/>
    <w:rPr>
      <w:rFonts w:ascii="Times New Roman Bold" w:eastAsia="Times New Roman" w:hAnsi="Times New Roman Bold" w:cs="Times New Roman"/>
      <w:b/>
      <w:sz w:val="24"/>
      <w:szCs w:val="20"/>
    </w:rPr>
  </w:style>
  <w:style w:type="character" w:customStyle="1" w:styleId="Heading3Char">
    <w:name w:val="Heading 3 Char"/>
    <w:basedOn w:val="DefaultParagraphFont"/>
    <w:link w:val="Heading3"/>
    <w:rsid w:val="007E0735"/>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7E0735"/>
    <w:rPr>
      <w:rFonts w:ascii="Arial" w:eastAsia="Times New Roman" w:hAnsi="Arial" w:cs="Times New Roman"/>
      <w:b/>
      <w:sz w:val="24"/>
      <w:szCs w:val="20"/>
    </w:rPr>
  </w:style>
  <w:style w:type="character" w:customStyle="1" w:styleId="Heading5Char">
    <w:name w:val="Heading 5 Char"/>
    <w:basedOn w:val="DefaultParagraphFont"/>
    <w:link w:val="Heading5"/>
    <w:rsid w:val="007E0735"/>
    <w:rPr>
      <w:rFonts w:ascii="Times New Roman" w:eastAsia="Times New Roman" w:hAnsi="Times New Roman" w:cs="Times New Roman"/>
      <w:szCs w:val="20"/>
    </w:rPr>
  </w:style>
  <w:style w:type="character" w:customStyle="1" w:styleId="Heading6Char">
    <w:name w:val="Heading 6 Char"/>
    <w:basedOn w:val="DefaultParagraphFont"/>
    <w:link w:val="Heading6"/>
    <w:rsid w:val="007E0735"/>
    <w:rPr>
      <w:rFonts w:ascii="Times New Roman" w:eastAsia="Times New Roman" w:hAnsi="Times New Roman" w:cs="Times New Roman"/>
      <w:i/>
      <w:szCs w:val="20"/>
    </w:rPr>
  </w:style>
  <w:style w:type="character" w:customStyle="1" w:styleId="Heading7Char">
    <w:name w:val="Heading 7 Char"/>
    <w:basedOn w:val="DefaultParagraphFont"/>
    <w:link w:val="Heading7"/>
    <w:rsid w:val="007E0735"/>
    <w:rPr>
      <w:rFonts w:ascii="Arial" w:eastAsia="Times New Roman" w:hAnsi="Arial" w:cs="Times New Roman"/>
      <w:sz w:val="24"/>
      <w:szCs w:val="20"/>
    </w:rPr>
  </w:style>
  <w:style w:type="character" w:customStyle="1" w:styleId="Heading8Char">
    <w:name w:val="Heading 8 Char"/>
    <w:basedOn w:val="DefaultParagraphFont"/>
    <w:link w:val="Heading8"/>
    <w:rsid w:val="007E0735"/>
    <w:rPr>
      <w:rFonts w:ascii="Arial" w:eastAsia="Times New Roman" w:hAnsi="Arial" w:cs="Times New Roman"/>
      <w:i/>
      <w:sz w:val="24"/>
      <w:szCs w:val="20"/>
    </w:rPr>
  </w:style>
  <w:style w:type="character" w:customStyle="1" w:styleId="Heading9Char">
    <w:name w:val="Heading 9 Char"/>
    <w:basedOn w:val="DefaultParagraphFont"/>
    <w:link w:val="Heading9"/>
    <w:rsid w:val="007E0735"/>
    <w:rPr>
      <w:rFonts w:ascii="Arial" w:eastAsia="Times New Roman" w:hAnsi="Arial" w:cs="Times New Roman"/>
      <w:b/>
      <w:i/>
      <w:sz w:val="18"/>
      <w:szCs w:val="20"/>
    </w:rPr>
  </w:style>
  <w:style w:type="paragraph" w:customStyle="1" w:styleId="Numberedparagraphs">
    <w:name w:val="Numbered paragraphs"/>
    <w:basedOn w:val="Normal"/>
    <w:rsid w:val="007E0735"/>
    <w:pPr>
      <w:numPr>
        <w:ilvl w:val="2"/>
        <w:numId w:val="1"/>
      </w:numPr>
      <w:tabs>
        <w:tab w:val="left" w:pos="1440"/>
      </w:tabs>
      <w:spacing w:after="220"/>
    </w:pPr>
  </w:style>
  <w:style w:type="paragraph" w:customStyle="1" w:styleId="ParaNum">
    <w:name w:val="ParaNum"/>
    <w:basedOn w:val="Normal"/>
    <w:link w:val="ParaNumChar"/>
    <w:rsid w:val="007E0735"/>
    <w:pPr>
      <w:widowControl w:val="0"/>
      <w:numPr>
        <w:numId w:val="2"/>
      </w:numPr>
      <w:spacing w:after="220"/>
      <w:jc w:val="both"/>
    </w:pPr>
    <w:rPr>
      <w:snapToGrid w:val="0"/>
      <w:kern w:val="28"/>
      <w:sz w:val="22"/>
    </w:rPr>
  </w:style>
  <w:style w:type="paragraph" w:customStyle="1" w:styleId="ParaNumChar1">
    <w:name w:val="ParaNum Char1"/>
    <w:basedOn w:val="Normal"/>
    <w:link w:val="ParaNumChar1Char"/>
    <w:rsid w:val="007E0735"/>
    <w:pPr>
      <w:widowControl w:val="0"/>
      <w:tabs>
        <w:tab w:val="num" w:pos="1080"/>
        <w:tab w:val="left" w:pos="1440"/>
      </w:tabs>
      <w:spacing w:after="220"/>
      <w:ind w:firstLine="720"/>
    </w:pPr>
    <w:rPr>
      <w:sz w:val="22"/>
    </w:rPr>
  </w:style>
  <w:style w:type="character" w:customStyle="1" w:styleId="ParaNumChar1Char">
    <w:name w:val="ParaNum Char1 Char"/>
    <w:link w:val="ParaNumChar1"/>
    <w:rsid w:val="007E0735"/>
    <w:rPr>
      <w:rFonts w:ascii="Times New Roman" w:eastAsia="Times New Roman" w:hAnsi="Times New Roman" w:cs="Times New Roman"/>
      <w:szCs w:val="20"/>
    </w:rPr>
  </w:style>
  <w:style w:type="paragraph" w:styleId="Header">
    <w:name w:val="header"/>
    <w:basedOn w:val="Normal"/>
    <w:link w:val="HeaderChar"/>
    <w:uiPriority w:val="99"/>
    <w:unhideWhenUsed/>
    <w:rsid w:val="00C72C3F"/>
    <w:pPr>
      <w:tabs>
        <w:tab w:val="center" w:pos="4680"/>
        <w:tab w:val="right" w:pos="9360"/>
      </w:tabs>
    </w:pPr>
  </w:style>
  <w:style w:type="character" w:customStyle="1" w:styleId="HeaderChar">
    <w:name w:val="Header Char"/>
    <w:basedOn w:val="DefaultParagraphFont"/>
    <w:link w:val="Header"/>
    <w:uiPriority w:val="99"/>
    <w:rsid w:val="00C72C3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72C3F"/>
    <w:pPr>
      <w:tabs>
        <w:tab w:val="center" w:pos="4680"/>
        <w:tab w:val="right" w:pos="9360"/>
      </w:tabs>
    </w:pPr>
  </w:style>
  <w:style w:type="character" w:customStyle="1" w:styleId="FooterChar">
    <w:name w:val="Footer Char"/>
    <w:basedOn w:val="DefaultParagraphFont"/>
    <w:link w:val="Footer"/>
    <w:uiPriority w:val="99"/>
    <w:rsid w:val="00C72C3F"/>
    <w:rPr>
      <w:rFonts w:ascii="Times New Roman" w:eastAsia="Times New Roman" w:hAnsi="Times New Roman" w:cs="Times New Roman"/>
      <w:sz w:val="24"/>
      <w:szCs w:val="20"/>
    </w:rPr>
  </w:style>
  <w:style w:type="paragraph" w:styleId="FootnoteText">
    <w:name w:val="footnote text"/>
    <w:aliases w:val="ALTS FOOTNOTE,fn,Footnote Text Char2 Char,Footnote Text Char3 Char1 Char,Footnote Text Char2 Char1 Char1 Char,Footnote Text Char3 Char1 Char Char Char,Footnote Text Char2 Char1 Char1 Char Char Char,fn Char1,f,Footnote Text Cha,fn ,fn Ch"/>
    <w:basedOn w:val="Normal"/>
    <w:link w:val="FootnoteTextChar"/>
    <w:unhideWhenUsed/>
    <w:qFormat/>
    <w:rsid w:val="009520AB"/>
    <w:rPr>
      <w:sz w:val="20"/>
    </w:rPr>
  </w:style>
  <w:style w:type="character" w:customStyle="1" w:styleId="FootnoteTextChar">
    <w:name w:val="Footnote Text Char"/>
    <w:aliases w:val="ALTS FOOTNOTE Char,fn Char,Footnote Text Char2 Char Char,Footnote Text Char3 Char1 Char Char,Footnote Text Char2 Char1 Char1 Char Char,Footnote Text Char3 Char1 Char Char Char Char,Footnote Text Char2 Char1 Char1 Char Char Char Char"/>
    <w:basedOn w:val="DefaultParagraphFont"/>
    <w:link w:val="FootnoteText"/>
    <w:rsid w:val="009520AB"/>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Style 7,Style 4,Footnote Reference1,Style 34,Style 9,Style 20,callout,-E Funotenzeichen,A,Ref,Style 1"/>
    <w:basedOn w:val="DefaultParagraphFont"/>
    <w:unhideWhenUsed/>
    <w:rsid w:val="009520AB"/>
    <w:rPr>
      <w:vertAlign w:val="superscript"/>
    </w:rPr>
  </w:style>
  <w:style w:type="character" w:styleId="CommentReference">
    <w:name w:val="annotation reference"/>
    <w:basedOn w:val="DefaultParagraphFont"/>
    <w:uiPriority w:val="99"/>
    <w:semiHidden/>
    <w:unhideWhenUsed/>
    <w:rsid w:val="00BC2D3B"/>
    <w:rPr>
      <w:sz w:val="16"/>
      <w:szCs w:val="16"/>
    </w:rPr>
  </w:style>
  <w:style w:type="paragraph" w:styleId="CommentText">
    <w:name w:val="annotation text"/>
    <w:basedOn w:val="Normal"/>
    <w:link w:val="CommentTextChar"/>
    <w:uiPriority w:val="99"/>
    <w:unhideWhenUsed/>
    <w:rsid w:val="00BC2D3B"/>
    <w:rPr>
      <w:sz w:val="20"/>
    </w:rPr>
  </w:style>
  <w:style w:type="character" w:customStyle="1" w:styleId="CommentTextChar">
    <w:name w:val="Comment Text Char"/>
    <w:basedOn w:val="DefaultParagraphFont"/>
    <w:link w:val="CommentText"/>
    <w:uiPriority w:val="99"/>
    <w:rsid w:val="00BC2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D3B"/>
    <w:rPr>
      <w:b/>
      <w:bCs/>
    </w:rPr>
  </w:style>
  <w:style w:type="character" w:customStyle="1" w:styleId="CommentSubjectChar">
    <w:name w:val="Comment Subject Char"/>
    <w:basedOn w:val="CommentTextChar"/>
    <w:link w:val="CommentSubject"/>
    <w:uiPriority w:val="99"/>
    <w:semiHidden/>
    <w:rsid w:val="00BC2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3B"/>
    <w:rPr>
      <w:rFonts w:ascii="Segoe UI" w:eastAsia="Times New Roman" w:hAnsi="Segoe UI" w:cs="Segoe UI"/>
      <w:sz w:val="18"/>
      <w:szCs w:val="18"/>
    </w:rPr>
  </w:style>
  <w:style w:type="character" w:customStyle="1" w:styleId="apple-converted-space">
    <w:name w:val="apple-converted-space"/>
    <w:basedOn w:val="DefaultParagraphFont"/>
    <w:rsid w:val="004864C9"/>
  </w:style>
  <w:style w:type="character" w:styleId="PageNumber">
    <w:name w:val="page number"/>
    <w:basedOn w:val="DefaultParagraphFont"/>
    <w:uiPriority w:val="99"/>
    <w:semiHidden/>
    <w:unhideWhenUsed/>
    <w:rsid w:val="00BC352C"/>
  </w:style>
  <w:style w:type="paragraph" w:styleId="Revision">
    <w:name w:val="Revision"/>
    <w:hidden/>
    <w:uiPriority w:val="99"/>
    <w:semiHidden/>
    <w:rsid w:val="00D17D6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17D63"/>
    <w:pPr>
      <w:ind w:left="720"/>
      <w:contextualSpacing/>
    </w:pPr>
  </w:style>
  <w:style w:type="character" w:customStyle="1" w:styleId="ParaNumChar">
    <w:name w:val="ParaNum Char"/>
    <w:link w:val="ParaNum"/>
    <w:locked/>
    <w:rsid w:val="00A8391D"/>
    <w:rPr>
      <w:rFonts w:ascii="Times New Roman" w:eastAsia="Times New Roman" w:hAnsi="Times New Roman" w:cs="Times New Roman"/>
      <w:snapToGrid w:val="0"/>
      <w:kern w:val="28"/>
      <w:szCs w:val="20"/>
    </w:rPr>
  </w:style>
  <w:style w:type="character" w:styleId="Hyperlink">
    <w:name w:val="Hyperlink"/>
    <w:basedOn w:val="DefaultParagraphFont"/>
    <w:uiPriority w:val="99"/>
    <w:unhideWhenUsed/>
    <w:rsid w:val="00343277"/>
    <w:rPr>
      <w:color w:val="0563C1" w:themeColor="hyperlink"/>
      <w:u w:val="single"/>
    </w:rPr>
  </w:style>
  <w:style w:type="character" w:customStyle="1" w:styleId="UnresolvedMention1">
    <w:name w:val="Unresolved Mention1"/>
    <w:basedOn w:val="DefaultParagraphFont"/>
    <w:uiPriority w:val="99"/>
    <w:semiHidden/>
    <w:unhideWhenUsed/>
    <w:rsid w:val="00343277"/>
    <w:rPr>
      <w:color w:val="605E5C"/>
      <w:shd w:val="clear" w:color="auto" w:fill="E1DFDD"/>
    </w:rPr>
  </w:style>
  <w:style w:type="character" w:customStyle="1" w:styleId="FootnoteTextChar1">
    <w:name w:val="Footnote Text Char1"/>
    <w:aliases w:val="ALTS FOOTNOTE Char1,ALTS FOOTNOTE Char Char,Footnote Text Char Char1,Footnote Text Char Char Char Char,Footnote Text Char Char Char Char Char Char Char,Footnote Text Char1 Char Char,Footnote Text Char1 Char1 Char Char Char Char"/>
    <w:rsid w:val="00561293"/>
  </w:style>
  <w:style w:type="character" w:styleId="UnresolvedMention">
    <w:name w:val="Unresolved Mention"/>
    <w:basedOn w:val="DefaultParagraphFont"/>
    <w:uiPriority w:val="99"/>
    <w:semiHidden/>
    <w:unhideWhenUsed/>
    <w:rsid w:val="00143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248567">
      <w:bodyDiv w:val="1"/>
      <w:marLeft w:val="0"/>
      <w:marRight w:val="0"/>
      <w:marTop w:val="0"/>
      <w:marBottom w:val="0"/>
      <w:divBdr>
        <w:top w:val="none" w:sz="0" w:space="0" w:color="auto"/>
        <w:left w:val="none" w:sz="0" w:space="0" w:color="auto"/>
        <w:bottom w:val="none" w:sz="0" w:space="0" w:color="auto"/>
        <w:right w:val="none" w:sz="0" w:space="0" w:color="auto"/>
      </w:divBdr>
      <w:divsChild>
        <w:div w:id="963730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2428">
              <w:marLeft w:val="0"/>
              <w:marRight w:val="0"/>
              <w:marTop w:val="0"/>
              <w:marBottom w:val="0"/>
              <w:divBdr>
                <w:top w:val="none" w:sz="0" w:space="0" w:color="auto"/>
                <w:left w:val="none" w:sz="0" w:space="0" w:color="auto"/>
                <w:bottom w:val="none" w:sz="0" w:space="0" w:color="auto"/>
                <w:right w:val="none" w:sz="0" w:space="0" w:color="auto"/>
              </w:divBdr>
              <w:divsChild>
                <w:div w:id="14642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99368">
      <w:bodyDiv w:val="1"/>
      <w:marLeft w:val="0"/>
      <w:marRight w:val="0"/>
      <w:marTop w:val="0"/>
      <w:marBottom w:val="0"/>
      <w:divBdr>
        <w:top w:val="none" w:sz="0" w:space="0" w:color="auto"/>
        <w:left w:val="none" w:sz="0" w:space="0" w:color="auto"/>
        <w:bottom w:val="none" w:sz="0" w:space="0" w:color="auto"/>
        <w:right w:val="none" w:sz="0" w:space="0" w:color="auto"/>
      </w:divBdr>
      <w:divsChild>
        <w:div w:id="2061123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992">
              <w:marLeft w:val="0"/>
              <w:marRight w:val="0"/>
              <w:marTop w:val="0"/>
              <w:marBottom w:val="0"/>
              <w:divBdr>
                <w:top w:val="none" w:sz="0" w:space="0" w:color="auto"/>
                <w:left w:val="none" w:sz="0" w:space="0" w:color="auto"/>
                <w:bottom w:val="none" w:sz="0" w:space="0" w:color="auto"/>
                <w:right w:val="none" w:sz="0" w:space="0" w:color="auto"/>
              </w:divBdr>
              <w:divsChild>
                <w:div w:id="3008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cc.gov/general/ics-data-collections" TargetMode="External"/><Relationship Id="rId2" Type="http://schemas.openxmlformats.org/officeDocument/2006/relationships/hyperlink" Target="https://www.fcc.gov/general/ics-data-collections" TargetMode="External"/><Relationship Id="rId1" Type="http://schemas.openxmlformats.org/officeDocument/2006/relationships/hyperlink" Target="https://www.fcc.gov/general/ics-data-col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AF2A9-E9BC-7548-A469-0A5E4BC0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2771</Words>
  <Characters>15800</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18534</CharactersWithSpaces>
  <SharedDoc>false</SharedDoc>
  <HLinks>
    <vt:vector size="18" baseType="variant">
      <vt:variant>
        <vt:i4>4653059</vt:i4>
      </vt:variant>
      <vt:variant>
        <vt:i4>6</vt:i4>
      </vt:variant>
      <vt:variant>
        <vt:i4>0</vt:i4>
      </vt:variant>
      <vt:variant>
        <vt:i4>5</vt:i4>
      </vt:variant>
      <vt:variant>
        <vt:lpwstr>https://www.fcc.gov/general/ics-data-collections</vt:lpwstr>
      </vt:variant>
      <vt:variant>
        <vt:lpwstr/>
      </vt:variant>
      <vt:variant>
        <vt:i4>4653059</vt:i4>
      </vt:variant>
      <vt:variant>
        <vt:i4>3</vt:i4>
      </vt:variant>
      <vt:variant>
        <vt:i4>0</vt:i4>
      </vt:variant>
      <vt:variant>
        <vt:i4>5</vt:i4>
      </vt:variant>
      <vt:variant>
        <vt:lpwstr>https://www.fcc.gov/general/ics-data-collections</vt:lpwstr>
      </vt:variant>
      <vt:variant>
        <vt:lpwstr/>
      </vt:variant>
      <vt:variant>
        <vt:i4>4653059</vt:i4>
      </vt:variant>
      <vt:variant>
        <vt:i4>0</vt:i4>
      </vt:variant>
      <vt:variant>
        <vt:i4>0</vt:i4>
      </vt:variant>
      <vt:variant>
        <vt:i4>5</vt:i4>
      </vt:variant>
      <vt:variant>
        <vt:lpwstr>https://www.fcc.gov/general/ics-data-collections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Sanquist</dc:creator>
  <cp:keywords/>
  <dc:description/>
  <cp:lastModifiedBy>Nicole Ongele</cp:lastModifiedBy>
  <cp:revision>2</cp:revision>
  <cp:lastPrinted>2022-05-10T01:07:00Z</cp:lastPrinted>
  <dcterms:created xsi:type="dcterms:W3CDTF">2022-07-22T12:11:00Z</dcterms:created>
  <dcterms:modified xsi:type="dcterms:W3CDTF">2022-07-22T12:11:00Z</dcterms:modified>
</cp:coreProperties>
</file>