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2810" w:rsidR="00814E5D" w:rsidP="00814E5D" w:rsidRDefault="00814E5D" w14:paraId="31EF71D8" w14:textId="6266D038">
      <w:pPr>
        <w:keepNext/>
        <w:spacing w:after="0" w:line="240" w:lineRule="auto"/>
        <w:outlineLvl w:val="2"/>
        <w:rPr>
          <w:rFonts w:ascii="Times New Roman" w:hAnsi="Times New Roman" w:eastAsia="Times New Roman" w:cs="Times New Roman"/>
          <w:b/>
          <w:noProof/>
        </w:rPr>
      </w:pPr>
      <w:r w:rsidRPr="00832810">
        <w:rPr>
          <w:rFonts w:ascii="Times New Roman" w:hAnsi="Times New Roman" w:eastAsia="Times New Roman" w:cs="Times New Roman"/>
          <w:b/>
          <w:u w:val="single"/>
        </w:rPr>
        <w:t>New collection</w:t>
      </w:r>
      <w:r w:rsidRPr="00832810">
        <w:rPr>
          <w:rFonts w:ascii="Times New Roman" w:hAnsi="Times New Roman" w:eastAsia="Times New Roman" w:cs="Times New Roman"/>
          <w:b/>
        </w:rPr>
        <w:t xml:space="preserve">: </w:t>
      </w:r>
      <w:r w:rsidRPr="00832810">
        <w:rPr>
          <w:rFonts w:ascii="Times New Roman" w:hAnsi="Times New Roman" w:eastAsia="Times New Roman" w:cs="Times New Roman"/>
          <w:b/>
          <w:noProof/>
        </w:rPr>
        <w:t xml:space="preserve"> Inmate Calling Services </w:t>
      </w:r>
      <w:r w:rsidRPr="00832810" w:rsidR="00AB1E14">
        <w:rPr>
          <w:rFonts w:ascii="Times New Roman" w:hAnsi="Times New Roman" w:eastAsia="Times New Roman" w:cs="Times New Roman"/>
          <w:b/>
          <w:noProof/>
        </w:rPr>
        <w:t xml:space="preserve">(ICS) </w:t>
      </w:r>
      <w:r w:rsidRPr="00832810">
        <w:rPr>
          <w:rFonts w:ascii="Times New Roman" w:hAnsi="Times New Roman" w:eastAsia="Times New Roman" w:cs="Times New Roman"/>
          <w:b/>
          <w:noProof/>
        </w:rPr>
        <w:t>20</w:t>
      </w:r>
      <w:r w:rsidRPr="00832810" w:rsidR="0066189D">
        <w:rPr>
          <w:rFonts w:ascii="Times New Roman" w:hAnsi="Times New Roman" w:eastAsia="Times New Roman" w:cs="Times New Roman"/>
          <w:b/>
          <w:noProof/>
        </w:rPr>
        <w:t>2</w:t>
      </w:r>
      <w:r w:rsidR="00670BB2">
        <w:rPr>
          <w:rFonts w:ascii="Times New Roman" w:hAnsi="Times New Roman" w:eastAsia="Times New Roman" w:cs="Times New Roman"/>
          <w:b/>
          <w:noProof/>
        </w:rPr>
        <w:t>2</w:t>
      </w:r>
      <w:r w:rsidRPr="00832810">
        <w:rPr>
          <w:rFonts w:ascii="Times New Roman" w:hAnsi="Times New Roman" w:eastAsia="Times New Roman" w:cs="Times New Roman"/>
          <w:b/>
          <w:noProof/>
        </w:rPr>
        <w:t xml:space="preserve"> One-Time </w:t>
      </w:r>
      <w:r w:rsidRPr="00832810">
        <w:rPr>
          <w:rFonts w:ascii="Times New Roman" w:hAnsi="Times New Roman" w:eastAsia="Times New Roman" w:cs="Times New Roman"/>
          <w:b/>
          <w:noProof/>
        </w:rPr>
        <w:tab/>
      </w:r>
      <w:r w:rsidRPr="00832810">
        <w:rPr>
          <w:rFonts w:ascii="Times New Roman" w:hAnsi="Times New Roman" w:eastAsia="Times New Roman" w:cs="Times New Roman"/>
          <w:b/>
          <w:noProof/>
        </w:rPr>
        <w:tab/>
        <w:t xml:space="preserve"> </w:t>
      </w:r>
      <w:r w:rsidRPr="00832810" w:rsidR="00AB1E14">
        <w:rPr>
          <w:rFonts w:ascii="Times New Roman" w:hAnsi="Times New Roman" w:eastAsia="Times New Roman" w:cs="Times New Roman"/>
          <w:b/>
          <w:noProof/>
        </w:rPr>
        <w:tab/>
      </w:r>
      <w:r w:rsidR="00BD24C2">
        <w:rPr>
          <w:rFonts w:ascii="Times New Roman" w:hAnsi="Times New Roman" w:eastAsia="Times New Roman" w:cs="Times New Roman"/>
          <w:b/>
          <w:noProof/>
        </w:rPr>
        <w:t xml:space="preserve">  </w:t>
      </w:r>
      <w:r w:rsidRPr="00832810">
        <w:rPr>
          <w:rFonts w:ascii="Times New Roman" w:hAnsi="Times New Roman" w:eastAsia="Times New Roman" w:cs="Times New Roman"/>
          <w:b/>
        </w:rPr>
        <w:t>3060-XXXX</w:t>
      </w:r>
    </w:p>
    <w:p w:rsidRPr="00832810" w:rsidR="00E10661" w:rsidP="00814E5D" w:rsidRDefault="00814E5D" w14:paraId="49EF44EF" w14:textId="286CA4D3">
      <w:pPr>
        <w:keepNext/>
        <w:spacing w:after="0" w:line="240" w:lineRule="auto"/>
        <w:outlineLvl w:val="2"/>
        <w:rPr>
          <w:rFonts w:ascii="Times New Roman" w:hAnsi="Times New Roman" w:eastAsia="Times New Roman" w:cs="Times New Roman"/>
          <w:b/>
          <w:noProof/>
        </w:rPr>
      </w:pPr>
      <w:r w:rsidRPr="00832810">
        <w:rPr>
          <w:rFonts w:ascii="Times New Roman" w:hAnsi="Times New Roman" w:eastAsia="Times New Roman" w:cs="Times New Roman"/>
          <w:b/>
          <w:noProof/>
        </w:rPr>
        <w:t>Data Collection,</w:t>
      </w:r>
      <w:r w:rsidRPr="00832810">
        <w:rPr>
          <w:rFonts w:ascii="Times New Roman" w:hAnsi="Times New Roman" w:eastAsia="Times New Roman" w:cs="Times New Roman"/>
          <w:b/>
        </w:rPr>
        <w:t xml:space="preserve"> WC Docket No. 12-375, FCC </w:t>
      </w:r>
      <w:r w:rsidRPr="00832810" w:rsidR="00BB4651">
        <w:rPr>
          <w:rFonts w:ascii="Times New Roman" w:hAnsi="Times New Roman" w:eastAsia="Times New Roman" w:cs="Times New Roman"/>
          <w:b/>
        </w:rPr>
        <w:t>21-60</w:t>
      </w:r>
      <w:r w:rsidRPr="00832810">
        <w:rPr>
          <w:rFonts w:ascii="Times New Roman" w:hAnsi="Times New Roman" w:eastAsia="Times New Roman" w:cs="Times New Roman"/>
          <w:b/>
          <w:noProof/>
        </w:rPr>
        <w:tab/>
      </w:r>
      <w:r w:rsidRPr="00832810">
        <w:rPr>
          <w:rFonts w:ascii="Times New Roman" w:hAnsi="Times New Roman" w:eastAsia="Times New Roman" w:cs="Times New Roman"/>
          <w:b/>
          <w:noProof/>
        </w:rPr>
        <w:tab/>
      </w:r>
      <w:r w:rsidRPr="00832810">
        <w:rPr>
          <w:rFonts w:ascii="Times New Roman" w:hAnsi="Times New Roman" w:eastAsia="Times New Roman" w:cs="Times New Roman"/>
          <w:b/>
          <w:noProof/>
        </w:rPr>
        <w:tab/>
      </w:r>
      <w:r w:rsidRPr="00832810">
        <w:rPr>
          <w:rFonts w:ascii="Times New Roman" w:hAnsi="Times New Roman" w:eastAsia="Times New Roman" w:cs="Times New Roman"/>
          <w:b/>
          <w:noProof/>
        </w:rPr>
        <w:tab/>
      </w:r>
      <w:r w:rsidR="009E7351">
        <w:rPr>
          <w:rFonts w:ascii="Times New Roman" w:hAnsi="Times New Roman" w:eastAsia="Times New Roman" w:cs="Times New Roman"/>
          <w:b/>
          <w:noProof/>
        </w:rPr>
        <w:tab/>
      </w:r>
      <w:r w:rsidR="00BD24C2">
        <w:rPr>
          <w:rFonts w:ascii="Times New Roman" w:hAnsi="Times New Roman" w:eastAsia="Times New Roman" w:cs="Times New Roman"/>
          <w:b/>
          <w:noProof/>
        </w:rPr>
        <w:t xml:space="preserve">January </w:t>
      </w:r>
      <w:r w:rsidR="00995425">
        <w:rPr>
          <w:rFonts w:ascii="Times New Roman" w:hAnsi="Times New Roman" w:eastAsia="Times New Roman" w:cs="Times New Roman"/>
          <w:b/>
          <w:noProof/>
        </w:rPr>
        <w:t>2022</w:t>
      </w:r>
      <w:r w:rsidRPr="00832810" w:rsidR="0066189D">
        <w:rPr>
          <w:rFonts w:ascii="Times New Roman" w:hAnsi="Times New Roman" w:eastAsia="Times New Roman" w:cs="Times New Roman"/>
          <w:b/>
          <w:noProof/>
        </w:rPr>
        <w:t xml:space="preserve">             </w:t>
      </w:r>
    </w:p>
    <w:p w:rsidRPr="00832810" w:rsidR="00E10661" w:rsidP="00E10661" w:rsidRDefault="00E10661" w14:paraId="7B345A04" w14:textId="77777777">
      <w:pPr>
        <w:keepNext/>
        <w:spacing w:after="0" w:line="240" w:lineRule="auto"/>
        <w:outlineLvl w:val="2"/>
        <w:rPr>
          <w:rFonts w:ascii="Times New Roman" w:hAnsi="Times New Roman" w:eastAsia="Times New Roman" w:cs="Times New Roman"/>
          <w:u w:val="single"/>
        </w:rPr>
      </w:pPr>
    </w:p>
    <w:p w:rsidRPr="00832810" w:rsidR="00E10661" w:rsidP="00213B73" w:rsidRDefault="00E10661" w14:paraId="226E3973" w14:textId="77777777">
      <w:pPr>
        <w:keepNext/>
        <w:spacing w:after="120" w:line="240" w:lineRule="auto"/>
        <w:jc w:val="center"/>
        <w:outlineLvl w:val="2"/>
        <w:rPr>
          <w:rFonts w:ascii="Times New Roman" w:hAnsi="Times New Roman" w:eastAsia="Times New Roman" w:cs="Times New Roman"/>
          <w:b/>
        </w:rPr>
      </w:pPr>
      <w:r w:rsidRPr="00832810">
        <w:rPr>
          <w:rFonts w:ascii="Times New Roman" w:hAnsi="Times New Roman" w:eastAsia="Times New Roman" w:cs="Times New Roman"/>
          <w:b/>
        </w:rPr>
        <w:t>SUPPORTING STATEMENT</w:t>
      </w:r>
    </w:p>
    <w:p w:rsidR="00EB7738" w:rsidP="00832810" w:rsidRDefault="00EB7738" w14:paraId="59CA7859" w14:textId="230C61FA">
      <w:pPr>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r>
      <w:r w:rsidRPr="00832810" w:rsidR="00BC055E">
        <w:rPr>
          <w:rFonts w:ascii="Times New Roman" w:hAnsi="Times New Roman" w:eastAsia="Times New Roman" w:cs="Times New Roman"/>
        </w:rPr>
        <w:t>T</w:t>
      </w:r>
      <w:r w:rsidRPr="00832810" w:rsidR="00BC055E">
        <w:rPr>
          <w:rFonts w:ascii="Times New Roman" w:hAnsi="Times New Roman" w:cs="Times New Roman"/>
        </w:rPr>
        <w:t xml:space="preserve">his submission is being made pursuant to 44 U.S.C. § 3507 of the Paperwork Reduction Act of 1995 </w:t>
      </w:r>
      <w:r w:rsidRPr="00832810" w:rsidR="006D7FC9">
        <w:rPr>
          <w:rFonts w:ascii="Times New Roman" w:hAnsi="Times New Roman" w:cs="Times New Roman"/>
        </w:rPr>
        <w:t xml:space="preserve">to obtain approval from the Office of Management and Budget (OMB) for a new </w:t>
      </w:r>
      <w:r w:rsidRPr="00832810">
        <w:rPr>
          <w:rFonts w:ascii="Times New Roman" w:hAnsi="Times New Roman" w:eastAsia="Times New Roman" w:cs="Times New Roman"/>
        </w:rPr>
        <w:t xml:space="preserve">one-time mandatory collection </w:t>
      </w:r>
      <w:r w:rsidRPr="00832810" w:rsidR="006D7FC9">
        <w:rPr>
          <w:rFonts w:ascii="Times New Roman" w:hAnsi="Times New Roman" w:eastAsia="Times New Roman" w:cs="Times New Roman"/>
        </w:rPr>
        <w:t xml:space="preserve">to obtain data and information </w:t>
      </w:r>
      <w:r w:rsidRPr="00832810">
        <w:rPr>
          <w:rFonts w:ascii="Times New Roman" w:hAnsi="Times New Roman" w:eastAsia="Times New Roman" w:cs="Times New Roman"/>
        </w:rPr>
        <w:t>regarding the provision of inmate calling services (ICS</w:t>
      </w:r>
      <w:r w:rsidRPr="00832810" w:rsidR="005F7CE1">
        <w:rPr>
          <w:rFonts w:ascii="Times New Roman" w:hAnsi="Times New Roman" w:eastAsia="Times New Roman" w:cs="Times New Roman"/>
        </w:rPr>
        <w:t xml:space="preserve"> or calling services</w:t>
      </w:r>
      <w:r w:rsidRPr="00832810">
        <w:rPr>
          <w:rFonts w:ascii="Times New Roman" w:hAnsi="Times New Roman" w:eastAsia="Times New Roman" w:cs="Times New Roman"/>
        </w:rPr>
        <w:t xml:space="preserve">) from all ICS providers. </w:t>
      </w:r>
      <w:r w:rsidR="0029577C">
        <w:rPr>
          <w:rFonts w:ascii="Times New Roman" w:hAnsi="Times New Roman" w:eastAsia="Times New Roman" w:cs="Times New Roman"/>
        </w:rPr>
        <w:t xml:space="preserve"> The Commission is changing the title of this information collection from </w:t>
      </w:r>
      <w:r w:rsidR="00E26CDB">
        <w:rPr>
          <w:rFonts w:ascii="Times New Roman" w:hAnsi="Times New Roman" w:eastAsia="Times New Roman" w:cs="Times New Roman"/>
        </w:rPr>
        <w:t>“</w:t>
      </w:r>
      <w:r w:rsidR="0029577C">
        <w:rPr>
          <w:rFonts w:ascii="Times New Roman" w:hAnsi="Times New Roman" w:eastAsia="Times New Roman" w:cs="Times New Roman"/>
        </w:rPr>
        <w:t>Inmate Calling Services (ICS) 2021 One-Time Data Collection</w:t>
      </w:r>
      <w:r w:rsidR="00410076">
        <w:rPr>
          <w:rFonts w:ascii="Times New Roman" w:hAnsi="Times New Roman" w:eastAsia="Times New Roman" w:cs="Times New Roman"/>
        </w:rPr>
        <w:t>, WC Docket No. 12-37</w:t>
      </w:r>
      <w:r w:rsidR="006C0E6E">
        <w:rPr>
          <w:rFonts w:ascii="Times New Roman" w:hAnsi="Times New Roman" w:eastAsia="Times New Roman" w:cs="Times New Roman"/>
        </w:rPr>
        <w:t>5, FCC 21-60”</w:t>
      </w:r>
      <w:r w:rsidR="0029577C">
        <w:rPr>
          <w:rFonts w:ascii="Times New Roman" w:hAnsi="Times New Roman" w:eastAsia="Times New Roman" w:cs="Times New Roman"/>
        </w:rPr>
        <w:t xml:space="preserve"> to </w:t>
      </w:r>
      <w:r w:rsidR="006C0E6E">
        <w:rPr>
          <w:rFonts w:ascii="Times New Roman" w:hAnsi="Times New Roman" w:eastAsia="Times New Roman" w:cs="Times New Roman"/>
        </w:rPr>
        <w:t>“</w:t>
      </w:r>
      <w:r w:rsidR="0029577C">
        <w:rPr>
          <w:rFonts w:ascii="Times New Roman" w:hAnsi="Times New Roman" w:eastAsia="Times New Roman" w:cs="Times New Roman"/>
        </w:rPr>
        <w:t xml:space="preserve">Inmate Calling Services </w:t>
      </w:r>
      <w:r w:rsidR="006C0E6E">
        <w:rPr>
          <w:rFonts w:ascii="Times New Roman" w:hAnsi="Times New Roman" w:eastAsia="Times New Roman" w:cs="Times New Roman"/>
        </w:rPr>
        <w:t xml:space="preserve">(ICS) </w:t>
      </w:r>
      <w:r w:rsidR="0029577C">
        <w:rPr>
          <w:rFonts w:ascii="Times New Roman" w:hAnsi="Times New Roman" w:eastAsia="Times New Roman" w:cs="Times New Roman"/>
        </w:rPr>
        <w:t>2022 One-Time Data Collection</w:t>
      </w:r>
      <w:r w:rsidR="006C0E6E">
        <w:rPr>
          <w:rFonts w:ascii="Times New Roman" w:hAnsi="Times New Roman" w:eastAsia="Times New Roman" w:cs="Times New Roman"/>
        </w:rPr>
        <w:t>, WC Docket No. 12-375, FCC 21-60</w:t>
      </w:r>
      <w:r w:rsidR="009254F0">
        <w:rPr>
          <w:rFonts w:ascii="Times New Roman" w:hAnsi="Times New Roman" w:eastAsia="Times New Roman" w:cs="Times New Roman"/>
        </w:rPr>
        <w:t>.”</w:t>
      </w:r>
    </w:p>
    <w:p w:rsidRPr="00832810" w:rsidR="00E10661" w:rsidP="00213B73" w:rsidRDefault="00E10661" w14:paraId="5B29FBEE" w14:textId="77777777">
      <w:pPr>
        <w:pStyle w:val="ListParagraph"/>
        <w:keepNext/>
        <w:numPr>
          <w:ilvl w:val="0"/>
          <w:numId w:val="6"/>
        </w:numPr>
        <w:spacing w:after="120" w:line="240" w:lineRule="auto"/>
        <w:contextualSpacing w:val="0"/>
        <w:outlineLvl w:val="2"/>
        <w:rPr>
          <w:rFonts w:ascii="Times New Roman" w:hAnsi="Times New Roman" w:eastAsia="Times New Roman" w:cs="Times New Roman"/>
          <w:b/>
          <w:u w:val="single"/>
        </w:rPr>
      </w:pPr>
      <w:r w:rsidRPr="00832810">
        <w:rPr>
          <w:rFonts w:ascii="Times New Roman" w:hAnsi="Times New Roman" w:eastAsia="Times New Roman" w:cs="Times New Roman"/>
          <w:b/>
          <w:u w:val="single"/>
        </w:rPr>
        <w:t>Justification:</w:t>
      </w:r>
    </w:p>
    <w:p w:rsidRPr="00832810" w:rsidR="00EB7738" w:rsidP="00213B73" w:rsidRDefault="00EB7738" w14:paraId="063F2687" w14:textId="77777777">
      <w:pPr>
        <w:keepNext/>
        <w:spacing w:after="120" w:line="240" w:lineRule="auto"/>
        <w:outlineLvl w:val="2"/>
        <w:rPr>
          <w:rFonts w:ascii="Times New Roman" w:hAnsi="Times New Roman" w:eastAsia="Times New Roman" w:cs="Times New Roman"/>
          <w:b/>
          <w:i/>
        </w:rPr>
      </w:pPr>
      <w:r w:rsidRPr="00832810">
        <w:rPr>
          <w:rFonts w:ascii="Times New Roman" w:hAnsi="Times New Roman" w:eastAsia="Times New Roman" w:cs="Times New Roman"/>
          <w:b/>
          <w:i/>
        </w:rPr>
        <w:t>Circumstances that make the collection necessary:</w:t>
      </w:r>
    </w:p>
    <w:p w:rsidRPr="00832810" w:rsidR="00EB7738" w:rsidP="00213B73" w:rsidRDefault="00E10661" w14:paraId="3B447E06" w14:textId="503D3D52">
      <w:pPr>
        <w:spacing w:after="120" w:line="240" w:lineRule="auto"/>
        <w:ind w:firstLine="720"/>
        <w:rPr>
          <w:rFonts w:ascii="Times New Roman" w:hAnsi="Times New Roman" w:cs="Times New Roman"/>
        </w:rPr>
      </w:pPr>
      <w:r w:rsidRPr="00832810">
        <w:rPr>
          <w:rFonts w:ascii="Times New Roman" w:hAnsi="Times New Roman" w:eastAsia="Times New Roman" w:cs="Times New Roman"/>
        </w:rPr>
        <w:t xml:space="preserve">1.  </w:t>
      </w:r>
      <w:r w:rsidR="00E65D22">
        <w:rPr>
          <w:rFonts w:ascii="Times New Roman" w:hAnsi="Times New Roman" w:eastAsia="Times New Roman" w:cs="Times New Roman"/>
        </w:rPr>
        <w:t xml:space="preserve">Calling services </w:t>
      </w:r>
      <w:r w:rsidR="002E1601">
        <w:rPr>
          <w:rFonts w:ascii="Times New Roman" w:hAnsi="Times New Roman" w:cs="Times New Roman"/>
        </w:rPr>
        <w:t>allow</w:t>
      </w:r>
      <w:r w:rsidR="00611A1D">
        <w:rPr>
          <w:rFonts w:ascii="Times New Roman" w:hAnsi="Times New Roman" w:cs="Times New Roman"/>
        </w:rPr>
        <w:t xml:space="preserve"> </w:t>
      </w:r>
      <w:r w:rsidRPr="00832810" w:rsidR="00EB7738">
        <w:rPr>
          <w:rFonts w:ascii="Times New Roman" w:hAnsi="Times New Roman" w:cs="Times New Roman"/>
        </w:rPr>
        <w:t>incarcerated people to make calls to individuals outside the correctional facilities where they are being held, regardless of the technology used to deliver the service.  Section 201 of the Communications Act of 1934 Act, as amended (Act), 47 U.S.C. § 201(b), requires that ICS providers’ interstate and international rates</w:t>
      </w:r>
      <w:r w:rsidRPr="00832810" w:rsidR="00D966AB">
        <w:rPr>
          <w:rFonts w:ascii="Times New Roman" w:hAnsi="Times New Roman" w:cs="Times New Roman"/>
        </w:rPr>
        <w:t>, charges,</w:t>
      </w:r>
      <w:r w:rsidRPr="00832810" w:rsidR="00EB7738">
        <w:rPr>
          <w:rFonts w:ascii="Times New Roman" w:hAnsi="Times New Roman" w:cs="Times New Roman"/>
        </w:rPr>
        <w:t xml:space="preserve"> and practices be just and reasonable.  Section 276 of the Act, 47 U.S.C. § 276, requires that payphone service providers (including ICS providers) be fairly compensated for completed calls.  </w:t>
      </w:r>
    </w:p>
    <w:p w:rsidRPr="00832810" w:rsidR="0059240E" w:rsidP="00213B73" w:rsidRDefault="00E10661" w14:paraId="11D2A81A" w14:textId="2639BF5D">
      <w:pPr>
        <w:widowControl w:val="0"/>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In the</w:t>
      </w:r>
      <w:r w:rsidRPr="00832810" w:rsidR="00D360EE">
        <w:rPr>
          <w:rFonts w:ascii="Times New Roman" w:hAnsi="Times New Roman" w:eastAsia="Times New Roman" w:cs="Times New Roman"/>
        </w:rPr>
        <w:t xml:space="preserve"> </w:t>
      </w:r>
      <w:r w:rsidRPr="00832810" w:rsidR="00D360EE">
        <w:rPr>
          <w:rFonts w:ascii="Times New Roman" w:hAnsi="Times New Roman" w:eastAsia="Times New Roman" w:cs="Times New Roman"/>
          <w:i/>
          <w:iCs/>
        </w:rPr>
        <w:t>2021 ICS Order</w:t>
      </w:r>
      <w:r w:rsidRPr="00832810" w:rsidR="00D360EE">
        <w:rPr>
          <w:rFonts w:ascii="Times New Roman" w:hAnsi="Times New Roman" w:eastAsia="Times New Roman" w:cs="Times New Roman"/>
        </w:rPr>
        <w:t>,</w:t>
      </w:r>
      <w:r w:rsidRPr="00832810">
        <w:rPr>
          <w:rFonts w:ascii="Times New Roman" w:hAnsi="Times New Roman" w:eastAsia="Times New Roman" w:cs="Times New Roman"/>
          <w:vertAlign w:val="superscript"/>
        </w:rPr>
        <w:footnoteReference w:id="2"/>
      </w:r>
      <w:r w:rsidRPr="00832810">
        <w:rPr>
          <w:rFonts w:ascii="Times New Roman" w:hAnsi="Times New Roman" w:eastAsia="Times New Roman" w:cs="Times New Roman"/>
        </w:rPr>
        <w:t xml:space="preserve"> FCC </w:t>
      </w:r>
      <w:r w:rsidRPr="00832810" w:rsidR="00B54B78">
        <w:rPr>
          <w:rFonts w:ascii="Times New Roman" w:hAnsi="Times New Roman" w:eastAsia="Times New Roman" w:cs="Times New Roman"/>
        </w:rPr>
        <w:t>21-60</w:t>
      </w:r>
      <w:r w:rsidRPr="00832810">
        <w:rPr>
          <w:rFonts w:ascii="Times New Roman" w:hAnsi="Times New Roman" w:eastAsia="Times New Roman" w:cs="Times New Roman"/>
        </w:rPr>
        <w:t xml:space="preserve">, the Commission </w:t>
      </w:r>
      <w:r w:rsidRPr="00832810" w:rsidR="00B54B78">
        <w:rPr>
          <w:rFonts w:ascii="Times New Roman" w:hAnsi="Times New Roman" w:eastAsia="Times New Roman" w:cs="Times New Roman"/>
        </w:rPr>
        <w:t xml:space="preserve">continued its </w:t>
      </w:r>
      <w:r w:rsidRPr="00832810">
        <w:rPr>
          <w:rFonts w:ascii="Times New Roman" w:hAnsi="Times New Roman" w:eastAsia="Times New Roman" w:cs="Times New Roman"/>
        </w:rPr>
        <w:t>comprehensive reform of the ICS</w:t>
      </w:r>
      <w:r w:rsidRPr="00832810" w:rsidR="00D76FF4">
        <w:rPr>
          <w:rFonts w:ascii="Times New Roman" w:hAnsi="Times New Roman" w:eastAsia="Times New Roman" w:cs="Times New Roman"/>
        </w:rPr>
        <w:t xml:space="preserve"> </w:t>
      </w:r>
      <w:r w:rsidRPr="00832810" w:rsidR="008D3865">
        <w:rPr>
          <w:rFonts w:ascii="Times New Roman" w:hAnsi="Times New Roman" w:eastAsia="Times New Roman" w:cs="Times New Roman"/>
        </w:rPr>
        <w:t>industry</w:t>
      </w:r>
      <w:r w:rsidRPr="00832810" w:rsidR="0010516E">
        <w:rPr>
          <w:rFonts w:ascii="Times New Roman" w:hAnsi="Times New Roman" w:eastAsia="Times New Roman" w:cs="Times New Roman"/>
        </w:rPr>
        <w:t xml:space="preserve"> by, among other actions, directing the </w:t>
      </w:r>
      <w:r w:rsidRPr="00213B73" w:rsidR="00C279F1">
        <w:rPr>
          <w:rFonts w:ascii="Times New Roman" w:hAnsi="Times New Roman" w:eastAsia="Times New Roman" w:cs="Times New Roman"/>
        </w:rPr>
        <w:t>Commission</w:t>
      </w:r>
      <w:r w:rsidRPr="00213B73" w:rsidR="0010516E">
        <w:rPr>
          <w:rFonts w:ascii="Times New Roman" w:hAnsi="Times New Roman" w:eastAsia="Times New Roman" w:cs="Times New Roman"/>
        </w:rPr>
        <w:t>’s Wireline Competition Bureau and Office of Economics and Analytics (collectively</w:t>
      </w:r>
      <w:r w:rsidR="00AD5F8B">
        <w:rPr>
          <w:rFonts w:ascii="Times New Roman" w:hAnsi="Times New Roman" w:eastAsia="Times New Roman" w:cs="Times New Roman"/>
        </w:rPr>
        <w:t xml:space="preserve"> WCB</w:t>
      </w:r>
      <w:r w:rsidRPr="00832810" w:rsidR="003119BE">
        <w:rPr>
          <w:rFonts w:ascii="Times New Roman" w:hAnsi="Times New Roman" w:eastAsia="Times New Roman" w:cs="Times New Roman"/>
        </w:rPr>
        <w:t>/OEA</w:t>
      </w:r>
      <w:r w:rsidRPr="00832810" w:rsidR="0010516E">
        <w:rPr>
          <w:rFonts w:ascii="Times New Roman" w:hAnsi="Times New Roman" w:eastAsia="Times New Roman" w:cs="Times New Roman"/>
        </w:rPr>
        <w:t>)</w:t>
      </w:r>
      <w:r w:rsidRPr="00832810" w:rsidR="003119BE">
        <w:rPr>
          <w:rFonts w:ascii="Times New Roman" w:hAnsi="Times New Roman" w:eastAsia="Times New Roman" w:cs="Times New Roman"/>
        </w:rPr>
        <w:t xml:space="preserve"> to </w:t>
      </w:r>
      <w:r w:rsidRPr="00832810" w:rsidR="0010516E">
        <w:rPr>
          <w:rFonts w:ascii="Times New Roman" w:hAnsi="Times New Roman" w:eastAsia="Times New Roman" w:cs="Times New Roman"/>
        </w:rPr>
        <w:t xml:space="preserve">collect data and other information regarding </w:t>
      </w:r>
      <w:r w:rsidRPr="00832810" w:rsidR="003119BE">
        <w:rPr>
          <w:rFonts w:ascii="Times New Roman" w:hAnsi="Times New Roman" w:eastAsia="Times New Roman" w:cs="Times New Roman"/>
        </w:rPr>
        <w:t xml:space="preserve">providers’ </w:t>
      </w:r>
      <w:r w:rsidRPr="00832810" w:rsidR="00EC5A63">
        <w:rPr>
          <w:rFonts w:ascii="Times New Roman" w:hAnsi="Times New Roman" w:eastAsia="Times New Roman" w:cs="Times New Roman"/>
        </w:rPr>
        <w:t>operations, costs, demand, and revenues.</w:t>
      </w:r>
      <w:r w:rsidRPr="00213B73" w:rsidR="00C93BD0">
        <w:rPr>
          <w:rStyle w:val="FootnoteReference"/>
          <w:rFonts w:eastAsia="Times New Roman" w:cs="Times New Roman"/>
          <w:sz w:val="22"/>
        </w:rPr>
        <w:footnoteReference w:id="3"/>
      </w:r>
      <w:r w:rsidRPr="00832810" w:rsidR="0029712F">
        <w:rPr>
          <w:rFonts w:ascii="Times New Roman" w:hAnsi="Times New Roman" w:eastAsia="Times New Roman" w:cs="Times New Roman"/>
        </w:rPr>
        <w:t xml:space="preserve">  </w:t>
      </w:r>
      <w:bookmarkStart w:name="_Hlk92798174" w:id="1"/>
      <w:r w:rsidRPr="00832810" w:rsidR="0029712F">
        <w:rPr>
          <w:rFonts w:ascii="Times New Roman" w:hAnsi="Times New Roman" w:eastAsia="Times New Roman" w:cs="Times New Roman"/>
        </w:rPr>
        <w:t xml:space="preserve">The Commission explained that it would use the </w:t>
      </w:r>
      <w:r w:rsidRPr="00832810" w:rsidR="0010516E">
        <w:rPr>
          <w:rFonts w:ascii="Times New Roman" w:hAnsi="Times New Roman" w:eastAsia="Times New Roman" w:cs="Times New Roman"/>
        </w:rPr>
        <w:t xml:space="preserve">information collected through this Third Mandatory </w:t>
      </w:r>
      <w:r w:rsidR="00793923">
        <w:rPr>
          <w:rFonts w:ascii="Times New Roman" w:hAnsi="Times New Roman" w:eastAsia="Times New Roman" w:cs="Times New Roman"/>
        </w:rPr>
        <w:t xml:space="preserve">Data </w:t>
      </w:r>
      <w:r w:rsidRPr="00832810" w:rsidR="0010516E">
        <w:rPr>
          <w:rFonts w:ascii="Times New Roman" w:hAnsi="Times New Roman" w:eastAsia="Times New Roman" w:cs="Times New Roman"/>
        </w:rPr>
        <w:t>Collection</w:t>
      </w:r>
      <w:r w:rsidRPr="00832810" w:rsidR="0029712F">
        <w:rPr>
          <w:rFonts w:ascii="Times New Roman" w:hAnsi="Times New Roman" w:eastAsia="Times New Roman" w:cs="Times New Roman"/>
        </w:rPr>
        <w:t xml:space="preserve"> to set permanent interstate and international ICS provider-related rate caps </w:t>
      </w:r>
      <w:bookmarkStart w:name="_Hlk82418418" w:id="2"/>
      <w:r w:rsidRPr="00832810" w:rsidR="0029712F">
        <w:rPr>
          <w:rFonts w:ascii="Times New Roman" w:hAnsi="Times New Roman" w:eastAsia="Times New Roman" w:cs="Times New Roman"/>
        </w:rPr>
        <w:t xml:space="preserve">that more closely reflect providers’ costs of </w:t>
      </w:r>
      <w:r w:rsidRPr="00832810" w:rsidR="00694DC6">
        <w:rPr>
          <w:rFonts w:ascii="Times New Roman" w:hAnsi="Times New Roman" w:eastAsia="Times New Roman" w:cs="Times New Roman"/>
        </w:rPr>
        <w:t>serving correctional facilities.</w:t>
      </w:r>
      <w:r w:rsidRPr="00832810" w:rsidR="000C7681">
        <w:rPr>
          <w:rStyle w:val="FootnoteReference"/>
          <w:rFonts w:eastAsia="Times New Roman" w:cs="Times New Roman"/>
          <w:sz w:val="22"/>
        </w:rPr>
        <w:footnoteReference w:id="4"/>
      </w:r>
      <w:r w:rsidRPr="00832810" w:rsidR="001F4AF2">
        <w:rPr>
          <w:rFonts w:ascii="Times New Roman" w:hAnsi="Times New Roman" w:eastAsia="Times New Roman" w:cs="Times New Roman"/>
        </w:rPr>
        <w:t xml:space="preserve">  </w:t>
      </w:r>
      <w:bookmarkEnd w:id="1"/>
      <w:r w:rsidRPr="00832810" w:rsidR="00EE4D0A">
        <w:rPr>
          <w:rFonts w:ascii="Times New Roman" w:hAnsi="Times New Roman" w:eastAsia="Times New Roman" w:cs="Times New Roman"/>
        </w:rPr>
        <w:t xml:space="preserve">The Commission also emphasized that </w:t>
      </w:r>
      <w:r w:rsidR="00AD60D3">
        <w:rPr>
          <w:rFonts w:ascii="Times New Roman" w:hAnsi="Times New Roman" w:eastAsia="Times New Roman" w:cs="Times New Roman"/>
        </w:rPr>
        <w:t>the collected information</w:t>
      </w:r>
      <w:r w:rsidRPr="00832810" w:rsidR="00EE4D0A">
        <w:rPr>
          <w:rFonts w:ascii="Times New Roman" w:hAnsi="Times New Roman" w:eastAsia="Times New Roman" w:cs="Times New Roman"/>
        </w:rPr>
        <w:t xml:space="preserve"> would enable it to evaluate and, if warranted</w:t>
      </w:r>
      <w:r w:rsidR="000D6BFC">
        <w:rPr>
          <w:rFonts w:ascii="Times New Roman" w:hAnsi="Times New Roman" w:eastAsia="Times New Roman" w:cs="Times New Roman"/>
        </w:rPr>
        <w:t>,</w:t>
      </w:r>
      <w:r w:rsidRPr="00832810" w:rsidR="00EE4D0A">
        <w:rPr>
          <w:rFonts w:ascii="Times New Roman" w:hAnsi="Times New Roman" w:eastAsia="Times New Roman" w:cs="Times New Roman"/>
        </w:rPr>
        <w:t xml:space="preserve"> revise the current ancillary service charge caps</w:t>
      </w:r>
      <w:bookmarkEnd w:id="2"/>
      <w:r w:rsidRPr="00832810" w:rsidR="00EE4D0A">
        <w:rPr>
          <w:rFonts w:ascii="Times New Roman" w:hAnsi="Times New Roman" w:eastAsia="Times New Roman" w:cs="Times New Roman"/>
        </w:rPr>
        <w:t>.</w:t>
      </w:r>
      <w:r w:rsidRPr="00832810" w:rsidR="00EE4D0A">
        <w:rPr>
          <w:rStyle w:val="FootnoteReference"/>
          <w:rFonts w:eastAsia="Times New Roman" w:cs="Times New Roman"/>
          <w:sz w:val="22"/>
        </w:rPr>
        <w:footnoteReference w:id="5"/>
      </w:r>
    </w:p>
    <w:p w:rsidRPr="00832810" w:rsidR="00BC5568" w:rsidP="00213B73" w:rsidRDefault="00D12575" w14:paraId="59879621" w14:textId="62026362">
      <w:pPr>
        <w:widowControl w:val="0"/>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lastRenderedPageBreak/>
        <w:tab/>
      </w:r>
      <w:r w:rsidRPr="00832810" w:rsidR="00882AD1">
        <w:rPr>
          <w:rFonts w:ascii="Times New Roman" w:hAnsi="Times New Roman" w:eastAsia="Times New Roman" w:cs="Times New Roman"/>
        </w:rPr>
        <w:t xml:space="preserve">The Commission delegated authority </w:t>
      </w:r>
      <w:r w:rsidRPr="00832810" w:rsidR="00E26776">
        <w:rPr>
          <w:rFonts w:ascii="Times New Roman" w:hAnsi="Times New Roman" w:eastAsia="Times New Roman" w:cs="Times New Roman"/>
        </w:rPr>
        <w:t xml:space="preserve">to WCB/OEA </w:t>
      </w:r>
      <w:r w:rsidRPr="00832810" w:rsidR="00AD55DD">
        <w:rPr>
          <w:rFonts w:ascii="Times New Roman" w:hAnsi="Times New Roman" w:eastAsia="Times New Roman" w:cs="Times New Roman"/>
        </w:rPr>
        <w:t>to implement th</w:t>
      </w:r>
      <w:r w:rsidRPr="00832810" w:rsidR="00A17783">
        <w:rPr>
          <w:rFonts w:ascii="Times New Roman" w:hAnsi="Times New Roman" w:eastAsia="Times New Roman" w:cs="Times New Roman"/>
        </w:rPr>
        <w:t>is</w:t>
      </w:r>
      <w:r w:rsidRPr="00832810" w:rsidR="00AD55DD">
        <w:rPr>
          <w:rFonts w:ascii="Times New Roman" w:hAnsi="Times New Roman" w:eastAsia="Times New Roman" w:cs="Times New Roman"/>
        </w:rPr>
        <w:t xml:space="preserve"> Third Mandatory Data Collection, including “determining and describing the types of information required related to providers’ operations, costs, demand, and revenues</w:t>
      </w:r>
      <w:r w:rsidRPr="00832810" w:rsidR="00A17783">
        <w:rPr>
          <w:rFonts w:ascii="Times New Roman" w:hAnsi="Times New Roman" w:eastAsia="Times New Roman" w:cs="Times New Roman"/>
        </w:rPr>
        <w:t>,”</w:t>
      </w:r>
      <w:r w:rsidRPr="00832810" w:rsidR="00AD55DD">
        <w:rPr>
          <w:rFonts w:ascii="Times New Roman" w:hAnsi="Times New Roman" w:eastAsia="Times New Roman" w:cs="Times New Roman"/>
        </w:rPr>
        <w:t xml:space="preserve"> and direct</w:t>
      </w:r>
      <w:r w:rsidRPr="00832810" w:rsidR="00A17783">
        <w:rPr>
          <w:rFonts w:ascii="Times New Roman" w:hAnsi="Times New Roman" w:eastAsia="Times New Roman" w:cs="Times New Roman"/>
        </w:rPr>
        <w:t>ed</w:t>
      </w:r>
      <w:r w:rsidRPr="00832810" w:rsidR="00AD55DD">
        <w:rPr>
          <w:rFonts w:ascii="Times New Roman" w:hAnsi="Times New Roman" w:eastAsia="Times New Roman" w:cs="Times New Roman"/>
        </w:rPr>
        <w:t xml:space="preserve"> WCB/OEA to develop a template and instructions </w:t>
      </w:r>
      <w:r w:rsidRPr="00832810" w:rsidR="008262A9">
        <w:rPr>
          <w:rFonts w:ascii="Times New Roman" w:hAnsi="Times New Roman" w:eastAsia="Times New Roman" w:cs="Times New Roman"/>
        </w:rPr>
        <w:t xml:space="preserve">for the </w:t>
      </w:r>
      <w:r w:rsidRPr="00832810" w:rsidR="00D9046A">
        <w:rPr>
          <w:rFonts w:ascii="Times New Roman" w:hAnsi="Times New Roman" w:eastAsia="Times New Roman" w:cs="Times New Roman"/>
        </w:rPr>
        <w:t>collection</w:t>
      </w:r>
      <w:r w:rsidRPr="00832810" w:rsidR="008262A9">
        <w:rPr>
          <w:rFonts w:ascii="Times New Roman" w:hAnsi="Times New Roman" w:eastAsia="Times New Roman" w:cs="Times New Roman"/>
        </w:rPr>
        <w:t>.</w:t>
      </w:r>
      <w:r w:rsidRPr="00832810" w:rsidR="00AD55DD">
        <w:rPr>
          <w:rStyle w:val="FootnoteReference"/>
          <w:rFonts w:eastAsia="Times New Roman" w:cs="Times New Roman"/>
          <w:sz w:val="22"/>
        </w:rPr>
        <w:footnoteReference w:id="6"/>
      </w:r>
      <w:r w:rsidRPr="00832810" w:rsidR="00A27DAE">
        <w:rPr>
          <w:rFonts w:ascii="Times New Roman" w:hAnsi="Times New Roman" w:eastAsia="Times New Roman" w:cs="Times New Roman"/>
        </w:rPr>
        <w:t xml:space="preserve">  </w:t>
      </w:r>
      <w:r w:rsidRPr="00832810" w:rsidR="007F3C51">
        <w:rPr>
          <w:rFonts w:ascii="Times New Roman" w:hAnsi="Times New Roman" w:eastAsia="Times New Roman" w:cs="Times New Roman"/>
        </w:rPr>
        <w:t>The Commission also directed WCB/OEA to</w:t>
      </w:r>
      <w:r w:rsidRPr="00832810" w:rsidR="006B3725">
        <w:rPr>
          <w:rFonts w:ascii="Times New Roman" w:hAnsi="Times New Roman" w:eastAsia="Times New Roman" w:cs="Times New Roman"/>
        </w:rPr>
        <w:t xml:space="preserve"> consider record suggestions regarding, among other </w:t>
      </w:r>
      <w:r w:rsidRPr="00832810" w:rsidR="007F3C51">
        <w:rPr>
          <w:rFonts w:ascii="Times New Roman" w:hAnsi="Times New Roman" w:eastAsia="Times New Roman" w:cs="Times New Roman"/>
        </w:rPr>
        <w:t>matters</w:t>
      </w:r>
      <w:r w:rsidRPr="00832810" w:rsidR="006B3725">
        <w:rPr>
          <w:rFonts w:ascii="Times New Roman" w:hAnsi="Times New Roman" w:eastAsia="Times New Roman" w:cs="Times New Roman"/>
        </w:rPr>
        <w:t>, data granularity, cost allocation, and specificity in definitions and instructions</w:t>
      </w:r>
      <w:r w:rsidR="000D6BFC">
        <w:rPr>
          <w:rFonts w:ascii="Times New Roman" w:hAnsi="Times New Roman" w:eastAsia="Times New Roman" w:cs="Times New Roman"/>
        </w:rPr>
        <w:t>,</w:t>
      </w:r>
      <w:r w:rsidRPr="00832810" w:rsidR="0066232F">
        <w:rPr>
          <w:rFonts w:ascii="Times New Roman" w:hAnsi="Times New Roman" w:eastAsia="Times New Roman" w:cs="Times New Roman"/>
        </w:rPr>
        <w:t xml:space="preserve"> in designing the data collection</w:t>
      </w:r>
      <w:r w:rsidRPr="00832810" w:rsidR="006B3725">
        <w:rPr>
          <w:rFonts w:ascii="Times New Roman" w:hAnsi="Times New Roman" w:eastAsia="Times New Roman" w:cs="Times New Roman"/>
        </w:rPr>
        <w:t>,</w:t>
      </w:r>
      <w:r w:rsidRPr="00832810" w:rsidR="006B3725">
        <w:rPr>
          <w:rStyle w:val="FootnoteReference"/>
          <w:rFonts w:eastAsia="Times New Roman" w:cs="Times New Roman"/>
          <w:sz w:val="22"/>
        </w:rPr>
        <w:footnoteReference w:id="7"/>
      </w:r>
      <w:r w:rsidRPr="00832810" w:rsidR="003C2FFB">
        <w:rPr>
          <w:rFonts w:ascii="Times New Roman" w:hAnsi="Times New Roman" w:eastAsia="Times New Roman" w:cs="Times New Roman"/>
        </w:rPr>
        <w:t xml:space="preserve"> </w:t>
      </w:r>
      <w:r w:rsidRPr="00832810" w:rsidR="00D57681">
        <w:rPr>
          <w:rFonts w:ascii="Times New Roman" w:hAnsi="Times New Roman" w:eastAsia="Times New Roman" w:cs="Times New Roman"/>
        </w:rPr>
        <w:t>and “to require each provider to fully explain</w:t>
      </w:r>
      <w:r w:rsidRPr="00832810" w:rsidR="00AB1B52">
        <w:rPr>
          <w:rFonts w:ascii="Times New Roman" w:hAnsi="Times New Roman" w:eastAsia="Times New Roman" w:cs="Times New Roman"/>
        </w:rPr>
        <w:t xml:space="preserve"> and justify</w:t>
      </w:r>
      <w:r w:rsidRPr="00832810" w:rsidR="008F698A">
        <w:rPr>
          <w:rFonts w:ascii="Times New Roman" w:hAnsi="Times New Roman" w:eastAsia="Times New Roman" w:cs="Times New Roman"/>
        </w:rPr>
        <w:t xml:space="preserve"> each step of its costing process</w:t>
      </w:r>
      <w:r w:rsidRPr="00832810" w:rsidR="00BC5568">
        <w:rPr>
          <w:rFonts w:ascii="Times New Roman" w:hAnsi="Times New Roman" w:eastAsia="Times New Roman" w:cs="Times New Roman"/>
        </w:rPr>
        <w:t>,” including, where appropriate,</w:t>
      </w:r>
      <w:r w:rsidRPr="00832810" w:rsidR="008F698A">
        <w:rPr>
          <w:rFonts w:ascii="Times New Roman" w:hAnsi="Times New Roman" w:eastAsia="Times New Roman" w:cs="Times New Roman"/>
        </w:rPr>
        <w:t xml:space="preserve"> </w:t>
      </w:r>
      <w:r w:rsidRPr="00832810" w:rsidR="00BC5568">
        <w:rPr>
          <w:rFonts w:ascii="Times New Roman" w:hAnsi="Times New Roman" w:eastAsia="Times New Roman" w:cs="Times New Roman"/>
        </w:rPr>
        <w:t>“</w:t>
      </w:r>
      <w:r w:rsidRPr="00832810" w:rsidR="008F698A">
        <w:rPr>
          <w:rFonts w:ascii="Times New Roman" w:hAnsi="Times New Roman" w:eastAsia="Times New Roman" w:cs="Times New Roman"/>
        </w:rPr>
        <w:t>specify</w:t>
      </w:r>
      <w:r w:rsidR="000D6BFC">
        <w:rPr>
          <w:rFonts w:ascii="Times New Roman" w:hAnsi="Times New Roman" w:eastAsia="Times New Roman" w:cs="Times New Roman"/>
        </w:rPr>
        <w:t>[ing]</w:t>
      </w:r>
      <w:r w:rsidRPr="00832810" w:rsidR="008F698A">
        <w:rPr>
          <w:rFonts w:ascii="Times New Roman" w:hAnsi="Times New Roman" w:eastAsia="Times New Roman" w:cs="Times New Roman"/>
        </w:rPr>
        <w:t xml:space="preserve"> the methodology the provider shall use in any or all of these steps.”</w:t>
      </w:r>
      <w:r w:rsidRPr="00213B73" w:rsidR="008F698A">
        <w:rPr>
          <w:rStyle w:val="FootnoteReference"/>
          <w:rFonts w:eastAsia="Times New Roman" w:cs="Times New Roman"/>
          <w:sz w:val="22"/>
        </w:rPr>
        <w:footnoteReference w:id="8"/>
      </w:r>
      <w:r w:rsidRPr="00832810" w:rsidR="00600908">
        <w:rPr>
          <w:rFonts w:ascii="Times New Roman" w:hAnsi="Times New Roman" w:eastAsia="Times New Roman" w:cs="Times New Roman"/>
        </w:rPr>
        <w:t xml:space="preserve">  </w:t>
      </w:r>
      <w:r w:rsidR="00D13761">
        <w:rPr>
          <w:rFonts w:ascii="Times New Roman" w:hAnsi="Times New Roman" w:eastAsia="Times New Roman" w:cs="Times New Roman"/>
        </w:rPr>
        <w:t xml:space="preserve">The </w:t>
      </w:r>
      <w:r w:rsidR="00323BBA">
        <w:rPr>
          <w:rFonts w:ascii="Times New Roman" w:hAnsi="Times New Roman" w:eastAsia="Times New Roman" w:cs="Times New Roman"/>
        </w:rPr>
        <w:t>Commission</w:t>
      </w:r>
      <w:r w:rsidR="00D13761">
        <w:rPr>
          <w:rFonts w:ascii="Times New Roman" w:hAnsi="Times New Roman" w:eastAsia="Times New Roman" w:cs="Times New Roman"/>
        </w:rPr>
        <w:t xml:space="preserve"> </w:t>
      </w:r>
      <w:r w:rsidR="00323BBA">
        <w:rPr>
          <w:rFonts w:ascii="Times New Roman" w:hAnsi="Times New Roman" w:eastAsia="Times New Roman" w:cs="Times New Roman"/>
        </w:rPr>
        <w:t>specified that</w:t>
      </w:r>
      <w:r w:rsidR="00B86EF9">
        <w:rPr>
          <w:rFonts w:ascii="Times New Roman" w:hAnsi="Times New Roman" w:eastAsia="Times New Roman" w:cs="Times New Roman"/>
        </w:rPr>
        <w:t xml:space="preserve"> WCB/OEA </w:t>
      </w:r>
      <w:r w:rsidR="0085091B">
        <w:rPr>
          <w:rFonts w:ascii="Times New Roman" w:hAnsi="Times New Roman" w:eastAsia="Times New Roman" w:cs="Times New Roman"/>
        </w:rPr>
        <w:t xml:space="preserve">would </w:t>
      </w:r>
      <w:r w:rsidR="00993CD9">
        <w:rPr>
          <w:rFonts w:ascii="Times New Roman" w:hAnsi="Times New Roman" w:eastAsia="Times New Roman" w:cs="Times New Roman"/>
        </w:rPr>
        <w:t xml:space="preserve">have the authority to require each provider to </w:t>
      </w:r>
      <w:r w:rsidR="00815E43">
        <w:rPr>
          <w:rFonts w:ascii="Times New Roman" w:hAnsi="Times New Roman" w:eastAsia="Times New Roman" w:cs="Times New Roman"/>
        </w:rPr>
        <w:t xml:space="preserve">clarify and </w:t>
      </w:r>
      <w:r w:rsidR="00993CD9">
        <w:rPr>
          <w:rFonts w:ascii="Times New Roman" w:hAnsi="Times New Roman" w:eastAsia="Times New Roman" w:cs="Times New Roman"/>
        </w:rPr>
        <w:t>supplement</w:t>
      </w:r>
      <w:r w:rsidR="00815E43">
        <w:rPr>
          <w:rFonts w:ascii="Times New Roman" w:hAnsi="Times New Roman" w:eastAsia="Times New Roman" w:cs="Times New Roman"/>
        </w:rPr>
        <w:t xml:space="preserve"> </w:t>
      </w:r>
      <w:r w:rsidR="00956416">
        <w:rPr>
          <w:rFonts w:ascii="Times New Roman" w:hAnsi="Times New Roman" w:eastAsia="Times New Roman" w:cs="Times New Roman"/>
        </w:rPr>
        <w:t>its response to the data collection.</w:t>
      </w:r>
      <w:r w:rsidR="00956416">
        <w:rPr>
          <w:rStyle w:val="FootnoteReference"/>
          <w:rFonts w:eastAsia="Times New Roman" w:cs="Times New Roman"/>
        </w:rPr>
        <w:footnoteReference w:id="9"/>
      </w:r>
      <w:r w:rsidR="00993CD9">
        <w:rPr>
          <w:rFonts w:ascii="Times New Roman" w:hAnsi="Times New Roman" w:eastAsia="Times New Roman" w:cs="Times New Roman"/>
        </w:rPr>
        <w:t xml:space="preserve"> </w:t>
      </w:r>
      <w:r w:rsidR="00D13761">
        <w:rPr>
          <w:rFonts w:ascii="Times New Roman" w:hAnsi="Times New Roman" w:eastAsia="Times New Roman" w:cs="Times New Roman"/>
        </w:rPr>
        <w:t xml:space="preserve"> </w:t>
      </w:r>
      <w:r w:rsidR="003C4FF0">
        <w:rPr>
          <w:rFonts w:ascii="Times New Roman" w:hAnsi="Times New Roman" w:eastAsia="Times New Roman" w:cs="Times New Roman"/>
        </w:rPr>
        <w:t xml:space="preserve">The Commission also specified that </w:t>
      </w:r>
      <w:r w:rsidR="00665360">
        <w:rPr>
          <w:rFonts w:ascii="Times New Roman" w:hAnsi="Times New Roman" w:eastAsia="Times New Roman" w:cs="Times New Roman"/>
        </w:rPr>
        <w:t xml:space="preserve">each </w:t>
      </w:r>
      <w:r w:rsidR="003C4FF0">
        <w:rPr>
          <w:rFonts w:ascii="Times New Roman" w:hAnsi="Times New Roman" w:eastAsia="Times New Roman" w:cs="Times New Roman"/>
        </w:rPr>
        <w:t>provider</w:t>
      </w:r>
      <w:r w:rsidR="009232C7">
        <w:rPr>
          <w:rFonts w:ascii="Times New Roman" w:hAnsi="Times New Roman" w:eastAsia="Times New Roman" w:cs="Times New Roman"/>
        </w:rPr>
        <w:t xml:space="preserve"> shall keep all records necessary to </w:t>
      </w:r>
      <w:r w:rsidR="00654D20">
        <w:rPr>
          <w:rFonts w:ascii="Times New Roman" w:hAnsi="Times New Roman" w:eastAsia="Times New Roman" w:cs="Times New Roman"/>
        </w:rPr>
        <w:t>implement this collection and</w:t>
      </w:r>
      <w:r w:rsidR="00665360">
        <w:rPr>
          <w:rFonts w:ascii="Times New Roman" w:hAnsi="Times New Roman" w:eastAsia="Times New Roman" w:cs="Times New Roman"/>
        </w:rPr>
        <w:t xml:space="preserve"> shall </w:t>
      </w:r>
      <w:r w:rsidR="00D657A5">
        <w:rPr>
          <w:rFonts w:ascii="Times New Roman" w:hAnsi="Times New Roman" w:eastAsia="Times New Roman" w:cs="Times New Roman"/>
        </w:rPr>
        <w:t>make such records available to the Commission upon request.</w:t>
      </w:r>
      <w:r w:rsidR="00D657A5">
        <w:rPr>
          <w:rStyle w:val="FootnoteReference"/>
          <w:rFonts w:eastAsia="Times New Roman" w:cs="Times New Roman"/>
        </w:rPr>
        <w:footnoteReference w:id="10"/>
      </w:r>
      <w:r w:rsidR="00100EA8">
        <w:rPr>
          <w:rFonts w:ascii="Times New Roman" w:hAnsi="Times New Roman" w:eastAsia="Times New Roman" w:cs="Times New Roman"/>
        </w:rPr>
        <w:t xml:space="preserve">  </w:t>
      </w:r>
      <w:r w:rsidR="0028564C">
        <w:rPr>
          <w:rFonts w:ascii="Times New Roman" w:hAnsi="Times New Roman" w:eastAsia="Times New Roman" w:cs="Times New Roman"/>
        </w:rPr>
        <w:t xml:space="preserve">Our burden estimates include </w:t>
      </w:r>
      <w:r w:rsidR="00C17920">
        <w:rPr>
          <w:rFonts w:ascii="Times New Roman" w:hAnsi="Times New Roman" w:eastAsia="Times New Roman" w:cs="Times New Roman"/>
        </w:rPr>
        <w:t>the time it will take</w:t>
      </w:r>
      <w:r w:rsidR="00616FBB">
        <w:rPr>
          <w:rFonts w:ascii="Times New Roman" w:hAnsi="Times New Roman" w:eastAsia="Times New Roman" w:cs="Times New Roman"/>
        </w:rPr>
        <w:t xml:space="preserve"> providers</w:t>
      </w:r>
      <w:r w:rsidR="00C17920">
        <w:rPr>
          <w:rFonts w:ascii="Times New Roman" w:hAnsi="Times New Roman" w:eastAsia="Times New Roman" w:cs="Times New Roman"/>
        </w:rPr>
        <w:t xml:space="preserve"> to comply with these requirements.</w:t>
      </w:r>
    </w:p>
    <w:p w:rsidRPr="00832810" w:rsidR="00D64836" w:rsidP="00213B73" w:rsidRDefault="00715C42" w14:paraId="25E8A30D" w14:textId="0EC98B59">
      <w:pPr>
        <w:widowControl w:val="0"/>
        <w:tabs>
          <w:tab w:val="left" w:pos="720"/>
        </w:tabs>
        <w:spacing w:after="120" w:line="240" w:lineRule="auto"/>
        <w:rPr>
          <w:rFonts w:ascii="Times New Roman" w:hAnsi="Times New Roman" w:eastAsia="Times New Roman" w:cs="Times New Roman"/>
        </w:rPr>
      </w:pPr>
      <w:r>
        <w:rPr>
          <w:rFonts w:ascii="Times New Roman" w:hAnsi="Times New Roman" w:eastAsia="Times New Roman" w:cs="Times New Roman"/>
        </w:rPr>
        <w:tab/>
      </w:r>
      <w:r w:rsidRPr="00832810" w:rsidR="00313CF9">
        <w:rPr>
          <w:rFonts w:ascii="Times New Roman" w:hAnsi="Times New Roman" w:eastAsia="Times New Roman" w:cs="Times New Roman"/>
        </w:rPr>
        <w:t>Pursuant to their delegated</w:t>
      </w:r>
      <w:r w:rsidRPr="00832810" w:rsidR="00F01775">
        <w:rPr>
          <w:rFonts w:ascii="Times New Roman" w:hAnsi="Times New Roman" w:eastAsia="Times New Roman" w:cs="Times New Roman"/>
        </w:rPr>
        <w:t xml:space="preserve"> authority, WCB/OEA drafted proposed instructions</w:t>
      </w:r>
      <w:r w:rsidRPr="00832810" w:rsidR="006F6F77">
        <w:rPr>
          <w:rFonts w:ascii="Times New Roman" w:hAnsi="Times New Roman" w:eastAsia="Times New Roman" w:cs="Times New Roman"/>
        </w:rPr>
        <w:t xml:space="preserve">, </w:t>
      </w:r>
      <w:r w:rsidR="00B04AF8">
        <w:rPr>
          <w:rFonts w:ascii="Times New Roman" w:hAnsi="Times New Roman" w:eastAsia="Times New Roman" w:cs="Times New Roman"/>
        </w:rPr>
        <w:t>a template</w:t>
      </w:r>
      <w:r w:rsidR="001B0CE3">
        <w:rPr>
          <w:rFonts w:ascii="Times New Roman" w:hAnsi="Times New Roman" w:eastAsia="Times New Roman" w:cs="Times New Roman"/>
        </w:rPr>
        <w:t>,</w:t>
      </w:r>
      <w:r w:rsidR="00B04AF8">
        <w:rPr>
          <w:rFonts w:ascii="Times New Roman" w:hAnsi="Times New Roman" w:eastAsia="Times New Roman" w:cs="Times New Roman"/>
        </w:rPr>
        <w:t xml:space="preserve"> </w:t>
      </w:r>
      <w:r w:rsidRPr="00832810" w:rsidR="006F6F77">
        <w:rPr>
          <w:rFonts w:ascii="Times New Roman" w:hAnsi="Times New Roman" w:eastAsia="Times New Roman" w:cs="Times New Roman"/>
        </w:rPr>
        <w:t>and a certification form</w:t>
      </w:r>
      <w:r w:rsidRPr="00832810" w:rsidR="00F01775">
        <w:rPr>
          <w:rFonts w:ascii="Times New Roman" w:hAnsi="Times New Roman" w:eastAsia="Times New Roman" w:cs="Times New Roman"/>
        </w:rPr>
        <w:t xml:space="preserve"> for the Third Mandatory Data Collectio</w:t>
      </w:r>
      <w:r w:rsidRPr="00832810" w:rsidR="00C07438">
        <w:rPr>
          <w:rFonts w:ascii="Times New Roman" w:hAnsi="Times New Roman" w:eastAsia="Times New Roman" w:cs="Times New Roman"/>
        </w:rPr>
        <w:t>n.</w:t>
      </w:r>
      <w:r w:rsidRPr="00213B73" w:rsidR="002646F5">
        <w:rPr>
          <w:rStyle w:val="FootnoteReference"/>
          <w:rFonts w:eastAsia="Times New Roman" w:cs="Times New Roman"/>
          <w:sz w:val="22"/>
        </w:rPr>
        <w:footnoteReference w:id="11"/>
      </w:r>
      <w:r w:rsidRPr="00832810" w:rsidR="00C07438">
        <w:rPr>
          <w:rFonts w:ascii="Times New Roman" w:hAnsi="Times New Roman" w:eastAsia="Times New Roman" w:cs="Times New Roman"/>
        </w:rPr>
        <w:t xml:space="preserve"> </w:t>
      </w:r>
      <w:r>
        <w:rPr>
          <w:rFonts w:ascii="Times New Roman" w:hAnsi="Times New Roman" w:eastAsia="Times New Roman" w:cs="Times New Roman"/>
        </w:rPr>
        <w:t xml:space="preserve"> </w:t>
      </w:r>
      <w:r w:rsidRPr="00D64836" w:rsidR="00C04896">
        <w:rPr>
          <w:rFonts w:ascii="Times New Roman" w:hAnsi="Times New Roman" w:eastAsia="Times New Roman" w:cs="Times New Roman"/>
        </w:rPr>
        <w:t xml:space="preserve">On September 22, 2021, WCB/OEA released a Public Notice seeking comment on all aspects of the </w:t>
      </w:r>
      <w:r w:rsidR="00E266AF">
        <w:rPr>
          <w:rFonts w:ascii="Times New Roman" w:hAnsi="Times New Roman" w:eastAsia="Times New Roman" w:cs="Times New Roman"/>
        </w:rPr>
        <w:t xml:space="preserve">proposed </w:t>
      </w:r>
      <w:r w:rsidRPr="00D64836" w:rsidR="00C04896">
        <w:rPr>
          <w:rFonts w:ascii="Times New Roman" w:hAnsi="Times New Roman" w:eastAsia="Times New Roman" w:cs="Times New Roman"/>
        </w:rPr>
        <w:t>instructio</w:t>
      </w:r>
      <w:r w:rsidR="00E50702">
        <w:rPr>
          <w:rFonts w:ascii="Times New Roman" w:hAnsi="Times New Roman" w:eastAsia="Times New Roman" w:cs="Times New Roman"/>
        </w:rPr>
        <w:t xml:space="preserve">ns, </w:t>
      </w:r>
      <w:r w:rsidRPr="00D64836" w:rsidR="00C04896">
        <w:rPr>
          <w:rFonts w:ascii="Times New Roman" w:hAnsi="Times New Roman" w:eastAsia="Times New Roman" w:cs="Times New Roman"/>
        </w:rPr>
        <w:t>template</w:t>
      </w:r>
      <w:r w:rsidR="00E266AF">
        <w:rPr>
          <w:rFonts w:ascii="Times New Roman" w:hAnsi="Times New Roman" w:eastAsia="Times New Roman" w:cs="Times New Roman"/>
        </w:rPr>
        <w:t>, and certification form</w:t>
      </w:r>
      <w:r w:rsidRPr="00D64836" w:rsidR="00C04896">
        <w:rPr>
          <w:rFonts w:ascii="Times New Roman" w:hAnsi="Times New Roman" w:eastAsia="Times New Roman" w:cs="Times New Roman"/>
        </w:rPr>
        <w:t>.</w:t>
      </w:r>
      <w:r w:rsidR="00C04896">
        <w:rPr>
          <w:rStyle w:val="FootnoteReference"/>
          <w:rFonts w:eastAsia="Times New Roman" w:cs="Times New Roman"/>
        </w:rPr>
        <w:footnoteReference w:id="12"/>
      </w:r>
      <w:r w:rsidR="00C04896">
        <w:rPr>
          <w:rFonts w:ascii="Times New Roman" w:hAnsi="Times New Roman" w:eastAsia="Times New Roman" w:cs="Times New Roman"/>
        </w:rPr>
        <w:t xml:space="preserve">  </w:t>
      </w:r>
      <w:r w:rsidRPr="006A4EA7" w:rsidR="006A4EA7">
        <w:rPr>
          <w:rFonts w:ascii="Times New Roman" w:hAnsi="Times New Roman" w:eastAsia="Times New Roman" w:cs="Times New Roman"/>
        </w:rPr>
        <w:t>After considering the comments and repl</w:t>
      </w:r>
      <w:r w:rsidR="00550529">
        <w:rPr>
          <w:rFonts w:ascii="Times New Roman" w:hAnsi="Times New Roman" w:eastAsia="Times New Roman" w:cs="Times New Roman"/>
        </w:rPr>
        <w:t xml:space="preserve">y comments </w:t>
      </w:r>
      <w:r w:rsidRPr="006A4EA7" w:rsidR="006A4EA7">
        <w:rPr>
          <w:rFonts w:ascii="Times New Roman" w:hAnsi="Times New Roman" w:eastAsia="Times New Roman" w:cs="Times New Roman"/>
        </w:rPr>
        <w:t xml:space="preserve">filed in response to the Public Notice, WCB/OEA released an Order on </w:t>
      </w:r>
      <w:r w:rsidR="00B518B6">
        <w:rPr>
          <w:rFonts w:ascii="Times New Roman" w:hAnsi="Times New Roman" w:eastAsia="Times New Roman" w:cs="Times New Roman"/>
        </w:rPr>
        <w:t xml:space="preserve">January </w:t>
      </w:r>
      <w:r w:rsidR="00C22AEF">
        <w:rPr>
          <w:rFonts w:ascii="Times New Roman" w:hAnsi="Times New Roman" w:eastAsia="Times New Roman" w:cs="Times New Roman"/>
        </w:rPr>
        <w:t>18</w:t>
      </w:r>
      <w:r w:rsidR="000D1629">
        <w:rPr>
          <w:rFonts w:ascii="Times New Roman" w:hAnsi="Times New Roman" w:eastAsia="Times New Roman" w:cs="Times New Roman"/>
        </w:rPr>
        <w:t>, 2</w:t>
      </w:r>
      <w:r w:rsidR="002B5758">
        <w:rPr>
          <w:rFonts w:ascii="Times New Roman" w:hAnsi="Times New Roman" w:eastAsia="Times New Roman" w:cs="Times New Roman"/>
        </w:rPr>
        <w:t>02</w:t>
      </w:r>
      <w:r w:rsidR="00272279">
        <w:rPr>
          <w:rFonts w:ascii="Times New Roman" w:hAnsi="Times New Roman" w:eastAsia="Times New Roman" w:cs="Times New Roman"/>
        </w:rPr>
        <w:t>2</w:t>
      </w:r>
      <w:r w:rsidRPr="006A4EA7" w:rsidR="006A4EA7">
        <w:rPr>
          <w:rFonts w:ascii="Times New Roman" w:hAnsi="Times New Roman" w:eastAsia="Times New Roman" w:cs="Times New Roman"/>
        </w:rPr>
        <w:t xml:space="preserve"> adopting the Third Mandatory Data Collection</w:t>
      </w:r>
      <w:r w:rsidR="00FE5A0F">
        <w:rPr>
          <w:rFonts w:ascii="Times New Roman" w:hAnsi="Times New Roman" w:eastAsia="Times New Roman" w:cs="Times New Roman"/>
        </w:rPr>
        <w:t xml:space="preserve">, and </w:t>
      </w:r>
      <w:r w:rsidR="00272279">
        <w:rPr>
          <w:rFonts w:ascii="Times New Roman" w:hAnsi="Times New Roman" w:eastAsia="Times New Roman" w:cs="Times New Roman"/>
        </w:rPr>
        <w:t xml:space="preserve">issuing </w:t>
      </w:r>
      <w:r w:rsidR="00FE5A0F">
        <w:rPr>
          <w:rFonts w:ascii="Times New Roman" w:hAnsi="Times New Roman" w:eastAsia="Times New Roman" w:cs="Times New Roman"/>
        </w:rPr>
        <w:t>the related instructions, template, and certification</w:t>
      </w:r>
      <w:r w:rsidR="008E33E5">
        <w:rPr>
          <w:rFonts w:ascii="Times New Roman" w:hAnsi="Times New Roman" w:eastAsia="Times New Roman" w:cs="Times New Roman"/>
        </w:rPr>
        <w:t xml:space="preserve"> form</w:t>
      </w:r>
      <w:r w:rsidRPr="006A4EA7" w:rsidR="006A4EA7">
        <w:rPr>
          <w:rFonts w:ascii="Times New Roman" w:hAnsi="Times New Roman" w:eastAsia="Times New Roman" w:cs="Times New Roman"/>
        </w:rPr>
        <w:t>.</w:t>
      </w:r>
      <w:r w:rsidR="00C75419">
        <w:rPr>
          <w:rStyle w:val="FootnoteReference"/>
          <w:rFonts w:eastAsia="Times New Roman" w:cs="Times New Roman"/>
        </w:rPr>
        <w:footnoteReference w:id="13"/>
      </w:r>
      <w:r w:rsidR="00A904F1">
        <w:rPr>
          <w:rFonts w:ascii="Times New Roman" w:hAnsi="Times New Roman" w:eastAsia="Times New Roman" w:cs="Times New Roman"/>
        </w:rPr>
        <w:t xml:space="preserve">  This Order </w:t>
      </w:r>
      <w:r w:rsidR="00337AA1">
        <w:rPr>
          <w:rFonts w:ascii="Times New Roman" w:hAnsi="Times New Roman" w:eastAsia="Times New Roman" w:cs="Times New Roman"/>
        </w:rPr>
        <w:t xml:space="preserve">implemented the </w:t>
      </w:r>
      <w:r w:rsidR="007A2A5C">
        <w:rPr>
          <w:rFonts w:ascii="Times New Roman" w:hAnsi="Times New Roman" w:eastAsia="Times New Roman" w:cs="Times New Roman"/>
        </w:rPr>
        <w:t>WCB/OEA</w:t>
      </w:r>
      <w:r w:rsidR="009615AD">
        <w:rPr>
          <w:rFonts w:ascii="Times New Roman" w:hAnsi="Times New Roman" w:eastAsia="Times New Roman" w:cs="Times New Roman"/>
        </w:rPr>
        <w:t xml:space="preserve">’s </w:t>
      </w:r>
      <w:r w:rsidR="00337AA1">
        <w:rPr>
          <w:rFonts w:ascii="Times New Roman" w:hAnsi="Times New Roman" w:eastAsia="Times New Roman" w:cs="Times New Roman"/>
        </w:rPr>
        <w:t>propos</w:t>
      </w:r>
      <w:r w:rsidR="004F0A0E">
        <w:rPr>
          <w:rFonts w:ascii="Times New Roman" w:hAnsi="Times New Roman" w:eastAsia="Times New Roman" w:cs="Times New Roman"/>
        </w:rPr>
        <w:t>als</w:t>
      </w:r>
      <w:r w:rsidR="008D10F5">
        <w:rPr>
          <w:rFonts w:ascii="Times New Roman" w:hAnsi="Times New Roman" w:eastAsia="Times New Roman" w:cs="Times New Roman"/>
        </w:rPr>
        <w:t>, with refinements</w:t>
      </w:r>
      <w:r w:rsidR="00440E3D">
        <w:rPr>
          <w:rFonts w:ascii="Times New Roman" w:hAnsi="Times New Roman" w:eastAsia="Times New Roman" w:cs="Times New Roman"/>
        </w:rPr>
        <w:t xml:space="preserve"> </w:t>
      </w:r>
      <w:r w:rsidR="00F75813">
        <w:rPr>
          <w:rFonts w:ascii="Times New Roman" w:hAnsi="Times New Roman" w:eastAsia="Times New Roman" w:cs="Times New Roman"/>
        </w:rPr>
        <w:t xml:space="preserve">responding </w:t>
      </w:r>
      <w:r w:rsidR="007F734F">
        <w:rPr>
          <w:rFonts w:ascii="Times New Roman" w:hAnsi="Times New Roman" w:eastAsia="Times New Roman" w:cs="Times New Roman"/>
        </w:rPr>
        <w:t xml:space="preserve">to </w:t>
      </w:r>
      <w:r w:rsidR="00C37505">
        <w:rPr>
          <w:rFonts w:ascii="Times New Roman" w:hAnsi="Times New Roman" w:eastAsia="Times New Roman" w:cs="Times New Roman"/>
        </w:rPr>
        <w:t>s</w:t>
      </w:r>
      <w:r w:rsidR="0026316D">
        <w:rPr>
          <w:rFonts w:ascii="Times New Roman" w:hAnsi="Times New Roman" w:eastAsia="Times New Roman" w:cs="Times New Roman"/>
        </w:rPr>
        <w:t xml:space="preserve">uggestions offered by the commenters.  </w:t>
      </w:r>
      <w:r w:rsidR="00250A5C">
        <w:rPr>
          <w:rFonts w:ascii="Times New Roman" w:hAnsi="Times New Roman" w:eastAsia="Times New Roman" w:cs="Times New Roman"/>
        </w:rPr>
        <w:t xml:space="preserve">Under WCB/OEA’s </w:t>
      </w:r>
      <w:r w:rsidR="00A52CC9">
        <w:rPr>
          <w:rFonts w:ascii="Times New Roman" w:hAnsi="Times New Roman" w:eastAsia="Times New Roman" w:cs="Times New Roman"/>
        </w:rPr>
        <w:t>Order</w:t>
      </w:r>
      <w:r w:rsidR="00250A5C">
        <w:rPr>
          <w:rFonts w:ascii="Times New Roman" w:hAnsi="Times New Roman" w:eastAsia="Times New Roman" w:cs="Times New Roman"/>
        </w:rPr>
        <w:t xml:space="preserve">, ICS providers </w:t>
      </w:r>
      <w:r w:rsidR="00A52CC9">
        <w:rPr>
          <w:rFonts w:ascii="Times New Roman" w:hAnsi="Times New Roman" w:eastAsia="Times New Roman" w:cs="Times New Roman"/>
        </w:rPr>
        <w:t xml:space="preserve">will </w:t>
      </w:r>
      <w:r w:rsidR="00250A5C">
        <w:rPr>
          <w:rFonts w:ascii="Times New Roman" w:hAnsi="Times New Roman" w:eastAsia="Times New Roman" w:cs="Times New Roman"/>
        </w:rPr>
        <w:t xml:space="preserve">be required to submit the required data using a reporting template to be filed through the Commission’s electronic filing system (ECFS).  </w:t>
      </w:r>
      <w:r w:rsidRPr="00832810" w:rsidR="00250A5C">
        <w:rPr>
          <w:rFonts w:ascii="Times New Roman" w:hAnsi="Times New Roman" w:eastAsia="Times New Roman" w:cs="Times New Roman"/>
        </w:rPr>
        <w:t xml:space="preserve">The </w:t>
      </w:r>
      <w:r w:rsidR="00250A5C">
        <w:rPr>
          <w:rFonts w:ascii="Times New Roman" w:hAnsi="Times New Roman" w:eastAsia="Times New Roman" w:cs="Times New Roman"/>
        </w:rPr>
        <w:t xml:space="preserve">template consists of a Word document (Appendix A to the instructions) for responses requiring narrative information and Excel spreadsheets (Appendix B to the instructions) for responses that require specific numbers </w:t>
      </w:r>
      <w:r w:rsidR="00BE3AAA">
        <w:rPr>
          <w:rFonts w:ascii="Times New Roman" w:hAnsi="Times New Roman" w:eastAsia="Times New Roman" w:cs="Times New Roman"/>
        </w:rPr>
        <w:t>o</w:t>
      </w:r>
      <w:r w:rsidR="00274A79">
        <w:rPr>
          <w:rFonts w:ascii="Times New Roman" w:hAnsi="Times New Roman" w:eastAsia="Times New Roman" w:cs="Times New Roman"/>
        </w:rPr>
        <w:t>r</w:t>
      </w:r>
      <w:r w:rsidR="00BE3AAA">
        <w:rPr>
          <w:rFonts w:ascii="Times New Roman" w:hAnsi="Times New Roman" w:eastAsia="Times New Roman" w:cs="Times New Roman"/>
        </w:rPr>
        <w:t xml:space="preserve"> </w:t>
      </w:r>
      <w:r w:rsidR="00250A5C">
        <w:rPr>
          <w:rFonts w:ascii="Times New Roman" w:hAnsi="Times New Roman" w:eastAsia="Times New Roman" w:cs="Times New Roman"/>
        </w:rPr>
        <w:t>information.  The template must be submitted in machine-readable and manipulatable format and may not be converted to a different format, such as a PDF.</w:t>
      </w:r>
      <w:r w:rsidR="0050431D">
        <w:rPr>
          <w:rFonts w:ascii="Times New Roman" w:hAnsi="Times New Roman" w:eastAsia="Times New Roman" w:cs="Times New Roman"/>
        </w:rPr>
        <w:t xml:space="preserve">  </w:t>
      </w:r>
      <w:r w:rsidRPr="00AF5111" w:rsidR="00AF5111">
        <w:rPr>
          <w:rFonts w:ascii="Times New Roman" w:hAnsi="Times New Roman" w:eastAsia="Times New Roman" w:cs="Times New Roman"/>
        </w:rPr>
        <w:t>WCB/OEA also adopted the requirement that a senior executive of each provider certify as to the truthfulness, accuracy, and completeness of the provider’s response to the data collection</w:t>
      </w:r>
      <w:r w:rsidR="00A67859">
        <w:rPr>
          <w:rFonts w:ascii="Times New Roman" w:hAnsi="Times New Roman" w:eastAsia="Times New Roman" w:cs="Times New Roman"/>
        </w:rPr>
        <w:t xml:space="preserve">.  </w:t>
      </w:r>
      <w:r w:rsidR="00E84F48">
        <w:rPr>
          <w:rFonts w:ascii="Times New Roman" w:hAnsi="Times New Roman" w:eastAsia="Times New Roman" w:cs="Times New Roman"/>
        </w:rPr>
        <w:t xml:space="preserve">In addition, </w:t>
      </w:r>
      <w:r w:rsidRPr="00AF5111" w:rsidR="00274A79">
        <w:rPr>
          <w:rFonts w:ascii="Times New Roman" w:hAnsi="Times New Roman" w:eastAsia="Times New Roman" w:cs="Times New Roman"/>
        </w:rPr>
        <w:t>WCB/OEA</w:t>
      </w:r>
      <w:r w:rsidR="009459EB">
        <w:rPr>
          <w:rFonts w:ascii="Times New Roman" w:hAnsi="Times New Roman" w:eastAsia="Times New Roman" w:cs="Times New Roman"/>
        </w:rPr>
        <w:t xml:space="preserve"> require</w:t>
      </w:r>
      <w:r w:rsidR="00274A79">
        <w:rPr>
          <w:rFonts w:ascii="Times New Roman" w:hAnsi="Times New Roman" w:eastAsia="Times New Roman" w:cs="Times New Roman"/>
        </w:rPr>
        <w:t>d</w:t>
      </w:r>
      <w:r w:rsidR="009459EB">
        <w:rPr>
          <w:rFonts w:ascii="Times New Roman" w:hAnsi="Times New Roman" w:eastAsia="Times New Roman" w:cs="Times New Roman"/>
        </w:rPr>
        <w:t xml:space="preserve"> all providers to submit audited financial statements or reports, or </w:t>
      </w:r>
      <w:r w:rsidR="0073284F">
        <w:rPr>
          <w:rFonts w:ascii="Times New Roman" w:hAnsi="Times New Roman" w:eastAsia="Times New Roman" w:cs="Times New Roman"/>
        </w:rPr>
        <w:t>similar documentation, to the extent they have been produced in the ordinary course of business</w:t>
      </w:r>
      <w:r w:rsidR="003B609D">
        <w:rPr>
          <w:rFonts w:ascii="Times New Roman" w:hAnsi="Times New Roman" w:eastAsia="Times New Roman" w:cs="Times New Roman"/>
        </w:rPr>
        <w:t>.  Providers must submit</w:t>
      </w:r>
      <w:r w:rsidR="009F2649">
        <w:rPr>
          <w:rFonts w:ascii="Times New Roman" w:hAnsi="Times New Roman" w:eastAsia="Times New Roman" w:cs="Times New Roman"/>
        </w:rPr>
        <w:t xml:space="preserve"> these reports for each </w:t>
      </w:r>
      <w:r w:rsidR="006F6A29">
        <w:rPr>
          <w:rFonts w:ascii="Times New Roman" w:hAnsi="Times New Roman" w:eastAsia="Times New Roman" w:cs="Times New Roman"/>
        </w:rPr>
        <w:t xml:space="preserve">of </w:t>
      </w:r>
      <w:r w:rsidR="008547D5">
        <w:rPr>
          <w:rFonts w:ascii="Times New Roman" w:hAnsi="Times New Roman" w:eastAsia="Times New Roman" w:cs="Times New Roman"/>
        </w:rPr>
        <w:t>2019, 2020, and 2021</w:t>
      </w:r>
      <w:r w:rsidR="009F2649">
        <w:rPr>
          <w:rFonts w:ascii="Times New Roman" w:hAnsi="Times New Roman" w:eastAsia="Times New Roman" w:cs="Times New Roman"/>
        </w:rPr>
        <w:t xml:space="preserve"> or certify that they have not produced </w:t>
      </w:r>
      <w:r w:rsidR="00FF48C0">
        <w:rPr>
          <w:rFonts w:ascii="Times New Roman" w:hAnsi="Times New Roman" w:eastAsia="Times New Roman" w:cs="Times New Roman"/>
        </w:rPr>
        <w:t>such reports in the ordinary course of business.</w:t>
      </w:r>
    </w:p>
    <w:p w:rsidR="001A2354" w:rsidP="00213B73" w:rsidRDefault="00972107" w14:paraId="3D60BA1C" w14:textId="089A302F">
      <w:pPr>
        <w:pStyle w:val="ParaNumChar1"/>
        <w:tabs>
          <w:tab w:val="clear" w:pos="1080"/>
          <w:tab w:val="clear" w:pos="1440"/>
          <w:tab w:val="left" w:pos="720"/>
        </w:tabs>
        <w:spacing w:after="120"/>
        <w:ind w:firstLine="0"/>
      </w:pPr>
      <w:r w:rsidRPr="00832810">
        <w:lastRenderedPageBreak/>
        <w:tab/>
      </w:r>
      <w:r w:rsidRPr="00832810" w:rsidR="009215AF">
        <w:t xml:space="preserve">We estimate that approximately 20 ICS providers will submit </w:t>
      </w:r>
      <w:r w:rsidRPr="00832810" w:rsidR="00713D89">
        <w:t>full responses to the Third Mandatory Dat</w:t>
      </w:r>
      <w:r w:rsidRPr="00832810" w:rsidR="00B66B93">
        <w:t>a</w:t>
      </w:r>
      <w:r w:rsidRPr="00832810" w:rsidR="00713D89">
        <w:t xml:space="preserve"> collection, consisting of </w:t>
      </w:r>
      <w:r w:rsidRPr="00832810" w:rsidR="009215AF">
        <w:t>the template and a signed certification of truthfulness, accuracy, and completeness.</w:t>
      </w:r>
    </w:p>
    <w:p w:rsidRPr="00832810" w:rsidR="00F9320B" w:rsidP="00213B73" w:rsidRDefault="00832810" w14:paraId="5894262F" w14:textId="2C23943B">
      <w:pPr>
        <w:pStyle w:val="ParaNumChar1"/>
        <w:tabs>
          <w:tab w:val="clear" w:pos="1080"/>
          <w:tab w:val="clear" w:pos="1440"/>
          <w:tab w:val="left" w:pos="720"/>
        </w:tabs>
        <w:spacing w:after="120"/>
        <w:ind w:firstLine="0"/>
        <w:rPr>
          <w:szCs w:val="22"/>
        </w:rPr>
      </w:pPr>
      <w:r>
        <w:rPr>
          <w:szCs w:val="22"/>
        </w:rPr>
        <w:tab/>
      </w:r>
      <w:r w:rsidRPr="00832810" w:rsidR="004D2E28">
        <w:rPr>
          <w:szCs w:val="22"/>
        </w:rPr>
        <w:t xml:space="preserve">Statutory authority for this information collection is contained in sections 1, 4(i)-4(j), 201(b), 218, 220, 225, 255, 276, 403, and </w:t>
      </w:r>
      <w:r w:rsidR="00384D80">
        <w:rPr>
          <w:szCs w:val="22"/>
        </w:rPr>
        <w:t>617</w:t>
      </w:r>
      <w:r w:rsidR="0000761D">
        <w:rPr>
          <w:szCs w:val="22"/>
        </w:rPr>
        <w:t xml:space="preserve"> </w:t>
      </w:r>
      <w:r w:rsidRPr="00832810" w:rsidR="004D2E28">
        <w:rPr>
          <w:szCs w:val="22"/>
        </w:rPr>
        <w:t>of the Communications Act of 1934, as amended, 47 U.S.C. §§ 151, 154(i-j), 201(b), 218, 220, 225, 255, 276, 403</w:t>
      </w:r>
      <w:r w:rsidR="00AA0D79">
        <w:rPr>
          <w:szCs w:val="22"/>
        </w:rPr>
        <w:t>,</w:t>
      </w:r>
      <w:r w:rsidRPr="00832810" w:rsidR="004D2E28">
        <w:rPr>
          <w:szCs w:val="22"/>
        </w:rPr>
        <w:t xml:space="preserve"> and </w:t>
      </w:r>
      <w:r w:rsidRPr="0000761D" w:rsidR="004D2E28">
        <w:rPr>
          <w:szCs w:val="22"/>
        </w:rPr>
        <w:t>617</w:t>
      </w:r>
      <w:r w:rsidRPr="00832810" w:rsidR="004D2E28">
        <w:rPr>
          <w:szCs w:val="22"/>
        </w:rPr>
        <w:t>.</w:t>
      </w:r>
    </w:p>
    <w:p w:rsidRPr="00832810" w:rsidR="00F9320B" w:rsidRDefault="00F9320B" w14:paraId="4689B59C" w14:textId="77777777">
      <w:pPr>
        <w:spacing w:after="120" w:line="240" w:lineRule="auto"/>
        <w:ind w:firstLine="720"/>
        <w:rPr>
          <w:rFonts w:ascii="Times New Roman" w:hAnsi="Times New Roman" w:eastAsia="Times New Roman" w:cs="Times New Roman"/>
        </w:rPr>
      </w:pPr>
      <w:r w:rsidRPr="00832810">
        <w:rPr>
          <w:rFonts w:ascii="Times New Roman" w:hAnsi="Times New Roman" w:eastAsia="Times New Roman" w:cs="Times New Roman"/>
        </w:rPr>
        <w:t>This information collection does not affect individuals or households; thus, there are no impacts under the Privacy Act.</w:t>
      </w:r>
    </w:p>
    <w:p w:rsidRPr="00832810" w:rsidR="00524010" w:rsidP="00213B73" w:rsidRDefault="00E10661" w14:paraId="35C5CFD5" w14:textId="6F8690EE">
      <w:pPr>
        <w:spacing w:after="120" w:line="240" w:lineRule="auto"/>
        <w:ind w:firstLine="720"/>
        <w:rPr>
          <w:rFonts w:ascii="Times New Roman" w:hAnsi="Times New Roman" w:eastAsia="Times New Roman" w:cs="Times New Roman"/>
        </w:rPr>
      </w:pPr>
      <w:r w:rsidRPr="00832810">
        <w:rPr>
          <w:rFonts w:ascii="Times New Roman" w:hAnsi="Times New Roman" w:eastAsia="Times New Roman" w:cs="Times New Roman"/>
        </w:rPr>
        <w:t xml:space="preserve">2.  </w:t>
      </w:r>
      <w:r w:rsidRPr="00832810" w:rsidR="00365FA5">
        <w:rPr>
          <w:rFonts w:ascii="Times New Roman" w:hAnsi="Times New Roman" w:eastAsia="Times New Roman" w:cs="Times New Roman"/>
        </w:rPr>
        <w:t>The information requirements set forth below ensure that the Commission has access to the information it needs to fulfill its statutory and regulatory responsibilities, while minimizing the burden on ICS providers.  Requiring ICS providers to submit full responses in the</w:t>
      </w:r>
      <w:r w:rsidRPr="00213B73" w:rsidR="00365FA5">
        <w:rPr>
          <w:rFonts w:ascii="Times New Roman" w:hAnsi="Times New Roman" w:cs="Times New Roman"/>
        </w:rPr>
        <w:t xml:space="preserve"> </w:t>
      </w:r>
      <w:r w:rsidR="002E5BE7">
        <w:rPr>
          <w:rFonts w:ascii="Times New Roman" w:hAnsi="Times New Roman" w:cs="Times New Roman"/>
        </w:rPr>
        <w:t xml:space="preserve">template </w:t>
      </w:r>
      <w:r w:rsidRPr="00832810" w:rsidR="00365FA5">
        <w:rPr>
          <w:rFonts w:ascii="Times New Roman" w:hAnsi="Times New Roman" w:eastAsia="Times New Roman" w:cs="Times New Roman"/>
        </w:rPr>
        <w:t>will provide, among other things, data on calls, demand, operations, compan</w:t>
      </w:r>
      <w:r w:rsidR="000D6BFC">
        <w:rPr>
          <w:rFonts w:ascii="Times New Roman" w:hAnsi="Times New Roman" w:eastAsia="Times New Roman" w:cs="Times New Roman"/>
        </w:rPr>
        <w:t xml:space="preserve">ies, ICS </w:t>
      </w:r>
      <w:r w:rsidRPr="00832810" w:rsidR="00365FA5">
        <w:rPr>
          <w:rFonts w:ascii="Times New Roman" w:hAnsi="Times New Roman" w:eastAsia="Times New Roman" w:cs="Times New Roman"/>
        </w:rPr>
        <w:t>contract</w:t>
      </w:r>
      <w:r w:rsidR="000D6BFC">
        <w:rPr>
          <w:rFonts w:ascii="Times New Roman" w:hAnsi="Times New Roman" w:eastAsia="Times New Roman" w:cs="Times New Roman"/>
        </w:rPr>
        <w:t>s</w:t>
      </w:r>
      <w:r w:rsidRPr="00832810" w:rsidR="00365FA5">
        <w:rPr>
          <w:rFonts w:ascii="Times New Roman" w:hAnsi="Times New Roman" w:eastAsia="Times New Roman" w:cs="Times New Roman"/>
        </w:rPr>
        <w:t xml:space="preserve">, facilities served, revenues, site commission payments, and ancillary fees, all of which </w:t>
      </w:r>
      <w:r w:rsidRPr="00832810" w:rsidR="009E2573">
        <w:rPr>
          <w:rFonts w:ascii="Times New Roman" w:hAnsi="Times New Roman" w:eastAsia="Times New Roman" w:cs="Times New Roman"/>
        </w:rPr>
        <w:t>are essential for</w:t>
      </w:r>
      <w:r w:rsidRPr="00832810" w:rsidR="00365FA5">
        <w:rPr>
          <w:rFonts w:ascii="Times New Roman" w:hAnsi="Times New Roman" w:eastAsia="Times New Roman" w:cs="Times New Roman"/>
        </w:rPr>
        <w:t xml:space="preserve"> the Commission</w:t>
      </w:r>
      <w:r w:rsidRPr="00832810" w:rsidR="009E2573">
        <w:rPr>
          <w:rFonts w:ascii="Times New Roman" w:hAnsi="Times New Roman" w:eastAsia="Times New Roman" w:cs="Times New Roman"/>
        </w:rPr>
        <w:t xml:space="preserve"> to</w:t>
      </w:r>
      <w:r w:rsidRPr="00832810" w:rsidR="00365FA5">
        <w:rPr>
          <w:rFonts w:ascii="Times New Roman" w:hAnsi="Times New Roman" w:eastAsia="Times New Roman" w:cs="Times New Roman"/>
        </w:rPr>
        <w:t xml:space="preserve"> discharge its statutory mandates regarding ICS. </w:t>
      </w:r>
    </w:p>
    <w:p w:rsidRPr="00832810" w:rsidR="00524010" w:rsidP="00213B73" w:rsidRDefault="00524010" w14:paraId="528B5016" w14:textId="1872E3BD">
      <w:pPr>
        <w:spacing w:after="120" w:line="240" w:lineRule="auto"/>
        <w:ind w:firstLine="720"/>
        <w:rPr>
          <w:rFonts w:ascii="Times New Roman" w:hAnsi="Times New Roman" w:eastAsia="Times New Roman" w:cs="Times New Roman"/>
        </w:rPr>
      </w:pPr>
      <w:r w:rsidRPr="00832810">
        <w:rPr>
          <w:rFonts w:ascii="Times New Roman" w:hAnsi="Times New Roman" w:eastAsia="Times New Roman" w:cs="Times New Roman"/>
        </w:rPr>
        <w:t>The requirement</w:t>
      </w:r>
      <w:r w:rsidRPr="00832810" w:rsidR="003F2F31">
        <w:rPr>
          <w:rFonts w:ascii="Times New Roman" w:hAnsi="Times New Roman" w:eastAsia="Times New Roman" w:cs="Times New Roman"/>
        </w:rPr>
        <w:t>s</w:t>
      </w:r>
      <w:r w:rsidRPr="00832810">
        <w:rPr>
          <w:rFonts w:ascii="Times New Roman" w:hAnsi="Times New Roman" w:eastAsia="Times New Roman" w:cs="Times New Roman"/>
        </w:rPr>
        <w:t xml:space="preserve"> that ICS providers submit audited financial statement</w:t>
      </w:r>
      <w:r w:rsidRPr="00832810" w:rsidR="003F2F31">
        <w:rPr>
          <w:rFonts w:ascii="Times New Roman" w:hAnsi="Times New Roman" w:eastAsia="Times New Roman" w:cs="Times New Roman"/>
        </w:rPr>
        <w:t>s and a signed certification of truthfulness, accuracy</w:t>
      </w:r>
      <w:r w:rsidRPr="00832810" w:rsidR="009E2573">
        <w:rPr>
          <w:rFonts w:ascii="Times New Roman" w:hAnsi="Times New Roman" w:eastAsia="Times New Roman" w:cs="Times New Roman"/>
        </w:rPr>
        <w:t>,</w:t>
      </w:r>
      <w:r w:rsidRPr="00832810" w:rsidR="003F2F31">
        <w:rPr>
          <w:rFonts w:ascii="Times New Roman" w:hAnsi="Times New Roman" w:eastAsia="Times New Roman" w:cs="Times New Roman"/>
        </w:rPr>
        <w:t xml:space="preserve"> and completeness of the responses will ensure that the information submitted will provide the Commission with a complete picture of the cost, demand, and revenue data from each provider</w:t>
      </w:r>
      <w:r w:rsidR="000D6BFC">
        <w:rPr>
          <w:rFonts w:ascii="Times New Roman" w:hAnsi="Times New Roman" w:eastAsia="Times New Roman" w:cs="Times New Roman"/>
        </w:rPr>
        <w:t>, in a uniform manner</w:t>
      </w:r>
      <w:r w:rsidRPr="00832810" w:rsidR="003F2F31">
        <w:rPr>
          <w:rFonts w:ascii="Times New Roman" w:hAnsi="Times New Roman" w:eastAsia="Times New Roman" w:cs="Times New Roman"/>
        </w:rPr>
        <w:t>.</w:t>
      </w:r>
    </w:p>
    <w:p w:rsidRPr="00832810" w:rsidR="009E1F11" w:rsidP="00213B73" w:rsidRDefault="00392B4D" w14:paraId="2B20A6A9" w14:textId="4F409652">
      <w:pPr>
        <w:spacing w:after="120" w:line="240" w:lineRule="auto"/>
        <w:ind w:firstLine="720"/>
        <w:rPr>
          <w:rFonts w:ascii="Times New Roman" w:hAnsi="Times New Roman" w:eastAsia="Times New Roman" w:cs="Times New Roman"/>
        </w:rPr>
      </w:pPr>
      <w:r w:rsidRPr="00832810">
        <w:rPr>
          <w:rFonts w:ascii="Times New Roman" w:hAnsi="Times New Roman" w:eastAsia="Times New Roman" w:cs="Times New Roman"/>
        </w:rPr>
        <w:t>The ICS providers’ responses will provide extensive information about the ICS industry</w:t>
      </w:r>
      <w:r w:rsidRPr="00832810" w:rsidR="00862BF4">
        <w:rPr>
          <w:rFonts w:ascii="Times New Roman" w:hAnsi="Times New Roman" w:eastAsia="Times New Roman" w:cs="Times New Roman"/>
        </w:rPr>
        <w:t xml:space="preserve">.  The Commission </w:t>
      </w:r>
      <w:r w:rsidRPr="00832810" w:rsidR="009E2573">
        <w:rPr>
          <w:rFonts w:ascii="Times New Roman" w:hAnsi="Times New Roman" w:eastAsia="Times New Roman" w:cs="Times New Roman"/>
        </w:rPr>
        <w:t xml:space="preserve">plans to </w:t>
      </w:r>
      <w:r w:rsidRPr="00832810" w:rsidR="00862BF4">
        <w:rPr>
          <w:rFonts w:ascii="Times New Roman" w:hAnsi="Times New Roman" w:eastAsia="Times New Roman" w:cs="Times New Roman"/>
        </w:rPr>
        <w:t>use the collected data to set permanent interstate and international ICS provider-related rate caps that more closely reflect providers’ costs of servi</w:t>
      </w:r>
      <w:r w:rsidR="000D6BFC">
        <w:rPr>
          <w:rFonts w:ascii="Times New Roman" w:hAnsi="Times New Roman" w:eastAsia="Times New Roman" w:cs="Times New Roman"/>
        </w:rPr>
        <w:t>ce</w:t>
      </w:r>
      <w:r w:rsidRPr="00832810" w:rsidR="00862BF4">
        <w:rPr>
          <w:rFonts w:ascii="Times New Roman" w:hAnsi="Times New Roman" w:eastAsia="Times New Roman" w:cs="Times New Roman"/>
        </w:rPr>
        <w:t>.</w:t>
      </w:r>
      <w:r w:rsidRPr="00213B73" w:rsidR="00B31E7F">
        <w:rPr>
          <w:rFonts w:ascii="Times New Roman" w:hAnsi="Times New Roman" w:cs="Times New Roman"/>
        </w:rPr>
        <w:t xml:space="preserve"> </w:t>
      </w:r>
      <w:r w:rsidRPr="00213B73" w:rsidR="009E2573">
        <w:rPr>
          <w:rFonts w:ascii="Times New Roman" w:hAnsi="Times New Roman" w:cs="Times New Roman"/>
        </w:rPr>
        <w:t xml:space="preserve"> </w:t>
      </w:r>
      <w:r w:rsidRPr="00213B73" w:rsidR="00B31E7F">
        <w:rPr>
          <w:rFonts w:ascii="Times New Roman" w:hAnsi="Times New Roman" w:cs="Times New Roman"/>
        </w:rPr>
        <w:t xml:space="preserve">In addition, </w:t>
      </w:r>
      <w:r w:rsidRPr="00832810" w:rsidR="00B31E7F">
        <w:rPr>
          <w:rFonts w:ascii="Times New Roman" w:hAnsi="Times New Roman" w:eastAsia="Times New Roman" w:cs="Times New Roman"/>
        </w:rPr>
        <w:t>th</w:t>
      </w:r>
      <w:r w:rsidR="000D6BFC">
        <w:rPr>
          <w:rFonts w:ascii="Times New Roman" w:hAnsi="Times New Roman" w:eastAsia="Times New Roman" w:cs="Times New Roman"/>
        </w:rPr>
        <w:t>e</w:t>
      </w:r>
      <w:r w:rsidRPr="00832810" w:rsidR="00B31E7F">
        <w:rPr>
          <w:rFonts w:ascii="Times New Roman" w:hAnsi="Times New Roman" w:eastAsia="Times New Roman" w:cs="Times New Roman"/>
        </w:rPr>
        <w:t>s</w:t>
      </w:r>
      <w:r w:rsidR="000D6BFC">
        <w:rPr>
          <w:rFonts w:ascii="Times New Roman" w:hAnsi="Times New Roman" w:eastAsia="Times New Roman" w:cs="Times New Roman"/>
        </w:rPr>
        <w:t>e</w:t>
      </w:r>
      <w:r w:rsidRPr="00832810" w:rsidR="00B31E7F">
        <w:rPr>
          <w:rFonts w:ascii="Times New Roman" w:hAnsi="Times New Roman" w:eastAsia="Times New Roman" w:cs="Times New Roman"/>
        </w:rPr>
        <w:t xml:space="preserve"> data will enable </w:t>
      </w:r>
      <w:r w:rsidR="000D6BFC">
        <w:rPr>
          <w:rFonts w:ascii="Times New Roman" w:hAnsi="Times New Roman" w:eastAsia="Times New Roman" w:cs="Times New Roman"/>
        </w:rPr>
        <w:t xml:space="preserve">the Commission </w:t>
      </w:r>
      <w:r w:rsidRPr="00832810" w:rsidR="00B31E7F">
        <w:rPr>
          <w:rFonts w:ascii="Times New Roman" w:hAnsi="Times New Roman" w:eastAsia="Times New Roman" w:cs="Times New Roman"/>
        </w:rPr>
        <w:t>to evaluate and, if warranted</w:t>
      </w:r>
      <w:r w:rsidR="000D6BFC">
        <w:rPr>
          <w:rFonts w:ascii="Times New Roman" w:hAnsi="Times New Roman" w:eastAsia="Times New Roman" w:cs="Times New Roman"/>
        </w:rPr>
        <w:t>,</w:t>
      </w:r>
      <w:r w:rsidRPr="00832810" w:rsidR="00B31E7F">
        <w:rPr>
          <w:rFonts w:ascii="Times New Roman" w:hAnsi="Times New Roman" w:eastAsia="Times New Roman" w:cs="Times New Roman"/>
        </w:rPr>
        <w:t xml:space="preserve"> revise the current ancillary service charge caps</w:t>
      </w:r>
      <w:r w:rsidRPr="00832810" w:rsidR="00524010">
        <w:rPr>
          <w:rFonts w:ascii="Times New Roman" w:hAnsi="Times New Roman" w:eastAsia="Times New Roman" w:cs="Times New Roman"/>
        </w:rPr>
        <w:t xml:space="preserve">. </w:t>
      </w:r>
      <w:r w:rsidRPr="00832810" w:rsidR="009E2573">
        <w:rPr>
          <w:rFonts w:ascii="Times New Roman" w:hAnsi="Times New Roman" w:eastAsia="Times New Roman" w:cs="Times New Roman"/>
        </w:rPr>
        <w:t xml:space="preserve"> </w:t>
      </w:r>
      <w:r w:rsidRPr="00832810" w:rsidR="00524010">
        <w:rPr>
          <w:rFonts w:ascii="Times New Roman" w:hAnsi="Times New Roman" w:eastAsia="Times New Roman" w:cs="Times New Roman"/>
        </w:rPr>
        <w:t>The information that ICS providers submit will also provide incarcerated people, their families, their representatives, and the general public with access to information affecting the provision of interstate and international ICS</w:t>
      </w:r>
      <w:r w:rsidRPr="00832810" w:rsidR="00CE3B45">
        <w:rPr>
          <w:rFonts w:ascii="Times New Roman" w:hAnsi="Times New Roman" w:eastAsia="Times New Roman" w:cs="Times New Roman"/>
        </w:rPr>
        <w:t>.</w:t>
      </w:r>
    </w:p>
    <w:p w:rsidRPr="00832810" w:rsidR="00E10661" w:rsidP="00213B73" w:rsidRDefault="00E10661" w14:paraId="1EA661E9" w14:textId="22DF2E46">
      <w:pPr>
        <w:tabs>
          <w:tab w:val="left" w:pos="720"/>
        </w:tabs>
        <w:spacing w:after="120" w:line="240" w:lineRule="auto"/>
        <w:rPr>
          <w:rFonts w:ascii="Times New Roman" w:hAnsi="Times New Roman" w:eastAsia="Times New Roman" w:cs="Times New Roman"/>
          <w:b/>
        </w:rPr>
      </w:pPr>
      <w:r w:rsidRPr="00832810">
        <w:rPr>
          <w:rFonts w:ascii="Times New Roman" w:hAnsi="Times New Roman" w:eastAsia="Times New Roman" w:cs="Times New Roman"/>
        </w:rPr>
        <w:tab/>
        <w:t xml:space="preserve">3.  </w:t>
      </w:r>
      <w:r w:rsidRPr="00832810" w:rsidR="000A400D">
        <w:rPr>
          <w:rFonts w:ascii="Times New Roman" w:hAnsi="Times New Roman" w:eastAsia="Times New Roman" w:cs="Times New Roman"/>
        </w:rPr>
        <w:t xml:space="preserve">WCB/OEA </w:t>
      </w:r>
      <w:r w:rsidRPr="00832810" w:rsidR="00C74E29">
        <w:rPr>
          <w:rFonts w:ascii="Times New Roman" w:hAnsi="Times New Roman" w:eastAsia="Times New Roman" w:cs="Times New Roman"/>
        </w:rPr>
        <w:t xml:space="preserve">have </w:t>
      </w:r>
      <w:r w:rsidRPr="00832810">
        <w:rPr>
          <w:rFonts w:ascii="Times New Roman" w:hAnsi="Times New Roman" w:eastAsia="Times New Roman" w:cs="Times New Roman"/>
        </w:rPr>
        <w:t>develop</w:t>
      </w:r>
      <w:r w:rsidRPr="00832810" w:rsidR="0084191D">
        <w:rPr>
          <w:rFonts w:ascii="Times New Roman" w:hAnsi="Times New Roman" w:eastAsia="Times New Roman" w:cs="Times New Roman"/>
        </w:rPr>
        <w:t>ed</w:t>
      </w:r>
      <w:r w:rsidRPr="00832810">
        <w:rPr>
          <w:rFonts w:ascii="Times New Roman" w:hAnsi="Times New Roman" w:eastAsia="Times New Roman" w:cs="Times New Roman"/>
        </w:rPr>
        <w:t xml:space="preserve"> </w:t>
      </w:r>
      <w:r w:rsidRPr="00832810" w:rsidR="00A577B2">
        <w:rPr>
          <w:rFonts w:ascii="Times New Roman" w:hAnsi="Times New Roman" w:eastAsia="Times New Roman" w:cs="Times New Roman"/>
        </w:rPr>
        <w:t>instructions aimed at simplifying compliance with, and reducing the burden of, the data collection</w:t>
      </w:r>
      <w:r w:rsidR="00B91848">
        <w:rPr>
          <w:rFonts w:ascii="Times New Roman" w:hAnsi="Times New Roman" w:eastAsia="Times New Roman" w:cs="Times New Roman"/>
        </w:rPr>
        <w:t>,</w:t>
      </w:r>
      <w:r w:rsidRPr="00832810" w:rsidR="00A577B2">
        <w:rPr>
          <w:rFonts w:ascii="Times New Roman" w:hAnsi="Times New Roman" w:eastAsia="Times New Roman" w:cs="Times New Roman"/>
        </w:rPr>
        <w:t xml:space="preserve"> as well as </w:t>
      </w:r>
      <w:r w:rsidRPr="00832810">
        <w:rPr>
          <w:rFonts w:ascii="Times New Roman" w:hAnsi="Times New Roman" w:eastAsia="Times New Roman" w:cs="Times New Roman"/>
        </w:rPr>
        <w:t xml:space="preserve">a standardized </w:t>
      </w:r>
      <w:r w:rsidR="00B04AF8">
        <w:rPr>
          <w:rFonts w:ascii="Times New Roman" w:hAnsi="Times New Roman" w:eastAsia="Times New Roman" w:cs="Times New Roman"/>
        </w:rPr>
        <w:t xml:space="preserve">template </w:t>
      </w:r>
      <w:r w:rsidR="00B614A0">
        <w:rPr>
          <w:rFonts w:ascii="Times New Roman" w:hAnsi="Times New Roman" w:eastAsia="Times New Roman" w:cs="Times New Roman"/>
        </w:rPr>
        <w:t>and certification form</w:t>
      </w:r>
      <w:r w:rsidR="003D356F">
        <w:rPr>
          <w:rFonts w:ascii="Times New Roman" w:hAnsi="Times New Roman" w:eastAsia="Times New Roman" w:cs="Times New Roman"/>
        </w:rPr>
        <w:t xml:space="preserve"> </w:t>
      </w:r>
      <w:r w:rsidRPr="00832810">
        <w:rPr>
          <w:rFonts w:ascii="Times New Roman" w:hAnsi="Times New Roman" w:eastAsia="Times New Roman" w:cs="Times New Roman"/>
        </w:rPr>
        <w:t xml:space="preserve">for the submission of </w:t>
      </w:r>
      <w:r w:rsidRPr="00832810" w:rsidR="00A577B2">
        <w:rPr>
          <w:rFonts w:ascii="Times New Roman" w:hAnsi="Times New Roman" w:eastAsia="Times New Roman" w:cs="Times New Roman"/>
        </w:rPr>
        <w:t>their responses</w:t>
      </w:r>
      <w:r w:rsidRPr="00832810">
        <w:rPr>
          <w:rFonts w:ascii="Times New Roman" w:hAnsi="Times New Roman" w:eastAsia="Times New Roman" w:cs="Times New Roman"/>
        </w:rPr>
        <w:t xml:space="preserve">.  </w:t>
      </w:r>
      <w:r w:rsidR="00250FE8">
        <w:rPr>
          <w:rFonts w:ascii="Times New Roman" w:hAnsi="Times New Roman" w:eastAsia="Times New Roman" w:cs="Times New Roman"/>
        </w:rPr>
        <w:t xml:space="preserve">WCB/OEA </w:t>
      </w:r>
      <w:r w:rsidR="002250E2">
        <w:rPr>
          <w:rFonts w:ascii="Times New Roman" w:hAnsi="Times New Roman" w:eastAsia="Times New Roman" w:cs="Times New Roman"/>
        </w:rPr>
        <w:t xml:space="preserve">will require </w:t>
      </w:r>
      <w:r w:rsidR="00250FE8">
        <w:rPr>
          <w:rFonts w:ascii="Times New Roman" w:hAnsi="Times New Roman" w:eastAsia="Times New Roman" w:cs="Times New Roman"/>
        </w:rPr>
        <w:t>providers to</w:t>
      </w:r>
      <w:r w:rsidRPr="00832810">
        <w:rPr>
          <w:rFonts w:ascii="Times New Roman" w:hAnsi="Times New Roman" w:eastAsia="Times New Roman" w:cs="Times New Roman"/>
        </w:rPr>
        <w:t xml:space="preserve"> file their </w:t>
      </w:r>
      <w:r w:rsidRPr="00832810" w:rsidR="00F37FBE">
        <w:rPr>
          <w:rFonts w:ascii="Times New Roman" w:hAnsi="Times New Roman" w:eastAsia="Times New Roman" w:cs="Times New Roman"/>
        </w:rPr>
        <w:t xml:space="preserve">responses </w:t>
      </w:r>
      <w:r w:rsidRPr="00832810">
        <w:rPr>
          <w:rFonts w:ascii="Times New Roman" w:hAnsi="Times New Roman" w:eastAsia="Times New Roman" w:cs="Times New Roman"/>
        </w:rPr>
        <w:t>electronically via the Commission’s Electronic Comment Filing System (ECFS).</w:t>
      </w:r>
    </w:p>
    <w:p w:rsidRPr="00832810" w:rsidR="00E10661" w:rsidP="00213B73" w:rsidRDefault="00E10661" w14:paraId="7006EA2E" w14:textId="66FF0267">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4.  The Commission is not aware of any similar information already available that can be used or modified for the purposes described in Item 2 above.</w:t>
      </w:r>
    </w:p>
    <w:p w:rsidRPr="00832810" w:rsidR="00E10661" w:rsidP="00213B73" w:rsidRDefault="00E10661" w14:paraId="5452CBF0" w14:textId="77A62784">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5.  Because the Commission’s </w:t>
      </w:r>
      <w:r w:rsidRPr="00832810" w:rsidR="000D62F7">
        <w:rPr>
          <w:rFonts w:ascii="Times New Roman" w:hAnsi="Times New Roman" w:eastAsia="Times New Roman" w:cs="Times New Roman"/>
          <w:i/>
        </w:rPr>
        <w:t xml:space="preserve">2021 ICS </w:t>
      </w:r>
      <w:r w:rsidRPr="00832810" w:rsidR="000D62F7">
        <w:rPr>
          <w:rFonts w:ascii="Times New Roman" w:hAnsi="Times New Roman" w:eastAsia="Times New Roman" w:cs="Times New Roman"/>
          <w:i/>
          <w:iCs/>
        </w:rPr>
        <w:t>Order</w:t>
      </w:r>
      <w:r w:rsidRPr="00832810" w:rsidR="000D62F7">
        <w:rPr>
          <w:rFonts w:ascii="Times New Roman" w:hAnsi="Times New Roman" w:eastAsia="Times New Roman" w:cs="Times New Roman"/>
        </w:rPr>
        <w:t xml:space="preserve"> </w:t>
      </w:r>
      <w:r w:rsidRPr="00832810">
        <w:rPr>
          <w:rFonts w:ascii="Times New Roman" w:hAnsi="Times New Roman" w:eastAsia="Times New Roman" w:cs="Times New Roman"/>
        </w:rPr>
        <w:t>requires all ICS providers to comply with the mandatory data collection, the collection will affect smaller as well as larger ICS providers.  The Commission has taken steps to ensure that the data collection template is competitively neutral and not unduly burdensome for any set of providers.</w:t>
      </w:r>
    </w:p>
    <w:p w:rsidRPr="00832810" w:rsidR="00E10661" w:rsidP="00213B73" w:rsidRDefault="00E10661" w14:paraId="07669F51" w14:textId="79B8D29C">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6.  </w:t>
      </w:r>
      <w:r w:rsidRPr="00832810" w:rsidR="00842F46">
        <w:rPr>
          <w:rFonts w:ascii="Times New Roman" w:hAnsi="Times New Roman" w:eastAsia="Times New Roman" w:cs="Times New Roman"/>
        </w:rPr>
        <w:t xml:space="preserve">The </w:t>
      </w:r>
      <w:r w:rsidRPr="00832810" w:rsidR="00C74E29">
        <w:rPr>
          <w:rFonts w:ascii="Times New Roman" w:hAnsi="Times New Roman" w:eastAsia="Times New Roman" w:cs="Times New Roman"/>
        </w:rPr>
        <w:t xml:space="preserve">Third </w:t>
      </w:r>
      <w:r w:rsidRPr="00832810" w:rsidR="00842F46">
        <w:rPr>
          <w:rFonts w:ascii="Times New Roman" w:hAnsi="Times New Roman" w:eastAsia="Times New Roman" w:cs="Times New Roman"/>
        </w:rPr>
        <w:t xml:space="preserve">Mandatory Data Collection is a one-time </w:t>
      </w:r>
      <w:r w:rsidRPr="00832810" w:rsidR="00507D5F">
        <w:rPr>
          <w:rFonts w:ascii="Times New Roman" w:hAnsi="Times New Roman" w:eastAsia="Times New Roman" w:cs="Times New Roman"/>
        </w:rPr>
        <w:t>request and does not impose a recurring obligation on providers</w:t>
      </w:r>
      <w:r w:rsidRPr="00832810" w:rsidR="00842F46">
        <w:rPr>
          <w:rFonts w:ascii="Times New Roman" w:hAnsi="Times New Roman" w:eastAsia="Times New Roman" w:cs="Times New Roman"/>
        </w:rPr>
        <w:t xml:space="preserve">.  </w:t>
      </w:r>
      <w:r w:rsidRPr="00832810">
        <w:rPr>
          <w:rFonts w:ascii="Times New Roman" w:hAnsi="Times New Roman" w:eastAsia="Times New Roman" w:cs="Times New Roman"/>
        </w:rPr>
        <w:t>Not conducting the data collection would deprive the Commission of the detailed, industry-wide</w:t>
      </w:r>
      <w:r w:rsidR="000D6BFC">
        <w:rPr>
          <w:rFonts w:ascii="Times New Roman" w:hAnsi="Times New Roman" w:eastAsia="Times New Roman" w:cs="Times New Roman"/>
        </w:rPr>
        <w:t>,</w:t>
      </w:r>
      <w:r w:rsidRPr="00832810">
        <w:rPr>
          <w:rFonts w:ascii="Times New Roman" w:hAnsi="Times New Roman" w:eastAsia="Times New Roman" w:cs="Times New Roman"/>
        </w:rPr>
        <w:t xml:space="preserve"> data necessary to ensure that</w:t>
      </w:r>
      <w:r w:rsidR="000923E8">
        <w:rPr>
          <w:rFonts w:ascii="Times New Roman" w:hAnsi="Times New Roman" w:eastAsia="Times New Roman" w:cs="Times New Roman"/>
        </w:rPr>
        <w:t xml:space="preserve"> interstate and international</w:t>
      </w:r>
      <w:r w:rsidRPr="00832810">
        <w:rPr>
          <w:rFonts w:ascii="Times New Roman" w:hAnsi="Times New Roman" w:eastAsia="Times New Roman" w:cs="Times New Roman"/>
        </w:rPr>
        <w:t xml:space="preserve"> ICS</w:t>
      </w:r>
      <w:r w:rsidRPr="00832810" w:rsidR="002239ED">
        <w:rPr>
          <w:rFonts w:ascii="Times New Roman" w:hAnsi="Times New Roman" w:eastAsia="Times New Roman" w:cs="Times New Roman"/>
        </w:rPr>
        <w:t xml:space="preserve"> rates, fees, </w:t>
      </w:r>
      <w:r w:rsidRPr="00832810" w:rsidR="00A577B2">
        <w:rPr>
          <w:rFonts w:ascii="Times New Roman" w:hAnsi="Times New Roman" w:eastAsia="Times New Roman" w:cs="Times New Roman"/>
        </w:rPr>
        <w:t>and practices</w:t>
      </w:r>
      <w:r w:rsidRPr="00832810">
        <w:rPr>
          <w:rFonts w:ascii="Times New Roman" w:hAnsi="Times New Roman" w:eastAsia="Times New Roman" w:cs="Times New Roman"/>
        </w:rPr>
        <w:t xml:space="preserve"> </w:t>
      </w:r>
      <w:r w:rsidRPr="00832810" w:rsidR="00A577B2">
        <w:rPr>
          <w:rFonts w:ascii="Times New Roman" w:hAnsi="Times New Roman" w:eastAsia="Times New Roman" w:cs="Times New Roman"/>
        </w:rPr>
        <w:t xml:space="preserve">are </w:t>
      </w:r>
      <w:r w:rsidRPr="00832810">
        <w:rPr>
          <w:rFonts w:ascii="Times New Roman" w:hAnsi="Times New Roman" w:eastAsia="Times New Roman" w:cs="Times New Roman"/>
        </w:rPr>
        <w:t>just</w:t>
      </w:r>
      <w:r w:rsidRPr="00832810" w:rsidR="00A577B2">
        <w:rPr>
          <w:rFonts w:ascii="Times New Roman" w:hAnsi="Times New Roman" w:eastAsia="Times New Roman" w:cs="Times New Roman"/>
        </w:rPr>
        <w:t xml:space="preserve"> and</w:t>
      </w:r>
      <w:r w:rsidRPr="00832810" w:rsidR="002239ED">
        <w:rPr>
          <w:rFonts w:ascii="Times New Roman" w:hAnsi="Times New Roman" w:eastAsia="Times New Roman" w:cs="Times New Roman"/>
        </w:rPr>
        <w:t xml:space="preserve"> </w:t>
      </w:r>
      <w:r w:rsidRPr="00832810">
        <w:rPr>
          <w:rFonts w:ascii="Times New Roman" w:hAnsi="Times New Roman" w:eastAsia="Times New Roman" w:cs="Times New Roman"/>
        </w:rPr>
        <w:t>reasonable.</w:t>
      </w:r>
    </w:p>
    <w:p w:rsidRPr="00832810" w:rsidR="00E10661" w:rsidP="00213B73" w:rsidRDefault="00E10661" w14:paraId="06FA93D6" w14:textId="77777777">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7.  No other special circumstances will apply to this information collection. </w:t>
      </w:r>
    </w:p>
    <w:p w:rsidR="00D55A2A" w:rsidDel="0025759E" w:rsidP="0025759E" w:rsidRDefault="00E10661" w14:paraId="66AF4069" w14:textId="10450884">
      <w:pPr>
        <w:pStyle w:val="Numberedparagraphs"/>
        <w:numPr>
          <w:ilvl w:val="0"/>
          <w:numId w:val="0"/>
        </w:numPr>
        <w:tabs>
          <w:tab w:val="clear" w:pos="1440"/>
          <w:tab w:val="left" w:pos="720"/>
        </w:tabs>
        <w:spacing w:after="120"/>
        <w:rPr>
          <w:sz w:val="22"/>
          <w:szCs w:val="22"/>
        </w:rPr>
      </w:pPr>
      <w:r w:rsidRPr="00832810">
        <w:rPr>
          <w:sz w:val="22"/>
          <w:szCs w:val="22"/>
        </w:rPr>
        <w:tab/>
        <w:t xml:space="preserve">8.  </w:t>
      </w:r>
      <w:r w:rsidRPr="00832810" w:rsidR="00805E59">
        <w:rPr>
          <w:sz w:val="22"/>
          <w:szCs w:val="22"/>
        </w:rPr>
        <w:t xml:space="preserve">Pursuant to 5 C.F.R. § 1320.8 (d), the Commission published a 60-day </w:t>
      </w:r>
      <w:r w:rsidR="00E134B0">
        <w:rPr>
          <w:sz w:val="22"/>
          <w:szCs w:val="22"/>
        </w:rPr>
        <w:t>N</w:t>
      </w:r>
      <w:r w:rsidRPr="00832810" w:rsidR="00805E59">
        <w:rPr>
          <w:sz w:val="22"/>
          <w:szCs w:val="22"/>
        </w:rPr>
        <w:t xml:space="preserve">otice in the Federal Register to solicit public comment on </w:t>
      </w:r>
      <w:r w:rsidRPr="00832810" w:rsidR="00415F94">
        <w:rPr>
          <w:sz w:val="22"/>
          <w:szCs w:val="22"/>
        </w:rPr>
        <w:t>the requirements</w:t>
      </w:r>
      <w:r w:rsidR="00447EF1">
        <w:rPr>
          <w:sz w:val="22"/>
          <w:szCs w:val="22"/>
        </w:rPr>
        <w:t xml:space="preserve"> d</w:t>
      </w:r>
      <w:r w:rsidR="009425FB">
        <w:rPr>
          <w:sz w:val="22"/>
          <w:szCs w:val="22"/>
        </w:rPr>
        <w:t>escribed below</w:t>
      </w:r>
      <w:r w:rsidRPr="00832810" w:rsidR="00415F94">
        <w:rPr>
          <w:sz w:val="22"/>
          <w:szCs w:val="22"/>
        </w:rPr>
        <w:t xml:space="preserve"> </w:t>
      </w:r>
      <w:r w:rsidRPr="00832810" w:rsidR="00805E59">
        <w:rPr>
          <w:sz w:val="22"/>
          <w:szCs w:val="22"/>
        </w:rPr>
        <w:t>on</w:t>
      </w:r>
      <w:r w:rsidRPr="00832810" w:rsidR="00384FE3">
        <w:rPr>
          <w:sz w:val="22"/>
          <w:szCs w:val="22"/>
        </w:rPr>
        <w:t xml:space="preserve"> </w:t>
      </w:r>
      <w:r w:rsidR="00891F1F">
        <w:rPr>
          <w:sz w:val="22"/>
          <w:szCs w:val="22"/>
        </w:rPr>
        <w:t>October 5, 2021 (</w:t>
      </w:r>
      <w:r w:rsidR="00E16730">
        <w:rPr>
          <w:sz w:val="22"/>
          <w:szCs w:val="22"/>
        </w:rPr>
        <w:t xml:space="preserve">86 FR 54970 </w:t>
      </w:r>
      <w:r w:rsidR="00E16730">
        <w:rPr>
          <w:sz w:val="22"/>
          <w:szCs w:val="22"/>
        </w:rPr>
        <w:lastRenderedPageBreak/>
        <w:t>(2022)</w:t>
      </w:r>
      <w:r w:rsidR="002D1700">
        <w:rPr>
          <w:sz w:val="22"/>
          <w:szCs w:val="22"/>
        </w:rPr>
        <w:t>)</w:t>
      </w:r>
      <w:r w:rsidR="00E16730">
        <w:rPr>
          <w:sz w:val="22"/>
          <w:szCs w:val="22"/>
        </w:rPr>
        <w:t>.</w:t>
      </w:r>
      <w:r w:rsidRPr="005D5F7E" w:rsidR="005D5F7E">
        <w:t xml:space="preserve"> </w:t>
      </w:r>
      <w:r w:rsidRPr="005D5F7E" w:rsidR="005D5F7E">
        <w:rPr>
          <w:sz w:val="22"/>
          <w:szCs w:val="22"/>
        </w:rPr>
        <w:t xml:space="preserve">We received </w:t>
      </w:r>
      <w:r w:rsidR="005D5F7E">
        <w:rPr>
          <w:sz w:val="22"/>
          <w:szCs w:val="22"/>
        </w:rPr>
        <w:t xml:space="preserve">a </w:t>
      </w:r>
      <w:r w:rsidR="00B548DD">
        <w:rPr>
          <w:sz w:val="22"/>
          <w:szCs w:val="22"/>
        </w:rPr>
        <w:t xml:space="preserve">single </w:t>
      </w:r>
      <w:r w:rsidR="00002844">
        <w:rPr>
          <w:sz w:val="22"/>
          <w:szCs w:val="22"/>
        </w:rPr>
        <w:t>comment</w:t>
      </w:r>
      <w:r w:rsidR="00B548DD">
        <w:rPr>
          <w:sz w:val="22"/>
          <w:szCs w:val="22"/>
        </w:rPr>
        <w:t>, submitted by</w:t>
      </w:r>
      <w:r w:rsidRPr="005D5F7E" w:rsidR="005D5F7E">
        <w:rPr>
          <w:sz w:val="22"/>
          <w:szCs w:val="22"/>
        </w:rPr>
        <w:t xml:space="preserve"> Global Tel*Link Corporation (GTL)</w:t>
      </w:r>
      <w:r w:rsidR="00981F71">
        <w:rPr>
          <w:sz w:val="22"/>
          <w:szCs w:val="22"/>
        </w:rPr>
        <w:t>.</w:t>
      </w:r>
      <w:r w:rsidR="006D2CFF">
        <w:rPr>
          <w:rStyle w:val="FootnoteReference"/>
          <w:szCs w:val="22"/>
        </w:rPr>
        <w:footnoteReference w:id="14"/>
      </w:r>
      <w:r w:rsidRPr="00B77134" w:rsidR="006D2CFF">
        <w:rPr>
          <w:sz w:val="22"/>
          <w:szCs w:val="22"/>
        </w:rPr>
        <w:t xml:space="preserve"> </w:t>
      </w:r>
      <w:r w:rsidR="003112A7">
        <w:rPr>
          <w:sz w:val="22"/>
          <w:szCs w:val="22"/>
        </w:rPr>
        <w:t xml:space="preserve"> </w:t>
      </w:r>
      <w:r w:rsidR="003D1B29">
        <w:rPr>
          <w:sz w:val="22"/>
          <w:szCs w:val="22"/>
        </w:rPr>
        <w:t>GTL’s comment addresses:</w:t>
      </w:r>
      <w:r w:rsidR="00B51F0B">
        <w:rPr>
          <w:sz w:val="22"/>
          <w:szCs w:val="22"/>
        </w:rPr>
        <w:t xml:space="preserve"> </w:t>
      </w:r>
      <w:r w:rsidR="003D1B29">
        <w:rPr>
          <w:sz w:val="22"/>
          <w:szCs w:val="22"/>
        </w:rPr>
        <w:t>(</w:t>
      </w:r>
      <w:r w:rsidR="00E95D2B">
        <w:rPr>
          <w:sz w:val="22"/>
          <w:szCs w:val="22"/>
        </w:rPr>
        <w:t>a</w:t>
      </w:r>
      <w:r w:rsidR="003D1B29">
        <w:rPr>
          <w:sz w:val="22"/>
          <w:szCs w:val="22"/>
        </w:rPr>
        <w:t xml:space="preserve">) </w:t>
      </w:r>
      <w:r w:rsidR="00046596">
        <w:rPr>
          <w:sz w:val="22"/>
          <w:szCs w:val="22"/>
        </w:rPr>
        <w:t>the estimated burden associated with the collection; (b)</w:t>
      </w:r>
      <w:r w:rsidR="00724C4F">
        <w:rPr>
          <w:sz w:val="22"/>
          <w:szCs w:val="22"/>
        </w:rPr>
        <w:t> </w:t>
      </w:r>
      <w:r w:rsidR="00046596">
        <w:rPr>
          <w:sz w:val="22"/>
          <w:szCs w:val="22"/>
        </w:rPr>
        <w:t xml:space="preserve">the types of data requested; (c) </w:t>
      </w:r>
      <w:r w:rsidR="00EE09D4">
        <w:rPr>
          <w:sz w:val="22"/>
          <w:szCs w:val="22"/>
        </w:rPr>
        <w:t xml:space="preserve">the timeframe for reporting costs; (d) the </w:t>
      </w:r>
      <w:r w:rsidR="00955339">
        <w:rPr>
          <w:sz w:val="22"/>
          <w:szCs w:val="22"/>
        </w:rPr>
        <w:t xml:space="preserve">alleged </w:t>
      </w:r>
      <w:r w:rsidR="00EE09D4">
        <w:rPr>
          <w:sz w:val="22"/>
          <w:szCs w:val="22"/>
        </w:rPr>
        <w:t xml:space="preserve">availability of similar information in the Annual Reports; and </w:t>
      </w:r>
      <w:r w:rsidR="0025759E">
        <w:rPr>
          <w:sz w:val="22"/>
          <w:szCs w:val="22"/>
        </w:rPr>
        <w:t>(e)</w:t>
      </w:r>
      <w:r w:rsidR="00895AE3">
        <w:rPr>
          <w:sz w:val="22"/>
          <w:szCs w:val="22"/>
        </w:rPr>
        <w:t xml:space="preserve"> </w:t>
      </w:r>
      <w:r w:rsidR="00DD1EB8">
        <w:rPr>
          <w:sz w:val="22"/>
          <w:szCs w:val="22"/>
        </w:rPr>
        <w:t xml:space="preserve">the </w:t>
      </w:r>
      <w:r w:rsidR="00895AE3">
        <w:rPr>
          <w:sz w:val="22"/>
          <w:szCs w:val="22"/>
        </w:rPr>
        <w:t>financial data requests.</w:t>
      </w:r>
    </w:p>
    <w:p w:rsidR="008F1463" w:rsidP="00C84A21" w:rsidRDefault="00872550" w14:paraId="1CC01533" w14:textId="3A0E09BA">
      <w:pPr>
        <w:pStyle w:val="Numberedparagraphs"/>
        <w:keepNext/>
        <w:numPr>
          <w:ilvl w:val="0"/>
          <w:numId w:val="14"/>
        </w:numPr>
        <w:tabs>
          <w:tab w:val="clear" w:pos="1440"/>
          <w:tab w:val="left" w:pos="720"/>
        </w:tabs>
        <w:spacing w:after="120"/>
        <w:rPr>
          <w:i/>
          <w:iCs/>
          <w:sz w:val="22"/>
          <w:szCs w:val="22"/>
        </w:rPr>
      </w:pPr>
      <w:r>
        <w:rPr>
          <w:i/>
          <w:iCs/>
          <w:sz w:val="22"/>
          <w:szCs w:val="22"/>
        </w:rPr>
        <w:t>Estimated</w:t>
      </w:r>
      <w:r w:rsidRPr="00DE7146" w:rsidR="002E19BC">
        <w:rPr>
          <w:i/>
          <w:iCs/>
          <w:sz w:val="22"/>
          <w:szCs w:val="22"/>
        </w:rPr>
        <w:t xml:space="preserve"> </w:t>
      </w:r>
      <w:r w:rsidR="005F6C96">
        <w:rPr>
          <w:i/>
          <w:iCs/>
          <w:sz w:val="22"/>
          <w:szCs w:val="22"/>
        </w:rPr>
        <w:t>B</w:t>
      </w:r>
      <w:r w:rsidRPr="00DE7146" w:rsidR="005F6C96">
        <w:rPr>
          <w:i/>
          <w:iCs/>
          <w:sz w:val="22"/>
          <w:szCs w:val="22"/>
        </w:rPr>
        <w:t xml:space="preserve">urden </w:t>
      </w:r>
      <w:r w:rsidR="009537C3">
        <w:rPr>
          <w:i/>
          <w:iCs/>
          <w:sz w:val="22"/>
          <w:szCs w:val="22"/>
        </w:rPr>
        <w:t>A</w:t>
      </w:r>
      <w:r w:rsidRPr="00DE7146" w:rsidR="009537C3">
        <w:rPr>
          <w:i/>
          <w:iCs/>
          <w:sz w:val="22"/>
          <w:szCs w:val="22"/>
        </w:rPr>
        <w:t xml:space="preserve">ssociated </w:t>
      </w:r>
      <w:r w:rsidRPr="00DE7146" w:rsidR="002E19BC">
        <w:rPr>
          <w:i/>
          <w:iCs/>
          <w:sz w:val="22"/>
          <w:szCs w:val="22"/>
        </w:rPr>
        <w:t xml:space="preserve">with the </w:t>
      </w:r>
      <w:r w:rsidR="009537C3">
        <w:rPr>
          <w:i/>
          <w:iCs/>
          <w:sz w:val="22"/>
          <w:szCs w:val="22"/>
        </w:rPr>
        <w:t>C</w:t>
      </w:r>
      <w:r w:rsidRPr="00DE7146" w:rsidR="009537C3">
        <w:rPr>
          <w:i/>
          <w:iCs/>
          <w:sz w:val="22"/>
          <w:szCs w:val="22"/>
        </w:rPr>
        <w:t>ollection</w:t>
      </w:r>
    </w:p>
    <w:p w:rsidR="00CE69A4" w:rsidP="008B2724" w:rsidRDefault="00CE69A4" w14:paraId="314FC6A9" w14:textId="2CC91CD1">
      <w:pPr>
        <w:pStyle w:val="Numberedparagraphs"/>
        <w:numPr>
          <w:ilvl w:val="0"/>
          <w:numId w:val="0"/>
        </w:numPr>
        <w:tabs>
          <w:tab w:val="clear" w:pos="1440"/>
          <w:tab w:val="left" w:pos="720"/>
        </w:tabs>
        <w:spacing w:after="120"/>
        <w:rPr>
          <w:sz w:val="22"/>
          <w:szCs w:val="22"/>
        </w:rPr>
      </w:pPr>
      <w:r>
        <w:rPr>
          <w:sz w:val="22"/>
          <w:szCs w:val="22"/>
        </w:rPr>
        <w:tab/>
      </w:r>
      <w:r w:rsidRPr="002630F3">
        <w:rPr>
          <w:i/>
          <w:iCs/>
          <w:sz w:val="22"/>
          <w:szCs w:val="22"/>
        </w:rPr>
        <w:t>Arguments</w:t>
      </w:r>
      <w:r>
        <w:rPr>
          <w:sz w:val="22"/>
          <w:szCs w:val="22"/>
        </w:rPr>
        <w:t xml:space="preserve">.  </w:t>
      </w:r>
      <w:r w:rsidR="00E32BF8">
        <w:rPr>
          <w:sz w:val="22"/>
          <w:szCs w:val="22"/>
        </w:rPr>
        <w:t>In the 60-Day Notice, the Commission estimated that it would take ICS providers 245 hours on average to respond to the data collection.  GTL</w:t>
      </w:r>
      <w:r w:rsidR="00F72EC1">
        <w:rPr>
          <w:sz w:val="22"/>
          <w:szCs w:val="22"/>
        </w:rPr>
        <w:t>,</w:t>
      </w:r>
      <w:r w:rsidR="00E32BF8">
        <w:rPr>
          <w:sz w:val="22"/>
          <w:szCs w:val="22"/>
        </w:rPr>
        <w:t xml:space="preserve"> </w:t>
      </w:r>
      <w:r w:rsidR="002B318B">
        <w:rPr>
          <w:sz w:val="22"/>
          <w:szCs w:val="22"/>
        </w:rPr>
        <w:t>arguing</w:t>
      </w:r>
      <w:r w:rsidR="00F72EC1">
        <w:rPr>
          <w:sz w:val="22"/>
          <w:szCs w:val="22"/>
        </w:rPr>
        <w:t xml:space="preserve"> that the collection will impose a significant burden on providers, </w:t>
      </w:r>
      <w:r w:rsidR="00E32BF8">
        <w:rPr>
          <w:sz w:val="22"/>
          <w:szCs w:val="22"/>
        </w:rPr>
        <w:t>claims that this average “grossly underestimate[s]” the amount of time it will take ICS providers to respond</w:t>
      </w:r>
      <w:r w:rsidR="00DB488D">
        <w:rPr>
          <w:sz w:val="22"/>
          <w:szCs w:val="22"/>
        </w:rPr>
        <w:t xml:space="preserve"> </w:t>
      </w:r>
      <w:r w:rsidR="008C0BBE">
        <w:rPr>
          <w:sz w:val="22"/>
          <w:szCs w:val="22"/>
        </w:rPr>
        <w:t>to the collection.</w:t>
      </w:r>
      <w:r w:rsidR="00B077D2">
        <w:rPr>
          <w:rStyle w:val="FootnoteReference"/>
          <w:szCs w:val="22"/>
        </w:rPr>
        <w:footnoteReference w:id="15"/>
      </w:r>
      <w:r w:rsidR="00B077D2">
        <w:rPr>
          <w:sz w:val="22"/>
          <w:szCs w:val="22"/>
        </w:rPr>
        <w:t xml:space="preserve">  </w:t>
      </w:r>
    </w:p>
    <w:p w:rsidRPr="00D0439A" w:rsidR="00415C92" w:rsidP="00D0439A" w:rsidRDefault="00E95D2B" w14:paraId="08741298" w14:textId="7644E9DA">
      <w:pPr>
        <w:pStyle w:val="Numberedparagraphs"/>
        <w:numPr>
          <w:ilvl w:val="0"/>
          <w:numId w:val="0"/>
        </w:numPr>
        <w:tabs>
          <w:tab w:val="clear" w:pos="1440"/>
          <w:tab w:val="left" w:pos="720"/>
        </w:tabs>
        <w:spacing w:after="120"/>
        <w:rPr>
          <w:sz w:val="22"/>
          <w:szCs w:val="22"/>
        </w:rPr>
      </w:pPr>
      <w:r>
        <w:rPr>
          <w:sz w:val="22"/>
          <w:szCs w:val="22"/>
        </w:rPr>
        <w:tab/>
      </w:r>
      <w:r w:rsidRPr="00BA5504" w:rsidR="00F23322">
        <w:rPr>
          <w:i/>
          <w:iCs/>
          <w:sz w:val="22"/>
          <w:szCs w:val="22"/>
        </w:rPr>
        <w:t>Response</w:t>
      </w:r>
      <w:r w:rsidR="00F23322">
        <w:rPr>
          <w:sz w:val="22"/>
          <w:szCs w:val="22"/>
        </w:rPr>
        <w:t xml:space="preserve">.  </w:t>
      </w:r>
      <w:r w:rsidR="0071435F">
        <w:rPr>
          <w:sz w:val="22"/>
          <w:szCs w:val="22"/>
        </w:rPr>
        <w:t xml:space="preserve">We disagree </w:t>
      </w:r>
      <w:r w:rsidR="00BD145B">
        <w:rPr>
          <w:sz w:val="22"/>
          <w:szCs w:val="22"/>
        </w:rPr>
        <w:t>that</w:t>
      </w:r>
      <w:r w:rsidR="0071435F">
        <w:rPr>
          <w:sz w:val="22"/>
          <w:szCs w:val="22"/>
        </w:rPr>
        <w:t xml:space="preserve"> this </w:t>
      </w:r>
      <w:r w:rsidR="004C23C1">
        <w:rPr>
          <w:sz w:val="22"/>
          <w:szCs w:val="22"/>
        </w:rPr>
        <w:t>third</w:t>
      </w:r>
      <w:r w:rsidR="0071435F">
        <w:rPr>
          <w:sz w:val="22"/>
          <w:szCs w:val="22"/>
        </w:rPr>
        <w:t xml:space="preserve"> one-time data collection is overly burdensome.</w:t>
      </w:r>
      <w:r w:rsidR="00F23322">
        <w:rPr>
          <w:sz w:val="22"/>
          <w:szCs w:val="22"/>
        </w:rPr>
        <w:t xml:space="preserve">  </w:t>
      </w:r>
      <w:r w:rsidR="00FC173F">
        <w:rPr>
          <w:sz w:val="22"/>
          <w:szCs w:val="22"/>
        </w:rPr>
        <w:t xml:space="preserve">In the </w:t>
      </w:r>
      <w:r w:rsidRPr="003C378B" w:rsidR="00DF32FE">
        <w:rPr>
          <w:i/>
          <w:iCs/>
          <w:sz w:val="22"/>
          <w:szCs w:val="22"/>
        </w:rPr>
        <w:t>2021 ICS Order</w:t>
      </w:r>
      <w:r w:rsidR="00DF32FE">
        <w:rPr>
          <w:sz w:val="22"/>
          <w:szCs w:val="22"/>
        </w:rPr>
        <w:t>, the Commission concluded that because of the adverse impact that unreasonably high rates and ancillary service charges have on incarcerated people and those they call</w:t>
      </w:r>
      <w:r w:rsidR="00296958">
        <w:rPr>
          <w:sz w:val="22"/>
          <w:szCs w:val="22"/>
        </w:rPr>
        <w:t xml:space="preserve">, the benefits of conducting a third one-time data collection </w:t>
      </w:r>
      <w:r w:rsidR="005C0C1A">
        <w:rPr>
          <w:sz w:val="22"/>
          <w:szCs w:val="22"/>
        </w:rPr>
        <w:t xml:space="preserve">far </w:t>
      </w:r>
      <w:r w:rsidR="00296958">
        <w:rPr>
          <w:sz w:val="22"/>
          <w:szCs w:val="22"/>
        </w:rPr>
        <w:t>outweigh any burden on providers.</w:t>
      </w:r>
      <w:r w:rsidR="00B71B3E">
        <w:rPr>
          <w:rStyle w:val="FootnoteReference"/>
          <w:szCs w:val="22"/>
        </w:rPr>
        <w:footnoteReference w:id="16"/>
      </w:r>
      <w:r w:rsidR="00296958">
        <w:rPr>
          <w:sz w:val="22"/>
          <w:szCs w:val="22"/>
        </w:rPr>
        <w:t xml:space="preserve">  </w:t>
      </w:r>
      <w:r w:rsidR="005800EC">
        <w:rPr>
          <w:sz w:val="22"/>
          <w:szCs w:val="22"/>
        </w:rPr>
        <w:t>As implemented, this</w:t>
      </w:r>
      <w:r w:rsidR="006443AF">
        <w:rPr>
          <w:sz w:val="22"/>
          <w:szCs w:val="22"/>
        </w:rPr>
        <w:t xml:space="preserve"> data collection is fully consistent with th</w:t>
      </w:r>
      <w:r w:rsidR="005800EC">
        <w:rPr>
          <w:sz w:val="22"/>
          <w:szCs w:val="22"/>
        </w:rPr>
        <w:t>e</w:t>
      </w:r>
      <w:r w:rsidR="006443AF">
        <w:rPr>
          <w:sz w:val="22"/>
          <w:szCs w:val="22"/>
        </w:rPr>
        <w:t xml:space="preserve"> Commission</w:t>
      </w:r>
      <w:r w:rsidR="005800EC">
        <w:rPr>
          <w:sz w:val="22"/>
          <w:szCs w:val="22"/>
        </w:rPr>
        <w:t>’s</w:t>
      </w:r>
      <w:r w:rsidR="006443AF">
        <w:rPr>
          <w:sz w:val="22"/>
          <w:szCs w:val="22"/>
        </w:rPr>
        <w:t xml:space="preserve"> assessment</w:t>
      </w:r>
      <w:r w:rsidR="004C516F">
        <w:rPr>
          <w:sz w:val="22"/>
          <w:szCs w:val="22"/>
        </w:rPr>
        <w:t xml:space="preserve">, </w:t>
      </w:r>
      <w:r w:rsidRPr="00D0439A" w:rsidR="00F820F6">
        <w:rPr>
          <w:sz w:val="22"/>
          <w:szCs w:val="22"/>
        </w:rPr>
        <w:t>appropriately balanc</w:t>
      </w:r>
      <w:r w:rsidR="003D45C0">
        <w:rPr>
          <w:sz w:val="22"/>
          <w:szCs w:val="22"/>
        </w:rPr>
        <w:t>ing</w:t>
      </w:r>
      <w:r w:rsidRPr="00D0439A" w:rsidR="00F820F6">
        <w:rPr>
          <w:sz w:val="22"/>
          <w:szCs w:val="22"/>
        </w:rPr>
        <w:t xml:space="preserve"> the need for “detailed and specific instructions and templates” and the desire to avoid unduly burdening provider</w:t>
      </w:r>
      <w:r w:rsidR="00901F63">
        <w:rPr>
          <w:sz w:val="22"/>
          <w:szCs w:val="22"/>
        </w:rPr>
        <w:t>s</w:t>
      </w:r>
      <w:r w:rsidR="00230072">
        <w:rPr>
          <w:sz w:val="22"/>
          <w:szCs w:val="22"/>
        </w:rPr>
        <w:t>.</w:t>
      </w:r>
      <w:r w:rsidR="00AF0706">
        <w:rPr>
          <w:rStyle w:val="FootnoteReference"/>
          <w:szCs w:val="22"/>
        </w:rPr>
        <w:footnoteReference w:id="17"/>
      </w:r>
    </w:p>
    <w:p w:rsidR="00F45B63" w:rsidP="00366A27" w:rsidRDefault="00260525" w14:paraId="20244500" w14:textId="4A5A4510">
      <w:pPr>
        <w:pStyle w:val="Numberedparagraphs"/>
        <w:numPr>
          <w:ilvl w:val="0"/>
          <w:numId w:val="0"/>
        </w:numPr>
        <w:tabs>
          <w:tab w:val="clear" w:pos="1440"/>
          <w:tab w:val="left" w:pos="720"/>
        </w:tabs>
        <w:spacing w:after="120"/>
        <w:ind w:firstLine="720"/>
        <w:rPr>
          <w:sz w:val="22"/>
          <w:szCs w:val="22"/>
        </w:rPr>
      </w:pPr>
      <w:r>
        <w:rPr>
          <w:sz w:val="22"/>
          <w:szCs w:val="22"/>
        </w:rPr>
        <w:t>GTL</w:t>
      </w:r>
      <w:r w:rsidR="00B931FC">
        <w:rPr>
          <w:sz w:val="22"/>
          <w:szCs w:val="22"/>
        </w:rPr>
        <w:t xml:space="preserve">’s </w:t>
      </w:r>
      <w:r w:rsidR="007267EF">
        <w:rPr>
          <w:sz w:val="22"/>
          <w:szCs w:val="22"/>
        </w:rPr>
        <w:t xml:space="preserve">argument that WCB/OEA </w:t>
      </w:r>
      <w:r w:rsidR="00C06741">
        <w:rPr>
          <w:sz w:val="22"/>
          <w:szCs w:val="22"/>
        </w:rPr>
        <w:t xml:space="preserve">“grossly </w:t>
      </w:r>
      <w:r w:rsidR="000C7048">
        <w:rPr>
          <w:sz w:val="22"/>
          <w:szCs w:val="22"/>
        </w:rPr>
        <w:t>under</w:t>
      </w:r>
      <w:r w:rsidR="00C06741">
        <w:rPr>
          <w:sz w:val="22"/>
          <w:szCs w:val="22"/>
        </w:rPr>
        <w:t>estimated</w:t>
      </w:r>
      <w:r w:rsidR="007360E7">
        <w:rPr>
          <w:sz w:val="22"/>
          <w:szCs w:val="22"/>
        </w:rPr>
        <w:t>” the burden of the collection is unavailing</w:t>
      </w:r>
      <w:r w:rsidR="008B52B3">
        <w:rPr>
          <w:sz w:val="22"/>
          <w:szCs w:val="22"/>
        </w:rPr>
        <w:t xml:space="preserve">. </w:t>
      </w:r>
      <w:r w:rsidR="007360E7">
        <w:rPr>
          <w:sz w:val="22"/>
          <w:szCs w:val="22"/>
        </w:rPr>
        <w:t xml:space="preserve"> </w:t>
      </w:r>
      <w:r w:rsidR="00713E6D">
        <w:rPr>
          <w:sz w:val="22"/>
          <w:szCs w:val="22"/>
        </w:rPr>
        <w:t xml:space="preserve">Instead of providing an </w:t>
      </w:r>
      <w:r w:rsidR="007360E7">
        <w:rPr>
          <w:sz w:val="22"/>
          <w:szCs w:val="22"/>
        </w:rPr>
        <w:t xml:space="preserve">alternative estimate, </w:t>
      </w:r>
      <w:r w:rsidRPr="00366A27" w:rsidR="00A900C7">
        <w:rPr>
          <w:sz w:val="22"/>
          <w:szCs w:val="22"/>
        </w:rPr>
        <w:t>GTL simply points out that it provides calling services to over 1,900 facilities and that, even if it took only an hour per facility to respond to the data collection, GTL alone would spend over 1,900 hours preparing its response</w:t>
      </w:r>
      <w:r w:rsidR="00846F30">
        <w:rPr>
          <w:sz w:val="22"/>
          <w:szCs w:val="22"/>
        </w:rPr>
        <w:t>.</w:t>
      </w:r>
      <w:r w:rsidR="00846F30">
        <w:rPr>
          <w:rStyle w:val="FootnoteReference"/>
          <w:szCs w:val="22"/>
        </w:rPr>
        <w:footnoteReference w:id="18"/>
      </w:r>
      <w:r w:rsidR="00084F05">
        <w:rPr>
          <w:sz w:val="22"/>
          <w:szCs w:val="22"/>
        </w:rPr>
        <w:t xml:space="preserve">  </w:t>
      </w:r>
      <w:r w:rsidR="002259F8">
        <w:rPr>
          <w:sz w:val="22"/>
          <w:szCs w:val="22"/>
        </w:rPr>
        <w:t xml:space="preserve">As </w:t>
      </w:r>
      <w:r w:rsidR="007B2431">
        <w:rPr>
          <w:sz w:val="22"/>
          <w:szCs w:val="22"/>
        </w:rPr>
        <w:t>WCB/OEA</w:t>
      </w:r>
      <w:r w:rsidR="002259F8">
        <w:rPr>
          <w:sz w:val="22"/>
          <w:szCs w:val="22"/>
        </w:rPr>
        <w:t xml:space="preserve"> recognized</w:t>
      </w:r>
      <w:r w:rsidR="002C5BCE">
        <w:rPr>
          <w:sz w:val="22"/>
          <w:szCs w:val="22"/>
        </w:rPr>
        <w:t xml:space="preserve"> in adopting the data collecti</w:t>
      </w:r>
      <w:r w:rsidR="009E3229">
        <w:rPr>
          <w:sz w:val="22"/>
          <w:szCs w:val="22"/>
        </w:rPr>
        <w:t>on</w:t>
      </w:r>
      <w:r w:rsidR="002259F8">
        <w:rPr>
          <w:sz w:val="22"/>
          <w:szCs w:val="22"/>
        </w:rPr>
        <w:t>, GTL is the largest calling services provider</w:t>
      </w:r>
      <w:r w:rsidR="001F438C">
        <w:rPr>
          <w:sz w:val="22"/>
          <w:szCs w:val="22"/>
        </w:rPr>
        <w:t>, “with an estimated market share approaching 50%.</w:t>
      </w:r>
      <w:r w:rsidR="00BE6BE1">
        <w:rPr>
          <w:sz w:val="22"/>
          <w:szCs w:val="22"/>
        </w:rPr>
        <w:t>”</w:t>
      </w:r>
      <w:r w:rsidR="00BE6BE1">
        <w:rPr>
          <w:rStyle w:val="FootnoteReference"/>
          <w:szCs w:val="22"/>
        </w:rPr>
        <w:footnoteReference w:id="19"/>
      </w:r>
      <w:r w:rsidR="00D67E06">
        <w:rPr>
          <w:sz w:val="22"/>
          <w:szCs w:val="22"/>
        </w:rPr>
        <w:t xml:space="preserve">  </w:t>
      </w:r>
      <w:r w:rsidR="00CC2CB8">
        <w:rPr>
          <w:sz w:val="22"/>
          <w:szCs w:val="22"/>
        </w:rPr>
        <w:t xml:space="preserve">In light of </w:t>
      </w:r>
      <w:r w:rsidR="00C73FC1">
        <w:rPr>
          <w:sz w:val="22"/>
          <w:szCs w:val="22"/>
        </w:rPr>
        <w:t>that market share, we would expect that GTL’s total response time would exceed any industry average, regard</w:t>
      </w:r>
      <w:r w:rsidR="00E71AD6">
        <w:rPr>
          <w:sz w:val="22"/>
          <w:szCs w:val="22"/>
        </w:rPr>
        <w:t>less of the number of estimated hours.</w:t>
      </w:r>
    </w:p>
    <w:p w:rsidR="00C27D61" w:rsidP="00A33392" w:rsidRDefault="00F45B63" w14:paraId="7420F8A3" w14:textId="0A3A3ED1">
      <w:pPr>
        <w:pStyle w:val="Numberedparagraphs"/>
        <w:numPr>
          <w:ilvl w:val="0"/>
          <w:numId w:val="0"/>
        </w:numPr>
        <w:tabs>
          <w:tab w:val="clear" w:pos="1440"/>
          <w:tab w:val="left" w:pos="720"/>
        </w:tabs>
        <w:spacing w:after="120"/>
        <w:rPr>
          <w:sz w:val="22"/>
          <w:szCs w:val="22"/>
        </w:rPr>
      </w:pPr>
      <w:r>
        <w:rPr>
          <w:sz w:val="22"/>
          <w:szCs w:val="22"/>
        </w:rPr>
        <w:tab/>
      </w:r>
      <w:r w:rsidR="009B00F4">
        <w:rPr>
          <w:sz w:val="22"/>
          <w:szCs w:val="22"/>
        </w:rPr>
        <w:t xml:space="preserve">WCB/OEA </w:t>
      </w:r>
      <w:r w:rsidR="001B061A">
        <w:rPr>
          <w:sz w:val="22"/>
          <w:szCs w:val="22"/>
        </w:rPr>
        <w:t xml:space="preserve">has </w:t>
      </w:r>
      <w:r w:rsidR="000673F0">
        <w:rPr>
          <w:sz w:val="22"/>
          <w:szCs w:val="22"/>
        </w:rPr>
        <w:t>increased</w:t>
      </w:r>
      <w:r w:rsidR="00236C1E">
        <w:rPr>
          <w:sz w:val="22"/>
          <w:szCs w:val="22"/>
        </w:rPr>
        <w:t xml:space="preserve"> </w:t>
      </w:r>
      <w:r w:rsidR="001F5360">
        <w:rPr>
          <w:sz w:val="22"/>
          <w:szCs w:val="22"/>
        </w:rPr>
        <w:t>the Commission’s</w:t>
      </w:r>
      <w:r w:rsidR="00651680">
        <w:rPr>
          <w:sz w:val="22"/>
          <w:szCs w:val="22"/>
        </w:rPr>
        <w:t xml:space="preserve"> </w:t>
      </w:r>
      <w:r w:rsidR="00236C1E">
        <w:rPr>
          <w:sz w:val="22"/>
          <w:szCs w:val="22"/>
        </w:rPr>
        <w:t>average burden estimate</w:t>
      </w:r>
      <w:r>
        <w:rPr>
          <w:sz w:val="22"/>
          <w:szCs w:val="22"/>
        </w:rPr>
        <w:t xml:space="preserve"> from 245 hours on average per provider to 355 </w:t>
      </w:r>
      <w:r w:rsidR="00154EB3">
        <w:rPr>
          <w:sz w:val="22"/>
          <w:szCs w:val="22"/>
        </w:rPr>
        <w:t xml:space="preserve">hours </w:t>
      </w:r>
      <w:r>
        <w:rPr>
          <w:sz w:val="22"/>
          <w:szCs w:val="22"/>
        </w:rPr>
        <w:t>per provider</w:t>
      </w:r>
      <w:r w:rsidR="00236C1E">
        <w:rPr>
          <w:sz w:val="22"/>
          <w:szCs w:val="22"/>
        </w:rPr>
        <w:t xml:space="preserve"> to account for the additional </w:t>
      </w:r>
      <w:r w:rsidR="0064185D">
        <w:rPr>
          <w:sz w:val="22"/>
          <w:szCs w:val="22"/>
        </w:rPr>
        <w:t xml:space="preserve">effort required to produce the additional two years of cost data </w:t>
      </w:r>
      <w:r w:rsidR="00576184">
        <w:rPr>
          <w:sz w:val="22"/>
          <w:szCs w:val="22"/>
        </w:rPr>
        <w:t xml:space="preserve">and </w:t>
      </w:r>
      <w:r w:rsidR="00C0434C">
        <w:rPr>
          <w:sz w:val="22"/>
          <w:szCs w:val="22"/>
        </w:rPr>
        <w:t xml:space="preserve">the </w:t>
      </w:r>
      <w:r w:rsidR="00576184">
        <w:rPr>
          <w:sz w:val="22"/>
          <w:szCs w:val="22"/>
        </w:rPr>
        <w:t xml:space="preserve">other changes </w:t>
      </w:r>
      <w:r w:rsidR="001F5360">
        <w:rPr>
          <w:sz w:val="22"/>
          <w:szCs w:val="22"/>
        </w:rPr>
        <w:t xml:space="preserve">WCB/OEA </w:t>
      </w:r>
      <w:r w:rsidR="00A0743F">
        <w:rPr>
          <w:sz w:val="22"/>
          <w:szCs w:val="22"/>
        </w:rPr>
        <w:t xml:space="preserve">made </w:t>
      </w:r>
      <w:r w:rsidR="008F685C">
        <w:rPr>
          <w:sz w:val="22"/>
          <w:szCs w:val="22"/>
        </w:rPr>
        <w:t>in finalizing the collection</w:t>
      </w:r>
      <w:r w:rsidR="00A43214">
        <w:rPr>
          <w:sz w:val="22"/>
          <w:szCs w:val="22"/>
        </w:rPr>
        <w:t xml:space="preserve"> in response to the record</w:t>
      </w:r>
      <w:r w:rsidR="00B232E1">
        <w:rPr>
          <w:sz w:val="22"/>
          <w:szCs w:val="22"/>
        </w:rPr>
        <w:t>.</w:t>
      </w:r>
      <w:r w:rsidR="00D93450">
        <w:rPr>
          <w:rStyle w:val="FootnoteReference"/>
          <w:szCs w:val="22"/>
        </w:rPr>
        <w:footnoteReference w:id="20"/>
      </w:r>
      <w:r w:rsidR="00B232E1">
        <w:rPr>
          <w:sz w:val="22"/>
          <w:szCs w:val="22"/>
        </w:rPr>
        <w:t xml:space="preserve"> </w:t>
      </w:r>
      <w:r w:rsidR="00D7402B">
        <w:rPr>
          <w:sz w:val="22"/>
          <w:szCs w:val="22"/>
        </w:rPr>
        <w:t xml:space="preserve"> </w:t>
      </w:r>
      <w:r w:rsidR="000D3B2B">
        <w:rPr>
          <w:sz w:val="22"/>
          <w:szCs w:val="22"/>
        </w:rPr>
        <w:t>T</w:t>
      </w:r>
      <w:r w:rsidRPr="00B232E1" w:rsidR="00B232E1">
        <w:rPr>
          <w:sz w:val="22"/>
          <w:szCs w:val="22"/>
        </w:rPr>
        <w:t>his new estimate is sufficient to allow ICS providers to report the requisite data and certification</w:t>
      </w:r>
      <w:r w:rsidRPr="003525D5" w:rsidR="003525D5">
        <w:rPr>
          <w:sz w:val="22"/>
          <w:szCs w:val="22"/>
        </w:rPr>
        <w:t xml:space="preserve"> </w:t>
      </w:r>
      <w:r w:rsidRPr="00B232E1" w:rsidR="003525D5">
        <w:rPr>
          <w:sz w:val="22"/>
          <w:szCs w:val="22"/>
        </w:rPr>
        <w:t xml:space="preserve">in the </w:t>
      </w:r>
      <w:r w:rsidR="000D3B2B">
        <w:rPr>
          <w:sz w:val="22"/>
          <w:szCs w:val="22"/>
        </w:rPr>
        <w:t xml:space="preserve">required </w:t>
      </w:r>
      <w:r w:rsidRPr="00B232E1" w:rsidR="003525D5">
        <w:rPr>
          <w:sz w:val="22"/>
          <w:szCs w:val="22"/>
        </w:rPr>
        <w:t>format</w:t>
      </w:r>
      <w:r w:rsidRPr="00B232E1" w:rsidR="00B232E1">
        <w:rPr>
          <w:sz w:val="22"/>
          <w:szCs w:val="22"/>
        </w:rPr>
        <w:t xml:space="preserve">, without unduly </w:t>
      </w:r>
      <w:r w:rsidR="004D10A2">
        <w:rPr>
          <w:sz w:val="22"/>
          <w:szCs w:val="22"/>
        </w:rPr>
        <w:t>burdening them</w:t>
      </w:r>
      <w:r w:rsidR="0077418B">
        <w:rPr>
          <w:sz w:val="22"/>
          <w:szCs w:val="22"/>
        </w:rPr>
        <w:t>.</w:t>
      </w:r>
    </w:p>
    <w:p w:rsidRPr="00FF79F5" w:rsidR="00B77134" w:rsidP="00C84A21" w:rsidRDefault="00B77134" w14:paraId="6F8FC373" w14:textId="08A45A9A">
      <w:pPr>
        <w:pStyle w:val="Numberedparagraphs"/>
        <w:keepNext/>
        <w:numPr>
          <w:ilvl w:val="0"/>
          <w:numId w:val="14"/>
        </w:numPr>
        <w:tabs>
          <w:tab w:val="left" w:pos="720"/>
        </w:tabs>
        <w:spacing w:after="120"/>
        <w:rPr>
          <w:i/>
          <w:iCs/>
          <w:sz w:val="22"/>
          <w:szCs w:val="22"/>
        </w:rPr>
      </w:pPr>
      <w:r w:rsidRPr="00FF79F5">
        <w:rPr>
          <w:i/>
          <w:iCs/>
          <w:sz w:val="22"/>
          <w:szCs w:val="22"/>
        </w:rPr>
        <w:t>Types of Data Requested</w:t>
      </w:r>
    </w:p>
    <w:p w:rsidRPr="00B77134" w:rsidR="00B77134" w:rsidP="00FF79F5" w:rsidRDefault="00B77134" w14:paraId="794A0B7C" w14:textId="3252F2AE">
      <w:pPr>
        <w:pStyle w:val="Numberedparagraphs"/>
        <w:numPr>
          <w:ilvl w:val="0"/>
          <w:numId w:val="0"/>
        </w:numPr>
        <w:tabs>
          <w:tab w:val="left" w:pos="720"/>
        </w:tabs>
        <w:spacing w:after="120"/>
        <w:rPr>
          <w:sz w:val="22"/>
          <w:szCs w:val="22"/>
        </w:rPr>
      </w:pPr>
      <w:r>
        <w:rPr>
          <w:sz w:val="22"/>
          <w:szCs w:val="22"/>
        </w:rPr>
        <w:tab/>
      </w:r>
      <w:r w:rsidRPr="007C4A38">
        <w:rPr>
          <w:i/>
          <w:iCs/>
          <w:sz w:val="22"/>
          <w:szCs w:val="22"/>
        </w:rPr>
        <w:t>Arguments</w:t>
      </w:r>
      <w:r w:rsidRPr="00B77134">
        <w:rPr>
          <w:sz w:val="22"/>
          <w:szCs w:val="22"/>
        </w:rPr>
        <w:t xml:space="preserve">.  GTL contends that </w:t>
      </w:r>
      <w:r w:rsidR="00A96753">
        <w:rPr>
          <w:sz w:val="22"/>
          <w:szCs w:val="22"/>
        </w:rPr>
        <w:t>certain</w:t>
      </w:r>
      <w:r w:rsidRPr="00B77134">
        <w:rPr>
          <w:sz w:val="22"/>
          <w:szCs w:val="22"/>
        </w:rPr>
        <w:t xml:space="preserve"> reporting obligations </w:t>
      </w:r>
      <w:r w:rsidR="00430883">
        <w:rPr>
          <w:sz w:val="22"/>
          <w:szCs w:val="22"/>
        </w:rPr>
        <w:t>will be particularly burdensome, while others</w:t>
      </w:r>
      <w:r w:rsidRPr="00B77134">
        <w:rPr>
          <w:sz w:val="22"/>
          <w:szCs w:val="22"/>
        </w:rPr>
        <w:t xml:space="preserve"> “will not otherwise yield useful information regarding ICS costs.”</w:t>
      </w:r>
      <w:r w:rsidR="002330F5">
        <w:rPr>
          <w:rStyle w:val="FootnoteReference"/>
          <w:szCs w:val="22"/>
        </w:rPr>
        <w:footnoteReference w:id="21"/>
      </w:r>
      <w:r w:rsidRPr="00B77134">
        <w:rPr>
          <w:sz w:val="22"/>
          <w:szCs w:val="22"/>
        </w:rPr>
        <w:t xml:space="preserve"> </w:t>
      </w:r>
      <w:r w:rsidR="00927563">
        <w:rPr>
          <w:sz w:val="22"/>
          <w:szCs w:val="22"/>
        </w:rPr>
        <w:t xml:space="preserve"> </w:t>
      </w:r>
      <w:r w:rsidRPr="00B77134">
        <w:rPr>
          <w:sz w:val="22"/>
          <w:szCs w:val="22"/>
        </w:rPr>
        <w:t xml:space="preserve">For example, GTL </w:t>
      </w:r>
      <w:r w:rsidRPr="00B77134">
        <w:rPr>
          <w:sz w:val="22"/>
          <w:szCs w:val="22"/>
        </w:rPr>
        <w:lastRenderedPageBreak/>
        <w:t>asserts</w:t>
      </w:r>
      <w:r w:rsidR="003408A8">
        <w:rPr>
          <w:sz w:val="22"/>
          <w:szCs w:val="22"/>
        </w:rPr>
        <w:t xml:space="preserve"> </w:t>
      </w:r>
      <w:r w:rsidRPr="00B77134">
        <w:rPr>
          <w:sz w:val="22"/>
          <w:szCs w:val="22"/>
        </w:rPr>
        <w:t xml:space="preserve">that it would be a “significant burden on ICS providers and correctional facilities to calculate average daily population (ADP) to reflect the weekly turnover rate contemplated by the proposed </w:t>
      </w:r>
      <w:r w:rsidR="005D2902">
        <w:rPr>
          <w:sz w:val="22"/>
          <w:szCs w:val="22"/>
        </w:rPr>
        <w:t>[ma</w:t>
      </w:r>
      <w:r w:rsidR="006C34B8">
        <w:rPr>
          <w:sz w:val="22"/>
          <w:szCs w:val="22"/>
        </w:rPr>
        <w:t>ndatory data collection]</w:t>
      </w:r>
      <w:r w:rsidRPr="00B77134">
        <w:rPr>
          <w:sz w:val="22"/>
          <w:szCs w:val="22"/>
        </w:rPr>
        <w:t>.”</w:t>
      </w:r>
      <w:r w:rsidR="0077418B">
        <w:rPr>
          <w:rStyle w:val="FootnoteReference"/>
          <w:szCs w:val="22"/>
        </w:rPr>
        <w:footnoteReference w:id="22"/>
      </w:r>
      <w:r w:rsidRPr="00B77134">
        <w:rPr>
          <w:sz w:val="22"/>
          <w:szCs w:val="22"/>
        </w:rPr>
        <w:t xml:space="preserve">  GTL also argues that, based on the record, there are better indicators of ICS demand that would be less burdensome for ICS providers to report than the number of telephones or kiosks available in a particular correctional facility.</w:t>
      </w:r>
      <w:r w:rsidR="001D44F2">
        <w:rPr>
          <w:rStyle w:val="FootnoteReference"/>
          <w:szCs w:val="22"/>
        </w:rPr>
        <w:footnoteReference w:id="23"/>
      </w:r>
      <w:r w:rsidRPr="00B77134">
        <w:rPr>
          <w:sz w:val="22"/>
          <w:szCs w:val="22"/>
        </w:rPr>
        <w:t xml:space="preserve">  GTL claims that WCB/OEA has not demonstrated how the imposition of these reporting requirements justifies the significant burden on ICS providers.</w:t>
      </w:r>
      <w:r w:rsidR="00437B37">
        <w:rPr>
          <w:rStyle w:val="FootnoteReference"/>
          <w:szCs w:val="22"/>
        </w:rPr>
        <w:footnoteReference w:id="24"/>
      </w:r>
      <w:r w:rsidRPr="00B77134">
        <w:rPr>
          <w:sz w:val="22"/>
          <w:szCs w:val="22"/>
        </w:rPr>
        <w:t xml:space="preserve"> </w:t>
      </w:r>
    </w:p>
    <w:p w:rsidR="00B27E58" w:rsidP="00A33392" w:rsidRDefault="00B77134" w14:paraId="5FC8D07C" w14:textId="4690E2E2">
      <w:pPr>
        <w:pStyle w:val="Numberedparagraphs"/>
        <w:numPr>
          <w:ilvl w:val="0"/>
          <w:numId w:val="0"/>
        </w:numPr>
        <w:tabs>
          <w:tab w:val="clear" w:pos="1440"/>
          <w:tab w:val="left" w:pos="720"/>
        </w:tabs>
        <w:spacing w:after="120"/>
        <w:rPr>
          <w:sz w:val="22"/>
          <w:szCs w:val="22"/>
        </w:rPr>
      </w:pPr>
      <w:r w:rsidRPr="00B77134">
        <w:rPr>
          <w:sz w:val="22"/>
          <w:szCs w:val="22"/>
        </w:rPr>
        <w:tab/>
      </w:r>
      <w:r w:rsidRPr="00483B98">
        <w:rPr>
          <w:i/>
          <w:iCs/>
          <w:sz w:val="22"/>
          <w:szCs w:val="22"/>
        </w:rPr>
        <w:t>Response</w:t>
      </w:r>
      <w:r w:rsidRPr="00B77134">
        <w:rPr>
          <w:sz w:val="22"/>
          <w:szCs w:val="22"/>
        </w:rPr>
        <w:t xml:space="preserve">. </w:t>
      </w:r>
      <w:r w:rsidR="00DE14A2">
        <w:rPr>
          <w:sz w:val="22"/>
          <w:szCs w:val="22"/>
        </w:rPr>
        <w:t xml:space="preserve"> GTL’s arguments fail to recognize </w:t>
      </w:r>
      <w:r w:rsidR="00186525">
        <w:rPr>
          <w:sz w:val="22"/>
          <w:szCs w:val="22"/>
        </w:rPr>
        <w:t>th</w:t>
      </w:r>
      <w:r w:rsidR="00A368A0">
        <w:rPr>
          <w:sz w:val="22"/>
          <w:szCs w:val="22"/>
        </w:rPr>
        <w:t xml:space="preserve">at a number of different factors </w:t>
      </w:r>
      <w:r w:rsidR="00942689">
        <w:rPr>
          <w:sz w:val="22"/>
          <w:szCs w:val="22"/>
        </w:rPr>
        <w:t xml:space="preserve">contribute to </w:t>
      </w:r>
      <w:r w:rsidR="005B1E9F">
        <w:rPr>
          <w:sz w:val="22"/>
          <w:szCs w:val="22"/>
        </w:rPr>
        <w:t xml:space="preserve">providers’ costs of providing </w:t>
      </w:r>
      <w:r w:rsidR="005C7E4F">
        <w:rPr>
          <w:sz w:val="22"/>
          <w:szCs w:val="22"/>
        </w:rPr>
        <w:t xml:space="preserve">ICS and </w:t>
      </w:r>
      <w:r w:rsidR="00AA7248">
        <w:rPr>
          <w:sz w:val="22"/>
          <w:szCs w:val="22"/>
        </w:rPr>
        <w:t xml:space="preserve">that </w:t>
      </w:r>
      <w:r w:rsidR="005C7E4F">
        <w:rPr>
          <w:sz w:val="22"/>
          <w:szCs w:val="22"/>
        </w:rPr>
        <w:t>the Commission</w:t>
      </w:r>
      <w:r w:rsidR="005F67D6">
        <w:rPr>
          <w:sz w:val="22"/>
          <w:szCs w:val="22"/>
        </w:rPr>
        <w:t xml:space="preserve"> need</w:t>
      </w:r>
      <w:r w:rsidR="00F31E42">
        <w:rPr>
          <w:sz w:val="22"/>
          <w:szCs w:val="22"/>
        </w:rPr>
        <w:t>s to collect</w:t>
      </w:r>
      <w:r w:rsidR="005F67D6">
        <w:rPr>
          <w:sz w:val="22"/>
          <w:szCs w:val="22"/>
        </w:rPr>
        <w:t xml:space="preserve"> </w:t>
      </w:r>
      <w:r w:rsidR="00795F98">
        <w:rPr>
          <w:sz w:val="22"/>
          <w:szCs w:val="22"/>
        </w:rPr>
        <w:t>data on each of those factors</w:t>
      </w:r>
      <w:r w:rsidR="00AA7248">
        <w:rPr>
          <w:sz w:val="22"/>
          <w:szCs w:val="22"/>
        </w:rPr>
        <w:t xml:space="preserve"> to </w:t>
      </w:r>
      <w:r w:rsidR="007C3AEB">
        <w:rPr>
          <w:sz w:val="22"/>
          <w:szCs w:val="22"/>
        </w:rPr>
        <w:t>calculate</w:t>
      </w:r>
      <w:r w:rsidR="00AA7248">
        <w:rPr>
          <w:sz w:val="22"/>
          <w:szCs w:val="22"/>
        </w:rPr>
        <w:t xml:space="preserve"> </w:t>
      </w:r>
      <w:r w:rsidR="007C3AEB">
        <w:rPr>
          <w:sz w:val="22"/>
          <w:szCs w:val="22"/>
        </w:rPr>
        <w:t>those</w:t>
      </w:r>
      <w:r w:rsidR="00AA7248">
        <w:rPr>
          <w:sz w:val="22"/>
          <w:szCs w:val="22"/>
        </w:rPr>
        <w:t xml:space="preserve"> costs</w:t>
      </w:r>
      <w:r w:rsidR="00795F98">
        <w:rPr>
          <w:sz w:val="22"/>
          <w:szCs w:val="22"/>
        </w:rPr>
        <w:t xml:space="preserve">.  </w:t>
      </w:r>
      <w:r w:rsidR="00F57901">
        <w:rPr>
          <w:sz w:val="22"/>
          <w:szCs w:val="22"/>
        </w:rPr>
        <w:t>In adopting the data collection</w:t>
      </w:r>
      <w:r w:rsidR="009663C4">
        <w:rPr>
          <w:sz w:val="22"/>
          <w:szCs w:val="22"/>
        </w:rPr>
        <w:t xml:space="preserve">, </w:t>
      </w:r>
      <w:r w:rsidR="00BC246B">
        <w:rPr>
          <w:sz w:val="22"/>
          <w:szCs w:val="22"/>
        </w:rPr>
        <w:t xml:space="preserve">WCB/OEA found no merit to GTL’s contention that the number of </w:t>
      </w:r>
      <w:r w:rsidRPr="00BC246B" w:rsidR="00BC246B">
        <w:rPr>
          <w:sz w:val="22"/>
          <w:szCs w:val="22"/>
        </w:rPr>
        <w:t>kiosk</w:t>
      </w:r>
      <w:r w:rsidR="00BC246B">
        <w:rPr>
          <w:sz w:val="22"/>
          <w:szCs w:val="22"/>
        </w:rPr>
        <w:t>s</w:t>
      </w:r>
      <w:r w:rsidRPr="00BC246B" w:rsidR="00BC246B">
        <w:rPr>
          <w:sz w:val="22"/>
          <w:szCs w:val="22"/>
        </w:rPr>
        <w:t xml:space="preserve"> or telephones and account generation or termination are inaccurate indicators of demand.</w:t>
      </w:r>
      <w:r w:rsidR="00C41C4F">
        <w:rPr>
          <w:rStyle w:val="FootnoteReference"/>
          <w:szCs w:val="22"/>
        </w:rPr>
        <w:footnoteReference w:id="25"/>
      </w:r>
      <w:r w:rsidR="00A72EA4">
        <w:rPr>
          <w:sz w:val="22"/>
          <w:szCs w:val="22"/>
        </w:rPr>
        <w:t xml:space="preserve">  </w:t>
      </w:r>
      <w:r w:rsidR="007A2C1B">
        <w:rPr>
          <w:sz w:val="22"/>
          <w:szCs w:val="22"/>
        </w:rPr>
        <w:t>Instead,</w:t>
      </w:r>
      <w:r w:rsidR="00DE33FB">
        <w:rPr>
          <w:sz w:val="22"/>
          <w:szCs w:val="22"/>
        </w:rPr>
        <w:t xml:space="preserve"> </w:t>
      </w:r>
      <w:r w:rsidR="00BC246B">
        <w:rPr>
          <w:sz w:val="22"/>
          <w:szCs w:val="22"/>
        </w:rPr>
        <w:t xml:space="preserve">WCB/OEA </w:t>
      </w:r>
      <w:r w:rsidR="00A72EA4">
        <w:rPr>
          <w:sz w:val="22"/>
          <w:szCs w:val="22"/>
        </w:rPr>
        <w:t>concluded that collecting additional information on facility population metrics and account generation and termination will help the Commission better understand the providers’ cost structures, including at relatively small facilities.</w:t>
      </w:r>
      <w:r w:rsidR="00A72EA4">
        <w:rPr>
          <w:rStyle w:val="FootnoteReference"/>
          <w:szCs w:val="22"/>
        </w:rPr>
        <w:footnoteReference w:id="26"/>
      </w:r>
      <w:r w:rsidR="00A72EA4">
        <w:rPr>
          <w:sz w:val="22"/>
          <w:szCs w:val="22"/>
        </w:rPr>
        <w:t xml:space="preserve">  WCB/OEA </w:t>
      </w:r>
      <w:r w:rsidR="00A07C29">
        <w:rPr>
          <w:sz w:val="22"/>
          <w:szCs w:val="22"/>
        </w:rPr>
        <w:t>also</w:t>
      </w:r>
      <w:r w:rsidR="005124EF">
        <w:rPr>
          <w:sz w:val="22"/>
          <w:szCs w:val="22"/>
        </w:rPr>
        <w:t xml:space="preserve"> concluded </w:t>
      </w:r>
      <w:r w:rsidR="00A07C29">
        <w:rPr>
          <w:sz w:val="22"/>
          <w:szCs w:val="22"/>
        </w:rPr>
        <w:t>that t</w:t>
      </w:r>
      <w:r w:rsidR="00A72EA4">
        <w:rPr>
          <w:sz w:val="22"/>
          <w:szCs w:val="22"/>
        </w:rPr>
        <w:t>h</w:t>
      </w:r>
      <w:r w:rsidR="00BE5E9F">
        <w:rPr>
          <w:sz w:val="22"/>
          <w:szCs w:val="22"/>
        </w:rPr>
        <w:t xml:space="preserve">e various categories of </w:t>
      </w:r>
      <w:r w:rsidR="00A72EA4">
        <w:rPr>
          <w:sz w:val="22"/>
          <w:szCs w:val="22"/>
        </w:rPr>
        <w:t>data will supplement</w:t>
      </w:r>
      <w:r w:rsidR="004549AD">
        <w:rPr>
          <w:sz w:val="22"/>
          <w:szCs w:val="22"/>
        </w:rPr>
        <w:t xml:space="preserve"> one another</w:t>
      </w:r>
      <w:r w:rsidR="00A72EA4">
        <w:rPr>
          <w:sz w:val="22"/>
          <w:szCs w:val="22"/>
        </w:rPr>
        <w:t xml:space="preserve"> and </w:t>
      </w:r>
      <w:r w:rsidR="004549AD">
        <w:rPr>
          <w:sz w:val="22"/>
          <w:szCs w:val="22"/>
        </w:rPr>
        <w:t>will</w:t>
      </w:r>
      <w:r w:rsidR="00A72EA4">
        <w:rPr>
          <w:sz w:val="22"/>
          <w:szCs w:val="22"/>
        </w:rPr>
        <w:t xml:space="preserve"> help the Commission correct </w:t>
      </w:r>
      <w:r w:rsidR="007667C8">
        <w:rPr>
          <w:sz w:val="22"/>
          <w:szCs w:val="22"/>
        </w:rPr>
        <w:t xml:space="preserve">for situations in which some data are </w:t>
      </w:r>
      <w:r w:rsidR="00A07C29">
        <w:rPr>
          <w:sz w:val="22"/>
          <w:szCs w:val="22"/>
        </w:rPr>
        <w:t>unavailable</w:t>
      </w:r>
      <w:r w:rsidR="007667C8">
        <w:rPr>
          <w:sz w:val="22"/>
          <w:szCs w:val="22"/>
        </w:rPr>
        <w:t xml:space="preserve"> for a particular correctional facility</w:t>
      </w:r>
      <w:r w:rsidR="00A72EA4">
        <w:rPr>
          <w:sz w:val="22"/>
          <w:szCs w:val="22"/>
        </w:rPr>
        <w:t>.</w:t>
      </w:r>
      <w:r w:rsidR="00A72EA4">
        <w:rPr>
          <w:rStyle w:val="FootnoteReference"/>
          <w:szCs w:val="22"/>
        </w:rPr>
        <w:footnoteReference w:id="27"/>
      </w:r>
      <w:r w:rsidR="00360D8B">
        <w:rPr>
          <w:sz w:val="22"/>
          <w:szCs w:val="22"/>
        </w:rPr>
        <w:t xml:space="preserve">  </w:t>
      </w:r>
      <w:r w:rsidR="00CB3669">
        <w:rPr>
          <w:sz w:val="22"/>
          <w:szCs w:val="22"/>
        </w:rPr>
        <w:t>As these findings make clear</w:t>
      </w:r>
      <w:r w:rsidR="00360D8B">
        <w:rPr>
          <w:sz w:val="22"/>
          <w:szCs w:val="22"/>
        </w:rPr>
        <w:t xml:space="preserve">, </w:t>
      </w:r>
      <w:r w:rsidR="0086323C">
        <w:rPr>
          <w:sz w:val="22"/>
          <w:szCs w:val="22"/>
        </w:rPr>
        <w:t xml:space="preserve">the information </w:t>
      </w:r>
      <w:r w:rsidR="0063484E">
        <w:rPr>
          <w:sz w:val="22"/>
          <w:szCs w:val="22"/>
        </w:rPr>
        <w:t xml:space="preserve">being collected </w:t>
      </w:r>
      <w:r w:rsidR="008C1502">
        <w:rPr>
          <w:sz w:val="22"/>
          <w:szCs w:val="22"/>
        </w:rPr>
        <w:t xml:space="preserve">will be </w:t>
      </w:r>
      <w:r w:rsidR="00FD67B5">
        <w:rPr>
          <w:sz w:val="22"/>
          <w:szCs w:val="22"/>
        </w:rPr>
        <w:t xml:space="preserve">both </w:t>
      </w:r>
      <w:r w:rsidR="008C1502">
        <w:rPr>
          <w:sz w:val="22"/>
          <w:szCs w:val="22"/>
        </w:rPr>
        <w:t>highly usef</w:t>
      </w:r>
      <w:r w:rsidR="00CC6276">
        <w:rPr>
          <w:sz w:val="22"/>
          <w:szCs w:val="22"/>
        </w:rPr>
        <w:t>ul in determining the costs of providing ICS and</w:t>
      </w:r>
      <w:r w:rsidR="00360D8B">
        <w:rPr>
          <w:sz w:val="22"/>
          <w:szCs w:val="22"/>
        </w:rPr>
        <w:t xml:space="preserve"> </w:t>
      </w:r>
      <w:r w:rsidRPr="00BC246B" w:rsidR="00BC246B">
        <w:rPr>
          <w:sz w:val="22"/>
          <w:szCs w:val="22"/>
        </w:rPr>
        <w:t xml:space="preserve">not unreasonably </w:t>
      </w:r>
      <w:r w:rsidRPr="00BC246B" w:rsidR="00CF6C34">
        <w:rPr>
          <w:sz w:val="22"/>
          <w:szCs w:val="22"/>
        </w:rPr>
        <w:t>burden</w:t>
      </w:r>
      <w:r w:rsidR="00CF6C34">
        <w:rPr>
          <w:sz w:val="22"/>
          <w:szCs w:val="22"/>
        </w:rPr>
        <w:t>some</w:t>
      </w:r>
      <w:r w:rsidR="00FD67B5">
        <w:rPr>
          <w:sz w:val="22"/>
          <w:szCs w:val="22"/>
        </w:rPr>
        <w:t xml:space="preserve"> to </w:t>
      </w:r>
      <w:r w:rsidR="00CF6C34">
        <w:rPr>
          <w:sz w:val="22"/>
          <w:szCs w:val="22"/>
        </w:rPr>
        <w:t xml:space="preserve">produce.  </w:t>
      </w:r>
    </w:p>
    <w:p w:rsidR="00EF0F5C" w:rsidP="00B5496A" w:rsidRDefault="00961BF8" w14:paraId="5004D79E" w14:textId="3D34C046">
      <w:pPr>
        <w:pStyle w:val="Numberedparagraphs"/>
        <w:numPr>
          <w:ilvl w:val="0"/>
          <w:numId w:val="14"/>
        </w:numPr>
        <w:tabs>
          <w:tab w:val="clear" w:pos="1440"/>
          <w:tab w:val="left" w:pos="720"/>
        </w:tabs>
        <w:spacing w:after="120"/>
        <w:rPr>
          <w:i/>
          <w:iCs/>
          <w:sz w:val="22"/>
          <w:szCs w:val="22"/>
        </w:rPr>
      </w:pPr>
      <w:r>
        <w:rPr>
          <w:i/>
          <w:iCs/>
          <w:sz w:val="22"/>
          <w:szCs w:val="22"/>
        </w:rPr>
        <w:t>Timeframe for Reporting Costs</w:t>
      </w:r>
    </w:p>
    <w:p w:rsidR="00046CA6" w:rsidP="00C8265F" w:rsidRDefault="00961BF8" w14:paraId="112E6CC4" w14:textId="250263AC">
      <w:pPr>
        <w:pStyle w:val="Numberedparagraphs"/>
        <w:numPr>
          <w:ilvl w:val="0"/>
          <w:numId w:val="0"/>
        </w:numPr>
        <w:tabs>
          <w:tab w:val="clear" w:pos="1440"/>
          <w:tab w:val="left" w:pos="720"/>
        </w:tabs>
        <w:spacing w:after="120"/>
        <w:ind w:left="180" w:firstLine="720"/>
        <w:rPr>
          <w:sz w:val="22"/>
          <w:szCs w:val="22"/>
        </w:rPr>
      </w:pPr>
      <w:r w:rsidRPr="00B10C42">
        <w:rPr>
          <w:i/>
          <w:iCs/>
          <w:sz w:val="22"/>
          <w:szCs w:val="22"/>
        </w:rPr>
        <w:t>Argumen</w:t>
      </w:r>
      <w:r w:rsidR="005D522C">
        <w:rPr>
          <w:i/>
          <w:iCs/>
          <w:sz w:val="22"/>
          <w:szCs w:val="22"/>
        </w:rPr>
        <w:t>t</w:t>
      </w:r>
      <w:r>
        <w:rPr>
          <w:sz w:val="22"/>
          <w:szCs w:val="22"/>
        </w:rPr>
        <w:t xml:space="preserve">.  GTL </w:t>
      </w:r>
      <w:r w:rsidR="002160E6">
        <w:rPr>
          <w:sz w:val="22"/>
          <w:szCs w:val="22"/>
        </w:rPr>
        <w:t>argues</w:t>
      </w:r>
      <w:r>
        <w:rPr>
          <w:sz w:val="22"/>
          <w:szCs w:val="22"/>
        </w:rPr>
        <w:t xml:space="preserve"> that </w:t>
      </w:r>
      <w:r w:rsidR="007025D7">
        <w:rPr>
          <w:sz w:val="22"/>
          <w:szCs w:val="22"/>
        </w:rPr>
        <w:t xml:space="preserve">the </w:t>
      </w:r>
      <w:r w:rsidR="006E6915">
        <w:rPr>
          <w:sz w:val="22"/>
          <w:szCs w:val="22"/>
        </w:rPr>
        <w:t>Commission</w:t>
      </w:r>
      <w:r w:rsidR="007025D7">
        <w:rPr>
          <w:sz w:val="22"/>
          <w:szCs w:val="22"/>
        </w:rPr>
        <w:t xml:space="preserve"> should </w:t>
      </w:r>
      <w:r w:rsidR="006E6915">
        <w:rPr>
          <w:sz w:val="22"/>
          <w:szCs w:val="22"/>
        </w:rPr>
        <w:t xml:space="preserve">collect cost data only </w:t>
      </w:r>
      <w:r w:rsidR="00512D97">
        <w:rPr>
          <w:sz w:val="22"/>
          <w:szCs w:val="22"/>
        </w:rPr>
        <w:t>for</w:t>
      </w:r>
      <w:r w:rsidR="00C8265F">
        <w:rPr>
          <w:sz w:val="22"/>
          <w:szCs w:val="22"/>
        </w:rPr>
        <w:t xml:space="preserve"> </w:t>
      </w:r>
      <w:r w:rsidR="007025D7">
        <w:rPr>
          <w:sz w:val="22"/>
          <w:szCs w:val="22"/>
        </w:rPr>
        <w:t>calendar year 202</w:t>
      </w:r>
      <w:r w:rsidR="00B96D4C">
        <w:rPr>
          <w:sz w:val="22"/>
          <w:szCs w:val="22"/>
        </w:rPr>
        <w:t>1.</w:t>
      </w:r>
      <w:r w:rsidR="00B96D4C">
        <w:rPr>
          <w:rStyle w:val="FootnoteReference"/>
          <w:szCs w:val="22"/>
        </w:rPr>
        <w:footnoteReference w:id="28"/>
      </w:r>
      <w:r w:rsidR="00B96D4C">
        <w:rPr>
          <w:sz w:val="22"/>
          <w:szCs w:val="22"/>
        </w:rPr>
        <w:t xml:space="preserve"> </w:t>
      </w:r>
      <w:r w:rsidR="00487725">
        <w:rPr>
          <w:sz w:val="22"/>
          <w:szCs w:val="22"/>
        </w:rPr>
        <w:t xml:space="preserve"> </w:t>
      </w:r>
      <w:r w:rsidR="005D522C">
        <w:rPr>
          <w:sz w:val="22"/>
          <w:szCs w:val="22"/>
        </w:rPr>
        <w:t xml:space="preserve">According to </w:t>
      </w:r>
      <w:r w:rsidR="00F84F5B">
        <w:rPr>
          <w:sz w:val="22"/>
          <w:szCs w:val="22"/>
        </w:rPr>
        <w:t>GTL</w:t>
      </w:r>
      <w:r w:rsidR="005D522C">
        <w:rPr>
          <w:sz w:val="22"/>
          <w:szCs w:val="22"/>
        </w:rPr>
        <w:t xml:space="preserve">, </w:t>
      </w:r>
      <w:r w:rsidR="00082EC8">
        <w:rPr>
          <w:sz w:val="22"/>
          <w:szCs w:val="22"/>
        </w:rPr>
        <w:t xml:space="preserve">requiring cost data only for calendar year 2021 will minimize the burden on ICS providers to respond to the </w:t>
      </w:r>
      <w:r w:rsidR="00512D97">
        <w:rPr>
          <w:sz w:val="22"/>
          <w:szCs w:val="22"/>
        </w:rPr>
        <w:t>data collection</w:t>
      </w:r>
      <w:r w:rsidR="00082EC8">
        <w:rPr>
          <w:sz w:val="22"/>
          <w:szCs w:val="22"/>
        </w:rPr>
        <w:t>.</w:t>
      </w:r>
      <w:r w:rsidR="00082EC8">
        <w:rPr>
          <w:rStyle w:val="FootnoteReference"/>
          <w:szCs w:val="22"/>
        </w:rPr>
        <w:footnoteReference w:id="29"/>
      </w:r>
    </w:p>
    <w:p w:rsidRPr="00C8265F" w:rsidR="00622E61" w:rsidP="00C8265F" w:rsidRDefault="00C631BF" w14:paraId="35B6118C" w14:textId="2206A2A8">
      <w:pPr>
        <w:pStyle w:val="Numberedparagraphs"/>
        <w:numPr>
          <w:ilvl w:val="0"/>
          <w:numId w:val="0"/>
        </w:numPr>
        <w:tabs>
          <w:tab w:val="clear" w:pos="1440"/>
          <w:tab w:val="left" w:pos="720"/>
        </w:tabs>
        <w:spacing w:after="120"/>
        <w:ind w:left="180" w:firstLine="720"/>
        <w:rPr>
          <w:sz w:val="22"/>
          <w:szCs w:val="22"/>
        </w:rPr>
      </w:pPr>
      <w:r>
        <w:rPr>
          <w:i/>
          <w:iCs/>
          <w:sz w:val="22"/>
          <w:szCs w:val="22"/>
        </w:rPr>
        <w:t>Response.</w:t>
      </w:r>
      <w:r>
        <w:rPr>
          <w:sz w:val="22"/>
          <w:szCs w:val="22"/>
        </w:rPr>
        <w:t xml:space="preserve"> </w:t>
      </w:r>
      <w:r w:rsidR="001826BE">
        <w:rPr>
          <w:sz w:val="22"/>
          <w:szCs w:val="22"/>
        </w:rPr>
        <w:t xml:space="preserve"> </w:t>
      </w:r>
      <w:r w:rsidR="00076171">
        <w:rPr>
          <w:sz w:val="22"/>
          <w:szCs w:val="22"/>
        </w:rPr>
        <w:t xml:space="preserve">In the </w:t>
      </w:r>
      <w:r w:rsidR="00076171">
        <w:rPr>
          <w:i/>
          <w:iCs/>
          <w:sz w:val="22"/>
          <w:szCs w:val="22"/>
        </w:rPr>
        <w:t xml:space="preserve">Third </w:t>
      </w:r>
      <w:r w:rsidRPr="005D522C" w:rsidR="00076171">
        <w:rPr>
          <w:i/>
          <w:iCs/>
          <w:sz w:val="22"/>
          <w:szCs w:val="22"/>
        </w:rPr>
        <w:t>MDC Adoption Order</w:t>
      </w:r>
      <w:r w:rsidR="00076171">
        <w:rPr>
          <w:sz w:val="22"/>
          <w:szCs w:val="22"/>
        </w:rPr>
        <w:t xml:space="preserve">, </w:t>
      </w:r>
      <w:r w:rsidR="008704D1">
        <w:rPr>
          <w:sz w:val="22"/>
          <w:szCs w:val="22"/>
        </w:rPr>
        <w:t xml:space="preserve">after fully considering </w:t>
      </w:r>
      <w:r w:rsidR="00FB1F4C">
        <w:rPr>
          <w:sz w:val="22"/>
          <w:szCs w:val="22"/>
        </w:rPr>
        <w:t>arguments from providers, including GT</w:t>
      </w:r>
      <w:r w:rsidR="00D248A6">
        <w:rPr>
          <w:sz w:val="22"/>
          <w:szCs w:val="22"/>
        </w:rPr>
        <w:t xml:space="preserve">L, and public interest groups, </w:t>
      </w:r>
      <w:r w:rsidR="007F15B7">
        <w:rPr>
          <w:sz w:val="22"/>
          <w:szCs w:val="22"/>
        </w:rPr>
        <w:t xml:space="preserve">WCB/OEA </w:t>
      </w:r>
      <w:r w:rsidR="007671E3">
        <w:rPr>
          <w:sz w:val="22"/>
          <w:szCs w:val="22"/>
        </w:rPr>
        <w:t>decide</w:t>
      </w:r>
      <w:r w:rsidR="0007756C">
        <w:rPr>
          <w:sz w:val="22"/>
          <w:szCs w:val="22"/>
        </w:rPr>
        <w:t>d</w:t>
      </w:r>
      <w:r w:rsidR="007671E3">
        <w:rPr>
          <w:sz w:val="22"/>
          <w:szCs w:val="22"/>
        </w:rPr>
        <w:t xml:space="preserve"> to collect cost data for </w:t>
      </w:r>
      <w:r w:rsidR="008704D1">
        <w:rPr>
          <w:sz w:val="22"/>
          <w:szCs w:val="22"/>
        </w:rPr>
        <w:t xml:space="preserve">each of </w:t>
      </w:r>
      <w:r w:rsidR="007671E3">
        <w:rPr>
          <w:sz w:val="22"/>
          <w:szCs w:val="22"/>
        </w:rPr>
        <w:t xml:space="preserve">calendar years </w:t>
      </w:r>
      <w:r w:rsidR="0007756C">
        <w:rPr>
          <w:sz w:val="22"/>
          <w:szCs w:val="22"/>
        </w:rPr>
        <w:t>2019, 2020, and 2021</w:t>
      </w:r>
      <w:r w:rsidR="00D248A6">
        <w:rPr>
          <w:sz w:val="22"/>
          <w:szCs w:val="22"/>
        </w:rPr>
        <w:t>.</w:t>
      </w:r>
      <w:r w:rsidRPr="00D248A6" w:rsidR="00D248A6">
        <w:rPr>
          <w:rStyle w:val="FootnoteReference"/>
          <w:szCs w:val="22"/>
        </w:rPr>
        <w:t xml:space="preserve"> </w:t>
      </w:r>
      <w:r w:rsidR="00D248A6">
        <w:rPr>
          <w:rStyle w:val="FootnoteReference"/>
          <w:szCs w:val="22"/>
        </w:rPr>
        <w:footnoteReference w:id="30"/>
      </w:r>
      <w:r w:rsidR="008704D1">
        <w:rPr>
          <w:sz w:val="22"/>
          <w:szCs w:val="22"/>
        </w:rPr>
        <w:t xml:space="preserve"> </w:t>
      </w:r>
      <w:r w:rsidR="00780B02">
        <w:rPr>
          <w:sz w:val="22"/>
          <w:szCs w:val="22"/>
        </w:rPr>
        <w:t xml:space="preserve"> </w:t>
      </w:r>
      <w:r>
        <w:rPr>
          <w:sz w:val="22"/>
          <w:szCs w:val="22"/>
        </w:rPr>
        <w:t>W</w:t>
      </w:r>
      <w:r w:rsidR="001826BE">
        <w:rPr>
          <w:sz w:val="22"/>
          <w:szCs w:val="22"/>
        </w:rPr>
        <w:t xml:space="preserve">hile GTL is, of course, correct </w:t>
      </w:r>
      <w:r w:rsidR="00076171">
        <w:rPr>
          <w:sz w:val="22"/>
          <w:szCs w:val="22"/>
        </w:rPr>
        <w:t xml:space="preserve">that it </w:t>
      </w:r>
      <w:r w:rsidR="00824E38">
        <w:rPr>
          <w:sz w:val="22"/>
          <w:szCs w:val="22"/>
        </w:rPr>
        <w:t xml:space="preserve">would be less burdensome on providers to provide cost data only for calendar year </w:t>
      </w:r>
      <w:r w:rsidR="00261BD1">
        <w:rPr>
          <w:sz w:val="22"/>
          <w:szCs w:val="22"/>
        </w:rPr>
        <w:t>2021, t</w:t>
      </w:r>
      <w:r w:rsidR="00C8265F">
        <w:rPr>
          <w:sz w:val="22"/>
          <w:szCs w:val="22"/>
        </w:rPr>
        <w:t xml:space="preserve">he </w:t>
      </w:r>
      <w:r w:rsidRPr="00C8265F" w:rsidR="00C8265F">
        <w:rPr>
          <w:sz w:val="22"/>
          <w:szCs w:val="22"/>
        </w:rPr>
        <w:t>difference in burden between providing one year versus three years of cost data is marginal and far outweighed by the benefits of collecting data for three years</w:t>
      </w:r>
      <w:r w:rsidR="00C8265F">
        <w:rPr>
          <w:sz w:val="22"/>
          <w:szCs w:val="22"/>
        </w:rPr>
        <w:t>.</w:t>
      </w:r>
      <w:r w:rsidR="001D06FF">
        <w:rPr>
          <w:rStyle w:val="FootnoteReference"/>
          <w:szCs w:val="22"/>
        </w:rPr>
        <w:footnoteReference w:id="31"/>
      </w:r>
      <w:r w:rsidR="00C8265F">
        <w:rPr>
          <w:sz w:val="22"/>
          <w:szCs w:val="22"/>
        </w:rPr>
        <w:t xml:space="preserve">  </w:t>
      </w:r>
      <w:r w:rsidR="005D522C">
        <w:rPr>
          <w:sz w:val="22"/>
          <w:szCs w:val="22"/>
        </w:rPr>
        <w:t xml:space="preserve">As </w:t>
      </w:r>
      <w:r w:rsidR="001F069E">
        <w:rPr>
          <w:sz w:val="22"/>
          <w:szCs w:val="22"/>
        </w:rPr>
        <w:t>WCB/OEA</w:t>
      </w:r>
      <w:r w:rsidR="005D522C">
        <w:rPr>
          <w:sz w:val="22"/>
          <w:szCs w:val="22"/>
        </w:rPr>
        <w:t xml:space="preserve"> </w:t>
      </w:r>
      <w:r w:rsidR="00CE4D4A">
        <w:rPr>
          <w:sz w:val="22"/>
          <w:szCs w:val="22"/>
        </w:rPr>
        <w:t>recognized</w:t>
      </w:r>
      <w:r w:rsidR="005D522C">
        <w:rPr>
          <w:sz w:val="22"/>
          <w:szCs w:val="22"/>
        </w:rPr>
        <w:t xml:space="preserve">, </w:t>
      </w:r>
      <w:r w:rsidR="00344189">
        <w:rPr>
          <w:sz w:val="22"/>
          <w:szCs w:val="22"/>
        </w:rPr>
        <w:t>the record before the Commission support</w:t>
      </w:r>
      <w:r w:rsidR="00C96A72">
        <w:rPr>
          <w:sz w:val="22"/>
          <w:szCs w:val="22"/>
        </w:rPr>
        <w:t>ed</w:t>
      </w:r>
      <w:r w:rsidR="00F46322">
        <w:rPr>
          <w:sz w:val="22"/>
          <w:szCs w:val="22"/>
        </w:rPr>
        <w:t xml:space="preserve"> </w:t>
      </w:r>
      <w:r w:rsidR="008467D1">
        <w:rPr>
          <w:sz w:val="22"/>
          <w:szCs w:val="22"/>
        </w:rPr>
        <w:t xml:space="preserve">expanding </w:t>
      </w:r>
      <w:r w:rsidR="00F432ED">
        <w:rPr>
          <w:sz w:val="22"/>
          <w:szCs w:val="22"/>
        </w:rPr>
        <w:t xml:space="preserve">the </w:t>
      </w:r>
      <w:r w:rsidR="008C6F05">
        <w:rPr>
          <w:sz w:val="22"/>
          <w:szCs w:val="22"/>
        </w:rPr>
        <w:t>reporting</w:t>
      </w:r>
      <w:r w:rsidR="005D522C">
        <w:rPr>
          <w:sz w:val="22"/>
          <w:szCs w:val="22"/>
        </w:rPr>
        <w:t xml:space="preserve"> period from one year to three years for the entire </w:t>
      </w:r>
      <w:r w:rsidR="008467D1">
        <w:rPr>
          <w:sz w:val="22"/>
          <w:szCs w:val="22"/>
        </w:rPr>
        <w:t>data collection</w:t>
      </w:r>
      <w:r w:rsidR="005D522C">
        <w:rPr>
          <w:sz w:val="22"/>
          <w:szCs w:val="22"/>
        </w:rPr>
        <w:t>.</w:t>
      </w:r>
      <w:r w:rsidR="00502C9F">
        <w:rPr>
          <w:rStyle w:val="FootnoteReference"/>
          <w:szCs w:val="22"/>
        </w:rPr>
        <w:footnoteReference w:id="32"/>
      </w:r>
      <w:r w:rsidR="00502C9F">
        <w:rPr>
          <w:sz w:val="22"/>
          <w:szCs w:val="22"/>
        </w:rPr>
        <w:t xml:space="preserve">  </w:t>
      </w:r>
      <w:r w:rsidR="00F46322">
        <w:rPr>
          <w:sz w:val="22"/>
          <w:szCs w:val="22"/>
        </w:rPr>
        <w:t>Indeed, c</w:t>
      </w:r>
      <w:r w:rsidR="00502C9F">
        <w:rPr>
          <w:sz w:val="22"/>
          <w:szCs w:val="22"/>
        </w:rPr>
        <w:t xml:space="preserve">ommenters, including both service providers and public interest groups, </w:t>
      </w:r>
      <w:r w:rsidR="00C96A72">
        <w:rPr>
          <w:sz w:val="22"/>
          <w:szCs w:val="22"/>
        </w:rPr>
        <w:t xml:space="preserve">had </w:t>
      </w:r>
      <w:r w:rsidR="00D91018">
        <w:rPr>
          <w:sz w:val="22"/>
          <w:szCs w:val="22"/>
        </w:rPr>
        <w:t>argued</w:t>
      </w:r>
      <w:r w:rsidR="00502C9F">
        <w:rPr>
          <w:sz w:val="22"/>
          <w:szCs w:val="22"/>
        </w:rPr>
        <w:t xml:space="preserve"> that collecting cost data for three years </w:t>
      </w:r>
      <w:r w:rsidR="00C96A72">
        <w:rPr>
          <w:sz w:val="22"/>
          <w:szCs w:val="22"/>
        </w:rPr>
        <w:t>would</w:t>
      </w:r>
      <w:r w:rsidR="00502C9F">
        <w:rPr>
          <w:sz w:val="22"/>
          <w:szCs w:val="22"/>
        </w:rPr>
        <w:t xml:space="preserve"> help prevent atypical, one-time expenses from </w:t>
      </w:r>
      <w:r w:rsidR="00502C9F">
        <w:rPr>
          <w:sz w:val="22"/>
          <w:szCs w:val="22"/>
        </w:rPr>
        <w:lastRenderedPageBreak/>
        <w:t xml:space="preserve">being considered normal company costs, </w:t>
      </w:r>
      <w:r w:rsidR="00A43214">
        <w:rPr>
          <w:sz w:val="22"/>
          <w:szCs w:val="22"/>
        </w:rPr>
        <w:t xml:space="preserve">particularly in light of the on-going COVID pandemic, </w:t>
      </w:r>
      <w:r w:rsidR="00502C9F">
        <w:rPr>
          <w:sz w:val="22"/>
          <w:szCs w:val="22"/>
        </w:rPr>
        <w:t>which they argue</w:t>
      </w:r>
      <w:r w:rsidR="00C96A72">
        <w:rPr>
          <w:sz w:val="22"/>
          <w:szCs w:val="22"/>
        </w:rPr>
        <w:t>d</w:t>
      </w:r>
      <w:r w:rsidR="00502C9F">
        <w:rPr>
          <w:sz w:val="22"/>
          <w:szCs w:val="22"/>
        </w:rPr>
        <w:t xml:space="preserve"> </w:t>
      </w:r>
      <w:r w:rsidR="00C96A72">
        <w:rPr>
          <w:sz w:val="22"/>
          <w:szCs w:val="22"/>
        </w:rPr>
        <w:t>would be</w:t>
      </w:r>
      <w:r w:rsidR="00502C9F">
        <w:rPr>
          <w:sz w:val="22"/>
          <w:szCs w:val="22"/>
        </w:rPr>
        <w:t xml:space="preserve"> a potential downside to collecting only a single year’s cost data.</w:t>
      </w:r>
      <w:r w:rsidR="00502C9F">
        <w:rPr>
          <w:rStyle w:val="FootnoteReference"/>
          <w:szCs w:val="22"/>
        </w:rPr>
        <w:footnoteReference w:id="33"/>
      </w:r>
      <w:r w:rsidR="00C8265F">
        <w:rPr>
          <w:sz w:val="22"/>
          <w:szCs w:val="22"/>
        </w:rPr>
        <w:t xml:space="preserve">  </w:t>
      </w:r>
      <w:r w:rsidR="009E3AE1">
        <w:rPr>
          <w:sz w:val="22"/>
          <w:szCs w:val="22"/>
        </w:rPr>
        <w:t xml:space="preserve">Given these arguments, </w:t>
      </w:r>
      <w:r w:rsidR="00F46322">
        <w:rPr>
          <w:sz w:val="22"/>
          <w:szCs w:val="22"/>
        </w:rPr>
        <w:t>WC</w:t>
      </w:r>
      <w:r w:rsidR="00920813">
        <w:rPr>
          <w:sz w:val="22"/>
          <w:szCs w:val="22"/>
        </w:rPr>
        <w:t xml:space="preserve">B/OEA’s decision to require a three-year </w:t>
      </w:r>
      <w:r w:rsidR="005B22F8">
        <w:rPr>
          <w:sz w:val="22"/>
          <w:szCs w:val="22"/>
        </w:rPr>
        <w:t xml:space="preserve">reporting period for cost data </w:t>
      </w:r>
      <w:r w:rsidR="009C1167">
        <w:rPr>
          <w:sz w:val="22"/>
          <w:szCs w:val="22"/>
        </w:rPr>
        <w:t>was</w:t>
      </w:r>
      <w:r w:rsidR="00843126">
        <w:rPr>
          <w:sz w:val="22"/>
          <w:szCs w:val="22"/>
        </w:rPr>
        <w:t xml:space="preserve"> </w:t>
      </w:r>
      <w:r w:rsidR="008656D4">
        <w:rPr>
          <w:sz w:val="22"/>
          <w:szCs w:val="22"/>
        </w:rPr>
        <w:t xml:space="preserve">entirely </w:t>
      </w:r>
      <w:r w:rsidR="00843126">
        <w:rPr>
          <w:sz w:val="22"/>
          <w:szCs w:val="22"/>
        </w:rPr>
        <w:t>reasonable</w:t>
      </w:r>
      <w:r w:rsidR="003309F6">
        <w:rPr>
          <w:sz w:val="22"/>
          <w:szCs w:val="22"/>
        </w:rPr>
        <w:t>.</w:t>
      </w:r>
    </w:p>
    <w:p w:rsidRPr="00B5496A" w:rsidR="002646AC" w:rsidP="00B5496A" w:rsidRDefault="008B6CBA" w14:paraId="67CE4928" w14:textId="00C8DFD9">
      <w:pPr>
        <w:ind w:firstLine="360"/>
        <w:rPr>
          <w:rFonts w:ascii="Times New Roman" w:hAnsi="Times New Roman" w:eastAsia="Times New Roman" w:cs="Times New Roman"/>
          <w:i/>
          <w:iCs/>
        </w:rPr>
      </w:pPr>
      <w:r>
        <w:rPr>
          <w:rFonts w:ascii="Times New Roman" w:hAnsi="Times New Roman" w:eastAsia="Times New Roman" w:cs="Times New Roman"/>
          <w:i/>
          <w:iCs/>
        </w:rPr>
        <w:t>D.</w:t>
      </w:r>
      <w:r>
        <w:rPr>
          <w:rFonts w:ascii="Times New Roman" w:hAnsi="Times New Roman" w:eastAsia="Times New Roman" w:cs="Times New Roman"/>
          <w:i/>
          <w:iCs/>
        </w:rPr>
        <w:tab/>
      </w:r>
      <w:r w:rsidRPr="00B5496A" w:rsidR="002646AC">
        <w:rPr>
          <w:rFonts w:ascii="Times New Roman" w:hAnsi="Times New Roman" w:eastAsia="Times New Roman" w:cs="Times New Roman"/>
          <w:i/>
          <w:iCs/>
        </w:rPr>
        <w:t>A</w:t>
      </w:r>
      <w:r w:rsidR="00DD1EB8">
        <w:rPr>
          <w:rFonts w:ascii="Times New Roman" w:hAnsi="Times New Roman" w:eastAsia="Times New Roman" w:cs="Times New Roman"/>
          <w:i/>
          <w:iCs/>
        </w:rPr>
        <w:t xml:space="preserve">lleged </w:t>
      </w:r>
      <w:r w:rsidRPr="00B5496A" w:rsidR="002646AC">
        <w:rPr>
          <w:rFonts w:ascii="Times New Roman" w:hAnsi="Times New Roman" w:eastAsia="Times New Roman" w:cs="Times New Roman"/>
          <w:i/>
          <w:iCs/>
        </w:rPr>
        <w:t>Availability of Similar Information in the Annual Report</w:t>
      </w:r>
      <w:r w:rsidRPr="00B5496A" w:rsidR="00D57983">
        <w:rPr>
          <w:rFonts w:ascii="Times New Roman" w:hAnsi="Times New Roman" w:eastAsia="Times New Roman" w:cs="Times New Roman"/>
          <w:i/>
          <w:iCs/>
        </w:rPr>
        <w:t>s</w:t>
      </w:r>
    </w:p>
    <w:p w:rsidRPr="008576CC" w:rsidR="008576CC" w:rsidP="00EC00D4" w:rsidRDefault="008576CC" w14:paraId="532B8A71" w14:textId="4C207B36">
      <w:pPr>
        <w:pStyle w:val="Numberedparagraphs"/>
        <w:numPr>
          <w:ilvl w:val="0"/>
          <w:numId w:val="0"/>
        </w:numPr>
        <w:tabs>
          <w:tab w:val="left" w:pos="720"/>
        </w:tabs>
        <w:spacing w:after="120"/>
        <w:rPr>
          <w:sz w:val="22"/>
          <w:szCs w:val="22"/>
        </w:rPr>
      </w:pPr>
      <w:r>
        <w:rPr>
          <w:sz w:val="22"/>
          <w:szCs w:val="22"/>
        </w:rPr>
        <w:tab/>
      </w:r>
      <w:r w:rsidRPr="00C37EC3">
        <w:rPr>
          <w:i/>
          <w:iCs/>
          <w:sz w:val="22"/>
          <w:szCs w:val="22"/>
        </w:rPr>
        <w:t>Arguments</w:t>
      </w:r>
      <w:r w:rsidRPr="008576CC">
        <w:rPr>
          <w:sz w:val="22"/>
          <w:szCs w:val="22"/>
        </w:rPr>
        <w:t xml:space="preserve">.  GTL argues that the </w:t>
      </w:r>
      <w:r w:rsidR="003309F6">
        <w:rPr>
          <w:sz w:val="22"/>
          <w:szCs w:val="22"/>
        </w:rPr>
        <w:t>data collection</w:t>
      </w:r>
      <w:r w:rsidRPr="008576CC">
        <w:rPr>
          <w:sz w:val="22"/>
          <w:szCs w:val="22"/>
        </w:rPr>
        <w:t xml:space="preserve"> seeks information that the Commission already receives in Annual Reports, such as site commission payments, correctional facilities served, and annual </w:t>
      </w:r>
      <w:r w:rsidR="00014FBC">
        <w:rPr>
          <w:sz w:val="22"/>
          <w:szCs w:val="22"/>
        </w:rPr>
        <w:t xml:space="preserve">revenues </w:t>
      </w:r>
      <w:r w:rsidR="00F54CA7">
        <w:rPr>
          <w:sz w:val="22"/>
          <w:szCs w:val="22"/>
        </w:rPr>
        <w:t>from</w:t>
      </w:r>
      <w:r w:rsidR="00014FBC">
        <w:rPr>
          <w:sz w:val="22"/>
          <w:szCs w:val="22"/>
        </w:rPr>
        <w:t xml:space="preserve"> </w:t>
      </w:r>
      <w:r w:rsidRPr="008576CC">
        <w:rPr>
          <w:sz w:val="22"/>
          <w:szCs w:val="22"/>
        </w:rPr>
        <w:t>ICS and ancillary service charges.</w:t>
      </w:r>
      <w:r w:rsidR="006E2D97">
        <w:rPr>
          <w:rStyle w:val="FootnoteReference"/>
          <w:szCs w:val="22"/>
        </w:rPr>
        <w:footnoteReference w:id="34"/>
      </w:r>
      <w:r w:rsidRPr="008576CC">
        <w:rPr>
          <w:sz w:val="22"/>
          <w:szCs w:val="22"/>
        </w:rPr>
        <w:t xml:space="preserve">  GTL asserts that the </w:t>
      </w:r>
      <w:r w:rsidR="00794537">
        <w:rPr>
          <w:sz w:val="22"/>
          <w:szCs w:val="22"/>
        </w:rPr>
        <w:t>data collection</w:t>
      </w:r>
      <w:r w:rsidRPr="008576CC">
        <w:rPr>
          <w:sz w:val="22"/>
          <w:szCs w:val="22"/>
        </w:rPr>
        <w:t xml:space="preserve"> “asks for this information for 2019-2021, all of which the Commission has already received in prior annual reports, or will receive in the 2021 annual reports due in 2022.</w:t>
      </w:r>
      <w:r w:rsidR="00477C11">
        <w:rPr>
          <w:sz w:val="22"/>
          <w:szCs w:val="22"/>
        </w:rPr>
        <w:t>”</w:t>
      </w:r>
      <w:r w:rsidR="00477C11">
        <w:rPr>
          <w:rStyle w:val="FootnoteReference"/>
          <w:szCs w:val="22"/>
        </w:rPr>
        <w:footnoteReference w:id="35"/>
      </w:r>
      <w:r w:rsidRPr="008576CC">
        <w:rPr>
          <w:sz w:val="22"/>
          <w:szCs w:val="22"/>
        </w:rPr>
        <w:t xml:space="preserve">  GTL contends that WCB/OEA must make every effort to “tailor the </w:t>
      </w:r>
      <w:r w:rsidR="009B33C0">
        <w:rPr>
          <w:sz w:val="22"/>
          <w:szCs w:val="22"/>
        </w:rPr>
        <w:t>[mandatory data collection]</w:t>
      </w:r>
      <w:r w:rsidRPr="008576CC">
        <w:rPr>
          <w:sz w:val="22"/>
          <w:szCs w:val="22"/>
        </w:rPr>
        <w:t xml:space="preserve"> to avoid duplication of other information received by the Commission in the normal course.”</w:t>
      </w:r>
      <w:r w:rsidR="00620640">
        <w:rPr>
          <w:rStyle w:val="FootnoteReference"/>
          <w:szCs w:val="22"/>
        </w:rPr>
        <w:footnoteReference w:id="36"/>
      </w:r>
      <w:r w:rsidRPr="008576CC">
        <w:rPr>
          <w:sz w:val="22"/>
          <w:szCs w:val="22"/>
        </w:rPr>
        <w:t xml:space="preserve">  </w:t>
      </w:r>
    </w:p>
    <w:p w:rsidR="006B0830" w:rsidP="00050454" w:rsidRDefault="008576CC" w14:paraId="22054712" w14:textId="3438BA78">
      <w:pPr>
        <w:pStyle w:val="Numberedparagraphs"/>
        <w:numPr>
          <w:ilvl w:val="0"/>
          <w:numId w:val="0"/>
        </w:numPr>
        <w:tabs>
          <w:tab w:val="left" w:pos="720"/>
        </w:tabs>
        <w:spacing w:after="120"/>
        <w:rPr>
          <w:sz w:val="22"/>
          <w:szCs w:val="22"/>
        </w:rPr>
      </w:pPr>
      <w:r>
        <w:rPr>
          <w:sz w:val="22"/>
          <w:szCs w:val="22"/>
        </w:rPr>
        <w:tab/>
      </w:r>
      <w:r w:rsidRPr="002E5226">
        <w:rPr>
          <w:i/>
          <w:iCs/>
          <w:sz w:val="22"/>
          <w:szCs w:val="22"/>
        </w:rPr>
        <w:t>Response</w:t>
      </w:r>
      <w:r w:rsidRPr="008576CC">
        <w:rPr>
          <w:sz w:val="22"/>
          <w:szCs w:val="22"/>
        </w:rPr>
        <w:t xml:space="preserve">.  </w:t>
      </w:r>
      <w:r w:rsidR="00D90CC6">
        <w:rPr>
          <w:sz w:val="22"/>
          <w:szCs w:val="22"/>
        </w:rPr>
        <w:t>T</w:t>
      </w:r>
      <w:r w:rsidRPr="008576CC">
        <w:rPr>
          <w:sz w:val="22"/>
          <w:szCs w:val="22"/>
        </w:rPr>
        <w:t>he</w:t>
      </w:r>
      <w:r w:rsidR="009668BA">
        <w:rPr>
          <w:sz w:val="22"/>
          <w:szCs w:val="22"/>
        </w:rPr>
        <w:t xml:space="preserve"> </w:t>
      </w:r>
      <w:r w:rsidRPr="008576CC">
        <w:rPr>
          <w:sz w:val="22"/>
          <w:szCs w:val="22"/>
        </w:rPr>
        <w:t>Annual Reports</w:t>
      </w:r>
      <w:r w:rsidR="00D90CC6">
        <w:rPr>
          <w:sz w:val="22"/>
          <w:szCs w:val="22"/>
        </w:rPr>
        <w:t xml:space="preserve"> that ICS provider</w:t>
      </w:r>
      <w:r w:rsidR="009C5EBC">
        <w:rPr>
          <w:sz w:val="22"/>
          <w:szCs w:val="22"/>
        </w:rPr>
        <w:t>s</w:t>
      </w:r>
      <w:r w:rsidR="00D90CC6">
        <w:rPr>
          <w:sz w:val="22"/>
          <w:szCs w:val="22"/>
        </w:rPr>
        <w:t xml:space="preserve"> file each </w:t>
      </w:r>
      <w:r w:rsidR="00B01728">
        <w:rPr>
          <w:sz w:val="22"/>
          <w:szCs w:val="22"/>
        </w:rPr>
        <w:t>year</w:t>
      </w:r>
      <w:r w:rsidR="009C5EBC">
        <w:rPr>
          <w:sz w:val="22"/>
          <w:szCs w:val="22"/>
        </w:rPr>
        <w:t xml:space="preserve"> provide the Commission </w:t>
      </w:r>
      <w:r w:rsidR="00367F2E">
        <w:rPr>
          <w:sz w:val="22"/>
          <w:szCs w:val="22"/>
        </w:rPr>
        <w:t xml:space="preserve">and the public </w:t>
      </w:r>
      <w:r w:rsidR="009C5EBC">
        <w:rPr>
          <w:sz w:val="22"/>
          <w:szCs w:val="22"/>
        </w:rPr>
        <w:t xml:space="preserve">with </w:t>
      </w:r>
      <w:r w:rsidR="00012A8B">
        <w:rPr>
          <w:sz w:val="22"/>
          <w:szCs w:val="22"/>
        </w:rPr>
        <w:t>an overview of the providers’ ICS operations</w:t>
      </w:r>
      <w:r w:rsidR="00053DB7">
        <w:rPr>
          <w:sz w:val="22"/>
          <w:szCs w:val="22"/>
        </w:rPr>
        <w:t xml:space="preserve">, but </w:t>
      </w:r>
      <w:r w:rsidR="00284B87">
        <w:rPr>
          <w:sz w:val="22"/>
          <w:szCs w:val="22"/>
        </w:rPr>
        <w:t xml:space="preserve">fall far short of providing </w:t>
      </w:r>
      <w:r w:rsidR="00F75BF8">
        <w:rPr>
          <w:sz w:val="22"/>
          <w:szCs w:val="22"/>
        </w:rPr>
        <w:t xml:space="preserve">the type of detailed </w:t>
      </w:r>
      <w:r w:rsidR="009557C0">
        <w:rPr>
          <w:sz w:val="22"/>
          <w:szCs w:val="22"/>
        </w:rPr>
        <w:t xml:space="preserve">cost data and other </w:t>
      </w:r>
      <w:r w:rsidR="00F75BF8">
        <w:rPr>
          <w:sz w:val="22"/>
          <w:szCs w:val="22"/>
        </w:rPr>
        <w:t>information</w:t>
      </w:r>
      <w:r w:rsidR="009557C0">
        <w:rPr>
          <w:sz w:val="22"/>
          <w:szCs w:val="22"/>
        </w:rPr>
        <w:t xml:space="preserve"> that the Commission will need to determine the costs of providing ICS</w:t>
      </w:r>
      <w:r w:rsidR="00CF3894">
        <w:rPr>
          <w:sz w:val="22"/>
          <w:szCs w:val="22"/>
        </w:rPr>
        <w:t xml:space="preserve"> and related ancillary services</w:t>
      </w:r>
      <w:r w:rsidR="00060548">
        <w:rPr>
          <w:sz w:val="22"/>
          <w:szCs w:val="22"/>
        </w:rPr>
        <w:t xml:space="preserve"> </w:t>
      </w:r>
      <w:r w:rsidR="00FB43AB">
        <w:rPr>
          <w:sz w:val="22"/>
          <w:szCs w:val="22"/>
        </w:rPr>
        <w:t xml:space="preserve">and resolve other issues pending in the </w:t>
      </w:r>
      <w:r w:rsidRPr="00070375" w:rsidR="007E3CF6">
        <w:rPr>
          <w:i/>
          <w:iCs/>
          <w:sz w:val="22"/>
          <w:szCs w:val="22"/>
        </w:rPr>
        <w:t>ICS</w:t>
      </w:r>
      <w:r w:rsidR="0014137B">
        <w:rPr>
          <w:i/>
          <w:iCs/>
          <w:sz w:val="22"/>
          <w:szCs w:val="22"/>
        </w:rPr>
        <w:t xml:space="preserve"> </w:t>
      </w:r>
      <w:r w:rsidR="0014137B">
        <w:rPr>
          <w:sz w:val="22"/>
          <w:szCs w:val="22"/>
        </w:rPr>
        <w:t>rulemaking</w:t>
      </w:r>
      <w:r w:rsidR="009557C0">
        <w:rPr>
          <w:sz w:val="22"/>
          <w:szCs w:val="22"/>
        </w:rPr>
        <w:t>.</w:t>
      </w:r>
      <w:r w:rsidR="00F9565C">
        <w:rPr>
          <w:rStyle w:val="FootnoteReference"/>
          <w:szCs w:val="22"/>
        </w:rPr>
        <w:footnoteReference w:id="37"/>
      </w:r>
      <w:r w:rsidR="009557C0">
        <w:rPr>
          <w:sz w:val="22"/>
          <w:szCs w:val="22"/>
        </w:rPr>
        <w:t xml:space="preserve">  </w:t>
      </w:r>
      <w:r w:rsidR="00006CD4">
        <w:rPr>
          <w:sz w:val="22"/>
          <w:szCs w:val="22"/>
        </w:rPr>
        <w:t xml:space="preserve">To the </w:t>
      </w:r>
      <w:r w:rsidR="00906D41">
        <w:rPr>
          <w:sz w:val="22"/>
          <w:szCs w:val="22"/>
        </w:rPr>
        <w:t>extent there are overlaps between t</w:t>
      </w:r>
      <w:r w:rsidR="008A2C3C">
        <w:rPr>
          <w:sz w:val="22"/>
          <w:szCs w:val="22"/>
        </w:rPr>
        <w:t>he</w:t>
      </w:r>
      <w:r w:rsidR="00906D41">
        <w:rPr>
          <w:sz w:val="22"/>
          <w:szCs w:val="22"/>
        </w:rPr>
        <w:t xml:space="preserve"> Annual Reports and </w:t>
      </w:r>
      <w:r w:rsidR="006B0830">
        <w:rPr>
          <w:sz w:val="22"/>
          <w:szCs w:val="22"/>
        </w:rPr>
        <w:t xml:space="preserve">the data collection, </w:t>
      </w:r>
      <w:r w:rsidR="000971C4">
        <w:rPr>
          <w:sz w:val="22"/>
          <w:szCs w:val="22"/>
        </w:rPr>
        <w:t xml:space="preserve">the duplications are limited to information </w:t>
      </w:r>
      <w:r w:rsidR="000D76AF">
        <w:rPr>
          <w:sz w:val="22"/>
          <w:szCs w:val="22"/>
        </w:rPr>
        <w:t xml:space="preserve">(such as </w:t>
      </w:r>
      <w:r w:rsidR="00DA4684">
        <w:rPr>
          <w:sz w:val="22"/>
          <w:szCs w:val="22"/>
        </w:rPr>
        <w:t>provider</w:t>
      </w:r>
      <w:r w:rsidR="000D76AF">
        <w:rPr>
          <w:sz w:val="22"/>
          <w:szCs w:val="22"/>
        </w:rPr>
        <w:t xml:space="preserve"> name, </w:t>
      </w:r>
      <w:r w:rsidR="00BC20C8">
        <w:rPr>
          <w:sz w:val="22"/>
          <w:szCs w:val="22"/>
        </w:rPr>
        <w:t xml:space="preserve">correctional </w:t>
      </w:r>
      <w:r w:rsidR="000D76AF">
        <w:rPr>
          <w:sz w:val="22"/>
          <w:szCs w:val="22"/>
        </w:rPr>
        <w:t>facility</w:t>
      </w:r>
      <w:r w:rsidR="00DA4684">
        <w:rPr>
          <w:sz w:val="22"/>
          <w:szCs w:val="22"/>
        </w:rPr>
        <w:t xml:space="preserve"> name and</w:t>
      </w:r>
      <w:r w:rsidR="000D76AF">
        <w:rPr>
          <w:sz w:val="22"/>
          <w:szCs w:val="22"/>
        </w:rPr>
        <w:t xml:space="preserve"> location, </w:t>
      </w:r>
      <w:r w:rsidR="00DA4684">
        <w:rPr>
          <w:sz w:val="22"/>
          <w:szCs w:val="22"/>
        </w:rPr>
        <w:t xml:space="preserve">and </w:t>
      </w:r>
      <w:r w:rsidR="00BC20C8">
        <w:rPr>
          <w:sz w:val="22"/>
          <w:szCs w:val="22"/>
        </w:rPr>
        <w:t>type of site commission</w:t>
      </w:r>
      <w:r w:rsidR="00026B9E">
        <w:rPr>
          <w:sz w:val="22"/>
          <w:szCs w:val="22"/>
        </w:rPr>
        <w:t>s</w:t>
      </w:r>
      <w:r w:rsidR="00BC20C8">
        <w:rPr>
          <w:sz w:val="22"/>
          <w:szCs w:val="22"/>
        </w:rPr>
        <w:t>)</w:t>
      </w:r>
      <w:r w:rsidR="00DA4684">
        <w:rPr>
          <w:sz w:val="22"/>
          <w:szCs w:val="22"/>
        </w:rPr>
        <w:t xml:space="preserve"> that the Commission</w:t>
      </w:r>
      <w:r w:rsidR="008C4DB1">
        <w:rPr>
          <w:sz w:val="22"/>
          <w:szCs w:val="22"/>
        </w:rPr>
        <w:t xml:space="preserve"> </w:t>
      </w:r>
      <w:r w:rsidR="005A0CD6">
        <w:rPr>
          <w:sz w:val="22"/>
          <w:szCs w:val="22"/>
        </w:rPr>
        <w:t>and the public</w:t>
      </w:r>
      <w:r w:rsidR="00DA4684">
        <w:rPr>
          <w:sz w:val="22"/>
          <w:szCs w:val="22"/>
        </w:rPr>
        <w:t xml:space="preserve"> will need to </w:t>
      </w:r>
      <w:r w:rsidR="00C23BAE">
        <w:rPr>
          <w:sz w:val="22"/>
          <w:szCs w:val="22"/>
        </w:rPr>
        <w:t xml:space="preserve">fully </w:t>
      </w:r>
      <w:r w:rsidR="00026B9E">
        <w:rPr>
          <w:sz w:val="22"/>
          <w:szCs w:val="22"/>
        </w:rPr>
        <w:t xml:space="preserve">understand and analyze the </w:t>
      </w:r>
      <w:r w:rsidR="00723191">
        <w:rPr>
          <w:sz w:val="22"/>
          <w:szCs w:val="22"/>
        </w:rPr>
        <w:t>providers’ data collection responses.</w:t>
      </w:r>
      <w:r w:rsidR="00CE477D">
        <w:rPr>
          <w:sz w:val="22"/>
          <w:szCs w:val="22"/>
        </w:rPr>
        <w:t xml:space="preserve">  The </w:t>
      </w:r>
      <w:r w:rsidR="00470AD4">
        <w:rPr>
          <w:sz w:val="22"/>
          <w:szCs w:val="22"/>
        </w:rPr>
        <w:t xml:space="preserve">Annual Reports and the </w:t>
      </w:r>
      <w:r w:rsidR="00CE477D">
        <w:rPr>
          <w:sz w:val="22"/>
          <w:szCs w:val="22"/>
        </w:rPr>
        <w:t>data collection</w:t>
      </w:r>
      <w:r w:rsidR="00470AD4">
        <w:rPr>
          <w:sz w:val="22"/>
          <w:szCs w:val="22"/>
        </w:rPr>
        <w:t xml:space="preserve"> serve different purposes</w:t>
      </w:r>
      <w:r w:rsidR="006C6C54">
        <w:rPr>
          <w:sz w:val="22"/>
          <w:szCs w:val="22"/>
        </w:rPr>
        <w:t xml:space="preserve"> and </w:t>
      </w:r>
      <w:r w:rsidR="00D67FDE">
        <w:rPr>
          <w:sz w:val="22"/>
          <w:szCs w:val="22"/>
        </w:rPr>
        <w:t>collect very different information</w:t>
      </w:r>
      <w:r w:rsidR="00156B63">
        <w:rPr>
          <w:sz w:val="22"/>
          <w:szCs w:val="22"/>
        </w:rPr>
        <w:t xml:space="preserve">, and GTL fails to explain how the data collection could be scaled back without undermining the </w:t>
      </w:r>
      <w:r w:rsidR="00730362">
        <w:rPr>
          <w:sz w:val="22"/>
          <w:szCs w:val="22"/>
        </w:rPr>
        <w:t>purposes behind the collection</w:t>
      </w:r>
      <w:r w:rsidR="009F7702">
        <w:rPr>
          <w:sz w:val="22"/>
          <w:szCs w:val="22"/>
        </w:rPr>
        <w:t xml:space="preserve">.  </w:t>
      </w:r>
      <w:r w:rsidR="00627562">
        <w:rPr>
          <w:sz w:val="22"/>
          <w:szCs w:val="22"/>
        </w:rPr>
        <w:t xml:space="preserve">Given this, GTL’s </w:t>
      </w:r>
      <w:r w:rsidR="00270732">
        <w:rPr>
          <w:sz w:val="22"/>
          <w:szCs w:val="22"/>
        </w:rPr>
        <w:t xml:space="preserve">argument provides no basis for </w:t>
      </w:r>
      <w:r w:rsidR="007D4315">
        <w:rPr>
          <w:sz w:val="22"/>
          <w:szCs w:val="22"/>
        </w:rPr>
        <w:t>not approving the data collection.</w:t>
      </w:r>
    </w:p>
    <w:p w:rsidRPr="00CB2ECB" w:rsidR="00903049" w:rsidP="00AA2A22" w:rsidRDefault="008B6CBA" w14:paraId="77F6DACD" w14:textId="0C5657AE">
      <w:pPr>
        <w:pStyle w:val="Numberedparagraphs"/>
        <w:numPr>
          <w:ilvl w:val="0"/>
          <w:numId w:val="0"/>
        </w:numPr>
        <w:tabs>
          <w:tab w:val="clear" w:pos="1440"/>
          <w:tab w:val="left" w:pos="720"/>
        </w:tabs>
        <w:spacing w:after="120"/>
        <w:ind w:left="360"/>
        <w:rPr>
          <w:sz w:val="22"/>
          <w:szCs w:val="22"/>
        </w:rPr>
      </w:pPr>
      <w:r>
        <w:rPr>
          <w:i/>
          <w:iCs/>
          <w:sz w:val="22"/>
          <w:szCs w:val="22"/>
        </w:rPr>
        <w:t>E</w:t>
      </w:r>
      <w:r w:rsidR="00AB344E">
        <w:rPr>
          <w:i/>
          <w:iCs/>
          <w:sz w:val="22"/>
          <w:szCs w:val="22"/>
        </w:rPr>
        <w:t>.</w:t>
      </w:r>
      <w:r w:rsidR="00AB344E">
        <w:rPr>
          <w:i/>
          <w:iCs/>
          <w:sz w:val="22"/>
          <w:szCs w:val="22"/>
        </w:rPr>
        <w:tab/>
      </w:r>
      <w:r w:rsidR="00A37B58">
        <w:rPr>
          <w:i/>
          <w:iCs/>
          <w:sz w:val="22"/>
          <w:szCs w:val="22"/>
        </w:rPr>
        <w:t>Financial Data Requests</w:t>
      </w:r>
    </w:p>
    <w:p w:rsidRPr="00554A1B" w:rsidR="00554A1B" w:rsidP="000666FA" w:rsidRDefault="000757C5" w14:paraId="6B4F9C71" w14:textId="1E106397">
      <w:pPr>
        <w:pStyle w:val="Numberedparagraphs"/>
        <w:numPr>
          <w:ilvl w:val="0"/>
          <w:numId w:val="0"/>
        </w:numPr>
        <w:tabs>
          <w:tab w:val="left" w:pos="720"/>
        </w:tabs>
        <w:spacing w:after="120"/>
        <w:ind w:left="180"/>
        <w:rPr>
          <w:sz w:val="22"/>
          <w:szCs w:val="22"/>
        </w:rPr>
      </w:pPr>
      <w:r>
        <w:rPr>
          <w:sz w:val="22"/>
          <w:szCs w:val="22"/>
        </w:rPr>
        <w:tab/>
      </w:r>
      <w:r w:rsidRPr="00102910" w:rsidR="00554A1B">
        <w:rPr>
          <w:i/>
          <w:iCs/>
          <w:sz w:val="22"/>
          <w:szCs w:val="22"/>
        </w:rPr>
        <w:t>Arguments</w:t>
      </w:r>
      <w:r w:rsidRPr="00554A1B" w:rsidR="00554A1B">
        <w:rPr>
          <w:sz w:val="22"/>
          <w:szCs w:val="22"/>
        </w:rPr>
        <w:t>.  GTL claims that ICS providers are “non-dominant competitive carriers</w:t>
      </w:r>
      <w:r w:rsidR="007F3087">
        <w:rPr>
          <w:sz w:val="22"/>
          <w:szCs w:val="22"/>
        </w:rPr>
        <w:t>”</w:t>
      </w:r>
      <w:r w:rsidRPr="00554A1B" w:rsidR="00554A1B">
        <w:rPr>
          <w:sz w:val="22"/>
          <w:szCs w:val="22"/>
        </w:rPr>
        <w:t xml:space="preserve"> that are not required to maintain their records in the same manner required of dominant carriers</w:t>
      </w:r>
      <w:r w:rsidR="005B2D05">
        <w:rPr>
          <w:sz w:val="22"/>
          <w:szCs w:val="22"/>
        </w:rPr>
        <w:t>, and</w:t>
      </w:r>
      <w:r w:rsidRPr="00554A1B" w:rsidR="00554A1B">
        <w:rPr>
          <w:sz w:val="22"/>
          <w:szCs w:val="22"/>
        </w:rPr>
        <w:t xml:space="preserve"> asserts that the proposed </w:t>
      </w:r>
      <w:r w:rsidR="00647B19">
        <w:rPr>
          <w:sz w:val="22"/>
          <w:szCs w:val="22"/>
        </w:rPr>
        <w:t>data collection</w:t>
      </w:r>
      <w:r w:rsidRPr="00554A1B" w:rsidR="00554A1B">
        <w:rPr>
          <w:sz w:val="22"/>
          <w:szCs w:val="22"/>
        </w:rPr>
        <w:t xml:space="preserve"> requires providers to “produce reports based on accounting and recordkeeping obligations contained in dominant carrier regulation.”  GTL contends that WCB/OEA should craft the </w:t>
      </w:r>
      <w:r w:rsidR="0040410C">
        <w:rPr>
          <w:sz w:val="22"/>
          <w:szCs w:val="22"/>
        </w:rPr>
        <w:t>data collection</w:t>
      </w:r>
      <w:r w:rsidRPr="00554A1B" w:rsidR="00554A1B">
        <w:rPr>
          <w:sz w:val="22"/>
          <w:szCs w:val="22"/>
        </w:rPr>
        <w:t xml:space="preserve"> to allow for flexibility “that reflects how ICS providers are permitted to conduct their business and maintain their books and records</w:t>
      </w:r>
      <w:r w:rsidR="00127520">
        <w:rPr>
          <w:sz w:val="22"/>
          <w:szCs w:val="22"/>
        </w:rPr>
        <w:t>”</w:t>
      </w:r>
      <w:r w:rsidR="00065DB0">
        <w:rPr>
          <w:sz w:val="22"/>
          <w:szCs w:val="22"/>
        </w:rPr>
        <w:t xml:space="preserve"> to reduce the related burden.</w:t>
      </w:r>
      <w:bookmarkStart w:name="_Hlk93512875" w:id="3"/>
      <w:r w:rsidR="00127520">
        <w:rPr>
          <w:rStyle w:val="FootnoteReference"/>
          <w:szCs w:val="22"/>
        </w:rPr>
        <w:footnoteReference w:id="38"/>
      </w:r>
      <w:r w:rsidRPr="00554A1B" w:rsidR="00554A1B">
        <w:rPr>
          <w:sz w:val="22"/>
          <w:szCs w:val="22"/>
        </w:rPr>
        <w:t xml:space="preserve"> </w:t>
      </w:r>
      <w:bookmarkEnd w:id="3"/>
      <w:r w:rsidRPr="00554A1B" w:rsidR="00554A1B">
        <w:rPr>
          <w:sz w:val="22"/>
          <w:szCs w:val="22"/>
        </w:rPr>
        <w:t xml:space="preserve"> </w:t>
      </w:r>
    </w:p>
    <w:p w:rsidRPr="00347D98" w:rsidR="00A610CC" w:rsidP="00A610CC" w:rsidRDefault="000757C5" w14:paraId="30DB8545" w14:textId="579B013C">
      <w:pPr>
        <w:pStyle w:val="Numberedparagraphs"/>
        <w:numPr>
          <w:ilvl w:val="0"/>
          <w:numId w:val="0"/>
        </w:numPr>
        <w:tabs>
          <w:tab w:val="left" w:pos="720"/>
        </w:tabs>
        <w:spacing w:after="120"/>
        <w:ind w:left="180"/>
        <w:rPr>
          <w:sz w:val="22"/>
          <w:szCs w:val="22"/>
        </w:rPr>
      </w:pPr>
      <w:r>
        <w:rPr>
          <w:sz w:val="22"/>
          <w:szCs w:val="22"/>
        </w:rPr>
        <w:tab/>
      </w:r>
      <w:r w:rsidRPr="00102910" w:rsidR="00554A1B">
        <w:rPr>
          <w:i/>
          <w:iCs/>
          <w:sz w:val="22"/>
          <w:szCs w:val="22"/>
        </w:rPr>
        <w:t>Response</w:t>
      </w:r>
      <w:r w:rsidRPr="00554A1B" w:rsidR="00554A1B">
        <w:rPr>
          <w:sz w:val="22"/>
          <w:szCs w:val="22"/>
        </w:rPr>
        <w:t xml:space="preserve">.  </w:t>
      </w:r>
      <w:r w:rsidR="00235353">
        <w:rPr>
          <w:sz w:val="22"/>
          <w:szCs w:val="22"/>
        </w:rPr>
        <w:t>T</w:t>
      </w:r>
      <w:r w:rsidRPr="00554A1B" w:rsidR="00554A1B">
        <w:rPr>
          <w:sz w:val="22"/>
          <w:szCs w:val="22"/>
        </w:rPr>
        <w:t xml:space="preserve">he </w:t>
      </w:r>
      <w:r w:rsidR="00346D59">
        <w:rPr>
          <w:sz w:val="22"/>
          <w:szCs w:val="22"/>
        </w:rPr>
        <w:t xml:space="preserve">data </w:t>
      </w:r>
      <w:r w:rsidRPr="00554A1B" w:rsidR="00554A1B">
        <w:rPr>
          <w:sz w:val="22"/>
          <w:szCs w:val="22"/>
        </w:rPr>
        <w:t>collection</w:t>
      </w:r>
      <w:r w:rsidR="00700BC4">
        <w:rPr>
          <w:sz w:val="22"/>
          <w:szCs w:val="22"/>
        </w:rPr>
        <w:t xml:space="preserve"> i</w:t>
      </w:r>
      <w:r w:rsidRPr="00554A1B" w:rsidR="00554A1B">
        <w:rPr>
          <w:sz w:val="22"/>
          <w:szCs w:val="22"/>
        </w:rPr>
        <w:t>s</w:t>
      </w:r>
      <w:r w:rsidR="00871120">
        <w:rPr>
          <w:sz w:val="22"/>
          <w:szCs w:val="22"/>
        </w:rPr>
        <w:t xml:space="preserve"> fully</w:t>
      </w:r>
      <w:r w:rsidRPr="00554A1B" w:rsidR="00554A1B">
        <w:rPr>
          <w:sz w:val="22"/>
          <w:szCs w:val="22"/>
        </w:rPr>
        <w:t xml:space="preserve"> </w:t>
      </w:r>
      <w:r w:rsidRPr="00554A1B" w:rsidR="00235353">
        <w:rPr>
          <w:sz w:val="22"/>
          <w:szCs w:val="22"/>
        </w:rPr>
        <w:t xml:space="preserve">consistent </w:t>
      </w:r>
      <w:r w:rsidRPr="00554A1B" w:rsidR="00554A1B">
        <w:rPr>
          <w:sz w:val="22"/>
          <w:szCs w:val="22"/>
        </w:rPr>
        <w:t xml:space="preserve">with </w:t>
      </w:r>
      <w:r w:rsidR="00D15446">
        <w:rPr>
          <w:sz w:val="22"/>
          <w:szCs w:val="22"/>
        </w:rPr>
        <w:t xml:space="preserve">provider </w:t>
      </w:r>
      <w:r w:rsidRPr="00554A1B" w:rsidR="00554A1B">
        <w:rPr>
          <w:sz w:val="22"/>
          <w:szCs w:val="22"/>
        </w:rPr>
        <w:t>accounting practices</w:t>
      </w:r>
      <w:r w:rsidR="00903F07">
        <w:rPr>
          <w:sz w:val="22"/>
          <w:szCs w:val="22"/>
        </w:rPr>
        <w:t>, which we understand are consistent with generally accepted accounting principles</w:t>
      </w:r>
      <w:r w:rsidRPr="00554A1B" w:rsidR="00554A1B">
        <w:rPr>
          <w:sz w:val="22"/>
          <w:szCs w:val="22"/>
        </w:rPr>
        <w:t xml:space="preserve">. </w:t>
      </w:r>
      <w:r w:rsidR="00D15446">
        <w:rPr>
          <w:sz w:val="22"/>
          <w:szCs w:val="22"/>
        </w:rPr>
        <w:t xml:space="preserve"> </w:t>
      </w:r>
      <w:r w:rsidR="00941EB5">
        <w:rPr>
          <w:sz w:val="22"/>
          <w:szCs w:val="22"/>
        </w:rPr>
        <w:t xml:space="preserve">In adopting the data collection, WCB/OEA </w:t>
      </w:r>
      <w:r w:rsidR="00DD04F1">
        <w:rPr>
          <w:sz w:val="22"/>
          <w:szCs w:val="22"/>
        </w:rPr>
        <w:t>rejected</w:t>
      </w:r>
      <w:r w:rsidR="00941EB5">
        <w:rPr>
          <w:sz w:val="22"/>
          <w:szCs w:val="22"/>
        </w:rPr>
        <w:t xml:space="preserve"> </w:t>
      </w:r>
      <w:r w:rsidRPr="00F72331" w:rsidR="00262CD1">
        <w:rPr>
          <w:sz w:val="22"/>
          <w:szCs w:val="22"/>
        </w:rPr>
        <w:t>GTL</w:t>
      </w:r>
      <w:r w:rsidR="00262CD1">
        <w:rPr>
          <w:sz w:val="22"/>
          <w:szCs w:val="22"/>
        </w:rPr>
        <w:t>’s arguments</w:t>
      </w:r>
      <w:r w:rsidR="00A43214">
        <w:rPr>
          <w:sz w:val="22"/>
          <w:szCs w:val="22"/>
        </w:rPr>
        <w:t xml:space="preserve"> that</w:t>
      </w:r>
      <w:r w:rsidR="00262CD1">
        <w:rPr>
          <w:sz w:val="22"/>
          <w:szCs w:val="22"/>
        </w:rPr>
        <w:t xml:space="preserve"> the </w:t>
      </w:r>
      <w:r w:rsidR="00F73E5D">
        <w:rPr>
          <w:sz w:val="22"/>
          <w:szCs w:val="22"/>
        </w:rPr>
        <w:t>collection’s</w:t>
      </w:r>
      <w:r w:rsidRPr="00F72331" w:rsidR="00262CD1">
        <w:rPr>
          <w:sz w:val="22"/>
          <w:szCs w:val="22"/>
        </w:rPr>
        <w:t xml:space="preserve"> </w:t>
      </w:r>
      <w:r w:rsidRPr="00601945" w:rsidR="00F73E5D">
        <w:rPr>
          <w:sz w:val="22"/>
          <w:szCs w:val="22"/>
        </w:rPr>
        <w:t xml:space="preserve">requests </w:t>
      </w:r>
      <w:r w:rsidR="00F73E5D">
        <w:rPr>
          <w:sz w:val="22"/>
          <w:szCs w:val="22"/>
        </w:rPr>
        <w:t xml:space="preserve">for </w:t>
      </w:r>
      <w:r w:rsidRPr="00F72331" w:rsidR="00262CD1">
        <w:rPr>
          <w:sz w:val="22"/>
          <w:szCs w:val="22"/>
        </w:rPr>
        <w:t xml:space="preserve">financial data are “impossible to satisfy,” are formatted specifically for dominant carriers, and are beyond </w:t>
      </w:r>
      <w:r w:rsidR="00985AA6">
        <w:rPr>
          <w:sz w:val="22"/>
          <w:szCs w:val="22"/>
        </w:rPr>
        <w:t>WCB/OEA’s</w:t>
      </w:r>
      <w:r w:rsidRPr="00F72331" w:rsidR="00262CD1">
        <w:rPr>
          <w:sz w:val="22"/>
          <w:szCs w:val="22"/>
        </w:rPr>
        <w:t xml:space="preserve"> </w:t>
      </w:r>
      <w:r w:rsidRPr="00F72331" w:rsidR="00262CD1">
        <w:rPr>
          <w:sz w:val="22"/>
          <w:szCs w:val="22"/>
        </w:rPr>
        <w:lastRenderedPageBreak/>
        <w:t>authority.</w:t>
      </w:r>
      <w:r w:rsidR="00985AA6">
        <w:rPr>
          <w:rStyle w:val="FootnoteReference"/>
          <w:szCs w:val="22"/>
        </w:rPr>
        <w:footnoteReference w:id="39"/>
      </w:r>
      <w:r w:rsidR="0029296F">
        <w:rPr>
          <w:sz w:val="22"/>
          <w:szCs w:val="22"/>
        </w:rPr>
        <w:t xml:space="preserve">  </w:t>
      </w:r>
      <w:r w:rsidR="00DD04F1">
        <w:rPr>
          <w:sz w:val="22"/>
          <w:szCs w:val="22"/>
        </w:rPr>
        <w:t xml:space="preserve">WCB/OEA </w:t>
      </w:r>
      <w:r w:rsidR="00CE6800">
        <w:rPr>
          <w:sz w:val="22"/>
          <w:szCs w:val="22"/>
        </w:rPr>
        <w:t xml:space="preserve">found that GTL had </w:t>
      </w:r>
      <w:r w:rsidRPr="00214C69" w:rsidR="00CE6800">
        <w:rPr>
          <w:sz w:val="22"/>
          <w:szCs w:val="22"/>
        </w:rPr>
        <w:t>fail</w:t>
      </w:r>
      <w:r w:rsidR="007F3A83">
        <w:rPr>
          <w:sz w:val="22"/>
          <w:szCs w:val="22"/>
        </w:rPr>
        <w:t xml:space="preserve">ed </w:t>
      </w:r>
      <w:r w:rsidRPr="00214C69" w:rsidR="00CE6800">
        <w:rPr>
          <w:sz w:val="22"/>
          <w:szCs w:val="22"/>
        </w:rPr>
        <w:t xml:space="preserve">to provide </w:t>
      </w:r>
      <w:r w:rsidRPr="00554A1B" w:rsidR="00EC7F6B">
        <w:rPr>
          <w:sz w:val="22"/>
          <w:szCs w:val="22"/>
        </w:rPr>
        <w:t xml:space="preserve">a sufficient explanation </w:t>
      </w:r>
      <w:r w:rsidRPr="00214C69" w:rsidR="00CE6800">
        <w:rPr>
          <w:sz w:val="22"/>
          <w:szCs w:val="22"/>
        </w:rPr>
        <w:t xml:space="preserve">for why it would not be able to comply with </w:t>
      </w:r>
      <w:r w:rsidR="007F3A83">
        <w:rPr>
          <w:sz w:val="22"/>
          <w:szCs w:val="22"/>
        </w:rPr>
        <w:t xml:space="preserve">the data collection and that </w:t>
      </w:r>
      <w:r w:rsidRPr="00214C69" w:rsidR="00CE6800">
        <w:rPr>
          <w:sz w:val="22"/>
          <w:szCs w:val="22"/>
        </w:rPr>
        <w:t xml:space="preserve">GTL’s claims </w:t>
      </w:r>
      <w:r w:rsidR="00575B6B">
        <w:rPr>
          <w:sz w:val="22"/>
          <w:szCs w:val="22"/>
        </w:rPr>
        <w:t xml:space="preserve">were </w:t>
      </w:r>
      <w:r w:rsidRPr="00214C69" w:rsidR="00CE6800">
        <w:rPr>
          <w:sz w:val="22"/>
          <w:szCs w:val="22"/>
        </w:rPr>
        <w:t>contradicted by other providers</w:t>
      </w:r>
      <w:r w:rsidR="00747A60">
        <w:rPr>
          <w:sz w:val="22"/>
          <w:szCs w:val="22"/>
        </w:rPr>
        <w:t xml:space="preserve">’ comments that </w:t>
      </w:r>
      <w:r w:rsidRPr="00214C69" w:rsidR="00CE6800">
        <w:rPr>
          <w:sz w:val="22"/>
          <w:szCs w:val="22"/>
        </w:rPr>
        <w:t xml:space="preserve">ICS providers “already have access” to the requested data, and that </w:t>
      </w:r>
      <w:r w:rsidR="00747A60">
        <w:rPr>
          <w:sz w:val="22"/>
          <w:szCs w:val="22"/>
        </w:rPr>
        <w:t>the data</w:t>
      </w:r>
      <w:r w:rsidRPr="00214C69" w:rsidR="00CE6800">
        <w:rPr>
          <w:sz w:val="22"/>
          <w:szCs w:val="22"/>
        </w:rPr>
        <w:t xml:space="preserve"> requests are “consistent with existing ICS provider recordkeeping practices.”</w:t>
      </w:r>
      <w:r w:rsidR="004E4E26">
        <w:rPr>
          <w:rStyle w:val="FootnoteReference"/>
          <w:szCs w:val="22"/>
        </w:rPr>
        <w:footnoteReference w:id="40"/>
      </w:r>
      <w:r w:rsidR="00F72331">
        <w:rPr>
          <w:sz w:val="22"/>
          <w:szCs w:val="22"/>
        </w:rPr>
        <w:t xml:space="preserve">  </w:t>
      </w:r>
      <w:bookmarkStart w:name="_Hlk93270841" w:id="4"/>
      <w:r w:rsidR="00D53C9F">
        <w:rPr>
          <w:sz w:val="22"/>
          <w:szCs w:val="22"/>
        </w:rPr>
        <w:t>As these findings make clear</w:t>
      </w:r>
      <w:r w:rsidR="00C819D2">
        <w:rPr>
          <w:sz w:val="22"/>
          <w:szCs w:val="22"/>
        </w:rPr>
        <w:t xml:space="preserve">, </w:t>
      </w:r>
      <w:r w:rsidR="00A610CC">
        <w:rPr>
          <w:sz w:val="22"/>
          <w:szCs w:val="22"/>
        </w:rPr>
        <w:tab/>
      </w:r>
      <w:r w:rsidR="00A17098">
        <w:rPr>
          <w:sz w:val="22"/>
          <w:szCs w:val="22"/>
        </w:rPr>
        <w:t>any provider proceeding in good faith will be able to respond fully to the data collection.</w:t>
      </w:r>
    </w:p>
    <w:bookmarkEnd w:id="4"/>
    <w:p w:rsidRPr="00832810" w:rsidR="00E10661" w:rsidP="00213B73" w:rsidRDefault="009933A4" w14:paraId="46486D1A" w14:textId="77777777">
      <w:pPr>
        <w:tabs>
          <w:tab w:val="left" w:pos="720"/>
        </w:tabs>
        <w:spacing w:after="120" w:line="240" w:lineRule="auto"/>
        <w:rPr>
          <w:rFonts w:ascii="Times New Roman" w:hAnsi="Times New Roman" w:eastAsia="Times New Roman" w:cs="Times New Roman"/>
          <w:noProof/>
        </w:rPr>
      </w:pPr>
      <w:r w:rsidRPr="00832810">
        <w:rPr>
          <w:rFonts w:ascii="Times New Roman" w:hAnsi="Times New Roman" w:eastAsia="Times New Roman" w:cs="Times New Roman"/>
          <w:noProof/>
        </w:rPr>
        <w:tab/>
      </w:r>
      <w:r w:rsidRPr="00832810" w:rsidR="00E10661">
        <w:rPr>
          <w:rFonts w:ascii="Times New Roman" w:hAnsi="Times New Roman" w:eastAsia="Times New Roman" w:cs="Times New Roman"/>
        </w:rPr>
        <w:t>9.  The Commission does not anticipate providing any payment or gift to respondents.</w:t>
      </w:r>
    </w:p>
    <w:p w:rsidRPr="00832810" w:rsidR="00E10661" w:rsidP="00213B73" w:rsidRDefault="00E10661" w14:paraId="638E54B0" w14:textId="77777777">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10. </w:t>
      </w:r>
      <w:r w:rsidRPr="00832810" w:rsidR="009C552D">
        <w:rPr>
          <w:rFonts w:ascii="Times New Roman" w:hAnsi="Times New Roman" w:eastAsia="Times New Roman" w:cs="Times New Roman"/>
        </w:rPr>
        <w:t xml:space="preserve">The </w:t>
      </w:r>
      <w:r w:rsidRPr="00832810" w:rsidR="009C552D">
        <w:rPr>
          <w:rFonts w:ascii="Times New Roman" w:hAnsi="Times New Roman" w:eastAsia="Times New Roman" w:cs="Times New Roman"/>
          <w:i/>
        </w:rPr>
        <w:t>Protective Order</w:t>
      </w:r>
      <w:r w:rsidRPr="00832810" w:rsidR="009C552D">
        <w:rPr>
          <w:rFonts w:ascii="Times New Roman" w:hAnsi="Times New Roman" w:eastAsia="Times New Roman" w:cs="Times New Roman"/>
        </w:rPr>
        <w:t xml:space="preserve"> in the Commission’s ICS proceeding provides confidential treatment for the proprietary information submitted by ICS providers in response to the Commission’s directives.</w:t>
      </w:r>
      <w:r w:rsidRPr="00832810" w:rsidR="009C552D">
        <w:rPr>
          <w:rStyle w:val="FootnoteReference"/>
          <w:rFonts w:eastAsia="Times New Roman" w:cs="Times New Roman"/>
          <w:sz w:val="22"/>
        </w:rPr>
        <w:footnoteReference w:id="41"/>
      </w:r>
      <w:r w:rsidRPr="00832810" w:rsidR="003B4FD8">
        <w:rPr>
          <w:rFonts w:ascii="Times New Roman" w:hAnsi="Times New Roman" w:eastAsia="Times New Roman" w:cs="Times New Roman"/>
        </w:rPr>
        <w:t xml:space="preserve">  The Commission will treat as presumptively confidential </w:t>
      </w:r>
      <w:r w:rsidRPr="00832810" w:rsidR="000C4997">
        <w:rPr>
          <w:rFonts w:ascii="Times New Roman" w:hAnsi="Times New Roman" w:eastAsia="Times New Roman" w:cs="Times New Roman"/>
        </w:rPr>
        <w:t xml:space="preserve">any particular information identified as confidential by the provider in accordance with the Freedom of Information Act and Commission rules.  Each confidential document should be stamped and submitted to the Secretary’s Office with an accompanying cover letter, as specified by the </w:t>
      </w:r>
      <w:r w:rsidRPr="00832810" w:rsidR="000C4997">
        <w:rPr>
          <w:rFonts w:ascii="Times New Roman" w:hAnsi="Times New Roman" w:eastAsia="Times New Roman" w:cs="Times New Roman"/>
          <w:i/>
        </w:rPr>
        <w:t>Protective Order</w:t>
      </w:r>
      <w:r w:rsidRPr="00832810" w:rsidR="000C4997">
        <w:rPr>
          <w:rFonts w:ascii="Times New Roman" w:hAnsi="Times New Roman" w:eastAsia="Times New Roman" w:cs="Times New Roman"/>
        </w:rPr>
        <w:t xml:space="preserve">.  This is standard practice when the Commission seeks </w:t>
      </w:r>
      <w:r w:rsidRPr="00832810" w:rsidR="00B402D6">
        <w:rPr>
          <w:rFonts w:ascii="Times New Roman" w:hAnsi="Times New Roman" w:eastAsia="Times New Roman" w:cs="Times New Roman"/>
        </w:rPr>
        <w:t>completely sensitive information for ratemaking or other purposes.</w:t>
      </w:r>
    </w:p>
    <w:p w:rsidRPr="00832810" w:rsidR="00E10661" w:rsidP="00213B73" w:rsidRDefault="00E10661" w14:paraId="6653C066" w14:textId="77777777">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11.  The information collection does not address any matters of a sensitive nature.</w:t>
      </w:r>
    </w:p>
    <w:p w:rsidRPr="00832810" w:rsidR="001D05DC" w:rsidP="00213B73" w:rsidRDefault="00E10661" w14:paraId="3608E870" w14:textId="77777777">
      <w:pPr>
        <w:tabs>
          <w:tab w:val="left" w:pos="720"/>
        </w:tabs>
        <w:spacing w:after="120" w:line="240" w:lineRule="auto"/>
        <w:rPr>
          <w:rFonts w:ascii="Times New Roman" w:hAnsi="Times New Roman" w:eastAsia="Times New Roman" w:cs="Times New Roman"/>
          <w:b/>
          <w:spacing w:val="-3"/>
          <w:u w:val="single"/>
        </w:rPr>
      </w:pPr>
      <w:r w:rsidRPr="00832810">
        <w:rPr>
          <w:rFonts w:ascii="Times New Roman" w:hAnsi="Times New Roman" w:eastAsia="Times New Roman" w:cs="Times New Roman"/>
        </w:rPr>
        <w:tab/>
        <w:t xml:space="preserve">12.  The following represents the hour burden on the collections of information discussed herein. </w:t>
      </w:r>
    </w:p>
    <w:p w:rsidR="00903379" w:rsidP="00E50702" w:rsidRDefault="00903379" w14:paraId="18A97AC6" w14:textId="02DEAB11">
      <w:pPr>
        <w:keepNext/>
        <w:tabs>
          <w:tab w:val="left" w:pos="720"/>
        </w:tabs>
        <w:spacing w:after="120" w:line="240" w:lineRule="auto"/>
        <w:rPr>
          <w:rFonts w:ascii="Times New Roman" w:hAnsi="Times New Roman" w:eastAsia="Times New Roman" w:cs="Times New Roman"/>
          <w:spacing w:val="-3"/>
        </w:rPr>
      </w:pPr>
      <w:r>
        <w:rPr>
          <w:rFonts w:ascii="Times New Roman" w:hAnsi="Times New Roman" w:eastAsia="Times New Roman" w:cs="Times New Roman"/>
          <w:b/>
          <w:spacing w:val="-3"/>
        </w:rPr>
        <w:t>a.</w:t>
      </w:r>
      <w:r>
        <w:rPr>
          <w:rFonts w:ascii="Times New Roman" w:hAnsi="Times New Roman" w:eastAsia="Times New Roman" w:cs="Times New Roman"/>
          <w:b/>
          <w:spacing w:val="-3"/>
        </w:rPr>
        <w:tab/>
      </w:r>
      <w:r w:rsidRPr="00832810" w:rsidR="00E10661">
        <w:rPr>
          <w:rFonts w:ascii="Times New Roman" w:hAnsi="Times New Roman" w:eastAsia="Times New Roman" w:cs="Times New Roman"/>
          <w:b/>
          <w:spacing w:val="-3"/>
        </w:rPr>
        <w:t>Reporting Requirement</w:t>
      </w:r>
      <w:r w:rsidR="00E55C3A">
        <w:rPr>
          <w:rFonts w:ascii="Times New Roman" w:hAnsi="Times New Roman" w:eastAsia="Times New Roman" w:cs="Times New Roman"/>
          <w:b/>
          <w:spacing w:val="-3"/>
        </w:rPr>
        <w:t>:</w:t>
      </w:r>
    </w:p>
    <w:p w:rsidRPr="005B056F" w:rsidR="00E10661" w:rsidP="005B056F" w:rsidRDefault="00E10661" w14:paraId="74875F95" w14:textId="5E6D0D70">
      <w:pPr>
        <w:tabs>
          <w:tab w:val="left" w:pos="720"/>
        </w:tabs>
        <w:spacing w:after="120" w:line="240" w:lineRule="auto"/>
        <w:ind w:left="360"/>
        <w:rPr>
          <w:rFonts w:ascii="Times New Roman" w:hAnsi="Times New Roman" w:eastAsia="Times New Roman" w:cs="Times New Roman"/>
          <w:spacing w:val="-3"/>
        </w:rPr>
      </w:pPr>
      <w:r w:rsidRPr="005B056F">
        <w:rPr>
          <w:rFonts w:ascii="Times New Roman" w:hAnsi="Times New Roman" w:eastAsia="Times New Roman" w:cs="Times New Roman"/>
          <w:spacing w:val="-3"/>
        </w:rPr>
        <w:tab/>
        <w:t xml:space="preserve">(1)  </w:t>
      </w:r>
      <w:r w:rsidRPr="005B056F">
        <w:rPr>
          <w:rFonts w:ascii="Times New Roman" w:hAnsi="Times New Roman" w:eastAsia="Times New Roman" w:cs="Times New Roman"/>
          <w:spacing w:val="-3"/>
          <w:u w:val="single"/>
        </w:rPr>
        <w:t>Number of respondents</w:t>
      </w:r>
      <w:r w:rsidRPr="005B056F">
        <w:rPr>
          <w:rFonts w:ascii="Times New Roman" w:hAnsi="Times New Roman" w:eastAsia="Times New Roman" w:cs="Times New Roman"/>
          <w:spacing w:val="-3"/>
        </w:rPr>
        <w:t xml:space="preserve">:  Approximately </w:t>
      </w:r>
      <w:r w:rsidRPr="005B056F" w:rsidR="00827601">
        <w:rPr>
          <w:rFonts w:ascii="Times New Roman" w:hAnsi="Times New Roman" w:eastAsia="Times New Roman" w:cs="Times New Roman"/>
          <w:spacing w:val="-3"/>
        </w:rPr>
        <w:t>20</w:t>
      </w:r>
      <w:r w:rsidRPr="005B056F">
        <w:rPr>
          <w:rFonts w:ascii="Times New Roman" w:hAnsi="Times New Roman" w:eastAsia="Times New Roman" w:cs="Times New Roman"/>
          <w:spacing w:val="-3"/>
        </w:rPr>
        <w:t>.</w:t>
      </w:r>
    </w:p>
    <w:p w:rsidRPr="00832810" w:rsidR="00E10661" w:rsidP="00213B73" w:rsidRDefault="00E10661" w14:paraId="027DF01D" w14:textId="77777777">
      <w:pPr>
        <w:keepLines/>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(2)  </w:t>
      </w:r>
      <w:r w:rsidRPr="00832810">
        <w:rPr>
          <w:rFonts w:ascii="Times New Roman" w:hAnsi="Times New Roman" w:eastAsia="Times New Roman" w:cs="Times New Roman"/>
          <w:spacing w:val="-3"/>
          <w:u w:val="single"/>
        </w:rPr>
        <w:t>Frequency of response</w:t>
      </w:r>
      <w:r w:rsidRPr="00832810">
        <w:rPr>
          <w:rFonts w:ascii="Times New Roman" w:hAnsi="Times New Roman" w:eastAsia="Times New Roman" w:cs="Times New Roman"/>
          <w:spacing w:val="-3"/>
        </w:rPr>
        <w:t xml:space="preserve">:  One-time reporting requirement.  </w:t>
      </w:r>
    </w:p>
    <w:p w:rsidRPr="00832810" w:rsidR="00E10661" w:rsidP="00213B73" w:rsidRDefault="00E10661" w14:paraId="78909FD2" w14:textId="77777777">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(3)  </w:t>
      </w:r>
      <w:r w:rsidRPr="00832810">
        <w:rPr>
          <w:rFonts w:ascii="Times New Roman" w:hAnsi="Times New Roman" w:eastAsia="Times New Roman" w:cs="Times New Roman"/>
          <w:spacing w:val="-3"/>
          <w:u w:val="single"/>
        </w:rPr>
        <w:t>Total number of responses annually</w:t>
      </w:r>
      <w:r w:rsidRPr="00832810">
        <w:rPr>
          <w:rFonts w:ascii="Times New Roman" w:hAnsi="Times New Roman" w:eastAsia="Times New Roman" w:cs="Times New Roman"/>
          <w:spacing w:val="-3"/>
        </w:rPr>
        <w:t xml:space="preserve">:  Approximately </w:t>
      </w:r>
      <w:r w:rsidRPr="00832810" w:rsidR="00827601">
        <w:rPr>
          <w:rFonts w:ascii="Times New Roman" w:hAnsi="Times New Roman" w:eastAsia="Times New Roman" w:cs="Times New Roman"/>
          <w:spacing w:val="-3"/>
        </w:rPr>
        <w:t>20</w:t>
      </w:r>
      <w:r w:rsidRPr="00832810">
        <w:rPr>
          <w:rFonts w:ascii="Times New Roman" w:hAnsi="Times New Roman" w:eastAsia="Times New Roman" w:cs="Times New Roman"/>
          <w:spacing w:val="-3"/>
        </w:rPr>
        <w:t>.</w:t>
      </w:r>
    </w:p>
    <w:p w:rsidRPr="00832810" w:rsidR="00E10661" w:rsidP="00213B73" w:rsidRDefault="00E10661" w14:paraId="213E4298" w14:textId="08380E73">
      <w:pPr>
        <w:tabs>
          <w:tab w:val="left" w:pos="-720"/>
        </w:tabs>
        <w:suppressAutoHyphens/>
        <w:spacing w:after="120" w:line="240" w:lineRule="auto"/>
        <w:ind w:left="720"/>
        <w:rPr>
          <w:rFonts w:ascii="Times New Roman" w:hAnsi="Times New Roman" w:eastAsia="Times New Roman" w:cs="Times New Roman"/>
          <w:spacing w:val="-3"/>
        </w:rPr>
      </w:pPr>
      <w:r w:rsidRPr="00832810">
        <w:rPr>
          <w:rFonts w:ascii="Times New Roman" w:hAnsi="Times New Roman" w:eastAsia="Times New Roman" w:cs="Times New Roman"/>
          <w:spacing w:val="-3"/>
        </w:rPr>
        <w:t xml:space="preserve">(4)  </w:t>
      </w:r>
      <w:r w:rsidRPr="00832810">
        <w:rPr>
          <w:rFonts w:ascii="Times New Roman" w:hAnsi="Times New Roman" w:eastAsia="Times New Roman" w:cs="Times New Roman"/>
          <w:spacing w:val="-3"/>
          <w:u w:val="single"/>
        </w:rPr>
        <w:t xml:space="preserve">Estimated Time </w:t>
      </w:r>
      <w:r w:rsidRPr="00832810" w:rsidR="003C282D">
        <w:rPr>
          <w:rFonts w:ascii="Times New Roman" w:hAnsi="Times New Roman" w:eastAsia="Times New Roman" w:cs="Times New Roman"/>
          <w:spacing w:val="-3"/>
          <w:u w:val="single"/>
        </w:rPr>
        <w:t>per</w:t>
      </w:r>
      <w:r w:rsidRPr="00832810">
        <w:rPr>
          <w:rFonts w:ascii="Times New Roman" w:hAnsi="Times New Roman" w:eastAsia="Times New Roman" w:cs="Times New Roman"/>
          <w:spacing w:val="-3"/>
          <w:u w:val="single"/>
        </w:rPr>
        <w:t xml:space="preserve"> Response</w:t>
      </w:r>
      <w:r w:rsidRPr="00832810">
        <w:rPr>
          <w:rFonts w:ascii="Times New Roman" w:hAnsi="Times New Roman" w:eastAsia="Times New Roman" w:cs="Times New Roman"/>
          <w:spacing w:val="-3"/>
        </w:rPr>
        <w:t xml:space="preserve">:  </w:t>
      </w:r>
      <w:r w:rsidR="00923130">
        <w:rPr>
          <w:rFonts w:ascii="Times New Roman" w:hAnsi="Times New Roman" w:eastAsia="Times New Roman" w:cs="Times New Roman"/>
          <w:spacing w:val="-3"/>
        </w:rPr>
        <w:t>Approximately</w:t>
      </w:r>
      <w:r w:rsidR="009F52F9">
        <w:rPr>
          <w:rFonts w:ascii="Times New Roman" w:hAnsi="Times New Roman" w:eastAsia="Times New Roman" w:cs="Times New Roman"/>
          <w:spacing w:val="-3"/>
        </w:rPr>
        <w:t xml:space="preserve"> </w:t>
      </w:r>
      <w:r w:rsidR="0034304F">
        <w:rPr>
          <w:rFonts w:ascii="Times New Roman" w:hAnsi="Times New Roman" w:eastAsia="Times New Roman" w:cs="Times New Roman"/>
          <w:spacing w:val="-3"/>
        </w:rPr>
        <w:t xml:space="preserve">350 </w:t>
      </w:r>
      <w:r w:rsidRPr="00832810">
        <w:rPr>
          <w:rFonts w:ascii="Times New Roman" w:hAnsi="Times New Roman" w:eastAsia="Times New Roman" w:cs="Times New Roman"/>
          <w:spacing w:val="-3"/>
        </w:rPr>
        <w:t>hours.</w:t>
      </w:r>
      <w:r w:rsidRPr="00832810" w:rsidR="00827601">
        <w:rPr>
          <w:rFonts w:ascii="Times New Roman" w:hAnsi="Times New Roman" w:eastAsia="Times New Roman" w:cs="Times New Roman"/>
          <w:spacing w:val="-3"/>
        </w:rPr>
        <w:t xml:space="preserve">  </w:t>
      </w:r>
    </w:p>
    <w:p w:rsidRPr="00832810" w:rsidR="00E10661" w:rsidP="00213B73" w:rsidRDefault="00E10661" w14:paraId="0E6B8CAB" w14:textId="5C2761F1">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r>
      <w:r w:rsidRPr="00832810">
        <w:rPr>
          <w:rFonts w:ascii="Times New Roman" w:hAnsi="Times New Roman" w:eastAsia="Times New Roman" w:cs="Times New Roman"/>
          <w:spacing w:val="-3"/>
        </w:rPr>
        <w:tab/>
      </w:r>
      <w:r w:rsidRPr="00832810" w:rsidR="00827601">
        <w:rPr>
          <w:rFonts w:ascii="Times New Roman" w:hAnsi="Times New Roman" w:eastAsia="Times New Roman" w:cs="Times New Roman"/>
          <w:spacing w:val="-3"/>
        </w:rPr>
        <w:t>20</w:t>
      </w:r>
      <w:r w:rsidRPr="00832810">
        <w:rPr>
          <w:rFonts w:ascii="Times New Roman" w:hAnsi="Times New Roman" w:eastAsia="Times New Roman" w:cs="Times New Roman"/>
          <w:spacing w:val="-3"/>
        </w:rPr>
        <w:t xml:space="preserve"> respondents x </w:t>
      </w:r>
      <w:r w:rsidR="0034304F">
        <w:rPr>
          <w:rFonts w:ascii="Times New Roman" w:hAnsi="Times New Roman" w:eastAsia="Times New Roman" w:cs="Times New Roman"/>
          <w:spacing w:val="-3"/>
        </w:rPr>
        <w:t xml:space="preserve">350 </w:t>
      </w:r>
      <w:r w:rsidRPr="00832810">
        <w:rPr>
          <w:rFonts w:ascii="Times New Roman" w:hAnsi="Times New Roman" w:eastAsia="Times New Roman" w:cs="Times New Roman"/>
          <w:spacing w:val="-3"/>
        </w:rPr>
        <w:t>hours per response x 1 response per respondent =</w:t>
      </w:r>
      <w:r w:rsidR="00923130">
        <w:rPr>
          <w:rFonts w:ascii="Times New Roman" w:hAnsi="Times New Roman" w:eastAsia="Times New Roman" w:cs="Times New Roman"/>
          <w:spacing w:val="-3"/>
        </w:rPr>
        <w:t xml:space="preserve"> </w:t>
      </w:r>
      <w:r w:rsidR="009F6370">
        <w:rPr>
          <w:rFonts w:ascii="Times New Roman" w:hAnsi="Times New Roman" w:eastAsia="Times New Roman" w:cs="Times New Roman"/>
          <w:spacing w:val="-3"/>
        </w:rPr>
        <w:t>7</w:t>
      </w:r>
      <w:r w:rsidR="009F52F9">
        <w:rPr>
          <w:rFonts w:ascii="Times New Roman" w:hAnsi="Times New Roman" w:eastAsia="Times New Roman" w:cs="Times New Roman"/>
          <w:spacing w:val="-3"/>
        </w:rPr>
        <w:t>,</w:t>
      </w:r>
      <w:r w:rsidR="009F6370">
        <w:rPr>
          <w:rFonts w:ascii="Times New Roman" w:hAnsi="Times New Roman" w:eastAsia="Times New Roman" w:cs="Times New Roman"/>
          <w:spacing w:val="-3"/>
        </w:rPr>
        <w:t>000</w:t>
      </w:r>
      <w:r w:rsidRPr="00832810" w:rsidR="009F6370">
        <w:rPr>
          <w:rFonts w:ascii="Times New Roman" w:hAnsi="Times New Roman" w:eastAsia="Times New Roman" w:cs="Times New Roman"/>
          <w:spacing w:val="-3"/>
        </w:rPr>
        <w:t xml:space="preserve"> </w:t>
      </w:r>
      <w:r w:rsidRPr="00832810">
        <w:rPr>
          <w:rFonts w:ascii="Times New Roman" w:hAnsi="Times New Roman" w:eastAsia="Times New Roman" w:cs="Times New Roman"/>
          <w:spacing w:val="-3"/>
        </w:rPr>
        <w:t>hours.</w:t>
      </w:r>
    </w:p>
    <w:p w:rsidRPr="00832810" w:rsidR="00E10661" w:rsidP="00213B73" w:rsidRDefault="00E10661" w14:paraId="578A7718" w14:textId="11D79B4C">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(5)  </w:t>
      </w:r>
      <w:r w:rsidRPr="00832810">
        <w:rPr>
          <w:rFonts w:ascii="Times New Roman" w:hAnsi="Times New Roman" w:eastAsia="Times New Roman" w:cs="Times New Roman"/>
          <w:spacing w:val="-3"/>
          <w:u w:val="single"/>
        </w:rPr>
        <w:t>Total burden</w:t>
      </w:r>
      <w:r w:rsidRPr="00832810">
        <w:rPr>
          <w:rFonts w:ascii="Times New Roman" w:hAnsi="Times New Roman" w:eastAsia="Times New Roman" w:cs="Times New Roman"/>
          <w:spacing w:val="-3"/>
        </w:rPr>
        <w:t xml:space="preserve">:  </w:t>
      </w:r>
      <w:r w:rsidR="006805FC">
        <w:rPr>
          <w:rFonts w:ascii="Times New Roman" w:hAnsi="Times New Roman" w:eastAsia="Times New Roman" w:cs="Times New Roman"/>
          <w:b/>
          <w:bCs/>
          <w:spacing w:val="-3"/>
        </w:rPr>
        <w:t>7</w:t>
      </w:r>
      <w:r w:rsidRPr="00250FE8" w:rsidR="009F52F9">
        <w:rPr>
          <w:rFonts w:ascii="Times New Roman" w:hAnsi="Times New Roman" w:eastAsia="Times New Roman" w:cs="Times New Roman"/>
          <w:b/>
          <w:bCs/>
          <w:spacing w:val="-3"/>
        </w:rPr>
        <w:t>,</w:t>
      </w:r>
      <w:r w:rsidR="006805FC">
        <w:rPr>
          <w:rFonts w:ascii="Times New Roman" w:hAnsi="Times New Roman" w:eastAsia="Times New Roman" w:cs="Times New Roman"/>
          <w:b/>
          <w:bCs/>
          <w:spacing w:val="-3"/>
        </w:rPr>
        <w:t>0</w:t>
      </w:r>
      <w:r w:rsidRPr="00250FE8" w:rsidR="009F52F9">
        <w:rPr>
          <w:rFonts w:ascii="Times New Roman" w:hAnsi="Times New Roman" w:eastAsia="Times New Roman" w:cs="Times New Roman"/>
          <w:b/>
          <w:bCs/>
          <w:spacing w:val="-3"/>
        </w:rPr>
        <w:t>00</w:t>
      </w:r>
      <w:r w:rsidRPr="00832810" w:rsidR="00827601">
        <w:rPr>
          <w:rFonts w:ascii="Times New Roman" w:hAnsi="Times New Roman" w:eastAsia="Times New Roman" w:cs="Times New Roman"/>
          <w:b/>
          <w:bCs/>
          <w:spacing w:val="-3"/>
        </w:rPr>
        <w:t xml:space="preserve"> </w:t>
      </w:r>
      <w:r w:rsidRPr="00832810">
        <w:rPr>
          <w:rFonts w:ascii="Times New Roman" w:hAnsi="Times New Roman" w:eastAsia="Times New Roman" w:cs="Times New Roman"/>
          <w:b/>
          <w:spacing w:val="-3"/>
        </w:rPr>
        <w:t>hours</w:t>
      </w:r>
      <w:r w:rsidR="005448FE">
        <w:rPr>
          <w:rFonts w:ascii="Times New Roman" w:hAnsi="Times New Roman" w:eastAsia="Times New Roman" w:cs="Times New Roman"/>
          <w:b/>
          <w:spacing w:val="-3"/>
        </w:rPr>
        <w:t>.</w:t>
      </w:r>
    </w:p>
    <w:p w:rsidRPr="00832810" w:rsidR="00E10661" w:rsidP="00213B73" w:rsidRDefault="00E10661" w14:paraId="22127C2C" w14:textId="061E52A6">
      <w:pPr>
        <w:tabs>
          <w:tab w:val="left" w:pos="-720"/>
        </w:tabs>
        <w:suppressAutoHyphens/>
        <w:spacing w:after="120" w:line="240" w:lineRule="auto"/>
        <w:ind w:left="1440"/>
        <w:rPr>
          <w:rFonts w:ascii="Times New Roman" w:hAnsi="Times New Roman" w:eastAsia="Times New Roman" w:cs="Times New Roman"/>
          <w:spacing w:val="-3"/>
        </w:rPr>
      </w:pPr>
      <w:r w:rsidRPr="00832810">
        <w:rPr>
          <w:rFonts w:ascii="Times New Roman" w:hAnsi="Times New Roman" w:eastAsia="Times New Roman" w:cs="Times New Roman"/>
          <w:spacing w:val="-3"/>
        </w:rPr>
        <w:t xml:space="preserve">The Commission estimates that approximately </w:t>
      </w:r>
      <w:r w:rsidRPr="00832810" w:rsidR="00827601">
        <w:rPr>
          <w:rFonts w:ascii="Times New Roman" w:hAnsi="Times New Roman" w:eastAsia="Times New Roman" w:cs="Times New Roman"/>
          <w:spacing w:val="-3"/>
        </w:rPr>
        <w:t>20</w:t>
      </w:r>
      <w:r w:rsidRPr="00832810">
        <w:rPr>
          <w:rFonts w:ascii="Times New Roman" w:hAnsi="Times New Roman" w:eastAsia="Times New Roman" w:cs="Times New Roman"/>
          <w:spacing w:val="-3"/>
        </w:rPr>
        <w:t xml:space="preserve"> ICS providers will require </w:t>
      </w:r>
      <w:r w:rsidR="0071736E">
        <w:rPr>
          <w:rFonts w:ascii="Times New Roman" w:hAnsi="Times New Roman" w:eastAsia="Times New Roman" w:cs="Times New Roman"/>
          <w:spacing w:val="-3"/>
        </w:rPr>
        <w:t xml:space="preserve">approximately </w:t>
      </w:r>
      <w:r w:rsidR="006A5ABF">
        <w:rPr>
          <w:rFonts w:ascii="Times New Roman" w:hAnsi="Times New Roman" w:eastAsia="Times New Roman" w:cs="Times New Roman"/>
          <w:spacing w:val="-3"/>
        </w:rPr>
        <w:t>350</w:t>
      </w:r>
      <w:r w:rsidRPr="00832810" w:rsidR="006A5ABF">
        <w:rPr>
          <w:rFonts w:ascii="Times New Roman" w:hAnsi="Times New Roman" w:eastAsia="Times New Roman" w:cs="Times New Roman"/>
          <w:spacing w:val="-3"/>
        </w:rPr>
        <w:t xml:space="preserve"> </w:t>
      </w:r>
      <w:r w:rsidRPr="00832810" w:rsidR="00554FC0">
        <w:rPr>
          <w:rFonts w:ascii="Times New Roman" w:hAnsi="Times New Roman" w:eastAsia="Times New Roman" w:cs="Times New Roman"/>
          <w:spacing w:val="-3"/>
        </w:rPr>
        <w:t>hours o</w:t>
      </w:r>
      <w:r w:rsidRPr="00832810">
        <w:rPr>
          <w:rFonts w:ascii="Times New Roman" w:hAnsi="Times New Roman" w:eastAsia="Times New Roman" w:cs="Times New Roman"/>
          <w:spacing w:val="-3"/>
        </w:rPr>
        <w:t xml:space="preserve">f reporting </w:t>
      </w:r>
      <w:r w:rsidRPr="00A36915">
        <w:rPr>
          <w:rFonts w:ascii="Times New Roman" w:hAnsi="Times New Roman" w:eastAsia="Times New Roman" w:cs="Times New Roman"/>
          <w:spacing w:val="-3"/>
        </w:rPr>
        <w:t>time</w:t>
      </w:r>
      <w:r w:rsidRPr="00A36915" w:rsidR="001D05DC">
        <w:rPr>
          <w:rFonts w:ascii="Times New Roman" w:hAnsi="Times New Roman" w:eastAsia="Times New Roman" w:cs="Times New Roman"/>
          <w:spacing w:val="-3"/>
        </w:rPr>
        <w:t xml:space="preserve"> </w:t>
      </w:r>
      <w:r w:rsidR="00B71E51">
        <w:rPr>
          <w:rFonts w:ascii="Times New Roman" w:hAnsi="Times New Roman" w:eastAsia="Times New Roman" w:cs="Times New Roman"/>
          <w:spacing w:val="-3"/>
        </w:rPr>
        <w:t>to</w:t>
      </w:r>
      <w:r w:rsidRPr="00A36915" w:rsidR="001D05DC">
        <w:rPr>
          <w:rFonts w:ascii="Times New Roman" w:hAnsi="Times New Roman" w:eastAsia="Times New Roman" w:cs="Times New Roman"/>
          <w:spacing w:val="-3"/>
        </w:rPr>
        <w:t xml:space="preserve"> </w:t>
      </w:r>
      <w:r w:rsidR="00DD6AE5">
        <w:rPr>
          <w:rFonts w:ascii="Times New Roman" w:hAnsi="Times New Roman" w:eastAsia="Times New Roman" w:cs="Times New Roman"/>
          <w:spacing w:val="-3"/>
        </w:rPr>
        <w:t>read the instructions, look through existing records, gather and maintain the required data</w:t>
      </w:r>
      <w:r w:rsidR="006207F9">
        <w:rPr>
          <w:rFonts w:ascii="Times New Roman" w:hAnsi="Times New Roman" w:eastAsia="Times New Roman" w:cs="Times New Roman"/>
          <w:spacing w:val="-3"/>
        </w:rPr>
        <w:t xml:space="preserve">, and complete and review the form.  It also includes the time it will take </w:t>
      </w:r>
      <w:r w:rsidR="00AE3323">
        <w:rPr>
          <w:rFonts w:ascii="Times New Roman" w:hAnsi="Times New Roman" w:eastAsia="Times New Roman" w:cs="Times New Roman"/>
          <w:spacing w:val="-3"/>
        </w:rPr>
        <w:t xml:space="preserve">each provider to:  (a) submit audited financial statements or </w:t>
      </w:r>
      <w:r w:rsidR="00F25657">
        <w:rPr>
          <w:rFonts w:ascii="Times New Roman" w:hAnsi="Times New Roman" w:eastAsia="Times New Roman" w:cs="Times New Roman"/>
          <w:spacing w:val="-3"/>
        </w:rPr>
        <w:t>reports,</w:t>
      </w:r>
      <w:r w:rsidR="00F75ABE">
        <w:rPr>
          <w:rFonts w:ascii="Times New Roman" w:hAnsi="Times New Roman" w:eastAsia="Times New Roman" w:cs="Times New Roman"/>
          <w:spacing w:val="-3"/>
        </w:rPr>
        <w:t xml:space="preserve"> or similar documentation</w:t>
      </w:r>
      <w:r w:rsidR="00365093">
        <w:rPr>
          <w:rFonts w:ascii="Times New Roman" w:hAnsi="Times New Roman" w:eastAsia="Times New Roman" w:cs="Times New Roman"/>
          <w:spacing w:val="-3"/>
        </w:rPr>
        <w:t>, for 2019, 2020, and 2021, to the extent they have been</w:t>
      </w:r>
      <w:r w:rsidR="007935AA">
        <w:rPr>
          <w:rFonts w:ascii="Times New Roman" w:hAnsi="Times New Roman" w:eastAsia="Times New Roman" w:cs="Times New Roman"/>
          <w:spacing w:val="-3"/>
        </w:rPr>
        <w:t xml:space="preserve"> produced in the ordinary course of business; (b) respond to any Commission requirement that the provider</w:t>
      </w:r>
      <w:r w:rsidR="00EB0239">
        <w:rPr>
          <w:rFonts w:ascii="Times New Roman" w:hAnsi="Times New Roman" w:eastAsia="Times New Roman" w:cs="Times New Roman"/>
          <w:spacing w:val="-3"/>
        </w:rPr>
        <w:t xml:space="preserve"> </w:t>
      </w:r>
      <w:r w:rsidR="00424C0F">
        <w:rPr>
          <w:rFonts w:ascii="Times New Roman" w:hAnsi="Times New Roman" w:eastAsia="Times New Roman" w:cs="Times New Roman"/>
          <w:spacing w:val="-3"/>
        </w:rPr>
        <w:t xml:space="preserve">clarify </w:t>
      </w:r>
      <w:r w:rsidR="00607FB1">
        <w:rPr>
          <w:rFonts w:ascii="Times New Roman" w:hAnsi="Times New Roman" w:eastAsia="Times New Roman" w:cs="Times New Roman"/>
          <w:spacing w:val="-3"/>
        </w:rPr>
        <w:t xml:space="preserve">or supplement its response to the data collection; and (c) keep all records necessary to </w:t>
      </w:r>
      <w:r w:rsidR="00FD005F">
        <w:rPr>
          <w:rFonts w:ascii="Times New Roman" w:hAnsi="Times New Roman" w:eastAsia="Times New Roman" w:cs="Times New Roman"/>
          <w:spacing w:val="-3"/>
        </w:rPr>
        <w:t xml:space="preserve">implement this collection and make such records available to the Commission upon request.  </w:t>
      </w:r>
    </w:p>
    <w:p w:rsidRPr="00832810" w:rsidR="00E10661" w:rsidP="00213B73" w:rsidRDefault="00E10661" w14:paraId="3A6303BE" w14:textId="1CFBD794">
      <w:pPr>
        <w:tabs>
          <w:tab w:val="left" w:pos="-720"/>
        </w:tabs>
        <w:suppressAutoHyphens/>
        <w:spacing w:after="120" w:line="240" w:lineRule="auto"/>
        <w:ind w:left="1440"/>
        <w:rPr>
          <w:rFonts w:ascii="Times New Roman" w:hAnsi="Times New Roman" w:eastAsia="Times New Roman" w:cs="Times New Roman"/>
          <w:spacing w:val="-3"/>
        </w:rPr>
      </w:pPr>
      <w:r w:rsidRPr="00832810">
        <w:rPr>
          <w:rFonts w:ascii="Times New Roman" w:hAnsi="Times New Roman" w:eastAsia="Times New Roman" w:cs="Times New Roman"/>
          <w:spacing w:val="-3"/>
        </w:rPr>
        <w:t xml:space="preserve">Approximately </w:t>
      </w:r>
      <w:r w:rsidRPr="00832810" w:rsidR="00827601">
        <w:rPr>
          <w:rFonts w:ascii="Times New Roman" w:hAnsi="Times New Roman" w:eastAsia="Times New Roman" w:cs="Times New Roman"/>
          <w:spacing w:val="-3"/>
        </w:rPr>
        <w:t>20</w:t>
      </w:r>
      <w:r w:rsidRPr="00832810">
        <w:rPr>
          <w:rFonts w:ascii="Times New Roman" w:hAnsi="Times New Roman" w:eastAsia="Times New Roman" w:cs="Times New Roman"/>
          <w:spacing w:val="-3"/>
        </w:rPr>
        <w:t xml:space="preserve"> respondents x 1 response x </w:t>
      </w:r>
      <w:r w:rsidR="0029577C">
        <w:rPr>
          <w:rFonts w:ascii="Times New Roman" w:hAnsi="Times New Roman" w:eastAsia="Times New Roman" w:cs="Times New Roman"/>
          <w:spacing w:val="-3"/>
        </w:rPr>
        <w:t>350</w:t>
      </w:r>
      <w:r w:rsidRPr="00832810" w:rsidR="00554FC0">
        <w:rPr>
          <w:rFonts w:ascii="Times New Roman" w:hAnsi="Times New Roman" w:eastAsia="Times New Roman" w:cs="Times New Roman"/>
          <w:spacing w:val="-3"/>
        </w:rPr>
        <w:t xml:space="preserve"> </w:t>
      </w:r>
      <w:r w:rsidRPr="00832810">
        <w:rPr>
          <w:rFonts w:ascii="Times New Roman" w:hAnsi="Times New Roman" w:eastAsia="Times New Roman" w:cs="Times New Roman"/>
          <w:spacing w:val="-3"/>
        </w:rPr>
        <w:t xml:space="preserve">hours per response = </w:t>
      </w:r>
      <w:r w:rsidR="00CE3A34">
        <w:rPr>
          <w:rFonts w:ascii="Times New Roman" w:hAnsi="Times New Roman" w:eastAsia="Times New Roman" w:cs="Times New Roman"/>
          <w:spacing w:val="-3"/>
        </w:rPr>
        <w:t>7</w:t>
      </w:r>
      <w:r w:rsidR="009F52F9">
        <w:rPr>
          <w:rFonts w:ascii="Times New Roman" w:hAnsi="Times New Roman" w:eastAsia="Times New Roman" w:cs="Times New Roman"/>
          <w:spacing w:val="-3"/>
        </w:rPr>
        <w:t>,</w:t>
      </w:r>
      <w:r w:rsidR="00CE3A34">
        <w:rPr>
          <w:rFonts w:ascii="Times New Roman" w:hAnsi="Times New Roman" w:eastAsia="Times New Roman" w:cs="Times New Roman"/>
          <w:spacing w:val="-3"/>
        </w:rPr>
        <w:t>0</w:t>
      </w:r>
      <w:r w:rsidR="009F52F9">
        <w:rPr>
          <w:rFonts w:ascii="Times New Roman" w:hAnsi="Times New Roman" w:eastAsia="Times New Roman" w:cs="Times New Roman"/>
          <w:spacing w:val="-3"/>
        </w:rPr>
        <w:t>00</w:t>
      </w:r>
      <w:r w:rsidRPr="00832810">
        <w:rPr>
          <w:rFonts w:ascii="Times New Roman" w:hAnsi="Times New Roman" w:eastAsia="Times New Roman" w:cs="Times New Roman"/>
          <w:spacing w:val="-3"/>
        </w:rPr>
        <w:t xml:space="preserve"> hours.</w:t>
      </w:r>
    </w:p>
    <w:p w:rsidRPr="00832810" w:rsidR="00E10661" w:rsidP="00213B73" w:rsidRDefault="00E10661" w14:paraId="4A98C637" w14:textId="1E3552FE">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(6)  </w:t>
      </w:r>
      <w:r w:rsidRPr="00832810">
        <w:rPr>
          <w:rFonts w:ascii="Times New Roman" w:hAnsi="Times New Roman" w:eastAsia="Times New Roman" w:cs="Times New Roman"/>
          <w:spacing w:val="-3"/>
          <w:u w:val="single"/>
        </w:rPr>
        <w:t>Total estimate of “in house” cost to respondents:</w:t>
      </w:r>
      <w:r w:rsidRPr="00832810">
        <w:rPr>
          <w:rFonts w:ascii="Times New Roman" w:hAnsi="Times New Roman" w:eastAsia="Times New Roman" w:cs="Times New Roman"/>
          <w:spacing w:val="-3"/>
        </w:rPr>
        <w:t xml:space="preserve">  </w:t>
      </w:r>
      <w:r w:rsidRPr="00832810">
        <w:rPr>
          <w:rFonts w:ascii="Times New Roman" w:hAnsi="Times New Roman" w:eastAsia="Times New Roman" w:cs="Times New Roman"/>
          <w:b/>
        </w:rPr>
        <w:t>$</w:t>
      </w:r>
      <w:r w:rsidR="0056521A">
        <w:rPr>
          <w:rFonts w:ascii="Times New Roman" w:hAnsi="Times New Roman" w:eastAsia="Times New Roman" w:cs="Times New Roman"/>
          <w:b/>
        </w:rPr>
        <w:t>406</w:t>
      </w:r>
      <w:r w:rsidR="003C155E">
        <w:rPr>
          <w:rFonts w:ascii="Times New Roman" w:hAnsi="Times New Roman" w:eastAsia="Times New Roman" w:cs="Times New Roman"/>
          <w:b/>
        </w:rPr>
        <w:t>,</w:t>
      </w:r>
      <w:r w:rsidR="0056521A">
        <w:rPr>
          <w:rFonts w:ascii="Times New Roman" w:hAnsi="Times New Roman" w:eastAsia="Times New Roman" w:cs="Times New Roman"/>
          <w:b/>
        </w:rPr>
        <w:t>070</w:t>
      </w:r>
      <w:r w:rsidR="00A224EA">
        <w:rPr>
          <w:rFonts w:ascii="Times New Roman" w:hAnsi="Times New Roman" w:eastAsia="Times New Roman" w:cs="Times New Roman"/>
          <w:b/>
        </w:rPr>
        <w:t>.</w:t>
      </w:r>
    </w:p>
    <w:p w:rsidRPr="00832810" w:rsidR="00E10661" w:rsidP="00213B73" w:rsidRDefault="00E10661" w14:paraId="27E5AC09" w14:textId="77777777">
      <w:pPr>
        <w:tabs>
          <w:tab w:val="left" w:pos="-720"/>
        </w:tabs>
        <w:suppressAutoHyphen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(7)  </w:t>
      </w:r>
      <w:r w:rsidRPr="00832810">
        <w:rPr>
          <w:rFonts w:ascii="Times New Roman" w:hAnsi="Times New Roman" w:eastAsia="Times New Roman" w:cs="Times New Roman"/>
          <w:u w:val="single"/>
        </w:rPr>
        <w:t>Explanation of the calculation</w:t>
      </w:r>
      <w:r w:rsidRPr="00832810">
        <w:rPr>
          <w:rFonts w:ascii="Times New Roman" w:hAnsi="Times New Roman" w:eastAsia="Times New Roman" w:cs="Times New Roman"/>
        </w:rPr>
        <w:t xml:space="preserve">:  </w:t>
      </w:r>
    </w:p>
    <w:p w:rsidRPr="00832810" w:rsidR="00E10661" w:rsidP="00213B73" w:rsidRDefault="00E10661" w14:paraId="3D530DF0" w14:textId="09F69B8D">
      <w:pPr>
        <w:tabs>
          <w:tab w:val="left" w:pos="-720"/>
        </w:tabs>
        <w:suppressAutoHyphens/>
        <w:spacing w:after="120" w:line="240" w:lineRule="auto"/>
        <w:ind w:left="1440"/>
        <w:rPr>
          <w:rFonts w:ascii="Times New Roman" w:hAnsi="Times New Roman" w:eastAsia="Times New Roman" w:cs="Times New Roman"/>
        </w:rPr>
      </w:pPr>
      <w:r w:rsidRPr="00832810">
        <w:rPr>
          <w:rFonts w:ascii="Times New Roman" w:hAnsi="Times New Roman" w:eastAsia="Times New Roman" w:cs="Times New Roman"/>
        </w:rPr>
        <w:t xml:space="preserve">The Commission estimates that approximately </w:t>
      </w:r>
      <w:r w:rsidRPr="00832810" w:rsidR="000E661E">
        <w:rPr>
          <w:rFonts w:ascii="Times New Roman" w:hAnsi="Times New Roman" w:eastAsia="Times New Roman" w:cs="Times New Roman"/>
        </w:rPr>
        <w:t>20</w:t>
      </w:r>
      <w:r w:rsidRPr="00832810">
        <w:rPr>
          <w:rFonts w:ascii="Times New Roman" w:hAnsi="Times New Roman" w:eastAsia="Times New Roman" w:cs="Times New Roman"/>
        </w:rPr>
        <w:t xml:space="preserve"> </w:t>
      </w:r>
      <w:r w:rsidR="00A224EA">
        <w:rPr>
          <w:rFonts w:ascii="Times New Roman" w:hAnsi="Times New Roman" w:eastAsia="Times New Roman" w:cs="Times New Roman"/>
        </w:rPr>
        <w:t>ICS providers</w:t>
      </w:r>
      <w:r w:rsidRPr="00832810">
        <w:rPr>
          <w:rFonts w:ascii="Times New Roman" w:hAnsi="Times New Roman" w:eastAsia="Times New Roman" w:cs="Times New Roman"/>
        </w:rPr>
        <w:t xml:space="preserve"> will be subject to this one-time reporting requirement.</w:t>
      </w:r>
    </w:p>
    <w:p w:rsidR="008538D9" w:rsidP="00213B73" w:rsidRDefault="00E10661" w14:paraId="7946255D" w14:textId="588D8295">
      <w:pPr>
        <w:tabs>
          <w:tab w:val="left" w:pos="-720"/>
        </w:tabs>
        <w:suppressAutoHyphens/>
        <w:spacing w:after="120" w:line="240" w:lineRule="auto"/>
        <w:ind w:left="1440"/>
      </w:pPr>
      <w:r w:rsidRPr="00832810">
        <w:rPr>
          <w:rFonts w:ascii="Times New Roman" w:hAnsi="Times New Roman" w:eastAsia="Times New Roman" w:cs="Times New Roman"/>
        </w:rPr>
        <w:lastRenderedPageBreak/>
        <w:t xml:space="preserve">We assume that respondents will </w:t>
      </w:r>
      <w:r w:rsidRPr="00832810" w:rsidR="008538D9">
        <w:rPr>
          <w:rFonts w:ascii="Times New Roman" w:hAnsi="Times New Roman" w:eastAsia="Times New Roman" w:cs="Times New Roman"/>
        </w:rPr>
        <w:t xml:space="preserve">use </w:t>
      </w:r>
      <w:r w:rsidR="00902200">
        <w:rPr>
          <w:rFonts w:ascii="Times New Roman" w:hAnsi="Times New Roman" w:eastAsia="Times New Roman" w:cs="Times New Roman"/>
        </w:rPr>
        <w:t xml:space="preserve">personnel comparable in pay to GS 13/Step 5 earning </w:t>
      </w:r>
      <w:r w:rsidR="00FB48A7">
        <w:rPr>
          <w:rFonts w:ascii="Times New Roman" w:hAnsi="Times New Roman" w:eastAsia="Times New Roman" w:cs="Times New Roman"/>
        </w:rPr>
        <w:t>$</w:t>
      </w:r>
      <w:r w:rsidR="003C155E">
        <w:rPr>
          <w:rFonts w:ascii="Times New Roman" w:hAnsi="Times New Roman" w:eastAsia="Times New Roman" w:cs="Times New Roman"/>
        </w:rPr>
        <w:t>58.01</w:t>
      </w:r>
      <w:r w:rsidR="00902200">
        <w:rPr>
          <w:rFonts w:ascii="Times New Roman" w:hAnsi="Times New Roman" w:eastAsia="Times New Roman" w:cs="Times New Roman"/>
        </w:rPr>
        <w:t xml:space="preserve"> per hour.</w:t>
      </w:r>
      <w:r w:rsidRPr="000E5AEF" w:rsidR="000E5AEF">
        <w:t xml:space="preserve"> </w:t>
      </w:r>
    </w:p>
    <w:p w:rsidRPr="009F52F9" w:rsidR="009F52F9" w:rsidP="00213B73" w:rsidRDefault="009F52F9" w14:paraId="5DB3D214" w14:textId="36AC946E">
      <w:pPr>
        <w:tabs>
          <w:tab w:val="left" w:pos="-720"/>
        </w:tabs>
        <w:suppressAutoHyphens/>
        <w:spacing w:after="120" w:line="240" w:lineRule="auto"/>
        <w:ind w:left="1440"/>
        <w:rPr>
          <w:rFonts w:ascii="Times New Roman" w:hAnsi="Times New Roman" w:cs="Times New Roman"/>
        </w:rPr>
      </w:pPr>
      <w:r>
        <w:rPr>
          <w:rFonts w:ascii="Times New Roman" w:hAnsi="Times New Roman" w:cs="Times New Roman"/>
        </w:rPr>
        <w:t xml:space="preserve">Thus, </w:t>
      </w:r>
      <w:r w:rsidR="00E47FDA">
        <w:rPr>
          <w:rFonts w:ascii="Times New Roman" w:hAnsi="Times New Roman" w:cs="Times New Roman"/>
        </w:rPr>
        <w:t>7</w:t>
      </w:r>
      <w:r>
        <w:rPr>
          <w:rFonts w:ascii="Times New Roman" w:hAnsi="Times New Roman" w:cs="Times New Roman"/>
        </w:rPr>
        <w:t>,</w:t>
      </w:r>
      <w:r w:rsidR="00E47FDA">
        <w:rPr>
          <w:rFonts w:ascii="Times New Roman" w:hAnsi="Times New Roman" w:cs="Times New Roman"/>
        </w:rPr>
        <w:t xml:space="preserve">000 </w:t>
      </w:r>
      <w:r>
        <w:rPr>
          <w:rFonts w:ascii="Times New Roman" w:hAnsi="Times New Roman" w:cs="Times New Roman"/>
        </w:rPr>
        <w:t>hours per year x $</w:t>
      </w:r>
      <w:r w:rsidR="003C155E">
        <w:rPr>
          <w:rFonts w:ascii="Times New Roman" w:hAnsi="Times New Roman" w:cs="Times New Roman"/>
        </w:rPr>
        <w:t>58.01</w:t>
      </w:r>
      <w:r>
        <w:rPr>
          <w:rFonts w:ascii="Times New Roman" w:hAnsi="Times New Roman" w:cs="Times New Roman"/>
        </w:rPr>
        <w:t xml:space="preserve"> = </w:t>
      </w:r>
      <w:bookmarkStart w:name="_Hlk82529840" w:id="5"/>
      <w:r>
        <w:rPr>
          <w:rFonts w:ascii="Times New Roman" w:hAnsi="Times New Roman" w:cs="Times New Roman"/>
        </w:rPr>
        <w:t>$</w:t>
      </w:r>
      <w:bookmarkEnd w:id="5"/>
      <w:r w:rsidR="0056521A">
        <w:rPr>
          <w:rFonts w:ascii="Times New Roman" w:hAnsi="Times New Roman" w:cs="Times New Roman"/>
        </w:rPr>
        <w:t>406</w:t>
      </w:r>
      <w:r w:rsidR="003C155E">
        <w:rPr>
          <w:rFonts w:ascii="Times New Roman" w:hAnsi="Times New Roman" w:cs="Times New Roman"/>
        </w:rPr>
        <w:t>,</w:t>
      </w:r>
      <w:r w:rsidR="0056521A">
        <w:rPr>
          <w:rFonts w:ascii="Times New Roman" w:hAnsi="Times New Roman" w:cs="Times New Roman"/>
        </w:rPr>
        <w:t>070</w:t>
      </w:r>
      <w:r>
        <w:rPr>
          <w:rFonts w:ascii="Times New Roman" w:hAnsi="Times New Roman" w:cs="Times New Roman"/>
        </w:rPr>
        <w:t>.</w:t>
      </w:r>
    </w:p>
    <w:p w:rsidRPr="004358B8" w:rsidR="001D05DC" w:rsidP="00A51E2B" w:rsidRDefault="00A51E2B" w14:paraId="48CF87F0" w14:textId="5B4A0719">
      <w:pPr>
        <w:tabs>
          <w:tab w:val="left" w:pos="720"/>
        </w:tabs>
        <w:spacing w:after="120" w:line="240" w:lineRule="auto"/>
        <w:rPr>
          <w:rFonts w:ascii="Times New Roman" w:hAnsi="Times New Roman" w:eastAsia="Times New Roman" w:cs="Times New Roman"/>
          <w:spacing w:val="-3"/>
        </w:rPr>
      </w:pPr>
      <w:r>
        <w:rPr>
          <w:rFonts w:ascii="Times New Roman" w:hAnsi="Times New Roman" w:eastAsia="Times New Roman" w:cs="Times New Roman"/>
          <w:b/>
          <w:spacing w:val="-3"/>
        </w:rPr>
        <w:t>b.</w:t>
      </w:r>
      <w:r>
        <w:rPr>
          <w:rFonts w:ascii="Times New Roman" w:hAnsi="Times New Roman" w:eastAsia="Times New Roman" w:cs="Times New Roman"/>
          <w:b/>
          <w:spacing w:val="-3"/>
        </w:rPr>
        <w:tab/>
      </w:r>
      <w:r w:rsidRPr="00A51E2B" w:rsidR="001D05DC">
        <w:rPr>
          <w:rFonts w:ascii="Times New Roman" w:hAnsi="Times New Roman" w:eastAsia="Times New Roman" w:cs="Times New Roman"/>
          <w:b/>
          <w:spacing w:val="-3"/>
        </w:rPr>
        <w:t>Certification Requirement</w:t>
      </w:r>
      <w:r w:rsidRPr="004358B8" w:rsidR="001D05DC">
        <w:rPr>
          <w:rFonts w:ascii="Times New Roman" w:hAnsi="Times New Roman" w:eastAsia="Times New Roman" w:cs="Times New Roman"/>
          <w:spacing w:val="-3"/>
        </w:rPr>
        <w:t>:</w:t>
      </w:r>
    </w:p>
    <w:p w:rsidRPr="00832810" w:rsidR="001D05DC" w:rsidP="00213B73" w:rsidRDefault="001D05DC" w14:paraId="5C9EF055" w14:textId="63A378CC">
      <w:pPr>
        <w:keepLines/>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(1)  </w:t>
      </w:r>
      <w:r w:rsidRPr="00832810">
        <w:rPr>
          <w:rFonts w:ascii="Times New Roman" w:hAnsi="Times New Roman" w:eastAsia="Times New Roman" w:cs="Times New Roman"/>
          <w:spacing w:val="-3"/>
          <w:u w:val="single"/>
        </w:rPr>
        <w:t>Number of respondents</w:t>
      </w:r>
      <w:r w:rsidRPr="00832810">
        <w:rPr>
          <w:rFonts w:ascii="Times New Roman" w:hAnsi="Times New Roman" w:eastAsia="Times New Roman" w:cs="Times New Roman"/>
          <w:spacing w:val="-3"/>
        </w:rPr>
        <w:t>:  Approximately 20.</w:t>
      </w:r>
    </w:p>
    <w:p w:rsidRPr="00832810" w:rsidR="001D05DC" w:rsidP="00213B73" w:rsidRDefault="001D05DC" w14:paraId="5FC391BD" w14:textId="5A107C99">
      <w:pPr>
        <w:keepLines/>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(2)  </w:t>
      </w:r>
      <w:r w:rsidRPr="00832810">
        <w:rPr>
          <w:rFonts w:ascii="Times New Roman" w:hAnsi="Times New Roman" w:eastAsia="Times New Roman" w:cs="Times New Roman"/>
          <w:spacing w:val="-3"/>
          <w:u w:val="single"/>
        </w:rPr>
        <w:t>Frequency of response</w:t>
      </w:r>
      <w:r w:rsidRPr="00832810">
        <w:rPr>
          <w:rFonts w:ascii="Times New Roman" w:hAnsi="Times New Roman" w:eastAsia="Times New Roman" w:cs="Times New Roman"/>
          <w:spacing w:val="-3"/>
        </w:rPr>
        <w:t xml:space="preserve">:  One-time reporting requirement.  </w:t>
      </w:r>
    </w:p>
    <w:p w:rsidRPr="00832810" w:rsidR="001D05DC" w:rsidP="00213B73" w:rsidRDefault="001D05DC" w14:paraId="5930BE69" w14:textId="202466ED">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(3)  </w:t>
      </w:r>
      <w:r w:rsidRPr="00832810">
        <w:rPr>
          <w:rFonts w:ascii="Times New Roman" w:hAnsi="Times New Roman" w:eastAsia="Times New Roman" w:cs="Times New Roman"/>
          <w:spacing w:val="-3"/>
          <w:u w:val="single"/>
        </w:rPr>
        <w:t>Total number of responses annually</w:t>
      </w:r>
      <w:r w:rsidRPr="00832810">
        <w:rPr>
          <w:rFonts w:ascii="Times New Roman" w:hAnsi="Times New Roman" w:eastAsia="Times New Roman" w:cs="Times New Roman"/>
          <w:spacing w:val="-3"/>
        </w:rPr>
        <w:t>:  Approximately 20.</w:t>
      </w:r>
    </w:p>
    <w:p w:rsidRPr="00832810" w:rsidR="001D05DC" w:rsidP="00213B73" w:rsidRDefault="001D05DC" w14:paraId="78BC5E86" w14:textId="6BB5AFCF">
      <w:pPr>
        <w:tabs>
          <w:tab w:val="left" w:pos="-720"/>
        </w:tabs>
        <w:suppressAutoHyphens/>
        <w:spacing w:after="120" w:line="240" w:lineRule="auto"/>
        <w:ind w:left="720"/>
        <w:rPr>
          <w:rFonts w:ascii="Times New Roman" w:hAnsi="Times New Roman" w:eastAsia="Times New Roman" w:cs="Times New Roman"/>
          <w:spacing w:val="-3"/>
        </w:rPr>
      </w:pPr>
      <w:r w:rsidRPr="00832810">
        <w:rPr>
          <w:rFonts w:ascii="Times New Roman" w:hAnsi="Times New Roman" w:eastAsia="Times New Roman" w:cs="Times New Roman"/>
          <w:spacing w:val="-3"/>
        </w:rPr>
        <w:t xml:space="preserve">(4)  </w:t>
      </w:r>
      <w:r w:rsidRPr="00832810">
        <w:rPr>
          <w:rFonts w:ascii="Times New Roman" w:hAnsi="Times New Roman" w:eastAsia="Times New Roman" w:cs="Times New Roman"/>
          <w:spacing w:val="-3"/>
          <w:u w:val="single"/>
        </w:rPr>
        <w:t>Estimated Time per Response</w:t>
      </w:r>
      <w:r w:rsidRPr="00832810">
        <w:rPr>
          <w:rFonts w:ascii="Times New Roman" w:hAnsi="Times New Roman" w:eastAsia="Times New Roman" w:cs="Times New Roman"/>
          <w:spacing w:val="-3"/>
        </w:rPr>
        <w:t xml:space="preserve">: </w:t>
      </w:r>
      <w:r w:rsidRPr="00832810" w:rsidDel="0085091B">
        <w:rPr>
          <w:rFonts w:ascii="Times New Roman" w:hAnsi="Times New Roman" w:eastAsia="Times New Roman" w:cs="Times New Roman"/>
          <w:spacing w:val="-3"/>
        </w:rPr>
        <w:t xml:space="preserve"> </w:t>
      </w:r>
      <w:r w:rsidR="00923130">
        <w:rPr>
          <w:rFonts w:ascii="Times New Roman" w:hAnsi="Times New Roman" w:eastAsia="Times New Roman" w:cs="Times New Roman"/>
          <w:spacing w:val="-3"/>
        </w:rPr>
        <w:t xml:space="preserve">Approximately </w:t>
      </w:r>
      <w:r w:rsidR="00B91848">
        <w:rPr>
          <w:rFonts w:ascii="Times New Roman" w:hAnsi="Times New Roman" w:eastAsia="Times New Roman" w:cs="Times New Roman"/>
          <w:spacing w:val="-3"/>
        </w:rPr>
        <w:t>5</w:t>
      </w:r>
      <w:r w:rsidR="00923130">
        <w:rPr>
          <w:rFonts w:ascii="Times New Roman" w:hAnsi="Times New Roman" w:eastAsia="Times New Roman" w:cs="Times New Roman"/>
          <w:spacing w:val="-3"/>
        </w:rPr>
        <w:t xml:space="preserve"> </w:t>
      </w:r>
      <w:r w:rsidRPr="00832810">
        <w:rPr>
          <w:rFonts w:ascii="Times New Roman" w:hAnsi="Times New Roman" w:eastAsia="Times New Roman" w:cs="Times New Roman"/>
          <w:spacing w:val="-3"/>
        </w:rPr>
        <w:t xml:space="preserve">hours.  </w:t>
      </w:r>
    </w:p>
    <w:p w:rsidRPr="00832810" w:rsidR="001D05DC" w:rsidP="00213B73" w:rsidRDefault="001D05DC" w14:paraId="5FF7F084" w14:textId="54E66CD9">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r>
      <w:r w:rsidRPr="00832810">
        <w:rPr>
          <w:rFonts w:ascii="Times New Roman" w:hAnsi="Times New Roman" w:eastAsia="Times New Roman" w:cs="Times New Roman"/>
          <w:spacing w:val="-3"/>
        </w:rPr>
        <w:tab/>
        <w:t xml:space="preserve">20 respondents x </w:t>
      </w:r>
      <w:r w:rsidR="00B91848">
        <w:rPr>
          <w:rFonts w:ascii="Times New Roman" w:hAnsi="Times New Roman" w:eastAsia="Times New Roman" w:cs="Times New Roman"/>
          <w:spacing w:val="-3"/>
        </w:rPr>
        <w:t>5</w:t>
      </w:r>
      <w:r w:rsidR="00356B1C">
        <w:rPr>
          <w:rFonts w:ascii="Times New Roman" w:hAnsi="Times New Roman" w:eastAsia="Times New Roman" w:cs="Times New Roman"/>
          <w:spacing w:val="-3"/>
        </w:rPr>
        <w:t xml:space="preserve"> </w:t>
      </w:r>
      <w:r w:rsidRPr="00832810">
        <w:rPr>
          <w:rFonts w:ascii="Times New Roman" w:hAnsi="Times New Roman" w:eastAsia="Times New Roman" w:cs="Times New Roman"/>
          <w:spacing w:val="-3"/>
        </w:rPr>
        <w:t xml:space="preserve">hours per response x 1 response per respondent =  </w:t>
      </w:r>
      <w:r w:rsidR="00517B9F">
        <w:rPr>
          <w:rFonts w:ascii="Times New Roman" w:hAnsi="Times New Roman" w:eastAsia="Times New Roman" w:cs="Times New Roman"/>
          <w:spacing w:val="-3"/>
        </w:rPr>
        <w:t>100</w:t>
      </w:r>
      <w:r w:rsidR="00612ADA">
        <w:rPr>
          <w:rFonts w:ascii="Times New Roman" w:hAnsi="Times New Roman" w:eastAsia="Times New Roman" w:cs="Times New Roman"/>
          <w:spacing w:val="-3"/>
        </w:rPr>
        <w:t xml:space="preserve"> </w:t>
      </w:r>
      <w:r w:rsidRPr="00832810">
        <w:rPr>
          <w:rFonts w:ascii="Times New Roman" w:hAnsi="Times New Roman" w:eastAsia="Times New Roman" w:cs="Times New Roman"/>
          <w:spacing w:val="-3"/>
        </w:rPr>
        <w:t>hours.</w:t>
      </w:r>
    </w:p>
    <w:p w:rsidRPr="00832810" w:rsidR="001D05DC" w:rsidP="00213B73" w:rsidRDefault="001D05DC" w14:paraId="483F36F2" w14:textId="20D7C0D3">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(5)  </w:t>
      </w:r>
      <w:r w:rsidRPr="00832810">
        <w:rPr>
          <w:rFonts w:ascii="Times New Roman" w:hAnsi="Times New Roman" w:eastAsia="Times New Roman" w:cs="Times New Roman"/>
          <w:spacing w:val="-3"/>
          <w:u w:val="single"/>
        </w:rPr>
        <w:t>Total burden</w:t>
      </w:r>
      <w:r w:rsidRPr="00832810">
        <w:rPr>
          <w:rFonts w:ascii="Times New Roman" w:hAnsi="Times New Roman" w:eastAsia="Times New Roman" w:cs="Times New Roman"/>
          <w:spacing w:val="-3"/>
        </w:rPr>
        <w:t xml:space="preserve">:  </w:t>
      </w:r>
      <w:r w:rsidRPr="00517B9F" w:rsidR="00517B9F">
        <w:rPr>
          <w:rFonts w:ascii="Times New Roman" w:hAnsi="Times New Roman" w:eastAsia="Times New Roman" w:cs="Times New Roman"/>
          <w:b/>
          <w:bCs/>
          <w:spacing w:val="-3"/>
        </w:rPr>
        <w:t>100</w:t>
      </w:r>
      <w:r w:rsidRPr="00832810">
        <w:rPr>
          <w:rFonts w:ascii="Times New Roman" w:hAnsi="Times New Roman" w:eastAsia="Times New Roman" w:cs="Times New Roman"/>
          <w:b/>
          <w:bCs/>
          <w:spacing w:val="-3"/>
        </w:rPr>
        <w:t xml:space="preserve"> </w:t>
      </w:r>
      <w:r w:rsidRPr="00832810">
        <w:rPr>
          <w:rFonts w:ascii="Times New Roman" w:hAnsi="Times New Roman" w:eastAsia="Times New Roman" w:cs="Times New Roman"/>
          <w:b/>
          <w:spacing w:val="-3"/>
        </w:rPr>
        <w:t>hours</w:t>
      </w:r>
      <w:r w:rsidRPr="00832810">
        <w:rPr>
          <w:rFonts w:ascii="Times New Roman" w:hAnsi="Times New Roman" w:eastAsia="Times New Roman" w:cs="Times New Roman"/>
          <w:spacing w:val="-3"/>
        </w:rPr>
        <w:t>.</w:t>
      </w:r>
    </w:p>
    <w:p w:rsidRPr="00832810" w:rsidR="001D05DC" w:rsidP="00213B73" w:rsidRDefault="001D05DC" w14:paraId="76279D43" w14:textId="4D9A3522">
      <w:pPr>
        <w:tabs>
          <w:tab w:val="left" w:pos="-720"/>
        </w:tabs>
        <w:suppressAutoHyphens/>
        <w:spacing w:after="120" w:line="240" w:lineRule="auto"/>
        <w:ind w:left="1440"/>
        <w:rPr>
          <w:rFonts w:ascii="Times New Roman" w:hAnsi="Times New Roman" w:eastAsia="Times New Roman" w:cs="Times New Roman"/>
          <w:spacing w:val="-3"/>
        </w:rPr>
      </w:pPr>
      <w:r w:rsidRPr="00832810">
        <w:rPr>
          <w:rFonts w:ascii="Times New Roman" w:hAnsi="Times New Roman" w:eastAsia="Times New Roman" w:cs="Times New Roman"/>
          <w:spacing w:val="-3"/>
        </w:rPr>
        <w:t xml:space="preserve">The Commission estimates that approximately 20 ICS providers will require </w:t>
      </w:r>
      <w:r w:rsidR="00B91848">
        <w:rPr>
          <w:rFonts w:ascii="Times New Roman" w:hAnsi="Times New Roman" w:eastAsia="Times New Roman" w:cs="Times New Roman"/>
          <w:spacing w:val="-3"/>
        </w:rPr>
        <w:t>5</w:t>
      </w:r>
      <w:r w:rsidR="004358B8">
        <w:rPr>
          <w:rFonts w:ascii="Times New Roman" w:hAnsi="Times New Roman" w:eastAsia="Times New Roman" w:cs="Times New Roman"/>
          <w:spacing w:val="-3"/>
        </w:rPr>
        <w:t xml:space="preserve"> h</w:t>
      </w:r>
      <w:r w:rsidRPr="00832810">
        <w:rPr>
          <w:rFonts w:ascii="Times New Roman" w:hAnsi="Times New Roman" w:eastAsia="Times New Roman" w:cs="Times New Roman"/>
          <w:spacing w:val="-3"/>
        </w:rPr>
        <w:t>ours of reporting time</w:t>
      </w:r>
      <w:r w:rsidR="00D2000B">
        <w:rPr>
          <w:rFonts w:ascii="Times New Roman" w:hAnsi="Times New Roman" w:eastAsia="Times New Roman" w:cs="Times New Roman"/>
          <w:spacing w:val="-3"/>
        </w:rPr>
        <w:t xml:space="preserve"> </w:t>
      </w:r>
      <w:r w:rsidRPr="00B91848" w:rsidR="00D2000B">
        <w:rPr>
          <w:rFonts w:ascii="Times New Roman" w:hAnsi="Times New Roman" w:eastAsia="Times New Roman" w:cs="Times New Roman"/>
          <w:spacing w:val="-3"/>
        </w:rPr>
        <w:t>to complete the certification form.</w:t>
      </w:r>
    </w:p>
    <w:p w:rsidRPr="00832810" w:rsidR="001D05DC" w:rsidP="00213B73" w:rsidRDefault="001D05DC" w14:paraId="058F46C8" w14:textId="56C8D49F">
      <w:pPr>
        <w:tabs>
          <w:tab w:val="left" w:pos="-720"/>
        </w:tabs>
        <w:suppressAutoHyphens/>
        <w:spacing w:after="120" w:line="240" w:lineRule="auto"/>
        <w:ind w:left="1440"/>
        <w:rPr>
          <w:rFonts w:ascii="Times New Roman" w:hAnsi="Times New Roman" w:eastAsia="Times New Roman" w:cs="Times New Roman"/>
          <w:spacing w:val="-3"/>
        </w:rPr>
      </w:pPr>
      <w:r w:rsidRPr="00832810">
        <w:rPr>
          <w:rFonts w:ascii="Times New Roman" w:hAnsi="Times New Roman" w:eastAsia="Times New Roman" w:cs="Times New Roman"/>
          <w:spacing w:val="-3"/>
        </w:rPr>
        <w:t xml:space="preserve">Approximately 20 respondents x 1 response x </w:t>
      </w:r>
      <w:r w:rsidR="00B91848">
        <w:rPr>
          <w:rFonts w:ascii="Times New Roman" w:hAnsi="Times New Roman" w:eastAsia="Times New Roman" w:cs="Times New Roman"/>
          <w:spacing w:val="-3"/>
        </w:rPr>
        <w:t>5</w:t>
      </w:r>
      <w:r w:rsidRPr="00832810">
        <w:rPr>
          <w:rFonts w:ascii="Times New Roman" w:hAnsi="Times New Roman" w:eastAsia="Times New Roman" w:cs="Times New Roman"/>
          <w:spacing w:val="-3"/>
        </w:rPr>
        <w:t xml:space="preserve"> hours per response = </w:t>
      </w:r>
      <w:r w:rsidR="00517B9F">
        <w:rPr>
          <w:rFonts w:ascii="Times New Roman" w:hAnsi="Times New Roman" w:eastAsia="Times New Roman" w:cs="Times New Roman"/>
          <w:spacing w:val="-3"/>
        </w:rPr>
        <w:t>100</w:t>
      </w:r>
      <w:r w:rsidRPr="00832810">
        <w:rPr>
          <w:rFonts w:ascii="Times New Roman" w:hAnsi="Times New Roman" w:eastAsia="Times New Roman" w:cs="Times New Roman"/>
          <w:spacing w:val="-3"/>
        </w:rPr>
        <w:t xml:space="preserve"> hours.</w:t>
      </w:r>
    </w:p>
    <w:p w:rsidRPr="00832810" w:rsidR="001D05DC" w:rsidP="00213B73" w:rsidRDefault="001D05DC" w14:paraId="2C1E4958" w14:textId="4C028F1F">
      <w:pPr>
        <w:tabs>
          <w:tab w:val="left" w:pos="-720"/>
        </w:tabs>
        <w:suppressAutoHyphens/>
        <w:spacing w:after="120" w:line="240" w:lineRule="auto"/>
        <w:rPr>
          <w:rFonts w:ascii="Times New Roman" w:hAnsi="Times New Roman" w:eastAsia="Times New Roman" w:cs="Times New Roman"/>
          <w:spacing w:val="-3"/>
        </w:rPr>
      </w:pPr>
      <w:r w:rsidRPr="00832810">
        <w:rPr>
          <w:rFonts w:ascii="Times New Roman" w:hAnsi="Times New Roman" w:eastAsia="Times New Roman" w:cs="Times New Roman"/>
          <w:spacing w:val="-3"/>
        </w:rPr>
        <w:tab/>
        <w:t xml:space="preserve">(6)  </w:t>
      </w:r>
      <w:r w:rsidRPr="00832810">
        <w:rPr>
          <w:rFonts w:ascii="Times New Roman" w:hAnsi="Times New Roman" w:eastAsia="Times New Roman" w:cs="Times New Roman"/>
          <w:spacing w:val="-3"/>
          <w:u w:val="single"/>
        </w:rPr>
        <w:t>Total estimate of “in house” cost to respondents:</w:t>
      </w:r>
      <w:r w:rsidRPr="00832810">
        <w:rPr>
          <w:rFonts w:ascii="Times New Roman" w:hAnsi="Times New Roman" w:eastAsia="Times New Roman" w:cs="Times New Roman"/>
          <w:spacing w:val="-3"/>
        </w:rPr>
        <w:t xml:space="preserve">  </w:t>
      </w:r>
      <w:r w:rsidRPr="00356B1C" w:rsidR="00356B1C">
        <w:rPr>
          <w:rFonts w:ascii="Times New Roman" w:hAnsi="Times New Roman" w:eastAsia="Times New Roman" w:cs="Times New Roman"/>
          <w:b/>
        </w:rPr>
        <w:t>$</w:t>
      </w:r>
      <w:r w:rsidR="00517B9F">
        <w:rPr>
          <w:rFonts w:ascii="Times New Roman" w:hAnsi="Times New Roman" w:eastAsia="Times New Roman" w:cs="Times New Roman"/>
          <w:b/>
        </w:rPr>
        <w:t>12,500.</w:t>
      </w:r>
    </w:p>
    <w:p w:rsidRPr="00832810" w:rsidR="001D05DC" w:rsidP="00213B73" w:rsidRDefault="001D05DC" w14:paraId="47F10961" w14:textId="69E1B3A4">
      <w:pPr>
        <w:tabs>
          <w:tab w:val="left" w:pos="-720"/>
        </w:tabs>
        <w:suppressAutoHyphen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(7)  </w:t>
      </w:r>
      <w:r w:rsidRPr="00832810">
        <w:rPr>
          <w:rFonts w:ascii="Times New Roman" w:hAnsi="Times New Roman" w:eastAsia="Times New Roman" w:cs="Times New Roman"/>
          <w:u w:val="single"/>
        </w:rPr>
        <w:t>Explanation of the calculation</w:t>
      </w:r>
      <w:r w:rsidRPr="00832810">
        <w:rPr>
          <w:rFonts w:ascii="Times New Roman" w:hAnsi="Times New Roman" w:eastAsia="Times New Roman" w:cs="Times New Roman"/>
        </w:rPr>
        <w:t xml:space="preserve">:  </w:t>
      </w:r>
    </w:p>
    <w:p w:rsidRPr="00832810" w:rsidR="001D05DC" w:rsidP="00213B73" w:rsidRDefault="001D05DC" w14:paraId="2C1B331F" w14:textId="679F97E1">
      <w:pPr>
        <w:tabs>
          <w:tab w:val="left" w:pos="-720"/>
        </w:tabs>
        <w:suppressAutoHyphens/>
        <w:spacing w:after="120" w:line="240" w:lineRule="auto"/>
        <w:ind w:left="1440"/>
        <w:rPr>
          <w:rFonts w:ascii="Times New Roman" w:hAnsi="Times New Roman" w:eastAsia="Times New Roman" w:cs="Times New Roman"/>
        </w:rPr>
      </w:pPr>
      <w:r w:rsidRPr="00832810">
        <w:rPr>
          <w:rFonts w:ascii="Times New Roman" w:hAnsi="Times New Roman" w:eastAsia="Times New Roman" w:cs="Times New Roman"/>
        </w:rPr>
        <w:t>The Commission estimates that approximately 20 carriers will be subject to this one-time reporting requirement.</w:t>
      </w:r>
    </w:p>
    <w:p w:rsidRPr="00832810" w:rsidR="001D05DC" w:rsidP="00213B73" w:rsidRDefault="001D05DC" w14:paraId="476B3D1D" w14:textId="7ADF487A">
      <w:pPr>
        <w:tabs>
          <w:tab w:val="left" w:pos="-720"/>
        </w:tabs>
        <w:suppressAutoHyphens/>
        <w:spacing w:after="120" w:line="240" w:lineRule="auto"/>
        <w:ind w:left="1440"/>
        <w:rPr>
          <w:rFonts w:ascii="Times New Roman" w:hAnsi="Times New Roman" w:eastAsia="Times New Roman" w:cs="Times New Roman"/>
        </w:rPr>
      </w:pPr>
      <w:r w:rsidRPr="00832810">
        <w:rPr>
          <w:rFonts w:ascii="Times New Roman" w:hAnsi="Times New Roman" w:eastAsia="Times New Roman" w:cs="Times New Roman"/>
        </w:rPr>
        <w:t xml:space="preserve">We assume that respondents will use </w:t>
      </w:r>
      <w:r w:rsidRPr="00832810" w:rsidR="00375E09">
        <w:rPr>
          <w:rFonts w:ascii="Times New Roman" w:hAnsi="Times New Roman" w:eastAsia="Times New Roman" w:cs="Times New Roman"/>
        </w:rPr>
        <w:t xml:space="preserve">approximately </w:t>
      </w:r>
      <w:r w:rsidR="00B91848">
        <w:rPr>
          <w:rFonts w:ascii="Times New Roman" w:hAnsi="Times New Roman" w:eastAsia="Times New Roman" w:cs="Times New Roman"/>
        </w:rPr>
        <w:t>5</w:t>
      </w:r>
      <w:r w:rsidRPr="00832810" w:rsidR="00375E09">
        <w:rPr>
          <w:rFonts w:ascii="Times New Roman" w:hAnsi="Times New Roman" w:eastAsia="Times New Roman" w:cs="Times New Roman"/>
        </w:rPr>
        <w:t xml:space="preserve"> hours of an officer of the company’s time (rate of $125 per hour) to satisfy the requirement.</w:t>
      </w:r>
    </w:p>
    <w:p w:rsidR="004358B8" w:rsidP="004358B8" w:rsidRDefault="001D05DC" w14:paraId="31B94063" w14:textId="36889139">
      <w:pPr>
        <w:tabs>
          <w:tab w:val="left" w:pos="-720"/>
        </w:tabs>
        <w:suppressAutoHyphens/>
        <w:spacing w:after="120" w:line="240" w:lineRule="auto"/>
        <w:ind w:left="1440"/>
        <w:rPr>
          <w:rFonts w:ascii="Times New Roman" w:hAnsi="Times New Roman" w:eastAsia="Times New Roman" w:cs="Times New Roman"/>
        </w:rPr>
      </w:pPr>
      <w:r w:rsidRPr="00832810">
        <w:rPr>
          <w:rFonts w:ascii="Times New Roman" w:hAnsi="Times New Roman" w:eastAsia="Times New Roman" w:cs="Times New Roman"/>
        </w:rPr>
        <w:t xml:space="preserve">Thus, </w:t>
      </w:r>
      <w:r w:rsidR="00517B9F">
        <w:rPr>
          <w:rFonts w:ascii="Times New Roman" w:hAnsi="Times New Roman" w:eastAsia="Times New Roman" w:cs="Times New Roman"/>
        </w:rPr>
        <w:t>100</w:t>
      </w:r>
      <w:r w:rsidRPr="00832810">
        <w:rPr>
          <w:rFonts w:ascii="Times New Roman" w:hAnsi="Times New Roman" w:eastAsia="Times New Roman" w:cs="Times New Roman"/>
        </w:rPr>
        <w:t xml:space="preserve"> hours</w:t>
      </w:r>
      <w:r w:rsidR="00243AC6">
        <w:rPr>
          <w:rFonts w:ascii="Times New Roman" w:hAnsi="Times New Roman" w:eastAsia="Times New Roman" w:cs="Times New Roman"/>
        </w:rPr>
        <w:t xml:space="preserve"> per year</w:t>
      </w:r>
      <w:r w:rsidRPr="00832810">
        <w:rPr>
          <w:rFonts w:ascii="Times New Roman" w:hAnsi="Times New Roman" w:eastAsia="Times New Roman" w:cs="Times New Roman"/>
        </w:rPr>
        <w:t xml:space="preserve"> x $</w:t>
      </w:r>
      <w:r w:rsidRPr="00832810" w:rsidR="00375E09">
        <w:rPr>
          <w:rFonts w:ascii="Times New Roman" w:hAnsi="Times New Roman" w:eastAsia="Times New Roman" w:cs="Times New Roman"/>
        </w:rPr>
        <w:t>125</w:t>
      </w:r>
      <w:r w:rsidRPr="00832810">
        <w:rPr>
          <w:rFonts w:ascii="Times New Roman" w:hAnsi="Times New Roman" w:eastAsia="Times New Roman" w:cs="Times New Roman"/>
        </w:rPr>
        <w:t xml:space="preserve"> per hour = $</w:t>
      </w:r>
      <w:r w:rsidR="00517B9F">
        <w:rPr>
          <w:rFonts w:ascii="Times New Roman" w:hAnsi="Times New Roman" w:eastAsia="Times New Roman" w:cs="Times New Roman"/>
        </w:rPr>
        <w:t>12,500.</w:t>
      </w:r>
    </w:p>
    <w:p w:rsidRPr="00517B9F" w:rsidR="009B7D26" w:rsidP="009B7D26" w:rsidRDefault="009B7D26" w14:paraId="48DF0445" w14:textId="47C81801">
      <w:pPr>
        <w:pStyle w:val="ListParagraph"/>
        <w:tabs>
          <w:tab w:val="left" w:pos="-720"/>
        </w:tabs>
        <w:suppressAutoHyphens/>
        <w:spacing w:after="120" w:line="240" w:lineRule="auto"/>
        <w:ind w:left="1440"/>
        <w:rPr>
          <w:rFonts w:ascii="Times New Roman" w:hAnsi="Times New Roman" w:eastAsia="Times New Roman" w:cs="Times New Roman"/>
          <w:b/>
          <w:bCs/>
        </w:rPr>
      </w:pPr>
    </w:p>
    <w:p w:rsidRPr="009B7D26" w:rsidR="009B7D26" w:rsidP="009B7D26" w:rsidRDefault="009B7D26" w14:paraId="129A71EA" w14:textId="615DBBE7">
      <w:pPr>
        <w:tabs>
          <w:tab w:val="left" w:pos="-720"/>
        </w:tabs>
        <w:suppressAutoHyphens/>
        <w:spacing w:after="120" w:line="240" w:lineRule="auto"/>
        <w:rPr>
          <w:rFonts w:ascii="Times New Roman" w:hAnsi="Times New Roman" w:eastAsia="Times New Roman" w:cs="Times New Roman"/>
          <w:b/>
          <w:bCs/>
        </w:rPr>
      </w:pPr>
      <w:r>
        <w:rPr>
          <w:rFonts w:ascii="Times New Roman" w:hAnsi="Times New Roman" w:eastAsia="Times New Roman" w:cs="Times New Roman"/>
        </w:rPr>
        <w:tab/>
      </w:r>
      <w:r w:rsidRPr="009B7D26">
        <w:rPr>
          <w:rFonts w:ascii="Times New Roman" w:hAnsi="Times New Roman" w:eastAsia="Times New Roman" w:cs="Times New Roman"/>
          <w:b/>
          <w:bCs/>
        </w:rPr>
        <w:t>Total Respondents:  20</w:t>
      </w:r>
    </w:p>
    <w:p w:rsidRPr="009B7D26" w:rsidR="009B7D26" w:rsidP="009B7D26" w:rsidRDefault="009B7D26" w14:paraId="696A3EED" w14:textId="7D25B89C">
      <w:pPr>
        <w:tabs>
          <w:tab w:val="left" w:pos="-720"/>
        </w:tabs>
        <w:suppressAutoHyphens/>
        <w:spacing w:after="120" w:line="240" w:lineRule="auto"/>
        <w:rPr>
          <w:rFonts w:ascii="Times New Roman" w:hAnsi="Times New Roman" w:eastAsia="Times New Roman" w:cs="Times New Roman"/>
          <w:b/>
          <w:bCs/>
        </w:rPr>
      </w:pPr>
      <w:r>
        <w:rPr>
          <w:rFonts w:ascii="Times New Roman" w:hAnsi="Times New Roman" w:eastAsia="Times New Roman" w:cs="Times New Roman"/>
        </w:rPr>
        <w:tab/>
      </w:r>
      <w:r w:rsidRPr="009B7D26">
        <w:rPr>
          <w:rFonts w:ascii="Times New Roman" w:hAnsi="Times New Roman" w:eastAsia="Times New Roman" w:cs="Times New Roman"/>
          <w:b/>
          <w:bCs/>
        </w:rPr>
        <w:t>Total Responses:  20</w:t>
      </w:r>
    </w:p>
    <w:p w:rsidR="00A224EA" w:rsidP="009B7D26" w:rsidRDefault="009B7D26" w14:paraId="6236245B" w14:textId="26E5F583">
      <w:pPr>
        <w:tabs>
          <w:tab w:val="left" w:pos="-720"/>
        </w:tabs>
        <w:suppressAutoHyphens/>
        <w:spacing w:after="120" w:line="240" w:lineRule="auto"/>
        <w:rPr>
          <w:rFonts w:ascii="Times New Roman" w:hAnsi="Times New Roman" w:eastAsia="Times New Roman" w:cs="Times New Roman"/>
        </w:rPr>
      </w:pPr>
      <w:r>
        <w:rPr>
          <w:rFonts w:ascii="Times New Roman" w:hAnsi="Times New Roman" w:eastAsia="Times New Roman" w:cs="Times New Roman"/>
        </w:rPr>
        <w:tab/>
      </w:r>
      <w:r w:rsidRPr="009B7D26">
        <w:rPr>
          <w:rFonts w:ascii="Times New Roman" w:hAnsi="Times New Roman" w:eastAsia="Times New Roman" w:cs="Times New Roman"/>
          <w:b/>
          <w:bCs/>
        </w:rPr>
        <w:t>Total In-House Costs</w:t>
      </w:r>
      <w:r>
        <w:rPr>
          <w:rFonts w:ascii="Times New Roman" w:hAnsi="Times New Roman" w:eastAsia="Times New Roman" w:cs="Times New Roman"/>
        </w:rPr>
        <w:t xml:space="preserve">:  </w:t>
      </w:r>
      <w:r w:rsidRPr="00517B9F">
        <w:rPr>
          <w:rFonts w:ascii="Times New Roman" w:hAnsi="Times New Roman" w:eastAsia="Times New Roman" w:cs="Times New Roman"/>
          <w:b/>
          <w:bCs/>
        </w:rPr>
        <w:t>$</w:t>
      </w:r>
      <w:r w:rsidR="008260A4">
        <w:rPr>
          <w:rFonts w:ascii="Times New Roman" w:hAnsi="Times New Roman" w:eastAsia="Times New Roman" w:cs="Times New Roman"/>
          <w:b/>
          <w:bCs/>
        </w:rPr>
        <w:t>406</w:t>
      </w:r>
      <w:r w:rsidR="00ED4885">
        <w:rPr>
          <w:rFonts w:ascii="Times New Roman" w:hAnsi="Times New Roman" w:eastAsia="Times New Roman" w:cs="Times New Roman"/>
          <w:b/>
          <w:bCs/>
        </w:rPr>
        <w:t>,</w:t>
      </w:r>
      <w:r w:rsidR="008260A4">
        <w:rPr>
          <w:rFonts w:ascii="Times New Roman" w:hAnsi="Times New Roman" w:eastAsia="Times New Roman" w:cs="Times New Roman"/>
          <w:b/>
          <w:bCs/>
        </w:rPr>
        <w:t>070</w:t>
      </w:r>
      <w:r w:rsidRPr="00517B9F" w:rsidR="008260A4">
        <w:rPr>
          <w:rFonts w:ascii="Times New Roman" w:hAnsi="Times New Roman" w:eastAsia="Times New Roman" w:cs="Times New Roman"/>
          <w:b/>
          <w:bCs/>
        </w:rPr>
        <w:t xml:space="preserve"> </w:t>
      </w:r>
      <w:r w:rsidRPr="00517B9F">
        <w:rPr>
          <w:rFonts w:ascii="Times New Roman" w:hAnsi="Times New Roman" w:eastAsia="Times New Roman" w:cs="Times New Roman"/>
          <w:b/>
          <w:bCs/>
        </w:rPr>
        <w:t>+</w:t>
      </w:r>
      <w:r w:rsidRPr="00517B9F" w:rsidR="00517B9F">
        <w:rPr>
          <w:rFonts w:ascii="Times New Roman" w:hAnsi="Times New Roman" w:eastAsia="Times New Roman" w:cs="Times New Roman"/>
          <w:b/>
          <w:bCs/>
        </w:rPr>
        <w:t xml:space="preserve"> $12,</w:t>
      </w:r>
      <w:r w:rsidR="00A36915">
        <w:rPr>
          <w:rFonts w:ascii="Times New Roman" w:hAnsi="Times New Roman" w:eastAsia="Times New Roman" w:cs="Times New Roman"/>
          <w:b/>
          <w:bCs/>
        </w:rPr>
        <w:t>5</w:t>
      </w:r>
      <w:r w:rsidRPr="00517B9F" w:rsidR="00517B9F">
        <w:rPr>
          <w:rFonts w:ascii="Times New Roman" w:hAnsi="Times New Roman" w:eastAsia="Times New Roman" w:cs="Times New Roman"/>
          <w:b/>
          <w:bCs/>
        </w:rPr>
        <w:t>00 = $</w:t>
      </w:r>
      <w:r w:rsidR="00F57A31">
        <w:rPr>
          <w:rFonts w:ascii="Times New Roman" w:hAnsi="Times New Roman" w:eastAsia="Times New Roman" w:cs="Times New Roman"/>
          <w:b/>
          <w:bCs/>
        </w:rPr>
        <w:t>418</w:t>
      </w:r>
      <w:r w:rsidR="00ED4885">
        <w:rPr>
          <w:rFonts w:ascii="Times New Roman" w:hAnsi="Times New Roman" w:eastAsia="Times New Roman" w:cs="Times New Roman"/>
          <w:b/>
          <w:bCs/>
        </w:rPr>
        <w:t>,</w:t>
      </w:r>
      <w:r w:rsidR="00F57A31">
        <w:rPr>
          <w:rFonts w:ascii="Times New Roman" w:hAnsi="Times New Roman" w:eastAsia="Times New Roman" w:cs="Times New Roman"/>
          <w:b/>
          <w:bCs/>
        </w:rPr>
        <w:t>570</w:t>
      </w:r>
      <w:r w:rsidR="00ED4885">
        <w:rPr>
          <w:rFonts w:ascii="Times New Roman" w:hAnsi="Times New Roman" w:eastAsia="Times New Roman" w:cs="Times New Roman"/>
          <w:b/>
          <w:bCs/>
        </w:rPr>
        <w:t>.</w:t>
      </w:r>
      <w:r w:rsidRPr="009B7D26">
        <w:rPr>
          <w:rFonts w:ascii="Times New Roman" w:hAnsi="Times New Roman" w:eastAsia="Times New Roman" w:cs="Times New Roman"/>
        </w:rPr>
        <w:tab/>
      </w:r>
    </w:p>
    <w:p w:rsidRPr="00832810" w:rsidR="009B7D26" w:rsidP="00A224EA" w:rsidRDefault="009B7D26" w14:paraId="75E09D4C" w14:textId="54732DD1">
      <w:pPr>
        <w:tabs>
          <w:tab w:val="left" w:pos="-720"/>
        </w:tabs>
        <w:suppressAutoHyphens/>
        <w:spacing w:after="120" w:line="240" w:lineRule="auto"/>
        <w:rPr>
          <w:rFonts w:ascii="Times New Roman" w:hAnsi="Times New Roman" w:eastAsia="Times New Roman" w:cs="Times New Roman"/>
        </w:rPr>
      </w:pPr>
      <w:r>
        <w:rPr>
          <w:rFonts w:ascii="Times New Roman" w:hAnsi="Times New Roman" w:eastAsia="Times New Roman" w:cs="Times New Roman"/>
        </w:rPr>
        <w:tab/>
      </w:r>
      <w:r w:rsidRPr="009B7D26">
        <w:rPr>
          <w:rFonts w:ascii="Times New Roman" w:hAnsi="Times New Roman" w:eastAsia="Times New Roman" w:cs="Times New Roman"/>
          <w:b/>
          <w:bCs/>
        </w:rPr>
        <w:t>Total Annual Burden Hours</w:t>
      </w:r>
      <w:r>
        <w:rPr>
          <w:rFonts w:ascii="Times New Roman" w:hAnsi="Times New Roman" w:eastAsia="Times New Roman" w:cs="Times New Roman"/>
        </w:rPr>
        <w:t xml:space="preserve">:  </w:t>
      </w:r>
      <w:r w:rsidR="00A273B7">
        <w:rPr>
          <w:rFonts w:ascii="Times New Roman" w:hAnsi="Times New Roman" w:eastAsia="Times New Roman" w:cs="Times New Roman"/>
          <w:b/>
          <w:bCs/>
        </w:rPr>
        <w:t>7</w:t>
      </w:r>
      <w:r w:rsidRPr="00DC76A8" w:rsidR="002811ED">
        <w:rPr>
          <w:rFonts w:ascii="Times New Roman" w:hAnsi="Times New Roman" w:eastAsia="Times New Roman" w:cs="Times New Roman"/>
          <w:b/>
          <w:bCs/>
        </w:rPr>
        <w:t>,</w:t>
      </w:r>
      <w:r w:rsidR="00A273B7">
        <w:rPr>
          <w:rFonts w:ascii="Times New Roman" w:hAnsi="Times New Roman" w:eastAsia="Times New Roman" w:cs="Times New Roman"/>
          <w:b/>
          <w:bCs/>
        </w:rPr>
        <w:t>0</w:t>
      </w:r>
      <w:r w:rsidRPr="00DC76A8" w:rsidR="00A273B7">
        <w:rPr>
          <w:rFonts w:ascii="Times New Roman" w:hAnsi="Times New Roman" w:eastAsia="Times New Roman" w:cs="Times New Roman"/>
          <w:b/>
          <w:bCs/>
        </w:rPr>
        <w:t xml:space="preserve">00 </w:t>
      </w:r>
      <w:r w:rsidRPr="00DC76A8">
        <w:rPr>
          <w:rFonts w:ascii="Times New Roman" w:hAnsi="Times New Roman" w:eastAsia="Times New Roman" w:cs="Times New Roman"/>
          <w:b/>
          <w:bCs/>
        </w:rPr>
        <w:t xml:space="preserve">+ </w:t>
      </w:r>
      <w:r w:rsidRPr="00DC76A8" w:rsidR="00517B9F">
        <w:rPr>
          <w:rFonts w:ascii="Times New Roman" w:hAnsi="Times New Roman" w:eastAsia="Times New Roman" w:cs="Times New Roman"/>
          <w:b/>
          <w:bCs/>
        </w:rPr>
        <w:t>100</w:t>
      </w:r>
      <w:r w:rsidRPr="00DC76A8">
        <w:rPr>
          <w:rFonts w:ascii="Times New Roman" w:hAnsi="Times New Roman" w:eastAsia="Times New Roman" w:cs="Times New Roman"/>
          <w:b/>
          <w:bCs/>
        </w:rPr>
        <w:t xml:space="preserve"> </w:t>
      </w:r>
      <w:r w:rsidRPr="002811ED">
        <w:rPr>
          <w:rFonts w:ascii="Times New Roman" w:hAnsi="Times New Roman" w:eastAsia="Times New Roman" w:cs="Times New Roman"/>
          <w:b/>
          <w:bCs/>
        </w:rPr>
        <w:t>=</w:t>
      </w:r>
      <w:r w:rsidRPr="002811ED" w:rsidR="002811ED">
        <w:rPr>
          <w:rFonts w:ascii="Times New Roman" w:hAnsi="Times New Roman" w:eastAsia="Times New Roman" w:cs="Times New Roman"/>
          <w:b/>
          <w:bCs/>
        </w:rPr>
        <w:t xml:space="preserve"> </w:t>
      </w:r>
      <w:r w:rsidR="00A273B7">
        <w:rPr>
          <w:rFonts w:ascii="Times New Roman" w:hAnsi="Times New Roman" w:eastAsia="Times New Roman" w:cs="Times New Roman"/>
          <w:b/>
          <w:bCs/>
        </w:rPr>
        <w:t>7</w:t>
      </w:r>
      <w:r w:rsidRPr="002811ED" w:rsidR="002811ED">
        <w:rPr>
          <w:rFonts w:ascii="Times New Roman" w:hAnsi="Times New Roman" w:eastAsia="Times New Roman" w:cs="Times New Roman"/>
          <w:b/>
          <w:bCs/>
        </w:rPr>
        <w:t>,</w:t>
      </w:r>
      <w:r w:rsidR="00A273B7">
        <w:rPr>
          <w:rFonts w:ascii="Times New Roman" w:hAnsi="Times New Roman" w:eastAsia="Times New Roman" w:cs="Times New Roman"/>
          <w:b/>
          <w:bCs/>
        </w:rPr>
        <w:t>100</w:t>
      </w:r>
      <w:r w:rsidR="00A273B7">
        <w:rPr>
          <w:rFonts w:ascii="Times New Roman" w:hAnsi="Times New Roman" w:eastAsia="Times New Roman" w:cs="Times New Roman"/>
        </w:rPr>
        <w:t xml:space="preserve"> </w:t>
      </w:r>
      <w:r w:rsidRPr="009B7D26">
        <w:rPr>
          <w:rFonts w:ascii="Times New Roman" w:hAnsi="Times New Roman" w:eastAsia="Times New Roman" w:cs="Times New Roman"/>
          <w:b/>
          <w:bCs/>
        </w:rPr>
        <w:t>hour</w:t>
      </w:r>
      <w:r w:rsidRPr="0072105E" w:rsidR="0072105E">
        <w:rPr>
          <w:rFonts w:ascii="Times New Roman" w:hAnsi="Times New Roman" w:eastAsia="Times New Roman" w:cs="Times New Roman"/>
          <w:b/>
          <w:bCs/>
        </w:rPr>
        <w:t>s</w:t>
      </w:r>
      <w:r w:rsidR="0072105E">
        <w:rPr>
          <w:rFonts w:ascii="Times New Roman" w:hAnsi="Times New Roman" w:eastAsia="Times New Roman" w:cs="Times New Roman"/>
          <w:b/>
          <w:bCs/>
        </w:rPr>
        <w:t>.</w:t>
      </w:r>
    </w:p>
    <w:p w:rsidRPr="00832810" w:rsidR="00E10661" w:rsidP="00213B73" w:rsidRDefault="00E10661" w14:paraId="35B56875" w14:textId="77777777">
      <w:pPr>
        <w:spacing w:after="120" w:line="240" w:lineRule="auto"/>
        <w:ind w:firstLine="720"/>
        <w:rPr>
          <w:rFonts w:ascii="Times New Roman" w:hAnsi="Times New Roman" w:eastAsia="Times New Roman" w:cs="Times New Roman"/>
        </w:rPr>
      </w:pPr>
      <w:r w:rsidRPr="00832810">
        <w:rPr>
          <w:rFonts w:ascii="Times New Roman" w:hAnsi="Times New Roman" w:eastAsia="Times New Roman" w:cs="Times New Roman"/>
          <w:spacing w:val="-3"/>
        </w:rPr>
        <w:t>13.  E</w:t>
      </w:r>
      <w:r w:rsidRPr="00832810">
        <w:rPr>
          <w:rFonts w:ascii="Times New Roman" w:hAnsi="Times New Roman" w:eastAsia="Times New Roman" w:cs="Times New Roman"/>
        </w:rPr>
        <w:t>stimated operations and maintenance (O&amp;M) costs of respondents resulting from the collection of information:</w:t>
      </w:r>
    </w:p>
    <w:p w:rsidR="00832810" w:rsidP="00832810" w:rsidRDefault="00E10661" w14:paraId="00BC6DEC" w14:textId="5AC03690">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w:t>
      </w:r>
      <w:r w:rsidR="00832810">
        <w:rPr>
          <w:rFonts w:ascii="Times New Roman" w:hAnsi="Times New Roman" w:eastAsia="Times New Roman" w:cs="Times New Roman"/>
        </w:rPr>
        <w:t>1</w:t>
      </w:r>
      <w:r w:rsidRPr="00832810">
        <w:rPr>
          <w:rFonts w:ascii="Times New Roman" w:hAnsi="Times New Roman" w:eastAsia="Times New Roman" w:cs="Times New Roman"/>
        </w:rPr>
        <w:t>)</w:t>
      </w:r>
      <w:r w:rsidR="00832810">
        <w:rPr>
          <w:rFonts w:ascii="Times New Roman" w:hAnsi="Times New Roman" w:eastAsia="Times New Roman" w:cs="Times New Roman"/>
        </w:rPr>
        <w:t xml:space="preserve">  </w:t>
      </w:r>
      <w:r w:rsidRPr="00832810">
        <w:rPr>
          <w:rFonts w:ascii="Times New Roman" w:hAnsi="Times New Roman" w:eastAsia="Times New Roman" w:cs="Times New Roman"/>
          <w:u w:val="single"/>
        </w:rPr>
        <w:t>Total capital start-up costs component annualized over its expected useful life:</w:t>
      </w:r>
      <w:r w:rsidRPr="00832810">
        <w:rPr>
          <w:rFonts w:ascii="Times New Roman" w:hAnsi="Times New Roman" w:eastAsia="Times New Roman" w:cs="Times New Roman"/>
        </w:rPr>
        <w:t xml:space="preserve"> $0.  </w:t>
      </w:r>
    </w:p>
    <w:p w:rsidRPr="00832810" w:rsidR="00E10661" w:rsidP="00213B73" w:rsidRDefault="00E10661" w14:paraId="0B7527CD" w14:textId="73BC1F20">
      <w:pPr>
        <w:tabs>
          <w:tab w:val="left" w:pos="720"/>
        </w:tabs>
        <w:spacing w:after="120" w:line="240" w:lineRule="auto"/>
        <w:ind w:left="1440"/>
        <w:rPr>
          <w:rFonts w:ascii="Times New Roman" w:hAnsi="Times New Roman" w:eastAsia="Times New Roman" w:cs="Times New Roman"/>
        </w:rPr>
      </w:pPr>
      <w:r w:rsidRPr="00832810">
        <w:rPr>
          <w:rFonts w:ascii="Times New Roman" w:hAnsi="Times New Roman" w:eastAsia="Times New Roman" w:cs="Times New Roman"/>
        </w:rPr>
        <w:t xml:space="preserve">The collections will not result in additional capital expenditures such as computers or software.  </w:t>
      </w:r>
    </w:p>
    <w:p w:rsidRPr="00832810" w:rsidR="00E10661" w:rsidP="00213B73" w:rsidRDefault="00E10661" w14:paraId="2884880A" w14:textId="14886502">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w:t>
      </w:r>
      <w:r w:rsidR="00832810">
        <w:rPr>
          <w:rFonts w:ascii="Times New Roman" w:hAnsi="Times New Roman" w:eastAsia="Times New Roman" w:cs="Times New Roman"/>
        </w:rPr>
        <w:t>2</w:t>
      </w:r>
      <w:r w:rsidRPr="00832810">
        <w:rPr>
          <w:rFonts w:ascii="Times New Roman" w:hAnsi="Times New Roman" w:eastAsia="Times New Roman" w:cs="Times New Roman"/>
        </w:rPr>
        <w:t>)</w:t>
      </w:r>
      <w:r w:rsidR="00832810">
        <w:rPr>
          <w:rFonts w:ascii="Times New Roman" w:hAnsi="Times New Roman" w:eastAsia="Times New Roman" w:cs="Times New Roman"/>
        </w:rPr>
        <w:t xml:space="preserve">  </w:t>
      </w:r>
      <w:r w:rsidRPr="00832810">
        <w:rPr>
          <w:rFonts w:ascii="Times New Roman" w:hAnsi="Times New Roman" w:eastAsia="Times New Roman" w:cs="Times New Roman"/>
          <w:u w:val="single"/>
        </w:rPr>
        <w:t>Total operation and maintenance and purchase of services component:</w:t>
      </w:r>
      <w:r w:rsidRPr="00832810">
        <w:rPr>
          <w:rFonts w:ascii="Times New Roman" w:hAnsi="Times New Roman" w:eastAsia="Times New Roman" w:cs="Times New Roman"/>
        </w:rPr>
        <w:t xml:space="preserve">  $0.</w:t>
      </w:r>
    </w:p>
    <w:p w:rsidRPr="00832810" w:rsidR="00E10661" w:rsidP="00213B73" w:rsidRDefault="00E10661" w14:paraId="7F63B3AE" w14:textId="00FF2B74">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w:t>
      </w:r>
      <w:r w:rsidR="00832810">
        <w:rPr>
          <w:rFonts w:ascii="Times New Roman" w:hAnsi="Times New Roman" w:eastAsia="Times New Roman" w:cs="Times New Roman"/>
        </w:rPr>
        <w:t>3</w:t>
      </w:r>
      <w:r w:rsidRPr="00832810">
        <w:rPr>
          <w:rFonts w:ascii="Times New Roman" w:hAnsi="Times New Roman" w:eastAsia="Times New Roman" w:cs="Times New Roman"/>
        </w:rPr>
        <w:t>)</w:t>
      </w:r>
      <w:r w:rsidR="00832810">
        <w:rPr>
          <w:rFonts w:ascii="Times New Roman" w:hAnsi="Times New Roman" w:eastAsia="Times New Roman" w:cs="Times New Roman"/>
        </w:rPr>
        <w:t xml:space="preserve">  </w:t>
      </w:r>
      <w:r w:rsidRPr="00832810">
        <w:rPr>
          <w:rFonts w:ascii="Times New Roman" w:hAnsi="Times New Roman" w:eastAsia="Times New Roman" w:cs="Times New Roman"/>
          <w:u w:val="single"/>
        </w:rPr>
        <w:t>Total annualized cost requested</w:t>
      </w:r>
      <w:r w:rsidRPr="00832810">
        <w:rPr>
          <w:rFonts w:ascii="Times New Roman" w:hAnsi="Times New Roman" w:eastAsia="Times New Roman" w:cs="Times New Roman"/>
        </w:rPr>
        <w:t xml:space="preserve">:  </w:t>
      </w:r>
      <w:r w:rsidRPr="00832810">
        <w:rPr>
          <w:rFonts w:ascii="Times New Roman" w:hAnsi="Times New Roman" w:eastAsia="Times New Roman" w:cs="Times New Roman"/>
          <w:b/>
        </w:rPr>
        <w:t>$</w:t>
      </w:r>
      <w:r w:rsidRPr="005F47FF" w:rsidR="00DC40D6">
        <w:rPr>
          <w:rFonts w:ascii="Times New Roman" w:hAnsi="Times New Roman" w:eastAsia="Times New Roman" w:cs="Times New Roman"/>
          <w:b/>
          <w:bCs/>
        </w:rPr>
        <w:t>0</w:t>
      </w:r>
      <w:r w:rsidR="00DC40D6">
        <w:rPr>
          <w:rFonts w:ascii="Times New Roman" w:hAnsi="Times New Roman" w:eastAsia="Times New Roman" w:cs="Times New Roman"/>
        </w:rPr>
        <w:t>.</w:t>
      </w:r>
    </w:p>
    <w:p w:rsidRPr="00832810" w:rsidR="00E10661" w:rsidP="00213B73" w:rsidRDefault="00E10661" w14:paraId="2EF1286D" w14:textId="77777777">
      <w:pPr>
        <w:spacing w:after="120" w:line="240" w:lineRule="auto"/>
        <w:ind w:firstLine="720"/>
        <w:rPr>
          <w:rFonts w:ascii="Times New Roman" w:hAnsi="Times New Roman" w:eastAsia="Times New Roman" w:cs="Times New Roman"/>
        </w:rPr>
      </w:pPr>
      <w:r w:rsidRPr="00832810">
        <w:rPr>
          <w:rFonts w:ascii="Times New Roman" w:hAnsi="Times New Roman" w:eastAsia="Times New Roman" w:cs="Times New Roman"/>
        </w:rPr>
        <w:t xml:space="preserve">14.  There will be no additional costs to the Commission to receive these data.  In addition, the data may be submitted via the Commission’s Electronic Comment Filing System, or via the Secretary’s Office, requiring no additional Commission resources to process. </w:t>
      </w:r>
    </w:p>
    <w:p w:rsidRPr="00832810" w:rsidR="00E10661" w:rsidP="00213B73" w:rsidRDefault="00E10661" w14:paraId="74A8AE25" w14:textId="0D6E4F17">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15.  This is a new information collection resulting in a program change/increase of </w:t>
      </w:r>
      <w:r w:rsidRPr="00832810" w:rsidR="007B6F40">
        <w:rPr>
          <w:rFonts w:ascii="Times New Roman" w:hAnsi="Times New Roman" w:eastAsia="Times New Roman" w:cs="Times New Roman"/>
        </w:rPr>
        <w:t xml:space="preserve">20 </w:t>
      </w:r>
      <w:r w:rsidRPr="00832810">
        <w:rPr>
          <w:rFonts w:ascii="Times New Roman" w:hAnsi="Times New Roman" w:eastAsia="Times New Roman" w:cs="Times New Roman"/>
        </w:rPr>
        <w:t xml:space="preserve">respondents, </w:t>
      </w:r>
      <w:r w:rsidRPr="00832810" w:rsidR="007B6F40">
        <w:rPr>
          <w:rFonts w:ascii="Times New Roman" w:hAnsi="Times New Roman" w:eastAsia="Times New Roman" w:cs="Times New Roman"/>
        </w:rPr>
        <w:t>20</w:t>
      </w:r>
      <w:r w:rsidRPr="00832810">
        <w:rPr>
          <w:rFonts w:ascii="Times New Roman" w:hAnsi="Times New Roman" w:eastAsia="Times New Roman" w:cs="Times New Roman"/>
        </w:rPr>
        <w:t xml:space="preserve"> responses, and</w:t>
      </w:r>
      <w:r w:rsidR="00A735A8">
        <w:rPr>
          <w:rFonts w:ascii="Times New Roman" w:hAnsi="Times New Roman" w:eastAsia="Times New Roman" w:cs="Times New Roman"/>
        </w:rPr>
        <w:t xml:space="preserve"> </w:t>
      </w:r>
      <w:r w:rsidR="00585E92">
        <w:rPr>
          <w:rFonts w:ascii="Times New Roman" w:hAnsi="Times New Roman" w:eastAsia="Times New Roman" w:cs="Times New Roman"/>
        </w:rPr>
        <w:t>7</w:t>
      </w:r>
      <w:r w:rsidR="00A735A8">
        <w:rPr>
          <w:rFonts w:ascii="Times New Roman" w:hAnsi="Times New Roman" w:eastAsia="Times New Roman" w:cs="Times New Roman"/>
        </w:rPr>
        <w:t>,</w:t>
      </w:r>
      <w:r w:rsidR="00585E92">
        <w:rPr>
          <w:rFonts w:ascii="Times New Roman" w:hAnsi="Times New Roman" w:eastAsia="Times New Roman" w:cs="Times New Roman"/>
        </w:rPr>
        <w:t>100</w:t>
      </w:r>
      <w:r w:rsidRPr="00832810" w:rsidR="00585E92">
        <w:rPr>
          <w:rFonts w:ascii="Times New Roman" w:hAnsi="Times New Roman" w:eastAsia="Times New Roman" w:cs="Times New Roman"/>
        </w:rPr>
        <w:t xml:space="preserve"> </w:t>
      </w:r>
      <w:r w:rsidRPr="00832810">
        <w:rPr>
          <w:rFonts w:ascii="Times New Roman" w:hAnsi="Times New Roman" w:eastAsia="Times New Roman" w:cs="Times New Roman"/>
        </w:rPr>
        <w:t xml:space="preserve">annual burden hours. </w:t>
      </w:r>
      <w:r w:rsidRPr="00832810" w:rsidR="00A66CBF">
        <w:rPr>
          <w:rFonts w:ascii="Times New Roman" w:hAnsi="Times New Roman" w:eastAsia="Times New Roman" w:cs="Times New Roman"/>
        </w:rPr>
        <w:t xml:space="preserve"> </w:t>
      </w:r>
      <w:r w:rsidRPr="00832810">
        <w:rPr>
          <w:rFonts w:ascii="Times New Roman" w:hAnsi="Times New Roman" w:eastAsia="Times New Roman" w:cs="Times New Roman"/>
        </w:rPr>
        <w:t>These estimates will be added to OMB’s Active Inventory.</w:t>
      </w:r>
    </w:p>
    <w:p w:rsidRPr="00832810" w:rsidR="00B60478" w:rsidP="00213B73" w:rsidRDefault="00E10661" w14:paraId="062DA566" w14:textId="77777777">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lastRenderedPageBreak/>
        <w:tab/>
        <w:t xml:space="preserve">16.  The Commission does not anticipate publishing any of the information collected.  Rather, </w:t>
      </w:r>
      <w:r w:rsidRPr="00832810" w:rsidR="00FE657A">
        <w:rPr>
          <w:rFonts w:ascii="Times New Roman" w:hAnsi="Times New Roman" w:eastAsia="Times New Roman" w:cs="Times New Roman"/>
        </w:rPr>
        <w:t>any confidential information</w:t>
      </w:r>
      <w:r w:rsidRPr="00832810">
        <w:rPr>
          <w:rFonts w:ascii="Times New Roman" w:hAnsi="Times New Roman" w:eastAsia="Times New Roman" w:cs="Times New Roman"/>
        </w:rPr>
        <w:t xml:space="preserve"> submitted by ICS providers will be treated </w:t>
      </w:r>
      <w:r w:rsidRPr="00832810" w:rsidR="00FE657A">
        <w:rPr>
          <w:rFonts w:ascii="Times New Roman" w:hAnsi="Times New Roman" w:eastAsia="Times New Roman" w:cs="Times New Roman"/>
        </w:rPr>
        <w:t>in accordance with</w:t>
      </w:r>
      <w:r w:rsidRPr="00832810">
        <w:rPr>
          <w:rFonts w:ascii="Times New Roman" w:hAnsi="Times New Roman" w:eastAsia="Times New Roman" w:cs="Times New Roman"/>
        </w:rPr>
        <w:t xml:space="preserve"> the </w:t>
      </w:r>
      <w:r w:rsidRPr="00832810" w:rsidR="00FE657A">
        <w:rPr>
          <w:rFonts w:ascii="Times New Roman" w:hAnsi="Times New Roman" w:eastAsia="Times New Roman" w:cs="Times New Roman"/>
          <w:i/>
          <w:iCs/>
        </w:rPr>
        <w:t>Protective</w:t>
      </w:r>
      <w:r w:rsidRPr="00832810" w:rsidR="00FE657A">
        <w:rPr>
          <w:rFonts w:ascii="Times New Roman" w:hAnsi="Times New Roman" w:eastAsia="Times New Roman" w:cs="Times New Roman"/>
        </w:rPr>
        <w:t xml:space="preserve"> </w:t>
      </w:r>
      <w:r w:rsidRPr="00832810" w:rsidR="00FE657A">
        <w:rPr>
          <w:rFonts w:ascii="Times New Roman" w:hAnsi="Times New Roman" w:eastAsia="Times New Roman" w:cs="Times New Roman"/>
          <w:i/>
          <w:iCs/>
        </w:rPr>
        <w:t>Order</w:t>
      </w:r>
      <w:r w:rsidRPr="00832810" w:rsidR="00FE657A">
        <w:rPr>
          <w:rFonts w:ascii="Times New Roman" w:hAnsi="Times New Roman" w:eastAsia="Times New Roman" w:cs="Times New Roman"/>
        </w:rPr>
        <w:t xml:space="preserve"> </w:t>
      </w:r>
      <w:r w:rsidRPr="00832810">
        <w:rPr>
          <w:rFonts w:ascii="Times New Roman" w:hAnsi="Times New Roman" w:eastAsia="Times New Roman" w:cs="Times New Roman"/>
        </w:rPr>
        <w:t>specific to WC Docket No. 12-375.</w:t>
      </w:r>
    </w:p>
    <w:p w:rsidRPr="00832810" w:rsidR="00B60478" w:rsidP="00213B73" w:rsidRDefault="00E10661" w14:paraId="202EF985" w14:textId="77777777">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17.  The Commission is not seeking approval not to display an OMB expiration date.</w:t>
      </w:r>
    </w:p>
    <w:p w:rsidR="001B0CE3" w:rsidP="00213B73" w:rsidRDefault="00B60478" w14:paraId="32DE2E3F" w14:textId="7E1779BC">
      <w:pPr>
        <w:tabs>
          <w:tab w:val="left" w:pos="720"/>
        </w:tabs>
        <w:spacing w:after="120" w:line="240" w:lineRule="auto"/>
        <w:rPr>
          <w:rFonts w:ascii="Times New Roman" w:hAnsi="Times New Roman" w:eastAsia="Times New Roman" w:cs="Times New Roman"/>
        </w:rPr>
      </w:pPr>
      <w:r w:rsidRPr="00832810">
        <w:rPr>
          <w:rFonts w:ascii="Times New Roman" w:hAnsi="Times New Roman" w:eastAsia="Times New Roman" w:cs="Times New Roman"/>
        </w:rPr>
        <w:tab/>
        <w:t xml:space="preserve">18.  </w:t>
      </w:r>
      <w:r w:rsidR="00234693">
        <w:rPr>
          <w:rFonts w:ascii="Times New Roman" w:hAnsi="Times New Roman" w:eastAsia="Times New Roman" w:cs="Times New Roman"/>
        </w:rPr>
        <w:t>Since</w:t>
      </w:r>
      <w:r w:rsidR="009C4E78">
        <w:rPr>
          <w:rFonts w:ascii="Times New Roman" w:hAnsi="Times New Roman" w:eastAsia="Times New Roman" w:cs="Times New Roman"/>
        </w:rPr>
        <w:t xml:space="preserve"> the 60-Day Notice was published the Federal Register, </w:t>
      </w:r>
      <w:r w:rsidR="001B0CE3">
        <w:rPr>
          <w:rFonts w:ascii="Times New Roman" w:hAnsi="Times New Roman" w:eastAsia="Times New Roman" w:cs="Times New Roman"/>
        </w:rPr>
        <w:t xml:space="preserve">on October 5, 2021 </w:t>
      </w:r>
      <w:r w:rsidRPr="001B0CE3" w:rsidR="001B0CE3">
        <w:rPr>
          <w:rFonts w:ascii="Times New Roman" w:hAnsi="Times New Roman" w:eastAsia="Times New Roman" w:cs="Times New Roman"/>
        </w:rPr>
        <w:t>(86 FR 54970</w:t>
      </w:r>
      <w:r w:rsidR="001B0CE3">
        <w:rPr>
          <w:rFonts w:ascii="Times New Roman" w:hAnsi="Times New Roman" w:eastAsia="Times New Roman" w:cs="Times New Roman"/>
        </w:rPr>
        <w:t xml:space="preserve">), </w:t>
      </w:r>
      <w:r w:rsidR="009C4E78">
        <w:rPr>
          <w:rFonts w:ascii="Times New Roman" w:hAnsi="Times New Roman" w:eastAsia="Times New Roman" w:cs="Times New Roman"/>
        </w:rPr>
        <w:t xml:space="preserve">the </w:t>
      </w:r>
      <w:r w:rsidR="009328D4">
        <w:rPr>
          <w:rFonts w:ascii="Times New Roman" w:hAnsi="Times New Roman" w:eastAsia="Times New Roman" w:cs="Times New Roman"/>
        </w:rPr>
        <w:t xml:space="preserve">Commission </w:t>
      </w:r>
      <w:r w:rsidR="00234693">
        <w:rPr>
          <w:rFonts w:ascii="Times New Roman" w:hAnsi="Times New Roman" w:eastAsia="Times New Roman" w:cs="Times New Roman"/>
        </w:rPr>
        <w:t xml:space="preserve">has </w:t>
      </w:r>
      <w:r w:rsidR="001B0CE3">
        <w:rPr>
          <w:rFonts w:ascii="Times New Roman" w:hAnsi="Times New Roman" w:eastAsia="Times New Roman" w:cs="Times New Roman"/>
        </w:rPr>
        <w:t xml:space="preserve">changed the title of this new information collection from </w:t>
      </w:r>
      <w:r w:rsidRPr="00030076" w:rsidR="00030076">
        <w:rPr>
          <w:rFonts w:ascii="Times New Roman" w:hAnsi="Times New Roman" w:eastAsia="Times New Roman" w:cs="Times New Roman"/>
        </w:rPr>
        <w:t xml:space="preserve">“Inmate Calling Services (ICS) 2021 One-Time Data Collection, WC Docket No. 12-375, FCC 21-60” to “Inmate Calling Services (ICS) 2022 One-Time Data Collection, WC Docket No. 12-375, FCC 21-60.” </w:t>
      </w:r>
      <w:r w:rsidR="0039783B">
        <w:rPr>
          <w:rFonts w:ascii="Times New Roman" w:hAnsi="Times New Roman" w:eastAsia="Times New Roman" w:cs="Times New Roman"/>
        </w:rPr>
        <w:t xml:space="preserve">In addition, the estimated average burden </w:t>
      </w:r>
      <w:r w:rsidR="00D5733A">
        <w:rPr>
          <w:rFonts w:ascii="Times New Roman" w:hAnsi="Times New Roman" w:eastAsia="Times New Roman" w:cs="Times New Roman"/>
        </w:rPr>
        <w:t xml:space="preserve">has </w:t>
      </w:r>
      <w:r w:rsidR="0039783B">
        <w:rPr>
          <w:rFonts w:ascii="Times New Roman" w:hAnsi="Times New Roman" w:eastAsia="Times New Roman" w:cs="Times New Roman"/>
        </w:rPr>
        <w:t xml:space="preserve">increased from 245 hours to 355 hours, resulting in an overall increase in the total burden hours, from </w:t>
      </w:r>
      <w:r w:rsidR="00714344">
        <w:rPr>
          <w:rFonts w:ascii="Times New Roman" w:hAnsi="Times New Roman" w:eastAsia="Times New Roman" w:cs="Times New Roman"/>
        </w:rPr>
        <w:t xml:space="preserve">4,900 to </w:t>
      </w:r>
      <w:r w:rsidR="004A0A59">
        <w:rPr>
          <w:rFonts w:ascii="Times New Roman" w:hAnsi="Times New Roman" w:eastAsia="Times New Roman" w:cs="Times New Roman"/>
        </w:rPr>
        <w:t>7,100.</w:t>
      </w:r>
      <w:r w:rsidR="00F42C4D">
        <w:rPr>
          <w:rFonts w:ascii="Times New Roman" w:hAnsi="Times New Roman" w:eastAsia="Times New Roman" w:cs="Times New Roman"/>
        </w:rPr>
        <w:t xml:space="preserve">  These changes were </w:t>
      </w:r>
      <w:r w:rsidR="005057FD">
        <w:rPr>
          <w:rFonts w:ascii="Times New Roman" w:hAnsi="Times New Roman" w:eastAsia="Times New Roman" w:cs="Times New Roman"/>
        </w:rPr>
        <w:t>announced</w:t>
      </w:r>
      <w:r w:rsidR="00F42C4D">
        <w:rPr>
          <w:rFonts w:ascii="Times New Roman" w:hAnsi="Times New Roman" w:eastAsia="Times New Roman" w:cs="Times New Roman"/>
        </w:rPr>
        <w:t xml:space="preserve"> in the 30-Day Notice </w:t>
      </w:r>
      <w:r w:rsidR="002B0517">
        <w:rPr>
          <w:rFonts w:ascii="Times New Roman" w:hAnsi="Times New Roman" w:eastAsia="Times New Roman" w:cs="Times New Roman"/>
        </w:rPr>
        <w:t>published</w:t>
      </w:r>
      <w:r w:rsidR="005057FD">
        <w:rPr>
          <w:rFonts w:ascii="Times New Roman" w:hAnsi="Times New Roman" w:eastAsia="Times New Roman" w:cs="Times New Roman"/>
        </w:rPr>
        <w:t xml:space="preserve"> in the Federa</w:t>
      </w:r>
      <w:r w:rsidR="002B0517">
        <w:rPr>
          <w:rFonts w:ascii="Times New Roman" w:hAnsi="Times New Roman" w:eastAsia="Times New Roman" w:cs="Times New Roman"/>
        </w:rPr>
        <w:t xml:space="preserve">l Register </w:t>
      </w:r>
      <w:r w:rsidR="00F42C4D">
        <w:rPr>
          <w:rFonts w:ascii="Times New Roman" w:hAnsi="Times New Roman" w:eastAsia="Times New Roman" w:cs="Times New Roman"/>
        </w:rPr>
        <w:t xml:space="preserve">on January </w:t>
      </w:r>
      <w:r w:rsidR="00254E8A">
        <w:rPr>
          <w:rFonts w:ascii="Times New Roman" w:hAnsi="Times New Roman" w:eastAsia="Times New Roman" w:cs="Times New Roman"/>
        </w:rPr>
        <w:t>21</w:t>
      </w:r>
      <w:r w:rsidR="00F42C4D">
        <w:rPr>
          <w:rFonts w:ascii="Times New Roman" w:hAnsi="Times New Roman" w:eastAsia="Times New Roman" w:cs="Times New Roman"/>
        </w:rPr>
        <w:t>, 2022</w:t>
      </w:r>
      <w:r w:rsidR="003C584C">
        <w:rPr>
          <w:rFonts w:ascii="Times New Roman" w:hAnsi="Times New Roman" w:eastAsia="Times New Roman" w:cs="Times New Roman"/>
        </w:rPr>
        <w:t xml:space="preserve"> (</w:t>
      </w:r>
      <w:r w:rsidRPr="00BD24C2" w:rsidR="003C584C">
        <w:rPr>
          <w:rFonts w:ascii="Times New Roman" w:hAnsi="Times New Roman" w:eastAsia="Times New Roman" w:cs="Times New Roman"/>
        </w:rPr>
        <w:t xml:space="preserve">87 FR </w:t>
      </w:r>
      <w:r w:rsidR="00BD24C2">
        <w:rPr>
          <w:rFonts w:ascii="Times New Roman" w:hAnsi="Times New Roman" w:eastAsia="Times New Roman" w:cs="Times New Roman"/>
        </w:rPr>
        <w:t>3299</w:t>
      </w:r>
      <w:r w:rsidR="00E35E68">
        <w:rPr>
          <w:rFonts w:ascii="Times New Roman" w:hAnsi="Times New Roman" w:eastAsia="Times New Roman" w:cs="Times New Roman"/>
        </w:rPr>
        <w:t xml:space="preserve">), and are reflected in </w:t>
      </w:r>
      <w:r w:rsidR="00D77795">
        <w:rPr>
          <w:rFonts w:ascii="Times New Roman" w:hAnsi="Times New Roman" w:eastAsia="Times New Roman" w:cs="Times New Roman"/>
        </w:rPr>
        <w:t xml:space="preserve">this </w:t>
      </w:r>
      <w:r w:rsidR="00E35E68">
        <w:rPr>
          <w:rFonts w:ascii="Times New Roman" w:hAnsi="Times New Roman" w:eastAsia="Times New Roman" w:cs="Times New Roman"/>
        </w:rPr>
        <w:t>submission to OMB.</w:t>
      </w:r>
    </w:p>
    <w:p w:rsidRPr="00832810" w:rsidR="0023228E" w:rsidP="00213B73" w:rsidRDefault="00033F0C" w14:paraId="0C84A32A" w14:textId="78C03C60">
      <w:pPr>
        <w:tabs>
          <w:tab w:val="left" w:pos="720"/>
        </w:tabs>
        <w:spacing w:after="120" w:line="240" w:lineRule="auto"/>
        <w:rPr>
          <w:rFonts w:ascii="Times New Roman" w:hAnsi="Times New Roman" w:eastAsia="Times New Roman" w:cs="Times New Roman"/>
        </w:rPr>
      </w:pPr>
      <w:r>
        <w:rPr>
          <w:rFonts w:ascii="Times New Roman" w:hAnsi="Times New Roman" w:eastAsia="Times New Roman" w:cs="Times New Roman"/>
        </w:rPr>
        <w:tab/>
      </w:r>
      <w:r w:rsidRPr="00832810" w:rsidR="0023228E">
        <w:rPr>
          <w:rFonts w:ascii="Times New Roman" w:hAnsi="Times New Roman" w:eastAsia="Times New Roman" w:cs="Times New Roman"/>
        </w:rPr>
        <w:t>There are no</w:t>
      </w:r>
      <w:r w:rsidR="001B0CE3">
        <w:rPr>
          <w:rFonts w:ascii="Times New Roman" w:hAnsi="Times New Roman" w:eastAsia="Times New Roman" w:cs="Times New Roman"/>
        </w:rPr>
        <w:t xml:space="preserve"> other</w:t>
      </w:r>
      <w:r w:rsidRPr="00832810" w:rsidR="0023228E">
        <w:rPr>
          <w:rFonts w:ascii="Times New Roman" w:hAnsi="Times New Roman" w:eastAsia="Times New Roman" w:cs="Times New Roman"/>
        </w:rPr>
        <w:t xml:space="preserve"> exceptions to the Certification Statement.</w:t>
      </w:r>
    </w:p>
    <w:p w:rsidRPr="00832810" w:rsidR="00E10661" w:rsidP="00213B73" w:rsidRDefault="00E10661" w14:paraId="57743FB3" w14:textId="77777777">
      <w:pPr>
        <w:spacing w:after="120" w:line="240" w:lineRule="auto"/>
        <w:rPr>
          <w:rFonts w:ascii="Times New Roman" w:hAnsi="Times New Roman" w:eastAsia="Times New Roman" w:cs="Times New Roman"/>
          <w:b/>
        </w:rPr>
      </w:pPr>
      <w:r w:rsidRPr="00832810">
        <w:rPr>
          <w:rFonts w:ascii="Times New Roman" w:hAnsi="Times New Roman" w:eastAsia="Times New Roman" w:cs="Times New Roman"/>
          <w:b/>
        </w:rPr>
        <w:t xml:space="preserve">B.  </w:t>
      </w:r>
      <w:r w:rsidRPr="00832810">
        <w:rPr>
          <w:rFonts w:ascii="Times New Roman" w:hAnsi="Times New Roman" w:eastAsia="Times New Roman" w:cs="Times New Roman"/>
          <w:b/>
        </w:rPr>
        <w:tab/>
      </w:r>
      <w:r w:rsidRPr="00832810">
        <w:rPr>
          <w:rFonts w:ascii="Times New Roman" w:hAnsi="Times New Roman" w:eastAsia="Times New Roman" w:cs="Times New Roman"/>
          <w:b/>
          <w:u w:val="single"/>
        </w:rPr>
        <w:t>Collections of Information Employing Statistical Methods:</w:t>
      </w:r>
    </w:p>
    <w:p w:rsidRPr="00832810" w:rsidR="00E10661" w:rsidP="00213B73" w:rsidRDefault="00832810" w14:paraId="59978CF1" w14:textId="3DEBCF34">
      <w:pPr>
        <w:tabs>
          <w:tab w:val="left" w:pos="720"/>
        </w:tabs>
        <w:spacing w:after="120" w:line="240" w:lineRule="auto"/>
        <w:rPr>
          <w:rFonts w:ascii="Times New Roman" w:hAnsi="Times New Roman" w:eastAsia="Times New Roman" w:cs="Times New Roman"/>
          <w:bCs/>
        </w:rPr>
      </w:pPr>
      <w:r>
        <w:rPr>
          <w:rFonts w:ascii="Times New Roman" w:hAnsi="Times New Roman" w:eastAsia="Times New Roman" w:cs="Times New Roman"/>
          <w:b/>
        </w:rPr>
        <w:tab/>
      </w:r>
      <w:r w:rsidRPr="00832810" w:rsidR="009E4916">
        <w:rPr>
          <w:rFonts w:ascii="Times New Roman" w:hAnsi="Times New Roman" w:eastAsia="Times New Roman" w:cs="Times New Roman"/>
          <w:bCs/>
        </w:rPr>
        <w:t>The Commission does not anticipate that the collection of information will employ statistical methods.</w:t>
      </w:r>
    </w:p>
    <w:p w:rsidRPr="00832810" w:rsidR="00A94885" w:rsidRDefault="00A94885" w14:paraId="2606D33E" w14:textId="77777777">
      <w:pPr>
        <w:rPr>
          <w:rFonts w:ascii="Times New Roman" w:hAnsi="Times New Roman" w:cs="Times New Roman"/>
        </w:rPr>
      </w:pPr>
    </w:p>
    <w:sectPr w:rsidRPr="00832810" w:rsidR="00A94885" w:rsidSect="00696EA3">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F992A" w14:textId="77777777" w:rsidR="0044306E" w:rsidRDefault="0044306E" w:rsidP="00E10661">
      <w:pPr>
        <w:spacing w:after="0" w:line="240" w:lineRule="auto"/>
      </w:pPr>
      <w:r>
        <w:separator/>
      </w:r>
    </w:p>
  </w:endnote>
  <w:endnote w:type="continuationSeparator" w:id="0">
    <w:p w14:paraId="0279A135" w14:textId="77777777" w:rsidR="0044306E" w:rsidRDefault="0044306E" w:rsidP="00E10661">
      <w:pPr>
        <w:spacing w:after="0" w:line="240" w:lineRule="auto"/>
      </w:pPr>
      <w:r>
        <w:continuationSeparator/>
      </w:r>
    </w:p>
  </w:endnote>
  <w:endnote w:type="continuationNotice" w:id="1">
    <w:p w14:paraId="5CA22886" w14:textId="77777777" w:rsidR="0044306E" w:rsidRDefault="00443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EA0B" w14:textId="77777777" w:rsidR="00696EA3" w:rsidRDefault="00EF3D30" w:rsidP="00776D8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D8D13" w14:textId="77777777" w:rsidR="00696EA3" w:rsidRDefault="00696EA3" w:rsidP="00313C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428857938"/>
      <w:docPartObj>
        <w:docPartGallery w:val="Page Numbers (Bottom of Page)"/>
        <w:docPartUnique/>
      </w:docPartObj>
    </w:sdtPr>
    <w:sdtEndPr>
      <w:rPr>
        <w:rStyle w:val="PageNumber"/>
      </w:rPr>
    </w:sdtEndPr>
    <w:sdtContent>
      <w:p w14:paraId="1E768780" w14:textId="77777777" w:rsidR="00313CF9" w:rsidRPr="00FA7B36" w:rsidRDefault="00313CF9" w:rsidP="00776D8D">
        <w:pPr>
          <w:pStyle w:val="Footer"/>
          <w:framePr w:wrap="none" w:vAnchor="text" w:hAnchor="margin" w:xAlign="center" w:y="1"/>
          <w:rPr>
            <w:rStyle w:val="PageNumber"/>
            <w:rFonts w:ascii="Times New Roman" w:hAnsi="Times New Roman" w:cs="Times New Roman"/>
          </w:rPr>
        </w:pPr>
        <w:r w:rsidRPr="00FA7B36">
          <w:rPr>
            <w:rStyle w:val="PageNumber"/>
            <w:rFonts w:ascii="Times New Roman" w:hAnsi="Times New Roman" w:cs="Times New Roman"/>
          </w:rPr>
          <w:fldChar w:fldCharType="begin"/>
        </w:r>
        <w:r w:rsidRPr="00FA7B36">
          <w:rPr>
            <w:rStyle w:val="PageNumber"/>
            <w:rFonts w:ascii="Times New Roman" w:hAnsi="Times New Roman" w:cs="Times New Roman"/>
          </w:rPr>
          <w:instrText xml:space="preserve"> PAGE </w:instrText>
        </w:r>
        <w:r w:rsidRPr="00FA7B36">
          <w:rPr>
            <w:rStyle w:val="PageNumber"/>
            <w:rFonts w:ascii="Times New Roman" w:hAnsi="Times New Roman" w:cs="Times New Roman"/>
          </w:rPr>
          <w:fldChar w:fldCharType="separate"/>
        </w:r>
        <w:r w:rsidRPr="00FA7B36">
          <w:rPr>
            <w:rStyle w:val="PageNumber"/>
            <w:rFonts w:ascii="Times New Roman" w:hAnsi="Times New Roman" w:cs="Times New Roman"/>
            <w:noProof/>
          </w:rPr>
          <w:t>3</w:t>
        </w:r>
        <w:r w:rsidRPr="00FA7B36">
          <w:rPr>
            <w:rStyle w:val="PageNumber"/>
            <w:rFonts w:ascii="Times New Roman" w:hAnsi="Times New Roman" w:cs="Times New Roman"/>
          </w:rPr>
          <w:fldChar w:fldCharType="end"/>
        </w:r>
      </w:p>
    </w:sdtContent>
  </w:sdt>
  <w:p w14:paraId="4438F345" w14:textId="77777777" w:rsidR="00696EA3" w:rsidRPr="00FA7B36" w:rsidRDefault="00696EA3" w:rsidP="00313CF9">
    <w:pPr>
      <w:pStyle w:val="Footer"/>
      <w:ind w:right="360"/>
      <w:jc w:val="center"/>
      <w:rPr>
        <w:rFonts w:ascii="Times New Roman" w:hAnsi="Times New Roman" w:cs="Times New Roman"/>
      </w:rPr>
    </w:pPr>
  </w:p>
  <w:p w14:paraId="57D979A1" w14:textId="77777777" w:rsidR="00696EA3" w:rsidRDefault="0069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865C" w14:textId="77777777" w:rsidR="0044306E" w:rsidRDefault="0044306E" w:rsidP="00E10661">
      <w:pPr>
        <w:spacing w:after="0" w:line="240" w:lineRule="auto"/>
      </w:pPr>
      <w:r>
        <w:separator/>
      </w:r>
    </w:p>
  </w:footnote>
  <w:footnote w:type="continuationSeparator" w:id="0">
    <w:p w14:paraId="5651AE84" w14:textId="77777777" w:rsidR="0044306E" w:rsidRDefault="0044306E" w:rsidP="00E10661">
      <w:pPr>
        <w:spacing w:after="0" w:line="240" w:lineRule="auto"/>
      </w:pPr>
      <w:r>
        <w:continuationSeparator/>
      </w:r>
    </w:p>
  </w:footnote>
  <w:footnote w:type="continuationNotice" w:id="1">
    <w:p w14:paraId="34524F1C" w14:textId="77777777" w:rsidR="0044306E" w:rsidRDefault="0044306E">
      <w:pPr>
        <w:spacing w:after="0" w:line="240" w:lineRule="auto"/>
      </w:pPr>
    </w:p>
  </w:footnote>
  <w:footnote w:id="2">
    <w:p w14:paraId="29943316" w14:textId="1380AB7B" w:rsidR="006A2174" w:rsidRPr="00832810" w:rsidRDefault="00E10661" w:rsidP="003B0640">
      <w:pPr>
        <w:pStyle w:val="FootnoteText"/>
        <w:spacing w:after="120"/>
        <w:rPr>
          <w:rFonts w:ascii="Times New Roman" w:hAnsi="Times New Roman" w:cs="Times New Roman"/>
        </w:rPr>
      </w:pPr>
      <w:r w:rsidRPr="00832810">
        <w:rPr>
          <w:rStyle w:val="FootnoteReference"/>
          <w:rFonts w:cs="Times New Roman"/>
        </w:rPr>
        <w:footnoteRef/>
      </w:r>
      <w:r w:rsidRPr="00832810">
        <w:rPr>
          <w:rFonts w:ascii="Times New Roman" w:hAnsi="Times New Roman" w:cs="Times New Roman"/>
        </w:rPr>
        <w:t xml:space="preserve"> </w:t>
      </w:r>
      <w:r w:rsidR="006A2174" w:rsidRPr="00832810">
        <w:rPr>
          <w:rFonts w:ascii="Times New Roman" w:hAnsi="Times New Roman" w:cs="Times New Roman"/>
          <w:i/>
          <w:iCs/>
        </w:rPr>
        <w:t>Rates for Interstate Inmate Calling Services</w:t>
      </w:r>
      <w:r w:rsidR="006A2174" w:rsidRPr="00832810">
        <w:rPr>
          <w:rFonts w:ascii="Times New Roman" w:hAnsi="Times New Roman" w:cs="Times New Roman"/>
        </w:rPr>
        <w:t>, WC Docket No. 12-375, Third Report and Order, Order on Reconsideration, and Fifth Further Notice of Proposed Rulemaking</w:t>
      </w:r>
      <w:r w:rsidR="00376648" w:rsidRPr="00832810">
        <w:rPr>
          <w:rFonts w:ascii="Times New Roman" w:hAnsi="Times New Roman" w:cs="Times New Roman"/>
        </w:rPr>
        <w:t>,</w:t>
      </w:r>
      <w:r w:rsidR="007C144D" w:rsidRPr="00832810">
        <w:rPr>
          <w:rFonts w:ascii="Times New Roman" w:hAnsi="Times New Roman" w:cs="Times New Roman"/>
        </w:rPr>
        <w:t xml:space="preserve"> </w:t>
      </w:r>
      <w:r w:rsidR="006A4EA7">
        <w:rPr>
          <w:rFonts w:ascii="Times New Roman" w:hAnsi="Times New Roman" w:cs="Times New Roman"/>
        </w:rPr>
        <w:t>36 FCC Rcd 9519 (2021)</w:t>
      </w:r>
      <w:r w:rsidR="007C144D" w:rsidRPr="00832810">
        <w:rPr>
          <w:rFonts w:ascii="Times New Roman" w:hAnsi="Times New Roman" w:cs="Times New Roman"/>
        </w:rPr>
        <w:t xml:space="preserve"> </w:t>
      </w:r>
      <w:r w:rsidR="006A2174" w:rsidRPr="00832810">
        <w:rPr>
          <w:rFonts w:ascii="Times New Roman" w:hAnsi="Times New Roman" w:cs="Times New Roman"/>
        </w:rPr>
        <w:t>(</w:t>
      </w:r>
      <w:r w:rsidR="006A2174" w:rsidRPr="00832810">
        <w:rPr>
          <w:rFonts w:ascii="Times New Roman" w:hAnsi="Times New Roman" w:cs="Times New Roman"/>
          <w:i/>
          <w:iCs/>
        </w:rPr>
        <w:t>2021 ICS</w:t>
      </w:r>
      <w:r w:rsidR="00D3050B" w:rsidRPr="00832810">
        <w:rPr>
          <w:rFonts w:ascii="Times New Roman" w:hAnsi="Times New Roman" w:cs="Times New Roman"/>
          <w:i/>
          <w:iCs/>
        </w:rPr>
        <w:t xml:space="preserve"> Orde</w:t>
      </w:r>
      <w:r w:rsidR="002A7FE9" w:rsidRPr="00832810">
        <w:rPr>
          <w:rFonts w:ascii="Times New Roman" w:hAnsi="Times New Roman" w:cs="Times New Roman"/>
          <w:i/>
          <w:iCs/>
        </w:rPr>
        <w:t>r</w:t>
      </w:r>
      <w:bookmarkStart w:id="0" w:name="_Hlk82418513"/>
      <w:r w:rsidR="00D11AA6">
        <w:rPr>
          <w:rFonts w:ascii="Times New Roman" w:hAnsi="Times New Roman" w:cs="Times New Roman"/>
        </w:rPr>
        <w:t>)</w:t>
      </w:r>
      <w:r w:rsidR="00FB74C9">
        <w:rPr>
          <w:rFonts w:ascii="Times New Roman" w:hAnsi="Times New Roman" w:cs="Times New Roman"/>
          <w:i/>
          <w:iCs/>
        </w:rPr>
        <w:t>.</w:t>
      </w:r>
      <w:r w:rsidR="00B52E17">
        <w:rPr>
          <w:rFonts w:ascii="Times New Roman" w:hAnsi="Times New Roman" w:cs="Times New Roman"/>
          <w:i/>
          <w:iCs/>
        </w:rPr>
        <w:t xml:space="preserve"> </w:t>
      </w:r>
      <w:r w:rsidR="00FB74C9">
        <w:rPr>
          <w:rFonts w:ascii="Times New Roman" w:hAnsi="Times New Roman" w:cs="Times New Roman"/>
          <w:i/>
          <w:iCs/>
        </w:rPr>
        <w:t xml:space="preserve"> </w:t>
      </w:r>
      <w:r w:rsidR="0029712F" w:rsidRPr="00832810">
        <w:rPr>
          <w:rFonts w:ascii="Times New Roman" w:hAnsi="Times New Roman" w:cs="Times New Roman"/>
        </w:rPr>
        <w:t xml:space="preserve">In the </w:t>
      </w:r>
      <w:r w:rsidR="0029712F" w:rsidRPr="00832810">
        <w:rPr>
          <w:rFonts w:ascii="Times New Roman" w:hAnsi="Times New Roman" w:cs="Times New Roman"/>
          <w:i/>
        </w:rPr>
        <w:t>2021 ICS Order</w:t>
      </w:r>
      <w:r w:rsidR="0029712F" w:rsidRPr="00832810">
        <w:rPr>
          <w:rFonts w:ascii="Times New Roman" w:hAnsi="Times New Roman" w:cs="Times New Roman"/>
        </w:rPr>
        <w:t xml:space="preserve">, the Commission found that the </w:t>
      </w:r>
      <w:r w:rsidR="00D446B9" w:rsidRPr="00832810">
        <w:rPr>
          <w:rFonts w:ascii="Times New Roman" w:hAnsi="Times New Roman" w:cs="Times New Roman"/>
        </w:rPr>
        <w:t xml:space="preserve">record demonstrated the need to “collect, in a more consistent and directed manner, the data and information necessary to respond to the various criticisms in the record about the imperfections and inconsistencies in the data from the Second Mandatory Data Collection.”  </w:t>
      </w:r>
      <w:r w:rsidR="007A664E">
        <w:rPr>
          <w:rFonts w:ascii="Times New Roman" w:hAnsi="Times New Roman" w:cs="Times New Roman"/>
          <w:i/>
        </w:rPr>
        <w:t>Id.</w:t>
      </w:r>
      <w:r w:rsidR="00724B3B">
        <w:rPr>
          <w:rFonts w:ascii="Times New Roman" w:hAnsi="Times New Roman" w:cs="Times New Roman"/>
        </w:rPr>
        <w:t xml:space="preserve"> </w:t>
      </w:r>
      <w:r w:rsidR="0069217A" w:rsidRPr="00832810">
        <w:rPr>
          <w:rFonts w:ascii="Times New Roman" w:hAnsi="Times New Roman" w:cs="Times New Roman"/>
        </w:rPr>
        <w:t xml:space="preserve">at </w:t>
      </w:r>
      <w:r w:rsidR="006A4EA7">
        <w:rPr>
          <w:rFonts w:ascii="Times New Roman" w:hAnsi="Times New Roman" w:cs="Times New Roman"/>
        </w:rPr>
        <w:t>9618</w:t>
      </w:r>
      <w:r w:rsidR="0069217A" w:rsidRPr="00832810">
        <w:rPr>
          <w:rFonts w:ascii="Times New Roman" w:hAnsi="Times New Roman" w:cs="Times New Roman"/>
        </w:rPr>
        <w:t xml:space="preserve">, </w:t>
      </w:r>
      <w:r w:rsidR="00D446B9" w:rsidRPr="00832810">
        <w:rPr>
          <w:rFonts w:ascii="Times New Roman" w:hAnsi="Times New Roman" w:cs="Times New Roman"/>
        </w:rPr>
        <w:t xml:space="preserve">para. </w:t>
      </w:r>
      <w:r w:rsidR="0029712F" w:rsidRPr="00832810">
        <w:rPr>
          <w:rFonts w:ascii="Times New Roman" w:hAnsi="Times New Roman" w:cs="Times New Roman"/>
        </w:rPr>
        <w:t>218</w:t>
      </w:r>
      <w:r w:rsidR="00D446B9" w:rsidRPr="00832810">
        <w:rPr>
          <w:rFonts w:ascii="Times New Roman" w:hAnsi="Times New Roman" w:cs="Times New Roman"/>
        </w:rPr>
        <w:t xml:space="preserve">.  </w:t>
      </w:r>
      <w:r w:rsidR="003D2B6A" w:rsidRPr="00832810">
        <w:rPr>
          <w:rFonts w:ascii="Times New Roman" w:hAnsi="Times New Roman" w:cs="Times New Roman"/>
        </w:rPr>
        <w:t xml:space="preserve">The </w:t>
      </w:r>
      <w:r w:rsidR="00D446B9" w:rsidRPr="00832810">
        <w:rPr>
          <w:rFonts w:ascii="Times New Roman" w:hAnsi="Times New Roman" w:cs="Times New Roman"/>
        </w:rPr>
        <w:t xml:space="preserve">Commission reasoned that the benefits of conducting a third data collection “far outweigh any burden to providers “given the “adverse impact that unreasonably high rates and ancillary service charges have on incarcerated people and those family and loved ones they call.”  </w:t>
      </w:r>
      <w:r w:rsidR="006219BD">
        <w:rPr>
          <w:rFonts w:ascii="Times New Roman" w:hAnsi="Times New Roman" w:cs="Times New Roman"/>
          <w:i/>
        </w:rPr>
        <w:t>Id</w:t>
      </w:r>
      <w:r w:rsidR="00B65C3B">
        <w:rPr>
          <w:rFonts w:ascii="Times New Roman" w:hAnsi="Times New Roman" w:cs="Times New Roman"/>
          <w:i/>
        </w:rPr>
        <w:t>.</w:t>
      </w:r>
      <w:r w:rsidR="00D446B9" w:rsidRPr="00832810">
        <w:rPr>
          <w:rFonts w:ascii="Times New Roman" w:hAnsi="Times New Roman" w:cs="Times New Roman"/>
        </w:rPr>
        <w:t xml:space="preserve"> at</w:t>
      </w:r>
      <w:r w:rsidR="006A4EA7">
        <w:rPr>
          <w:rFonts w:ascii="Times New Roman" w:hAnsi="Times New Roman" w:cs="Times New Roman"/>
        </w:rPr>
        <w:t xml:space="preserve"> 9618-19</w:t>
      </w:r>
      <w:r w:rsidR="00D446B9" w:rsidRPr="00832810">
        <w:rPr>
          <w:rFonts w:ascii="Times New Roman" w:hAnsi="Times New Roman" w:cs="Times New Roman"/>
        </w:rPr>
        <w:t>, para. 219.</w:t>
      </w:r>
      <w:bookmarkEnd w:id="0"/>
    </w:p>
  </w:footnote>
  <w:footnote w:id="3">
    <w:p w14:paraId="674588B3" w14:textId="19D755CA" w:rsidR="00694DC6" w:rsidRPr="00213B73" w:rsidRDefault="00C93BD0" w:rsidP="003B0640">
      <w:pPr>
        <w:pStyle w:val="FootnoteText"/>
        <w:spacing w:after="120"/>
        <w:rPr>
          <w:rFonts w:ascii="Times New Roman" w:hAnsi="Times New Roman" w:cs="Times New Roman"/>
        </w:rPr>
      </w:pPr>
      <w:r w:rsidRPr="00213B73">
        <w:rPr>
          <w:rStyle w:val="FootnoteReference"/>
          <w:rFonts w:cs="Times New Roman"/>
        </w:rPr>
        <w:footnoteRef/>
      </w:r>
      <w:r w:rsidRPr="00213B73">
        <w:rPr>
          <w:rFonts w:ascii="Times New Roman" w:hAnsi="Times New Roman" w:cs="Times New Roman"/>
        </w:rPr>
        <w:t xml:space="preserve"> </w:t>
      </w:r>
      <w:r w:rsidR="00880627">
        <w:rPr>
          <w:rFonts w:ascii="Times New Roman" w:hAnsi="Times New Roman" w:cs="Times New Roman"/>
          <w:i/>
        </w:rPr>
        <w:t>Id</w:t>
      </w:r>
      <w:r w:rsidR="008A7CC7">
        <w:rPr>
          <w:rFonts w:ascii="Times New Roman" w:hAnsi="Times New Roman" w:cs="Times New Roman"/>
          <w:i/>
        </w:rPr>
        <w:t>.</w:t>
      </w:r>
      <w:r w:rsidR="0029712F" w:rsidRPr="00832810">
        <w:rPr>
          <w:rFonts w:ascii="Times New Roman" w:hAnsi="Times New Roman" w:cs="Times New Roman"/>
        </w:rPr>
        <w:t xml:space="preserve"> at </w:t>
      </w:r>
      <w:r w:rsidR="006A4EA7">
        <w:rPr>
          <w:rFonts w:ascii="Times New Roman" w:hAnsi="Times New Roman" w:cs="Times New Roman"/>
        </w:rPr>
        <w:t>9618</w:t>
      </w:r>
      <w:r w:rsidR="0029712F" w:rsidRPr="00832810">
        <w:rPr>
          <w:rFonts w:ascii="Times New Roman" w:hAnsi="Times New Roman" w:cs="Times New Roman"/>
        </w:rPr>
        <w:t xml:space="preserve">, para. 218.  </w:t>
      </w:r>
    </w:p>
  </w:footnote>
  <w:footnote w:id="4">
    <w:p w14:paraId="42A311D7" w14:textId="44E59992" w:rsidR="000C7681" w:rsidRPr="00832810" w:rsidRDefault="000C7681" w:rsidP="003B0640">
      <w:pPr>
        <w:pStyle w:val="FootnoteText"/>
        <w:spacing w:after="120"/>
        <w:rPr>
          <w:rFonts w:ascii="Times New Roman" w:hAnsi="Times New Roman" w:cs="Times New Roman"/>
        </w:rPr>
      </w:pPr>
      <w:r w:rsidRPr="00832810">
        <w:rPr>
          <w:rStyle w:val="FootnoteReference"/>
          <w:rFonts w:cs="Times New Roman"/>
        </w:rPr>
        <w:footnoteRef/>
      </w:r>
      <w:r w:rsidRPr="00832810">
        <w:rPr>
          <w:rFonts w:ascii="Times New Roman" w:hAnsi="Times New Roman" w:cs="Times New Roman"/>
        </w:rPr>
        <w:t xml:space="preserve"> </w:t>
      </w:r>
      <w:r w:rsidR="00DD15D7" w:rsidRPr="00832810">
        <w:rPr>
          <w:rFonts w:ascii="Times New Roman" w:hAnsi="Times New Roman" w:cs="Times New Roman"/>
          <w:i/>
          <w:iCs/>
        </w:rPr>
        <w:t>See, e.g</w:t>
      </w:r>
      <w:r w:rsidR="00DD15D7" w:rsidRPr="00832810">
        <w:rPr>
          <w:rFonts w:ascii="Times New Roman" w:hAnsi="Times New Roman" w:cs="Times New Roman"/>
        </w:rPr>
        <w:t xml:space="preserve">., </w:t>
      </w:r>
      <w:r w:rsidR="00DD15D7" w:rsidRPr="00832810">
        <w:rPr>
          <w:rFonts w:ascii="Times New Roman" w:hAnsi="Times New Roman" w:cs="Times New Roman"/>
          <w:i/>
        </w:rPr>
        <w:t>2021 ICS Order</w:t>
      </w:r>
      <w:r w:rsidR="00EC4BF1" w:rsidRPr="00832810">
        <w:rPr>
          <w:rFonts w:ascii="Times New Roman" w:hAnsi="Times New Roman" w:cs="Times New Roman"/>
        </w:rPr>
        <w:t xml:space="preserve"> at </w:t>
      </w:r>
      <w:r w:rsidR="006A4EA7">
        <w:rPr>
          <w:rFonts w:ascii="Times New Roman" w:hAnsi="Times New Roman" w:cs="Times New Roman"/>
        </w:rPr>
        <w:t>9548-49</w:t>
      </w:r>
      <w:r w:rsidR="00EC4BF1" w:rsidRPr="00832810">
        <w:rPr>
          <w:rFonts w:ascii="Times New Roman" w:hAnsi="Times New Roman" w:cs="Times New Roman"/>
        </w:rPr>
        <w:t xml:space="preserve">, </w:t>
      </w:r>
      <w:r w:rsidR="00DD15D7" w:rsidRPr="00832810">
        <w:rPr>
          <w:rFonts w:ascii="Times New Roman" w:hAnsi="Times New Roman" w:cs="Times New Roman"/>
        </w:rPr>
        <w:t>para. 71.</w:t>
      </w:r>
      <w:r w:rsidR="0010516E" w:rsidRPr="00832810">
        <w:rPr>
          <w:rFonts w:ascii="Times New Roman" w:hAnsi="Times New Roman" w:cs="Times New Roman"/>
        </w:rPr>
        <w:t xml:space="preserve">  The Commission has conducted two prior mandatory data collections relating to inmate calling services in the past—the </w:t>
      </w:r>
      <w:r w:rsidR="00AE14BD" w:rsidRPr="00832810">
        <w:rPr>
          <w:rFonts w:ascii="Times New Roman" w:hAnsi="Times New Roman" w:cs="Times New Roman"/>
        </w:rPr>
        <w:t>201</w:t>
      </w:r>
      <w:r w:rsidR="00AE14BD">
        <w:rPr>
          <w:rFonts w:ascii="Times New Roman" w:hAnsi="Times New Roman" w:cs="Times New Roman"/>
        </w:rPr>
        <w:t>4</w:t>
      </w:r>
      <w:r w:rsidR="00AE14BD" w:rsidRPr="00832810">
        <w:rPr>
          <w:rFonts w:ascii="Times New Roman" w:hAnsi="Times New Roman" w:cs="Times New Roman"/>
        </w:rPr>
        <w:t xml:space="preserve"> </w:t>
      </w:r>
      <w:r w:rsidR="0010516E" w:rsidRPr="00832810">
        <w:rPr>
          <w:rFonts w:ascii="Times New Roman" w:hAnsi="Times New Roman" w:cs="Times New Roman"/>
        </w:rPr>
        <w:t xml:space="preserve">First Mandatory Data Collection and the 2015 Second Mandatory Data Collection.  </w:t>
      </w:r>
      <w:r w:rsidR="0010516E" w:rsidRPr="00832810">
        <w:rPr>
          <w:rFonts w:ascii="Times New Roman" w:hAnsi="Times New Roman" w:cs="Times New Roman"/>
          <w:i/>
        </w:rPr>
        <w:t>See, e.g</w:t>
      </w:r>
      <w:r w:rsidR="0010516E" w:rsidRPr="00832810">
        <w:rPr>
          <w:rFonts w:ascii="Times New Roman" w:hAnsi="Times New Roman" w:cs="Times New Roman"/>
        </w:rPr>
        <w:t xml:space="preserve">., </w:t>
      </w:r>
      <w:r w:rsidR="0010516E" w:rsidRPr="00832810">
        <w:rPr>
          <w:rFonts w:ascii="Times New Roman" w:hAnsi="Times New Roman" w:cs="Times New Roman"/>
          <w:i/>
        </w:rPr>
        <w:t>2021 ICS Order</w:t>
      </w:r>
      <w:r w:rsidR="0010516E" w:rsidRPr="00832810">
        <w:rPr>
          <w:rFonts w:ascii="Times New Roman" w:hAnsi="Times New Roman" w:cs="Times New Roman"/>
        </w:rPr>
        <w:t xml:space="preserve"> at </w:t>
      </w:r>
      <w:r w:rsidR="006A4EA7">
        <w:rPr>
          <w:rFonts w:ascii="Times New Roman" w:hAnsi="Times New Roman" w:cs="Times New Roman"/>
        </w:rPr>
        <w:t>9618-19</w:t>
      </w:r>
      <w:r w:rsidR="0010516E" w:rsidRPr="00832810">
        <w:rPr>
          <w:rFonts w:ascii="Times New Roman" w:hAnsi="Times New Roman" w:cs="Times New Roman"/>
        </w:rPr>
        <w:t>, para. 219 (discussing the two prior data collections).</w:t>
      </w:r>
    </w:p>
  </w:footnote>
  <w:footnote w:id="5">
    <w:p w14:paraId="0D9C443B" w14:textId="728C5738" w:rsidR="00306247" w:rsidRPr="00832810" w:rsidRDefault="00EE4D0A" w:rsidP="003B0640">
      <w:pPr>
        <w:pStyle w:val="FootnoteText"/>
        <w:spacing w:after="120"/>
        <w:rPr>
          <w:rFonts w:ascii="Times New Roman" w:hAnsi="Times New Roman" w:cs="Times New Roman"/>
        </w:rPr>
      </w:pPr>
      <w:r w:rsidRPr="00832810">
        <w:rPr>
          <w:rStyle w:val="FootnoteReference"/>
          <w:rFonts w:cs="Times New Roman"/>
        </w:rPr>
        <w:footnoteRef/>
      </w:r>
      <w:r w:rsidRPr="00832810">
        <w:rPr>
          <w:rFonts w:ascii="Times New Roman" w:hAnsi="Times New Roman" w:cs="Times New Roman"/>
        </w:rPr>
        <w:t xml:space="preserve"> </w:t>
      </w:r>
      <w:r w:rsidRPr="00832810">
        <w:rPr>
          <w:rFonts w:ascii="Times New Roman" w:hAnsi="Times New Roman" w:cs="Times New Roman"/>
          <w:i/>
        </w:rPr>
        <w:t>2021 ICS Order</w:t>
      </w:r>
      <w:r w:rsidR="00EC4BF1" w:rsidRPr="00832810">
        <w:rPr>
          <w:rFonts w:ascii="Times New Roman" w:hAnsi="Times New Roman" w:cs="Times New Roman"/>
        </w:rPr>
        <w:t xml:space="preserve"> at </w:t>
      </w:r>
      <w:r w:rsidR="00D6420C">
        <w:rPr>
          <w:rFonts w:ascii="Times New Roman" w:hAnsi="Times New Roman" w:cs="Times New Roman"/>
        </w:rPr>
        <w:t>9619-20</w:t>
      </w:r>
      <w:r w:rsidRPr="00832810">
        <w:rPr>
          <w:rFonts w:ascii="Times New Roman" w:hAnsi="Times New Roman" w:cs="Times New Roman"/>
        </w:rPr>
        <w:t>, para. 221.</w:t>
      </w:r>
      <w:r w:rsidR="00D76FF4" w:rsidRPr="00832810">
        <w:rPr>
          <w:rFonts w:ascii="Times New Roman" w:hAnsi="Times New Roman" w:cs="Times New Roman"/>
        </w:rPr>
        <w:t xml:space="preserve">  In addition to adopting the Third Mandatory Data Collection, the Commission expanded consumer disclosure requirements, </w:t>
      </w:r>
      <w:r w:rsidR="000D6BFC">
        <w:rPr>
          <w:rFonts w:ascii="Times New Roman" w:hAnsi="Times New Roman" w:cs="Times New Roman"/>
        </w:rPr>
        <w:t xml:space="preserve">and adopted </w:t>
      </w:r>
      <w:r w:rsidR="00D76FF4" w:rsidRPr="00832810">
        <w:rPr>
          <w:rFonts w:ascii="Times New Roman" w:hAnsi="Times New Roman" w:cs="Times New Roman"/>
        </w:rPr>
        <w:t xml:space="preserve">new reporting requirements for ICS providers seeking </w:t>
      </w:r>
      <w:r w:rsidR="000D6BFC">
        <w:rPr>
          <w:rFonts w:ascii="Times New Roman" w:hAnsi="Times New Roman" w:cs="Times New Roman"/>
        </w:rPr>
        <w:t xml:space="preserve">a </w:t>
      </w:r>
      <w:r w:rsidR="00D76FF4" w:rsidRPr="00832810">
        <w:rPr>
          <w:rFonts w:ascii="Times New Roman" w:hAnsi="Times New Roman" w:cs="Times New Roman"/>
        </w:rPr>
        <w:t xml:space="preserve">waiver of the Commission’s interstate and international rate caps.  With regard to international rates, the Commission required that providers must separately disclose the rate component for terminating calls to each country where that provider terminates international calls.  We address all of these requirements in a separate collection.  </w:t>
      </w:r>
      <w:r w:rsidR="00D76FF4" w:rsidRPr="00832810">
        <w:rPr>
          <w:rFonts w:ascii="Times New Roman" w:hAnsi="Times New Roman" w:cs="Times New Roman"/>
          <w:i/>
          <w:iCs/>
        </w:rPr>
        <w:t>See</w:t>
      </w:r>
      <w:r w:rsidR="00D76FF4" w:rsidRPr="00832810">
        <w:rPr>
          <w:rFonts w:ascii="Times New Roman" w:hAnsi="Times New Roman" w:cs="Times New Roman"/>
        </w:rPr>
        <w:t xml:space="preserve"> OMB Collection 3060-1222 (“Inmate Calling Services (ICS) Provider Annual Reporting, Certification, Consumer Disclosure</w:t>
      </w:r>
      <w:r w:rsidR="00FB74C9">
        <w:rPr>
          <w:rFonts w:ascii="Times New Roman" w:hAnsi="Times New Roman" w:cs="Times New Roman"/>
        </w:rPr>
        <w:t>, and Waiver Request</w:t>
      </w:r>
      <w:r w:rsidR="00D76FF4" w:rsidRPr="00832810">
        <w:rPr>
          <w:rFonts w:ascii="Times New Roman" w:hAnsi="Times New Roman" w:cs="Times New Roman"/>
        </w:rPr>
        <w:t xml:space="preserve"> Requirements”).</w:t>
      </w:r>
    </w:p>
  </w:footnote>
  <w:footnote w:id="6">
    <w:p w14:paraId="458C6C72" w14:textId="2937C5F1" w:rsidR="006B3725" w:rsidRPr="00832810" w:rsidRDefault="00AD55DD" w:rsidP="003B0640">
      <w:pPr>
        <w:pStyle w:val="FootnoteText"/>
        <w:spacing w:after="120"/>
        <w:rPr>
          <w:rFonts w:ascii="Times New Roman" w:hAnsi="Times New Roman" w:cs="Times New Roman"/>
        </w:rPr>
      </w:pPr>
      <w:r w:rsidRPr="00832810">
        <w:rPr>
          <w:rStyle w:val="FootnoteReference"/>
          <w:rFonts w:cs="Times New Roman"/>
        </w:rPr>
        <w:footnoteRef/>
      </w:r>
      <w:r w:rsidRPr="00832810">
        <w:rPr>
          <w:rFonts w:ascii="Times New Roman" w:hAnsi="Times New Roman" w:cs="Times New Roman"/>
        </w:rPr>
        <w:t xml:space="preserve"> </w:t>
      </w:r>
      <w:r w:rsidRPr="00832810">
        <w:rPr>
          <w:rFonts w:ascii="Times New Roman" w:hAnsi="Times New Roman" w:cs="Times New Roman"/>
          <w:i/>
        </w:rPr>
        <w:t>2021 ICS Order</w:t>
      </w:r>
      <w:r w:rsidR="00B5557B" w:rsidRPr="00832810">
        <w:rPr>
          <w:rFonts w:ascii="Times New Roman" w:hAnsi="Times New Roman" w:cs="Times New Roman"/>
        </w:rPr>
        <w:t xml:space="preserve"> </w:t>
      </w:r>
      <w:r w:rsidRPr="00832810">
        <w:rPr>
          <w:rFonts w:ascii="Times New Roman" w:hAnsi="Times New Roman" w:cs="Times New Roman"/>
        </w:rPr>
        <w:t xml:space="preserve">at </w:t>
      </w:r>
      <w:r w:rsidR="00FC2B23">
        <w:rPr>
          <w:rFonts w:ascii="Times New Roman" w:hAnsi="Times New Roman" w:cs="Times New Roman"/>
        </w:rPr>
        <w:t>9618, 9619-20</w:t>
      </w:r>
      <w:r w:rsidR="00B5557B" w:rsidRPr="00832810">
        <w:rPr>
          <w:rFonts w:ascii="Times New Roman" w:hAnsi="Times New Roman" w:cs="Times New Roman"/>
        </w:rPr>
        <w:t xml:space="preserve">, </w:t>
      </w:r>
      <w:r w:rsidRPr="00832810">
        <w:rPr>
          <w:rFonts w:ascii="Times New Roman" w:hAnsi="Times New Roman" w:cs="Times New Roman"/>
        </w:rPr>
        <w:t xml:space="preserve">paras. 218, 221.  The </w:t>
      </w:r>
      <w:r w:rsidR="00A17783" w:rsidRPr="00832810">
        <w:rPr>
          <w:rFonts w:ascii="Times New Roman" w:hAnsi="Times New Roman" w:cs="Times New Roman"/>
        </w:rPr>
        <w:t xml:space="preserve">draft instructions and template for the Third Mandatory Data Collection are posted on the Commission’s website.  </w:t>
      </w:r>
      <w:r w:rsidR="00A17783" w:rsidRPr="00832810">
        <w:rPr>
          <w:rFonts w:ascii="Times New Roman" w:hAnsi="Times New Roman" w:cs="Times New Roman"/>
          <w:i/>
        </w:rPr>
        <w:t>See</w:t>
      </w:r>
      <w:r w:rsidR="00A17783" w:rsidRPr="00832810">
        <w:rPr>
          <w:rFonts w:ascii="Times New Roman" w:hAnsi="Times New Roman" w:cs="Times New Roman"/>
        </w:rPr>
        <w:t xml:space="preserve"> Appx. A.</w:t>
      </w:r>
      <w:r w:rsidR="008F529E" w:rsidRPr="00832810">
        <w:rPr>
          <w:rFonts w:ascii="Times New Roman" w:hAnsi="Times New Roman" w:cs="Times New Roman"/>
        </w:rPr>
        <w:t xml:space="preserve">  The template consists of a Word document and </w:t>
      </w:r>
      <w:r w:rsidR="00712408" w:rsidRPr="00832810">
        <w:rPr>
          <w:rFonts w:ascii="Times New Roman" w:hAnsi="Times New Roman" w:cs="Times New Roman"/>
        </w:rPr>
        <w:t>Excel spreadsheets.</w:t>
      </w:r>
    </w:p>
  </w:footnote>
  <w:footnote w:id="7">
    <w:p w14:paraId="43951574" w14:textId="26F7BB20" w:rsidR="00347D64" w:rsidRPr="00832810" w:rsidRDefault="006B3725" w:rsidP="003B0640">
      <w:pPr>
        <w:pStyle w:val="FootnoteText"/>
        <w:spacing w:after="120"/>
        <w:rPr>
          <w:rFonts w:ascii="Times New Roman" w:hAnsi="Times New Roman" w:cs="Times New Roman"/>
        </w:rPr>
      </w:pPr>
      <w:r w:rsidRPr="00832810">
        <w:rPr>
          <w:rStyle w:val="FootnoteReference"/>
          <w:rFonts w:cs="Times New Roman"/>
        </w:rPr>
        <w:footnoteRef/>
      </w:r>
      <w:r w:rsidRPr="00832810">
        <w:rPr>
          <w:rFonts w:ascii="Times New Roman" w:hAnsi="Times New Roman" w:cs="Times New Roman"/>
        </w:rPr>
        <w:t xml:space="preserve"> </w:t>
      </w:r>
      <w:r w:rsidR="004B696A" w:rsidRPr="00832810">
        <w:rPr>
          <w:rFonts w:ascii="Times New Roman" w:hAnsi="Times New Roman" w:cs="Times New Roman"/>
          <w:i/>
        </w:rPr>
        <w:t>2021 ICS Order</w:t>
      </w:r>
      <w:r w:rsidR="00B636B2" w:rsidRPr="00832810">
        <w:rPr>
          <w:rFonts w:ascii="Times New Roman" w:hAnsi="Times New Roman" w:cs="Times New Roman"/>
        </w:rPr>
        <w:t xml:space="preserve"> at </w:t>
      </w:r>
      <w:r w:rsidR="00FC2B23">
        <w:rPr>
          <w:rFonts w:ascii="Times New Roman" w:hAnsi="Times New Roman" w:cs="Times New Roman"/>
        </w:rPr>
        <w:t>9620-21</w:t>
      </w:r>
      <w:r w:rsidR="00B636B2" w:rsidRPr="00832810">
        <w:rPr>
          <w:rFonts w:ascii="Times New Roman" w:hAnsi="Times New Roman" w:cs="Times New Roman"/>
        </w:rPr>
        <w:t xml:space="preserve">, </w:t>
      </w:r>
      <w:r w:rsidR="004B696A" w:rsidRPr="00832810">
        <w:rPr>
          <w:rFonts w:ascii="Times New Roman" w:hAnsi="Times New Roman" w:cs="Times New Roman"/>
        </w:rPr>
        <w:t>paras. 223-25</w:t>
      </w:r>
      <w:r w:rsidR="00B636B2" w:rsidRPr="00832810">
        <w:rPr>
          <w:rFonts w:ascii="Times New Roman" w:hAnsi="Times New Roman" w:cs="Times New Roman"/>
        </w:rPr>
        <w:t>.</w:t>
      </w:r>
      <w:r w:rsidR="0066232F" w:rsidRPr="00832810">
        <w:rPr>
          <w:rFonts w:ascii="Times New Roman" w:hAnsi="Times New Roman" w:cs="Times New Roman"/>
        </w:rPr>
        <w:t xml:space="preserve">  The Commission also directed WCB/OEA to “incorporate lessons learned from the two prior data collections to ensure that [the Commission] collect[s], to the extent possible, uniform cost, demand, and revenue data from each provider.  </w:t>
      </w:r>
      <w:r w:rsidR="0066232F" w:rsidRPr="00832810">
        <w:rPr>
          <w:rFonts w:ascii="Times New Roman" w:hAnsi="Times New Roman" w:cs="Times New Roman"/>
          <w:i/>
        </w:rPr>
        <w:t>Id.</w:t>
      </w:r>
      <w:r w:rsidR="00E32D21">
        <w:rPr>
          <w:rFonts w:ascii="Times New Roman" w:hAnsi="Times New Roman" w:cs="Times New Roman"/>
        </w:rPr>
        <w:t xml:space="preserve"> at 9621</w:t>
      </w:r>
      <w:r w:rsidR="0066232F" w:rsidRPr="00832810">
        <w:rPr>
          <w:rFonts w:ascii="Times New Roman" w:hAnsi="Times New Roman" w:cs="Times New Roman"/>
        </w:rPr>
        <w:t xml:space="preserve">, para. 225; </w:t>
      </w:r>
      <w:r w:rsidR="0066232F" w:rsidRPr="00832810">
        <w:rPr>
          <w:rFonts w:ascii="Times New Roman" w:hAnsi="Times New Roman" w:cs="Times New Roman"/>
          <w:i/>
        </w:rPr>
        <w:t>see also id</w:t>
      </w:r>
      <w:r w:rsidR="0066232F" w:rsidRPr="00832810">
        <w:rPr>
          <w:rFonts w:ascii="Times New Roman" w:hAnsi="Times New Roman" w:cs="Times New Roman"/>
        </w:rPr>
        <w:t>. at</w:t>
      </w:r>
      <w:r w:rsidR="00E32D21">
        <w:rPr>
          <w:rFonts w:ascii="Times New Roman" w:hAnsi="Times New Roman" w:cs="Times New Roman"/>
        </w:rPr>
        <w:t xml:space="preserve"> 9621-22</w:t>
      </w:r>
      <w:r w:rsidR="0066232F" w:rsidRPr="00832810">
        <w:rPr>
          <w:rFonts w:ascii="Times New Roman" w:hAnsi="Times New Roman" w:cs="Times New Roman"/>
        </w:rPr>
        <w:t>, para. 226 (directing WCB/OEA to collec</w:t>
      </w:r>
      <w:r w:rsidR="009B6ED1">
        <w:rPr>
          <w:rFonts w:ascii="Times New Roman" w:hAnsi="Times New Roman" w:cs="Times New Roman"/>
        </w:rPr>
        <w:t>t</w:t>
      </w:r>
      <w:r w:rsidR="0066232F" w:rsidRPr="00832810">
        <w:rPr>
          <w:rFonts w:ascii="Times New Roman" w:hAnsi="Times New Roman" w:cs="Times New Roman"/>
        </w:rPr>
        <w:t>, at a minimum, information designed to enable the Commission to meet certain objectives).</w:t>
      </w:r>
    </w:p>
  </w:footnote>
  <w:footnote w:id="8">
    <w:p w14:paraId="3F9502CD" w14:textId="2166CFBA" w:rsidR="008F698A" w:rsidRPr="00213B73" w:rsidRDefault="008F698A" w:rsidP="003B0640">
      <w:pPr>
        <w:pStyle w:val="FootnoteText"/>
        <w:spacing w:after="120"/>
        <w:rPr>
          <w:rFonts w:ascii="Times New Roman" w:hAnsi="Times New Roman" w:cs="Times New Roman"/>
        </w:rPr>
      </w:pPr>
      <w:r w:rsidRPr="00213B73">
        <w:rPr>
          <w:rStyle w:val="FootnoteReference"/>
          <w:rFonts w:cs="Times New Roman"/>
        </w:rPr>
        <w:footnoteRef/>
      </w:r>
      <w:r w:rsidRPr="00213B73">
        <w:rPr>
          <w:rFonts w:ascii="Times New Roman" w:hAnsi="Times New Roman" w:cs="Times New Roman"/>
        </w:rPr>
        <w:t xml:space="preserve"> </w:t>
      </w:r>
      <w:r w:rsidRPr="00832810">
        <w:rPr>
          <w:rFonts w:ascii="Times New Roman" w:hAnsi="Times New Roman" w:cs="Times New Roman"/>
          <w:i/>
          <w:iCs/>
        </w:rPr>
        <w:t xml:space="preserve">See </w:t>
      </w:r>
      <w:r w:rsidR="00DD436D">
        <w:rPr>
          <w:rFonts w:ascii="Times New Roman" w:hAnsi="Times New Roman" w:cs="Times New Roman"/>
          <w:i/>
          <w:iCs/>
        </w:rPr>
        <w:t>id.</w:t>
      </w:r>
      <w:r w:rsidR="00B636B2" w:rsidRPr="00832810">
        <w:rPr>
          <w:rFonts w:ascii="Times New Roman" w:hAnsi="Times New Roman" w:cs="Times New Roman"/>
        </w:rPr>
        <w:t xml:space="preserve"> at </w:t>
      </w:r>
      <w:r w:rsidR="00E32D21">
        <w:rPr>
          <w:rFonts w:ascii="Times New Roman" w:hAnsi="Times New Roman" w:cs="Times New Roman"/>
        </w:rPr>
        <w:t>9622</w:t>
      </w:r>
      <w:r w:rsidR="00B636B2" w:rsidRPr="00832810">
        <w:rPr>
          <w:rFonts w:ascii="Times New Roman" w:hAnsi="Times New Roman" w:cs="Times New Roman"/>
        </w:rPr>
        <w:t>,</w:t>
      </w:r>
      <w:r w:rsidRPr="00832810">
        <w:rPr>
          <w:rFonts w:ascii="Times New Roman" w:hAnsi="Times New Roman" w:cs="Times New Roman"/>
        </w:rPr>
        <w:t xml:space="preserve"> para. 22</w:t>
      </w:r>
      <w:r w:rsidR="00220A0A" w:rsidRPr="00832810">
        <w:rPr>
          <w:rFonts w:ascii="Times New Roman" w:hAnsi="Times New Roman" w:cs="Times New Roman"/>
        </w:rPr>
        <w:t>7</w:t>
      </w:r>
      <w:r w:rsidRPr="00832810">
        <w:rPr>
          <w:rFonts w:ascii="Times New Roman" w:hAnsi="Times New Roman" w:cs="Times New Roman"/>
        </w:rPr>
        <w:t>.</w:t>
      </w:r>
    </w:p>
  </w:footnote>
  <w:footnote w:id="9">
    <w:p w14:paraId="5EE1F203" w14:textId="1046D8A8" w:rsidR="00956416" w:rsidRPr="00296CAE" w:rsidRDefault="00956416" w:rsidP="003B0640">
      <w:pPr>
        <w:pStyle w:val="FootnoteText"/>
        <w:spacing w:after="120"/>
        <w:rPr>
          <w:i/>
          <w:iCs/>
        </w:rPr>
      </w:pPr>
      <w:r>
        <w:rPr>
          <w:rStyle w:val="FootnoteReference"/>
        </w:rPr>
        <w:footnoteRef/>
      </w:r>
      <w:r>
        <w:t xml:space="preserve"> </w:t>
      </w:r>
      <w:r w:rsidR="00C02DD5" w:rsidRPr="00C02DD5">
        <w:rPr>
          <w:rFonts w:ascii="Times New Roman" w:hAnsi="Times New Roman" w:cs="Times New Roman"/>
          <w:i/>
          <w:iCs/>
        </w:rPr>
        <w:t>Id</w:t>
      </w:r>
      <w:r w:rsidR="00C02DD5">
        <w:rPr>
          <w:rFonts w:ascii="Times New Roman" w:hAnsi="Times New Roman" w:cs="Times New Roman"/>
        </w:rPr>
        <w:t>.</w:t>
      </w:r>
    </w:p>
  </w:footnote>
  <w:footnote w:id="10">
    <w:p w14:paraId="67C7207B" w14:textId="20DBE8F5" w:rsidR="00D657A5" w:rsidRPr="00296CAE" w:rsidRDefault="00D657A5" w:rsidP="003B0640">
      <w:pPr>
        <w:pStyle w:val="FootnoteText"/>
        <w:spacing w:after="120"/>
        <w:rPr>
          <w:i/>
          <w:iCs/>
        </w:rPr>
      </w:pPr>
      <w:r>
        <w:rPr>
          <w:rStyle w:val="FootnoteReference"/>
        </w:rPr>
        <w:footnoteRef/>
      </w:r>
      <w:r>
        <w:t xml:space="preserve"> </w:t>
      </w:r>
      <w:r w:rsidR="00C02DD5">
        <w:rPr>
          <w:rFonts w:ascii="Times New Roman" w:hAnsi="Times New Roman" w:cs="Times New Roman"/>
          <w:i/>
          <w:iCs/>
        </w:rPr>
        <w:t>Id.</w:t>
      </w:r>
    </w:p>
  </w:footnote>
  <w:footnote w:id="11">
    <w:p w14:paraId="5E1CEA37" w14:textId="0953126F" w:rsidR="002646F5" w:rsidRPr="00213B73" w:rsidRDefault="002646F5" w:rsidP="003B0640">
      <w:pPr>
        <w:pStyle w:val="FootnoteText"/>
        <w:spacing w:after="120"/>
        <w:rPr>
          <w:rFonts w:ascii="Times New Roman" w:hAnsi="Times New Roman" w:cs="Times New Roman"/>
        </w:rPr>
      </w:pPr>
      <w:r w:rsidRPr="00213B73">
        <w:rPr>
          <w:rStyle w:val="FootnoteReference"/>
          <w:rFonts w:cs="Times New Roman"/>
        </w:rPr>
        <w:footnoteRef/>
      </w:r>
      <w:r w:rsidRPr="00213B73">
        <w:rPr>
          <w:rFonts w:ascii="Times New Roman" w:hAnsi="Times New Roman" w:cs="Times New Roman"/>
        </w:rPr>
        <w:t xml:space="preserve"> </w:t>
      </w:r>
      <w:r w:rsidRPr="00213B73">
        <w:rPr>
          <w:rFonts w:ascii="Times New Roman" w:hAnsi="Times New Roman" w:cs="Times New Roman"/>
          <w:i/>
        </w:rPr>
        <w:t>See</w:t>
      </w:r>
      <w:r w:rsidRPr="00213B73">
        <w:rPr>
          <w:rFonts w:ascii="Times New Roman" w:hAnsi="Times New Roman" w:cs="Times New Roman"/>
        </w:rPr>
        <w:t xml:space="preserve"> Appx. A.</w:t>
      </w:r>
    </w:p>
  </w:footnote>
  <w:footnote w:id="12">
    <w:p w14:paraId="6979C54D" w14:textId="77777777" w:rsidR="00C04896" w:rsidRPr="00D47E25" w:rsidRDefault="00C04896" w:rsidP="003B0640">
      <w:pPr>
        <w:pStyle w:val="FootnoteText"/>
        <w:spacing w:after="120"/>
        <w:rPr>
          <w:rFonts w:ascii="Times New Roman" w:hAnsi="Times New Roman" w:cs="Times New Roman"/>
        </w:rPr>
      </w:pPr>
      <w:r>
        <w:rPr>
          <w:rStyle w:val="FootnoteReference"/>
        </w:rPr>
        <w:footnoteRef/>
      </w:r>
      <w:r>
        <w:t xml:space="preserve"> </w:t>
      </w:r>
      <w:r w:rsidRPr="00D47E25">
        <w:rPr>
          <w:rFonts w:ascii="Times New Roman" w:hAnsi="Times New Roman" w:cs="Times New Roman"/>
          <w:i/>
          <w:iCs/>
        </w:rPr>
        <w:t>WCB and OEA Seek Comment on Upcoming Third Mandatory Data Collection for Inmate Calling Services</w:t>
      </w:r>
      <w:r>
        <w:rPr>
          <w:rFonts w:ascii="Times New Roman" w:hAnsi="Times New Roman" w:cs="Times New Roman"/>
        </w:rPr>
        <w:t>, WC Docket No. 12-375, Public Notice, DA 21-1192 (WCB/OEA Sept. 22, 2021) (</w:t>
      </w:r>
      <w:r w:rsidRPr="00347D98">
        <w:rPr>
          <w:rFonts w:ascii="Times New Roman" w:hAnsi="Times New Roman" w:cs="Times New Roman"/>
          <w:i/>
          <w:iCs/>
        </w:rPr>
        <w:t>Third MDC Public Notice</w:t>
      </w:r>
      <w:r>
        <w:rPr>
          <w:rFonts w:ascii="Times New Roman" w:hAnsi="Times New Roman" w:cs="Times New Roman"/>
        </w:rPr>
        <w:t>).</w:t>
      </w:r>
    </w:p>
  </w:footnote>
  <w:footnote w:id="13">
    <w:p w14:paraId="38F0B8E6" w14:textId="003BDAA8" w:rsidR="00C75419" w:rsidRPr="0085091B" w:rsidRDefault="00C75419" w:rsidP="003B0640">
      <w:pPr>
        <w:pStyle w:val="FootnoteText"/>
        <w:spacing w:after="120"/>
        <w:rPr>
          <w:rFonts w:ascii="Times New Roman" w:hAnsi="Times New Roman" w:cs="Times New Roman"/>
          <w:i/>
          <w:iCs/>
        </w:rPr>
      </w:pPr>
      <w:r>
        <w:rPr>
          <w:rStyle w:val="FootnoteReference"/>
        </w:rPr>
        <w:footnoteRef/>
      </w:r>
      <w:r>
        <w:t xml:space="preserve"> </w:t>
      </w:r>
      <w:r w:rsidR="0085091B" w:rsidRPr="0085091B">
        <w:rPr>
          <w:rFonts w:ascii="Times New Roman" w:hAnsi="Times New Roman" w:cs="Times New Roman"/>
          <w:i/>
          <w:iCs/>
        </w:rPr>
        <w:t>Rates for Interstate Inmate Calling Services</w:t>
      </w:r>
      <w:r w:rsidR="0085091B">
        <w:rPr>
          <w:rFonts w:ascii="Times New Roman" w:hAnsi="Times New Roman" w:cs="Times New Roman"/>
        </w:rPr>
        <w:t>, WC Docket 12-375, Order, DA 22-</w:t>
      </w:r>
      <w:r w:rsidR="009E6148">
        <w:rPr>
          <w:rFonts w:ascii="Times New Roman" w:hAnsi="Times New Roman" w:cs="Times New Roman"/>
        </w:rPr>
        <w:t>5</w:t>
      </w:r>
      <w:r w:rsidR="00686E80">
        <w:rPr>
          <w:rFonts w:ascii="Times New Roman" w:hAnsi="Times New Roman" w:cs="Times New Roman"/>
        </w:rPr>
        <w:t>2</w:t>
      </w:r>
      <w:r w:rsidR="0085091B">
        <w:rPr>
          <w:rFonts w:ascii="Times New Roman" w:hAnsi="Times New Roman" w:cs="Times New Roman"/>
        </w:rPr>
        <w:t xml:space="preserve"> (WCB/OEA Jan. 18, 2022)</w:t>
      </w:r>
      <w:r w:rsidR="006A4396">
        <w:rPr>
          <w:rFonts w:ascii="Times New Roman" w:hAnsi="Times New Roman" w:cs="Times New Roman"/>
        </w:rPr>
        <w:t xml:space="preserve"> </w:t>
      </w:r>
      <w:r w:rsidR="005F05E1">
        <w:rPr>
          <w:rFonts w:ascii="Times New Roman" w:hAnsi="Times New Roman" w:cs="Times New Roman"/>
        </w:rPr>
        <w:t>(</w:t>
      </w:r>
      <w:r w:rsidR="005F05E1" w:rsidRPr="00736D0F">
        <w:rPr>
          <w:rFonts w:ascii="Times New Roman" w:hAnsi="Times New Roman" w:cs="Times New Roman"/>
          <w:i/>
          <w:iCs/>
        </w:rPr>
        <w:t xml:space="preserve">Third </w:t>
      </w:r>
      <w:r w:rsidR="00352BCC">
        <w:rPr>
          <w:rFonts w:ascii="Times New Roman" w:hAnsi="Times New Roman" w:cs="Times New Roman"/>
          <w:i/>
          <w:iCs/>
        </w:rPr>
        <w:t>MDC</w:t>
      </w:r>
      <w:r w:rsidR="005F05E1" w:rsidRPr="00736D0F">
        <w:rPr>
          <w:rFonts w:ascii="Times New Roman" w:hAnsi="Times New Roman" w:cs="Times New Roman"/>
          <w:i/>
          <w:iCs/>
        </w:rPr>
        <w:t xml:space="preserve"> Adoption Order</w:t>
      </w:r>
      <w:r w:rsidR="00F0494A">
        <w:rPr>
          <w:rFonts w:ascii="Times New Roman" w:hAnsi="Times New Roman" w:cs="Times New Roman"/>
        </w:rPr>
        <w:t>)</w:t>
      </w:r>
      <w:r w:rsidR="00B46B19">
        <w:rPr>
          <w:rFonts w:ascii="Times New Roman" w:hAnsi="Times New Roman" w:cs="Times New Roman"/>
        </w:rPr>
        <w:t>.</w:t>
      </w:r>
    </w:p>
  </w:footnote>
  <w:footnote w:id="14">
    <w:p w14:paraId="64EE7A97" w14:textId="13400878" w:rsidR="006D2CFF" w:rsidRPr="00B27E58" w:rsidRDefault="006D2CFF" w:rsidP="006D2CFF">
      <w:pPr>
        <w:pStyle w:val="FootnoteText"/>
        <w:spacing w:after="120"/>
        <w:rPr>
          <w:rFonts w:ascii="Times New Roman" w:hAnsi="Times New Roman" w:cs="Times New Roman"/>
        </w:rPr>
      </w:pPr>
      <w:r>
        <w:rPr>
          <w:rStyle w:val="FootnoteReference"/>
        </w:rPr>
        <w:footnoteRef/>
      </w:r>
      <w:r>
        <w:t xml:space="preserve"> </w:t>
      </w:r>
      <w:r w:rsidRPr="00C37EC3">
        <w:rPr>
          <w:rFonts w:ascii="Times New Roman" w:hAnsi="Times New Roman" w:cs="Times New Roman"/>
        </w:rPr>
        <w:t xml:space="preserve">GTL </w:t>
      </w:r>
      <w:r w:rsidR="00AF7AC1">
        <w:rPr>
          <w:rFonts w:ascii="Times New Roman" w:hAnsi="Times New Roman" w:cs="Times New Roman"/>
        </w:rPr>
        <w:t>Paperwork Reduction Act Comments (filed Dec. 6, 202</w:t>
      </w:r>
      <w:r w:rsidR="00942D8E">
        <w:rPr>
          <w:rFonts w:ascii="Times New Roman" w:hAnsi="Times New Roman" w:cs="Times New Roman"/>
        </w:rPr>
        <w:t>1) (GTL</w:t>
      </w:r>
      <w:r w:rsidRPr="00C37EC3">
        <w:rPr>
          <w:rFonts w:ascii="Times New Roman" w:hAnsi="Times New Roman" w:cs="Times New Roman"/>
        </w:rPr>
        <w:t xml:space="preserve"> PRA Comments</w:t>
      </w:r>
      <w:r w:rsidR="00942D8E">
        <w:rPr>
          <w:rFonts w:ascii="Times New Roman" w:hAnsi="Times New Roman" w:cs="Times New Roman"/>
        </w:rPr>
        <w:t>)</w:t>
      </w:r>
      <w:r w:rsidRPr="00C37EC3">
        <w:rPr>
          <w:rFonts w:ascii="Times New Roman" w:hAnsi="Times New Roman" w:cs="Times New Roman"/>
        </w:rPr>
        <w:t>.</w:t>
      </w:r>
      <w:r w:rsidR="00B12F13" w:rsidRPr="00066227">
        <w:rPr>
          <w:rFonts w:ascii="Times New Roman" w:hAnsi="Times New Roman" w:cs="Times New Roman"/>
        </w:rPr>
        <w:t xml:space="preserve"> </w:t>
      </w:r>
      <w:r w:rsidR="00B12F13">
        <w:rPr>
          <w:rFonts w:ascii="Times New Roman" w:hAnsi="Times New Roman" w:cs="Times New Roman"/>
        </w:rPr>
        <w:t xml:space="preserve"> </w:t>
      </w:r>
      <w:r w:rsidR="00B12F13" w:rsidRPr="00066227">
        <w:rPr>
          <w:rFonts w:ascii="Times New Roman" w:hAnsi="Times New Roman" w:cs="Times New Roman"/>
        </w:rPr>
        <w:t xml:space="preserve">Recently, GTL issued a press release announcing it had changed its name to </w:t>
      </w:r>
      <w:proofErr w:type="spellStart"/>
      <w:r w:rsidR="00B12F13" w:rsidRPr="00066227">
        <w:rPr>
          <w:rFonts w:ascii="Times New Roman" w:hAnsi="Times New Roman" w:cs="Times New Roman"/>
        </w:rPr>
        <w:t>ViaPath</w:t>
      </w:r>
      <w:proofErr w:type="spellEnd"/>
      <w:r w:rsidR="00B12F13" w:rsidRPr="00066227">
        <w:rPr>
          <w:rFonts w:ascii="Times New Roman" w:hAnsi="Times New Roman" w:cs="Times New Roman"/>
        </w:rPr>
        <w:t xml:space="preserve"> Technologies.  </w:t>
      </w:r>
      <w:r w:rsidR="00B12F13" w:rsidRPr="00066227">
        <w:rPr>
          <w:rFonts w:ascii="Times New Roman" w:hAnsi="Times New Roman" w:cs="Times New Roman"/>
          <w:i/>
          <w:iCs/>
        </w:rPr>
        <w:t>See</w:t>
      </w:r>
      <w:r w:rsidR="00B12F13" w:rsidRPr="00066227">
        <w:rPr>
          <w:rFonts w:ascii="Times New Roman" w:hAnsi="Times New Roman" w:cs="Times New Roman"/>
        </w:rPr>
        <w:t xml:space="preserve"> Press Release, </w:t>
      </w:r>
      <w:proofErr w:type="spellStart"/>
      <w:r w:rsidR="00B12F13" w:rsidRPr="00066227">
        <w:rPr>
          <w:rFonts w:ascii="Times New Roman" w:hAnsi="Times New Roman" w:cs="Times New Roman"/>
        </w:rPr>
        <w:t>ViaPath</w:t>
      </w:r>
      <w:proofErr w:type="spellEnd"/>
      <w:r w:rsidR="00B12F13" w:rsidRPr="00066227">
        <w:rPr>
          <w:rFonts w:ascii="Times New Roman" w:hAnsi="Times New Roman" w:cs="Times New Roman"/>
        </w:rPr>
        <w:t xml:space="preserve"> Technologies, GTL Becomes </w:t>
      </w:r>
      <w:proofErr w:type="spellStart"/>
      <w:r w:rsidR="00B12F13" w:rsidRPr="00066227">
        <w:rPr>
          <w:rFonts w:ascii="Times New Roman" w:hAnsi="Times New Roman" w:cs="Times New Roman"/>
        </w:rPr>
        <w:t>ViaPath</w:t>
      </w:r>
      <w:proofErr w:type="spellEnd"/>
      <w:r w:rsidR="00B12F13" w:rsidRPr="00066227">
        <w:rPr>
          <w:rFonts w:ascii="Times New Roman" w:hAnsi="Times New Roman" w:cs="Times New Roman"/>
        </w:rPr>
        <w:t xml:space="preserve"> Technologies, Launches Expanded Reentry Services (Jan. 4, 2022), </w:t>
      </w:r>
      <w:hyperlink r:id="rId1" w:history="1">
        <w:r w:rsidR="0035796F" w:rsidRPr="00184E52">
          <w:rPr>
            <w:rStyle w:val="Hyperlink"/>
            <w:rFonts w:ascii="Times New Roman" w:hAnsi="Times New Roman" w:cs="Times New Roman"/>
          </w:rPr>
          <w:t>https://www.viapath.com/‌news/gtl-becomes-viapath-technologies-launches-expanded-reentry-service</w:t>
        </w:r>
        <w:r w:rsidR="0035796F" w:rsidRPr="00A509AA">
          <w:rPr>
            <w:rStyle w:val="Hyperlink"/>
            <w:rFonts w:ascii="Times New Roman" w:hAnsi="Times New Roman" w:cs="Times New Roman"/>
          </w:rPr>
          <w:t>s/</w:t>
        </w:r>
      </w:hyperlink>
      <w:r w:rsidR="00B12F13" w:rsidRPr="00184E52">
        <w:rPr>
          <w:rFonts w:ascii="Times New Roman" w:hAnsi="Times New Roman" w:cs="Times New Roman"/>
        </w:rPr>
        <w:t>.  Fo</w:t>
      </w:r>
      <w:r w:rsidR="00B12F13" w:rsidRPr="00066227">
        <w:rPr>
          <w:rFonts w:ascii="Times New Roman" w:hAnsi="Times New Roman" w:cs="Times New Roman"/>
        </w:rPr>
        <w:t xml:space="preserve">r purposes of this </w:t>
      </w:r>
      <w:r w:rsidR="0046657B">
        <w:rPr>
          <w:rFonts w:ascii="Times New Roman" w:hAnsi="Times New Roman" w:cs="Times New Roman"/>
        </w:rPr>
        <w:t>Supporting Statement</w:t>
      </w:r>
      <w:r w:rsidR="00B12F13" w:rsidRPr="00066227">
        <w:rPr>
          <w:rFonts w:ascii="Times New Roman" w:hAnsi="Times New Roman" w:cs="Times New Roman"/>
        </w:rPr>
        <w:t>, to avoid confusion with reference to the record, we will continue to refer to this entity as GTL</w:t>
      </w:r>
      <w:r w:rsidR="00D51512">
        <w:rPr>
          <w:rFonts w:ascii="Times New Roman" w:hAnsi="Times New Roman" w:cs="Times New Roman"/>
        </w:rPr>
        <w:t>.</w:t>
      </w:r>
    </w:p>
  </w:footnote>
  <w:footnote w:id="15">
    <w:p w14:paraId="0B008D08" w14:textId="1F51FBCA" w:rsidR="00B077D2" w:rsidRPr="00895AE3" w:rsidRDefault="00B077D2" w:rsidP="003B0640">
      <w:pPr>
        <w:pStyle w:val="FootnoteText"/>
        <w:spacing w:after="120"/>
        <w:rPr>
          <w:rFonts w:ascii="Times New Roman" w:hAnsi="Times New Roman" w:cs="Times New Roman"/>
        </w:rPr>
      </w:pPr>
      <w:r>
        <w:rPr>
          <w:rStyle w:val="FootnoteReference"/>
        </w:rPr>
        <w:footnoteRef/>
      </w:r>
      <w:r>
        <w:t xml:space="preserve"> </w:t>
      </w:r>
      <w:r>
        <w:rPr>
          <w:rFonts w:ascii="Times New Roman" w:hAnsi="Times New Roman" w:cs="Times New Roman"/>
        </w:rPr>
        <w:t>GTL PRA Comments at 4.</w:t>
      </w:r>
      <w:r w:rsidR="00A70E79">
        <w:rPr>
          <w:rFonts w:ascii="Times New Roman" w:hAnsi="Times New Roman" w:cs="Times New Roman"/>
        </w:rPr>
        <w:t xml:space="preserve"> </w:t>
      </w:r>
    </w:p>
  </w:footnote>
  <w:footnote w:id="16">
    <w:p w14:paraId="3D25F452" w14:textId="480B0AAA" w:rsidR="00B71B3E" w:rsidRDefault="00B71B3E" w:rsidP="003B0640">
      <w:pPr>
        <w:pStyle w:val="FootnoteText"/>
        <w:spacing w:after="120"/>
      </w:pPr>
      <w:r w:rsidRPr="00D0439A">
        <w:rPr>
          <w:rStyle w:val="FootnoteReference"/>
        </w:rPr>
        <w:footnoteRef/>
      </w:r>
      <w:r w:rsidRPr="00C27D61">
        <w:rPr>
          <w:i/>
          <w:iCs/>
        </w:rPr>
        <w:t xml:space="preserve"> </w:t>
      </w:r>
      <w:r w:rsidRPr="00C27D61">
        <w:rPr>
          <w:rFonts w:ascii="Times New Roman" w:hAnsi="Times New Roman" w:cs="Times New Roman"/>
          <w:i/>
          <w:iCs/>
        </w:rPr>
        <w:t>2021 ICS Order</w:t>
      </w:r>
      <w:r w:rsidR="00C27D61">
        <w:rPr>
          <w:rFonts w:ascii="Times New Roman" w:hAnsi="Times New Roman" w:cs="Times New Roman"/>
        </w:rPr>
        <w:t xml:space="preserve"> </w:t>
      </w:r>
      <w:r w:rsidR="00283AEB">
        <w:rPr>
          <w:rFonts w:ascii="Times New Roman" w:hAnsi="Times New Roman" w:cs="Times New Roman"/>
        </w:rPr>
        <w:t xml:space="preserve">at </w:t>
      </w:r>
      <w:r w:rsidR="00283AEB" w:rsidRPr="00C27D61">
        <w:rPr>
          <w:rFonts w:ascii="Times New Roman" w:hAnsi="Times New Roman" w:cs="Times New Roman"/>
        </w:rPr>
        <w:t>9619-22, paras. 221-22</w:t>
      </w:r>
      <w:r w:rsidR="009C41A2">
        <w:rPr>
          <w:rFonts w:ascii="Times New Roman" w:hAnsi="Times New Roman" w:cs="Times New Roman"/>
        </w:rPr>
        <w:t>.</w:t>
      </w:r>
    </w:p>
  </w:footnote>
  <w:footnote w:id="17">
    <w:p w14:paraId="71A45788" w14:textId="73C50C21" w:rsidR="00AF0706" w:rsidRPr="00F7099D" w:rsidRDefault="00AF0706" w:rsidP="00AF0706">
      <w:pPr>
        <w:pStyle w:val="FootnoteText"/>
        <w:spacing w:after="120"/>
        <w:rPr>
          <w:rFonts w:ascii="Times New Roman" w:hAnsi="Times New Roman" w:cs="Times New Roman"/>
        </w:rPr>
      </w:pPr>
      <w:r>
        <w:rPr>
          <w:rStyle w:val="FootnoteReference"/>
        </w:rPr>
        <w:footnoteRef/>
      </w:r>
      <w:r>
        <w:t xml:space="preserve"> </w:t>
      </w:r>
      <w:r w:rsidR="003D45C0" w:rsidRPr="00275799">
        <w:rPr>
          <w:rFonts w:ascii="Times New Roman" w:hAnsi="Times New Roman" w:cs="Times New Roman"/>
          <w:i/>
          <w:iCs/>
        </w:rPr>
        <w:t xml:space="preserve">See </w:t>
      </w:r>
      <w:r w:rsidR="00AC37FE">
        <w:rPr>
          <w:rFonts w:ascii="Times New Roman" w:hAnsi="Times New Roman" w:cs="Times New Roman"/>
          <w:i/>
          <w:iCs/>
        </w:rPr>
        <w:t xml:space="preserve">MDC Adoption Order </w:t>
      </w:r>
      <w:r w:rsidR="00AC37FE">
        <w:rPr>
          <w:rFonts w:ascii="Times New Roman" w:hAnsi="Times New Roman" w:cs="Times New Roman"/>
        </w:rPr>
        <w:t xml:space="preserve">at para. </w:t>
      </w:r>
      <w:r w:rsidR="001363F7">
        <w:rPr>
          <w:rFonts w:ascii="Times New Roman" w:hAnsi="Times New Roman" w:cs="Times New Roman"/>
        </w:rPr>
        <w:t>7.</w:t>
      </w:r>
    </w:p>
  </w:footnote>
  <w:footnote w:id="18">
    <w:p w14:paraId="73776F74" w14:textId="707BDA9E" w:rsidR="00BE6BE1" w:rsidRPr="003B0640" w:rsidRDefault="00846F30" w:rsidP="003B0640">
      <w:pPr>
        <w:pStyle w:val="FootnoteText"/>
        <w:spacing w:after="120"/>
        <w:rPr>
          <w:rFonts w:ascii="Times New Roman" w:hAnsi="Times New Roman" w:cs="Times New Roman"/>
        </w:rPr>
      </w:pPr>
      <w:r>
        <w:rPr>
          <w:rStyle w:val="FootnoteReference"/>
        </w:rPr>
        <w:footnoteRef/>
      </w:r>
      <w:r>
        <w:t xml:space="preserve"> </w:t>
      </w:r>
      <w:r w:rsidRPr="00F7099D">
        <w:rPr>
          <w:rFonts w:ascii="Times New Roman" w:hAnsi="Times New Roman" w:cs="Times New Roman"/>
        </w:rPr>
        <w:t>GTL PRA Comments at 4.</w:t>
      </w:r>
    </w:p>
  </w:footnote>
  <w:footnote w:id="19">
    <w:p w14:paraId="488B05B2" w14:textId="2CA79A25" w:rsidR="00D93450" w:rsidRPr="00F7099D" w:rsidRDefault="00BE6BE1" w:rsidP="003B0640">
      <w:pPr>
        <w:pStyle w:val="FootnoteText"/>
        <w:spacing w:after="120"/>
        <w:rPr>
          <w:rFonts w:ascii="Times New Roman" w:hAnsi="Times New Roman" w:cs="Times New Roman"/>
        </w:rPr>
      </w:pPr>
      <w:r>
        <w:rPr>
          <w:rStyle w:val="FootnoteReference"/>
        </w:rPr>
        <w:footnoteRef/>
      </w:r>
      <w:r>
        <w:t xml:space="preserve"> </w:t>
      </w:r>
      <w:r w:rsidR="0072691F">
        <w:rPr>
          <w:rFonts w:ascii="Times New Roman" w:hAnsi="Times New Roman" w:cs="Times New Roman"/>
          <w:i/>
          <w:iCs/>
        </w:rPr>
        <w:t>Third MDC</w:t>
      </w:r>
      <w:r w:rsidR="00216DA2" w:rsidRPr="00275799">
        <w:rPr>
          <w:rFonts w:ascii="Times New Roman" w:hAnsi="Times New Roman" w:cs="Times New Roman"/>
          <w:i/>
          <w:iCs/>
        </w:rPr>
        <w:t xml:space="preserve"> A</w:t>
      </w:r>
      <w:r w:rsidR="009D5183" w:rsidRPr="00275799">
        <w:rPr>
          <w:rFonts w:ascii="Times New Roman" w:hAnsi="Times New Roman" w:cs="Times New Roman"/>
          <w:i/>
          <w:iCs/>
        </w:rPr>
        <w:t>doption Order</w:t>
      </w:r>
      <w:r w:rsidR="009D5183">
        <w:rPr>
          <w:rFonts w:ascii="Times New Roman" w:hAnsi="Times New Roman" w:cs="Times New Roman"/>
        </w:rPr>
        <w:t xml:space="preserve"> at </w:t>
      </w:r>
      <w:r w:rsidR="001335D0">
        <w:rPr>
          <w:rFonts w:ascii="Times New Roman" w:hAnsi="Times New Roman" w:cs="Times New Roman"/>
        </w:rPr>
        <w:t>12-14 n.105</w:t>
      </w:r>
      <w:r w:rsidR="000C0C19">
        <w:rPr>
          <w:rFonts w:ascii="Times New Roman" w:hAnsi="Times New Roman" w:cs="Times New Roman"/>
        </w:rPr>
        <w:t xml:space="preserve"> (citing</w:t>
      </w:r>
      <w:r w:rsidR="009D5183" w:rsidRPr="00275799">
        <w:rPr>
          <w:rFonts w:ascii="Times New Roman" w:hAnsi="Times New Roman" w:cs="Times New Roman"/>
          <w:i/>
          <w:iCs/>
        </w:rPr>
        <w:t xml:space="preserve"> </w:t>
      </w:r>
      <w:r w:rsidRPr="00A439E9">
        <w:rPr>
          <w:rFonts w:ascii="Times New Roman" w:hAnsi="Times New Roman" w:cs="Times New Roman"/>
          <w:i/>
          <w:iCs/>
        </w:rPr>
        <w:t>2021 ICS Order</w:t>
      </w:r>
      <w:r w:rsidR="00EB3428">
        <w:rPr>
          <w:rFonts w:ascii="Times New Roman" w:hAnsi="Times New Roman" w:cs="Times New Roman"/>
        </w:rPr>
        <w:t>,</w:t>
      </w:r>
      <w:r w:rsidR="00C27D61">
        <w:rPr>
          <w:rFonts w:ascii="Times New Roman" w:hAnsi="Times New Roman" w:cs="Times New Roman"/>
        </w:rPr>
        <w:t xml:space="preserve"> </w:t>
      </w:r>
      <w:r w:rsidR="00EB3428" w:rsidRPr="00275799">
        <w:rPr>
          <w:rFonts w:ascii="Times New Roman" w:hAnsi="Times New Roman" w:cs="Times New Roman"/>
        </w:rPr>
        <w:t xml:space="preserve">36 FCC Rcd at </w:t>
      </w:r>
      <w:r w:rsidR="00D67E06" w:rsidRPr="00F7099D">
        <w:rPr>
          <w:rFonts w:ascii="Times New Roman" w:hAnsi="Times New Roman" w:cs="Times New Roman"/>
        </w:rPr>
        <w:t>9550, para. 74</w:t>
      </w:r>
      <w:r w:rsidR="000C0C19">
        <w:rPr>
          <w:rFonts w:ascii="Times New Roman" w:hAnsi="Times New Roman" w:cs="Times New Roman"/>
        </w:rPr>
        <w:t>)</w:t>
      </w:r>
      <w:r w:rsidR="00272A06">
        <w:rPr>
          <w:rFonts w:ascii="Times New Roman" w:hAnsi="Times New Roman" w:cs="Times New Roman"/>
        </w:rPr>
        <w:t xml:space="preserve"> (internal quotations omitted)</w:t>
      </w:r>
      <w:r w:rsidR="000C0C19">
        <w:rPr>
          <w:rFonts w:ascii="Times New Roman" w:hAnsi="Times New Roman" w:cs="Times New Roman"/>
        </w:rPr>
        <w:t>.</w:t>
      </w:r>
    </w:p>
  </w:footnote>
  <w:footnote w:id="20">
    <w:p w14:paraId="02CAF38C" w14:textId="5A7ECE71" w:rsidR="00D93450" w:rsidRPr="003B0640" w:rsidRDefault="00D93450" w:rsidP="003B0640">
      <w:pPr>
        <w:pStyle w:val="FootnoteText"/>
        <w:spacing w:after="120"/>
        <w:rPr>
          <w:rFonts w:ascii="Times New Roman" w:hAnsi="Times New Roman" w:cs="Times New Roman"/>
        </w:rPr>
      </w:pPr>
      <w:r>
        <w:rPr>
          <w:rStyle w:val="FootnoteReference"/>
        </w:rPr>
        <w:footnoteRef/>
      </w:r>
      <w:r>
        <w:t xml:space="preserve"> </w:t>
      </w:r>
      <w:r w:rsidR="0051025E" w:rsidRPr="00066227">
        <w:rPr>
          <w:rFonts w:ascii="Times New Roman" w:hAnsi="Times New Roman" w:cs="Times New Roman"/>
          <w:i/>
          <w:iCs/>
        </w:rPr>
        <w:t>See</w:t>
      </w:r>
      <w:r w:rsidR="0051025E" w:rsidRPr="000917D9">
        <w:rPr>
          <w:rFonts w:ascii="Times New Roman" w:hAnsi="Times New Roman" w:cs="Times New Roman"/>
        </w:rPr>
        <w:t xml:space="preserve"> </w:t>
      </w:r>
      <w:r w:rsidR="00AF1FC2" w:rsidRPr="00AF1FC2">
        <w:rPr>
          <w:rFonts w:ascii="Times New Roman" w:hAnsi="Times New Roman" w:cs="Times New Roman"/>
          <w:i/>
          <w:iCs/>
        </w:rPr>
        <w:t xml:space="preserve">Third </w:t>
      </w:r>
      <w:r w:rsidRPr="007C7702">
        <w:rPr>
          <w:rFonts w:ascii="Times New Roman" w:hAnsi="Times New Roman" w:cs="Times New Roman"/>
          <w:i/>
          <w:iCs/>
        </w:rPr>
        <w:t>MDC Adoption Order</w:t>
      </w:r>
      <w:r w:rsidRPr="00BF6335">
        <w:rPr>
          <w:rFonts w:ascii="Times New Roman" w:hAnsi="Times New Roman" w:cs="Times New Roman"/>
        </w:rPr>
        <w:t xml:space="preserve"> at</w:t>
      </w:r>
      <w:r w:rsidR="000917D9">
        <w:rPr>
          <w:rFonts w:ascii="Times New Roman" w:hAnsi="Times New Roman" w:cs="Times New Roman"/>
        </w:rPr>
        <w:t xml:space="preserve"> </w:t>
      </w:r>
      <w:r w:rsidR="00A439E9">
        <w:rPr>
          <w:rFonts w:ascii="Times New Roman" w:hAnsi="Times New Roman" w:cs="Times New Roman"/>
        </w:rPr>
        <w:t>n.</w:t>
      </w:r>
      <w:r w:rsidRPr="00BF6335">
        <w:rPr>
          <w:rFonts w:ascii="Times New Roman" w:hAnsi="Times New Roman" w:cs="Times New Roman"/>
        </w:rPr>
        <w:t>107</w:t>
      </w:r>
      <w:r w:rsidR="00A61D3B" w:rsidRPr="00BF6335">
        <w:rPr>
          <w:rFonts w:ascii="Times New Roman" w:hAnsi="Times New Roman" w:cs="Times New Roman"/>
        </w:rPr>
        <w:t>.</w:t>
      </w:r>
    </w:p>
  </w:footnote>
  <w:footnote w:id="21">
    <w:p w14:paraId="1E4A9E87" w14:textId="4D3CC096" w:rsidR="008649C3" w:rsidRPr="003B0640" w:rsidRDefault="002330F5" w:rsidP="003B0640">
      <w:pPr>
        <w:pStyle w:val="FootnoteText"/>
        <w:spacing w:after="120"/>
        <w:rPr>
          <w:rFonts w:ascii="Times New Roman" w:hAnsi="Times New Roman" w:cs="Times New Roman"/>
        </w:rPr>
      </w:pPr>
      <w:r>
        <w:rPr>
          <w:rStyle w:val="FootnoteReference"/>
        </w:rPr>
        <w:footnoteRef/>
      </w:r>
      <w:r>
        <w:t xml:space="preserve"> </w:t>
      </w:r>
      <w:r w:rsidRPr="00BF6335">
        <w:rPr>
          <w:rFonts w:ascii="Times New Roman" w:hAnsi="Times New Roman" w:cs="Times New Roman"/>
        </w:rPr>
        <w:t>GTL PRA Comments at 5.</w:t>
      </w:r>
    </w:p>
  </w:footnote>
  <w:footnote w:id="22">
    <w:p w14:paraId="5C46530A" w14:textId="1A91A83B" w:rsidR="00B27E58" w:rsidRPr="00B27E58" w:rsidRDefault="0077418B" w:rsidP="003B0640">
      <w:pPr>
        <w:pStyle w:val="FootnoteText"/>
        <w:spacing w:after="120"/>
        <w:rPr>
          <w:rFonts w:ascii="Times New Roman" w:hAnsi="Times New Roman" w:cs="Times New Roman"/>
        </w:rPr>
      </w:pPr>
      <w:r>
        <w:rPr>
          <w:rStyle w:val="FootnoteReference"/>
        </w:rPr>
        <w:footnoteRef/>
      </w:r>
      <w:r>
        <w:t xml:space="preserve"> </w:t>
      </w:r>
      <w:r w:rsidR="009A5DB0">
        <w:rPr>
          <w:rFonts w:ascii="Times New Roman" w:hAnsi="Times New Roman" w:cs="Times New Roman"/>
          <w:i/>
          <w:iCs/>
        </w:rPr>
        <w:t>Id.</w:t>
      </w:r>
      <w:r w:rsidR="005B20DC" w:rsidRPr="00C37EC3">
        <w:rPr>
          <w:rFonts w:ascii="Times New Roman" w:hAnsi="Times New Roman" w:cs="Times New Roman"/>
        </w:rPr>
        <w:t xml:space="preserve"> at 5-6.</w:t>
      </w:r>
    </w:p>
  </w:footnote>
  <w:footnote w:id="23">
    <w:p w14:paraId="0B8C8F3D" w14:textId="60EFAFF6" w:rsidR="001D44F2" w:rsidRPr="00B27E58" w:rsidRDefault="001D44F2" w:rsidP="001D44F2">
      <w:pPr>
        <w:pStyle w:val="FootnoteText"/>
        <w:spacing w:after="120"/>
        <w:rPr>
          <w:rFonts w:ascii="Times New Roman" w:hAnsi="Times New Roman" w:cs="Times New Roman"/>
        </w:rPr>
      </w:pPr>
      <w:r>
        <w:rPr>
          <w:rStyle w:val="FootnoteReference"/>
        </w:rPr>
        <w:footnoteRef/>
      </w:r>
      <w:r>
        <w:t xml:space="preserve"> </w:t>
      </w:r>
      <w:r w:rsidR="009A5DB0">
        <w:rPr>
          <w:rFonts w:ascii="Times New Roman" w:hAnsi="Times New Roman" w:cs="Times New Roman"/>
          <w:i/>
          <w:iCs/>
        </w:rPr>
        <w:t>Id.</w:t>
      </w:r>
      <w:r w:rsidR="009A5DB0" w:rsidRPr="00C37EC3">
        <w:rPr>
          <w:rFonts w:ascii="Times New Roman" w:hAnsi="Times New Roman" w:cs="Times New Roman"/>
        </w:rPr>
        <w:t xml:space="preserve"> </w:t>
      </w:r>
      <w:r w:rsidRPr="00C37EC3">
        <w:rPr>
          <w:rFonts w:ascii="Times New Roman" w:hAnsi="Times New Roman" w:cs="Times New Roman"/>
        </w:rPr>
        <w:t>at 6.</w:t>
      </w:r>
    </w:p>
  </w:footnote>
  <w:footnote w:id="24">
    <w:p w14:paraId="1D21E5D5" w14:textId="663E5C2B" w:rsidR="00437B37" w:rsidRPr="003B0640" w:rsidRDefault="00437B37" w:rsidP="003B0640">
      <w:pPr>
        <w:pStyle w:val="FootnoteText"/>
        <w:spacing w:after="120"/>
        <w:rPr>
          <w:rFonts w:ascii="Times New Roman" w:hAnsi="Times New Roman" w:cs="Times New Roman"/>
        </w:rPr>
      </w:pPr>
      <w:r>
        <w:rPr>
          <w:rStyle w:val="FootnoteReference"/>
        </w:rPr>
        <w:footnoteRef/>
      </w:r>
      <w:r>
        <w:t xml:space="preserve"> </w:t>
      </w:r>
      <w:r w:rsidR="00F64D31">
        <w:rPr>
          <w:rFonts w:ascii="Times New Roman" w:hAnsi="Times New Roman" w:cs="Times New Roman"/>
          <w:i/>
          <w:iCs/>
        </w:rPr>
        <w:t>Id.</w:t>
      </w:r>
      <w:r w:rsidR="00F64D31" w:rsidRPr="00C37EC3">
        <w:rPr>
          <w:rFonts w:ascii="Times New Roman" w:hAnsi="Times New Roman" w:cs="Times New Roman"/>
        </w:rPr>
        <w:t xml:space="preserve"> </w:t>
      </w:r>
    </w:p>
  </w:footnote>
  <w:footnote w:id="25">
    <w:p w14:paraId="565EDC3C" w14:textId="3F75D591" w:rsidR="00C41C4F" w:rsidRPr="003B0640" w:rsidRDefault="00C41C4F" w:rsidP="003B0640">
      <w:pPr>
        <w:pStyle w:val="FootnoteText"/>
        <w:spacing w:after="120"/>
        <w:rPr>
          <w:rFonts w:ascii="Times New Roman" w:hAnsi="Times New Roman" w:cs="Times New Roman"/>
        </w:rPr>
      </w:pPr>
      <w:r>
        <w:rPr>
          <w:rStyle w:val="FootnoteReference"/>
        </w:rPr>
        <w:footnoteRef/>
      </w:r>
      <w:r>
        <w:t xml:space="preserve"> </w:t>
      </w:r>
      <w:r w:rsidRPr="00C41C4F">
        <w:rPr>
          <w:rFonts w:ascii="Times New Roman" w:hAnsi="Times New Roman" w:cs="Times New Roman"/>
          <w:i/>
          <w:iCs/>
        </w:rPr>
        <w:t xml:space="preserve">See </w:t>
      </w:r>
      <w:r w:rsidR="00BA4516">
        <w:rPr>
          <w:rFonts w:ascii="Times New Roman" w:hAnsi="Times New Roman" w:cs="Times New Roman"/>
          <w:i/>
          <w:iCs/>
        </w:rPr>
        <w:t xml:space="preserve">Third MDC </w:t>
      </w:r>
      <w:r w:rsidRPr="00C41C4F">
        <w:rPr>
          <w:rFonts w:ascii="Times New Roman" w:hAnsi="Times New Roman" w:cs="Times New Roman"/>
          <w:i/>
          <w:iCs/>
        </w:rPr>
        <w:t>Adoption Order</w:t>
      </w:r>
      <w:r w:rsidRPr="00C41C4F">
        <w:rPr>
          <w:rFonts w:ascii="Times New Roman" w:hAnsi="Times New Roman" w:cs="Times New Roman"/>
        </w:rPr>
        <w:t xml:space="preserve"> at paras. 11-12.</w:t>
      </w:r>
      <w:r w:rsidR="006E2940">
        <w:rPr>
          <w:rFonts w:ascii="Times New Roman" w:hAnsi="Times New Roman" w:cs="Times New Roman"/>
        </w:rPr>
        <w:t xml:space="preserve">  In the </w:t>
      </w:r>
      <w:r w:rsidR="006E2940" w:rsidRPr="00BC246B">
        <w:rPr>
          <w:rFonts w:ascii="Times New Roman" w:hAnsi="Times New Roman" w:cs="Times New Roman"/>
          <w:i/>
          <w:iCs/>
        </w:rPr>
        <w:t>Third MDC Public Notice</w:t>
      </w:r>
      <w:r w:rsidR="006E2940">
        <w:rPr>
          <w:rFonts w:ascii="Times New Roman" w:hAnsi="Times New Roman" w:cs="Times New Roman"/>
        </w:rPr>
        <w:t xml:space="preserve">, </w:t>
      </w:r>
      <w:r w:rsidR="006E2940" w:rsidRPr="006E2940">
        <w:rPr>
          <w:rFonts w:ascii="Times New Roman" w:hAnsi="Times New Roman" w:cs="Times New Roman"/>
        </w:rPr>
        <w:t>WCB/OEA proposed to collect data on billed minutes, ADP, the number of telephones and kiosks installed, the opening and closing of accounts, admissions, releases, and weekly turnover rate.</w:t>
      </w:r>
      <w:r w:rsidR="005520F6">
        <w:rPr>
          <w:rFonts w:ascii="Times New Roman" w:hAnsi="Times New Roman" w:cs="Times New Roman"/>
        </w:rPr>
        <w:t xml:space="preserve"> </w:t>
      </w:r>
      <w:r w:rsidR="006E2940" w:rsidRPr="006E2940">
        <w:rPr>
          <w:rFonts w:ascii="Times New Roman" w:hAnsi="Times New Roman" w:cs="Times New Roman"/>
        </w:rPr>
        <w:t xml:space="preserve"> </w:t>
      </w:r>
      <w:r w:rsidR="006E2940" w:rsidRPr="00E94A1B">
        <w:rPr>
          <w:rFonts w:ascii="Times New Roman" w:hAnsi="Times New Roman" w:cs="Times New Roman"/>
          <w:i/>
        </w:rPr>
        <w:t>Third MDC Public Notice</w:t>
      </w:r>
      <w:r w:rsidR="006E2940" w:rsidRPr="006E2940">
        <w:rPr>
          <w:rFonts w:ascii="Times New Roman" w:hAnsi="Times New Roman" w:cs="Times New Roman"/>
        </w:rPr>
        <w:t xml:space="preserve"> at 4.</w:t>
      </w:r>
    </w:p>
  </w:footnote>
  <w:footnote w:id="26">
    <w:p w14:paraId="2811D461" w14:textId="5CBE5F3D" w:rsidR="00A72EA4" w:rsidRPr="003B0640" w:rsidRDefault="00A72EA4" w:rsidP="003B0640">
      <w:pPr>
        <w:pStyle w:val="FootnoteText"/>
        <w:spacing w:after="120"/>
        <w:rPr>
          <w:rFonts w:ascii="Times New Roman" w:hAnsi="Times New Roman" w:cs="Times New Roman"/>
        </w:rPr>
      </w:pPr>
      <w:r w:rsidRPr="00A72EA4">
        <w:rPr>
          <w:rStyle w:val="FootnoteReference"/>
          <w:rFonts w:cs="Times New Roman"/>
        </w:rPr>
        <w:footnoteRef/>
      </w:r>
      <w:r w:rsidRPr="00A72EA4">
        <w:rPr>
          <w:rFonts w:ascii="Times New Roman" w:hAnsi="Times New Roman" w:cs="Times New Roman"/>
        </w:rPr>
        <w:t xml:space="preserve"> </w:t>
      </w:r>
      <w:r w:rsidR="00AF1FC2">
        <w:rPr>
          <w:rFonts w:ascii="Times New Roman" w:hAnsi="Times New Roman" w:cs="Times New Roman"/>
          <w:i/>
          <w:iCs/>
        </w:rPr>
        <w:t xml:space="preserve">Third </w:t>
      </w:r>
      <w:r w:rsidRPr="00A72EA4">
        <w:rPr>
          <w:rFonts w:ascii="Times New Roman" w:hAnsi="Times New Roman" w:cs="Times New Roman"/>
          <w:i/>
          <w:iCs/>
        </w:rPr>
        <w:t>MDC Adoption Order</w:t>
      </w:r>
      <w:r w:rsidRPr="00A72EA4">
        <w:rPr>
          <w:rFonts w:ascii="Times New Roman" w:hAnsi="Times New Roman" w:cs="Times New Roman"/>
        </w:rPr>
        <w:t xml:space="preserve"> at para. 11.</w:t>
      </w:r>
    </w:p>
  </w:footnote>
  <w:footnote w:id="27">
    <w:p w14:paraId="4349F288" w14:textId="3756CDB9" w:rsidR="00A72EA4" w:rsidRDefault="00A72EA4" w:rsidP="003B0640">
      <w:pPr>
        <w:pStyle w:val="FootnoteText"/>
        <w:spacing w:after="120"/>
      </w:pPr>
      <w:r>
        <w:rPr>
          <w:rStyle w:val="FootnoteReference"/>
        </w:rPr>
        <w:footnoteRef/>
      </w:r>
      <w:r>
        <w:t xml:space="preserve"> </w:t>
      </w:r>
      <w:r w:rsidR="005F009E">
        <w:rPr>
          <w:rFonts w:ascii="Times New Roman" w:hAnsi="Times New Roman" w:cs="Times New Roman"/>
          <w:i/>
          <w:iCs/>
        </w:rPr>
        <w:t>Id.</w:t>
      </w:r>
      <w:r w:rsidR="005F009E" w:rsidRPr="00C37EC3">
        <w:rPr>
          <w:rFonts w:ascii="Times New Roman" w:hAnsi="Times New Roman" w:cs="Times New Roman"/>
        </w:rPr>
        <w:t xml:space="preserve"> </w:t>
      </w:r>
      <w:r w:rsidRPr="00A72EA4">
        <w:rPr>
          <w:rFonts w:ascii="Times New Roman" w:hAnsi="Times New Roman" w:cs="Times New Roman"/>
        </w:rPr>
        <w:t>at para. 12.</w:t>
      </w:r>
    </w:p>
  </w:footnote>
  <w:footnote w:id="28">
    <w:p w14:paraId="14D6B334" w14:textId="7222A0B9" w:rsidR="00B96D4C" w:rsidRDefault="00B96D4C" w:rsidP="003B0640">
      <w:pPr>
        <w:pStyle w:val="FootnoteText"/>
        <w:spacing w:after="120"/>
      </w:pPr>
      <w:r>
        <w:rPr>
          <w:rStyle w:val="FootnoteReference"/>
        </w:rPr>
        <w:footnoteRef/>
      </w:r>
      <w:r>
        <w:t xml:space="preserve"> </w:t>
      </w:r>
      <w:r w:rsidRPr="00C37EC3">
        <w:rPr>
          <w:rFonts w:ascii="Times New Roman" w:hAnsi="Times New Roman" w:cs="Times New Roman"/>
        </w:rPr>
        <w:t>GTL PRA Comments at 4.</w:t>
      </w:r>
    </w:p>
  </w:footnote>
  <w:footnote w:id="29">
    <w:p w14:paraId="3FE9437C" w14:textId="181F0934" w:rsidR="00D329C1" w:rsidRPr="003B0640" w:rsidRDefault="00082EC8" w:rsidP="003B0640">
      <w:pPr>
        <w:pStyle w:val="FootnoteText"/>
        <w:spacing w:after="120"/>
        <w:rPr>
          <w:rFonts w:ascii="Times New Roman" w:hAnsi="Times New Roman" w:cs="Times New Roman"/>
        </w:rPr>
      </w:pPr>
      <w:r>
        <w:rPr>
          <w:rStyle w:val="FootnoteReference"/>
        </w:rPr>
        <w:footnoteRef/>
      </w:r>
      <w:r>
        <w:t xml:space="preserve"> </w:t>
      </w:r>
      <w:r w:rsidR="005F009E">
        <w:rPr>
          <w:rFonts w:ascii="Times New Roman" w:hAnsi="Times New Roman" w:cs="Times New Roman"/>
          <w:i/>
          <w:iCs/>
        </w:rPr>
        <w:t>Id.</w:t>
      </w:r>
      <w:r w:rsidR="005F009E" w:rsidRPr="00C37EC3">
        <w:rPr>
          <w:rFonts w:ascii="Times New Roman" w:hAnsi="Times New Roman" w:cs="Times New Roman"/>
        </w:rPr>
        <w:t xml:space="preserve"> </w:t>
      </w:r>
      <w:r w:rsidRPr="00C37EC3">
        <w:rPr>
          <w:rFonts w:ascii="Times New Roman" w:hAnsi="Times New Roman" w:cs="Times New Roman"/>
        </w:rPr>
        <w:t xml:space="preserve">at </w:t>
      </w:r>
      <w:r w:rsidR="00C631BF" w:rsidRPr="00C37EC3">
        <w:rPr>
          <w:rFonts w:ascii="Times New Roman" w:hAnsi="Times New Roman" w:cs="Times New Roman"/>
        </w:rPr>
        <w:t>4-5.</w:t>
      </w:r>
    </w:p>
  </w:footnote>
  <w:footnote w:id="30">
    <w:p w14:paraId="4E1A8BED" w14:textId="02D658C2" w:rsidR="00D248A6" w:rsidRPr="003B0640" w:rsidRDefault="00D248A6" w:rsidP="00D248A6">
      <w:pPr>
        <w:pStyle w:val="FootnoteText"/>
        <w:spacing w:after="120"/>
        <w:rPr>
          <w:rFonts w:ascii="Times New Roman" w:hAnsi="Times New Roman" w:cs="Times New Roman"/>
        </w:rPr>
      </w:pPr>
      <w:r>
        <w:rPr>
          <w:rStyle w:val="FootnoteReference"/>
        </w:rPr>
        <w:footnoteRef/>
      </w:r>
      <w:r>
        <w:t xml:space="preserve"> </w:t>
      </w:r>
      <w:r>
        <w:rPr>
          <w:rFonts w:ascii="Times New Roman" w:hAnsi="Times New Roman" w:cs="Times New Roman"/>
          <w:i/>
          <w:iCs/>
        </w:rPr>
        <w:t xml:space="preserve">Third MDC </w:t>
      </w:r>
      <w:r w:rsidRPr="00502C9F">
        <w:rPr>
          <w:rFonts w:ascii="Times New Roman" w:hAnsi="Times New Roman" w:cs="Times New Roman"/>
          <w:i/>
          <w:iCs/>
        </w:rPr>
        <w:t>Adoption Order</w:t>
      </w:r>
      <w:r w:rsidRPr="00502C9F">
        <w:rPr>
          <w:rFonts w:ascii="Times New Roman" w:hAnsi="Times New Roman" w:cs="Times New Roman"/>
        </w:rPr>
        <w:t xml:space="preserve"> at para. 36.</w:t>
      </w:r>
      <w:r>
        <w:rPr>
          <w:rFonts w:ascii="Times New Roman" w:hAnsi="Times New Roman" w:cs="Times New Roman"/>
        </w:rPr>
        <w:t xml:space="preserve">  WCB/OEA</w:t>
      </w:r>
      <w:r w:rsidR="007571E0">
        <w:rPr>
          <w:rFonts w:ascii="Times New Roman" w:hAnsi="Times New Roman" w:cs="Times New Roman"/>
        </w:rPr>
        <w:t xml:space="preserve"> had proposed </w:t>
      </w:r>
      <w:r>
        <w:rPr>
          <w:rFonts w:ascii="Times New Roman" w:hAnsi="Times New Roman" w:cs="Times New Roman"/>
        </w:rPr>
        <w:t xml:space="preserve">to generally collect data for each calendar year from 2019 through 2021, but to limit the collection of cost data to only calendar year 2021.  </w:t>
      </w:r>
      <w:r w:rsidRPr="006B26B0">
        <w:rPr>
          <w:rFonts w:ascii="Times New Roman" w:hAnsi="Times New Roman" w:cs="Times New Roman"/>
          <w:i/>
          <w:iCs/>
        </w:rPr>
        <w:t>Id</w:t>
      </w:r>
      <w:r>
        <w:rPr>
          <w:rFonts w:ascii="Times New Roman" w:hAnsi="Times New Roman" w:cs="Times New Roman"/>
        </w:rPr>
        <w:t>.</w:t>
      </w:r>
    </w:p>
  </w:footnote>
  <w:footnote w:id="31">
    <w:p w14:paraId="284AB862" w14:textId="6C938909" w:rsidR="001D06FF" w:rsidRPr="009B33C0" w:rsidRDefault="001D06FF" w:rsidP="009B33C0">
      <w:pPr>
        <w:pStyle w:val="FootnoteText"/>
        <w:spacing w:after="120"/>
        <w:rPr>
          <w:i/>
          <w:iCs/>
        </w:rPr>
      </w:pPr>
      <w:r>
        <w:rPr>
          <w:rStyle w:val="FootnoteReference"/>
        </w:rPr>
        <w:footnoteRef/>
      </w:r>
      <w:r>
        <w:t xml:space="preserve"> </w:t>
      </w:r>
      <w:r w:rsidR="001D7F1B" w:rsidRPr="009B33C0">
        <w:rPr>
          <w:rFonts w:ascii="Times New Roman" w:hAnsi="Times New Roman" w:cs="Times New Roman"/>
          <w:i/>
          <w:iCs/>
        </w:rPr>
        <w:t>Id.</w:t>
      </w:r>
    </w:p>
  </w:footnote>
  <w:footnote w:id="32">
    <w:p w14:paraId="1DC80713" w14:textId="10C1F035" w:rsidR="00502C9F" w:rsidRPr="003B0640" w:rsidRDefault="00502C9F" w:rsidP="003B0640">
      <w:pPr>
        <w:pStyle w:val="FootnoteText"/>
        <w:spacing w:after="120"/>
        <w:rPr>
          <w:rFonts w:ascii="Times New Roman" w:hAnsi="Times New Roman" w:cs="Times New Roman"/>
        </w:rPr>
      </w:pPr>
      <w:r>
        <w:rPr>
          <w:rStyle w:val="FootnoteReference"/>
        </w:rPr>
        <w:footnoteRef/>
      </w:r>
      <w:r>
        <w:t xml:space="preserve"> </w:t>
      </w:r>
      <w:r w:rsidR="007435F5">
        <w:rPr>
          <w:rFonts w:ascii="Times New Roman" w:hAnsi="Times New Roman" w:cs="Times New Roman"/>
          <w:i/>
          <w:iCs/>
        </w:rPr>
        <w:t>Id.</w:t>
      </w:r>
      <w:r w:rsidR="007435F5" w:rsidRPr="00C37EC3">
        <w:rPr>
          <w:rFonts w:ascii="Times New Roman" w:hAnsi="Times New Roman" w:cs="Times New Roman"/>
        </w:rPr>
        <w:t xml:space="preserve"> </w:t>
      </w:r>
      <w:r>
        <w:rPr>
          <w:rFonts w:ascii="Times New Roman" w:hAnsi="Times New Roman" w:cs="Times New Roman"/>
        </w:rPr>
        <w:t xml:space="preserve">  </w:t>
      </w:r>
    </w:p>
  </w:footnote>
  <w:footnote w:id="33">
    <w:p w14:paraId="563B3D0E" w14:textId="08CA0874" w:rsidR="00ED5FF3" w:rsidRPr="003B0640" w:rsidRDefault="00502C9F" w:rsidP="003B0640">
      <w:pPr>
        <w:pStyle w:val="FootnoteText"/>
        <w:spacing w:after="120"/>
        <w:rPr>
          <w:rFonts w:ascii="Times New Roman" w:hAnsi="Times New Roman" w:cs="Times New Roman"/>
        </w:rPr>
      </w:pPr>
      <w:r>
        <w:rPr>
          <w:rStyle w:val="FootnoteReference"/>
        </w:rPr>
        <w:footnoteRef/>
      </w:r>
      <w:r w:rsidRPr="00502C9F">
        <w:rPr>
          <w:i/>
          <w:iCs/>
        </w:rPr>
        <w:t xml:space="preserve"> </w:t>
      </w:r>
      <w:r w:rsidR="007435F5">
        <w:rPr>
          <w:rFonts w:ascii="Times New Roman" w:hAnsi="Times New Roman" w:cs="Times New Roman"/>
          <w:i/>
          <w:iCs/>
        </w:rPr>
        <w:t>Id.</w:t>
      </w:r>
      <w:r w:rsidR="007435F5" w:rsidRPr="00C37EC3">
        <w:rPr>
          <w:rFonts w:ascii="Times New Roman" w:hAnsi="Times New Roman" w:cs="Times New Roman"/>
        </w:rPr>
        <w:t xml:space="preserve"> </w:t>
      </w:r>
    </w:p>
  </w:footnote>
  <w:footnote w:id="34">
    <w:p w14:paraId="57419EBC" w14:textId="676B936F" w:rsidR="006E2D97" w:rsidRPr="003B0640" w:rsidRDefault="006E2D97" w:rsidP="003B0640">
      <w:pPr>
        <w:pStyle w:val="FootnoteText"/>
        <w:spacing w:after="120"/>
        <w:rPr>
          <w:rFonts w:ascii="Times New Roman" w:hAnsi="Times New Roman" w:cs="Times New Roman"/>
        </w:rPr>
      </w:pPr>
      <w:r>
        <w:rPr>
          <w:rStyle w:val="FootnoteReference"/>
        </w:rPr>
        <w:footnoteRef/>
      </w:r>
      <w:r>
        <w:t xml:space="preserve"> </w:t>
      </w:r>
      <w:r w:rsidRPr="00C37EC3">
        <w:rPr>
          <w:rFonts w:ascii="Times New Roman" w:hAnsi="Times New Roman" w:cs="Times New Roman"/>
        </w:rPr>
        <w:t>GTL PRA Comments at 5.</w:t>
      </w:r>
    </w:p>
  </w:footnote>
  <w:footnote w:id="35">
    <w:p w14:paraId="03FA8C46" w14:textId="49B30CD4" w:rsidR="00127520" w:rsidRPr="003B0640" w:rsidRDefault="00477C11" w:rsidP="003B0640">
      <w:pPr>
        <w:pStyle w:val="FootnoteText"/>
        <w:spacing w:after="120"/>
        <w:rPr>
          <w:rFonts w:ascii="Times New Roman" w:hAnsi="Times New Roman" w:cs="Times New Roman"/>
        </w:rPr>
      </w:pPr>
      <w:r>
        <w:rPr>
          <w:rStyle w:val="FootnoteReference"/>
        </w:rPr>
        <w:footnoteRef/>
      </w:r>
      <w:r>
        <w:t xml:space="preserve"> </w:t>
      </w:r>
      <w:r w:rsidR="007435F5">
        <w:rPr>
          <w:rFonts w:ascii="Times New Roman" w:hAnsi="Times New Roman" w:cs="Times New Roman"/>
          <w:i/>
          <w:iCs/>
        </w:rPr>
        <w:t>Id.</w:t>
      </w:r>
      <w:r w:rsidR="007435F5" w:rsidRPr="00C37EC3">
        <w:rPr>
          <w:rFonts w:ascii="Times New Roman" w:hAnsi="Times New Roman" w:cs="Times New Roman"/>
        </w:rPr>
        <w:t xml:space="preserve"> </w:t>
      </w:r>
    </w:p>
  </w:footnote>
  <w:footnote w:id="36">
    <w:p w14:paraId="5C4DF064" w14:textId="74FFEDD0" w:rsidR="00620640" w:rsidRPr="003B0640" w:rsidRDefault="00620640" w:rsidP="003B0640">
      <w:pPr>
        <w:pStyle w:val="FootnoteText"/>
        <w:spacing w:after="120"/>
        <w:rPr>
          <w:rFonts w:ascii="Times New Roman" w:hAnsi="Times New Roman" w:cs="Times New Roman"/>
        </w:rPr>
      </w:pPr>
      <w:r>
        <w:rPr>
          <w:rStyle w:val="FootnoteReference"/>
        </w:rPr>
        <w:footnoteRef/>
      </w:r>
      <w:r>
        <w:t xml:space="preserve"> </w:t>
      </w:r>
      <w:r w:rsidR="007435F5">
        <w:rPr>
          <w:rFonts w:ascii="Times New Roman" w:hAnsi="Times New Roman" w:cs="Times New Roman"/>
          <w:i/>
          <w:iCs/>
        </w:rPr>
        <w:t>Id.</w:t>
      </w:r>
      <w:r w:rsidR="007435F5" w:rsidRPr="00C37EC3">
        <w:rPr>
          <w:rFonts w:ascii="Times New Roman" w:hAnsi="Times New Roman" w:cs="Times New Roman"/>
        </w:rPr>
        <w:t xml:space="preserve"> </w:t>
      </w:r>
    </w:p>
  </w:footnote>
  <w:footnote w:id="37">
    <w:p w14:paraId="67F00296" w14:textId="4FDCF9C3" w:rsidR="00AA2394" w:rsidRPr="009B33C0" w:rsidRDefault="00F9565C" w:rsidP="00F9565C">
      <w:pPr>
        <w:pStyle w:val="FootnoteText"/>
        <w:spacing w:after="120"/>
        <w:rPr>
          <w:rFonts w:ascii="Times New Roman" w:hAnsi="Times New Roman" w:cs="Times New Roman"/>
        </w:rPr>
      </w:pPr>
      <w:r w:rsidRPr="00087932">
        <w:rPr>
          <w:rStyle w:val="FootnoteReference"/>
          <w:rFonts w:cs="Times New Roman"/>
        </w:rPr>
        <w:footnoteRef/>
      </w:r>
      <w:r w:rsidRPr="00087932">
        <w:rPr>
          <w:rFonts w:ascii="Times New Roman" w:hAnsi="Times New Roman" w:cs="Times New Roman"/>
        </w:rPr>
        <w:t xml:space="preserve"> </w:t>
      </w:r>
      <w:r w:rsidR="00182C2F">
        <w:rPr>
          <w:rFonts w:ascii="Times New Roman" w:hAnsi="Times New Roman" w:cs="Times New Roman"/>
          <w:i/>
          <w:iCs/>
        </w:rPr>
        <w:t xml:space="preserve">See </w:t>
      </w:r>
      <w:r w:rsidR="00182C2F" w:rsidRPr="009B33C0">
        <w:rPr>
          <w:rFonts w:ascii="Times New Roman" w:hAnsi="Times New Roman" w:cs="Times New Roman"/>
          <w:i/>
          <w:iCs/>
        </w:rPr>
        <w:t>2021 ICS Order</w:t>
      </w:r>
      <w:r w:rsidR="00182C2F" w:rsidRPr="001F44A0">
        <w:rPr>
          <w:rFonts w:ascii="Times New Roman" w:hAnsi="Times New Roman" w:cs="Times New Roman"/>
        </w:rPr>
        <w:t>, 36 FCC Rcd at 9620, para. 222</w:t>
      </w:r>
      <w:r w:rsidR="00393488">
        <w:rPr>
          <w:rFonts w:ascii="Times New Roman" w:hAnsi="Times New Roman" w:cs="Times New Roman"/>
        </w:rPr>
        <w:t xml:space="preserve"> (stating that </w:t>
      </w:r>
      <w:r w:rsidR="00182C2F" w:rsidRPr="009B33C0">
        <w:rPr>
          <w:rFonts w:ascii="Times New Roman" w:hAnsi="Times New Roman" w:cs="Times New Roman"/>
        </w:rPr>
        <w:t>“while the Annual Reports contain useful and relevant marketplace information on providers’ rates and charges, we disagree with the contention that the Annual Reports provide sufficient data to establish just and reasonable interstate inmate calling services rates”</w:t>
      </w:r>
      <w:r w:rsidR="005734BD">
        <w:rPr>
          <w:rFonts w:ascii="Times New Roman" w:hAnsi="Times New Roman" w:cs="Times New Roman"/>
        </w:rPr>
        <w:t>)</w:t>
      </w:r>
      <w:r w:rsidR="006E1B41">
        <w:rPr>
          <w:rFonts w:ascii="Times New Roman" w:hAnsi="Times New Roman" w:cs="Times New Roman"/>
        </w:rPr>
        <w:t xml:space="preserve">; </w:t>
      </w:r>
      <w:r w:rsidR="006E1B41" w:rsidRPr="00F27781">
        <w:rPr>
          <w:rFonts w:ascii="Times New Roman" w:hAnsi="Times New Roman" w:cs="Times New Roman"/>
          <w:i/>
          <w:iCs/>
        </w:rPr>
        <w:t>Third MDC Adoption Order</w:t>
      </w:r>
      <w:r w:rsidR="006E1B41">
        <w:rPr>
          <w:rFonts w:ascii="Times New Roman" w:hAnsi="Times New Roman" w:cs="Times New Roman"/>
        </w:rPr>
        <w:t xml:space="preserve"> at n.21</w:t>
      </w:r>
    </w:p>
  </w:footnote>
  <w:footnote w:id="38">
    <w:p w14:paraId="44081B52" w14:textId="3CEF218F" w:rsidR="0024737C" w:rsidRPr="003B0640" w:rsidRDefault="00127520" w:rsidP="003B0640">
      <w:pPr>
        <w:pStyle w:val="FootnoteText"/>
        <w:spacing w:after="120"/>
        <w:rPr>
          <w:rFonts w:ascii="Times New Roman" w:hAnsi="Times New Roman" w:cs="Times New Roman"/>
        </w:rPr>
      </w:pPr>
      <w:r>
        <w:rPr>
          <w:rStyle w:val="FootnoteReference"/>
        </w:rPr>
        <w:footnoteRef/>
      </w:r>
      <w:r>
        <w:t xml:space="preserve"> </w:t>
      </w:r>
      <w:r w:rsidR="00F27BAD" w:rsidRPr="00B71B3E">
        <w:rPr>
          <w:rFonts w:ascii="Times New Roman" w:hAnsi="Times New Roman" w:cs="Times New Roman"/>
        </w:rPr>
        <w:t xml:space="preserve">GTL PRA Comments at </w:t>
      </w:r>
      <w:r w:rsidR="00087932" w:rsidRPr="00B71B3E">
        <w:rPr>
          <w:rFonts w:ascii="Times New Roman" w:hAnsi="Times New Roman" w:cs="Times New Roman"/>
        </w:rPr>
        <w:t>4.</w:t>
      </w:r>
    </w:p>
  </w:footnote>
  <w:footnote w:id="39">
    <w:p w14:paraId="5EA40069" w14:textId="104FDA9F" w:rsidR="00985AA6" w:rsidRPr="00F72331" w:rsidRDefault="00985AA6" w:rsidP="00985AA6">
      <w:pPr>
        <w:pStyle w:val="FootnoteText"/>
        <w:spacing w:after="120"/>
        <w:rPr>
          <w:rFonts w:ascii="Times New Roman" w:hAnsi="Times New Roman" w:cs="Times New Roman"/>
        </w:rPr>
      </w:pPr>
      <w:r>
        <w:rPr>
          <w:rStyle w:val="FootnoteReference"/>
        </w:rPr>
        <w:footnoteRef/>
      </w:r>
      <w:r>
        <w:t xml:space="preserve"> </w:t>
      </w:r>
      <w:r w:rsidR="00862DAF" w:rsidRPr="00F72331">
        <w:rPr>
          <w:rFonts w:ascii="Times New Roman" w:hAnsi="Times New Roman" w:cs="Times New Roman"/>
          <w:i/>
          <w:iCs/>
        </w:rPr>
        <w:t>MDC Adoption Order</w:t>
      </w:r>
      <w:r w:rsidR="00862DAF">
        <w:rPr>
          <w:rFonts w:ascii="Times New Roman" w:hAnsi="Times New Roman" w:cs="Times New Roman"/>
        </w:rPr>
        <w:t xml:space="preserve"> a</w:t>
      </w:r>
      <w:r w:rsidR="003A2FCE">
        <w:rPr>
          <w:rFonts w:ascii="Times New Roman" w:hAnsi="Times New Roman" w:cs="Times New Roman"/>
        </w:rPr>
        <w:t>t</w:t>
      </w:r>
      <w:r w:rsidR="00862DAF">
        <w:rPr>
          <w:rFonts w:ascii="Times New Roman" w:hAnsi="Times New Roman" w:cs="Times New Roman"/>
        </w:rPr>
        <w:t xml:space="preserve"> para. </w:t>
      </w:r>
      <w:r w:rsidR="003A2FCE">
        <w:rPr>
          <w:rFonts w:ascii="Times New Roman" w:hAnsi="Times New Roman" w:cs="Times New Roman"/>
        </w:rPr>
        <w:t>37.</w:t>
      </w:r>
    </w:p>
  </w:footnote>
  <w:footnote w:id="40">
    <w:p w14:paraId="179375EB" w14:textId="72CBD648" w:rsidR="00853CAD" w:rsidRPr="001D496C" w:rsidRDefault="004E4E26" w:rsidP="004E4E26">
      <w:pPr>
        <w:pStyle w:val="FootnoteText"/>
        <w:spacing w:after="120"/>
        <w:rPr>
          <w:rFonts w:ascii="Times New Roman" w:hAnsi="Times New Roman" w:cs="Times New Roman"/>
        </w:rPr>
      </w:pPr>
      <w:r>
        <w:rPr>
          <w:rStyle w:val="FootnoteReference"/>
        </w:rPr>
        <w:footnoteRef/>
      </w:r>
      <w:r>
        <w:t xml:space="preserve"> </w:t>
      </w:r>
      <w:r w:rsidR="004D3B4C">
        <w:rPr>
          <w:rFonts w:ascii="Times New Roman" w:hAnsi="Times New Roman" w:cs="Times New Roman"/>
          <w:i/>
          <w:iCs/>
        </w:rPr>
        <w:t>Id.</w:t>
      </w:r>
      <w:r w:rsidR="004D3B4C" w:rsidRPr="00C37EC3">
        <w:rPr>
          <w:rFonts w:ascii="Times New Roman" w:hAnsi="Times New Roman" w:cs="Times New Roman"/>
        </w:rPr>
        <w:t xml:space="preserve"> </w:t>
      </w:r>
      <w:r w:rsidR="00853CAD">
        <w:rPr>
          <w:rFonts w:ascii="Times New Roman" w:hAnsi="Times New Roman" w:cs="Times New Roman"/>
        </w:rPr>
        <w:t xml:space="preserve">(citing </w:t>
      </w:r>
      <w:r w:rsidR="00853CAD" w:rsidRPr="005C7D9B">
        <w:rPr>
          <w:rFonts w:ascii="Times New Roman" w:hAnsi="Times New Roman" w:cs="Times New Roman"/>
        </w:rPr>
        <w:t>Securus Comments at 9</w:t>
      </w:r>
      <w:r w:rsidR="00C428EE">
        <w:rPr>
          <w:rFonts w:ascii="Times New Roman" w:hAnsi="Times New Roman" w:cs="Times New Roman"/>
        </w:rPr>
        <w:t xml:space="preserve"> and</w:t>
      </w:r>
      <w:r w:rsidR="00853CAD" w:rsidRPr="00853CAD">
        <w:rPr>
          <w:rFonts w:ascii="Times New Roman" w:hAnsi="Times New Roman" w:cs="Times New Roman"/>
        </w:rPr>
        <w:t xml:space="preserve"> </w:t>
      </w:r>
      <w:r w:rsidR="00853CAD" w:rsidRPr="00743547">
        <w:rPr>
          <w:rFonts w:ascii="Times New Roman" w:hAnsi="Times New Roman" w:cs="Times New Roman"/>
        </w:rPr>
        <w:t>Pay Tel Reply at 3</w:t>
      </w:r>
      <w:r w:rsidR="00C428EE">
        <w:rPr>
          <w:rFonts w:ascii="Times New Roman" w:hAnsi="Times New Roman" w:cs="Times New Roman"/>
        </w:rPr>
        <w:t>).</w:t>
      </w:r>
    </w:p>
  </w:footnote>
  <w:footnote w:id="41">
    <w:p w14:paraId="1E9E1042" w14:textId="31AF0B72" w:rsidR="009C552D" w:rsidRPr="00832810" w:rsidRDefault="009C552D" w:rsidP="003B0640">
      <w:pPr>
        <w:pStyle w:val="FootnoteText"/>
        <w:spacing w:after="120"/>
        <w:rPr>
          <w:rFonts w:ascii="Times New Roman" w:hAnsi="Times New Roman" w:cs="Times New Roman"/>
        </w:rPr>
      </w:pPr>
      <w:r w:rsidRPr="00832810">
        <w:rPr>
          <w:rStyle w:val="FootnoteReference"/>
          <w:rFonts w:cs="Times New Roman"/>
        </w:rPr>
        <w:footnoteRef/>
      </w:r>
      <w:r w:rsidRPr="00832810">
        <w:rPr>
          <w:rFonts w:ascii="Times New Roman" w:hAnsi="Times New Roman" w:cs="Times New Roman"/>
        </w:rPr>
        <w:t xml:space="preserve"> </w:t>
      </w:r>
      <w:r w:rsidRPr="00832810">
        <w:rPr>
          <w:rFonts w:ascii="Times New Roman" w:hAnsi="Times New Roman" w:cs="Times New Roman"/>
          <w:i/>
        </w:rPr>
        <w:t>Rates for Inmate Calling Services</w:t>
      </w:r>
      <w:r w:rsidRPr="00832810">
        <w:rPr>
          <w:rFonts w:ascii="Times New Roman" w:hAnsi="Times New Roman" w:cs="Times New Roman"/>
        </w:rPr>
        <w:t>, WC Docket 12-375, Protective Order, 28 FCC Rcd 16954 (WCB 2013)</w:t>
      </w:r>
      <w:r w:rsidR="003B4FD8" w:rsidRPr="00832810">
        <w:rPr>
          <w:rFonts w:ascii="Times New Roman" w:hAnsi="Times New Roman" w:cs="Times New Roman"/>
        </w:rPr>
        <w:t xml:space="preserve"> (</w:t>
      </w:r>
      <w:r w:rsidR="003B4FD8" w:rsidRPr="00832810">
        <w:rPr>
          <w:rFonts w:ascii="Times New Roman" w:hAnsi="Times New Roman" w:cs="Times New Roman"/>
          <w:i/>
        </w:rPr>
        <w:t>Protective Order</w:t>
      </w:r>
      <w:r w:rsidR="003B4FD8" w:rsidRPr="00832810">
        <w:rPr>
          <w:rFonts w:ascii="Times New Roman" w:hAnsi="Times New Roman" w:cs="Times New Roman"/>
        </w:rPr>
        <w:t>)</w:t>
      </w:r>
      <w:r w:rsidRPr="00832810">
        <w:rPr>
          <w:rFonts w:ascii="Times New Roman" w:hAnsi="Times New Roman" w:cs="Times New Roman"/>
        </w:rPr>
        <w:t xml:space="preserve">; </w:t>
      </w:r>
      <w:r w:rsidR="00D8468B" w:rsidRPr="00832810">
        <w:rPr>
          <w:rFonts w:ascii="Times New Roman" w:hAnsi="Times New Roman" w:cs="Times New Roman"/>
          <w:i/>
        </w:rPr>
        <w:t>see also Rates for Interstate Inmate Calling Services</w:t>
      </w:r>
      <w:r w:rsidR="00D8468B" w:rsidRPr="00832810">
        <w:rPr>
          <w:rFonts w:ascii="Times New Roman" w:hAnsi="Times New Roman" w:cs="Times New Roman"/>
        </w:rPr>
        <w:t xml:space="preserve">, WC Docket No. 12-375, 35 FCC Rcd 9267 (WCB 2020) </w:t>
      </w:r>
      <w:r w:rsidR="003B4FD8" w:rsidRPr="00832810">
        <w:rPr>
          <w:rFonts w:ascii="Times New Roman" w:hAnsi="Times New Roman" w:cs="Times New Roman"/>
        </w:rPr>
        <w:t>(</w:t>
      </w:r>
      <w:r w:rsidR="00D8468B" w:rsidRPr="00832810">
        <w:rPr>
          <w:rFonts w:ascii="Times New Roman" w:hAnsi="Times New Roman" w:cs="Times New Roman"/>
        </w:rPr>
        <w:t>mandating non-confidential treatment of certain types of information)</w:t>
      </w:r>
      <w:r w:rsidR="00E55C3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51E8E"/>
    <w:multiLevelType w:val="hybridMultilevel"/>
    <w:tmpl w:val="3D3C8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37F2F"/>
    <w:multiLevelType w:val="hybridMultilevel"/>
    <w:tmpl w:val="685C2584"/>
    <w:lvl w:ilvl="0" w:tplc="9904B87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585AC7"/>
    <w:multiLevelType w:val="hybridMultilevel"/>
    <w:tmpl w:val="8A708A5E"/>
    <w:lvl w:ilvl="0" w:tplc="F0EAF640">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864EB"/>
    <w:multiLevelType w:val="hybridMultilevel"/>
    <w:tmpl w:val="974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5663A"/>
    <w:multiLevelType w:val="hybridMultilevel"/>
    <w:tmpl w:val="2560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D5534"/>
    <w:multiLevelType w:val="hybridMultilevel"/>
    <w:tmpl w:val="EB502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3E5206BD"/>
    <w:multiLevelType w:val="hybridMultilevel"/>
    <w:tmpl w:val="E31AF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A1FCD"/>
    <w:multiLevelType w:val="hybridMultilevel"/>
    <w:tmpl w:val="5A92214A"/>
    <w:lvl w:ilvl="0" w:tplc="F77863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E3E7C"/>
    <w:multiLevelType w:val="hybridMultilevel"/>
    <w:tmpl w:val="8EDCFC06"/>
    <w:lvl w:ilvl="0" w:tplc="B1C42B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C03A99"/>
    <w:multiLevelType w:val="hybridMultilevel"/>
    <w:tmpl w:val="DEEA3A16"/>
    <w:lvl w:ilvl="0" w:tplc="463CC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B1191"/>
    <w:multiLevelType w:val="hybridMultilevel"/>
    <w:tmpl w:val="BAF852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13DF1"/>
    <w:multiLevelType w:val="hybridMultilevel"/>
    <w:tmpl w:val="8E688FB8"/>
    <w:lvl w:ilvl="0" w:tplc="15FE3910">
      <w:start w:val="1"/>
      <w:numFmt w:val="upperLetter"/>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94CD8"/>
    <w:multiLevelType w:val="hybridMultilevel"/>
    <w:tmpl w:val="8C44A5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4"/>
  </w:num>
  <w:num w:numId="4">
    <w:abstractNumId w:val="3"/>
  </w:num>
  <w:num w:numId="5">
    <w:abstractNumId w:val="5"/>
  </w:num>
  <w:num w:numId="6">
    <w:abstractNumId w:val="12"/>
  </w:num>
  <w:num w:numId="7">
    <w:abstractNumId w:val="8"/>
  </w:num>
  <w:num w:numId="8">
    <w:abstractNumId w:val="10"/>
  </w:num>
  <w:num w:numId="9">
    <w:abstractNumId w:val="1"/>
  </w:num>
  <w:num w:numId="10">
    <w:abstractNumId w:val="2"/>
  </w:num>
  <w:num w:numId="11">
    <w:abstractNumId w:val="9"/>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61"/>
    <w:rsid w:val="0000151E"/>
    <w:rsid w:val="00001AB3"/>
    <w:rsid w:val="00002844"/>
    <w:rsid w:val="00002C23"/>
    <w:rsid w:val="00003612"/>
    <w:rsid w:val="00004F8E"/>
    <w:rsid w:val="000062D6"/>
    <w:rsid w:val="00006CD4"/>
    <w:rsid w:val="0000761D"/>
    <w:rsid w:val="00010608"/>
    <w:rsid w:val="00010E6D"/>
    <w:rsid w:val="00010FD5"/>
    <w:rsid w:val="00012339"/>
    <w:rsid w:val="00012A8B"/>
    <w:rsid w:val="00014FBC"/>
    <w:rsid w:val="0001518B"/>
    <w:rsid w:val="00015AAC"/>
    <w:rsid w:val="00016052"/>
    <w:rsid w:val="000170D9"/>
    <w:rsid w:val="00017629"/>
    <w:rsid w:val="000178CA"/>
    <w:rsid w:val="00020262"/>
    <w:rsid w:val="00021719"/>
    <w:rsid w:val="00023FB7"/>
    <w:rsid w:val="00025639"/>
    <w:rsid w:val="0002585E"/>
    <w:rsid w:val="000269BE"/>
    <w:rsid w:val="00026B9E"/>
    <w:rsid w:val="00030076"/>
    <w:rsid w:val="000300A5"/>
    <w:rsid w:val="000302A7"/>
    <w:rsid w:val="0003287F"/>
    <w:rsid w:val="00032905"/>
    <w:rsid w:val="00033506"/>
    <w:rsid w:val="00033BCA"/>
    <w:rsid w:val="00033F0C"/>
    <w:rsid w:val="00041DDE"/>
    <w:rsid w:val="00042E00"/>
    <w:rsid w:val="0004303E"/>
    <w:rsid w:val="00043BB8"/>
    <w:rsid w:val="00043CBE"/>
    <w:rsid w:val="00043DEC"/>
    <w:rsid w:val="00044148"/>
    <w:rsid w:val="00046596"/>
    <w:rsid w:val="00046CA6"/>
    <w:rsid w:val="00047EF1"/>
    <w:rsid w:val="00050454"/>
    <w:rsid w:val="00050875"/>
    <w:rsid w:val="00050BF5"/>
    <w:rsid w:val="0005182D"/>
    <w:rsid w:val="0005219B"/>
    <w:rsid w:val="000533A8"/>
    <w:rsid w:val="00053DB7"/>
    <w:rsid w:val="000551DD"/>
    <w:rsid w:val="00057313"/>
    <w:rsid w:val="00057A4F"/>
    <w:rsid w:val="00057F10"/>
    <w:rsid w:val="00060548"/>
    <w:rsid w:val="0006136B"/>
    <w:rsid w:val="00062403"/>
    <w:rsid w:val="00062523"/>
    <w:rsid w:val="00064400"/>
    <w:rsid w:val="0006564B"/>
    <w:rsid w:val="00065BAF"/>
    <w:rsid w:val="00065DB0"/>
    <w:rsid w:val="00065FE7"/>
    <w:rsid w:val="00066227"/>
    <w:rsid w:val="000666FA"/>
    <w:rsid w:val="0006709B"/>
    <w:rsid w:val="000670EC"/>
    <w:rsid w:val="000673F0"/>
    <w:rsid w:val="00070375"/>
    <w:rsid w:val="0007074A"/>
    <w:rsid w:val="000717CF"/>
    <w:rsid w:val="00071B22"/>
    <w:rsid w:val="000723A0"/>
    <w:rsid w:val="00073073"/>
    <w:rsid w:val="00073E65"/>
    <w:rsid w:val="00075273"/>
    <w:rsid w:val="000757C5"/>
    <w:rsid w:val="00076171"/>
    <w:rsid w:val="0007756C"/>
    <w:rsid w:val="000775C3"/>
    <w:rsid w:val="00081897"/>
    <w:rsid w:val="00081927"/>
    <w:rsid w:val="00081D68"/>
    <w:rsid w:val="00081F87"/>
    <w:rsid w:val="0008247A"/>
    <w:rsid w:val="00082807"/>
    <w:rsid w:val="00082EC8"/>
    <w:rsid w:val="00083113"/>
    <w:rsid w:val="00083299"/>
    <w:rsid w:val="00083F03"/>
    <w:rsid w:val="000847D6"/>
    <w:rsid w:val="00084F05"/>
    <w:rsid w:val="00085A4F"/>
    <w:rsid w:val="00085CD5"/>
    <w:rsid w:val="00086113"/>
    <w:rsid w:val="00086FC2"/>
    <w:rsid w:val="00087932"/>
    <w:rsid w:val="00090898"/>
    <w:rsid w:val="000917D9"/>
    <w:rsid w:val="00091BCA"/>
    <w:rsid w:val="000923E8"/>
    <w:rsid w:val="00092F90"/>
    <w:rsid w:val="00093007"/>
    <w:rsid w:val="00093B1B"/>
    <w:rsid w:val="000940DA"/>
    <w:rsid w:val="0009558F"/>
    <w:rsid w:val="00096A52"/>
    <w:rsid w:val="00096F3B"/>
    <w:rsid w:val="000971C4"/>
    <w:rsid w:val="00097AD2"/>
    <w:rsid w:val="00097BDB"/>
    <w:rsid w:val="000A05D2"/>
    <w:rsid w:val="000A0862"/>
    <w:rsid w:val="000A400D"/>
    <w:rsid w:val="000A4962"/>
    <w:rsid w:val="000A5316"/>
    <w:rsid w:val="000A5446"/>
    <w:rsid w:val="000A6E5C"/>
    <w:rsid w:val="000A70AA"/>
    <w:rsid w:val="000A7332"/>
    <w:rsid w:val="000B0B86"/>
    <w:rsid w:val="000B1F0B"/>
    <w:rsid w:val="000B3C1B"/>
    <w:rsid w:val="000B4367"/>
    <w:rsid w:val="000B47D0"/>
    <w:rsid w:val="000B5D84"/>
    <w:rsid w:val="000B7521"/>
    <w:rsid w:val="000B7B13"/>
    <w:rsid w:val="000C083D"/>
    <w:rsid w:val="000C0C19"/>
    <w:rsid w:val="000C1F24"/>
    <w:rsid w:val="000C46BE"/>
    <w:rsid w:val="000C4997"/>
    <w:rsid w:val="000C50AC"/>
    <w:rsid w:val="000C5C06"/>
    <w:rsid w:val="000C5CCF"/>
    <w:rsid w:val="000C6475"/>
    <w:rsid w:val="000C7048"/>
    <w:rsid w:val="000C7194"/>
    <w:rsid w:val="000C7399"/>
    <w:rsid w:val="000C75F2"/>
    <w:rsid w:val="000C7681"/>
    <w:rsid w:val="000C77D5"/>
    <w:rsid w:val="000D1629"/>
    <w:rsid w:val="000D16EE"/>
    <w:rsid w:val="000D1738"/>
    <w:rsid w:val="000D231D"/>
    <w:rsid w:val="000D3359"/>
    <w:rsid w:val="000D347B"/>
    <w:rsid w:val="000D3B2B"/>
    <w:rsid w:val="000D54DD"/>
    <w:rsid w:val="000D6285"/>
    <w:rsid w:val="000D62F7"/>
    <w:rsid w:val="000D6BFC"/>
    <w:rsid w:val="000D76AF"/>
    <w:rsid w:val="000E07F4"/>
    <w:rsid w:val="000E116F"/>
    <w:rsid w:val="000E43B4"/>
    <w:rsid w:val="000E5764"/>
    <w:rsid w:val="000E5AEF"/>
    <w:rsid w:val="000E65E2"/>
    <w:rsid w:val="000E661E"/>
    <w:rsid w:val="000E7592"/>
    <w:rsid w:val="000E798A"/>
    <w:rsid w:val="000E7EB1"/>
    <w:rsid w:val="000F048E"/>
    <w:rsid w:val="000F137E"/>
    <w:rsid w:val="000F1A2C"/>
    <w:rsid w:val="000F1C76"/>
    <w:rsid w:val="000F30E0"/>
    <w:rsid w:val="000F38C4"/>
    <w:rsid w:val="000F431F"/>
    <w:rsid w:val="000F5519"/>
    <w:rsid w:val="000F5E1B"/>
    <w:rsid w:val="000F7361"/>
    <w:rsid w:val="000F7B3A"/>
    <w:rsid w:val="001003DD"/>
    <w:rsid w:val="00100636"/>
    <w:rsid w:val="001008B1"/>
    <w:rsid w:val="00100904"/>
    <w:rsid w:val="00100C41"/>
    <w:rsid w:val="00100EA8"/>
    <w:rsid w:val="00102434"/>
    <w:rsid w:val="001026C7"/>
    <w:rsid w:val="0010279E"/>
    <w:rsid w:val="00102910"/>
    <w:rsid w:val="0010431C"/>
    <w:rsid w:val="0010516E"/>
    <w:rsid w:val="00105BFD"/>
    <w:rsid w:val="00106D82"/>
    <w:rsid w:val="00110200"/>
    <w:rsid w:val="001103AB"/>
    <w:rsid w:val="00110674"/>
    <w:rsid w:val="00110A0B"/>
    <w:rsid w:val="00112215"/>
    <w:rsid w:val="00112645"/>
    <w:rsid w:val="00112EAF"/>
    <w:rsid w:val="00113F44"/>
    <w:rsid w:val="0011420B"/>
    <w:rsid w:val="00114307"/>
    <w:rsid w:val="0011483E"/>
    <w:rsid w:val="00115B7A"/>
    <w:rsid w:val="001165D8"/>
    <w:rsid w:val="00120E35"/>
    <w:rsid w:val="00120FDD"/>
    <w:rsid w:val="00121257"/>
    <w:rsid w:val="00127520"/>
    <w:rsid w:val="00127676"/>
    <w:rsid w:val="001322B5"/>
    <w:rsid w:val="001323B1"/>
    <w:rsid w:val="00132989"/>
    <w:rsid w:val="001335D0"/>
    <w:rsid w:val="001339B3"/>
    <w:rsid w:val="001363F7"/>
    <w:rsid w:val="0014137B"/>
    <w:rsid w:val="00141798"/>
    <w:rsid w:val="0014189B"/>
    <w:rsid w:val="00141F12"/>
    <w:rsid w:val="00142A8F"/>
    <w:rsid w:val="00142D7F"/>
    <w:rsid w:val="0014405F"/>
    <w:rsid w:val="00144896"/>
    <w:rsid w:val="00145177"/>
    <w:rsid w:val="0014608C"/>
    <w:rsid w:val="00146DC5"/>
    <w:rsid w:val="0015139D"/>
    <w:rsid w:val="00151611"/>
    <w:rsid w:val="00151AA0"/>
    <w:rsid w:val="00152169"/>
    <w:rsid w:val="001524D6"/>
    <w:rsid w:val="00152FA8"/>
    <w:rsid w:val="001536B2"/>
    <w:rsid w:val="00154EB3"/>
    <w:rsid w:val="00156B63"/>
    <w:rsid w:val="00156C0E"/>
    <w:rsid w:val="00157E73"/>
    <w:rsid w:val="00161F22"/>
    <w:rsid w:val="00162FDE"/>
    <w:rsid w:val="00164E84"/>
    <w:rsid w:val="001662FC"/>
    <w:rsid w:val="001679A0"/>
    <w:rsid w:val="00170CC1"/>
    <w:rsid w:val="00171499"/>
    <w:rsid w:val="00171D9B"/>
    <w:rsid w:val="001721B9"/>
    <w:rsid w:val="00172D66"/>
    <w:rsid w:val="0017387D"/>
    <w:rsid w:val="0017513F"/>
    <w:rsid w:val="00180E8B"/>
    <w:rsid w:val="00182427"/>
    <w:rsid w:val="001825B5"/>
    <w:rsid w:val="001826BE"/>
    <w:rsid w:val="00182C2F"/>
    <w:rsid w:val="001840B5"/>
    <w:rsid w:val="00184621"/>
    <w:rsid w:val="00184E52"/>
    <w:rsid w:val="00185741"/>
    <w:rsid w:val="00186525"/>
    <w:rsid w:val="00187B7C"/>
    <w:rsid w:val="00187FB6"/>
    <w:rsid w:val="00191AB9"/>
    <w:rsid w:val="001938FF"/>
    <w:rsid w:val="00194100"/>
    <w:rsid w:val="0019520C"/>
    <w:rsid w:val="0019626D"/>
    <w:rsid w:val="00196FA1"/>
    <w:rsid w:val="001A0D96"/>
    <w:rsid w:val="001A1D07"/>
    <w:rsid w:val="001A2354"/>
    <w:rsid w:val="001A29A2"/>
    <w:rsid w:val="001A6452"/>
    <w:rsid w:val="001A6983"/>
    <w:rsid w:val="001A70AB"/>
    <w:rsid w:val="001A7449"/>
    <w:rsid w:val="001B061A"/>
    <w:rsid w:val="001B0B94"/>
    <w:rsid w:val="001B0C8C"/>
    <w:rsid w:val="001B0CE3"/>
    <w:rsid w:val="001B1A0C"/>
    <w:rsid w:val="001B1F4E"/>
    <w:rsid w:val="001B5601"/>
    <w:rsid w:val="001B62B0"/>
    <w:rsid w:val="001B7DCA"/>
    <w:rsid w:val="001B7FF7"/>
    <w:rsid w:val="001C025E"/>
    <w:rsid w:val="001C1977"/>
    <w:rsid w:val="001C1BC5"/>
    <w:rsid w:val="001C282E"/>
    <w:rsid w:val="001C319D"/>
    <w:rsid w:val="001C4A55"/>
    <w:rsid w:val="001C6293"/>
    <w:rsid w:val="001C6418"/>
    <w:rsid w:val="001C6637"/>
    <w:rsid w:val="001D05DC"/>
    <w:rsid w:val="001D06FF"/>
    <w:rsid w:val="001D0CBD"/>
    <w:rsid w:val="001D44F2"/>
    <w:rsid w:val="001D568B"/>
    <w:rsid w:val="001D7B7A"/>
    <w:rsid w:val="001D7F1B"/>
    <w:rsid w:val="001E0C96"/>
    <w:rsid w:val="001E24E6"/>
    <w:rsid w:val="001E27AB"/>
    <w:rsid w:val="001E4458"/>
    <w:rsid w:val="001E47EB"/>
    <w:rsid w:val="001E6474"/>
    <w:rsid w:val="001E77F0"/>
    <w:rsid w:val="001E7A35"/>
    <w:rsid w:val="001F01E3"/>
    <w:rsid w:val="001F069E"/>
    <w:rsid w:val="001F11BC"/>
    <w:rsid w:val="001F132C"/>
    <w:rsid w:val="001F438C"/>
    <w:rsid w:val="001F4AF2"/>
    <w:rsid w:val="001F515A"/>
    <w:rsid w:val="001F52DD"/>
    <w:rsid w:val="001F5360"/>
    <w:rsid w:val="001F54C7"/>
    <w:rsid w:val="0020145B"/>
    <w:rsid w:val="002029C2"/>
    <w:rsid w:val="002034A8"/>
    <w:rsid w:val="00203D08"/>
    <w:rsid w:val="002040F7"/>
    <w:rsid w:val="00205C77"/>
    <w:rsid w:val="00206B19"/>
    <w:rsid w:val="002073AF"/>
    <w:rsid w:val="0021064C"/>
    <w:rsid w:val="00211835"/>
    <w:rsid w:val="00212811"/>
    <w:rsid w:val="00212A98"/>
    <w:rsid w:val="00212B5A"/>
    <w:rsid w:val="00213887"/>
    <w:rsid w:val="00213B73"/>
    <w:rsid w:val="0021505B"/>
    <w:rsid w:val="00215ED4"/>
    <w:rsid w:val="00215F57"/>
    <w:rsid w:val="002160E6"/>
    <w:rsid w:val="00216DA2"/>
    <w:rsid w:val="00216FA5"/>
    <w:rsid w:val="002206FE"/>
    <w:rsid w:val="00220907"/>
    <w:rsid w:val="00220A0A"/>
    <w:rsid w:val="002214B9"/>
    <w:rsid w:val="002239ED"/>
    <w:rsid w:val="00223F91"/>
    <w:rsid w:val="00223F99"/>
    <w:rsid w:val="00224440"/>
    <w:rsid w:val="00224AFE"/>
    <w:rsid w:val="002250E2"/>
    <w:rsid w:val="002259F8"/>
    <w:rsid w:val="0022686D"/>
    <w:rsid w:val="00226DEA"/>
    <w:rsid w:val="00227A11"/>
    <w:rsid w:val="00230072"/>
    <w:rsid w:val="0023010D"/>
    <w:rsid w:val="00230397"/>
    <w:rsid w:val="0023228E"/>
    <w:rsid w:val="002330F5"/>
    <w:rsid w:val="00233B3C"/>
    <w:rsid w:val="00233E54"/>
    <w:rsid w:val="00234693"/>
    <w:rsid w:val="00235353"/>
    <w:rsid w:val="002363FF"/>
    <w:rsid w:val="00236C1E"/>
    <w:rsid w:val="002376C7"/>
    <w:rsid w:val="00243A94"/>
    <w:rsid w:val="00243AC6"/>
    <w:rsid w:val="00243D86"/>
    <w:rsid w:val="00243F80"/>
    <w:rsid w:val="00246F4C"/>
    <w:rsid w:val="0024737C"/>
    <w:rsid w:val="00247B55"/>
    <w:rsid w:val="00250A5C"/>
    <w:rsid w:val="00250F8D"/>
    <w:rsid w:val="00250FE8"/>
    <w:rsid w:val="0025395E"/>
    <w:rsid w:val="00253EA1"/>
    <w:rsid w:val="00254178"/>
    <w:rsid w:val="00254E8A"/>
    <w:rsid w:val="00255735"/>
    <w:rsid w:val="00255B22"/>
    <w:rsid w:val="00255C6C"/>
    <w:rsid w:val="0025627E"/>
    <w:rsid w:val="002562D4"/>
    <w:rsid w:val="002570F9"/>
    <w:rsid w:val="0025759E"/>
    <w:rsid w:val="00260525"/>
    <w:rsid w:val="002608EA"/>
    <w:rsid w:val="002612D0"/>
    <w:rsid w:val="00261BD1"/>
    <w:rsid w:val="002627C5"/>
    <w:rsid w:val="00262CD1"/>
    <w:rsid w:val="00262D8A"/>
    <w:rsid w:val="002630F3"/>
    <w:rsid w:val="00263137"/>
    <w:rsid w:val="0026316D"/>
    <w:rsid w:val="002646AC"/>
    <w:rsid w:val="002646F5"/>
    <w:rsid w:val="00264AE7"/>
    <w:rsid w:val="00266DBE"/>
    <w:rsid w:val="00267D9D"/>
    <w:rsid w:val="00270563"/>
    <w:rsid w:val="00270732"/>
    <w:rsid w:val="00270B23"/>
    <w:rsid w:val="00270E61"/>
    <w:rsid w:val="00272279"/>
    <w:rsid w:val="002724EF"/>
    <w:rsid w:val="0027269D"/>
    <w:rsid w:val="00272A06"/>
    <w:rsid w:val="00273D39"/>
    <w:rsid w:val="00274A79"/>
    <w:rsid w:val="00275799"/>
    <w:rsid w:val="00277620"/>
    <w:rsid w:val="00277676"/>
    <w:rsid w:val="00277DCD"/>
    <w:rsid w:val="002811ED"/>
    <w:rsid w:val="002815E1"/>
    <w:rsid w:val="00282162"/>
    <w:rsid w:val="00283AEB"/>
    <w:rsid w:val="00283D78"/>
    <w:rsid w:val="002848AE"/>
    <w:rsid w:val="00284B87"/>
    <w:rsid w:val="0028564C"/>
    <w:rsid w:val="00286162"/>
    <w:rsid w:val="00286F0B"/>
    <w:rsid w:val="00287BB9"/>
    <w:rsid w:val="0029041F"/>
    <w:rsid w:val="00290FCE"/>
    <w:rsid w:val="00291344"/>
    <w:rsid w:val="00292757"/>
    <w:rsid w:val="002927CA"/>
    <w:rsid w:val="0029296F"/>
    <w:rsid w:val="002947BA"/>
    <w:rsid w:val="00294DA6"/>
    <w:rsid w:val="0029577C"/>
    <w:rsid w:val="00296958"/>
    <w:rsid w:val="00296CAE"/>
    <w:rsid w:val="0029712F"/>
    <w:rsid w:val="00297EF4"/>
    <w:rsid w:val="002A030C"/>
    <w:rsid w:val="002A0B23"/>
    <w:rsid w:val="002A0BC7"/>
    <w:rsid w:val="002A16E2"/>
    <w:rsid w:val="002A3A9E"/>
    <w:rsid w:val="002A40CA"/>
    <w:rsid w:val="002A48E7"/>
    <w:rsid w:val="002A7855"/>
    <w:rsid w:val="002A7FE9"/>
    <w:rsid w:val="002B0517"/>
    <w:rsid w:val="002B1407"/>
    <w:rsid w:val="002B2062"/>
    <w:rsid w:val="002B318B"/>
    <w:rsid w:val="002B5758"/>
    <w:rsid w:val="002C2DB6"/>
    <w:rsid w:val="002C309C"/>
    <w:rsid w:val="002C473E"/>
    <w:rsid w:val="002C4FEB"/>
    <w:rsid w:val="002C5BCE"/>
    <w:rsid w:val="002C622F"/>
    <w:rsid w:val="002C723B"/>
    <w:rsid w:val="002D0878"/>
    <w:rsid w:val="002D0C88"/>
    <w:rsid w:val="002D10A0"/>
    <w:rsid w:val="002D1700"/>
    <w:rsid w:val="002D18D7"/>
    <w:rsid w:val="002D3F6D"/>
    <w:rsid w:val="002D7907"/>
    <w:rsid w:val="002E092A"/>
    <w:rsid w:val="002E1601"/>
    <w:rsid w:val="002E19BC"/>
    <w:rsid w:val="002E2919"/>
    <w:rsid w:val="002E3B1C"/>
    <w:rsid w:val="002E3CF6"/>
    <w:rsid w:val="002E4C56"/>
    <w:rsid w:val="002E5226"/>
    <w:rsid w:val="002E5BE7"/>
    <w:rsid w:val="002E610D"/>
    <w:rsid w:val="002F0BFF"/>
    <w:rsid w:val="002F2A0C"/>
    <w:rsid w:val="002F46A1"/>
    <w:rsid w:val="002F4E04"/>
    <w:rsid w:val="0030050F"/>
    <w:rsid w:val="003007EB"/>
    <w:rsid w:val="00301C3F"/>
    <w:rsid w:val="00302AC1"/>
    <w:rsid w:val="003036D0"/>
    <w:rsid w:val="003036FF"/>
    <w:rsid w:val="0030546F"/>
    <w:rsid w:val="00305CA4"/>
    <w:rsid w:val="00306247"/>
    <w:rsid w:val="00307E85"/>
    <w:rsid w:val="00310032"/>
    <w:rsid w:val="0031076A"/>
    <w:rsid w:val="003112A7"/>
    <w:rsid w:val="003119BE"/>
    <w:rsid w:val="0031210F"/>
    <w:rsid w:val="00312F3A"/>
    <w:rsid w:val="00313CF9"/>
    <w:rsid w:val="003157F1"/>
    <w:rsid w:val="003177FB"/>
    <w:rsid w:val="00321A88"/>
    <w:rsid w:val="00323BBA"/>
    <w:rsid w:val="00324DD4"/>
    <w:rsid w:val="003264A4"/>
    <w:rsid w:val="003273E3"/>
    <w:rsid w:val="003309F6"/>
    <w:rsid w:val="00331547"/>
    <w:rsid w:val="0033175B"/>
    <w:rsid w:val="0033469F"/>
    <w:rsid w:val="00336DC0"/>
    <w:rsid w:val="00337AA1"/>
    <w:rsid w:val="003408A8"/>
    <w:rsid w:val="0034126F"/>
    <w:rsid w:val="003421E1"/>
    <w:rsid w:val="0034304F"/>
    <w:rsid w:val="00344189"/>
    <w:rsid w:val="00344CD2"/>
    <w:rsid w:val="00344F28"/>
    <w:rsid w:val="00345466"/>
    <w:rsid w:val="00346D59"/>
    <w:rsid w:val="00347D64"/>
    <w:rsid w:val="00347D98"/>
    <w:rsid w:val="00351823"/>
    <w:rsid w:val="003525D5"/>
    <w:rsid w:val="003526DA"/>
    <w:rsid w:val="00352BCC"/>
    <w:rsid w:val="00352FDF"/>
    <w:rsid w:val="00353E45"/>
    <w:rsid w:val="00354D40"/>
    <w:rsid w:val="003550DA"/>
    <w:rsid w:val="003550F9"/>
    <w:rsid w:val="00356B1C"/>
    <w:rsid w:val="003578A0"/>
    <w:rsid w:val="0035796F"/>
    <w:rsid w:val="003604A9"/>
    <w:rsid w:val="00360D8B"/>
    <w:rsid w:val="00360FBB"/>
    <w:rsid w:val="003624A2"/>
    <w:rsid w:val="003629C8"/>
    <w:rsid w:val="00363ECC"/>
    <w:rsid w:val="00364FC9"/>
    <w:rsid w:val="00365093"/>
    <w:rsid w:val="00365F69"/>
    <w:rsid w:val="00365FA5"/>
    <w:rsid w:val="00366A27"/>
    <w:rsid w:val="0036776C"/>
    <w:rsid w:val="003677CC"/>
    <w:rsid w:val="00367F2E"/>
    <w:rsid w:val="00372A3D"/>
    <w:rsid w:val="00374DC0"/>
    <w:rsid w:val="003759DA"/>
    <w:rsid w:val="00375C2D"/>
    <w:rsid w:val="00375E09"/>
    <w:rsid w:val="00376648"/>
    <w:rsid w:val="00376AE9"/>
    <w:rsid w:val="00377559"/>
    <w:rsid w:val="00381308"/>
    <w:rsid w:val="003813A3"/>
    <w:rsid w:val="00381BBB"/>
    <w:rsid w:val="003824E4"/>
    <w:rsid w:val="00382D54"/>
    <w:rsid w:val="003831D8"/>
    <w:rsid w:val="00383800"/>
    <w:rsid w:val="00384D80"/>
    <w:rsid w:val="00384FE3"/>
    <w:rsid w:val="00386077"/>
    <w:rsid w:val="00386C14"/>
    <w:rsid w:val="00386F54"/>
    <w:rsid w:val="00386FC4"/>
    <w:rsid w:val="003900E0"/>
    <w:rsid w:val="00391008"/>
    <w:rsid w:val="0039123F"/>
    <w:rsid w:val="00392B4D"/>
    <w:rsid w:val="00392F56"/>
    <w:rsid w:val="00393488"/>
    <w:rsid w:val="00394CE0"/>
    <w:rsid w:val="0039579C"/>
    <w:rsid w:val="0039783B"/>
    <w:rsid w:val="00397E44"/>
    <w:rsid w:val="003A0B86"/>
    <w:rsid w:val="003A120A"/>
    <w:rsid w:val="003A1280"/>
    <w:rsid w:val="003A1766"/>
    <w:rsid w:val="003A2FCE"/>
    <w:rsid w:val="003A3EDA"/>
    <w:rsid w:val="003A4D87"/>
    <w:rsid w:val="003A50A9"/>
    <w:rsid w:val="003A6519"/>
    <w:rsid w:val="003A6F02"/>
    <w:rsid w:val="003A7D3F"/>
    <w:rsid w:val="003A7D70"/>
    <w:rsid w:val="003B0640"/>
    <w:rsid w:val="003B0C2B"/>
    <w:rsid w:val="003B4432"/>
    <w:rsid w:val="003B4546"/>
    <w:rsid w:val="003B4FD8"/>
    <w:rsid w:val="003B609D"/>
    <w:rsid w:val="003B7A1B"/>
    <w:rsid w:val="003B7F4D"/>
    <w:rsid w:val="003C1375"/>
    <w:rsid w:val="003C155E"/>
    <w:rsid w:val="003C1584"/>
    <w:rsid w:val="003C282D"/>
    <w:rsid w:val="003C2FFB"/>
    <w:rsid w:val="003C378B"/>
    <w:rsid w:val="003C4FF0"/>
    <w:rsid w:val="003C584C"/>
    <w:rsid w:val="003C6495"/>
    <w:rsid w:val="003D0B4D"/>
    <w:rsid w:val="003D1B29"/>
    <w:rsid w:val="003D1E62"/>
    <w:rsid w:val="003D2B6A"/>
    <w:rsid w:val="003D2C9C"/>
    <w:rsid w:val="003D356F"/>
    <w:rsid w:val="003D45C0"/>
    <w:rsid w:val="003D624F"/>
    <w:rsid w:val="003D6FF5"/>
    <w:rsid w:val="003E08E7"/>
    <w:rsid w:val="003E25A1"/>
    <w:rsid w:val="003E2EC7"/>
    <w:rsid w:val="003E39B0"/>
    <w:rsid w:val="003E5A0B"/>
    <w:rsid w:val="003F059D"/>
    <w:rsid w:val="003F131A"/>
    <w:rsid w:val="003F13F3"/>
    <w:rsid w:val="003F1FBA"/>
    <w:rsid w:val="003F2991"/>
    <w:rsid w:val="003F2F31"/>
    <w:rsid w:val="003F4579"/>
    <w:rsid w:val="003F4E1D"/>
    <w:rsid w:val="003F4EB5"/>
    <w:rsid w:val="003F55DC"/>
    <w:rsid w:val="003F650F"/>
    <w:rsid w:val="003F77A1"/>
    <w:rsid w:val="004006AA"/>
    <w:rsid w:val="0040087C"/>
    <w:rsid w:val="004014E7"/>
    <w:rsid w:val="00401A9E"/>
    <w:rsid w:val="00402ABD"/>
    <w:rsid w:val="00402B09"/>
    <w:rsid w:val="0040410C"/>
    <w:rsid w:val="004042AA"/>
    <w:rsid w:val="0040437B"/>
    <w:rsid w:val="00404E48"/>
    <w:rsid w:val="004057E5"/>
    <w:rsid w:val="00405972"/>
    <w:rsid w:val="004062D1"/>
    <w:rsid w:val="00410076"/>
    <w:rsid w:val="00410D52"/>
    <w:rsid w:val="004127CD"/>
    <w:rsid w:val="00413653"/>
    <w:rsid w:val="004144B6"/>
    <w:rsid w:val="004149C6"/>
    <w:rsid w:val="00414BC2"/>
    <w:rsid w:val="00415687"/>
    <w:rsid w:val="0041571E"/>
    <w:rsid w:val="00415864"/>
    <w:rsid w:val="00415C92"/>
    <w:rsid w:val="00415F94"/>
    <w:rsid w:val="004178EC"/>
    <w:rsid w:val="004207D4"/>
    <w:rsid w:val="00421372"/>
    <w:rsid w:val="00422F7B"/>
    <w:rsid w:val="00424C0F"/>
    <w:rsid w:val="0042513D"/>
    <w:rsid w:val="00426BC8"/>
    <w:rsid w:val="00427D28"/>
    <w:rsid w:val="00430883"/>
    <w:rsid w:val="00431EDF"/>
    <w:rsid w:val="0043403B"/>
    <w:rsid w:val="004358B8"/>
    <w:rsid w:val="0043625B"/>
    <w:rsid w:val="00436659"/>
    <w:rsid w:val="0043777A"/>
    <w:rsid w:val="00437B37"/>
    <w:rsid w:val="0044038E"/>
    <w:rsid w:val="0044091C"/>
    <w:rsid w:val="00440DD5"/>
    <w:rsid w:val="00440E3D"/>
    <w:rsid w:val="0044170E"/>
    <w:rsid w:val="00441CFC"/>
    <w:rsid w:val="00442CC8"/>
    <w:rsid w:val="0044306E"/>
    <w:rsid w:val="00444279"/>
    <w:rsid w:val="00444F33"/>
    <w:rsid w:val="004469FB"/>
    <w:rsid w:val="00447EF1"/>
    <w:rsid w:val="0045268D"/>
    <w:rsid w:val="00453956"/>
    <w:rsid w:val="00453B53"/>
    <w:rsid w:val="00453C33"/>
    <w:rsid w:val="0045492C"/>
    <w:rsid w:val="004549AD"/>
    <w:rsid w:val="00454FAB"/>
    <w:rsid w:val="00457AC2"/>
    <w:rsid w:val="00460326"/>
    <w:rsid w:val="00461463"/>
    <w:rsid w:val="00461AA2"/>
    <w:rsid w:val="00462B47"/>
    <w:rsid w:val="00462F41"/>
    <w:rsid w:val="0046657B"/>
    <w:rsid w:val="00466AF9"/>
    <w:rsid w:val="004675FD"/>
    <w:rsid w:val="00470AD4"/>
    <w:rsid w:val="00471862"/>
    <w:rsid w:val="0047248B"/>
    <w:rsid w:val="004732B2"/>
    <w:rsid w:val="004732C7"/>
    <w:rsid w:val="00473DC9"/>
    <w:rsid w:val="004744E8"/>
    <w:rsid w:val="00474D76"/>
    <w:rsid w:val="004754FD"/>
    <w:rsid w:val="00476D4D"/>
    <w:rsid w:val="00477C11"/>
    <w:rsid w:val="0048047D"/>
    <w:rsid w:val="0048082B"/>
    <w:rsid w:val="00480A16"/>
    <w:rsid w:val="0048135E"/>
    <w:rsid w:val="00482042"/>
    <w:rsid w:val="00482269"/>
    <w:rsid w:val="0048399A"/>
    <w:rsid w:val="00483B98"/>
    <w:rsid w:val="00484132"/>
    <w:rsid w:val="0048421C"/>
    <w:rsid w:val="004849E5"/>
    <w:rsid w:val="00484A8A"/>
    <w:rsid w:val="00484D2A"/>
    <w:rsid w:val="00485441"/>
    <w:rsid w:val="00486AFA"/>
    <w:rsid w:val="00486D28"/>
    <w:rsid w:val="00487725"/>
    <w:rsid w:val="00491F0F"/>
    <w:rsid w:val="00492691"/>
    <w:rsid w:val="00494388"/>
    <w:rsid w:val="00497469"/>
    <w:rsid w:val="004A0A59"/>
    <w:rsid w:val="004A1DBD"/>
    <w:rsid w:val="004A22CB"/>
    <w:rsid w:val="004A4EDA"/>
    <w:rsid w:val="004A605C"/>
    <w:rsid w:val="004A634A"/>
    <w:rsid w:val="004A6732"/>
    <w:rsid w:val="004A6C15"/>
    <w:rsid w:val="004A6F43"/>
    <w:rsid w:val="004A7BD3"/>
    <w:rsid w:val="004A7D01"/>
    <w:rsid w:val="004B0868"/>
    <w:rsid w:val="004B22A2"/>
    <w:rsid w:val="004B572A"/>
    <w:rsid w:val="004B5D7B"/>
    <w:rsid w:val="004B696A"/>
    <w:rsid w:val="004C23C1"/>
    <w:rsid w:val="004C2A05"/>
    <w:rsid w:val="004C4CDF"/>
    <w:rsid w:val="004C516F"/>
    <w:rsid w:val="004C62DB"/>
    <w:rsid w:val="004C6589"/>
    <w:rsid w:val="004D10A2"/>
    <w:rsid w:val="004D26E9"/>
    <w:rsid w:val="004D2B4E"/>
    <w:rsid w:val="004D2E28"/>
    <w:rsid w:val="004D3B4C"/>
    <w:rsid w:val="004D3BE5"/>
    <w:rsid w:val="004D418A"/>
    <w:rsid w:val="004D4760"/>
    <w:rsid w:val="004D4CE2"/>
    <w:rsid w:val="004D5BEF"/>
    <w:rsid w:val="004D6D20"/>
    <w:rsid w:val="004D7559"/>
    <w:rsid w:val="004D7D09"/>
    <w:rsid w:val="004D7FA7"/>
    <w:rsid w:val="004E02B9"/>
    <w:rsid w:val="004E047B"/>
    <w:rsid w:val="004E0530"/>
    <w:rsid w:val="004E1DB1"/>
    <w:rsid w:val="004E4E26"/>
    <w:rsid w:val="004E6170"/>
    <w:rsid w:val="004F0A0E"/>
    <w:rsid w:val="004F30C6"/>
    <w:rsid w:val="004F345F"/>
    <w:rsid w:val="004F35A6"/>
    <w:rsid w:val="004F3A25"/>
    <w:rsid w:val="004F4E39"/>
    <w:rsid w:val="004F607D"/>
    <w:rsid w:val="00500122"/>
    <w:rsid w:val="0050017E"/>
    <w:rsid w:val="005004EA"/>
    <w:rsid w:val="0050223C"/>
    <w:rsid w:val="005024AD"/>
    <w:rsid w:val="00502884"/>
    <w:rsid w:val="00502C9F"/>
    <w:rsid w:val="0050431D"/>
    <w:rsid w:val="00504707"/>
    <w:rsid w:val="00504C69"/>
    <w:rsid w:val="00505380"/>
    <w:rsid w:val="005057FD"/>
    <w:rsid w:val="005070A2"/>
    <w:rsid w:val="005078DF"/>
    <w:rsid w:val="00507D5F"/>
    <w:rsid w:val="00507DE0"/>
    <w:rsid w:val="0051025E"/>
    <w:rsid w:val="00510827"/>
    <w:rsid w:val="00511548"/>
    <w:rsid w:val="005124EF"/>
    <w:rsid w:val="00512D97"/>
    <w:rsid w:val="0051554A"/>
    <w:rsid w:val="00515F11"/>
    <w:rsid w:val="00516301"/>
    <w:rsid w:val="005170C9"/>
    <w:rsid w:val="00517B9F"/>
    <w:rsid w:val="00520DDE"/>
    <w:rsid w:val="00521FD0"/>
    <w:rsid w:val="00523280"/>
    <w:rsid w:val="00524010"/>
    <w:rsid w:val="005265C4"/>
    <w:rsid w:val="00526B5F"/>
    <w:rsid w:val="005302B7"/>
    <w:rsid w:val="00531DD9"/>
    <w:rsid w:val="00533F01"/>
    <w:rsid w:val="00534C08"/>
    <w:rsid w:val="00535499"/>
    <w:rsid w:val="00535D7C"/>
    <w:rsid w:val="00540090"/>
    <w:rsid w:val="0054063D"/>
    <w:rsid w:val="00540A45"/>
    <w:rsid w:val="00541BF1"/>
    <w:rsid w:val="00541CB6"/>
    <w:rsid w:val="005448FE"/>
    <w:rsid w:val="00546E08"/>
    <w:rsid w:val="0054706A"/>
    <w:rsid w:val="005472BE"/>
    <w:rsid w:val="00550529"/>
    <w:rsid w:val="00550700"/>
    <w:rsid w:val="0055172D"/>
    <w:rsid w:val="005520F6"/>
    <w:rsid w:val="005537D3"/>
    <w:rsid w:val="00554A1B"/>
    <w:rsid w:val="00554FC0"/>
    <w:rsid w:val="00556D2C"/>
    <w:rsid w:val="005571B6"/>
    <w:rsid w:val="0056053F"/>
    <w:rsid w:val="00561AC4"/>
    <w:rsid w:val="00563DB9"/>
    <w:rsid w:val="0056521A"/>
    <w:rsid w:val="00565801"/>
    <w:rsid w:val="00567339"/>
    <w:rsid w:val="005679C7"/>
    <w:rsid w:val="00567B72"/>
    <w:rsid w:val="00570119"/>
    <w:rsid w:val="005704EA"/>
    <w:rsid w:val="005713ED"/>
    <w:rsid w:val="00571E8E"/>
    <w:rsid w:val="00572B83"/>
    <w:rsid w:val="00572D2B"/>
    <w:rsid w:val="005734BD"/>
    <w:rsid w:val="005735F1"/>
    <w:rsid w:val="00573A7C"/>
    <w:rsid w:val="00574243"/>
    <w:rsid w:val="00574EF8"/>
    <w:rsid w:val="00575B6B"/>
    <w:rsid w:val="00576184"/>
    <w:rsid w:val="00577542"/>
    <w:rsid w:val="005800EC"/>
    <w:rsid w:val="005822CC"/>
    <w:rsid w:val="00583446"/>
    <w:rsid w:val="0058388A"/>
    <w:rsid w:val="00583C26"/>
    <w:rsid w:val="005852AD"/>
    <w:rsid w:val="00585E92"/>
    <w:rsid w:val="00586DE9"/>
    <w:rsid w:val="00592195"/>
    <w:rsid w:val="0059240E"/>
    <w:rsid w:val="00592BFE"/>
    <w:rsid w:val="00592EA9"/>
    <w:rsid w:val="005935DE"/>
    <w:rsid w:val="0059384C"/>
    <w:rsid w:val="00594A28"/>
    <w:rsid w:val="005954CC"/>
    <w:rsid w:val="005A003D"/>
    <w:rsid w:val="005A0CD6"/>
    <w:rsid w:val="005A1A5C"/>
    <w:rsid w:val="005A3066"/>
    <w:rsid w:val="005A46CE"/>
    <w:rsid w:val="005B056F"/>
    <w:rsid w:val="005B1E9F"/>
    <w:rsid w:val="005B1F0F"/>
    <w:rsid w:val="005B2068"/>
    <w:rsid w:val="005B20DC"/>
    <w:rsid w:val="005B22F8"/>
    <w:rsid w:val="005B2A2D"/>
    <w:rsid w:val="005B2D05"/>
    <w:rsid w:val="005B2E27"/>
    <w:rsid w:val="005B4B98"/>
    <w:rsid w:val="005B668D"/>
    <w:rsid w:val="005B7B00"/>
    <w:rsid w:val="005C0A44"/>
    <w:rsid w:val="005C0C1A"/>
    <w:rsid w:val="005C397F"/>
    <w:rsid w:val="005C3D9D"/>
    <w:rsid w:val="005C688E"/>
    <w:rsid w:val="005C7543"/>
    <w:rsid w:val="005C7E4F"/>
    <w:rsid w:val="005C7EAB"/>
    <w:rsid w:val="005D05FF"/>
    <w:rsid w:val="005D0B7E"/>
    <w:rsid w:val="005D1107"/>
    <w:rsid w:val="005D1E4D"/>
    <w:rsid w:val="005D2902"/>
    <w:rsid w:val="005D3953"/>
    <w:rsid w:val="005D4051"/>
    <w:rsid w:val="005D5109"/>
    <w:rsid w:val="005D522C"/>
    <w:rsid w:val="005D5F0C"/>
    <w:rsid w:val="005D5F7E"/>
    <w:rsid w:val="005D6AC8"/>
    <w:rsid w:val="005E0162"/>
    <w:rsid w:val="005E0EB3"/>
    <w:rsid w:val="005E164E"/>
    <w:rsid w:val="005E1C98"/>
    <w:rsid w:val="005E29A6"/>
    <w:rsid w:val="005E3B66"/>
    <w:rsid w:val="005E7374"/>
    <w:rsid w:val="005E7A59"/>
    <w:rsid w:val="005F009E"/>
    <w:rsid w:val="005F05E1"/>
    <w:rsid w:val="005F332E"/>
    <w:rsid w:val="005F374C"/>
    <w:rsid w:val="005F47FF"/>
    <w:rsid w:val="005F67D6"/>
    <w:rsid w:val="005F6C96"/>
    <w:rsid w:val="005F774A"/>
    <w:rsid w:val="005F7CE1"/>
    <w:rsid w:val="0060009C"/>
    <w:rsid w:val="0060052B"/>
    <w:rsid w:val="00600908"/>
    <w:rsid w:val="00604E87"/>
    <w:rsid w:val="006059C6"/>
    <w:rsid w:val="00605EAD"/>
    <w:rsid w:val="0060679F"/>
    <w:rsid w:val="00607255"/>
    <w:rsid w:val="00607FB1"/>
    <w:rsid w:val="00610C6A"/>
    <w:rsid w:val="00611719"/>
    <w:rsid w:val="00611A1D"/>
    <w:rsid w:val="00611ADE"/>
    <w:rsid w:val="00611BF8"/>
    <w:rsid w:val="00611E5A"/>
    <w:rsid w:val="00612ADA"/>
    <w:rsid w:val="00613694"/>
    <w:rsid w:val="00613737"/>
    <w:rsid w:val="0061386A"/>
    <w:rsid w:val="00613A99"/>
    <w:rsid w:val="00616E88"/>
    <w:rsid w:val="00616FBB"/>
    <w:rsid w:val="006204DA"/>
    <w:rsid w:val="00620545"/>
    <w:rsid w:val="00620640"/>
    <w:rsid w:val="006207F9"/>
    <w:rsid w:val="006219BD"/>
    <w:rsid w:val="00622E61"/>
    <w:rsid w:val="006249C6"/>
    <w:rsid w:val="006256F7"/>
    <w:rsid w:val="00626333"/>
    <w:rsid w:val="006274A6"/>
    <w:rsid w:val="00627562"/>
    <w:rsid w:val="00627DBC"/>
    <w:rsid w:val="0063053B"/>
    <w:rsid w:val="006309FC"/>
    <w:rsid w:val="00631437"/>
    <w:rsid w:val="006319BA"/>
    <w:rsid w:val="0063200E"/>
    <w:rsid w:val="006320E7"/>
    <w:rsid w:val="006328AD"/>
    <w:rsid w:val="006329A6"/>
    <w:rsid w:val="0063319D"/>
    <w:rsid w:val="00633406"/>
    <w:rsid w:val="0063388E"/>
    <w:rsid w:val="00634104"/>
    <w:rsid w:val="0063484E"/>
    <w:rsid w:val="00635225"/>
    <w:rsid w:val="006358E6"/>
    <w:rsid w:val="006364D3"/>
    <w:rsid w:val="006379E6"/>
    <w:rsid w:val="00637EDE"/>
    <w:rsid w:val="0064185D"/>
    <w:rsid w:val="00642D69"/>
    <w:rsid w:val="006443AF"/>
    <w:rsid w:val="00645403"/>
    <w:rsid w:val="00647974"/>
    <w:rsid w:val="00647B19"/>
    <w:rsid w:val="00651680"/>
    <w:rsid w:val="00651F59"/>
    <w:rsid w:val="00652059"/>
    <w:rsid w:val="00654D20"/>
    <w:rsid w:val="0065504E"/>
    <w:rsid w:val="0065520A"/>
    <w:rsid w:val="00656613"/>
    <w:rsid w:val="00657628"/>
    <w:rsid w:val="00660964"/>
    <w:rsid w:val="0066189D"/>
    <w:rsid w:val="00661935"/>
    <w:rsid w:val="0066232E"/>
    <w:rsid w:val="0066232F"/>
    <w:rsid w:val="006623E6"/>
    <w:rsid w:val="006633A3"/>
    <w:rsid w:val="00664B0E"/>
    <w:rsid w:val="00665360"/>
    <w:rsid w:val="00665DB6"/>
    <w:rsid w:val="00665EB8"/>
    <w:rsid w:val="006661D2"/>
    <w:rsid w:val="006678B7"/>
    <w:rsid w:val="00667B36"/>
    <w:rsid w:val="00670BB2"/>
    <w:rsid w:val="006721FE"/>
    <w:rsid w:val="00672F64"/>
    <w:rsid w:val="0067300A"/>
    <w:rsid w:val="00675ACD"/>
    <w:rsid w:val="00676DEA"/>
    <w:rsid w:val="00676EE6"/>
    <w:rsid w:val="00677472"/>
    <w:rsid w:val="00677C98"/>
    <w:rsid w:val="006805FC"/>
    <w:rsid w:val="00680C2F"/>
    <w:rsid w:val="00680CDF"/>
    <w:rsid w:val="00681E99"/>
    <w:rsid w:val="00681F4C"/>
    <w:rsid w:val="00686286"/>
    <w:rsid w:val="00686396"/>
    <w:rsid w:val="00686E80"/>
    <w:rsid w:val="0068748B"/>
    <w:rsid w:val="0068765F"/>
    <w:rsid w:val="00690ADA"/>
    <w:rsid w:val="006917F8"/>
    <w:rsid w:val="0069217A"/>
    <w:rsid w:val="00692809"/>
    <w:rsid w:val="00694DC6"/>
    <w:rsid w:val="006963AF"/>
    <w:rsid w:val="00696D65"/>
    <w:rsid w:val="00696EA3"/>
    <w:rsid w:val="006A0593"/>
    <w:rsid w:val="006A1843"/>
    <w:rsid w:val="006A1AEA"/>
    <w:rsid w:val="006A2174"/>
    <w:rsid w:val="006A21D9"/>
    <w:rsid w:val="006A4396"/>
    <w:rsid w:val="006A44D4"/>
    <w:rsid w:val="006A4EA7"/>
    <w:rsid w:val="006A5A10"/>
    <w:rsid w:val="006A5ABF"/>
    <w:rsid w:val="006B06EB"/>
    <w:rsid w:val="006B0830"/>
    <w:rsid w:val="006B16DC"/>
    <w:rsid w:val="006B21B0"/>
    <w:rsid w:val="006B25B3"/>
    <w:rsid w:val="006B26B0"/>
    <w:rsid w:val="006B3725"/>
    <w:rsid w:val="006B3D07"/>
    <w:rsid w:val="006B64B5"/>
    <w:rsid w:val="006B7CAA"/>
    <w:rsid w:val="006C0894"/>
    <w:rsid w:val="006C0E6E"/>
    <w:rsid w:val="006C1B5E"/>
    <w:rsid w:val="006C29AB"/>
    <w:rsid w:val="006C34B8"/>
    <w:rsid w:val="006C3536"/>
    <w:rsid w:val="006C5006"/>
    <w:rsid w:val="006C6C54"/>
    <w:rsid w:val="006C780C"/>
    <w:rsid w:val="006C7F7A"/>
    <w:rsid w:val="006D00B6"/>
    <w:rsid w:val="006D0A58"/>
    <w:rsid w:val="006D0D1A"/>
    <w:rsid w:val="006D1028"/>
    <w:rsid w:val="006D1A0C"/>
    <w:rsid w:val="006D2705"/>
    <w:rsid w:val="006D2CFF"/>
    <w:rsid w:val="006D40C1"/>
    <w:rsid w:val="006D537F"/>
    <w:rsid w:val="006D54D8"/>
    <w:rsid w:val="006D583B"/>
    <w:rsid w:val="006D7FC9"/>
    <w:rsid w:val="006E1623"/>
    <w:rsid w:val="006E1679"/>
    <w:rsid w:val="006E1B41"/>
    <w:rsid w:val="006E2940"/>
    <w:rsid w:val="006E2A59"/>
    <w:rsid w:val="006E2D97"/>
    <w:rsid w:val="006E34EE"/>
    <w:rsid w:val="006E6915"/>
    <w:rsid w:val="006E76B2"/>
    <w:rsid w:val="006E7C87"/>
    <w:rsid w:val="006F17A8"/>
    <w:rsid w:val="006F2A9D"/>
    <w:rsid w:val="006F3727"/>
    <w:rsid w:val="006F6A29"/>
    <w:rsid w:val="006F6F77"/>
    <w:rsid w:val="006F7695"/>
    <w:rsid w:val="00700BC4"/>
    <w:rsid w:val="00701516"/>
    <w:rsid w:val="00701FAF"/>
    <w:rsid w:val="007025C3"/>
    <w:rsid w:val="007025D7"/>
    <w:rsid w:val="0070359A"/>
    <w:rsid w:val="007101E3"/>
    <w:rsid w:val="00711B88"/>
    <w:rsid w:val="00712408"/>
    <w:rsid w:val="00713B98"/>
    <w:rsid w:val="00713D89"/>
    <w:rsid w:val="00713E6D"/>
    <w:rsid w:val="00714344"/>
    <w:rsid w:val="0071435F"/>
    <w:rsid w:val="00715C42"/>
    <w:rsid w:val="00715E55"/>
    <w:rsid w:val="0071736E"/>
    <w:rsid w:val="00717A0A"/>
    <w:rsid w:val="00717ADE"/>
    <w:rsid w:val="007207DC"/>
    <w:rsid w:val="00720EEA"/>
    <w:rsid w:val="0072105E"/>
    <w:rsid w:val="00723022"/>
    <w:rsid w:val="00723191"/>
    <w:rsid w:val="007242CE"/>
    <w:rsid w:val="007243D8"/>
    <w:rsid w:val="00724B3B"/>
    <w:rsid w:val="00724C4F"/>
    <w:rsid w:val="007257D5"/>
    <w:rsid w:val="0072586B"/>
    <w:rsid w:val="007267EF"/>
    <w:rsid w:val="0072691F"/>
    <w:rsid w:val="00727181"/>
    <w:rsid w:val="00730362"/>
    <w:rsid w:val="007315D6"/>
    <w:rsid w:val="00732167"/>
    <w:rsid w:val="00732784"/>
    <w:rsid w:val="0073284F"/>
    <w:rsid w:val="00732F80"/>
    <w:rsid w:val="00733665"/>
    <w:rsid w:val="00735A49"/>
    <w:rsid w:val="007360E7"/>
    <w:rsid w:val="00736D0F"/>
    <w:rsid w:val="007374DF"/>
    <w:rsid w:val="00742B47"/>
    <w:rsid w:val="007430A4"/>
    <w:rsid w:val="007435F5"/>
    <w:rsid w:val="00745950"/>
    <w:rsid w:val="007460BC"/>
    <w:rsid w:val="0074750A"/>
    <w:rsid w:val="00747734"/>
    <w:rsid w:val="00747A60"/>
    <w:rsid w:val="00747ACF"/>
    <w:rsid w:val="00747EAD"/>
    <w:rsid w:val="00751695"/>
    <w:rsid w:val="00751E1F"/>
    <w:rsid w:val="0075200D"/>
    <w:rsid w:val="007521CC"/>
    <w:rsid w:val="0075248F"/>
    <w:rsid w:val="00752A66"/>
    <w:rsid w:val="0075329F"/>
    <w:rsid w:val="0075362E"/>
    <w:rsid w:val="00753760"/>
    <w:rsid w:val="00755DF6"/>
    <w:rsid w:val="007571E0"/>
    <w:rsid w:val="00760376"/>
    <w:rsid w:val="0076111B"/>
    <w:rsid w:val="00761DBB"/>
    <w:rsid w:val="0076255B"/>
    <w:rsid w:val="00762BD5"/>
    <w:rsid w:val="00763D79"/>
    <w:rsid w:val="00763E0D"/>
    <w:rsid w:val="007667C8"/>
    <w:rsid w:val="007671E3"/>
    <w:rsid w:val="00767E4F"/>
    <w:rsid w:val="0077015D"/>
    <w:rsid w:val="0077029C"/>
    <w:rsid w:val="00770D49"/>
    <w:rsid w:val="00771C9B"/>
    <w:rsid w:val="00773D58"/>
    <w:rsid w:val="0077418B"/>
    <w:rsid w:val="00775647"/>
    <w:rsid w:val="00776D8D"/>
    <w:rsid w:val="00777521"/>
    <w:rsid w:val="00780B02"/>
    <w:rsid w:val="00781050"/>
    <w:rsid w:val="00781DCD"/>
    <w:rsid w:val="00782F53"/>
    <w:rsid w:val="0078478B"/>
    <w:rsid w:val="0078489E"/>
    <w:rsid w:val="00784D2A"/>
    <w:rsid w:val="00784DC8"/>
    <w:rsid w:val="0078659A"/>
    <w:rsid w:val="00786A91"/>
    <w:rsid w:val="00791447"/>
    <w:rsid w:val="0079165B"/>
    <w:rsid w:val="007935AA"/>
    <w:rsid w:val="00793725"/>
    <w:rsid w:val="00793923"/>
    <w:rsid w:val="00794537"/>
    <w:rsid w:val="00795F98"/>
    <w:rsid w:val="007A2A5C"/>
    <w:rsid w:val="007A2C1B"/>
    <w:rsid w:val="007A39F3"/>
    <w:rsid w:val="007A3D1A"/>
    <w:rsid w:val="007A3FA9"/>
    <w:rsid w:val="007A506A"/>
    <w:rsid w:val="007A51F8"/>
    <w:rsid w:val="007A58A3"/>
    <w:rsid w:val="007A664E"/>
    <w:rsid w:val="007A7E7C"/>
    <w:rsid w:val="007B107E"/>
    <w:rsid w:val="007B19AD"/>
    <w:rsid w:val="007B1EF8"/>
    <w:rsid w:val="007B2431"/>
    <w:rsid w:val="007B245B"/>
    <w:rsid w:val="007B543E"/>
    <w:rsid w:val="007B5FC6"/>
    <w:rsid w:val="007B6148"/>
    <w:rsid w:val="007B6160"/>
    <w:rsid w:val="007B6E2E"/>
    <w:rsid w:val="007B6F40"/>
    <w:rsid w:val="007C0DC5"/>
    <w:rsid w:val="007C1031"/>
    <w:rsid w:val="007C1183"/>
    <w:rsid w:val="007C144D"/>
    <w:rsid w:val="007C2221"/>
    <w:rsid w:val="007C2772"/>
    <w:rsid w:val="007C3AEB"/>
    <w:rsid w:val="007C4A38"/>
    <w:rsid w:val="007C7702"/>
    <w:rsid w:val="007C7816"/>
    <w:rsid w:val="007D120C"/>
    <w:rsid w:val="007D1BB9"/>
    <w:rsid w:val="007D2186"/>
    <w:rsid w:val="007D266C"/>
    <w:rsid w:val="007D4098"/>
    <w:rsid w:val="007D4315"/>
    <w:rsid w:val="007D5A1B"/>
    <w:rsid w:val="007D5ADA"/>
    <w:rsid w:val="007D7D05"/>
    <w:rsid w:val="007E19DA"/>
    <w:rsid w:val="007E3CF6"/>
    <w:rsid w:val="007E4438"/>
    <w:rsid w:val="007E703A"/>
    <w:rsid w:val="007F1016"/>
    <w:rsid w:val="007F1131"/>
    <w:rsid w:val="007F13D7"/>
    <w:rsid w:val="007F15B7"/>
    <w:rsid w:val="007F1689"/>
    <w:rsid w:val="007F17E6"/>
    <w:rsid w:val="007F228A"/>
    <w:rsid w:val="007F3087"/>
    <w:rsid w:val="007F397A"/>
    <w:rsid w:val="007F3A83"/>
    <w:rsid w:val="007F3C51"/>
    <w:rsid w:val="007F596D"/>
    <w:rsid w:val="007F63E7"/>
    <w:rsid w:val="007F7105"/>
    <w:rsid w:val="007F734F"/>
    <w:rsid w:val="008001F4"/>
    <w:rsid w:val="008005B8"/>
    <w:rsid w:val="00801194"/>
    <w:rsid w:val="00802A00"/>
    <w:rsid w:val="00805743"/>
    <w:rsid w:val="008058F2"/>
    <w:rsid w:val="00805E59"/>
    <w:rsid w:val="00806A35"/>
    <w:rsid w:val="008110CC"/>
    <w:rsid w:val="00811608"/>
    <w:rsid w:val="00811C81"/>
    <w:rsid w:val="008139D9"/>
    <w:rsid w:val="00814E5D"/>
    <w:rsid w:val="00815566"/>
    <w:rsid w:val="00815E43"/>
    <w:rsid w:val="00816153"/>
    <w:rsid w:val="0081622A"/>
    <w:rsid w:val="008168D5"/>
    <w:rsid w:val="00817E8F"/>
    <w:rsid w:val="00820150"/>
    <w:rsid w:val="0082165F"/>
    <w:rsid w:val="008220AF"/>
    <w:rsid w:val="00822FD6"/>
    <w:rsid w:val="008231F5"/>
    <w:rsid w:val="00823C28"/>
    <w:rsid w:val="00824122"/>
    <w:rsid w:val="00824A0D"/>
    <w:rsid w:val="00824E38"/>
    <w:rsid w:val="00825D29"/>
    <w:rsid w:val="008260A4"/>
    <w:rsid w:val="008262A9"/>
    <w:rsid w:val="0082664A"/>
    <w:rsid w:val="008274B0"/>
    <w:rsid w:val="00827601"/>
    <w:rsid w:val="00827824"/>
    <w:rsid w:val="00827CC9"/>
    <w:rsid w:val="00831E3E"/>
    <w:rsid w:val="008322E6"/>
    <w:rsid w:val="00832810"/>
    <w:rsid w:val="00832CB9"/>
    <w:rsid w:val="00833277"/>
    <w:rsid w:val="00833832"/>
    <w:rsid w:val="00834019"/>
    <w:rsid w:val="0083456A"/>
    <w:rsid w:val="00836021"/>
    <w:rsid w:val="00836277"/>
    <w:rsid w:val="00836D09"/>
    <w:rsid w:val="00836E65"/>
    <w:rsid w:val="008377E5"/>
    <w:rsid w:val="00837964"/>
    <w:rsid w:val="008417F9"/>
    <w:rsid w:val="0084191D"/>
    <w:rsid w:val="00842E97"/>
    <w:rsid w:val="00842F46"/>
    <w:rsid w:val="00843126"/>
    <w:rsid w:val="00843611"/>
    <w:rsid w:val="00843E85"/>
    <w:rsid w:val="00844671"/>
    <w:rsid w:val="00845990"/>
    <w:rsid w:val="008467D1"/>
    <w:rsid w:val="00846F30"/>
    <w:rsid w:val="0085091B"/>
    <w:rsid w:val="008511E9"/>
    <w:rsid w:val="00851D47"/>
    <w:rsid w:val="00852B45"/>
    <w:rsid w:val="008535BD"/>
    <w:rsid w:val="008538D9"/>
    <w:rsid w:val="00853CAD"/>
    <w:rsid w:val="008547D5"/>
    <w:rsid w:val="00855F60"/>
    <w:rsid w:val="008576CC"/>
    <w:rsid w:val="00860492"/>
    <w:rsid w:val="00860A6F"/>
    <w:rsid w:val="00860B39"/>
    <w:rsid w:val="008611E7"/>
    <w:rsid w:val="008615A2"/>
    <w:rsid w:val="00862BF4"/>
    <w:rsid w:val="00862DAF"/>
    <w:rsid w:val="0086323C"/>
    <w:rsid w:val="008649C3"/>
    <w:rsid w:val="0086567E"/>
    <w:rsid w:val="008656D4"/>
    <w:rsid w:val="00866100"/>
    <w:rsid w:val="008662E9"/>
    <w:rsid w:val="00866D9A"/>
    <w:rsid w:val="008675BB"/>
    <w:rsid w:val="008704D1"/>
    <w:rsid w:val="00871120"/>
    <w:rsid w:val="00872550"/>
    <w:rsid w:val="00874CEB"/>
    <w:rsid w:val="0087595A"/>
    <w:rsid w:val="00876042"/>
    <w:rsid w:val="00876CDF"/>
    <w:rsid w:val="008774B5"/>
    <w:rsid w:val="00877723"/>
    <w:rsid w:val="0087789F"/>
    <w:rsid w:val="00877CB2"/>
    <w:rsid w:val="00877D43"/>
    <w:rsid w:val="00880627"/>
    <w:rsid w:val="00882AD1"/>
    <w:rsid w:val="00882E78"/>
    <w:rsid w:val="0088409C"/>
    <w:rsid w:val="0088625A"/>
    <w:rsid w:val="00891278"/>
    <w:rsid w:val="008919EE"/>
    <w:rsid w:val="00891F1F"/>
    <w:rsid w:val="00892516"/>
    <w:rsid w:val="008926CF"/>
    <w:rsid w:val="00892A0E"/>
    <w:rsid w:val="00892B0C"/>
    <w:rsid w:val="008931B9"/>
    <w:rsid w:val="00893680"/>
    <w:rsid w:val="008936EE"/>
    <w:rsid w:val="0089466D"/>
    <w:rsid w:val="0089572C"/>
    <w:rsid w:val="00895830"/>
    <w:rsid w:val="00895AE3"/>
    <w:rsid w:val="008A07F5"/>
    <w:rsid w:val="008A094F"/>
    <w:rsid w:val="008A2C3C"/>
    <w:rsid w:val="008A5A4E"/>
    <w:rsid w:val="008A5E26"/>
    <w:rsid w:val="008A6BF5"/>
    <w:rsid w:val="008A7808"/>
    <w:rsid w:val="008A7CC7"/>
    <w:rsid w:val="008B0F92"/>
    <w:rsid w:val="008B128A"/>
    <w:rsid w:val="008B16C2"/>
    <w:rsid w:val="008B1D1D"/>
    <w:rsid w:val="008B2724"/>
    <w:rsid w:val="008B3085"/>
    <w:rsid w:val="008B368F"/>
    <w:rsid w:val="008B3DB5"/>
    <w:rsid w:val="008B52B3"/>
    <w:rsid w:val="008B5CDD"/>
    <w:rsid w:val="008B6CBA"/>
    <w:rsid w:val="008B7CFE"/>
    <w:rsid w:val="008C0BBE"/>
    <w:rsid w:val="008C1502"/>
    <w:rsid w:val="008C1AEE"/>
    <w:rsid w:val="008C4DB1"/>
    <w:rsid w:val="008C4EC6"/>
    <w:rsid w:val="008C531F"/>
    <w:rsid w:val="008C577F"/>
    <w:rsid w:val="008C6F05"/>
    <w:rsid w:val="008C73AD"/>
    <w:rsid w:val="008C76D3"/>
    <w:rsid w:val="008C7805"/>
    <w:rsid w:val="008D10F5"/>
    <w:rsid w:val="008D2289"/>
    <w:rsid w:val="008D3865"/>
    <w:rsid w:val="008D41FC"/>
    <w:rsid w:val="008D4692"/>
    <w:rsid w:val="008D53CB"/>
    <w:rsid w:val="008D595B"/>
    <w:rsid w:val="008D5ADE"/>
    <w:rsid w:val="008E0F28"/>
    <w:rsid w:val="008E1828"/>
    <w:rsid w:val="008E1E71"/>
    <w:rsid w:val="008E1FFE"/>
    <w:rsid w:val="008E3025"/>
    <w:rsid w:val="008E33E5"/>
    <w:rsid w:val="008E5AFF"/>
    <w:rsid w:val="008E6E73"/>
    <w:rsid w:val="008E73D9"/>
    <w:rsid w:val="008F0E59"/>
    <w:rsid w:val="008F1463"/>
    <w:rsid w:val="008F2725"/>
    <w:rsid w:val="008F341C"/>
    <w:rsid w:val="008F4D5C"/>
    <w:rsid w:val="008F4EDF"/>
    <w:rsid w:val="008F529E"/>
    <w:rsid w:val="008F685C"/>
    <w:rsid w:val="008F698A"/>
    <w:rsid w:val="008F7529"/>
    <w:rsid w:val="009012E7"/>
    <w:rsid w:val="00901F63"/>
    <w:rsid w:val="00902200"/>
    <w:rsid w:val="0090226E"/>
    <w:rsid w:val="0090228B"/>
    <w:rsid w:val="00902329"/>
    <w:rsid w:val="00903049"/>
    <w:rsid w:val="00903379"/>
    <w:rsid w:val="00903623"/>
    <w:rsid w:val="00903F07"/>
    <w:rsid w:val="00906D41"/>
    <w:rsid w:val="0091028B"/>
    <w:rsid w:val="00910F57"/>
    <w:rsid w:val="009131EE"/>
    <w:rsid w:val="00914E47"/>
    <w:rsid w:val="0091593D"/>
    <w:rsid w:val="0091594C"/>
    <w:rsid w:val="00915A4D"/>
    <w:rsid w:val="00917CBE"/>
    <w:rsid w:val="00920813"/>
    <w:rsid w:val="00920904"/>
    <w:rsid w:val="00920D99"/>
    <w:rsid w:val="009215AF"/>
    <w:rsid w:val="00921EB9"/>
    <w:rsid w:val="00923130"/>
    <w:rsid w:val="009232C7"/>
    <w:rsid w:val="009234DD"/>
    <w:rsid w:val="0092387D"/>
    <w:rsid w:val="00924165"/>
    <w:rsid w:val="009254F0"/>
    <w:rsid w:val="00926F8D"/>
    <w:rsid w:val="0092709F"/>
    <w:rsid w:val="00927563"/>
    <w:rsid w:val="0093020F"/>
    <w:rsid w:val="00931074"/>
    <w:rsid w:val="009313E3"/>
    <w:rsid w:val="0093214F"/>
    <w:rsid w:val="009328D4"/>
    <w:rsid w:val="00932A9A"/>
    <w:rsid w:val="009333A3"/>
    <w:rsid w:val="009349A4"/>
    <w:rsid w:val="00936D61"/>
    <w:rsid w:val="0094152E"/>
    <w:rsid w:val="00941693"/>
    <w:rsid w:val="00941C9C"/>
    <w:rsid w:val="00941EB5"/>
    <w:rsid w:val="009425FB"/>
    <w:rsid w:val="00942689"/>
    <w:rsid w:val="00942D8E"/>
    <w:rsid w:val="00942F72"/>
    <w:rsid w:val="00943AB2"/>
    <w:rsid w:val="009440D7"/>
    <w:rsid w:val="009459EB"/>
    <w:rsid w:val="00946428"/>
    <w:rsid w:val="00946464"/>
    <w:rsid w:val="0095091A"/>
    <w:rsid w:val="00950B76"/>
    <w:rsid w:val="00950CD7"/>
    <w:rsid w:val="0095213D"/>
    <w:rsid w:val="009537C3"/>
    <w:rsid w:val="009537E8"/>
    <w:rsid w:val="00955339"/>
    <w:rsid w:val="0095569A"/>
    <w:rsid w:val="009557C0"/>
    <w:rsid w:val="0095630F"/>
    <w:rsid w:val="00956416"/>
    <w:rsid w:val="009564AE"/>
    <w:rsid w:val="009600C3"/>
    <w:rsid w:val="00960789"/>
    <w:rsid w:val="00960862"/>
    <w:rsid w:val="00960C45"/>
    <w:rsid w:val="00960C5A"/>
    <w:rsid w:val="009615AD"/>
    <w:rsid w:val="00961AF1"/>
    <w:rsid w:val="00961BF8"/>
    <w:rsid w:val="00961CAC"/>
    <w:rsid w:val="00964CBE"/>
    <w:rsid w:val="00965797"/>
    <w:rsid w:val="009658D7"/>
    <w:rsid w:val="009663C4"/>
    <w:rsid w:val="0096651A"/>
    <w:rsid w:val="009668BA"/>
    <w:rsid w:val="00966B6C"/>
    <w:rsid w:val="00971A1B"/>
    <w:rsid w:val="00972107"/>
    <w:rsid w:val="00974D58"/>
    <w:rsid w:val="00975298"/>
    <w:rsid w:val="00976D85"/>
    <w:rsid w:val="00977688"/>
    <w:rsid w:val="00977B67"/>
    <w:rsid w:val="00981F71"/>
    <w:rsid w:val="00982A89"/>
    <w:rsid w:val="009843C0"/>
    <w:rsid w:val="00984B1A"/>
    <w:rsid w:val="009859C3"/>
    <w:rsid w:val="00985AA6"/>
    <w:rsid w:val="00985EE0"/>
    <w:rsid w:val="00985F08"/>
    <w:rsid w:val="00986CAF"/>
    <w:rsid w:val="009903E8"/>
    <w:rsid w:val="009927C2"/>
    <w:rsid w:val="00992853"/>
    <w:rsid w:val="00992CE2"/>
    <w:rsid w:val="009933A4"/>
    <w:rsid w:val="00993CD9"/>
    <w:rsid w:val="0099416C"/>
    <w:rsid w:val="009944C5"/>
    <w:rsid w:val="009947EE"/>
    <w:rsid w:val="00995425"/>
    <w:rsid w:val="009963B8"/>
    <w:rsid w:val="009A1AE1"/>
    <w:rsid w:val="009A1B00"/>
    <w:rsid w:val="009A2646"/>
    <w:rsid w:val="009A312D"/>
    <w:rsid w:val="009A36EB"/>
    <w:rsid w:val="009A4436"/>
    <w:rsid w:val="009A4D99"/>
    <w:rsid w:val="009A5DB0"/>
    <w:rsid w:val="009B00F4"/>
    <w:rsid w:val="009B055C"/>
    <w:rsid w:val="009B0D0B"/>
    <w:rsid w:val="009B1BAC"/>
    <w:rsid w:val="009B1D79"/>
    <w:rsid w:val="009B27B9"/>
    <w:rsid w:val="009B2AB1"/>
    <w:rsid w:val="009B2E21"/>
    <w:rsid w:val="009B33C0"/>
    <w:rsid w:val="009B3623"/>
    <w:rsid w:val="009B51BB"/>
    <w:rsid w:val="009B6ED1"/>
    <w:rsid w:val="009B7D26"/>
    <w:rsid w:val="009C0544"/>
    <w:rsid w:val="009C0940"/>
    <w:rsid w:val="009C1001"/>
    <w:rsid w:val="009C1167"/>
    <w:rsid w:val="009C1370"/>
    <w:rsid w:val="009C160D"/>
    <w:rsid w:val="009C2C8C"/>
    <w:rsid w:val="009C3747"/>
    <w:rsid w:val="009C3887"/>
    <w:rsid w:val="009C41A2"/>
    <w:rsid w:val="009C44F8"/>
    <w:rsid w:val="009C4E78"/>
    <w:rsid w:val="009C552D"/>
    <w:rsid w:val="009C59E0"/>
    <w:rsid w:val="009C5EBC"/>
    <w:rsid w:val="009D0334"/>
    <w:rsid w:val="009D143F"/>
    <w:rsid w:val="009D1D26"/>
    <w:rsid w:val="009D3381"/>
    <w:rsid w:val="009D5183"/>
    <w:rsid w:val="009D5775"/>
    <w:rsid w:val="009D6D3F"/>
    <w:rsid w:val="009D788F"/>
    <w:rsid w:val="009E1C3C"/>
    <w:rsid w:val="009E1F11"/>
    <w:rsid w:val="009E20CD"/>
    <w:rsid w:val="009E214A"/>
    <w:rsid w:val="009E2573"/>
    <w:rsid w:val="009E2790"/>
    <w:rsid w:val="009E2874"/>
    <w:rsid w:val="009E2E50"/>
    <w:rsid w:val="009E3229"/>
    <w:rsid w:val="009E3AE1"/>
    <w:rsid w:val="009E402B"/>
    <w:rsid w:val="009E4916"/>
    <w:rsid w:val="009E4CFB"/>
    <w:rsid w:val="009E4FF7"/>
    <w:rsid w:val="009E6148"/>
    <w:rsid w:val="009E7351"/>
    <w:rsid w:val="009F1096"/>
    <w:rsid w:val="009F21EB"/>
    <w:rsid w:val="009F2649"/>
    <w:rsid w:val="009F4515"/>
    <w:rsid w:val="009F52F9"/>
    <w:rsid w:val="009F57E8"/>
    <w:rsid w:val="009F6370"/>
    <w:rsid w:val="009F6A3E"/>
    <w:rsid w:val="009F736B"/>
    <w:rsid w:val="009F7702"/>
    <w:rsid w:val="00A03340"/>
    <w:rsid w:val="00A0374F"/>
    <w:rsid w:val="00A04718"/>
    <w:rsid w:val="00A05353"/>
    <w:rsid w:val="00A06823"/>
    <w:rsid w:val="00A0743F"/>
    <w:rsid w:val="00A07617"/>
    <w:rsid w:val="00A0783E"/>
    <w:rsid w:val="00A07C29"/>
    <w:rsid w:val="00A114D3"/>
    <w:rsid w:val="00A1304C"/>
    <w:rsid w:val="00A1325D"/>
    <w:rsid w:val="00A14B63"/>
    <w:rsid w:val="00A15D1F"/>
    <w:rsid w:val="00A17098"/>
    <w:rsid w:val="00A170CC"/>
    <w:rsid w:val="00A17783"/>
    <w:rsid w:val="00A21A24"/>
    <w:rsid w:val="00A22264"/>
    <w:rsid w:val="00A224EA"/>
    <w:rsid w:val="00A226C4"/>
    <w:rsid w:val="00A23FCF"/>
    <w:rsid w:val="00A2554F"/>
    <w:rsid w:val="00A271A7"/>
    <w:rsid w:val="00A2726A"/>
    <w:rsid w:val="00A273B7"/>
    <w:rsid w:val="00A27DAE"/>
    <w:rsid w:val="00A31404"/>
    <w:rsid w:val="00A31BCA"/>
    <w:rsid w:val="00A32859"/>
    <w:rsid w:val="00A32A26"/>
    <w:rsid w:val="00A32E4C"/>
    <w:rsid w:val="00A33044"/>
    <w:rsid w:val="00A33392"/>
    <w:rsid w:val="00A368A0"/>
    <w:rsid w:val="00A36915"/>
    <w:rsid w:val="00A37B58"/>
    <w:rsid w:val="00A4125D"/>
    <w:rsid w:val="00A41CCA"/>
    <w:rsid w:val="00A42EB4"/>
    <w:rsid w:val="00A43214"/>
    <w:rsid w:val="00A439E9"/>
    <w:rsid w:val="00A43A0B"/>
    <w:rsid w:val="00A47495"/>
    <w:rsid w:val="00A47807"/>
    <w:rsid w:val="00A51E2B"/>
    <w:rsid w:val="00A52CA0"/>
    <w:rsid w:val="00A52CC9"/>
    <w:rsid w:val="00A538BA"/>
    <w:rsid w:val="00A544E2"/>
    <w:rsid w:val="00A54C21"/>
    <w:rsid w:val="00A565A6"/>
    <w:rsid w:val="00A577B2"/>
    <w:rsid w:val="00A6054A"/>
    <w:rsid w:val="00A610CC"/>
    <w:rsid w:val="00A614E3"/>
    <w:rsid w:val="00A61D3B"/>
    <w:rsid w:val="00A64811"/>
    <w:rsid w:val="00A65834"/>
    <w:rsid w:val="00A65F13"/>
    <w:rsid w:val="00A66CBF"/>
    <w:rsid w:val="00A66CD8"/>
    <w:rsid w:val="00A672D7"/>
    <w:rsid w:val="00A67859"/>
    <w:rsid w:val="00A70E79"/>
    <w:rsid w:val="00A71F22"/>
    <w:rsid w:val="00A72EA4"/>
    <w:rsid w:val="00A735A8"/>
    <w:rsid w:val="00A742EA"/>
    <w:rsid w:val="00A75384"/>
    <w:rsid w:val="00A81253"/>
    <w:rsid w:val="00A831F2"/>
    <w:rsid w:val="00A83A7B"/>
    <w:rsid w:val="00A8424C"/>
    <w:rsid w:val="00A846B9"/>
    <w:rsid w:val="00A86D0D"/>
    <w:rsid w:val="00A87787"/>
    <w:rsid w:val="00A900C7"/>
    <w:rsid w:val="00A9033A"/>
    <w:rsid w:val="00A904F1"/>
    <w:rsid w:val="00A90C55"/>
    <w:rsid w:val="00A912F4"/>
    <w:rsid w:val="00A92BD5"/>
    <w:rsid w:val="00A9425B"/>
    <w:rsid w:val="00A94885"/>
    <w:rsid w:val="00A94D2F"/>
    <w:rsid w:val="00A9666B"/>
    <w:rsid w:val="00A96753"/>
    <w:rsid w:val="00A9738C"/>
    <w:rsid w:val="00AA0A07"/>
    <w:rsid w:val="00AA0D79"/>
    <w:rsid w:val="00AA2394"/>
    <w:rsid w:val="00AA24EA"/>
    <w:rsid w:val="00AA2A22"/>
    <w:rsid w:val="00AA42D7"/>
    <w:rsid w:val="00AA47CE"/>
    <w:rsid w:val="00AA4D2A"/>
    <w:rsid w:val="00AA6845"/>
    <w:rsid w:val="00AA6933"/>
    <w:rsid w:val="00AA6E51"/>
    <w:rsid w:val="00AA6EDB"/>
    <w:rsid w:val="00AA7248"/>
    <w:rsid w:val="00AA7FF9"/>
    <w:rsid w:val="00AB07B8"/>
    <w:rsid w:val="00AB1B52"/>
    <w:rsid w:val="00AB1E14"/>
    <w:rsid w:val="00AB1E22"/>
    <w:rsid w:val="00AB20D0"/>
    <w:rsid w:val="00AB344E"/>
    <w:rsid w:val="00AB3BB7"/>
    <w:rsid w:val="00AB48C2"/>
    <w:rsid w:val="00AB58F3"/>
    <w:rsid w:val="00AC0CD5"/>
    <w:rsid w:val="00AC2463"/>
    <w:rsid w:val="00AC2B0E"/>
    <w:rsid w:val="00AC37FE"/>
    <w:rsid w:val="00AC4A30"/>
    <w:rsid w:val="00AC526E"/>
    <w:rsid w:val="00AC54CB"/>
    <w:rsid w:val="00AC5B98"/>
    <w:rsid w:val="00AC5C15"/>
    <w:rsid w:val="00AC5E34"/>
    <w:rsid w:val="00AC62F0"/>
    <w:rsid w:val="00AD013C"/>
    <w:rsid w:val="00AD0479"/>
    <w:rsid w:val="00AD09E8"/>
    <w:rsid w:val="00AD0AC2"/>
    <w:rsid w:val="00AD2681"/>
    <w:rsid w:val="00AD270C"/>
    <w:rsid w:val="00AD2934"/>
    <w:rsid w:val="00AD338C"/>
    <w:rsid w:val="00AD55DD"/>
    <w:rsid w:val="00AD5F8B"/>
    <w:rsid w:val="00AD60D3"/>
    <w:rsid w:val="00AD69E8"/>
    <w:rsid w:val="00AD74E9"/>
    <w:rsid w:val="00AD7690"/>
    <w:rsid w:val="00AD77DE"/>
    <w:rsid w:val="00AD7FDC"/>
    <w:rsid w:val="00AE12BC"/>
    <w:rsid w:val="00AE14BD"/>
    <w:rsid w:val="00AE3323"/>
    <w:rsid w:val="00AE35F4"/>
    <w:rsid w:val="00AE36A7"/>
    <w:rsid w:val="00AF0706"/>
    <w:rsid w:val="00AF0C1A"/>
    <w:rsid w:val="00AF1FC2"/>
    <w:rsid w:val="00AF2435"/>
    <w:rsid w:val="00AF35D3"/>
    <w:rsid w:val="00AF3AC4"/>
    <w:rsid w:val="00AF43E2"/>
    <w:rsid w:val="00AF5111"/>
    <w:rsid w:val="00AF7AC1"/>
    <w:rsid w:val="00AF7DCE"/>
    <w:rsid w:val="00B00301"/>
    <w:rsid w:val="00B01728"/>
    <w:rsid w:val="00B01EE3"/>
    <w:rsid w:val="00B02DAC"/>
    <w:rsid w:val="00B04AF8"/>
    <w:rsid w:val="00B056FE"/>
    <w:rsid w:val="00B05905"/>
    <w:rsid w:val="00B06A54"/>
    <w:rsid w:val="00B077C8"/>
    <w:rsid w:val="00B077D2"/>
    <w:rsid w:val="00B07C5F"/>
    <w:rsid w:val="00B07DCD"/>
    <w:rsid w:val="00B10C42"/>
    <w:rsid w:val="00B11C80"/>
    <w:rsid w:val="00B12F13"/>
    <w:rsid w:val="00B13004"/>
    <w:rsid w:val="00B138F1"/>
    <w:rsid w:val="00B17C92"/>
    <w:rsid w:val="00B203DA"/>
    <w:rsid w:val="00B20B90"/>
    <w:rsid w:val="00B2224D"/>
    <w:rsid w:val="00B232E1"/>
    <w:rsid w:val="00B2537D"/>
    <w:rsid w:val="00B25BE6"/>
    <w:rsid w:val="00B26403"/>
    <w:rsid w:val="00B2674B"/>
    <w:rsid w:val="00B277C6"/>
    <w:rsid w:val="00B27E58"/>
    <w:rsid w:val="00B30785"/>
    <w:rsid w:val="00B3166F"/>
    <w:rsid w:val="00B31E7F"/>
    <w:rsid w:val="00B320DF"/>
    <w:rsid w:val="00B3357A"/>
    <w:rsid w:val="00B34239"/>
    <w:rsid w:val="00B36AC2"/>
    <w:rsid w:val="00B37ABA"/>
    <w:rsid w:val="00B402D6"/>
    <w:rsid w:val="00B40C46"/>
    <w:rsid w:val="00B40CA9"/>
    <w:rsid w:val="00B43493"/>
    <w:rsid w:val="00B440AD"/>
    <w:rsid w:val="00B447EE"/>
    <w:rsid w:val="00B46B19"/>
    <w:rsid w:val="00B50190"/>
    <w:rsid w:val="00B50289"/>
    <w:rsid w:val="00B518B6"/>
    <w:rsid w:val="00B51F0B"/>
    <w:rsid w:val="00B527FB"/>
    <w:rsid w:val="00B52E17"/>
    <w:rsid w:val="00B530C1"/>
    <w:rsid w:val="00B548DD"/>
    <w:rsid w:val="00B5496A"/>
    <w:rsid w:val="00B549F0"/>
    <w:rsid w:val="00B54B78"/>
    <w:rsid w:val="00B54B86"/>
    <w:rsid w:val="00B55160"/>
    <w:rsid w:val="00B5557B"/>
    <w:rsid w:val="00B55EFA"/>
    <w:rsid w:val="00B5749A"/>
    <w:rsid w:val="00B60478"/>
    <w:rsid w:val="00B614A0"/>
    <w:rsid w:val="00B61911"/>
    <w:rsid w:val="00B61938"/>
    <w:rsid w:val="00B61A8D"/>
    <w:rsid w:val="00B61D7F"/>
    <w:rsid w:val="00B63285"/>
    <w:rsid w:val="00B636B2"/>
    <w:rsid w:val="00B656BE"/>
    <w:rsid w:val="00B65C3B"/>
    <w:rsid w:val="00B66B93"/>
    <w:rsid w:val="00B67187"/>
    <w:rsid w:val="00B71B13"/>
    <w:rsid w:val="00B71B3E"/>
    <w:rsid w:val="00B71E51"/>
    <w:rsid w:val="00B74F8D"/>
    <w:rsid w:val="00B75063"/>
    <w:rsid w:val="00B755C5"/>
    <w:rsid w:val="00B76CF2"/>
    <w:rsid w:val="00B77134"/>
    <w:rsid w:val="00B80ED7"/>
    <w:rsid w:val="00B8119F"/>
    <w:rsid w:val="00B81C53"/>
    <w:rsid w:val="00B81F83"/>
    <w:rsid w:val="00B83F9C"/>
    <w:rsid w:val="00B85593"/>
    <w:rsid w:val="00B8675A"/>
    <w:rsid w:val="00B86BA0"/>
    <w:rsid w:val="00B86EF9"/>
    <w:rsid w:val="00B870A1"/>
    <w:rsid w:val="00B90F5A"/>
    <w:rsid w:val="00B910B8"/>
    <w:rsid w:val="00B91848"/>
    <w:rsid w:val="00B92C4C"/>
    <w:rsid w:val="00B92F7B"/>
    <w:rsid w:val="00B9306D"/>
    <w:rsid w:val="00B931FC"/>
    <w:rsid w:val="00B9459F"/>
    <w:rsid w:val="00B95378"/>
    <w:rsid w:val="00B963E8"/>
    <w:rsid w:val="00B96D4C"/>
    <w:rsid w:val="00BA08F7"/>
    <w:rsid w:val="00BA0C00"/>
    <w:rsid w:val="00BA1B50"/>
    <w:rsid w:val="00BA2CCE"/>
    <w:rsid w:val="00BA2FAB"/>
    <w:rsid w:val="00BA30A0"/>
    <w:rsid w:val="00BA3174"/>
    <w:rsid w:val="00BA38CA"/>
    <w:rsid w:val="00BA431D"/>
    <w:rsid w:val="00BA4516"/>
    <w:rsid w:val="00BA5504"/>
    <w:rsid w:val="00BA71A5"/>
    <w:rsid w:val="00BA7221"/>
    <w:rsid w:val="00BA7D72"/>
    <w:rsid w:val="00BB15B9"/>
    <w:rsid w:val="00BB25DD"/>
    <w:rsid w:val="00BB4651"/>
    <w:rsid w:val="00BC055E"/>
    <w:rsid w:val="00BC20C8"/>
    <w:rsid w:val="00BC20EE"/>
    <w:rsid w:val="00BC2183"/>
    <w:rsid w:val="00BC246B"/>
    <w:rsid w:val="00BC2D40"/>
    <w:rsid w:val="00BC300B"/>
    <w:rsid w:val="00BC5568"/>
    <w:rsid w:val="00BC628D"/>
    <w:rsid w:val="00BD09F5"/>
    <w:rsid w:val="00BD0EA3"/>
    <w:rsid w:val="00BD145B"/>
    <w:rsid w:val="00BD1D5E"/>
    <w:rsid w:val="00BD20F9"/>
    <w:rsid w:val="00BD24C2"/>
    <w:rsid w:val="00BD2503"/>
    <w:rsid w:val="00BD2EDF"/>
    <w:rsid w:val="00BD3754"/>
    <w:rsid w:val="00BD522E"/>
    <w:rsid w:val="00BD6CAA"/>
    <w:rsid w:val="00BD7392"/>
    <w:rsid w:val="00BE0BE5"/>
    <w:rsid w:val="00BE27EB"/>
    <w:rsid w:val="00BE364E"/>
    <w:rsid w:val="00BE396A"/>
    <w:rsid w:val="00BE3AAA"/>
    <w:rsid w:val="00BE44C8"/>
    <w:rsid w:val="00BE5E9F"/>
    <w:rsid w:val="00BE6BE1"/>
    <w:rsid w:val="00BF01CF"/>
    <w:rsid w:val="00BF0B00"/>
    <w:rsid w:val="00BF1C4D"/>
    <w:rsid w:val="00BF24FD"/>
    <w:rsid w:val="00BF27B1"/>
    <w:rsid w:val="00BF2E98"/>
    <w:rsid w:val="00BF5C79"/>
    <w:rsid w:val="00BF5C8A"/>
    <w:rsid w:val="00BF6335"/>
    <w:rsid w:val="00BF7E58"/>
    <w:rsid w:val="00C01B8F"/>
    <w:rsid w:val="00C02DD5"/>
    <w:rsid w:val="00C0434C"/>
    <w:rsid w:val="00C043CA"/>
    <w:rsid w:val="00C04896"/>
    <w:rsid w:val="00C04974"/>
    <w:rsid w:val="00C06741"/>
    <w:rsid w:val="00C06A64"/>
    <w:rsid w:val="00C07438"/>
    <w:rsid w:val="00C07A04"/>
    <w:rsid w:val="00C104CA"/>
    <w:rsid w:val="00C118C6"/>
    <w:rsid w:val="00C11F6C"/>
    <w:rsid w:val="00C1455E"/>
    <w:rsid w:val="00C147B0"/>
    <w:rsid w:val="00C15EBE"/>
    <w:rsid w:val="00C17920"/>
    <w:rsid w:val="00C22AEF"/>
    <w:rsid w:val="00C22AF4"/>
    <w:rsid w:val="00C22BA5"/>
    <w:rsid w:val="00C23BAE"/>
    <w:rsid w:val="00C245DF"/>
    <w:rsid w:val="00C279F1"/>
    <w:rsid w:val="00C27D61"/>
    <w:rsid w:val="00C27DFB"/>
    <w:rsid w:val="00C31025"/>
    <w:rsid w:val="00C32157"/>
    <w:rsid w:val="00C324F6"/>
    <w:rsid w:val="00C32566"/>
    <w:rsid w:val="00C32758"/>
    <w:rsid w:val="00C32E37"/>
    <w:rsid w:val="00C32FAD"/>
    <w:rsid w:val="00C33618"/>
    <w:rsid w:val="00C33873"/>
    <w:rsid w:val="00C342B0"/>
    <w:rsid w:val="00C37505"/>
    <w:rsid w:val="00C37EC3"/>
    <w:rsid w:val="00C40E45"/>
    <w:rsid w:val="00C416C1"/>
    <w:rsid w:val="00C4191A"/>
    <w:rsid w:val="00C41C4F"/>
    <w:rsid w:val="00C421F7"/>
    <w:rsid w:val="00C428EE"/>
    <w:rsid w:val="00C42970"/>
    <w:rsid w:val="00C4368D"/>
    <w:rsid w:val="00C45C67"/>
    <w:rsid w:val="00C463CF"/>
    <w:rsid w:val="00C470DF"/>
    <w:rsid w:val="00C51071"/>
    <w:rsid w:val="00C51CCB"/>
    <w:rsid w:val="00C532F7"/>
    <w:rsid w:val="00C545F6"/>
    <w:rsid w:val="00C54983"/>
    <w:rsid w:val="00C57574"/>
    <w:rsid w:val="00C61627"/>
    <w:rsid w:val="00C61E10"/>
    <w:rsid w:val="00C61FEC"/>
    <w:rsid w:val="00C62BA4"/>
    <w:rsid w:val="00C631BF"/>
    <w:rsid w:val="00C70469"/>
    <w:rsid w:val="00C705C7"/>
    <w:rsid w:val="00C708B1"/>
    <w:rsid w:val="00C730B3"/>
    <w:rsid w:val="00C73FC1"/>
    <w:rsid w:val="00C743C0"/>
    <w:rsid w:val="00C74861"/>
    <w:rsid w:val="00C74E0D"/>
    <w:rsid w:val="00C74E29"/>
    <w:rsid w:val="00C74F2C"/>
    <w:rsid w:val="00C75419"/>
    <w:rsid w:val="00C75B3A"/>
    <w:rsid w:val="00C75E0D"/>
    <w:rsid w:val="00C80694"/>
    <w:rsid w:val="00C8177E"/>
    <w:rsid w:val="00C819D2"/>
    <w:rsid w:val="00C81DFA"/>
    <w:rsid w:val="00C825EC"/>
    <w:rsid w:val="00C8265F"/>
    <w:rsid w:val="00C82845"/>
    <w:rsid w:val="00C830A1"/>
    <w:rsid w:val="00C8376F"/>
    <w:rsid w:val="00C83FBF"/>
    <w:rsid w:val="00C841FC"/>
    <w:rsid w:val="00C84A21"/>
    <w:rsid w:val="00C84ECB"/>
    <w:rsid w:val="00C85ABD"/>
    <w:rsid w:val="00C900CB"/>
    <w:rsid w:val="00C912F8"/>
    <w:rsid w:val="00C92657"/>
    <w:rsid w:val="00C92DAA"/>
    <w:rsid w:val="00C93BD0"/>
    <w:rsid w:val="00C9471B"/>
    <w:rsid w:val="00C95824"/>
    <w:rsid w:val="00C96A72"/>
    <w:rsid w:val="00C97023"/>
    <w:rsid w:val="00CA0F20"/>
    <w:rsid w:val="00CA116C"/>
    <w:rsid w:val="00CA131A"/>
    <w:rsid w:val="00CA5201"/>
    <w:rsid w:val="00CA53DF"/>
    <w:rsid w:val="00CA5AE7"/>
    <w:rsid w:val="00CA68DB"/>
    <w:rsid w:val="00CA7FCC"/>
    <w:rsid w:val="00CB29F3"/>
    <w:rsid w:val="00CB2ECB"/>
    <w:rsid w:val="00CB3557"/>
    <w:rsid w:val="00CB3669"/>
    <w:rsid w:val="00CB586C"/>
    <w:rsid w:val="00CB5AF6"/>
    <w:rsid w:val="00CC23C9"/>
    <w:rsid w:val="00CC2CB8"/>
    <w:rsid w:val="00CC444D"/>
    <w:rsid w:val="00CC486B"/>
    <w:rsid w:val="00CC4A7D"/>
    <w:rsid w:val="00CC4BC3"/>
    <w:rsid w:val="00CC6276"/>
    <w:rsid w:val="00CC67E2"/>
    <w:rsid w:val="00CC6B9C"/>
    <w:rsid w:val="00CD0FF5"/>
    <w:rsid w:val="00CD3735"/>
    <w:rsid w:val="00CD4F03"/>
    <w:rsid w:val="00CD5998"/>
    <w:rsid w:val="00CD6143"/>
    <w:rsid w:val="00CD6CDD"/>
    <w:rsid w:val="00CD79FA"/>
    <w:rsid w:val="00CE0BD1"/>
    <w:rsid w:val="00CE3A13"/>
    <w:rsid w:val="00CE3A34"/>
    <w:rsid w:val="00CE3B45"/>
    <w:rsid w:val="00CE477D"/>
    <w:rsid w:val="00CE4D4A"/>
    <w:rsid w:val="00CE661B"/>
    <w:rsid w:val="00CE6779"/>
    <w:rsid w:val="00CE6800"/>
    <w:rsid w:val="00CE69A4"/>
    <w:rsid w:val="00CE6C37"/>
    <w:rsid w:val="00CE7D00"/>
    <w:rsid w:val="00CF0113"/>
    <w:rsid w:val="00CF10E9"/>
    <w:rsid w:val="00CF11EE"/>
    <w:rsid w:val="00CF1B98"/>
    <w:rsid w:val="00CF2857"/>
    <w:rsid w:val="00CF2DB8"/>
    <w:rsid w:val="00CF2E7F"/>
    <w:rsid w:val="00CF3894"/>
    <w:rsid w:val="00CF589A"/>
    <w:rsid w:val="00CF6C34"/>
    <w:rsid w:val="00CF6E1D"/>
    <w:rsid w:val="00CF72E5"/>
    <w:rsid w:val="00D00C6D"/>
    <w:rsid w:val="00D01567"/>
    <w:rsid w:val="00D01A7B"/>
    <w:rsid w:val="00D038E8"/>
    <w:rsid w:val="00D03976"/>
    <w:rsid w:val="00D04195"/>
    <w:rsid w:val="00D0439A"/>
    <w:rsid w:val="00D04E00"/>
    <w:rsid w:val="00D0553F"/>
    <w:rsid w:val="00D10FC7"/>
    <w:rsid w:val="00D119CD"/>
    <w:rsid w:val="00D11AA6"/>
    <w:rsid w:val="00D12575"/>
    <w:rsid w:val="00D130BD"/>
    <w:rsid w:val="00D13761"/>
    <w:rsid w:val="00D140C5"/>
    <w:rsid w:val="00D15085"/>
    <w:rsid w:val="00D15446"/>
    <w:rsid w:val="00D2000B"/>
    <w:rsid w:val="00D206C1"/>
    <w:rsid w:val="00D248A6"/>
    <w:rsid w:val="00D249CE"/>
    <w:rsid w:val="00D27B61"/>
    <w:rsid w:val="00D27BAF"/>
    <w:rsid w:val="00D3050B"/>
    <w:rsid w:val="00D30BEE"/>
    <w:rsid w:val="00D315A8"/>
    <w:rsid w:val="00D31941"/>
    <w:rsid w:val="00D319DD"/>
    <w:rsid w:val="00D31E21"/>
    <w:rsid w:val="00D31E45"/>
    <w:rsid w:val="00D32298"/>
    <w:rsid w:val="00D329C1"/>
    <w:rsid w:val="00D354B6"/>
    <w:rsid w:val="00D354B9"/>
    <w:rsid w:val="00D3599B"/>
    <w:rsid w:val="00D360EE"/>
    <w:rsid w:val="00D369F5"/>
    <w:rsid w:val="00D40564"/>
    <w:rsid w:val="00D40CD2"/>
    <w:rsid w:val="00D412CA"/>
    <w:rsid w:val="00D41C20"/>
    <w:rsid w:val="00D42122"/>
    <w:rsid w:val="00D422C9"/>
    <w:rsid w:val="00D4414B"/>
    <w:rsid w:val="00D446B9"/>
    <w:rsid w:val="00D4592D"/>
    <w:rsid w:val="00D47E25"/>
    <w:rsid w:val="00D50441"/>
    <w:rsid w:val="00D51512"/>
    <w:rsid w:val="00D52439"/>
    <w:rsid w:val="00D52C8A"/>
    <w:rsid w:val="00D53450"/>
    <w:rsid w:val="00D5356A"/>
    <w:rsid w:val="00D53610"/>
    <w:rsid w:val="00D5371F"/>
    <w:rsid w:val="00D538E2"/>
    <w:rsid w:val="00D53A7D"/>
    <w:rsid w:val="00D53C9F"/>
    <w:rsid w:val="00D5412B"/>
    <w:rsid w:val="00D552C2"/>
    <w:rsid w:val="00D55A2A"/>
    <w:rsid w:val="00D56AF9"/>
    <w:rsid w:val="00D5733A"/>
    <w:rsid w:val="00D57681"/>
    <w:rsid w:val="00D57983"/>
    <w:rsid w:val="00D57D77"/>
    <w:rsid w:val="00D57FBA"/>
    <w:rsid w:val="00D60F63"/>
    <w:rsid w:val="00D6317F"/>
    <w:rsid w:val="00D63B82"/>
    <w:rsid w:val="00D64192"/>
    <w:rsid w:val="00D6420C"/>
    <w:rsid w:val="00D64836"/>
    <w:rsid w:val="00D64A87"/>
    <w:rsid w:val="00D657A5"/>
    <w:rsid w:val="00D66634"/>
    <w:rsid w:val="00D66A1F"/>
    <w:rsid w:val="00D67857"/>
    <w:rsid w:val="00D67E06"/>
    <w:rsid w:val="00D67FDE"/>
    <w:rsid w:val="00D7402B"/>
    <w:rsid w:val="00D754AF"/>
    <w:rsid w:val="00D76FF4"/>
    <w:rsid w:val="00D776AA"/>
    <w:rsid w:val="00D77795"/>
    <w:rsid w:val="00D80B7D"/>
    <w:rsid w:val="00D83E60"/>
    <w:rsid w:val="00D8468B"/>
    <w:rsid w:val="00D84704"/>
    <w:rsid w:val="00D85B83"/>
    <w:rsid w:val="00D9046A"/>
    <w:rsid w:val="00D90472"/>
    <w:rsid w:val="00D90CC6"/>
    <w:rsid w:val="00D91018"/>
    <w:rsid w:val="00D91093"/>
    <w:rsid w:val="00D91B26"/>
    <w:rsid w:val="00D92B50"/>
    <w:rsid w:val="00D93442"/>
    <w:rsid w:val="00D93450"/>
    <w:rsid w:val="00D93D03"/>
    <w:rsid w:val="00D94635"/>
    <w:rsid w:val="00D9467E"/>
    <w:rsid w:val="00D94C0A"/>
    <w:rsid w:val="00D96424"/>
    <w:rsid w:val="00D96574"/>
    <w:rsid w:val="00D966AB"/>
    <w:rsid w:val="00D969F2"/>
    <w:rsid w:val="00D97920"/>
    <w:rsid w:val="00DA1835"/>
    <w:rsid w:val="00DA1CE6"/>
    <w:rsid w:val="00DA30BC"/>
    <w:rsid w:val="00DA45A4"/>
    <w:rsid w:val="00DA4684"/>
    <w:rsid w:val="00DA580B"/>
    <w:rsid w:val="00DA5DA4"/>
    <w:rsid w:val="00DA6881"/>
    <w:rsid w:val="00DA6BDD"/>
    <w:rsid w:val="00DA70D8"/>
    <w:rsid w:val="00DA724A"/>
    <w:rsid w:val="00DA766E"/>
    <w:rsid w:val="00DB06F9"/>
    <w:rsid w:val="00DB14F3"/>
    <w:rsid w:val="00DB1BC5"/>
    <w:rsid w:val="00DB3DB1"/>
    <w:rsid w:val="00DB488D"/>
    <w:rsid w:val="00DB7BBE"/>
    <w:rsid w:val="00DC0133"/>
    <w:rsid w:val="00DC0318"/>
    <w:rsid w:val="00DC1F1A"/>
    <w:rsid w:val="00DC2668"/>
    <w:rsid w:val="00DC2A82"/>
    <w:rsid w:val="00DC40D6"/>
    <w:rsid w:val="00DC479D"/>
    <w:rsid w:val="00DC5022"/>
    <w:rsid w:val="00DC76A8"/>
    <w:rsid w:val="00DD00C4"/>
    <w:rsid w:val="00DD04F1"/>
    <w:rsid w:val="00DD1084"/>
    <w:rsid w:val="00DD15D7"/>
    <w:rsid w:val="00DD193A"/>
    <w:rsid w:val="00DD1AE7"/>
    <w:rsid w:val="00DD1EB8"/>
    <w:rsid w:val="00DD2826"/>
    <w:rsid w:val="00DD2FF3"/>
    <w:rsid w:val="00DD3E9F"/>
    <w:rsid w:val="00DD436D"/>
    <w:rsid w:val="00DD4EC6"/>
    <w:rsid w:val="00DD6AE5"/>
    <w:rsid w:val="00DD7724"/>
    <w:rsid w:val="00DD772E"/>
    <w:rsid w:val="00DE06EB"/>
    <w:rsid w:val="00DE07E7"/>
    <w:rsid w:val="00DE14A2"/>
    <w:rsid w:val="00DE1C4A"/>
    <w:rsid w:val="00DE33FB"/>
    <w:rsid w:val="00DE37DD"/>
    <w:rsid w:val="00DE4AA8"/>
    <w:rsid w:val="00DE7146"/>
    <w:rsid w:val="00DE7435"/>
    <w:rsid w:val="00DF00AD"/>
    <w:rsid w:val="00DF0681"/>
    <w:rsid w:val="00DF07F4"/>
    <w:rsid w:val="00DF0C81"/>
    <w:rsid w:val="00DF0D0F"/>
    <w:rsid w:val="00DF274C"/>
    <w:rsid w:val="00DF2E41"/>
    <w:rsid w:val="00DF32FE"/>
    <w:rsid w:val="00DF3B94"/>
    <w:rsid w:val="00DF4806"/>
    <w:rsid w:val="00DF4D0C"/>
    <w:rsid w:val="00DF6EAC"/>
    <w:rsid w:val="00DF7022"/>
    <w:rsid w:val="00E008FC"/>
    <w:rsid w:val="00E031E7"/>
    <w:rsid w:val="00E0626A"/>
    <w:rsid w:val="00E10661"/>
    <w:rsid w:val="00E11580"/>
    <w:rsid w:val="00E1186C"/>
    <w:rsid w:val="00E11CA7"/>
    <w:rsid w:val="00E12265"/>
    <w:rsid w:val="00E134B0"/>
    <w:rsid w:val="00E138A5"/>
    <w:rsid w:val="00E13E20"/>
    <w:rsid w:val="00E149E5"/>
    <w:rsid w:val="00E14A9F"/>
    <w:rsid w:val="00E14C07"/>
    <w:rsid w:val="00E15504"/>
    <w:rsid w:val="00E159C2"/>
    <w:rsid w:val="00E16730"/>
    <w:rsid w:val="00E17CB1"/>
    <w:rsid w:val="00E20ACC"/>
    <w:rsid w:val="00E22D0E"/>
    <w:rsid w:val="00E247A5"/>
    <w:rsid w:val="00E25001"/>
    <w:rsid w:val="00E2510F"/>
    <w:rsid w:val="00E25EB0"/>
    <w:rsid w:val="00E264E1"/>
    <w:rsid w:val="00E266AF"/>
    <w:rsid w:val="00E26770"/>
    <w:rsid w:val="00E26776"/>
    <w:rsid w:val="00E26CDB"/>
    <w:rsid w:val="00E31254"/>
    <w:rsid w:val="00E32BF8"/>
    <w:rsid w:val="00E32D21"/>
    <w:rsid w:val="00E330D9"/>
    <w:rsid w:val="00E34374"/>
    <w:rsid w:val="00E349CF"/>
    <w:rsid w:val="00E356FA"/>
    <w:rsid w:val="00E35CA8"/>
    <w:rsid w:val="00E35E68"/>
    <w:rsid w:val="00E366C0"/>
    <w:rsid w:val="00E36AA5"/>
    <w:rsid w:val="00E37F52"/>
    <w:rsid w:val="00E40B20"/>
    <w:rsid w:val="00E42CBE"/>
    <w:rsid w:val="00E42F9B"/>
    <w:rsid w:val="00E43B20"/>
    <w:rsid w:val="00E43B82"/>
    <w:rsid w:val="00E44084"/>
    <w:rsid w:val="00E46212"/>
    <w:rsid w:val="00E471B2"/>
    <w:rsid w:val="00E471C5"/>
    <w:rsid w:val="00E475CE"/>
    <w:rsid w:val="00E47FDA"/>
    <w:rsid w:val="00E50702"/>
    <w:rsid w:val="00E51033"/>
    <w:rsid w:val="00E51E10"/>
    <w:rsid w:val="00E53838"/>
    <w:rsid w:val="00E5388C"/>
    <w:rsid w:val="00E55C3A"/>
    <w:rsid w:val="00E569D4"/>
    <w:rsid w:val="00E57D30"/>
    <w:rsid w:val="00E57D7F"/>
    <w:rsid w:val="00E606BA"/>
    <w:rsid w:val="00E60D98"/>
    <w:rsid w:val="00E61152"/>
    <w:rsid w:val="00E619F7"/>
    <w:rsid w:val="00E61FC3"/>
    <w:rsid w:val="00E635E8"/>
    <w:rsid w:val="00E63E5B"/>
    <w:rsid w:val="00E63EB4"/>
    <w:rsid w:val="00E65340"/>
    <w:rsid w:val="00E65D22"/>
    <w:rsid w:val="00E66ED9"/>
    <w:rsid w:val="00E67861"/>
    <w:rsid w:val="00E67C8D"/>
    <w:rsid w:val="00E7035A"/>
    <w:rsid w:val="00E71300"/>
    <w:rsid w:val="00E71AD6"/>
    <w:rsid w:val="00E76442"/>
    <w:rsid w:val="00E8214C"/>
    <w:rsid w:val="00E82768"/>
    <w:rsid w:val="00E82CFF"/>
    <w:rsid w:val="00E84606"/>
    <w:rsid w:val="00E84DE2"/>
    <w:rsid w:val="00E84F48"/>
    <w:rsid w:val="00E85725"/>
    <w:rsid w:val="00E879E9"/>
    <w:rsid w:val="00E87BC9"/>
    <w:rsid w:val="00E87DA0"/>
    <w:rsid w:val="00E91566"/>
    <w:rsid w:val="00E91A1C"/>
    <w:rsid w:val="00E93B9E"/>
    <w:rsid w:val="00E94A1B"/>
    <w:rsid w:val="00E94B8E"/>
    <w:rsid w:val="00E94E49"/>
    <w:rsid w:val="00E95D2B"/>
    <w:rsid w:val="00E97A78"/>
    <w:rsid w:val="00EA05D1"/>
    <w:rsid w:val="00EA09D0"/>
    <w:rsid w:val="00EA0B70"/>
    <w:rsid w:val="00EA0CDD"/>
    <w:rsid w:val="00EA21E8"/>
    <w:rsid w:val="00EA236C"/>
    <w:rsid w:val="00EA317E"/>
    <w:rsid w:val="00EA3ECD"/>
    <w:rsid w:val="00EA41F0"/>
    <w:rsid w:val="00EA66AD"/>
    <w:rsid w:val="00EA7ED9"/>
    <w:rsid w:val="00EB0239"/>
    <w:rsid w:val="00EB0BD6"/>
    <w:rsid w:val="00EB10A8"/>
    <w:rsid w:val="00EB3428"/>
    <w:rsid w:val="00EB508B"/>
    <w:rsid w:val="00EB51F7"/>
    <w:rsid w:val="00EB7738"/>
    <w:rsid w:val="00EC00D4"/>
    <w:rsid w:val="00EC4BF1"/>
    <w:rsid w:val="00EC5A63"/>
    <w:rsid w:val="00EC7F6B"/>
    <w:rsid w:val="00ED1E9D"/>
    <w:rsid w:val="00ED2273"/>
    <w:rsid w:val="00ED2935"/>
    <w:rsid w:val="00ED3DF8"/>
    <w:rsid w:val="00ED45C4"/>
    <w:rsid w:val="00ED4885"/>
    <w:rsid w:val="00ED5FF3"/>
    <w:rsid w:val="00ED7720"/>
    <w:rsid w:val="00EE09D4"/>
    <w:rsid w:val="00EE28CB"/>
    <w:rsid w:val="00EE3AFE"/>
    <w:rsid w:val="00EE3B5D"/>
    <w:rsid w:val="00EE4D0A"/>
    <w:rsid w:val="00EE6AEB"/>
    <w:rsid w:val="00EF0920"/>
    <w:rsid w:val="00EF0C42"/>
    <w:rsid w:val="00EF0F5C"/>
    <w:rsid w:val="00EF1054"/>
    <w:rsid w:val="00EF2E55"/>
    <w:rsid w:val="00EF30C7"/>
    <w:rsid w:val="00EF3D30"/>
    <w:rsid w:val="00EF4E78"/>
    <w:rsid w:val="00EF4FDD"/>
    <w:rsid w:val="00EF69F0"/>
    <w:rsid w:val="00EF7701"/>
    <w:rsid w:val="00F00A17"/>
    <w:rsid w:val="00F01092"/>
    <w:rsid w:val="00F01775"/>
    <w:rsid w:val="00F019CA"/>
    <w:rsid w:val="00F02834"/>
    <w:rsid w:val="00F02929"/>
    <w:rsid w:val="00F04341"/>
    <w:rsid w:val="00F0494A"/>
    <w:rsid w:val="00F05448"/>
    <w:rsid w:val="00F05A35"/>
    <w:rsid w:val="00F07F9C"/>
    <w:rsid w:val="00F10616"/>
    <w:rsid w:val="00F10AF2"/>
    <w:rsid w:val="00F12F16"/>
    <w:rsid w:val="00F1313F"/>
    <w:rsid w:val="00F1345A"/>
    <w:rsid w:val="00F13673"/>
    <w:rsid w:val="00F13A98"/>
    <w:rsid w:val="00F13E87"/>
    <w:rsid w:val="00F14326"/>
    <w:rsid w:val="00F14420"/>
    <w:rsid w:val="00F15C21"/>
    <w:rsid w:val="00F17D59"/>
    <w:rsid w:val="00F20A80"/>
    <w:rsid w:val="00F21611"/>
    <w:rsid w:val="00F22D59"/>
    <w:rsid w:val="00F23322"/>
    <w:rsid w:val="00F2409D"/>
    <w:rsid w:val="00F24FD4"/>
    <w:rsid w:val="00F25657"/>
    <w:rsid w:val="00F25BC8"/>
    <w:rsid w:val="00F26A98"/>
    <w:rsid w:val="00F27781"/>
    <w:rsid w:val="00F27BAD"/>
    <w:rsid w:val="00F31E42"/>
    <w:rsid w:val="00F321DA"/>
    <w:rsid w:val="00F32340"/>
    <w:rsid w:val="00F3341A"/>
    <w:rsid w:val="00F335AF"/>
    <w:rsid w:val="00F343C0"/>
    <w:rsid w:val="00F34E88"/>
    <w:rsid w:val="00F35E33"/>
    <w:rsid w:val="00F36291"/>
    <w:rsid w:val="00F36E64"/>
    <w:rsid w:val="00F37FBE"/>
    <w:rsid w:val="00F4087D"/>
    <w:rsid w:val="00F40B7A"/>
    <w:rsid w:val="00F40CD8"/>
    <w:rsid w:val="00F422B4"/>
    <w:rsid w:val="00F42C4D"/>
    <w:rsid w:val="00F432ED"/>
    <w:rsid w:val="00F448DD"/>
    <w:rsid w:val="00F4573B"/>
    <w:rsid w:val="00F459D1"/>
    <w:rsid w:val="00F45B63"/>
    <w:rsid w:val="00F45F36"/>
    <w:rsid w:val="00F46322"/>
    <w:rsid w:val="00F50D60"/>
    <w:rsid w:val="00F517BA"/>
    <w:rsid w:val="00F52C13"/>
    <w:rsid w:val="00F54CA7"/>
    <w:rsid w:val="00F54E63"/>
    <w:rsid w:val="00F57901"/>
    <w:rsid w:val="00F57A31"/>
    <w:rsid w:val="00F608BE"/>
    <w:rsid w:val="00F61C65"/>
    <w:rsid w:val="00F62719"/>
    <w:rsid w:val="00F63C33"/>
    <w:rsid w:val="00F64D31"/>
    <w:rsid w:val="00F64E67"/>
    <w:rsid w:val="00F6526A"/>
    <w:rsid w:val="00F6590F"/>
    <w:rsid w:val="00F670CC"/>
    <w:rsid w:val="00F7007F"/>
    <w:rsid w:val="00F7099D"/>
    <w:rsid w:val="00F71096"/>
    <w:rsid w:val="00F72331"/>
    <w:rsid w:val="00F72EC1"/>
    <w:rsid w:val="00F738C8"/>
    <w:rsid w:val="00F73D18"/>
    <w:rsid w:val="00F73E5D"/>
    <w:rsid w:val="00F73E7B"/>
    <w:rsid w:val="00F75813"/>
    <w:rsid w:val="00F75ABE"/>
    <w:rsid w:val="00F75BF8"/>
    <w:rsid w:val="00F75F56"/>
    <w:rsid w:val="00F760C0"/>
    <w:rsid w:val="00F80326"/>
    <w:rsid w:val="00F81E92"/>
    <w:rsid w:val="00F82079"/>
    <w:rsid w:val="00F820F6"/>
    <w:rsid w:val="00F824E6"/>
    <w:rsid w:val="00F82B91"/>
    <w:rsid w:val="00F83F56"/>
    <w:rsid w:val="00F8495D"/>
    <w:rsid w:val="00F84F5B"/>
    <w:rsid w:val="00F903A2"/>
    <w:rsid w:val="00F90623"/>
    <w:rsid w:val="00F92A27"/>
    <w:rsid w:val="00F92BD9"/>
    <w:rsid w:val="00F92CBD"/>
    <w:rsid w:val="00F9320B"/>
    <w:rsid w:val="00F933D6"/>
    <w:rsid w:val="00F9565C"/>
    <w:rsid w:val="00F972A8"/>
    <w:rsid w:val="00FA0143"/>
    <w:rsid w:val="00FA04B2"/>
    <w:rsid w:val="00FA093A"/>
    <w:rsid w:val="00FA2940"/>
    <w:rsid w:val="00FA3761"/>
    <w:rsid w:val="00FA3C3A"/>
    <w:rsid w:val="00FA4A6E"/>
    <w:rsid w:val="00FA5A63"/>
    <w:rsid w:val="00FA6C40"/>
    <w:rsid w:val="00FA7065"/>
    <w:rsid w:val="00FA7B36"/>
    <w:rsid w:val="00FB0C6C"/>
    <w:rsid w:val="00FB0FE5"/>
    <w:rsid w:val="00FB1BF7"/>
    <w:rsid w:val="00FB1F4C"/>
    <w:rsid w:val="00FB35DE"/>
    <w:rsid w:val="00FB3B06"/>
    <w:rsid w:val="00FB42EA"/>
    <w:rsid w:val="00FB43AB"/>
    <w:rsid w:val="00FB48A7"/>
    <w:rsid w:val="00FB5ADE"/>
    <w:rsid w:val="00FB6EAF"/>
    <w:rsid w:val="00FB74C9"/>
    <w:rsid w:val="00FC173F"/>
    <w:rsid w:val="00FC1B67"/>
    <w:rsid w:val="00FC2B23"/>
    <w:rsid w:val="00FC39B9"/>
    <w:rsid w:val="00FC5712"/>
    <w:rsid w:val="00FC5961"/>
    <w:rsid w:val="00FC76BA"/>
    <w:rsid w:val="00FD005F"/>
    <w:rsid w:val="00FD0676"/>
    <w:rsid w:val="00FD108D"/>
    <w:rsid w:val="00FD347D"/>
    <w:rsid w:val="00FD3D38"/>
    <w:rsid w:val="00FD4BCC"/>
    <w:rsid w:val="00FD67B5"/>
    <w:rsid w:val="00FD705C"/>
    <w:rsid w:val="00FD7960"/>
    <w:rsid w:val="00FE1E36"/>
    <w:rsid w:val="00FE26F6"/>
    <w:rsid w:val="00FE2FD2"/>
    <w:rsid w:val="00FE311F"/>
    <w:rsid w:val="00FE433F"/>
    <w:rsid w:val="00FE5A0F"/>
    <w:rsid w:val="00FE657A"/>
    <w:rsid w:val="00FE71ED"/>
    <w:rsid w:val="00FF3A93"/>
    <w:rsid w:val="00FF3CDF"/>
    <w:rsid w:val="00FF48C0"/>
    <w:rsid w:val="00FF6539"/>
    <w:rsid w:val="00FF71E9"/>
    <w:rsid w:val="00FF79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3DE0D"/>
  <w15:chartTrackingRefBased/>
  <w15:docId w15:val="{401DB637-C287-4A1D-9E2B-D793991E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05E59"/>
    <w:pPr>
      <w:keepNext/>
      <w:numPr>
        <w:ilvl w:val="1"/>
        <w:numId w:val="1"/>
      </w:numPr>
      <w:spacing w:after="220" w:line="240" w:lineRule="auto"/>
      <w:outlineLvl w:val="1"/>
    </w:pPr>
    <w:rPr>
      <w:rFonts w:ascii="Times New Roman Bold" w:eastAsia="Times New Roman" w:hAnsi="Times New Roman Bold" w:cs="Times New Roman"/>
      <w:b/>
      <w:sz w:val="24"/>
      <w:szCs w:val="20"/>
    </w:rPr>
  </w:style>
  <w:style w:type="paragraph" w:styleId="Heading4">
    <w:name w:val="heading 4"/>
    <w:basedOn w:val="Normal"/>
    <w:next w:val="Normal"/>
    <w:link w:val="Heading4Char"/>
    <w:qFormat/>
    <w:rsid w:val="00805E59"/>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805E59"/>
    <w:pPr>
      <w:numPr>
        <w:ilvl w:val="4"/>
        <w:numId w:val="1"/>
      </w:numPr>
      <w:spacing w:before="240" w:after="60" w:line="240" w:lineRule="auto"/>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05E59"/>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805E59"/>
    <w:pPr>
      <w:numPr>
        <w:ilvl w:val="6"/>
        <w:numId w:val="1"/>
      </w:numPr>
      <w:spacing w:before="240" w:after="60" w:line="240" w:lineRule="auto"/>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805E59"/>
    <w:pPr>
      <w:numPr>
        <w:ilvl w:val="7"/>
        <w:numId w:val="1"/>
      </w:numPr>
      <w:spacing w:before="240" w:after="60" w:line="240" w:lineRule="auto"/>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805E59"/>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10661"/>
    <w:pPr>
      <w:spacing w:after="0" w:line="240" w:lineRule="auto"/>
    </w:pPr>
    <w:rPr>
      <w:sz w:val="20"/>
      <w:szCs w:val="20"/>
    </w:rPr>
  </w:style>
  <w:style w:type="character" w:customStyle="1" w:styleId="FootnoteTextChar">
    <w:name w:val="Footnote Text Char"/>
    <w:basedOn w:val="DefaultParagraphFont"/>
    <w:link w:val="FootnoteText"/>
    <w:rsid w:val="00E10661"/>
    <w:rPr>
      <w:sz w:val="20"/>
      <w:szCs w:val="20"/>
    </w:rPr>
  </w:style>
  <w:style w:type="paragraph" w:styleId="Footer">
    <w:name w:val="footer"/>
    <w:basedOn w:val="Normal"/>
    <w:link w:val="FooterChar"/>
    <w:uiPriority w:val="99"/>
    <w:unhideWhenUsed/>
    <w:rsid w:val="00E10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61"/>
  </w:style>
  <w:style w:type="character" w:styleId="FootnoteReference">
    <w:name w:val="footnote reference"/>
    <w:aliases w:val="Style 13"/>
    <w:rsid w:val="00E10661"/>
    <w:rPr>
      <w:rFonts w:ascii="Times New Roman" w:hAnsi="Times New Roman"/>
      <w:dstrike w:val="0"/>
      <w:color w:val="auto"/>
      <w:sz w:val="20"/>
      <w:vertAlign w:val="superscript"/>
    </w:rPr>
  </w:style>
  <w:style w:type="character" w:styleId="PageNumber">
    <w:name w:val="page number"/>
    <w:basedOn w:val="DefaultParagraphFont"/>
    <w:uiPriority w:val="99"/>
    <w:semiHidden/>
    <w:unhideWhenUsed/>
    <w:rsid w:val="00E10661"/>
  </w:style>
  <w:style w:type="paragraph" w:customStyle="1" w:styleId="ParaNumChar1">
    <w:name w:val="ParaNum Char1"/>
    <w:basedOn w:val="Normal"/>
    <w:link w:val="ParaNumChar1Char"/>
    <w:rsid w:val="000A7332"/>
    <w:pPr>
      <w:widowControl w:val="0"/>
      <w:tabs>
        <w:tab w:val="num" w:pos="1080"/>
        <w:tab w:val="left" w:pos="1440"/>
      </w:tabs>
      <w:spacing w:after="220" w:line="240" w:lineRule="auto"/>
      <w:ind w:firstLine="720"/>
    </w:pPr>
    <w:rPr>
      <w:rFonts w:ascii="Times New Roman" w:eastAsia="Times New Roman" w:hAnsi="Times New Roman" w:cs="Times New Roman"/>
      <w:szCs w:val="20"/>
    </w:rPr>
  </w:style>
  <w:style w:type="character" w:customStyle="1" w:styleId="ParaNumChar1Char">
    <w:name w:val="ParaNum Char1 Char"/>
    <w:link w:val="ParaNumChar1"/>
    <w:rsid w:val="000A73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A7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32"/>
    <w:rPr>
      <w:rFonts w:ascii="Segoe UI" w:hAnsi="Segoe UI" w:cs="Segoe UI"/>
      <w:sz w:val="18"/>
      <w:szCs w:val="18"/>
    </w:rPr>
  </w:style>
  <w:style w:type="character" w:customStyle="1" w:styleId="Heading2Char">
    <w:name w:val="Heading 2 Char"/>
    <w:basedOn w:val="DefaultParagraphFont"/>
    <w:link w:val="Heading2"/>
    <w:rsid w:val="00805E59"/>
    <w:rPr>
      <w:rFonts w:ascii="Times New Roman Bold" w:eastAsia="Times New Roman" w:hAnsi="Times New Roman Bold" w:cs="Times New Roman"/>
      <w:b/>
      <w:sz w:val="24"/>
      <w:szCs w:val="20"/>
    </w:rPr>
  </w:style>
  <w:style w:type="character" w:customStyle="1" w:styleId="Heading4Char">
    <w:name w:val="Heading 4 Char"/>
    <w:basedOn w:val="DefaultParagraphFont"/>
    <w:link w:val="Heading4"/>
    <w:rsid w:val="00805E59"/>
    <w:rPr>
      <w:rFonts w:ascii="Arial" w:eastAsia="Times New Roman" w:hAnsi="Arial" w:cs="Times New Roman"/>
      <w:b/>
      <w:sz w:val="24"/>
      <w:szCs w:val="20"/>
    </w:rPr>
  </w:style>
  <w:style w:type="character" w:customStyle="1" w:styleId="Heading5Char">
    <w:name w:val="Heading 5 Char"/>
    <w:basedOn w:val="DefaultParagraphFont"/>
    <w:link w:val="Heading5"/>
    <w:rsid w:val="00805E59"/>
    <w:rPr>
      <w:rFonts w:ascii="Times New Roman" w:eastAsia="Times New Roman" w:hAnsi="Times New Roman" w:cs="Times New Roman"/>
      <w:szCs w:val="20"/>
    </w:rPr>
  </w:style>
  <w:style w:type="character" w:customStyle="1" w:styleId="Heading6Char">
    <w:name w:val="Heading 6 Char"/>
    <w:basedOn w:val="DefaultParagraphFont"/>
    <w:link w:val="Heading6"/>
    <w:rsid w:val="00805E59"/>
    <w:rPr>
      <w:rFonts w:ascii="Times New Roman" w:eastAsia="Times New Roman" w:hAnsi="Times New Roman" w:cs="Times New Roman"/>
      <w:i/>
      <w:szCs w:val="20"/>
    </w:rPr>
  </w:style>
  <w:style w:type="character" w:customStyle="1" w:styleId="Heading7Char">
    <w:name w:val="Heading 7 Char"/>
    <w:basedOn w:val="DefaultParagraphFont"/>
    <w:link w:val="Heading7"/>
    <w:rsid w:val="00805E59"/>
    <w:rPr>
      <w:rFonts w:ascii="Arial" w:eastAsia="Times New Roman" w:hAnsi="Arial" w:cs="Times New Roman"/>
      <w:sz w:val="24"/>
      <w:szCs w:val="20"/>
    </w:rPr>
  </w:style>
  <w:style w:type="character" w:customStyle="1" w:styleId="Heading8Char">
    <w:name w:val="Heading 8 Char"/>
    <w:basedOn w:val="DefaultParagraphFont"/>
    <w:link w:val="Heading8"/>
    <w:rsid w:val="00805E59"/>
    <w:rPr>
      <w:rFonts w:ascii="Arial" w:eastAsia="Times New Roman" w:hAnsi="Arial" w:cs="Times New Roman"/>
      <w:i/>
      <w:sz w:val="24"/>
      <w:szCs w:val="20"/>
    </w:rPr>
  </w:style>
  <w:style w:type="character" w:customStyle="1" w:styleId="Heading9Char">
    <w:name w:val="Heading 9 Char"/>
    <w:basedOn w:val="DefaultParagraphFont"/>
    <w:link w:val="Heading9"/>
    <w:rsid w:val="00805E59"/>
    <w:rPr>
      <w:rFonts w:ascii="Arial" w:eastAsia="Times New Roman" w:hAnsi="Arial" w:cs="Times New Roman"/>
      <w:b/>
      <w:i/>
      <w:sz w:val="18"/>
      <w:szCs w:val="20"/>
    </w:rPr>
  </w:style>
  <w:style w:type="paragraph" w:customStyle="1" w:styleId="Numberedparagraphs">
    <w:name w:val="Numbered paragraphs"/>
    <w:basedOn w:val="Normal"/>
    <w:rsid w:val="00805E59"/>
    <w:pPr>
      <w:numPr>
        <w:ilvl w:val="2"/>
        <w:numId w:val="1"/>
      </w:numPr>
      <w:tabs>
        <w:tab w:val="left" w:pos="1440"/>
      </w:tabs>
      <w:spacing w:after="22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33BCA"/>
    <w:rPr>
      <w:sz w:val="16"/>
      <w:szCs w:val="16"/>
    </w:rPr>
  </w:style>
  <w:style w:type="paragraph" w:styleId="CommentText">
    <w:name w:val="annotation text"/>
    <w:basedOn w:val="Normal"/>
    <w:link w:val="CommentTextChar"/>
    <w:uiPriority w:val="99"/>
    <w:semiHidden/>
    <w:unhideWhenUsed/>
    <w:rsid w:val="00033BCA"/>
    <w:pPr>
      <w:spacing w:line="240" w:lineRule="auto"/>
    </w:pPr>
    <w:rPr>
      <w:sz w:val="20"/>
      <w:szCs w:val="20"/>
    </w:rPr>
  </w:style>
  <w:style w:type="character" w:customStyle="1" w:styleId="CommentTextChar">
    <w:name w:val="Comment Text Char"/>
    <w:basedOn w:val="DefaultParagraphFont"/>
    <w:link w:val="CommentText"/>
    <w:uiPriority w:val="99"/>
    <w:semiHidden/>
    <w:rsid w:val="00033BCA"/>
    <w:rPr>
      <w:sz w:val="20"/>
      <w:szCs w:val="20"/>
    </w:rPr>
  </w:style>
  <w:style w:type="paragraph" w:styleId="CommentSubject">
    <w:name w:val="annotation subject"/>
    <w:basedOn w:val="CommentText"/>
    <w:next w:val="CommentText"/>
    <w:link w:val="CommentSubjectChar"/>
    <w:uiPriority w:val="99"/>
    <w:semiHidden/>
    <w:unhideWhenUsed/>
    <w:rsid w:val="00033BCA"/>
    <w:rPr>
      <w:b/>
      <w:bCs/>
    </w:rPr>
  </w:style>
  <w:style w:type="character" w:customStyle="1" w:styleId="CommentSubjectChar">
    <w:name w:val="Comment Subject Char"/>
    <w:basedOn w:val="CommentTextChar"/>
    <w:link w:val="CommentSubject"/>
    <w:uiPriority w:val="99"/>
    <w:semiHidden/>
    <w:rsid w:val="00033BCA"/>
    <w:rPr>
      <w:b/>
      <w:bCs/>
      <w:sz w:val="20"/>
      <w:szCs w:val="20"/>
    </w:rPr>
  </w:style>
  <w:style w:type="paragraph" w:styleId="Header">
    <w:name w:val="header"/>
    <w:basedOn w:val="Normal"/>
    <w:link w:val="HeaderChar"/>
    <w:uiPriority w:val="99"/>
    <w:unhideWhenUsed/>
    <w:rsid w:val="00DF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B94"/>
  </w:style>
  <w:style w:type="paragraph" w:styleId="ListParagraph">
    <w:name w:val="List Paragraph"/>
    <w:basedOn w:val="Normal"/>
    <w:uiPriority w:val="34"/>
    <w:qFormat/>
    <w:rsid w:val="00B60478"/>
    <w:pPr>
      <w:ind w:left="720"/>
      <w:contextualSpacing/>
    </w:pPr>
  </w:style>
  <w:style w:type="paragraph" w:styleId="Revision">
    <w:name w:val="Revision"/>
    <w:hidden/>
    <w:uiPriority w:val="99"/>
    <w:semiHidden/>
    <w:rsid w:val="005448FE"/>
    <w:pPr>
      <w:spacing w:after="0" w:line="240" w:lineRule="auto"/>
    </w:pPr>
  </w:style>
  <w:style w:type="character" w:styleId="Hyperlink">
    <w:name w:val="Hyperlink"/>
    <w:rsid w:val="00B12F13"/>
    <w:rPr>
      <w:color w:val="0000FF"/>
      <w:u w:val="single"/>
    </w:rPr>
  </w:style>
  <w:style w:type="character" w:styleId="UnresolvedMention">
    <w:name w:val="Unresolved Mention"/>
    <w:basedOn w:val="DefaultParagraphFont"/>
    <w:uiPriority w:val="99"/>
    <w:semiHidden/>
    <w:unhideWhenUsed/>
    <w:rsid w:val="0035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iapath.com/&#8204;news/gtl-becomes-viapath-technologies-launches-expanded-reentr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5" ma:contentTypeDescription="Create a new document." ma:contentTypeScope="" ma:versionID="ada997f0014bf1705809400ebf9a3de4">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b6e0343828615455c9494ee8741d1993"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7EEC-7208-4FD1-B16D-6A88ACDDC030}">
  <ds:schemaRefs>
    <ds:schemaRef ds:uri="http://schemas.microsoft.com/sharepoint/v3/contenttype/forms"/>
  </ds:schemaRefs>
</ds:datastoreItem>
</file>

<file path=customXml/itemProps2.xml><?xml version="1.0" encoding="utf-8"?>
<ds:datastoreItem xmlns:ds="http://schemas.openxmlformats.org/officeDocument/2006/customXml" ds:itemID="{8992F244-1A15-4268-AD9C-97B5416E3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AAE48-6C25-48A9-B52F-C00A04E23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278C3-8BF6-3445-B0F1-02BC9648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3542</Words>
  <Characters>20196</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23691</CharactersWithSpaces>
  <SharedDoc>false</SharedDoc>
  <HLinks>
    <vt:vector size="6" baseType="variant">
      <vt:variant>
        <vt:i4>2236426</vt:i4>
      </vt:variant>
      <vt:variant>
        <vt:i4>0</vt:i4>
      </vt:variant>
      <vt:variant>
        <vt:i4>0</vt:i4>
      </vt:variant>
      <vt:variant>
        <vt:i4>5</vt:i4>
      </vt:variant>
      <vt:variant>
        <vt:lpwstr>https://www.viapath.com/‌news/gtl-becomes-viapath-technologies-launches-expanded-reentry-services/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2022-01-17T02:23:00Z</cp:lastPrinted>
  <dcterms:created xsi:type="dcterms:W3CDTF">2022-01-21T18:26:00Z</dcterms:created>
  <dcterms:modified xsi:type="dcterms:W3CDTF">2022-01-21T18:26:00Z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