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96D7C" w:rsidR="00DB7DC5" w:rsidP="00F25105" w:rsidRDefault="00DB7DC5">
      <w:pPr>
        <w:pStyle w:val="Default"/>
        <w:jc w:val="center"/>
        <w:rPr>
          <w:b/>
          <w:bCs/>
          <w:u w:val="single"/>
        </w:rPr>
      </w:pPr>
      <w:r w:rsidRPr="00696D7C">
        <w:rPr>
          <w:b/>
          <w:bCs/>
          <w:u w:val="single"/>
        </w:rPr>
        <w:t>SUPPORTING STATEMENT</w:t>
      </w:r>
    </w:p>
    <w:p w:rsidRPr="00696D7C" w:rsidR="00F25105" w:rsidP="00F25105" w:rsidRDefault="00346F82">
      <w:pPr>
        <w:pStyle w:val="Default"/>
        <w:jc w:val="center"/>
        <w:rPr>
          <w:u w:val="single"/>
        </w:rPr>
      </w:pPr>
      <w:r>
        <w:rPr>
          <w:b/>
          <w:bCs/>
          <w:u w:val="single"/>
        </w:rPr>
        <w:t>FOR RECORD</w:t>
      </w:r>
      <w:r w:rsidRPr="00696D7C" w:rsidR="00F25105">
        <w:rPr>
          <w:b/>
          <w:bCs/>
          <w:u w:val="single"/>
        </w:rPr>
        <w:t>KEEPING</w:t>
      </w:r>
      <w:r w:rsidRPr="00696D7C" w:rsidR="00DB7DC5">
        <w:rPr>
          <w:b/>
          <w:bCs/>
          <w:u w:val="single"/>
        </w:rPr>
        <w:t xml:space="preserve"> </w:t>
      </w:r>
      <w:r w:rsidRPr="00696D7C" w:rsidR="00F25105">
        <w:rPr>
          <w:b/>
          <w:bCs/>
          <w:u w:val="single"/>
        </w:rPr>
        <w:t xml:space="preserve">AND REPORTING REQUIREMENT </w:t>
      </w:r>
    </w:p>
    <w:p w:rsidRPr="00696D7C" w:rsidR="00F25105" w:rsidP="00F25105" w:rsidRDefault="000823C8">
      <w:pPr>
        <w:pStyle w:val="Default"/>
        <w:jc w:val="center"/>
      </w:pPr>
      <w:r w:rsidRPr="00696D7C">
        <w:rPr>
          <w:b/>
          <w:bCs/>
          <w:u w:val="single"/>
        </w:rPr>
        <w:t>25 CFR PART</w:t>
      </w:r>
      <w:r w:rsidRPr="00696D7C" w:rsidR="00F25105">
        <w:rPr>
          <w:b/>
          <w:bCs/>
          <w:u w:val="single"/>
        </w:rPr>
        <w:t xml:space="preserve"> 514</w:t>
      </w:r>
      <w:r w:rsidRPr="00696D7C" w:rsidR="00F25105">
        <w:rPr>
          <w:b/>
          <w:bCs/>
        </w:rPr>
        <w:t xml:space="preserve"> </w:t>
      </w:r>
    </w:p>
    <w:p w:rsidRPr="00696D7C" w:rsidR="00F25105" w:rsidP="00F25105" w:rsidRDefault="00F25105">
      <w:pPr>
        <w:pStyle w:val="Default"/>
        <w:ind w:left="360" w:hanging="360"/>
        <w:rPr>
          <w:b/>
          <w:bCs/>
        </w:rPr>
      </w:pPr>
    </w:p>
    <w:p w:rsidRPr="00696D7C" w:rsidR="00F25105" w:rsidP="00F25105" w:rsidRDefault="00F25105">
      <w:pPr>
        <w:pStyle w:val="Default"/>
        <w:ind w:left="360" w:hanging="360"/>
      </w:pPr>
      <w:r w:rsidRPr="00696D7C">
        <w:rPr>
          <w:b/>
          <w:bCs/>
        </w:rPr>
        <w:t xml:space="preserve">A. </w:t>
      </w:r>
      <w:r w:rsidRPr="00696D7C" w:rsidR="00571D58">
        <w:rPr>
          <w:b/>
          <w:bCs/>
        </w:rPr>
        <w:tab/>
      </w:r>
      <w:r w:rsidRPr="00696D7C" w:rsidR="00571D58">
        <w:rPr>
          <w:b/>
          <w:bCs/>
        </w:rPr>
        <w:tab/>
      </w:r>
      <w:r w:rsidRPr="00696D7C">
        <w:rPr>
          <w:b/>
          <w:bCs/>
        </w:rPr>
        <w:t xml:space="preserve">Justification </w:t>
      </w:r>
    </w:p>
    <w:p w:rsidRPr="00696D7C" w:rsidR="00F25105" w:rsidP="00F25105" w:rsidRDefault="00F25105">
      <w:pPr>
        <w:pStyle w:val="Default"/>
        <w:ind w:left="360" w:hanging="360"/>
        <w:rPr>
          <w:b/>
          <w:bCs/>
        </w:rPr>
      </w:pPr>
    </w:p>
    <w:p w:rsidRPr="00696D7C" w:rsidR="00F25105" w:rsidP="00571D58" w:rsidRDefault="00F25105">
      <w:pPr>
        <w:pStyle w:val="Default"/>
        <w:ind w:left="1440" w:hanging="720"/>
      </w:pPr>
      <w:r w:rsidRPr="00696D7C">
        <w:rPr>
          <w:b/>
          <w:bCs/>
        </w:rPr>
        <w:t xml:space="preserve">1. </w:t>
      </w:r>
      <w:r w:rsidRPr="00696D7C" w:rsidR="00571D58">
        <w:rPr>
          <w:b/>
          <w:bCs/>
        </w:rPr>
        <w:tab/>
      </w:r>
      <w:r w:rsidRPr="00696D7C" w:rsidR="005F0CAC">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696D7C">
        <w:rPr>
          <w:b/>
          <w:bCs/>
        </w:rPr>
        <w:t xml:space="preserve"> </w:t>
      </w:r>
    </w:p>
    <w:p w:rsidRPr="00696D7C" w:rsidR="00F25105" w:rsidP="00F25105" w:rsidRDefault="00F25105">
      <w:pPr>
        <w:pStyle w:val="Default"/>
        <w:ind w:firstLine="720"/>
      </w:pPr>
    </w:p>
    <w:p w:rsidRPr="00696D7C" w:rsidR="00F9627F" w:rsidP="00F9627F" w:rsidRDefault="00F9627F">
      <w:pPr>
        <w:autoSpaceDE w:val="0"/>
        <w:autoSpaceDN w:val="0"/>
        <w:adjustRightInd w:val="0"/>
        <w:spacing w:line="480" w:lineRule="auto"/>
        <w:ind w:firstLine="720"/>
      </w:pPr>
      <w:r w:rsidRPr="00696D7C">
        <w:t xml:space="preserve">The Indian Gaming Regulatory Act (IGRA or the Act), Public Law 100–497, 25 U.S.C. 2701, </w:t>
      </w:r>
      <w:r w:rsidRPr="00696D7C">
        <w:rPr>
          <w:i/>
          <w:iCs/>
        </w:rPr>
        <w:t>et seq.</w:t>
      </w:r>
      <w:r w:rsidRPr="00696D7C">
        <w:rPr>
          <w:iCs/>
        </w:rPr>
        <w:t>,</w:t>
      </w:r>
      <w:r w:rsidRPr="00696D7C">
        <w:t xml:space="preserve"> was signed into law on </w:t>
      </w:r>
      <w:smartTag w:uri="urn:schemas-microsoft-com:office:smarttags" w:element="date">
        <w:smartTagPr>
          <w:attr w:name="ls" w:val="trans"/>
          <w:attr w:name="Month" w:val="10"/>
          <w:attr w:name="Day" w:val="17"/>
          <w:attr w:name="Year" w:val="1988"/>
        </w:smartTagPr>
        <w:r w:rsidRPr="00696D7C">
          <w:t>October 17, 1988</w:t>
        </w:r>
      </w:smartTag>
      <w:r w:rsidRPr="00696D7C">
        <w:t>. The Act established the National Indian Gaming Commission (NIGC or Commission) and set out a comprehensive framework for the regulation of gaming on Indian lands. The Act sets standards for the regulation of Indian gaming, including the requirement that</w:t>
      </w:r>
      <w:r w:rsidRPr="00696D7C" w:rsidR="001F5418">
        <w:t xml:space="preserve"> Indian tribes that conduct </w:t>
      </w:r>
      <w:r w:rsidRPr="00696D7C">
        <w:t xml:space="preserve">class II </w:t>
      </w:r>
      <w:r w:rsidRPr="00696D7C" w:rsidR="001F5418">
        <w:t>and/or class III gaming activities</w:t>
      </w:r>
      <w:r w:rsidRPr="00696D7C">
        <w:t xml:space="preserve"> must pay annual fees to the Commission on the basis of the</w:t>
      </w:r>
      <w:r w:rsidRPr="00696D7C" w:rsidR="001F5418">
        <w:t>ir respective</w:t>
      </w:r>
      <w:r w:rsidRPr="00696D7C">
        <w:t xml:space="preserve"> assessable gross</w:t>
      </w:r>
      <w:r w:rsidRPr="00696D7C" w:rsidR="001F5418">
        <w:t xml:space="preserve"> gaming</w:t>
      </w:r>
      <w:r w:rsidRPr="00696D7C">
        <w:t xml:space="preserve"> revenues, using rates established by the Commission. 25 U.S.C. 2717.</w:t>
      </w:r>
      <w:r w:rsidRPr="00696D7C" w:rsidR="00BB19E9">
        <w:t xml:space="preserve"> These fees are used to fund the Commission’s performance of its statutory duties. 25 U</w:t>
      </w:r>
      <w:r w:rsidR="00D709ED">
        <w:t>.</w:t>
      </w:r>
      <w:r w:rsidRPr="00696D7C" w:rsidR="00BB19E9">
        <w:t>S</w:t>
      </w:r>
      <w:r w:rsidR="00D709ED">
        <w:t>.</w:t>
      </w:r>
      <w:r w:rsidRPr="00696D7C" w:rsidR="00BB19E9">
        <w:t>C</w:t>
      </w:r>
      <w:r w:rsidR="00D709ED">
        <w:t>.</w:t>
      </w:r>
      <w:r w:rsidRPr="00696D7C" w:rsidR="00BB19E9">
        <w:t xml:space="preserve"> 2717a.</w:t>
      </w:r>
      <w:r w:rsidRPr="00696D7C">
        <w:t xml:space="preserve"> The Commission is authorized to “promulgate such regulations and guidelines as it deems appropriate to implement” IGRA. 25 U.S.C. 2706(b)(10). The Commission has promulgated part 514 of title 25, Code of Federal Regulations, to implement these statutory requirements. </w:t>
      </w:r>
    </w:p>
    <w:p w:rsidRPr="00696D7C" w:rsidR="00BB191F" w:rsidP="00BB191F" w:rsidRDefault="00BB191F">
      <w:pPr>
        <w:autoSpaceDE w:val="0"/>
        <w:autoSpaceDN w:val="0"/>
        <w:adjustRightInd w:val="0"/>
        <w:spacing w:line="480" w:lineRule="auto"/>
        <w:jc w:val="center"/>
      </w:pPr>
      <w:r w:rsidRPr="00696D7C">
        <w:rPr>
          <w:b/>
          <w:bCs/>
        </w:rPr>
        <w:t>25 CFR § 514.6</w:t>
      </w:r>
    </w:p>
    <w:p w:rsidRPr="00696D7C" w:rsidR="007B65E3" w:rsidP="00BB191F" w:rsidRDefault="00F9627F">
      <w:pPr>
        <w:autoSpaceDE w:val="0"/>
        <w:autoSpaceDN w:val="0"/>
        <w:adjustRightInd w:val="0"/>
        <w:spacing w:line="480" w:lineRule="auto"/>
        <w:ind w:firstLine="720"/>
      </w:pPr>
      <w:r w:rsidRPr="00696D7C">
        <w:t xml:space="preserve">Section 514.6 </w:t>
      </w:r>
      <w:r w:rsidRPr="00696D7C" w:rsidR="00BB191F">
        <w:t xml:space="preserve">of title 25, Code of Federal Regulations, </w:t>
      </w:r>
      <w:r w:rsidRPr="00696D7C">
        <w:t>requires a tribe to submit</w:t>
      </w:r>
      <w:r w:rsidRPr="00696D7C" w:rsidR="001F5418">
        <w:t xml:space="preserve"> </w:t>
      </w:r>
      <w:r w:rsidRPr="00696D7C">
        <w:t>quarterly fee statements (worksheets) showing i</w:t>
      </w:r>
      <w:r w:rsidRPr="00696D7C" w:rsidR="002B3D8A">
        <w:t>ts assessable gross</w:t>
      </w:r>
      <w:r w:rsidRPr="00696D7C" w:rsidR="001F5418">
        <w:t xml:space="preserve"> gaming revenues</w:t>
      </w:r>
      <w:r w:rsidRPr="00696D7C" w:rsidR="002B3D8A">
        <w:t xml:space="preserve"> </w:t>
      </w:r>
      <w:r w:rsidR="00B47271">
        <w:t>for</w:t>
      </w:r>
      <w:r w:rsidRPr="00696D7C">
        <w:t xml:space="preserve"> the </w:t>
      </w:r>
      <w:r w:rsidR="00B47271">
        <w:t>assessed</w:t>
      </w:r>
      <w:r w:rsidRPr="00696D7C">
        <w:t xml:space="preserve"> fiscal year in order to support the computation of fees paid by each gaming operation. </w:t>
      </w:r>
    </w:p>
    <w:p w:rsidRPr="00696D7C" w:rsidR="007B65E3" w:rsidP="007B65E3" w:rsidRDefault="007B65E3">
      <w:pPr>
        <w:autoSpaceDE w:val="0"/>
        <w:autoSpaceDN w:val="0"/>
        <w:adjustRightInd w:val="0"/>
        <w:spacing w:line="480" w:lineRule="auto"/>
        <w:jc w:val="center"/>
      </w:pPr>
      <w:r w:rsidRPr="00696D7C">
        <w:rPr>
          <w:b/>
          <w:bCs/>
        </w:rPr>
        <w:t>25 CFR § 514.7</w:t>
      </w:r>
    </w:p>
    <w:p w:rsidRPr="00696D7C" w:rsidR="007B65E3" w:rsidP="00BB191F" w:rsidRDefault="00F9627F">
      <w:pPr>
        <w:autoSpaceDE w:val="0"/>
        <w:autoSpaceDN w:val="0"/>
        <w:adjustRightInd w:val="0"/>
        <w:spacing w:line="480" w:lineRule="auto"/>
        <w:ind w:firstLine="720"/>
      </w:pPr>
      <w:r w:rsidRPr="00696D7C">
        <w:t xml:space="preserve">Section 514.7 requires a tribe to submit a notice within 30 days after a gaming operation changes its fiscal year. </w:t>
      </w:r>
      <w:r w:rsidRPr="00696D7C" w:rsidR="00DC60C0">
        <w:t xml:space="preserve">Because a tribe’s quarterly fee payments are based on a gaming </w:t>
      </w:r>
      <w:r w:rsidRPr="00696D7C" w:rsidR="00DC60C0">
        <w:lastRenderedPageBreak/>
        <w:t xml:space="preserve">operation’s </w:t>
      </w:r>
      <w:r w:rsidRPr="00696D7C" w:rsidR="00AF59D3">
        <w:t>assessable gross</w:t>
      </w:r>
      <w:r w:rsidRPr="00696D7C" w:rsidR="00A3103A">
        <w:t xml:space="preserve"> gaming</w:t>
      </w:r>
      <w:r w:rsidRPr="00696D7C" w:rsidR="00AF59D3">
        <w:t xml:space="preserve"> revenues from the </w:t>
      </w:r>
      <w:r w:rsidRPr="00696D7C" w:rsidR="00DC60C0">
        <w:t>previous fiscal year</w:t>
      </w:r>
      <w:r w:rsidRPr="00696D7C" w:rsidR="00AF59D3">
        <w:t>, the Commission must have up-to-date information on a gaming operation’s current fiscal year.</w:t>
      </w:r>
    </w:p>
    <w:p w:rsidRPr="00696D7C" w:rsidR="007B65E3" w:rsidP="007B65E3" w:rsidRDefault="007B65E3">
      <w:pPr>
        <w:autoSpaceDE w:val="0"/>
        <w:autoSpaceDN w:val="0"/>
        <w:adjustRightInd w:val="0"/>
        <w:spacing w:line="480" w:lineRule="auto"/>
        <w:jc w:val="center"/>
      </w:pPr>
      <w:r w:rsidRPr="00696D7C">
        <w:rPr>
          <w:b/>
          <w:bCs/>
        </w:rPr>
        <w:t>25 CFR § 514.15</w:t>
      </w:r>
    </w:p>
    <w:p w:rsidRPr="00696D7C" w:rsidR="00F9627F" w:rsidP="00BB191F" w:rsidRDefault="00F9627F">
      <w:pPr>
        <w:autoSpaceDE w:val="0"/>
        <w:autoSpaceDN w:val="0"/>
        <w:adjustRightInd w:val="0"/>
        <w:spacing w:line="480" w:lineRule="auto"/>
        <w:ind w:firstLine="720"/>
      </w:pPr>
      <w:r w:rsidRPr="00696D7C">
        <w:t>Section 514.15 allows a tribe to submit fingerprint cards to the Commission for processing by the Federal Bureau of Investigation (FBI), along with a fee</w:t>
      </w:r>
      <w:r w:rsidRPr="00696D7C" w:rsidR="00BB19E9">
        <w:t xml:space="preserve"> payment</w:t>
      </w:r>
      <w:r w:rsidRPr="00696D7C">
        <w:t xml:space="preserve"> to cover the NIGC’s and FBI’s </w:t>
      </w:r>
      <w:r w:rsidRPr="00696D7C" w:rsidR="007B65E3">
        <w:t xml:space="preserve">administrative </w:t>
      </w:r>
      <w:r w:rsidRPr="00696D7C">
        <w:t>cost</w:t>
      </w:r>
      <w:r w:rsidRPr="00696D7C" w:rsidR="00BB19E9">
        <w:t>s</w:t>
      </w:r>
      <w:r w:rsidRPr="00696D7C">
        <w:t xml:space="preserve"> to process </w:t>
      </w:r>
      <w:r w:rsidRPr="00696D7C" w:rsidR="00BB19E9">
        <w:t>such</w:t>
      </w:r>
      <w:r w:rsidRPr="00696D7C">
        <w:t xml:space="preserve"> fingerprint cards on behalf of the tribes. </w:t>
      </w:r>
    </w:p>
    <w:p w:rsidRPr="00696D7C" w:rsidR="00F25105" w:rsidP="00571D58" w:rsidRDefault="00F25105">
      <w:pPr>
        <w:pStyle w:val="Default"/>
        <w:ind w:left="1440" w:hanging="720"/>
      </w:pPr>
      <w:r w:rsidRPr="00696D7C">
        <w:rPr>
          <w:b/>
          <w:bCs/>
        </w:rPr>
        <w:t xml:space="preserve">2. </w:t>
      </w:r>
      <w:r w:rsidRPr="00696D7C" w:rsidR="00571D58">
        <w:rPr>
          <w:b/>
          <w:bCs/>
        </w:rPr>
        <w:tab/>
      </w:r>
      <w:r w:rsidRPr="00696D7C" w:rsidR="005F0CAC">
        <w:rPr>
          <w:b/>
          <w:bCs/>
        </w:rPr>
        <w:t>Indicate how, by whom, and for what purpose the information is to be used. Except for a new collection, indicate the actual use the agency has made of the information received from the current collection.</w:t>
      </w:r>
      <w:r w:rsidRPr="00696D7C">
        <w:rPr>
          <w:b/>
          <w:bCs/>
        </w:rPr>
        <w:t xml:space="preserve"> </w:t>
      </w:r>
    </w:p>
    <w:p w:rsidRPr="00696D7C" w:rsidR="00F25105" w:rsidP="00F25105" w:rsidRDefault="00F25105">
      <w:pPr>
        <w:pStyle w:val="Default"/>
        <w:ind w:firstLine="720"/>
      </w:pPr>
    </w:p>
    <w:p w:rsidRPr="00696D7C" w:rsidR="001903C3" w:rsidP="00B041AE" w:rsidRDefault="002B3D8A">
      <w:pPr>
        <w:pStyle w:val="Default"/>
        <w:spacing w:line="480" w:lineRule="auto"/>
        <w:ind w:firstLine="720"/>
      </w:pPr>
      <w:r w:rsidRPr="00696D7C">
        <w:t xml:space="preserve">The </w:t>
      </w:r>
      <w:r w:rsidRPr="00696D7C" w:rsidR="00C03B70">
        <w:t>quarterly fee worksheets</w:t>
      </w:r>
      <w:r w:rsidRPr="00696D7C">
        <w:t xml:space="preserve"> furnished by each class II and</w:t>
      </w:r>
      <w:r w:rsidRPr="00696D7C" w:rsidR="00BB19E9">
        <w:t>/or</w:t>
      </w:r>
      <w:r w:rsidRPr="00696D7C">
        <w:t xml:space="preserve"> class III gaming operation details the components of assessable gross</w:t>
      </w:r>
      <w:r w:rsidRPr="00696D7C" w:rsidR="00BB19E9">
        <w:t xml:space="preserve"> gaming</w:t>
      </w:r>
      <w:r w:rsidRPr="00696D7C">
        <w:t xml:space="preserve"> revenues – money wagered, prizes awarded for each type of game, admission fees, and allowance for capital expenditures. T</w:t>
      </w:r>
      <w:r w:rsidRPr="00696D7C" w:rsidR="002D0112">
        <w:t xml:space="preserve">his </w:t>
      </w:r>
      <w:r w:rsidRPr="00696D7C">
        <w:t>information is used by the Commission to set and adjust fee rate</w:t>
      </w:r>
      <w:r w:rsidRPr="00696D7C" w:rsidR="00BB19E9">
        <w:t>s</w:t>
      </w:r>
      <w:r w:rsidRPr="00696D7C">
        <w:t xml:space="preserve"> so that the total fees assessed each year meet the Commission’s funding needs. </w:t>
      </w:r>
      <w:r w:rsidRPr="00696D7C" w:rsidR="007B65E3">
        <w:rPr>
          <w:bCs/>
        </w:rPr>
        <w:t xml:space="preserve">The </w:t>
      </w:r>
      <w:r w:rsidRPr="00696D7C" w:rsidR="002D0112">
        <w:rPr>
          <w:bCs/>
        </w:rPr>
        <w:t xml:space="preserve">quarterly </w:t>
      </w:r>
      <w:r w:rsidRPr="00696D7C" w:rsidR="00C64D87">
        <w:rPr>
          <w:bCs/>
        </w:rPr>
        <w:t xml:space="preserve">fee </w:t>
      </w:r>
      <w:r w:rsidRPr="00696D7C">
        <w:rPr>
          <w:bCs/>
        </w:rPr>
        <w:t xml:space="preserve">worksheets </w:t>
      </w:r>
      <w:r w:rsidRPr="00696D7C" w:rsidR="007B65E3">
        <w:t xml:space="preserve">support the computation of fees paid by each gaming operation. </w:t>
      </w:r>
    </w:p>
    <w:p w:rsidRPr="00696D7C" w:rsidR="002B3D8A" w:rsidP="00B041AE" w:rsidRDefault="00B041AE">
      <w:pPr>
        <w:pStyle w:val="Default"/>
        <w:spacing w:line="480" w:lineRule="auto"/>
        <w:ind w:firstLine="720"/>
      </w:pPr>
      <w:r w:rsidRPr="00696D7C">
        <w:t>Q</w:t>
      </w:r>
      <w:r w:rsidRPr="00696D7C" w:rsidR="002B3D8A">
        <w:t xml:space="preserve">uarterly fee payments </w:t>
      </w:r>
      <w:r w:rsidRPr="00696D7C" w:rsidR="002D0112">
        <w:t xml:space="preserve">paid by each gaming operation </w:t>
      </w:r>
      <w:r w:rsidRPr="00696D7C" w:rsidR="002B3D8A">
        <w:t xml:space="preserve">are based on </w:t>
      </w:r>
      <w:r w:rsidRPr="00696D7C" w:rsidR="002D0112">
        <w:t>that</w:t>
      </w:r>
      <w:r w:rsidRPr="00696D7C" w:rsidR="002B3D8A">
        <w:t xml:space="preserve"> gaming operation’s assessable gross</w:t>
      </w:r>
      <w:r w:rsidRPr="00696D7C" w:rsidR="002D0112">
        <w:t xml:space="preserve"> gaming</w:t>
      </w:r>
      <w:r w:rsidRPr="00696D7C" w:rsidR="002B3D8A">
        <w:t xml:space="preserve"> revenues from the </w:t>
      </w:r>
      <w:r w:rsidR="001C4985">
        <w:t>assessed</w:t>
      </w:r>
      <w:r w:rsidRPr="00696D7C" w:rsidR="002B3D8A">
        <w:t xml:space="preserve"> fiscal year</w:t>
      </w:r>
      <w:r w:rsidRPr="00696D7C">
        <w:t>.</w:t>
      </w:r>
      <w:r w:rsidRPr="00696D7C" w:rsidR="002B3D8A">
        <w:t xml:space="preserve"> </w:t>
      </w:r>
      <w:r w:rsidRPr="00696D7C">
        <w:t>If a gaming operation changes its fiscal year, the Commission must ha</w:t>
      </w:r>
      <w:r w:rsidRPr="00696D7C" w:rsidR="00D278E3">
        <w:t>ve up-to-date information on that</w:t>
      </w:r>
      <w:r w:rsidRPr="00696D7C">
        <w:t xml:space="preserve"> </w:t>
      </w:r>
      <w:r w:rsidRPr="00696D7C" w:rsidR="001D4A0C">
        <w:t xml:space="preserve">gaming </w:t>
      </w:r>
      <w:r w:rsidRPr="00696D7C">
        <w:t>operation’s fiscal year</w:t>
      </w:r>
      <w:r w:rsidRPr="00696D7C" w:rsidR="002D0112">
        <w:t xml:space="preserve"> in order to determine the computation of fees </w:t>
      </w:r>
      <w:r w:rsidRPr="00696D7C" w:rsidR="00D278E3">
        <w:t>that are received from</w:t>
      </w:r>
      <w:r w:rsidRPr="00696D7C" w:rsidR="002D0112">
        <w:t xml:space="preserve"> </w:t>
      </w:r>
      <w:r w:rsidRPr="00696D7C" w:rsidR="00D278E3">
        <w:t xml:space="preserve">it. </w:t>
      </w:r>
      <w:r w:rsidR="00D709ED">
        <w:t>A</w:t>
      </w:r>
      <w:r w:rsidRPr="00696D7C" w:rsidR="00D278E3">
        <w:t xml:space="preserve"> notice</w:t>
      </w:r>
      <w:r w:rsidR="00D709ED">
        <w:t xml:space="preserve"> submission</w:t>
      </w:r>
      <w:r w:rsidRPr="00696D7C" w:rsidR="00D278E3">
        <w:t xml:space="preserve"> after a gaming operation has changed its fiscal year</w:t>
      </w:r>
      <w:r w:rsidR="00D709ED">
        <w:t xml:space="preserve"> meets this need</w:t>
      </w:r>
      <w:r w:rsidRPr="00696D7C" w:rsidR="00D278E3">
        <w:t>.</w:t>
      </w:r>
    </w:p>
    <w:p w:rsidRPr="00696D7C" w:rsidR="00221B51" w:rsidP="00B041AE" w:rsidRDefault="001D4A0C">
      <w:pPr>
        <w:pStyle w:val="Default"/>
        <w:spacing w:line="480" w:lineRule="auto"/>
        <w:ind w:firstLine="720"/>
      </w:pPr>
      <w:r w:rsidRPr="00696D7C">
        <w:t>T</w:t>
      </w:r>
      <w:r w:rsidRPr="00696D7C" w:rsidR="007B65E3">
        <w:t xml:space="preserve">he voluntary submission of fingerprint cards </w:t>
      </w:r>
      <w:r w:rsidRPr="00696D7C">
        <w:t xml:space="preserve">to the Commission </w:t>
      </w:r>
      <w:r w:rsidRPr="00696D7C" w:rsidR="007B65E3">
        <w:t xml:space="preserve">allows a tribe to conduct statutorily mandated background investigations on applicants for key employee and primary management official </w:t>
      </w:r>
      <w:r w:rsidRPr="00696D7C">
        <w:t xml:space="preserve">(PMO) </w:t>
      </w:r>
      <w:r w:rsidRPr="00696D7C" w:rsidR="007B65E3">
        <w:t>positions.</w:t>
      </w:r>
      <w:r w:rsidRPr="00696D7C" w:rsidR="001903C3">
        <w:t xml:space="preserve"> </w:t>
      </w:r>
      <w:r w:rsidRPr="00696D7C">
        <w:t>Pursuant to an agreement with the FBI, t</w:t>
      </w:r>
      <w:r w:rsidRPr="00696D7C" w:rsidR="00221B51">
        <w:t xml:space="preserve">ribes submit fingerprint cards to the NIGC and the NIGC forwards them to the FBI for criminal </w:t>
      </w:r>
      <w:r w:rsidRPr="00696D7C" w:rsidR="00221B51">
        <w:lastRenderedPageBreak/>
        <w:t xml:space="preserve">background checks. </w:t>
      </w:r>
      <w:r w:rsidRPr="00696D7C" w:rsidR="001903C3">
        <w:t>The result of the FBI’s review is then communicated to the NIGC, who conveys the results to the tribe that submitted the fingerprint</w:t>
      </w:r>
      <w:r w:rsidRPr="00696D7C">
        <w:t xml:space="preserve"> card</w:t>
      </w:r>
      <w:r w:rsidRPr="00696D7C" w:rsidR="001903C3">
        <w:t xml:space="preserve">s for </w:t>
      </w:r>
      <w:r w:rsidRPr="00696D7C">
        <w:t>processing</w:t>
      </w:r>
      <w:r w:rsidRPr="00696D7C" w:rsidR="001903C3">
        <w:t xml:space="preserve">. The information is used by the tribe or tribal gaming regulatory authority </w:t>
      </w:r>
      <w:r w:rsidRPr="00696D7C" w:rsidR="0011304A">
        <w:t xml:space="preserve">(TGRA) </w:t>
      </w:r>
      <w:r w:rsidRPr="00696D7C" w:rsidR="001903C3">
        <w:t>in deciding whether to grant a gaming license to an applicant</w:t>
      </w:r>
      <w:r w:rsidRPr="00696D7C">
        <w:t xml:space="preserve"> for a key employee or PMO position</w:t>
      </w:r>
      <w:r w:rsidRPr="00696D7C" w:rsidR="001903C3">
        <w:t>. The Act</w:t>
      </w:r>
      <w:r w:rsidRPr="00696D7C" w:rsidR="00221B51">
        <w:t xml:space="preserve"> does not require the NIGC to process fingerprints</w:t>
      </w:r>
      <w:r w:rsidRPr="00696D7C">
        <w:t xml:space="preserve"> cards</w:t>
      </w:r>
      <w:r w:rsidRPr="00696D7C" w:rsidR="00221B51">
        <w:t xml:space="preserve"> and not all tribes utilize the service. The service is charged as a separate fee only to those tribes that utilize the NIGC’s fingerprint</w:t>
      </w:r>
      <w:r w:rsidRPr="00696D7C">
        <w:t xml:space="preserve"> card</w:t>
      </w:r>
      <w:r w:rsidRPr="00696D7C" w:rsidR="00221B51">
        <w:t xml:space="preserve"> processing service. </w:t>
      </w:r>
    </w:p>
    <w:p w:rsidRPr="00696D7C" w:rsidR="00F25105" w:rsidP="00571D58" w:rsidRDefault="00F25105">
      <w:pPr>
        <w:pStyle w:val="Default"/>
        <w:ind w:left="1440" w:hanging="720"/>
      </w:pPr>
      <w:r w:rsidRPr="00696D7C">
        <w:rPr>
          <w:b/>
          <w:bCs/>
        </w:rPr>
        <w:t xml:space="preserve">3. </w:t>
      </w:r>
      <w:r w:rsidRPr="00696D7C" w:rsidR="00571D58">
        <w:rPr>
          <w:b/>
          <w:bCs/>
        </w:rPr>
        <w:tab/>
      </w:r>
      <w:r w:rsidRPr="00696D7C" w:rsidR="005F0CAC">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96D7C">
        <w:rPr>
          <w:b/>
          <w:bCs/>
        </w:rPr>
        <w:t xml:space="preserve"> </w:t>
      </w:r>
    </w:p>
    <w:p w:rsidRPr="00696D7C" w:rsidR="00F25105" w:rsidP="00F25105" w:rsidRDefault="00F25105">
      <w:pPr>
        <w:pStyle w:val="Default"/>
        <w:ind w:firstLine="720"/>
      </w:pPr>
    </w:p>
    <w:p w:rsidRPr="00696D7C" w:rsidR="00F25105" w:rsidP="001903C3" w:rsidRDefault="001903C3">
      <w:pPr>
        <w:pStyle w:val="Default"/>
        <w:spacing w:line="480" w:lineRule="auto"/>
        <w:ind w:firstLine="720"/>
      </w:pPr>
      <w:r w:rsidRPr="00696D7C">
        <w:rPr>
          <w:color w:val="auto"/>
        </w:rPr>
        <w:t xml:space="preserve">Under NIGC regulations, tribes and/or </w:t>
      </w:r>
      <w:r w:rsidRPr="00696D7C" w:rsidR="004E3719">
        <w:rPr>
          <w:color w:val="auto"/>
        </w:rPr>
        <w:t>TGRA</w:t>
      </w:r>
      <w:r w:rsidRPr="00696D7C" w:rsidR="0011304A">
        <w:rPr>
          <w:color w:val="auto"/>
        </w:rPr>
        <w:t>s</w:t>
      </w:r>
      <w:r w:rsidRPr="00696D7C">
        <w:rPr>
          <w:color w:val="auto"/>
        </w:rPr>
        <w:t xml:space="preserve"> can submit information via compatible automated, electronic, and/or mechanical means. </w:t>
      </w:r>
      <w:r w:rsidRPr="00696D7C" w:rsidR="00F25105">
        <w:t>The majority of fingerprint</w:t>
      </w:r>
      <w:r w:rsidRPr="00696D7C">
        <w:t xml:space="preserve"> card</w:t>
      </w:r>
      <w:r w:rsidRPr="00696D7C" w:rsidR="00F25105">
        <w:t xml:space="preserve"> submissions are sent electronically</w:t>
      </w:r>
      <w:r w:rsidRPr="00696D7C">
        <w:t xml:space="preserve"> to the NIGC</w:t>
      </w:r>
      <w:r w:rsidRPr="00696D7C" w:rsidR="00F25105">
        <w:t xml:space="preserve">. </w:t>
      </w:r>
    </w:p>
    <w:p w:rsidRPr="00696D7C" w:rsidR="00F25105" w:rsidP="00571D58" w:rsidRDefault="00F25105">
      <w:pPr>
        <w:pStyle w:val="Default"/>
        <w:ind w:left="1440" w:hanging="720"/>
      </w:pPr>
      <w:r w:rsidRPr="00696D7C">
        <w:rPr>
          <w:b/>
          <w:bCs/>
        </w:rPr>
        <w:t xml:space="preserve">4. </w:t>
      </w:r>
      <w:r w:rsidRPr="00696D7C" w:rsidR="00571D58">
        <w:rPr>
          <w:b/>
          <w:bCs/>
        </w:rPr>
        <w:tab/>
      </w:r>
      <w:r w:rsidRPr="00696D7C" w:rsidR="005F0CAC">
        <w:rPr>
          <w:b/>
          <w:bCs/>
        </w:rPr>
        <w:t>Describe efforts to identify duplication. Show specifically why any similar information already available cannot be used or modified for use for the purposes described in Item 2 above.</w:t>
      </w:r>
      <w:r w:rsidRPr="00696D7C">
        <w:rPr>
          <w:b/>
          <w:bCs/>
        </w:rPr>
        <w:t xml:space="preserve"> </w:t>
      </w:r>
    </w:p>
    <w:p w:rsidRPr="00696D7C" w:rsidR="00F25105" w:rsidP="00F25105" w:rsidRDefault="00F25105">
      <w:pPr>
        <w:pStyle w:val="Default"/>
        <w:ind w:firstLine="720"/>
      </w:pPr>
    </w:p>
    <w:p w:rsidRPr="00696D7C" w:rsidR="001903C3" w:rsidP="001903C3" w:rsidRDefault="001903C3">
      <w:pPr>
        <w:pStyle w:val="Default"/>
        <w:spacing w:line="480" w:lineRule="auto"/>
        <w:ind w:firstLine="720"/>
        <w:rPr>
          <w:color w:val="auto"/>
        </w:rPr>
      </w:pPr>
      <w:r w:rsidRPr="00696D7C">
        <w:rPr>
          <w:color w:val="auto"/>
        </w:rPr>
        <w:t>The required information is unique to each Indian tribe and/or gaming operation. No similar information pertaining to gaming on Indian lands is collected by the Commission or by other federal agencies.</w:t>
      </w:r>
    </w:p>
    <w:p w:rsidRPr="00696D7C" w:rsidR="00F25105" w:rsidP="00571D58" w:rsidRDefault="00F25105">
      <w:pPr>
        <w:pStyle w:val="Default"/>
        <w:ind w:left="1440" w:hanging="720"/>
      </w:pPr>
      <w:r w:rsidRPr="00696D7C">
        <w:rPr>
          <w:b/>
          <w:bCs/>
        </w:rPr>
        <w:t xml:space="preserve">5. </w:t>
      </w:r>
      <w:r w:rsidRPr="00696D7C" w:rsidR="00571D58">
        <w:rPr>
          <w:b/>
          <w:bCs/>
        </w:rPr>
        <w:tab/>
      </w:r>
      <w:r w:rsidRPr="00696D7C" w:rsidR="005F0CAC">
        <w:rPr>
          <w:b/>
          <w:bCs/>
        </w:rPr>
        <w:t>If the collection of information impacts small businesses or other small entities (Item 5 of OMB Form 83-I), describe any methods used to minimize burden.</w:t>
      </w:r>
      <w:r w:rsidRPr="00696D7C">
        <w:rPr>
          <w:b/>
          <w:bCs/>
        </w:rPr>
        <w:t xml:space="preserve"> </w:t>
      </w:r>
    </w:p>
    <w:p w:rsidRPr="00696D7C" w:rsidR="00135F83" w:rsidP="00F25105" w:rsidRDefault="00135F83">
      <w:pPr>
        <w:pStyle w:val="Default"/>
        <w:ind w:left="720"/>
      </w:pPr>
    </w:p>
    <w:p w:rsidRPr="008B3660" w:rsidR="006E6F1B" w:rsidP="006E6F1B" w:rsidRDefault="006E6F1B">
      <w:pPr>
        <w:pStyle w:val="Default"/>
        <w:spacing w:line="480" w:lineRule="auto"/>
        <w:ind w:firstLine="720"/>
        <w:rPr>
          <w:color w:val="auto"/>
        </w:rPr>
      </w:pPr>
      <w:r w:rsidRPr="00D57810">
        <w:rPr>
          <w:color w:val="auto"/>
        </w:rPr>
        <w:t>None of the respondents meet the Small Business Administration’s definition of a small business. Nonetheless, the Commission’s regulations require operations to submit the minimum amount of information that the Commission requires to fulfill its statutory responsibilities. The</w:t>
      </w:r>
      <w:r>
        <w:rPr>
          <w:color w:val="auto"/>
        </w:rPr>
        <w:t xml:space="preserve">se </w:t>
      </w:r>
      <w:r>
        <w:rPr>
          <w:color w:val="auto"/>
        </w:rPr>
        <w:lastRenderedPageBreak/>
        <w:t>requ</w:t>
      </w:r>
      <w:r w:rsidRPr="00D57810">
        <w:rPr>
          <w:color w:val="auto"/>
        </w:rPr>
        <w:t>irements apply to all Indian gaming operations, regardless of size. The burden is directly proportional to the economic activity conducted.</w:t>
      </w:r>
      <w:r w:rsidRPr="008B3660">
        <w:rPr>
          <w:color w:val="auto"/>
        </w:rPr>
        <w:t xml:space="preserve"> </w:t>
      </w:r>
    </w:p>
    <w:p w:rsidRPr="00696D7C" w:rsidR="00135F83" w:rsidP="00F25105" w:rsidRDefault="00135F83">
      <w:pPr>
        <w:pStyle w:val="Default"/>
        <w:ind w:left="360" w:hanging="360"/>
        <w:rPr>
          <w:b/>
          <w:bCs/>
        </w:rPr>
      </w:pPr>
    </w:p>
    <w:p w:rsidRPr="00696D7C" w:rsidR="00F25105" w:rsidP="00571D58" w:rsidRDefault="00F25105">
      <w:pPr>
        <w:pStyle w:val="Default"/>
        <w:ind w:left="1440" w:hanging="720"/>
      </w:pPr>
      <w:r w:rsidRPr="00696D7C">
        <w:rPr>
          <w:b/>
          <w:bCs/>
        </w:rPr>
        <w:t xml:space="preserve">6. </w:t>
      </w:r>
      <w:r w:rsidRPr="00696D7C" w:rsidR="00571D58">
        <w:rPr>
          <w:b/>
          <w:bCs/>
        </w:rPr>
        <w:tab/>
      </w:r>
      <w:r w:rsidRPr="00696D7C" w:rsidR="005F0CAC">
        <w:rPr>
          <w:b/>
          <w:bCs/>
        </w:rPr>
        <w:t>Describe the consequence to Federal program or policy activities if the collection is not conducted or is conducted less frequently, as well as any technical or legal obstacles to reducing burden.</w:t>
      </w:r>
      <w:r w:rsidRPr="00696D7C">
        <w:rPr>
          <w:b/>
          <w:bCs/>
        </w:rPr>
        <w:t xml:space="preserve"> </w:t>
      </w:r>
    </w:p>
    <w:p w:rsidRPr="00696D7C" w:rsidR="00135F83" w:rsidP="00F25105" w:rsidRDefault="00135F83">
      <w:pPr>
        <w:pStyle w:val="Default"/>
        <w:ind w:firstLine="720"/>
      </w:pPr>
    </w:p>
    <w:p w:rsidRPr="00696D7C" w:rsidR="00F25105" w:rsidP="00F96913" w:rsidRDefault="00C64D87">
      <w:pPr>
        <w:pStyle w:val="Default"/>
        <w:spacing w:line="480" w:lineRule="auto"/>
        <w:ind w:firstLine="720"/>
        <w:rPr>
          <w:color w:val="auto"/>
        </w:rPr>
      </w:pPr>
      <w:r w:rsidRPr="00696D7C">
        <w:rPr>
          <w:bCs/>
        </w:rPr>
        <w:t xml:space="preserve">The </w:t>
      </w:r>
      <w:r w:rsidRPr="00696D7C" w:rsidR="00F96913">
        <w:rPr>
          <w:bCs/>
        </w:rPr>
        <w:t xml:space="preserve">quarterly fee </w:t>
      </w:r>
      <w:r w:rsidRPr="00696D7C">
        <w:rPr>
          <w:bCs/>
        </w:rPr>
        <w:t xml:space="preserve">worksheets </w:t>
      </w:r>
      <w:r w:rsidRPr="00696D7C" w:rsidR="00562518">
        <w:t>are used to verify</w:t>
      </w:r>
      <w:r w:rsidRPr="00696D7C">
        <w:t xml:space="preserve"> the computation of fees paid by each gaming operation. </w:t>
      </w:r>
      <w:r w:rsidRPr="00696D7C" w:rsidR="00F25105">
        <w:t xml:space="preserve">The failure to </w:t>
      </w:r>
      <w:r w:rsidRPr="00696D7C" w:rsidR="00F25105">
        <w:rPr>
          <w:color w:val="auto"/>
        </w:rPr>
        <w:t xml:space="preserve">collect </w:t>
      </w:r>
      <w:r w:rsidRPr="00696D7C" w:rsidR="00EC5D81">
        <w:rPr>
          <w:color w:val="auto"/>
        </w:rPr>
        <w:t>this information</w:t>
      </w:r>
      <w:r w:rsidRPr="00696D7C" w:rsidR="00F25105">
        <w:rPr>
          <w:color w:val="auto"/>
        </w:rPr>
        <w:t xml:space="preserve"> would prevent the Commission from making timely adjustment</w:t>
      </w:r>
      <w:r w:rsidRPr="00696D7C" w:rsidR="00A64193">
        <w:rPr>
          <w:color w:val="auto"/>
        </w:rPr>
        <w:t>s</w:t>
      </w:r>
      <w:r w:rsidRPr="00696D7C" w:rsidR="00F25105">
        <w:rPr>
          <w:color w:val="auto"/>
        </w:rPr>
        <w:t xml:space="preserve"> to </w:t>
      </w:r>
      <w:r w:rsidRPr="00696D7C" w:rsidR="00A64193">
        <w:rPr>
          <w:color w:val="auto"/>
        </w:rPr>
        <w:t>its</w:t>
      </w:r>
      <w:r w:rsidRPr="00696D7C" w:rsidR="00F25105">
        <w:rPr>
          <w:color w:val="auto"/>
        </w:rPr>
        <w:t xml:space="preserve"> fee rates</w:t>
      </w:r>
      <w:r w:rsidRPr="00696D7C" w:rsidR="00A64193">
        <w:rPr>
          <w:color w:val="auto"/>
        </w:rPr>
        <w:t>,</w:t>
      </w:r>
      <w:r w:rsidRPr="00696D7C" w:rsidR="00F25105">
        <w:rPr>
          <w:color w:val="auto"/>
        </w:rPr>
        <w:t xml:space="preserve"> and </w:t>
      </w:r>
      <w:r w:rsidRPr="00696D7C" w:rsidR="00EC5D81">
        <w:rPr>
          <w:color w:val="auto"/>
        </w:rPr>
        <w:t xml:space="preserve">could result in depriving </w:t>
      </w:r>
      <w:r w:rsidRPr="00696D7C" w:rsidR="00F25105">
        <w:rPr>
          <w:color w:val="auto"/>
        </w:rPr>
        <w:t>the Commission</w:t>
      </w:r>
      <w:r w:rsidRPr="00696D7C" w:rsidR="00EC5D81">
        <w:rPr>
          <w:color w:val="auto"/>
        </w:rPr>
        <w:t xml:space="preserve"> from having the funding</w:t>
      </w:r>
      <w:r w:rsidRPr="00696D7C" w:rsidR="00F25105">
        <w:rPr>
          <w:color w:val="auto"/>
        </w:rPr>
        <w:t xml:space="preserve"> resources </w:t>
      </w:r>
      <w:r w:rsidRPr="00696D7C" w:rsidR="00562518">
        <w:rPr>
          <w:color w:val="auto"/>
        </w:rPr>
        <w:t>necessary for it to carry out its statutory duties</w:t>
      </w:r>
      <w:r w:rsidRPr="00696D7C" w:rsidR="00F25105">
        <w:rPr>
          <w:color w:val="auto"/>
        </w:rPr>
        <w:t xml:space="preserve">. </w:t>
      </w:r>
    </w:p>
    <w:p w:rsidRPr="00696D7C" w:rsidR="00F96913" w:rsidP="00F96913" w:rsidRDefault="00F96913">
      <w:pPr>
        <w:pStyle w:val="Default"/>
        <w:spacing w:line="480" w:lineRule="auto"/>
        <w:ind w:firstLine="720"/>
        <w:rPr>
          <w:color w:val="auto"/>
        </w:rPr>
      </w:pPr>
      <w:r w:rsidRPr="00696D7C">
        <w:rPr>
          <w:color w:val="auto"/>
        </w:rPr>
        <w:t>Each tribe is required by IGRA to perform a background investigation of any</w:t>
      </w:r>
      <w:r w:rsidRPr="00696D7C" w:rsidR="00562518">
        <w:rPr>
          <w:color w:val="auto"/>
        </w:rPr>
        <w:t xml:space="preserve"> applicant for a</w:t>
      </w:r>
      <w:r w:rsidRPr="00696D7C">
        <w:rPr>
          <w:color w:val="auto"/>
        </w:rPr>
        <w:t xml:space="preserve"> key employee or </w:t>
      </w:r>
      <w:r w:rsidRPr="00696D7C" w:rsidR="00562518">
        <w:rPr>
          <w:color w:val="auto"/>
        </w:rPr>
        <w:t>PMO position (</w:t>
      </w:r>
      <w:r w:rsidRPr="00696D7C">
        <w:rPr>
          <w:color w:val="auto"/>
        </w:rPr>
        <w:t>including a criminal history chec</w:t>
      </w:r>
      <w:r w:rsidRPr="00696D7C" w:rsidR="00562518">
        <w:rPr>
          <w:color w:val="auto"/>
        </w:rPr>
        <w:t>k)</w:t>
      </w:r>
      <w:r w:rsidRPr="00696D7C">
        <w:rPr>
          <w:color w:val="auto"/>
        </w:rPr>
        <w:t xml:space="preserve"> before granting a gaming license. Commission regulations further require</w:t>
      </w:r>
      <w:r w:rsidRPr="00696D7C">
        <w:t xml:space="preserve"> that the criminal history check include a check of criminal history records maintained by the FBI. </w:t>
      </w:r>
      <w:r w:rsidRPr="00696D7C" w:rsidR="00F25105">
        <w:rPr>
          <w:color w:val="auto"/>
        </w:rPr>
        <w:t>The NIGC processes fingerprint cards for tribes as a</w:t>
      </w:r>
      <w:r w:rsidRPr="00696D7C" w:rsidR="00344261">
        <w:rPr>
          <w:color w:val="auto"/>
        </w:rPr>
        <w:t xml:space="preserve"> </w:t>
      </w:r>
      <w:r w:rsidRPr="00696D7C" w:rsidR="00F25105">
        <w:rPr>
          <w:color w:val="auto"/>
        </w:rPr>
        <w:t>service</w:t>
      </w:r>
      <w:r w:rsidRPr="00696D7C" w:rsidR="00344261">
        <w:rPr>
          <w:color w:val="auto"/>
        </w:rPr>
        <w:t xml:space="preserve"> of which tribal gaming operations can voluntarily take advantage</w:t>
      </w:r>
      <w:r w:rsidRPr="00696D7C" w:rsidR="00F25105">
        <w:rPr>
          <w:color w:val="auto"/>
        </w:rPr>
        <w:t xml:space="preserve">. </w:t>
      </w:r>
      <w:r w:rsidRPr="00696D7C">
        <w:rPr>
          <w:color w:val="auto"/>
        </w:rPr>
        <w:t xml:space="preserve">Tribes are not required to submit fingerprint cards to the Commission, but do so voluntarily. </w:t>
      </w:r>
    </w:p>
    <w:p w:rsidR="005F0CAC" w:rsidP="005F0CAC" w:rsidRDefault="00F25105">
      <w:pPr>
        <w:ind w:left="1440" w:hanging="720"/>
        <w:rPr>
          <w:b/>
          <w:bCs/>
          <w:color w:val="000000"/>
        </w:rPr>
      </w:pPr>
      <w:r w:rsidRPr="00696D7C">
        <w:rPr>
          <w:b/>
          <w:bCs/>
        </w:rPr>
        <w:t xml:space="preserve">7. </w:t>
      </w:r>
      <w:r w:rsidRPr="00696D7C" w:rsidR="00571D58">
        <w:rPr>
          <w:b/>
          <w:bCs/>
        </w:rPr>
        <w:tab/>
      </w:r>
      <w:r w:rsidRPr="00696D7C" w:rsidR="005F0CAC">
        <w:rPr>
          <w:b/>
          <w:bCs/>
          <w:color w:val="000000"/>
        </w:rPr>
        <w:t xml:space="preserve">Explain any special circumstances that would cause an information collection to be conducted in a manner: </w:t>
      </w:r>
    </w:p>
    <w:p w:rsidRPr="00696D7C" w:rsidR="003600A8" w:rsidP="005F0CAC" w:rsidRDefault="003600A8">
      <w:pPr>
        <w:ind w:left="1440" w:hanging="720"/>
        <w:rPr>
          <w:b/>
          <w:bCs/>
          <w:color w:val="000000"/>
        </w:rPr>
      </w:pPr>
    </w:p>
    <w:p w:rsidR="005F0CAC" w:rsidP="005F0CAC" w:rsidRDefault="005F0CAC">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requiring respondents to report information to the agency more often than quarterly; </w:t>
      </w:r>
    </w:p>
    <w:p w:rsidRPr="003600A8" w:rsidR="00B4486F" w:rsidP="003600A8" w:rsidRDefault="00B4486F">
      <w:pPr>
        <w:pStyle w:val="Default"/>
        <w:spacing w:line="480" w:lineRule="auto"/>
        <w:ind w:firstLine="720"/>
        <w:rPr>
          <w:color w:val="auto"/>
        </w:rPr>
      </w:pPr>
    </w:p>
    <w:p w:rsidR="00B4486F" w:rsidP="003600A8" w:rsidRDefault="00B4486F">
      <w:pPr>
        <w:pStyle w:val="Default"/>
        <w:spacing w:line="480" w:lineRule="auto"/>
        <w:ind w:firstLine="720"/>
      </w:pPr>
      <w:r w:rsidRPr="00B4486F">
        <w:rPr>
          <w:color w:val="auto"/>
        </w:rPr>
        <w:t>Commission regulations require the submission of fee worksheets on a quarterly basis, and the submission of fiscal year change notices and fingerprint cards as needed, based on a tribe’s own actions.</w:t>
      </w:r>
    </w:p>
    <w:p w:rsidRPr="00696D7C" w:rsidR="00B4486F" w:rsidP="00B4486F" w:rsidRDefault="00B4486F">
      <w:pPr>
        <w:pStyle w:val="ListParagraph"/>
        <w:ind w:left="1800"/>
        <w:rPr>
          <w:rFonts w:ascii="Times New Roman" w:hAnsi="Times New Roman" w:cs="Times New Roman"/>
          <w:b/>
          <w:sz w:val="24"/>
          <w:szCs w:val="24"/>
        </w:rPr>
      </w:pPr>
    </w:p>
    <w:p w:rsidR="005F0CAC" w:rsidP="005F0CAC" w:rsidRDefault="005F0CAC">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requiring respondents to prepare a written response to a collection of information in fewer than 30 days after receipt of it; </w:t>
      </w:r>
    </w:p>
    <w:p w:rsidR="00B4486F" w:rsidP="00B4486F" w:rsidRDefault="00B4486F">
      <w:pPr>
        <w:pStyle w:val="ListParagraph"/>
        <w:ind w:left="1800"/>
        <w:rPr>
          <w:rFonts w:ascii="Times New Roman" w:hAnsi="Times New Roman" w:cs="Times New Roman"/>
          <w:b/>
          <w:sz w:val="24"/>
          <w:szCs w:val="24"/>
        </w:rPr>
      </w:pPr>
    </w:p>
    <w:p w:rsidRPr="00B4486F" w:rsidR="00B4486F" w:rsidP="00B4486F" w:rsidRDefault="00B4486F">
      <w:pPr>
        <w:pStyle w:val="ListParagraph"/>
        <w:ind w:left="1800"/>
        <w:rPr>
          <w:rFonts w:ascii="Times New Roman" w:hAnsi="Times New Roman" w:cs="Times New Roman"/>
          <w:sz w:val="24"/>
          <w:szCs w:val="24"/>
        </w:rPr>
      </w:pPr>
      <w:r w:rsidRPr="00B4486F">
        <w:rPr>
          <w:rFonts w:ascii="Times New Roman" w:hAnsi="Times New Roman" w:cs="Times New Roman"/>
          <w:sz w:val="24"/>
          <w:szCs w:val="24"/>
        </w:rPr>
        <w:lastRenderedPageBreak/>
        <w:t>N/A</w:t>
      </w:r>
    </w:p>
    <w:p w:rsidRPr="00696D7C" w:rsidR="00B4486F" w:rsidP="00B4486F" w:rsidRDefault="00B4486F">
      <w:pPr>
        <w:pStyle w:val="ListParagraph"/>
        <w:ind w:left="1800"/>
        <w:rPr>
          <w:rFonts w:ascii="Times New Roman" w:hAnsi="Times New Roman" w:cs="Times New Roman"/>
          <w:b/>
          <w:sz w:val="24"/>
          <w:szCs w:val="24"/>
        </w:rPr>
      </w:pPr>
    </w:p>
    <w:p w:rsidR="005F0CAC" w:rsidP="005F0CAC" w:rsidRDefault="005F0CAC">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requiring respondents to submit more than an original and two copies of any document; </w:t>
      </w:r>
    </w:p>
    <w:p w:rsidR="00B4486F" w:rsidP="00B4486F" w:rsidRDefault="00B4486F">
      <w:pPr>
        <w:pStyle w:val="ListParagraph"/>
        <w:ind w:left="1800"/>
        <w:rPr>
          <w:rFonts w:ascii="Times New Roman" w:hAnsi="Times New Roman" w:cs="Times New Roman"/>
          <w:b/>
          <w:sz w:val="24"/>
          <w:szCs w:val="24"/>
        </w:rPr>
      </w:pPr>
    </w:p>
    <w:p w:rsidR="00B4486F" w:rsidP="00B4486F" w:rsidRDefault="00B4486F">
      <w:pPr>
        <w:pStyle w:val="ListParagraph"/>
        <w:ind w:left="1800"/>
        <w:rPr>
          <w:rFonts w:ascii="Times New Roman" w:hAnsi="Times New Roman" w:cs="Times New Roman"/>
          <w:sz w:val="24"/>
          <w:szCs w:val="24"/>
        </w:rPr>
      </w:pPr>
      <w:r w:rsidRPr="00B4486F">
        <w:rPr>
          <w:rFonts w:ascii="Times New Roman" w:hAnsi="Times New Roman" w:cs="Times New Roman"/>
          <w:sz w:val="24"/>
          <w:szCs w:val="24"/>
        </w:rPr>
        <w:t>N/A</w:t>
      </w:r>
    </w:p>
    <w:p w:rsidRPr="00696D7C" w:rsidR="00B4486F" w:rsidP="00B4486F" w:rsidRDefault="00B4486F">
      <w:pPr>
        <w:pStyle w:val="ListParagraph"/>
        <w:ind w:left="1800"/>
        <w:rPr>
          <w:rFonts w:ascii="Times New Roman" w:hAnsi="Times New Roman" w:cs="Times New Roman"/>
          <w:b/>
          <w:sz w:val="24"/>
          <w:szCs w:val="24"/>
        </w:rPr>
      </w:pPr>
    </w:p>
    <w:p w:rsidR="005F0CAC" w:rsidP="005F0CAC" w:rsidRDefault="005F0CAC">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00B4486F" w:rsidP="00B4486F" w:rsidRDefault="00B4486F">
      <w:pPr>
        <w:pStyle w:val="ListParagraph"/>
        <w:ind w:left="1800"/>
        <w:rPr>
          <w:rFonts w:ascii="Times New Roman" w:hAnsi="Times New Roman" w:cs="Times New Roman"/>
          <w:b/>
          <w:sz w:val="24"/>
          <w:szCs w:val="24"/>
        </w:rPr>
      </w:pPr>
    </w:p>
    <w:p w:rsidR="00B4486F" w:rsidP="00B4486F" w:rsidRDefault="00B4486F">
      <w:pPr>
        <w:pStyle w:val="ListParagraph"/>
        <w:ind w:left="1800"/>
        <w:rPr>
          <w:rFonts w:ascii="Times New Roman" w:hAnsi="Times New Roman" w:cs="Times New Roman"/>
          <w:sz w:val="24"/>
          <w:szCs w:val="24"/>
        </w:rPr>
      </w:pPr>
      <w:r w:rsidRPr="00B4486F">
        <w:rPr>
          <w:rFonts w:ascii="Times New Roman" w:hAnsi="Times New Roman" w:cs="Times New Roman"/>
          <w:sz w:val="24"/>
          <w:szCs w:val="24"/>
        </w:rPr>
        <w:t>N/A</w:t>
      </w:r>
    </w:p>
    <w:p w:rsidRPr="00696D7C" w:rsidR="00B4486F" w:rsidP="00B4486F" w:rsidRDefault="00B4486F">
      <w:pPr>
        <w:pStyle w:val="ListParagraph"/>
        <w:ind w:left="1800"/>
        <w:rPr>
          <w:rFonts w:ascii="Times New Roman" w:hAnsi="Times New Roman" w:cs="Times New Roman"/>
          <w:b/>
          <w:sz w:val="24"/>
          <w:szCs w:val="24"/>
        </w:rPr>
      </w:pPr>
    </w:p>
    <w:p w:rsidR="005F0CAC" w:rsidP="005F0CAC" w:rsidRDefault="005F0CAC">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in connection with a statistical survey, that is not designed to produce valid and reliable results that can be generalized to the universe of study; </w:t>
      </w:r>
    </w:p>
    <w:p w:rsidR="003600A8" w:rsidP="003600A8" w:rsidRDefault="003600A8">
      <w:pPr>
        <w:pStyle w:val="ListParagraph"/>
        <w:ind w:left="1800"/>
        <w:rPr>
          <w:rFonts w:ascii="Times New Roman" w:hAnsi="Times New Roman" w:cs="Times New Roman"/>
          <w:b/>
          <w:sz w:val="24"/>
          <w:szCs w:val="24"/>
        </w:rPr>
      </w:pPr>
    </w:p>
    <w:p w:rsidR="003600A8" w:rsidP="003600A8" w:rsidRDefault="003600A8">
      <w:pPr>
        <w:pStyle w:val="ListParagraph"/>
        <w:ind w:left="1800"/>
        <w:rPr>
          <w:rFonts w:ascii="Times New Roman" w:hAnsi="Times New Roman" w:cs="Times New Roman"/>
          <w:sz w:val="24"/>
          <w:szCs w:val="24"/>
        </w:rPr>
      </w:pPr>
      <w:r w:rsidRPr="00B4486F">
        <w:rPr>
          <w:rFonts w:ascii="Times New Roman" w:hAnsi="Times New Roman" w:cs="Times New Roman"/>
          <w:sz w:val="24"/>
          <w:szCs w:val="24"/>
        </w:rPr>
        <w:t>N/A</w:t>
      </w:r>
    </w:p>
    <w:p w:rsidRPr="00696D7C" w:rsidR="003600A8" w:rsidP="003600A8" w:rsidRDefault="003600A8">
      <w:pPr>
        <w:pStyle w:val="ListParagraph"/>
        <w:ind w:left="1800"/>
        <w:rPr>
          <w:rFonts w:ascii="Times New Roman" w:hAnsi="Times New Roman" w:cs="Times New Roman"/>
          <w:b/>
          <w:sz w:val="24"/>
          <w:szCs w:val="24"/>
        </w:rPr>
      </w:pPr>
    </w:p>
    <w:p w:rsidR="005F0CAC" w:rsidP="005F0CAC" w:rsidRDefault="005F0CAC">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requiring the use of a statistical data classification that has not been reviewed and approved by OMB; </w:t>
      </w:r>
    </w:p>
    <w:p w:rsidR="003600A8" w:rsidP="003600A8" w:rsidRDefault="003600A8">
      <w:pPr>
        <w:pStyle w:val="ListParagraph"/>
        <w:ind w:left="1800"/>
        <w:rPr>
          <w:rFonts w:ascii="Times New Roman" w:hAnsi="Times New Roman" w:cs="Times New Roman"/>
          <w:b/>
          <w:sz w:val="24"/>
          <w:szCs w:val="24"/>
        </w:rPr>
      </w:pPr>
    </w:p>
    <w:p w:rsidR="003600A8" w:rsidP="003600A8" w:rsidRDefault="003600A8">
      <w:pPr>
        <w:pStyle w:val="ListParagraph"/>
        <w:ind w:left="1800"/>
        <w:rPr>
          <w:rFonts w:ascii="Times New Roman" w:hAnsi="Times New Roman" w:cs="Times New Roman"/>
          <w:sz w:val="24"/>
          <w:szCs w:val="24"/>
        </w:rPr>
      </w:pPr>
      <w:r w:rsidRPr="00B4486F">
        <w:rPr>
          <w:rFonts w:ascii="Times New Roman" w:hAnsi="Times New Roman" w:cs="Times New Roman"/>
          <w:sz w:val="24"/>
          <w:szCs w:val="24"/>
        </w:rPr>
        <w:t>N/A</w:t>
      </w:r>
    </w:p>
    <w:p w:rsidRPr="00696D7C" w:rsidR="003600A8" w:rsidP="003600A8" w:rsidRDefault="003600A8">
      <w:pPr>
        <w:pStyle w:val="ListParagraph"/>
        <w:ind w:left="1800"/>
        <w:rPr>
          <w:rFonts w:ascii="Times New Roman" w:hAnsi="Times New Roman" w:cs="Times New Roman"/>
          <w:b/>
          <w:sz w:val="24"/>
          <w:szCs w:val="24"/>
        </w:rPr>
      </w:pPr>
    </w:p>
    <w:p w:rsidR="005F0CAC" w:rsidP="005F0CAC" w:rsidRDefault="005F0CAC">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600A8" w:rsidP="003600A8" w:rsidRDefault="003600A8">
      <w:pPr>
        <w:pStyle w:val="ListParagraph"/>
        <w:ind w:left="1800"/>
        <w:rPr>
          <w:rFonts w:ascii="Times New Roman" w:hAnsi="Times New Roman" w:cs="Times New Roman"/>
          <w:b/>
          <w:sz w:val="24"/>
          <w:szCs w:val="24"/>
        </w:rPr>
      </w:pPr>
    </w:p>
    <w:p w:rsidR="003600A8" w:rsidP="003600A8" w:rsidRDefault="003600A8">
      <w:pPr>
        <w:pStyle w:val="ListParagraph"/>
        <w:ind w:left="1800"/>
        <w:rPr>
          <w:rFonts w:ascii="Times New Roman" w:hAnsi="Times New Roman" w:cs="Times New Roman"/>
          <w:sz w:val="24"/>
          <w:szCs w:val="24"/>
        </w:rPr>
      </w:pPr>
      <w:r w:rsidRPr="00B4486F">
        <w:rPr>
          <w:rFonts w:ascii="Times New Roman" w:hAnsi="Times New Roman" w:cs="Times New Roman"/>
          <w:sz w:val="24"/>
          <w:szCs w:val="24"/>
        </w:rPr>
        <w:t>N/A</w:t>
      </w:r>
    </w:p>
    <w:p w:rsidRPr="00696D7C" w:rsidR="003600A8" w:rsidP="003600A8" w:rsidRDefault="003600A8">
      <w:pPr>
        <w:pStyle w:val="ListParagraph"/>
        <w:ind w:left="1800"/>
        <w:rPr>
          <w:rFonts w:ascii="Times New Roman" w:hAnsi="Times New Roman" w:cs="Times New Roman"/>
          <w:b/>
          <w:sz w:val="24"/>
          <w:szCs w:val="24"/>
        </w:rPr>
      </w:pPr>
    </w:p>
    <w:p w:rsidRPr="00696D7C" w:rsidR="00F25105" w:rsidP="005F0CAC" w:rsidRDefault="005F0CAC">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696D7C" w:rsidR="00F25105">
        <w:rPr>
          <w:rFonts w:ascii="Times New Roman" w:hAnsi="Times New Roman" w:cs="Times New Roman"/>
          <w:b/>
          <w:bCs/>
          <w:sz w:val="24"/>
          <w:szCs w:val="24"/>
        </w:rPr>
        <w:t xml:space="preserve"> </w:t>
      </w:r>
    </w:p>
    <w:p w:rsidRPr="00696D7C" w:rsidR="00F25105" w:rsidP="00F25105" w:rsidRDefault="00F25105">
      <w:pPr>
        <w:pStyle w:val="Default"/>
        <w:rPr>
          <w:color w:val="auto"/>
        </w:rPr>
      </w:pPr>
    </w:p>
    <w:p w:rsidRPr="00696D7C" w:rsidR="00F25105" w:rsidP="00F96913" w:rsidRDefault="00F96913">
      <w:pPr>
        <w:pStyle w:val="Default"/>
        <w:spacing w:line="480" w:lineRule="auto"/>
        <w:ind w:firstLine="720"/>
        <w:rPr>
          <w:color w:val="auto"/>
        </w:rPr>
      </w:pPr>
      <w:r w:rsidRPr="00696D7C">
        <w:rPr>
          <w:color w:val="auto"/>
        </w:rPr>
        <w:t xml:space="preserve">The Act requires the Commission to ensure that tribes are the primary beneficiaries of their gaming operations </w:t>
      </w:r>
      <w:r w:rsidRPr="008B3660" w:rsidR="00451F83">
        <w:t xml:space="preserve">and </w:t>
      </w:r>
      <w:r w:rsidRPr="00297673" w:rsidR="00451F83">
        <w:t>to protect such gaming as a means of generating tribal revenue</w:t>
      </w:r>
      <w:r w:rsidRPr="00696D7C">
        <w:rPr>
          <w:color w:val="auto"/>
        </w:rPr>
        <w:t>. 25 U.S.C. 2703. To that end,</w:t>
      </w:r>
      <w:r w:rsidRPr="00696D7C" w:rsidR="00743FBF">
        <w:rPr>
          <w:color w:val="auto"/>
        </w:rPr>
        <w:t xml:space="preserve"> </w:t>
      </w:r>
      <w:r w:rsidRPr="00696D7C" w:rsidR="00562518">
        <w:rPr>
          <w:color w:val="auto"/>
        </w:rPr>
        <w:t>Commission</w:t>
      </w:r>
      <w:r w:rsidRPr="00696D7C" w:rsidR="00743FBF">
        <w:rPr>
          <w:color w:val="auto"/>
        </w:rPr>
        <w:t xml:space="preserve"> regulations require tribes to submit their assessable gross </w:t>
      </w:r>
      <w:r w:rsidRPr="00696D7C" w:rsidR="00562518">
        <w:rPr>
          <w:color w:val="auto"/>
        </w:rPr>
        <w:t xml:space="preserve">gaming </w:t>
      </w:r>
      <w:r w:rsidRPr="00696D7C" w:rsidR="00743FBF">
        <w:rPr>
          <w:color w:val="auto"/>
        </w:rPr>
        <w:t>revenue numbers, which the Commission treats as confidential information.</w:t>
      </w:r>
      <w:r w:rsidRPr="00696D7C">
        <w:rPr>
          <w:color w:val="auto"/>
        </w:rPr>
        <w:t xml:space="preserve"> </w:t>
      </w:r>
      <w:r w:rsidRPr="00696D7C" w:rsidR="00C87900">
        <w:rPr>
          <w:color w:val="auto"/>
        </w:rPr>
        <w:t>The Act</w:t>
      </w:r>
      <w:r w:rsidRPr="00696D7C" w:rsidR="00740C25">
        <w:rPr>
          <w:color w:val="auto"/>
        </w:rPr>
        <w:t xml:space="preserve"> requires tribes to </w:t>
      </w:r>
      <w:r w:rsidRPr="00696D7C">
        <w:rPr>
          <w:color w:val="auto"/>
        </w:rPr>
        <w:t xml:space="preserve">conduct background investigations </w:t>
      </w:r>
      <w:r w:rsidRPr="00696D7C" w:rsidR="00562518">
        <w:rPr>
          <w:color w:val="auto"/>
        </w:rPr>
        <w:t xml:space="preserve">of applicants </w:t>
      </w:r>
      <w:r w:rsidRPr="00696D7C" w:rsidR="00740C25">
        <w:rPr>
          <w:color w:val="auto"/>
        </w:rPr>
        <w:t xml:space="preserve">for key employee and PMO </w:t>
      </w:r>
      <w:r w:rsidRPr="00696D7C" w:rsidR="00740C25">
        <w:rPr>
          <w:color w:val="auto"/>
        </w:rPr>
        <w:lastRenderedPageBreak/>
        <w:t xml:space="preserve">positions. The Commission and the FBI offer this fingerprint card processing service to tribes to facilitate a background investigation into an individual’s criminal history. </w:t>
      </w:r>
      <w:r w:rsidRPr="00696D7C">
        <w:rPr>
          <w:color w:val="auto"/>
        </w:rPr>
        <w:t xml:space="preserve">This requires the submission of information </w:t>
      </w:r>
      <w:r w:rsidRPr="00696D7C" w:rsidR="00C87900">
        <w:rPr>
          <w:color w:val="auto"/>
        </w:rPr>
        <w:t>(fingerprints)</w:t>
      </w:r>
      <w:r w:rsidRPr="00696D7C">
        <w:rPr>
          <w:color w:val="auto"/>
        </w:rPr>
        <w:t xml:space="preserve"> that can be considered privileged or confidential in nature. The Act removes from the Commission any discretion that it would otherwise have to disclose such information that falls within FOIA exemptions 4 and 7, and requires the Commission to disclose such information only to other law enforcement agencies for law enforcement purposes. 25 U.S.C. 2716.</w:t>
      </w:r>
    </w:p>
    <w:p w:rsidRPr="00696D7C" w:rsidR="005F0CAC" w:rsidP="005F0CAC" w:rsidRDefault="00F25105">
      <w:pPr>
        <w:ind w:left="1440" w:hanging="720"/>
        <w:rPr>
          <w:b/>
          <w:bCs/>
          <w:color w:val="000000"/>
        </w:rPr>
      </w:pPr>
      <w:r w:rsidRPr="00696D7C">
        <w:rPr>
          <w:b/>
          <w:bCs/>
        </w:rPr>
        <w:t xml:space="preserve">8. </w:t>
      </w:r>
      <w:r w:rsidRPr="00696D7C" w:rsidR="00571D58">
        <w:rPr>
          <w:b/>
          <w:bCs/>
        </w:rPr>
        <w:tab/>
      </w:r>
      <w:r w:rsidRPr="00696D7C" w:rsidR="005F0CAC">
        <w:rPr>
          <w:b/>
          <w:bCs/>
          <w:color w:val="00000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96D7C" w:rsidR="005F0CAC" w:rsidP="005F0CAC" w:rsidRDefault="005F0CAC">
      <w:pPr>
        <w:ind w:left="1440" w:hanging="720"/>
        <w:rPr>
          <w:b/>
          <w:bCs/>
          <w:color w:val="000000"/>
        </w:rPr>
      </w:pPr>
    </w:p>
    <w:p w:rsidRPr="00696D7C" w:rsidR="005F0CAC" w:rsidP="005F0CAC" w:rsidRDefault="005F0CAC">
      <w:pPr>
        <w:ind w:left="1440"/>
        <w:rPr>
          <w:b/>
          <w:bCs/>
          <w:color w:val="000000"/>
        </w:rPr>
      </w:pPr>
      <w:r w:rsidRPr="00696D7C">
        <w:rPr>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696D7C" w:rsidR="005F0CAC" w:rsidP="005F0CAC" w:rsidRDefault="005F0CAC">
      <w:pPr>
        <w:ind w:left="1440" w:hanging="720"/>
        <w:rPr>
          <w:b/>
          <w:bCs/>
          <w:color w:val="000000"/>
        </w:rPr>
      </w:pPr>
    </w:p>
    <w:p w:rsidRPr="00696D7C" w:rsidR="00F25105" w:rsidP="005F0CAC" w:rsidRDefault="005F0CAC">
      <w:pPr>
        <w:pStyle w:val="Default"/>
        <w:ind w:left="1440"/>
        <w:rPr>
          <w:b/>
          <w:bCs/>
          <w:color w:val="auto"/>
        </w:rPr>
      </w:pPr>
      <w:r w:rsidRPr="00696D7C">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696D7C" w:rsidR="00F25105">
        <w:rPr>
          <w:b/>
          <w:bCs/>
          <w:color w:val="auto"/>
        </w:rPr>
        <w:t xml:space="preserve"> </w:t>
      </w:r>
    </w:p>
    <w:p w:rsidRPr="00696D7C" w:rsidR="00135F83" w:rsidP="00F25105" w:rsidRDefault="00135F83">
      <w:pPr>
        <w:pStyle w:val="Default"/>
        <w:ind w:left="360" w:hanging="360"/>
        <w:rPr>
          <w:color w:val="auto"/>
        </w:rPr>
      </w:pPr>
    </w:p>
    <w:p w:rsidRPr="00696D7C" w:rsidR="001F30BF" w:rsidP="001F30BF" w:rsidRDefault="001F30BF">
      <w:pPr>
        <w:pStyle w:val="Default"/>
        <w:spacing w:line="480" w:lineRule="auto"/>
        <w:ind w:firstLine="720"/>
        <w:rPr>
          <w:color w:val="auto"/>
        </w:rPr>
      </w:pPr>
      <w:r w:rsidRPr="00696D7C">
        <w:rPr>
          <w:color w:val="auto"/>
        </w:rPr>
        <w:t xml:space="preserve">On </w:t>
      </w:r>
      <w:r w:rsidR="00792D04">
        <w:rPr>
          <w:color w:val="auto"/>
        </w:rPr>
        <w:t>March 29, 2022</w:t>
      </w:r>
      <w:r w:rsidRPr="00B23334">
        <w:rPr>
          <w:color w:val="auto"/>
        </w:rPr>
        <w:t>,</w:t>
      </w:r>
      <w:r w:rsidRPr="00696D7C">
        <w:rPr>
          <w:color w:val="auto"/>
        </w:rPr>
        <w:t xml:space="preserve"> a </w:t>
      </w:r>
      <w:r w:rsidRPr="00696D7C" w:rsidR="00F30A92">
        <w:rPr>
          <w:color w:val="auto"/>
        </w:rPr>
        <w:t xml:space="preserve">60-day </w:t>
      </w:r>
      <w:r w:rsidRPr="00696D7C">
        <w:rPr>
          <w:color w:val="auto"/>
        </w:rPr>
        <w:t>notice contai</w:t>
      </w:r>
      <w:r w:rsidRPr="00696D7C" w:rsidR="009F3336">
        <w:rPr>
          <w:color w:val="auto"/>
        </w:rPr>
        <w:t>ning the information collection</w:t>
      </w:r>
      <w:r w:rsidRPr="00696D7C">
        <w:rPr>
          <w:color w:val="auto"/>
        </w:rPr>
        <w:t xml:space="preserve"> requirement</w:t>
      </w:r>
      <w:r w:rsidRPr="00696D7C" w:rsidR="009F3336">
        <w:rPr>
          <w:color w:val="auto"/>
        </w:rPr>
        <w:t>s</w:t>
      </w:r>
      <w:r w:rsidRPr="00696D7C">
        <w:rPr>
          <w:color w:val="auto"/>
        </w:rPr>
        <w:t xml:space="preserve"> was published in the Federal Register allowing the public an opportunity to comment on the requirements. </w:t>
      </w:r>
      <w:r w:rsidRPr="00696D7C" w:rsidR="00F30A92">
        <w:rPr>
          <w:i/>
          <w:color w:val="auto"/>
        </w:rPr>
        <w:t xml:space="preserve">See </w:t>
      </w:r>
      <w:r w:rsidR="006361A6">
        <w:rPr>
          <w:color w:val="auto"/>
        </w:rPr>
        <w:t>87 FR 18033</w:t>
      </w:r>
      <w:r w:rsidR="00C10F86">
        <w:rPr>
          <w:color w:val="auto"/>
        </w:rPr>
        <w:t xml:space="preserve"> (</w:t>
      </w:r>
      <w:r w:rsidR="006361A6">
        <w:rPr>
          <w:color w:val="auto"/>
        </w:rPr>
        <w:t>March 29, 2022</w:t>
      </w:r>
      <w:r w:rsidRPr="008974BC" w:rsidR="00B23334">
        <w:rPr>
          <w:color w:val="auto"/>
        </w:rPr>
        <w:t xml:space="preserve">). </w:t>
      </w:r>
      <w:r w:rsidRPr="00696D7C">
        <w:rPr>
          <w:color w:val="auto"/>
        </w:rPr>
        <w:t>The public comment period closed o</w:t>
      </w:r>
      <w:r w:rsidRPr="00B23334">
        <w:rPr>
          <w:color w:val="auto"/>
        </w:rPr>
        <w:t xml:space="preserve">n </w:t>
      </w:r>
      <w:r w:rsidR="006361A6">
        <w:rPr>
          <w:color w:val="auto"/>
        </w:rPr>
        <w:t>May 31, 2022</w:t>
      </w:r>
      <w:r w:rsidRPr="00B23334">
        <w:rPr>
          <w:color w:val="auto"/>
        </w:rPr>
        <w:t>.</w:t>
      </w:r>
      <w:r w:rsidRPr="00696D7C">
        <w:rPr>
          <w:color w:val="auto"/>
        </w:rPr>
        <w:t xml:space="preserve"> No public comments were received.</w:t>
      </w:r>
    </w:p>
    <w:p w:rsidRPr="00696D7C" w:rsidR="00F25105" w:rsidP="001F30BF" w:rsidRDefault="001F30BF">
      <w:pPr>
        <w:pStyle w:val="Default"/>
        <w:spacing w:line="480" w:lineRule="auto"/>
        <w:ind w:firstLine="720"/>
        <w:rPr>
          <w:color w:val="auto"/>
        </w:rPr>
      </w:pPr>
      <w:r w:rsidRPr="00696D7C">
        <w:t xml:space="preserve">In addition, the Commission </w:t>
      </w:r>
      <w:r w:rsidR="00007BCF">
        <w:t xml:space="preserve">consulted with </w:t>
      </w:r>
      <w:r w:rsidR="009A196D">
        <w:t xml:space="preserve">various </w:t>
      </w:r>
      <w:r w:rsidRPr="00696D7C">
        <w:t xml:space="preserve">tribal gaming operators and/or </w:t>
      </w:r>
      <w:r w:rsidRPr="00696D7C" w:rsidR="00C87EB1">
        <w:t>TGRA</w:t>
      </w:r>
      <w:r w:rsidRPr="00696D7C">
        <w:t xml:space="preserve">s regarding the submission requirements contained in its regulations. The Commission asked the tribal gaming operators and/or </w:t>
      </w:r>
      <w:r w:rsidRPr="00696D7C" w:rsidR="00C87EB1">
        <w:t>TGRA</w:t>
      </w:r>
      <w:r w:rsidRPr="00696D7C" w:rsidR="00902EF3">
        <w:t>s</w:t>
      </w:r>
      <w:r w:rsidRPr="00696D7C">
        <w:t xml:space="preserve"> to provide annual hourly estimates required to </w:t>
      </w:r>
      <w:r w:rsidRPr="00696D7C">
        <w:lastRenderedPageBreak/>
        <w:t xml:space="preserve">perform </w:t>
      </w:r>
      <w:r w:rsidRPr="00696D7C" w:rsidR="007337FD">
        <w:t>each of the activities</w:t>
      </w:r>
      <w:r w:rsidRPr="00696D7C">
        <w:t xml:space="preserve">, as well as any cost estimates. The Commission has adjusted </w:t>
      </w:r>
      <w:r w:rsidR="0037534D">
        <w:t>the</w:t>
      </w:r>
      <w:r w:rsidRPr="00696D7C">
        <w:t xml:space="preserve"> previous estimates accordingly.</w:t>
      </w:r>
      <w:r w:rsidRPr="00696D7C" w:rsidR="00F25105">
        <w:rPr>
          <w:color w:val="auto"/>
        </w:rPr>
        <w:t xml:space="preserve"> </w:t>
      </w:r>
    </w:p>
    <w:p w:rsidRPr="00696D7C" w:rsidR="00F25105" w:rsidP="00C02AF6" w:rsidRDefault="00F25105">
      <w:pPr>
        <w:pStyle w:val="Default"/>
        <w:ind w:left="1440" w:hanging="720"/>
        <w:rPr>
          <w:color w:val="auto"/>
        </w:rPr>
      </w:pPr>
      <w:r w:rsidRPr="00696D7C">
        <w:rPr>
          <w:b/>
          <w:bCs/>
          <w:color w:val="auto"/>
        </w:rPr>
        <w:t xml:space="preserve">9. </w:t>
      </w:r>
      <w:r w:rsidRPr="00696D7C" w:rsidR="00C02AF6">
        <w:rPr>
          <w:b/>
          <w:bCs/>
          <w:color w:val="auto"/>
        </w:rPr>
        <w:tab/>
      </w:r>
      <w:r w:rsidRPr="00696D7C" w:rsidR="005F0CAC">
        <w:rPr>
          <w:b/>
          <w:bCs/>
        </w:rPr>
        <w:t>Explain any decision to provide any payment or gift to respondents, other than rem</w:t>
      </w:r>
      <w:r w:rsidRPr="00696D7C" w:rsidR="00180FE8">
        <w:rPr>
          <w:b/>
          <w:bCs/>
        </w:rPr>
        <w:t>un</w:t>
      </w:r>
      <w:r w:rsidRPr="00696D7C" w:rsidR="005F0CAC">
        <w:rPr>
          <w:b/>
          <w:bCs/>
        </w:rPr>
        <w:t>eration of contractors or grantees.</w:t>
      </w:r>
      <w:r w:rsidRPr="00696D7C">
        <w:rPr>
          <w:b/>
          <w:bCs/>
          <w:color w:val="auto"/>
        </w:rPr>
        <w:t xml:space="preserve"> </w:t>
      </w:r>
    </w:p>
    <w:p w:rsidRPr="00696D7C" w:rsidR="00135F83" w:rsidP="00F25105" w:rsidRDefault="00135F83">
      <w:pPr>
        <w:pStyle w:val="Default"/>
        <w:ind w:firstLine="720"/>
        <w:rPr>
          <w:color w:val="auto"/>
        </w:rPr>
      </w:pPr>
    </w:p>
    <w:p w:rsidRPr="00696D7C" w:rsidR="00F25105" w:rsidP="00F25105" w:rsidRDefault="00F25105">
      <w:pPr>
        <w:pStyle w:val="Default"/>
        <w:ind w:firstLine="720"/>
        <w:rPr>
          <w:color w:val="auto"/>
        </w:rPr>
      </w:pPr>
      <w:r w:rsidRPr="00696D7C">
        <w:rPr>
          <w:color w:val="auto"/>
        </w:rPr>
        <w:t xml:space="preserve">Not applicable. The Commission does not provide any payment or gifts to respondents. </w:t>
      </w:r>
    </w:p>
    <w:p w:rsidRPr="00696D7C" w:rsidR="00135F83" w:rsidP="00F25105" w:rsidRDefault="00135F83">
      <w:pPr>
        <w:pStyle w:val="Default"/>
        <w:ind w:left="360" w:hanging="360"/>
        <w:rPr>
          <w:b/>
          <w:bCs/>
          <w:color w:val="auto"/>
        </w:rPr>
      </w:pPr>
    </w:p>
    <w:p w:rsidRPr="00696D7C" w:rsidR="00F25105" w:rsidP="00C02AF6" w:rsidRDefault="00F25105">
      <w:pPr>
        <w:pStyle w:val="Default"/>
        <w:ind w:left="1440" w:hanging="720"/>
        <w:rPr>
          <w:color w:val="auto"/>
        </w:rPr>
      </w:pPr>
      <w:r w:rsidRPr="00696D7C">
        <w:rPr>
          <w:b/>
          <w:bCs/>
          <w:color w:val="auto"/>
        </w:rPr>
        <w:t xml:space="preserve">10. </w:t>
      </w:r>
      <w:r w:rsidRPr="00696D7C" w:rsidR="00C02AF6">
        <w:rPr>
          <w:b/>
          <w:bCs/>
          <w:color w:val="auto"/>
        </w:rPr>
        <w:tab/>
      </w:r>
      <w:r w:rsidRPr="00696D7C" w:rsidR="005F0CAC">
        <w:rPr>
          <w:b/>
          <w:bCs/>
        </w:rPr>
        <w:t>Describe any assurance of confidentiality provided to respondents and the basis for the assurance in statute, regulation, or agency policy.</w:t>
      </w:r>
      <w:r w:rsidRPr="00696D7C">
        <w:rPr>
          <w:b/>
          <w:bCs/>
          <w:color w:val="auto"/>
        </w:rPr>
        <w:t xml:space="preserve"> </w:t>
      </w:r>
    </w:p>
    <w:p w:rsidRPr="00696D7C" w:rsidR="00135F83" w:rsidP="00F25105" w:rsidRDefault="00135F83">
      <w:pPr>
        <w:pStyle w:val="Default"/>
        <w:ind w:firstLine="720"/>
        <w:rPr>
          <w:color w:val="auto"/>
        </w:rPr>
      </w:pPr>
    </w:p>
    <w:p w:rsidRPr="00696D7C" w:rsidR="00135F83" w:rsidP="00902EF3" w:rsidRDefault="00902EF3">
      <w:pPr>
        <w:pStyle w:val="Default"/>
        <w:spacing w:line="480" w:lineRule="auto"/>
        <w:ind w:firstLine="720"/>
        <w:rPr>
          <w:b/>
          <w:bCs/>
          <w:color w:val="auto"/>
        </w:rPr>
      </w:pPr>
      <w:r w:rsidRPr="00696D7C">
        <w:rPr>
          <w:color w:val="auto"/>
        </w:rPr>
        <w:t xml:space="preserve">The Act mandates the Commission to preserve any and all information received pursuant to IGRA as </w:t>
      </w:r>
      <w:r w:rsidRPr="00696D7C">
        <w:t>confidential</w:t>
      </w:r>
      <w:r w:rsidRPr="00696D7C">
        <w:rPr>
          <w:color w:val="auto"/>
        </w:rPr>
        <w:t xml:space="preserve"> and removes from the Commission any discretion that it would </w:t>
      </w:r>
      <w:r w:rsidR="00B23334">
        <w:rPr>
          <w:color w:val="auto"/>
        </w:rPr>
        <w:t>o</w:t>
      </w:r>
      <w:r w:rsidRPr="00696D7C">
        <w:rPr>
          <w:color w:val="auto"/>
        </w:rPr>
        <w:t>therwise have to disclose any information that falls within FOIA exemptions 4 and 7. 25 U.S.C. 2716(a). The Commission may disclose such information only to other law enforcement agencies for law enforcement purposes. 25 U.S.C. 2716(b).</w:t>
      </w:r>
    </w:p>
    <w:p w:rsidRPr="00696D7C" w:rsidR="00F25105" w:rsidP="00C02AF6" w:rsidRDefault="00F25105">
      <w:pPr>
        <w:pStyle w:val="Default"/>
        <w:ind w:left="1440" w:hanging="720"/>
        <w:rPr>
          <w:color w:val="auto"/>
        </w:rPr>
      </w:pPr>
      <w:r w:rsidRPr="00696D7C">
        <w:rPr>
          <w:b/>
          <w:bCs/>
          <w:color w:val="auto"/>
        </w:rPr>
        <w:t xml:space="preserve">11. </w:t>
      </w:r>
      <w:r w:rsidRPr="00696D7C" w:rsidR="00C02AF6">
        <w:rPr>
          <w:b/>
          <w:bCs/>
          <w:color w:val="auto"/>
        </w:rPr>
        <w:tab/>
      </w:r>
      <w:r w:rsidRPr="00696D7C" w:rsidR="005F0CAC">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96D7C">
        <w:rPr>
          <w:b/>
          <w:bCs/>
          <w:color w:val="auto"/>
        </w:rPr>
        <w:t xml:space="preserve"> </w:t>
      </w:r>
    </w:p>
    <w:p w:rsidRPr="00696D7C" w:rsidR="00135F83" w:rsidP="00F25105" w:rsidRDefault="00135F83">
      <w:pPr>
        <w:pStyle w:val="Default"/>
        <w:ind w:left="720"/>
        <w:rPr>
          <w:color w:val="auto"/>
        </w:rPr>
      </w:pPr>
    </w:p>
    <w:p w:rsidRPr="00696D7C" w:rsidR="00F25105" w:rsidP="00F25105" w:rsidRDefault="00F25105">
      <w:pPr>
        <w:pStyle w:val="Default"/>
        <w:ind w:left="720"/>
        <w:rPr>
          <w:color w:val="auto"/>
        </w:rPr>
      </w:pPr>
      <w:r w:rsidRPr="00696D7C">
        <w:rPr>
          <w:color w:val="auto"/>
        </w:rPr>
        <w:t xml:space="preserve">Not applicable. No sensitive questions are asked. </w:t>
      </w:r>
    </w:p>
    <w:p w:rsidRPr="00696D7C" w:rsidR="00135F83" w:rsidP="00F25105" w:rsidRDefault="00135F83">
      <w:pPr>
        <w:pStyle w:val="Default"/>
        <w:ind w:left="360" w:hanging="360"/>
        <w:rPr>
          <w:b/>
          <w:bCs/>
          <w:color w:val="auto"/>
        </w:rPr>
      </w:pPr>
    </w:p>
    <w:p w:rsidRPr="00696D7C" w:rsidR="005F0CAC" w:rsidP="005F0CAC" w:rsidRDefault="00F25105">
      <w:pPr>
        <w:ind w:left="1440" w:hanging="720"/>
        <w:rPr>
          <w:b/>
          <w:bCs/>
          <w:color w:val="000000"/>
        </w:rPr>
      </w:pPr>
      <w:r w:rsidRPr="00696D7C">
        <w:rPr>
          <w:b/>
          <w:bCs/>
        </w:rPr>
        <w:t xml:space="preserve">12. </w:t>
      </w:r>
      <w:r w:rsidRPr="00696D7C" w:rsidR="00C02AF6">
        <w:rPr>
          <w:b/>
          <w:bCs/>
        </w:rPr>
        <w:tab/>
      </w:r>
      <w:r w:rsidRPr="00696D7C" w:rsidR="005F0CAC">
        <w:rPr>
          <w:b/>
          <w:bCs/>
          <w:color w:val="000000"/>
        </w:rPr>
        <w:t xml:space="preserve">Provide estimates of the hour burden of the collection of information. The statement should: </w:t>
      </w:r>
    </w:p>
    <w:p w:rsidRPr="00696D7C" w:rsidR="005F0CAC" w:rsidP="005F0CAC" w:rsidRDefault="005F0CAC">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96D7C" w:rsidR="005F0CAC" w:rsidP="005F0CAC" w:rsidRDefault="005F0CAC">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Pr="00696D7C" w:rsidR="00F25105" w:rsidP="005F0CAC" w:rsidRDefault="005F0CAC">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lastRenderedPageBreak/>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696D7C" w:rsidR="00F25105">
        <w:rPr>
          <w:rFonts w:ascii="Times New Roman" w:hAnsi="Times New Roman" w:cs="Times New Roman"/>
          <w:b/>
          <w:bCs/>
          <w:sz w:val="24"/>
          <w:szCs w:val="24"/>
        </w:rPr>
        <w:t xml:space="preserve"> </w:t>
      </w:r>
    </w:p>
    <w:p w:rsidRPr="00696D7C" w:rsidR="00135F83" w:rsidP="00F25105" w:rsidRDefault="00135F83">
      <w:pPr>
        <w:pStyle w:val="Default"/>
        <w:ind w:firstLine="720"/>
        <w:rPr>
          <w:color w:val="auto"/>
        </w:rPr>
      </w:pPr>
    </w:p>
    <w:p w:rsidRPr="00696D7C" w:rsidR="00F36336" w:rsidP="003C2D34" w:rsidRDefault="00F36336">
      <w:pPr>
        <w:pStyle w:val="Default"/>
        <w:tabs>
          <w:tab w:val="left" w:pos="378"/>
        </w:tabs>
        <w:spacing w:line="480" w:lineRule="auto"/>
        <w:ind w:firstLine="720"/>
      </w:pPr>
      <w:r w:rsidRPr="00696D7C">
        <w:t xml:space="preserve">The Commission tracks the number of quarterly fee worksheets, fiscal year change notices, and fingerprint card submissions that it receives per calendar year. To arrive at the </w:t>
      </w:r>
      <w:r w:rsidR="00696D7C">
        <w:t>estimates</w:t>
      </w:r>
      <w:r w:rsidRPr="00696D7C">
        <w:t xml:space="preserve"> below, the Commission averaged the number of submissions that it received from calendar years </w:t>
      </w:r>
      <w:r w:rsidR="00007BCF">
        <w:t>2019 – 2021</w:t>
      </w:r>
      <w:r w:rsidRPr="00B23334">
        <w:t xml:space="preserve"> in</w:t>
      </w:r>
      <w:r w:rsidRPr="00696D7C">
        <w:t xml:space="preserve"> or</w:t>
      </w:r>
      <w:r w:rsidRPr="00696D7C" w:rsidR="00C87EB1">
        <w:t>der to determine the estimated</w:t>
      </w:r>
      <w:r w:rsidRPr="00696D7C">
        <w:t xml:space="preserve"> </w:t>
      </w:r>
      <w:r w:rsidR="00E75776">
        <w:t xml:space="preserve">total </w:t>
      </w:r>
      <w:r w:rsidRPr="00696D7C">
        <w:t xml:space="preserve">number of annual respondents and </w:t>
      </w:r>
      <w:r w:rsidR="00696D7C">
        <w:t xml:space="preserve">estimated </w:t>
      </w:r>
      <w:r w:rsidR="00E75776">
        <w:t xml:space="preserve">total </w:t>
      </w:r>
      <w:r w:rsidRPr="00696D7C">
        <w:t>annual responses.</w:t>
      </w:r>
    </w:p>
    <w:p w:rsidRPr="00696D7C" w:rsidR="003C2D34" w:rsidP="003C2D34" w:rsidRDefault="003E3C45">
      <w:pPr>
        <w:pStyle w:val="Default"/>
        <w:tabs>
          <w:tab w:val="left" w:pos="378"/>
        </w:tabs>
        <w:spacing w:line="480" w:lineRule="auto"/>
        <w:ind w:firstLine="720"/>
        <w:rPr>
          <w:color w:val="auto"/>
        </w:rPr>
      </w:pPr>
      <w:r w:rsidRPr="008B3660">
        <w:t xml:space="preserve">As mentioned in Item 8 above, the Commission consulted </w:t>
      </w:r>
      <w:r>
        <w:t>with t</w:t>
      </w:r>
      <w:r w:rsidRPr="008B3660">
        <w:t>ribal gaming operators and/or management contractors to gather the burden estimates for these information collection</w:t>
      </w:r>
      <w:r>
        <w:t xml:space="preserve"> activitie</w:t>
      </w:r>
      <w:r w:rsidRPr="008B3660">
        <w:t xml:space="preserve">s. </w:t>
      </w:r>
      <w:r>
        <w:t xml:space="preserve">Based on these consultations, the Commission was able to establish average time and wage expenditures for each type of response. The Commission was then able to </w:t>
      </w:r>
      <w:r w:rsidR="006B2514">
        <w:t xml:space="preserve">calculate the </w:t>
      </w:r>
      <w:r>
        <w:t xml:space="preserve"> total annual wage and cost estimates by multiplying these averages by the average number of annual responses.</w:t>
      </w:r>
    </w:p>
    <w:p w:rsidR="00455EE8" w:rsidP="003104B4" w:rsidRDefault="00455EE8">
      <w:pPr>
        <w:pStyle w:val="Default"/>
        <w:tabs>
          <w:tab w:val="left" w:pos="378"/>
        </w:tabs>
        <w:jc w:val="center"/>
        <w:rPr>
          <w:b/>
          <w:bCs/>
          <w:u w:val="single"/>
        </w:rPr>
      </w:pPr>
    </w:p>
    <w:p w:rsidRPr="00696D7C" w:rsidR="003104B4" w:rsidP="003104B4" w:rsidRDefault="003104B4">
      <w:pPr>
        <w:pStyle w:val="Default"/>
        <w:tabs>
          <w:tab w:val="left" w:pos="378"/>
        </w:tabs>
        <w:jc w:val="center"/>
      </w:pPr>
      <w:r w:rsidRPr="00696D7C">
        <w:rPr>
          <w:b/>
          <w:bCs/>
          <w:u w:val="single"/>
        </w:rPr>
        <w:t>ESTIMATED ANNUAL BURDEN TOTALS</w:t>
      </w:r>
    </w:p>
    <w:p w:rsidRPr="00696D7C" w:rsidR="003104B4" w:rsidP="003104B4" w:rsidRDefault="003104B4">
      <w:pPr>
        <w:pStyle w:val="Default"/>
      </w:pPr>
    </w:p>
    <w:tbl>
      <w:tblPr>
        <w:tblW w:w="10170" w:type="dxa"/>
        <w:tblInd w:w="108" w:type="dxa"/>
        <w:tblLayout w:type="fixed"/>
        <w:tblLook w:val="04A0" w:firstRow="1" w:lastRow="0" w:firstColumn="1" w:lastColumn="0" w:noHBand="0" w:noVBand="1"/>
      </w:tblPr>
      <w:tblGrid>
        <w:gridCol w:w="1260"/>
        <w:gridCol w:w="1350"/>
        <w:gridCol w:w="1350"/>
        <w:gridCol w:w="1170"/>
        <w:gridCol w:w="1170"/>
        <w:gridCol w:w="1080"/>
        <w:gridCol w:w="1170"/>
        <w:gridCol w:w="1620"/>
      </w:tblGrid>
      <w:tr w:rsidRPr="00696D7C" w:rsidR="00CA0DFE" w:rsidTr="00CA0DFE">
        <w:trPr>
          <w:trHeight w:val="745"/>
        </w:trPr>
        <w:tc>
          <w:tcPr>
            <w:tcW w:w="126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vAlign w:val="center"/>
            <w:hideMark/>
          </w:tcPr>
          <w:p w:rsidRPr="00696D7C" w:rsidR="00CA0DFE" w:rsidP="006924DF" w:rsidRDefault="00CA0DFE">
            <w:pPr>
              <w:spacing w:before="60" w:after="60"/>
              <w:ind w:left="-93" w:right="-108"/>
              <w:jc w:val="center"/>
              <w:rPr>
                <w:b/>
                <w:bCs/>
                <w:color w:val="000000"/>
                <w:sz w:val="18"/>
                <w:szCs w:val="18"/>
              </w:rPr>
            </w:pPr>
            <w:r w:rsidRPr="00696D7C">
              <w:rPr>
                <w:b/>
                <w:bCs/>
                <w:color w:val="000000"/>
                <w:sz w:val="18"/>
                <w:szCs w:val="18"/>
              </w:rPr>
              <w:t>CFR CITE/ COLLECTION</w:t>
            </w:r>
          </w:p>
        </w:tc>
        <w:tc>
          <w:tcPr>
            <w:tcW w:w="135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Pr="00696D7C" w:rsidR="00CA0DFE" w:rsidP="006924DF" w:rsidRDefault="00CA0DFE">
            <w:pPr>
              <w:spacing w:before="60" w:after="60"/>
              <w:ind w:left="-108" w:right="-108"/>
              <w:jc w:val="center"/>
              <w:rPr>
                <w:b/>
                <w:bCs/>
                <w:sz w:val="18"/>
                <w:szCs w:val="18"/>
              </w:rPr>
            </w:pPr>
            <w:r w:rsidRPr="00696D7C">
              <w:rPr>
                <w:b/>
                <w:bCs/>
                <w:sz w:val="18"/>
                <w:szCs w:val="18"/>
              </w:rPr>
              <w:t>NUMBER OF ANNUAL RESPONDENTS</w:t>
            </w:r>
          </w:p>
        </w:tc>
        <w:tc>
          <w:tcPr>
            <w:tcW w:w="135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Pr="00696D7C" w:rsidR="00CA0DFE" w:rsidP="006924DF" w:rsidRDefault="00CA0DFE">
            <w:pPr>
              <w:spacing w:before="60" w:after="60"/>
              <w:ind w:left="-108" w:right="-108"/>
              <w:jc w:val="center"/>
              <w:rPr>
                <w:b/>
                <w:bCs/>
                <w:sz w:val="18"/>
                <w:szCs w:val="18"/>
              </w:rPr>
            </w:pPr>
            <w:r w:rsidRPr="00696D7C">
              <w:rPr>
                <w:b/>
                <w:bCs/>
                <w:sz w:val="18"/>
                <w:szCs w:val="18"/>
              </w:rPr>
              <w:t>FREQUENCY OF RESPONSES PER YEAR</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Pr="00696D7C" w:rsidR="00CA0DFE" w:rsidP="006924DF" w:rsidRDefault="00CA0DFE">
            <w:pPr>
              <w:spacing w:before="60" w:after="60"/>
              <w:ind w:left="-108" w:right="-108"/>
              <w:jc w:val="center"/>
              <w:rPr>
                <w:b/>
                <w:bCs/>
                <w:sz w:val="18"/>
                <w:szCs w:val="18"/>
              </w:rPr>
            </w:pPr>
            <w:r w:rsidRPr="00696D7C">
              <w:rPr>
                <w:b/>
                <w:bCs/>
                <w:sz w:val="18"/>
                <w:szCs w:val="18"/>
              </w:rPr>
              <w:t>TOTAL ANNUAL RESPONSES</w:t>
            </w:r>
          </w:p>
        </w:tc>
        <w:tc>
          <w:tcPr>
            <w:tcW w:w="1170" w:type="dxa"/>
            <w:tcBorders>
              <w:top w:val="single" w:color="auto" w:sz="8" w:space="0"/>
              <w:left w:val="nil"/>
              <w:bottom w:val="single" w:color="auto" w:sz="8" w:space="0"/>
              <w:right w:val="single" w:color="auto" w:sz="4" w:space="0"/>
            </w:tcBorders>
            <w:shd w:val="clear" w:color="000000" w:fill="BFBFBF" w:themeFill="background1" w:themeFillShade="BF"/>
            <w:vAlign w:val="center"/>
            <w:hideMark/>
          </w:tcPr>
          <w:p w:rsidRPr="00696D7C" w:rsidR="00CA0DFE" w:rsidP="006924DF" w:rsidRDefault="00CA0DFE">
            <w:pPr>
              <w:spacing w:before="60" w:after="60"/>
              <w:ind w:left="-108" w:right="-108"/>
              <w:jc w:val="center"/>
              <w:rPr>
                <w:b/>
                <w:bCs/>
                <w:sz w:val="18"/>
                <w:szCs w:val="18"/>
              </w:rPr>
            </w:pPr>
            <w:r w:rsidRPr="00696D7C">
              <w:rPr>
                <w:b/>
                <w:bCs/>
                <w:sz w:val="18"/>
                <w:szCs w:val="18"/>
              </w:rPr>
              <w:t>AVERAGE HOURS  PER RESPONSE</w:t>
            </w:r>
          </w:p>
        </w:tc>
        <w:tc>
          <w:tcPr>
            <w:tcW w:w="1080" w:type="dxa"/>
            <w:tcBorders>
              <w:top w:val="single" w:color="auto" w:sz="8" w:space="0"/>
              <w:left w:val="single" w:color="auto" w:sz="4" w:space="0"/>
              <w:bottom w:val="single" w:color="auto" w:sz="8" w:space="0"/>
              <w:right w:val="single" w:color="auto" w:sz="8" w:space="0"/>
            </w:tcBorders>
            <w:shd w:val="clear" w:color="000000" w:fill="BFBFBF" w:themeFill="background1" w:themeFillShade="BF"/>
            <w:vAlign w:val="center"/>
            <w:hideMark/>
          </w:tcPr>
          <w:p w:rsidRPr="00696D7C" w:rsidR="00CA0DFE" w:rsidP="006924DF" w:rsidRDefault="00CA0DFE">
            <w:pPr>
              <w:spacing w:before="60" w:after="60"/>
              <w:jc w:val="center"/>
              <w:rPr>
                <w:b/>
                <w:bCs/>
                <w:sz w:val="18"/>
                <w:szCs w:val="18"/>
              </w:rPr>
            </w:pPr>
            <w:r w:rsidRPr="00696D7C">
              <w:rPr>
                <w:b/>
                <w:bCs/>
                <w:sz w:val="18"/>
                <w:szCs w:val="18"/>
              </w:rPr>
              <w:t xml:space="preserve">TOTAL </w:t>
            </w:r>
            <w:r>
              <w:rPr>
                <w:b/>
                <w:bCs/>
                <w:sz w:val="18"/>
                <w:szCs w:val="18"/>
              </w:rPr>
              <w:t xml:space="preserve">ANNUAL </w:t>
            </w:r>
            <w:r w:rsidRPr="00696D7C">
              <w:rPr>
                <w:b/>
                <w:bCs/>
                <w:sz w:val="18"/>
                <w:szCs w:val="18"/>
              </w:rPr>
              <w:t>HOURS</w:t>
            </w:r>
          </w:p>
        </w:tc>
        <w:tc>
          <w:tcPr>
            <w:tcW w:w="1170" w:type="dxa"/>
            <w:tcBorders>
              <w:top w:val="single" w:color="auto" w:sz="8" w:space="0"/>
              <w:left w:val="single" w:color="auto" w:sz="4" w:space="0"/>
              <w:bottom w:val="single" w:color="auto" w:sz="8" w:space="0"/>
              <w:right w:val="single" w:color="auto" w:sz="4" w:space="0"/>
            </w:tcBorders>
            <w:shd w:val="clear" w:color="000000" w:fill="BFBFBF" w:themeFill="background1" w:themeFillShade="BF"/>
          </w:tcPr>
          <w:p w:rsidRPr="00696D7C" w:rsidR="00CA0DFE" w:rsidP="006924DF" w:rsidRDefault="00CA0DFE">
            <w:pPr>
              <w:spacing w:before="60" w:after="60"/>
              <w:jc w:val="center"/>
              <w:rPr>
                <w:b/>
                <w:bCs/>
                <w:sz w:val="18"/>
                <w:szCs w:val="18"/>
              </w:rPr>
            </w:pPr>
            <w:r>
              <w:rPr>
                <w:b/>
                <w:bCs/>
                <w:sz w:val="18"/>
                <w:szCs w:val="18"/>
              </w:rPr>
              <w:t>AVERAGE WAGE COST</w:t>
            </w:r>
          </w:p>
        </w:tc>
        <w:tc>
          <w:tcPr>
            <w:tcW w:w="1620" w:type="dxa"/>
            <w:tcBorders>
              <w:top w:val="single" w:color="auto" w:sz="8" w:space="0"/>
              <w:left w:val="single" w:color="auto" w:sz="4" w:space="0"/>
              <w:bottom w:val="single" w:color="auto" w:sz="8" w:space="0"/>
              <w:right w:val="single" w:color="auto" w:sz="8" w:space="0"/>
            </w:tcBorders>
            <w:shd w:val="clear" w:color="000000" w:fill="BFBFBF" w:themeFill="background1" w:themeFillShade="BF"/>
            <w:vAlign w:val="center"/>
          </w:tcPr>
          <w:p w:rsidRPr="00696D7C" w:rsidR="00CA0DFE" w:rsidP="00CA0DFE" w:rsidRDefault="00CA0DFE">
            <w:pPr>
              <w:spacing w:before="60" w:after="60"/>
              <w:jc w:val="center"/>
              <w:rPr>
                <w:b/>
                <w:bCs/>
                <w:sz w:val="18"/>
                <w:szCs w:val="18"/>
              </w:rPr>
            </w:pPr>
            <w:r w:rsidRPr="00696D7C">
              <w:rPr>
                <w:b/>
                <w:bCs/>
                <w:sz w:val="18"/>
                <w:szCs w:val="18"/>
              </w:rPr>
              <w:t xml:space="preserve">TOTAL </w:t>
            </w:r>
            <w:r>
              <w:rPr>
                <w:b/>
                <w:bCs/>
                <w:sz w:val="18"/>
                <w:szCs w:val="18"/>
              </w:rPr>
              <w:t>WAGE</w:t>
            </w:r>
            <w:r w:rsidRPr="00696D7C">
              <w:rPr>
                <w:b/>
                <w:bCs/>
                <w:sz w:val="18"/>
                <w:szCs w:val="18"/>
              </w:rPr>
              <w:t xml:space="preserve"> COST</w:t>
            </w:r>
          </w:p>
        </w:tc>
      </w:tr>
      <w:tr w:rsidRPr="00B23334" w:rsidR="00CA0DFE" w:rsidTr="00CA0DFE">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96D7C" w:rsidR="00CA0DFE" w:rsidP="00646BFE" w:rsidRDefault="00CA0DFE">
            <w:pPr>
              <w:spacing w:after="60"/>
              <w:rPr>
                <w:b/>
                <w:bCs/>
              </w:rPr>
            </w:pPr>
            <w:r w:rsidRPr="00696D7C">
              <w:rPr>
                <w:b/>
                <w:bCs/>
              </w:rPr>
              <w:t>514.6</w:t>
            </w:r>
          </w:p>
        </w:tc>
        <w:tc>
          <w:tcPr>
            <w:tcW w:w="1350" w:type="dxa"/>
            <w:tcBorders>
              <w:top w:val="single" w:color="auto" w:sz="8" w:space="0"/>
              <w:left w:val="single" w:color="auto" w:sz="4" w:space="0"/>
              <w:bottom w:val="single" w:color="auto" w:sz="8" w:space="0"/>
              <w:right w:val="single" w:color="auto" w:sz="8" w:space="0"/>
            </w:tcBorders>
            <w:shd w:val="clear" w:color="auto" w:fill="auto"/>
            <w:hideMark/>
          </w:tcPr>
          <w:p w:rsidRPr="00B23334" w:rsidR="00CA0DFE" w:rsidP="00CA0DFE" w:rsidRDefault="00C52CB8">
            <w:pPr>
              <w:spacing w:after="60"/>
              <w:jc w:val="center"/>
            </w:pPr>
            <w:r>
              <w:t>482</w:t>
            </w:r>
          </w:p>
        </w:tc>
        <w:tc>
          <w:tcPr>
            <w:tcW w:w="1350" w:type="dxa"/>
            <w:tcBorders>
              <w:top w:val="single" w:color="auto" w:sz="8" w:space="0"/>
              <w:left w:val="nil"/>
              <w:bottom w:val="single" w:color="auto" w:sz="8" w:space="0"/>
              <w:right w:val="single" w:color="auto" w:sz="8" w:space="0"/>
            </w:tcBorders>
            <w:shd w:val="clear" w:color="auto" w:fill="auto"/>
            <w:hideMark/>
          </w:tcPr>
          <w:p w:rsidRPr="00B23334" w:rsidR="00CA0DFE" w:rsidP="00CA0DFE" w:rsidRDefault="00CA0DFE">
            <w:pPr>
              <w:spacing w:after="60"/>
              <w:jc w:val="center"/>
            </w:pPr>
            <w:r w:rsidRPr="00B23334">
              <w:t>4</w:t>
            </w:r>
          </w:p>
        </w:tc>
        <w:tc>
          <w:tcPr>
            <w:tcW w:w="1170" w:type="dxa"/>
            <w:tcBorders>
              <w:top w:val="single" w:color="auto" w:sz="8" w:space="0"/>
              <w:left w:val="nil"/>
              <w:bottom w:val="single" w:color="auto" w:sz="8" w:space="0"/>
              <w:right w:val="single" w:color="auto" w:sz="8" w:space="0"/>
            </w:tcBorders>
            <w:shd w:val="clear" w:color="auto" w:fill="auto"/>
            <w:hideMark/>
          </w:tcPr>
          <w:p w:rsidRPr="00B23334" w:rsidR="00CA0DFE" w:rsidP="00CA0DFE" w:rsidRDefault="00BF104C">
            <w:pPr>
              <w:spacing w:after="60"/>
              <w:jc w:val="center"/>
            </w:pPr>
            <w:r>
              <w:t>1</w:t>
            </w:r>
            <w:r w:rsidR="006B2514">
              <w:t>,</w:t>
            </w:r>
            <w:r>
              <w:t>928</w:t>
            </w:r>
          </w:p>
        </w:tc>
        <w:tc>
          <w:tcPr>
            <w:tcW w:w="1170" w:type="dxa"/>
            <w:tcBorders>
              <w:top w:val="single" w:color="auto" w:sz="8" w:space="0"/>
              <w:left w:val="nil"/>
              <w:bottom w:val="single" w:color="auto" w:sz="8" w:space="0"/>
              <w:right w:val="single" w:color="auto" w:sz="4" w:space="0"/>
            </w:tcBorders>
            <w:shd w:val="clear" w:color="auto" w:fill="auto"/>
          </w:tcPr>
          <w:p w:rsidRPr="00B23334" w:rsidR="00CA0DFE" w:rsidP="00CA0DFE" w:rsidRDefault="00BF104C">
            <w:pPr>
              <w:spacing w:after="60"/>
              <w:jc w:val="center"/>
            </w:pPr>
            <w:r>
              <w:t>2.3</w:t>
            </w:r>
          </w:p>
        </w:tc>
        <w:tc>
          <w:tcPr>
            <w:tcW w:w="1080" w:type="dxa"/>
            <w:tcBorders>
              <w:top w:val="single" w:color="auto" w:sz="8" w:space="0"/>
              <w:left w:val="single" w:color="auto" w:sz="4" w:space="0"/>
              <w:bottom w:val="single" w:color="auto" w:sz="8" w:space="0"/>
              <w:right w:val="single" w:color="auto" w:sz="8" w:space="0"/>
            </w:tcBorders>
            <w:shd w:val="clear" w:color="auto" w:fill="auto"/>
          </w:tcPr>
          <w:p w:rsidRPr="00B23334" w:rsidR="00CA0DFE" w:rsidP="00CA0DFE" w:rsidRDefault="00BF104C">
            <w:pPr>
              <w:spacing w:after="60"/>
              <w:jc w:val="center"/>
            </w:pPr>
            <w:r>
              <w:t>4</w:t>
            </w:r>
            <w:r w:rsidR="006B2514">
              <w:t>,</w:t>
            </w:r>
            <w:r>
              <w:t>434</w:t>
            </w:r>
          </w:p>
        </w:tc>
        <w:tc>
          <w:tcPr>
            <w:tcW w:w="1170" w:type="dxa"/>
            <w:tcBorders>
              <w:top w:val="single" w:color="auto" w:sz="8" w:space="0"/>
              <w:left w:val="single" w:color="auto" w:sz="4" w:space="0"/>
              <w:bottom w:val="single" w:color="auto" w:sz="8" w:space="0"/>
              <w:right w:val="single" w:color="auto" w:sz="4" w:space="0"/>
            </w:tcBorders>
          </w:tcPr>
          <w:p w:rsidRPr="00B23334" w:rsidR="00CA0DFE" w:rsidP="00CA0DFE" w:rsidRDefault="000522B8">
            <w:pPr>
              <w:spacing w:after="60"/>
              <w:jc w:val="center"/>
            </w:pPr>
            <w:r>
              <w:t>$</w:t>
            </w:r>
            <w:r w:rsidR="00BF104C">
              <w:t>166</w:t>
            </w:r>
            <w:r w:rsidR="00C52CB8">
              <w:t>/</w:t>
            </w:r>
            <w:proofErr w:type="spellStart"/>
            <w:r w:rsidR="00C52CB8">
              <w:t>rsp</w:t>
            </w:r>
            <w:proofErr w:type="spellEnd"/>
          </w:p>
        </w:tc>
        <w:tc>
          <w:tcPr>
            <w:tcW w:w="1620" w:type="dxa"/>
            <w:tcBorders>
              <w:top w:val="single" w:color="auto" w:sz="8" w:space="0"/>
              <w:left w:val="single" w:color="auto" w:sz="4" w:space="0"/>
              <w:bottom w:val="single" w:color="auto" w:sz="8" w:space="0"/>
              <w:right w:val="single" w:color="auto" w:sz="8" w:space="0"/>
            </w:tcBorders>
          </w:tcPr>
          <w:p w:rsidRPr="00B23334" w:rsidR="00CA0DFE" w:rsidP="00BF104C" w:rsidRDefault="00CA0DFE">
            <w:pPr>
              <w:spacing w:after="60"/>
              <w:jc w:val="center"/>
            </w:pPr>
            <w:r w:rsidRPr="00B23334">
              <w:t>$</w:t>
            </w:r>
            <w:r w:rsidR="00BF104C">
              <w:t>320</w:t>
            </w:r>
            <w:r w:rsidR="00C52CB8">
              <w:t>,</w:t>
            </w:r>
            <w:r w:rsidR="00BF104C">
              <w:t>048</w:t>
            </w:r>
          </w:p>
        </w:tc>
      </w:tr>
      <w:tr w:rsidRPr="00B23334" w:rsidR="00CA0DFE" w:rsidTr="00CA0DFE">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696D7C" w:rsidR="00CA0DFE" w:rsidRDefault="00CA0DFE">
            <w:r w:rsidRPr="00696D7C">
              <w:rPr>
                <w:b/>
                <w:bCs/>
              </w:rPr>
              <w:t>514.7</w:t>
            </w:r>
          </w:p>
        </w:tc>
        <w:tc>
          <w:tcPr>
            <w:tcW w:w="1350" w:type="dxa"/>
            <w:tcBorders>
              <w:top w:val="nil"/>
              <w:left w:val="single" w:color="auto" w:sz="4" w:space="0"/>
              <w:bottom w:val="single" w:color="auto" w:sz="8" w:space="0"/>
              <w:right w:val="single" w:color="auto" w:sz="8" w:space="0"/>
            </w:tcBorders>
            <w:shd w:val="clear" w:color="auto" w:fill="auto"/>
            <w:hideMark/>
          </w:tcPr>
          <w:p w:rsidRPr="00B23334" w:rsidR="00CA0DFE" w:rsidP="00CA0DFE" w:rsidRDefault="00CA0DFE">
            <w:pPr>
              <w:spacing w:after="60"/>
              <w:jc w:val="center"/>
            </w:pPr>
            <w:r w:rsidRPr="00B23334">
              <w:t>5</w:t>
            </w:r>
          </w:p>
        </w:tc>
        <w:tc>
          <w:tcPr>
            <w:tcW w:w="1350" w:type="dxa"/>
            <w:tcBorders>
              <w:top w:val="nil"/>
              <w:left w:val="nil"/>
              <w:bottom w:val="single" w:color="auto" w:sz="8" w:space="0"/>
              <w:right w:val="single" w:color="auto" w:sz="8" w:space="0"/>
            </w:tcBorders>
            <w:shd w:val="clear" w:color="auto" w:fill="auto"/>
            <w:hideMark/>
          </w:tcPr>
          <w:p w:rsidRPr="00B23334" w:rsidR="00CA0DFE" w:rsidP="00CA0DFE" w:rsidRDefault="00CA0DFE">
            <w:pPr>
              <w:spacing w:after="60"/>
              <w:jc w:val="center"/>
            </w:pPr>
            <w:r w:rsidRPr="00B23334">
              <w:t>Varies</w:t>
            </w:r>
          </w:p>
        </w:tc>
        <w:tc>
          <w:tcPr>
            <w:tcW w:w="1170" w:type="dxa"/>
            <w:tcBorders>
              <w:top w:val="nil"/>
              <w:left w:val="nil"/>
              <w:bottom w:val="single" w:color="auto" w:sz="8" w:space="0"/>
              <w:right w:val="single" w:color="auto" w:sz="8" w:space="0"/>
            </w:tcBorders>
            <w:shd w:val="clear" w:color="auto" w:fill="auto"/>
            <w:hideMark/>
          </w:tcPr>
          <w:p w:rsidRPr="00B23334" w:rsidR="00CA0DFE" w:rsidP="00CA0DFE" w:rsidRDefault="00CA0DFE">
            <w:pPr>
              <w:spacing w:after="60"/>
              <w:jc w:val="center"/>
            </w:pPr>
            <w:r w:rsidRPr="00B23334">
              <w:t>5</w:t>
            </w:r>
          </w:p>
        </w:tc>
        <w:tc>
          <w:tcPr>
            <w:tcW w:w="1170" w:type="dxa"/>
            <w:tcBorders>
              <w:top w:val="nil"/>
              <w:left w:val="nil"/>
              <w:bottom w:val="single" w:color="auto" w:sz="8" w:space="0"/>
              <w:right w:val="single" w:color="auto" w:sz="4" w:space="0"/>
            </w:tcBorders>
            <w:shd w:val="clear" w:color="auto" w:fill="auto"/>
          </w:tcPr>
          <w:p w:rsidRPr="00B23334" w:rsidR="00CA0DFE" w:rsidP="00CA0DFE" w:rsidRDefault="00CA0DFE">
            <w:pPr>
              <w:spacing w:after="60"/>
              <w:jc w:val="center"/>
            </w:pPr>
            <w:r w:rsidRPr="00B23334">
              <w:t>1.0</w:t>
            </w:r>
          </w:p>
        </w:tc>
        <w:tc>
          <w:tcPr>
            <w:tcW w:w="1080" w:type="dxa"/>
            <w:tcBorders>
              <w:top w:val="nil"/>
              <w:left w:val="single" w:color="auto" w:sz="4" w:space="0"/>
              <w:bottom w:val="single" w:color="auto" w:sz="8" w:space="0"/>
              <w:right w:val="single" w:color="auto" w:sz="8" w:space="0"/>
            </w:tcBorders>
            <w:shd w:val="clear" w:color="auto" w:fill="auto"/>
          </w:tcPr>
          <w:p w:rsidRPr="00B23334" w:rsidR="00CA0DFE" w:rsidP="00CA0DFE" w:rsidRDefault="00CA0DFE">
            <w:pPr>
              <w:spacing w:after="60"/>
              <w:jc w:val="center"/>
            </w:pPr>
            <w:r w:rsidRPr="00B23334">
              <w:t>5</w:t>
            </w:r>
          </w:p>
        </w:tc>
        <w:tc>
          <w:tcPr>
            <w:tcW w:w="1170" w:type="dxa"/>
            <w:tcBorders>
              <w:top w:val="nil"/>
              <w:left w:val="single" w:color="auto" w:sz="4" w:space="0"/>
              <w:bottom w:val="single" w:color="auto" w:sz="8" w:space="0"/>
              <w:right w:val="single" w:color="auto" w:sz="4" w:space="0"/>
            </w:tcBorders>
          </w:tcPr>
          <w:p w:rsidRPr="00B23334" w:rsidR="00CA0DFE" w:rsidP="00CA0DFE" w:rsidRDefault="000522B8">
            <w:pPr>
              <w:spacing w:after="60"/>
              <w:jc w:val="center"/>
            </w:pPr>
            <w:r>
              <w:t>$</w:t>
            </w:r>
            <w:r w:rsidR="00BF104C">
              <w:t>22</w:t>
            </w:r>
            <w:r w:rsidR="00C52CB8">
              <w:t>/</w:t>
            </w:r>
            <w:proofErr w:type="spellStart"/>
            <w:r w:rsidR="00C52CB8">
              <w:t>hr</w:t>
            </w:r>
            <w:proofErr w:type="spellEnd"/>
          </w:p>
        </w:tc>
        <w:tc>
          <w:tcPr>
            <w:tcW w:w="1620" w:type="dxa"/>
            <w:tcBorders>
              <w:top w:val="nil"/>
              <w:left w:val="single" w:color="auto" w:sz="4" w:space="0"/>
              <w:bottom w:val="single" w:color="auto" w:sz="8" w:space="0"/>
              <w:right w:val="single" w:color="auto" w:sz="8" w:space="0"/>
            </w:tcBorders>
          </w:tcPr>
          <w:p w:rsidRPr="00B23334" w:rsidR="00CA0DFE" w:rsidP="00BF104C" w:rsidRDefault="00CA0DFE">
            <w:pPr>
              <w:spacing w:after="60"/>
              <w:jc w:val="center"/>
            </w:pPr>
            <w:r w:rsidRPr="00B23334">
              <w:t>$</w:t>
            </w:r>
            <w:r w:rsidR="00BF104C">
              <w:t>110</w:t>
            </w:r>
          </w:p>
        </w:tc>
      </w:tr>
      <w:tr w:rsidRPr="00B23334" w:rsidR="00CA0DFE" w:rsidTr="00CA0DFE">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tcPr>
          <w:p w:rsidRPr="00696D7C" w:rsidR="00CA0DFE" w:rsidRDefault="00CA0DFE">
            <w:r w:rsidRPr="00696D7C">
              <w:rPr>
                <w:b/>
                <w:bCs/>
              </w:rPr>
              <w:t>514.15</w:t>
            </w:r>
          </w:p>
        </w:tc>
        <w:tc>
          <w:tcPr>
            <w:tcW w:w="1350" w:type="dxa"/>
            <w:tcBorders>
              <w:top w:val="nil"/>
              <w:left w:val="single" w:color="auto" w:sz="4" w:space="0"/>
              <w:bottom w:val="single" w:color="auto" w:sz="8" w:space="0"/>
              <w:right w:val="single" w:color="auto" w:sz="8" w:space="0"/>
            </w:tcBorders>
            <w:shd w:val="clear" w:color="auto" w:fill="auto"/>
          </w:tcPr>
          <w:p w:rsidRPr="00B23334" w:rsidR="00CA0DFE" w:rsidP="00CA0DFE" w:rsidRDefault="006361A6">
            <w:pPr>
              <w:spacing w:after="60"/>
              <w:jc w:val="center"/>
            </w:pPr>
            <w:r>
              <w:t>211</w:t>
            </w:r>
          </w:p>
        </w:tc>
        <w:tc>
          <w:tcPr>
            <w:tcW w:w="1350" w:type="dxa"/>
            <w:tcBorders>
              <w:top w:val="nil"/>
              <w:left w:val="nil"/>
              <w:bottom w:val="single" w:color="auto" w:sz="8" w:space="0"/>
              <w:right w:val="single" w:color="auto" w:sz="8" w:space="0"/>
            </w:tcBorders>
            <w:shd w:val="clear" w:color="auto" w:fill="auto"/>
          </w:tcPr>
          <w:p w:rsidRPr="00B23334" w:rsidR="00CA0DFE" w:rsidP="00CA0DFE" w:rsidRDefault="00CA0DFE">
            <w:pPr>
              <w:spacing w:after="60"/>
              <w:jc w:val="center"/>
            </w:pPr>
            <w:r w:rsidRPr="00B23334">
              <w:t>Varies</w:t>
            </w:r>
          </w:p>
        </w:tc>
        <w:tc>
          <w:tcPr>
            <w:tcW w:w="1170" w:type="dxa"/>
            <w:tcBorders>
              <w:top w:val="nil"/>
              <w:left w:val="nil"/>
              <w:bottom w:val="single" w:color="auto" w:sz="8" w:space="0"/>
              <w:right w:val="single" w:color="auto" w:sz="8" w:space="0"/>
            </w:tcBorders>
            <w:shd w:val="clear" w:color="auto" w:fill="auto"/>
          </w:tcPr>
          <w:p w:rsidRPr="00B23334" w:rsidR="00CA0DFE" w:rsidP="00CA0DFE" w:rsidRDefault="00BF104C">
            <w:pPr>
              <w:spacing w:after="60"/>
              <w:jc w:val="center"/>
            </w:pPr>
            <w:r>
              <w:t>58</w:t>
            </w:r>
            <w:r w:rsidR="006B2514">
              <w:t>,</w:t>
            </w:r>
            <w:r>
              <w:t>893</w:t>
            </w:r>
          </w:p>
        </w:tc>
        <w:tc>
          <w:tcPr>
            <w:tcW w:w="1170" w:type="dxa"/>
            <w:tcBorders>
              <w:top w:val="nil"/>
              <w:left w:val="nil"/>
              <w:bottom w:val="single" w:color="auto" w:sz="8" w:space="0"/>
              <w:right w:val="single" w:color="auto" w:sz="4" w:space="0"/>
            </w:tcBorders>
            <w:shd w:val="clear" w:color="auto" w:fill="auto"/>
          </w:tcPr>
          <w:p w:rsidRPr="00B23334" w:rsidR="00CA0DFE" w:rsidP="00CA0DFE" w:rsidRDefault="00CA0DFE">
            <w:pPr>
              <w:spacing w:after="60"/>
              <w:jc w:val="center"/>
            </w:pPr>
            <w:r w:rsidRPr="00B23334">
              <w:t>.5</w:t>
            </w:r>
          </w:p>
        </w:tc>
        <w:tc>
          <w:tcPr>
            <w:tcW w:w="1080" w:type="dxa"/>
            <w:tcBorders>
              <w:top w:val="nil"/>
              <w:left w:val="single" w:color="auto" w:sz="4" w:space="0"/>
              <w:bottom w:val="single" w:color="auto" w:sz="8" w:space="0"/>
              <w:right w:val="single" w:color="auto" w:sz="8" w:space="0"/>
            </w:tcBorders>
            <w:shd w:val="clear" w:color="auto" w:fill="auto"/>
          </w:tcPr>
          <w:p w:rsidRPr="00B23334" w:rsidR="00CA0DFE" w:rsidP="00CA0DFE" w:rsidRDefault="00BF104C">
            <w:pPr>
              <w:spacing w:after="60"/>
              <w:jc w:val="center"/>
            </w:pPr>
            <w:r>
              <w:t>29</w:t>
            </w:r>
            <w:r w:rsidR="006B2514">
              <w:t>,</w:t>
            </w:r>
            <w:r>
              <w:t>446</w:t>
            </w:r>
          </w:p>
        </w:tc>
        <w:tc>
          <w:tcPr>
            <w:tcW w:w="1170" w:type="dxa"/>
            <w:tcBorders>
              <w:top w:val="nil"/>
              <w:left w:val="single" w:color="auto" w:sz="4" w:space="0"/>
              <w:bottom w:val="single" w:color="auto" w:sz="8" w:space="0"/>
              <w:right w:val="single" w:color="auto" w:sz="4" w:space="0"/>
            </w:tcBorders>
          </w:tcPr>
          <w:p w:rsidRPr="00B23334" w:rsidR="00CA0DFE" w:rsidP="00CA0DFE" w:rsidRDefault="000522B8">
            <w:pPr>
              <w:spacing w:after="60"/>
              <w:jc w:val="center"/>
            </w:pPr>
            <w:r>
              <w:t>$</w:t>
            </w:r>
            <w:r w:rsidR="00BF104C">
              <w:t>22</w:t>
            </w:r>
            <w:r w:rsidR="00C52CB8">
              <w:t>/</w:t>
            </w:r>
            <w:proofErr w:type="spellStart"/>
            <w:r w:rsidR="00C52CB8">
              <w:t>hr</w:t>
            </w:r>
            <w:proofErr w:type="spellEnd"/>
          </w:p>
        </w:tc>
        <w:tc>
          <w:tcPr>
            <w:tcW w:w="1620" w:type="dxa"/>
            <w:tcBorders>
              <w:top w:val="nil"/>
              <w:left w:val="single" w:color="auto" w:sz="4" w:space="0"/>
              <w:bottom w:val="single" w:color="auto" w:sz="8" w:space="0"/>
              <w:right w:val="single" w:color="auto" w:sz="8" w:space="0"/>
            </w:tcBorders>
          </w:tcPr>
          <w:p w:rsidRPr="00B23334" w:rsidR="00CA0DFE" w:rsidP="00B62B4D" w:rsidRDefault="00CA0DFE">
            <w:pPr>
              <w:spacing w:after="60"/>
              <w:jc w:val="center"/>
            </w:pPr>
            <w:r w:rsidRPr="00B23334">
              <w:t>$</w:t>
            </w:r>
            <w:r w:rsidR="00B62B4D">
              <w:t>647,812</w:t>
            </w:r>
          </w:p>
        </w:tc>
      </w:tr>
      <w:tr w:rsidRPr="00B23334" w:rsidR="00CA0DFE" w:rsidTr="00CA0DFE">
        <w:trPr>
          <w:trHeight w:val="46"/>
        </w:trPr>
        <w:tc>
          <w:tcPr>
            <w:tcW w:w="1260" w:type="dxa"/>
            <w:tcBorders>
              <w:top w:val="single" w:color="auto" w:sz="4" w:space="0"/>
              <w:left w:val="nil"/>
              <w:bottom w:val="single" w:color="auto" w:sz="4" w:space="0"/>
              <w:right w:val="nil"/>
            </w:tcBorders>
            <w:shd w:val="clear" w:color="auto" w:fill="auto"/>
            <w:vAlign w:val="bottom"/>
            <w:hideMark/>
          </w:tcPr>
          <w:p w:rsidRPr="00696D7C" w:rsidR="00CA0DFE" w:rsidP="00646BFE" w:rsidRDefault="00CA0DFE">
            <w:pPr>
              <w:rPr>
                <w:b/>
                <w:bCs/>
                <w:sz w:val="4"/>
                <w:szCs w:val="4"/>
              </w:rPr>
            </w:pPr>
          </w:p>
        </w:tc>
        <w:tc>
          <w:tcPr>
            <w:tcW w:w="1350" w:type="dxa"/>
            <w:tcBorders>
              <w:top w:val="nil"/>
              <w:left w:val="nil"/>
              <w:bottom w:val="single" w:color="auto" w:sz="4" w:space="0"/>
              <w:right w:val="nil"/>
            </w:tcBorders>
            <w:shd w:val="clear" w:color="auto" w:fill="auto"/>
            <w:vAlign w:val="bottom"/>
            <w:hideMark/>
          </w:tcPr>
          <w:p w:rsidRPr="00B23334" w:rsidR="00CA0DFE" w:rsidP="00CA0DFE" w:rsidRDefault="00CA0DFE">
            <w:pPr>
              <w:jc w:val="center"/>
              <w:rPr>
                <w:sz w:val="4"/>
                <w:szCs w:val="4"/>
              </w:rPr>
            </w:pPr>
          </w:p>
        </w:tc>
        <w:tc>
          <w:tcPr>
            <w:tcW w:w="1350" w:type="dxa"/>
            <w:tcBorders>
              <w:top w:val="nil"/>
              <w:left w:val="nil"/>
              <w:bottom w:val="single" w:color="auto" w:sz="4" w:space="0"/>
              <w:right w:val="nil"/>
            </w:tcBorders>
            <w:shd w:val="clear" w:color="auto" w:fill="auto"/>
            <w:vAlign w:val="bottom"/>
            <w:hideMark/>
          </w:tcPr>
          <w:p w:rsidRPr="00B23334" w:rsidR="00CA0DFE" w:rsidP="00CA0DFE" w:rsidRDefault="00CA0DFE">
            <w:pPr>
              <w:jc w:val="center"/>
              <w:rPr>
                <w:sz w:val="4"/>
                <w:szCs w:val="4"/>
              </w:rPr>
            </w:pPr>
          </w:p>
        </w:tc>
        <w:tc>
          <w:tcPr>
            <w:tcW w:w="1170" w:type="dxa"/>
            <w:tcBorders>
              <w:top w:val="nil"/>
              <w:left w:val="nil"/>
              <w:bottom w:val="single" w:color="auto" w:sz="4" w:space="0"/>
              <w:right w:val="nil"/>
            </w:tcBorders>
            <w:shd w:val="clear" w:color="auto" w:fill="auto"/>
            <w:vAlign w:val="bottom"/>
            <w:hideMark/>
          </w:tcPr>
          <w:p w:rsidRPr="00B23334" w:rsidR="00CA0DFE" w:rsidP="00CA0DFE" w:rsidRDefault="00CA0DFE">
            <w:pPr>
              <w:jc w:val="center"/>
              <w:rPr>
                <w:sz w:val="4"/>
                <w:szCs w:val="4"/>
              </w:rPr>
            </w:pPr>
          </w:p>
        </w:tc>
        <w:tc>
          <w:tcPr>
            <w:tcW w:w="1170" w:type="dxa"/>
            <w:tcBorders>
              <w:top w:val="nil"/>
              <w:left w:val="nil"/>
              <w:bottom w:val="single" w:color="auto" w:sz="4" w:space="0"/>
              <w:right w:val="nil"/>
            </w:tcBorders>
            <w:shd w:val="clear" w:color="auto" w:fill="auto"/>
            <w:vAlign w:val="bottom"/>
            <w:hideMark/>
          </w:tcPr>
          <w:p w:rsidRPr="00B23334" w:rsidR="00CA0DFE" w:rsidP="00CA0DFE" w:rsidRDefault="00CA0DFE">
            <w:pPr>
              <w:jc w:val="center"/>
              <w:rPr>
                <w:sz w:val="4"/>
                <w:szCs w:val="4"/>
              </w:rPr>
            </w:pPr>
          </w:p>
        </w:tc>
        <w:tc>
          <w:tcPr>
            <w:tcW w:w="1080" w:type="dxa"/>
            <w:tcBorders>
              <w:top w:val="nil"/>
              <w:left w:val="nil"/>
              <w:bottom w:val="single" w:color="auto" w:sz="4" w:space="0"/>
              <w:right w:val="nil"/>
            </w:tcBorders>
            <w:shd w:val="clear" w:color="auto" w:fill="auto"/>
            <w:vAlign w:val="bottom"/>
            <w:hideMark/>
          </w:tcPr>
          <w:p w:rsidRPr="00B23334" w:rsidR="00CA0DFE" w:rsidP="00CA0DFE" w:rsidRDefault="00CA0DFE">
            <w:pPr>
              <w:jc w:val="center"/>
              <w:rPr>
                <w:sz w:val="4"/>
                <w:szCs w:val="4"/>
              </w:rPr>
            </w:pPr>
          </w:p>
        </w:tc>
        <w:tc>
          <w:tcPr>
            <w:tcW w:w="1170" w:type="dxa"/>
            <w:tcBorders>
              <w:top w:val="nil"/>
              <w:left w:val="nil"/>
              <w:bottom w:val="single" w:color="auto" w:sz="4" w:space="0"/>
              <w:right w:val="nil"/>
            </w:tcBorders>
          </w:tcPr>
          <w:p w:rsidRPr="00B23334" w:rsidR="00CA0DFE" w:rsidP="00CA0DFE" w:rsidRDefault="00CA0DFE">
            <w:pPr>
              <w:jc w:val="center"/>
              <w:rPr>
                <w:sz w:val="4"/>
                <w:szCs w:val="4"/>
              </w:rPr>
            </w:pPr>
          </w:p>
        </w:tc>
        <w:tc>
          <w:tcPr>
            <w:tcW w:w="1620" w:type="dxa"/>
            <w:tcBorders>
              <w:top w:val="nil"/>
              <w:left w:val="nil"/>
              <w:bottom w:val="single" w:color="auto" w:sz="4" w:space="0"/>
              <w:right w:val="nil"/>
            </w:tcBorders>
          </w:tcPr>
          <w:p w:rsidRPr="00B23334" w:rsidR="00CA0DFE" w:rsidP="00CA0DFE" w:rsidRDefault="00CA0DFE">
            <w:pPr>
              <w:jc w:val="center"/>
              <w:rPr>
                <w:sz w:val="4"/>
                <w:szCs w:val="4"/>
              </w:rPr>
            </w:pPr>
          </w:p>
        </w:tc>
      </w:tr>
      <w:tr w:rsidRPr="00B23334" w:rsidR="00CA0DFE" w:rsidTr="00CA0DFE">
        <w:trPr>
          <w:trHeight w:val="315"/>
        </w:trPr>
        <w:tc>
          <w:tcPr>
            <w:tcW w:w="126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696D7C" w:rsidR="00CA0DFE" w:rsidP="00646BFE" w:rsidRDefault="00CA0DFE">
            <w:pPr>
              <w:spacing w:after="60"/>
              <w:rPr>
                <w:b/>
                <w:bCs/>
              </w:rPr>
            </w:pPr>
            <w:r w:rsidRPr="00696D7C">
              <w:rPr>
                <w:b/>
                <w:bCs/>
              </w:rPr>
              <w:t>TOTAL</w:t>
            </w:r>
          </w:p>
        </w:tc>
        <w:tc>
          <w:tcPr>
            <w:tcW w:w="135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B23334" w:rsidR="00CA0DFE" w:rsidP="00CA0DFE" w:rsidRDefault="006361A6">
            <w:pPr>
              <w:spacing w:after="60"/>
              <w:jc w:val="center"/>
              <w:rPr>
                <w:b/>
              </w:rPr>
            </w:pPr>
            <w:r>
              <w:rPr>
                <w:b/>
              </w:rPr>
              <w:t>698</w:t>
            </w:r>
          </w:p>
        </w:tc>
        <w:tc>
          <w:tcPr>
            <w:tcW w:w="1350" w:type="dxa"/>
            <w:tcBorders>
              <w:top w:val="single" w:color="auto" w:sz="4" w:space="0"/>
              <w:left w:val="single" w:color="auto" w:sz="4" w:space="0"/>
              <w:bottom w:val="single" w:color="auto" w:sz="4" w:space="0"/>
              <w:right w:val="single" w:color="auto" w:sz="4" w:space="0"/>
            </w:tcBorders>
            <w:shd w:val="clear" w:color="000000" w:fill="C0C0C0"/>
            <w:hideMark/>
          </w:tcPr>
          <w:p w:rsidRPr="00B23334" w:rsidR="00CA0DFE" w:rsidP="00CA0DFE" w:rsidRDefault="00CA0DFE">
            <w:pPr>
              <w:spacing w:after="60"/>
              <w:jc w:val="center"/>
              <w:rPr>
                <w:b/>
              </w:rPr>
            </w:pPr>
          </w:p>
        </w:tc>
        <w:tc>
          <w:tcPr>
            <w:tcW w:w="117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B23334" w:rsidR="00CA0DFE" w:rsidP="006B2514" w:rsidRDefault="00BF104C">
            <w:pPr>
              <w:spacing w:after="60"/>
              <w:jc w:val="center"/>
              <w:rPr>
                <w:b/>
              </w:rPr>
            </w:pPr>
            <w:r>
              <w:rPr>
                <w:b/>
              </w:rPr>
              <w:t>60</w:t>
            </w:r>
            <w:r w:rsidR="006B2514">
              <w:rPr>
                <w:b/>
              </w:rPr>
              <w:t>,826</w:t>
            </w:r>
          </w:p>
        </w:tc>
        <w:tc>
          <w:tcPr>
            <w:tcW w:w="117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B23334" w:rsidR="00CA0DFE" w:rsidP="00CA0DFE" w:rsidRDefault="00CA0DFE">
            <w:pPr>
              <w:spacing w:after="60"/>
              <w:jc w:val="center"/>
              <w:rPr>
                <w:b/>
              </w:rPr>
            </w:pPr>
          </w:p>
        </w:tc>
        <w:tc>
          <w:tcPr>
            <w:tcW w:w="1080" w:type="dxa"/>
            <w:tcBorders>
              <w:top w:val="single" w:color="auto" w:sz="4" w:space="0"/>
              <w:left w:val="single" w:color="auto" w:sz="4" w:space="0"/>
              <w:bottom w:val="single" w:color="auto" w:sz="4" w:space="0"/>
              <w:right w:val="single" w:color="auto" w:sz="4" w:space="0"/>
            </w:tcBorders>
            <w:shd w:val="clear" w:color="000000" w:fill="C0C0C0"/>
            <w:vAlign w:val="bottom"/>
          </w:tcPr>
          <w:p w:rsidRPr="00B23334" w:rsidR="00CA0DFE" w:rsidP="00CA0DFE" w:rsidRDefault="00BF104C">
            <w:pPr>
              <w:spacing w:after="60"/>
              <w:ind w:left="-108" w:right="-18"/>
              <w:jc w:val="center"/>
              <w:rPr>
                <w:b/>
              </w:rPr>
            </w:pPr>
            <w:r>
              <w:rPr>
                <w:b/>
              </w:rPr>
              <w:t>33</w:t>
            </w:r>
            <w:r w:rsidR="006B2514">
              <w:rPr>
                <w:b/>
              </w:rPr>
              <w:t>,</w:t>
            </w:r>
            <w:r>
              <w:rPr>
                <w:b/>
              </w:rPr>
              <w:t>885</w:t>
            </w:r>
          </w:p>
        </w:tc>
        <w:tc>
          <w:tcPr>
            <w:tcW w:w="1170" w:type="dxa"/>
            <w:tcBorders>
              <w:top w:val="single" w:color="auto" w:sz="4" w:space="0"/>
              <w:left w:val="single" w:color="auto" w:sz="4" w:space="0"/>
              <w:bottom w:val="single" w:color="auto" w:sz="4" w:space="0"/>
              <w:right w:val="single" w:color="auto" w:sz="4" w:space="0"/>
            </w:tcBorders>
            <w:shd w:val="clear" w:color="000000" w:fill="C0C0C0"/>
          </w:tcPr>
          <w:p w:rsidRPr="00B23334" w:rsidR="00CA0DFE" w:rsidP="00CA0DFE" w:rsidRDefault="00CA0DFE">
            <w:pPr>
              <w:spacing w:after="60"/>
              <w:ind w:left="-108" w:right="-18"/>
              <w:jc w:val="center"/>
              <w:rPr>
                <w:b/>
              </w:rPr>
            </w:pPr>
          </w:p>
        </w:tc>
        <w:tc>
          <w:tcPr>
            <w:tcW w:w="1620" w:type="dxa"/>
            <w:tcBorders>
              <w:top w:val="single" w:color="auto" w:sz="4" w:space="0"/>
              <w:left w:val="single" w:color="auto" w:sz="4" w:space="0"/>
              <w:bottom w:val="single" w:color="auto" w:sz="4" w:space="0"/>
              <w:right w:val="single" w:color="auto" w:sz="4" w:space="0"/>
            </w:tcBorders>
            <w:shd w:val="clear" w:color="000000" w:fill="C0C0C0"/>
          </w:tcPr>
          <w:p w:rsidRPr="00B23334" w:rsidR="00CA0DFE" w:rsidP="00B62B4D" w:rsidRDefault="00CA0DFE">
            <w:pPr>
              <w:spacing w:after="60"/>
              <w:ind w:left="-108" w:right="-18"/>
              <w:jc w:val="center"/>
              <w:rPr>
                <w:b/>
              </w:rPr>
            </w:pPr>
            <w:r w:rsidRPr="00B23334">
              <w:rPr>
                <w:b/>
              </w:rPr>
              <w:t>$</w:t>
            </w:r>
            <w:r w:rsidR="00B62B4D">
              <w:rPr>
                <w:b/>
              </w:rPr>
              <w:t>967,970</w:t>
            </w:r>
          </w:p>
        </w:tc>
      </w:tr>
    </w:tbl>
    <w:p w:rsidRPr="00696D7C" w:rsidR="003104B4" w:rsidP="00F25105" w:rsidRDefault="003104B4">
      <w:pPr>
        <w:pStyle w:val="Default"/>
        <w:rPr>
          <w:color w:val="auto"/>
        </w:rPr>
      </w:pPr>
    </w:p>
    <w:p w:rsidRPr="00696D7C" w:rsidR="005F0CAC" w:rsidP="005F0CAC" w:rsidRDefault="00F25105">
      <w:pPr>
        <w:ind w:left="1440" w:hanging="720"/>
        <w:rPr>
          <w:b/>
          <w:bCs/>
          <w:color w:val="000000"/>
        </w:rPr>
      </w:pPr>
      <w:r w:rsidRPr="00696D7C">
        <w:rPr>
          <w:b/>
          <w:bCs/>
        </w:rPr>
        <w:t xml:space="preserve">13. </w:t>
      </w:r>
      <w:r w:rsidRPr="00696D7C" w:rsidR="00C02AF6">
        <w:rPr>
          <w:b/>
          <w:bCs/>
        </w:rPr>
        <w:tab/>
      </w:r>
      <w:r w:rsidRPr="00696D7C" w:rsidR="005F0CAC">
        <w:rPr>
          <w:b/>
          <w:bCs/>
          <w:color w:val="000000"/>
        </w:rPr>
        <w:t xml:space="preserve">Provide an estimate for the total annual cost burden to respondents or </w:t>
      </w:r>
      <w:proofErr w:type="spellStart"/>
      <w:r w:rsidRPr="00696D7C" w:rsidR="005F0CAC">
        <w:rPr>
          <w:b/>
          <w:bCs/>
          <w:color w:val="000000"/>
        </w:rPr>
        <w:t>recordkeepers</w:t>
      </w:r>
      <w:proofErr w:type="spellEnd"/>
      <w:r w:rsidRPr="00696D7C" w:rsidR="005F0CAC">
        <w:rPr>
          <w:b/>
          <w:bCs/>
          <w:color w:val="000000"/>
        </w:rPr>
        <w:t xml:space="preserve"> resulting from the collection of information. (Do not include the cost of any hour burden shown in Items 12 and 14). </w:t>
      </w:r>
    </w:p>
    <w:p w:rsidRPr="00696D7C" w:rsidR="005F0CAC" w:rsidP="005F0CAC" w:rsidRDefault="005F0CAC">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w:t>
      </w:r>
      <w:r w:rsidRPr="00696D7C">
        <w:rPr>
          <w:rFonts w:ascii="Times New Roman" w:hAnsi="Times New Roman" w:cs="Times New Roman"/>
          <w:b/>
          <w:sz w:val="24"/>
          <w:szCs w:val="24"/>
        </w:rPr>
        <w:lastRenderedPageBreak/>
        <w:t xml:space="preserve">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696D7C" w:rsidR="005F0CAC" w:rsidP="005F0CAC" w:rsidRDefault="005F0CAC">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10/95 existing economic or regulatory impact analysis associated with the rulemaking containing the information collection, as appropriate.</w:t>
      </w:r>
    </w:p>
    <w:p w:rsidRPr="00696D7C" w:rsidR="00571D58" w:rsidP="005F0CAC" w:rsidRDefault="005F0CAC">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96D7C" w:rsidR="00F25105">
        <w:rPr>
          <w:rFonts w:ascii="Times New Roman" w:hAnsi="Times New Roman" w:cs="Times New Roman"/>
          <w:b/>
          <w:bCs/>
          <w:sz w:val="24"/>
          <w:szCs w:val="24"/>
        </w:rPr>
        <w:t xml:space="preserve"> </w:t>
      </w:r>
    </w:p>
    <w:p w:rsidRPr="00696D7C" w:rsidR="00571D58" w:rsidP="00F25105" w:rsidRDefault="00571D58">
      <w:pPr>
        <w:pStyle w:val="Default"/>
        <w:ind w:firstLine="720"/>
        <w:rPr>
          <w:b/>
          <w:bCs/>
          <w:color w:val="auto"/>
        </w:rPr>
      </w:pPr>
    </w:p>
    <w:p w:rsidRPr="008B3660" w:rsidR="009858EB" w:rsidP="009858EB" w:rsidRDefault="009858EB">
      <w:pPr>
        <w:pStyle w:val="Default"/>
        <w:ind w:right="-720"/>
        <w:rPr>
          <w:color w:val="auto"/>
        </w:rPr>
      </w:pPr>
    </w:p>
    <w:p w:rsidR="00F25105" w:rsidP="009858EB" w:rsidRDefault="009858EB">
      <w:pPr>
        <w:pStyle w:val="Default"/>
        <w:ind w:firstLine="720"/>
        <w:jc w:val="center"/>
        <w:rPr>
          <w:color w:val="auto"/>
        </w:rPr>
      </w:pPr>
      <w:r>
        <w:rPr>
          <w:b/>
          <w:bCs/>
          <w:u w:val="single"/>
        </w:rPr>
        <w:t>ESTIMATED ANNUAL COST TOTALS</w:t>
      </w:r>
    </w:p>
    <w:p w:rsidR="009858EB" w:rsidP="00F25105" w:rsidRDefault="009858EB">
      <w:pPr>
        <w:pStyle w:val="Default"/>
        <w:ind w:firstLine="720"/>
        <w:rPr>
          <w:color w:val="auto"/>
        </w:rPr>
      </w:pPr>
    </w:p>
    <w:p w:rsidR="00542142" w:rsidP="00455EE8" w:rsidRDefault="003924B4">
      <w:pPr>
        <w:pStyle w:val="Default"/>
        <w:spacing w:line="480" w:lineRule="auto"/>
        <w:ind w:firstLine="720"/>
        <w:rPr>
          <w:color w:val="auto"/>
        </w:rPr>
      </w:pPr>
      <w:r>
        <w:rPr>
          <w:color w:val="auto"/>
        </w:rPr>
        <w:t>Similar to 12, non-wage annual cost estimates were determined by stake-holder based estimates being multiplied</w:t>
      </w:r>
      <w:r w:rsidRPr="00CD79EE" w:rsidR="00CD79EE">
        <w:rPr>
          <w:color w:val="auto"/>
        </w:rPr>
        <w:t xml:space="preserve"> </w:t>
      </w:r>
      <w:r w:rsidR="00CD79EE">
        <w:rPr>
          <w:color w:val="auto"/>
        </w:rPr>
        <w:t>by the average number of annual responses.</w:t>
      </w:r>
      <w:r>
        <w:rPr>
          <w:color w:val="auto"/>
        </w:rPr>
        <w:t xml:space="preserve"> </w:t>
      </w:r>
      <w:r w:rsidR="00B66ECA">
        <w:rPr>
          <w:color w:val="auto"/>
        </w:rPr>
        <w:t xml:space="preserve">In this case, non-wage costs were primarily </w:t>
      </w:r>
      <w:r w:rsidR="00542142">
        <w:rPr>
          <w:color w:val="auto"/>
        </w:rPr>
        <w:t xml:space="preserve">Commission fees assessed for </w:t>
      </w:r>
      <w:r w:rsidR="00B66ECA">
        <w:rPr>
          <w:color w:val="auto"/>
        </w:rPr>
        <w:t xml:space="preserve">the </w:t>
      </w:r>
      <w:r w:rsidR="00542142">
        <w:rPr>
          <w:color w:val="auto"/>
        </w:rPr>
        <w:t xml:space="preserve">processing </w:t>
      </w:r>
      <w:r w:rsidR="00B66ECA">
        <w:rPr>
          <w:color w:val="auto"/>
        </w:rPr>
        <w:t xml:space="preserve">of </w:t>
      </w:r>
      <w:r w:rsidR="00542142">
        <w:rPr>
          <w:color w:val="auto"/>
        </w:rPr>
        <w:t xml:space="preserve">tribal fingerprint cards. </w:t>
      </w:r>
    </w:p>
    <w:p w:rsidR="00455EE8" w:rsidP="00455EE8" w:rsidRDefault="00455EE8">
      <w:pPr>
        <w:pStyle w:val="Default"/>
        <w:spacing w:line="480" w:lineRule="auto"/>
        <w:ind w:firstLine="720"/>
        <w:rPr>
          <w:color w:val="auto"/>
        </w:rPr>
      </w:pPr>
      <w:r w:rsidRPr="00696D7C">
        <w:t xml:space="preserve">Commission regulations require tribes </w:t>
      </w:r>
      <w:r w:rsidRPr="00696D7C">
        <w:rPr>
          <w:rFonts w:eastAsia="Times New Roman"/>
        </w:rPr>
        <w:t>to pay a fee to process fingerprint cards on behalf of the tribes.</w:t>
      </w:r>
      <w:r w:rsidRPr="00696D7C">
        <w:t xml:space="preserve"> </w:t>
      </w:r>
      <w:r w:rsidR="00B66ECA">
        <w:t>During</w:t>
      </w:r>
      <w:r w:rsidR="00542142">
        <w:t xml:space="preserve"> the 2019 – 2021 period, t</w:t>
      </w:r>
      <w:r w:rsidRPr="00696D7C">
        <w:t>he</w:t>
      </w:r>
      <w:r>
        <w:t xml:space="preserve"> NIGC </w:t>
      </w:r>
      <w:r w:rsidR="00B66ECA">
        <w:t>charged an average of</w:t>
      </w:r>
      <w:r w:rsidRPr="00B23334">
        <w:t xml:space="preserve"> </w:t>
      </w:r>
      <w:r w:rsidR="005C127E">
        <w:t>$2</w:t>
      </w:r>
      <w:r w:rsidRPr="00B23334">
        <w:t xml:space="preserve">8 </w:t>
      </w:r>
      <w:r w:rsidRPr="00696D7C">
        <w:t>per fingerprint card</w:t>
      </w:r>
      <w:r w:rsidR="00B66ECA">
        <w:t xml:space="preserve">.  This </w:t>
      </w:r>
      <w:r w:rsidR="005C127E">
        <w:t xml:space="preserve">resulted in a total </w:t>
      </w:r>
      <w:r w:rsidR="00511CBA">
        <w:t>of $1,64</w:t>
      </w:r>
      <w:r w:rsidR="00ED2375">
        <w:t xml:space="preserve">9,004 in annual </w:t>
      </w:r>
      <w:r w:rsidR="005C127E">
        <w:t xml:space="preserve">estimated </w:t>
      </w:r>
      <w:r w:rsidR="00B66ECA">
        <w:t>non-wage cost</w:t>
      </w:r>
      <w:r w:rsidR="00ED2375">
        <w:t>s</w:t>
      </w:r>
      <w:r w:rsidR="005C127E">
        <w:t>.</w:t>
      </w:r>
    </w:p>
    <w:p w:rsidR="00455EE8" w:rsidP="00F25105" w:rsidRDefault="00455EE8">
      <w:pPr>
        <w:pStyle w:val="Default"/>
        <w:ind w:firstLine="720"/>
        <w:rPr>
          <w:color w:val="auto"/>
        </w:rPr>
      </w:pPr>
    </w:p>
    <w:tbl>
      <w:tblPr>
        <w:tblW w:w="7790" w:type="dxa"/>
        <w:jc w:val="center"/>
        <w:tblLayout w:type="fixed"/>
        <w:tblLook w:val="04A0" w:firstRow="1" w:lastRow="0" w:firstColumn="1" w:lastColumn="0" w:noHBand="0" w:noVBand="1"/>
      </w:tblPr>
      <w:tblGrid>
        <w:gridCol w:w="1260"/>
        <w:gridCol w:w="1340"/>
        <w:gridCol w:w="1170"/>
        <w:gridCol w:w="1080"/>
        <w:gridCol w:w="1270"/>
        <w:gridCol w:w="1670"/>
      </w:tblGrid>
      <w:tr w:rsidR="009858EB" w:rsidTr="009858EB">
        <w:trPr>
          <w:trHeight w:val="745"/>
          <w:jc w:val="center"/>
        </w:trPr>
        <w:tc>
          <w:tcPr>
            <w:tcW w:w="126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hideMark/>
          </w:tcPr>
          <w:p w:rsidR="009858EB" w:rsidP="00EA60A1" w:rsidRDefault="009858EB">
            <w:pPr>
              <w:spacing w:before="60" w:after="60"/>
              <w:ind w:left="-93" w:right="-108"/>
              <w:jc w:val="center"/>
              <w:rPr>
                <w:b/>
                <w:bCs/>
                <w:color w:val="000000"/>
                <w:sz w:val="18"/>
                <w:szCs w:val="18"/>
              </w:rPr>
            </w:pPr>
            <w:r>
              <w:rPr>
                <w:b/>
                <w:bCs/>
                <w:color w:val="000000"/>
                <w:sz w:val="18"/>
                <w:szCs w:val="18"/>
              </w:rPr>
              <w:t>CFR CITE/ COLLECTION</w:t>
            </w:r>
          </w:p>
        </w:tc>
        <w:tc>
          <w:tcPr>
            <w:tcW w:w="1340" w:type="dxa"/>
            <w:tcBorders>
              <w:top w:val="single" w:color="auto" w:sz="8" w:space="0"/>
              <w:left w:val="nil"/>
              <w:bottom w:val="single" w:color="auto" w:sz="8" w:space="0"/>
              <w:right w:val="single" w:color="auto" w:sz="8" w:space="0"/>
            </w:tcBorders>
            <w:shd w:val="clear" w:color="000000" w:fill="BFBFBF" w:themeFill="background1" w:themeFillShade="BF"/>
            <w:hideMark/>
          </w:tcPr>
          <w:p w:rsidR="009858EB" w:rsidP="00EA60A1" w:rsidRDefault="009858EB">
            <w:pPr>
              <w:spacing w:before="60" w:after="60"/>
              <w:ind w:left="-108" w:right="-108"/>
              <w:jc w:val="center"/>
              <w:rPr>
                <w:b/>
                <w:bCs/>
                <w:sz w:val="18"/>
                <w:szCs w:val="18"/>
              </w:rPr>
            </w:pPr>
            <w:r>
              <w:rPr>
                <w:b/>
                <w:bCs/>
                <w:sz w:val="18"/>
                <w:szCs w:val="18"/>
              </w:rPr>
              <w:t>NUMBER OF ANNUAL RESPONDENTS</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hideMark/>
          </w:tcPr>
          <w:p w:rsidR="009858EB" w:rsidP="00EA60A1" w:rsidRDefault="009858EB">
            <w:pPr>
              <w:spacing w:before="60" w:after="60"/>
              <w:ind w:left="-108" w:right="-108"/>
              <w:jc w:val="center"/>
              <w:rPr>
                <w:b/>
                <w:bCs/>
                <w:sz w:val="18"/>
                <w:szCs w:val="18"/>
              </w:rPr>
            </w:pPr>
            <w:r>
              <w:rPr>
                <w:b/>
                <w:bCs/>
                <w:sz w:val="18"/>
                <w:szCs w:val="18"/>
              </w:rPr>
              <w:t>FREQUENCY OF RESPONSES PER YEAR</w:t>
            </w:r>
          </w:p>
        </w:tc>
        <w:tc>
          <w:tcPr>
            <w:tcW w:w="1080" w:type="dxa"/>
            <w:tcBorders>
              <w:top w:val="single" w:color="auto" w:sz="8" w:space="0"/>
              <w:left w:val="nil"/>
              <w:bottom w:val="single" w:color="auto" w:sz="8" w:space="0"/>
              <w:right w:val="single" w:color="auto" w:sz="8" w:space="0"/>
            </w:tcBorders>
            <w:shd w:val="clear" w:color="000000" w:fill="BFBFBF" w:themeFill="background1" w:themeFillShade="BF"/>
            <w:hideMark/>
          </w:tcPr>
          <w:p w:rsidR="009858EB" w:rsidP="00EA60A1" w:rsidRDefault="009858EB">
            <w:pPr>
              <w:spacing w:before="60" w:after="60"/>
              <w:ind w:left="-108" w:right="-108"/>
              <w:jc w:val="center"/>
              <w:rPr>
                <w:b/>
                <w:bCs/>
                <w:sz w:val="18"/>
                <w:szCs w:val="18"/>
              </w:rPr>
            </w:pPr>
            <w:r>
              <w:rPr>
                <w:b/>
                <w:bCs/>
                <w:sz w:val="18"/>
                <w:szCs w:val="18"/>
              </w:rPr>
              <w:t>TOTAL ANNUAL RESPONSES</w:t>
            </w:r>
          </w:p>
        </w:tc>
        <w:tc>
          <w:tcPr>
            <w:tcW w:w="1270" w:type="dxa"/>
            <w:tcBorders>
              <w:top w:val="single" w:color="auto" w:sz="8" w:space="0"/>
              <w:left w:val="single" w:color="auto" w:sz="4" w:space="0"/>
              <w:bottom w:val="single" w:color="auto" w:sz="8" w:space="0"/>
              <w:right w:val="single" w:color="auto" w:sz="4" w:space="0"/>
            </w:tcBorders>
            <w:shd w:val="clear" w:color="000000" w:fill="BFBFBF" w:themeFill="background1" w:themeFillShade="BF"/>
          </w:tcPr>
          <w:p w:rsidR="009858EB" w:rsidP="00EA60A1" w:rsidRDefault="009858EB">
            <w:pPr>
              <w:spacing w:before="60" w:after="60"/>
              <w:jc w:val="center"/>
              <w:rPr>
                <w:b/>
                <w:bCs/>
                <w:sz w:val="18"/>
                <w:szCs w:val="18"/>
              </w:rPr>
            </w:pPr>
            <w:r>
              <w:rPr>
                <w:b/>
                <w:bCs/>
                <w:sz w:val="18"/>
                <w:szCs w:val="18"/>
              </w:rPr>
              <w:t>AVERAGE ANNUAL COSTS</w:t>
            </w:r>
          </w:p>
        </w:tc>
        <w:tc>
          <w:tcPr>
            <w:tcW w:w="1670" w:type="dxa"/>
            <w:tcBorders>
              <w:top w:val="single" w:color="auto" w:sz="8" w:space="0"/>
              <w:left w:val="single" w:color="auto" w:sz="4" w:space="0"/>
              <w:bottom w:val="single" w:color="auto" w:sz="8" w:space="0"/>
              <w:right w:val="single" w:color="auto" w:sz="8" w:space="0"/>
            </w:tcBorders>
            <w:shd w:val="clear" w:color="000000" w:fill="BFBFBF" w:themeFill="background1" w:themeFillShade="BF"/>
            <w:hideMark/>
          </w:tcPr>
          <w:p w:rsidR="009858EB" w:rsidP="00EA60A1" w:rsidRDefault="009858EB">
            <w:pPr>
              <w:spacing w:before="60" w:after="60"/>
              <w:jc w:val="center"/>
              <w:rPr>
                <w:b/>
                <w:bCs/>
                <w:sz w:val="18"/>
                <w:szCs w:val="18"/>
              </w:rPr>
            </w:pPr>
            <w:r>
              <w:rPr>
                <w:b/>
                <w:bCs/>
                <w:sz w:val="18"/>
                <w:szCs w:val="18"/>
              </w:rPr>
              <w:t>TOTAL COSTS</w:t>
            </w:r>
          </w:p>
        </w:tc>
      </w:tr>
      <w:tr w:rsidR="009858EB" w:rsidTr="009858EB">
        <w:trPr>
          <w:trHeight w:val="330"/>
          <w:jc w:val="center"/>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009858EB" w:rsidP="00EA60A1" w:rsidRDefault="00821501">
            <w:pPr>
              <w:spacing w:after="60"/>
              <w:jc w:val="center"/>
              <w:rPr>
                <w:b/>
                <w:bCs/>
              </w:rPr>
            </w:pPr>
            <w:r w:rsidRPr="00696D7C">
              <w:rPr>
                <w:b/>
                <w:bCs/>
              </w:rPr>
              <w:t>514.6</w:t>
            </w:r>
          </w:p>
        </w:tc>
        <w:tc>
          <w:tcPr>
            <w:tcW w:w="1340" w:type="dxa"/>
            <w:tcBorders>
              <w:top w:val="single" w:color="auto" w:sz="8" w:space="0"/>
              <w:left w:val="single" w:color="auto" w:sz="4" w:space="0"/>
              <w:bottom w:val="single" w:color="auto" w:sz="8" w:space="0"/>
              <w:right w:val="single" w:color="auto" w:sz="8" w:space="0"/>
            </w:tcBorders>
            <w:shd w:val="clear" w:color="auto" w:fill="auto"/>
          </w:tcPr>
          <w:p w:rsidR="009858EB" w:rsidP="00B456C0" w:rsidRDefault="00213BFE">
            <w:pPr>
              <w:spacing w:after="60"/>
              <w:jc w:val="center"/>
            </w:pPr>
            <w:r>
              <w:t>48</w:t>
            </w:r>
            <w:r w:rsidR="00CA36B1">
              <w:t>2</w:t>
            </w:r>
          </w:p>
        </w:tc>
        <w:tc>
          <w:tcPr>
            <w:tcW w:w="1170" w:type="dxa"/>
            <w:tcBorders>
              <w:top w:val="single" w:color="auto" w:sz="8" w:space="0"/>
              <w:left w:val="nil"/>
              <w:bottom w:val="single" w:color="auto" w:sz="8" w:space="0"/>
              <w:right w:val="single" w:color="auto" w:sz="8" w:space="0"/>
            </w:tcBorders>
            <w:shd w:val="clear" w:color="auto" w:fill="auto"/>
            <w:hideMark/>
          </w:tcPr>
          <w:p w:rsidR="009858EB" w:rsidP="00B456C0" w:rsidRDefault="00CA36B1">
            <w:pPr>
              <w:spacing w:after="60"/>
              <w:jc w:val="center"/>
            </w:pPr>
            <w:r>
              <w:t>4</w:t>
            </w:r>
          </w:p>
        </w:tc>
        <w:tc>
          <w:tcPr>
            <w:tcW w:w="1080" w:type="dxa"/>
            <w:tcBorders>
              <w:top w:val="single" w:color="auto" w:sz="8" w:space="0"/>
              <w:left w:val="nil"/>
              <w:bottom w:val="single" w:color="auto" w:sz="8" w:space="0"/>
              <w:right w:val="single" w:color="auto" w:sz="8" w:space="0"/>
            </w:tcBorders>
            <w:shd w:val="clear" w:color="auto" w:fill="auto"/>
            <w:hideMark/>
          </w:tcPr>
          <w:p w:rsidR="009858EB" w:rsidP="00B456C0" w:rsidRDefault="00CA36B1">
            <w:pPr>
              <w:spacing w:after="60"/>
              <w:jc w:val="center"/>
            </w:pPr>
            <w:r>
              <w:t>1</w:t>
            </w:r>
            <w:r w:rsidR="006C0886">
              <w:t>,</w:t>
            </w:r>
            <w:r>
              <w:t>928</w:t>
            </w:r>
          </w:p>
        </w:tc>
        <w:tc>
          <w:tcPr>
            <w:tcW w:w="1270" w:type="dxa"/>
            <w:tcBorders>
              <w:top w:val="single" w:color="auto" w:sz="8" w:space="0"/>
              <w:left w:val="single" w:color="auto" w:sz="4" w:space="0"/>
              <w:bottom w:val="single" w:color="auto" w:sz="8" w:space="0"/>
              <w:right w:val="single" w:color="auto" w:sz="4" w:space="0"/>
            </w:tcBorders>
          </w:tcPr>
          <w:p w:rsidR="009858EB" w:rsidP="00B456C0" w:rsidRDefault="000522B8">
            <w:pPr>
              <w:spacing w:after="60"/>
              <w:jc w:val="center"/>
            </w:pPr>
            <w:r>
              <w:t>$</w:t>
            </w:r>
            <w:r w:rsidR="00CA36B1">
              <w:t>0</w:t>
            </w:r>
          </w:p>
        </w:tc>
        <w:tc>
          <w:tcPr>
            <w:tcW w:w="1670" w:type="dxa"/>
            <w:tcBorders>
              <w:top w:val="single" w:color="auto" w:sz="8" w:space="0"/>
              <w:left w:val="single" w:color="auto" w:sz="4" w:space="0"/>
              <w:bottom w:val="single" w:color="auto" w:sz="8" w:space="0"/>
              <w:right w:val="single" w:color="auto" w:sz="8" w:space="0"/>
            </w:tcBorders>
            <w:shd w:val="clear" w:color="auto" w:fill="auto"/>
            <w:hideMark/>
          </w:tcPr>
          <w:p w:rsidR="009858EB" w:rsidP="00B456C0" w:rsidRDefault="000522B8">
            <w:pPr>
              <w:spacing w:after="60"/>
              <w:jc w:val="center"/>
            </w:pPr>
            <w:r>
              <w:t>$</w:t>
            </w:r>
            <w:r w:rsidR="00CA36B1">
              <w:t>0</w:t>
            </w:r>
          </w:p>
        </w:tc>
      </w:tr>
      <w:tr w:rsidR="009858EB" w:rsidTr="009858EB">
        <w:trPr>
          <w:trHeight w:val="330"/>
          <w:jc w:val="center"/>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009858EB" w:rsidP="00EA60A1" w:rsidRDefault="00821501">
            <w:pPr>
              <w:spacing w:after="60"/>
              <w:jc w:val="center"/>
              <w:rPr>
                <w:b/>
                <w:bCs/>
              </w:rPr>
            </w:pPr>
            <w:r w:rsidRPr="00696D7C">
              <w:rPr>
                <w:b/>
                <w:bCs/>
              </w:rPr>
              <w:t>514.7</w:t>
            </w:r>
          </w:p>
        </w:tc>
        <w:tc>
          <w:tcPr>
            <w:tcW w:w="1340" w:type="dxa"/>
            <w:tcBorders>
              <w:top w:val="nil"/>
              <w:left w:val="single" w:color="auto" w:sz="4" w:space="0"/>
              <w:bottom w:val="single" w:color="auto" w:sz="8" w:space="0"/>
              <w:right w:val="single" w:color="auto" w:sz="8" w:space="0"/>
            </w:tcBorders>
            <w:shd w:val="clear" w:color="auto" w:fill="auto"/>
            <w:hideMark/>
          </w:tcPr>
          <w:p w:rsidR="009858EB" w:rsidP="00B456C0" w:rsidRDefault="00CA36B1">
            <w:pPr>
              <w:spacing w:after="60"/>
              <w:jc w:val="center"/>
            </w:pPr>
            <w:r>
              <w:t>5</w:t>
            </w:r>
          </w:p>
        </w:tc>
        <w:tc>
          <w:tcPr>
            <w:tcW w:w="1170" w:type="dxa"/>
            <w:tcBorders>
              <w:top w:val="nil"/>
              <w:left w:val="nil"/>
              <w:bottom w:val="single" w:color="auto" w:sz="8" w:space="0"/>
              <w:right w:val="single" w:color="auto" w:sz="8" w:space="0"/>
            </w:tcBorders>
            <w:shd w:val="clear" w:color="auto" w:fill="auto"/>
            <w:hideMark/>
          </w:tcPr>
          <w:p w:rsidR="00CA36B1" w:rsidP="00B456C0" w:rsidRDefault="00CA36B1">
            <w:pPr>
              <w:spacing w:after="60"/>
              <w:jc w:val="center"/>
            </w:pPr>
            <w:r>
              <w:t>Varies</w:t>
            </w:r>
          </w:p>
        </w:tc>
        <w:tc>
          <w:tcPr>
            <w:tcW w:w="1080" w:type="dxa"/>
            <w:tcBorders>
              <w:top w:val="nil"/>
              <w:left w:val="nil"/>
              <w:bottom w:val="single" w:color="auto" w:sz="8" w:space="0"/>
              <w:right w:val="single" w:color="auto" w:sz="8" w:space="0"/>
            </w:tcBorders>
            <w:shd w:val="clear" w:color="auto" w:fill="auto"/>
            <w:hideMark/>
          </w:tcPr>
          <w:p w:rsidR="009858EB" w:rsidP="00B456C0" w:rsidRDefault="00CA36B1">
            <w:pPr>
              <w:spacing w:after="60"/>
              <w:jc w:val="center"/>
            </w:pPr>
            <w:r>
              <w:t>5</w:t>
            </w:r>
          </w:p>
        </w:tc>
        <w:tc>
          <w:tcPr>
            <w:tcW w:w="1270" w:type="dxa"/>
            <w:tcBorders>
              <w:top w:val="nil"/>
              <w:left w:val="single" w:color="auto" w:sz="4" w:space="0"/>
              <w:bottom w:val="single" w:color="auto" w:sz="8" w:space="0"/>
              <w:right w:val="single" w:color="auto" w:sz="4" w:space="0"/>
            </w:tcBorders>
          </w:tcPr>
          <w:p w:rsidR="009858EB" w:rsidP="00B456C0" w:rsidRDefault="000522B8">
            <w:pPr>
              <w:spacing w:after="60"/>
              <w:jc w:val="center"/>
            </w:pPr>
            <w:r>
              <w:t>$</w:t>
            </w:r>
            <w:r w:rsidR="00CA36B1">
              <w:t>0</w:t>
            </w:r>
          </w:p>
        </w:tc>
        <w:tc>
          <w:tcPr>
            <w:tcW w:w="1670" w:type="dxa"/>
            <w:tcBorders>
              <w:top w:val="nil"/>
              <w:left w:val="single" w:color="auto" w:sz="4" w:space="0"/>
              <w:bottom w:val="single" w:color="auto" w:sz="8" w:space="0"/>
              <w:right w:val="single" w:color="auto" w:sz="8" w:space="0"/>
            </w:tcBorders>
            <w:shd w:val="clear" w:color="auto" w:fill="auto"/>
            <w:hideMark/>
          </w:tcPr>
          <w:p w:rsidR="009858EB" w:rsidP="00B456C0" w:rsidRDefault="000522B8">
            <w:pPr>
              <w:spacing w:after="60"/>
              <w:jc w:val="center"/>
            </w:pPr>
            <w:r>
              <w:t>$</w:t>
            </w:r>
            <w:r w:rsidR="00CA36B1">
              <w:t>0</w:t>
            </w:r>
          </w:p>
        </w:tc>
      </w:tr>
      <w:tr w:rsidR="009858EB" w:rsidTr="009858EB">
        <w:trPr>
          <w:trHeight w:val="330"/>
          <w:jc w:val="center"/>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009858EB" w:rsidP="00EA60A1" w:rsidRDefault="00821501">
            <w:pPr>
              <w:spacing w:after="60"/>
              <w:jc w:val="center"/>
              <w:rPr>
                <w:b/>
                <w:bCs/>
              </w:rPr>
            </w:pPr>
            <w:r w:rsidRPr="00696D7C">
              <w:rPr>
                <w:b/>
                <w:bCs/>
              </w:rPr>
              <w:lastRenderedPageBreak/>
              <w:t>514.15</w:t>
            </w:r>
          </w:p>
        </w:tc>
        <w:tc>
          <w:tcPr>
            <w:tcW w:w="1340" w:type="dxa"/>
            <w:tcBorders>
              <w:top w:val="nil"/>
              <w:left w:val="single" w:color="auto" w:sz="4" w:space="0"/>
              <w:bottom w:val="single" w:color="auto" w:sz="8" w:space="0"/>
              <w:right w:val="single" w:color="auto" w:sz="8" w:space="0"/>
            </w:tcBorders>
            <w:shd w:val="clear" w:color="auto" w:fill="auto"/>
            <w:hideMark/>
          </w:tcPr>
          <w:p w:rsidR="009858EB" w:rsidP="00B456C0" w:rsidRDefault="00CA36B1">
            <w:pPr>
              <w:spacing w:after="60"/>
              <w:jc w:val="center"/>
            </w:pPr>
            <w:r>
              <w:t>211</w:t>
            </w:r>
          </w:p>
        </w:tc>
        <w:tc>
          <w:tcPr>
            <w:tcW w:w="1170" w:type="dxa"/>
            <w:tcBorders>
              <w:top w:val="nil"/>
              <w:left w:val="nil"/>
              <w:bottom w:val="single" w:color="auto" w:sz="8" w:space="0"/>
              <w:right w:val="single" w:color="auto" w:sz="8" w:space="0"/>
            </w:tcBorders>
            <w:shd w:val="clear" w:color="auto" w:fill="auto"/>
            <w:hideMark/>
          </w:tcPr>
          <w:p w:rsidR="009858EB" w:rsidP="00B456C0" w:rsidRDefault="00CA36B1">
            <w:pPr>
              <w:spacing w:after="60"/>
              <w:jc w:val="center"/>
            </w:pPr>
            <w:r>
              <w:t>Varies</w:t>
            </w:r>
          </w:p>
        </w:tc>
        <w:tc>
          <w:tcPr>
            <w:tcW w:w="1080" w:type="dxa"/>
            <w:tcBorders>
              <w:top w:val="nil"/>
              <w:left w:val="nil"/>
              <w:bottom w:val="single" w:color="auto" w:sz="8" w:space="0"/>
              <w:right w:val="single" w:color="auto" w:sz="8" w:space="0"/>
            </w:tcBorders>
            <w:shd w:val="clear" w:color="auto" w:fill="auto"/>
            <w:hideMark/>
          </w:tcPr>
          <w:p w:rsidR="009858EB" w:rsidP="00B456C0" w:rsidRDefault="00CA36B1">
            <w:pPr>
              <w:spacing w:after="60"/>
              <w:jc w:val="center"/>
            </w:pPr>
            <w:r>
              <w:t>58</w:t>
            </w:r>
            <w:r w:rsidR="006C0886">
              <w:t>,</w:t>
            </w:r>
            <w:r>
              <w:t>893</w:t>
            </w:r>
          </w:p>
        </w:tc>
        <w:tc>
          <w:tcPr>
            <w:tcW w:w="1270" w:type="dxa"/>
            <w:tcBorders>
              <w:top w:val="nil"/>
              <w:left w:val="single" w:color="auto" w:sz="4" w:space="0"/>
              <w:bottom w:val="single" w:color="auto" w:sz="8" w:space="0"/>
              <w:right w:val="single" w:color="auto" w:sz="4" w:space="0"/>
            </w:tcBorders>
          </w:tcPr>
          <w:p w:rsidR="009858EB" w:rsidP="00B456C0" w:rsidRDefault="00253365">
            <w:pPr>
              <w:spacing w:after="60"/>
              <w:jc w:val="center"/>
            </w:pPr>
            <w:r>
              <w:t>$28</w:t>
            </w:r>
            <w:r w:rsidR="002E4854">
              <w:t>/</w:t>
            </w:r>
            <w:proofErr w:type="spellStart"/>
            <w:r w:rsidR="002E4854">
              <w:t>rsp</w:t>
            </w:r>
            <w:proofErr w:type="spellEnd"/>
          </w:p>
        </w:tc>
        <w:tc>
          <w:tcPr>
            <w:tcW w:w="1670" w:type="dxa"/>
            <w:tcBorders>
              <w:top w:val="nil"/>
              <w:left w:val="single" w:color="auto" w:sz="4" w:space="0"/>
              <w:bottom w:val="single" w:color="auto" w:sz="8" w:space="0"/>
              <w:right w:val="single" w:color="auto" w:sz="8" w:space="0"/>
            </w:tcBorders>
            <w:shd w:val="clear" w:color="auto" w:fill="auto"/>
            <w:hideMark/>
          </w:tcPr>
          <w:p w:rsidR="009858EB" w:rsidP="00B456C0" w:rsidRDefault="00CA36B1">
            <w:pPr>
              <w:spacing w:after="60"/>
              <w:jc w:val="center"/>
            </w:pPr>
            <w:r>
              <w:t>1</w:t>
            </w:r>
            <w:r w:rsidR="006C0886">
              <w:t>,</w:t>
            </w:r>
            <w:r>
              <w:t>649</w:t>
            </w:r>
            <w:r w:rsidR="006C0886">
              <w:t>,</w:t>
            </w:r>
            <w:r>
              <w:t>004</w:t>
            </w:r>
          </w:p>
        </w:tc>
      </w:tr>
      <w:tr w:rsidR="009858EB" w:rsidTr="009858EB">
        <w:trPr>
          <w:trHeight w:val="315"/>
          <w:jc w:val="center"/>
        </w:trPr>
        <w:tc>
          <w:tcPr>
            <w:tcW w:w="1260" w:type="dxa"/>
            <w:tcBorders>
              <w:top w:val="single" w:color="auto" w:sz="4" w:space="0"/>
              <w:left w:val="single" w:color="auto" w:sz="4" w:space="0"/>
              <w:bottom w:val="single" w:color="auto" w:sz="4" w:space="0"/>
              <w:right w:val="single" w:color="auto" w:sz="4" w:space="0"/>
            </w:tcBorders>
            <w:shd w:val="clear" w:color="000000" w:fill="C0C0C0"/>
            <w:hideMark/>
          </w:tcPr>
          <w:p w:rsidR="009858EB" w:rsidP="00EA60A1" w:rsidRDefault="009858EB">
            <w:pPr>
              <w:spacing w:after="60"/>
              <w:jc w:val="center"/>
              <w:rPr>
                <w:b/>
                <w:bCs/>
              </w:rPr>
            </w:pPr>
            <w:r>
              <w:rPr>
                <w:b/>
                <w:bCs/>
              </w:rPr>
              <w:t>TOTAL</w:t>
            </w:r>
          </w:p>
        </w:tc>
        <w:tc>
          <w:tcPr>
            <w:tcW w:w="1340" w:type="dxa"/>
            <w:tcBorders>
              <w:top w:val="single" w:color="auto" w:sz="4" w:space="0"/>
              <w:left w:val="single" w:color="auto" w:sz="4" w:space="0"/>
              <w:bottom w:val="single" w:color="auto" w:sz="4" w:space="0"/>
              <w:right w:val="single" w:color="auto" w:sz="4" w:space="0"/>
            </w:tcBorders>
            <w:shd w:val="clear" w:color="000000" w:fill="C0C0C0"/>
            <w:hideMark/>
          </w:tcPr>
          <w:p w:rsidR="009858EB" w:rsidP="00EA60A1" w:rsidRDefault="009858EB">
            <w:pPr>
              <w:spacing w:after="60"/>
              <w:jc w:val="center"/>
            </w:pPr>
          </w:p>
        </w:tc>
        <w:tc>
          <w:tcPr>
            <w:tcW w:w="1170" w:type="dxa"/>
            <w:tcBorders>
              <w:top w:val="single" w:color="auto" w:sz="4" w:space="0"/>
              <w:left w:val="single" w:color="auto" w:sz="4" w:space="0"/>
              <w:bottom w:val="single" w:color="auto" w:sz="4" w:space="0"/>
              <w:right w:val="single" w:color="auto" w:sz="4" w:space="0"/>
            </w:tcBorders>
            <w:shd w:val="clear" w:color="000000" w:fill="C0C0C0"/>
            <w:hideMark/>
          </w:tcPr>
          <w:p w:rsidR="009858EB" w:rsidP="00EA60A1" w:rsidRDefault="009858EB">
            <w:pPr>
              <w:spacing w:after="60"/>
              <w:jc w:val="center"/>
            </w:pPr>
          </w:p>
        </w:tc>
        <w:tc>
          <w:tcPr>
            <w:tcW w:w="1080" w:type="dxa"/>
            <w:tcBorders>
              <w:top w:val="single" w:color="auto" w:sz="4" w:space="0"/>
              <w:left w:val="single" w:color="auto" w:sz="4" w:space="0"/>
              <w:bottom w:val="single" w:color="auto" w:sz="4" w:space="0"/>
              <w:right w:val="single" w:color="auto" w:sz="4" w:space="0"/>
            </w:tcBorders>
            <w:shd w:val="clear" w:color="000000" w:fill="C0C0C0"/>
            <w:hideMark/>
          </w:tcPr>
          <w:p w:rsidR="009858EB" w:rsidP="00EA60A1" w:rsidRDefault="009858EB">
            <w:pPr>
              <w:spacing w:after="60"/>
              <w:jc w:val="center"/>
            </w:pPr>
          </w:p>
        </w:tc>
        <w:tc>
          <w:tcPr>
            <w:tcW w:w="1270" w:type="dxa"/>
            <w:tcBorders>
              <w:top w:val="single" w:color="auto" w:sz="4" w:space="0"/>
              <w:left w:val="single" w:color="auto" w:sz="4" w:space="0"/>
              <w:bottom w:val="single" w:color="auto" w:sz="4" w:space="0"/>
              <w:right w:val="single" w:color="auto" w:sz="4" w:space="0"/>
            </w:tcBorders>
            <w:shd w:val="clear" w:color="000000" w:fill="C0C0C0"/>
          </w:tcPr>
          <w:p w:rsidR="009858EB" w:rsidP="00EA60A1" w:rsidRDefault="009858EB">
            <w:pPr>
              <w:spacing w:after="60"/>
              <w:ind w:left="-108" w:right="-18"/>
              <w:jc w:val="center"/>
            </w:pPr>
          </w:p>
        </w:tc>
        <w:tc>
          <w:tcPr>
            <w:tcW w:w="1670" w:type="dxa"/>
            <w:tcBorders>
              <w:top w:val="single" w:color="auto" w:sz="4" w:space="0"/>
              <w:left w:val="single" w:color="auto" w:sz="4" w:space="0"/>
              <w:bottom w:val="single" w:color="auto" w:sz="4" w:space="0"/>
              <w:right w:val="single" w:color="auto" w:sz="4" w:space="0"/>
            </w:tcBorders>
            <w:shd w:val="clear" w:color="000000" w:fill="C0C0C0"/>
            <w:hideMark/>
          </w:tcPr>
          <w:p w:rsidRPr="002940FB" w:rsidR="009858EB" w:rsidP="00B456C0" w:rsidRDefault="00F16898">
            <w:pPr>
              <w:spacing w:after="60"/>
              <w:ind w:right="-18"/>
              <w:jc w:val="center"/>
              <w:rPr>
                <w:b/>
              </w:rPr>
            </w:pPr>
            <w:r>
              <w:rPr>
                <w:b/>
              </w:rPr>
              <w:t>$</w:t>
            </w:r>
            <w:r w:rsidRPr="002940FB" w:rsidR="002940FB">
              <w:rPr>
                <w:b/>
              </w:rPr>
              <w:t>1,649,004</w:t>
            </w:r>
          </w:p>
        </w:tc>
      </w:tr>
    </w:tbl>
    <w:p w:rsidRPr="00696D7C" w:rsidR="009858EB" w:rsidP="00F25105" w:rsidRDefault="009858EB">
      <w:pPr>
        <w:pStyle w:val="Default"/>
        <w:ind w:firstLine="720"/>
        <w:rPr>
          <w:color w:val="auto"/>
        </w:rPr>
      </w:pPr>
    </w:p>
    <w:p w:rsidRPr="00696D7C" w:rsidR="00571D58" w:rsidP="00F25105" w:rsidRDefault="00571D58">
      <w:pPr>
        <w:pStyle w:val="Default"/>
        <w:ind w:left="360" w:hanging="360"/>
        <w:rPr>
          <w:b/>
          <w:bCs/>
          <w:color w:val="auto"/>
        </w:rPr>
      </w:pPr>
    </w:p>
    <w:p w:rsidRPr="00696D7C" w:rsidR="00F25105" w:rsidP="00C02AF6" w:rsidRDefault="00F25105">
      <w:pPr>
        <w:pStyle w:val="Default"/>
        <w:ind w:left="1440" w:hanging="720"/>
        <w:rPr>
          <w:color w:val="auto"/>
        </w:rPr>
      </w:pPr>
      <w:r w:rsidRPr="00696D7C">
        <w:rPr>
          <w:b/>
          <w:bCs/>
          <w:color w:val="auto"/>
        </w:rPr>
        <w:t xml:space="preserve">14. </w:t>
      </w:r>
      <w:r w:rsidRPr="00696D7C" w:rsidR="00C02AF6">
        <w:rPr>
          <w:b/>
          <w:bCs/>
          <w:color w:val="auto"/>
        </w:rPr>
        <w:tab/>
      </w:r>
      <w:r w:rsidRPr="00696D7C" w:rsidR="005F0CAC">
        <w:rPr>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696D7C">
        <w:rPr>
          <w:b/>
          <w:bCs/>
          <w:color w:val="auto"/>
        </w:rPr>
        <w:t xml:space="preserve"> </w:t>
      </w:r>
    </w:p>
    <w:p w:rsidRPr="00696D7C" w:rsidR="00F25105" w:rsidP="00F25105" w:rsidRDefault="00F25105">
      <w:pPr>
        <w:pStyle w:val="Default"/>
        <w:rPr>
          <w:color w:val="auto"/>
        </w:rPr>
      </w:pPr>
    </w:p>
    <w:p w:rsidRPr="00696D7C" w:rsidR="00115CDC" w:rsidP="00115CDC" w:rsidRDefault="00115CDC">
      <w:pPr>
        <w:pStyle w:val="Default"/>
        <w:tabs>
          <w:tab w:val="left" w:pos="378"/>
        </w:tabs>
        <w:spacing w:line="480" w:lineRule="auto"/>
      </w:pPr>
      <w:r w:rsidRPr="00696D7C">
        <w:tab/>
      </w:r>
      <w:r w:rsidRPr="00696D7C">
        <w:tab/>
        <w:t xml:space="preserve">The Commission determined its cost and burden hour estimates, inclusive of operational expenses, based on the workflows of the agency, and the functions specific to the receipt, recordation, and analysis of the submissions. As a general matter, the cost rate was based upon the hourly rate of personnel assigned to </w:t>
      </w:r>
      <w:r w:rsidR="00292AAA">
        <w:t xml:space="preserve">the </w:t>
      </w:r>
      <w:r w:rsidRPr="00696D7C">
        <w:t>task. Support services</w:t>
      </w:r>
      <w:r w:rsidR="00FE587B">
        <w:t xml:space="preserve">, primarily including IT </w:t>
      </w:r>
      <w:r w:rsidR="007D2876">
        <w:t xml:space="preserve">infrastructure </w:t>
      </w:r>
      <w:r w:rsidR="00FE587B">
        <w:t>maintenance and upgrades,</w:t>
      </w:r>
      <w:r w:rsidRPr="00696D7C">
        <w:t xml:space="preserve"> are included in cost estimates. </w:t>
      </w:r>
    </w:p>
    <w:p w:rsidRPr="00696D7C" w:rsidR="00115CDC" w:rsidP="00115CDC" w:rsidRDefault="00115CDC">
      <w:pPr>
        <w:pStyle w:val="Default"/>
        <w:tabs>
          <w:tab w:val="left" w:pos="378"/>
        </w:tabs>
        <w:jc w:val="center"/>
      </w:pPr>
      <w:r w:rsidRPr="00696D7C">
        <w:rPr>
          <w:b/>
          <w:bCs/>
          <w:u w:val="single"/>
        </w:rPr>
        <w:t xml:space="preserve">ESTIMATED </w:t>
      </w:r>
      <w:r w:rsidRPr="00696D7C" w:rsidR="00696D7C">
        <w:rPr>
          <w:b/>
          <w:bCs/>
          <w:u w:val="single"/>
        </w:rPr>
        <w:t xml:space="preserve">AGENCY ANNUAL </w:t>
      </w:r>
      <w:r w:rsidRPr="00696D7C">
        <w:rPr>
          <w:b/>
          <w:bCs/>
          <w:u w:val="single"/>
        </w:rPr>
        <w:t>BURDEN TOTALS</w:t>
      </w:r>
    </w:p>
    <w:p w:rsidRPr="00696D7C" w:rsidR="00115CDC" w:rsidP="00115CDC" w:rsidRDefault="00115CDC">
      <w:pPr>
        <w:pStyle w:val="Default"/>
        <w:tabs>
          <w:tab w:val="left" w:pos="378"/>
        </w:tabs>
        <w:rPr>
          <w:b/>
          <w:bCs/>
        </w:rPr>
      </w:pPr>
    </w:p>
    <w:tbl>
      <w:tblPr>
        <w:tblW w:w="9720" w:type="dxa"/>
        <w:tblInd w:w="18" w:type="dxa"/>
        <w:tblLayout w:type="fixed"/>
        <w:tblLook w:val="04A0" w:firstRow="1" w:lastRow="0" w:firstColumn="1" w:lastColumn="0" w:noHBand="0" w:noVBand="1"/>
      </w:tblPr>
      <w:tblGrid>
        <w:gridCol w:w="1350"/>
        <w:gridCol w:w="1530"/>
        <w:gridCol w:w="1260"/>
        <w:gridCol w:w="1260"/>
        <w:gridCol w:w="1080"/>
        <w:gridCol w:w="1080"/>
        <w:gridCol w:w="900"/>
        <w:gridCol w:w="1260"/>
      </w:tblGrid>
      <w:tr w:rsidRPr="00696D7C" w:rsidR="00115CDC" w:rsidTr="00D059C8">
        <w:trPr>
          <w:trHeight w:val="745"/>
        </w:trPr>
        <w:tc>
          <w:tcPr>
            <w:tcW w:w="135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vAlign w:val="bottom"/>
            <w:hideMark/>
          </w:tcPr>
          <w:p w:rsidRPr="00696D7C" w:rsidR="00115CDC" w:rsidP="00EC1C57" w:rsidRDefault="00115CDC">
            <w:pPr>
              <w:spacing w:before="60" w:after="60"/>
              <w:ind w:left="-93" w:right="-108"/>
              <w:jc w:val="center"/>
              <w:rPr>
                <w:b/>
                <w:bCs/>
                <w:color w:val="000000"/>
                <w:sz w:val="18"/>
                <w:szCs w:val="18"/>
              </w:rPr>
            </w:pPr>
            <w:r w:rsidRPr="00696D7C">
              <w:rPr>
                <w:b/>
                <w:bCs/>
                <w:color w:val="000000"/>
                <w:sz w:val="18"/>
                <w:szCs w:val="18"/>
              </w:rPr>
              <w:t>CFR CITE/ COLLECTION</w:t>
            </w:r>
          </w:p>
        </w:tc>
        <w:tc>
          <w:tcPr>
            <w:tcW w:w="153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696D7C" w:rsidR="00115CDC" w:rsidP="00EC1C57" w:rsidRDefault="00115CDC">
            <w:pPr>
              <w:spacing w:before="60" w:after="60"/>
              <w:ind w:left="-108" w:right="-108"/>
              <w:jc w:val="center"/>
              <w:rPr>
                <w:b/>
                <w:bCs/>
                <w:sz w:val="18"/>
                <w:szCs w:val="18"/>
              </w:rPr>
            </w:pPr>
            <w:r w:rsidRPr="00696D7C">
              <w:rPr>
                <w:b/>
                <w:bCs/>
                <w:sz w:val="18"/>
                <w:szCs w:val="18"/>
              </w:rPr>
              <w:t>NUMBER OF ANNUAL RESPONDENTS</w:t>
            </w:r>
          </w:p>
        </w:tc>
        <w:tc>
          <w:tcPr>
            <w:tcW w:w="126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696D7C" w:rsidR="00115CDC" w:rsidP="00EC1C57" w:rsidRDefault="00115CDC">
            <w:pPr>
              <w:spacing w:before="60" w:after="60"/>
              <w:ind w:left="-108" w:right="-108"/>
              <w:jc w:val="center"/>
              <w:rPr>
                <w:b/>
                <w:bCs/>
                <w:sz w:val="18"/>
                <w:szCs w:val="18"/>
              </w:rPr>
            </w:pPr>
            <w:r w:rsidRPr="00696D7C">
              <w:rPr>
                <w:b/>
                <w:bCs/>
                <w:sz w:val="18"/>
                <w:szCs w:val="18"/>
              </w:rPr>
              <w:t>FREQUENCY OF RESPONSES PER YEAR</w:t>
            </w:r>
          </w:p>
        </w:tc>
        <w:tc>
          <w:tcPr>
            <w:tcW w:w="126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696D7C" w:rsidR="00115CDC" w:rsidP="00EC1C57" w:rsidRDefault="00115CDC">
            <w:pPr>
              <w:spacing w:before="60" w:after="60"/>
              <w:ind w:left="-108" w:right="-108"/>
              <w:jc w:val="center"/>
              <w:rPr>
                <w:b/>
                <w:bCs/>
                <w:sz w:val="18"/>
                <w:szCs w:val="18"/>
              </w:rPr>
            </w:pPr>
            <w:r w:rsidRPr="00696D7C">
              <w:rPr>
                <w:b/>
                <w:bCs/>
                <w:sz w:val="18"/>
                <w:szCs w:val="18"/>
              </w:rPr>
              <w:t>TOTAL ANNUAL RESPONSES</w:t>
            </w:r>
          </w:p>
        </w:tc>
        <w:tc>
          <w:tcPr>
            <w:tcW w:w="108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696D7C" w:rsidR="00115CDC" w:rsidP="00EC1C57" w:rsidRDefault="00115CDC">
            <w:pPr>
              <w:spacing w:before="60" w:after="60"/>
              <w:ind w:left="-108" w:right="-108"/>
              <w:jc w:val="center"/>
              <w:rPr>
                <w:b/>
                <w:bCs/>
                <w:sz w:val="18"/>
                <w:szCs w:val="18"/>
              </w:rPr>
            </w:pPr>
            <w:r w:rsidRPr="00696D7C">
              <w:rPr>
                <w:b/>
                <w:bCs/>
                <w:sz w:val="18"/>
                <w:szCs w:val="18"/>
              </w:rPr>
              <w:t xml:space="preserve">REVIEW HOURS  PER RESPONSE </w:t>
            </w:r>
          </w:p>
        </w:tc>
        <w:tc>
          <w:tcPr>
            <w:tcW w:w="108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696D7C" w:rsidR="00115CDC" w:rsidP="00EC1C57" w:rsidRDefault="00115CDC">
            <w:pPr>
              <w:spacing w:before="60" w:after="60"/>
              <w:jc w:val="center"/>
              <w:rPr>
                <w:b/>
                <w:bCs/>
                <w:sz w:val="18"/>
                <w:szCs w:val="18"/>
              </w:rPr>
            </w:pPr>
            <w:r w:rsidRPr="00696D7C">
              <w:rPr>
                <w:b/>
                <w:bCs/>
                <w:sz w:val="18"/>
                <w:szCs w:val="18"/>
              </w:rPr>
              <w:t>TOTAL HOURS</w:t>
            </w:r>
          </w:p>
        </w:tc>
        <w:tc>
          <w:tcPr>
            <w:tcW w:w="90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696D7C" w:rsidR="00115CDC" w:rsidP="00EC1C57" w:rsidRDefault="00115CDC">
            <w:pPr>
              <w:spacing w:before="60" w:after="60"/>
              <w:ind w:left="-105" w:right="-122"/>
              <w:jc w:val="center"/>
              <w:rPr>
                <w:b/>
                <w:bCs/>
                <w:sz w:val="18"/>
                <w:szCs w:val="18"/>
              </w:rPr>
            </w:pPr>
            <w:r w:rsidRPr="00696D7C">
              <w:rPr>
                <w:b/>
                <w:bCs/>
                <w:sz w:val="18"/>
                <w:szCs w:val="18"/>
              </w:rPr>
              <w:t xml:space="preserve">HOURLY RATE </w:t>
            </w:r>
          </w:p>
        </w:tc>
        <w:tc>
          <w:tcPr>
            <w:tcW w:w="126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696D7C" w:rsidR="00115CDC" w:rsidP="00EC1C57" w:rsidRDefault="00115CDC">
            <w:pPr>
              <w:spacing w:before="60" w:after="60"/>
              <w:ind w:left="-108"/>
              <w:jc w:val="center"/>
              <w:rPr>
                <w:b/>
                <w:bCs/>
                <w:sz w:val="18"/>
                <w:szCs w:val="18"/>
              </w:rPr>
            </w:pPr>
            <w:r w:rsidRPr="00696D7C">
              <w:rPr>
                <w:b/>
                <w:bCs/>
                <w:sz w:val="18"/>
                <w:szCs w:val="18"/>
              </w:rPr>
              <w:t>TOTAL AGENCY COST</w:t>
            </w:r>
          </w:p>
        </w:tc>
      </w:tr>
      <w:tr w:rsidRPr="00B23334" w:rsidR="001A06AF" w:rsidTr="00D059C8">
        <w:trPr>
          <w:trHeight w:val="330"/>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23334" w:rsidR="001A06AF" w:rsidP="00EC1C57" w:rsidRDefault="001A06AF">
            <w:pPr>
              <w:spacing w:after="60"/>
              <w:rPr>
                <w:b/>
                <w:bCs/>
              </w:rPr>
            </w:pPr>
            <w:r w:rsidRPr="00B23334">
              <w:rPr>
                <w:b/>
                <w:bCs/>
              </w:rPr>
              <w:t>514.6</w:t>
            </w:r>
          </w:p>
        </w:tc>
        <w:tc>
          <w:tcPr>
            <w:tcW w:w="1530" w:type="dxa"/>
            <w:tcBorders>
              <w:top w:val="single" w:color="auto" w:sz="8" w:space="0"/>
              <w:left w:val="single" w:color="auto" w:sz="4" w:space="0"/>
              <w:bottom w:val="single" w:color="auto" w:sz="8" w:space="0"/>
              <w:right w:val="single" w:color="auto" w:sz="8" w:space="0"/>
            </w:tcBorders>
            <w:shd w:val="clear" w:color="auto" w:fill="auto"/>
            <w:hideMark/>
          </w:tcPr>
          <w:p w:rsidRPr="00EB17D8" w:rsidR="001A06AF" w:rsidP="00EC1C57" w:rsidRDefault="00C021AC">
            <w:pPr>
              <w:spacing w:after="60"/>
              <w:jc w:val="right"/>
            </w:pPr>
            <w:r>
              <w:t>48</w:t>
            </w:r>
            <w:r w:rsidRPr="00EB17D8" w:rsidR="00EB17D8">
              <w:t>2</w:t>
            </w:r>
          </w:p>
        </w:tc>
        <w:tc>
          <w:tcPr>
            <w:tcW w:w="1260" w:type="dxa"/>
            <w:tcBorders>
              <w:top w:val="single" w:color="auto" w:sz="8" w:space="0"/>
              <w:left w:val="nil"/>
              <w:bottom w:val="single" w:color="auto" w:sz="8" w:space="0"/>
              <w:right w:val="single" w:color="auto" w:sz="8" w:space="0"/>
            </w:tcBorders>
            <w:shd w:val="clear" w:color="auto" w:fill="auto"/>
            <w:hideMark/>
          </w:tcPr>
          <w:p w:rsidRPr="00EB17D8" w:rsidR="001A06AF" w:rsidP="00EC1C57" w:rsidRDefault="001A06AF">
            <w:pPr>
              <w:spacing w:after="60"/>
              <w:jc w:val="right"/>
            </w:pPr>
            <w:r w:rsidRPr="00EB17D8">
              <w:t>4</w:t>
            </w:r>
          </w:p>
        </w:tc>
        <w:tc>
          <w:tcPr>
            <w:tcW w:w="1260" w:type="dxa"/>
            <w:tcBorders>
              <w:top w:val="single" w:color="auto" w:sz="8" w:space="0"/>
              <w:left w:val="nil"/>
              <w:bottom w:val="single" w:color="auto" w:sz="8" w:space="0"/>
              <w:right w:val="single" w:color="auto" w:sz="8" w:space="0"/>
            </w:tcBorders>
            <w:shd w:val="clear" w:color="auto" w:fill="auto"/>
            <w:hideMark/>
          </w:tcPr>
          <w:p w:rsidRPr="00EB17D8" w:rsidR="001A06AF" w:rsidP="00EC1C57" w:rsidRDefault="00EB17D8">
            <w:pPr>
              <w:spacing w:after="60"/>
              <w:jc w:val="right"/>
            </w:pPr>
            <w:r w:rsidRPr="00EB17D8">
              <w:t>1</w:t>
            </w:r>
            <w:r w:rsidR="00C021AC">
              <w:t>,</w:t>
            </w:r>
            <w:r w:rsidRPr="00EB17D8">
              <w:t>928</w:t>
            </w:r>
          </w:p>
        </w:tc>
        <w:tc>
          <w:tcPr>
            <w:tcW w:w="1080" w:type="dxa"/>
            <w:tcBorders>
              <w:top w:val="single" w:color="auto" w:sz="8" w:space="0"/>
              <w:left w:val="nil"/>
              <w:bottom w:val="single" w:color="auto" w:sz="8" w:space="0"/>
              <w:right w:val="single" w:color="auto" w:sz="8" w:space="0"/>
            </w:tcBorders>
            <w:shd w:val="clear" w:color="auto" w:fill="auto"/>
          </w:tcPr>
          <w:p w:rsidRPr="00A63162" w:rsidR="001A06AF" w:rsidP="00EC1C57" w:rsidRDefault="00AE5A6D">
            <w:pPr>
              <w:spacing w:after="60"/>
              <w:jc w:val="right"/>
            </w:pPr>
            <w:r>
              <w:t>1.4</w:t>
            </w:r>
          </w:p>
        </w:tc>
        <w:tc>
          <w:tcPr>
            <w:tcW w:w="1080" w:type="dxa"/>
            <w:tcBorders>
              <w:top w:val="single" w:color="auto" w:sz="8" w:space="0"/>
              <w:left w:val="nil"/>
              <w:bottom w:val="single" w:color="auto" w:sz="8" w:space="0"/>
              <w:right w:val="single" w:color="auto" w:sz="8" w:space="0"/>
            </w:tcBorders>
            <w:shd w:val="clear" w:color="auto" w:fill="auto"/>
          </w:tcPr>
          <w:p w:rsidRPr="00A63162" w:rsidR="001A06AF" w:rsidP="00CD55CC" w:rsidRDefault="00AE5A6D">
            <w:pPr>
              <w:spacing w:after="60"/>
              <w:jc w:val="right"/>
            </w:pPr>
            <w:r>
              <w:t>2,669</w:t>
            </w:r>
          </w:p>
        </w:tc>
        <w:tc>
          <w:tcPr>
            <w:tcW w:w="900" w:type="dxa"/>
            <w:tcBorders>
              <w:top w:val="single" w:color="auto" w:sz="8" w:space="0"/>
              <w:left w:val="nil"/>
              <w:bottom w:val="single" w:color="auto" w:sz="8" w:space="0"/>
              <w:right w:val="single" w:color="auto" w:sz="8" w:space="0"/>
            </w:tcBorders>
            <w:shd w:val="clear" w:color="auto" w:fill="auto"/>
          </w:tcPr>
          <w:p w:rsidRPr="00A63162" w:rsidR="001A06AF" w:rsidP="00756BB4" w:rsidRDefault="00452132">
            <w:pPr>
              <w:spacing w:after="60"/>
              <w:jc w:val="right"/>
            </w:pPr>
            <w:r w:rsidRPr="00A63162">
              <w:t>$</w:t>
            </w:r>
            <w:r w:rsidRPr="00A63162" w:rsidR="00756BB4">
              <w:t>39</w:t>
            </w:r>
          </w:p>
        </w:tc>
        <w:tc>
          <w:tcPr>
            <w:tcW w:w="1260" w:type="dxa"/>
            <w:tcBorders>
              <w:top w:val="single" w:color="auto" w:sz="8" w:space="0"/>
              <w:left w:val="nil"/>
              <w:bottom w:val="single" w:color="auto" w:sz="8" w:space="0"/>
              <w:right w:val="single" w:color="auto" w:sz="8" w:space="0"/>
            </w:tcBorders>
            <w:shd w:val="clear" w:color="auto" w:fill="auto"/>
          </w:tcPr>
          <w:p w:rsidRPr="00EB17D8" w:rsidR="001A06AF" w:rsidP="00AE5A6D" w:rsidRDefault="00C021AC">
            <w:pPr>
              <w:spacing w:after="60"/>
              <w:jc w:val="right"/>
            </w:pPr>
            <w:r>
              <w:t>$15</w:t>
            </w:r>
            <w:r w:rsidR="00AE5A6D">
              <w:t>7,471</w:t>
            </w:r>
          </w:p>
        </w:tc>
      </w:tr>
      <w:tr w:rsidRPr="00B23334" w:rsidR="001A06AF" w:rsidTr="00D059C8">
        <w:trPr>
          <w:trHeight w:val="349"/>
        </w:trPr>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23334" w:rsidR="001A06AF" w:rsidP="00EC1C57" w:rsidRDefault="001A06AF">
            <w:r w:rsidRPr="00B23334">
              <w:rPr>
                <w:b/>
                <w:bCs/>
              </w:rPr>
              <w:t>514.7</w:t>
            </w:r>
          </w:p>
        </w:tc>
        <w:tc>
          <w:tcPr>
            <w:tcW w:w="1530" w:type="dxa"/>
            <w:tcBorders>
              <w:top w:val="nil"/>
              <w:left w:val="single" w:color="auto" w:sz="4" w:space="0"/>
              <w:bottom w:val="single" w:color="auto" w:sz="8" w:space="0"/>
              <w:right w:val="single" w:color="auto" w:sz="8" w:space="0"/>
            </w:tcBorders>
            <w:shd w:val="clear" w:color="auto" w:fill="auto"/>
            <w:hideMark/>
          </w:tcPr>
          <w:p w:rsidRPr="00EB17D8" w:rsidR="001A06AF" w:rsidP="00EC1C57" w:rsidRDefault="004B1343">
            <w:pPr>
              <w:spacing w:after="60"/>
              <w:jc w:val="right"/>
            </w:pPr>
            <w:r w:rsidRPr="00EB17D8">
              <w:t>5</w:t>
            </w:r>
          </w:p>
        </w:tc>
        <w:tc>
          <w:tcPr>
            <w:tcW w:w="1260" w:type="dxa"/>
            <w:tcBorders>
              <w:top w:val="nil"/>
              <w:left w:val="nil"/>
              <w:bottom w:val="single" w:color="auto" w:sz="8" w:space="0"/>
              <w:right w:val="single" w:color="auto" w:sz="8" w:space="0"/>
            </w:tcBorders>
            <w:shd w:val="clear" w:color="auto" w:fill="auto"/>
            <w:hideMark/>
          </w:tcPr>
          <w:p w:rsidRPr="00EB17D8" w:rsidR="001A06AF" w:rsidP="00EC1C57" w:rsidRDefault="001A06AF">
            <w:pPr>
              <w:spacing w:after="60"/>
              <w:jc w:val="right"/>
            </w:pPr>
            <w:r w:rsidRPr="00EB17D8">
              <w:t>Varies</w:t>
            </w:r>
          </w:p>
        </w:tc>
        <w:tc>
          <w:tcPr>
            <w:tcW w:w="1260" w:type="dxa"/>
            <w:tcBorders>
              <w:top w:val="nil"/>
              <w:left w:val="nil"/>
              <w:bottom w:val="single" w:color="auto" w:sz="8" w:space="0"/>
              <w:right w:val="single" w:color="auto" w:sz="8" w:space="0"/>
            </w:tcBorders>
            <w:shd w:val="clear" w:color="auto" w:fill="auto"/>
            <w:hideMark/>
          </w:tcPr>
          <w:p w:rsidRPr="00EB17D8" w:rsidR="001A06AF" w:rsidP="00EC1C57" w:rsidRDefault="004B1343">
            <w:pPr>
              <w:spacing w:after="60"/>
              <w:jc w:val="right"/>
            </w:pPr>
            <w:r w:rsidRPr="00EB17D8">
              <w:t>5</w:t>
            </w:r>
          </w:p>
        </w:tc>
        <w:tc>
          <w:tcPr>
            <w:tcW w:w="1080" w:type="dxa"/>
            <w:tcBorders>
              <w:top w:val="nil"/>
              <w:left w:val="nil"/>
              <w:bottom w:val="single" w:color="auto" w:sz="8" w:space="0"/>
              <w:right w:val="single" w:color="auto" w:sz="8" w:space="0"/>
            </w:tcBorders>
            <w:shd w:val="clear" w:color="auto" w:fill="auto"/>
          </w:tcPr>
          <w:p w:rsidRPr="00A63162" w:rsidR="001A06AF" w:rsidP="00EC1C57" w:rsidRDefault="00CD55CC">
            <w:pPr>
              <w:spacing w:after="60"/>
              <w:jc w:val="right"/>
            </w:pPr>
            <w:r w:rsidRPr="00A63162">
              <w:t>0.5</w:t>
            </w:r>
          </w:p>
        </w:tc>
        <w:tc>
          <w:tcPr>
            <w:tcW w:w="1080" w:type="dxa"/>
            <w:tcBorders>
              <w:top w:val="nil"/>
              <w:left w:val="nil"/>
              <w:bottom w:val="single" w:color="auto" w:sz="8" w:space="0"/>
              <w:right w:val="single" w:color="auto" w:sz="8" w:space="0"/>
            </w:tcBorders>
            <w:shd w:val="clear" w:color="auto" w:fill="auto"/>
          </w:tcPr>
          <w:p w:rsidRPr="00A63162" w:rsidR="001A06AF" w:rsidP="00EC1C57" w:rsidRDefault="00C021AC">
            <w:pPr>
              <w:spacing w:after="60"/>
              <w:jc w:val="right"/>
            </w:pPr>
            <w:r w:rsidRPr="00A63162">
              <w:t>2.5</w:t>
            </w:r>
          </w:p>
        </w:tc>
        <w:tc>
          <w:tcPr>
            <w:tcW w:w="900" w:type="dxa"/>
            <w:tcBorders>
              <w:top w:val="nil"/>
              <w:left w:val="nil"/>
              <w:bottom w:val="single" w:color="auto" w:sz="8" w:space="0"/>
              <w:right w:val="single" w:color="auto" w:sz="8" w:space="0"/>
            </w:tcBorders>
            <w:shd w:val="clear" w:color="auto" w:fill="auto"/>
          </w:tcPr>
          <w:p w:rsidRPr="00A63162" w:rsidR="001A06AF" w:rsidP="00D02EC7" w:rsidRDefault="00452132">
            <w:pPr>
              <w:spacing w:after="60"/>
              <w:jc w:val="right"/>
            </w:pPr>
            <w:r w:rsidRPr="00A63162">
              <w:t>$</w:t>
            </w:r>
            <w:r w:rsidRPr="00A63162" w:rsidR="00D02EC7">
              <w:t>37</w:t>
            </w:r>
          </w:p>
        </w:tc>
        <w:tc>
          <w:tcPr>
            <w:tcW w:w="1260" w:type="dxa"/>
            <w:tcBorders>
              <w:top w:val="nil"/>
              <w:left w:val="nil"/>
              <w:bottom w:val="single" w:color="auto" w:sz="8" w:space="0"/>
              <w:right w:val="single" w:color="auto" w:sz="8" w:space="0"/>
            </w:tcBorders>
            <w:shd w:val="clear" w:color="auto" w:fill="auto"/>
          </w:tcPr>
          <w:p w:rsidRPr="00EB17D8" w:rsidR="001A06AF" w:rsidP="00D02EC7" w:rsidRDefault="00C021AC">
            <w:pPr>
              <w:spacing w:after="60"/>
              <w:jc w:val="right"/>
            </w:pPr>
            <w:r>
              <w:t>$93</w:t>
            </w:r>
          </w:p>
        </w:tc>
      </w:tr>
      <w:tr w:rsidRPr="00B23334" w:rsidR="001A06AF" w:rsidTr="00D059C8">
        <w:trPr>
          <w:trHeight w:val="349"/>
        </w:trPr>
        <w:tc>
          <w:tcPr>
            <w:tcW w:w="1350" w:type="dxa"/>
            <w:tcBorders>
              <w:top w:val="single" w:color="auto" w:sz="4" w:space="0"/>
              <w:left w:val="single" w:color="auto" w:sz="4" w:space="0"/>
              <w:bottom w:val="single" w:color="auto" w:sz="4" w:space="0"/>
              <w:right w:val="single" w:color="auto" w:sz="4" w:space="0"/>
            </w:tcBorders>
            <w:shd w:val="clear" w:color="auto" w:fill="auto"/>
          </w:tcPr>
          <w:p w:rsidRPr="00B23334" w:rsidR="001A06AF" w:rsidP="00EC1C57" w:rsidRDefault="001A06AF">
            <w:r w:rsidRPr="00B23334">
              <w:rPr>
                <w:b/>
                <w:bCs/>
              </w:rPr>
              <w:t>514.15</w:t>
            </w:r>
          </w:p>
        </w:tc>
        <w:tc>
          <w:tcPr>
            <w:tcW w:w="1530" w:type="dxa"/>
            <w:tcBorders>
              <w:top w:val="nil"/>
              <w:left w:val="single" w:color="auto" w:sz="4" w:space="0"/>
              <w:bottom w:val="single" w:color="auto" w:sz="8" w:space="0"/>
              <w:right w:val="single" w:color="auto" w:sz="8" w:space="0"/>
            </w:tcBorders>
            <w:shd w:val="clear" w:color="auto" w:fill="auto"/>
          </w:tcPr>
          <w:p w:rsidRPr="00EB17D8" w:rsidR="001A06AF" w:rsidP="00EC1C57" w:rsidRDefault="00EB17D8">
            <w:pPr>
              <w:spacing w:after="60"/>
              <w:jc w:val="right"/>
            </w:pPr>
            <w:r w:rsidRPr="00EB17D8">
              <w:t>211</w:t>
            </w:r>
          </w:p>
        </w:tc>
        <w:tc>
          <w:tcPr>
            <w:tcW w:w="1260" w:type="dxa"/>
            <w:tcBorders>
              <w:top w:val="nil"/>
              <w:left w:val="nil"/>
              <w:bottom w:val="single" w:color="auto" w:sz="8" w:space="0"/>
              <w:right w:val="single" w:color="auto" w:sz="8" w:space="0"/>
            </w:tcBorders>
            <w:shd w:val="clear" w:color="auto" w:fill="auto"/>
          </w:tcPr>
          <w:p w:rsidRPr="00EB17D8" w:rsidR="001A06AF" w:rsidP="00EC1C57" w:rsidRDefault="001A06AF">
            <w:pPr>
              <w:spacing w:after="60"/>
              <w:jc w:val="right"/>
            </w:pPr>
            <w:r w:rsidRPr="00EB17D8">
              <w:t>Varies</w:t>
            </w:r>
          </w:p>
        </w:tc>
        <w:tc>
          <w:tcPr>
            <w:tcW w:w="1260" w:type="dxa"/>
            <w:tcBorders>
              <w:top w:val="nil"/>
              <w:left w:val="nil"/>
              <w:bottom w:val="single" w:color="auto" w:sz="8" w:space="0"/>
              <w:right w:val="single" w:color="auto" w:sz="8" w:space="0"/>
            </w:tcBorders>
            <w:shd w:val="clear" w:color="auto" w:fill="auto"/>
          </w:tcPr>
          <w:p w:rsidRPr="00EB17D8" w:rsidR="001A06AF" w:rsidP="00EC1C57" w:rsidRDefault="00EB17D8">
            <w:pPr>
              <w:spacing w:after="60"/>
              <w:jc w:val="right"/>
            </w:pPr>
            <w:r w:rsidRPr="00EB17D8">
              <w:t>58</w:t>
            </w:r>
            <w:r w:rsidR="00C021AC">
              <w:t>,</w:t>
            </w:r>
            <w:r w:rsidRPr="00EB17D8">
              <w:t>893</w:t>
            </w:r>
          </w:p>
        </w:tc>
        <w:tc>
          <w:tcPr>
            <w:tcW w:w="1080" w:type="dxa"/>
            <w:tcBorders>
              <w:top w:val="nil"/>
              <w:left w:val="nil"/>
              <w:bottom w:val="single" w:color="auto" w:sz="8" w:space="0"/>
              <w:right w:val="single" w:color="auto" w:sz="8" w:space="0"/>
            </w:tcBorders>
            <w:shd w:val="clear" w:color="auto" w:fill="auto"/>
          </w:tcPr>
          <w:p w:rsidRPr="00A63162" w:rsidR="001A06AF" w:rsidP="00EC1C57" w:rsidRDefault="00DD5D88">
            <w:pPr>
              <w:spacing w:after="60"/>
              <w:jc w:val="right"/>
            </w:pPr>
            <w:r w:rsidRPr="00A63162">
              <w:t>0.1</w:t>
            </w:r>
          </w:p>
        </w:tc>
        <w:tc>
          <w:tcPr>
            <w:tcW w:w="1080" w:type="dxa"/>
            <w:tcBorders>
              <w:top w:val="nil"/>
              <w:left w:val="nil"/>
              <w:bottom w:val="single" w:color="auto" w:sz="8" w:space="0"/>
              <w:right w:val="single" w:color="auto" w:sz="8" w:space="0"/>
            </w:tcBorders>
            <w:shd w:val="clear" w:color="auto" w:fill="auto"/>
          </w:tcPr>
          <w:p w:rsidRPr="00A63162" w:rsidR="001A06AF" w:rsidP="00EC1C57" w:rsidRDefault="00C021AC">
            <w:pPr>
              <w:spacing w:after="60"/>
              <w:jc w:val="right"/>
            </w:pPr>
            <w:r w:rsidRPr="00A63162">
              <w:t>5,889</w:t>
            </w:r>
          </w:p>
        </w:tc>
        <w:tc>
          <w:tcPr>
            <w:tcW w:w="900" w:type="dxa"/>
            <w:tcBorders>
              <w:top w:val="nil"/>
              <w:left w:val="nil"/>
              <w:bottom w:val="single" w:color="auto" w:sz="8" w:space="0"/>
              <w:right w:val="single" w:color="auto" w:sz="8" w:space="0"/>
            </w:tcBorders>
            <w:shd w:val="clear" w:color="auto" w:fill="auto"/>
          </w:tcPr>
          <w:p w:rsidRPr="00A63162" w:rsidR="001A06AF" w:rsidP="0012715F" w:rsidRDefault="00FE587B">
            <w:pPr>
              <w:spacing w:after="60"/>
              <w:jc w:val="right"/>
            </w:pPr>
            <w:r>
              <w:t>N/A</w:t>
            </w:r>
          </w:p>
        </w:tc>
        <w:tc>
          <w:tcPr>
            <w:tcW w:w="1260" w:type="dxa"/>
            <w:tcBorders>
              <w:top w:val="nil"/>
              <w:left w:val="nil"/>
              <w:bottom w:val="single" w:color="auto" w:sz="8" w:space="0"/>
              <w:right w:val="single" w:color="auto" w:sz="8" w:space="0"/>
            </w:tcBorders>
            <w:shd w:val="clear" w:color="auto" w:fill="auto"/>
          </w:tcPr>
          <w:p w:rsidRPr="00EB17D8" w:rsidR="001A06AF" w:rsidP="009C4099" w:rsidRDefault="00D059C8">
            <w:pPr>
              <w:spacing w:after="60"/>
              <w:jc w:val="right"/>
            </w:pPr>
            <w:r>
              <w:t>$</w:t>
            </w:r>
            <w:r w:rsidR="009C4099">
              <w:t>0</w:t>
            </w:r>
          </w:p>
        </w:tc>
      </w:tr>
      <w:tr w:rsidRPr="00696D7C" w:rsidR="00115CDC" w:rsidTr="00D059C8">
        <w:trPr>
          <w:trHeight w:val="315"/>
        </w:trPr>
        <w:tc>
          <w:tcPr>
            <w:tcW w:w="135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B23334" w:rsidR="00115CDC" w:rsidP="00EC1C57" w:rsidRDefault="00115CDC">
            <w:pPr>
              <w:spacing w:after="60"/>
              <w:rPr>
                <w:b/>
                <w:bCs/>
              </w:rPr>
            </w:pPr>
            <w:r w:rsidRPr="00B23334">
              <w:rPr>
                <w:b/>
                <w:bCs/>
              </w:rPr>
              <w:t>TOTAL</w:t>
            </w:r>
          </w:p>
        </w:tc>
        <w:tc>
          <w:tcPr>
            <w:tcW w:w="1530" w:type="dxa"/>
            <w:tcBorders>
              <w:top w:val="single" w:color="auto" w:sz="4" w:space="0"/>
              <w:left w:val="single" w:color="auto" w:sz="4" w:space="0"/>
              <w:bottom w:val="single" w:color="auto" w:sz="4" w:space="0"/>
              <w:right w:val="single" w:color="auto" w:sz="4" w:space="0"/>
            </w:tcBorders>
            <w:shd w:val="clear" w:color="000000" w:fill="C0C0C0"/>
          </w:tcPr>
          <w:p w:rsidRPr="00EB17D8" w:rsidR="00115CDC" w:rsidP="00EB17D8" w:rsidRDefault="00115CDC">
            <w:pPr>
              <w:spacing w:after="60"/>
              <w:jc w:val="right"/>
            </w:pPr>
          </w:p>
        </w:tc>
        <w:tc>
          <w:tcPr>
            <w:tcW w:w="1260" w:type="dxa"/>
            <w:tcBorders>
              <w:top w:val="single" w:color="auto" w:sz="4" w:space="0"/>
              <w:left w:val="single" w:color="auto" w:sz="4" w:space="0"/>
              <w:bottom w:val="single" w:color="auto" w:sz="4" w:space="0"/>
              <w:right w:val="single" w:color="auto" w:sz="4" w:space="0"/>
            </w:tcBorders>
            <w:shd w:val="clear" w:color="000000" w:fill="C0C0C0"/>
          </w:tcPr>
          <w:p w:rsidRPr="009B320B" w:rsidR="00115CDC" w:rsidP="00EC1C57" w:rsidRDefault="00115CDC">
            <w:pPr>
              <w:spacing w:after="60"/>
              <w:jc w:val="right"/>
              <w:rPr>
                <w:highlight w:val="yellow"/>
              </w:rPr>
            </w:pPr>
          </w:p>
        </w:tc>
        <w:tc>
          <w:tcPr>
            <w:tcW w:w="1260" w:type="dxa"/>
            <w:tcBorders>
              <w:top w:val="single" w:color="auto" w:sz="4" w:space="0"/>
              <w:left w:val="single" w:color="auto" w:sz="4" w:space="0"/>
              <w:bottom w:val="single" w:color="auto" w:sz="4" w:space="0"/>
              <w:right w:val="single" w:color="auto" w:sz="4" w:space="0"/>
            </w:tcBorders>
            <w:shd w:val="clear" w:color="000000" w:fill="C0C0C0"/>
          </w:tcPr>
          <w:p w:rsidRPr="00EB17D8" w:rsidR="00115CDC" w:rsidP="00EC1C57" w:rsidRDefault="00115CDC">
            <w:pPr>
              <w:spacing w:after="60"/>
              <w:jc w:val="right"/>
            </w:pPr>
          </w:p>
        </w:tc>
        <w:tc>
          <w:tcPr>
            <w:tcW w:w="1080" w:type="dxa"/>
            <w:tcBorders>
              <w:top w:val="single" w:color="auto" w:sz="4" w:space="0"/>
              <w:left w:val="single" w:color="auto" w:sz="4" w:space="0"/>
              <w:bottom w:val="single" w:color="auto" w:sz="4" w:space="0"/>
              <w:right w:val="single" w:color="auto" w:sz="4" w:space="0"/>
            </w:tcBorders>
            <w:shd w:val="clear" w:color="000000" w:fill="C0C0C0"/>
          </w:tcPr>
          <w:p w:rsidRPr="009B320B" w:rsidR="00115CDC" w:rsidP="00EC1C57" w:rsidRDefault="00115CDC">
            <w:pPr>
              <w:spacing w:after="60"/>
              <w:jc w:val="right"/>
              <w:rPr>
                <w:b/>
                <w:highlight w:val="yellow"/>
              </w:rPr>
            </w:pPr>
          </w:p>
        </w:tc>
        <w:tc>
          <w:tcPr>
            <w:tcW w:w="1080" w:type="dxa"/>
            <w:tcBorders>
              <w:top w:val="single" w:color="auto" w:sz="4" w:space="0"/>
              <w:left w:val="single" w:color="auto" w:sz="4" w:space="0"/>
              <w:bottom w:val="single" w:color="auto" w:sz="4" w:space="0"/>
              <w:right w:val="single" w:color="auto" w:sz="4" w:space="0"/>
            </w:tcBorders>
            <w:shd w:val="clear" w:color="000000" w:fill="C0C0C0"/>
          </w:tcPr>
          <w:p w:rsidRPr="00EB17D8" w:rsidR="00115CDC" w:rsidP="002B382B" w:rsidRDefault="00115CDC">
            <w:pPr>
              <w:spacing w:after="60"/>
              <w:jc w:val="right"/>
              <w:rPr>
                <w:b/>
              </w:rPr>
            </w:pPr>
          </w:p>
        </w:tc>
        <w:tc>
          <w:tcPr>
            <w:tcW w:w="900" w:type="dxa"/>
            <w:tcBorders>
              <w:top w:val="single" w:color="auto" w:sz="4" w:space="0"/>
              <w:left w:val="single" w:color="auto" w:sz="4" w:space="0"/>
              <w:bottom w:val="single" w:color="auto" w:sz="4" w:space="0"/>
              <w:right w:val="single" w:color="auto" w:sz="4" w:space="0"/>
            </w:tcBorders>
            <w:shd w:val="clear" w:color="000000" w:fill="C0C0C0"/>
          </w:tcPr>
          <w:p w:rsidRPr="009B320B" w:rsidR="00115CDC" w:rsidP="00EC1C57" w:rsidRDefault="00115CDC">
            <w:pPr>
              <w:spacing w:after="60"/>
              <w:jc w:val="right"/>
              <w:rPr>
                <w:b/>
                <w:highlight w:val="yellow"/>
              </w:rPr>
            </w:pPr>
          </w:p>
        </w:tc>
        <w:tc>
          <w:tcPr>
            <w:tcW w:w="1260" w:type="dxa"/>
            <w:tcBorders>
              <w:top w:val="single" w:color="auto" w:sz="4" w:space="0"/>
              <w:left w:val="single" w:color="auto" w:sz="4" w:space="0"/>
              <w:bottom w:val="single" w:color="auto" w:sz="4" w:space="0"/>
              <w:right w:val="single" w:color="auto" w:sz="4" w:space="0"/>
            </w:tcBorders>
            <w:shd w:val="clear" w:color="000000" w:fill="C0C0C0"/>
          </w:tcPr>
          <w:p w:rsidRPr="00EB17D8" w:rsidR="00115CDC" w:rsidP="00502C1B" w:rsidRDefault="00AE5A6D">
            <w:pPr>
              <w:spacing w:after="60"/>
              <w:jc w:val="right"/>
              <w:rPr>
                <w:b/>
              </w:rPr>
            </w:pPr>
            <w:r>
              <w:rPr>
                <w:b/>
              </w:rPr>
              <w:t>$157,564</w:t>
            </w:r>
          </w:p>
        </w:tc>
      </w:tr>
    </w:tbl>
    <w:p w:rsidRPr="00696D7C" w:rsidR="00115CDC" w:rsidP="00115CDC" w:rsidRDefault="00115CDC">
      <w:pPr>
        <w:pStyle w:val="Default"/>
        <w:tabs>
          <w:tab w:val="left" w:pos="378"/>
        </w:tabs>
        <w:rPr>
          <w:b/>
          <w:bCs/>
        </w:rPr>
      </w:pPr>
    </w:p>
    <w:p w:rsidRPr="00696D7C" w:rsidR="00F25105" w:rsidP="005068D3" w:rsidRDefault="00EE02EC">
      <w:pPr>
        <w:pStyle w:val="Default"/>
        <w:spacing w:line="480" w:lineRule="auto"/>
        <w:ind w:firstLine="720"/>
        <w:rPr>
          <w:color w:val="auto"/>
        </w:rPr>
      </w:pPr>
      <w:r>
        <w:rPr>
          <w:color w:val="auto"/>
        </w:rPr>
        <w:t>The processing of f</w:t>
      </w:r>
      <w:r w:rsidRPr="00696D7C" w:rsidR="00F25105">
        <w:rPr>
          <w:color w:val="auto"/>
        </w:rPr>
        <w:t>ingerprint card</w:t>
      </w:r>
      <w:r>
        <w:rPr>
          <w:color w:val="auto"/>
        </w:rPr>
        <w:t>s</w:t>
      </w:r>
      <w:r w:rsidRPr="00696D7C" w:rsidR="00F25105">
        <w:rPr>
          <w:color w:val="auto"/>
        </w:rPr>
        <w:t xml:space="preserve"> costs </w:t>
      </w:r>
      <w:r>
        <w:rPr>
          <w:color w:val="auto"/>
        </w:rPr>
        <w:t>the federal government $0</w:t>
      </w:r>
      <w:r w:rsidR="00314BC9">
        <w:rPr>
          <w:color w:val="auto"/>
        </w:rPr>
        <w:t xml:space="preserve"> due to the fact that the processing cost is </w:t>
      </w:r>
      <w:r>
        <w:rPr>
          <w:color w:val="auto"/>
        </w:rPr>
        <w:t>recouped by the Commission through the</w:t>
      </w:r>
      <w:r w:rsidRPr="00696D7C" w:rsidR="00F25105">
        <w:rPr>
          <w:color w:val="auto"/>
        </w:rPr>
        <w:t xml:space="preserve"> fee</w:t>
      </w:r>
      <w:r w:rsidR="00314BC9">
        <w:rPr>
          <w:color w:val="auto"/>
        </w:rPr>
        <w:t>s</w:t>
      </w:r>
      <w:r w:rsidRPr="00696D7C" w:rsidR="00F25105">
        <w:rPr>
          <w:color w:val="auto"/>
        </w:rPr>
        <w:t xml:space="preserve"> charged to </w:t>
      </w:r>
      <w:r w:rsidR="00314BC9">
        <w:rPr>
          <w:color w:val="auto"/>
        </w:rPr>
        <w:t>each</w:t>
      </w:r>
      <w:r w:rsidRPr="00696D7C" w:rsidR="00F25105">
        <w:rPr>
          <w:color w:val="auto"/>
        </w:rPr>
        <w:t xml:space="preserve"> tribe for </w:t>
      </w:r>
      <w:r w:rsidR="00314BC9">
        <w:rPr>
          <w:color w:val="auto"/>
        </w:rPr>
        <w:t xml:space="preserve">the </w:t>
      </w:r>
      <w:r w:rsidRPr="00696D7C" w:rsidR="00F25105">
        <w:rPr>
          <w:color w:val="auto"/>
        </w:rPr>
        <w:t xml:space="preserve">processing </w:t>
      </w:r>
      <w:r w:rsidR="00314BC9">
        <w:rPr>
          <w:color w:val="auto"/>
        </w:rPr>
        <w:t xml:space="preserve">of </w:t>
      </w:r>
      <w:r w:rsidRPr="00696D7C" w:rsidR="00F25105">
        <w:rPr>
          <w:color w:val="auto"/>
        </w:rPr>
        <w:t xml:space="preserve">each fingerprint card. </w:t>
      </w:r>
    </w:p>
    <w:p w:rsidRPr="00696D7C" w:rsidR="00F25105" w:rsidP="00C02AF6" w:rsidRDefault="00F25105">
      <w:pPr>
        <w:pStyle w:val="Default"/>
        <w:ind w:left="1440" w:hanging="720"/>
        <w:rPr>
          <w:color w:val="auto"/>
        </w:rPr>
      </w:pPr>
      <w:r w:rsidRPr="00696D7C">
        <w:rPr>
          <w:b/>
          <w:bCs/>
          <w:color w:val="auto"/>
        </w:rPr>
        <w:t xml:space="preserve">15. </w:t>
      </w:r>
      <w:r w:rsidRPr="00696D7C" w:rsidR="00C02AF6">
        <w:rPr>
          <w:b/>
          <w:bCs/>
          <w:color w:val="auto"/>
        </w:rPr>
        <w:tab/>
      </w:r>
      <w:r w:rsidRPr="00696D7C" w:rsidR="005F0CAC">
        <w:rPr>
          <w:b/>
          <w:bCs/>
        </w:rPr>
        <w:t>Explain the reasons for any program changes or adjustments reported in Items 13 or 14 of the OMB Form 83-I.</w:t>
      </w:r>
      <w:r w:rsidRPr="00696D7C">
        <w:rPr>
          <w:b/>
          <w:bCs/>
          <w:color w:val="auto"/>
        </w:rPr>
        <w:t xml:space="preserve"> </w:t>
      </w:r>
    </w:p>
    <w:p w:rsidR="00C47B67" w:rsidP="00C47B67" w:rsidRDefault="00C47B67">
      <w:pPr>
        <w:spacing w:line="480" w:lineRule="auto"/>
      </w:pPr>
    </w:p>
    <w:p w:rsidRPr="00805537" w:rsidR="00C47B67" w:rsidP="00C47B67" w:rsidRDefault="00C47B67">
      <w:pPr>
        <w:pStyle w:val="Default"/>
        <w:tabs>
          <w:tab w:val="left" w:pos="378"/>
        </w:tabs>
        <w:spacing w:line="480" w:lineRule="auto"/>
        <w:jc w:val="center"/>
        <w:rPr>
          <w:b/>
          <w:u w:val="single"/>
        </w:rPr>
      </w:pPr>
      <w:r>
        <w:rPr>
          <w:b/>
          <w:u w:val="single"/>
        </w:rPr>
        <w:t>CHANGES FROM THE PREVIOUS COLLECTION</w:t>
      </w:r>
    </w:p>
    <w:tbl>
      <w:tblPr>
        <w:tblStyle w:val="TableGrid"/>
        <w:tblW w:w="0" w:type="auto"/>
        <w:tblLook w:val="04A0" w:firstRow="1" w:lastRow="0" w:firstColumn="1" w:lastColumn="0" w:noHBand="0" w:noVBand="1"/>
      </w:tblPr>
      <w:tblGrid>
        <w:gridCol w:w="2605"/>
        <w:gridCol w:w="2250"/>
        <w:gridCol w:w="2430"/>
        <w:gridCol w:w="2065"/>
      </w:tblGrid>
      <w:tr w:rsidR="00C47B67" w:rsidTr="00AD42AF">
        <w:tc>
          <w:tcPr>
            <w:tcW w:w="2605" w:type="dxa"/>
          </w:tcPr>
          <w:p w:rsidR="00C47B67" w:rsidP="00AD42AF" w:rsidRDefault="00C47B67">
            <w:pPr>
              <w:pStyle w:val="Default"/>
              <w:tabs>
                <w:tab w:val="left" w:pos="378"/>
              </w:tabs>
            </w:pPr>
          </w:p>
        </w:tc>
        <w:tc>
          <w:tcPr>
            <w:tcW w:w="2250" w:type="dxa"/>
          </w:tcPr>
          <w:p w:rsidRPr="00805537" w:rsidR="00C47B67" w:rsidP="00AD42AF" w:rsidRDefault="00C47B67">
            <w:pPr>
              <w:pStyle w:val="Default"/>
              <w:tabs>
                <w:tab w:val="left" w:pos="378"/>
              </w:tabs>
              <w:rPr>
                <w:b/>
              </w:rPr>
            </w:pPr>
            <w:r w:rsidRPr="00805537">
              <w:rPr>
                <w:b/>
              </w:rPr>
              <w:t xml:space="preserve">Requested in this </w:t>
            </w:r>
            <w:r w:rsidRPr="00805537">
              <w:rPr>
                <w:b/>
              </w:rPr>
              <w:lastRenderedPageBreak/>
              <w:t>collection</w:t>
            </w:r>
          </w:p>
        </w:tc>
        <w:tc>
          <w:tcPr>
            <w:tcW w:w="2430" w:type="dxa"/>
          </w:tcPr>
          <w:p w:rsidRPr="00805537" w:rsidR="00C47B67" w:rsidP="00AD42AF" w:rsidRDefault="00C47B67">
            <w:pPr>
              <w:pStyle w:val="Default"/>
              <w:tabs>
                <w:tab w:val="left" w:pos="378"/>
              </w:tabs>
              <w:rPr>
                <w:b/>
              </w:rPr>
            </w:pPr>
            <w:r w:rsidRPr="00805537">
              <w:rPr>
                <w:b/>
              </w:rPr>
              <w:lastRenderedPageBreak/>
              <w:t xml:space="preserve">Previously Approved </w:t>
            </w:r>
            <w:r w:rsidRPr="00805537">
              <w:rPr>
                <w:b/>
              </w:rPr>
              <w:lastRenderedPageBreak/>
              <w:t>Collection</w:t>
            </w:r>
          </w:p>
        </w:tc>
        <w:tc>
          <w:tcPr>
            <w:tcW w:w="2065" w:type="dxa"/>
          </w:tcPr>
          <w:p w:rsidRPr="00805537" w:rsidR="00C47B67" w:rsidP="00AD42AF" w:rsidRDefault="00C47B67">
            <w:pPr>
              <w:pStyle w:val="Default"/>
              <w:tabs>
                <w:tab w:val="left" w:pos="378"/>
              </w:tabs>
              <w:rPr>
                <w:b/>
              </w:rPr>
            </w:pPr>
            <w:r w:rsidRPr="00805537">
              <w:rPr>
                <w:b/>
              </w:rPr>
              <w:lastRenderedPageBreak/>
              <w:t>Net Change</w:t>
            </w:r>
          </w:p>
        </w:tc>
      </w:tr>
      <w:tr w:rsidR="00C47B67" w:rsidTr="00AD42AF">
        <w:tc>
          <w:tcPr>
            <w:tcW w:w="2605" w:type="dxa"/>
          </w:tcPr>
          <w:p w:rsidR="00C47B67" w:rsidP="00AD42AF" w:rsidRDefault="00C47B67">
            <w:pPr>
              <w:pStyle w:val="Default"/>
              <w:tabs>
                <w:tab w:val="left" w:pos="378"/>
              </w:tabs>
            </w:pPr>
            <w:r>
              <w:t># of Responses</w:t>
            </w:r>
          </w:p>
        </w:tc>
        <w:tc>
          <w:tcPr>
            <w:tcW w:w="2250" w:type="dxa"/>
          </w:tcPr>
          <w:p w:rsidR="00C47B67" w:rsidP="00AD42AF" w:rsidRDefault="00F16898">
            <w:pPr>
              <w:pStyle w:val="Default"/>
              <w:tabs>
                <w:tab w:val="left" w:pos="378"/>
              </w:tabs>
            </w:pPr>
            <w:r w:rsidRPr="00F16898">
              <w:t>60,826</w:t>
            </w:r>
          </w:p>
        </w:tc>
        <w:tc>
          <w:tcPr>
            <w:tcW w:w="2430" w:type="dxa"/>
          </w:tcPr>
          <w:p w:rsidR="00C47B67" w:rsidP="00AD42AF" w:rsidRDefault="00F16898">
            <w:pPr>
              <w:pStyle w:val="Default"/>
              <w:tabs>
                <w:tab w:val="left" w:pos="378"/>
              </w:tabs>
            </w:pPr>
            <w:r w:rsidRPr="00F16898">
              <w:t>74,706</w:t>
            </w:r>
          </w:p>
        </w:tc>
        <w:tc>
          <w:tcPr>
            <w:tcW w:w="2065" w:type="dxa"/>
          </w:tcPr>
          <w:p w:rsidR="00C47B67" w:rsidP="00AD42AF" w:rsidRDefault="00677DEB">
            <w:pPr>
              <w:pStyle w:val="Default"/>
              <w:tabs>
                <w:tab w:val="left" w:pos="378"/>
              </w:tabs>
            </w:pPr>
            <w:r>
              <w:t>-19%</w:t>
            </w:r>
          </w:p>
        </w:tc>
      </w:tr>
      <w:tr w:rsidR="00C47B67" w:rsidTr="00AD42AF">
        <w:tc>
          <w:tcPr>
            <w:tcW w:w="2605" w:type="dxa"/>
          </w:tcPr>
          <w:p w:rsidR="00C47B67" w:rsidP="00AD42AF" w:rsidRDefault="00C47B67">
            <w:pPr>
              <w:pStyle w:val="Default"/>
              <w:tabs>
                <w:tab w:val="left" w:pos="378"/>
              </w:tabs>
            </w:pPr>
            <w:r>
              <w:t>Annual Burden Hours</w:t>
            </w:r>
          </w:p>
        </w:tc>
        <w:tc>
          <w:tcPr>
            <w:tcW w:w="2250" w:type="dxa"/>
          </w:tcPr>
          <w:p w:rsidR="00C47B67" w:rsidP="00AD42AF" w:rsidRDefault="00F16898">
            <w:pPr>
              <w:pStyle w:val="Default"/>
              <w:tabs>
                <w:tab w:val="left" w:pos="378"/>
              </w:tabs>
            </w:pPr>
            <w:r w:rsidRPr="00F16898">
              <w:t>33,885</w:t>
            </w:r>
          </w:p>
        </w:tc>
        <w:tc>
          <w:tcPr>
            <w:tcW w:w="2430" w:type="dxa"/>
          </w:tcPr>
          <w:p w:rsidR="00C47B67" w:rsidP="00AD42AF" w:rsidRDefault="00F16898">
            <w:pPr>
              <w:pStyle w:val="Default"/>
              <w:tabs>
                <w:tab w:val="left" w:pos="378"/>
              </w:tabs>
            </w:pPr>
            <w:r w:rsidRPr="00F16898">
              <w:t>47,498</w:t>
            </w:r>
          </w:p>
        </w:tc>
        <w:tc>
          <w:tcPr>
            <w:tcW w:w="2065" w:type="dxa"/>
          </w:tcPr>
          <w:p w:rsidR="00C47B67" w:rsidP="00AD42AF" w:rsidRDefault="00677DEB">
            <w:pPr>
              <w:pStyle w:val="Default"/>
              <w:tabs>
                <w:tab w:val="left" w:pos="378"/>
              </w:tabs>
            </w:pPr>
            <w:r>
              <w:t>-29%</w:t>
            </w:r>
          </w:p>
        </w:tc>
      </w:tr>
      <w:tr w:rsidR="00C47B67" w:rsidTr="00AD42AF">
        <w:tc>
          <w:tcPr>
            <w:tcW w:w="2605" w:type="dxa"/>
          </w:tcPr>
          <w:p w:rsidR="00C47B67" w:rsidP="00AD42AF" w:rsidRDefault="00C47B67">
            <w:pPr>
              <w:pStyle w:val="Default"/>
              <w:tabs>
                <w:tab w:val="left" w:pos="378"/>
              </w:tabs>
            </w:pPr>
            <w:r>
              <w:t>Burden Hour Wage Cost</w:t>
            </w:r>
          </w:p>
        </w:tc>
        <w:tc>
          <w:tcPr>
            <w:tcW w:w="2250" w:type="dxa"/>
          </w:tcPr>
          <w:p w:rsidR="00C47B67" w:rsidP="00AD42AF" w:rsidRDefault="00F16898">
            <w:pPr>
              <w:pStyle w:val="Default"/>
              <w:tabs>
                <w:tab w:val="left" w:pos="378"/>
              </w:tabs>
            </w:pPr>
            <w:r w:rsidRPr="00F16898">
              <w:rPr>
                <w:rFonts w:eastAsia="Times New Roman"/>
                <w:color w:val="000000" w:themeColor="text1"/>
              </w:rPr>
              <w:t>$967,970</w:t>
            </w:r>
          </w:p>
        </w:tc>
        <w:tc>
          <w:tcPr>
            <w:tcW w:w="2430" w:type="dxa"/>
          </w:tcPr>
          <w:p w:rsidR="00C47B67" w:rsidP="00AD42AF" w:rsidRDefault="00C47B67">
            <w:pPr>
              <w:pStyle w:val="Default"/>
              <w:tabs>
                <w:tab w:val="left" w:pos="378"/>
              </w:tabs>
            </w:pPr>
            <w:r>
              <w:t>Not Available</w:t>
            </w:r>
          </w:p>
        </w:tc>
        <w:tc>
          <w:tcPr>
            <w:tcW w:w="2065" w:type="dxa"/>
          </w:tcPr>
          <w:p w:rsidR="00C47B67" w:rsidP="00AD42AF" w:rsidRDefault="00C47B67">
            <w:pPr>
              <w:pStyle w:val="Default"/>
              <w:tabs>
                <w:tab w:val="left" w:pos="378"/>
              </w:tabs>
            </w:pPr>
            <w:r>
              <w:rPr>
                <w:rFonts w:eastAsia="Times New Roman"/>
                <w:color w:val="000000" w:themeColor="text1"/>
              </w:rPr>
              <w:t>Not Available</w:t>
            </w:r>
          </w:p>
        </w:tc>
      </w:tr>
      <w:tr w:rsidR="00C47B67" w:rsidTr="00AD42AF">
        <w:tc>
          <w:tcPr>
            <w:tcW w:w="2605" w:type="dxa"/>
          </w:tcPr>
          <w:p w:rsidR="00C47B67" w:rsidP="00AD42AF" w:rsidRDefault="00C47B67">
            <w:pPr>
              <w:pStyle w:val="Default"/>
              <w:tabs>
                <w:tab w:val="left" w:pos="378"/>
              </w:tabs>
            </w:pPr>
            <w:r>
              <w:t>Non-Burden Hour Cost</w:t>
            </w:r>
          </w:p>
        </w:tc>
        <w:tc>
          <w:tcPr>
            <w:tcW w:w="2250" w:type="dxa"/>
          </w:tcPr>
          <w:p w:rsidR="00C47B67" w:rsidP="00AD42AF" w:rsidRDefault="0038068C">
            <w:pPr>
              <w:pStyle w:val="Default"/>
              <w:tabs>
                <w:tab w:val="left" w:pos="378"/>
              </w:tabs>
            </w:pPr>
            <w:r>
              <w:rPr>
                <w:rFonts w:eastAsia="Times New Roman"/>
              </w:rPr>
              <w:t>$</w:t>
            </w:r>
            <w:r w:rsidRPr="00F16898" w:rsidR="00F16898">
              <w:rPr>
                <w:rFonts w:eastAsia="Times New Roman"/>
              </w:rPr>
              <w:t>1,649,004</w:t>
            </w:r>
          </w:p>
        </w:tc>
        <w:tc>
          <w:tcPr>
            <w:tcW w:w="2430" w:type="dxa"/>
          </w:tcPr>
          <w:p w:rsidR="00C47B67" w:rsidP="00AD42AF" w:rsidRDefault="00C47B67">
            <w:pPr>
              <w:pStyle w:val="Default"/>
              <w:tabs>
                <w:tab w:val="left" w:pos="378"/>
              </w:tabs>
            </w:pPr>
            <w:r>
              <w:t>Not Available</w:t>
            </w:r>
          </w:p>
        </w:tc>
        <w:tc>
          <w:tcPr>
            <w:tcW w:w="2065" w:type="dxa"/>
          </w:tcPr>
          <w:p w:rsidR="00C47B67" w:rsidP="00AD42AF" w:rsidRDefault="00C47B67">
            <w:pPr>
              <w:pStyle w:val="Default"/>
              <w:tabs>
                <w:tab w:val="left" w:pos="378"/>
              </w:tabs>
            </w:pPr>
            <w:r>
              <w:t>Not Available</w:t>
            </w:r>
          </w:p>
        </w:tc>
      </w:tr>
    </w:tbl>
    <w:p w:rsidR="00C47B67" w:rsidP="00C47B67" w:rsidRDefault="00C47B67">
      <w:pPr>
        <w:pStyle w:val="Default"/>
        <w:tabs>
          <w:tab w:val="left" w:pos="378"/>
        </w:tabs>
        <w:spacing w:line="480" w:lineRule="auto"/>
        <w:ind w:firstLine="720"/>
      </w:pPr>
    </w:p>
    <w:p w:rsidR="00C47B67" w:rsidP="00C47B67" w:rsidRDefault="00C47B67">
      <w:pPr>
        <w:pStyle w:val="Default"/>
        <w:tabs>
          <w:tab w:val="left" w:pos="378"/>
        </w:tabs>
        <w:spacing w:line="480" w:lineRule="auto"/>
        <w:ind w:firstLine="720"/>
      </w:pPr>
      <w:r>
        <w:t>It should be cautioned at the outset that tribal gaming operations and their business practices are unique to each gaming Tribe and influenced by many local, state, and regional factors.  Tribal gaming facilities vary in size and complexity and range from small truck stops to world-class casino resorts.  The amount of time and resources that gaming tribes expend fulfilling regulatory requirements can vary dramatically and is further complicated by different Tribal governance practices and varying levels of investment in, and adoption of, new technologies and technical expertise. For these reasons, estimates provided by a statistically insignificant group of rotating tribal consultants has limited value and it would be improper to extrapolate from these burden estimates any definitive trends.</w:t>
      </w:r>
    </w:p>
    <w:p w:rsidR="007D4AE2" w:rsidP="00C47B67" w:rsidRDefault="00C47B67">
      <w:pPr>
        <w:pStyle w:val="Default"/>
        <w:tabs>
          <w:tab w:val="left" w:pos="378"/>
        </w:tabs>
        <w:spacing w:line="480" w:lineRule="auto"/>
      </w:pPr>
      <w:r>
        <w:tab/>
      </w:r>
      <w:r>
        <w:tab/>
        <w:t>It should also be noted that, in previous years, the NIGC did not break out wage costs in its data. This deficiency was identified in the previous review process and has now been rectified, however, because these costs were previously lumped together, it is not possible to make direct caparisons between costs this review cycle.</w:t>
      </w:r>
    </w:p>
    <w:p w:rsidR="00C47B67" w:rsidP="00C47B67" w:rsidRDefault="00936A68">
      <w:pPr>
        <w:pStyle w:val="Default"/>
        <w:tabs>
          <w:tab w:val="left" w:pos="378"/>
        </w:tabs>
        <w:spacing w:line="480" w:lineRule="auto"/>
        <w:ind w:firstLine="720"/>
      </w:pPr>
      <w:r>
        <w:t>Overall, this past cycle saw a decrease in bu</w:t>
      </w:r>
      <w:bookmarkStart w:name="_GoBack" w:id="0"/>
      <w:bookmarkEnd w:id="0"/>
      <w:r>
        <w:t>rden hours.  This would be due to the fact that the gaming industry was substantially affected by the COVID-19 pandemic and the temporary closures of gaming operations for a period of time during the pandemic.</w:t>
      </w:r>
      <w:r w:rsidR="00C47B67">
        <w:t xml:space="preserve"> </w:t>
      </w:r>
    </w:p>
    <w:p w:rsidR="003F0194" w:rsidP="00C47B67" w:rsidRDefault="00C47B67">
      <w:pPr>
        <w:pStyle w:val="Default"/>
        <w:tabs>
          <w:tab w:val="left" w:pos="378"/>
        </w:tabs>
        <w:spacing w:line="480" w:lineRule="auto"/>
        <w:ind w:firstLine="720"/>
      </w:pPr>
      <w:r>
        <w:t xml:space="preserve">The estimated dollar cost for information collection under </w:t>
      </w:r>
      <w:r w:rsidRPr="008B3660">
        <w:t xml:space="preserve">Section </w:t>
      </w:r>
      <w:r w:rsidR="0038068C">
        <w:t>514.15</w:t>
      </w:r>
      <w:r w:rsidRPr="008B3660">
        <w:t xml:space="preserve"> of title 25</w:t>
      </w:r>
      <w:r>
        <w:t xml:space="preserve"> saw a particularly marked </w:t>
      </w:r>
      <w:r w:rsidR="003F0194">
        <w:t>increase</w:t>
      </w:r>
      <w:r>
        <w:t xml:space="preserve"> this cycle and this was due to </w:t>
      </w:r>
      <w:r w:rsidR="003F0194">
        <w:t>two factors:</w:t>
      </w:r>
    </w:p>
    <w:p w:rsidR="003F0194" w:rsidP="00C47B67" w:rsidRDefault="003F0194">
      <w:pPr>
        <w:pStyle w:val="Default"/>
        <w:tabs>
          <w:tab w:val="left" w:pos="378"/>
        </w:tabs>
        <w:spacing w:line="480" w:lineRule="auto"/>
        <w:ind w:firstLine="720"/>
      </w:pPr>
    </w:p>
    <w:p w:rsidR="00C47B67" w:rsidP="00C47B67" w:rsidRDefault="003F0194">
      <w:pPr>
        <w:pStyle w:val="Default"/>
        <w:tabs>
          <w:tab w:val="left" w:pos="378"/>
        </w:tabs>
        <w:spacing w:line="480" w:lineRule="auto"/>
        <w:ind w:firstLine="720"/>
      </w:pPr>
      <w:r>
        <w:lastRenderedPageBreak/>
        <w:t>1) The cost of processing fingerprints for background checks increased and from $18 last cycle to $28 this cycle.</w:t>
      </w:r>
    </w:p>
    <w:p w:rsidR="003F0194" w:rsidP="00C47B67" w:rsidRDefault="003F0194">
      <w:pPr>
        <w:pStyle w:val="Default"/>
        <w:tabs>
          <w:tab w:val="left" w:pos="378"/>
        </w:tabs>
        <w:spacing w:line="480" w:lineRule="auto"/>
        <w:ind w:firstLine="720"/>
      </w:pPr>
      <w:r>
        <w:t xml:space="preserve">2) Previous estimates </w:t>
      </w:r>
      <w:r w:rsidR="00E74920">
        <w:t xml:space="preserve">calculated the cost of fingerprint submissions as equal to the total fees paid for the submissions, however, the wage cost for </w:t>
      </w:r>
      <w:r w:rsidR="00391446">
        <w:t xml:space="preserve">the task of </w:t>
      </w:r>
      <w:r w:rsidR="00E74920">
        <w:t xml:space="preserve">submitting the fingerprints should have been included and, in this cycle, they were added in and this </w:t>
      </w:r>
      <w:r w:rsidR="00391446">
        <w:t xml:space="preserve">has </w:t>
      </w:r>
      <w:r w:rsidR="00E74920">
        <w:t xml:space="preserve">resulted in a substantial increase in the </w:t>
      </w:r>
      <w:r w:rsidR="00391446">
        <w:t xml:space="preserve">overall </w:t>
      </w:r>
      <w:r w:rsidR="00E74920">
        <w:t>cost estimate.</w:t>
      </w:r>
    </w:p>
    <w:p w:rsidRPr="00BD0E8D" w:rsidR="00C47B67" w:rsidP="00C47B67" w:rsidRDefault="00C47B67">
      <w:pPr>
        <w:pStyle w:val="NoSpacing"/>
      </w:pPr>
      <w:r w:rsidRPr="001A0AA9">
        <w:t xml:space="preserve"> </w:t>
      </w:r>
    </w:p>
    <w:p w:rsidRPr="00696D7C" w:rsidR="00F25105" w:rsidP="00C02AF6" w:rsidRDefault="00F25105">
      <w:pPr>
        <w:pStyle w:val="Default"/>
        <w:ind w:left="1440" w:hanging="720"/>
        <w:rPr>
          <w:color w:val="auto"/>
        </w:rPr>
      </w:pPr>
      <w:r w:rsidRPr="00696D7C">
        <w:rPr>
          <w:b/>
          <w:bCs/>
          <w:color w:val="auto"/>
        </w:rPr>
        <w:t xml:space="preserve">16. </w:t>
      </w:r>
      <w:r w:rsidRPr="00696D7C" w:rsidR="00C02AF6">
        <w:rPr>
          <w:b/>
          <w:bCs/>
          <w:color w:val="auto"/>
        </w:rPr>
        <w:tab/>
      </w:r>
      <w:r w:rsidRPr="00696D7C" w:rsidR="005F0CAC">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96D7C">
        <w:rPr>
          <w:b/>
          <w:bCs/>
          <w:color w:val="auto"/>
        </w:rPr>
        <w:t xml:space="preserve"> </w:t>
      </w:r>
    </w:p>
    <w:p w:rsidRPr="00696D7C" w:rsidR="00571D58" w:rsidP="00F25105" w:rsidRDefault="00571D58">
      <w:pPr>
        <w:pStyle w:val="Default"/>
        <w:ind w:firstLine="720"/>
        <w:rPr>
          <w:color w:val="auto"/>
        </w:rPr>
      </w:pPr>
    </w:p>
    <w:p w:rsidRPr="00696D7C" w:rsidR="00F25105" w:rsidP="001A06AF" w:rsidRDefault="00F25105">
      <w:pPr>
        <w:pStyle w:val="Default"/>
        <w:spacing w:line="480" w:lineRule="auto"/>
        <w:ind w:firstLine="720"/>
        <w:rPr>
          <w:color w:val="auto"/>
        </w:rPr>
      </w:pPr>
      <w:r w:rsidRPr="00696D7C">
        <w:rPr>
          <w:color w:val="auto"/>
        </w:rPr>
        <w:t xml:space="preserve">This is an ongoing information collection with no ending date and no plans for publication. </w:t>
      </w:r>
    </w:p>
    <w:p w:rsidRPr="00696D7C" w:rsidR="00F25105" w:rsidP="00C02AF6" w:rsidRDefault="00F25105">
      <w:pPr>
        <w:pStyle w:val="Default"/>
        <w:ind w:left="1440" w:hanging="720"/>
        <w:rPr>
          <w:color w:val="auto"/>
        </w:rPr>
      </w:pPr>
      <w:r w:rsidRPr="00696D7C">
        <w:rPr>
          <w:b/>
          <w:bCs/>
          <w:color w:val="auto"/>
        </w:rPr>
        <w:t xml:space="preserve">17. </w:t>
      </w:r>
      <w:r w:rsidRPr="00696D7C" w:rsidR="00C02AF6">
        <w:rPr>
          <w:b/>
          <w:bCs/>
          <w:color w:val="auto"/>
        </w:rPr>
        <w:tab/>
      </w:r>
      <w:r w:rsidRPr="00696D7C" w:rsidR="005F0CAC">
        <w:rPr>
          <w:b/>
          <w:bCs/>
        </w:rPr>
        <w:t>If seeking approval to not display the expiration date for OMB approval of the information collection, explain the reasons that display would be inappropriate.</w:t>
      </w:r>
      <w:r w:rsidRPr="00696D7C">
        <w:rPr>
          <w:b/>
          <w:bCs/>
          <w:color w:val="auto"/>
        </w:rPr>
        <w:t xml:space="preserve"> </w:t>
      </w:r>
    </w:p>
    <w:p w:rsidRPr="00696D7C" w:rsidR="00571D58" w:rsidP="00F25105" w:rsidRDefault="00571D58">
      <w:pPr>
        <w:pStyle w:val="Default"/>
        <w:ind w:left="720"/>
        <w:rPr>
          <w:color w:val="auto"/>
        </w:rPr>
      </w:pPr>
    </w:p>
    <w:p w:rsidRPr="00696D7C" w:rsidR="00F25105" w:rsidP="00F25105" w:rsidRDefault="00F25105">
      <w:pPr>
        <w:pStyle w:val="Default"/>
        <w:ind w:left="720"/>
        <w:rPr>
          <w:color w:val="auto"/>
        </w:rPr>
      </w:pPr>
      <w:r w:rsidRPr="00696D7C">
        <w:rPr>
          <w:color w:val="auto"/>
        </w:rPr>
        <w:t xml:space="preserve">Not applicable </w:t>
      </w:r>
    </w:p>
    <w:p w:rsidRPr="00696D7C" w:rsidR="00571D58" w:rsidP="00F25105" w:rsidRDefault="00571D58">
      <w:pPr>
        <w:pStyle w:val="Default"/>
        <w:ind w:left="360" w:hanging="360"/>
        <w:rPr>
          <w:b/>
          <w:bCs/>
          <w:color w:val="auto"/>
        </w:rPr>
      </w:pPr>
    </w:p>
    <w:p w:rsidRPr="00696D7C" w:rsidR="00F25105" w:rsidP="00C02AF6" w:rsidRDefault="00F25105">
      <w:pPr>
        <w:pStyle w:val="Default"/>
        <w:ind w:left="1440" w:hanging="720"/>
        <w:rPr>
          <w:color w:val="auto"/>
        </w:rPr>
      </w:pPr>
      <w:r w:rsidRPr="00696D7C">
        <w:rPr>
          <w:b/>
          <w:bCs/>
          <w:color w:val="auto"/>
        </w:rPr>
        <w:t xml:space="preserve">18. </w:t>
      </w:r>
      <w:r w:rsidRPr="00696D7C" w:rsidR="00C02AF6">
        <w:rPr>
          <w:b/>
          <w:bCs/>
          <w:color w:val="auto"/>
        </w:rPr>
        <w:tab/>
      </w:r>
      <w:r w:rsidRPr="00696D7C" w:rsidR="005F0CAC">
        <w:rPr>
          <w:b/>
          <w:bCs/>
        </w:rPr>
        <w:t>Explain each exception to the certification statement identified in Item 19, “Certification for Paperwork Reduction Act Submissions,” of OMB Form 83-I.</w:t>
      </w:r>
      <w:r w:rsidRPr="00696D7C">
        <w:rPr>
          <w:b/>
          <w:bCs/>
          <w:color w:val="auto"/>
        </w:rPr>
        <w:t xml:space="preserve"> </w:t>
      </w:r>
    </w:p>
    <w:p w:rsidRPr="00696D7C" w:rsidR="00571D58" w:rsidP="00F25105" w:rsidRDefault="00571D58">
      <w:pPr>
        <w:pStyle w:val="Default"/>
        <w:ind w:left="720"/>
        <w:rPr>
          <w:color w:val="auto"/>
        </w:rPr>
      </w:pPr>
    </w:p>
    <w:p w:rsidRPr="00696D7C" w:rsidR="00F25105" w:rsidP="00F25105" w:rsidRDefault="00F25105">
      <w:pPr>
        <w:pStyle w:val="Default"/>
        <w:ind w:left="720"/>
        <w:rPr>
          <w:color w:val="auto"/>
        </w:rPr>
      </w:pPr>
      <w:r w:rsidRPr="00696D7C">
        <w:rPr>
          <w:color w:val="auto"/>
        </w:rPr>
        <w:t xml:space="preserve">Not applicable. The Commission certifies compliance with 5 CFR </w:t>
      </w:r>
      <w:r w:rsidRPr="00696D7C" w:rsidR="001A06AF">
        <w:rPr>
          <w:color w:val="auto"/>
        </w:rPr>
        <w:t xml:space="preserve">§ </w:t>
      </w:r>
      <w:r w:rsidRPr="00696D7C">
        <w:rPr>
          <w:color w:val="auto"/>
        </w:rPr>
        <w:t xml:space="preserve">1320.9. </w:t>
      </w:r>
    </w:p>
    <w:p w:rsidRPr="00696D7C" w:rsidR="00571D58" w:rsidP="00F25105" w:rsidRDefault="00571D58">
      <w:pPr>
        <w:pStyle w:val="Default"/>
        <w:ind w:left="360" w:hanging="360"/>
        <w:rPr>
          <w:b/>
          <w:bCs/>
          <w:color w:val="auto"/>
        </w:rPr>
      </w:pPr>
    </w:p>
    <w:p w:rsidRPr="00696D7C" w:rsidR="00F25105" w:rsidP="00F25105" w:rsidRDefault="00571D58">
      <w:pPr>
        <w:pStyle w:val="Default"/>
        <w:ind w:left="360" w:hanging="360"/>
        <w:rPr>
          <w:color w:val="auto"/>
        </w:rPr>
      </w:pPr>
      <w:r w:rsidRPr="00696D7C">
        <w:rPr>
          <w:b/>
          <w:bCs/>
          <w:color w:val="auto"/>
        </w:rPr>
        <w:t xml:space="preserve">B. </w:t>
      </w:r>
      <w:r w:rsidRPr="00696D7C">
        <w:rPr>
          <w:b/>
          <w:bCs/>
          <w:color w:val="auto"/>
        </w:rPr>
        <w:tab/>
      </w:r>
      <w:r w:rsidRPr="00696D7C">
        <w:rPr>
          <w:b/>
          <w:bCs/>
          <w:color w:val="auto"/>
        </w:rPr>
        <w:tab/>
        <w:t>Collection of Information Employing Statistical Methods.</w:t>
      </w:r>
      <w:r w:rsidRPr="00696D7C" w:rsidR="00F25105">
        <w:rPr>
          <w:b/>
          <w:bCs/>
          <w:color w:val="auto"/>
        </w:rPr>
        <w:t xml:space="preserve"> </w:t>
      </w:r>
    </w:p>
    <w:p w:rsidRPr="00696D7C" w:rsidR="00571D58" w:rsidP="00F25105" w:rsidRDefault="00571D58">
      <w:pPr>
        <w:pStyle w:val="Default"/>
        <w:ind w:firstLine="720"/>
        <w:rPr>
          <w:color w:val="auto"/>
        </w:rPr>
      </w:pPr>
    </w:p>
    <w:p w:rsidRPr="00696D7C" w:rsidR="00F25105" w:rsidP="00F25105" w:rsidRDefault="00F25105">
      <w:pPr>
        <w:pStyle w:val="Default"/>
        <w:ind w:firstLine="720"/>
        <w:rPr>
          <w:color w:val="auto"/>
        </w:rPr>
      </w:pPr>
      <w:r w:rsidRPr="00696D7C">
        <w:rPr>
          <w:color w:val="auto"/>
        </w:rPr>
        <w:t xml:space="preserve">This section is not applicable. Statistical methods are not employed. </w:t>
      </w:r>
    </w:p>
    <w:p w:rsidRPr="00696D7C" w:rsidR="00F25105" w:rsidP="00F25105" w:rsidRDefault="00F25105"/>
    <w:sectPr w:rsidRPr="00696D7C" w:rsidR="00F251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4AE" w:rsidRDefault="004914AE" w:rsidP="00180FE8">
      <w:r>
        <w:separator/>
      </w:r>
    </w:p>
  </w:endnote>
  <w:endnote w:type="continuationSeparator" w:id="0">
    <w:p w:rsidR="004914AE" w:rsidRDefault="004914AE" w:rsidP="0018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FE8" w:rsidRDefault="00180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FE8" w:rsidRDefault="00180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FE8" w:rsidRDefault="0018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4AE" w:rsidRDefault="004914AE" w:rsidP="00180FE8">
      <w:r>
        <w:separator/>
      </w:r>
    </w:p>
  </w:footnote>
  <w:footnote w:type="continuationSeparator" w:id="0">
    <w:p w:rsidR="004914AE" w:rsidRDefault="004914AE" w:rsidP="00180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FE8" w:rsidRDefault="00180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FE8" w:rsidRDefault="00180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FE8" w:rsidRDefault="00180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378C"/>
    <w:multiLevelType w:val="hybridMultilevel"/>
    <w:tmpl w:val="5FB2853E"/>
    <w:lvl w:ilvl="0" w:tplc="536A84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05"/>
    <w:rsid w:val="00007100"/>
    <w:rsid w:val="00007BCF"/>
    <w:rsid w:val="00012B4D"/>
    <w:rsid w:val="00036EB9"/>
    <w:rsid w:val="000522B8"/>
    <w:rsid w:val="00052ECF"/>
    <w:rsid w:val="00072748"/>
    <w:rsid w:val="000778FD"/>
    <w:rsid w:val="000823C8"/>
    <w:rsid w:val="00090418"/>
    <w:rsid w:val="0009687B"/>
    <w:rsid w:val="000B53D9"/>
    <w:rsid w:val="000C11B4"/>
    <w:rsid w:val="000C5366"/>
    <w:rsid w:val="000E6510"/>
    <w:rsid w:val="0011304A"/>
    <w:rsid w:val="00115CDC"/>
    <w:rsid w:val="0012715F"/>
    <w:rsid w:val="00132A83"/>
    <w:rsid w:val="00135F83"/>
    <w:rsid w:val="00155E3F"/>
    <w:rsid w:val="00175ECF"/>
    <w:rsid w:val="00180FE8"/>
    <w:rsid w:val="00182F65"/>
    <w:rsid w:val="001903C3"/>
    <w:rsid w:val="001A06AF"/>
    <w:rsid w:val="001A305A"/>
    <w:rsid w:val="001B50BB"/>
    <w:rsid w:val="001C4985"/>
    <w:rsid w:val="001D4A0C"/>
    <w:rsid w:val="001F1B2D"/>
    <w:rsid w:val="001F30BF"/>
    <w:rsid w:val="001F5418"/>
    <w:rsid w:val="0020456E"/>
    <w:rsid w:val="00213BFE"/>
    <w:rsid w:val="00221B51"/>
    <w:rsid w:val="00243FD9"/>
    <w:rsid w:val="002452F1"/>
    <w:rsid w:val="00253365"/>
    <w:rsid w:val="002578BE"/>
    <w:rsid w:val="002628D8"/>
    <w:rsid w:val="002734F8"/>
    <w:rsid w:val="00292AAA"/>
    <w:rsid w:val="00293C27"/>
    <w:rsid w:val="002940FB"/>
    <w:rsid w:val="002B382B"/>
    <w:rsid w:val="002B3D8A"/>
    <w:rsid w:val="002D0112"/>
    <w:rsid w:val="002E4854"/>
    <w:rsid w:val="002F3759"/>
    <w:rsid w:val="003104B4"/>
    <w:rsid w:val="00314BC9"/>
    <w:rsid w:val="003209E7"/>
    <w:rsid w:val="00334A34"/>
    <w:rsid w:val="00340068"/>
    <w:rsid w:val="00344261"/>
    <w:rsid w:val="00346F82"/>
    <w:rsid w:val="003600A8"/>
    <w:rsid w:val="0037534D"/>
    <w:rsid w:val="0038068C"/>
    <w:rsid w:val="00391446"/>
    <w:rsid w:val="003924B4"/>
    <w:rsid w:val="003956E2"/>
    <w:rsid w:val="003C2D34"/>
    <w:rsid w:val="003C6DC1"/>
    <w:rsid w:val="003E3C45"/>
    <w:rsid w:val="003F0194"/>
    <w:rsid w:val="003F73EB"/>
    <w:rsid w:val="004104D9"/>
    <w:rsid w:val="0044689C"/>
    <w:rsid w:val="00451F83"/>
    <w:rsid w:val="00452132"/>
    <w:rsid w:val="00452689"/>
    <w:rsid w:val="00455EE8"/>
    <w:rsid w:val="00463077"/>
    <w:rsid w:val="00465055"/>
    <w:rsid w:val="004849BB"/>
    <w:rsid w:val="00485A00"/>
    <w:rsid w:val="004914AE"/>
    <w:rsid w:val="00493019"/>
    <w:rsid w:val="004B1343"/>
    <w:rsid w:val="004E3719"/>
    <w:rsid w:val="004F5275"/>
    <w:rsid w:val="00502C1B"/>
    <w:rsid w:val="005068D3"/>
    <w:rsid w:val="0051002B"/>
    <w:rsid w:val="00511CBA"/>
    <w:rsid w:val="00534B6D"/>
    <w:rsid w:val="00542142"/>
    <w:rsid w:val="0055453F"/>
    <w:rsid w:val="00561F06"/>
    <w:rsid w:val="00562518"/>
    <w:rsid w:val="00571D58"/>
    <w:rsid w:val="00574622"/>
    <w:rsid w:val="005A0B86"/>
    <w:rsid w:val="005C127E"/>
    <w:rsid w:val="005F0CAC"/>
    <w:rsid w:val="005F6841"/>
    <w:rsid w:val="0060426B"/>
    <w:rsid w:val="00610542"/>
    <w:rsid w:val="00625649"/>
    <w:rsid w:val="006361A6"/>
    <w:rsid w:val="00654045"/>
    <w:rsid w:val="0065667B"/>
    <w:rsid w:val="00677DEB"/>
    <w:rsid w:val="006924DF"/>
    <w:rsid w:val="00693FCF"/>
    <w:rsid w:val="00696D7C"/>
    <w:rsid w:val="006A36F7"/>
    <w:rsid w:val="006B2514"/>
    <w:rsid w:val="006C0886"/>
    <w:rsid w:val="006C283D"/>
    <w:rsid w:val="006E6F1B"/>
    <w:rsid w:val="006F0840"/>
    <w:rsid w:val="007156F0"/>
    <w:rsid w:val="007337FD"/>
    <w:rsid w:val="00740C25"/>
    <w:rsid w:val="00743FBF"/>
    <w:rsid w:val="00756BB4"/>
    <w:rsid w:val="0078223A"/>
    <w:rsid w:val="0078348A"/>
    <w:rsid w:val="00792D04"/>
    <w:rsid w:val="007934BB"/>
    <w:rsid w:val="007B1AA8"/>
    <w:rsid w:val="007B65E3"/>
    <w:rsid w:val="007D2876"/>
    <w:rsid w:val="007D4AE2"/>
    <w:rsid w:val="00821501"/>
    <w:rsid w:val="008256BD"/>
    <w:rsid w:val="008A01EF"/>
    <w:rsid w:val="008C752C"/>
    <w:rsid w:val="008D06EB"/>
    <w:rsid w:val="008F0E83"/>
    <w:rsid w:val="00902EF3"/>
    <w:rsid w:val="00903E6A"/>
    <w:rsid w:val="00927123"/>
    <w:rsid w:val="00936A68"/>
    <w:rsid w:val="00960166"/>
    <w:rsid w:val="009856A0"/>
    <w:rsid w:val="009858EB"/>
    <w:rsid w:val="009A196D"/>
    <w:rsid w:val="009A2811"/>
    <w:rsid w:val="009B02A0"/>
    <w:rsid w:val="009B320B"/>
    <w:rsid w:val="009C4099"/>
    <w:rsid w:val="009D37DF"/>
    <w:rsid w:val="009E181A"/>
    <w:rsid w:val="009F3336"/>
    <w:rsid w:val="00A178AD"/>
    <w:rsid w:val="00A3103A"/>
    <w:rsid w:val="00A45176"/>
    <w:rsid w:val="00A63162"/>
    <w:rsid w:val="00A64193"/>
    <w:rsid w:val="00A91B84"/>
    <w:rsid w:val="00A926F3"/>
    <w:rsid w:val="00AD5BE0"/>
    <w:rsid w:val="00AE5A6D"/>
    <w:rsid w:val="00AF59D3"/>
    <w:rsid w:val="00AF5C66"/>
    <w:rsid w:val="00B0399B"/>
    <w:rsid w:val="00B041AE"/>
    <w:rsid w:val="00B172F4"/>
    <w:rsid w:val="00B23334"/>
    <w:rsid w:val="00B3164C"/>
    <w:rsid w:val="00B372F0"/>
    <w:rsid w:val="00B4486F"/>
    <w:rsid w:val="00B456C0"/>
    <w:rsid w:val="00B47271"/>
    <w:rsid w:val="00B54439"/>
    <w:rsid w:val="00B62B4D"/>
    <w:rsid w:val="00B66ECA"/>
    <w:rsid w:val="00BA0992"/>
    <w:rsid w:val="00BA1BD0"/>
    <w:rsid w:val="00BB191F"/>
    <w:rsid w:val="00BB19E9"/>
    <w:rsid w:val="00BC2436"/>
    <w:rsid w:val="00BE432A"/>
    <w:rsid w:val="00BF104C"/>
    <w:rsid w:val="00BF41F3"/>
    <w:rsid w:val="00C01474"/>
    <w:rsid w:val="00C021AC"/>
    <w:rsid w:val="00C02AF6"/>
    <w:rsid w:val="00C03B70"/>
    <w:rsid w:val="00C10F86"/>
    <w:rsid w:val="00C130BD"/>
    <w:rsid w:val="00C14580"/>
    <w:rsid w:val="00C22591"/>
    <w:rsid w:val="00C275AC"/>
    <w:rsid w:val="00C33E6E"/>
    <w:rsid w:val="00C47B67"/>
    <w:rsid w:val="00C52CB8"/>
    <w:rsid w:val="00C64D87"/>
    <w:rsid w:val="00C8303F"/>
    <w:rsid w:val="00C87900"/>
    <w:rsid w:val="00C87EB1"/>
    <w:rsid w:val="00C9340D"/>
    <w:rsid w:val="00CA0DFE"/>
    <w:rsid w:val="00CA36B1"/>
    <w:rsid w:val="00CC302B"/>
    <w:rsid w:val="00CD55CC"/>
    <w:rsid w:val="00CD753A"/>
    <w:rsid w:val="00CD79EE"/>
    <w:rsid w:val="00D02EC7"/>
    <w:rsid w:val="00D059C8"/>
    <w:rsid w:val="00D278E3"/>
    <w:rsid w:val="00D6796A"/>
    <w:rsid w:val="00D709ED"/>
    <w:rsid w:val="00D854CD"/>
    <w:rsid w:val="00D920D3"/>
    <w:rsid w:val="00DA5E52"/>
    <w:rsid w:val="00DB3C8E"/>
    <w:rsid w:val="00DB6E95"/>
    <w:rsid w:val="00DB7DC5"/>
    <w:rsid w:val="00DC4072"/>
    <w:rsid w:val="00DC60C0"/>
    <w:rsid w:val="00DD5D88"/>
    <w:rsid w:val="00DF1C46"/>
    <w:rsid w:val="00E26DD0"/>
    <w:rsid w:val="00E70A53"/>
    <w:rsid w:val="00E74920"/>
    <w:rsid w:val="00E75776"/>
    <w:rsid w:val="00E91E58"/>
    <w:rsid w:val="00EB17D8"/>
    <w:rsid w:val="00EC5D81"/>
    <w:rsid w:val="00EC75E3"/>
    <w:rsid w:val="00ED1416"/>
    <w:rsid w:val="00ED2375"/>
    <w:rsid w:val="00ED620E"/>
    <w:rsid w:val="00EE02EC"/>
    <w:rsid w:val="00EF178C"/>
    <w:rsid w:val="00F10A15"/>
    <w:rsid w:val="00F16898"/>
    <w:rsid w:val="00F169CF"/>
    <w:rsid w:val="00F25105"/>
    <w:rsid w:val="00F27087"/>
    <w:rsid w:val="00F30A92"/>
    <w:rsid w:val="00F36336"/>
    <w:rsid w:val="00F462B4"/>
    <w:rsid w:val="00F55A0F"/>
    <w:rsid w:val="00F84297"/>
    <w:rsid w:val="00F9627F"/>
    <w:rsid w:val="00F96913"/>
    <w:rsid w:val="00FA07A3"/>
    <w:rsid w:val="00FE587B"/>
    <w:rsid w:val="00FE6A71"/>
    <w:rsid w:val="00FF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74311252"/>
  <w15:docId w15:val="{18656A58-9C64-4C3F-863C-E0A87B2E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27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5105"/>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rsid w:val="00F9627F"/>
    <w:rPr>
      <w:color w:val="0000FF"/>
      <w:u w:val="single"/>
    </w:rPr>
  </w:style>
  <w:style w:type="paragraph" w:styleId="ListParagraph">
    <w:name w:val="List Paragraph"/>
    <w:basedOn w:val="Normal"/>
    <w:uiPriority w:val="34"/>
    <w:qFormat/>
    <w:rsid w:val="005F0CAC"/>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80FE8"/>
    <w:pPr>
      <w:tabs>
        <w:tab w:val="center" w:pos="4680"/>
        <w:tab w:val="right" w:pos="9360"/>
      </w:tabs>
    </w:pPr>
  </w:style>
  <w:style w:type="character" w:customStyle="1" w:styleId="HeaderChar">
    <w:name w:val="Header Char"/>
    <w:basedOn w:val="DefaultParagraphFont"/>
    <w:link w:val="Header"/>
    <w:uiPriority w:val="99"/>
    <w:rsid w:val="00180F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0FE8"/>
    <w:pPr>
      <w:tabs>
        <w:tab w:val="center" w:pos="4680"/>
        <w:tab w:val="right" w:pos="9360"/>
      </w:tabs>
    </w:pPr>
  </w:style>
  <w:style w:type="character" w:customStyle="1" w:styleId="FooterChar">
    <w:name w:val="Footer Char"/>
    <w:basedOn w:val="DefaultParagraphFont"/>
    <w:link w:val="Footer"/>
    <w:uiPriority w:val="99"/>
    <w:rsid w:val="00180FE8"/>
    <w:rPr>
      <w:rFonts w:ascii="Times New Roman" w:eastAsia="Times New Roman" w:hAnsi="Times New Roman" w:cs="Times New Roman"/>
      <w:sz w:val="24"/>
      <w:szCs w:val="24"/>
    </w:rPr>
  </w:style>
  <w:style w:type="paragraph" w:styleId="NoSpacing">
    <w:name w:val="No Spacing"/>
    <w:uiPriority w:val="1"/>
    <w:qFormat/>
    <w:rsid w:val="00C47B67"/>
    <w:rPr>
      <w:rFonts w:ascii="Times New Roman" w:eastAsia="Times New Roman" w:hAnsi="Times New Roman" w:cs="Times New Roman"/>
      <w:sz w:val="24"/>
      <w:szCs w:val="24"/>
    </w:rPr>
  </w:style>
  <w:style w:type="table" w:styleId="TableGrid">
    <w:name w:val="Table Grid"/>
    <w:basedOn w:val="TableNormal"/>
    <w:uiPriority w:val="59"/>
    <w:rsid w:val="00C47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4C79F-9875-4473-B4CA-0EEC06FF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12</Pages>
  <Words>3455</Words>
  <Characters>19695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Armando J.</dc:creator>
  <cp:lastModifiedBy>Osumi, Tim</cp:lastModifiedBy>
  <cp:revision>119</cp:revision>
  <dcterms:created xsi:type="dcterms:W3CDTF">2015-08-27T08:56:00Z</dcterms:created>
  <dcterms:modified xsi:type="dcterms:W3CDTF">2022-06-27T16:32:00Z</dcterms:modified>
</cp:coreProperties>
</file>