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2FC0" w:rsidP="0072192E" w:rsidRDefault="00F32FC0" w14:paraId="54FD8AA7" w14:textId="77777777">
      <w:pPr>
        <w:jc w:val="center"/>
        <w:rPr>
          <w:rFonts w:ascii="Arial,Bold" w:hAnsi="Arial,Bold" w:cs="Arial,Bold"/>
          <w:b/>
          <w:bCs/>
          <w:sz w:val="32"/>
          <w:szCs w:val="32"/>
        </w:rPr>
      </w:pPr>
    </w:p>
    <w:p w:rsidR="00F32FC0" w:rsidP="0072192E" w:rsidRDefault="00F32FC0" w14:paraId="79CDA799" w14:textId="77777777">
      <w:pPr>
        <w:jc w:val="center"/>
        <w:rPr>
          <w:rFonts w:ascii="Arial,Bold" w:hAnsi="Arial,Bold" w:cs="Arial,Bold"/>
          <w:b/>
          <w:bCs/>
          <w:sz w:val="32"/>
          <w:szCs w:val="32"/>
        </w:rPr>
      </w:pPr>
    </w:p>
    <w:p w:rsidR="00F32FC0" w:rsidP="0072192E" w:rsidRDefault="00F32FC0" w14:paraId="5C1DA948" w14:textId="77777777">
      <w:pPr>
        <w:jc w:val="center"/>
        <w:rPr>
          <w:rFonts w:ascii="Arial,Bold" w:hAnsi="Arial,Bold" w:cs="Arial,Bold"/>
          <w:b/>
          <w:bCs/>
          <w:sz w:val="32"/>
          <w:szCs w:val="32"/>
        </w:rPr>
      </w:pPr>
    </w:p>
    <w:p w:rsidR="00F32FC0" w:rsidP="0072192E" w:rsidRDefault="00F32FC0" w14:paraId="487C689B" w14:textId="49DA09E9">
      <w:pPr>
        <w:jc w:val="center"/>
        <w:rPr>
          <w:rFonts w:ascii="Arial,Bold" w:hAnsi="Arial,Bold" w:cs="Arial,Bold"/>
          <w:b/>
          <w:bCs/>
          <w:sz w:val="32"/>
          <w:szCs w:val="32"/>
        </w:rPr>
      </w:pPr>
    </w:p>
    <w:p w:rsidR="00F32FC0" w:rsidP="0072192E" w:rsidRDefault="00F32FC0" w14:paraId="4CBB05F6" w14:textId="77777777">
      <w:pPr>
        <w:jc w:val="center"/>
        <w:rPr>
          <w:rFonts w:ascii="Arial,Bold" w:hAnsi="Arial,Bold" w:cs="Arial,Bold"/>
          <w:b/>
          <w:bCs/>
          <w:sz w:val="32"/>
          <w:szCs w:val="32"/>
        </w:rPr>
      </w:pPr>
    </w:p>
    <w:p w:rsidR="00F32FC0" w:rsidP="0072192E" w:rsidRDefault="00F32FC0" w14:paraId="2CACAEB4" w14:textId="77777777">
      <w:pPr>
        <w:jc w:val="center"/>
        <w:rPr>
          <w:rFonts w:ascii="Arial,Bold" w:hAnsi="Arial,Bold" w:cs="Arial,Bold"/>
          <w:b/>
          <w:bCs/>
          <w:sz w:val="32"/>
          <w:szCs w:val="32"/>
        </w:rPr>
      </w:pPr>
    </w:p>
    <w:p w:rsidR="00F32FC0" w:rsidP="0072192E" w:rsidRDefault="00F32FC0" w14:paraId="4024198F" w14:textId="59BC7CE3">
      <w:pPr>
        <w:jc w:val="center"/>
        <w:rPr>
          <w:rFonts w:ascii="Arial,Bold" w:hAnsi="Arial,Bold" w:cs="Arial,Bold"/>
          <w:b/>
          <w:bCs/>
          <w:sz w:val="32"/>
          <w:szCs w:val="32"/>
        </w:rPr>
      </w:pPr>
    </w:p>
    <w:p w:rsidR="00F32FC0" w:rsidP="0072192E" w:rsidRDefault="00F32FC0" w14:paraId="2F1002BB" w14:textId="77777777">
      <w:pPr>
        <w:jc w:val="center"/>
        <w:rPr>
          <w:rFonts w:ascii="Arial,Bold" w:hAnsi="Arial,Bold" w:cs="Arial,Bold"/>
          <w:b/>
          <w:bCs/>
          <w:sz w:val="32"/>
          <w:szCs w:val="32"/>
        </w:rPr>
      </w:pPr>
    </w:p>
    <w:p w:rsidR="00F32FC0" w:rsidP="0072192E" w:rsidRDefault="00F32FC0" w14:paraId="14288AC0" w14:textId="77777777">
      <w:pPr>
        <w:jc w:val="center"/>
        <w:rPr>
          <w:rFonts w:ascii="Arial,Bold" w:hAnsi="Arial,Bold" w:cs="Arial,Bold"/>
          <w:b/>
          <w:bCs/>
          <w:sz w:val="32"/>
          <w:szCs w:val="32"/>
        </w:rPr>
      </w:pPr>
    </w:p>
    <w:p w:rsidR="0072192E" w:rsidP="0072192E" w:rsidRDefault="0072192E" w14:paraId="6093B85B" w14:textId="43F56016">
      <w:pPr>
        <w:jc w:val="center"/>
        <w:rPr>
          <w:rFonts w:ascii="Arial,Bold" w:hAnsi="Arial,Bold" w:cs="Arial,Bold"/>
          <w:b/>
          <w:bCs/>
          <w:sz w:val="32"/>
          <w:szCs w:val="32"/>
        </w:rPr>
      </w:pPr>
      <w:r>
        <w:rPr>
          <w:rFonts w:ascii="Arial,Bold" w:hAnsi="Arial,Bold" w:cs="Arial,Bold"/>
          <w:b/>
          <w:bCs/>
          <w:sz w:val="32"/>
          <w:szCs w:val="32"/>
        </w:rPr>
        <w:t>Guidance for the Proposed Rule “Items Containing Byproduct Material Incidental to Production”</w:t>
      </w:r>
    </w:p>
    <w:p w:rsidR="0072192E" w:rsidP="0072192E" w:rsidRDefault="0072192E" w14:paraId="5DBAB0C4" w14:textId="5E1C3554">
      <w:pPr>
        <w:jc w:val="center"/>
        <w:rPr>
          <w:rFonts w:ascii="Arial,Bold" w:hAnsi="Arial,Bold" w:cs="Arial,Bold"/>
          <w:b/>
          <w:bCs/>
          <w:sz w:val="32"/>
          <w:szCs w:val="32"/>
        </w:rPr>
      </w:pPr>
    </w:p>
    <w:p w:rsidR="0072192E" w:rsidP="0072192E" w:rsidRDefault="0072192E" w14:paraId="7B36C775" w14:textId="2B6DBC13">
      <w:pPr>
        <w:jc w:val="center"/>
        <w:rPr>
          <w:rFonts w:ascii="Arial,Bold" w:hAnsi="Arial,Bold" w:cs="Arial,Bold"/>
          <w:b/>
          <w:bCs/>
          <w:sz w:val="32"/>
          <w:szCs w:val="32"/>
        </w:rPr>
      </w:pPr>
      <w:r>
        <w:rPr>
          <w:rFonts w:ascii="Arial,Bold" w:hAnsi="Arial,Bold" w:cs="Arial,Bold"/>
          <w:b/>
          <w:bCs/>
          <w:sz w:val="32"/>
          <w:szCs w:val="32"/>
        </w:rPr>
        <w:t>Dated XXXXX 2021</w:t>
      </w:r>
    </w:p>
    <w:p w:rsidR="00366BC9" w:rsidP="00B335F7" w:rsidRDefault="00366BC9" w14:paraId="0C52FD94" w14:textId="77777777">
      <w:pPr>
        <w:rPr>
          <w:rFonts w:ascii="Arial,Bold" w:hAnsi="Arial,Bold" w:cs="Arial,Bold"/>
          <w:b/>
          <w:bCs/>
        </w:rPr>
      </w:pPr>
    </w:p>
    <w:p w:rsidR="003723F0" w:rsidP="00B335F7" w:rsidRDefault="003723F0" w14:paraId="1586E983" w14:textId="77777777">
      <w:pPr>
        <w:rPr>
          <w:rFonts w:ascii="Arial,Bold" w:hAnsi="Arial,Bold" w:cs="Arial,Bold"/>
          <w:b/>
          <w:bCs/>
        </w:rPr>
        <w:sectPr w:rsidR="003723F0" w:rsidSect="00F64F41">
          <w:footerReference w:type="even" r:id="rId11"/>
          <w:footerReference w:type="default" r:id="rId12"/>
          <w:type w:val="continuous"/>
          <w:pgSz w:w="12240" w:h="15840" w:code="1"/>
          <w:pgMar w:top="1440" w:right="1440" w:bottom="1440" w:left="1440" w:header="720" w:footer="720" w:gutter="0"/>
          <w:pgNumType w:start="1"/>
          <w:cols w:space="720"/>
          <w:noEndnote/>
          <w:titlePg/>
          <w:docGrid w:linePitch="326"/>
        </w:sectPr>
      </w:pPr>
    </w:p>
    <w:p w:rsidR="0072192E" w:rsidP="00B335F7" w:rsidRDefault="0072192E" w14:paraId="368D1DA5" w14:textId="22245E43">
      <w:pPr>
        <w:rPr>
          <w:rFonts w:ascii="Arial,Bold" w:hAnsi="Arial,Bold" w:cs="Arial,Bold"/>
          <w:b/>
          <w:bCs/>
        </w:rPr>
      </w:pPr>
      <w:r>
        <w:rPr>
          <w:rFonts w:ascii="Arial,Bold" w:hAnsi="Arial,Bold" w:cs="Arial,Bold"/>
          <w:b/>
          <w:bCs/>
        </w:rPr>
        <w:lastRenderedPageBreak/>
        <w:t>Introduction</w:t>
      </w:r>
    </w:p>
    <w:p w:rsidR="0072192E" w:rsidP="0072192E" w:rsidRDefault="0072192E" w14:paraId="72A3B047" w14:textId="77777777">
      <w:pPr>
        <w:autoSpaceDE w:val="0"/>
        <w:autoSpaceDN w:val="0"/>
        <w:adjustRightInd w:val="0"/>
        <w:spacing w:line="240" w:lineRule="auto"/>
        <w:rPr>
          <w:rFonts w:ascii="Arial,Bold" w:hAnsi="Arial,Bold" w:cs="Arial,Bold"/>
          <w:b/>
          <w:bCs/>
        </w:rPr>
      </w:pPr>
    </w:p>
    <w:p w:rsidR="0072192E" w:rsidP="0072192E" w:rsidRDefault="0072192E" w14:paraId="5EB70C4B" w14:textId="6EA43D5E">
      <w:pPr>
        <w:autoSpaceDE w:val="0"/>
        <w:autoSpaceDN w:val="0"/>
        <w:adjustRightInd w:val="0"/>
        <w:spacing w:line="240" w:lineRule="auto"/>
        <w:rPr>
          <w:rFonts w:ascii="Arial,Bold" w:hAnsi="Arial,Bold" w:cs="Arial,Bold"/>
          <w:b/>
          <w:bCs/>
        </w:rPr>
      </w:pPr>
      <w:r>
        <w:rPr>
          <w:rFonts w:ascii="Arial,Bold" w:hAnsi="Arial,Bold" w:cs="Arial,Bold"/>
          <w:b/>
          <w:bCs/>
        </w:rPr>
        <w:t>Guidance for the Proposed Rule “Items Containing Byproduct Material Incidental to Production”</w:t>
      </w:r>
    </w:p>
    <w:p w:rsidR="0072192E" w:rsidP="001E4B02" w:rsidRDefault="0072192E" w14:paraId="1E1D6A15" w14:textId="77777777">
      <w:pPr>
        <w:autoSpaceDE w:val="0"/>
        <w:autoSpaceDN w:val="0"/>
        <w:adjustRightInd w:val="0"/>
        <w:rPr>
          <w:rFonts w:ascii="Arial,Bold" w:hAnsi="Arial,Bold" w:cs="Arial,Bold"/>
          <w:b/>
          <w:bCs/>
        </w:rPr>
      </w:pPr>
    </w:p>
    <w:p w:rsidR="00513735" w:rsidP="00F80522" w:rsidRDefault="0072192E" w14:paraId="1288F6B8" w14:textId="598D3346">
      <w:pPr>
        <w:autoSpaceDE w:val="0"/>
        <w:autoSpaceDN w:val="0"/>
        <w:adjustRightInd w:val="0"/>
        <w:spacing w:line="240" w:lineRule="auto"/>
      </w:pPr>
      <w:r>
        <w:t xml:space="preserve">The following guidance </w:t>
      </w:r>
      <w:r w:rsidR="004339FC">
        <w:t xml:space="preserve">was </w:t>
      </w:r>
      <w:r>
        <w:t xml:space="preserve">developed for the Proposed Rule </w:t>
      </w:r>
      <w:r w:rsidR="004339FC">
        <w:t>regarding the</w:t>
      </w:r>
      <w:r>
        <w:t xml:space="preserve"> licensing requirements for manufacture</w:t>
      </w:r>
      <w:r w:rsidR="00E07880">
        <w:t>r</w:t>
      </w:r>
      <w:r>
        <w:t xml:space="preserve">s and initial distributers of items containing byproduct material incidental to production and providing an exemption to the licensing requirements for end users of these products. </w:t>
      </w:r>
      <w:r w:rsidR="00F80522">
        <w:t xml:space="preserve"> </w:t>
      </w:r>
      <w:r>
        <w:t>This guidance will be effective when the associated Final Rule for “</w:t>
      </w:r>
      <w:r w:rsidRPr="00A570CF" w:rsidR="00A570CF">
        <w:rPr>
          <w:rFonts w:ascii="Arial,Bold" w:hAnsi="Arial,Bold" w:cs="Arial,Bold"/>
        </w:rPr>
        <w:t>Items Containing Byproduct Material Incidental to Production”</w:t>
      </w:r>
      <w:r>
        <w:t xml:space="preserve"> </w:t>
      </w:r>
      <w:r w:rsidR="006078BE">
        <w:t xml:space="preserve">becomes </w:t>
      </w:r>
      <w:r>
        <w:t xml:space="preserve">effective. </w:t>
      </w:r>
      <w:r w:rsidR="008E4029">
        <w:t xml:space="preserve"> </w:t>
      </w:r>
      <w:r>
        <w:t>Th</w:t>
      </w:r>
      <w:r w:rsidR="00F80522">
        <w:t>is guidance supplements the information</w:t>
      </w:r>
      <w:r>
        <w:t xml:space="preserve"> provided in</w:t>
      </w:r>
      <w:r w:rsidR="004339FC">
        <w:t xml:space="preserve"> </w:t>
      </w:r>
      <w:r>
        <w:t xml:space="preserve">NUREG-1556, </w:t>
      </w:r>
      <w:r w:rsidR="00A570CF">
        <w:t xml:space="preserve">Volume 8, Revision 1, </w:t>
      </w:r>
      <w:r>
        <w:t>“Consolidated Guidance About Materials Licenses</w:t>
      </w:r>
      <w:r w:rsidR="00A570CF">
        <w:t>:  Program-Specific Guidance About Exempt Distribution Licenses</w:t>
      </w:r>
      <w:r w:rsidR="005B281E">
        <w:t>,</w:t>
      </w:r>
      <w:r>
        <w:t>”</w:t>
      </w:r>
      <w:r w:rsidR="00F80522">
        <w:t xml:space="preserve"> and should be</w:t>
      </w:r>
      <w:r w:rsidR="004339FC">
        <w:t xml:space="preserve"> used</w:t>
      </w:r>
      <w:r w:rsidR="00F80522">
        <w:t xml:space="preserve"> in lieu of guidance in Section 9.1 of NUREG-1556, Volume 8, Revision 1.</w:t>
      </w:r>
      <w:r>
        <w:t xml:space="preserve"> </w:t>
      </w:r>
      <w:r w:rsidR="00A570CF">
        <w:t xml:space="preserve"> </w:t>
      </w:r>
      <w:r>
        <w:t>Th</w:t>
      </w:r>
      <w:r w:rsidR="00A570CF">
        <w:t>is</w:t>
      </w:r>
      <w:r w:rsidR="00DD593F">
        <w:t xml:space="preserve"> </w:t>
      </w:r>
      <w:r>
        <w:t xml:space="preserve">guidance </w:t>
      </w:r>
      <w:r w:rsidR="004339FC">
        <w:t xml:space="preserve">is to be used by </w:t>
      </w:r>
      <w:r>
        <w:t>applicants and licensees in the completion and submission of materials license</w:t>
      </w:r>
      <w:r w:rsidR="00A570CF">
        <w:t xml:space="preserve"> </w:t>
      </w:r>
      <w:r>
        <w:t>applications and amendments</w:t>
      </w:r>
      <w:r w:rsidR="00992F6F">
        <w:t xml:space="preserve"> for items containing byproduct material incidental to production (e.g., silicon chips or wafers, gemstones)</w:t>
      </w:r>
      <w:r>
        <w:t>.</w:t>
      </w:r>
    </w:p>
    <w:p w:rsidR="00EC55DE" w:rsidP="00EC55DE" w:rsidRDefault="00EC55DE" w14:paraId="65CC7082" w14:textId="77777777">
      <w:pPr>
        <w:rPr>
          <w:b/>
          <w:bCs/>
        </w:rPr>
      </w:pPr>
    </w:p>
    <w:p w:rsidR="00EC55DE" w:rsidP="00EC55DE" w:rsidRDefault="00EC55DE" w14:paraId="3349192E" w14:textId="77777777">
      <w:pPr>
        <w:rPr>
          <w:b/>
          <w:bCs/>
        </w:rPr>
      </w:pPr>
    </w:p>
    <w:p w:rsidR="00EC55DE" w:rsidP="00EC55DE" w:rsidRDefault="00EC55DE" w14:paraId="3EF780F4" w14:textId="77777777">
      <w:pPr>
        <w:rPr>
          <w:b/>
          <w:bCs/>
        </w:rPr>
      </w:pPr>
    </w:p>
    <w:p w:rsidR="00EC55DE" w:rsidP="00EC55DE" w:rsidRDefault="00EC55DE" w14:paraId="785AE81E" w14:textId="77777777">
      <w:pPr>
        <w:rPr>
          <w:b/>
          <w:bCs/>
        </w:rPr>
      </w:pPr>
    </w:p>
    <w:p w:rsidR="00EC55DE" w:rsidP="00EC55DE" w:rsidRDefault="00EC55DE" w14:paraId="3A396CDF" w14:textId="77777777">
      <w:pPr>
        <w:rPr>
          <w:b/>
          <w:bCs/>
        </w:rPr>
      </w:pPr>
    </w:p>
    <w:p w:rsidR="00EC55DE" w:rsidP="00EC55DE" w:rsidRDefault="00EC55DE" w14:paraId="06B57617" w14:textId="77777777">
      <w:pPr>
        <w:rPr>
          <w:b/>
          <w:bCs/>
        </w:rPr>
      </w:pPr>
    </w:p>
    <w:p w:rsidR="00EC55DE" w:rsidP="00EC55DE" w:rsidRDefault="00EC55DE" w14:paraId="1BC0F852" w14:textId="77777777">
      <w:pPr>
        <w:rPr>
          <w:b/>
          <w:bCs/>
        </w:rPr>
      </w:pPr>
    </w:p>
    <w:p w:rsidR="00EC55DE" w:rsidP="00EC55DE" w:rsidRDefault="00EC55DE" w14:paraId="75673FF0" w14:textId="77777777">
      <w:pPr>
        <w:rPr>
          <w:b/>
          <w:bCs/>
        </w:rPr>
      </w:pPr>
    </w:p>
    <w:p w:rsidR="00EC55DE" w:rsidP="00EC55DE" w:rsidRDefault="00EC55DE" w14:paraId="26939D90" w14:textId="77777777">
      <w:pPr>
        <w:rPr>
          <w:b/>
          <w:bCs/>
        </w:rPr>
      </w:pPr>
    </w:p>
    <w:p w:rsidR="00EC55DE" w:rsidP="00EC55DE" w:rsidRDefault="00EC55DE" w14:paraId="78C69B36" w14:textId="77777777">
      <w:pPr>
        <w:rPr>
          <w:b/>
          <w:bCs/>
        </w:rPr>
      </w:pPr>
    </w:p>
    <w:p w:rsidRPr="00007CF7" w:rsidR="00EC55DE" w:rsidP="00EC55DE" w:rsidRDefault="00EC55DE" w14:paraId="126A6808" w14:textId="08106A31">
      <w:pPr>
        <w:rPr>
          <w:b/>
          <w:bCs/>
        </w:rPr>
      </w:pPr>
      <w:r w:rsidRPr="00007CF7">
        <w:rPr>
          <w:b/>
          <w:bCs/>
        </w:rPr>
        <w:t>Paperwork Reduction Act Statement</w:t>
      </w:r>
    </w:p>
    <w:p w:rsidR="00EC55DE" w:rsidP="00EC55DE" w:rsidRDefault="00EC55DE" w14:paraId="1725AFF5" w14:textId="77777777"/>
    <w:p w:rsidR="00EC55DE" w:rsidP="00EC55DE" w:rsidRDefault="00EC55DE" w14:paraId="1BDC148F" w14:textId="77777777">
      <w:r>
        <w:t xml:space="preserve">This NUREG contains information collection requirements that are subject to the Paperwork Reduction Act of 1995 (44 U.S.C. 3501 et. seq.).  These information collections were approved by the Office of Management and Budget (OMB), approval numbers 3150-0017 and 3150-0001. Send comments regarding this information collection to the FOIA, Library, and Information Collections Branch (T6-A10M), U.S. Nuclear Regulatory Commission, Washington, DC 20555-0001, or by e-mail to </w:t>
      </w:r>
      <w:hyperlink w:history="1" r:id="rId13">
        <w:r w:rsidRPr="00B27373">
          <w:rPr>
            <w:rStyle w:val="Hyperlink"/>
          </w:rPr>
          <w:t>Infocollects.Resource@nrc.gov</w:t>
        </w:r>
      </w:hyperlink>
      <w:r>
        <w:t xml:space="preserve">, and to the OMB reviewer at: OMB Office of Information and Regulatory Affairs (3150-0017 and 3150-0001), Attn: Desk Officer for the Nuclear Regulatory Commission, 725 17th Street, NW, Washington, DC 20503; e- mail: </w:t>
      </w:r>
      <w:hyperlink w:history="1" r:id="rId14">
        <w:r w:rsidRPr="00B27373">
          <w:rPr>
            <w:rStyle w:val="Hyperlink"/>
          </w:rPr>
          <w:t>oira_submission@omb.eop.gov</w:t>
        </w:r>
      </w:hyperlink>
      <w:r>
        <w:t>.</w:t>
      </w:r>
    </w:p>
    <w:p w:rsidR="00EC55DE" w:rsidP="00EC55DE" w:rsidRDefault="00EC55DE" w14:paraId="650D8185" w14:textId="77777777"/>
    <w:p w:rsidRPr="00007CF7" w:rsidR="00EC55DE" w:rsidP="00EC55DE" w:rsidRDefault="00EC55DE" w14:paraId="522EC7C6" w14:textId="77777777">
      <w:pPr>
        <w:rPr>
          <w:b/>
          <w:bCs/>
        </w:rPr>
      </w:pPr>
      <w:r w:rsidRPr="00007CF7">
        <w:rPr>
          <w:b/>
          <w:bCs/>
        </w:rPr>
        <w:t>Public Protection Notification</w:t>
      </w:r>
    </w:p>
    <w:p w:rsidR="00EC55DE" w:rsidP="00EC55DE" w:rsidRDefault="00EC55DE" w14:paraId="67B2C574" w14:textId="77777777"/>
    <w:p w:rsidRPr="00007CF7" w:rsidR="00EC55DE" w:rsidP="00EC55DE" w:rsidRDefault="00EC55DE" w14:paraId="504DDAC4" w14:textId="77777777">
      <w:r>
        <w:t>The NRC may not conduct or sponsor, and a person is not required to respond to, a collection of information unless the document requesting or requiring the collection displays a currently valid OMB control number.</w:t>
      </w:r>
    </w:p>
    <w:p w:rsidR="00513735" w:rsidRDefault="00513735" w14:paraId="2D896AD0" w14:textId="77777777">
      <w:r>
        <w:br w:type="page"/>
      </w:r>
    </w:p>
    <w:p w:rsidRPr="00FD21AB" w:rsidR="0083659B" w:rsidP="00255783" w:rsidRDefault="0083659B" w14:paraId="6F99616A" w14:textId="63326C3C">
      <w:pPr>
        <w:pStyle w:val="Heading2"/>
        <w:numPr>
          <w:ilvl w:val="0"/>
          <w:numId w:val="0"/>
        </w:numPr>
        <w:tabs>
          <w:tab w:val="clear" w:pos="720"/>
          <w:tab w:val="left" w:pos="0"/>
        </w:tabs>
        <w:rPr>
          <w:szCs w:val="22"/>
        </w:rPr>
      </w:pPr>
      <w:bookmarkStart w:name="_Toc510524607" w:id="0"/>
      <w:r w:rsidRPr="00FD21AB">
        <w:lastRenderedPageBreak/>
        <w:t xml:space="preserve">10 CFR 32.33: </w:t>
      </w:r>
      <w:r w:rsidRPr="00FD21AB" w:rsidR="00255783">
        <w:t xml:space="preserve"> </w:t>
      </w:r>
      <w:r w:rsidRPr="00FD21AB">
        <w:t xml:space="preserve">Items Containing Byproduct Material Incidental to </w:t>
      </w:r>
      <w:r w:rsidRPr="00FD21AB" w:rsidR="00255783">
        <w:t>P</w:t>
      </w:r>
      <w:r w:rsidRPr="00FD21AB">
        <w:t>roduction</w:t>
      </w:r>
      <w:bookmarkEnd w:id="0"/>
    </w:p>
    <w:p w:rsidRPr="00FD21AB" w:rsidR="00294D49" w:rsidP="00043481" w:rsidRDefault="0083659B" w14:paraId="48790A91" w14:textId="52EEC43D">
      <w:pPr>
        <w:spacing w:line="240" w:lineRule="auto"/>
      </w:pPr>
      <w:r w:rsidRPr="00FD21AB">
        <w:t xml:space="preserve">Applicants must obtain a specific license under </w:t>
      </w:r>
      <w:r w:rsidR="00735915">
        <w:t xml:space="preserve">Title 10 of the </w:t>
      </w:r>
      <w:r w:rsidRPr="00735915" w:rsidR="00735915">
        <w:rPr>
          <w:i/>
          <w:iCs/>
        </w:rPr>
        <w:t>Code of Federal Regulations</w:t>
      </w:r>
      <w:r w:rsidR="00735915">
        <w:t xml:space="preserve"> (</w:t>
      </w:r>
      <w:r w:rsidRPr="00FD21AB">
        <w:t>10</w:t>
      </w:r>
      <w:r w:rsidR="00735915">
        <w:t> </w:t>
      </w:r>
      <w:r w:rsidRPr="00FD21AB">
        <w:t>CFR</w:t>
      </w:r>
      <w:r w:rsidR="00735915">
        <w:t>)</w:t>
      </w:r>
      <w:r w:rsidRPr="00FD21AB">
        <w:t xml:space="preserve"> </w:t>
      </w:r>
      <w:r w:rsidR="00C020FB">
        <w:t xml:space="preserve">§ </w:t>
      </w:r>
      <w:r w:rsidRPr="00FD21AB">
        <w:t>32.3</w:t>
      </w:r>
      <w:r w:rsidRPr="00FD21AB" w:rsidR="00294D49">
        <w:t xml:space="preserve">3 </w:t>
      </w:r>
      <w:proofErr w:type="gramStart"/>
      <w:r w:rsidRPr="00FD21AB">
        <w:t>in order to</w:t>
      </w:r>
      <w:proofErr w:type="gramEnd"/>
      <w:r w:rsidRPr="00FD21AB">
        <w:t xml:space="preserve"> distribute </w:t>
      </w:r>
      <w:r w:rsidRPr="00FD21AB" w:rsidR="00294D49">
        <w:t xml:space="preserve">items </w:t>
      </w:r>
      <w:r w:rsidRPr="00FD21AB" w:rsidR="00C9523F">
        <w:t xml:space="preserve">containing byproduct material incidental to production </w:t>
      </w:r>
      <w:r w:rsidRPr="00FD21AB" w:rsidR="00255783">
        <w:t xml:space="preserve">(ICBMIP) </w:t>
      </w:r>
      <w:r w:rsidRPr="00FD21AB">
        <w:t>for use under the exemption in 10 CFR 30.</w:t>
      </w:r>
      <w:r w:rsidRPr="00FD21AB" w:rsidR="008F41EB">
        <w:t>23</w:t>
      </w:r>
      <w:r w:rsidRPr="00FD21AB">
        <w:t>.</w:t>
      </w:r>
    </w:p>
    <w:p w:rsidRPr="00FD21AB" w:rsidR="0083659B" w:rsidP="00043481" w:rsidRDefault="0083659B" w14:paraId="7A28A2B3" w14:textId="79832317">
      <w:pPr>
        <w:spacing w:line="240" w:lineRule="auto"/>
      </w:pPr>
    </w:p>
    <w:p w:rsidRPr="00FD21AB" w:rsidR="00294D49" w:rsidP="00043481" w:rsidRDefault="0083659B" w14:paraId="7854BAB8" w14:textId="08B80AC9">
      <w:pPr>
        <w:spacing w:line="240" w:lineRule="auto"/>
      </w:pPr>
      <w:r w:rsidRPr="00FD21AB">
        <w:t>Paragraph (a)</w:t>
      </w:r>
      <w:r w:rsidR="00765A20">
        <w:t>(1</w:t>
      </w:r>
      <w:r w:rsidRPr="00FD21AB">
        <w:t>) of 10 CFR 32.3</w:t>
      </w:r>
      <w:r w:rsidRPr="00FD21AB" w:rsidR="009F0B14">
        <w:t>3</w:t>
      </w:r>
      <w:r w:rsidRPr="00FD21AB">
        <w:t xml:space="preserve"> indicates that the applicant must satisfy the general requirements of 10 CFR 30.33. </w:t>
      </w:r>
      <w:r w:rsidRPr="00FD21AB" w:rsidR="00C9523F">
        <w:t xml:space="preserve"> </w:t>
      </w:r>
      <w:r w:rsidRPr="00FD21AB">
        <w:t>An exempt distribution li</w:t>
      </w:r>
      <w:r w:rsidR="00A33238">
        <w:t>c</w:t>
      </w:r>
      <w:r w:rsidRPr="00FD21AB">
        <w:t xml:space="preserve">ense will not be issued until a possession license has been obtained. </w:t>
      </w:r>
      <w:r w:rsidRPr="00FD21AB" w:rsidR="00C9523F">
        <w:t xml:space="preserve"> </w:t>
      </w:r>
      <w:r w:rsidRPr="00FD21AB">
        <w:t xml:space="preserve">See Section 5.4, “Possession Licenses,” </w:t>
      </w:r>
      <w:r w:rsidRPr="00FD21AB" w:rsidR="00C9523F">
        <w:t>of NUREG</w:t>
      </w:r>
      <w:r w:rsidR="00A33238">
        <w:noBreakHyphen/>
      </w:r>
      <w:r w:rsidRPr="00FD21AB" w:rsidR="00C9523F">
        <w:t>1556, Volume 8, Revision 1</w:t>
      </w:r>
      <w:r w:rsidR="00A33238">
        <w:t>,</w:t>
      </w:r>
      <w:r w:rsidRPr="00FD21AB" w:rsidR="00C9523F">
        <w:t xml:space="preserve"> </w:t>
      </w:r>
      <w:r w:rsidRPr="00FD21AB">
        <w:t>for additional information concerning possession license requirements.</w:t>
      </w:r>
    </w:p>
    <w:p w:rsidRPr="00FD21AB" w:rsidR="0083659B" w:rsidP="00043481" w:rsidRDefault="0083659B" w14:paraId="27A0165B" w14:textId="1F3973FB">
      <w:pPr>
        <w:spacing w:line="240" w:lineRule="auto"/>
      </w:pPr>
    </w:p>
    <w:p w:rsidRPr="00FD21AB" w:rsidR="0083659B" w:rsidP="00AA1C78" w:rsidRDefault="00634320" w14:paraId="43867820" w14:textId="42677A4A">
      <w:pPr>
        <w:spacing w:line="240" w:lineRule="auto"/>
      </w:pPr>
      <w:r w:rsidRPr="00FD21AB">
        <w:t>Paragraph (</w:t>
      </w:r>
      <w:r w:rsidRPr="00FD21AB" w:rsidR="00D31464">
        <w:t>a</w:t>
      </w:r>
      <w:r w:rsidRPr="00FD21AB">
        <w:t>)</w:t>
      </w:r>
      <w:r w:rsidRPr="00FD21AB" w:rsidR="00D31464">
        <w:t>(</w:t>
      </w:r>
      <w:r w:rsidRPr="00FD21AB" w:rsidR="005051A8">
        <w:t>2)</w:t>
      </w:r>
      <w:r w:rsidRPr="00FD21AB">
        <w:t xml:space="preserve"> of 10 CFR 32.33 requires the applicant to provide sufficient information regarding the product pertinent to the evaluation of the potential radiation exposures, including:</w:t>
      </w:r>
    </w:p>
    <w:p w:rsidRPr="00FD21AB" w:rsidR="00043481" w:rsidP="00AA1C78" w:rsidRDefault="00043481" w14:paraId="16CB3B3B" w14:textId="77777777">
      <w:pPr>
        <w:spacing w:line="240" w:lineRule="auto"/>
      </w:pPr>
    </w:p>
    <w:p w:rsidRPr="00FD21AB" w:rsidR="0083659B" w:rsidP="00AA1C78" w:rsidRDefault="00FF6EB3" w14:paraId="18BB4004" w14:textId="7F075D0E">
      <w:pPr>
        <w:pStyle w:val="ListParagraph"/>
        <w:keepNext/>
        <w:numPr>
          <w:ilvl w:val="0"/>
          <w:numId w:val="8"/>
        </w:numPr>
        <w:spacing w:after="0"/>
      </w:pPr>
      <w:r>
        <w:t>A</w:t>
      </w:r>
      <w:r w:rsidRPr="00FD21AB" w:rsidR="0083659B">
        <w:t xml:space="preserve"> description of the </w:t>
      </w:r>
      <w:r w:rsidRPr="00FD21AB" w:rsidR="00ED5540">
        <w:t>item</w:t>
      </w:r>
      <w:r w:rsidRPr="00FD21AB" w:rsidR="0083659B">
        <w:t xml:space="preserve"> and its intended use or </w:t>
      </w:r>
      <w:proofErr w:type="gramStart"/>
      <w:r w:rsidRPr="00FD21AB" w:rsidR="0083659B">
        <w:t>uses</w:t>
      </w:r>
      <w:r w:rsidR="00B0491B">
        <w:t>;</w:t>
      </w:r>
      <w:proofErr w:type="gramEnd"/>
    </w:p>
    <w:p w:rsidRPr="00FD21AB" w:rsidR="00F10125" w:rsidP="00AA1C78" w:rsidRDefault="00F10125" w14:paraId="42F02D68" w14:textId="77777777">
      <w:pPr>
        <w:pStyle w:val="ListParagraph"/>
        <w:keepNext/>
        <w:spacing w:after="0"/>
        <w:ind w:left="720"/>
      </w:pPr>
    </w:p>
    <w:p w:rsidRPr="00FD21AB" w:rsidR="0083659B" w:rsidP="00AA1C78" w:rsidRDefault="00FF6EB3" w14:paraId="62938B81" w14:textId="3959C9A2">
      <w:pPr>
        <w:pStyle w:val="ListParagraph"/>
        <w:keepNext/>
        <w:numPr>
          <w:ilvl w:val="0"/>
          <w:numId w:val="8"/>
        </w:numPr>
        <w:spacing w:after="0"/>
      </w:pPr>
      <w:r>
        <w:t>T</w:t>
      </w:r>
      <w:r w:rsidRPr="00FD21AB" w:rsidR="0083659B">
        <w:t xml:space="preserve">ype and quantity of byproduct material in each </w:t>
      </w:r>
      <w:proofErr w:type="gramStart"/>
      <w:r w:rsidRPr="00FD21AB" w:rsidR="0083659B">
        <w:t>unit</w:t>
      </w:r>
      <w:r w:rsidR="00B0491B">
        <w:t>;</w:t>
      </w:r>
      <w:proofErr w:type="gramEnd"/>
    </w:p>
    <w:p w:rsidR="00F10125" w:rsidP="00AA1C78" w:rsidRDefault="00F10125" w14:paraId="45186ABF" w14:textId="77777777">
      <w:pPr>
        <w:pStyle w:val="ListParagraph"/>
        <w:keepNext/>
        <w:spacing w:after="0"/>
        <w:ind w:left="720"/>
      </w:pPr>
    </w:p>
    <w:p w:rsidRPr="00FD21AB" w:rsidR="0083659B" w:rsidP="00AA1C78" w:rsidRDefault="00FF6EB3" w14:paraId="515BBA97" w14:textId="4078FDCB">
      <w:pPr>
        <w:pStyle w:val="ListParagraph"/>
        <w:keepNext/>
        <w:numPr>
          <w:ilvl w:val="0"/>
          <w:numId w:val="8"/>
        </w:numPr>
        <w:spacing w:after="0"/>
      </w:pPr>
      <w:r>
        <w:t>C</w:t>
      </w:r>
      <w:r w:rsidRPr="00FD21AB" w:rsidR="0083659B">
        <w:t xml:space="preserve">hemical and physical form of the byproduct material in the </w:t>
      </w:r>
      <w:r w:rsidRPr="00FD21AB" w:rsidR="001A0BE2">
        <w:t>item</w:t>
      </w:r>
      <w:r w:rsidRPr="00FD21AB" w:rsidR="0083659B">
        <w:t xml:space="preserve"> and changes in chemical and physical form that may occur during the useful life of the </w:t>
      </w:r>
      <w:proofErr w:type="gramStart"/>
      <w:r w:rsidRPr="00FD21AB" w:rsidR="0023051C">
        <w:t>product</w:t>
      </w:r>
      <w:r w:rsidR="00B0491B">
        <w:t>;</w:t>
      </w:r>
      <w:proofErr w:type="gramEnd"/>
    </w:p>
    <w:p w:rsidRPr="00FD21AB" w:rsidR="00F10125" w:rsidP="00AA1C78" w:rsidRDefault="00F10125" w14:paraId="790DAA0D" w14:textId="77777777">
      <w:pPr>
        <w:pStyle w:val="ListParagraph"/>
        <w:keepNext/>
        <w:spacing w:after="0"/>
        <w:ind w:left="720"/>
      </w:pPr>
    </w:p>
    <w:p w:rsidRPr="00FD21AB" w:rsidR="0083659B" w:rsidP="00AA1C78" w:rsidRDefault="00FF6EB3" w14:paraId="47120DD1" w14:textId="1C81CF6A">
      <w:pPr>
        <w:pStyle w:val="ListParagraph"/>
        <w:keepNext/>
        <w:numPr>
          <w:ilvl w:val="0"/>
          <w:numId w:val="8"/>
        </w:numPr>
        <w:spacing w:after="0"/>
      </w:pPr>
      <w:r>
        <w:t>S</w:t>
      </w:r>
      <w:r w:rsidRPr="00FD21AB" w:rsidR="0083659B">
        <w:t xml:space="preserve">olubility in water and body fluids of the forms of the byproduct material, including any forms that arose as a result of prototype </w:t>
      </w:r>
      <w:proofErr w:type="gramStart"/>
      <w:r w:rsidRPr="00FD21AB" w:rsidR="0083659B">
        <w:t>testing</w:t>
      </w:r>
      <w:r w:rsidR="00B0491B">
        <w:t>;</w:t>
      </w:r>
      <w:proofErr w:type="gramEnd"/>
    </w:p>
    <w:p w:rsidRPr="00FD21AB" w:rsidR="00F10125" w:rsidP="00AA1C78" w:rsidRDefault="00F10125" w14:paraId="584D0615" w14:textId="77777777">
      <w:pPr>
        <w:pStyle w:val="ListParagraph"/>
        <w:keepNext/>
        <w:spacing w:after="0"/>
        <w:ind w:left="720"/>
      </w:pPr>
    </w:p>
    <w:p w:rsidRPr="00FD21AB" w:rsidR="0083659B" w:rsidP="00AA1C78" w:rsidRDefault="00FF6EB3" w14:paraId="1AA8F866" w14:textId="5DD2A1CD">
      <w:pPr>
        <w:pStyle w:val="ListParagraph"/>
        <w:keepNext/>
        <w:numPr>
          <w:ilvl w:val="0"/>
          <w:numId w:val="8"/>
        </w:numPr>
        <w:spacing w:after="0"/>
      </w:pPr>
      <w:r>
        <w:t>D</w:t>
      </w:r>
      <w:r w:rsidRPr="00FD21AB" w:rsidR="0083659B">
        <w:t xml:space="preserve">etails of construction and design of the </w:t>
      </w:r>
      <w:r w:rsidRPr="00FD21AB" w:rsidR="00A80A7B">
        <w:t xml:space="preserve">item </w:t>
      </w:r>
      <w:r w:rsidRPr="00FD21AB" w:rsidR="0083659B">
        <w:t xml:space="preserve">as related to safety features under normal and severe conditions of handling, storage, use, and disposal of the </w:t>
      </w:r>
      <w:proofErr w:type="gramStart"/>
      <w:r w:rsidRPr="00FD21AB" w:rsidR="00A80A7B">
        <w:t>item</w:t>
      </w:r>
      <w:r w:rsidR="00E77F91">
        <w:t>;</w:t>
      </w:r>
      <w:proofErr w:type="gramEnd"/>
    </w:p>
    <w:p w:rsidR="00F10125" w:rsidP="00AA1C78" w:rsidRDefault="00F10125" w14:paraId="6B946C1A" w14:textId="77777777">
      <w:pPr>
        <w:pStyle w:val="ListParagraph"/>
        <w:keepNext/>
        <w:spacing w:after="0"/>
        <w:ind w:left="720"/>
      </w:pPr>
    </w:p>
    <w:p w:rsidRPr="00FD21AB" w:rsidR="0083659B" w:rsidP="00AA1C78" w:rsidRDefault="00FF6EB3" w14:paraId="5F4E22FD" w14:textId="3D127382">
      <w:pPr>
        <w:pStyle w:val="ListParagraph"/>
        <w:keepNext/>
        <w:numPr>
          <w:ilvl w:val="0"/>
          <w:numId w:val="8"/>
        </w:numPr>
        <w:spacing w:after="0"/>
      </w:pPr>
      <w:r>
        <w:t>M</w:t>
      </w:r>
      <w:r w:rsidRPr="00FD21AB" w:rsidR="0083659B">
        <w:t xml:space="preserve">aximum external radiation levels at 5 and </w:t>
      </w:r>
      <w:r w:rsidRPr="00FD21AB" w:rsidR="00D6351B">
        <w:t>25 </w:t>
      </w:r>
      <w:r w:rsidRPr="00FD21AB" w:rsidR="0083659B">
        <w:t xml:space="preserve">centimeters from any external surface of the </w:t>
      </w:r>
      <w:r w:rsidRPr="00FD21AB" w:rsidR="00C72349">
        <w:t>product</w:t>
      </w:r>
      <w:r w:rsidRPr="00FD21AB" w:rsidR="0083659B">
        <w:t xml:space="preserve">, averaged over an area not to exceed 10 square centimeters, and the method of </w:t>
      </w:r>
      <w:proofErr w:type="gramStart"/>
      <w:r w:rsidRPr="00FD21AB" w:rsidR="0083659B">
        <w:t>measurement</w:t>
      </w:r>
      <w:r w:rsidR="00E77F91">
        <w:t>;</w:t>
      </w:r>
      <w:proofErr w:type="gramEnd"/>
    </w:p>
    <w:p w:rsidRPr="00FD21AB" w:rsidR="00F10125" w:rsidP="00AA1C78" w:rsidRDefault="00F10125" w14:paraId="69CCF2D0" w14:textId="77777777">
      <w:pPr>
        <w:pStyle w:val="ListParagraph"/>
        <w:keepNext/>
        <w:spacing w:after="0"/>
        <w:ind w:left="720"/>
      </w:pPr>
    </w:p>
    <w:p w:rsidRPr="00FD21AB" w:rsidR="0083659B" w:rsidP="00AA1C78" w:rsidRDefault="00A50566" w14:paraId="53A13E1E" w14:textId="1C847956">
      <w:pPr>
        <w:pStyle w:val="ListParagraph"/>
        <w:keepNext/>
        <w:numPr>
          <w:ilvl w:val="0"/>
          <w:numId w:val="8"/>
        </w:numPr>
        <w:spacing w:after="0"/>
      </w:pPr>
      <w:r>
        <w:t>D</w:t>
      </w:r>
      <w:r w:rsidRPr="00FD21AB" w:rsidR="0083659B">
        <w:t xml:space="preserve">egree of access of human beings to the </w:t>
      </w:r>
      <w:r w:rsidRPr="00FD21AB" w:rsidR="00676C5D">
        <w:t>item</w:t>
      </w:r>
      <w:r w:rsidRPr="00FD21AB" w:rsidR="0083659B">
        <w:t xml:space="preserve"> during normal handling and </w:t>
      </w:r>
      <w:proofErr w:type="gramStart"/>
      <w:r w:rsidRPr="00FD21AB" w:rsidR="0083659B">
        <w:t>use</w:t>
      </w:r>
      <w:r w:rsidR="00E77F91">
        <w:t>;</w:t>
      </w:r>
      <w:proofErr w:type="gramEnd"/>
    </w:p>
    <w:p w:rsidR="00DA1588" w:rsidP="00AA1C78" w:rsidRDefault="00DA1588" w14:paraId="78D1F396" w14:textId="77777777">
      <w:pPr>
        <w:pStyle w:val="ListParagraph"/>
        <w:keepNext/>
        <w:spacing w:after="0"/>
        <w:ind w:left="720"/>
      </w:pPr>
    </w:p>
    <w:p w:rsidRPr="00FD21AB" w:rsidR="0083659B" w:rsidP="00AA1C78" w:rsidRDefault="00A50566" w14:paraId="6BD8E88D" w14:textId="3B62BD3C">
      <w:pPr>
        <w:pStyle w:val="ListParagraph"/>
        <w:keepNext/>
        <w:numPr>
          <w:ilvl w:val="0"/>
          <w:numId w:val="8"/>
        </w:numPr>
        <w:spacing w:after="0"/>
      </w:pPr>
      <w:r>
        <w:t>T</w:t>
      </w:r>
      <w:r w:rsidRPr="00FD21AB" w:rsidR="0083659B">
        <w:t xml:space="preserve">otal quantity of byproduct material expected to be distributed in the </w:t>
      </w:r>
      <w:r w:rsidRPr="00FD21AB" w:rsidR="00676C5D">
        <w:t>items</w:t>
      </w:r>
      <w:r w:rsidRPr="00FD21AB" w:rsidR="0083659B">
        <w:t xml:space="preserve"> </w:t>
      </w:r>
      <w:proofErr w:type="gramStart"/>
      <w:r w:rsidRPr="00FD21AB" w:rsidR="0083659B">
        <w:t>annually</w:t>
      </w:r>
      <w:r w:rsidR="00E77F91">
        <w:t>;</w:t>
      </w:r>
      <w:proofErr w:type="gramEnd"/>
    </w:p>
    <w:p w:rsidR="000868DF" w:rsidP="00AA1C78" w:rsidRDefault="000868DF" w14:paraId="113F8F16" w14:textId="77777777">
      <w:pPr>
        <w:pStyle w:val="ListParagraph"/>
        <w:keepNext/>
        <w:spacing w:after="0"/>
        <w:ind w:left="720"/>
      </w:pPr>
    </w:p>
    <w:p w:rsidRPr="00FD21AB" w:rsidR="0083659B" w:rsidP="00AA1C78" w:rsidRDefault="00A50566" w14:paraId="7B5E5963" w14:textId="3A277237">
      <w:pPr>
        <w:pStyle w:val="ListParagraph"/>
        <w:keepNext/>
        <w:numPr>
          <w:ilvl w:val="0"/>
          <w:numId w:val="8"/>
        </w:numPr>
        <w:spacing w:after="0"/>
      </w:pPr>
      <w:r>
        <w:t>E</w:t>
      </w:r>
      <w:r w:rsidRPr="00FD21AB" w:rsidR="0083659B">
        <w:t xml:space="preserve">xpected useful life of the </w:t>
      </w:r>
      <w:proofErr w:type="gramStart"/>
      <w:r w:rsidRPr="00FD21AB" w:rsidR="003D4287">
        <w:t>item</w:t>
      </w:r>
      <w:r w:rsidR="00E77F91">
        <w:t>;</w:t>
      </w:r>
      <w:proofErr w:type="gramEnd"/>
    </w:p>
    <w:p w:rsidRPr="00FD21AB" w:rsidR="000868DF" w:rsidP="00AA1C78" w:rsidRDefault="000868DF" w14:paraId="4F324B81" w14:textId="77777777">
      <w:pPr>
        <w:pStyle w:val="ListParagraph"/>
        <w:keepNext/>
        <w:spacing w:after="0"/>
        <w:ind w:left="720"/>
      </w:pPr>
    </w:p>
    <w:p w:rsidR="0083659B" w:rsidP="00C1541A" w:rsidRDefault="00A50566" w14:paraId="6D982805" w14:textId="6648CAA7">
      <w:pPr>
        <w:pStyle w:val="ListParagraph"/>
        <w:numPr>
          <w:ilvl w:val="0"/>
          <w:numId w:val="8"/>
        </w:numPr>
        <w:spacing w:after="0"/>
      </w:pPr>
      <w:r>
        <w:t>P</w:t>
      </w:r>
      <w:r w:rsidRPr="00B0491B" w:rsidR="00235C60">
        <w:t>roposed method of labeling or marking each </w:t>
      </w:r>
      <w:proofErr w:type="gramStart"/>
      <w:r w:rsidRPr="00B0491B" w:rsidR="00235C60">
        <w:t>point of sale</w:t>
      </w:r>
      <w:proofErr w:type="gramEnd"/>
      <w:r w:rsidRPr="00B0491B" w:rsidR="00235C60">
        <w:t xml:space="preserve"> package</w:t>
      </w:r>
      <w:r w:rsidRPr="00B0491B" w:rsidR="008F57FD">
        <w:footnoteReference w:id="2"/>
      </w:r>
      <w:r w:rsidRPr="00B0491B" w:rsidR="00E630E4">
        <w:t xml:space="preserve"> </w:t>
      </w:r>
      <w:r w:rsidRPr="00B0491B" w:rsidR="00235C60">
        <w:t>and, if feasible,</w:t>
      </w:r>
      <w:r w:rsidRPr="00B0491B" w:rsidR="00E630E4">
        <w:t xml:space="preserve"> </w:t>
      </w:r>
      <w:r w:rsidRPr="00B0491B" w:rsidR="00235C60">
        <w:t>each unit</w:t>
      </w:r>
      <w:r w:rsidRPr="00B0491B" w:rsidR="00B476E1">
        <w:t>,</w:t>
      </w:r>
      <w:r w:rsidRPr="00B0491B" w:rsidR="00146066">
        <w:t xml:space="preserve"> to satisfy the requirements of 10 CFR 32.35(b)</w:t>
      </w:r>
      <w:r w:rsidRPr="00B0491B" w:rsidR="00235C60">
        <w:t>.</w:t>
      </w:r>
      <w:r w:rsidRPr="00B0491B" w:rsidR="00E630E4">
        <w:t xml:space="preserve"> </w:t>
      </w:r>
      <w:r w:rsidRPr="00B0491B" w:rsidR="00255783">
        <w:t xml:space="preserve"> </w:t>
      </w:r>
      <w:r w:rsidRPr="00B0491B" w:rsidR="00235C60">
        <w:t>Each mark or label</w:t>
      </w:r>
      <w:r w:rsidRPr="00B0491B" w:rsidR="00E630E4">
        <w:t xml:space="preserve"> </w:t>
      </w:r>
      <w:r w:rsidRPr="00B0491B" w:rsidR="00235C60">
        <w:t>must contain the following statement “CONTAINS RADIOACTIVE</w:t>
      </w:r>
      <w:r w:rsidRPr="00B0491B" w:rsidR="00AE62C6">
        <w:t xml:space="preserve"> MATERIAL” and must identify</w:t>
      </w:r>
      <w:r w:rsidRPr="00B0491B" w:rsidR="00DF20A7">
        <w:t xml:space="preserve"> the</w:t>
      </w:r>
      <w:r w:rsidRPr="00B0491B" w:rsidR="00235C60">
        <w:t xml:space="preserve"> initial transferor of the </w:t>
      </w:r>
      <w:proofErr w:type="gramStart"/>
      <w:r w:rsidRPr="00B0491B" w:rsidR="00235C60">
        <w:t>item</w:t>
      </w:r>
      <w:r w:rsidR="00AA1C78">
        <w:t>;</w:t>
      </w:r>
      <w:proofErr w:type="gramEnd"/>
    </w:p>
    <w:p w:rsidRPr="00FD21AB" w:rsidR="00AA1C78" w:rsidP="00C1541A" w:rsidRDefault="00AA1C78" w14:paraId="62B3A5C8" w14:textId="77777777">
      <w:pPr>
        <w:pStyle w:val="ListParagraph"/>
        <w:spacing w:after="0"/>
        <w:ind w:left="720"/>
      </w:pPr>
    </w:p>
    <w:p w:rsidRPr="00FD21AB" w:rsidR="0083659B" w:rsidP="00C1541A" w:rsidRDefault="00A50566" w14:paraId="014427CE" w14:textId="5D145CBD">
      <w:pPr>
        <w:pStyle w:val="ListParagraph"/>
        <w:numPr>
          <w:ilvl w:val="0"/>
          <w:numId w:val="8"/>
        </w:numPr>
        <w:spacing w:after="0"/>
      </w:pPr>
      <w:r>
        <w:lastRenderedPageBreak/>
        <w:t>P</w:t>
      </w:r>
      <w:r w:rsidRPr="00FD21AB" w:rsidR="0083659B">
        <w:t xml:space="preserve">rocedures for prototype testing of the </w:t>
      </w:r>
      <w:r w:rsidRPr="00FD21AB" w:rsidR="008E52E6">
        <w:t xml:space="preserve">item </w:t>
      </w:r>
      <w:r w:rsidRPr="00FD21AB" w:rsidR="0083659B">
        <w:t xml:space="preserve">to demonstrate the effectiveness of the safety features under both normal and severe conditions of handling, storage, use, and disposal of the </w:t>
      </w:r>
      <w:proofErr w:type="gramStart"/>
      <w:r w:rsidRPr="00FD21AB" w:rsidR="00345EA2">
        <w:t>product</w:t>
      </w:r>
      <w:r w:rsidR="00AA1C78">
        <w:t>;</w:t>
      </w:r>
      <w:proofErr w:type="gramEnd"/>
    </w:p>
    <w:p w:rsidRPr="00FD21AB" w:rsidR="008F42FA" w:rsidP="00AA1C78" w:rsidRDefault="008F42FA" w14:paraId="3495A7BB" w14:textId="77777777">
      <w:pPr>
        <w:pStyle w:val="ListParagraph"/>
        <w:keepNext/>
        <w:spacing w:after="0"/>
        <w:ind w:left="720"/>
      </w:pPr>
    </w:p>
    <w:p w:rsidRPr="00FD21AB" w:rsidR="0083659B" w:rsidP="00AA1C78" w:rsidRDefault="00A50566" w14:paraId="2EB7B12D" w14:textId="56573A3D">
      <w:pPr>
        <w:pStyle w:val="ListParagraph"/>
        <w:keepNext/>
        <w:numPr>
          <w:ilvl w:val="0"/>
          <w:numId w:val="8"/>
        </w:numPr>
        <w:spacing w:after="0"/>
      </w:pPr>
      <w:r>
        <w:t>R</w:t>
      </w:r>
      <w:r w:rsidRPr="00FD21AB" w:rsidR="0083659B">
        <w:t xml:space="preserve">esults of the prototype testing of the </w:t>
      </w:r>
      <w:r w:rsidRPr="00FD21AB" w:rsidR="00832D0F">
        <w:t>item</w:t>
      </w:r>
      <w:r w:rsidRPr="00FD21AB" w:rsidR="0083659B">
        <w:t xml:space="preserve">, including any change in the form of the byproduct material contained in the </w:t>
      </w:r>
      <w:r w:rsidRPr="00FD21AB" w:rsidR="00832D0F">
        <w:t>product</w:t>
      </w:r>
      <w:r w:rsidRPr="00FD21AB" w:rsidR="0083659B">
        <w:t xml:space="preserve">, the extent to which the byproduct material may be released to the environment, any increase in external radiation levels, and any other changes in safety </w:t>
      </w:r>
      <w:proofErr w:type="gramStart"/>
      <w:r w:rsidRPr="00FD21AB" w:rsidR="0083659B">
        <w:t>features</w:t>
      </w:r>
      <w:r w:rsidR="00C1541A">
        <w:t>;</w:t>
      </w:r>
      <w:proofErr w:type="gramEnd"/>
    </w:p>
    <w:p w:rsidRPr="00FD21AB" w:rsidR="008F42FA" w:rsidP="00C1541A" w:rsidRDefault="008F42FA" w14:paraId="64EC2D83" w14:textId="77777777">
      <w:pPr>
        <w:pStyle w:val="ListParagraph"/>
        <w:keepNext/>
        <w:spacing w:after="0"/>
        <w:ind w:left="720"/>
      </w:pPr>
    </w:p>
    <w:p w:rsidRPr="00FD21AB" w:rsidR="0083659B" w:rsidP="00AA1C78" w:rsidRDefault="00A50566" w14:paraId="5814CCAF" w14:textId="3022F299">
      <w:pPr>
        <w:pStyle w:val="ListParagraph"/>
        <w:keepNext/>
        <w:numPr>
          <w:ilvl w:val="0"/>
          <w:numId w:val="8"/>
        </w:numPr>
        <w:spacing w:after="0"/>
      </w:pPr>
      <w:r>
        <w:t>E</w:t>
      </w:r>
      <w:r w:rsidRPr="00FD21AB" w:rsidR="0083659B">
        <w:t>stimated external radiation doses and committed doses resulting from the intake of byproduct material in any one year relevant to the safety criteria in 10 CFR 32.</w:t>
      </w:r>
      <w:r w:rsidRPr="00FD21AB" w:rsidR="008F6D5F">
        <w:t xml:space="preserve">34 </w:t>
      </w:r>
      <w:r w:rsidRPr="00FD21AB" w:rsidR="0083659B">
        <w:t xml:space="preserve">and the basis for these </w:t>
      </w:r>
      <w:proofErr w:type="gramStart"/>
      <w:r w:rsidRPr="00FD21AB" w:rsidR="0083659B">
        <w:t>estimates</w:t>
      </w:r>
      <w:r w:rsidR="00C1541A">
        <w:t>;</w:t>
      </w:r>
      <w:proofErr w:type="gramEnd"/>
    </w:p>
    <w:p w:rsidR="008F42FA" w:rsidP="00C1541A" w:rsidRDefault="008F42FA" w14:paraId="3D79C655" w14:textId="77777777">
      <w:pPr>
        <w:pStyle w:val="ListParagraph"/>
        <w:keepNext/>
        <w:spacing w:after="0"/>
        <w:ind w:left="720"/>
      </w:pPr>
    </w:p>
    <w:p w:rsidRPr="00FD21AB" w:rsidR="0083659B" w:rsidP="00AA1C78" w:rsidRDefault="00A50566" w14:paraId="30FD49E7" w14:textId="6C1F5525">
      <w:pPr>
        <w:pStyle w:val="ListParagraph"/>
        <w:keepNext/>
        <w:numPr>
          <w:ilvl w:val="0"/>
          <w:numId w:val="8"/>
        </w:numPr>
        <w:spacing w:after="0"/>
      </w:pPr>
      <w:r>
        <w:t>A</w:t>
      </w:r>
      <w:r w:rsidRPr="00FD21AB" w:rsidR="0083659B">
        <w:t xml:space="preserve"> determination that the probabilities, with respect to the doses referred to in 10 CFR 32.</w:t>
      </w:r>
      <w:r w:rsidRPr="00FD21AB" w:rsidR="006D6AEA">
        <w:t>34</w:t>
      </w:r>
      <w:r w:rsidRPr="00FD21AB" w:rsidR="0083659B">
        <w:t xml:space="preserve">, meet the criteria of that </w:t>
      </w:r>
      <w:proofErr w:type="gramStart"/>
      <w:r w:rsidRPr="00FD21AB" w:rsidR="0083659B">
        <w:t>paragraph</w:t>
      </w:r>
      <w:r w:rsidR="00C1541A">
        <w:t>;</w:t>
      </w:r>
      <w:proofErr w:type="gramEnd"/>
    </w:p>
    <w:p w:rsidR="008F42FA" w:rsidP="00C1541A" w:rsidRDefault="008F42FA" w14:paraId="7C1764A0" w14:textId="77777777">
      <w:pPr>
        <w:pStyle w:val="ListParagraph"/>
        <w:keepNext/>
        <w:spacing w:after="0"/>
        <w:ind w:left="720"/>
      </w:pPr>
    </w:p>
    <w:p w:rsidRPr="00FD21AB" w:rsidR="0083659B" w:rsidP="00AA1C78" w:rsidRDefault="00A50566" w14:paraId="0008E981" w14:textId="22E4876E">
      <w:pPr>
        <w:pStyle w:val="ListParagraph"/>
        <w:keepNext/>
        <w:numPr>
          <w:ilvl w:val="0"/>
          <w:numId w:val="8"/>
        </w:numPr>
        <w:spacing w:after="0"/>
      </w:pPr>
      <w:r>
        <w:t>Q</w:t>
      </w:r>
      <w:r w:rsidRPr="00FD21AB" w:rsidR="0083659B">
        <w:t xml:space="preserve">uality control procedures to be followed in the fabrication of production lots of the </w:t>
      </w:r>
      <w:r w:rsidRPr="00FD21AB" w:rsidR="00514762">
        <w:t>product</w:t>
      </w:r>
      <w:r w:rsidRPr="00FD21AB" w:rsidR="009879EA">
        <w:t>s</w:t>
      </w:r>
      <w:r w:rsidRPr="00FD21AB" w:rsidR="00514762">
        <w:t xml:space="preserve"> </w:t>
      </w:r>
      <w:r w:rsidRPr="00FD21AB" w:rsidR="0083659B">
        <w:t xml:space="preserve">and the quality control standards the </w:t>
      </w:r>
      <w:r w:rsidRPr="00FD21AB" w:rsidR="009879EA">
        <w:t xml:space="preserve">products </w:t>
      </w:r>
      <w:r w:rsidRPr="00FD21AB" w:rsidR="0083659B">
        <w:t xml:space="preserve">will be required to </w:t>
      </w:r>
      <w:proofErr w:type="gramStart"/>
      <w:r w:rsidRPr="00FD21AB" w:rsidR="0083659B">
        <w:t>meet</w:t>
      </w:r>
      <w:r w:rsidR="00C1541A">
        <w:t>;</w:t>
      </w:r>
      <w:proofErr w:type="gramEnd"/>
    </w:p>
    <w:p w:rsidR="008F42FA" w:rsidP="00C1541A" w:rsidRDefault="008F42FA" w14:paraId="7CAAE331" w14:textId="77777777">
      <w:pPr>
        <w:pStyle w:val="ListParagraph"/>
        <w:keepNext/>
        <w:spacing w:after="0"/>
        <w:ind w:left="720"/>
      </w:pPr>
    </w:p>
    <w:p w:rsidRPr="00B0491B" w:rsidR="0083659B" w:rsidP="00AA1C78" w:rsidRDefault="00A50566" w14:paraId="70F2B162" w14:textId="25484D1F">
      <w:pPr>
        <w:pStyle w:val="ListParagraph"/>
        <w:keepNext/>
        <w:numPr>
          <w:ilvl w:val="0"/>
          <w:numId w:val="8"/>
        </w:numPr>
        <w:spacing w:after="0"/>
      </w:pPr>
      <w:r>
        <w:t>A</w:t>
      </w:r>
      <w:r w:rsidRPr="00B0491B" w:rsidR="0083659B">
        <w:t xml:space="preserve">ny additional information, including experimental studies and tests, </w:t>
      </w:r>
      <w:r w:rsidRPr="00B0491B" w:rsidR="007B6A9A">
        <w:t xml:space="preserve">requested </w:t>
      </w:r>
      <w:r w:rsidRPr="00B0491B" w:rsidR="0083659B">
        <w:t>by the NRC.</w:t>
      </w:r>
    </w:p>
    <w:p w:rsidRPr="008F42FA" w:rsidR="008F42FA" w:rsidP="00AA1C78" w:rsidRDefault="008F42FA" w14:paraId="5FEF882C" w14:textId="77777777">
      <w:pPr>
        <w:pStyle w:val="ListParagraph"/>
        <w:spacing w:after="0"/>
        <w:rPr>
          <w:rFonts w:cs="Arial"/>
          <w:szCs w:val="22"/>
        </w:rPr>
      </w:pPr>
    </w:p>
    <w:p w:rsidRPr="00FD21AB" w:rsidR="0083659B" w:rsidP="008F42FA" w:rsidRDefault="0083659B" w14:paraId="298BED4C" w14:textId="33D9DDA4">
      <w:pPr>
        <w:spacing w:line="240" w:lineRule="auto"/>
      </w:pPr>
      <w:r w:rsidRPr="00FD21AB">
        <w:t>The dose assessment submitted under 10 CFR 32.</w:t>
      </w:r>
      <w:r w:rsidRPr="00FD21AB" w:rsidR="00A16F89">
        <w:t>3</w:t>
      </w:r>
      <w:r w:rsidRPr="00FD21AB" w:rsidR="0035089B">
        <w:t>3</w:t>
      </w:r>
      <w:r w:rsidRPr="00FD21AB" w:rsidR="00555781">
        <w:t>(a)(</w:t>
      </w:r>
      <w:r w:rsidRPr="00FD21AB" w:rsidR="00067911">
        <w:t>2)(xiii)</w:t>
      </w:r>
      <w:r w:rsidRPr="00FD21AB">
        <w:t xml:space="preserve"> to demonstrate that the </w:t>
      </w:r>
      <w:r w:rsidRPr="00FD21AB" w:rsidR="0086518B">
        <w:t>product</w:t>
      </w:r>
      <w:r w:rsidRPr="00FD21AB">
        <w:t xml:space="preserve"> meets the safety criteria in 10 CFR 32.</w:t>
      </w:r>
      <w:r w:rsidRPr="00FD21AB" w:rsidR="00F426E1">
        <w:t>3</w:t>
      </w:r>
      <w:r w:rsidRPr="00FD21AB" w:rsidR="0062641A">
        <w:t>4</w:t>
      </w:r>
      <w:r w:rsidRPr="00FD21AB" w:rsidR="00F426E1">
        <w:t xml:space="preserve"> </w:t>
      </w:r>
      <w:r w:rsidRPr="00FD21AB">
        <w:t xml:space="preserve">must be consistent with </w:t>
      </w:r>
      <w:proofErr w:type="gramStart"/>
      <w:r w:rsidRPr="00FD21AB">
        <w:t>all of</w:t>
      </w:r>
      <w:proofErr w:type="gramEnd"/>
      <w:r w:rsidRPr="00FD21AB">
        <w:t xml:space="preserve"> the other information submitted about the </w:t>
      </w:r>
      <w:r w:rsidRPr="00FD21AB" w:rsidR="00FC48F3">
        <w:t>item</w:t>
      </w:r>
      <w:r w:rsidRPr="00FD21AB">
        <w:t xml:space="preserve"> under 10 CFR 32.3</w:t>
      </w:r>
      <w:r w:rsidRPr="00FD21AB" w:rsidR="0062641A">
        <w:t>3</w:t>
      </w:r>
      <w:r w:rsidRPr="00FD21AB" w:rsidR="004074AC">
        <w:t>(a)(2).</w:t>
      </w:r>
    </w:p>
    <w:p w:rsidRPr="00FD21AB" w:rsidR="00294D49" w:rsidP="0083659B" w:rsidRDefault="00294D49" w14:paraId="4F9CC1B4" w14:textId="77777777"/>
    <w:p w:rsidRPr="00FD21AB" w:rsidR="0083659B" w:rsidP="008F42FA" w:rsidRDefault="0083659B" w14:paraId="211B5DAF" w14:textId="159E72B2">
      <w:pPr>
        <w:spacing w:line="240" w:lineRule="auto"/>
      </w:pPr>
      <w:r w:rsidRPr="00FD21AB">
        <w:t xml:space="preserve">In addition to providing the basis for demonstrating that a </w:t>
      </w:r>
      <w:r w:rsidRPr="00FD21AB" w:rsidR="006A311A">
        <w:t xml:space="preserve">product </w:t>
      </w:r>
      <w:r w:rsidRPr="00FD21AB">
        <w:t>meets the safety criteria of 10 CFR 32.</w:t>
      </w:r>
      <w:r w:rsidRPr="00FD21AB" w:rsidR="00FD5395">
        <w:t>3</w:t>
      </w:r>
      <w:r w:rsidRPr="00FD21AB" w:rsidR="00013381">
        <w:t>4</w:t>
      </w:r>
      <w:r w:rsidRPr="00FD21AB">
        <w:t>, there are other purposes for the information required to be submitted under 10 CFR 32.</w:t>
      </w:r>
      <w:r w:rsidRPr="00FD21AB" w:rsidR="00FD5395">
        <w:t>33</w:t>
      </w:r>
      <w:r w:rsidRPr="00FD21AB">
        <w:t>:</w:t>
      </w:r>
    </w:p>
    <w:p w:rsidRPr="00FD21AB" w:rsidR="00294D49" w:rsidP="008F42FA" w:rsidRDefault="00294D49" w14:paraId="341C1764" w14:textId="77777777">
      <w:pPr>
        <w:spacing w:line="240" w:lineRule="auto"/>
      </w:pPr>
    </w:p>
    <w:p w:rsidRPr="00FD21AB" w:rsidR="0083659B" w:rsidP="001D44E0" w:rsidRDefault="0083659B" w14:paraId="31E5D48C" w14:textId="2F6AE474">
      <w:pPr>
        <w:pStyle w:val="ListParagraph"/>
        <w:keepNext/>
        <w:numPr>
          <w:ilvl w:val="0"/>
          <w:numId w:val="8"/>
        </w:numPr>
        <w:spacing w:after="0"/>
      </w:pPr>
      <w:r w:rsidRPr="00FD21AB">
        <w:t>The information on quality control procedures submitted under 10 CFR 32.</w:t>
      </w:r>
      <w:r w:rsidRPr="00FD21AB" w:rsidR="008E66B2">
        <w:t>3</w:t>
      </w:r>
      <w:r w:rsidRPr="00FD21AB" w:rsidR="00CD6D15">
        <w:t>3</w:t>
      </w:r>
      <w:r w:rsidRPr="00FD21AB">
        <w:t>(</w:t>
      </w:r>
      <w:r w:rsidRPr="00FD21AB" w:rsidR="00F079C7">
        <w:t>a</w:t>
      </w:r>
      <w:r w:rsidRPr="00FD21AB">
        <w:t>)</w:t>
      </w:r>
      <w:r w:rsidRPr="00FD21AB" w:rsidR="00F079C7">
        <w:t>(2)</w:t>
      </w:r>
      <w:r w:rsidRPr="00FD21AB">
        <w:t>(</w:t>
      </w:r>
      <w:r w:rsidRPr="00FD21AB" w:rsidR="00F96515">
        <w:t>xv</w:t>
      </w:r>
      <w:r w:rsidRPr="00FD21AB">
        <w:t>) will supply the basis for meeting the requirements of 10 CFR 32.3</w:t>
      </w:r>
      <w:r w:rsidRPr="00FD21AB" w:rsidR="00282D4B">
        <w:t>5</w:t>
      </w:r>
      <w:r w:rsidRPr="00FD21AB">
        <w:t>(a).</w:t>
      </w:r>
    </w:p>
    <w:p w:rsidRPr="00FD21AB" w:rsidR="008F42FA" w:rsidP="008F42FA" w:rsidRDefault="008F42FA" w14:paraId="32CB1287" w14:textId="77777777">
      <w:pPr>
        <w:spacing w:line="240" w:lineRule="auto"/>
        <w:ind w:left="720"/>
      </w:pPr>
    </w:p>
    <w:p w:rsidRPr="00FD21AB" w:rsidR="0083659B" w:rsidP="001D44E0" w:rsidRDefault="0083659B" w14:paraId="5917CDC2" w14:textId="33929D76">
      <w:pPr>
        <w:pStyle w:val="ListParagraph"/>
        <w:keepNext/>
        <w:numPr>
          <w:ilvl w:val="0"/>
          <w:numId w:val="8"/>
        </w:numPr>
        <w:spacing w:after="0"/>
      </w:pPr>
      <w:r w:rsidRPr="00FD21AB">
        <w:t xml:space="preserve">The information on labeling </w:t>
      </w:r>
      <w:r w:rsidRPr="00FD21AB" w:rsidR="008C260E">
        <w:t xml:space="preserve">or marking </w:t>
      </w:r>
      <w:r w:rsidRPr="00FD21AB">
        <w:t>submitted under 10 CFR 32.</w:t>
      </w:r>
      <w:r w:rsidRPr="00FD21AB" w:rsidR="00C51B30">
        <w:t>33</w:t>
      </w:r>
      <w:r w:rsidRPr="00FD21AB">
        <w:t>(</w:t>
      </w:r>
      <w:r w:rsidRPr="00FD21AB" w:rsidR="00394164">
        <w:t>a</w:t>
      </w:r>
      <w:r w:rsidRPr="00FD21AB">
        <w:t>)</w:t>
      </w:r>
      <w:r w:rsidRPr="00FD21AB" w:rsidR="00394164">
        <w:t>(2)</w:t>
      </w:r>
      <w:r w:rsidRPr="00FD21AB">
        <w:t>(</w:t>
      </w:r>
      <w:r w:rsidRPr="00FD21AB" w:rsidR="00394164">
        <w:t>x</w:t>
      </w:r>
      <w:r w:rsidRPr="00FD21AB">
        <w:t>) will form the basis for</w:t>
      </w:r>
      <w:r w:rsidR="00C369F8">
        <w:t xml:space="preserve"> </w:t>
      </w:r>
      <w:r w:rsidRPr="00FD21AB">
        <w:t>meeting the requirements of 10 CFR 32.</w:t>
      </w:r>
      <w:r w:rsidRPr="00FD21AB" w:rsidR="00502D8E">
        <w:t>35</w:t>
      </w:r>
      <w:r w:rsidRPr="00FD21AB">
        <w:t>(b) and must be consistent with those</w:t>
      </w:r>
      <w:r w:rsidR="00C369F8">
        <w:t xml:space="preserve"> </w:t>
      </w:r>
      <w:r w:rsidRPr="00FD21AB">
        <w:t>requirements.</w:t>
      </w:r>
    </w:p>
    <w:p w:rsidR="008F42FA" w:rsidP="008F42FA" w:rsidRDefault="008F42FA" w14:paraId="58A44A65" w14:textId="77777777">
      <w:pPr>
        <w:pStyle w:val="ListParagraph"/>
        <w:spacing w:after="0"/>
      </w:pPr>
    </w:p>
    <w:p w:rsidRPr="00FD21AB" w:rsidR="0083659B" w:rsidP="008F42FA" w:rsidRDefault="0083659B" w14:paraId="013D6F96" w14:textId="0BB498BB">
      <w:pPr>
        <w:spacing w:line="240" w:lineRule="auto"/>
      </w:pPr>
      <w:r w:rsidRPr="00FD21AB">
        <w:t>Paragraph (c) of 10 CFR 32.</w:t>
      </w:r>
      <w:r w:rsidRPr="00FD21AB" w:rsidR="00A52417">
        <w:t xml:space="preserve">35 </w:t>
      </w:r>
      <w:r w:rsidRPr="00FD21AB">
        <w:t xml:space="preserve">specifies the requirements for records and material transfer reporting.  Information concerning the recordkeeping and material transfer reporting requirements </w:t>
      </w:r>
      <w:r w:rsidR="00C369F8">
        <w:t>is</w:t>
      </w:r>
      <w:r w:rsidRPr="00FD21AB">
        <w:t xml:space="preserve"> not required to be included in the application</w:t>
      </w:r>
      <w:r w:rsidR="00C369F8">
        <w:t xml:space="preserve">, </w:t>
      </w:r>
      <w:r w:rsidRPr="00FD21AB">
        <w:t xml:space="preserve">because the requirements are fully specified in the regulations.  However, the applicant needs to be aware of these responsibilities.  Details concerning recordkeeping and annual material transfer reporting requirements </w:t>
      </w:r>
      <w:r w:rsidRPr="00FD21AB" w:rsidR="00506902">
        <w:t>are as follows:</w:t>
      </w:r>
    </w:p>
    <w:p w:rsidRPr="00FD21AB" w:rsidR="00506902" w:rsidP="008F42FA" w:rsidRDefault="00506902" w14:paraId="2B757825" w14:textId="548F005A">
      <w:pPr>
        <w:spacing w:line="240" w:lineRule="auto"/>
      </w:pPr>
    </w:p>
    <w:p w:rsidRPr="00782379" w:rsidR="00FD21AB" w:rsidP="00782379" w:rsidRDefault="00FD21AB" w14:paraId="3AEF5A97" w14:textId="480A2E65">
      <w:pPr>
        <w:pStyle w:val="ListParagraph"/>
        <w:keepNext/>
        <w:numPr>
          <w:ilvl w:val="0"/>
          <w:numId w:val="8"/>
        </w:numPr>
        <w:spacing w:after="0"/>
      </w:pPr>
      <w:r w:rsidRPr="00FD21AB">
        <w:rPr>
          <w:bCs/>
        </w:rPr>
        <w:t>Keep reco</w:t>
      </w:r>
      <w:r w:rsidRPr="00782379">
        <w:t>rds of all transfers until 1 year after the transfer has been reported to the U.S. Nuclear Regulatory Commission (NRC).</w:t>
      </w:r>
    </w:p>
    <w:p w:rsidRPr="00782379" w:rsidR="00B315BA" w:rsidP="00782379" w:rsidRDefault="00B315BA" w14:paraId="49A2A1E5" w14:textId="7EC94DED">
      <w:pPr>
        <w:pStyle w:val="ListParagraph"/>
        <w:keepNext/>
        <w:spacing w:after="0"/>
        <w:ind w:left="720"/>
      </w:pPr>
    </w:p>
    <w:p w:rsidRPr="00FD21AB" w:rsidR="00FD21AB" w:rsidP="00782379" w:rsidRDefault="00FD21AB" w14:paraId="0B731DB6" w14:textId="17B5FD35">
      <w:pPr>
        <w:pStyle w:val="ListParagraph"/>
        <w:keepNext/>
        <w:numPr>
          <w:ilvl w:val="0"/>
          <w:numId w:val="8"/>
        </w:numPr>
        <w:spacing w:after="0"/>
      </w:pPr>
      <w:r w:rsidRPr="00782379">
        <w:t xml:space="preserve">Annually submit a material </w:t>
      </w:r>
      <w:r w:rsidRPr="00FD21AB">
        <w:t xml:space="preserve">transfer report covering the preceding calendar year by January 31 of each year.  A report is also required from licensees who permanently </w:t>
      </w:r>
      <w:r w:rsidRPr="00FD21AB">
        <w:lastRenderedPageBreak/>
        <w:t>discontinue activities authorized by the license within 30 days after ceasing distribution and which covers transfers made during the current calendar year.</w:t>
      </w:r>
    </w:p>
    <w:p w:rsidRPr="00FD21AB" w:rsidR="00B315BA" w:rsidP="00B315BA" w:rsidRDefault="00B315BA" w14:paraId="3BBF9F1D" w14:textId="77777777">
      <w:pPr>
        <w:spacing w:line="240" w:lineRule="auto"/>
        <w:ind w:left="720"/>
      </w:pPr>
    </w:p>
    <w:p w:rsidRPr="00FD21AB" w:rsidR="00FD21AB" w:rsidP="00B315BA" w:rsidRDefault="00FD21AB" w14:paraId="5A479433" w14:textId="11717E6D">
      <w:pPr>
        <w:spacing w:line="240" w:lineRule="auto"/>
      </w:pPr>
      <w:r w:rsidRPr="00FD21AB">
        <w:t xml:space="preserve">If a licensee is licensed under </w:t>
      </w:r>
      <w:r w:rsidR="0086122B">
        <w:t>10 CFR 32.33</w:t>
      </w:r>
      <w:r w:rsidRPr="00FD21AB">
        <w:t>, the report must:</w:t>
      </w:r>
    </w:p>
    <w:p w:rsidRPr="00FD21AB" w:rsidR="00FD21AB" w:rsidP="00782379" w:rsidRDefault="00FD21AB" w14:paraId="070D5481" w14:textId="77777777">
      <w:pPr>
        <w:pStyle w:val="ListParagraph"/>
        <w:keepNext/>
        <w:spacing w:after="0"/>
        <w:ind w:left="720"/>
      </w:pPr>
    </w:p>
    <w:p w:rsidRPr="00FD21AB" w:rsidR="00FD21AB" w:rsidP="00782379" w:rsidRDefault="00FD21AB" w14:paraId="256F8286" w14:textId="18606EFA">
      <w:pPr>
        <w:numPr>
          <w:ilvl w:val="0"/>
          <w:numId w:val="16"/>
        </w:numPr>
        <w:spacing w:line="240" w:lineRule="auto"/>
        <w:ind w:left="720"/>
      </w:pPr>
      <w:r w:rsidRPr="00FD21AB">
        <w:t>Clearly identify the specific licensee submitting the report and include the license number of the specific licensee.</w:t>
      </w:r>
    </w:p>
    <w:p w:rsidRPr="00FD21AB" w:rsidR="00B315BA" w:rsidP="00B315BA" w:rsidRDefault="00B315BA" w14:paraId="468E2FCE" w14:textId="77777777">
      <w:pPr>
        <w:spacing w:line="240" w:lineRule="auto"/>
        <w:ind w:left="720"/>
      </w:pPr>
    </w:p>
    <w:p w:rsidRPr="00FD21AB" w:rsidR="00FD21AB" w:rsidP="00782379" w:rsidRDefault="00FD21AB" w14:paraId="41EF2838" w14:textId="6C90DD1C">
      <w:pPr>
        <w:numPr>
          <w:ilvl w:val="0"/>
          <w:numId w:val="16"/>
        </w:numPr>
        <w:spacing w:line="240" w:lineRule="auto"/>
        <w:ind w:left="720"/>
      </w:pPr>
      <w:r w:rsidRPr="00FD21AB">
        <w:t xml:space="preserve">Indicate the specific exemption under which </w:t>
      </w:r>
      <w:r w:rsidR="0086122B">
        <w:t>item</w:t>
      </w:r>
      <w:r w:rsidRPr="00FD21AB">
        <w:t>s/products have been transferred for use.  The report must include all transfers nationally, including those for use under the equivalent exemptions in Agreement State regulations.  Only the designation of the NRC regulation covering the product must be indicated.</w:t>
      </w:r>
    </w:p>
    <w:p w:rsidRPr="00FD21AB" w:rsidR="0064355D" w:rsidP="0064355D" w:rsidRDefault="0064355D" w14:paraId="0C7F7BC1" w14:textId="77777777">
      <w:pPr>
        <w:spacing w:line="240" w:lineRule="auto"/>
        <w:ind w:left="720"/>
      </w:pPr>
    </w:p>
    <w:p w:rsidRPr="00FD21AB" w:rsidR="00FD21AB" w:rsidP="00782379" w:rsidRDefault="00FD21AB" w14:paraId="0EE6C882" w14:textId="11BB42E7">
      <w:pPr>
        <w:numPr>
          <w:ilvl w:val="0"/>
          <w:numId w:val="16"/>
        </w:numPr>
        <w:spacing w:line="240" w:lineRule="auto"/>
        <w:ind w:left="720"/>
      </w:pPr>
      <w:r w:rsidRPr="00FD21AB">
        <w:t xml:space="preserve">Indicate if no transfers of byproduct or source material were made for use under the applicable exemption during the reporting period.  </w:t>
      </w:r>
      <w:r w:rsidR="00AF1886">
        <w:t>(</w:t>
      </w:r>
      <w:r w:rsidRPr="00FD21AB">
        <w:t>In other words</w:t>
      </w:r>
      <w:r w:rsidR="00AF1886">
        <w:t>, e</w:t>
      </w:r>
      <w:r w:rsidRPr="00FD21AB">
        <w:t>ven if no distribution has occurred in a particular year, a report is still required.</w:t>
      </w:r>
      <w:r w:rsidR="00AF1886">
        <w:t>)</w:t>
      </w:r>
    </w:p>
    <w:p w:rsidRPr="00FD21AB" w:rsidR="0064355D" w:rsidP="00E27D4D" w:rsidRDefault="0064355D" w14:paraId="58025CB3" w14:textId="77777777">
      <w:pPr>
        <w:spacing w:line="240" w:lineRule="auto"/>
        <w:ind w:left="720"/>
      </w:pPr>
    </w:p>
    <w:p w:rsidRPr="00FD21AB" w:rsidR="00FD21AB" w:rsidP="00782379" w:rsidRDefault="000D1237" w14:paraId="46A6E6BD" w14:textId="244278D2">
      <w:pPr>
        <w:numPr>
          <w:ilvl w:val="0"/>
          <w:numId w:val="16"/>
        </w:numPr>
        <w:spacing w:line="240" w:lineRule="auto"/>
        <w:ind w:left="720"/>
      </w:pPr>
      <w:r>
        <w:t>Be a</w:t>
      </w:r>
      <w:r w:rsidRPr="00FD21AB" w:rsidR="00FD21AB">
        <w:t>ddress</w:t>
      </w:r>
      <w:r>
        <w:t>ed</w:t>
      </w:r>
      <w:r w:rsidRPr="00FD21AB" w:rsidR="00FD21AB">
        <w:t xml:space="preserve"> to the Director of the Office of Nuclear Material Safety and Safeguards (NMSS), including in the address:</w:t>
      </w:r>
      <w:r w:rsidR="00AF1886">
        <w:t xml:space="preserve"> </w:t>
      </w:r>
      <w:r w:rsidRPr="00FD21AB" w:rsidR="00FD21AB">
        <w:t xml:space="preserve"> ATTN:</w:t>
      </w:r>
      <w:r w:rsidR="00490DE2">
        <w:t xml:space="preserve"> </w:t>
      </w:r>
      <w:r w:rsidRPr="00FD21AB" w:rsidR="00FD21AB">
        <w:t xml:space="preserve"> Document Control Desk/Exempt Distribution.  This address should appear on both the envelope and the enclosed report.</w:t>
      </w:r>
    </w:p>
    <w:p w:rsidRPr="00FD21AB" w:rsidR="0064355D" w:rsidP="0064355D" w:rsidRDefault="0064355D" w14:paraId="5C2FDCEB" w14:textId="77777777">
      <w:pPr>
        <w:spacing w:line="240" w:lineRule="auto"/>
        <w:ind w:left="720"/>
      </w:pPr>
    </w:p>
    <w:p w:rsidRPr="00FD21AB" w:rsidR="00FD21AB" w:rsidP="00B315BA" w:rsidRDefault="00FD21AB" w14:paraId="78FB0FA9" w14:textId="36098A06">
      <w:pPr>
        <w:keepNext/>
        <w:keepLines/>
        <w:spacing w:line="240" w:lineRule="auto"/>
        <w:rPr>
          <w:iCs/>
        </w:rPr>
      </w:pPr>
      <w:r w:rsidRPr="00FD21AB">
        <w:t xml:space="preserve">In addition to items 1 through 4 above, the report must include certain information on the </w:t>
      </w:r>
      <w:r w:rsidR="0086122B">
        <w:t>item</w:t>
      </w:r>
      <w:r w:rsidRPr="00FD21AB">
        <w:t>s/products transferred to other persons for use under the exemption as noted below:</w:t>
      </w:r>
    </w:p>
    <w:p w:rsidRPr="00FD21AB" w:rsidR="00FD21AB" w:rsidP="00B315BA" w:rsidRDefault="00FD21AB" w14:paraId="323FF9FC" w14:textId="77777777">
      <w:pPr>
        <w:keepNext/>
        <w:keepLines/>
        <w:spacing w:line="240" w:lineRule="auto"/>
        <w:rPr>
          <w:iCs/>
        </w:rPr>
      </w:pPr>
    </w:p>
    <w:p w:rsidRPr="00FD21AB" w:rsidR="00506902" w:rsidP="00B315BA" w:rsidRDefault="00506902" w14:paraId="78DF73E5" w14:textId="31287AC8">
      <w:pPr>
        <w:keepNext/>
        <w:keepLines/>
        <w:spacing w:line="240" w:lineRule="auto"/>
        <w:rPr>
          <w:iCs/>
        </w:rPr>
      </w:pPr>
      <w:r w:rsidRPr="00FD21AB">
        <w:rPr>
          <w:i/>
        </w:rPr>
        <w:t>In reporting byproduct material transferred for use under 10 CFR 30.23 (and equivalent Agreement State provisions), the licensee must report:</w:t>
      </w:r>
    </w:p>
    <w:p w:rsidRPr="00FD21AB" w:rsidR="00506902" w:rsidP="00B315BA" w:rsidRDefault="00506902" w14:paraId="2F6E1B3E" w14:textId="77777777">
      <w:pPr>
        <w:keepNext/>
        <w:keepLines/>
        <w:spacing w:line="240" w:lineRule="auto"/>
        <w:rPr>
          <w:iCs/>
        </w:rPr>
      </w:pPr>
    </w:p>
    <w:p w:rsidRPr="00FD21AB" w:rsidR="00506902" w:rsidP="00C62740" w:rsidRDefault="00C62740" w14:paraId="2E17E786" w14:textId="1FC712F1">
      <w:pPr>
        <w:spacing w:line="240" w:lineRule="auto"/>
        <w:ind w:firstLine="360"/>
      </w:pPr>
      <w:r>
        <w:t>1.</w:t>
      </w:r>
      <w:r>
        <w:tab/>
      </w:r>
      <w:r w:rsidR="00A50566">
        <w:t>A</w:t>
      </w:r>
      <w:r w:rsidRPr="00FD21AB" w:rsidR="00506902">
        <w:t xml:space="preserve"> description or identification of the type of each product (and the model number(s), if</w:t>
      </w:r>
    </w:p>
    <w:p w:rsidRPr="00FD21AB" w:rsidR="00506902" w:rsidP="00C62740" w:rsidRDefault="00424E3E" w14:paraId="6619DCE3" w14:textId="193A3C6C">
      <w:pPr>
        <w:spacing w:line="240" w:lineRule="auto"/>
        <w:ind w:left="720"/>
      </w:pPr>
      <w:r w:rsidRPr="00FD21AB">
        <w:t>A</w:t>
      </w:r>
      <w:r w:rsidR="0052583A">
        <w:t>p</w:t>
      </w:r>
      <w:r w:rsidRPr="00FD21AB" w:rsidR="00506902">
        <w:t>plicable</w:t>
      </w:r>
      <w:r>
        <w:t>)</w:t>
      </w:r>
      <w:r w:rsidRPr="00424E3E" w:rsidR="00506902">
        <w:rPr>
          <w:vertAlign w:val="superscript"/>
        </w:rPr>
        <w:footnoteReference w:id="3"/>
      </w:r>
      <w:r>
        <w:t>, and</w:t>
      </w:r>
    </w:p>
    <w:p w:rsidRPr="00FD21AB" w:rsidR="0064355D" w:rsidP="00C62740" w:rsidRDefault="0064355D" w14:paraId="78CBD564" w14:textId="77777777">
      <w:pPr>
        <w:spacing w:line="240" w:lineRule="auto"/>
        <w:ind w:left="720"/>
      </w:pPr>
    </w:p>
    <w:p w:rsidRPr="00FD21AB" w:rsidR="00506902" w:rsidP="00C62740" w:rsidRDefault="00C62740" w14:paraId="093BEF2C" w14:textId="18AE1BF2">
      <w:pPr>
        <w:spacing w:line="240" w:lineRule="auto"/>
        <w:ind w:firstLine="360"/>
      </w:pPr>
      <w:r>
        <w:t>2.</w:t>
      </w:r>
      <w:r>
        <w:tab/>
      </w:r>
      <w:r w:rsidR="00A50566">
        <w:t>T</w:t>
      </w:r>
      <w:r w:rsidRPr="00FD21AB" w:rsidR="00506902">
        <w:t>he number of units of each type of product transferred during the reporting period (by</w:t>
      </w:r>
    </w:p>
    <w:p w:rsidRPr="00FD21AB" w:rsidR="00506902" w:rsidP="00424E3E" w:rsidRDefault="00506902" w14:paraId="5B532461" w14:textId="51313707">
      <w:pPr>
        <w:spacing w:line="240" w:lineRule="auto"/>
        <w:ind w:left="720"/>
      </w:pPr>
      <w:r w:rsidRPr="00FD21AB">
        <w:t xml:space="preserve">model number, if </w:t>
      </w:r>
      <w:r w:rsidRPr="00FD21AB" w:rsidR="00195A52">
        <w:t>applicable</w:t>
      </w:r>
      <w:r w:rsidR="00424E3E">
        <w:t>)</w:t>
      </w:r>
      <w:r w:rsidR="00195A52">
        <w:rPr>
          <w:vertAlign w:val="superscript"/>
        </w:rPr>
        <w:t>2</w:t>
      </w:r>
      <w:r w:rsidR="00424E3E">
        <w:t>.</w:t>
      </w:r>
    </w:p>
    <w:p w:rsidR="00506902" w:rsidP="00B315BA" w:rsidRDefault="00506902" w14:paraId="1FA77C53" w14:textId="4C4AC44A">
      <w:pPr>
        <w:spacing w:line="240" w:lineRule="auto"/>
        <w:ind w:left="720" w:hanging="720"/>
      </w:pPr>
    </w:p>
    <w:p w:rsidRPr="00FD21AB" w:rsidR="006E7A3C" w:rsidP="00B315BA" w:rsidRDefault="005D77FD" w14:paraId="22CCF3DE" w14:textId="04FA2DAB">
      <w:pPr>
        <w:spacing w:line="240" w:lineRule="auto"/>
      </w:pPr>
      <w:r w:rsidRPr="00FD21AB">
        <w:rPr>
          <w:bCs/>
        </w:rPr>
        <w:t xml:space="preserve">The applicant must provide clear and detailed information to show that the </w:t>
      </w:r>
      <w:r w:rsidR="00675FCC">
        <w:rPr>
          <w:bCs/>
        </w:rPr>
        <w:t xml:space="preserve">ICBMIP </w:t>
      </w:r>
      <w:r w:rsidRPr="00FD21AB">
        <w:rPr>
          <w:bCs/>
        </w:rPr>
        <w:t xml:space="preserve">are designed to protect health, safety, </w:t>
      </w:r>
      <w:r w:rsidRPr="00FD21AB" w:rsidR="00D91B5C">
        <w:rPr>
          <w:bCs/>
        </w:rPr>
        <w:t>and</w:t>
      </w:r>
      <w:r w:rsidRPr="00FD21AB">
        <w:rPr>
          <w:bCs/>
        </w:rPr>
        <w:t xml:space="preserve"> property</w:t>
      </w:r>
      <w:r w:rsidRPr="002E0CD8">
        <w:rPr>
          <w:bCs/>
        </w:rPr>
        <w:t>.</w:t>
      </w:r>
      <w:r w:rsidRPr="002E0CD8" w:rsidR="00313760">
        <w:rPr>
          <w:bCs/>
        </w:rPr>
        <w:t xml:space="preserve">  </w:t>
      </w:r>
      <w:r w:rsidRPr="002E0CD8" w:rsidR="003D4CF6">
        <w:rPr>
          <w:bCs/>
        </w:rPr>
        <w:t>A</w:t>
      </w:r>
      <w:r w:rsidRPr="00FD21AB" w:rsidR="0083659B">
        <w:t>n exemption from licensing is not limited to any certain category of user</w:t>
      </w:r>
      <w:r w:rsidRPr="00FD21AB" w:rsidR="00850192">
        <w:t>.</w:t>
      </w:r>
      <w:r w:rsidRPr="00FD21AB" w:rsidR="0083659B">
        <w:t xml:space="preserve"> </w:t>
      </w:r>
      <w:r w:rsidRPr="00FD21AB" w:rsidR="00FD21AB">
        <w:t xml:space="preserve"> </w:t>
      </w:r>
      <w:r w:rsidRPr="00FD21AB" w:rsidR="00850192">
        <w:t>T</w:t>
      </w:r>
      <w:r w:rsidRPr="00FD21AB" w:rsidR="0083659B">
        <w:t xml:space="preserve">he products to be approved for use under this exemption </w:t>
      </w:r>
      <w:r w:rsidRPr="00FD21AB" w:rsidR="00074910">
        <w:t xml:space="preserve">may </w:t>
      </w:r>
      <w:r w:rsidRPr="00FD21AB" w:rsidR="0083659B">
        <w:t xml:space="preserve">be intended for marketing to </w:t>
      </w:r>
      <w:r w:rsidRPr="00FD21AB" w:rsidR="008A30E5">
        <w:t xml:space="preserve">various </w:t>
      </w:r>
      <w:r w:rsidRPr="00FD21AB" w:rsidR="00D93CE2">
        <w:t xml:space="preserve">end users such as the </w:t>
      </w:r>
      <w:proofErr w:type="gramStart"/>
      <w:r w:rsidRPr="00FD21AB" w:rsidR="00652BE7">
        <w:t>general public</w:t>
      </w:r>
      <w:proofErr w:type="gramEnd"/>
      <w:r w:rsidRPr="00FD21AB" w:rsidR="00D6252A">
        <w:t xml:space="preserve"> </w:t>
      </w:r>
      <w:r w:rsidRPr="00FD21AB" w:rsidR="00652BE7">
        <w:t>(e.g., gemstones</w:t>
      </w:r>
      <w:r w:rsidRPr="00FD21AB" w:rsidR="00D93CE2">
        <w:t>)</w:t>
      </w:r>
      <w:r w:rsidR="004A65C5">
        <w:t>;</w:t>
      </w:r>
      <w:r w:rsidRPr="00FD21AB" w:rsidR="00652BE7">
        <w:t xml:space="preserve"> </w:t>
      </w:r>
      <w:r w:rsidRPr="00FD21AB" w:rsidR="0083659B">
        <w:t xml:space="preserve">commercial and industrial firms; research, educational, and medical institutions; </w:t>
      </w:r>
      <w:r w:rsidRPr="00FD21AB" w:rsidR="00793A2C">
        <w:t xml:space="preserve">or </w:t>
      </w:r>
      <w:r w:rsidRPr="00FD21AB" w:rsidR="0083659B">
        <w:t xml:space="preserve">Federal, State, and local government agencies.  The inclusion of medical institutions as a potential recipient market is not intended to imply that </w:t>
      </w:r>
      <w:r w:rsidRPr="00FD21AB" w:rsidR="00843A1F">
        <w:t>products</w:t>
      </w:r>
      <w:r w:rsidRPr="00FD21AB" w:rsidR="00C17994">
        <w:t xml:space="preserve"> </w:t>
      </w:r>
      <w:r w:rsidRPr="00FD21AB" w:rsidR="0083659B">
        <w:t xml:space="preserve">intended for “medical use,” as defined in </w:t>
      </w:r>
      <w:r w:rsidR="00C075DD">
        <w:t xml:space="preserve">10 CFR </w:t>
      </w:r>
      <w:r w:rsidRPr="00FD21AB" w:rsidR="0083659B">
        <w:t>Part 35, are covered by this exemption.</w:t>
      </w:r>
    </w:p>
    <w:p w:rsidRPr="00FD21AB" w:rsidR="006E7A3C" w:rsidP="00B315BA" w:rsidRDefault="006E7A3C" w14:paraId="3E03137E" w14:textId="77777777">
      <w:pPr>
        <w:spacing w:line="240" w:lineRule="auto"/>
      </w:pPr>
    </w:p>
    <w:p w:rsidR="00556B08" w:rsidP="00290A47" w:rsidRDefault="00556B08" w14:paraId="739724AA" w14:textId="4B64CB77">
      <w:pPr>
        <w:spacing w:line="240" w:lineRule="auto"/>
      </w:pPr>
      <w:r w:rsidRPr="00FD21AB">
        <w:t xml:space="preserve">The NRC’s Consumer Product Policy Statement states that the NRC should evaluate the overall safety impact of products allowed to be distributed for use by the </w:t>
      </w:r>
      <w:proofErr w:type="gramStart"/>
      <w:r w:rsidRPr="00FD21AB">
        <w:t>general public</w:t>
      </w:r>
      <w:proofErr w:type="gramEnd"/>
      <w:r w:rsidRPr="00FD21AB">
        <w:t xml:space="preserve">. </w:t>
      </w:r>
      <w:r w:rsidRPr="00FD21AB" w:rsidR="00FD21AB">
        <w:t xml:space="preserve"> </w:t>
      </w:r>
      <w:r w:rsidRPr="00FD21AB">
        <w:t>Th</w:t>
      </w:r>
      <w:r w:rsidRPr="00FD21AB" w:rsidR="002B2781">
        <w:t>is</w:t>
      </w:r>
      <w:r w:rsidRPr="00FD21AB">
        <w:t xml:space="preserve"> policy statement notes that the general criterion for approval of products containing radioactive </w:t>
      </w:r>
      <w:r w:rsidRPr="00FD21AB">
        <w:lastRenderedPageBreak/>
        <w:t>material depends on the resulting radiation exposures to the public and the apparent usefulness of the product.</w:t>
      </w:r>
      <w:r w:rsidRPr="00FD21AB" w:rsidR="00F42CED">
        <w:t xml:space="preserve"> </w:t>
      </w:r>
      <w:r w:rsidRPr="00FD21AB" w:rsidR="00FD21AB">
        <w:t xml:space="preserve"> </w:t>
      </w:r>
      <w:r w:rsidRPr="00FD21AB" w:rsidR="00F42CED">
        <w:t>For the products containing incidental levels of byproduct material, the routine handling, use, and disposal of these products are unlikely to result in a member of the public receiving more than a small fraction (a few millirem (mrem)) of the public dose limits in NRC regulations.</w:t>
      </w:r>
      <w:r w:rsidRPr="00FD21AB" w:rsidR="00C06AAE">
        <w:t xml:space="preserve"> </w:t>
      </w:r>
      <w:r w:rsidRPr="00FD21AB" w:rsidR="00FD21AB">
        <w:t xml:space="preserve"> </w:t>
      </w:r>
      <w:r w:rsidRPr="00FD21AB" w:rsidR="00C06AAE">
        <w:t xml:space="preserve">Since </w:t>
      </w:r>
      <w:r w:rsidR="00675FCC">
        <w:t xml:space="preserve">ICBMIP </w:t>
      </w:r>
      <w:r w:rsidRPr="00FD21AB" w:rsidR="00C06AAE">
        <w:t>may have a wide range of potential applications, the NRC may deny an application for a distribution license if the product does not comport with the Consumer Product Policy Statement</w:t>
      </w:r>
      <w:r w:rsidR="00DD4934">
        <w:t>,</w:t>
      </w:r>
      <w:r w:rsidRPr="00FD21AB" w:rsidR="00B87522">
        <w:t xml:space="preserve"> and</w:t>
      </w:r>
      <w:r w:rsidRPr="00FD21AB" w:rsidR="00C06AAE">
        <w:t xml:space="preserve"> </w:t>
      </w:r>
      <w:r w:rsidR="00DD4934">
        <w:t xml:space="preserve">the </w:t>
      </w:r>
      <w:r w:rsidRPr="00FD21AB" w:rsidR="00C06AAE">
        <w:t>end uses of the product cannot be reasonably foreseen</w:t>
      </w:r>
      <w:r w:rsidRPr="00FD21AB" w:rsidR="0063739A">
        <w:t xml:space="preserve"> </w:t>
      </w:r>
      <w:r w:rsidR="00DD4934">
        <w:t>(</w:t>
      </w:r>
      <w:r w:rsidRPr="00DD4934" w:rsidR="0063739A">
        <w:t>see</w:t>
      </w:r>
      <w:r w:rsidRPr="00FD21AB" w:rsidR="0063739A">
        <w:rPr>
          <w:i/>
          <w:iCs/>
        </w:rPr>
        <w:t xml:space="preserve"> </w:t>
      </w:r>
      <w:r w:rsidRPr="00FD21AB" w:rsidR="00C06AAE">
        <w:t>10 CFR 32.3</w:t>
      </w:r>
      <w:r w:rsidRPr="00FD21AB" w:rsidR="000E02DF">
        <w:t>3</w:t>
      </w:r>
      <w:r w:rsidRPr="00FD21AB" w:rsidR="00C06AAE">
        <w:t>(b)</w:t>
      </w:r>
      <w:r w:rsidR="00DD4934">
        <w:t>)</w:t>
      </w:r>
      <w:r w:rsidRPr="00FD21AB" w:rsidR="00C06AAE">
        <w:t>.</w:t>
      </w:r>
    </w:p>
    <w:p w:rsidR="00DD4934" w:rsidP="00290A47" w:rsidRDefault="00DD4934" w14:paraId="6E0B8485" w14:textId="77777777">
      <w:pPr>
        <w:spacing w:line="240" w:lineRule="auto"/>
      </w:pPr>
    </w:p>
    <w:p w:rsidRPr="00DC76B0" w:rsidR="002821D2" w:rsidP="00290A47" w:rsidRDefault="002821D2" w14:paraId="4067F8C2" w14:textId="4C95F3A8">
      <w:pPr>
        <w:spacing w:line="240" w:lineRule="auto"/>
      </w:pPr>
      <w:r w:rsidRPr="00DC76B0">
        <w:t xml:space="preserve">Appendix </w:t>
      </w:r>
      <w:r w:rsidRPr="00DC76B0" w:rsidR="00FD21AB">
        <w:t>1</w:t>
      </w:r>
      <w:r w:rsidRPr="00DC76B0">
        <w:t xml:space="preserve"> of this </w:t>
      </w:r>
      <w:r w:rsidRPr="00DC76B0" w:rsidR="00FD21AB">
        <w:t xml:space="preserve">guidance </w:t>
      </w:r>
      <w:r w:rsidRPr="00DC76B0">
        <w:t>contains specific information needed from importers and domestic producers of irradiated gemstones to support applications for licenses under 10 CFR 32.</w:t>
      </w:r>
      <w:r w:rsidRPr="00DC76B0" w:rsidR="0096337E">
        <w:t>33</w:t>
      </w:r>
      <w:r w:rsidRPr="00DC76B0">
        <w:t xml:space="preserve"> to transfer irradiated gemstones to persons exempt from licensing.</w:t>
      </w:r>
    </w:p>
    <w:p w:rsidRPr="00DC76B0" w:rsidR="00294D49" w:rsidP="00290A47" w:rsidRDefault="00294D49" w14:paraId="3DF06A07" w14:textId="37027388">
      <w:pPr>
        <w:spacing w:line="240" w:lineRule="auto"/>
      </w:pPr>
    </w:p>
    <w:p w:rsidRPr="00DC76B0" w:rsidR="0084684F" w:rsidP="00290A47" w:rsidRDefault="0083659B" w14:paraId="33CF3F3C" w14:textId="1F1D02D5">
      <w:pPr>
        <w:spacing w:line="240" w:lineRule="auto"/>
      </w:pPr>
      <w:r w:rsidRPr="00DC76B0">
        <w:t>Applicants should list all models</w:t>
      </w:r>
      <w:r w:rsidRPr="00DC76B0" w:rsidR="00642E03">
        <w:t>, if applicable,</w:t>
      </w:r>
      <w:r w:rsidRPr="00DC76B0">
        <w:t xml:space="preserve"> f</w:t>
      </w:r>
      <w:r w:rsidRPr="00DC76B0" w:rsidR="00642E03">
        <w:t>or</w:t>
      </w:r>
      <w:r w:rsidRPr="00DC76B0">
        <w:t xml:space="preserve"> each type of product they wish to distribute.</w:t>
      </w:r>
      <w:r w:rsidRPr="00DC76B0" w:rsidR="00403D56">
        <w:t xml:space="preserve"> </w:t>
      </w:r>
      <w:r w:rsidRPr="00DC76B0" w:rsidR="00FD21AB">
        <w:t xml:space="preserve"> </w:t>
      </w:r>
      <w:proofErr w:type="gramStart"/>
      <w:r w:rsidRPr="00DC76B0">
        <w:t>In order to</w:t>
      </w:r>
      <w:proofErr w:type="gramEnd"/>
      <w:r w:rsidRPr="00DC76B0">
        <w:t xml:space="preserve"> have the models listed as a series, the models should be essentially the same with respect to factors affecting radiological safety.</w:t>
      </w:r>
    </w:p>
    <w:p w:rsidRPr="00DC76B0" w:rsidR="00294D49" w:rsidP="00290A47" w:rsidRDefault="00294D49" w14:paraId="61BC8907" w14:textId="77777777">
      <w:pPr>
        <w:spacing w:line="240" w:lineRule="auto"/>
      </w:pPr>
    </w:p>
    <w:p w:rsidRPr="00DC76B0" w:rsidR="0083659B" w:rsidP="00290A47" w:rsidRDefault="0083659B" w14:paraId="3F40AB85" w14:textId="0ADA2DC2">
      <w:pPr>
        <w:spacing w:line="240" w:lineRule="auto"/>
      </w:pPr>
      <w:r w:rsidRPr="00DC76B0">
        <w:rPr>
          <w:u w:val="single"/>
        </w:rPr>
        <w:t xml:space="preserve">Unique aspects of the class exemption for </w:t>
      </w:r>
      <w:r w:rsidRPr="00DC76B0" w:rsidR="00851ADD">
        <w:rPr>
          <w:u w:val="single"/>
        </w:rPr>
        <w:t xml:space="preserve">items containing byproduct material incidental to production </w:t>
      </w:r>
      <w:r w:rsidRPr="00DC76B0">
        <w:rPr>
          <w:u w:val="single"/>
        </w:rPr>
        <w:t>(10 CFR 30.</w:t>
      </w:r>
      <w:r w:rsidRPr="00DC76B0" w:rsidR="00895DAB">
        <w:rPr>
          <w:u w:val="single"/>
        </w:rPr>
        <w:t>23</w:t>
      </w:r>
      <w:r w:rsidRPr="00DC76B0">
        <w:rPr>
          <w:u w:val="single"/>
        </w:rPr>
        <w:t>)</w:t>
      </w:r>
    </w:p>
    <w:p w:rsidRPr="00DC76B0" w:rsidR="00294D49" w:rsidP="00290A47" w:rsidRDefault="00294D49" w14:paraId="245EC170" w14:textId="77777777">
      <w:pPr>
        <w:spacing w:line="240" w:lineRule="auto"/>
      </w:pPr>
    </w:p>
    <w:p w:rsidRPr="00DC76B0" w:rsidR="0083659B" w:rsidP="00290A47" w:rsidRDefault="0083659B" w14:paraId="2F00EDAD" w14:textId="46271086">
      <w:pPr>
        <w:spacing w:line="240" w:lineRule="auto"/>
      </w:pPr>
      <w:r w:rsidRPr="00DC76B0">
        <w:t>The safety criteria in 10 CFR 32.3</w:t>
      </w:r>
      <w:r w:rsidRPr="00DC76B0" w:rsidR="00773227">
        <w:t>4</w:t>
      </w:r>
      <w:r w:rsidRPr="00DC76B0">
        <w:t xml:space="preserve"> for the class exemption for </w:t>
      </w:r>
      <w:r w:rsidR="00675FCC">
        <w:t>ICBMIP</w:t>
      </w:r>
      <w:r w:rsidRPr="00DC76B0" w:rsidR="00EC1C27">
        <w:t xml:space="preserve"> </w:t>
      </w:r>
      <w:r w:rsidRPr="00DC76B0">
        <w:t xml:space="preserve">specifically requires that the analysis consider how many of a product are likely to accumulate in one place in all stages of the lifecycle of the product after it leaves the control of the specific licensee manufacturer and/or distributor.  The number likely to be in one place is different in each stage of the lifecycle of the product.  The criterion of </w:t>
      </w:r>
      <w:r w:rsidRPr="00DC76B0" w:rsidR="003618B2">
        <w:t>50 </w:t>
      </w:r>
      <w:proofErr w:type="spellStart"/>
      <w:r w:rsidRPr="00DC76B0">
        <w:t>micr</w:t>
      </w:r>
      <w:r w:rsidRPr="00DC76B0" w:rsidR="007C190B">
        <w:t>o</w:t>
      </w:r>
      <w:r w:rsidRPr="00DC76B0">
        <w:t>sievert</w:t>
      </w:r>
      <w:proofErr w:type="spellEnd"/>
      <w:r w:rsidRPr="00DC76B0">
        <w:t xml:space="preserve"> (µ</w:t>
      </w:r>
      <w:proofErr w:type="spellStart"/>
      <w:r w:rsidRPr="00DC76B0">
        <w:t>Sv</w:t>
      </w:r>
      <w:proofErr w:type="spellEnd"/>
      <w:r w:rsidRPr="00DC76B0">
        <w:t>) [</w:t>
      </w:r>
      <w:r w:rsidRPr="00DC76B0" w:rsidR="003618B2">
        <w:t>5 </w:t>
      </w:r>
      <w:r w:rsidRPr="00DC76B0">
        <w:t>millirem (mrem)]/year in 10 CFR 32.</w:t>
      </w:r>
      <w:r w:rsidRPr="00DC76B0" w:rsidR="00697EC9">
        <w:t>34</w:t>
      </w:r>
      <w:r w:rsidRPr="00DC76B0">
        <w:t xml:space="preserve">(a)(1) applies to normal use, handling, and storage, including marketing, distribution, installation, and servicing of the </w:t>
      </w:r>
      <w:r w:rsidRPr="00DC76B0" w:rsidR="00DE0638">
        <w:t>item</w:t>
      </w:r>
      <w:r w:rsidRPr="00DC76B0">
        <w:t xml:space="preserve">.  Depending on the nature of the product, a user might typically only be </w:t>
      </w:r>
      <w:proofErr w:type="gramStart"/>
      <w:r w:rsidRPr="00DC76B0">
        <w:t>in close proximity to</w:t>
      </w:r>
      <w:proofErr w:type="gramEnd"/>
      <w:r w:rsidRPr="00DC76B0">
        <w:t xml:space="preserve"> one </w:t>
      </w:r>
      <w:r w:rsidRPr="00DC76B0" w:rsidR="007E131A">
        <w:t xml:space="preserve">item </w:t>
      </w:r>
      <w:r w:rsidRPr="00DC76B0">
        <w:t xml:space="preserve">at a time or possibly several </w:t>
      </w:r>
      <w:r w:rsidRPr="00DC76B0" w:rsidR="007E131A">
        <w:t>items</w:t>
      </w:r>
      <w:r w:rsidRPr="00DC76B0">
        <w:t xml:space="preserve">.    A distributor should be able to make reasonable assumptions about the </w:t>
      </w:r>
      <w:r w:rsidRPr="00DC76B0" w:rsidR="009760B1">
        <w:t xml:space="preserve">end users </w:t>
      </w:r>
      <w:r w:rsidRPr="00DC76B0">
        <w:t>that they expect to serve with their product(s).  The reviewer needs to determine if the assumptions presented are indeed reasonable.  This determination becomes particularly important if the projected doses are approaching an applicable limit.</w:t>
      </w:r>
    </w:p>
    <w:p w:rsidRPr="00DC76B0" w:rsidR="00294D49" w:rsidP="00290A47" w:rsidRDefault="00294D49" w14:paraId="5C9152B0" w14:textId="77777777">
      <w:pPr>
        <w:spacing w:line="240" w:lineRule="auto"/>
      </w:pPr>
    </w:p>
    <w:p w:rsidRPr="00DC76B0" w:rsidR="0083659B" w:rsidP="00290A47" w:rsidRDefault="0083659B" w14:paraId="51AADB6A" w14:textId="2039CB3D">
      <w:pPr>
        <w:spacing w:line="240" w:lineRule="auto"/>
      </w:pPr>
      <w:r w:rsidRPr="00DC76B0">
        <w:t>The criterion for disposal in 10 CFR 32.</w:t>
      </w:r>
      <w:r w:rsidRPr="00DC76B0" w:rsidR="007D64F5">
        <w:t>34</w:t>
      </w:r>
      <w:r w:rsidRPr="00DC76B0">
        <w:t>(a)(2) is 10 µ</w:t>
      </w:r>
      <w:proofErr w:type="spellStart"/>
      <w:r w:rsidRPr="00DC76B0">
        <w:t>Sv</w:t>
      </w:r>
      <w:proofErr w:type="spellEnd"/>
      <w:r w:rsidRPr="00DC76B0">
        <w:t xml:space="preserve"> [1 mrem]/year.  This involves estimating the number of units likely to be disposed of in the same disposal site, landfill, municipal incinerator, or</w:t>
      </w:r>
      <w:r w:rsidR="00692BA4">
        <w:t xml:space="preserve"> </w:t>
      </w:r>
      <w:r w:rsidRPr="00DC76B0">
        <w:t>recycling facility.</w:t>
      </w:r>
    </w:p>
    <w:p w:rsidRPr="00DC76B0" w:rsidR="00290A47" w:rsidP="00290A47" w:rsidRDefault="00290A47" w14:paraId="6436A03A" w14:textId="77777777">
      <w:pPr>
        <w:spacing w:line="240" w:lineRule="auto"/>
      </w:pPr>
    </w:p>
    <w:p w:rsidRPr="00DC76B0" w:rsidR="0083659B" w:rsidP="00290A47" w:rsidRDefault="0083659B" w14:paraId="22B05BFC" w14:textId="64063D39">
      <w:pPr>
        <w:spacing w:line="240" w:lineRule="auto"/>
      </w:pPr>
      <w:r w:rsidRPr="00DC76B0">
        <w:t xml:space="preserve">The criterion for accidents is </w:t>
      </w:r>
      <w:r w:rsidRPr="00DC76B0" w:rsidR="001556E7">
        <w:t xml:space="preserve">contained in </w:t>
      </w:r>
      <w:r w:rsidRPr="00DC76B0">
        <w:t>10 </w:t>
      </w:r>
      <w:r w:rsidRPr="00DC76B0" w:rsidR="00104903">
        <w:t>C</w:t>
      </w:r>
      <w:r w:rsidRPr="00DC76B0">
        <w:t>FR 32.</w:t>
      </w:r>
      <w:r w:rsidRPr="00DC76B0" w:rsidR="00B41DFB">
        <w:t>34</w:t>
      </w:r>
      <w:r w:rsidRPr="00DC76B0">
        <w:t xml:space="preserve"> and applies to possible accidents during use, handling, storage, and disposal, including during marketing, distribution, installation, and servicing of the </w:t>
      </w:r>
      <w:r w:rsidRPr="00DC76B0" w:rsidR="001D0996">
        <w:t>product</w:t>
      </w:r>
      <w:r w:rsidRPr="00DC76B0">
        <w:t>.  Specifically, 10 CFR 32.3</w:t>
      </w:r>
      <w:r w:rsidRPr="00DC76B0" w:rsidR="00D33921">
        <w:t>4</w:t>
      </w:r>
      <w:r w:rsidRPr="00DC76B0">
        <w:t>(a)(</w:t>
      </w:r>
      <w:r w:rsidRPr="00DC76B0" w:rsidR="0086225D">
        <w:t>3</w:t>
      </w:r>
      <w:r w:rsidRPr="00DC76B0">
        <w:t xml:space="preserve">) requires that the probability is low that the safety features of the </w:t>
      </w:r>
      <w:r w:rsidRPr="00DC76B0" w:rsidR="00395DBF">
        <w:t>item</w:t>
      </w:r>
      <w:r w:rsidRPr="00DC76B0">
        <w:t xml:space="preserve"> would fail under such circumstances that a person would receive an external radiation dose or committed dose </w:t>
      </w:r>
      <w:proofErr w:type="gramStart"/>
      <w:r w:rsidRPr="00DC76B0">
        <w:t>in excess of</w:t>
      </w:r>
      <w:proofErr w:type="gramEnd"/>
      <w:r w:rsidRPr="00DC76B0">
        <w:t xml:space="preserve"> 5 millisievert (mSv) [500 mrem], and the probability is negligible that a person would receive an external radiation dose or committed dose of 100 mSv [10 rem] or greater.  Paragraph (b) in 10 CFR 32.3</w:t>
      </w:r>
      <w:r w:rsidRPr="00DC76B0" w:rsidR="003F533B">
        <w:t>4</w:t>
      </w:r>
      <w:r w:rsidRPr="00DC76B0">
        <w:t xml:space="preserve"> specifies misuse scenarios that must be analyzed, regardless of how well</w:t>
      </w:r>
      <w:r w:rsidRPr="00DC76B0">
        <w:noBreakHyphen/>
        <w:t xml:space="preserve">contained the byproduct material might be in the </w:t>
      </w:r>
      <w:r w:rsidRPr="00DC76B0" w:rsidR="006661FF">
        <w:t>item</w:t>
      </w:r>
      <w:r w:rsidRPr="00DC76B0">
        <w:t>.  Specifically, the dose to a person who spends 1,000 hours at 1 meter from the unshielded source must not exceed an external dose of 100</w:t>
      </w:r>
      <w:r w:rsidR="008D3725">
        <w:t> </w:t>
      </w:r>
      <w:r w:rsidRPr="00DC76B0">
        <w:t>mSv [10 rem]; a committed dose of 100 mSv [10 rem] must also not be exceeded if a person were to intake (whether by inhalation, ingestion, or absorption through the skin) 10</w:t>
      </w:r>
      <w:r w:rsidRPr="00DC76B0">
        <w:rPr>
          <w:vertAlign w:val="superscript"/>
        </w:rPr>
        <w:noBreakHyphen/>
        <w:t>4</w:t>
      </w:r>
      <w:r w:rsidRPr="00DC76B0">
        <w:t xml:space="preserve"> (or 10 percent in the case of tritium) of the total byproduct material in the </w:t>
      </w:r>
      <w:r w:rsidRPr="00DC76B0" w:rsidR="001342CD">
        <w:t>item</w:t>
      </w:r>
      <w:r w:rsidRPr="00DC76B0">
        <w:t xml:space="preserve">.  An additional </w:t>
      </w:r>
      <w:r w:rsidRPr="00DC76B0">
        <w:lastRenderedPageBreak/>
        <w:t xml:space="preserve">criterion applies if the </w:t>
      </w:r>
      <w:r w:rsidRPr="00DC76B0" w:rsidR="00501D9E">
        <w:t>item</w:t>
      </w:r>
      <w:r w:rsidRPr="00DC76B0">
        <w:t xml:space="preserve"> is small enough to put in one’s pocket.  That criterion is that the dose to localized areas of skin averaged over areas no larger than 1 square centimeter from carrying the </w:t>
      </w:r>
      <w:r w:rsidRPr="00DC76B0" w:rsidR="00832D4E">
        <w:t>item</w:t>
      </w:r>
      <w:r w:rsidRPr="00DC76B0">
        <w:t xml:space="preserve"> in a pocket for 80 hours will not exceed 2 </w:t>
      </w:r>
      <w:proofErr w:type="spellStart"/>
      <w:r w:rsidRPr="00DC76B0">
        <w:t>Sv</w:t>
      </w:r>
      <w:proofErr w:type="spellEnd"/>
      <w:r w:rsidRPr="00DC76B0">
        <w:t xml:space="preserve"> [200 rem].</w:t>
      </w:r>
    </w:p>
    <w:p w:rsidRPr="00DC76B0" w:rsidR="00294D49" w:rsidP="00290A47" w:rsidRDefault="00294D49" w14:paraId="47C96623" w14:textId="77777777">
      <w:pPr>
        <w:spacing w:line="240" w:lineRule="auto"/>
      </w:pPr>
    </w:p>
    <w:p w:rsidRPr="00DC76B0" w:rsidR="00294D49" w:rsidP="00290A47" w:rsidRDefault="0083659B" w14:paraId="33678895" w14:textId="4D2BB184">
      <w:pPr>
        <w:spacing w:line="240" w:lineRule="auto"/>
      </w:pPr>
      <w:r w:rsidRPr="00DC76B0">
        <w:t>The safety criteria in 10 CFR 32.</w:t>
      </w:r>
      <w:r w:rsidRPr="00DC76B0" w:rsidR="00B8005D">
        <w:t>34</w:t>
      </w:r>
      <w:r w:rsidRPr="00DC76B0">
        <w:t xml:space="preserve"> use the term “committed dose,” which is defined in 10 CFR 32.2, “Definitions</w:t>
      </w:r>
      <w:r w:rsidR="00DF499F">
        <w:t>.</w:t>
      </w:r>
      <w:r w:rsidRPr="00DC76B0">
        <w:t>”</w:t>
      </w:r>
    </w:p>
    <w:p w:rsidRPr="00DC76B0" w:rsidR="0083659B" w:rsidP="00290A47" w:rsidRDefault="0083659B" w14:paraId="62C58A4B" w14:textId="3AFBDE9D">
      <w:pPr>
        <w:spacing w:line="240" w:lineRule="auto"/>
      </w:pPr>
      <w:r w:rsidRPr="00DC76B0">
        <w:t xml:space="preserve"> </w:t>
      </w:r>
    </w:p>
    <w:p w:rsidRPr="00DC76B0" w:rsidR="00294D49" w:rsidP="00290A47" w:rsidRDefault="0083659B" w14:paraId="7084BD5A" w14:textId="6B980885">
      <w:pPr>
        <w:spacing w:line="240" w:lineRule="auto"/>
      </w:pPr>
      <w:r w:rsidRPr="00DC76B0">
        <w:t>The NRC normally accepts dose estimates based on the organ dose weighting factors in 10 CFR Part 20 or the tissue weighting factors in International Commission on Radiological Protection (ICRP) 60, “1990 Recommendations of the International Commission on Radiological Protection,” if permitted by license condition.</w:t>
      </w:r>
    </w:p>
    <w:p w:rsidRPr="00DC76B0" w:rsidR="0083659B" w:rsidP="00290A47" w:rsidRDefault="0083659B" w14:paraId="4F573E7B" w14:textId="428BCE34">
      <w:pPr>
        <w:spacing w:line="240" w:lineRule="auto"/>
      </w:pPr>
    </w:p>
    <w:p w:rsidR="0083659B" w:rsidP="00290A47" w:rsidRDefault="0083659B" w14:paraId="6104C95A" w14:textId="6A349055">
      <w:pPr>
        <w:spacing w:line="240" w:lineRule="auto"/>
      </w:pPr>
      <w:r w:rsidRPr="00DC76B0">
        <w:t xml:space="preserve">For </w:t>
      </w:r>
      <w:r w:rsidRPr="00DC76B0" w:rsidR="007D6B28">
        <w:t xml:space="preserve">items </w:t>
      </w:r>
      <w:r w:rsidRPr="00DC76B0">
        <w:t xml:space="preserve">proposed for use under the class exemption for </w:t>
      </w:r>
      <w:r w:rsidRPr="00DC76B0" w:rsidR="00CB1233">
        <w:t>th</w:t>
      </w:r>
      <w:r w:rsidRPr="00DC76B0" w:rsidR="007D6B28">
        <w:t>ese</w:t>
      </w:r>
      <w:r w:rsidRPr="00DC76B0" w:rsidR="00CB1233">
        <w:t xml:space="preserve"> </w:t>
      </w:r>
      <w:r w:rsidRPr="00DC76B0">
        <w:t xml:space="preserve">products, it is acceptable to perform an analysis utilizing dose conversion factors from ICRP 30, “Limits for Intakes of Radionuclides by Workers,” and ICRP 32, “Limits for Inhalation of Radon Daughters by Workers” (based on ICRP 26, “Recommendations of the International Commission on Radiological Protection”), or ICRP 68, “Dose Coefficients for Intakes of Radionuclides by Workers,” and ICRP 72, “Age-dependent Doses to the Members of the Public from Intake of Radionuclides - Part 5 Compilation of Ingestion and Inhalation Coefficients” </w:t>
      </w:r>
      <w:r w:rsidRPr="00DC76B0">
        <w:br/>
        <w:t>(based on ICRP 60).</w:t>
      </w:r>
    </w:p>
    <w:p w:rsidR="001E62A4" w:rsidP="00290A47" w:rsidRDefault="001E62A4" w14:paraId="1EBBE8F4" w14:textId="77777777">
      <w:pPr>
        <w:spacing w:line="240" w:lineRule="auto"/>
      </w:pPr>
    </w:p>
    <w:p w:rsidRPr="00DD03B8" w:rsidR="0083659B" w:rsidP="00290A47" w:rsidRDefault="0083659B" w14:paraId="0FAD6547" w14:textId="2D404FBE">
      <w:pPr>
        <w:spacing w:line="240" w:lineRule="auto"/>
      </w:pPr>
      <w:r w:rsidRPr="00DD03B8">
        <w:t xml:space="preserve">In a rare instance, the NRC may consider whether use of certain dose methodology may call into question whether the product presents an inappropriate level of risk.  For example, when the margin of safety is small, given the level of uncertainty and the degree of conservatism in the analysis, an applicant might introduce an inappropriate level of risk by using an outdated </w:t>
      </w:r>
      <w:r w:rsidR="009E45BA">
        <w:t>dose conversion factor</w:t>
      </w:r>
      <w:r w:rsidRPr="00DD03B8">
        <w:t xml:space="preserve"> that is lower than the current value.</w:t>
      </w:r>
    </w:p>
    <w:p w:rsidRPr="00DD03B8" w:rsidR="00294D49" w:rsidP="00290A47" w:rsidRDefault="00294D49" w14:paraId="7E787910" w14:textId="77777777">
      <w:pPr>
        <w:spacing w:line="240" w:lineRule="auto"/>
      </w:pPr>
    </w:p>
    <w:p w:rsidRPr="00DD03B8" w:rsidR="0083659B" w:rsidP="00290A47" w:rsidRDefault="00DC76B0" w14:paraId="0A1317A2" w14:textId="6AE7908B">
      <w:pPr>
        <w:spacing w:line="240" w:lineRule="auto"/>
      </w:pPr>
      <w:r w:rsidRPr="00DD03B8">
        <w:t xml:space="preserve">The following </w:t>
      </w:r>
      <w:r w:rsidRPr="00DD03B8" w:rsidR="00D473C5">
        <w:t xml:space="preserve">information </w:t>
      </w:r>
      <w:r w:rsidRPr="00DD03B8" w:rsidR="0083659B">
        <w:t>provides additional discussion about the dose assessment needed to demonstrate that a product meets applicable safety criteria.</w:t>
      </w:r>
    </w:p>
    <w:p w:rsidR="001E62A4" w:rsidP="00290A47" w:rsidRDefault="001E62A4" w14:paraId="7C26965C" w14:textId="77777777">
      <w:pPr>
        <w:spacing w:line="240" w:lineRule="auto"/>
        <w:rPr>
          <w:u w:val="single"/>
        </w:rPr>
      </w:pPr>
    </w:p>
    <w:p w:rsidRPr="0038583B" w:rsidR="00D473C5" w:rsidP="00290A47" w:rsidRDefault="00D473C5" w14:paraId="28D25B8E" w14:textId="35A0FD6A">
      <w:pPr>
        <w:spacing w:line="240" w:lineRule="auto"/>
        <w:rPr>
          <w:u w:val="single"/>
        </w:rPr>
      </w:pPr>
      <w:r w:rsidRPr="0038583B">
        <w:rPr>
          <w:u w:val="single"/>
        </w:rPr>
        <w:t xml:space="preserve">Dose </w:t>
      </w:r>
      <w:r>
        <w:rPr>
          <w:u w:val="single"/>
        </w:rPr>
        <w:t>A</w:t>
      </w:r>
      <w:r w:rsidRPr="0038583B">
        <w:rPr>
          <w:u w:val="single"/>
        </w:rPr>
        <w:t>ssessment</w:t>
      </w:r>
    </w:p>
    <w:p w:rsidR="00D473C5" w:rsidP="00290A47" w:rsidRDefault="00D473C5" w14:paraId="290F178D" w14:textId="77777777">
      <w:pPr>
        <w:spacing w:line="240" w:lineRule="auto"/>
        <w:rPr>
          <w:color w:val="000000"/>
        </w:rPr>
      </w:pPr>
    </w:p>
    <w:p w:rsidR="00D473C5" w:rsidP="00290A47" w:rsidRDefault="00D473C5" w14:paraId="43074235" w14:textId="2A4376EA">
      <w:pPr>
        <w:spacing w:line="240" w:lineRule="auto"/>
        <w:rPr>
          <w:color w:val="000000"/>
        </w:rPr>
      </w:pPr>
      <w:r w:rsidRPr="0038583B">
        <w:rPr>
          <w:color w:val="000000"/>
        </w:rPr>
        <w:t xml:space="preserve">To demonstrate that a product meets the applicable safety criteria, a dose assessment must be developed </w:t>
      </w:r>
      <w:r>
        <w:rPr>
          <w:color w:val="000000"/>
        </w:rPr>
        <w:t>that</w:t>
      </w:r>
      <w:r w:rsidRPr="0038583B">
        <w:rPr>
          <w:color w:val="000000"/>
        </w:rPr>
        <w:t xml:space="preserve"> accounts for the product throughout its entire lifecycle</w:t>
      </w:r>
      <w:r w:rsidR="00D55CF7">
        <w:rPr>
          <w:color w:val="000000"/>
        </w:rPr>
        <w:t>,</w:t>
      </w:r>
      <w:r w:rsidRPr="0038583B">
        <w:rPr>
          <w:color w:val="000000"/>
        </w:rPr>
        <w:t xml:space="preserve"> </w:t>
      </w:r>
      <w:r w:rsidRPr="0038583B" w:rsidR="00D55CF7">
        <w:rPr>
          <w:color w:val="000000"/>
        </w:rPr>
        <w:t>including its ultimate disposal</w:t>
      </w:r>
      <w:r w:rsidR="001C55C6">
        <w:rPr>
          <w:color w:val="000000"/>
        </w:rPr>
        <w:t>,</w:t>
      </w:r>
      <w:r w:rsidRPr="0038583B">
        <w:rPr>
          <w:color w:val="000000"/>
        </w:rPr>
        <w:t xml:space="preserve"> after being transferred from the specifically licensed manufacturer</w:t>
      </w:r>
      <w:r>
        <w:rPr>
          <w:color w:val="000000"/>
        </w:rPr>
        <w:t xml:space="preserve"> and/or </w:t>
      </w:r>
      <w:r w:rsidRPr="0038583B">
        <w:rPr>
          <w:color w:val="000000"/>
        </w:rPr>
        <w:t xml:space="preserve">distributor.  This </w:t>
      </w:r>
      <w:r w:rsidR="001D7608">
        <w:rPr>
          <w:color w:val="000000"/>
        </w:rPr>
        <w:t xml:space="preserve">assessment </w:t>
      </w:r>
      <w:r w:rsidRPr="0038583B">
        <w:rPr>
          <w:color w:val="000000"/>
        </w:rPr>
        <w:t xml:space="preserve">includes all distribution stages after the product leaves the initial distributor.  </w:t>
      </w:r>
      <w:proofErr w:type="gramStart"/>
      <w:r w:rsidRPr="0038583B">
        <w:rPr>
          <w:color w:val="000000"/>
        </w:rPr>
        <w:t>In order to</w:t>
      </w:r>
      <w:proofErr w:type="gramEnd"/>
      <w:r w:rsidRPr="0038583B">
        <w:rPr>
          <w:color w:val="000000"/>
        </w:rPr>
        <w:t xml:space="preserve"> be able to adequately assess the potential doses that could result from transferring a product for use under a class exemption, it must be possible to anticipate how the product will ultimately be used and the likely conditions of use.  This </w:t>
      </w:r>
      <w:r w:rsidR="00814C74">
        <w:rPr>
          <w:color w:val="000000"/>
        </w:rPr>
        <w:t xml:space="preserve">assessment </w:t>
      </w:r>
      <w:r w:rsidRPr="0038583B">
        <w:rPr>
          <w:color w:val="000000"/>
        </w:rPr>
        <w:t xml:space="preserve">must </w:t>
      </w:r>
      <w:r w:rsidR="00814C74">
        <w:rPr>
          <w:color w:val="000000"/>
        </w:rPr>
        <w:t>also</w:t>
      </w:r>
      <w:r w:rsidRPr="0038583B">
        <w:rPr>
          <w:color w:val="000000"/>
        </w:rPr>
        <w:t xml:space="preserve"> include routine conditions, as well as likely and unlikely accident and misuse scenarios.</w:t>
      </w:r>
      <w:r>
        <w:rPr>
          <w:color w:val="000000"/>
        </w:rPr>
        <w:t xml:space="preserve">  NUREG–1717, “Systematic Radiological Assessment of Exemptions for Source and Byproduct Materials,” provides a wide range of dose assessment scenarios.  Additional information about the use of NUREG–1717 is provided in the following subsection.  Although it provides guidance for developing specific dose assessments, the applicant should be careful to adapt these scenarios to fit the specific aspects of its product.</w:t>
      </w:r>
    </w:p>
    <w:p w:rsidR="00D473C5" w:rsidP="00D473C5" w:rsidRDefault="00D473C5" w14:paraId="0883B7C2" w14:textId="77777777">
      <w:pPr>
        <w:rPr>
          <w:color w:val="000000"/>
        </w:rPr>
      </w:pPr>
    </w:p>
    <w:p w:rsidR="00D473C5" w:rsidP="00290A47" w:rsidRDefault="00D473C5" w14:paraId="402D5269" w14:textId="6FF9F22E">
      <w:pPr>
        <w:spacing w:line="240" w:lineRule="auto"/>
        <w:rPr>
          <w:color w:val="000000"/>
        </w:rPr>
      </w:pPr>
      <w:r w:rsidRPr="00884783">
        <w:rPr>
          <w:b/>
          <w:i/>
          <w:color w:val="000000"/>
        </w:rPr>
        <w:t>Note</w:t>
      </w:r>
      <w:r w:rsidRPr="0038583B">
        <w:rPr>
          <w:color w:val="000000"/>
        </w:rPr>
        <w:t xml:space="preserve">:  </w:t>
      </w:r>
      <w:r>
        <w:rPr>
          <w:color w:val="000000"/>
        </w:rPr>
        <w:t>E</w:t>
      </w:r>
      <w:r w:rsidRPr="0038583B">
        <w:rPr>
          <w:color w:val="000000"/>
        </w:rPr>
        <w:t xml:space="preserve">ven if some users might hire someone else to service a </w:t>
      </w:r>
      <w:r w:rsidR="0086122B">
        <w:rPr>
          <w:color w:val="000000"/>
        </w:rPr>
        <w:t>product</w:t>
      </w:r>
      <w:r w:rsidRPr="0038583B">
        <w:rPr>
          <w:color w:val="000000"/>
        </w:rPr>
        <w:t xml:space="preserve">, there are no controls on servicing of an exempt product, so doses that may occur </w:t>
      </w:r>
      <w:proofErr w:type="gramStart"/>
      <w:r w:rsidRPr="0038583B">
        <w:rPr>
          <w:color w:val="000000"/>
        </w:rPr>
        <w:t>as a result of</w:t>
      </w:r>
      <w:proofErr w:type="gramEnd"/>
      <w:r w:rsidRPr="0038583B">
        <w:rPr>
          <w:color w:val="000000"/>
        </w:rPr>
        <w:t xml:space="preserve"> servicing must also be estimated with respect to the safety criteria for normal handling.  Servicing covered by the </w:t>
      </w:r>
      <w:r w:rsidRPr="0038583B">
        <w:rPr>
          <w:color w:val="000000"/>
        </w:rPr>
        <w:lastRenderedPageBreak/>
        <w:t xml:space="preserve">exemption, however, does not include refurbishment or </w:t>
      </w:r>
      <w:r w:rsidRPr="0038583B" w:rsidR="00C84C89">
        <w:rPr>
          <w:color w:val="000000"/>
        </w:rPr>
        <w:t xml:space="preserve">replacement </w:t>
      </w:r>
      <w:r w:rsidR="00C84C89">
        <w:rPr>
          <w:color w:val="000000"/>
        </w:rPr>
        <w:t xml:space="preserve">of a </w:t>
      </w:r>
      <w:r w:rsidRPr="0038583B">
        <w:rPr>
          <w:color w:val="000000"/>
        </w:rPr>
        <w:t>source and redistribution; these activities must take place under an applicable distribution license.</w:t>
      </w:r>
    </w:p>
    <w:p w:rsidRPr="0038583B" w:rsidR="00D473C5" w:rsidP="00290A47" w:rsidRDefault="00D473C5" w14:paraId="25BF642E" w14:textId="77777777">
      <w:pPr>
        <w:spacing w:line="240" w:lineRule="auto"/>
        <w:rPr>
          <w:color w:val="000000"/>
        </w:rPr>
      </w:pPr>
    </w:p>
    <w:p w:rsidR="00D473C5" w:rsidP="00290A47" w:rsidRDefault="00D473C5" w14:paraId="17315667" w14:textId="0CE14366">
      <w:pPr>
        <w:spacing w:line="240" w:lineRule="auto"/>
        <w:rPr>
          <w:color w:val="000000"/>
        </w:rPr>
      </w:pPr>
      <w:r w:rsidRPr="0038583B">
        <w:rPr>
          <w:color w:val="000000"/>
        </w:rPr>
        <w:t>A distributor should be able to make reasonable assumptions about how the product will be used, how people are likely to be exposed to the radioactive material within or to the radiation produced, as well as the conditions under which their product would be used.  The reviewer needs to determine if the assumptions presented are indeed reasonable</w:t>
      </w:r>
      <w:r>
        <w:rPr>
          <w:color w:val="000000"/>
        </w:rPr>
        <w:t xml:space="preserve"> and should consider whether there are other likely uses than the intended uses stated and evaluated by the applicant</w:t>
      </w:r>
      <w:r w:rsidRPr="0038583B">
        <w:rPr>
          <w:color w:val="000000"/>
        </w:rPr>
        <w:t xml:space="preserve">.  This </w:t>
      </w:r>
      <w:r w:rsidR="00C37184">
        <w:rPr>
          <w:color w:val="000000"/>
        </w:rPr>
        <w:t>d</w:t>
      </w:r>
      <w:r w:rsidR="00AE27F8">
        <w:rPr>
          <w:color w:val="000000"/>
        </w:rPr>
        <w:t xml:space="preserve">etermination </w:t>
      </w:r>
      <w:r w:rsidRPr="0038583B">
        <w:rPr>
          <w:color w:val="000000"/>
        </w:rPr>
        <w:t>becomes particularly important if the projected doses are approaching an applicable limit.</w:t>
      </w:r>
    </w:p>
    <w:p w:rsidR="00D473C5" w:rsidP="00290A47" w:rsidRDefault="00D473C5" w14:paraId="3B4C86E1" w14:textId="01DF2C1A">
      <w:pPr>
        <w:spacing w:line="240" w:lineRule="auto"/>
        <w:rPr>
          <w:color w:val="000000"/>
        </w:rPr>
      </w:pPr>
    </w:p>
    <w:p w:rsidR="00D473C5" w:rsidP="00290A47" w:rsidRDefault="00D473C5" w14:paraId="69AB840F" w14:textId="06E3E822">
      <w:pPr>
        <w:spacing w:line="240" w:lineRule="auto"/>
      </w:pPr>
      <w:r w:rsidRPr="00D473C5">
        <w:t xml:space="preserve">Since </w:t>
      </w:r>
      <w:r w:rsidR="00675FCC">
        <w:t xml:space="preserve">ICBMIP </w:t>
      </w:r>
      <w:r w:rsidRPr="00D473C5">
        <w:t xml:space="preserve">may also have a wide range of potential applications, the NRC may deny an application for a distribution license if the product does not comport with the Consumer Product Policy Statement </w:t>
      </w:r>
      <w:r w:rsidR="00E4242F">
        <w:t xml:space="preserve">or </w:t>
      </w:r>
      <w:r w:rsidRPr="00D473C5">
        <w:t xml:space="preserve">end uses of the product cannot be reasonably foreseen </w:t>
      </w:r>
      <w:r w:rsidR="00707E54">
        <w:t>(</w:t>
      </w:r>
      <w:r w:rsidRPr="00D473C5">
        <w:t>10 CFR 32.32(b)</w:t>
      </w:r>
      <w:r w:rsidR="00707E54">
        <w:t>).</w:t>
      </w:r>
    </w:p>
    <w:p w:rsidR="00675FCC" w:rsidP="00290A47" w:rsidRDefault="00675FCC" w14:paraId="18D3CF07" w14:textId="10B9F382">
      <w:pPr>
        <w:spacing w:line="240" w:lineRule="auto"/>
      </w:pPr>
    </w:p>
    <w:p w:rsidR="00E4242F" w:rsidP="00290A47" w:rsidRDefault="00675FCC" w14:paraId="5A776470" w14:textId="726E54C5">
      <w:pPr>
        <w:spacing w:line="240" w:lineRule="auto"/>
        <w:rPr>
          <w:color w:val="000000"/>
        </w:rPr>
      </w:pPr>
      <w:r w:rsidRPr="00212063">
        <w:rPr>
          <w:color w:val="000000"/>
        </w:rPr>
        <w:t xml:space="preserve">For </w:t>
      </w:r>
      <w:r>
        <w:rPr>
          <w:color w:val="000000"/>
        </w:rPr>
        <w:t>ICBMIP</w:t>
      </w:r>
      <w:r w:rsidRPr="0038583B">
        <w:rPr>
          <w:color w:val="000000"/>
        </w:rPr>
        <w:t>, one of the safety criteria is that it is unlikely that there will be a significant reduction in the effectiveness of the safety features of the product</w:t>
      </w:r>
      <w:r>
        <w:rPr>
          <w:color w:val="000000"/>
        </w:rPr>
        <w:t>s</w:t>
      </w:r>
      <w:r w:rsidRPr="0038583B">
        <w:rPr>
          <w:color w:val="000000"/>
        </w:rPr>
        <w:t xml:space="preserve"> from wear and abuse likely to occur in normal handling and use of the product</w:t>
      </w:r>
      <w:r>
        <w:rPr>
          <w:color w:val="000000"/>
        </w:rPr>
        <w:t xml:space="preserve"> </w:t>
      </w:r>
      <w:r w:rsidRPr="0038583B">
        <w:rPr>
          <w:color w:val="000000"/>
        </w:rPr>
        <w:t>during its useful life</w:t>
      </w:r>
      <w:r w:rsidR="00707E54">
        <w:rPr>
          <w:color w:val="000000"/>
        </w:rPr>
        <w:t xml:space="preserve"> (</w:t>
      </w:r>
      <w:r w:rsidRPr="0038583B">
        <w:rPr>
          <w:color w:val="000000"/>
        </w:rPr>
        <w:t>10 CFR 32.</w:t>
      </w:r>
      <w:r>
        <w:rPr>
          <w:color w:val="000000"/>
        </w:rPr>
        <w:t>33</w:t>
      </w:r>
      <w:r w:rsidR="00707E54">
        <w:rPr>
          <w:color w:val="000000"/>
        </w:rPr>
        <w:t>).</w:t>
      </w:r>
    </w:p>
    <w:p w:rsidR="00E4242F" w:rsidP="00290A47" w:rsidRDefault="00E4242F" w14:paraId="27791D11" w14:textId="77777777">
      <w:pPr>
        <w:spacing w:line="240" w:lineRule="auto"/>
        <w:rPr>
          <w:color w:val="000000"/>
        </w:rPr>
      </w:pPr>
    </w:p>
    <w:p w:rsidR="00675FCC" w:rsidP="00290A47" w:rsidRDefault="00675FCC" w14:paraId="48BF87A6" w14:textId="1D9E208D">
      <w:pPr>
        <w:spacing w:line="240" w:lineRule="auto"/>
        <w:rPr>
          <w:color w:val="000000"/>
        </w:rPr>
      </w:pPr>
      <w:r>
        <w:rPr>
          <w:color w:val="000000"/>
        </w:rPr>
        <w:t>P</w:t>
      </w:r>
      <w:r w:rsidRPr="0038583B">
        <w:rPr>
          <w:color w:val="000000"/>
        </w:rPr>
        <w:t>rototype tests are important in demonstrating that the product will meet th</w:t>
      </w:r>
      <w:r w:rsidR="00E4242F">
        <w:rPr>
          <w:color w:val="000000"/>
        </w:rPr>
        <w:t>e</w:t>
      </w:r>
      <w:r w:rsidRPr="0038583B">
        <w:rPr>
          <w:color w:val="000000"/>
        </w:rPr>
        <w:t xml:space="preserve"> criterion </w:t>
      </w:r>
      <w:r w:rsidR="00E4242F">
        <w:rPr>
          <w:color w:val="000000"/>
        </w:rPr>
        <w:t xml:space="preserve">noted above </w:t>
      </w:r>
      <w:r w:rsidRPr="0038583B">
        <w:rPr>
          <w:color w:val="000000"/>
        </w:rPr>
        <w:t>and need to represent the conditions that the product will likely encounter during its life.  These products are not expected to maintain integrity under severe accident conditions, but any adverse environmental conditions a product might be exposed to in use need to be considered.  Even if products are shown to have a low probability of releasing material under severe accident conditions, the dose assessment for severe accidents, such as fire and explosion, should assume that the material is not contained.</w:t>
      </w:r>
    </w:p>
    <w:p w:rsidR="0028328D" w:rsidP="00290A47" w:rsidRDefault="0028328D" w14:paraId="170E0633" w14:textId="10109691">
      <w:pPr>
        <w:spacing w:line="240" w:lineRule="auto"/>
        <w:rPr>
          <w:color w:val="000000"/>
        </w:rPr>
      </w:pPr>
    </w:p>
    <w:p w:rsidR="0028328D" w:rsidP="00290A47" w:rsidRDefault="0028328D" w14:paraId="59FE26A5" w14:textId="0C9267E8">
      <w:pPr>
        <w:spacing w:line="240" w:lineRule="auto"/>
        <w:rPr>
          <w:color w:val="000000"/>
        </w:rPr>
      </w:pPr>
      <w:r w:rsidRPr="0038583B">
        <w:rPr>
          <w:color w:val="000000"/>
        </w:rPr>
        <w:t xml:space="preserve">For products to be distributed for use under </w:t>
      </w:r>
      <w:r w:rsidRPr="00212063">
        <w:rPr>
          <w:color w:val="000000"/>
        </w:rPr>
        <w:t>10 CFR 30.2</w:t>
      </w:r>
      <w:r>
        <w:rPr>
          <w:color w:val="000000"/>
        </w:rPr>
        <w:t>3</w:t>
      </w:r>
      <w:r w:rsidRPr="0038583B">
        <w:rPr>
          <w:color w:val="000000"/>
        </w:rPr>
        <w:t>, the safety criteria for all scenarios require considering the number of the produc</w:t>
      </w:r>
      <w:r w:rsidRPr="0028328D">
        <w:t>ts likely to accumulate in one location for each scenario.  Thus, the applicant needs to address how many of a product might reasonably be used in the same proximity such that the same worker would be exposed under normal conditions.  Also, the criterion for disposal in 10 CFR 32.34(a)(2) is 10 </w:t>
      </w:r>
      <w:proofErr w:type="spellStart"/>
      <w:r w:rsidRPr="0028328D">
        <w:t>microsievert</w:t>
      </w:r>
      <w:proofErr w:type="spellEnd"/>
      <w:r w:rsidRPr="0028328D">
        <w:t xml:space="preserve"> [1 mrem]/year</w:t>
      </w:r>
      <w:r w:rsidR="005A0B2D">
        <w:t>;</w:t>
      </w:r>
      <w:r w:rsidR="002E5867">
        <w:t xml:space="preserve"> therefore, the applicant </w:t>
      </w:r>
      <w:r w:rsidR="00345C39">
        <w:t>must</w:t>
      </w:r>
      <w:r w:rsidR="002E5867">
        <w:t xml:space="preserve"> </w:t>
      </w:r>
      <w:r w:rsidRPr="0028328D">
        <w:t>estimat</w:t>
      </w:r>
      <w:r w:rsidR="0046714B">
        <w:t>e</w:t>
      </w:r>
      <w:r w:rsidRPr="0028328D">
        <w:t xml:space="preserve"> the number of products likely to be disposed of in the same disposal site, landfill, municipal incinera</w:t>
      </w:r>
      <w:r w:rsidRPr="0038583B">
        <w:rPr>
          <w:color w:val="000000"/>
        </w:rPr>
        <w:t xml:space="preserve">tor, or recycling facility.  For each category of disposal, there are </w:t>
      </w:r>
      <w:proofErr w:type="gramStart"/>
      <w:r w:rsidRPr="0038583B">
        <w:rPr>
          <w:color w:val="000000"/>
        </w:rPr>
        <w:t>a number of</w:t>
      </w:r>
      <w:proofErr w:type="gramEnd"/>
      <w:r w:rsidRPr="0038583B">
        <w:rPr>
          <w:color w:val="000000"/>
        </w:rPr>
        <w:t xml:space="preserve"> potentially exposed groups.  The critical group needs to be identified or estimates of doses made for members of all</w:t>
      </w:r>
      <w:r w:rsidR="00290C94">
        <w:rPr>
          <w:color w:val="000000"/>
        </w:rPr>
        <w:t xml:space="preserve"> </w:t>
      </w:r>
      <w:r w:rsidRPr="0038583B">
        <w:rPr>
          <w:color w:val="000000"/>
        </w:rPr>
        <w:t>groups.</w:t>
      </w:r>
    </w:p>
    <w:p w:rsidRPr="0038583B" w:rsidR="0028328D" w:rsidP="00290A47" w:rsidRDefault="0028328D" w14:paraId="061D5C9D" w14:textId="77777777">
      <w:pPr>
        <w:spacing w:line="240" w:lineRule="auto"/>
        <w:rPr>
          <w:color w:val="000000"/>
        </w:rPr>
      </w:pPr>
    </w:p>
    <w:p w:rsidR="0028328D" w:rsidP="00290A47" w:rsidRDefault="0028328D" w14:paraId="2F76B041" w14:textId="6DA8F0AE">
      <w:pPr>
        <w:spacing w:line="240" w:lineRule="auto"/>
        <w:rPr>
          <w:color w:val="000000"/>
        </w:rPr>
      </w:pPr>
      <w:r w:rsidRPr="0038583B">
        <w:rPr>
          <w:color w:val="000000"/>
        </w:rPr>
        <w:t xml:space="preserve">The exemption becomes applicable at the first step in the distribution process </w:t>
      </w:r>
      <w:r w:rsidR="007076C3">
        <w:rPr>
          <w:color w:val="000000"/>
        </w:rPr>
        <w:t xml:space="preserve">– </w:t>
      </w:r>
      <w:r w:rsidRPr="0038583B">
        <w:rPr>
          <w:color w:val="000000"/>
        </w:rPr>
        <w:t xml:space="preserve">once </w:t>
      </w:r>
      <w:r w:rsidR="00FA061A">
        <w:rPr>
          <w:color w:val="000000"/>
        </w:rPr>
        <w:t>the product</w:t>
      </w:r>
      <w:r w:rsidRPr="0038583B" w:rsidR="00FA061A">
        <w:rPr>
          <w:color w:val="000000"/>
        </w:rPr>
        <w:t xml:space="preserve"> </w:t>
      </w:r>
      <w:r w:rsidRPr="0038583B">
        <w:rPr>
          <w:color w:val="000000"/>
        </w:rPr>
        <w:t>leaves the manufacturer</w:t>
      </w:r>
      <w:r>
        <w:rPr>
          <w:color w:val="000000"/>
        </w:rPr>
        <w:t xml:space="preserve"> and/or </w:t>
      </w:r>
      <w:r w:rsidRPr="0038583B">
        <w:rPr>
          <w:color w:val="000000"/>
        </w:rPr>
        <w:t>initial distributor</w:t>
      </w:r>
      <w:r w:rsidR="00290C94">
        <w:rPr>
          <w:color w:val="000000"/>
        </w:rPr>
        <w:t>,</w:t>
      </w:r>
      <w:r w:rsidR="00725F3E">
        <w:rPr>
          <w:color w:val="000000"/>
        </w:rPr>
        <w:t xml:space="preserve"> where </w:t>
      </w:r>
      <w:r w:rsidRPr="0038583B">
        <w:rPr>
          <w:color w:val="000000"/>
        </w:rPr>
        <w:t xml:space="preserve">the largest quantity of a product would </w:t>
      </w:r>
      <w:r w:rsidR="00772C93">
        <w:rPr>
          <w:color w:val="000000"/>
        </w:rPr>
        <w:t xml:space="preserve">usually </w:t>
      </w:r>
      <w:r w:rsidRPr="0038583B">
        <w:rPr>
          <w:color w:val="000000"/>
        </w:rPr>
        <w:t xml:space="preserve">be together outside of the specifically licensed manufacturing facility.  The number assumed would depend on the overall market projection </w:t>
      </w:r>
      <w:r>
        <w:rPr>
          <w:color w:val="000000"/>
        </w:rPr>
        <w:t>(</w:t>
      </w:r>
      <w:r w:rsidRPr="0038583B">
        <w:rPr>
          <w:color w:val="000000"/>
        </w:rPr>
        <w:t>e.g., on the order of 10 million smoke detectors are distributed in a year</w:t>
      </w:r>
      <w:r>
        <w:rPr>
          <w:color w:val="000000"/>
        </w:rPr>
        <w:t>)</w:t>
      </w:r>
      <w:r w:rsidRPr="0038583B">
        <w:rPr>
          <w:color w:val="000000"/>
        </w:rPr>
        <w:t>.  Thus</w:t>
      </w:r>
      <w:r w:rsidR="00DC05B4">
        <w:rPr>
          <w:color w:val="000000"/>
        </w:rPr>
        <w:t>,</w:t>
      </w:r>
      <w:r w:rsidRPr="0038583B">
        <w:rPr>
          <w:color w:val="000000"/>
        </w:rPr>
        <w:t xml:space="preserve"> 10,000 may easily be in one shipment and even more may be stored in a first line warehouse.  For products projected to be distributed in much smaller numbers, it may be reasonable to assume a significantly smaller number, such as a few hundred, are ever in one place in the distribution chain.  This estimate is often most relevant to the risk presented by a fire or explosion.</w:t>
      </w:r>
    </w:p>
    <w:p w:rsidRPr="0038583B" w:rsidR="0028328D" w:rsidP="0028328D" w:rsidRDefault="0028328D" w14:paraId="77547072" w14:textId="77777777">
      <w:pPr>
        <w:rPr>
          <w:color w:val="000000"/>
        </w:rPr>
      </w:pPr>
    </w:p>
    <w:p w:rsidR="0028328D" w:rsidP="00290A47" w:rsidRDefault="0028328D" w14:paraId="7D6AC683" w14:textId="22C0C94A">
      <w:pPr>
        <w:spacing w:line="240" w:lineRule="auto"/>
        <w:rPr>
          <w:color w:val="000000"/>
        </w:rPr>
      </w:pPr>
      <w:r w:rsidRPr="0038583B">
        <w:rPr>
          <w:color w:val="000000"/>
        </w:rPr>
        <w:t>For each of the safety criteria relating to accident and misuse scenarios for the class exemption</w:t>
      </w:r>
      <w:r>
        <w:rPr>
          <w:color w:val="000000"/>
        </w:rPr>
        <w:t xml:space="preserve"> under</w:t>
      </w:r>
      <w:r w:rsidRPr="0038583B">
        <w:rPr>
          <w:color w:val="000000"/>
        </w:rPr>
        <w:t xml:space="preserve"> 10 CFR 32.3</w:t>
      </w:r>
      <w:r>
        <w:rPr>
          <w:color w:val="000000"/>
        </w:rPr>
        <w:t>4</w:t>
      </w:r>
      <w:r w:rsidRPr="0038583B">
        <w:rPr>
          <w:color w:val="000000"/>
        </w:rPr>
        <w:t>, there is a footnote that provides a general guide that a “low probability event” is a failure that occurs no more than once per year for 10,000 exempt units distributed</w:t>
      </w:r>
      <w:r w:rsidR="002F0602">
        <w:rPr>
          <w:color w:val="000000"/>
        </w:rPr>
        <w:t>,</w:t>
      </w:r>
      <w:r w:rsidRPr="0038583B">
        <w:rPr>
          <w:color w:val="000000"/>
        </w:rPr>
        <w:t xml:space="preserve"> </w:t>
      </w:r>
      <w:r w:rsidRPr="0038583B">
        <w:rPr>
          <w:color w:val="000000"/>
        </w:rPr>
        <w:lastRenderedPageBreak/>
        <w:t>and a “negligible probability event” is one that would occur no more than once per year per 1 million exempt units distributed.  As a warehouse fire or major truck accident involving fire</w:t>
      </w:r>
      <w:r>
        <w:rPr>
          <w:color w:val="000000"/>
        </w:rPr>
        <w:t xml:space="preserve"> or </w:t>
      </w:r>
      <w:r w:rsidRPr="0038583B">
        <w:rPr>
          <w:color w:val="000000"/>
        </w:rPr>
        <w:t xml:space="preserve">explosion </w:t>
      </w:r>
      <w:r w:rsidR="0098579D">
        <w:rPr>
          <w:color w:val="000000"/>
        </w:rPr>
        <w:t>may</w:t>
      </w:r>
      <w:r w:rsidRPr="0038583B">
        <w:rPr>
          <w:color w:val="000000"/>
        </w:rPr>
        <w:t xml:space="preserve"> occur, the estimated potential doses from these scenarios should be compared to the low probability event criterion </w:t>
      </w:r>
      <w:r w:rsidR="002F0602">
        <w:rPr>
          <w:color w:val="000000"/>
        </w:rPr>
        <w:t>(</w:t>
      </w:r>
      <w:r w:rsidRPr="0038583B">
        <w:rPr>
          <w:color w:val="000000"/>
        </w:rPr>
        <w:t>i.e., 5 </w:t>
      </w:r>
      <w:r>
        <w:rPr>
          <w:color w:val="000000"/>
        </w:rPr>
        <w:t>millisievert</w:t>
      </w:r>
      <w:r w:rsidRPr="0038583B">
        <w:rPr>
          <w:color w:val="000000"/>
        </w:rPr>
        <w:t xml:space="preserve"> </w:t>
      </w:r>
      <w:r w:rsidR="002F0602">
        <w:rPr>
          <w:color w:val="000000"/>
        </w:rPr>
        <w:t>(</w:t>
      </w:r>
      <w:r w:rsidRPr="0038583B">
        <w:rPr>
          <w:color w:val="000000"/>
        </w:rPr>
        <w:t>500 mrem</w:t>
      </w:r>
      <w:r w:rsidR="002F0602">
        <w:rPr>
          <w:color w:val="000000"/>
        </w:rPr>
        <w:t>))</w:t>
      </w:r>
      <w:r w:rsidRPr="0038583B">
        <w:rPr>
          <w:color w:val="000000"/>
        </w:rPr>
        <w:t>.</w:t>
      </w:r>
    </w:p>
    <w:p w:rsidR="0028328D" w:rsidP="00290A47" w:rsidRDefault="0028328D" w14:paraId="044E8E99" w14:textId="77777777">
      <w:pPr>
        <w:spacing w:line="240" w:lineRule="auto"/>
        <w:rPr>
          <w:color w:val="000000"/>
        </w:rPr>
      </w:pPr>
    </w:p>
    <w:p w:rsidRPr="0038583B" w:rsidR="0028328D" w:rsidP="00290A47" w:rsidRDefault="0028328D" w14:paraId="54C13290" w14:textId="77777777">
      <w:pPr>
        <w:keepNext/>
        <w:keepLines/>
        <w:spacing w:line="240" w:lineRule="auto"/>
        <w:rPr>
          <w:color w:val="000000"/>
          <w:u w:val="single"/>
        </w:rPr>
      </w:pPr>
      <w:r w:rsidRPr="0038583B">
        <w:rPr>
          <w:color w:val="000000"/>
          <w:u w:val="single"/>
        </w:rPr>
        <w:t>The use of previously developed assessments such as NUREG</w:t>
      </w:r>
      <w:r w:rsidRPr="00A309ED">
        <w:rPr>
          <w:color w:val="000000"/>
          <w:u w:val="single"/>
        </w:rPr>
        <w:t>–1</w:t>
      </w:r>
      <w:r w:rsidRPr="0038583B">
        <w:rPr>
          <w:color w:val="000000"/>
          <w:u w:val="single"/>
        </w:rPr>
        <w:t>717</w:t>
      </w:r>
    </w:p>
    <w:p w:rsidR="0028328D" w:rsidP="00290A47" w:rsidRDefault="0028328D" w14:paraId="12BD93E2" w14:textId="77777777">
      <w:pPr>
        <w:keepNext/>
        <w:keepLines/>
        <w:spacing w:line="240" w:lineRule="auto"/>
        <w:rPr>
          <w:color w:val="000000"/>
        </w:rPr>
      </w:pPr>
    </w:p>
    <w:p w:rsidR="0028328D" w:rsidP="00290A47" w:rsidRDefault="0028328D" w14:paraId="0DDF0937" w14:textId="77777777">
      <w:pPr>
        <w:keepNext/>
        <w:keepLines/>
        <w:spacing w:line="240" w:lineRule="auto"/>
        <w:rPr>
          <w:color w:val="000000"/>
        </w:rPr>
      </w:pPr>
      <w:r w:rsidRPr="0038583B">
        <w:rPr>
          <w:color w:val="000000"/>
        </w:rPr>
        <w:t xml:space="preserve">The analyses presented in </w:t>
      </w:r>
      <w:r w:rsidRPr="00212063">
        <w:rPr>
          <w:color w:val="000000"/>
        </w:rPr>
        <w:t>NUREG</w:t>
      </w:r>
      <w:r>
        <w:rPr>
          <w:color w:val="000000"/>
        </w:rPr>
        <w:t>–</w:t>
      </w:r>
      <w:r w:rsidRPr="00212063">
        <w:rPr>
          <w:color w:val="000000"/>
        </w:rPr>
        <w:t>1717</w:t>
      </w:r>
      <w:r>
        <w:rPr>
          <w:color w:val="000000"/>
        </w:rPr>
        <w:t xml:space="preserve">, </w:t>
      </w:r>
      <w:r>
        <w:rPr>
          <w:bCs/>
          <w:color w:val="000000"/>
        </w:rPr>
        <w:t>“Systematic Radiological Assessment of Exemptions for Source and Byproduct Materials,”</w:t>
      </w:r>
      <w:r w:rsidRPr="0038583B">
        <w:rPr>
          <w:color w:val="000000"/>
        </w:rPr>
        <w:t xml:space="preserve"> may be of great assistance in developing a dose assessment for a product proposed for </w:t>
      </w:r>
      <w:r>
        <w:rPr>
          <w:color w:val="000000"/>
        </w:rPr>
        <w:t xml:space="preserve">transfer or </w:t>
      </w:r>
      <w:r w:rsidRPr="0038583B">
        <w:rPr>
          <w:color w:val="000000"/>
        </w:rPr>
        <w:t xml:space="preserve">distribution under a class exemption, particularly if the applicant is proposing to </w:t>
      </w:r>
      <w:r>
        <w:rPr>
          <w:color w:val="000000"/>
        </w:rPr>
        <w:t xml:space="preserve">transfer or </w:t>
      </w:r>
      <w:r w:rsidRPr="0038583B">
        <w:rPr>
          <w:color w:val="000000"/>
        </w:rPr>
        <w:t>distribute a product essentially the same as one specifically analyzed.  However, this document must be used very carefully with any differences in the product, its projected conditions of use, or other aspects of its expected lifecycle, identified and analyzed.</w:t>
      </w:r>
    </w:p>
    <w:p w:rsidRPr="0038583B" w:rsidR="0028328D" w:rsidP="00290A47" w:rsidRDefault="0028328D" w14:paraId="40713ABA" w14:textId="77777777">
      <w:pPr>
        <w:keepNext/>
        <w:keepLines/>
        <w:spacing w:line="240" w:lineRule="auto"/>
        <w:rPr>
          <w:color w:val="000000"/>
        </w:rPr>
      </w:pPr>
    </w:p>
    <w:p w:rsidR="0028328D" w:rsidP="00290A47" w:rsidRDefault="0028328D" w14:paraId="52E6D0CE" w14:textId="2831157E">
      <w:pPr>
        <w:spacing w:line="240" w:lineRule="auto"/>
        <w:rPr>
          <w:color w:val="000000"/>
        </w:rPr>
      </w:pPr>
      <w:r w:rsidRPr="0038583B">
        <w:rPr>
          <w:color w:val="000000"/>
        </w:rPr>
        <w:t>Also, factors assumed in that analysis may change over time</w:t>
      </w:r>
      <w:r w:rsidR="00EC0F4A">
        <w:rPr>
          <w:color w:val="000000"/>
        </w:rPr>
        <w:t>,</w:t>
      </w:r>
      <w:r w:rsidRPr="0038583B">
        <w:rPr>
          <w:color w:val="000000"/>
        </w:rPr>
        <w:t xml:space="preserve"> and such changes need to be considered.  For example, the generic disposal analysis assumes that the numbers of products being disposed in landfills are disposed in equal fractions to each landfill in the country with the number of landfills nationally being about 3,500 at the time.  This number has declined significantly </w:t>
      </w:r>
      <w:r>
        <w:rPr>
          <w:color w:val="000000"/>
        </w:rPr>
        <w:t xml:space="preserve">to </w:t>
      </w:r>
      <w:r w:rsidRPr="0038583B">
        <w:rPr>
          <w:color w:val="000000"/>
        </w:rPr>
        <w:t>1,908 in 2009,</w:t>
      </w:r>
      <w:r w:rsidRPr="00705FE7">
        <w:rPr>
          <w:rStyle w:val="FootnoteReference"/>
          <w:color w:val="000000"/>
        </w:rPr>
        <w:footnoteReference w:id="4"/>
      </w:r>
      <w:r w:rsidRPr="0038583B">
        <w:rPr>
          <w:color w:val="000000"/>
        </w:rPr>
        <w:t xml:space="preserve"> which would cause larger numbers to go to each landfill</w:t>
      </w:r>
      <w:r w:rsidR="00412F3C">
        <w:rPr>
          <w:color w:val="000000"/>
        </w:rPr>
        <w:t xml:space="preserve"> and</w:t>
      </w:r>
      <w:r w:rsidRPr="0038583B">
        <w:rPr>
          <w:color w:val="000000"/>
        </w:rPr>
        <w:t xml:space="preserve"> increase the estimated doses from landfill disposal for most of the exposed groups.  Likewise</w:t>
      </w:r>
      <w:r>
        <w:rPr>
          <w:color w:val="000000"/>
        </w:rPr>
        <w:t>,</w:t>
      </w:r>
      <w:r w:rsidRPr="0038583B">
        <w:rPr>
          <w:color w:val="000000"/>
        </w:rPr>
        <w:t xml:space="preserve"> the number of municipal incinerators declined from the 150 assumed in NUREG</w:t>
      </w:r>
      <w:r>
        <w:rPr>
          <w:color w:val="000000"/>
        </w:rPr>
        <w:noBreakHyphen/>
      </w:r>
      <w:r w:rsidRPr="0038583B">
        <w:rPr>
          <w:color w:val="000000"/>
        </w:rPr>
        <w:t xml:space="preserve">1717 to 98 in 2005.  </w:t>
      </w:r>
      <w:r>
        <w:rPr>
          <w:color w:val="000000"/>
        </w:rPr>
        <w:t xml:space="preserve">The U.S. Environmental Protection Agency’s </w:t>
      </w:r>
      <w:r w:rsidRPr="0038583B">
        <w:rPr>
          <w:color w:val="000000"/>
        </w:rPr>
        <w:t xml:space="preserve">report on municipal solid waste for 2009, instead of identifying the number of municipal incinerators, reports 87 </w:t>
      </w:r>
      <w:proofErr w:type="gramStart"/>
      <w:r w:rsidRPr="0038583B">
        <w:rPr>
          <w:color w:val="000000"/>
        </w:rPr>
        <w:t>waste</w:t>
      </w:r>
      <w:proofErr w:type="gramEnd"/>
      <w:r>
        <w:rPr>
          <w:color w:val="000000"/>
        </w:rPr>
        <w:noBreakHyphen/>
      </w:r>
      <w:r w:rsidRPr="0038583B">
        <w:rPr>
          <w:color w:val="000000"/>
        </w:rPr>
        <w:t>to</w:t>
      </w:r>
      <w:r>
        <w:rPr>
          <w:color w:val="000000"/>
        </w:rPr>
        <w:noBreakHyphen/>
      </w:r>
      <w:r w:rsidRPr="0038583B">
        <w:rPr>
          <w:color w:val="000000"/>
        </w:rPr>
        <w:t>energy facilities in 2009 and indicates that almost all combustion of waste involves energy recovery.  Again, with fewer such facilities, more of a product will be disposed in each, raising the potential doses for some pathways</w:t>
      </w:r>
      <w:r>
        <w:rPr>
          <w:color w:val="000000"/>
        </w:rPr>
        <w:t xml:space="preserve"> or </w:t>
      </w:r>
      <w:r w:rsidRPr="0038583B">
        <w:rPr>
          <w:color w:val="000000"/>
        </w:rPr>
        <w:t>exposed groups.</w:t>
      </w:r>
    </w:p>
    <w:p w:rsidRPr="0038583B" w:rsidR="0028328D" w:rsidP="00290A47" w:rsidRDefault="0028328D" w14:paraId="7BE54380" w14:textId="77777777">
      <w:pPr>
        <w:spacing w:line="240" w:lineRule="auto"/>
        <w:rPr>
          <w:color w:val="000000"/>
        </w:rPr>
      </w:pPr>
    </w:p>
    <w:p w:rsidR="0028328D" w:rsidP="00290A47" w:rsidRDefault="0028328D" w14:paraId="017710DD" w14:textId="77777777">
      <w:pPr>
        <w:spacing w:line="240" w:lineRule="auto"/>
        <w:rPr>
          <w:color w:val="000000"/>
        </w:rPr>
      </w:pPr>
      <w:r w:rsidRPr="0038583B">
        <w:rPr>
          <w:color w:val="000000"/>
        </w:rPr>
        <w:t>The appendices of NUREG</w:t>
      </w:r>
      <w:r>
        <w:rPr>
          <w:color w:val="000000"/>
        </w:rPr>
        <w:t>–</w:t>
      </w:r>
      <w:r w:rsidRPr="0038583B">
        <w:rPr>
          <w:color w:val="000000"/>
        </w:rPr>
        <w:t>1717 cover generic assessment of accidents, distribution, and disposal, which may be adapted for a product not specifically covered in the earlier parts of the document.</w:t>
      </w:r>
    </w:p>
    <w:p w:rsidR="0028328D" w:rsidP="00290A47" w:rsidRDefault="0028328D" w14:paraId="4FCE9C5E" w14:textId="1BFE30E2">
      <w:pPr>
        <w:spacing w:line="240" w:lineRule="auto"/>
        <w:rPr>
          <w:color w:val="000000"/>
        </w:rPr>
      </w:pPr>
    </w:p>
    <w:p w:rsidRPr="00031369" w:rsidR="0028328D" w:rsidP="00290A47" w:rsidRDefault="0028328D" w14:paraId="445190D3" w14:textId="27BA15C6">
      <w:pPr>
        <w:tabs>
          <w:tab w:val="left" w:pos="540"/>
        </w:tabs>
        <w:spacing w:line="240" w:lineRule="auto"/>
        <w:rPr>
          <w:b/>
          <w:bCs/>
        </w:rPr>
      </w:pPr>
      <w:r w:rsidRPr="00460C18">
        <w:rPr>
          <w:b/>
        </w:rPr>
        <w:t>Check</w:t>
      </w:r>
      <w:r>
        <w:rPr>
          <w:b/>
        </w:rPr>
        <w:t>l</w:t>
      </w:r>
      <w:r w:rsidRPr="00460C18">
        <w:rPr>
          <w:b/>
        </w:rPr>
        <w:t xml:space="preserve">ist for Specific </w:t>
      </w:r>
      <w:r w:rsidRPr="00031369">
        <w:rPr>
          <w:b/>
        </w:rPr>
        <w:t>S</w:t>
      </w:r>
      <w:r w:rsidRPr="00460C18">
        <w:rPr>
          <w:b/>
        </w:rPr>
        <w:t xml:space="preserve">cenarios </w:t>
      </w:r>
      <w:r w:rsidRPr="00031369">
        <w:rPr>
          <w:b/>
        </w:rPr>
        <w:t>A</w:t>
      </w:r>
      <w:r w:rsidRPr="00460C18">
        <w:rPr>
          <w:b/>
        </w:rPr>
        <w:t xml:space="preserve">nalyzed in </w:t>
      </w:r>
      <w:r w:rsidRPr="00031369">
        <w:rPr>
          <w:b/>
        </w:rPr>
        <w:t>D</w:t>
      </w:r>
      <w:r w:rsidRPr="00460C18">
        <w:rPr>
          <w:b/>
        </w:rPr>
        <w:t xml:space="preserve">ose </w:t>
      </w:r>
      <w:r w:rsidRPr="00031369">
        <w:rPr>
          <w:b/>
        </w:rPr>
        <w:t>A</w:t>
      </w:r>
      <w:r w:rsidRPr="00460C18">
        <w:rPr>
          <w:b/>
        </w:rPr>
        <w:t xml:space="preserve">ssessment </w:t>
      </w:r>
      <w:r w:rsidRPr="00460C18">
        <w:rPr>
          <w:b/>
          <w:bCs/>
        </w:rPr>
        <w:t xml:space="preserve">for Applications </w:t>
      </w:r>
      <w:r w:rsidR="00D1488D">
        <w:rPr>
          <w:b/>
          <w:bCs/>
        </w:rPr>
        <w:t>U</w:t>
      </w:r>
      <w:r w:rsidRPr="00460C18">
        <w:rPr>
          <w:b/>
          <w:bCs/>
        </w:rPr>
        <w:t>nder 10</w:t>
      </w:r>
      <w:r>
        <w:rPr>
          <w:b/>
          <w:bCs/>
        </w:rPr>
        <w:t> </w:t>
      </w:r>
      <w:r w:rsidRPr="00460C18">
        <w:rPr>
          <w:b/>
          <w:bCs/>
        </w:rPr>
        <w:t>CFR 32.</w:t>
      </w:r>
      <w:r>
        <w:rPr>
          <w:b/>
          <w:bCs/>
        </w:rPr>
        <w:t>33</w:t>
      </w:r>
    </w:p>
    <w:p w:rsidR="0028328D" w:rsidP="00290A47" w:rsidRDefault="0028328D" w14:paraId="082DC952" w14:textId="77777777">
      <w:pPr>
        <w:tabs>
          <w:tab w:val="left" w:pos="540"/>
        </w:tabs>
        <w:spacing w:line="240" w:lineRule="auto"/>
        <w:jc w:val="both"/>
        <w:rPr>
          <w:bCs/>
        </w:rPr>
      </w:pPr>
    </w:p>
    <w:p w:rsidR="0028328D" w:rsidP="00290A47" w:rsidRDefault="0028328D" w14:paraId="676CF4F4" w14:textId="4DD95811">
      <w:pPr>
        <w:spacing w:line="240" w:lineRule="auto"/>
      </w:pPr>
      <w:r w:rsidRPr="00031369">
        <w:rPr>
          <w:bCs/>
        </w:rPr>
        <w:t xml:space="preserve">A checkmark in each box in the table below indicates that the appropriate assessments are included in </w:t>
      </w:r>
      <w:r>
        <w:rPr>
          <w:bCs/>
        </w:rPr>
        <w:t xml:space="preserve">the </w:t>
      </w:r>
      <w:r w:rsidRPr="00031369">
        <w:rPr>
          <w:bCs/>
        </w:rPr>
        <w:t>application package for each of the scenarios described in 10 CFR 32.23(a)</w:t>
      </w:r>
      <w:r w:rsidR="00FA5B43">
        <w:rPr>
          <w:bCs/>
        </w:rPr>
        <w:t xml:space="preserve"> and </w:t>
      </w:r>
      <w:r w:rsidRPr="00031369">
        <w:rPr>
          <w:bCs/>
        </w:rPr>
        <w:t>(</w:t>
      </w:r>
      <w:r>
        <w:rPr>
          <w:bCs/>
        </w:rPr>
        <w:t>b</w:t>
      </w:r>
      <w:r w:rsidRPr="00031369">
        <w:rPr>
          <w:bCs/>
        </w:rPr>
        <w:t>)</w:t>
      </w:r>
      <w:r>
        <w:rPr>
          <w:bCs/>
        </w:rPr>
        <w:t xml:space="preserve">.  </w:t>
      </w:r>
      <w:r>
        <w:t xml:space="preserve">The applicant should use as many copies of these checklists as necessary to cover </w:t>
      </w:r>
      <w:proofErr w:type="gramStart"/>
      <w:r>
        <w:t>all of</w:t>
      </w:r>
      <w:proofErr w:type="gramEnd"/>
      <w:r>
        <w:t xml:space="preserve"> the accident scenarios.</w:t>
      </w:r>
    </w:p>
    <w:p w:rsidR="00150F68" w:rsidP="0028328D" w:rsidRDefault="00150F68" w14:paraId="6A9FA05F" w14:textId="77777777"/>
    <w:tbl>
      <w:tblPr>
        <w:tblStyle w:val="TableGrid"/>
        <w:tblW w:w="5000" w:type="pct"/>
        <w:tblLook w:val="04A0" w:firstRow="1" w:lastRow="0" w:firstColumn="1" w:lastColumn="0" w:noHBand="0" w:noVBand="1"/>
      </w:tblPr>
      <w:tblGrid>
        <w:gridCol w:w="2697"/>
        <w:gridCol w:w="1619"/>
        <w:gridCol w:w="1530"/>
        <w:gridCol w:w="1709"/>
        <w:gridCol w:w="1795"/>
      </w:tblGrid>
      <w:tr w:rsidRPr="00884783" w:rsidR="00DD03B8" w:rsidTr="00314578" w14:paraId="60D23B70" w14:textId="77777777">
        <w:trPr>
          <w:tblHeader/>
        </w:trPr>
        <w:tc>
          <w:tcPr>
            <w:tcW w:w="1442" w:type="pct"/>
            <w:tcBorders>
              <w:bottom w:val="single" w:color="auto" w:sz="4" w:space="0"/>
            </w:tcBorders>
            <w:shd w:val="clear" w:color="auto" w:fill="D9D9D9" w:themeFill="background1" w:themeFillShade="D9"/>
            <w:vAlign w:val="center"/>
          </w:tcPr>
          <w:p w:rsidRPr="00884783" w:rsidR="00DD03B8" w:rsidP="00290A47" w:rsidRDefault="00DD03B8" w14:paraId="795E1908" w14:textId="77777777">
            <w:pPr>
              <w:keepNext/>
              <w:tabs>
                <w:tab w:val="left" w:pos="540"/>
              </w:tabs>
              <w:jc w:val="center"/>
            </w:pPr>
            <w:r w:rsidRPr="00884783">
              <w:t>Normal Conditions</w:t>
            </w:r>
          </w:p>
        </w:tc>
        <w:tc>
          <w:tcPr>
            <w:tcW w:w="1684" w:type="pct"/>
            <w:gridSpan w:val="2"/>
            <w:tcBorders>
              <w:bottom w:val="single" w:color="auto" w:sz="4" w:space="0"/>
            </w:tcBorders>
            <w:shd w:val="clear" w:color="auto" w:fill="D9D9D9" w:themeFill="background1" w:themeFillShade="D9"/>
            <w:vAlign w:val="center"/>
          </w:tcPr>
          <w:p w:rsidRPr="00884783" w:rsidR="00DD03B8" w:rsidP="005D63AC" w:rsidRDefault="00DD03B8" w14:paraId="29F3372D" w14:textId="77777777">
            <w:pPr>
              <w:tabs>
                <w:tab w:val="left" w:pos="540"/>
              </w:tabs>
              <w:jc w:val="center"/>
            </w:pPr>
            <w:r w:rsidRPr="00884783">
              <w:t>External Dose</w:t>
            </w:r>
          </w:p>
        </w:tc>
        <w:tc>
          <w:tcPr>
            <w:tcW w:w="1874" w:type="pct"/>
            <w:gridSpan w:val="2"/>
            <w:tcBorders>
              <w:bottom w:val="single" w:color="auto" w:sz="4" w:space="0"/>
            </w:tcBorders>
            <w:shd w:val="clear" w:color="auto" w:fill="D9D9D9" w:themeFill="background1" w:themeFillShade="D9"/>
            <w:vAlign w:val="center"/>
          </w:tcPr>
          <w:p w:rsidRPr="00884783" w:rsidR="00DD03B8" w:rsidP="005D63AC" w:rsidRDefault="00DD03B8" w14:paraId="72988925" w14:textId="77777777">
            <w:pPr>
              <w:tabs>
                <w:tab w:val="left" w:pos="540"/>
              </w:tabs>
              <w:jc w:val="center"/>
            </w:pPr>
            <w:r w:rsidRPr="00884783">
              <w:t>Internal Dose</w:t>
            </w:r>
          </w:p>
        </w:tc>
      </w:tr>
      <w:tr w:rsidRPr="00884783" w:rsidR="00DD03B8" w:rsidTr="005D63AC" w14:paraId="55D232B8" w14:textId="77777777">
        <w:trPr>
          <w:trHeight w:val="602"/>
        </w:trPr>
        <w:tc>
          <w:tcPr>
            <w:tcW w:w="1442" w:type="pct"/>
            <w:vAlign w:val="center"/>
          </w:tcPr>
          <w:p w:rsidRPr="00884783" w:rsidR="00DD03B8" w:rsidP="00290A47" w:rsidRDefault="00DD03B8" w14:paraId="7C3F2036" w14:textId="77777777">
            <w:pPr>
              <w:keepNext/>
              <w:tabs>
                <w:tab w:val="left" w:pos="540"/>
              </w:tabs>
              <w:rPr>
                <w:b/>
              </w:rPr>
            </w:pPr>
            <w:r w:rsidRPr="00884783">
              <w:t>Marketing, distribution, and transport</w:t>
            </w:r>
          </w:p>
        </w:tc>
        <w:tc>
          <w:tcPr>
            <w:tcW w:w="1684" w:type="pct"/>
            <w:gridSpan w:val="2"/>
            <w:vAlign w:val="center"/>
          </w:tcPr>
          <w:p w:rsidRPr="00884783" w:rsidR="00DD03B8" w:rsidP="005D63AC" w:rsidRDefault="00DD03B8" w14:paraId="1CC3A05F" w14:textId="77777777">
            <w:pPr>
              <w:tabs>
                <w:tab w:val="left" w:pos="540"/>
              </w:tabs>
              <w:jc w:val="center"/>
              <w:rPr>
                <w:b/>
              </w:rPr>
            </w:pPr>
            <w:r w:rsidRPr="00884783">
              <w:t>[   ]</w:t>
            </w:r>
          </w:p>
        </w:tc>
        <w:tc>
          <w:tcPr>
            <w:tcW w:w="1874" w:type="pct"/>
            <w:gridSpan w:val="2"/>
            <w:vAlign w:val="center"/>
          </w:tcPr>
          <w:p w:rsidRPr="00884783" w:rsidR="00DD03B8" w:rsidP="005D63AC" w:rsidRDefault="00DD03B8" w14:paraId="17EC0D98" w14:textId="77777777">
            <w:pPr>
              <w:tabs>
                <w:tab w:val="left" w:pos="540"/>
              </w:tabs>
              <w:jc w:val="center"/>
              <w:rPr>
                <w:b/>
              </w:rPr>
            </w:pPr>
            <w:r w:rsidRPr="00884783">
              <w:t>[   ]</w:t>
            </w:r>
          </w:p>
        </w:tc>
      </w:tr>
      <w:tr w:rsidRPr="00884783" w:rsidR="00DD03B8" w:rsidTr="005D63AC" w14:paraId="6CD23138" w14:textId="77777777">
        <w:trPr>
          <w:trHeight w:val="629"/>
        </w:trPr>
        <w:tc>
          <w:tcPr>
            <w:tcW w:w="1442" w:type="pct"/>
            <w:vAlign w:val="center"/>
          </w:tcPr>
          <w:p w:rsidRPr="00884783" w:rsidR="00DD03B8" w:rsidP="005D63AC" w:rsidRDefault="00DD03B8" w14:paraId="7BF0A704" w14:textId="77777777">
            <w:pPr>
              <w:tabs>
                <w:tab w:val="left" w:pos="540"/>
              </w:tabs>
              <w:rPr>
                <w:b/>
              </w:rPr>
            </w:pPr>
            <w:r w:rsidRPr="00884783">
              <w:t>Handling, use, and storage</w:t>
            </w:r>
          </w:p>
        </w:tc>
        <w:tc>
          <w:tcPr>
            <w:tcW w:w="1684" w:type="pct"/>
            <w:gridSpan w:val="2"/>
            <w:vAlign w:val="center"/>
          </w:tcPr>
          <w:p w:rsidRPr="00884783" w:rsidR="00DD03B8" w:rsidP="005D63AC" w:rsidRDefault="00DD03B8" w14:paraId="5A442D0D" w14:textId="77777777">
            <w:pPr>
              <w:tabs>
                <w:tab w:val="left" w:pos="540"/>
              </w:tabs>
              <w:jc w:val="center"/>
              <w:rPr>
                <w:b/>
              </w:rPr>
            </w:pPr>
            <w:r w:rsidRPr="00884783">
              <w:t>[   ]</w:t>
            </w:r>
          </w:p>
        </w:tc>
        <w:tc>
          <w:tcPr>
            <w:tcW w:w="1874" w:type="pct"/>
            <w:gridSpan w:val="2"/>
            <w:vAlign w:val="center"/>
          </w:tcPr>
          <w:p w:rsidRPr="00884783" w:rsidR="00DD03B8" w:rsidP="005D63AC" w:rsidRDefault="00DD03B8" w14:paraId="04813B72" w14:textId="77777777">
            <w:pPr>
              <w:tabs>
                <w:tab w:val="left" w:pos="540"/>
              </w:tabs>
              <w:jc w:val="center"/>
              <w:rPr>
                <w:b/>
              </w:rPr>
            </w:pPr>
            <w:r w:rsidRPr="00884783">
              <w:t>[   ]</w:t>
            </w:r>
          </w:p>
        </w:tc>
      </w:tr>
      <w:tr w:rsidRPr="00884783" w:rsidR="00DD03B8" w:rsidTr="005D63AC" w14:paraId="7B4C35E3" w14:textId="77777777">
        <w:trPr>
          <w:trHeight w:val="341"/>
        </w:trPr>
        <w:tc>
          <w:tcPr>
            <w:tcW w:w="1442" w:type="pct"/>
            <w:vAlign w:val="center"/>
          </w:tcPr>
          <w:p w:rsidRPr="00884783" w:rsidR="00DD03B8" w:rsidP="005D63AC" w:rsidRDefault="00DD03B8" w14:paraId="56B72302" w14:textId="77777777">
            <w:pPr>
              <w:tabs>
                <w:tab w:val="left" w:pos="540"/>
              </w:tabs>
              <w:rPr>
                <w:b/>
              </w:rPr>
            </w:pPr>
            <w:r w:rsidRPr="00884783">
              <w:lastRenderedPageBreak/>
              <w:t>Disposal</w:t>
            </w:r>
          </w:p>
        </w:tc>
        <w:tc>
          <w:tcPr>
            <w:tcW w:w="1684" w:type="pct"/>
            <w:gridSpan w:val="2"/>
            <w:vAlign w:val="center"/>
          </w:tcPr>
          <w:p w:rsidRPr="00884783" w:rsidR="00DD03B8" w:rsidP="005D63AC" w:rsidRDefault="00DD03B8" w14:paraId="4AC6F2B2" w14:textId="77777777">
            <w:pPr>
              <w:tabs>
                <w:tab w:val="left" w:pos="540"/>
              </w:tabs>
              <w:jc w:val="center"/>
              <w:rPr>
                <w:b/>
              </w:rPr>
            </w:pPr>
            <w:r w:rsidRPr="00884783">
              <w:t>[   ]</w:t>
            </w:r>
          </w:p>
        </w:tc>
        <w:tc>
          <w:tcPr>
            <w:tcW w:w="1874" w:type="pct"/>
            <w:gridSpan w:val="2"/>
            <w:vAlign w:val="center"/>
          </w:tcPr>
          <w:p w:rsidRPr="00884783" w:rsidR="00DD03B8" w:rsidP="005D63AC" w:rsidRDefault="00DD03B8" w14:paraId="4D5970E1" w14:textId="77777777">
            <w:pPr>
              <w:tabs>
                <w:tab w:val="left" w:pos="540"/>
              </w:tabs>
              <w:jc w:val="center"/>
              <w:rPr>
                <w:b/>
              </w:rPr>
            </w:pPr>
            <w:r w:rsidRPr="00884783">
              <w:t>[   ]</w:t>
            </w:r>
          </w:p>
        </w:tc>
      </w:tr>
      <w:tr w:rsidRPr="00884783" w:rsidR="00DD03B8" w:rsidTr="005D63AC" w14:paraId="2701FABF" w14:textId="77777777">
        <w:trPr>
          <w:trHeight w:val="350"/>
        </w:trPr>
        <w:tc>
          <w:tcPr>
            <w:tcW w:w="1442" w:type="pct"/>
            <w:vAlign w:val="center"/>
          </w:tcPr>
          <w:p w:rsidRPr="00884783" w:rsidR="00DD03B8" w:rsidP="005D63AC" w:rsidRDefault="00DD03B8" w14:paraId="35BC309D" w14:textId="77777777">
            <w:pPr>
              <w:rPr>
                <w:b/>
              </w:rPr>
            </w:pPr>
            <w:r w:rsidRPr="00884783">
              <w:t>Landfills</w:t>
            </w:r>
          </w:p>
        </w:tc>
        <w:tc>
          <w:tcPr>
            <w:tcW w:w="1684" w:type="pct"/>
            <w:gridSpan w:val="2"/>
            <w:vAlign w:val="center"/>
          </w:tcPr>
          <w:p w:rsidRPr="00884783" w:rsidR="00DD03B8" w:rsidP="005D63AC" w:rsidRDefault="00DD03B8" w14:paraId="0FA1C749" w14:textId="77777777">
            <w:pPr>
              <w:tabs>
                <w:tab w:val="left" w:pos="540"/>
              </w:tabs>
              <w:jc w:val="center"/>
              <w:rPr>
                <w:b/>
              </w:rPr>
            </w:pPr>
            <w:r w:rsidRPr="00884783">
              <w:t>[   ]</w:t>
            </w:r>
          </w:p>
        </w:tc>
        <w:tc>
          <w:tcPr>
            <w:tcW w:w="1874" w:type="pct"/>
            <w:gridSpan w:val="2"/>
            <w:vAlign w:val="center"/>
          </w:tcPr>
          <w:p w:rsidRPr="00884783" w:rsidR="00DD03B8" w:rsidP="005D63AC" w:rsidRDefault="00DD03B8" w14:paraId="4C67039A" w14:textId="77777777">
            <w:pPr>
              <w:tabs>
                <w:tab w:val="left" w:pos="540"/>
              </w:tabs>
              <w:jc w:val="center"/>
              <w:rPr>
                <w:b/>
              </w:rPr>
            </w:pPr>
            <w:r w:rsidRPr="00884783">
              <w:t>[   ]</w:t>
            </w:r>
          </w:p>
        </w:tc>
      </w:tr>
      <w:tr w:rsidRPr="00884783" w:rsidR="00DD03B8" w:rsidTr="005D63AC" w14:paraId="26565A5A" w14:textId="77777777">
        <w:trPr>
          <w:trHeight w:val="440"/>
        </w:trPr>
        <w:tc>
          <w:tcPr>
            <w:tcW w:w="1442" w:type="pct"/>
            <w:vAlign w:val="center"/>
          </w:tcPr>
          <w:p w:rsidRPr="00884783" w:rsidR="00DD03B8" w:rsidP="005D63AC" w:rsidRDefault="00DD03B8" w14:paraId="11FD3606" w14:textId="77777777">
            <w:pPr>
              <w:rPr>
                <w:b/>
              </w:rPr>
            </w:pPr>
            <w:r w:rsidRPr="00884783">
              <w:t>Incinerators</w:t>
            </w:r>
          </w:p>
        </w:tc>
        <w:tc>
          <w:tcPr>
            <w:tcW w:w="1684" w:type="pct"/>
            <w:gridSpan w:val="2"/>
            <w:vAlign w:val="center"/>
          </w:tcPr>
          <w:p w:rsidRPr="00884783" w:rsidR="00DD03B8" w:rsidP="005D63AC" w:rsidRDefault="00DD03B8" w14:paraId="3A0E4658" w14:textId="77777777">
            <w:pPr>
              <w:tabs>
                <w:tab w:val="left" w:pos="540"/>
              </w:tabs>
              <w:jc w:val="center"/>
              <w:rPr>
                <w:b/>
              </w:rPr>
            </w:pPr>
            <w:r w:rsidRPr="00884783">
              <w:t>[   ]</w:t>
            </w:r>
          </w:p>
        </w:tc>
        <w:tc>
          <w:tcPr>
            <w:tcW w:w="1874" w:type="pct"/>
            <w:gridSpan w:val="2"/>
            <w:vAlign w:val="center"/>
          </w:tcPr>
          <w:p w:rsidRPr="00884783" w:rsidR="00DD03B8" w:rsidP="005D63AC" w:rsidRDefault="00DD03B8" w14:paraId="50AD605B" w14:textId="77777777">
            <w:pPr>
              <w:tabs>
                <w:tab w:val="left" w:pos="540"/>
              </w:tabs>
              <w:jc w:val="center"/>
              <w:rPr>
                <w:b/>
              </w:rPr>
            </w:pPr>
            <w:r w:rsidRPr="00884783">
              <w:t>[   ]</w:t>
            </w:r>
          </w:p>
        </w:tc>
      </w:tr>
      <w:tr w:rsidRPr="00884783" w:rsidR="00DD03B8" w:rsidTr="005D63AC" w14:paraId="6A9A15EC" w14:textId="77777777">
        <w:trPr>
          <w:trHeight w:val="440"/>
        </w:trPr>
        <w:tc>
          <w:tcPr>
            <w:tcW w:w="1442" w:type="pct"/>
            <w:vAlign w:val="center"/>
          </w:tcPr>
          <w:p w:rsidRPr="00884783" w:rsidR="00DD03B8" w:rsidP="005D63AC" w:rsidRDefault="00DD03B8" w14:paraId="59D4F99F" w14:textId="77777777">
            <w:pPr>
              <w:tabs>
                <w:tab w:val="left" w:pos="540"/>
              </w:tabs>
              <w:rPr>
                <w:b/>
              </w:rPr>
            </w:pPr>
            <w:r w:rsidRPr="00884783">
              <w:t>Recycle</w:t>
            </w:r>
          </w:p>
        </w:tc>
        <w:tc>
          <w:tcPr>
            <w:tcW w:w="1684" w:type="pct"/>
            <w:gridSpan w:val="2"/>
            <w:vAlign w:val="center"/>
          </w:tcPr>
          <w:p w:rsidRPr="00884783" w:rsidR="00DD03B8" w:rsidP="005D63AC" w:rsidRDefault="00DD03B8" w14:paraId="5A793B2D" w14:textId="77777777">
            <w:pPr>
              <w:tabs>
                <w:tab w:val="left" w:pos="540"/>
              </w:tabs>
              <w:jc w:val="center"/>
              <w:rPr>
                <w:b/>
              </w:rPr>
            </w:pPr>
            <w:r w:rsidRPr="00884783">
              <w:t>[   ]</w:t>
            </w:r>
          </w:p>
        </w:tc>
        <w:tc>
          <w:tcPr>
            <w:tcW w:w="1874" w:type="pct"/>
            <w:gridSpan w:val="2"/>
            <w:vAlign w:val="center"/>
          </w:tcPr>
          <w:p w:rsidRPr="00884783" w:rsidR="00DD03B8" w:rsidP="005D63AC" w:rsidRDefault="00DD03B8" w14:paraId="77E01532" w14:textId="77777777">
            <w:pPr>
              <w:tabs>
                <w:tab w:val="left" w:pos="540"/>
              </w:tabs>
              <w:jc w:val="center"/>
              <w:rPr>
                <w:b/>
              </w:rPr>
            </w:pPr>
            <w:r w:rsidRPr="00884783">
              <w:t>[   ]</w:t>
            </w:r>
          </w:p>
        </w:tc>
      </w:tr>
      <w:tr w:rsidRPr="00884783" w:rsidR="00DD03B8" w:rsidTr="005D63AC" w14:paraId="366227DF" w14:textId="77777777">
        <w:tc>
          <w:tcPr>
            <w:tcW w:w="1442" w:type="pct"/>
            <w:shd w:val="clear" w:color="auto" w:fill="D9D9D9" w:themeFill="background1" w:themeFillShade="D9"/>
            <w:vAlign w:val="center"/>
          </w:tcPr>
          <w:p w:rsidRPr="00884783" w:rsidR="00DD03B8" w:rsidP="005D63AC" w:rsidRDefault="00DD03B8" w14:paraId="3447FB31" w14:textId="77777777">
            <w:pPr>
              <w:tabs>
                <w:tab w:val="left" w:pos="540"/>
              </w:tabs>
              <w:jc w:val="center"/>
            </w:pPr>
            <w:r w:rsidRPr="00884783">
              <w:t>Accidents and Misuse</w:t>
            </w:r>
          </w:p>
        </w:tc>
        <w:tc>
          <w:tcPr>
            <w:tcW w:w="866" w:type="pct"/>
            <w:shd w:val="clear" w:color="auto" w:fill="D9D9D9" w:themeFill="background1" w:themeFillShade="D9"/>
          </w:tcPr>
          <w:p w:rsidRPr="00884783" w:rsidR="00DD03B8" w:rsidP="005D63AC" w:rsidRDefault="00DD03B8" w14:paraId="487C5553" w14:textId="77777777">
            <w:pPr>
              <w:tabs>
                <w:tab w:val="left" w:pos="540"/>
              </w:tabs>
              <w:jc w:val="center"/>
            </w:pPr>
            <w:r w:rsidRPr="00884783">
              <w:t xml:space="preserve">Low </w:t>
            </w:r>
            <w:r>
              <w:t>P</w:t>
            </w:r>
            <w:r w:rsidRPr="00884783">
              <w:t>robability</w:t>
            </w:r>
          </w:p>
        </w:tc>
        <w:tc>
          <w:tcPr>
            <w:tcW w:w="818" w:type="pct"/>
            <w:shd w:val="clear" w:color="auto" w:fill="D9D9D9" w:themeFill="background1" w:themeFillShade="D9"/>
          </w:tcPr>
          <w:p w:rsidRPr="00884783" w:rsidR="00DD03B8" w:rsidP="005D63AC" w:rsidRDefault="00DD03B8" w14:paraId="64E238C7" w14:textId="77777777">
            <w:pPr>
              <w:tabs>
                <w:tab w:val="left" w:pos="540"/>
              </w:tabs>
              <w:jc w:val="center"/>
            </w:pPr>
            <w:r w:rsidRPr="00884783">
              <w:t xml:space="preserve">Negligible </w:t>
            </w:r>
            <w:r>
              <w:t>P</w:t>
            </w:r>
            <w:r w:rsidRPr="00884783">
              <w:t>robability</w:t>
            </w:r>
          </w:p>
        </w:tc>
        <w:tc>
          <w:tcPr>
            <w:tcW w:w="914" w:type="pct"/>
            <w:shd w:val="clear" w:color="auto" w:fill="D9D9D9" w:themeFill="background1" w:themeFillShade="D9"/>
          </w:tcPr>
          <w:p w:rsidRPr="00884783" w:rsidR="00DD03B8" w:rsidP="005D63AC" w:rsidRDefault="00DD03B8" w14:paraId="55A90C26" w14:textId="77777777">
            <w:pPr>
              <w:tabs>
                <w:tab w:val="left" w:pos="540"/>
              </w:tabs>
              <w:jc w:val="center"/>
            </w:pPr>
            <w:r w:rsidRPr="00884783">
              <w:t xml:space="preserve">Low </w:t>
            </w:r>
            <w:r>
              <w:t>P</w:t>
            </w:r>
            <w:r w:rsidRPr="00884783">
              <w:t>robability</w:t>
            </w:r>
          </w:p>
        </w:tc>
        <w:tc>
          <w:tcPr>
            <w:tcW w:w="960" w:type="pct"/>
            <w:shd w:val="clear" w:color="auto" w:fill="D9D9D9" w:themeFill="background1" w:themeFillShade="D9"/>
          </w:tcPr>
          <w:p w:rsidRPr="00884783" w:rsidR="00DD03B8" w:rsidP="005D63AC" w:rsidRDefault="00DD03B8" w14:paraId="5143F02F" w14:textId="77777777">
            <w:pPr>
              <w:tabs>
                <w:tab w:val="left" w:pos="540"/>
              </w:tabs>
              <w:jc w:val="center"/>
            </w:pPr>
            <w:r w:rsidRPr="00884783">
              <w:t xml:space="preserve">Negligible </w:t>
            </w:r>
            <w:r>
              <w:t>P</w:t>
            </w:r>
            <w:r w:rsidRPr="00884783">
              <w:t>robability</w:t>
            </w:r>
          </w:p>
        </w:tc>
      </w:tr>
      <w:tr w:rsidRPr="00884783" w:rsidR="00DD03B8" w:rsidTr="005D63AC" w14:paraId="2C177A53" w14:textId="77777777">
        <w:tc>
          <w:tcPr>
            <w:tcW w:w="1442" w:type="pct"/>
            <w:vAlign w:val="center"/>
          </w:tcPr>
          <w:p w:rsidRPr="00884783" w:rsidR="00DD03B8" w:rsidP="005D63AC" w:rsidRDefault="00DD03B8" w14:paraId="6EA065F5" w14:textId="77777777">
            <w:pPr>
              <w:rPr>
                <w:b/>
              </w:rPr>
            </w:pPr>
            <w:r w:rsidRPr="00884783">
              <w:t>During distribution and transport</w:t>
            </w:r>
          </w:p>
        </w:tc>
        <w:tc>
          <w:tcPr>
            <w:tcW w:w="866" w:type="pct"/>
            <w:vAlign w:val="center"/>
          </w:tcPr>
          <w:p w:rsidRPr="00884783" w:rsidR="00DD03B8" w:rsidP="005D63AC" w:rsidRDefault="00DD03B8" w14:paraId="1A7460F1" w14:textId="77777777">
            <w:pPr>
              <w:jc w:val="center"/>
              <w:rPr>
                <w:b/>
              </w:rPr>
            </w:pPr>
            <w:r w:rsidRPr="00884783">
              <w:t>[   ]</w:t>
            </w:r>
          </w:p>
        </w:tc>
        <w:tc>
          <w:tcPr>
            <w:tcW w:w="818" w:type="pct"/>
            <w:vAlign w:val="center"/>
          </w:tcPr>
          <w:p w:rsidRPr="00884783" w:rsidR="00DD03B8" w:rsidP="005D63AC" w:rsidRDefault="00DD03B8" w14:paraId="7DB7B79E" w14:textId="77777777">
            <w:pPr>
              <w:jc w:val="center"/>
              <w:rPr>
                <w:b/>
              </w:rPr>
            </w:pPr>
            <w:r w:rsidRPr="00884783">
              <w:t>[   ]</w:t>
            </w:r>
          </w:p>
        </w:tc>
        <w:tc>
          <w:tcPr>
            <w:tcW w:w="914" w:type="pct"/>
            <w:vAlign w:val="center"/>
          </w:tcPr>
          <w:p w:rsidRPr="00884783" w:rsidR="00DD03B8" w:rsidP="005D63AC" w:rsidRDefault="00DD03B8" w14:paraId="0C0C1FD6" w14:textId="77777777">
            <w:pPr>
              <w:jc w:val="center"/>
              <w:rPr>
                <w:b/>
              </w:rPr>
            </w:pPr>
            <w:r w:rsidRPr="00884783">
              <w:t>[   ]</w:t>
            </w:r>
          </w:p>
        </w:tc>
        <w:tc>
          <w:tcPr>
            <w:tcW w:w="960" w:type="pct"/>
            <w:vAlign w:val="center"/>
          </w:tcPr>
          <w:p w:rsidRPr="00884783" w:rsidR="00DD03B8" w:rsidP="005D63AC" w:rsidRDefault="00DD03B8" w14:paraId="482E1CE6" w14:textId="77777777">
            <w:pPr>
              <w:jc w:val="center"/>
              <w:rPr>
                <w:b/>
              </w:rPr>
            </w:pPr>
            <w:r w:rsidRPr="00884783">
              <w:t>[   ]</w:t>
            </w:r>
          </w:p>
        </w:tc>
      </w:tr>
      <w:tr w:rsidRPr="00884783" w:rsidR="00DD03B8" w:rsidTr="005D63AC" w14:paraId="7B2690C6" w14:textId="77777777">
        <w:trPr>
          <w:trHeight w:val="395"/>
        </w:trPr>
        <w:tc>
          <w:tcPr>
            <w:tcW w:w="1442" w:type="pct"/>
            <w:vAlign w:val="center"/>
          </w:tcPr>
          <w:p w:rsidRPr="00884783" w:rsidR="00DD03B8" w:rsidP="005D63AC" w:rsidRDefault="00DD03B8" w14:paraId="1BBC82AB" w14:textId="77777777">
            <w:pPr>
              <w:tabs>
                <w:tab w:val="left" w:pos="540"/>
              </w:tabs>
              <w:rPr>
                <w:b/>
              </w:rPr>
            </w:pPr>
            <w:r w:rsidRPr="00884783">
              <w:t>During use</w:t>
            </w:r>
          </w:p>
        </w:tc>
        <w:tc>
          <w:tcPr>
            <w:tcW w:w="866" w:type="pct"/>
            <w:vAlign w:val="center"/>
          </w:tcPr>
          <w:p w:rsidRPr="00884783" w:rsidR="00DD03B8" w:rsidP="005D63AC" w:rsidRDefault="00DD03B8" w14:paraId="29ED9CA9" w14:textId="77777777">
            <w:pPr>
              <w:jc w:val="center"/>
              <w:rPr>
                <w:b/>
              </w:rPr>
            </w:pPr>
            <w:r w:rsidRPr="00884783">
              <w:t>[   ]</w:t>
            </w:r>
          </w:p>
        </w:tc>
        <w:tc>
          <w:tcPr>
            <w:tcW w:w="818" w:type="pct"/>
            <w:vAlign w:val="center"/>
          </w:tcPr>
          <w:p w:rsidRPr="00884783" w:rsidR="00DD03B8" w:rsidP="005D63AC" w:rsidRDefault="00DD03B8" w14:paraId="1B9FBE43" w14:textId="77777777">
            <w:pPr>
              <w:jc w:val="center"/>
              <w:rPr>
                <w:b/>
              </w:rPr>
            </w:pPr>
            <w:r w:rsidRPr="00884783">
              <w:t>[   ]</w:t>
            </w:r>
          </w:p>
        </w:tc>
        <w:tc>
          <w:tcPr>
            <w:tcW w:w="914" w:type="pct"/>
            <w:vAlign w:val="center"/>
          </w:tcPr>
          <w:p w:rsidRPr="00884783" w:rsidR="00DD03B8" w:rsidP="005D63AC" w:rsidRDefault="00DD03B8" w14:paraId="5A52D306" w14:textId="77777777">
            <w:pPr>
              <w:jc w:val="center"/>
              <w:rPr>
                <w:b/>
              </w:rPr>
            </w:pPr>
            <w:r w:rsidRPr="00884783">
              <w:t>[   ]</w:t>
            </w:r>
          </w:p>
        </w:tc>
        <w:tc>
          <w:tcPr>
            <w:tcW w:w="960" w:type="pct"/>
            <w:vAlign w:val="center"/>
          </w:tcPr>
          <w:p w:rsidRPr="00884783" w:rsidR="00DD03B8" w:rsidP="005D63AC" w:rsidRDefault="00DD03B8" w14:paraId="36768058" w14:textId="77777777">
            <w:pPr>
              <w:jc w:val="center"/>
              <w:rPr>
                <w:b/>
              </w:rPr>
            </w:pPr>
            <w:r w:rsidRPr="00884783">
              <w:t>[   ]</w:t>
            </w:r>
          </w:p>
        </w:tc>
      </w:tr>
      <w:tr w:rsidRPr="00884783" w:rsidR="00DD03B8" w:rsidTr="005D63AC" w14:paraId="4C445332" w14:textId="77777777">
        <w:tc>
          <w:tcPr>
            <w:tcW w:w="1442" w:type="pct"/>
            <w:vAlign w:val="center"/>
          </w:tcPr>
          <w:p w:rsidRPr="00884783" w:rsidR="00DD03B8" w:rsidP="005D63AC" w:rsidRDefault="00DD03B8" w14:paraId="118CEFD9" w14:textId="77777777">
            <w:pPr>
              <w:tabs>
                <w:tab w:val="left" w:pos="540"/>
              </w:tabs>
              <w:rPr>
                <w:b/>
              </w:rPr>
            </w:pPr>
            <w:r w:rsidRPr="00884783">
              <w:t>During installation and servicing</w:t>
            </w:r>
          </w:p>
        </w:tc>
        <w:tc>
          <w:tcPr>
            <w:tcW w:w="866" w:type="pct"/>
            <w:vAlign w:val="center"/>
          </w:tcPr>
          <w:p w:rsidRPr="00884783" w:rsidR="00DD03B8" w:rsidP="005D63AC" w:rsidRDefault="00DD03B8" w14:paraId="66DA0B4E" w14:textId="77777777">
            <w:pPr>
              <w:jc w:val="center"/>
              <w:rPr>
                <w:b/>
              </w:rPr>
            </w:pPr>
            <w:r w:rsidRPr="00884783">
              <w:t>[   ]</w:t>
            </w:r>
          </w:p>
        </w:tc>
        <w:tc>
          <w:tcPr>
            <w:tcW w:w="818" w:type="pct"/>
            <w:vAlign w:val="center"/>
          </w:tcPr>
          <w:p w:rsidRPr="00884783" w:rsidR="00DD03B8" w:rsidP="005D63AC" w:rsidRDefault="00DD03B8" w14:paraId="55F0A75F" w14:textId="77777777">
            <w:pPr>
              <w:jc w:val="center"/>
              <w:rPr>
                <w:b/>
              </w:rPr>
            </w:pPr>
            <w:r w:rsidRPr="00884783">
              <w:t>[   ]</w:t>
            </w:r>
          </w:p>
        </w:tc>
        <w:tc>
          <w:tcPr>
            <w:tcW w:w="914" w:type="pct"/>
            <w:vAlign w:val="center"/>
          </w:tcPr>
          <w:p w:rsidRPr="00884783" w:rsidR="00DD03B8" w:rsidP="005D63AC" w:rsidRDefault="00DD03B8" w14:paraId="0C51C0E8" w14:textId="77777777">
            <w:pPr>
              <w:jc w:val="center"/>
              <w:rPr>
                <w:b/>
              </w:rPr>
            </w:pPr>
            <w:r w:rsidRPr="00884783">
              <w:t>[   ]</w:t>
            </w:r>
          </w:p>
        </w:tc>
        <w:tc>
          <w:tcPr>
            <w:tcW w:w="960" w:type="pct"/>
            <w:vAlign w:val="center"/>
          </w:tcPr>
          <w:p w:rsidRPr="00884783" w:rsidR="00DD03B8" w:rsidP="005D63AC" w:rsidRDefault="00DD03B8" w14:paraId="37622C25" w14:textId="77777777">
            <w:pPr>
              <w:jc w:val="center"/>
              <w:rPr>
                <w:b/>
              </w:rPr>
            </w:pPr>
            <w:r w:rsidRPr="00884783">
              <w:t>[   ]</w:t>
            </w:r>
          </w:p>
        </w:tc>
      </w:tr>
    </w:tbl>
    <w:p w:rsidR="00290A47" w:rsidP="00290A47" w:rsidRDefault="00290A47" w14:paraId="082B4F15" w14:textId="77777777">
      <w:pPr>
        <w:tabs>
          <w:tab w:val="left" w:pos="540"/>
        </w:tabs>
        <w:spacing w:line="240" w:lineRule="auto"/>
        <w:rPr>
          <w:b/>
          <w:i/>
        </w:rPr>
      </w:pPr>
    </w:p>
    <w:p w:rsidR="00DD03B8" w:rsidP="00290A47" w:rsidRDefault="00DD03B8" w14:paraId="74387123" w14:textId="5575181F">
      <w:pPr>
        <w:tabs>
          <w:tab w:val="left" w:pos="540"/>
        </w:tabs>
        <w:spacing w:line="240" w:lineRule="auto"/>
      </w:pPr>
      <w:r w:rsidRPr="00884783">
        <w:rPr>
          <w:b/>
          <w:i/>
        </w:rPr>
        <w:t>Note</w:t>
      </w:r>
      <w:r w:rsidRPr="00460C18">
        <w:t xml:space="preserve">: </w:t>
      </w:r>
      <w:r>
        <w:t xml:space="preserve"> </w:t>
      </w:r>
      <w:r w:rsidRPr="00460C18">
        <w:t>10 CFR 32.3</w:t>
      </w:r>
      <w:r>
        <w:t xml:space="preserve">4 </w:t>
      </w:r>
      <w:r w:rsidRPr="00460C18">
        <w:t xml:space="preserve">stated it is the intent of this paragraph that as the magnitude of the potential dose increases above that permitted under normal conditions, the probability that any individual will receive such a dose must decrease. </w:t>
      </w:r>
      <w:r>
        <w:t xml:space="preserve"> </w:t>
      </w:r>
      <w:r w:rsidRPr="00460C18">
        <w:t xml:space="preserve">The probabilities have been expressed in general terms to emphasize the approximate nature of the estimates </w:t>
      </w:r>
      <w:r>
        <w:t>that</w:t>
      </w:r>
      <w:r w:rsidRPr="00460C18">
        <w:t xml:space="preserve"> are to be made. </w:t>
      </w:r>
      <w:r>
        <w:t xml:space="preserve"> </w:t>
      </w:r>
      <w:r w:rsidRPr="00460C18">
        <w:t>The following values may be used as guides in estimating compliance with the criteria:</w:t>
      </w:r>
    </w:p>
    <w:p w:rsidR="00DD03B8" w:rsidP="00DD03B8" w:rsidRDefault="00DD03B8" w14:paraId="345952F6" w14:textId="77777777">
      <w:pPr>
        <w:tabs>
          <w:tab w:val="left" w:pos="540"/>
        </w:tabs>
      </w:pPr>
    </w:p>
    <w:p w:rsidR="00DD03B8" w:rsidP="00DD03B8" w:rsidRDefault="00DD03B8" w14:paraId="61D07BF6" w14:textId="77777777">
      <w:pPr>
        <w:tabs>
          <w:tab w:val="left" w:pos="540"/>
        </w:tabs>
      </w:pPr>
      <w:r w:rsidRPr="00460C18">
        <w:rPr>
          <w:u w:val="single"/>
        </w:rPr>
        <w:t>Low</w:t>
      </w:r>
      <w:r w:rsidRPr="00460C18">
        <w:t>—not more than one such failure per year for each 10,000 exempt units distributed.</w:t>
      </w:r>
    </w:p>
    <w:p w:rsidR="00DD03B8" w:rsidP="00DD03B8" w:rsidRDefault="00DD03B8" w14:paraId="163068FB" w14:textId="77777777">
      <w:pPr>
        <w:tabs>
          <w:tab w:val="left" w:pos="540"/>
        </w:tabs>
      </w:pPr>
    </w:p>
    <w:p w:rsidR="00DD03B8" w:rsidP="00DD03B8" w:rsidRDefault="00DD03B8" w14:paraId="72EC96B2" w14:textId="7E124827">
      <w:r w:rsidRPr="00460C18">
        <w:rPr>
          <w:u w:val="single"/>
        </w:rPr>
        <w:t>Negligible</w:t>
      </w:r>
      <w:r w:rsidRPr="00460C18">
        <w:t>—not more than one such failure per year for each 1 million exempt units distributed.</w:t>
      </w:r>
    </w:p>
    <w:p w:rsidR="009819C5" w:rsidP="0083659B" w:rsidRDefault="009819C5" w14:paraId="0C351430" w14:textId="77777777">
      <w:pPr>
        <w:rPr>
          <w:b/>
        </w:rPr>
      </w:pPr>
    </w:p>
    <w:p w:rsidRPr="00DD03B8" w:rsidR="0083659B" w:rsidP="0083659B" w:rsidRDefault="0083659B" w14:paraId="197E563B" w14:textId="65EE90C7">
      <w:r w:rsidRPr="00DD03B8">
        <w:rPr>
          <w:b/>
        </w:rPr>
        <w:t>Response from Applicant</w:t>
      </w:r>
      <w:r w:rsidRPr="00DD03B8">
        <w:t>:</w:t>
      </w:r>
    </w:p>
    <w:p w:rsidRPr="00DD03B8" w:rsidR="00294D49" w:rsidP="0083659B" w:rsidRDefault="00294D49" w14:paraId="2F74A2A9" w14:textId="77777777"/>
    <w:p w:rsidRPr="00DD03B8" w:rsidR="00294D49" w:rsidP="00290A47" w:rsidRDefault="0083659B" w14:paraId="5D960890" w14:textId="0B7BCBEE">
      <w:pPr>
        <w:spacing w:line="240" w:lineRule="auto"/>
      </w:pPr>
      <w:r w:rsidRPr="00DD03B8">
        <w:t>An applicant must provide sufficient information relating to the design, manufacture, prototype testing, quality control procedures, labeling or marking, and conditions of handling, storage, use, and disposal of the i</w:t>
      </w:r>
      <w:r w:rsidRPr="00DD03B8" w:rsidR="00B401D5">
        <w:t>tem</w:t>
      </w:r>
      <w:r w:rsidRPr="00DD03B8">
        <w:t xml:space="preserve"> to demonstrate that the </w:t>
      </w:r>
      <w:r w:rsidRPr="00DD03B8" w:rsidR="00DC2DD3">
        <w:t xml:space="preserve">product </w:t>
      </w:r>
      <w:r w:rsidRPr="00DD03B8">
        <w:t>will meet the safety criteria set forth in the regulations.</w:t>
      </w:r>
    </w:p>
    <w:p w:rsidRPr="00DD03B8" w:rsidR="0083659B" w:rsidP="00290A47" w:rsidRDefault="0083659B" w14:paraId="1EBEC7A3" w14:textId="28B34270">
      <w:pPr>
        <w:spacing w:line="240" w:lineRule="auto"/>
      </w:pPr>
      <w:r w:rsidRPr="00DD03B8">
        <w:t xml:space="preserve"> </w:t>
      </w:r>
    </w:p>
    <w:p w:rsidRPr="00DD03B8" w:rsidR="0083659B" w:rsidP="00145F71" w:rsidRDefault="0083659B" w14:paraId="17FD8685" w14:textId="390DEE49">
      <w:pPr>
        <w:pStyle w:val="ListParagraph"/>
        <w:keepNext/>
        <w:numPr>
          <w:ilvl w:val="0"/>
          <w:numId w:val="8"/>
        </w:numPr>
        <w:spacing w:after="0"/>
      </w:pPr>
      <w:r w:rsidRPr="00DD03B8">
        <w:t xml:space="preserve">Provide an adequate dose assessment addressing </w:t>
      </w:r>
      <w:proofErr w:type="gramStart"/>
      <w:r w:rsidRPr="00DD03B8">
        <w:t>all of</w:t>
      </w:r>
      <w:proofErr w:type="gramEnd"/>
      <w:r w:rsidRPr="00DD03B8">
        <w:t xml:space="preserve"> the appropriate scenarios to demonstrate that the </w:t>
      </w:r>
      <w:r w:rsidRPr="00DD03B8" w:rsidR="0031280C">
        <w:t>product</w:t>
      </w:r>
      <w:r w:rsidRPr="00DD03B8">
        <w:t xml:space="preserve"> meets the safety criteria in 10 CFR 32.</w:t>
      </w:r>
      <w:r w:rsidRPr="00DD03B8" w:rsidR="009E2013">
        <w:t>34</w:t>
      </w:r>
      <w:r w:rsidRPr="00DD03B8">
        <w:t>.</w:t>
      </w:r>
    </w:p>
    <w:p w:rsidRPr="00DD03B8" w:rsidR="00290A47" w:rsidP="00290A47" w:rsidRDefault="00290A47" w14:paraId="667B3963" w14:textId="77777777">
      <w:pPr>
        <w:pStyle w:val="ListParagraph"/>
        <w:spacing w:after="0"/>
        <w:ind w:left="720"/>
      </w:pPr>
    </w:p>
    <w:p w:rsidRPr="00DD03B8" w:rsidR="0083659B" w:rsidP="00145F71" w:rsidRDefault="0083659B" w14:paraId="741E48AC" w14:textId="00088DB2">
      <w:pPr>
        <w:pStyle w:val="ListParagraph"/>
        <w:keepNext/>
        <w:numPr>
          <w:ilvl w:val="0"/>
          <w:numId w:val="8"/>
        </w:numPr>
        <w:spacing w:after="0"/>
      </w:pPr>
      <w:r w:rsidRPr="00DD03B8">
        <w:t>Provide information on quality control and information on product labeling</w:t>
      </w:r>
      <w:r w:rsidRPr="00DD03B8" w:rsidR="00C6710B">
        <w:t xml:space="preserve"> or marking</w:t>
      </w:r>
      <w:r w:rsidRPr="00DD03B8">
        <w:t xml:space="preserve">.  </w:t>
      </w:r>
      <w:r w:rsidRPr="00DD03B8">
        <w:br/>
        <w:t xml:space="preserve">(Actual example labels </w:t>
      </w:r>
      <w:r w:rsidRPr="00DD03B8" w:rsidR="00C6710B">
        <w:t xml:space="preserve">or markings </w:t>
      </w:r>
      <w:r w:rsidRPr="00DD03B8">
        <w:t>are helpful</w:t>
      </w:r>
      <w:r w:rsidRPr="00DD03B8" w:rsidR="008340F6">
        <w:t>).</w:t>
      </w:r>
    </w:p>
    <w:p w:rsidR="00290A47" w:rsidP="00290A47" w:rsidRDefault="00290A47" w14:paraId="0C2D8948" w14:textId="77777777">
      <w:pPr>
        <w:spacing w:line="240" w:lineRule="auto"/>
      </w:pPr>
    </w:p>
    <w:p w:rsidRPr="00DD03B8" w:rsidR="0083659B" w:rsidP="00145F71" w:rsidRDefault="0083659B" w14:paraId="581D7F2C" w14:textId="20558720">
      <w:pPr>
        <w:spacing w:line="240" w:lineRule="auto"/>
      </w:pPr>
      <w:r w:rsidRPr="00DD03B8">
        <w:t>The checklist below may be of assistance in ensuring that all categories of information are</w:t>
      </w:r>
      <w:r w:rsidR="00655965">
        <w:t xml:space="preserve"> </w:t>
      </w:r>
      <w:r w:rsidRPr="00DD03B8">
        <w:t>provided.</w:t>
      </w:r>
    </w:p>
    <w:p w:rsidRPr="00DD03B8" w:rsidR="00990949" w:rsidP="00145F71" w:rsidRDefault="00990949" w14:paraId="423C52A7" w14:textId="77777777"/>
    <w:p w:rsidRPr="00DD03B8" w:rsidR="0083659B" w:rsidP="00145F71" w:rsidRDefault="0083659B" w14:paraId="7EA49E69" w14:textId="69E062A1">
      <w:pPr>
        <w:keepNext/>
        <w:rPr>
          <w:b/>
          <w:bCs/>
          <w:u w:val="single"/>
        </w:rPr>
      </w:pPr>
      <w:r w:rsidRPr="00DD03B8">
        <w:rPr>
          <w:b/>
          <w:bCs/>
          <w:u w:val="single"/>
        </w:rPr>
        <w:lastRenderedPageBreak/>
        <w:t>Checklist for Applications Under 10 CFR 32.3</w:t>
      </w:r>
      <w:r w:rsidRPr="00DD03B8" w:rsidR="00294D49">
        <w:rPr>
          <w:b/>
          <w:bCs/>
          <w:u w:val="single"/>
        </w:rPr>
        <w:t>3</w:t>
      </w:r>
    </w:p>
    <w:p w:rsidRPr="00DD03B8" w:rsidR="00990949" w:rsidP="00145F71" w:rsidRDefault="00990949" w14:paraId="517E9293" w14:textId="77777777">
      <w:pPr>
        <w:keepNext/>
        <w:rPr>
          <w:u w:val="single"/>
        </w:rPr>
      </w:pPr>
    </w:p>
    <w:tbl>
      <w:tblPr>
        <w:tblStyle w:val="TableGrid"/>
        <w:tblW w:w="9373" w:type="dxa"/>
        <w:tblLook w:val="04A0" w:firstRow="1" w:lastRow="0" w:firstColumn="1" w:lastColumn="0" w:noHBand="0" w:noVBand="1"/>
      </w:tblPr>
      <w:tblGrid>
        <w:gridCol w:w="720"/>
        <w:gridCol w:w="7226"/>
        <w:gridCol w:w="1427"/>
      </w:tblGrid>
      <w:tr w:rsidRPr="00DD03B8" w:rsidR="002019BD" w:rsidTr="0075199F" w14:paraId="6D28C4C6" w14:textId="77777777">
        <w:trPr>
          <w:cantSplit/>
          <w:trHeight w:val="692"/>
        </w:trPr>
        <w:tc>
          <w:tcPr>
            <w:tcW w:w="720" w:type="dxa"/>
            <w:shd w:val="clear" w:color="auto" w:fill="D9D9D9" w:themeFill="background1" w:themeFillShade="D9"/>
            <w:vAlign w:val="center"/>
          </w:tcPr>
          <w:p w:rsidRPr="00DD03B8" w:rsidR="0083659B" w:rsidP="00145F71" w:rsidRDefault="0083659B" w14:paraId="0C5E23C6" w14:textId="77777777">
            <w:pPr>
              <w:keepNext/>
              <w:jc w:val="center"/>
            </w:pPr>
            <w:r w:rsidRPr="00DD03B8">
              <w:t>Item No.</w:t>
            </w:r>
          </w:p>
        </w:tc>
        <w:tc>
          <w:tcPr>
            <w:tcW w:w="7226" w:type="dxa"/>
            <w:shd w:val="clear" w:color="auto" w:fill="D9D9D9" w:themeFill="background1" w:themeFillShade="D9"/>
            <w:vAlign w:val="center"/>
          </w:tcPr>
          <w:p w:rsidRPr="00DD03B8" w:rsidR="0083659B" w:rsidP="00145F71" w:rsidRDefault="0083659B" w14:paraId="128F1FB3" w14:textId="77777777">
            <w:pPr>
              <w:keepNext/>
              <w:jc w:val="center"/>
            </w:pPr>
            <w:r w:rsidRPr="00DD03B8">
              <w:t>Response</w:t>
            </w:r>
          </w:p>
        </w:tc>
        <w:tc>
          <w:tcPr>
            <w:tcW w:w="1427" w:type="dxa"/>
            <w:shd w:val="clear" w:color="auto" w:fill="D9D9D9" w:themeFill="background1" w:themeFillShade="D9"/>
            <w:vAlign w:val="center"/>
          </w:tcPr>
          <w:p w:rsidRPr="00DD03B8" w:rsidR="0083659B" w:rsidP="00145F71" w:rsidRDefault="0083659B" w14:paraId="17BFD56B" w14:textId="77777777">
            <w:pPr>
              <w:keepNext/>
              <w:jc w:val="center"/>
            </w:pPr>
            <w:r w:rsidRPr="00DD03B8">
              <w:t>Description</w:t>
            </w:r>
          </w:p>
          <w:p w:rsidRPr="00DD03B8" w:rsidR="0083659B" w:rsidP="00145F71" w:rsidRDefault="0083659B" w14:paraId="356B36F9" w14:textId="77777777">
            <w:pPr>
              <w:keepNext/>
              <w:jc w:val="center"/>
            </w:pPr>
            <w:r w:rsidRPr="00DD03B8">
              <w:t>Attached</w:t>
            </w:r>
          </w:p>
        </w:tc>
      </w:tr>
      <w:tr w:rsidRPr="00DD03B8" w:rsidR="002019BD" w:rsidTr="0075199F" w14:paraId="2D75484B" w14:textId="77777777">
        <w:trPr>
          <w:cantSplit/>
          <w:trHeight w:val="288"/>
        </w:trPr>
        <w:tc>
          <w:tcPr>
            <w:tcW w:w="720" w:type="dxa"/>
            <w:vAlign w:val="center"/>
          </w:tcPr>
          <w:p w:rsidRPr="00DD03B8" w:rsidR="0083659B" w:rsidP="00145F71" w:rsidRDefault="0083659B" w14:paraId="5011C35C" w14:textId="77777777">
            <w:pPr>
              <w:keepNext/>
              <w:rPr>
                <w:b/>
              </w:rPr>
            </w:pPr>
            <w:r w:rsidRPr="00DD03B8">
              <w:t>A</w:t>
            </w:r>
          </w:p>
        </w:tc>
        <w:tc>
          <w:tcPr>
            <w:tcW w:w="7226" w:type="dxa"/>
            <w:vAlign w:val="center"/>
          </w:tcPr>
          <w:p w:rsidRPr="00DD03B8" w:rsidR="0083659B" w:rsidP="00145F71" w:rsidRDefault="0083659B" w14:paraId="54807BC2" w14:textId="673E881E">
            <w:pPr>
              <w:keepNext/>
              <w:rPr>
                <w:b/>
              </w:rPr>
            </w:pPr>
            <w:r w:rsidRPr="00DD03B8">
              <w:t xml:space="preserve">Applicant satisfied general requirements in 30.33 </w:t>
            </w:r>
            <w:r w:rsidR="00655965">
              <w:t>(</w:t>
            </w:r>
            <w:r w:rsidRPr="00DD03B8">
              <w:t>licensee provides copy of possession and use license</w:t>
            </w:r>
            <w:r w:rsidR="00655965">
              <w:t>)</w:t>
            </w:r>
          </w:p>
        </w:tc>
        <w:tc>
          <w:tcPr>
            <w:tcW w:w="1427" w:type="dxa"/>
            <w:vAlign w:val="center"/>
          </w:tcPr>
          <w:p w:rsidRPr="00DD03B8" w:rsidR="0083659B" w:rsidP="00145F71" w:rsidRDefault="0083659B" w14:paraId="6018AB6C" w14:textId="358784B1">
            <w:pPr>
              <w:keepNext/>
              <w:jc w:val="center"/>
              <w:rPr>
                <w:b/>
              </w:rPr>
            </w:pPr>
            <w:r w:rsidRPr="00DD03B8">
              <w:t>[  ]</w:t>
            </w:r>
          </w:p>
        </w:tc>
      </w:tr>
      <w:tr w:rsidRPr="00DD03B8" w:rsidR="002019BD" w:rsidTr="0075199F" w14:paraId="56236BE0" w14:textId="77777777">
        <w:trPr>
          <w:cantSplit/>
          <w:trHeight w:val="288"/>
        </w:trPr>
        <w:tc>
          <w:tcPr>
            <w:tcW w:w="720" w:type="dxa"/>
            <w:vAlign w:val="center"/>
          </w:tcPr>
          <w:p w:rsidRPr="00DD03B8" w:rsidR="0083659B" w:rsidP="00145F71" w:rsidRDefault="0083659B" w14:paraId="07633AF8" w14:textId="77777777">
            <w:pPr>
              <w:rPr>
                <w:b/>
              </w:rPr>
            </w:pPr>
            <w:r w:rsidRPr="00DD03B8">
              <w:t>B</w:t>
            </w:r>
          </w:p>
        </w:tc>
        <w:tc>
          <w:tcPr>
            <w:tcW w:w="7226" w:type="dxa"/>
            <w:vAlign w:val="center"/>
          </w:tcPr>
          <w:p w:rsidRPr="00DD03B8" w:rsidR="0083659B" w:rsidP="00145F71" w:rsidRDefault="0083659B" w14:paraId="04D9E7C8" w14:textId="069D8319">
            <w:pPr>
              <w:rPr>
                <w:b/>
              </w:rPr>
            </w:pPr>
            <w:r w:rsidRPr="00DD03B8">
              <w:t>Applicant submitted sufficient information regarding product pertinent to evaluation of potential radiation exposure to demonstrate that the product will meet the safety criteria set forth in 10 CFR 32.</w:t>
            </w:r>
            <w:r w:rsidRPr="00DD03B8" w:rsidR="00A46F58">
              <w:t>3</w:t>
            </w:r>
            <w:r w:rsidRPr="00DD03B8" w:rsidR="00ED15FC">
              <w:t>4</w:t>
            </w:r>
            <w:r w:rsidRPr="00DD03B8">
              <w:t>, including:</w:t>
            </w:r>
          </w:p>
        </w:tc>
        <w:tc>
          <w:tcPr>
            <w:tcW w:w="1427" w:type="dxa"/>
            <w:vAlign w:val="center"/>
          </w:tcPr>
          <w:p w:rsidRPr="00DD03B8" w:rsidR="0083659B" w:rsidP="00145F71" w:rsidRDefault="0083659B" w14:paraId="369D9329" w14:textId="2AFA4AED">
            <w:pPr>
              <w:jc w:val="center"/>
              <w:rPr>
                <w:b/>
              </w:rPr>
            </w:pPr>
            <w:r w:rsidRPr="00DD03B8">
              <w:t>[  ]</w:t>
            </w:r>
          </w:p>
        </w:tc>
      </w:tr>
      <w:tr w:rsidRPr="00DD03B8" w:rsidR="002019BD" w:rsidTr="0075199F" w14:paraId="062DFD98" w14:textId="77777777">
        <w:trPr>
          <w:cantSplit/>
          <w:trHeight w:val="288"/>
        </w:trPr>
        <w:tc>
          <w:tcPr>
            <w:tcW w:w="720" w:type="dxa"/>
            <w:vAlign w:val="center"/>
          </w:tcPr>
          <w:p w:rsidRPr="00DD03B8" w:rsidR="0083659B" w:rsidP="00145F71" w:rsidRDefault="0083659B" w14:paraId="27EE645E" w14:textId="77777777">
            <w:pPr>
              <w:jc w:val="right"/>
              <w:rPr>
                <w:b/>
              </w:rPr>
            </w:pPr>
            <w:r w:rsidRPr="00DD03B8">
              <w:t>1.</w:t>
            </w:r>
          </w:p>
        </w:tc>
        <w:tc>
          <w:tcPr>
            <w:tcW w:w="7226" w:type="dxa"/>
            <w:vAlign w:val="center"/>
          </w:tcPr>
          <w:p w:rsidRPr="00DD03B8" w:rsidR="0083659B" w:rsidP="00145F71" w:rsidRDefault="0083659B" w14:paraId="7F8D2484" w14:textId="3243D491">
            <w:pPr>
              <w:rPr>
                <w:b/>
              </w:rPr>
            </w:pPr>
            <w:r w:rsidRPr="00DD03B8">
              <w:t xml:space="preserve">Description of the product and its intended use or uses </w:t>
            </w:r>
            <w:r w:rsidRPr="00DD03B8">
              <w:br/>
              <w:t>(conforms to class)</w:t>
            </w:r>
          </w:p>
        </w:tc>
        <w:tc>
          <w:tcPr>
            <w:tcW w:w="1427" w:type="dxa"/>
            <w:vAlign w:val="center"/>
          </w:tcPr>
          <w:p w:rsidRPr="00DD03B8" w:rsidR="0083659B" w:rsidP="00145F71" w:rsidRDefault="0083659B" w14:paraId="64BEC8E6" w14:textId="5F192AA8">
            <w:pPr>
              <w:jc w:val="center"/>
              <w:rPr>
                <w:b/>
              </w:rPr>
            </w:pPr>
            <w:r w:rsidRPr="00DD03B8">
              <w:t>[  ]</w:t>
            </w:r>
          </w:p>
        </w:tc>
      </w:tr>
      <w:tr w:rsidRPr="00DD03B8" w:rsidR="002019BD" w:rsidTr="0075199F" w14:paraId="7583A9D1" w14:textId="77777777">
        <w:trPr>
          <w:cantSplit/>
          <w:trHeight w:val="288"/>
        </w:trPr>
        <w:tc>
          <w:tcPr>
            <w:tcW w:w="720" w:type="dxa"/>
            <w:vAlign w:val="center"/>
          </w:tcPr>
          <w:p w:rsidRPr="00DD03B8" w:rsidR="0083659B" w:rsidP="00145F71" w:rsidRDefault="0083659B" w14:paraId="2D66621F" w14:textId="77777777">
            <w:pPr>
              <w:jc w:val="right"/>
              <w:rPr>
                <w:b/>
              </w:rPr>
            </w:pPr>
            <w:r w:rsidRPr="00DD03B8">
              <w:t>2.</w:t>
            </w:r>
          </w:p>
        </w:tc>
        <w:tc>
          <w:tcPr>
            <w:tcW w:w="7226" w:type="dxa"/>
            <w:vAlign w:val="center"/>
          </w:tcPr>
          <w:p w:rsidRPr="00DD03B8" w:rsidR="0083659B" w:rsidP="00145F71" w:rsidRDefault="0083659B" w14:paraId="4BCF180D" w14:textId="77777777">
            <w:pPr>
              <w:rPr>
                <w:b/>
              </w:rPr>
            </w:pPr>
            <w:r w:rsidRPr="00DD03B8">
              <w:t>Type and quantity of byproduct material in each unit</w:t>
            </w:r>
          </w:p>
        </w:tc>
        <w:tc>
          <w:tcPr>
            <w:tcW w:w="1427" w:type="dxa"/>
            <w:vAlign w:val="center"/>
          </w:tcPr>
          <w:p w:rsidRPr="00DD03B8" w:rsidR="0083659B" w:rsidP="00145F71" w:rsidRDefault="0083659B" w14:paraId="62DA8DED" w14:textId="63865096">
            <w:pPr>
              <w:jc w:val="center"/>
              <w:rPr>
                <w:b/>
              </w:rPr>
            </w:pPr>
            <w:r w:rsidRPr="00DD03B8">
              <w:t>[  ]</w:t>
            </w:r>
          </w:p>
        </w:tc>
      </w:tr>
      <w:tr w:rsidRPr="00DD03B8" w:rsidR="002019BD" w:rsidTr="0075199F" w14:paraId="3B5DED67" w14:textId="77777777">
        <w:trPr>
          <w:cantSplit/>
          <w:trHeight w:val="288"/>
        </w:trPr>
        <w:tc>
          <w:tcPr>
            <w:tcW w:w="720" w:type="dxa"/>
            <w:vAlign w:val="center"/>
          </w:tcPr>
          <w:p w:rsidRPr="00DD03B8" w:rsidR="0083659B" w:rsidP="00145F71" w:rsidRDefault="0083659B" w14:paraId="5716A645" w14:textId="77777777">
            <w:pPr>
              <w:jc w:val="right"/>
              <w:rPr>
                <w:b/>
              </w:rPr>
            </w:pPr>
            <w:r w:rsidRPr="00DD03B8">
              <w:t>3.</w:t>
            </w:r>
          </w:p>
        </w:tc>
        <w:tc>
          <w:tcPr>
            <w:tcW w:w="7226" w:type="dxa"/>
            <w:vAlign w:val="center"/>
          </w:tcPr>
          <w:p w:rsidRPr="00DD03B8" w:rsidR="0083659B" w:rsidP="00145F71" w:rsidRDefault="0083659B" w14:paraId="1AF57BE9" w14:textId="455AE431">
            <w:pPr>
              <w:rPr>
                <w:b/>
              </w:rPr>
            </w:pPr>
            <w:r w:rsidRPr="00DD03B8">
              <w:t xml:space="preserve">Chemical and physical form of the byproduct material in the product and changes in chemical and physical form that may occur during the useful life of the </w:t>
            </w:r>
            <w:r w:rsidRPr="00DD03B8" w:rsidR="00BF2633">
              <w:t>product</w:t>
            </w:r>
          </w:p>
        </w:tc>
        <w:tc>
          <w:tcPr>
            <w:tcW w:w="1427" w:type="dxa"/>
            <w:vAlign w:val="center"/>
          </w:tcPr>
          <w:p w:rsidRPr="00DD03B8" w:rsidR="0083659B" w:rsidP="00145F71" w:rsidRDefault="0083659B" w14:paraId="569F6120" w14:textId="32CE775D">
            <w:pPr>
              <w:jc w:val="center"/>
              <w:rPr>
                <w:b/>
              </w:rPr>
            </w:pPr>
            <w:r w:rsidRPr="00DD03B8">
              <w:t>[  ]</w:t>
            </w:r>
          </w:p>
        </w:tc>
      </w:tr>
      <w:tr w:rsidRPr="00DD03B8" w:rsidR="002019BD" w:rsidTr="0075199F" w14:paraId="5832E6DF" w14:textId="77777777">
        <w:trPr>
          <w:cantSplit/>
          <w:trHeight w:val="288"/>
        </w:trPr>
        <w:tc>
          <w:tcPr>
            <w:tcW w:w="720" w:type="dxa"/>
            <w:vAlign w:val="center"/>
          </w:tcPr>
          <w:p w:rsidRPr="00DD03B8" w:rsidR="0083659B" w:rsidP="00145F71" w:rsidRDefault="0083659B" w14:paraId="1D696E06" w14:textId="77777777">
            <w:pPr>
              <w:jc w:val="right"/>
              <w:rPr>
                <w:b/>
              </w:rPr>
            </w:pPr>
            <w:r w:rsidRPr="00DD03B8">
              <w:t>4.</w:t>
            </w:r>
          </w:p>
        </w:tc>
        <w:tc>
          <w:tcPr>
            <w:tcW w:w="7226" w:type="dxa"/>
            <w:vAlign w:val="center"/>
          </w:tcPr>
          <w:p w:rsidRPr="00DD03B8" w:rsidR="0083659B" w:rsidP="00145F71" w:rsidRDefault="0083659B" w14:paraId="70AE9B57" w14:textId="77777777">
            <w:pPr>
              <w:rPr>
                <w:b/>
              </w:rPr>
            </w:pPr>
            <w:r w:rsidRPr="00DD03B8">
              <w:t>Solubility in water and body fluids of the forms of the identified byproduct material</w:t>
            </w:r>
          </w:p>
        </w:tc>
        <w:tc>
          <w:tcPr>
            <w:tcW w:w="1427" w:type="dxa"/>
            <w:vAlign w:val="center"/>
          </w:tcPr>
          <w:p w:rsidRPr="00DD03B8" w:rsidR="0083659B" w:rsidP="00145F71" w:rsidRDefault="0083659B" w14:paraId="758A5D86" w14:textId="35C601B4">
            <w:pPr>
              <w:jc w:val="center"/>
              <w:rPr>
                <w:b/>
              </w:rPr>
            </w:pPr>
            <w:r w:rsidRPr="00DD03B8">
              <w:t>[  ]</w:t>
            </w:r>
          </w:p>
        </w:tc>
      </w:tr>
      <w:tr w:rsidRPr="00DD03B8" w:rsidR="002019BD" w:rsidTr="0075199F" w14:paraId="1512A6B1" w14:textId="77777777">
        <w:trPr>
          <w:cantSplit/>
          <w:trHeight w:val="288"/>
        </w:trPr>
        <w:tc>
          <w:tcPr>
            <w:tcW w:w="720" w:type="dxa"/>
            <w:vAlign w:val="center"/>
          </w:tcPr>
          <w:p w:rsidRPr="00DD03B8" w:rsidR="0083659B" w:rsidP="00145F71" w:rsidRDefault="0083659B" w14:paraId="33CFE955" w14:textId="77777777">
            <w:pPr>
              <w:jc w:val="right"/>
              <w:rPr>
                <w:b/>
              </w:rPr>
            </w:pPr>
            <w:r w:rsidRPr="00DD03B8">
              <w:t>5.</w:t>
            </w:r>
          </w:p>
        </w:tc>
        <w:tc>
          <w:tcPr>
            <w:tcW w:w="7226" w:type="dxa"/>
            <w:vAlign w:val="center"/>
          </w:tcPr>
          <w:p w:rsidRPr="00DD03B8" w:rsidR="0083659B" w:rsidP="00145F71" w:rsidRDefault="0083659B" w14:paraId="4A372012" w14:textId="5B6BD025">
            <w:pPr>
              <w:rPr>
                <w:b/>
              </w:rPr>
            </w:pPr>
            <w:r w:rsidRPr="00DD03B8">
              <w:t xml:space="preserve">Details of construction and design of the </w:t>
            </w:r>
            <w:r w:rsidRPr="00DD03B8" w:rsidR="009319A1">
              <w:t>item</w:t>
            </w:r>
            <w:r w:rsidRPr="00DD03B8">
              <w:t xml:space="preserve"> as related to safety features under normal and severe conditions of handling, storage, use, and disposal of the </w:t>
            </w:r>
            <w:r w:rsidRPr="00DD03B8" w:rsidR="00652F8C">
              <w:t xml:space="preserve">item </w:t>
            </w:r>
          </w:p>
        </w:tc>
        <w:tc>
          <w:tcPr>
            <w:tcW w:w="1427" w:type="dxa"/>
            <w:vAlign w:val="center"/>
          </w:tcPr>
          <w:p w:rsidRPr="00DD03B8" w:rsidR="0083659B" w:rsidP="00145F71" w:rsidRDefault="0083659B" w14:paraId="3FD6233D" w14:textId="083C24D8">
            <w:pPr>
              <w:jc w:val="center"/>
              <w:rPr>
                <w:b/>
              </w:rPr>
            </w:pPr>
            <w:r w:rsidRPr="00DD03B8">
              <w:t>[  ]</w:t>
            </w:r>
          </w:p>
        </w:tc>
      </w:tr>
      <w:tr w:rsidRPr="00DD03B8" w:rsidR="002019BD" w:rsidTr="0075199F" w14:paraId="096C644C" w14:textId="77777777">
        <w:trPr>
          <w:cantSplit/>
          <w:trHeight w:val="288"/>
        </w:trPr>
        <w:tc>
          <w:tcPr>
            <w:tcW w:w="720" w:type="dxa"/>
            <w:vAlign w:val="center"/>
          </w:tcPr>
          <w:p w:rsidRPr="00DD03B8" w:rsidR="0083659B" w:rsidP="00145F71" w:rsidRDefault="0083659B" w14:paraId="07918B60" w14:textId="77777777">
            <w:pPr>
              <w:jc w:val="right"/>
              <w:rPr>
                <w:b/>
              </w:rPr>
            </w:pPr>
            <w:r w:rsidRPr="00DD03B8">
              <w:t>6.</w:t>
            </w:r>
          </w:p>
        </w:tc>
        <w:tc>
          <w:tcPr>
            <w:tcW w:w="7226" w:type="dxa"/>
            <w:vAlign w:val="center"/>
          </w:tcPr>
          <w:p w:rsidRPr="00DD03B8" w:rsidR="0083659B" w:rsidP="00145F71" w:rsidRDefault="0083659B" w14:paraId="759CA8C1" w14:textId="77777777">
            <w:pPr>
              <w:rPr>
                <w:b/>
              </w:rPr>
            </w:pPr>
            <w:r w:rsidRPr="00DD03B8">
              <w:t>Maximum external radiation levels at 5 and 25 centimeters from any external surface of the product, averaged over an area not to exceed 10 square centimeters, and the method of measurement</w:t>
            </w:r>
          </w:p>
        </w:tc>
        <w:tc>
          <w:tcPr>
            <w:tcW w:w="1427" w:type="dxa"/>
            <w:vAlign w:val="center"/>
          </w:tcPr>
          <w:p w:rsidRPr="00DD03B8" w:rsidR="0083659B" w:rsidP="00145F71" w:rsidRDefault="0083659B" w14:paraId="1602EDE0" w14:textId="065E2CC4">
            <w:pPr>
              <w:jc w:val="center"/>
              <w:rPr>
                <w:b/>
              </w:rPr>
            </w:pPr>
            <w:r w:rsidRPr="00DD03B8">
              <w:t>[  ]</w:t>
            </w:r>
          </w:p>
        </w:tc>
      </w:tr>
      <w:tr w:rsidRPr="00DD03B8" w:rsidR="002019BD" w:rsidTr="0075199F" w14:paraId="3DD7FD69" w14:textId="77777777">
        <w:trPr>
          <w:cantSplit/>
          <w:trHeight w:val="288"/>
        </w:trPr>
        <w:tc>
          <w:tcPr>
            <w:tcW w:w="720" w:type="dxa"/>
            <w:vAlign w:val="center"/>
          </w:tcPr>
          <w:p w:rsidRPr="00DD03B8" w:rsidR="0083659B" w:rsidP="00145F71" w:rsidRDefault="0083659B" w14:paraId="1E507ABF" w14:textId="77777777">
            <w:pPr>
              <w:jc w:val="right"/>
              <w:rPr>
                <w:b/>
              </w:rPr>
            </w:pPr>
            <w:r w:rsidRPr="00DD03B8">
              <w:t>7.</w:t>
            </w:r>
          </w:p>
        </w:tc>
        <w:tc>
          <w:tcPr>
            <w:tcW w:w="7226" w:type="dxa"/>
            <w:vAlign w:val="center"/>
          </w:tcPr>
          <w:p w:rsidRPr="00DD03B8" w:rsidR="0083659B" w:rsidP="00145F71" w:rsidRDefault="0083659B" w14:paraId="1081C1A3" w14:textId="77777777">
            <w:pPr>
              <w:rPr>
                <w:b/>
              </w:rPr>
            </w:pPr>
            <w:r w:rsidRPr="00DD03B8">
              <w:t>Degree of access of human beings to the product during normal handling and use</w:t>
            </w:r>
          </w:p>
        </w:tc>
        <w:tc>
          <w:tcPr>
            <w:tcW w:w="1427" w:type="dxa"/>
            <w:vAlign w:val="center"/>
          </w:tcPr>
          <w:p w:rsidRPr="00DD03B8" w:rsidR="0083659B" w:rsidP="00145F71" w:rsidRDefault="0083659B" w14:paraId="5CEE524B" w14:textId="65E81AD1">
            <w:pPr>
              <w:jc w:val="center"/>
              <w:rPr>
                <w:b/>
              </w:rPr>
            </w:pPr>
            <w:r w:rsidRPr="00DD03B8">
              <w:t>[  ]</w:t>
            </w:r>
          </w:p>
        </w:tc>
      </w:tr>
      <w:tr w:rsidRPr="00DD03B8" w:rsidR="002019BD" w:rsidTr="0075199F" w14:paraId="0060ED4B" w14:textId="77777777">
        <w:trPr>
          <w:cantSplit/>
          <w:trHeight w:val="288"/>
        </w:trPr>
        <w:tc>
          <w:tcPr>
            <w:tcW w:w="720" w:type="dxa"/>
            <w:vAlign w:val="center"/>
          </w:tcPr>
          <w:p w:rsidRPr="00DD03B8" w:rsidR="0083659B" w:rsidP="003960E1" w:rsidRDefault="0083659B" w14:paraId="222169C8" w14:textId="77777777">
            <w:pPr>
              <w:jc w:val="right"/>
              <w:rPr>
                <w:b/>
              </w:rPr>
            </w:pPr>
            <w:r w:rsidRPr="00DD03B8">
              <w:t>8.</w:t>
            </w:r>
          </w:p>
        </w:tc>
        <w:tc>
          <w:tcPr>
            <w:tcW w:w="7226" w:type="dxa"/>
            <w:vAlign w:val="center"/>
          </w:tcPr>
          <w:p w:rsidRPr="00DD03B8" w:rsidR="0083659B" w:rsidP="003960E1" w:rsidRDefault="0083659B" w14:paraId="76E3DFD1" w14:textId="7F082F04">
            <w:pPr>
              <w:rPr>
                <w:b/>
              </w:rPr>
            </w:pPr>
            <w:r w:rsidRPr="00DD03B8">
              <w:t xml:space="preserve">Total quantity of byproduct material expected to be distributed in the </w:t>
            </w:r>
            <w:r w:rsidRPr="00DD03B8" w:rsidR="0047285B">
              <w:t>item</w:t>
            </w:r>
            <w:r w:rsidRPr="00DD03B8">
              <w:t>s annually</w:t>
            </w:r>
          </w:p>
        </w:tc>
        <w:tc>
          <w:tcPr>
            <w:tcW w:w="1427" w:type="dxa"/>
          </w:tcPr>
          <w:p w:rsidRPr="00DD03B8" w:rsidR="0083659B" w:rsidP="003960E1" w:rsidRDefault="0083659B" w14:paraId="1F0E3DAE" w14:textId="1459A5EF">
            <w:pPr>
              <w:jc w:val="center"/>
              <w:rPr>
                <w:b/>
              </w:rPr>
            </w:pPr>
            <w:r w:rsidRPr="00DD03B8">
              <w:t>[  ]</w:t>
            </w:r>
          </w:p>
        </w:tc>
      </w:tr>
      <w:tr w:rsidRPr="00DD03B8" w:rsidR="002019BD" w:rsidTr="0075199F" w14:paraId="6BF4C8BF" w14:textId="77777777">
        <w:trPr>
          <w:cantSplit/>
          <w:trHeight w:val="288"/>
        </w:trPr>
        <w:tc>
          <w:tcPr>
            <w:tcW w:w="720" w:type="dxa"/>
            <w:vAlign w:val="center"/>
          </w:tcPr>
          <w:p w:rsidRPr="00DD03B8" w:rsidR="0083659B" w:rsidP="003960E1" w:rsidRDefault="0083659B" w14:paraId="217C08C0" w14:textId="77777777">
            <w:pPr>
              <w:jc w:val="right"/>
              <w:rPr>
                <w:b/>
              </w:rPr>
            </w:pPr>
            <w:r w:rsidRPr="00DD03B8">
              <w:t>9.</w:t>
            </w:r>
          </w:p>
        </w:tc>
        <w:tc>
          <w:tcPr>
            <w:tcW w:w="7226" w:type="dxa"/>
            <w:vAlign w:val="center"/>
          </w:tcPr>
          <w:p w:rsidRPr="00DD03B8" w:rsidR="0083659B" w:rsidP="003960E1" w:rsidRDefault="0083659B" w14:paraId="2E687190" w14:textId="77777777">
            <w:pPr>
              <w:rPr>
                <w:b/>
              </w:rPr>
            </w:pPr>
            <w:r w:rsidRPr="00DD03B8">
              <w:t>Expected useful life of the product</w:t>
            </w:r>
          </w:p>
        </w:tc>
        <w:tc>
          <w:tcPr>
            <w:tcW w:w="1427" w:type="dxa"/>
          </w:tcPr>
          <w:p w:rsidRPr="00DD03B8" w:rsidR="0083659B" w:rsidP="003960E1" w:rsidRDefault="0083659B" w14:paraId="77D971EF" w14:textId="4E3F8BC7">
            <w:pPr>
              <w:jc w:val="center"/>
              <w:rPr>
                <w:b/>
              </w:rPr>
            </w:pPr>
            <w:r w:rsidRPr="00DD03B8">
              <w:t>[  ]</w:t>
            </w:r>
          </w:p>
        </w:tc>
      </w:tr>
      <w:tr w:rsidRPr="00DD03B8" w:rsidR="002019BD" w:rsidTr="0075199F" w14:paraId="4C1630B6" w14:textId="77777777">
        <w:trPr>
          <w:cantSplit/>
          <w:trHeight w:val="288"/>
        </w:trPr>
        <w:tc>
          <w:tcPr>
            <w:tcW w:w="720" w:type="dxa"/>
            <w:vAlign w:val="center"/>
          </w:tcPr>
          <w:p w:rsidRPr="00DD03B8" w:rsidR="0083659B" w:rsidP="003960E1" w:rsidRDefault="0083659B" w14:paraId="28C62905" w14:textId="77777777">
            <w:pPr>
              <w:jc w:val="right"/>
              <w:rPr>
                <w:b/>
              </w:rPr>
            </w:pPr>
            <w:r w:rsidRPr="00DD03B8">
              <w:t>10.</w:t>
            </w:r>
          </w:p>
        </w:tc>
        <w:tc>
          <w:tcPr>
            <w:tcW w:w="7226" w:type="dxa"/>
            <w:vAlign w:val="center"/>
          </w:tcPr>
          <w:p w:rsidRPr="00DD03B8" w:rsidR="0083659B" w:rsidP="003960E1" w:rsidRDefault="00012E11" w14:paraId="5520725E" w14:textId="64F8D138">
            <w:pPr>
              <w:rPr>
                <w:b/>
              </w:rPr>
            </w:pPr>
            <w:r w:rsidRPr="00DD03B8">
              <w:t>M</w:t>
            </w:r>
            <w:r w:rsidRPr="00DD03B8" w:rsidR="004321AA">
              <w:rPr>
                <w:rStyle w:val="normaltextrun"/>
                <w:sz w:val="21"/>
                <w:szCs w:val="21"/>
              </w:rPr>
              <w:t>ethod</w:t>
            </w:r>
            <w:r w:rsidRPr="00DD03B8">
              <w:rPr>
                <w:rStyle w:val="normaltextrun"/>
                <w:sz w:val="21"/>
                <w:szCs w:val="21"/>
              </w:rPr>
              <w:t>s</w:t>
            </w:r>
            <w:r w:rsidRPr="00DD03B8" w:rsidR="004321AA">
              <w:rPr>
                <w:rStyle w:val="normaltextrun"/>
                <w:sz w:val="21"/>
                <w:szCs w:val="21"/>
              </w:rPr>
              <w:t xml:space="preserve"> of labeling or marking each</w:t>
            </w:r>
            <w:r w:rsidR="001D1973">
              <w:rPr>
                <w:rStyle w:val="normaltextrun"/>
                <w:sz w:val="21"/>
                <w:szCs w:val="21"/>
              </w:rPr>
              <w:t xml:space="preserve"> </w:t>
            </w:r>
            <w:proofErr w:type="gramStart"/>
            <w:r w:rsidRPr="00DD03B8" w:rsidR="004321AA">
              <w:rPr>
                <w:rStyle w:val="normaltextrun"/>
              </w:rPr>
              <w:t>point of sale</w:t>
            </w:r>
            <w:proofErr w:type="gramEnd"/>
            <w:r w:rsidRPr="00DD03B8" w:rsidR="004321AA">
              <w:rPr>
                <w:rStyle w:val="normaltextrun"/>
              </w:rPr>
              <w:t xml:space="preserve"> package</w:t>
            </w:r>
            <w:r w:rsidRPr="00DD03B8" w:rsidR="00506902">
              <w:rPr>
                <w:rStyle w:val="normaltextrun"/>
                <w:vertAlign w:val="superscript"/>
              </w:rPr>
              <w:t>1</w:t>
            </w:r>
            <w:r w:rsidRPr="001D1973" w:rsidR="001D1973">
              <w:rPr>
                <w:rStyle w:val="normaltextrun"/>
              </w:rPr>
              <w:t xml:space="preserve"> </w:t>
            </w:r>
            <w:r w:rsidRPr="00DD03B8" w:rsidR="004321AA">
              <w:rPr>
                <w:rStyle w:val="normaltextrun"/>
              </w:rPr>
              <w:t>and, if feasible,</w:t>
            </w:r>
            <w:r w:rsidR="001D1973">
              <w:rPr>
                <w:rStyle w:val="normaltextrun"/>
              </w:rPr>
              <w:t xml:space="preserve"> </w:t>
            </w:r>
            <w:r w:rsidRPr="00DD03B8" w:rsidR="004321AA">
              <w:rPr>
                <w:rStyle w:val="normaltextrun"/>
                <w:sz w:val="21"/>
                <w:szCs w:val="21"/>
              </w:rPr>
              <w:t xml:space="preserve">each unit, </w:t>
            </w:r>
            <w:r w:rsidRPr="00DD03B8" w:rsidR="004321AA">
              <w:t>to satisfy the requirements of 10 CFR 32.35(b)</w:t>
            </w:r>
          </w:p>
        </w:tc>
        <w:tc>
          <w:tcPr>
            <w:tcW w:w="1427" w:type="dxa"/>
          </w:tcPr>
          <w:p w:rsidRPr="00DD03B8" w:rsidR="0083659B" w:rsidP="003960E1" w:rsidRDefault="0083659B" w14:paraId="58D059E9" w14:textId="76E235D8">
            <w:pPr>
              <w:jc w:val="center"/>
              <w:rPr>
                <w:b/>
              </w:rPr>
            </w:pPr>
            <w:r w:rsidRPr="00DD03B8">
              <w:t>[  ]</w:t>
            </w:r>
          </w:p>
        </w:tc>
      </w:tr>
      <w:tr w:rsidRPr="00DD03B8" w:rsidR="002019BD" w:rsidTr="0075199F" w14:paraId="36E4CD52" w14:textId="77777777">
        <w:trPr>
          <w:cantSplit/>
          <w:trHeight w:val="288"/>
        </w:trPr>
        <w:tc>
          <w:tcPr>
            <w:tcW w:w="720" w:type="dxa"/>
            <w:vAlign w:val="center"/>
          </w:tcPr>
          <w:p w:rsidRPr="00DD03B8" w:rsidR="0083659B" w:rsidP="003960E1" w:rsidRDefault="0083659B" w14:paraId="0A5793A2" w14:textId="77777777">
            <w:pPr>
              <w:jc w:val="right"/>
              <w:rPr>
                <w:b/>
              </w:rPr>
            </w:pPr>
            <w:r w:rsidRPr="00DD03B8">
              <w:t>11.</w:t>
            </w:r>
          </w:p>
        </w:tc>
        <w:tc>
          <w:tcPr>
            <w:tcW w:w="7226" w:type="dxa"/>
            <w:vAlign w:val="center"/>
          </w:tcPr>
          <w:p w:rsidRPr="00DD03B8" w:rsidR="0083659B" w:rsidP="003960E1" w:rsidRDefault="0083659B" w14:paraId="5CC75556" w14:textId="23C299D1">
            <w:pPr>
              <w:rPr>
                <w:b/>
              </w:rPr>
            </w:pPr>
            <w:r w:rsidRPr="00DD03B8">
              <w:t xml:space="preserve">Procedures for and results of prototype testing of the </w:t>
            </w:r>
            <w:r w:rsidRPr="00DD03B8" w:rsidR="00CC4083">
              <w:t>item</w:t>
            </w:r>
          </w:p>
        </w:tc>
        <w:tc>
          <w:tcPr>
            <w:tcW w:w="1427" w:type="dxa"/>
          </w:tcPr>
          <w:p w:rsidRPr="00DD03B8" w:rsidR="0083659B" w:rsidP="003960E1" w:rsidRDefault="0083659B" w14:paraId="6621B9E1" w14:textId="5F389687">
            <w:pPr>
              <w:jc w:val="center"/>
              <w:rPr>
                <w:b/>
              </w:rPr>
            </w:pPr>
            <w:r w:rsidRPr="00DD03B8">
              <w:t>[  ]</w:t>
            </w:r>
          </w:p>
        </w:tc>
      </w:tr>
      <w:tr w:rsidRPr="00DD03B8" w:rsidR="002019BD" w:rsidTr="0075199F" w14:paraId="4E0BC7BD" w14:textId="77777777">
        <w:trPr>
          <w:cantSplit/>
          <w:trHeight w:val="288"/>
        </w:trPr>
        <w:tc>
          <w:tcPr>
            <w:tcW w:w="720" w:type="dxa"/>
            <w:vAlign w:val="center"/>
          </w:tcPr>
          <w:p w:rsidRPr="00DD03B8" w:rsidR="0083659B" w:rsidP="003960E1" w:rsidRDefault="0083659B" w14:paraId="02A5A1CD" w14:textId="77777777">
            <w:pPr>
              <w:jc w:val="right"/>
              <w:rPr>
                <w:b/>
              </w:rPr>
            </w:pPr>
            <w:r w:rsidRPr="00DD03B8">
              <w:t>12.</w:t>
            </w:r>
          </w:p>
        </w:tc>
        <w:tc>
          <w:tcPr>
            <w:tcW w:w="7226" w:type="dxa"/>
            <w:vAlign w:val="center"/>
          </w:tcPr>
          <w:p w:rsidRPr="00DD03B8" w:rsidR="0083659B" w:rsidP="003960E1" w:rsidRDefault="0083659B" w14:paraId="273CF53D" w14:textId="28BD8CAF">
            <w:pPr>
              <w:rPr>
                <w:b/>
              </w:rPr>
            </w:pPr>
            <w:r w:rsidRPr="00DD03B8">
              <w:t>The estimated external radiation doses and dose commitment resulting from the intake of byproduct material in any one year relevant to the safety criteria in 10 CFR 32.</w:t>
            </w:r>
            <w:r w:rsidRPr="00DD03B8" w:rsidR="000A3C6F">
              <w:t xml:space="preserve">34 </w:t>
            </w:r>
            <w:r w:rsidRPr="00DD03B8">
              <w:t xml:space="preserve">and the basis for these estimates </w:t>
            </w:r>
            <w:r w:rsidR="000D6AF8">
              <w:t>(</w:t>
            </w:r>
            <w:r w:rsidRPr="00DD03B8">
              <w:t>Use</w:t>
            </w:r>
            <w:r w:rsidR="000D6AF8">
              <w:t xml:space="preserve"> </w:t>
            </w:r>
            <w:r w:rsidRPr="00DD03B8">
              <w:t>table in Appendix E of this NUREG</w:t>
            </w:r>
            <w:r w:rsidR="000D6AF8">
              <w:t>)</w:t>
            </w:r>
          </w:p>
        </w:tc>
        <w:tc>
          <w:tcPr>
            <w:tcW w:w="1427" w:type="dxa"/>
          </w:tcPr>
          <w:p w:rsidRPr="00DD03B8" w:rsidR="0083659B" w:rsidP="003960E1" w:rsidRDefault="0083659B" w14:paraId="6898EEBD" w14:textId="18F3AB03">
            <w:pPr>
              <w:jc w:val="center"/>
              <w:rPr>
                <w:b/>
              </w:rPr>
            </w:pPr>
            <w:r w:rsidRPr="00DD03B8">
              <w:t>[  ]</w:t>
            </w:r>
          </w:p>
        </w:tc>
      </w:tr>
      <w:tr w:rsidRPr="00DD03B8" w:rsidR="002019BD" w:rsidTr="0075199F" w14:paraId="74779796" w14:textId="77777777">
        <w:trPr>
          <w:cantSplit/>
          <w:trHeight w:val="288"/>
        </w:trPr>
        <w:tc>
          <w:tcPr>
            <w:tcW w:w="720" w:type="dxa"/>
            <w:vAlign w:val="center"/>
          </w:tcPr>
          <w:p w:rsidRPr="00DD03B8" w:rsidR="0083659B" w:rsidP="003960E1" w:rsidRDefault="0083659B" w14:paraId="34FA79E6" w14:textId="77777777">
            <w:pPr>
              <w:jc w:val="right"/>
              <w:rPr>
                <w:b/>
              </w:rPr>
            </w:pPr>
            <w:r w:rsidRPr="00DD03B8">
              <w:t>13.</w:t>
            </w:r>
          </w:p>
        </w:tc>
        <w:tc>
          <w:tcPr>
            <w:tcW w:w="7226" w:type="dxa"/>
            <w:vAlign w:val="center"/>
          </w:tcPr>
          <w:p w:rsidRPr="00DD03B8" w:rsidR="0083659B" w:rsidP="003960E1" w:rsidRDefault="0083659B" w14:paraId="0823370A" w14:textId="1C90095A">
            <w:pPr>
              <w:rPr>
                <w:b/>
              </w:rPr>
            </w:pPr>
            <w:r w:rsidRPr="00DD03B8">
              <w:t>A determination that the probabilities with respect to the doses referred to in 10 CFR 32.</w:t>
            </w:r>
            <w:r w:rsidRPr="00DD03B8" w:rsidR="00262417">
              <w:t>34</w:t>
            </w:r>
            <w:r w:rsidRPr="00DD03B8">
              <w:t xml:space="preserve"> meet the criteria of that paragraph</w:t>
            </w:r>
          </w:p>
        </w:tc>
        <w:tc>
          <w:tcPr>
            <w:tcW w:w="1427" w:type="dxa"/>
          </w:tcPr>
          <w:p w:rsidRPr="00DD03B8" w:rsidR="0083659B" w:rsidP="003960E1" w:rsidRDefault="0083659B" w14:paraId="4A031CE0" w14:textId="56F45021">
            <w:pPr>
              <w:jc w:val="center"/>
              <w:rPr>
                <w:b/>
              </w:rPr>
            </w:pPr>
            <w:r w:rsidRPr="00DD03B8">
              <w:t>[  ]</w:t>
            </w:r>
          </w:p>
        </w:tc>
      </w:tr>
      <w:tr w:rsidRPr="00DD03B8" w:rsidR="002019BD" w:rsidTr="0075199F" w14:paraId="0D988257" w14:textId="77777777">
        <w:trPr>
          <w:cantSplit/>
          <w:trHeight w:val="288"/>
        </w:trPr>
        <w:tc>
          <w:tcPr>
            <w:tcW w:w="720" w:type="dxa"/>
            <w:vAlign w:val="center"/>
          </w:tcPr>
          <w:p w:rsidRPr="00DD03B8" w:rsidR="0083659B" w:rsidP="003960E1" w:rsidRDefault="0083659B" w14:paraId="2AFF4A02" w14:textId="77777777">
            <w:pPr>
              <w:jc w:val="right"/>
              <w:rPr>
                <w:b/>
              </w:rPr>
            </w:pPr>
            <w:r w:rsidRPr="00DD03B8">
              <w:t>14.</w:t>
            </w:r>
          </w:p>
        </w:tc>
        <w:tc>
          <w:tcPr>
            <w:tcW w:w="7226" w:type="dxa"/>
            <w:vAlign w:val="center"/>
          </w:tcPr>
          <w:p w:rsidRPr="00DD03B8" w:rsidR="0083659B" w:rsidP="003960E1" w:rsidRDefault="0083659B" w14:paraId="1EC6F397" w14:textId="77777777">
            <w:pPr>
              <w:rPr>
                <w:b/>
              </w:rPr>
            </w:pPr>
            <w:r w:rsidRPr="00DD03B8">
              <w:t>Quality control procedures to be followed in the fabrication of production lots of the products and the quality control standards the products will be required to meet</w:t>
            </w:r>
          </w:p>
        </w:tc>
        <w:tc>
          <w:tcPr>
            <w:tcW w:w="1427" w:type="dxa"/>
          </w:tcPr>
          <w:p w:rsidRPr="00DD03B8" w:rsidR="0083659B" w:rsidP="003960E1" w:rsidRDefault="0083659B" w14:paraId="517B988F" w14:textId="75B2EB1C">
            <w:pPr>
              <w:jc w:val="center"/>
              <w:rPr>
                <w:b/>
              </w:rPr>
            </w:pPr>
            <w:r w:rsidRPr="00DD03B8">
              <w:t>[  ]</w:t>
            </w:r>
          </w:p>
        </w:tc>
      </w:tr>
      <w:tr w:rsidRPr="00DD03B8" w:rsidR="002019BD" w:rsidTr="0075199F" w14:paraId="44DB8328" w14:textId="77777777">
        <w:trPr>
          <w:cantSplit/>
          <w:trHeight w:val="288"/>
        </w:trPr>
        <w:tc>
          <w:tcPr>
            <w:tcW w:w="720" w:type="dxa"/>
            <w:vAlign w:val="center"/>
          </w:tcPr>
          <w:p w:rsidRPr="00DD03B8" w:rsidR="0083659B" w:rsidP="003960E1" w:rsidRDefault="0083659B" w14:paraId="2ECCF5A9" w14:textId="77777777">
            <w:pPr>
              <w:jc w:val="right"/>
              <w:rPr>
                <w:b/>
              </w:rPr>
            </w:pPr>
            <w:r w:rsidRPr="00DD03B8">
              <w:t>15.</w:t>
            </w:r>
          </w:p>
        </w:tc>
        <w:tc>
          <w:tcPr>
            <w:tcW w:w="7226" w:type="dxa"/>
            <w:vAlign w:val="center"/>
          </w:tcPr>
          <w:p w:rsidRPr="00DD03B8" w:rsidR="0083659B" w:rsidP="003960E1" w:rsidRDefault="0083659B" w14:paraId="07F914C3" w14:textId="77B0F4F3">
            <w:pPr>
              <w:rPr>
                <w:b/>
              </w:rPr>
            </w:pPr>
            <w:r w:rsidRPr="00DD03B8">
              <w:t xml:space="preserve">Any additional information, including experimental studies and tests, if </w:t>
            </w:r>
            <w:r w:rsidRPr="00DD03B8" w:rsidR="0065672A">
              <w:t xml:space="preserve">requested </w:t>
            </w:r>
            <w:r w:rsidRPr="00DD03B8">
              <w:t>by the NRC</w:t>
            </w:r>
          </w:p>
        </w:tc>
        <w:tc>
          <w:tcPr>
            <w:tcW w:w="1427" w:type="dxa"/>
          </w:tcPr>
          <w:p w:rsidRPr="00DD03B8" w:rsidR="0083659B" w:rsidP="003960E1" w:rsidRDefault="0083659B" w14:paraId="799E3170" w14:textId="6BF28B4D">
            <w:pPr>
              <w:jc w:val="center"/>
              <w:rPr>
                <w:b/>
              </w:rPr>
            </w:pPr>
            <w:r w:rsidRPr="00DD03B8">
              <w:t>[  ]</w:t>
            </w:r>
          </w:p>
        </w:tc>
      </w:tr>
      <w:tr w:rsidRPr="00DD03B8" w:rsidR="002019BD" w:rsidTr="0075199F" w14:paraId="49A267CB" w14:textId="77777777">
        <w:trPr>
          <w:cantSplit/>
        </w:trPr>
        <w:tc>
          <w:tcPr>
            <w:tcW w:w="720" w:type="dxa"/>
            <w:vAlign w:val="center"/>
          </w:tcPr>
          <w:p w:rsidRPr="00DD03B8" w:rsidR="0083659B" w:rsidP="003960E1" w:rsidRDefault="0083659B" w14:paraId="34437DE8" w14:textId="77777777">
            <w:pPr>
              <w:rPr>
                <w:b/>
              </w:rPr>
            </w:pPr>
            <w:r w:rsidRPr="00DD03B8">
              <w:t>C</w:t>
            </w:r>
          </w:p>
        </w:tc>
        <w:tc>
          <w:tcPr>
            <w:tcW w:w="7226" w:type="dxa"/>
            <w:vAlign w:val="center"/>
          </w:tcPr>
          <w:p w:rsidRPr="00DD03B8" w:rsidR="0083659B" w:rsidP="003960E1" w:rsidRDefault="0083659B" w14:paraId="1C420819" w14:textId="0ACAEAFF">
            <w:pPr>
              <w:rPr>
                <w:b/>
              </w:rPr>
            </w:pPr>
            <w:r w:rsidRPr="00DD03B8">
              <w:t>Containment, shielding, and other safety features are not likely to be significantly impacted by likely wear and abuse during normal handling and use</w:t>
            </w:r>
          </w:p>
        </w:tc>
        <w:tc>
          <w:tcPr>
            <w:tcW w:w="1427" w:type="dxa"/>
            <w:vAlign w:val="center"/>
          </w:tcPr>
          <w:p w:rsidRPr="00DD03B8" w:rsidR="0083659B" w:rsidP="003960E1" w:rsidRDefault="0083659B" w14:paraId="2C3D6041" w14:textId="52D70C2C">
            <w:pPr>
              <w:jc w:val="center"/>
              <w:rPr>
                <w:b/>
              </w:rPr>
            </w:pPr>
            <w:r w:rsidRPr="00DD03B8">
              <w:t>[  ]</w:t>
            </w:r>
          </w:p>
        </w:tc>
      </w:tr>
      <w:tr w:rsidRPr="00DD03B8" w:rsidR="000D1A1D" w:rsidTr="0075199F" w14:paraId="7B3D687A" w14:textId="77777777">
        <w:trPr>
          <w:cantSplit/>
        </w:trPr>
        <w:tc>
          <w:tcPr>
            <w:tcW w:w="720" w:type="dxa"/>
            <w:vAlign w:val="center"/>
          </w:tcPr>
          <w:p w:rsidRPr="00DD03B8" w:rsidR="000D1A1D" w:rsidP="000D1A1D" w:rsidRDefault="000D1A1D" w14:paraId="5E307809" w14:textId="7B8F3C4C">
            <w:r w:rsidRPr="00DD03B8">
              <w:t>D</w:t>
            </w:r>
          </w:p>
        </w:tc>
        <w:tc>
          <w:tcPr>
            <w:tcW w:w="7226" w:type="dxa"/>
            <w:vAlign w:val="center"/>
          </w:tcPr>
          <w:p w:rsidRPr="00DD03B8" w:rsidR="000D1A1D" w:rsidP="000D1A1D" w:rsidRDefault="000D1A1D" w14:paraId="0479E09E" w14:textId="00005739">
            <w:r w:rsidRPr="00DD03B8">
              <w:t xml:space="preserve">Specific scenarios analyzed in dose assessment </w:t>
            </w:r>
            <w:r w:rsidR="00D461CE">
              <w:t>(</w:t>
            </w:r>
            <w:r w:rsidRPr="00DD03B8">
              <w:t>Use table in Appendix E of this NUREG</w:t>
            </w:r>
            <w:r w:rsidR="00D461CE">
              <w:t>)</w:t>
            </w:r>
          </w:p>
        </w:tc>
        <w:tc>
          <w:tcPr>
            <w:tcW w:w="1427" w:type="dxa"/>
            <w:vAlign w:val="center"/>
          </w:tcPr>
          <w:p w:rsidRPr="00DD03B8" w:rsidR="000D1A1D" w:rsidP="000D1A1D" w:rsidRDefault="000D1A1D" w14:paraId="52AABDBA" w14:textId="1759BD73">
            <w:pPr>
              <w:jc w:val="center"/>
            </w:pPr>
            <w:r w:rsidRPr="00DD03B8">
              <w:t>[  ]</w:t>
            </w:r>
          </w:p>
        </w:tc>
      </w:tr>
    </w:tbl>
    <w:p w:rsidR="00917510" w:rsidRDefault="00917510" w14:paraId="5BCD7F24" w14:textId="77777777">
      <w:pPr>
        <w:rPr>
          <w:sz w:val="26"/>
          <w:szCs w:val="26"/>
        </w:rPr>
        <w:sectPr w:rsidR="00917510" w:rsidSect="00CF7AD0">
          <w:pgSz w:w="12240" w:h="15840" w:code="1"/>
          <w:pgMar w:top="1440" w:right="1440" w:bottom="1440" w:left="1440" w:header="720" w:footer="720" w:gutter="0"/>
          <w:pgNumType w:start="1"/>
          <w:cols w:space="720"/>
          <w:noEndnote/>
          <w:titlePg/>
          <w:docGrid w:linePitch="326"/>
        </w:sectPr>
      </w:pPr>
    </w:p>
    <w:p w:rsidR="00513735" w:rsidP="003960E1" w:rsidRDefault="00513735" w14:paraId="19572E01" w14:textId="77777777">
      <w:pPr>
        <w:pStyle w:val="PrelimHds"/>
      </w:pPr>
    </w:p>
    <w:p w:rsidR="003960E1" w:rsidP="003960E1" w:rsidRDefault="003960E1" w14:paraId="6B9F3AF7" w14:textId="77777777">
      <w:pPr>
        <w:pStyle w:val="PrelimHds"/>
      </w:pPr>
    </w:p>
    <w:p w:rsidR="00EE4B1C" w:rsidP="003960E1" w:rsidRDefault="00EE4B1C" w14:paraId="39AD65B7" w14:textId="77777777">
      <w:pPr>
        <w:pStyle w:val="PrelimHds"/>
      </w:pPr>
    </w:p>
    <w:p w:rsidR="00EE4B1C" w:rsidP="003960E1" w:rsidRDefault="00EE4B1C" w14:paraId="181F15A2" w14:textId="77777777">
      <w:pPr>
        <w:pStyle w:val="PrelimHds"/>
      </w:pPr>
    </w:p>
    <w:p w:rsidR="00EE4B1C" w:rsidP="003960E1" w:rsidRDefault="00EE4B1C" w14:paraId="01D79F57" w14:textId="77777777">
      <w:pPr>
        <w:pStyle w:val="PrelimHds"/>
      </w:pPr>
    </w:p>
    <w:p w:rsidR="00EE4B1C" w:rsidP="003960E1" w:rsidRDefault="00EE4B1C" w14:paraId="07C20758" w14:textId="77777777">
      <w:pPr>
        <w:pStyle w:val="PrelimHds"/>
      </w:pPr>
    </w:p>
    <w:p w:rsidR="00EE4B1C" w:rsidP="003960E1" w:rsidRDefault="00EE4B1C" w14:paraId="5A32C32A" w14:textId="77777777">
      <w:pPr>
        <w:pStyle w:val="PrelimHds"/>
      </w:pPr>
    </w:p>
    <w:p w:rsidRPr="00386D5E" w:rsidR="003960E1" w:rsidP="003960E1" w:rsidRDefault="003960E1" w14:paraId="58B4652C" w14:textId="39A06AEC">
      <w:pPr>
        <w:pStyle w:val="PrelimHds"/>
      </w:pPr>
      <w:r w:rsidRPr="00386D5E">
        <w:t xml:space="preserve">Appendix </w:t>
      </w:r>
      <w:r w:rsidR="00DC76B0">
        <w:t>1</w:t>
      </w:r>
    </w:p>
    <w:p w:rsidR="003960E1" w:rsidP="003960E1" w:rsidRDefault="003960E1" w14:paraId="1B9A3C74" w14:textId="2890011A">
      <w:pPr>
        <w:pStyle w:val="PrelimHds"/>
        <w:sectPr w:rsidR="003960E1" w:rsidSect="00EE4B1C">
          <w:pgSz w:w="12240" w:h="15840" w:code="1"/>
          <w:pgMar w:top="1440" w:right="1440" w:bottom="1440" w:left="1440" w:header="720" w:footer="720" w:gutter="0"/>
          <w:pgNumType w:start="1"/>
          <w:cols w:space="720"/>
          <w:noEndnote/>
          <w:titlePg/>
          <w:docGrid w:linePitch="326"/>
        </w:sectPr>
      </w:pPr>
      <w:r w:rsidRPr="00386D5E">
        <w:t>Information Needed to Support an Application for a License Under 10 CFR</w:t>
      </w:r>
      <w:r w:rsidRPr="00DC76B0">
        <w:t> 32.</w:t>
      </w:r>
      <w:r w:rsidRPr="00DC76B0" w:rsidR="009E7203">
        <w:t>33</w:t>
      </w:r>
      <w:r w:rsidRPr="00386D5E">
        <w:t xml:space="preserve"> to </w:t>
      </w:r>
      <w:r>
        <w:t>TRANSFER</w:t>
      </w:r>
      <w:r w:rsidRPr="00386D5E">
        <w:t xml:space="preserve"> Irradiated Gemstones to Persons Exempt from Licensing</w:t>
      </w:r>
    </w:p>
    <w:p w:rsidR="008C4C50" w:rsidP="008E3BC7" w:rsidRDefault="008C4C50" w14:paraId="35C97F4F" w14:textId="77777777">
      <w:pPr>
        <w:spacing w:line="240" w:lineRule="auto"/>
        <w:jc w:val="center"/>
        <w:rPr>
          <w:b/>
          <w:sz w:val="26"/>
          <w:szCs w:val="26"/>
        </w:rPr>
      </w:pPr>
      <w:r>
        <w:rPr>
          <w:b/>
          <w:sz w:val="26"/>
          <w:szCs w:val="26"/>
        </w:rPr>
        <w:lastRenderedPageBreak/>
        <w:t>I</w:t>
      </w:r>
      <w:r w:rsidRPr="00832814" w:rsidR="003960E1">
        <w:rPr>
          <w:b/>
          <w:sz w:val="26"/>
          <w:szCs w:val="26"/>
        </w:rPr>
        <w:t>nformation Needed</w:t>
      </w:r>
      <w:r>
        <w:rPr>
          <w:b/>
          <w:sz w:val="26"/>
          <w:szCs w:val="26"/>
        </w:rPr>
        <w:t xml:space="preserve"> </w:t>
      </w:r>
      <w:r w:rsidRPr="00832814" w:rsidR="003960E1">
        <w:rPr>
          <w:b/>
          <w:sz w:val="26"/>
          <w:szCs w:val="26"/>
        </w:rPr>
        <w:t>to Support an Application for a</w:t>
      </w:r>
      <w:r>
        <w:rPr>
          <w:b/>
          <w:sz w:val="26"/>
          <w:szCs w:val="26"/>
        </w:rPr>
        <w:t xml:space="preserve"> </w:t>
      </w:r>
      <w:r w:rsidRPr="00832814" w:rsidR="003960E1">
        <w:rPr>
          <w:b/>
          <w:sz w:val="26"/>
          <w:szCs w:val="26"/>
        </w:rPr>
        <w:t>License</w:t>
      </w:r>
    </w:p>
    <w:p w:rsidR="008C4C50" w:rsidP="008E3BC7" w:rsidRDefault="008C4C50" w14:paraId="726DF2DD" w14:textId="77777777">
      <w:pPr>
        <w:spacing w:line="240" w:lineRule="auto"/>
        <w:jc w:val="center"/>
        <w:rPr>
          <w:b/>
          <w:sz w:val="26"/>
          <w:szCs w:val="26"/>
        </w:rPr>
      </w:pPr>
      <w:r>
        <w:rPr>
          <w:b/>
          <w:sz w:val="26"/>
          <w:szCs w:val="26"/>
        </w:rPr>
        <w:t>U</w:t>
      </w:r>
      <w:r w:rsidRPr="00832814" w:rsidR="003960E1">
        <w:rPr>
          <w:b/>
          <w:sz w:val="26"/>
          <w:szCs w:val="26"/>
        </w:rPr>
        <w:t>nder 10 CFR 32.</w:t>
      </w:r>
      <w:r w:rsidRPr="00DC76B0" w:rsidR="00680AE5">
        <w:rPr>
          <w:b/>
          <w:sz w:val="26"/>
          <w:szCs w:val="26"/>
        </w:rPr>
        <w:t>33</w:t>
      </w:r>
      <w:r w:rsidRPr="00832814" w:rsidR="00680AE5">
        <w:rPr>
          <w:b/>
          <w:sz w:val="26"/>
          <w:szCs w:val="26"/>
        </w:rPr>
        <w:t xml:space="preserve"> </w:t>
      </w:r>
      <w:r w:rsidRPr="00832814" w:rsidR="003960E1">
        <w:rPr>
          <w:b/>
          <w:sz w:val="26"/>
          <w:szCs w:val="26"/>
        </w:rPr>
        <w:t>to</w:t>
      </w:r>
      <w:r>
        <w:rPr>
          <w:b/>
          <w:sz w:val="26"/>
          <w:szCs w:val="26"/>
        </w:rPr>
        <w:t xml:space="preserve"> </w:t>
      </w:r>
      <w:r w:rsidR="003960E1">
        <w:rPr>
          <w:b/>
          <w:sz w:val="26"/>
          <w:szCs w:val="26"/>
        </w:rPr>
        <w:t>Transfer</w:t>
      </w:r>
      <w:r w:rsidRPr="00832814" w:rsidR="003960E1">
        <w:rPr>
          <w:b/>
          <w:sz w:val="26"/>
          <w:szCs w:val="26"/>
        </w:rPr>
        <w:t xml:space="preserve"> Irradiated Gemstones</w:t>
      </w:r>
    </w:p>
    <w:p w:rsidR="003960E1" w:rsidP="008E3BC7" w:rsidRDefault="003960E1" w14:paraId="4B40E711" w14:textId="17F378CC">
      <w:pPr>
        <w:spacing w:line="240" w:lineRule="auto"/>
        <w:jc w:val="center"/>
        <w:rPr>
          <w:b/>
          <w:sz w:val="26"/>
          <w:szCs w:val="26"/>
        </w:rPr>
      </w:pPr>
      <w:r w:rsidRPr="00832814">
        <w:rPr>
          <w:b/>
          <w:sz w:val="26"/>
          <w:szCs w:val="26"/>
        </w:rPr>
        <w:t>to Persons Exempt from</w:t>
      </w:r>
      <w:r w:rsidR="00EE18BE">
        <w:rPr>
          <w:b/>
          <w:sz w:val="26"/>
          <w:szCs w:val="26"/>
        </w:rPr>
        <w:t xml:space="preserve"> </w:t>
      </w:r>
      <w:r w:rsidRPr="00832814">
        <w:rPr>
          <w:b/>
          <w:sz w:val="26"/>
          <w:szCs w:val="26"/>
        </w:rPr>
        <w:t>Licensing</w:t>
      </w:r>
    </w:p>
    <w:p w:rsidRPr="00832814" w:rsidR="009E7203" w:rsidP="003960E1" w:rsidRDefault="009E7203" w14:paraId="66635583" w14:textId="77777777">
      <w:pPr>
        <w:jc w:val="center"/>
        <w:rPr>
          <w:b/>
          <w:sz w:val="26"/>
          <w:szCs w:val="26"/>
          <w:u w:val="single"/>
        </w:rPr>
      </w:pPr>
    </w:p>
    <w:p w:rsidRPr="00844D0B" w:rsidR="003960E1" w:rsidP="003960E1" w:rsidRDefault="003960E1" w14:paraId="13ED5A29" w14:textId="77777777">
      <w:pPr>
        <w:rPr>
          <w:b/>
          <w:u w:val="single"/>
        </w:rPr>
      </w:pPr>
      <w:r w:rsidRPr="00844D0B">
        <w:rPr>
          <w:b/>
          <w:u w:val="single"/>
        </w:rPr>
        <w:t>Introduction</w:t>
      </w:r>
    </w:p>
    <w:p w:rsidR="009E7203" w:rsidP="003960E1" w:rsidRDefault="009E7203" w14:paraId="7037D39C" w14:textId="77777777"/>
    <w:p w:rsidR="003960E1" w:rsidP="008E3BC7" w:rsidRDefault="003960E1" w14:paraId="13A8885A" w14:textId="7C71EEC3">
      <w:pPr>
        <w:spacing w:line="240" w:lineRule="auto"/>
      </w:pPr>
      <w:r w:rsidRPr="00E819A2">
        <w:t>Exposing gemstones to radiation is a method of enhancing and deepening the gemstone color.  The bombardment of radiation hitting the gemstone deposits energy that creates color centers.  For example, radiation can cause a naturally clear topaz to turn blue.  Other gemstones are irradiated with other color enhancements.  Gemstone color enhancement using radiation can be performed using a nuclear reactor (neutron bombardment), an accelerator (most commonly electron</w:t>
      </w:r>
      <w:r>
        <w:noBreakHyphen/>
      </w:r>
      <w:r w:rsidRPr="00E819A2">
        <w:t>particle beam exposure), or a cobalt irradiator (gamma rays).  Color enhancement by irradiation is currently widely used on gemstones such as topaz, tourmaline, quartz, beryl, zircon, diamond, and labradorite.</w:t>
      </w:r>
    </w:p>
    <w:p w:rsidRPr="00E819A2" w:rsidR="00B335F7" w:rsidP="008E3BC7" w:rsidRDefault="00B335F7" w14:paraId="3D1B7E53" w14:textId="77777777">
      <w:pPr>
        <w:spacing w:line="240" w:lineRule="auto"/>
      </w:pPr>
    </w:p>
    <w:p w:rsidR="003960E1" w:rsidP="008E3BC7" w:rsidRDefault="003960E1" w14:paraId="438393AD" w14:textId="2608B8B5">
      <w:pPr>
        <w:spacing w:line="240" w:lineRule="auto"/>
      </w:pPr>
      <w:r w:rsidRPr="00E819A2">
        <w:t xml:space="preserve">Those who wish to </w:t>
      </w:r>
      <w:r w:rsidRPr="00DC76B0" w:rsidR="00470728">
        <w:t>initially</w:t>
      </w:r>
      <w:r w:rsidR="00470728">
        <w:t xml:space="preserve"> </w:t>
      </w:r>
      <w:r>
        <w:t>transfer ownership or possession of</w:t>
      </w:r>
      <w:r w:rsidRPr="00E819A2">
        <w:t xml:space="preserve"> irradiated gemstones in the United</w:t>
      </w:r>
      <w:r>
        <w:t> </w:t>
      </w:r>
      <w:r w:rsidRPr="00E819A2">
        <w:t>States need</w:t>
      </w:r>
      <w:proofErr w:type="gramStart"/>
      <w:r w:rsidRPr="00E819A2">
        <w:t xml:space="preserve">: </w:t>
      </w:r>
      <w:r>
        <w:t xml:space="preserve"> </w:t>
      </w:r>
      <w:r w:rsidRPr="00E819A2">
        <w:t>(</w:t>
      </w:r>
      <w:proofErr w:type="gramEnd"/>
      <w:r w:rsidRPr="00E819A2">
        <w:t xml:space="preserve">1) a possession license issued either by the </w:t>
      </w:r>
      <w:r>
        <w:t>U.S. Nuclear Regulatory Commission (</w:t>
      </w:r>
      <w:r w:rsidRPr="00E819A2">
        <w:t>NRC</w:t>
      </w:r>
      <w:r>
        <w:t>)</w:t>
      </w:r>
      <w:r w:rsidRPr="00E819A2">
        <w:t xml:space="preserve"> or an Agreement State, depending on the geographic location of the distributor, and (2) a</w:t>
      </w:r>
      <w:r>
        <w:t>n exempt</w:t>
      </w:r>
      <w:r w:rsidRPr="00E819A2">
        <w:t xml:space="preserve"> distribution license issued only by the NRC.  In the case of domestic reactors, the NRC has jurisdiction everywhere in the U</w:t>
      </w:r>
      <w:r>
        <w:t>nited States</w:t>
      </w:r>
      <w:r w:rsidRPr="00E819A2">
        <w:t xml:space="preserve">.  The authority for possession of byproduct material under </w:t>
      </w:r>
      <w:r>
        <w:t xml:space="preserve">Title 10 of the </w:t>
      </w:r>
      <w:r w:rsidRPr="00960123">
        <w:rPr>
          <w:i/>
        </w:rPr>
        <w:t>Code of Federal Regulations</w:t>
      </w:r>
      <w:r>
        <w:t xml:space="preserve"> (10 CFR) </w:t>
      </w:r>
      <w:r w:rsidRPr="00A274B9">
        <w:t>Part 30</w:t>
      </w:r>
      <w:r>
        <w:t xml:space="preserve">, “Rules of </w:t>
      </w:r>
      <w:r w:rsidR="00D622E4">
        <w:t>G</w:t>
      </w:r>
      <w:r>
        <w:t xml:space="preserve">eneral </w:t>
      </w:r>
      <w:r w:rsidR="00D622E4">
        <w:t>A</w:t>
      </w:r>
      <w:r>
        <w:t xml:space="preserve">pplicability to </w:t>
      </w:r>
      <w:r w:rsidR="00D622E4">
        <w:t>D</w:t>
      </w:r>
      <w:r>
        <w:t xml:space="preserve">omestic </w:t>
      </w:r>
      <w:r w:rsidR="00D622E4">
        <w:t>L</w:t>
      </w:r>
      <w:r>
        <w:t xml:space="preserve">icensing of </w:t>
      </w:r>
      <w:r w:rsidR="00D622E4">
        <w:t>B</w:t>
      </w:r>
      <w:r>
        <w:t xml:space="preserve">yproduct </w:t>
      </w:r>
      <w:r w:rsidR="00D622E4">
        <w:t>M</w:t>
      </w:r>
      <w:r>
        <w:t>aterial,”</w:t>
      </w:r>
      <w:r w:rsidRPr="00E819A2">
        <w:t xml:space="preserve"> is incorporated into the </w:t>
      </w:r>
      <w:r w:rsidRPr="00A274B9">
        <w:t>10 CFR Part 50</w:t>
      </w:r>
      <w:r>
        <w:t xml:space="preserve">, “Domestic </w:t>
      </w:r>
      <w:r w:rsidR="00D622E4">
        <w:t>L</w:t>
      </w:r>
      <w:r>
        <w:t xml:space="preserve">icensing of </w:t>
      </w:r>
      <w:r w:rsidR="00D622E4">
        <w:t>P</w:t>
      </w:r>
      <w:r>
        <w:t xml:space="preserve">roduction and </w:t>
      </w:r>
      <w:r w:rsidR="00D622E4">
        <w:t>U</w:t>
      </w:r>
      <w:r>
        <w:t xml:space="preserve">tilization </w:t>
      </w:r>
      <w:r w:rsidR="00D622E4">
        <w:t>F</w:t>
      </w:r>
      <w:r>
        <w:t>acilities,”</w:t>
      </w:r>
      <w:r w:rsidRPr="00E819A2">
        <w:t xml:space="preserve"> license.</w:t>
      </w:r>
    </w:p>
    <w:p w:rsidR="00D622E4" w:rsidP="008E3BC7" w:rsidRDefault="00D622E4" w14:paraId="36F5FEEE" w14:textId="77777777">
      <w:pPr>
        <w:spacing w:line="240" w:lineRule="auto"/>
      </w:pPr>
    </w:p>
    <w:p w:rsidR="00B335F7" w:rsidP="008E3BC7" w:rsidRDefault="003960E1" w14:paraId="0E4F020E" w14:textId="7CB49646">
      <w:pPr>
        <w:spacing w:line="240" w:lineRule="auto"/>
      </w:pPr>
      <w:r w:rsidRPr="00E819A2">
        <w:t xml:space="preserve">The possession license will authorize the irradiator or importer to possess the radioactive material contained in irradiated gemstones.  If irradiation takes place in a foreign country, importation of the radioactive gemstones into the United States is authorized by the general license for import in </w:t>
      </w:r>
      <w:r w:rsidRPr="006A4FCE">
        <w:t>10 CFR 110.27(a)</w:t>
      </w:r>
      <w:r w:rsidRPr="00E819A2">
        <w:t>.</w:t>
      </w:r>
      <w:r>
        <w:t xml:space="preserve">  (Refer to Section 5.6, “</w:t>
      </w:r>
      <w:r w:rsidRPr="00421ED8">
        <w:t>Foreign Vendors</w:t>
      </w:r>
      <w:r>
        <w:t>.”)</w:t>
      </w:r>
      <w:r w:rsidRPr="00E819A2">
        <w:t xml:space="preserve"> </w:t>
      </w:r>
      <w:r>
        <w:t xml:space="preserve"> </w:t>
      </w:r>
      <w:r w:rsidRPr="00E819A2">
        <w:t xml:space="preserve">The distribution license will authorize the irradiator or importer to transfer (i.e., sell) irradiated gemstones to persons exempt from licensing </w:t>
      </w:r>
      <w:r>
        <w:t>(</w:t>
      </w:r>
      <w:r w:rsidRPr="00E819A2">
        <w:t>e.g., wholesalers, manufacturing jewelers, retail jewelers</w:t>
      </w:r>
      <w:r>
        <w:t>)</w:t>
      </w:r>
      <w:r w:rsidRPr="00E819A2">
        <w:t>.  Only the initial distributor is required to have a license.</w:t>
      </w:r>
    </w:p>
    <w:p w:rsidRPr="00E819A2" w:rsidR="003960E1" w:rsidP="008E3BC7" w:rsidRDefault="003960E1" w14:paraId="29C5296B" w14:textId="67355A07">
      <w:pPr>
        <w:spacing w:line="240" w:lineRule="auto"/>
      </w:pPr>
      <w:r w:rsidRPr="00E819A2">
        <w:t xml:space="preserve"> </w:t>
      </w:r>
    </w:p>
    <w:p w:rsidR="00B335F7" w:rsidP="008E3BC7" w:rsidRDefault="003960E1" w14:paraId="2FA37B9E" w14:textId="76539F37">
      <w:pPr>
        <w:spacing w:line="240" w:lineRule="auto"/>
      </w:pPr>
      <w:r w:rsidRPr="00E819A2">
        <w:t xml:space="preserve">This appendix outlines the information needed to support applications for licenses to be issued under </w:t>
      </w:r>
      <w:r w:rsidRPr="006A4FCE">
        <w:t>10 CFR 32.</w:t>
      </w:r>
      <w:r w:rsidRPr="00DC76B0" w:rsidR="00B205D9">
        <w:t>33</w:t>
      </w:r>
      <w:r w:rsidR="00B205D9">
        <w:t xml:space="preserve"> </w:t>
      </w:r>
      <w:r w:rsidRPr="00E819A2">
        <w:t>when the product is gemstones.</w:t>
      </w:r>
    </w:p>
    <w:p w:rsidRPr="00E819A2" w:rsidR="003960E1" w:rsidP="008E3BC7" w:rsidRDefault="003960E1" w14:paraId="0BD2B1FC" w14:textId="04CBA04A">
      <w:pPr>
        <w:spacing w:line="240" w:lineRule="auto"/>
      </w:pPr>
    </w:p>
    <w:p w:rsidR="003960E1" w:rsidP="008E3BC7" w:rsidRDefault="003960E1" w14:paraId="2D02C84C" w14:textId="2DCA1C63">
      <w:pPr>
        <w:spacing w:line="240" w:lineRule="auto"/>
      </w:pPr>
      <w:r w:rsidRPr="00E819A2">
        <w:t>The information that must be included in the application can be categorized as follows:</w:t>
      </w:r>
    </w:p>
    <w:p w:rsidRPr="00E819A2" w:rsidR="00B335F7" w:rsidP="008E3BC7" w:rsidRDefault="00B335F7" w14:paraId="3DAFE073" w14:textId="77777777">
      <w:pPr>
        <w:spacing w:line="240" w:lineRule="auto"/>
      </w:pPr>
    </w:p>
    <w:p w:rsidR="003960E1" w:rsidP="008E3BC7" w:rsidRDefault="00CC1249" w14:paraId="5ECAC47A" w14:textId="3B32F84C">
      <w:pPr>
        <w:pStyle w:val="ListParagraph"/>
        <w:numPr>
          <w:ilvl w:val="0"/>
          <w:numId w:val="11"/>
        </w:numPr>
        <w:spacing w:after="0"/>
      </w:pPr>
      <w:r>
        <w:t>B</w:t>
      </w:r>
      <w:r w:rsidRPr="00E819A2" w:rsidR="003960E1">
        <w:t>asic information (e.g., name of applicant)</w:t>
      </w:r>
    </w:p>
    <w:p w:rsidRPr="00E819A2" w:rsidR="00F365B1" w:rsidP="00F365B1" w:rsidRDefault="00F365B1" w14:paraId="156199E6" w14:textId="77777777">
      <w:pPr>
        <w:pStyle w:val="ListParagraph"/>
        <w:spacing w:after="0"/>
        <w:ind w:left="720"/>
      </w:pPr>
    </w:p>
    <w:p w:rsidR="003960E1" w:rsidP="008E3BC7" w:rsidRDefault="00CC1249" w14:paraId="23E0775B" w14:textId="2D6C596C">
      <w:pPr>
        <w:pStyle w:val="ListParagraph"/>
        <w:numPr>
          <w:ilvl w:val="0"/>
          <w:numId w:val="11"/>
        </w:numPr>
        <w:spacing w:after="0"/>
      </w:pPr>
      <w:r>
        <w:t>I</w:t>
      </w:r>
      <w:r w:rsidRPr="00E819A2" w:rsidR="003960E1">
        <w:t>nformation regarding proposed processes</w:t>
      </w:r>
    </w:p>
    <w:p w:rsidRPr="00E819A2" w:rsidR="00F365B1" w:rsidP="00F365B1" w:rsidRDefault="00F365B1" w14:paraId="7A98DF88" w14:textId="77777777">
      <w:pPr>
        <w:pStyle w:val="ListParagraph"/>
        <w:spacing w:after="0"/>
        <w:ind w:left="720"/>
      </w:pPr>
    </w:p>
    <w:p w:rsidR="003960E1" w:rsidP="008E3BC7" w:rsidRDefault="00CC1249" w14:paraId="754F9B46" w14:textId="30AF4799">
      <w:pPr>
        <w:pStyle w:val="ListParagraph"/>
        <w:numPr>
          <w:ilvl w:val="0"/>
          <w:numId w:val="11"/>
        </w:numPr>
        <w:spacing w:after="0"/>
      </w:pPr>
      <w:r>
        <w:t>I</w:t>
      </w:r>
      <w:r w:rsidRPr="00E819A2" w:rsidR="003960E1">
        <w:t xml:space="preserve">nformation specifically identified in the regulations (e.g., 10 CFR 30.33, </w:t>
      </w:r>
      <w:r w:rsidR="003960E1">
        <w:t xml:space="preserve">10 CFR </w:t>
      </w:r>
      <w:r w:rsidRPr="00E819A2" w:rsidR="003960E1">
        <w:t>32.</w:t>
      </w:r>
      <w:r w:rsidRPr="00DC76B0" w:rsidR="00B205D9">
        <w:t>33</w:t>
      </w:r>
      <w:r w:rsidRPr="00E819A2" w:rsidR="003960E1">
        <w:t>)</w:t>
      </w:r>
    </w:p>
    <w:p w:rsidRPr="00E819A2" w:rsidR="00F365B1" w:rsidP="00F365B1" w:rsidRDefault="00F365B1" w14:paraId="3C9F9BFB" w14:textId="77777777">
      <w:pPr>
        <w:pStyle w:val="ListParagraph"/>
        <w:spacing w:after="0"/>
        <w:ind w:left="720"/>
      </w:pPr>
    </w:p>
    <w:p w:rsidR="00E5318D" w:rsidP="00082944" w:rsidRDefault="00CC1249" w14:paraId="34B30BA5" w14:textId="4F5A775F">
      <w:pPr>
        <w:pStyle w:val="ListParagraph"/>
        <w:keepNext/>
        <w:numPr>
          <w:ilvl w:val="0"/>
          <w:numId w:val="11"/>
        </w:numPr>
        <w:spacing w:after="0"/>
      </w:pPr>
      <w:r>
        <w:lastRenderedPageBreak/>
        <w:t>I</w:t>
      </w:r>
      <w:r w:rsidRPr="00E819A2" w:rsidR="003960E1">
        <w:t>nformation on</w:t>
      </w:r>
      <w:r w:rsidR="003960E1">
        <w:t xml:space="preserve"> the</w:t>
      </w:r>
      <w:r w:rsidRPr="00E819A2" w:rsidR="003960E1">
        <w:t xml:space="preserve"> </w:t>
      </w:r>
      <w:r w:rsidR="006F0C3C">
        <w:t>q</w:t>
      </w:r>
      <w:r w:rsidRPr="00E819A2" w:rsidR="003960E1">
        <w:t xml:space="preserve">uality </w:t>
      </w:r>
      <w:r w:rsidR="006F0C3C">
        <w:t>a</w:t>
      </w:r>
      <w:r w:rsidRPr="00E819A2" w:rsidR="003960E1">
        <w:t xml:space="preserve">ssurance (QA) </w:t>
      </w:r>
      <w:r w:rsidR="006F0C3C">
        <w:t>p</w:t>
      </w:r>
      <w:r w:rsidRPr="00E819A2" w:rsidR="003960E1">
        <w:t>rogram</w:t>
      </w:r>
      <w:r w:rsidR="003960E1">
        <w:t>,</w:t>
      </w:r>
      <w:r w:rsidRPr="00E819A2" w:rsidR="003960E1">
        <w:t xml:space="preserve"> including instrumentation, counting, sampling</w:t>
      </w:r>
      <w:r w:rsidR="003960E1">
        <w:t>,</w:t>
      </w:r>
      <w:r w:rsidRPr="00E819A2" w:rsidR="003960E1">
        <w:t xml:space="preserve"> and quality control</w:t>
      </w:r>
    </w:p>
    <w:p w:rsidR="00F365B1" w:rsidP="00082944" w:rsidRDefault="00F365B1" w14:paraId="746D446B" w14:textId="77777777">
      <w:pPr>
        <w:pStyle w:val="ListParagraph"/>
        <w:keepNext/>
        <w:spacing w:after="0"/>
      </w:pPr>
    </w:p>
    <w:p w:rsidRPr="00E819A2" w:rsidR="003960E1" w:rsidP="00082944" w:rsidRDefault="00CC1249" w14:paraId="5719D5A2" w14:textId="5CA25997">
      <w:pPr>
        <w:pStyle w:val="ListParagraph"/>
        <w:keepNext/>
        <w:numPr>
          <w:ilvl w:val="0"/>
          <w:numId w:val="11"/>
        </w:numPr>
        <w:spacing w:after="0"/>
      </w:pPr>
      <w:r>
        <w:t>F</w:t>
      </w:r>
      <w:r w:rsidRPr="00E819A2" w:rsidR="003960E1">
        <w:t>ee information and signature</w:t>
      </w:r>
    </w:p>
    <w:p w:rsidR="008E3BC7" w:rsidP="003960E1" w:rsidRDefault="008E3BC7" w14:paraId="0BD3DB1E" w14:textId="77777777"/>
    <w:p w:rsidR="003960E1" w:rsidP="003960E1" w:rsidRDefault="003960E1" w14:paraId="15259CAB" w14:textId="3FDB434C">
      <w:r w:rsidRPr="00E819A2">
        <w:t>Detailed information is needed to ensure a clear understanding of the scope and intent of the applicant</w:t>
      </w:r>
      <w:r>
        <w:t>’</w:t>
      </w:r>
      <w:r w:rsidRPr="00E819A2">
        <w:t>s proposed activities.</w:t>
      </w:r>
    </w:p>
    <w:p w:rsidRPr="00E819A2" w:rsidR="00082944" w:rsidP="003960E1" w:rsidRDefault="00082944" w14:paraId="59B19499" w14:textId="77777777"/>
    <w:p w:rsidR="003960E1" w:rsidP="003960E1" w:rsidRDefault="003960E1" w14:paraId="5EF8066A" w14:textId="6339FB45">
      <w:pPr>
        <w:keepNext/>
        <w:keepLines/>
        <w:rPr>
          <w:bCs/>
        </w:rPr>
      </w:pPr>
      <w:r w:rsidRPr="00844D0B">
        <w:rPr>
          <w:b/>
          <w:u w:val="single"/>
        </w:rPr>
        <w:t>Content of Application</w:t>
      </w:r>
    </w:p>
    <w:p w:rsidRPr="00B335F7" w:rsidR="00B335F7" w:rsidP="003960E1" w:rsidRDefault="00B335F7" w14:paraId="42697017" w14:textId="77777777">
      <w:pPr>
        <w:keepNext/>
        <w:keepLines/>
        <w:rPr>
          <w:bCs/>
        </w:rPr>
      </w:pPr>
    </w:p>
    <w:p w:rsidRPr="00FF5577" w:rsidR="003960E1" w:rsidP="008E3BC7" w:rsidRDefault="003960E1" w14:paraId="6C1AF67C" w14:textId="48DCE5A6">
      <w:pPr>
        <w:pStyle w:val="ListParagraph"/>
        <w:keepNext/>
        <w:keepLines/>
        <w:numPr>
          <w:ilvl w:val="0"/>
          <w:numId w:val="12"/>
        </w:numPr>
        <w:spacing w:after="0"/>
        <w:ind w:hanging="720"/>
      </w:pPr>
      <w:r w:rsidRPr="00FF5577">
        <w:t xml:space="preserve">Basic </w:t>
      </w:r>
      <w:r w:rsidR="00023E9E">
        <w:t>I</w:t>
      </w:r>
      <w:r w:rsidRPr="00FF5577">
        <w:t>nformation</w:t>
      </w:r>
    </w:p>
    <w:p w:rsidRPr="00FF5577" w:rsidR="008E3BC7" w:rsidP="008E3BC7" w:rsidRDefault="008E3BC7" w14:paraId="7061C733" w14:textId="77777777">
      <w:pPr>
        <w:pStyle w:val="ListParagraph"/>
        <w:keepNext/>
        <w:keepLines/>
        <w:spacing w:after="0"/>
        <w:ind w:left="720"/>
      </w:pPr>
    </w:p>
    <w:p w:rsidRPr="00AD449E" w:rsidR="003960E1" w:rsidP="008E3BC7" w:rsidRDefault="003960E1" w14:paraId="616ED50D" w14:textId="0FC274C6">
      <w:pPr>
        <w:pStyle w:val="ListParagraph"/>
        <w:numPr>
          <w:ilvl w:val="0"/>
          <w:numId w:val="13"/>
        </w:numPr>
        <w:spacing w:after="0"/>
        <w:ind w:hanging="720"/>
        <w:rPr>
          <w:rFonts w:cs="Arial"/>
          <w:szCs w:val="22"/>
        </w:rPr>
      </w:pPr>
      <w:r w:rsidRPr="00AD449E">
        <w:rPr>
          <w:rFonts w:cs="Arial"/>
          <w:szCs w:val="22"/>
        </w:rPr>
        <w:t>Specify the location(s)</w:t>
      </w:r>
      <w:r w:rsidR="003332E1">
        <w:rPr>
          <w:rFonts w:cs="Arial"/>
          <w:szCs w:val="22"/>
        </w:rPr>
        <w:t>:</w:t>
      </w:r>
    </w:p>
    <w:p w:rsidRPr="00AD449E" w:rsidR="008E3BC7" w:rsidP="008E3BC7" w:rsidRDefault="008E3BC7" w14:paraId="67DBC8D0" w14:textId="77777777">
      <w:pPr>
        <w:pStyle w:val="ListParagraph"/>
        <w:spacing w:after="0"/>
        <w:ind w:left="1440"/>
        <w:rPr>
          <w:rFonts w:cs="Arial"/>
          <w:szCs w:val="22"/>
        </w:rPr>
      </w:pPr>
    </w:p>
    <w:p w:rsidR="00B335F7" w:rsidP="008E3BC7" w:rsidRDefault="003960E1" w14:paraId="67E07A69" w14:textId="3DBD5E83">
      <w:pPr>
        <w:tabs>
          <w:tab w:val="left" w:pos="270"/>
        </w:tabs>
        <w:spacing w:line="240" w:lineRule="auto"/>
        <w:ind w:left="2160" w:hanging="720"/>
      </w:pPr>
      <w:r w:rsidRPr="00E819A2">
        <w:t xml:space="preserve">a. </w:t>
      </w:r>
      <w:r>
        <w:tab/>
      </w:r>
      <w:r w:rsidR="00582125">
        <w:t>A</w:t>
      </w:r>
      <w:r w:rsidRPr="00E819A2">
        <w:t xml:space="preserve">t which gemstones will be irradiated, or, if imported, where they will be received and </w:t>
      </w:r>
      <w:proofErr w:type="gramStart"/>
      <w:r w:rsidRPr="00E819A2">
        <w:t>possessed</w:t>
      </w:r>
      <w:r w:rsidR="00C51107">
        <w:t>;</w:t>
      </w:r>
      <w:proofErr w:type="gramEnd"/>
    </w:p>
    <w:p w:rsidR="00414C42" w:rsidP="008E3BC7" w:rsidRDefault="00414C42" w14:paraId="43390EC0" w14:textId="77777777">
      <w:pPr>
        <w:tabs>
          <w:tab w:val="left" w:pos="270"/>
        </w:tabs>
        <w:spacing w:line="240" w:lineRule="auto"/>
        <w:ind w:left="2160" w:hanging="720"/>
      </w:pPr>
    </w:p>
    <w:p w:rsidR="003960E1" w:rsidP="008E3BC7" w:rsidRDefault="003960E1" w14:paraId="636F182F" w14:textId="30F079C4">
      <w:pPr>
        <w:tabs>
          <w:tab w:val="left" w:pos="270"/>
        </w:tabs>
        <w:spacing w:line="240" w:lineRule="auto"/>
        <w:ind w:left="2160" w:hanging="720"/>
      </w:pPr>
      <w:r w:rsidRPr="00E819A2">
        <w:t xml:space="preserve">b. </w:t>
      </w:r>
      <w:r>
        <w:tab/>
      </w:r>
      <w:r w:rsidR="00582125">
        <w:t>F</w:t>
      </w:r>
      <w:r w:rsidRPr="00E819A2">
        <w:t xml:space="preserve">rom which irradiated gemstones will be </w:t>
      </w:r>
      <w:r>
        <w:t>transferr</w:t>
      </w:r>
      <w:r w:rsidRPr="00E819A2">
        <w:t xml:space="preserve">ed to persons exempt from </w:t>
      </w:r>
      <w:proofErr w:type="gramStart"/>
      <w:r w:rsidRPr="00E819A2">
        <w:t>licensing</w:t>
      </w:r>
      <w:r w:rsidR="00C51107">
        <w:t>;</w:t>
      </w:r>
      <w:proofErr w:type="gramEnd"/>
    </w:p>
    <w:p w:rsidR="00414C42" w:rsidP="008E3BC7" w:rsidRDefault="00414C42" w14:paraId="7F62FA82" w14:textId="77777777">
      <w:pPr>
        <w:tabs>
          <w:tab w:val="left" w:pos="270"/>
        </w:tabs>
        <w:spacing w:line="240" w:lineRule="auto"/>
        <w:ind w:left="2160" w:hanging="720"/>
      </w:pPr>
    </w:p>
    <w:p w:rsidR="003960E1" w:rsidP="008E3BC7" w:rsidRDefault="003960E1" w14:paraId="37FFBA49" w14:textId="7872AB06">
      <w:pPr>
        <w:tabs>
          <w:tab w:val="left" w:pos="270"/>
        </w:tabs>
        <w:spacing w:line="240" w:lineRule="auto"/>
        <w:ind w:left="2160" w:hanging="720"/>
      </w:pPr>
      <w:r w:rsidRPr="00E819A2">
        <w:t xml:space="preserve">c. </w:t>
      </w:r>
      <w:r>
        <w:tab/>
      </w:r>
      <w:r w:rsidR="00582125">
        <w:t>A</w:t>
      </w:r>
      <w:r w:rsidRPr="00E819A2">
        <w:t xml:space="preserve">t which records pertaining to possession and </w:t>
      </w:r>
      <w:r>
        <w:t>transfer</w:t>
      </w:r>
      <w:r w:rsidRPr="00E819A2">
        <w:t xml:space="preserve"> of irradiated gemstones will be maintained, if different</w:t>
      </w:r>
      <w:r w:rsidR="00C51107">
        <w:t>.</w:t>
      </w:r>
    </w:p>
    <w:p w:rsidRPr="00E819A2" w:rsidR="00B335F7" w:rsidP="008E3BC7" w:rsidRDefault="00B335F7" w14:paraId="53140744" w14:textId="77777777">
      <w:pPr>
        <w:tabs>
          <w:tab w:val="left" w:pos="270"/>
        </w:tabs>
        <w:spacing w:line="240" w:lineRule="auto"/>
        <w:ind w:left="2160" w:hanging="720"/>
      </w:pPr>
    </w:p>
    <w:p w:rsidRPr="00AD449E" w:rsidR="003960E1" w:rsidP="008E3BC7" w:rsidRDefault="003960E1" w14:paraId="689A5BFB" w14:textId="32068475">
      <w:pPr>
        <w:pStyle w:val="ListParagraph"/>
        <w:numPr>
          <w:ilvl w:val="0"/>
          <w:numId w:val="13"/>
        </w:numPr>
        <w:spacing w:after="0"/>
        <w:ind w:hanging="720"/>
        <w:rPr>
          <w:rFonts w:cs="Arial"/>
          <w:szCs w:val="22"/>
        </w:rPr>
      </w:pPr>
      <w:r w:rsidRPr="00AD449E">
        <w:rPr>
          <w:rFonts w:cs="Arial"/>
          <w:szCs w:val="22"/>
        </w:rPr>
        <w:t>For gemstones that are to be neutron</w:t>
      </w:r>
      <w:r w:rsidRPr="00AD449E">
        <w:rPr>
          <w:rFonts w:cs="Arial"/>
          <w:szCs w:val="22"/>
        </w:rPr>
        <w:noBreakHyphen/>
        <w:t>irradiated in a nuclear reactor in the United</w:t>
      </w:r>
      <w:r>
        <w:rPr>
          <w:rFonts w:cs="Arial"/>
          <w:szCs w:val="22"/>
        </w:rPr>
        <w:t> </w:t>
      </w:r>
      <w:r w:rsidRPr="00AD449E">
        <w:rPr>
          <w:rFonts w:cs="Arial"/>
          <w:szCs w:val="22"/>
        </w:rPr>
        <w:t>States</w:t>
      </w:r>
      <w:r w:rsidR="003332E1">
        <w:rPr>
          <w:rFonts w:cs="Arial"/>
          <w:szCs w:val="22"/>
        </w:rPr>
        <w:t>:</w:t>
      </w:r>
    </w:p>
    <w:p w:rsidRPr="00AD449E" w:rsidR="000B65B1" w:rsidP="000B65B1" w:rsidRDefault="000B65B1" w14:paraId="5B763433" w14:textId="77777777">
      <w:pPr>
        <w:pStyle w:val="ListParagraph"/>
        <w:spacing w:after="0"/>
        <w:ind w:left="1440"/>
        <w:rPr>
          <w:rFonts w:cs="Arial"/>
          <w:szCs w:val="22"/>
        </w:rPr>
      </w:pPr>
    </w:p>
    <w:p w:rsidR="003960E1" w:rsidP="008E3BC7" w:rsidRDefault="003960E1" w14:paraId="04C7A7BF" w14:textId="13314557">
      <w:pPr>
        <w:spacing w:line="240" w:lineRule="auto"/>
        <w:ind w:left="2160" w:hanging="720"/>
      </w:pPr>
      <w:r w:rsidRPr="000B65B1">
        <w:t xml:space="preserve">a. </w:t>
      </w:r>
      <w:r w:rsidRPr="000B65B1">
        <w:tab/>
      </w:r>
      <w:r>
        <w:t>S</w:t>
      </w:r>
      <w:r w:rsidRPr="00E819A2">
        <w:t>pecify the docket number of the NRC reactor license</w:t>
      </w:r>
      <w:r>
        <w:t>.</w:t>
      </w:r>
    </w:p>
    <w:p w:rsidR="00414C42" w:rsidP="008E3BC7" w:rsidRDefault="00414C42" w14:paraId="643DD4AC" w14:textId="77777777">
      <w:pPr>
        <w:spacing w:line="240" w:lineRule="auto"/>
        <w:ind w:left="2160" w:hanging="720"/>
      </w:pPr>
    </w:p>
    <w:p w:rsidR="00B335F7" w:rsidP="008E3BC7" w:rsidRDefault="003960E1" w14:paraId="7CF7F251" w14:textId="5A6328A8">
      <w:pPr>
        <w:spacing w:line="240" w:lineRule="auto"/>
        <w:ind w:left="2160" w:hanging="720"/>
      </w:pPr>
      <w:r w:rsidRPr="00E819A2">
        <w:t xml:space="preserve">b. </w:t>
      </w:r>
      <w:r>
        <w:tab/>
      </w:r>
      <w:r w:rsidRPr="00E819A2">
        <w:t xml:space="preserve">If the reactor is licensed under </w:t>
      </w:r>
      <w:r w:rsidRPr="00EF5095">
        <w:t>10 CFR 50.21</w:t>
      </w:r>
      <w:r>
        <w:t>,</w:t>
      </w:r>
      <w:r w:rsidRPr="00EF5095">
        <w:t xml:space="preserve"> </w:t>
      </w:r>
      <w:r>
        <w:t>“</w:t>
      </w:r>
      <w:r w:rsidRPr="00EF5095">
        <w:t xml:space="preserve">Class 104 licenses; for </w:t>
      </w:r>
      <w:r>
        <w:t>m</w:t>
      </w:r>
      <w:r w:rsidRPr="00EF5095">
        <w:t xml:space="preserve">edical </w:t>
      </w:r>
      <w:r>
        <w:t>t</w:t>
      </w:r>
      <w:r w:rsidRPr="00EF5095">
        <w:t xml:space="preserve">herapy and </w:t>
      </w:r>
      <w:r>
        <w:t>r</w:t>
      </w:r>
      <w:r w:rsidRPr="00EF5095">
        <w:t xml:space="preserve">esearch and </w:t>
      </w:r>
      <w:r>
        <w:t>d</w:t>
      </w:r>
      <w:r w:rsidRPr="00EF5095">
        <w:t xml:space="preserve">evelopment </w:t>
      </w:r>
      <w:r>
        <w:t>f</w:t>
      </w:r>
      <w:r w:rsidRPr="00EF5095">
        <w:t>acilities</w:t>
      </w:r>
      <w:r>
        <w:t>,”</w:t>
      </w:r>
      <w:r w:rsidRPr="00E819A2">
        <w:t xml:space="preserve"> provide information</w:t>
      </w:r>
      <w:r>
        <w:t>, pursuant to 10 CFR 50.22,</w:t>
      </w:r>
      <w:r w:rsidRPr="00E819A2">
        <w:t xml:space="preserve"> to demonstrate that less </w:t>
      </w:r>
      <w:r>
        <w:t>“</w:t>
      </w:r>
      <w:r w:rsidRPr="00E819A2">
        <w:t>than 50</w:t>
      </w:r>
      <w:r>
        <w:t> </w:t>
      </w:r>
      <w:r w:rsidRPr="00E819A2">
        <w:t>percent of the annual cost of owning and operating the facility is devoted to the production of materials, products, or energy for sale or commercial distribution, or to the sale of services, other than research and development or education or training.</w:t>
      </w:r>
      <w:r>
        <w:t>”</w:t>
      </w:r>
      <w:r w:rsidRPr="00E819A2">
        <w:t xml:space="preserve">  </w:t>
      </w:r>
      <w:r w:rsidRPr="00810C24">
        <w:rPr>
          <w:b/>
          <w:i/>
        </w:rPr>
        <w:t>Note</w:t>
      </w:r>
      <w:r w:rsidRPr="00E819A2">
        <w:t xml:space="preserve">: </w:t>
      </w:r>
      <w:r>
        <w:t xml:space="preserve"> </w:t>
      </w:r>
      <w:r w:rsidRPr="00E819A2">
        <w:t xml:space="preserve">This information will be reviewed with the assistance of the staff of the Office of Nuclear Reactor Regulation.  </w:t>
      </w:r>
    </w:p>
    <w:p w:rsidRPr="00E819A2" w:rsidR="003960E1" w:rsidP="008E3BC7" w:rsidRDefault="003960E1" w14:paraId="7A7AEBA7" w14:textId="210C10D4">
      <w:pPr>
        <w:spacing w:line="240" w:lineRule="auto"/>
        <w:ind w:left="2160" w:hanging="720"/>
      </w:pPr>
    </w:p>
    <w:p w:rsidRPr="00AD449E" w:rsidR="003960E1" w:rsidP="008E3BC7" w:rsidRDefault="003960E1" w14:paraId="58AF5862" w14:textId="43DB6F78">
      <w:pPr>
        <w:pStyle w:val="ListParagraph"/>
        <w:numPr>
          <w:ilvl w:val="0"/>
          <w:numId w:val="13"/>
        </w:numPr>
        <w:tabs>
          <w:tab w:val="left" w:pos="720"/>
        </w:tabs>
        <w:spacing w:after="0"/>
        <w:ind w:hanging="720"/>
        <w:rPr>
          <w:rFonts w:cs="Arial"/>
          <w:szCs w:val="22"/>
        </w:rPr>
      </w:pPr>
      <w:r w:rsidRPr="00AD449E">
        <w:rPr>
          <w:rFonts w:cs="Arial"/>
          <w:szCs w:val="22"/>
        </w:rPr>
        <w:t>For gemstones that are to be accelerator</w:t>
      </w:r>
      <w:r w:rsidRPr="00AD449E">
        <w:rPr>
          <w:rFonts w:cs="Arial"/>
          <w:szCs w:val="22"/>
        </w:rPr>
        <w:noBreakHyphen/>
        <w:t>irradiated in the United States</w:t>
      </w:r>
      <w:r w:rsidR="003332E1">
        <w:rPr>
          <w:rFonts w:cs="Arial"/>
          <w:szCs w:val="22"/>
        </w:rPr>
        <w:t>:</w:t>
      </w:r>
    </w:p>
    <w:p w:rsidRPr="00AD449E" w:rsidR="000B65B1" w:rsidP="000B65B1" w:rsidRDefault="000B65B1" w14:paraId="2B740741" w14:textId="77777777">
      <w:pPr>
        <w:pStyle w:val="ListParagraph"/>
        <w:tabs>
          <w:tab w:val="left" w:pos="720"/>
        </w:tabs>
        <w:spacing w:after="0"/>
        <w:ind w:left="1440"/>
        <w:rPr>
          <w:rFonts w:cs="Arial"/>
          <w:szCs w:val="22"/>
        </w:rPr>
      </w:pPr>
    </w:p>
    <w:p w:rsidR="003960E1" w:rsidP="008E3BC7" w:rsidRDefault="003960E1" w14:paraId="59DE8509" w14:textId="06674C01">
      <w:pPr>
        <w:spacing w:line="240" w:lineRule="auto"/>
        <w:ind w:left="2160" w:hanging="720"/>
      </w:pPr>
      <w:r>
        <w:t xml:space="preserve">a. </w:t>
      </w:r>
      <w:r>
        <w:tab/>
        <w:t>Identify</w:t>
      </w:r>
      <w:r w:rsidR="003332E1">
        <w:t xml:space="preserve"> </w:t>
      </w:r>
      <w:r>
        <w:t>the type of accelerator.</w:t>
      </w:r>
    </w:p>
    <w:p w:rsidR="00414C42" w:rsidP="008E3BC7" w:rsidRDefault="00414C42" w14:paraId="3E6042BE" w14:textId="77777777">
      <w:pPr>
        <w:spacing w:line="240" w:lineRule="auto"/>
        <w:ind w:left="2160" w:hanging="720"/>
      </w:pPr>
    </w:p>
    <w:p w:rsidR="003960E1" w:rsidP="008E3BC7" w:rsidRDefault="003960E1" w14:paraId="48A29784" w14:textId="1D470E60">
      <w:pPr>
        <w:spacing w:line="240" w:lineRule="auto"/>
        <w:ind w:left="2160" w:hanging="720"/>
      </w:pPr>
      <w:r w:rsidRPr="00E819A2">
        <w:t xml:space="preserve">b. </w:t>
      </w:r>
      <w:r>
        <w:tab/>
      </w:r>
      <w:r w:rsidRPr="00E819A2">
        <w:t>Operation of accelerators</w:t>
      </w:r>
      <w:r>
        <w:t xml:space="preserve"> is</w:t>
      </w:r>
      <w:r w:rsidRPr="00E819A2">
        <w:t xml:space="preserve"> regulated by the States</w:t>
      </w:r>
      <w:r>
        <w:t>,</w:t>
      </w:r>
      <w:r w:rsidRPr="00E819A2">
        <w:t xml:space="preserve"> regardless of whether they </w:t>
      </w:r>
      <w:proofErr w:type="gramStart"/>
      <w:r w:rsidRPr="00E819A2">
        <w:t>are located in</w:t>
      </w:r>
      <w:proofErr w:type="gramEnd"/>
      <w:r w:rsidRPr="00E819A2">
        <w:t xml:space="preserve"> an Agreement State or a non</w:t>
      </w:r>
      <w:r>
        <w:noBreakHyphen/>
      </w:r>
      <w:r w:rsidRPr="00E819A2">
        <w:t>Agreement State.</w:t>
      </w:r>
    </w:p>
    <w:p w:rsidRPr="00E819A2" w:rsidR="00B335F7" w:rsidP="008E3BC7" w:rsidRDefault="00B335F7" w14:paraId="49FF3079" w14:textId="77777777">
      <w:pPr>
        <w:spacing w:line="240" w:lineRule="auto"/>
        <w:ind w:left="2160" w:hanging="720"/>
      </w:pPr>
    </w:p>
    <w:p w:rsidRPr="00AD449E" w:rsidR="003960E1" w:rsidP="008E3BC7" w:rsidRDefault="003960E1" w14:paraId="209B765A" w14:textId="242BA4FA">
      <w:pPr>
        <w:pStyle w:val="ListParagraph"/>
        <w:keepNext/>
        <w:numPr>
          <w:ilvl w:val="0"/>
          <w:numId w:val="13"/>
        </w:numPr>
        <w:spacing w:after="0"/>
        <w:ind w:hanging="720"/>
        <w:rPr>
          <w:rFonts w:cs="Arial"/>
          <w:szCs w:val="22"/>
        </w:rPr>
      </w:pPr>
      <w:r w:rsidRPr="00AD449E">
        <w:rPr>
          <w:rFonts w:cs="Arial"/>
          <w:szCs w:val="22"/>
        </w:rPr>
        <w:lastRenderedPageBreak/>
        <w:t>For gemstones that are to be imported</w:t>
      </w:r>
      <w:r w:rsidR="003332E1">
        <w:rPr>
          <w:rFonts w:cs="Arial"/>
          <w:szCs w:val="22"/>
        </w:rPr>
        <w:t>:</w:t>
      </w:r>
    </w:p>
    <w:p w:rsidRPr="00AD449E" w:rsidR="000B65B1" w:rsidP="000B65B1" w:rsidRDefault="000B65B1" w14:paraId="5D339186" w14:textId="77777777">
      <w:pPr>
        <w:pStyle w:val="ListParagraph"/>
        <w:keepNext/>
        <w:spacing w:after="0"/>
        <w:ind w:left="1440"/>
        <w:rPr>
          <w:rFonts w:cs="Arial"/>
          <w:szCs w:val="22"/>
        </w:rPr>
      </w:pPr>
    </w:p>
    <w:p w:rsidR="00B335F7" w:rsidP="008E3BC7" w:rsidRDefault="003960E1" w14:paraId="1BEEA991" w14:textId="1E62A483">
      <w:pPr>
        <w:pStyle w:val="ListParagraph"/>
        <w:keepNext/>
        <w:numPr>
          <w:ilvl w:val="0"/>
          <w:numId w:val="24"/>
        </w:numPr>
        <w:spacing w:after="0"/>
        <w:ind w:left="2250" w:hanging="810"/>
      </w:pPr>
      <w:r>
        <w:t>Indicate what country they will be obtained from and whether irradiation facilities are owned by the applicant or others.</w:t>
      </w:r>
    </w:p>
    <w:p w:rsidR="000B65B1" w:rsidP="000B65B1" w:rsidRDefault="000B65B1" w14:paraId="494DFF78" w14:textId="77777777">
      <w:pPr>
        <w:pStyle w:val="ListParagraph"/>
        <w:keepNext/>
        <w:spacing w:after="0"/>
        <w:ind w:left="2250"/>
      </w:pPr>
    </w:p>
    <w:p w:rsidRPr="00AD449E" w:rsidR="003960E1" w:rsidP="008E3BC7" w:rsidRDefault="00F82FA4" w14:paraId="41D8D4AA" w14:textId="504E7C2E">
      <w:pPr>
        <w:pStyle w:val="ListParagraph"/>
        <w:numPr>
          <w:ilvl w:val="0"/>
          <w:numId w:val="13"/>
        </w:numPr>
        <w:spacing w:after="0"/>
        <w:ind w:hanging="720"/>
        <w:rPr>
          <w:rFonts w:cs="Arial"/>
          <w:szCs w:val="22"/>
        </w:rPr>
      </w:pPr>
      <w:r>
        <w:rPr>
          <w:rFonts w:cs="Arial"/>
          <w:szCs w:val="22"/>
        </w:rPr>
        <w:t xml:space="preserve">Include </w:t>
      </w:r>
      <w:r w:rsidR="0071652D">
        <w:rPr>
          <w:rFonts w:cs="Arial"/>
          <w:szCs w:val="22"/>
        </w:rPr>
        <w:t>e</w:t>
      </w:r>
      <w:r>
        <w:rPr>
          <w:rFonts w:cs="Arial"/>
          <w:szCs w:val="22"/>
        </w:rPr>
        <w:t xml:space="preserve">vidence of </w:t>
      </w:r>
      <w:r w:rsidR="0071652D">
        <w:rPr>
          <w:rFonts w:cs="Arial"/>
          <w:szCs w:val="22"/>
        </w:rPr>
        <w:t>p</w:t>
      </w:r>
      <w:r w:rsidRPr="00AD449E" w:rsidR="003960E1">
        <w:rPr>
          <w:rFonts w:cs="Arial"/>
          <w:szCs w:val="22"/>
        </w:rPr>
        <w:t>ossession licenses for the purpose of distribution:</w:t>
      </w:r>
    </w:p>
    <w:p w:rsidRPr="00AD449E" w:rsidR="000B65B1" w:rsidP="000B65B1" w:rsidRDefault="000B65B1" w14:paraId="6DFEC587" w14:textId="77777777">
      <w:pPr>
        <w:pStyle w:val="ListParagraph"/>
        <w:spacing w:after="0"/>
        <w:ind w:left="1440"/>
        <w:rPr>
          <w:rFonts w:cs="Arial"/>
          <w:szCs w:val="22"/>
        </w:rPr>
      </w:pPr>
    </w:p>
    <w:p w:rsidR="00B335F7" w:rsidP="000B65B1" w:rsidRDefault="003960E1" w14:paraId="4C15E512" w14:textId="6B5BE517">
      <w:pPr>
        <w:spacing w:line="240" w:lineRule="auto"/>
        <w:ind w:left="1440"/>
      </w:pPr>
      <w:r w:rsidRPr="00E819A2">
        <w:t xml:space="preserve">As noted above, those who wish to </w:t>
      </w:r>
      <w:r w:rsidRPr="00E5318D" w:rsidR="00B20828">
        <w:t>initially</w:t>
      </w:r>
      <w:r w:rsidR="00B20828">
        <w:t xml:space="preserve"> </w:t>
      </w:r>
      <w:r>
        <w:t>transfer ownership or possession of</w:t>
      </w:r>
      <w:r w:rsidRPr="00E819A2">
        <w:t xml:space="preserve"> irradiated gemstones in the United</w:t>
      </w:r>
      <w:r>
        <w:t> </w:t>
      </w:r>
      <w:r w:rsidRPr="00E819A2">
        <w:t>States need a possession license issued either by the NRC or an Agreement State, depending on the geographi</w:t>
      </w:r>
      <w:r>
        <w:t xml:space="preserve">c location of the distributor.  Evidence of the possession license would be provided </w:t>
      </w:r>
      <w:proofErr w:type="gramStart"/>
      <w:r>
        <w:t>in order to</w:t>
      </w:r>
      <w:proofErr w:type="gramEnd"/>
      <w:r>
        <w:t xml:space="preserve"> obtain the distribution license.</w:t>
      </w:r>
    </w:p>
    <w:p w:rsidR="003960E1" w:rsidP="000B65B1" w:rsidRDefault="003960E1" w14:paraId="36635221" w14:textId="5FA1CCF6">
      <w:pPr>
        <w:spacing w:line="240" w:lineRule="auto"/>
        <w:ind w:left="1440"/>
      </w:pPr>
    </w:p>
    <w:p w:rsidR="003960E1" w:rsidP="000B65B1" w:rsidRDefault="003960E1" w14:paraId="1B5283B2" w14:textId="3F708EA7">
      <w:pPr>
        <w:spacing w:line="240" w:lineRule="auto"/>
        <w:ind w:left="1440"/>
      </w:pPr>
      <w:r>
        <w:t>N</w:t>
      </w:r>
      <w:r w:rsidRPr="00E819A2">
        <w:t>UREG</w:t>
      </w:r>
      <w:r>
        <w:t>–</w:t>
      </w:r>
      <w:r w:rsidRPr="00E819A2">
        <w:t>1556, Volume 12, “</w:t>
      </w:r>
      <w:r>
        <w:t xml:space="preserve">Consolidated Guidance About Materials Licenses: </w:t>
      </w:r>
      <w:r w:rsidRPr="00E819A2">
        <w:t>Program</w:t>
      </w:r>
      <w:r>
        <w:noBreakHyphen/>
      </w:r>
      <w:r w:rsidRPr="00E819A2">
        <w:t xml:space="preserve">Specific Guidance </w:t>
      </w:r>
      <w:r>
        <w:t>A</w:t>
      </w:r>
      <w:r w:rsidRPr="00E819A2">
        <w:t>bout Possession Licenses for Manufacturing and Distribution,” provides guidance to applicants in non</w:t>
      </w:r>
      <w:r>
        <w:noBreakHyphen/>
      </w:r>
      <w:r w:rsidRPr="00E819A2">
        <w:t>Agreement States in preparing a license application for certain license types</w:t>
      </w:r>
      <w:r>
        <w:t>,</w:t>
      </w:r>
      <w:r w:rsidRPr="00E819A2">
        <w:t xml:space="preserve"> including possession for distribution.</w:t>
      </w:r>
      <w:r>
        <w:t xml:space="preserve">  </w:t>
      </w:r>
      <w:r w:rsidRPr="007C1701">
        <w:t xml:space="preserve">Agreement States have requirements </w:t>
      </w:r>
      <w:proofErr w:type="gramStart"/>
      <w:r w:rsidRPr="007C1701">
        <w:t>similar to</w:t>
      </w:r>
      <w:proofErr w:type="gramEnd"/>
      <w:r w:rsidRPr="007C1701">
        <w:t xml:space="preserve"> those of the NRC for the possessi</w:t>
      </w:r>
      <w:r>
        <w:t>on licenses for manufacturing and distribution.</w:t>
      </w:r>
    </w:p>
    <w:p w:rsidR="00B335F7" w:rsidP="000B65B1" w:rsidRDefault="00B335F7" w14:paraId="020455D1" w14:textId="77777777">
      <w:pPr>
        <w:spacing w:line="240" w:lineRule="auto"/>
        <w:ind w:left="1440"/>
      </w:pPr>
    </w:p>
    <w:p w:rsidR="003960E1" w:rsidP="000B65B1" w:rsidRDefault="003960E1" w14:paraId="479316FC" w14:textId="1E6F9628">
      <w:pPr>
        <w:spacing w:line="240" w:lineRule="auto"/>
        <w:ind w:left="1440"/>
      </w:pPr>
      <w:r w:rsidRPr="00677BBE">
        <w:t>NUREG</w:t>
      </w:r>
      <w:r>
        <w:t>–</w:t>
      </w:r>
      <w:r w:rsidRPr="00677BBE">
        <w:t>1556, Volume 21</w:t>
      </w:r>
      <w:r w:rsidR="002326FA">
        <w:t>,</w:t>
      </w:r>
      <w:r w:rsidRPr="00677BBE">
        <w:t xml:space="preserve"> “</w:t>
      </w:r>
      <w:r>
        <w:t xml:space="preserve">Consolidated Guidance About Materials Licenses: </w:t>
      </w:r>
      <w:r w:rsidRPr="00677BBE">
        <w:t>Program</w:t>
      </w:r>
      <w:r>
        <w:noBreakHyphen/>
      </w:r>
      <w:r w:rsidRPr="00677BBE">
        <w:t xml:space="preserve">Specific Guidance </w:t>
      </w:r>
      <w:r>
        <w:t>A</w:t>
      </w:r>
      <w:r w:rsidRPr="00677BBE">
        <w:t>bout Possession Licenses for Production of Radioactive Material Using an Accelerator,” provides guidance to applicants in non</w:t>
      </w:r>
      <w:r>
        <w:noBreakHyphen/>
      </w:r>
      <w:r w:rsidRPr="00677BBE">
        <w:t>Agreement States that produce radioactive materials using an accelerator, including preparation of a license application, NRC criteria for evaluating the license application, and the standard requirements and guidance for the possession and distribution of radioactive material that is produced by an accelerator located at the applicant</w:t>
      </w:r>
      <w:r>
        <w:t>’</w:t>
      </w:r>
      <w:r w:rsidRPr="00677BBE">
        <w:t xml:space="preserve">s facility.  Agreement States have requirements </w:t>
      </w:r>
      <w:proofErr w:type="gramStart"/>
      <w:r w:rsidRPr="00677BBE">
        <w:t>similar to</w:t>
      </w:r>
      <w:proofErr w:type="gramEnd"/>
      <w:r w:rsidRPr="00677BBE">
        <w:t xml:space="preserve"> those of the NRC for the possession and distribution of accelerator</w:t>
      </w:r>
      <w:r>
        <w:noBreakHyphen/>
      </w:r>
      <w:r w:rsidRPr="00677BBE">
        <w:t>produced radioactive material.</w:t>
      </w:r>
    </w:p>
    <w:p w:rsidRPr="00E819A2" w:rsidR="00B335F7" w:rsidP="000B65B1" w:rsidRDefault="00B335F7" w14:paraId="379DBC78" w14:textId="77777777">
      <w:pPr>
        <w:spacing w:line="240" w:lineRule="auto"/>
        <w:ind w:left="1440"/>
      </w:pPr>
    </w:p>
    <w:p w:rsidR="003960E1" w:rsidP="000B65B1" w:rsidRDefault="003960E1" w14:paraId="70E59AC9" w14:textId="39CF003B">
      <w:pPr>
        <w:tabs>
          <w:tab w:val="left" w:pos="720"/>
        </w:tabs>
        <w:spacing w:line="240" w:lineRule="auto"/>
      </w:pPr>
      <w:r w:rsidRPr="00EF5095">
        <w:t>B.</w:t>
      </w:r>
      <w:r>
        <w:tab/>
      </w:r>
      <w:r w:rsidRPr="00EF5095">
        <w:t xml:space="preserve">Information </w:t>
      </w:r>
      <w:r w:rsidR="009C3A59">
        <w:t>R</w:t>
      </w:r>
      <w:r w:rsidRPr="00EF5095">
        <w:t xml:space="preserve">egarding </w:t>
      </w:r>
      <w:r w:rsidR="009C3A59">
        <w:t>P</w:t>
      </w:r>
      <w:r w:rsidRPr="00EF5095">
        <w:t xml:space="preserve">roposed </w:t>
      </w:r>
      <w:r w:rsidR="009C3A59">
        <w:t>P</w:t>
      </w:r>
      <w:r w:rsidRPr="00EF5095">
        <w:t>rocesses</w:t>
      </w:r>
    </w:p>
    <w:p w:rsidRPr="00E819A2" w:rsidR="00B335F7" w:rsidP="000B65B1" w:rsidRDefault="00B335F7" w14:paraId="6C45A8FA" w14:textId="77777777">
      <w:pPr>
        <w:tabs>
          <w:tab w:val="left" w:pos="720"/>
        </w:tabs>
        <w:spacing w:line="240" w:lineRule="auto"/>
      </w:pPr>
    </w:p>
    <w:p w:rsidR="00B335F7" w:rsidP="000B65B1" w:rsidRDefault="003960E1" w14:paraId="3DE9076A" w14:textId="77777777">
      <w:pPr>
        <w:tabs>
          <w:tab w:val="left" w:pos="1440"/>
        </w:tabs>
        <w:spacing w:line="240" w:lineRule="auto"/>
        <w:ind w:left="720"/>
      </w:pPr>
      <w:r w:rsidRPr="00E819A2">
        <w:t>1.</w:t>
      </w:r>
      <w:r>
        <w:tab/>
      </w:r>
      <w:r w:rsidRPr="00E819A2">
        <w:t>Describe the material to be irradiated, including:</w:t>
      </w:r>
    </w:p>
    <w:p w:rsidR="003960E1" w:rsidP="000B65B1" w:rsidRDefault="003960E1" w14:paraId="336FF7AC" w14:textId="2B179576">
      <w:pPr>
        <w:tabs>
          <w:tab w:val="left" w:pos="1440"/>
        </w:tabs>
        <w:spacing w:line="240" w:lineRule="auto"/>
        <w:ind w:left="720"/>
      </w:pPr>
    </w:p>
    <w:p w:rsidR="003960E1" w:rsidP="000B65B1" w:rsidRDefault="003960E1" w14:paraId="697D55A0" w14:textId="1FF9CAFB">
      <w:pPr>
        <w:tabs>
          <w:tab w:val="left" w:pos="2160"/>
        </w:tabs>
        <w:spacing w:line="240" w:lineRule="auto"/>
        <w:ind w:left="1440"/>
      </w:pPr>
      <w:r w:rsidRPr="00E819A2">
        <w:t xml:space="preserve">a. </w:t>
      </w:r>
      <w:r>
        <w:tab/>
      </w:r>
      <w:r w:rsidRPr="00E819A2">
        <w:t>The type(s) of gemstone (e.g., topaz, diamond)</w:t>
      </w:r>
      <w:r w:rsidR="00C82436">
        <w:t>.</w:t>
      </w:r>
    </w:p>
    <w:p w:rsidR="00414C42" w:rsidP="000B65B1" w:rsidRDefault="00414C42" w14:paraId="611E0950" w14:textId="77777777">
      <w:pPr>
        <w:tabs>
          <w:tab w:val="left" w:pos="2160"/>
        </w:tabs>
        <w:spacing w:line="240" w:lineRule="auto"/>
        <w:ind w:left="1440"/>
      </w:pPr>
    </w:p>
    <w:p w:rsidR="003960E1" w:rsidP="000B65B1" w:rsidRDefault="003960E1" w14:paraId="084ADAA8" w14:textId="58582A36">
      <w:pPr>
        <w:spacing w:line="240" w:lineRule="auto"/>
        <w:ind w:left="2160" w:hanging="720"/>
      </w:pPr>
      <w:r w:rsidRPr="00E819A2">
        <w:t xml:space="preserve">b. </w:t>
      </w:r>
      <w:r>
        <w:tab/>
      </w:r>
      <w:r w:rsidRPr="00E819A2">
        <w:t>The geologic origin</w:t>
      </w:r>
      <w:r>
        <w:t xml:space="preserve">.  </w:t>
      </w:r>
      <w:r w:rsidRPr="00E819A2">
        <w:t>For some types of gemstones, knowledge of their geologic origin may provide information about the types of impurities they</w:t>
      </w:r>
      <w:r>
        <w:t> </w:t>
      </w:r>
      <w:r w:rsidRPr="00E819A2">
        <w:t>contain.</w:t>
      </w:r>
    </w:p>
    <w:p w:rsidR="00414C42" w:rsidP="000B65B1" w:rsidRDefault="00414C42" w14:paraId="495845E3" w14:textId="77777777">
      <w:pPr>
        <w:spacing w:line="240" w:lineRule="auto"/>
        <w:ind w:left="2160" w:hanging="720"/>
      </w:pPr>
    </w:p>
    <w:p w:rsidR="003960E1" w:rsidP="000B65B1" w:rsidRDefault="003960E1" w14:paraId="3AB3185A" w14:textId="5A7E015C">
      <w:pPr>
        <w:spacing w:line="240" w:lineRule="auto"/>
        <w:ind w:left="2160" w:hanging="720"/>
      </w:pPr>
      <w:r>
        <w:t>c</w:t>
      </w:r>
      <w:r w:rsidRPr="00E819A2">
        <w:t xml:space="preserve">. </w:t>
      </w:r>
      <w:r>
        <w:tab/>
      </w:r>
      <w:r w:rsidRPr="00E819A2">
        <w:t>Impurities (trace elements)</w:t>
      </w:r>
      <w:r>
        <w:t xml:space="preserve">.  </w:t>
      </w:r>
      <w:r w:rsidRPr="00E819A2">
        <w:t>Knowledge of impurities (trace elements) prior to irradiation may facilitate the identification of radionuclides produced by activation.</w:t>
      </w:r>
    </w:p>
    <w:p w:rsidR="00414C42" w:rsidP="000B65B1" w:rsidRDefault="00414C42" w14:paraId="2F0715D7" w14:textId="77777777">
      <w:pPr>
        <w:spacing w:line="240" w:lineRule="auto"/>
        <w:ind w:left="2160" w:hanging="720"/>
      </w:pPr>
    </w:p>
    <w:p w:rsidR="003960E1" w:rsidP="000B65B1" w:rsidRDefault="003960E1" w14:paraId="03BA0CD1" w14:textId="3DDDB6C4">
      <w:pPr>
        <w:spacing w:line="240" w:lineRule="auto"/>
        <w:ind w:left="2160" w:hanging="720"/>
      </w:pPr>
      <w:r w:rsidRPr="00E819A2">
        <w:t xml:space="preserve">d. </w:t>
      </w:r>
      <w:r>
        <w:tab/>
      </w:r>
      <w:r w:rsidRPr="00E819A2">
        <w:t>The size range</w:t>
      </w:r>
      <w:r w:rsidRPr="00ED7A7F" w:rsidR="00E93D76">
        <w:t>s</w:t>
      </w:r>
      <w:r w:rsidRPr="00ED7A7F">
        <w:t>.  Larger gemstones may require longer irradiation times than smaller gemstones to achieve the desired effect and may, therefore, induce a higher level of radioactivity.</w:t>
      </w:r>
    </w:p>
    <w:p w:rsidRPr="00ED7A7F" w:rsidR="00414C42" w:rsidP="000B65B1" w:rsidRDefault="00414C42" w14:paraId="7DB958FD" w14:textId="77777777">
      <w:pPr>
        <w:spacing w:line="240" w:lineRule="auto"/>
        <w:ind w:left="2160" w:hanging="720"/>
      </w:pPr>
    </w:p>
    <w:p w:rsidRPr="00ED7A7F" w:rsidR="00B335F7" w:rsidP="000B65B1" w:rsidRDefault="003960E1" w14:paraId="1EC648AA" w14:textId="1AAE0FE1">
      <w:pPr>
        <w:spacing w:line="240" w:lineRule="auto"/>
        <w:ind w:left="2160" w:hanging="720"/>
      </w:pPr>
      <w:r w:rsidRPr="00ED7A7F">
        <w:lastRenderedPageBreak/>
        <w:t xml:space="preserve">e. </w:t>
      </w:r>
      <w:r w:rsidRPr="00ED7A7F">
        <w:tab/>
        <w:t xml:space="preserve">The extent to which gemstones have been processed before irradiation (e.g., </w:t>
      </w:r>
      <w:proofErr w:type="gramStart"/>
      <w:r w:rsidRPr="00ED7A7F">
        <w:t>cut</w:t>
      </w:r>
      <w:proofErr w:type="gramEnd"/>
      <w:r w:rsidRPr="00ED7A7F">
        <w:t xml:space="preserve"> and polished).  </w:t>
      </w:r>
      <w:r w:rsidRPr="00ED7A7F">
        <w:rPr>
          <w:b/>
          <w:i/>
        </w:rPr>
        <w:t>Note</w:t>
      </w:r>
      <w:r w:rsidRPr="00ED7A7F">
        <w:t>:  Only finished gemstones that do not require cutting, grinding, or polishing after irradiation will be authorized for transfer to persons exempt from licensing.</w:t>
      </w:r>
    </w:p>
    <w:p w:rsidRPr="00ED7A7F" w:rsidR="003960E1" w:rsidP="003960E1" w:rsidRDefault="003960E1" w14:paraId="138A526B" w14:textId="42CD9F71">
      <w:pPr>
        <w:ind w:left="2160" w:hanging="720"/>
      </w:pPr>
    </w:p>
    <w:p w:rsidRPr="00ED7A7F" w:rsidR="003960E1" w:rsidP="000B65B1" w:rsidRDefault="003960E1" w14:paraId="3C8897F5" w14:textId="6D771378">
      <w:pPr>
        <w:spacing w:line="240" w:lineRule="auto"/>
        <w:ind w:left="1440" w:hanging="720"/>
      </w:pPr>
      <w:r w:rsidRPr="00ED7A7F">
        <w:t xml:space="preserve">2. </w:t>
      </w:r>
      <w:r w:rsidRPr="00ED7A7F">
        <w:tab/>
        <w:t xml:space="preserve">Describe how gemstones are handled </w:t>
      </w:r>
      <w:r>
        <w:t>pre</w:t>
      </w:r>
      <w:r w:rsidR="00101C1A">
        <w:t>-</w:t>
      </w:r>
      <w:r>
        <w:t>irradiation</w:t>
      </w:r>
      <w:r w:rsidRPr="00ED7A7F">
        <w:t xml:space="preserve"> to ensure grouping according to geologic origin of gemstones and type(s) of irradiation or treatment to which gems have been exposed (significant variations in induced radionuclides will result from differences in gemstones’ origin and type(s) of irradiation or treatment received).</w:t>
      </w:r>
    </w:p>
    <w:p w:rsidRPr="00ED7A7F" w:rsidR="00B335F7" w:rsidP="000B65B1" w:rsidRDefault="00B335F7" w14:paraId="6772F0BA" w14:textId="77777777">
      <w:pPr>
        <w:spacing w:line="240" w:lineRule="auto"/>
        <w:ind w:left="1440" w:hanging="720"/>
      </w:pPr>
    </w:p>
    <w:p w:rsidRPr="00ED7A7F" w:rsidR="003960E1" w:rsidP="000B65B1" w:rsidRDefault="003960E1" w14:paraId="5F3A579C" w14:textId="5E93BAC6">
      <w:pPr>
        <w:spacing w:line="240" w:lineRule="auto"/>
        <w:ind w:left="1440" w:hanging="720"/>
      </w:pPr>
      <w:r w:rsidRPr="00ED7A7F">
        <w:t xml:space="preserve">3. </w:t>
      </w:r>
      <w:r w:rsidRPr="00ED7A7F">
        <w:tab/>
        <w:t>Describe pre</w:t>
      </w:r>
      <w:r w:rsidR="00101C1A">
        <w:t>-</w:t>
      </w:r>
      <w:r w:rsidRPr="00ED7A7F">
        <w:t>irradiation cleaning to prevent/minimize activation of surface</w:t>
      </w:r>
      <w:r w:rsidR="00101C1A">
        <w:t xml:space="preserve"> </w:t>
      </w:r>
      <w:r w:rsidRPr="00ED7A7F">
        <w:t>contaminants.</w:t>
      </w:r>
    </w:p>
    <w:p w:rsidRPr="00ED7A7F" w:rsidR="00B335F7" w:rsidP="000B65B1" w:rsidRDefault="00B335F7" w14:paraId="29F7255E" w14:textId="77777777">
      <w:pPr>
        <w:spacing w:line="240" w:lineRule="auto"/>
        <w:ind w:left="1440" w:hanging="720"/>
      </w:pPr>
    </w:p>
    <w:p w:rsidRPr="00ED7A7F" w:rsidR="003960E1" w:rsidP="000B65B1" w:rsidRDefault="003960E1" w14:paraId="5C3FF20F" w14:textId="096159F3">
      <w:pPr>
        <w:spacing w:line="240" w:lineRule="auto"/>
        <w:ind w:left="720"/>
      </w:pPr>
      <w:r w:rsidRPr="00ED7A7F">
        <w:t xml:space="preserve">4. </w:t>
      </w:r>
      <w:r w:rsidRPr="00ED7A7F">
        <w:tab/>
        <w:t>Describe the irradiation process, including:</w:t>
      </w:r>
    </w:p>
    <w:p w:rsidRPr="00ED7A7F" w:rsidR="00B335F7" w:rsidP="000B65B1" w:rsidRDefault="00B335F7" w14:paraId="76C467BC" w14:textId="77777777">
      <w:pPr>
        <w:spacing w:line="240" w:lineRule="auto"/>
        <w:ind w:left="720"/>
      </w:pPr>
    </w:p>
    <w:p w:rsidR="003960E1" w:rsidP="000B65B1" w:rsidRDefault="003960E1" w14:paraId="1C3602FE" w14:textId="4A97CF4E">
      <w:pPr>
        <w:spacing w:line="240" w:lineRule="auto"/>
        <w:ind w:left="2160" w:hanging="720"/>
      </w:pPr>
      <w:r w:rsidRPr="00ED7A7F">
        <w:t xml:space="preserve">a. </w:t>
      </w:r>
      <w:r w:rsidRPr="00ED7A7F">
        <w:tab/>
        <w:t>The type(s) and sequence of irradiation (e.g., neutron</w:t>
      </w:r>
      <w:r w:rsidRPr="00ED7A7F">
        <w:noBreakHyphen/>
        <w:t>, accelerator</w:t>
      </w:r>
      <w:r w:rsidRPr="00ED7A7F">
        <w:noBreakHyphen/>
        <w:t>, or gamma</w:t>
      </w:r>
      <w:r w:rsidRPr="00ED7A7F">
        <w:noBreakHyphen/>
        <w:t>irradiation only; neutron followed by accelerator or gamma irradiation) or other treatment (e.g., heat) to which gemstones have been exposed before they are to be transferred.</w:t>
      </w:r>
    </w:p>
    <w:p w:rsidRPr="00ED7A7F" w:rsidR="00414C42" w:rsidP="000B65B1" w:rsidRDefault="00414C42" w14:paraId="3CF8C4AB" w14:textId="77777777">
      <w:pPr>
        <w:spacing w:line="240" w:lineRule="auto"/>
        <w:ind w:left="2160" w:hanging="720"/>
      </w:pPr>
    </w:p>
    <w:p w:rsidR="00B335F7" w:rsidP="000B65B1" w:rsidRDefault="003960E1" w14:paraId="116C63EA" w14:textId="2E9DAC17">
      <w:pPr>
        <w:spacing w:line="240" w:lineRule="auto"/>
        <w:ind w:left="2160" w:hanging="720"/>
      </w:pPr>
      <w:r w:rsidRPr="00ED7A7F">
        <w:t>b.</w:t>
      </w:r>
      <w:r w:rsidRPr="00ED7A7F">
        <w:tab/>
        <w:t>Where and by whom each irradiation or other treatment is to be performed.  Identify U.S. reactors and accelerators by name and location; identify foreign reactors by name and country.</w:t>
      </w:r>
    </w:p>
    <w:p w:rsidRPr="00ED7A7F" w:rsidR="00414C42" w:rsidP="000B65B1" w:rsidRDefault="00414C42" w14:paraId="71DFAB45" w14:textId="77777777">
      <w:pPr>
        <w:spacing w:line="240" w:lineRule="auto"/>
        <w:ind w:left="2160" w:hanging="720"/>
      </w:pPr>
    </w:p>
    <w:p w:rsidRPr="00ED7A7F" w:rsidR="00B335F7" w:rsidP="000B65B1" w:rsidRDefault="003960E1" w14:paraId="263A8DC2" w14:textId="77777777">
      <w:pPr>
        <w:spacing w:line="240" w:lineRule="auto"/>
        <w:ind w:left="1440"/>
      </w:pPr>
      <w:r w:rsidRPr="00ED7A7F">
        <w:t xml:space="preserve">c. </w:t>
      </w:r>
      <w:r w:rsidRPr="00ED7A7F">
        <w:tab/>
        <w:t>Identification of the energy or energies used for each type of irradiation.</w:t>
      </w:r>
    </w:p>
    <w:p w:rsidRPr="00ED7A7F" w:rsidR="003960E1" w:rsidP="000B65B1" w:rsidRDefault="003960E1" w14:paraId="09C71C6B" w14:textId="42F5C1F7">
      <w:pPr>
        <w:spacing w:line="240" w:lineRule="auto"/>
        <w:ind w:left="1440"/>
      </w:pPr>
    </w:p>
    <w:p w:rsidRPr="00ED7A7F" w:rsidR="00B335F7" w:rsidP="000B65B1" w:rsidRDefault="003960E1" w14:paraId="223F93AE" w14:textId="77777777">
      <w:pPr>
        <w:spacing w:line="240" w:lineRule="auto"/>
        <w:ind w:left="720"/>
      </w:pPr>
      <w:r w:rsidRPr="00ED7A7F">
        <w:t xml:space="preserve">5. </w:t>
      </w:r>
      <w:r w:rsidRPr="00ED7A7F">
        <w:tab/>
        <w:t>Describe post</w:t>
      </w:r>
      <w:r w:rsidRPr="00ED7A7F">
        <w:noBreakHyphen/>
        <w:t>irradiation handling of gemstones, including:</w:t>
      </w:r>
    </w:p>
    <w:p w:rsidRPr="00ED7A7F" w:rsidR="003960E1" w:rsidP="000B65B1" w:rsidRDefault="003960E1" w14:paraId="3699DB3C" w14:textId="691F085B">
      <w:pPr>
        <w:spacing w:line="240" w:lineRule="auto"/>
        <w:ind w:left="720"/>
      </w:pPr>
    </w:p>
    <w:p w:rsidR="003960E1" w:rsidP="000B65B1" w:rsidRDefault="003960E1" w14:paraId="477C66A3" w14:textId="2CBA69C2">
      <w:pPr>
        <w:spacing w:line="240" w:lineRule="auto"/>
        <w:ind w:left="2160" w:hanging="720"/>
      </w:pPr>
      <w:r w:rsidRPr="00ED7A7F">
        <w:t xml:space="preserve">a. </w:t>
      </w:r>
      <w:r w:rsidRPr="00ED7A7F">
        <w:tab/>
        <w:t xml:space="preserve">Procedures used to ensure that each irradiated gemstone is free of removable contamination, including a description of sampling, monitoring, counting, and statistical techniques used, specification of the criteria used to determine when gemstones are essentially “free of removable contamination,” and a description of what will happen to gemstones exceeding the specified criteria.  </w:t>
      </w:r>
      <w:r w:rsidRPr="00ED7A7F">
        <w:rPr>
          <w:b/>
          <w:i/>
        </w:rPr>
        <w:t>Note</w:t>
      </w:r>
      <w:r w:rsidRPr="00ED7A7F">
        <w:t>:  cleaning of surface contaminants after irradiation may result in radioactive waste.</w:t>
      </w:r>
    </w:p>
    <w:p w:rsidRPr="00ED7A7F" w:rsidR="00414C42" w:rsidP="000B65B1" w:rsidRDefault="00414C42" w14:paraId="0677FC57" w14:textId="77777777">
      <w:pPr>
        <w:spacing w:line="240" w:lineRule="auto"/>
        <w:ind w:left="2160" w:hanging="720"/>
      </w:pPr>
    </w:p>
    <w:p w:rsidR="003960E1" w:rsidP="000B65B1" w:rsidRDefault="003960E1" w14:paraId="0A7A4CE4" w14:textId="4418464F">
      <w:pPr>
        <w:spacing w:line="240" w:lineRule="auto"/>
        <w:ind w:left="2160" w:hanging="720"/>
      </w:pPr>
      <w:r w:rsidRPr="00ED7A7F">
        <w:t xml:space="preserve">b. </w:t>
      </w:r>
      <w:r w:rsidRPr="00ED7A7F">
        <w:tab/>
        <w:t>The processing of irradiated gemstones at the applicant’s facility and the sequence of these activities (e.g., counting of gemstones and storage for physical decay; mounting in rings, pendants, or other settings).</w:t>
      </w:r>
    </w:p>
    <w:p w:rsidRPr="00ED7A7F" w:rsidR="00414C42" w:rsidP="000B65B1" w:rsidRDefault="00414C42" w14:paraId="724E2115" w14:textId="77777777">
      <w:pPr>
        <w:spacing w:line="240" w:lineRule="auto"/>
        <w:ind w:left="2160" w:hanging="720"/>
      </w:pPr>
    </w:p>
    <w:p w:rsidR="00B335F7" w:rsidP="000B65B1" w:rsidRDefault="003960E1" w14:paraId="5A1E6BB0" w14:textId="3A582169">
      <w:pPr>
        <w:spacing w:line="240" w:lineRule="auto"/>
        <w:ind w:left="2160" w:hanging="720"/>
      </w:pPr>
      <w:r w:rsidRPr="00ED7A7F">
        <w:t xml:space="preserve">c. </w:t>
      </w:r>
      <w:r w:rsidRPr="00ED7A7F">
        <w:tab/>
        <w:t>The categories of unlicensed organizations to which irradiated gemstones will be transferred (e.g., wholesaler, manufacturing jeweler, retail jeweler, individual consumer).</w:t>
      </w:r>
    </w:p>
    <w:p w:rsidRPr="00ED7A7F" w:rsidR="00414C42" w:rsidP="000B65B1" w:rsidRDefault="00414C42" w14:paraId="62067982" w14:textId="77777777">
      <w:pPr>
        <w:spacing w:line="240" w:lineRule="auto"/>
        <w:ind w:left="2160" w:hanging="720"/>
      </w:pPr>
    </w:p>
    <w:p w:rsidRPr="00ED7A7F" w:rsidR="003960E1" w:rsidP="000B65B1" w:rsidRDefault="003960E1" w14:paraId="282394C9" w14:textId="15B15351">
      <w:pPr>
        <w:spacing w:line="240" w:lineRule="auto"/>
        <w:ind w:left="2160" w:hanging="720"/>
      </w:pPr>
      <w:r w:rsidRPr="00ED7A7F">
        <w:t xml:space="preserve">d. </w:t>
      </w:r>
      <w:r w:rsidRPr="00ED7A7F">
        <w:tab/>
        <w:t xml:space="preserve">What will be done with gemstones whose </w:t>
      </w:r>
      <w:r w:rsidRPr="00ED7A7F" w:rsidR="006B5808">
        <w:t xml:space="preserve">maximum external radiation levels </w:t>
      </w:r>
      <w:r w:rsidRPr="00ED7A7F">
        <w:t>e</w:t>
      </w:r>
      <w:r w:rsidR="000D3799">
        <w:t>x</w:t>
      </w:r>
      <w:r w:rsidRPr="00ED7A7F">
        <w:t>ceed the criteria specified in response to Item C.2.</w:t>
      </w:r>
      <w:r w:rsidRPr="00ED7A7F" w:rsidR="006B5808">
        <w:t>vi</w:t>
      </w:r>
      <w:r w:rsidRPr="00ED7A7F">
        <w:t>. below.</w:t>
      </w:r>
      <w:r w:rsidR="000D3799">
        <w:t xml:space="preserve"> </w:t>
      </w:r>
      <w:r w:rsidRPr="00ED7A7F">
        <w:t xml:space="preserve"> (Alternatives include hold in storage for physical decay, transferring to a person specifically licensed to receive them, or disposal as radioactive </w:t>
      </w:r>
      <w:r w:rsidRPr="00ED7A7F">
        <w:lastRenderedPageBreak/>
        <w:t>waste in accordance with the requirements of 10 CFR Part 20 or equivalent regulations of an Agreement State.)</w:t>
      </w:r>
    </w:p>
    <w:p w:rsidRPr="00ED7A7F" w:rsidR="00B335F7" w:rsidP="00ED5120" w:rsidRDefault="00B335F7" w14:paraId="56D4AA9F" w14:textId="77777777">
      <w:pPr>
        <w:spacing w:line="240" w:lineRule="auto"/>
        <w:ind w:left="2160" w:hanging="720"/>
      </w:pPr>
    </w:p>
    <w:p w:rsidRPr="00ED7A7F" w:rsidR="00B335F7" w:rsidP="00ED5120" w:rsidRDefault="003960E1" w14:paraId="6CAEC37A" w14:textId="033C31E1">
      <w:pPr>
        <w:spacing w:line="240" w:lineRule="auto"/>
        <w:ind w:left="1530" w:hanging="810"/>
      </w:pPr>
      <w:r w:rsidRPr="00ED7A7F">
        <w:t xml:space="preserve">6. </w:t>
      </w:r>
      <w:r w:rsidRPr="00ED7A7F">
        <w:tab/>
        <w:t>Describe the procedures used in analysis of the radioactivity in gemstones,</w:t>
      </w:r>
      <w:r w:rsidR="000D3799">
        <w:t xml:space="preserve"> </w:t>
      </w:r>
      <w:r w:rsidRPr="00ED7A7F">
        <w:t>including:</w:t>
      </w:r>
    </w:p>
    <w:p w:rsidRPr="00ED7A7F" w:rsidR="003960E1" w:rsidP="00ED5120" w:rsidRDefault="003960E1" w14:paraId="780FAEC5" w14:textId="4DAF2F63">
      <w:pPr>
        <w:spacing w:line="240" w:lineRule="auto"/>
        <w:ind w:left="1530" w:hanging="810"/>
      </w:pPr>
      <w:r w:rsidRPr="00ED7A7F">
        <w:t xml:space="preserve"> </w:t>
      </w:r>
    </w:p>
    <w:p w:rsidR="00B335F7" w:rsidP="00ED5120" w:rsidRDefault="003960E1" w14:paraId="726D68A6" w14:textId="2D704B31">
      <w:pPr>
        <w:spacing w:line="240" w:lineRule="auto"/>
        <w:ind w:left="2160" w:hanging="720"/>
      </w:pPr>
      <w:r w:rsidRPr="00ED7A7F">
        <w:t xml:space="preserve">a. </w:t>
      </w:r>
      <w:r w:rsidRPr="00ED7A7F">
        <w:tab/>
        <w:t>Identification of all radionuclides with physical half</w:t>
      </w:r>
      <w:r w:rsidRPr="00ED7A7F">
        <w:noBreakHyphen/>
        <w:t>lives greater than 2 hours (regardless of method of production) induced in gemstones and classification of each as either a “major” or “minor” radionuclide, depending on its contribution to total activity in gemstones to be transferred to persons who are exempt from licensing or to the potential contribution to doses.</w:t>
      </w:r>
    </w:p>
    <w:p w:rsidRPr="00ED7A7F" w:rsidR="00414C42" w:rsidP="00ED5120" w:rsidRDefault="00414C42" w14:paraId="48015DE8" w14:textId="77777777">
      <w:pPr>
        <w:spacing w:line="240" w:lineRule="auto"/>
        <w:ind w:left="2160" w:hanging="720"/>
      </w:pPr>
    </w:p>
    <w:p w:rsidRPr="00ED7A7F" w:rsidR="00B335F7" w:rsidP="00ED5120" w:rsidRDefault="003960E1" w14:paraId="4A16D453" w14:textId="77777777">
      <w:pPr>
        <w:spacing w:line="240" w:lineRule="auto"/>
        <w:ind w:left="2160" w:hanging="720"/>
      </w:pPr>
      <w:r w:rsidRPr="00ED7A7F">
        <w:t>b.</w:t>
      </w:r>
      <w:r w:rsidRPr="00ED7A7F">
        <w:tab/>
        <w:t>How the information provided in response to the previous item was obtained and how the NRC can be assured that this information is representative of gemstones transferred in the future.</w:t>
      </w:r>
    </w:p>
    <w:p w:rsidRPr="00ED7A7F" w:rsidR="003960E1" w:rsidP="00ED5120" w:rsidRDefault="003960E1" w14:paraId="710C7E50" w14:textId="784A69C9">
      <w:pPr>
        <w:spacing w:line="240" w:lineRule="auto"/>
        <w:ind w:left="2160" w:hanging="720"/>
      </w:pPr>
    </w:p>
    <w:p w:rsidRPr="00ED7A7F" w:rsidR="00B335F7" w:rsidP="00ED5120" w:rsidRDefault="003960E1" w14:paraId="672FF4DD" w14:textId="77777777">
      <w:pPr>
        <w:keepNext/>
        <w:spacing w:line="240" w:lineRule="auto"/>
        <w:ind w:left="720"/>
      </w:pPr>
      <w:r w:rsidRPr="00ED7A7F">
        <w:t xml:space="preserve">7. </w:t>
      </w:r>
      <w:r w:rsidRPr="00ED7A7F">
        <w:tab/>
        <w:t>Describe:</w:t>
      </w:r>
    </w:p>
    <w:p w:rsidRPr="00ED7A7F" w:rsidR="003960E1" w:rsidP="00ED5120" w:rsidRDefault="003960E1" w14:paraId="0756A586" w14:textId="59C93CF4">
      <w:pPr>
        <w:keepNext/>
        <w:spacing w:line="240" w:lineRule="auto"/>
        <w:ind w:left="720"/>
      </w:pPr>
    </w:p>
    <w:p w:rsidR="003960E1" w:rsidP="00ED5120" w:rsidRDefault="003960E1" w14:paraId="2218ACDF" w14:textId="777C7594">
      <w:pPr>
        <w:spacing w:line="240" w:lineRule="auto"/>
        <w:ind w:left="1980" w:hanging="540"/>
      </w:pPr>
      <w:r w:rsidRPr="00ED7A7F">
        <w:t xml:space="preserve">a. </w:t>
      </w:r>
      <w:r w:rsidRPr="00ED7A7F">
        <w:tab/>
        <w:t>Anticipated production (e.g., the estimated maximum number and mass (in grams) of gemstones to be irradiated at one time and the estimated number of batches per year) or, if importing, the anticipated quantities expected to be imported into the United States.</w:t>
      </w:r>
    </w:p>
    <w:p w:rsidRPr="00ED7A7F" w:rsidR="00414C42" w:rsidP="00ED5120" w:rsidRDefault="00414C42" w14:paraId="7CB7A8F8" w14:textId="77777777">
      <w:pPr>
        <w:spacing w:line="240" w:lineRule="auto"/>
        <w:ind w:left="1980" w:hanging="540"/>
      </w:pPr>
    </w:p>
    <w:p w:rsidR="00B335F7" w:rsidP="00ED5120" w:rsidRDefault="003960E1" w14:paraId="0600F9C2" w14:textId="5B1384DE">
      <w:pPr>
        <w:spacing w:line="240" w:lineRule="auto"/>
        <w:ind w:left="1980" w:hanging="540"/>
      </w:pPr>
      <w:r w:rsidRPr="00ED7A7F">
        <w:t xml:space="preserve">b. </w:t>
      </w:r>
      <w:r w:rsidRPr="00ED7A7F">
        <w:tab/>
        <w:t>The possession limit to be requested in possession license can be determined by multiplying the maximum number of gemstones to be possessed at one time by the maximum total activity anticipated in any one gemstone.</w:t>
      </w:r>
    </w:p>
    <w:p w:rsidR="00ED7A7F" w:rsidP="00ED5120" w:rsidRDefault="00ED7A7F" w14:paraId="16DD23E0" w14:textId="3CB5F914">
      <w:pPr>
        <w:spacing w:line="240" w:lineRule="auto"/>
        <w:ind w:left="1980" w:hanging="540"/>
      </w:pPr>
    </w:p>
    <w:p w:rsidRPr="00ED7A7F" w:rsidR="00B335F7" w:rsidP="00ED5120" w:rsidRDefault="003960E1" w14:paraId="4E8F107D" w14:textId="05C7BFC6">
      <w:pPr>
        <w:keepNext/>
        <w:spacing w:line="240" w:lineRule="auto"/>
      </w:pPr>
      <w:r w:rsidRPr="00ED7A7F">
        <w:t xml:space="preserve">C. </w:t>
      </w:r>
      <w:r w:rsidRPr="00ED7A7F">
        <w:tab/>
        <w:t>Information Required by 10 CFR 32.</w:t>
      </w:r>
      <w:r w:rsidRPr="00ED7A7F" w:rsidR="00D02C57">
        <w:t>33</w:t>
      </w:r>
    </w:p>
    <w:p w:rsidRPr="00ED7A7F" w:rsidR="003960E1" w:rsidP="00ED5120" w:rsidRDefault="003960E1" w14:paraId="23AC9F37" w14:textId="2717D2FA">
      <w:pPr>
        <w:keepNext/>
        <w:spacing w:line="240" w:lineRule="auto"/>
      </w:pPr>
    </w:p>
    <w:p w:rsidRPr="00ED7A7F" w:rsidR="003960E1" w:rsidP="00ED5120" w:rsidRDefault="003960E1" w14:paraId="3064B821" w14:textId="256E9C25">
      <w:pPr>
        <w:keepNext/>
        <w:spacing w:line="240" w:lineRule="auto"/>
        <w:ind w:left="1440" w:hanging="720"/>
      </w:pPr>
      <w:r w:rsidRPr="00ED7A7F">
        <w:t xml:space="preserve">1. </w:t>
      </w:r>
      <w:r w:rsidRPr="00ED7A7F">
        <w:tab/>
        <w:t>Paragraph (a)</w:t>
      </w:r>
      <w:r w:rsidRPr="00ED7A7F" w:rsidR="00B27693">
        <w:t>(1)</w:t>
      </w:r>
      <w:r w:rsidRPr="00ED7A7F">
        <w:t xml:space="preserve"> of 10 CFR 32.</w:t>
      </w:r>
      <w:r w:rsidRPr="00ED7A7F" w:rsidR="00F075C1">
        <w:t>33</w:t>
      </w:r>
      <w:r w:rsidRPr="00ED7A7F">
        <w:t xml:space="preserve"> requires that the general requirements of 10</w:t>
      </w:r>
      <w:r w:rsidR="00815B00">
        <w:t> </w:t>
      </w:r>
      <w:r w:rsidRPr="00ED7A7F">
        <w:t>CFR 30.33 be satisfied.  To comply with this requirement (or equivalent requirements of Agreement States), the applicant will</w:t>
      </w:r>
      <w:r w:rsidR="00763395">
        <w:t>:</w:t>
      </w:r>
    </w:p>
    <w:p w:rsidRPr="00ED7A7F" w:rsidR="00B335F7" w:rsidP="00ED5120" w:rsidRDefault="00B335F7" w14:paraId="62B45B37" w14:textId="77777777">
      <w:pPr>
        <w:spacing w:line="240" w:lineRule="auto"/>
        <w:ind w:left="1440" w:hanging="720"/>
      </w:pPr>
    </w:p>
    <w:p w:rsidR="003960E1" w:rsidP="00ED5120" w:rsidRDefault="003960E1" w14:paraId="22F897D7" w14:textId="2CDA3C30">
      <w:pPr>
        <w:spacing w:line="240" w:lineRule="auto"/>
        <w:ind w:left="1980" w:hanging="540"/>
      </w:pPr>
      <w:r w:rsidRPr="00ED7A7F">
        <w:t xml:space="preserve">a. </w:t>
      </w:r>
      <w:r w:rsidRPr="00ED7A7F">
        <w:tab/>
        <w:t>Explain how the facilities and equipment proposed in the application are adequate to protect health and minimize danger to life or property with respect to activities to be conducted under this license.  Specifically, explain how irradiated gemstones will be stored and secured against unauthorized removal or, when not stored and secured, will be tended under the constant surveillance and immediate control of a knowledgeable, responsible person on the licensee’s staff.</w:t>
      </w:r>
    </w:p>
    <w:p w:rsidRPr="00ED7A7F" w:rsidR="00414C42" w:rsidP="00ED5120" w:rsidRDefault="00414C42" w14:paraId="4B43CE49" w14:textId="77777777">
      <w:pPr>
        <w:spacing w:line="240" w:lineRule="auto"/>
        <w:ind w:left="1980" w:hanging="540"/>
      </w:pPr>
    </w:p>
    <w:p w:rsidRPr="00ED7A7F" w:rsidR="003960E1" w:rsidP="00ED5120" w:rsidRDefault="003960E1" w14:paraId="4F2A83D2" w14:textId="07AFCD76">
      <w:pPr>
        <w:spacing w:line="240" w:lineRule="auto"/>
        <w:ind w:left="1980" w:hanging="540"/>
      </w:pPr>
      <w:r w:rsidRPr="00ED7A7F">
        <w:t xml:space="preserve">b. </w:t>
      </w:r>
      <w:r w:rsidRPr="00ED7A7F">
        <w:tab/>
        <w:t>Identify by name the individual(s) who will be responsible for handling, irradiating, storing, counting, evaluating, and controlling the release of irradiated gemstones; correlate individuals’ names with their responsibilities; and describe the training and experience of each of these individuals that assure protection of the public health and safety.</w:t>
      </w:r>
    </w:p>
    <w:p w:rsidRPr="00ED7A7F" w:rsidR="00CE3BB1" w:rsidP="00ED5120" w:rsidRDefault="00CE3BB1" w14:paraId="3F0CDE2E" w14:textId="77777777">
      <w:pPr>
        <w:spacing w:line="240" w:lineRule="auto"/>
        <w:ind w:left="2160" w:hanging="720"/>
      </w:pPr>
    </w:p>
    <w:p w:rsidRPr="00ED7A7F" w:rsidR="003960E1" w:rsidP="00ED5120" w:rsidRDefault="003960E1" w14:paraId="2D0FEE4D" w14:textId="2031FBA6">
      <w:pPr>
        <w:spacing w:line="240" w:lineRule="auto"/>
        <w:ind w:left="1440" w:hanging="720"/>
      </w:pPr>
      <w:r w:rsidRPr="00ED7A7F">
        <w:lastRenderedPageBreak/>
        <w:t xml:space="preserve">2. </w:t>
      </w:r>
      <w:r w:rsidRPr="00ED7A7F">
        <w:tab/>
        <w:t xml:space="preserve">Paragraph </w:t>
      </w:r>
      <w:r w:rsidRPr="00ED7A7F" w:rsidR="00155327">
        <w:t>(a)(2)</w:t>
      </w:r>
      <w:r w:rsidRPr="00ED7A7F">
        <w:t xml:space="preserve"> of 10 CFR 32.</w:t>
      </w:r>
      <w:r w:rsidRPr="00ED7A7F" w:rsidR="004000FC">
        <w:t>33</w:t>
      </w:r>
      <w:r w:rsidRPr="00ED7A7F">
        <w:t xml:space="preserve"> requires that certain information be provided.  If information on one or more points has already been provided, reference the previous response by section and item number or provide a complete response.  To comply with 10 CFR 32.</w:t>
      </w:r>
      <w:r w:rsidRPr="00ED7A7F" w:rsidR="00DB2FAB">
        <w:t>33</w:t>
      </w:r>
      <w:r w:rsidRPr="00ED7A7F" w:rsidR="007441EE">
        <w:t>(a)(2)</w:t>
      </w:r>
      <w:r w:rsidRPr="00ED7A7F">
        <w:t>, the applicant will describe:</w:t>
      </w:r>
    </w:p>
    <w:p w:rsidRPr="00ED7A7F" w:rsidR="00D14D8A" w:rsidP="00ED5120" w:rsidRDefault="00D14D8A" w14:paraId="388FC2EE" w14:textId="77777777">
      <w:pPr>
        <w:spacing w:line="240" w:lineRule="auto"/>
        <w:ind w:left="1440" w:hanging="720"/>
      </w:pPr>
    </w:p>
    <w:p w:rsidRPr="00ED7A7F" w:rsidR="00332B00" w:rsidP="00ED5120" w:rsidRDefault="00332B00" w14:paraId="4BA52EFA" w14:textId="7E360411">
      <w:pPr>
        <w:pStyle w:val="NormalWeb"/>
        <w:shd w:val="clear" w:color="auto" w:fill="FFFFFF"/>
        <w:spacing w:before="0" w:beforeAutospacing="0" w:after="0" w:afterAutospacing="0"/>
        <w:ind w:left="1980" w:hanging="540"/>
        <w:rPr>
          <w:rFonts w:ascii="Arial" w:hAnsi="Arial" w:cs="Arial"/>
          <w:sz w:val="22"/>
          <w:szCs w:val="22"/>
        </w:rPr>
      </w:pPr>
      <w:r w:rsidRPr="00ED7A7F">
        <w:rPr>
          <w:rFonts w:ascii="Arial" w:hAnsi="Arial" w:cs="Arial"/>
          <w:sz w:val="22"/>
          <w:szCs w:val="22"/>
        </w:rPr>
        <w:t>(</w:t>
      </w:r>
      <w:proofErr w:type="spellStart"/>
      <w:r w:rsidRPr="00ED7A7F" w:rsidR="00F912C3">
        <w:rPr>
          <w:rFonts w:ascii="Arial" w:hAnsi="Arial" w:cs="Arial"/>
          <w:sz w:val="22"/>
          <w:szCs w:val="22"/>
        </w:rPr>
        <w:t>i</w:t>
      </w:r>
      <w:proofErr w:type="spellEnd"/>
      <w:r w:rsidRPr="00ED7A7F">
        <w:rPr>
          <w:rFonts w:ascii="Arial" w:hAnsi="Arial" w:cs="Arial"/>
          <w:sz w:val="22"/>
          <w:szCs w:val="22"/>
        </w:rPr>
        <w:t>)</w:t>
      </w:r>
      <w:r w:rsidRPr="00ED7A7F" w:rsidR="00E37B39">
        <w:rPr>
          <w:rFonts w:ascii="Arial" w:hAnsi="Arial" w:cs="Arial"/>
          <w:sz w:val="22"/>
          <w:szCs w:val="22"/>
        </w:rPr>
        <w:tab/>
      </w:r>
      <w:r w:rsidR="00763395">
        <w:rPr>
          <w:rFonts w:ascii="Arial" w:hAnsi="Arial" w:cs="Arial"/>
          <w:sz w:val="22"/>
          <w:szCs w:val="22"/>
        </w:rPr>
        <w:t>T</w:t>
      </w:r>
      <w:r w:rsidRPr="00ED7A7F">
        <w:rPr>
          <w:rFonts w:ascii="Arial" w:hAnsi="Arial" w:cs="Arial"/>
          <w:sz w:val="22"/>
          <w:szCs w:val="22"/>
        </w:rPr>
        <w:t xml:space="preserve">he item and its intended use or </w:t>
      </w:r>
      <w:proofErr w:type="gramStart"/>
      <w:r w:rsidRPr="00ED7A7F">
        <w:rPr>
          <w:rFonts w:ascii="Arial" w:hAnsi="Arial" w:cs="Arial"/>
          <w:sz w:val="22"/>
          <w:szCs w:val="22"/>
        </w:rPr>
        <w:t>uses</w:t>
      </w:r>
      <w:proofErr w:type="gramEnd"/>
      <w:r w:rsidRPr="00ED7A7F">
        <w:rPr>
          <w:rFonts w:ascii="Arial" w:hAnsi="Arial" w:cs="Arial"/>
          <w:sz w:val="22"/>
          <w:szCs w:val="22"/>
        </w:rPr>
        <w:t>.</w:t>
      </w:r>
    </w:p>
    <w:p w:rsidRPr="00ED7A7F" w:rsidR="00D14D8A" w:rsidP="00ED5120" w:rsidRDefault="00D14D8A" w14:paraId="7946F7AF" w14:textId="77777777">
      <w:pPr>
        <w:pStyle w:val="NormalWeb"/>
        <w:shd w:val="clear" w:color="auto" w:fill="FFFFFF"/>
        <w:spacing w:before="0" w:beforeAutospacing="0" w:after="0" w:afterAutospacing="0"/>
        <w:ind w:left="1980" w:hanging="540"/>
        <w:rPr>
          <w:rFonts w:ascii="Arial" w:hAnsi="Arial" w:cs="Arial"/>
          <w:sz w:val="22"/>
          <w:szCs w:val="22"/>
        </w:rPr>
      </w:pPr>
    </w:p>
    <w:p w:rsidRPr="00ED7A7F" w:rsidR="00332B00" w:rsidP="00ED5120" w:rsidRDefault="00332B00" w14:paraId="1B07F979" w14:textId="3298E9FD">
      <w:pPr>
        <w:pStyle w:val="NormalWeb"/>
        <w:shd w:val="clear" w:color="auto" w:fill="FFFFFF"/>
        <w:spacing w:before="0" w:beforeAutospacing="0" w:after="0" w:afterAutospacing="0"/>
        <w:ind w:left="1980" w:hanging="540"/>
        <w:rPr>
          <w:rFonts w:ascii="Arial" w:hAnsi="Arial" w:cs="Arial"/>
          <w:sz w:val="22"/>
          <w:szCs w:val="22"/>
        </w:rPr>
      </w:pPr>
      <w:r w:rsidRPr="00ED7A7F">
        <w:rPr>
          <w:rFonts w:ascii="Arial" w:hAnsi="Arial" w:cs="Arial"/>
          <w:sz w:val="22"/>
          <w:szCs w:val="22"/>
        </w:rPr>
        <w:t>(</w:t>
      </w:r>
      <w:r w:rsidRPr="00ED7A7F" w:rsidR="00F912C3">
        <w:rPr>
          <w:rFonts w:ascii="Arial" w:hAnsi="Arial" w:cs="Arial"/>
          <w:sz w:val="22"/>
          <w:szCs w:val="22"/>
        </w:rPr>
        <w:t>ii</w:t>
      </w:r>
      <w:r w:rsidRPr="00ED7A7F">
        <w:rPr>
          <w:rFonts w:ascii="Arial" w:hAnsi="Arial" w:cs="Arial"/>
          <w:sz w:val="22"/>
          <w:szCs w:val="22"/>
        </w:rPr>
        <w:t>)</w:t>
      </w:r>
      <w:r w:rsidRPr="00ED7A7F" w:rsidR="00E37B39">
        <w:rPr>
          <w:rFonts w:ascii="Arial" w:hAnsi="Arial" w:cs="Arial"/>
          <w:sz w:val="22"/>
          <w:szCs w:val="22"/>
        </w:rPr>
        <w:tab/>
      </w:r>
      <w:r w:rsidRPr="00ED7A7F">
        <w:rPr>
          <w:rFonts w:ascii="Arial" w:hAnsi="Arial" w:cs="Arial"/>
          <w:sz w:val="22"/>
          <w:szCs w:val="22"/>
        </w:rPr>
        <w:t>The type and quantity of byproduct material in each unit.</w:t>
      </w:r>
    </w:p>
    <w:p w:rsidRPr="00ED7A7F" w:rsidR="00D14D8A" w:rsidP="00ED5120" w:rsidRDefault="00D14D8A" w14:paraId="2F555AAA" w14:textId="77777777">
      <w:pPr>
        <w:pStyle w:val="NormalWeb"/>
        <w:shd w:val="clear" w:color="auto" w:fill="FFFFFF"/>
        <w:spacing w:before="0" w:beforeAutospacing="0" w:after="0" w:afterAutospacing="0"/>
        <w:ind w:left="1980" w:hanging="540"/>
        <w:rPr>
          <w:rFonts w:ascii="Arial" w:hAnsi="Arial" w:cs="Arial"/>
          <w:sz w:val="22"/>
          <w:szCs w:val="22"/>
        </w:rPr>
      </w:pPr>
    </w:p>
    <w:p w:rsidR="00332B00" w:rsidP="00ED5120" w:rsidRDefault="00332B00" w14:paraId="1BFA69D5" w14:textId="5A330688">
      <w:pPr>
        <w:pStyle w:val="NormalWeb"/>
        <w:shd w:val="clear" w:color="auto" w:fill="FFFFFF"/>
        <w:spacing w:before="0" w:beforeAutospacing="0" w:after="0" w:afterAutospacing="0"/>
        <w:ind w:left="1980" w:hanging="540"/>
        <w:rPr>
          <w:rFonts w:ascii="Arial" w:hAnsi="Arial" w:cs="Arial"/>
          <w:sz w:val="22"/>
          <w:szCs w:val="22"/>
        </w:rPr>
      </w:pPr>
      <w:r w:rsidRPr="00ED7A7F">
        <w:rPr>
          <w:rFonts w:ascii="Arial" w:hAnsi="Arial" w:cs="Arial"/>
          <w:sz w:val="22"/>
          <w:szCs w:val="22"/>
        </w:rPr>
        <w:t>(</w:t>
      </w:r>
      <w:r w:rsidRPr="00ED7A7F" w:rsidR="00F912C3">
        <w:rPr>
          <w:rFonts w:ascii="Arial" w:hAnsi="Arial" w:cs="Arial"/>
          <w:sz w:val="22"/>
          <w:szCs w:val="22"/>
        </w:rPr>
        <w:t>iii</w:t>
      </w:r>
      <w:r w:rsidRPr="00ED7A7F">
        <w:rPr>
          <w:rFonts w:ascii="Arial" w:hAnsi="Arial" w:cs="Arial"/>
          <w:sz w:val="22"/>
          <w:szCs w:val="22"/>
        </w:rPr>
        <w:t>)</w:t>
      </w:r>
      <w:r w:rsidRPr="00ED7A7F" w:rsidR="00E37B39">
        <w:rPr>
          <w:rFonts w:ascii="Arial" w:hAnsi="Arial" w:cs="Arial"/>
          <w:sz w:val="22"/>
          <w:szCs w:val="22"/>
        </w:rPr>
        <w:tab/>
      </w:r>
      <w:r w:rsidRPr="00ED7A7F">
        <w:rPr>
          <w:rFonts w:ascii="Arial" w:hAnsi="Arial" w:cs="Arial"/>
          <w:sz w:val="22"/>
          <w:szCs w:val="22"/>
        </w:rPr>
        <w:t>Chemical and physical form of the byproduct material in the item and changes in chemical and physical form that may occur during the useful life of the product.</w:t>
      </w:r>
    </w:p>
    <w:p w:rsidRPr="00ED7A7F" w:rsidR="00105B69" w:rsidP="00ED5120" w:rsidRDefault="00105B69" w14:paraId="728E80B2" w14:textId="77777777">
      <w:pPr>
        <w:pStyle w:val="NormalWeb"/>
        <w:shd w:val="clear" w:color="auto" w:fill="FFFFFF"/>
        <w:spacing w:before="0" w:beforeAutospacing="0" w:after="0" w:afterAutospacing="0"/>
        <w:ind w:left="1980" w:hanging="540"/>
        <w:rPr>
          <w:rFonts w:ascii="Arial" w:hAnsi="Arial" w:cs="Arial"/>
          <w:sz w:val="22"/>
          <w:szCs w:val="22"/>
        </w:rPr>
      </w:pPr>
    </w:p>
    <w:p w:rsidRPr="00ED7A7F" w:rsidR="00332B00" w:rsidP="00ED5120" w:rsidRDefault="00332B00" w14:paraId="70BABFCE" w14:textId="7883F7BB">
      <w:pPr>
        <w:pStyle w:val="NormalWeb"/>
        <w:shd w:val="clear" w:color="auto" w:fill="FFFFFF"/>
        <w:spacing w:before="0" w:beforeAutospacing="0" w:after="0" w:afterAutospacing="0"/>
        <w:ind w:left="1980" w:hanging="540"/>
        <w:rPr>
          <w:rFonts w:ascii="Arial" w:hAnsi="Arial" w:cs="Arial"/>
          <w:sz w:val="22"/>
          <w:szCs w:val="22"/>
        </w:rPr>
      </w:pPr>
      <w:r w:rsidRPr="00ED7A7F">
        <w:rPr>
          <w:rFonts w:ascii="Arial" w:hAnsi="Arial" w:cs="Arial"/>
          <w:sz w:val="22"/>
          <w:szCs w:val="22"/>
        </w:rPr>
        <w:t>(</w:t>
      </w:r>
      <w:r w:rsidRPr="00ED7A7F" w:rsidR="00F912C3">
        <w:rPr>
          <w:rFonts w:ascii="Arial" w:hAnsi="Arial" w:cs="Arial"/>
          <w:sz w:val="22"/>
          <w:szCs w:val="22"/>
        </w:rPr>
        <w:t>iv</w:t>
      </w:r>
      <w:r w:rsidRPr="00ED7A7F">
        <w:rPr>
          <w:rFonts w:ascii="Arial" w:hAnsi="Arial" w:cs="Arial"/>
          <w:sz w:val="22"/>
          <w:szCs w:val="22"/>
        </w:rPr>
        <w:t>)</w:t>
      </w:r>
      <w:r w:rsidRPr="00ED7A7F" w:rsidR="00D50AD4">
        <w:rPr>
          <w:rFonts w:ascii="Arial" w:hAnsi="Arial" w:cs="Arial"/>
          <w:sz w:val="22"/>
          <w:szCs w:val="22"/>
        </w:rPr>
        <w:tab/>
      </w:r>
      <w:r w:rsidRPr="00ED7A7F">
        <w:rPr>
          <w:rFonts w:ascii="Arial" w:hAnsi="Arial" w:cs="Arial"/>
          <w:sz w:val="22"/>
          <w:szCs w:val="22"/>
        </w:rPr>
        <w:t>Solubility in water and body fluids of the forms of the byproduct material</w:t>
      </w:r>
      <w:r w:rsidRPr="00ED7A7F" w:rsidR="00A46460">
        <w:rPr>
          <w:rFonts w:ascii="Arial" w:hAnsi="Arial" w:cs="Arial"/>
          <w:sz w:val="22"/>
          <w:szCs w:val="22"/>
        </w:rPr>
        <w:t xml:space="preserve">, including any forms that arose </w:t>
      </w:r>
      <w:proofErr w:type="gramStart"/>
      <w:r w:rsidRPr="00ED7A7F" w:rsidR="00A46460">
        <w:rPr>
          <w:rFonts w:ascii="Arial" w:hAnsi="Arial" w:cs="Arial"/>
          <w:sz w:val="22"/>
          <w:szCs w:val="22"/>
        </w:rPr>
        <w:t>as a result of</w:t>
      </w:r>
      <w:proofErr w:type="gramEnd"/>
      <w:r w:rsidRPr="00ED7A7F" w:rsidR="00A46460">
        <w:rPr>
          <w:rFonts w:ascii="Arial" w:hAnsi="Arial" w:cs="Arial"/>
          <w:sz w:val="22"/>
          <w:szCs w:val="22"/>
        </w:rPr>
        <w:t xml:space="preserve"> prototype testing</w:t>
      </w:r>
      <w:r w:rsidRPr="00ED7A7F" w:rsidR="005D2048">
        <w:rPr>
          <w:rFonts w:ascii="Arial" w:hAnsi="Arial" w:cs="Arial"/>
          <w:sz w:val="22"/>
          <w:szCs w:val="22"/>
        </w:rPr>
        <w:t>.</w:t>
      </w:r>
    </w:p>
    <w:p w:rsidRPr="00ED7A7F" w:rsidR="00D14D8A" w:rsidP="00ED5120" w:rsidRDefault="00D14D8A" w14:paraId="79C3C82D" w14:textId="77777777">
      <w:pPr>
        <w:pStyle w:val="NormalWeb"/>
        <w:shd w:val="clear" w:color="auto" w:fill="FFFFFF"/>
        <w:spacing w:before="0" w:beforeAutospacing="0" w:after="0" w:afterAutospacing="0"/>
        <w:ind w:left="1980" w:hanging="540"/>
        <w:rPr>
          <w:rFonts w:ascii="Arial" w:hAnsi="Arial" w:cs="Arial"/>
          <w:sz w:val="22"/>
          <w:szCs w:val="22"/>
        </w:rPr>
      </w:pPr>
    </w:p>
    <w:p w:rsidRPr="00ED7A7F" w:rsidR="00332B00" w:rsidP="00ED5120" w:rsidRDefault="00332B00" w14:paraId="475D4137" w14:textId="66E3614E">
      <w:pPr>
        <w:pStyle w:val="NormalWeb"/>
        <w:shd w:val="clear" w:color="auto" w:fill="FFFFFF"/>
        <w:spacing w:before="0" w:beforeAutospacing="0" w:after="0" w:afterAutospacing="0"/>
        <w:ind w:left="1980" w:hanging="540"/>
        <w:rPr>
          <w:rFonts w:ascii="Arial" w:hAnsi="Arial" w:cs="Arial"/>
          <w:sz w:val="22"/>
          <w:szCs w:val="22"/>
        </w:rPr>
      </w:pPr>
      <w:r w:rsidRPr="00ED7A7F">
        <w:rPr>
          <w:rFonts w:ascii="Arial" w:hAnsi="Arial" w:cs="Arial"/>
          <w:sz w:val="22"/>
          <w:szCs w:val="22"/>
        </w:rPr>
        <w:t>(</w:t>
      </w:r>
      <w:r w:rsidRPr="00ED7A7F" w:rsidR="000014A0">
        <w:rPr>
          <w:rFonts w:ascii="Arial" w:hAnsi="Arial" w:cs="Arial"/>
          <w:sz w:val="22"/>
          <w:szCs w:val="22"/>
        </w:rPr>
        <w:t>v</w:t>
      </w:r>
      <w:r w:rsidRPr="00ED7A7F">
        <w:rPr>
          <w:rFonts w:ascii="Arial" w:hAnsi="Arial" w:cs="Arial"/>
          <w:sz w:val="22"/>
          <w:szCs w:val="22"/>
        </w:rPr>
        <w:t>)</w:t>
      </w:r>
      <w:r w:rsidRPr="00ED7A7F" w:rsidR="00D50AD4">
        <w:rPr>
          <w:rFonts w:ascii="Arial" w:hAnsi="Arial" w:cs="Arial"/>
          <w:sz w:val="22"/>
          <w:szCs w:val="22"/>
        </w:rPr>
        <w:tab/>
      </w:r>
      <w:r w:rsidR="0048041E">
        <w:rPr>
          <w:rFonts w:ascii="Arial" w:hAnsi="Arial" w:cs="Arial"/>
          <w:sz w:val="22"/>
          <w:szCs w:val="22"/>
        </w:rPr>
        <w:t xml:space="preserve">The </w:t>
      </w:r>
      <w:r w:rsidRPr="00ED7A7F">
        <w:rPr>
          <w:rFonts w:ascii="Arial" w:hAnsi="Arial" w:cs="Arial"/>
          <w:sz w:val="22"/>
          <w:szCs w:val="22"/>
        </w:rPr>
        <w:t>construction and design of the item as related to safety features under normal and severe conditions of handling, storage, use, and disposal of the item.</w:t>
      </w:r>
    </w:p>
    <w:p w:rsidRPr="00ED7A7F" w:rsidR="00D14D8A" w:rsidP="00ED5120" w:rsidRDefault="00D14D8A" w14:paraId="3C18CA06" w14:textId="77777777">
      <w:pPr>
        <w:pStyle w:val="NormalWeb"/>
        <w:shd w:val="clear" w:color="auto" w:fill="FFFFFF"/>
        <w:spacing w:before="0" w:beforeAutospacing="0" w:after="0" w:afterAutospacing="0"/>
        <w:ind w:left="1980" w:hanging="540"/>
        <w:rPr>
          <w:rFonts w:ascii="Arial" w:hAnsi="Arial" w:cs="Arial"/>
          <w:sz w:val="22"/>
          <w:szCs w:val="22"/>
        </w:rPr>
      </w:pPr>
    </w:p>
    <w:p w:rsidRPr="00ED7A7F" w:rsidR="00332B00" w:rsidP="00ED5120" w:rsidRDefault="00332B00" w14:paraId="5F9BACBA" w14:textId="1E0B161C">
      <w:pPr>
        <w:pStyle w:val="NormalWeb"/>
        <w:shd w:val="clear" w:color="auto" w:fill="FFFFFF"/>
        <w:spacing w:before="0" w:beforeAutospacing="0" w:after="0" w:afterAutospacing="0"/>
        <w:ind w:left="1980" w:hanging="540"/>
        <w:rPr>
          <w:rFonts w:ascii="Arial" w:hAnsi="Arial" w:cs="Arial"/>
          <w:sz w:val="22"/>
          <w:szCs w:val="22"/>
        </w:rPr>
      </w:pPr>
      <w:r w:rsidRPr="00ED7A7F">
        <w:rPr>
          <w:rFonts w:ascii="Arial" w:hAnsi="Arial" w:cs="Arial"/>
          <w:sz w:val="22"/>
          <w:szCs w:val="22"/>
        </w:rPr>
        <w:t>(</w:t>
      </w:r>
      <w:r w:rsidRPr="00ED7A7F" w:rsidR="000014A0">
        <w:rPr>
          <w:rFonts w:ascii="Arial" w:hAnsi="Arial" w:cs="Arial"/>
          <w:sz w:val="22"/>
          <w:szCs w:val="22"/>
        </w:rPr>
        <w:t>vi</w:t>
      </w:r>
      <w:r w:rsidRPr="00ED7A7F">
        <w:rPr>
          <w:rFonts w:ascii="Arial" w:hAnsi="Arial" w:cs="Arial"/>
          <w:sz w:val="22"/>
          <w:szCs w:val="22"/>
        </w:rPr>
        <w:t>)</w:t>
      </w:r>
      <w:r w:rsidRPr="00ED7A7F" w:rsidR="00840BB8">
        <w:rPr>
          <w:rFonts w:ascii="Arial" w:hAnsi="Arial" w:cs="Arial"/>
          <w:sz w:val="22"/>
          <w:szCs w:val="22"/>
        </w:rPr>
        <w:tab/>
      </w:r>
      <w:r w:rsidRPr="00ED7A7F">
        <w:rPr>
          <w:rFonts w:ascii="Arial" w:hAnsi="Arial" w:cs="Arial"/>
          <w:sz w:val="22"/>
          <w:szCs w:val="22"/>
        </w:rPr>
        <w:t>Maximum external radiation levels at 5 and 25 centimeters from any external surface of the product, averaged over an area not to exceed 10</w:t>
      </w:r>
      <w:r w:rsidR="00217B72">
        <w:rPr>
          <w:rFonts w:ascii="Arial" w:hAnsi="Arial" w:cs="Arial"/>
          <w:sz w:val="22"/>
          <w:szCs w:val="22"/>
        </w:rPr>
        <w:t> </w:t>
      </w:r>
      <w:r w:rsidRPr="00ED7A7F">
        <w:rPr>
          <w:rFonts w:ascii="Arial" w:hAnsi="Arial" w:cs="Arial"/>
          <w:sz w:val="22"/>
          <w:szCs w:val="22"/>
        </w:rPr>
        <w:t>square centimeters, and the method of measurement.</w:t>
      </w:r>
    </w:p>
    <w:p w:rsidRPr="00ED7A7F" w:rsidR="00D14D8A" w:rsidP="00ED5120" w:rsidRDefault="00D14D8A" w14:paraId="2A5BE00D" w14:textId="77777777">
      <w:pPr>
        <w:pStyle w:val="NormalWeb"/>
        <w:shd w:val="clear" w:color="auto" w:fill="FFFFFF"/>
        <w:spacing w:before="0" w:beforeAutospacing="0" w:after="0" w:afterAutospacing="0"/>
        <w:ind w:left="1980" w:hanging="540"/>
        <w:rPr>
          <w:rFonts w:ascii="Arial" w:hAnsi="Arial" w:cs="Arial"/>
          <w:sz w:val="22"/>
          <w:szCs w:val="22"/>
        </w:rPr>
      </w:pPr>
    </w:p>
    <w:p w:rsidRPr="00ED7A7F" w:rsidR="00332B00" w:rsidP="00ED5120" w:rsidRDefault="00332B00" w14:paraId="723E3BED" w14:textId="21AF2F30">
      <w:pPr>
        <w:pStyle w:val="NormalWeb"/>
        <w:shd w:val="clear" w:color="auto" w:fill="FFFFFF"/>
        <w:spacing w:before="0" w:beforeAutospacing="0" w:after="0" w:afterAutospacing="0"/>
        <w:ind w:left="1980" w:hanging="540"/>
        <w:rPr>
          <w:rFonts w:ascii="Arial" w:hAnsi="Arial" w:cs="Arial"/>
          <w:sz w:val="22"/>
          <w:szCs w:val="22"/>
        </w:rPr>
      </w:pPr>
      <w:r w:rsidRPr="00ED7A7F">
        <w:rPr>
          <w:rFonts w:ascii="Arial" w:hAnsi="Arial" w:cs="Arial"/>
          <w:sz w:val="22"/>
          <w:szCs w:val="22"/>
        </w:rPr>
        <w:t>(</w:t>
      </w:r>
      <w:r w:rsidRPr="00ED7A7F" w:rsidR="000014A0">
        <w:rPr>
          <w:rFonts w:ascii="Arial" w:hAnsi="Arial" w:cs="Arial"/>
          <w:sz w:val="22"/>
          <w:szCs w:val="22"/>
        </w:rPr>
        <w:t>vii</w:t>
      </w:r>
      <w:r w:rsidRPr="00ED7A7F">
        <w:rPr>
          <w:rFonts w:ascii="Arial" w:hAnsi="Arial" w:cs="Arial"/>
          <w:sz w:val="22"/>
          <w:szCs w:val="22"/>
        </w:rPr>
        <w:t>)</w:t>
      </w:r>
      <w:r w:rsidRPr="00ED7A7F" w:rsidR="001C1DFE">
        <w:rPr>
          <w:rFonts w:ascii="Arial" w:hAnsi="Arial" w:cs="Arial"/>
          <w:sz w:val="22"/>
          <w:szCs w:val="22"/>
        </w:rPr>
        <w:tab/>
      </w:r>
      <w:r w:rsidRPr="00ED7A7F">
        <w:rPr>
          <w:rFonts w:ascii="Arial" w:hAnsi="Arial" w:cs="Arial"/>
          <w:sz w:val="22"/>
          <w:szCs w:val="22"/>
        </w:rPr>
        <w:t>Degree of access of human beings to the item during normal handling and use.</w:t>
      </w:r>
    </w:p>
    <w:p w:rsidRPr="00ED7A7F" w:rsidR="00D14D8A" w:rsidP="00ED5120" w:rsidRDefault="00D14D8A" w14:paraId="58B1FD75" w14:textId="77777777">
      <w:pPr>
        <w:pStyle w:val="NormalWeb"/>
        <w:shd w:val="clear" w:color="auto" w:fill="FFFFFF"/>
        <w:spacing w:before="0" w:beforeAutospacing="0" w:after="0" w:afterAutospacing="0"/>
        <w:ind w:left="1980" w:hanging="540"/>
        <w:rPr>
          <w:rFonts w:ascii="Arial" w:hAnsi="Arial" w:cs="Arial"/>
          <w:sz w:val="22"/>
          <w:szCs w:val="22"/>
        </w:rPr>
      </w:pPr>
    </w:p>
    <w:p w:rsidRPr="00ED7A7F" w:rsidR="00332B00" w:rsidP="00ED5120" w:rsidRDefault="00332B00" w14:paraId="588DE390" w14:textId="3F55541C">
      <w:pPr>
        <w:pStyle w:val="NormalWeb"/>
        <w:shd w:val="clear" w:color="auto" w:fill="FFFFFF"/>
        <w:spacing w:before="0" w:beforeAutospacing="0" w:after="0" w:afterAutospacing="0"/>
        <w:ind w:left="1980" w:hanging="540"/>
        <w:rPr>
          <w:rFonts w:ascii="Arial" w:hAnsi="Arial" w:cs="Arial"/>
          <w:sz w:val="22"/>
          <w:szCs w:val="22"/>
        </w:rPr>
      </w:pPr>
      <w:r w:rsidRPr="00ED7A7F">
        <w:rPr>
          <w:rFonts w:ascii="Arial" w:hAnsi="Arial" w:cs="Arial"/>
          <w:sz w:val="22"/>
          <w:szCs w:val="22"/>
        </w:rPr>
        <w:t>(</w:t>
      </w:r>
      <w:r w:rsidRPr="00ED7A7F" w:rsidR="004E2070">
        <w:rPr>
          <w:rFonts w:ascii="Arial" w:hAnsi="Arial" w:cs="Arial"/>
          <w:sz w:val="22"/>
          <w:szCs w:val="22"/>
        </w:rPr>
        <w:t>viii</w:t>
      </w:r>
      <w:r w:rsidRPr="00ED7A7F">
        <w:rPr>
          <w:rFonts w:ascii="Arial" w:hAnsi="Arial" w:cs="Arial"/>
          <w:sz w:val="22"/>
          <w:szCs w:val="22"/>
        </w:rPr>
        <w:t>)</w:t>
      </w:r>
      <w:r w:rsidRPr="00ED7A7F" w:rsidR="001C1DFE">
        <w:rPr>
          <w:rFonts w:ascii="Arial" w:hAnsi="Arial" w:cs="Arial"/>
          <w:sz w:val="22"/>
          <w:szCs w:val="22"/>
        </w:rPr>
        <w:tab/>
      </w:r>
      <w:r w:rsidRPr="00ED7A7F">
        <w:rPr>
          <w:rFonts w:ascii="Arial" w:hAnsi="Arial" w:cs="Arial"/>
          <w:sz w:val="22"/>
          <w:szCs w:val="22"/>
        </w:rPr>
        <w:t>Total quantity of byproduct material expected to be distributed in the item</w:t>
      </w:r>
      <w:r w:rsidRPr="00ED7A7F" w:rsidR="00695855">
        <w:rPr>
          <w:rFonts w:ascii="Arial" w:hAnsi="Arial" w:cs="Arial"/>
          <w:sz w:val="22"/>
          <w:szCs w:val="22"/>
        </w:rPr>
        <w:t>s</w:t>
      </w:r>
      <w:r w:rsidRPr="00ED7A7F">
        <w:rPr>
          <w:rFonts w:ascii="Arial" w:hAnsi="Arial" w:cs="Arial"/>
          <w:sz w:val="22"/>
          <w:szCs w:val="22"/>
        </w:rPr>
        <w:t xml:space="preserve"> annually.</w:t>
      </w:r>
    </w:p>
    <w:p w:rsidRPr="00ED7A7F" w:rsidR="00D14D8A" w:rsidP="00ED5120" w:rsidRDefault="00D14D8A" w14:paraId="47889182" w14:textId="77777777">
      <w:pPr>
        <w:pStyle w:val="NormalWeb"/>
        <w:shd w:val="clear" w:color="auto" w:fill="FFFFFF"/>
        <w:spacing w:before="0" w:beforeAutospacing="0" w:after="0" w:afterAutospacing="0"/>
        <w:ind w:left="1980" w:hanging="540"/>
        <w:rPr>
          <w:rFonts w:ascii="Arial" w:hAnsi="Arial" w:cs="Arial"/>
          <w:sz w:val="22"/>
          <w:szCs w:val="22"/>
        </w:rPr>
      </w:pPr>
    </w:p>
    <w:p w:rsidRPr="00ED7A7F" w:rsidR="00332B00" w:rsidP="00ED5120" w:rsidRDefault="00332B00" w14:paraId="565FFDE0" w14:textId="5D43122C">
      <w:pPr>
        <w:pStyle w:val="NormalWeb"/>
        <w:shd w:val="clear" w:color="auto" w:fill="FFFFFF"/>
        <w:spacing w:before="0" w:beforeAutospacing="0" w:after="0" w:afterAutospacing="0"/>
        <w:ind w:left="1980" w:hanging="540"/>
        <w:rPr>
          <w:rFonts w:ascii="Arial" w:hAnsi="Arial" w:cs="Arial"/>
          <w:sz w:val="22"/>
          <w:szCs w:val="22"/>
        </w:rPr>
      </w:pPr>
      <w:r w:rsidRPr="00ED7A7F">
        <w:rPr>
          <w:rFonts w:ascii="Arial" w:hAnsi="Arial" w:cs="Arial"/>
          <w:sz w:val="22"/>
          <w:szCs w:val="22"/>
        </w:rPr>
        <w:t>(</w:t>
      </w:r>
      <w:r w:rsidRPr="00ED7A7F" w:rsidR="004E2070">
        <w:rPr>
          <w:rFonts w:ascii="Arial" w:hAnsi="Arial" w:cs="Arial"/>
          <w:sz w:val="22"/>
          <w:szCs w:val="22"/>
        </w:rPr>
        <w:t>ix</w:t>
      </w:r>
      <w:r w:rsidRPr="00ED7A7F">
        <w:rPr>
          <w:rFonts w:ascii="Arial" w:hAnsi="Arial" w:cs="Arial"/>
          <w:sz w:val="22"/>
          <w:szCs w:val="22"/>
        </w:rPr>
        <w:t>)</w:t>
      </w:r>
      <w:r w:rsidRPr="00ED7A7F" w:rsidR="002E02EA">
        <w:rPr>
          <w:rFonts w:ascii="Arial" w:hAnsi="Arial" w:cs="Arial"/>
          <w:sz w:val="22"/>
          <w:szCs w:val="22"/>
        </w:rPr>
        <w:tab/>
      </w:r>
      <w:r w:rsidRPr="00ED7A7F">
        <w:rPr>
          <w:rFonts w:ascii="Arial" w:hAnsi="Arial" w:cs="Arial"/>
          <w:sz w:val="22"/>
          <w:szCs w:val="22"/>
        </w:rPr>
        <w:t>The expected useful life of the item.</w:t>
      </w:r>
    </w:p>
    <w:p w:rsidRPr="00ED7A7F" w:rsidR="00D14D8A" w:rsidP="00ED5120" w:rsidRDefault="00D14D8A" w14:paraId="711D1C0A" w14:textId="77777777">
      <w:pPr>
        <w:pStyle w:val="NormalWeb"/>
        <w:shd w:val="clear" w:color="auto" w:fill="FFFFFF"/>
        <w:spacing w:before="0" w:beforeAutospacing="0" w:after="0" w:afterAutospacing="0"/>
        <w:ind w:left="1980" w:hanging="540"/>
        <w:rPr>
          <w:rFonts w:ascii="Arial" w:hAnsi="Arial" w:cs="Arial"/>
          <w:sz w:val="22"/>
          <w:szCs w:val="22"/>
        </w:rPr>
      </w:pPr>
    </w:p>
    <w:p w:rsidR="00332B00" w:rsidP="00ED5120" w:rsidRDefault="00332B00" w14:paraId="3B9B702A" w14:textId="04C9A7B8">
      <w:pPr>
        <w:pStyle w:val="NormalWeb"/>
        <w:shd w:val="clear" w:color="auto" w:fill="FFFFFF"/>
        <w:spacing w:before="0" w:beforeAutospacing="0" w:after="0" w:afterAutospacing="0"/>
        <w:ind w:left="1980" w:hanging="540"/>
        <w:rPr>
          <w:rStyle w:val="normaltextrun"/>
          <w:rFonts w:ascii="Arial" w:hAnsi="Arial" w:cs="Arial"/>
          <w:sz w:val="22"/>
          <w:szCs w:val="22"/>
        </w:rPr>
      </w:pPr>
      <w:r w:rsidRPr="00ED7A7F">
        <w:rPr>
          <w:rFonts w:ascii="Arial" w:hAnsi="Arial" w:cs="Arial"/>
          <w:sz w:val="22"/>
          <w:szCs w:val="22"/>
        </w:rPr>
        <w:t>(</w:t>
      </w:r>
      <w:r w:rsidRPr="00ED7A7F" w:rsidR="004E2070">
        <w:rPr>
          <w:rFonts w:ascii="Arial" w:hAnsi="Arial" w:cs="Arial"/>
          <w:sz w:val="22"/>
          <w:szCs w:val="22"/>
        </w:rPr>
        <w:t>x</w:t>
      </w:r>
      <w:r w:rsidRPr="00ED7A7F">
        <w:rPr>
          <w:rFonts w:ascii="Arial" w:hAnsi="Arial" w:cs="Arial"/>
          <w:sz w:val="22"/>
          <w:szCs w:val="22"/>
        </w:rPr>
        <w:t>)</w:t>
      </w:r>
      <w:r w:rsidRPr="00ED7A7F" w:rsidR="002E02EA">
        <w:rPr>
          <w:rFonts w:ascii="Arial" w:hAnsi="Arial" w:cs="Arial"/>
          <w:sz w:val="22"/>
          <w:szCs w:val="22"/>
        </w:rPr>
        <w:tab/>
      </w:r>
      <w:r w:rsidRPr="00ED7A7F" w:rsidR="00D46CFD">
        <w:rPr>
          <w:rStyle w:val="normaltextrun"/>
          <w:rFonts w:ascii="Arial" w:hAnsi="Arial" w:cs="Arial"/>
          <w:sz w:val="22"/>
          <w:szCs w:val="22"/>
        </w:rPr>
        <w:t>The proposed method of labeling or marking each</w:t>
      </w:r>
      <w:r w:rsidR="00217B72">
        <w:rPr>
          <w:rStyle w:val="normaltextrun"/>
          <w:rFonts w:ascii="Arial" w:hAnsi="Arial" w:cs="Arial"/>
          <w:sz w:val="22"/>
          <w:szCs w:val="22"/>
        </w:rPr>
        <w:t xml:space="preserve"> </w:t>
      </w:r>
      <w:proofErr w:type="gramStart"/>
      <w:r w:rsidRPr="00ED7A7F" w:rsidR="00D46CFD">
        <w:rPr>
          <w:rStyle w:val="normaltextrun"/>
          <w:rFonts w:ascii="Arial" w:hAnsi="Arial" w:cs="Arial"/>
          <w:sz w:val="22"/>
          <w:szCs w:val="22"/>
        </w:rPr>
        <w:t>point of sale</w:t>
      </w:r>
      <w:proofErr w:type="gramEnd"/>
      <w:r w:rsidRPr="00ED7A7F" w:rsidR="00D46CFD">
        <w:rPr>
          <w:rStyle w:val="normaltextrun"/>
          <w:rFonts w:ascii="Arial" w:hAnsi="Arial" w:cs="Arial"/>
          <w:sz w:val="22"/>
          <w:szCs w:val="22"/>
        </w:rPr>
        <w:t xml:space="preserve"> package</w:t>
      </w:r>
      <w:r w:rsidR="00EA235B">
        <w:rPr>
          <w:rStyle w:val="FootnoteReference"/>
          <w:rFonts w:ascii="Arial" w:hAnsi="Arial" w:cs="Arial"/>
          <w:sz w:val="22"/>
          <w:szCs w:val="22"/>
        </w:rPr>
        <w:footnoteReference w:id="5"/>
      </w:r>
      <w:r w:rsidR="00217B72">
        <w:rPr>
          <w:rStyle w:val="normaltextrun"/>
          <w:rFonts w:ascii="Arial" w:hAnsi="Arial" w:cs="Arial"/>
          <w:sz w:val="22"/>
          <w:szCs w:val="22"/>
        </w:rPr>
        <w:t xml:space="preserve"> </w:t>
      </w:r>
      <w:r w:rsidRPr="00ED7A7F" w:rsidR="00D46CFD">
        <w:rPr>
          <w:rStyle w:val="normaltextrun"/>
          <w:rFonts w:ascii="Arial" w:hAnsi="Arial" w:cs="Arial"/>
          <w:sz w:val="22"/>
          <w:szCs w:val="22"/>
        </w:rPr>
        <w:t>and, if feasible,</w:t>
      </w:r>
      <w:r w:rsidR="00217B72">
        <w:rPr>
          <w:rStyle w:val="normaltextrun"/>
          <w:rFonts w:ascii="Arial" w:hAnsi="Arial" w:cs="Arial"/>
          <w:sz w:val="22"/>
          <w:szCs w:val="22"/>
        </w:rPr>
        <w:t xml:space="preserve"> </w:t>
      </w:r>
      <w:r w:rsidRPr="00ED7A7F" w:rsidR="00D46CFD">
        <w:rPr>
          <w:rStyle w:val="normaltextrun"/>
          <w:rFonts w:ascii="Arial" w:hAnsi="Arial" w:cs="Arial"/>
          <w:sz w:val="22"/>
          <w:szCs w:val="22"/>
        </w:rPr>
        <w:t xml:space="preserve">each unit, </w:t>
      </w:r>
      <w:r w:rsidRPr="00ED7A7F" w:rsidR="00D46CFD">
        <w:rPr>
          <w:rFonts w:ascii="Arial" w:hAnsi="Arial" w:cs="Arial"/>
          <w:sz w:val="22"/>
          <w:szCs w:val="22"/>
        </w:rPr>
        <w:t>to satisfy the requirements of 10 CFR 32.35(b)</w:t>
      </w:r>
      <w:r w:rsidRPr="00ED7A7F" w:rsidR="00D46CFD">
        <w:rPr>
          <w:rStyle w:val="normaltextrun"/>
          <w:rFonts w:ascii="Arial" w:hAnsi="Arial" w:cs="Arial"/>
          <w:sz w:val="22"/>
          <w:szCs w:val="22"/>
        </w:rPr>
        <w:t>.</w:t>
      </w:r>
      <w:r w:rsidR="00414C42">
        <w:rPr>
          <w:rStyle w:val="normaltextrun"/>
          <w:rFonts w:ascii="Arial" w:hAnsi="Arial" w:cs="Arial"/>
          <w:sz w:val="22"/>
          <w:szCs w:val="22"/>
        </w:rPr>
        <w:t xml:space="preserve">  </w:t>
      </w:r>
      <w:r w:rsidRPr="00ED7A7F" w:rsidR="00D46CFD">
        <w:rPr>
          <w:rStyle w:val="normaltextrun"/>
          <w:rFonts w:ascii="Arial" w:hAnsi="Arial" w:cs="Arial"/>
          <w:sz w:val="22"/>
          <w:szCs w:val="22"/>
        </w:rPr>
        <w:t>Each mark or label</w:t>
      </w:r>
      <w:r w:rsidR="00414C42">
        <w:rPr>
          <w:rStyle w:val="normaltextrun"/>
          <w:rFonts w:ascii="Arial" w:hAnsi="Arial" w:cs="Arial"/>
          <w:sz w:val="22"/>
          <w:szCs w:val="22"/>
        </w:rPr>
        <w:t xml:space="preserve"> </w:t>
      </w:r>
      <w:r w:rsidRPr="00ED7A7F" w:rsidR="00D46CFD">
        <w:rPr>
          <w:rStyle w:val="normaltextrun"/>
          <w:rFonts w:ascii="Arial" w:hAnsi="Arial" w:cs="Arial"/>
          <w:sz w:val="22"/>
          <w:szCs w:val="22"/>
        </w:rPr>
        <w:t>must contain the following statement</w:t>
      </w:r>
      <w:proofErr w:type="gramStart"/>
      <w:r w:rsidR="00414C42">
        <w:rPr>
          <w:rStyle w:val="normaltextrun"/>
          <w:rFonts w:ascii="Arial" w:hAnsi="Arial" w:cs="Arial"/>
          <w:sz w:val="22"/>
          <w:szCs w:val="22"/>
        </w:rPr>
        <w:t xml:space="preserve">:  </w:t>
      </w:r>
      <w:r w:rsidRPr="00ED7A7F" w:rsidR="00D46CFD">
        <w:rPr>
          <w:rStyle w:val="normaltextrun"/>
          <w:rFonts w:ascii="Arial" w:hAnsi="Arial" w:cs="Arial"/>
          <w:sz w:val="22"/>
          <w:szCs w:val="22"/>
        </w:rPr>
        <w:t>“</w:t>
      </w:r>
      <w:proofErr w:type="gramEnd"/>
      <w:r w:rsidRPr="00ED7A7F" w:rsidR="00D46CFD">
        <w:rPr>
          <w:rStyle w:val="normaltextrun"/>
          <w:rFonts w:ascii="Arial" w:hAnsi="Arial" w:cs="Arial"/>
          <w:sz w:val="22"/>
          <w:szCs w:val="22"/>
        </w:rPr>
        <w:t>CONTAINS RADIOACTIVE MATERIAL</w:t>
      </w:r>
      <w:r w:rsidR="00414C42">
        <w:rPr>
          <w:rStyle w:val="normaltextrun"/>
          <w:rFonts w:ascii="Arial" w:hAnsi="Arial" w:cs="Arial"/>
          <w:sz w:val="22"/>
          <w:szCs w:val="22"/>
        </w:rPr>
        <w:t>,</w:t>
      </w:r>
      <w:r w:rsidRPr="00ED7A7F" w:rsidR="00D46CFD">
        <w:rPr>
          <w:rStyle w:val="normaltextrun"/>
          <w:rFonts w:ascii="Arial" w:hAnsi="Arial" w:cs="Arial"/>
          <w:sz w:val="22"/>
          <w:szCs w:val="22"/>
        </w:rPr>
        <w:t>” and must identify the initial transferor of the</w:t>
      </w:r>
      <w:r w:rsidR="00A61B03">
        <w:rPr>
          <w:rStyle w:val="normaltextrun"/>
          <w:rFonts w:ascii="Arial" w:hAnsi="Arial" w:cs="Arial"/>
          <w:sz w:val="22"/>
          <w:szCs w:val="22"/>
        </w:rPr>
        <w:t xml:space="preserve"> </w:t>
      </w:r>
      <w:r w:rsidRPr="00ED7A7F" w:rsidR="00D46CFD">
        <w:rPr>
          <w:rStyle w:val="normaltextrun"/>
          <w:rFonts w:ascii="Arial" w:hAnsi="Arial" w:cs="Arial"/>
          <w:sz w:val="22"/>
          <w:szCs w:val="22"/>
        </w:rPr>
        <w:t>item.</w:t>
      </w:r>
    </w:p>
    <w:p w:rsidRPr="00ED7A7F" w:rsidR="00D14D8A" w:rsidP="00ED5120" w:rsidRDefault="00D14D8A" w14:paraId="4733E987" w14:textId="77777777">
      <w:pPr>
        <w:pStyle w:val="NormalWeb"/>
        <w:shd w:val="clear" w:color="auto" w:fill="FFFFFF"/>
        <w:spacing w:before="0" w:beforeAutospacing="0" w:after="0" w:afterAutospacing="0"/>
        <w:ind w:left="1980" w:hanging="540"/>
        <w:rPr>
          <w:rFonts w:ascii="Arial" w:hAnsi="Arial" w:cs="Arial"/>
          <w:sz w:val="22"/>
          <w:szCs w:val="22"/>
        </w:rPr>
      </w:pPr>
    </w:p>
    <w:p w:rsidRPr="00ED7A7F" w:rsidR="00332B00" w:rsidP="00ED5120" w:rsidRDefault="00332B00" w14:paraId="552AC36A" w14:textId="2D92B5EA">
      <w:pPr>
        <w:pStyle w:val="NormalWeb"/>
        <w:shd w:val="clear" w:color="auto" w:fill="FFFFFF"/>
        <w:spacing w:before="0" w:beforeAutospacing="0" w:after="0" w:afterAutospacing="0"/>
        <w:ind w:left="1980" w:hanging="540"/>
        <w:rPr>
          <w:rFonts w:ascii="Arial" w:hAnsi="Arial" w:cs="Arial"/>
          <w:sz w:val="22"/>
          <w:szCs w:val="22"/>
        </w:rPr>
      </w:pPr>
      <w:r w:rsidRPr="00ED7A7F">
        <w:rPr>
          <w:rFonts w:ascii="Arial" w:hAnsi="Arial" w:cs="Arial"/>
          <w:sz w:val="22"/>
          <w:szCs w:val="22"/>
        </w:rPr>
        <w:t>(</w:t>
      </w:r>
      <w:r w:rsidRPr="00ED7A7F" w:rsidR="004E2070">
        <w:rPr>
          <w:rFonts w:ascii="Arial" w:hAnsi="Arial" w:cs="Arial"/>
          <w:sz w:val="22"/>
          <w:szCs w:val="22"/>
        </w:rPr>
        <w:t>xi</w:t>
      </w:r>
      <w:r w:rsidRPr="00ED7A7F">
        <w:rPr>
          <w:rFonts w:ascii="Arial" w:hAnsi="Arial" w:cs="Arial"/>
          <w:sz w:val="22"/>
          <w:szCs w:val="22"/>
        </w:rPr>
        <w:t>)</w:t>
      </w:r>
      <w:r w:rsidRPr="00ED7A7F" w:rsidR="00F477D2">
        <w:rPr>
          <w:rFonts w:ascii="Arial" w:hAnsi="Arial" w:cs="Arial"/>
          <w:sz w:val="22"/>
          <w:szCs w:val="22"/>
        </w:rPr>
        <w:tab/>
      </w:r>
      <w:r w:rsidRPr="00ED7A7F">
        <w:rPr>
          <w:rFonts w:ascii="Arial" w:hAnsi="Arial" w:cs="Arial"/>
          <w:sz w:val="22"/>
          <w:szCs w:val="22"/>
        </w:rPr>
        <w:t>Procedures for prototype testing of the item to demonstrate the effectiveness of the safety features under both normal and severe conditions of handling, storage, use, and disposal of the product.</w:t>
      </w:r>
    </w:p>
    <w:p w:rsidRPr="00ED7A7F" w:rsidR="00D14D8A" w:rsidP="00ED5120" w:rsidRDefault="00D14D8A" w14:paraId="70598BA0" w14:textId="77777777">
      <w:pPr>
        <w:pStyle w:val="NormalWeb"/>
        <w:shd w:val="clear" w:color="auto" w:fill="FFFFFF"/>
        <w:spacing w:before="0" w:beforeAutospacing="0" w:after="0" w:afterAutospacing="0"/>
        <w:ind w:left="1980" w:hanging="540"/>
        <w:rPr>
          <w:rFonts w:ascii="Arial" w:hAnsi="Arial" w:cs="Arial"/>
          <w:sz w:val="22"/>
          <w:szCs w:val="22"/>
        </w:rPr>
      </w:pPr>
    </w:p>
    <w:p w:rsidRPr="00ED7A7F" w:rsidR="00332B00" w:rsidP="00ED5120" w:rsidRDefault="00332B00" w14:paraId="64979046" w14:textId="364E6D1D">
      <w:pPr>
        <w:pStyle w:val="NormalWeb"/>
        <w:shd w:val="clear" w:color="auto" w:fill="FFFFFF"/>
        <w:spacing w:before="0" w:beforeAutospacing="0" w:after="0" w:afterAutospacing="0"/>
        <w:ind w:left="1980" w:hanging="540"/>
        <w:rPr>
          <w:rFonts w:ascii="Arial" w:hAnsi="Arial" w:cs="Arial"/>
          <w:sz w:val="22"/>
          <w:szCs w:val="22"/>
        </w:rPr>
      </w:pPr>
      <w:r w:rsidRPr="00ED7A7F">
        <w:rPr>
          <w:rFonts w:ascii="Arial" w:hAnsi="Arial" w:cs="Arial"/>
          <w:sz w:val="22"/>
          <w:szCs w:val="22"/>
        </w:rPr>
        <w:lastRenderedPageBreak/>
        <w:t>(</w:t>
      </w:r>
      <w:r w:rsidRPr="00ED7A7F" w:rsidR="004E2070">
        <w:rPr>
          <w:rFonts w:ascii="Arial" w:hAnsi="Arial" w:cs="Arial"/>
          <w:sz w:val="22"/>
          <w:szCs w:val="22"/>
        </w:rPr>
        <w:t>xii</w:t>
      </w:r>
      <w:r w:rsidRPr="00ED7A7F">
        <w:rPr>
          <w:rFonts w:ascii="Arial" w:hAnsi="Arial" w:cs="Arial"/>
          <w:sz w:val="22"/>
          <w:szCs w:val="22"/>
        </w:rPr>
        <w:t>)</w:t>
      </w:r>
      <w:r w:rsidRPr="00ED7A7F" w:rsidR="00F477D2">
        <w:rPr>
          <w:rFonts w:ascii="Arial" w:hAnsi="Arial" w:cs="Arial"/>
          <w:sz w:val="22"/>
          <w:szCs w:val="22"/>
        </w:rPr>
        <w:tab/>
      </w:r>
      <w:r w:rsidRPr="00ED7A7F">
        <w:rPr>
          <w:rFonts w:ascii="Arial" w:hAnsi="Arial" w:cs="Arial"/>
          <w:sz w:val="22"/>
          <w:szCs w:val="22"/>
        </w:rPr>
        <w:t>Results of the prototype testing of the item, including any change in the form of the byproduct material contained in the product, the extent to which the byproduct material may be released to the environment, any increase in external radiation levels, and any other changes in safety features.</w:t>
      </w:r>
    </w:p>
    <w:p w:rsidRPr="00ED7A7F" w:rsidR="00D14D8A" w:rsidP="00ED5120" w:rsidRDefault="00D14D8A" w14:paraId="79BCD244" w14:textId="77777777">
      <w:pPr>
        <w:pStyle w:val="NormalWeb"/>
        <w:shd w:val="clear" w:color="auto" w:fill="FFFFFF"/>
        <w:spacing w:before="0" w:beforeAutospacing="0" w:after="0" w:afterAutospacing="0"/>
        <w:ind w:left="1980" w:hanging="540"/>
        <w:rPr>
          <w:rFonts w:ascii="Arial" w:hAnsi="Arial" w:cs="Arial"/>
          <w:sz w:val="22"/>
          <w:szCs w:val="22"/>
        </w:rPr>
      </w:pPr>
    </w:p>
    <w:p w:rsidRPr="00ED7A7F" w:rsidR="00332B00" w:rsidP="00ED5120" w:rsidRDefault="00332B00" w14:paraId="2586B44F" w14:textId="5BDB67A6">
      <w:pPr>
        <w:pStyle w:val="NormalWeb"/>
        <w:shd w:val="clear" w:color="auto" w:fill="FFFFFF"/>
        <w:spacing w:before="0" w:beforeAutospacing="0" w:after="0" w:afterAutospacing="0"/>
        <w:ind w:left="1980" w:hanging="540"/>
        <w:rPr>
          <w:rFonts w:ascii="Arial" w:hAnsi="Arial" w:cs="Arial"/>
          <w:sz w:val="22"/>
          <w:szCs w:val="22"/>
        </w:rPr>
      </w:pPr>
      <w:r w:rsidRPr="00ED7A7F">
        <w:rPr>
          <w:rFonts w:ascii="Arial" w:hAnsi="Arial" w:cs="Arial"/>
          <w:sz w:val="22"/>
          <w:szCs w:val="22"/>
        </w:rPr>
        <w:t>(</w:t>
      </w:r>
      <w:r w:rsidRPr="00ED7A7F" w:rsidR="002119C5">
        <w:rPr>
          <w:rFonts w:ascii="Arial" w:hAnsi="Arial" w:cs="Arial"/>
          <w:sz w:val="22"/>
          <w:szCs w:val="22"/>
        </w:rPr>
        <w:t>xiii</w:t>
      </w:r>
      <w:r w:rsidRPr="00ED7A7F">
        <w:rPr>
          <w:rFonts w:ascii="Arial" w:hAnsi="Arial" w:cs="Arial"/>
          <w:sz w:val="22"/>
          <w:szCs w:val="22"/>
        </w:rPr>
        <w:t>)</w:t>
      </w:r>
      <w:r w:rsidRPr="00ED7A7F" w:rsidR="00F477D2">
        <w:rPr>
          <w:rFonts w:ascii="Arial" w:hAnsi="Arial" w:cs="Arial"/>
          <w:sz w:val="22"/>
          <w:szCs w:val="22"/>
        </w:rPr>
        <w:tab/>
      </w:r>
      <w:r w:rsidRPr="00ED7A7F">
        <w:rPr>
          <w:rFonts w:ascii="Arial" w:hAnsi="Arial" w:cs="Arial"/>
          <w:sz w:val="22"/>
          <w:szCs w:val="22"/>
        </w:rPr>
        <w:t xml:space="preserve">The estimated external radiation doses and </w:t>
      </w:r>
      <w:r w:rsidRPr="00ED7A7F" w:rsidR="004A4D2C">
        <w:rPr>
          <w:rFonts w:ascii="Arial" w:hAnsi="Arial" w:cs="Arial"/>
          <w:sz w:val="22"/>
          <w:szCs w:val="22"/>
        </w:rPr>
        <w:t xml:space="preserve">committed doses resulting from the intake of byproduct material in any one year </w:t>
      </w:r>
      <w:r w:rsidRPr="00ED7A7F">
        <w:rPr>
          <w:rFonts w:ascii="Arial" w:hAnsi="Arial" w:cs="Arial"/>
          <w:sz w:val="22"/>
          <w:szCs w:val="22"/>
        </w:rPr>
        <w:t>relevant to the safety criteria in §</w:t>
      </w:r>
      <w:r w:rsidRPr="00ED7A7F" w:rsidR="007518B2">
        <w:rPr>
          <w:rFonts w:ascii="Arial" w:hAnsi="Arial" w:cs="Arial"/>
          <w:sz w:val="22"/>
          <w:szCs w:val="22"/>
        </w:rPr>
        <w:t> 3</w:t>
      </w:r>
      <w:r w:rsidRPr="00ED7A7F">
        <w:rPr>
          <w:rFonts w:ascii="Arial" w:hAnsi="Arial" w:cs="Arial"/>
          <w:sz w:val="22"/>
          <w:szCs w:val="22"/>
        </w:rPr>
        <w:t>2.34 and the basis for such estimates.</w:t>
      </w:r>
    </w:p>
    <w:p w:rsidRPr="00ED7A7F" w:rsidR="00D14D8A" w:rsidP="00ED5120" w:rsidRDefault="00D14D8A" w14:paraId="0B242958" w14:textId="77777777">
      <w:pPr>
        <w:pStyle w:val="NormalWeb"/>
        <w:shd w:val="clear" w:color="auto" w:fill="FFFFFF"/>
        <w:spacing w:before="0" w:beforeAutospacing="0" w:after="0" w:afterAutospacing="0"/>
        <w:ind w:left="1980" w:hanging="540"/>
        <w:rPr>
          <w:rFonts w:ascii="Arial" w:hAnsi="Arial" w:cs="Arial"/>
          <w:sz w:val="22"/>
          <w:szCs w:val="22"/>
        </w:rPr>
      </w:pPr>
    </w:p>
    <w:p w:rsidRPr="00ED7A7F" w:rsidR="00332B00" w:rsidP="00ED5120" w:rsidRDefault="00332B00" w14:paraId="3BBFFD3C" w14:textId="0552C6E0">
      <w:pPr>
        <w:pStyle w:val="NormalWeb"/>
        <w:shd w:val="clear" w:color="auto" w:fill="FFFFFF"/>
        <w:spacing w:before="0" w:beforeAutospacing="0" w:after="0" w:afterAutospacing="0"/>
        <w:ind w:left="1980" w:hanging="540"/>
        <w:rPr>
          <w:rFonts w:ascii="Arial" w:hAnsi="Arial" w:cs="Arial"/>
          <w:sz w:val="22"/>
          <w:szCs w:val="22"/>
        </w:rPr>
      </w:pPr>
      <w:r w:rsidRPr="00ED7A7F">
        <w:rPr>
          <w:rFonts w:ascii="Arial" w:hAnsi="Arial" w:cs="Arial"/>
          <w:sz w:val="22"/>
          <w:szCs w:val="22"/>
        </w:rPr>
        <w:t>(</w:t>
      </w:r>
      <w:r w:rsidRPr="00ED7A7F" w:rsidR="002119C5">
        <w:rPr>
          <w:rFonts w:ascii="Arial" w:hAnsi="Arial" w:cs="Arial"/>
          <w:sz w:val="22"/>
          <w:szCs w:val="22"/>
        </w:rPr>
        <w:t>xiv</w:t>
      </w:r>
      <w:r w:rsidRPr="00ED7A7F">
        <w:rPr>
          <w:rFonts w:ascii="Arial" w:hAnsi="Arial" w:cs="Arial"/>
          <w:sz w:val="22"/>
          <w:szCs w:val="22"/>
        </w:rPr>
        <w:t>)</w:t>
      </w:r>
      <w:r w:rsidRPr="00ED7A7F" w:rsidR="00F477D2">
        <w:rPr>
          <w:rFonts w:ascii="Arial" w:hAnsi="Arial" w:cs="Arial"/>
          <w:sz w:val="22"/>
          <w:szCs w:val="22"/>
        </w:rPr>
        <w:tab/>
      </w:r>
      <w:r w:rsidRPr="00ED7A7F">
        <w:rPr>
          <w:rFonts w:ascii="Arial" w:hAnsi="Arial" w:cs="Arial"/>
          <w:sz w:val="22"/>
          <w:szCs w:val="22"/>
        </w:rPr>
        <w:t>A determination that the probabilities with respect to the doses referred to in §</w:t>
      </w:r>
      <w:r w:rsidRPr="00ED7A7F" w:rsidR="007518B2">
        <w:rPr>
          <w:rFonts w:ascii="Arial" w:hAnsi="Arial" w:cs="Arial"/>
          <w:sz w:val="22"/>
          <w:szCs w:val="22"/>
        </w:rPr>
        <w:t> 3</w:t>
      </w:r>
      <w:r w:rsidRPr="00ED7A7F">
        <w:rPr>
          <w:rFonts w:ascii="Arial" w:hAnsi="Arial" w:cs="Arial"/>
          <w:sz w:val="22"/>
          <w:szCs w:val="22"/>
        </w:rPr>
        <w:t>2.34 meet the criteria of that paragraph.</w:t>
      </w:r>
    </w:p>
    <w:p w:rsidRPr="00ED7A7F" w:rsidR="00D14D8A" w:rsidP="00ED5120" w:rsidRDefault="00D14D8A" w14:paraId="53A431CD" w14:textId="77777777">
      <w:pPr>
        <w:pStyle w:val="NormalWeb"/>
        <w:shd w:val="clear" w:color="auto" w:fill="FFFFFF"/>
        <w:spacing w:before="0" w:beforeAutospacing="0" w:after="0" w:afterAutospacing="0"/>
        <w:ind w:left="1980" w:hanging="540"/>
        <w:rPr>
          <w:rFonts w:ascii="Arial" w:hAnsi="Arial" w:cs="Arial"/>
          <w:sz w:val="22"/>
          <w:szCs w:val="22"/>
        </w:rPr>
      </w:pPr>
    </w:p>
    <w:p w:rsidRPr="00ED7A7F" w:rsidR="00332B00" w:rsidP="00ED5120" w:rsidRDefault="00332B00" w14:paraId="4F62CC06" w14:textId="34899E7E">
      <w:pPr>
        <w:pStyle w:val="NormalWeb"/>
        <w:shd w:val="clear" w:color="auto" w:fill="FFFFFF"/>
        <w:spacing w:before="0" w:beforeAutospacing="0" w:after="0" w:afterAutospacing="0"/>
        <w:ind w:left="1980" w:hanging="540"/>
        <w:rPr>
          <w:rFonts w:ascii="Arial" w:hAnsi="Arial" w:cs="Arial"/>
          <w:sz w:val="22"/>
          <w:szCs w:val="22"/>
        </w:rPr>
      </w:pPr>
      <w:r w:rsidRPr="00ED7A7F">
        <w:rPr>
          <w:rFonts w:ascii="Arial" w:hAnsi="Arial" w:cs="Arial"/>
          <w:sz w:val="22"/>
          <w:szCs w:val="22"/>
        </w:rPr>
        <w:t>(</w:t>
      </w:r>
      <w:r w:rsidRPr="00ED7A7F" w:rsidR="002119C5">
        <w:rPr>
          <w:rFonts w:ascii="Arial" w:hAnsi="Arial" w:cs="Arial"/>
          <w:sz w:val="22"/>
          <w:szCs w:val="22"/>
        </w:rPr>
        <w:t>xv</w:t>
      </w:r>
      <w:r w:rsidRPr="00ED7A7F">
        <w:rPr>
          <w:rFonts w:ascii="Arial" w:hAnsi="Arial" w:cs="Arial"/>
          <w:sz w:val="22"/>
          <w:szCs w:val="22"/>
        </w:rPr>
        <w:t>)</w:t>
      </w:r>
      <w:r w:rsidRPr="00ED7A7F" w:rsidR="00C22430">
        <w:rPr>
          <w:rFonts w:ascii="Arial" w:hAnsi="Arial" w:cs="Arial"/>
          <w:sz w:val="22"/>
          <w:szCs w:val="22"/>
        </w:rPr>
        <w:tab/>
      </w:r>
      <w:r w:rsidRPr="00ED7A7F">
        <w:rPr>
          <w:rFonts w:ascii="Arial" w:hAnsi="Arial" w:cs="Arial"/>
          <w:sz w:val="22"/>
          <w:szCs w:val="22"/>
        </w:rPr>
        <w:t>Quality control procedures to be followed in the fabrication of production lots of the product and the quality control standards the product will be required to meet.</w:t>
      </w:r>
    </w:p>
    <w:p w:rsidRPr="00ED7A7F" w:rsidR="0050691C" w:rsidP="00ED5120" w:rsidRDefault="0050691C" w14:paraId="1E920C43" w14:textId="77777777">
      <w:pPr>
        <w:pStyle w:val="NormalWeb"/>
        <w:shd w:val="clear" w:color="auto" w:fill="FFFFFF"/>
        <w:spacing w:before="0" w:beforeAutospacing="0" w:after="0" w:afterAutospacing="0"/>
        <w:ind w:left="1980" w:hanging="540"/>
        <w:rPr>
          <w:rFonts w:ascii="Arial" w:hAnsi="Arial" w:cs="Arial"/>
          <w:sz w:val="22"/>
          <w:szCs w:val="22"/>
        </w:rPr>
      </w:pPr>
    </w:p>
    <w:p w:rsidR="00332B00" w:rsidP="00ED5120" w:rsidRDefault="00332B00" w14:paraId="1C39EB3B" w14:textId="63ED1A90">
      <w:pPr>
        <w:pStyle w:val="NormalWeb"/>
        <w:shd w:val="clear" w:color="auto" w:fill="FFFFFF"/>
        <w:spacing w:before="0" w:beforeAutospacing="0" w:after="0" w:afterAutospacing="0"/>
        <w:ind w:left="1980" w:hanging="540"/>
        <w:rPr>
          <w:rFonts w:ascii="Arial" w:hAnsi="Arial" w:cs="Arial"/>
          <w:sz w:val="22"/>
          <w:szCs w:val="22"/>
        </w:rPr>
      </w:pPr>
      <w:r w:rsidRPr="00ED7A7F">
        <w:rPr>
          <w:rFonts w:ascii="Arial" w:hAnsi="Arial" w:cs="Arial"/>
          <w:sz w:val="22"/>
          <w:szCs w:val="22"/>
        </w:rPr>
        <w:t>(</w:t>
      </w:r>
      <w:r w:rsidRPr="00ED7A7F" w:rsidR="002119C5">
        <w:rPr>
          <w:rFonts w:ascii="Arial" w:hAnsi="Arial" w:cs="Arial"/>
          <w:sz w:val="22"/>
          <w:szCs w:val="22"/>
        </w:rPr>
        <w:t>xvi</w:t>
      </w:r>
      <w:r w:rsidRPr="00ED7A7F">
        <w:rPr>
          <w:rFonts w:ascii="Arial" w:hAnsi="Arial" w:cs="Arial"/>
          <w:sz w:val="22"/>
          <w:szCs w:val="22"/>
        </w:rPr>
        <w:t>)</w:t>
      </w:r>
      <w:r w:rsidRPr="00ED7A7F" w:rsidR="00A02313">
        <w:rPr>
          <w:rFonts w:ascii="Arial" w:hAnsi="Arial" w:cs="Arial"/>
          <w:sz w:val="22"/>
          <w:szCs w:val="22"/>
        </w:rPr>
        <w:tab/>
      </w:r>
      <w:r w:rsidRPr="00ED7A7F">
        <w:rPr>
          <w:rFonts w:ascii="Arial" w:hAnsi="Arial" w:cs="Arial"/>
          <w:sz w:val="22"/>
          <w:szCs w:val="22"/>
        </w:rPr>
        <w:t>Any additional information, including experimental studies and tests, requested by the Commission.</w:t>
      </w:r>
    </w:p>
    <w:p w:rsidR="0050691C" w:rsidP="00ED5120" w:rsidRDefault="0050691C" w14:paraId="1A20F74F" w14:textId="77777777">
      <w:pPr>
        <w:pStyle w:val="NormalWeb"/>
        <w:shd w:val="clear" w:color="auto" w:fill="FFFFFF"/>
        <w:spacing w:before="0" w:beforeAutospacing="0" w:after="0" w:afterAutospacing="0"/>
        <w:ind w:left="1980" w:hanging="540"/>
        <w:rPr>
          <w:rFonts w:ascii="Arial" w:hAnsi="Arial" w:cs="Arial"/>
          <w:color w:val="000000"/>
          <w:sz w:val="21"/>
          <w:szCs w:val="21"/>
        </w:rPr>
      </w:pPr>
    </w:p>
    <w:p w:rsidR="003960E1" w:rsidP="00ED5120" w:rsidRDefault="00ED7A7F" w14:paraId="2AAAFBDC" w14:textId="1F6500CF">
      <w:pPr>
        <w:spacing w:line="240" w:lineRule="auto"/>
        <w:ind w:left="1440" w:hanging="720"/>
      </w:pPr>
      <w:r w:rsidRPr="00ED7A7F">
        <w:t>3.</w:t>
      </w:r>
      <w:r w:rsidRPr="00ED7A7F">
        <w:tab/>
      </w:r>
      <w:r w:rsidRPr="00E819A2" w:rsidR="003960E1">
        <w:t>The product or materia</w:t>
      </w:r>
      <w:r w:rsidRPr="00ED7A7F" w:rsidR="003960E1">
        <w:t>l</w:t>
      </w:r>
      <w:r w:rsidRPr="00ED7A7F" w:rsidR="003748E8">
        <w:t xml:space="preserve"> </w:t>
      </w:r>
      <w:r w:rsidRPr="00ED7A7F" w:rsidR="004033A6">
        <w:t>should</w:t>
      </w:r>
      <w:r w:rsidR="00E5318D">
        <w:rPr>
          <w:color w:val="FF0000"/>
        </w:rPr>
        <w:t xml:space="preserve"> </w:t>
      </w:r>
      <w:r w:rsidRPr="00E819A2" w:rsidR="003960E1">
        <w:t>not be incorporated into any food, beverage, cosmetic, drug, or other commodity or product designed for ingestion o</w:t>
      </w:r>
      <w:r w:rsidR="003960E1">
        <w:t>r inhalation by a human being.</w:t>
      </w:r>
    </w:p>
    <w:p w:rsidRPr="00E819A2" w:rsidR="00CE3BB1" w:rsidP="00ED5120" w:rsidRDefault="00CE3BB1" w14:paraId="645C342E" w14:textId="77777777">
      <w:pPr>
        <w:spacing w:line="240" w:lineRule="auto"/>
        <w:ind w:left="2160" w:hanging="720"/>
      </w:pPr>
    </w:p>
    <w:p w:rsidR="00CE3BB1" w:rsidP="00ED5120" w:rsidRDefault="003960E1" w14:paraId="0AA3F746" w14:textId="2CBA9229">
      <w:pPr>
        <w:spacing w:line="240" w:lineRule="auto"/>
      </w:pPr>
      <w:r w:rsidRPr="00E819A2">
        <w:t xml:space="preserve">D. </w:t>
      </w:r>
      <w:r>
        <w:tab/>
      </w:r>
      <w:r w:rsidRPr="00E819A2">
        <w:t>Information on Quality Assurance Program</w:t>
      </w:r>
    </w:p>
    <w:p w:rsidRPr="00E819A2" w:rsidR="003960E1" w:rsidP="00ED5120" w:rsidRDefault="003960E1" w14:paraId="7C8CF0B9" w14:textId="74858FC2">
      <w:pPr>
        <w:spacing w:line="240" w:lineRule="auto"/>
      </w:pPr>
    </w:p>
    <w:p w:rsidR="00CE3BB1" w:rsidP="00ED5120" w:rsidRDefault="003960E1" w14:paraId="17E4B1A6" w14:textId="05DE2CBE">
      <w:pPr>
        <w:spacing w:line="240" w:lineRule="auto"/>
        <w:ind w:left="720"/>
      </w:pPr>
      <w:r w:rsidRPr="00E819A2">
        <w:t>The QA program for a 10 CFR 32.</w:t>
      </w:r>
      <w:r w:rsidRPr="00ED7A7F" w:rsidR="00404B78">
        <w:t>33</w:t>
      </w:r>
      <w:r w:rsidRPr="00ED7A7F">
        <w:t xml:space="preserve"> licensee primarily concerns the control</w:t>
      </w:r>
      <w:r w:rsidRPr="00ED7A7F" w:rsidR="00D55B74">
        <w:t xml:space="preserve"> of radiation and potential contamination from the products during both normal and severe conditions of handling, storage, use, and disposal.</w:t>
      </w:r>
      <w:r w:rsidR="00D55B74">
        <w:t xml:space="preserve"> </w:t>
      </w:r>
      <w:r w:rsidR="00E5318D">
        <w:t xml:space="preserve"> </w:t>
      </w:r>
      <w:r w:rsidRPr="00E819A2">
        <w:t xml:space="preserve">If they do not wish to do the QA themselves, licensees may contract this work to another organization. </w:t>
      </w:r>
      <w:r>
        <w:t xml:space="preserve"> </w:t>
      </w:r>
      <w:r w:rsidRPr="00E819A2">
        <w:t>In this case, the contract organization</w:t>
      </w:r>
      <w:r>
        <w:t>’</w:t>
      </w:r>
      <w:r w:rsidRPr="00E819A2">
        <w:t>s identity, mailing address, location of work for the importer, etc., must be provided</w:t>
      </w:r>
      <w:r w:rsidR="001029CE">
        <w:t>,</w:t>
      </w:r>
      <w:r w:rsidRPr="00E819A2">
        <w:t xml:space="preserve"> and all responses to the items listed below must clearly explain who (licensee or contract organization) will perform each function. </w:t>
      </w:r>
      <w:r>
        <w:t xml:space="preserve"> </w:t>
      </w:r>
      <w:r w:rsidRPr="00E819A2">
        <w:t>When a contract organization is employed to assist a licensee, the licensee will still be responsible for proper performance of the QA program and must conduct appropriate audits and reviews to ensure that the QA program is being performed as described in the licensee</w:t>
      </w:r>
      <w:r>
        <w:t>’</w:t>
      </w:r>
      <w:r w:rsidRPr="00E819A2">
        <w:t>s correspondence with the NRC.</w:t>
      </w:r>
      <w:r w:rsidR="00676D7B">
        <w:t xml:space="preserve"> </w:t>
      </w:r>
      <w:r w:rsidR="001029CE">
        <w:t xml:space="preserve"> </w:t>
      </w:r>
      <w:r w:rsidR="00676D7B">
        <w:t>Thus, the applicant will:</w:t>
      </w:r>
    </w:p>
    <w:p w:rsidRPr="00E819A2" w:rsidR="003960E1" w:rsidP="00ED5120" w:rsidRDefault="003960E1" w14:paraId="45FBE630" w14:textId="00DCCFE8">
      <w:pPr>
        <w:spacing w:line="240" w:lineRule="auto"/>
        <w:ind w:left="720"/>
      </w:pPr>
    </w:p>
    <w:p w:rsidR="00CE3BB1" w:rsidP="00ED5120" w:rsidRDefault="003960E1" w14:paraId="37AD9E7D" w14:textId="77777777">
      <w:pPr>
        <w:spacing w:line="240" w:lineRule="auto"/>
        <w:ind w:left="1440" w:hanging="720"/>
      </w:pPr>
      <w:r w:rsidRPr="00E819A2">
        <w:t xml:space="preserve">1. </w:t>
      </w:r>
      <w:r>
        <w:tab/>
      </w:r>
      <w:r w:rsidRPr="00E819A2">
        <w:t>Describe the radiation detection equipment and shielding associated with it that are to be used to identify and quantify the radioactivity induced in gemstones.</w:t>
      </w:r>
    </w:p>
    <w:p w:rsidRPr="00E819A2" w:rsidR="003960E1" w:rsidP="00ED5120" w:rsidRDefault="003960E1" w14:paraId="6BBA9860" w14:textId="3220AE6E">
      <w:pPr>
        <w:spacing w:line="240" w:lineRule="auto"/>
        <w:ind w:left="1440" w:hanging="720"/>
      </w:pPr>
    </w:p>
    <w:p w:rsidR="00CE3BB1" w:rsidP="00ED5120" w:rsidRDefault="003960E1" w14:paraId="6A2F143E" w14:textId="02578690">
      <w:pPr>
        <w:spacing w:line="240" w:lineRule="auto"/>
        <w:ind w:left="1440" w:hanging="720"/>
      </w:pPr>
      <w:r w:rsidRPr="00E819A2">
        <w:t xml:space="preserve">2. </w:t>
      </w:r>
      <w:r>
        <w:tab/>
      </w:r>
      <w:r w:rsidRPr="00E819A2">
        <w:t>Specify procedures used to calibrate such radiation detection equipment, including the frequency of calibration, the calibration standard used (the</w:t>
      </w:r>
      <w:r w:rsidR="00A804A1">
        <w:t xml:space="preserve"> </w:t>
      </w:r>
      <w:r w:rsidRPr="00E819A2">
        <w:t>radionuclide, its activity, and its traceability).</w:t>
      </w:r>
    </w:p>
    <w:p w:rsidRPr="00E819A2" w:rsidR="003960E1" w:rsidP="00ED5120" w:rsidRDefault="003960E1" w14:paraId="70748C04" w14:textId="2AD07FD0">
      <w:pPr>
        <w:spacing w:line="240" w:lineRule="auto"/>
        <w:ind w:left="1440" w:hanging="720"/>
      </w:pPr>
      <w:r w:rsidRPr="00E819A2">
        <w:t xml:space="preserve"> </w:t>
      </w:r>
    </w:p>
    <w:p w:rsidR="00CE3BB1" w:rsidP="00ED5120" w:rsidRDefault="003960E1" w14:paraId="4B2C8772" w14:textId="0E83CF7D">
      <w:pPr>
        <w:spacing w:line="240" w:lineRule="auto"/>
        <w:ind w:left="1440" w:hanging="720"/>
      </w:pPr>
      <w:r w:rsidRPr="00E819A2">
        <w:t xml:space="preserve">3. </w:t>
      </w:r>
      <w:r>
        <w:tab/>
      </w:r>
      <w:r w:rsidRPr="00E819A2">
        <w:t>Describe counting procedures</w:t>
      </w:r>
      <w:r w:rsidR="00ED7A7F">
        <w:t>;</w:t>
      </w:r>
      <w:r w:rsidRPr="00E819A2">
        <w:t xml:space="preserve"> </w:t>
      </w:r>
      <w:r w:rsidR="00ED7A7F">
        <w:t>t</w:t>
      </w:r>
      <w:r>
        <w:t xml:space="preserve">he </w:t>
      </w:r>
      <w:r w:rsidRPr="00E819A2">
        <w:t>description should include, but is not limited to</w:t>
      </w:r>
      <w:r>
        <w:t>:</w:t>
      </w:r>
    </w:p>
    <w:p w:rsidRPr="00E819A2" w:rsidR="003960E1" w:rsidP="00ED5120" w:rsidRDefault="003960E1" w14:paraId="422C5A15" w14:textId="71BBB810">
      <w:pPr>
        <w:spacing w:line="240" w:lineRule="auto"/>
        <w:ind w:left="1440" w:hanging="720"/>
      </w:pPr>
    </w:p>
    <w:p w:rsidR="003960E1" w:rsidP="00ED5120" w:rsidRDefault="003960E1" w14:paraId="3A88AF5F" w14:textId="4E34B2C2">
      <w:pPr>
        <w:spacing w:line="240" w:lineRule="auto"/>
        <w:ind w:left="2160" w:hanging="720"/>
      </w:pPr>
      <w:r w:rsidRPr="00E819A2">
        <w:t xml:space="preserve">a. </w:t>
      </w:r>
      <w:r>
        <w:tab/>
      </w:r>
      <w:r w:rsidR="003967EC">
        <w:t>S</w:t>
      </w:r>
      <w:r w:rsidRPr="00E819A2">
        <w:t xml:space="preserve">election of </w:t>
      </w:r>
      <w:proofErr w:type="gramStart"/>
      <w:r w:rsidRPr="00E819A2">
        <w:t>samples</w:t>
      </w:r>
      <w:r w:rsidR="00E85B42">
        <w:t>;</w:t>
      </w:r>
      <w:proofErr w:type="gramEnd"/>
    </w:p>
    <w:p w:rsidRPr="00E819A2" w:rsidR="00CE3BB1" w:rsidP="00ED5120" w:rsidRDefault="00CE3BB1" w14:paraId="038D52C0" w14:textId="77777777">
      <w:pPr>
        <w:spacing w:line="240" w:lineRule="auto"/>
        <w:ind w:left="2160" w:hanging="720"/>
      </w:pPr>
    </w:p>
    <w:p w:rsidR="003960E1" w:rsidP="00ED5120" w:rsidRDefault="003960E1" w14:paraId="28BC9DE3" w14:textId="520B11BB">
      <w:pPr>
        <w:spacing w:line="240" w:lineRule="auto"/>
        <w:ind w:left="2160" w:hanging="720"/>
      </w:pPr>
      <w:r w:rsidRPr="00E819A2">
        <w:lastRenderedPageBreak/>
        <w:t xml:space="preserve">b. </w:t>
      </w:r>
      <w:r>
        <w:tab/>
      </w:r>
      <w:r w:rsidR="003967EC">
        <w:t>M</w:t>
      </w:r>
      <w:r w:rsidRPr="00E819A2">
        <w:t>aximum and minimum sample size (in terms of number of stones and</w:t>
      </w:r>
      <w:r w:rsidR="00A804A1">
        <w:t xml:space="preserve"> </w:t>
      </w:r>
      <w:r w:rsidRPr="00E819A2">
        <w:t>mass</w:t>
      </w:r>
      <w:proofErr w:type="gramStart"/>
      <w:r w:rsidRPr="00E819A2">
        <w:t>)</w:t>
      </w:r>
      <w:r w:rsidR="00E85B42">
        <w:t>;</w:t>
      </w:r>
      <w:proofErr w:type="gramEnd"/>
    </w:p>
    <w:p w:rsidRPr="00E819A2" w:rsidR="00CE3BB1" w:rsidP="00ED5120" w:rsidRDefault="00CE3BB1" w14:paraId="6BAD9B7E" w14:textId="77777777">
      <w:pPr>
        <w:spacing w:line="240" w:lineRule="auto"/>
        <w:ind w:left="2160" w:hanging="720"/>
      </w:pPr>
    </w:p>
    <w:p w:rsidR="003960E1" w:rsidP="00ED5120" w:rsidRDefault="003960E1" w14:paraId="6701E727" w14:textId="50ED477F">
      <w:pPr>
        <w:spacing w:line="240" w:lineRule="auto"/>
        <w:ind w:left="2160" w:hanging="720"/>
      </w:pPr>
      <w:r w:rsidRPr="00E819A2">
        <w:t xml:space="preserve">c. </w:t>
      </w:r>
      <w:r>
        <w:tab/>
      </w:r>
      <w:r w:rsidR="003967EC">
        <w:t>C</w:t>
      </w:r>
      <w:r w:rsidRPr="00E819A2">
        <w:t xml:space="preserve">ounting </w:t>
      </w:r>
      <w:proofErr w:type="gramStart"/>
      <w:r w:rsidRPr="00E819A2">
        <w:t>efficiency</w:t>
      </w:r>
      <w:r w:rsidR="00E85B42">
        <w:t>;</w:t>
      </w:r>
      <w:proofErr w:type="gramEnd"/>
    </w:p>
    <w:p w:rsidRPr="00E819A2" w:rsidR="00CE3BB1" w:rsidP="00ED5120" w:rsidRDefault="00CE3BB1" w14:paraId="0D1016D0" w14:textId="77777777">
      <w:pPr>
        <w:spacing w:line="240" w:lineRule="auto"/>
        <w:ind w:left="2160" w:hanging="720"/>
      </w:pPr>
    </w:p>
    <w:p w:rsidR="003960E1" w:rsidP="00ED5120" w:rsidRDefault="003960E1" w14:paraId="4F0DAD44" w14:textId="619A07DA">
      <w:pPr>
        <w:spacing w:line="240" w:lineRule="auto"/>
        <w:ind w:left="2160" w:hanging="720"/>
      </w:pPr>
      <w:r w:rsidRPr="00E819A2">
        <w:t xml:space="preserve">d. </w:t>
      </w:r>
      <w:r>
        <w:tab/>
      </w:r>
      <w:r w:rsidR="003967EC">
        <w:t>C</w:t>
      </w:r>
      <w:r w:rsidRPr="00E819A2">
        <w:t xml:space="preserve">ounting </w:t>
      </w:r>
      <w:proofErr w:type="gramStart"/>
      <w:r w:rsidRPr="00E819A2">
        <w:t>times</w:t>
      </w:r>
      <w:r w:rsidR="00E85B42">
        <w:t>;</w:t>
      </w:r>
      <w:proofErr w:type="gramEnd"/>
    </w:p>
    <w:p w:rsidRPr="00E819A2" w:rsidR="00CE3BB1" w:rsidP="00ED5120" w:rsidRDefault="00CE3BB1" w14:paraId="0C6172FE" w14:textId="77777777">
      <w:pPr>
        <w:spacing w:line="240" w:lineRule="auto"/>
        <w:ind w:left="2160" w:hanging="720"/>
      </w:pPr>
    </w:p>
    <w:p w:rsidR="003960E1" w:rsidP="00ED5120" w:rsidRDefault="003960E1" w14:paraId="5ABCEB55" w14:textId="52EDC736">
      <w:pPr>
        <w:spacing w:line="240" w:lineRule="auto"/>
        <w:ind w:left="2160" w:hanging="720"/>
      </w:pPr>
      <w:r w:rsidRPr="00E819A2">
        <w:t xml:space="preserve">e. </w:t>
      </w:r>
      <w:r>
        <w:tab/>
      </w:r>
      <w:r w:rsidR="003967EC">
        <w:t>C</w:t>
      </w:r>
      <w:r w:rsidRPr="00E819A2">
        <w:t xml:space="preserve">ounting </w:t>
      </w:r>
      <w:proofErr w:type="gramStart"/>
      <w:r w:rsidRPr="00E819A2">
        <w:t>geometry</w:t>
      </w:r>
      <w:r w:rsidR="00E85B42">
        <w:t>;</w:t>
      </w:r>
      <w:proofErr w:type="gramEnd"/>
    </w:p>
    <w:p w:rsidRPr="00E819A2" w:rsidR="00CE3BB1" w:rsidP="00ED5120" w:rsidRDefault="00CE3BB1" w14:paraId="3F219A70" w14:textId="77777777">
      <w:pPr>
        <w:spacing w:line="240" w:lineRule="auto"/>
        <w:ind w:left="2160" w:hanging="720"/>
      </w:pPr>
    </w:p>
    <w:p w:rsidR="003960E1" w:rsidP="00ED5120" w:rsidRDefault="003960E1" w14:paraId="1C9D0FB8" w14:textId="2F3EA4A0">
      <w:pPr>
        <w:spacing w:line="240" w:lineRule="auto"/>
        <w:ind w:left="2160" w:hanging="720"/>
      </w:pPr>
      <w:r w:rsidRPr="00E819A2">
        <w:t xml:space="preserve">f. </w:t>
      </w:r>
      <w:r>
        <w:tab/>
      </w:r>
      <w:r w:rsidR="003967EC">
        <w:t>T</w:t>
      </w:r>
      <w:r w:rsidRPr="00E819A2">
        <w:t>ime of counting (in relation to completion of irradiation and transfer to unlicensed persons</w:t>
      </w:r>
      <w:proofErr w:type="gramStart"/>
      <w:r w:rsidRPr="00E819A2">
        <w:t>)</w:t>
      </w:r>
      <w:r w:rsidR="00E85B42">
        <w:t>;</w:t>
      </w:r>
      <w:proofErr w:type="gramEnd"/>
    </w:p>
    <w:p w:rsidRPr="00E819A2" w:rsidR="00CE3BB1" w:rsidP="00ED5120" w:rsidRDefault="00CE3BB1" w14:paraId="1F7262D3" w14:textId="77777777">
      <w:pPr>
        <w:spacing w:line="240" w:lineRule="auto"/>
        <w:ind w:left="2160" w:hanging="720"/>
      </w:pPr>
    </w:p>
    <w:p w:rsidR="00556804" w:rsidP="00ED5120" w:rsidRDefault="003960E1" w14:paraId="58D89E78" w14:textId="206C9452">
      <w:pPr>
        <w:spacing w:line="240" w:lineRule="auto"/>
        <w:ind w:left="2160" w:hanging="720"/>
      </w:pPr>
      <w:r w:rsidRPr="00E819A2">
        <w:t xml:space="preserve">g. </w:t>
      </w:r>
      <w:r>
        <w:tab/>
      </w:r>
      <w:r w:rsidR="003967EC">
        <w:t>M</w:t>
      </w:r>
      <w:r w:rsidRPr="00E819A2">
        <w:t xml:space="preserve">inimum detectable </w:t>
      </w:r>
      <w:proofErr w:type="gramStart"/>
      <w:r w:rsidRPr="00E819A2">
        <w:t>activitie</w:t>
      </w:r>
      <w:r>
        <w:t>s</w:t>
      </w:r>
      <w:r w:rsidR="00E85B42">
        <w:t>;</w:t>
      </w:r>
      <w:proofErr w:type="gramEnd"/>
    </w:p>
    <w:p w:rsidR="00E85B42" w:rsidP="00ED5120" w:rsidRDefault="00E85B42" w14:paraId="78F3F378" w14:textId="77777777">
      <w:pPr>
        <w:spacing w:line="240" w:lineRule="auto"/>
        <w:ind w:left="2160" w:hanging="720"/>
      </w:pPr>
    </w:p>
    <w:p w:rsidR="00AF7207" w:rsidP="00ED5120" w:rsidRDefault="003960E1" w14:paraId="3073D733" w14:textId="364AFC33">
      <w:pPr>
        <w:spacing w:line="240" w:lineRule="auto"/>
        <w:ind w:left="2160" w:hanging="720"/>
      </w:pPr>
      <w:r w:rsidRPr="00E819A2">
        <w:t xml:space="preserve">h. </w:t>
      </w:r>
      <w:r>
        <w:tab/>
      </w:r>
      <w:r w:rsidR="003967EC">
        <w:t>S</w:t>
      </w:r>
      <w:r w:rsidRPr="00E819A2">
        <w:t>tatistical methods for analyzing data, calculating background and minimum detectable</w:t>
      </w:r>
      <w:r w:rsidR="00AF7207">
        <w:t xml:space="preserve"> </w:t>
      </w:r>
      <w:r w:rsidRPr="00E819A2">
        <w:t xml:space="preserve">activities, and determining confidence </w:t>
      </w:r>
      <w:proofErr w:type="gramStart"/>
      <w:r w:rsidRPr="00E819A2">
        <w:t>levels</w:t>
      </w:r>
      <w:r w:rsidR="00E85B42">
        <w:t>;</w:t>
      </w:r>
      <w:proofErr w:type="gramEnd"/>
    </w:p>
    <w:p w:rsidR="0050691C" w:rsidP="00ED5120" w:rsidRDefault="0050691C" w14:paraId="6FE4B44C" w14:textId="77777777">
      <w:pPr>
        <w:spacing w:line="240" w:lineRule="auto"/>
        <w:ind w:left="2160" w:hanging="720"/>
      </w:pPr>
    </w:p>
    <w:p w:rsidR="00DC51E6" w:rsidP="00DC51E6" w:rsidRDefault="003960E1" w14:paraId="1702A7B0" w14:textId="7BD9648B">
      <w:pPr>
        <w:spacing w:line="240" w:lineRule="auto"/>
        <w:ind w:left="2160" w:hanging="720"/>
      </w:pPr>
      <w:proofErr w:type="spellStart"/>
      <w:r w:rsidRPr="00E819A2">
        <w:t>i</w:t>
      </w:r>
      <w:proofErr w:type="spellEnd"/>
      <w:r w:rsidRPr="00E819A2">
        <w:t>.</w:t>
      </w:r>
      <w:r>
        <w:t xml:space="preserve"> </w:t>
      </w:r>
      <w:r>
        <w:tab/>
      </w:r>
      <w:r w:rsidR="003967EC">
        <w:t>P</w:t>
      </w:r>
      <w:r w:rsidRPr="00E819A2">
        <w:t xml:space="preserve">rocedures for minimizing </w:t>
      </w:r>
      <w:r>
        <w:t>“</w:t>
      </w:r>
      <w:r w:rsidRPr="00E819A2">
        <w:t>false negatives</w:t>
      </w:r>
      <w:r>
        <w:t>”</w:t>
      </w:r>
      <w:r w:rsidRPr="00E819A2">
        <w:t xml:space="preserve"> (i.e., failure to identify individual gemstones with </w:t>
      </w:r>
      <w:r w:rsidRPr="00ED7A7F" w:rsidR="00FA2A58">
        <w:t>maximum external radiation levels in excess the criteria specified in response to Item C.2.</w:t>
      </w:r>
      <w:r w:rsidRPr="00ED7A7F" w:rsidR="00336C17">
        <w:t>vi</w:t>
      </w:r>
      <w:r w:rsidRPr="00ED7A7F" w:rsidR="00FA2A58">
        <w:t>.</w:t>
      </w:r>
      <w:proofErr w:type="gramStart"/>
      <w:r w:rsidRPr="00E819A2">
        <w:t>)</w:t>
      </w:r>
      <w:r w:rsidR="00E85B42">
        <w:t>;</w:t>
      </w:r>
      <w:proofErr w:type="gramEnd"/>
    </w:p>
    <w:p w:rsidR="00845894" w:rsidP="00DC51E6" w:rsidRDefault="00845894" w14:paraId="07199FBC" w14:textId="77777777">
      <w:pPr>
        <w:spacing w:line="240" w:lineRule="auto"/>
        <w:ind w:left="2160" w:hanging="720"/>
      </w:pPr>
    </w:p>
    <w:p w:rsidR="003960E1" w:rsidP="00ED5120" w:rsidRDefault="003960E1" w14:paraId="7259DEF5" w14:textId="514E10BA">
      <w:pPr>
        <w:spacing w:line="240" w:lineRule="auto"/>
        <w:ind w:left="2160" w:hanging="720"/>
      </w:pPr>
      <w:r w:rsidRPr="00E819A2">
        <w:t xml:space="preserve">j. </w:t>
      </w:r>
      <w:r>
        <w:tab/>
      </w:r>
      <w:r w:rsidR="003967EC">
        <w:t>S</w:t>
      </w:r>
      <w:r w:rsidRPr="00E819A2">
        <w:t>ample calculations</w:t>
      </w:r>
      <w:r w:rsidR="00E85B42">
        <w:t>.</w:t>
      </w:r>
    </w:p>
    <w:p w:rsidRPr="00E819A2" w:rsidR="00CE3BB1" w:rsidP="00ED5120" w:rsidRDefault="00CE3BB1" w14:paraId="04C87652" w14:textId="77777777">
      <w:pPr>
        <w:spacing w:line="240" w:lineRule="auto"/>
        <w:ind w:left="2160" w:hanging="720"/>
      </w:pPr>
    </w:p>
    <w:p w:rsidR="003960E1" w:rsidP="00ED5120" w:rsidRDefault="003960E1" w14:paraId="7CCB40E1" w14:textId="494E5F1D">
      <w:pPr>
        <w:spacing w:line="240" w:lineRule="auto"/>
        <w:ind w:left="720"/>
      </w:pPr>
      <w:r w:rsidRPr="00E819A2">
        <w:t xml:space="preserve">4. </w:t>
      </w:r>
      <w:r>
        <w:tab/>
      </w:r>
      <w:r w:rsidR="00676D7B">
        <w:t>Explain how, a</w:t>
      </w:r>
      <w:r w:rsidRPr="00E819A2">
        <w:t xml:space="preserve">t a minimum, </w:t>
      </w:r>
      <w:r>
        <w:t xml:space="preserve">the </w:t>
      </w:r>
      <w:r w:rsidRPr="00E819A2">
        <w:t xml:space="preserve">procedures </w:t>
      </w:r>
      <w:r w:rsidR="00676D7B">
        <w:t>are</w:t>
      </w:r>
      <w:r w:rsidRPr="00E819A2">
        <w:t xml:space="preserve"> sufficient to ensure that</w:t>
      </w:r>
      <w:r>
        <w:t>:</w:t>
      </w:r>
    </w:p>
    <w:p w:rsidRPr="00E819A2" w:rsidR="00CE3BB1" w:rsidP="00ED5120" w:rsidRDefault="00CE3BB1" w14:paraId="7588D6DC" w14:textId="77777777">
      <w:pPr>
        <w:spacing w:line="240" w:lineRule="auto"/>
        <w:ind w:left="720"/>
      </w:pPr>
    </w:p>
    <w:p w:rsidR="003960E1" w:rsidP="00ED5120" w:rsidRDefault="003960E1" w14:paraId="1C84FCE3" w14:textId="7F887650">
      <w:pPr>
        <w:spacing w:line="240" w:lineRule="auto"/>
        <w:ind w:left="2250" w:hanging="810"/>
      </w:pPr>
      <w:r w:rsidRPr="00E819A2">
        <w:t xml:space="preserve">a. </w:t>
      </w:r>
      <w:r>
        <w:tab/>
      </w:r>
      <w:r w:rsidRPr="00E819A2">
        <w:t>After each irradiation, measurements performed on gemstones are adequate to identify all induced radionuclides</w:t>
      </w:r>
      <w:r>
        <w:t>.</w:t>
      </w:r>
    </w:p>
    <w:p w:rsidRPr="00E819A2" w:rsidR="00CE3BB1" w:rsidP="00ED5120" w:rsidRDefault="00CE3BB1" w14:paraId="45D1DDA5" w14:textId="77777777">
      <w:pPr>
        <w:spacing w:line="240" w:lineRule="auto"/>
        <w:ind w:left="2250" w:hanging="810"/>
      </w:pPr>
    </w:p>
    <w:p w:rsidR="003960E1" w:rsidP="00ED5120" w:rsidRDefault="003960E1" w14:paraId="30088802" w14:textId="607430AF">
      <w:pPr>
        <w:spacing w:line="240" w:lineRule="auto"/>
        <w:ind w:left="2250" w:hanging="810"/>
      </w:pPr>
      <w:r w:rsidRPr="00E819A2">
        <w:t xml:space="preserve">b. </w:t>
      </w:r>
      <w:r>
        <w:tab/>
      </w:r>
      <w:r w:rsidRPr="00E819A2">
        <w:t xml:space="preserve">Before release to unlicensed persons, gemstones are analyzed to ensure that the </w:t>
      </w:r>
      <w:r w:rsidRPr="00DD03B8" w:rsidR="00582A9A">
        <w:t xml:space="preserve">dose criteria </w:t>
      </w:r>
      <w:r w:rsidRPr="00E819A2" w:rsidR="00582A9A">
        <w:t>are not</w:t>
      </w:r>
      <w:r w:rsidRPr="00E819A2">
        <w:t xml:space="preserve"> exceeded</w:t>
      </w:r>
      <w:r w:rsidR="00ED7A7F">
        <w:t>.</w:t>
      </w:r>
    </w:p>
    <w:p w:rsidRPr="001B2E40" w:rsidR="001B2E40" w:rsidP="00ED5120" w:rsidRDefault="001B2E40" w14:paraId="6974D9E7" w14:textId="77777777">
      <w:pPr>
        <w:spacing w:line="240" w:lineRule="auto"/>
        <w:ind w:left="2160" w:hanging="720"/>
      </w:pPr>
    </w:p>
    <w:p w:rsidR="00CE3BB1" w:rsidP="00ED5120" w:rsidRDefault="003960E1" w14:paraId="45CA9198" w14:textId="354A347E">
      <w:pPr>
        <w:spacing w:line="240" w:lineRule="auto"/>
        <w:ind w:left="1440" w:hanging="720"/>
      </w:pPr>
      <w:r w:rsidRPr="00E819A2">
        <w:t xml:space="preserve">5. </w:t>
      </w:r>
      <w:r>
        <w:tab/>
      </w:r>
      <w:r w:rsidRPr="00E819A2">
        <w:t>Specify who will be responsible for the QA program and describe this individual</w:t>
      </w:r>
      <w:r w:rsidR="00845894">
        <w:t>’</w:t>
      </w:r>
      <w:r w:rsidRPr="00E819A2">
        <w:t>s training and experience in detection and analysis of low</w:t>
      </w:r>
      <w:r>
        <w:t xml:space="preserve"> </w:t>
      </w:r>
      <w:r w:rsidRPr="00E819A2">
        <w:t xml:space="preserve">levels of radioactivity. </w:t>
      </w:r>
      <w:r>
        <w:t xml:space="preserve"> </w:t>
      </w:r>
      <w:r w:rsidRPr="00E819A2">
        <w:t>If this individual was identified in response to Item C.1.b, it is not necessary to repeat the individual</w:t>
      </w:r>
      <w:r>
        <w:t>’</w:t>
      </w:r>
      <w:r w:rsidRPr="00E819A2">
        <w:t>s qualifications, provided that the response to Item C.1.b includes a clear description of the person</w:t>
      </w:r>
      <w:r>
        <w:t>’</w:t>
      </w:r>
      <w:r w:rsidRPr="00E819A2">
        <w:t>s training and experience in low</w:t>
      </w:r>
      <w:r>
        <w:noBreakHyphen/>
      </w:r>
      <w:r w:rsidRPr="00E819A2">
        <w:t>level counting techniques.</w:t>
      </w:r>
    </w:p>
    <w:p w:rsidR="003960E1" w:rsidP="00ED5120" w:rsidRDefault="003960E1" w14:paraId="52569250" w14:textId="21E11C8F">
      <w:pPr>
        <w:spacing w:line="240" w:lineRule="auto"/>
        <w:ind w:left="1440" w:hanging="720"/>
      </w:pPr>
    </w:p>
    <w:p w:rsidRPr="00D461CE" w:rsidR="00CE3BB1" w:rsidP="00FF2AB1" w:rsidRDefault="003960E1" w14:paraId="177EF37F" w14:textId="504D65DF">
      <w:pPr>
        <w:spacing w:line="240" w:lineRule="auto"/>
        <w:ind w:left="1440" w:hanging="720"/>
        <w:rPr>
          <w:strike/>
        </w:rPr>
      </w:pPr>
      <w:r w:rsidRPr="009712F3">
        <w:t xml:space="preserve">6. </w:t>
      </w:r>
      <w:r>
        <w:tab/>
      </w:r>
      <w:r w:rsidRPr="009712F3">
        <w:t>Describe</w:t>
      </w:r>
      <w:r w:rsidRPr="00E819A2">
        <w:t xml:space="preserve"> the QA program used to ensure reliable data, including</w:t>
      </w:r>
      <w:r w:rsidR="007A1847">
        <w:t xml:space="preserve"> t</w:t>
      </w:r>
      <w:r w:rsidRPr="00E819A2">
        <w:t>he criteria, frequency</w:t>
      </w:r>
      <w:r>
        <w:t>,</w:t>
      </w:r>
      <w:r w:rsidRPr="00E819A2">
        <w:t xml:space="preserve"> and procedures used to perform response tests on the counting system(s).  </w:t>
      </w:r>
      <w:r w:rsidRPr="003B2FB0">
        <w:rPr>
          <w:b/>
          <w:i/>
        </w:rPr>
        <w:t>Note</w:t>
      </w:r>
      <w:r w:rsidRPr="00E819A2">
        <w:t xml:space="preserve">: </w:t>
      </w:r>
      <w:r>
        <w:t xml:space="preserve"> </w:t>
      </w:r>
      <w:r w:rsidRPr="00E819A2">
        <w:t>Response tests must be performed at installation and daily when equipment is in use.  These tests are intended to ensure the accuracy and precision of the data obtained in the measurement process.</w:t>
      </w:r>
    </w:p>
    <w:sectPr w:rsidRPr="00D461CE" w:rsidR="00CE3BB1" w:rsidSect="0050691C">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1FDCF" w14:textId="77777777" w:rsidR="00003130" w:rsidRDefault="00003130" w:rsidP="003960E1">
      <w:pPr>
        <w:spacing w:line="240" w:lineRule="auto"/>
      </w:pPr>
      <w:r>
        <w:separator/>
      </w:r>
    </w:p>
  </w:endnote>
  <w:endnote w:type="continuationSeparator" w:id="0">
    <w:p w14:paraId="73A6EEF5" w14:textId="77777777" w:rsidR="00003130" w:rsidRDefault="00003130" w:rsidP="003960E1">
      <w:pPr>
        <w:spacing w:line="240" w:lineRule="auto"/>
      </w:pPr>
      <w:r>
        <w:continuationSeparator/>
      </w:r>
    </w:p>
  </w:endnote>
  <w:endnote w:type="continuationNotice" w:id="1">
    <w:p w14:paraId="779A0417" w14:textId="77777777" w:rsidR="00003130" w:rsidRDefault="000031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0FC15" w14:textId="77777777" w:rsidR="00C9523F" w:rsidRDefault="00C9523F">
    <w:pPr>
      <w:pStyle w:val="Footer"/>
    </w:pPr>
    <w:r>
      <w:t>C</w:t>
    </w:r>
    <w:r>
      <w:rPr>
        <w:rFonts w:ascii="Times New Roman" w:hAnsi="Times New Roman"/>
      </w:rPr>
      <w:t>–</w:t>
    </w:r>
    <w:sdt>
      <w:sdtPr>
        <w:id w:val="21110817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10</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783086"/>
      <w:docPartObj>
        <w:docPartGallery w:val="Page Numbers (Bottom of Page)"/>
        <w:docPartUnique/>
      </w:docPartObj>
    </w:sdtPr>
    <w:sdtEndPr>
      <w:rPr>
        <w:noProof/>
      </w:rPr>
    </w:sdtEndPr>
    <w:sdtContent>
      <w:p w14:paraId="56598882" w14:textId="1FEF290C" w:rsidR="00156311" w:rsidRDefault="00156311">
        <w:pPr>
          <w:pStyle w:val="Footer"/>
        </w:pPr>
        <w:r>
          <w:fldChar w:fldCharType="begin"/>
        </w:r>
        <w:r>
          <w:instrText xml:space="preserve"> PAGE   \* MERGEFORMAT </w:instrText>
        </w:r>
        <w:r>
          <w:fldChar w:fldCharType="separate"/>
        </w:r>
        <w:r>
          <w:rPr>
            <w:noProof/>
          </w:rPr>
          <w:t>2</w:t>
        </w:r>
        <w:r>
          <w:rPr>
            <w:noProof/>
          </w:rPr>
          <w:fldChar w:fldCharType="end"/>
        </w:r>
      </w:p>
    </w:sdtContent>
  </w:sdt>
  <w:p w14:paraId="12CA66E7" w14:textId="77777777" w:rsidR="00156311" w:rsidRDefault="00156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FC05" w14:textId="77777777" w:rsidR="00C9523F" w:rsidRDefault="00C9523F" w:rsidP="003B3BEE">
    <w:pPr>
      <w:tabs>
        <w:tab w:val="left" w:pos="0"/>
        <w:tab w:val="center" w:pos="4680"/>
      </w:tabs>
      <w:rPr>
        <w:sz w:val="20"/>
      </w:rPr>
    </w:pPr>
  </w:p>
  <w:p w14:paraId="618E3F81" w14:textId="77777777" w:rsidR="00C9523F" w:rsidRPr="0056135F" w:rsidRDefault="00C9523F" w:rsidP="003B3BEE">
    <w:pPr>
      <w:tabs>
        <w:tab w:val="left" w:pos="0"/>
        <w:tab w:val="center" w:pos="4680"/>
      </w:tabs>
      <w:rPr>
        <w:sz w:val="20"/>
      </w:rPr>
    </w:pPr>
    <w:r w:rsidRPr="00F432D3">
      <w:rPr>
        <w:sz w:val="20"/>
      </w:rPr>
      <w:t>N</w:t>
    </w:r>
    <w:r>
      <w:rPr>
        <w:sz w:val="20"/>
      </w:rPr>
      <w:t>UREG–</w:t>
    </w:r>
    <w:r w:rsidRPr="00F432D3">
      <w:rPr>
        <w:sz w:val="20"/>
      </w:rPr>
      <w:t>1556, Vol. 8, Rev. 1</w:t>
    </w:r>
    <w:r w:rsidRPr="00F432D3">
      <w:rPr>
        <w:sz w:val="20"/>
      </w:rPr>
      <w:tab/>
    </w:r>
    <w:r>
      <w:rPr>
        <w:sz w:val="20"/>
      </w:rPr>
      <w:t>E</w:t>
    </w:r>
    <w:r w:rsidRPr="00F432D3">
      <w:rPr>
        <w:sz w:val="20"/>
      </w:rPr>
      <w:t>-</w:t>
    </w:r>
    <w:r w:rsidRPr="00F432D3">
      <w:rPr>
        <w:sz w:val="20"/>
      </w:rPr>
      <w:fldChar w:fldCharType="begin"/>
    </w:r>
    <w:r w:rsidRPr="00F432D3">
      <w:rPr>
        <w:sz w:val="20"/>
      </w:rPr>
      <w:instrText xml:space="preserve">PAGE </w:instrText>
    </w:r>
    <w:r w:rsidRPr="00F432D3">
      <w:rPr>
        <w:sz w:val="20"/>
      </w:rPr>
      <w:fldChar w:fldCharType="separate"/>
    </w:r>
    <w:r>
      <w:rPr>
        <w:noProof/>
        <w:sz w:val="20"/>
      </w:rPr>
      <w:t>2</w:t>
    </w:r>
    <w:r w:rsidRPr="00F432D3">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C36E" w14:textId="336D224A" w:rsidR="0075199F" w:rsidRDefault="0075199F">
    <w:pPr>
      <w:pStyle w:val="Footer"/>
    </w:pPr>
    <w:r>
      <w:t>A</w:t>
    </w:r>
    <w:sdt>
      <w:sdtPr>
        <w:id w:val="-20818653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D79DA0F" w14:textId="77777777" w:rsidR="00C9523F" w:rsidRPr="00FD763E" w:rsidRDefault="00C9523F" w:rsidP="003B3B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175770"/>
      <w:docPartObj>
        <w:docPartGallery w:val="Page Numbers (Bottom of Page)"/>
        <w:docPartUnique/>
      </w:docPartObj>
    </w:sdtPr>
    <w:sdtEndPr>
      <w:rPr>
        <w:noProof/>
      </w:rPr>
    </w:sdtEndPr>
    <w:sdtContent>
      <w:p w14:paraId="6A2C7A75" w14:textId="29F03912" w:rsidR="0075199F" w:rsidRDefault="0075199F">
        <w:pPr>
          <w:pStyle w:val="Footer"/>
        </w:pPr>
        <w:r>
          <w:t>A</w:t>
        </w:r>
        <w:r>
          <w:fldChar w:fldCharType="begin"/>
        </w:r>
        <w:r>
          <w:instrText xml:space="preserve"> PAGE   \* MERGEFORMAT </w:instrText>
        </w:r>
        <w:r>
          <w:fldChar w:fldCharType="separate"/>
        </w:r>
        <w:r>
          <w:rPr>
            <w:noProof/>
          </w:rPr>
          <w:t>2</w:t>
        </w:r>
        <w:r>
          <w:rPr>
            <w:noProof/>
          </w:rPr>
          <w:fldChar w:fldCharType="end"/>
        </w:r>
      </w:p>
    </w:sdtContent>
  </w:sdt>
  <w:p w14:paraId="008C2AF2" w14:textId="77777777" w:rsidR="00C9523F" w:rsidRPr="00786799" w:rsidRDefault="00C9523F" w:rsidP="003B3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23B66" w14:textId="77777777" w:rsidR="00003130" w:rsidRDefault="00003130" w:rsidP="003960E1">
      <w:pPr>
        <w:spacing w:line="240" w:lineRule="auto"/>
      </w:pPr>
      <w:r>
        <w:separator/>
      </w:r>
    </w:p>
  </w:footnote>
  <w:footnote w:type="continuationSeparator" w:id="0">
    <w:p w14:paraId="2CD097E2" w14:textId="77777777" w:rsidR="00003130" w:rsidRDefault="00003130" w:rsidP="003960E1">
      <w:pPr>
        <w:spacing w:line="240" w:lineRule="auto"/>
      </w:pPr>
      <w:r>
        <w:continuationSeparator/>
      </w:r>
    </w:p>
  </w:footnote>
  <w:footnote w:type="continuationNotice" w:id="1">
    <w:p w14:paraId="408F9080" w14:textId="77777777" w:rsidR="00003130" w:rsidRDefault="00003130">
      <w:pPr>
        <w:spacing w:line="240" w:lineRule="auto"/>
      </w:pPr>
    </w:p>
  </w:footnote>
  <w:footnote w:id="2">
    <w:p w14:paraId="785A06D8" w14:textId="77777777" w:rsidR="00792FEF" w:rsidRDefault="00C9523F" w:rsidP="00792FEF">
      <w:pPr>
        <w:pStyle w:val="CommentText"/>
        <w:tabs>
          <w:tab w:val="left" w:pos="360"/>
        </w:tabs>
        <w:rPr>
          <w:sz w:val="18"/>
          <w:szCs w:val="18"/>
        </w:rPr>
      </w:pPr>
      <w:r>
        <w:rPr>
          <w:rStyle w:val="FootnoteReference"/>
        </w:rPr>
        <w:footnoteRef/>
      </w:r>
      <w:r w:rsidRPr="00E2242F">
        <w:rPr>
          <w:sz w:val="18"/>
          <w:szCs w:val="18"/>
        </w:rPr>
        <w:t xml:space="preserve"> </w:t>
      </w:r>
      <w:r w:rsidR="00792FEF">
        <w:rPr>
          <w:sz w:val="18"/>
          <w:szCs w:val="18"/>
        </w:rPr>
        <w:tab/>
      </w:r>
      <w:r w:rsidRPr="00E630E4">
        <w:rPr>
          <w:sz w:val="18"/>
          <w:szCs w:val="18"/>
        </w:rPr>
        <w:t>Point-of-sale package refers to the ICBMIP and its associated packaging at the point of sale or point of purchase</w:t>
      </w:r>
    </w:p>
    <w:p w14:paraId="46F24BE9" w14:textId="29777F63" w:rsidR="00C9523F" w:rsidRDefault="00792FEF" w:rsidP="00792FEF">
      <w:pPr>
        <w:pStyle w:val="CommentText"/>
        <w:tabs>
          <w:tab w:val="left" w:pos="360"/>
        </w:tabs>
        <w:ind w:left="360"/>
      </w:pPr>
      <w:r>
        <w:rPr>
          <w:sz w:val="18"/>
          <w:szCs w:val="18"/>
        </w:rPr>
        <w:t>a</w:t>
      </w:r>
      <w:r w:rsidR="00C9523F" w:rsidRPr="00E630E4">
        <w:rPr>
          <w:sz w:val="18"/>
          <w:szCs w:val="18"/>
        </w:rPr>
        <w:t>t</w:t>
      </w:r>
      <w:r>
        <w:rPr>
          <w:sz w:val="18"/>
          <w:szCs w:val="18"/>
        </w:rPr>
        <w:t xml:space="preserve"> </w:t>
      </w:r>
      <w:r w:rsidR="00C9523F" w:rsidRPr="00E630E4">
        <w:rPr>
          <w:sz w:val="18"/>
          <w:szCs w:val="18"/>
        </w:rPr>
        <w:t xml:space="preserve">a physical or virtual location for the processing of payment (e.g., cash, check, or credit or debit card) and potential calculation and payment of applicable sales tax.  Point of sale package, for purposes of </w:t>
      </w:r>
      <w:r w:rsidR="00E630E4">
        <w:rPr>
          <w:sz w:val="18"/>
          <w:szCs w:val="18"/>
        </w:rPr>
        <w:t>§§</w:t>
      </w:r>
      <w:r w:rsidR="00243B97">
        <w:rPr>
          <w:sz w:val="18"/>
          <w:szCs w:val="18"/>
        </w:rPr>
        <w:t xml:space="preserve"> </w:t>
      </w:r>
      <w:r w:rsidR="00C9523F" w:rsidRPr="00E630E4">
        <w:rPr>
          <w:sz w:val="18"/>
          <w:szCs w:val="18"/>
        </w:rPr>
        <w:t xml:space="preserve">32.33 </w:t>
      </w:r>
      <w:r w:rsidR="00243B97">
        <w:rPr>
          <w:sz w:val="18"/>
          <w:szCs w:val="18"/>
        </w:rPr>
        <w:t>and</w:t>
      </w:r>
      <w:r w:rsidR="00C9523F" w:rsidRPr="00E630E4">
        <w:rPr>
          <w:sz w:val="18"/>
          <w:szCs w:val="18"/>
        </w:rPr>
        <w:t xml:space="preserve"> 32.35 does not mean the presentation of the item in a retail setting nor the packaging used to ship the ICBMIP (e.g., postage packaging or packaging used to ship multiple units of the ICBMIP).</w:t>
      </w:r>
      <w:r w:rsidR="00C9523F">
        <w:t xml:space="preserve">  </w:t>
      </w:r>
    </w:p>
  </w:footnote>
  <w:footnote w:id="3">
    <w:p w14:paraId="76C6DF15" w14:textId="77777777" w:rsidR="00DF33E5" w:rsidRDefault="00506902" w:rsidP="00DF33E5">
      <w:pPr>
        <w:pStyle w:val="CommentText"/>
        <w:tabs>
          <w:tab w:val="left" w:pos="360"/>
        </w:tabs>
        <w:rPr>
          <w:sz w:val="18"/>
          <w:szCs w:val="18"/>
        </w:rPr>
      </w:pPr>
      <w:r w:rsidRPr="00FD21AB">
        <w:rPr>
          <w:rStyle w:val="FootnoteReference"/>
        </w:rPr>
        <w:footnoteRef/>
      </w:r>
      <w:r w:rsidR="00DF33E5">
        <w:rPr>
          <w:szCs w:val="22"/>
        </w:rPr>
        <w:t xml:space="preserve"> </w:t>
      </w:r>
      <w:r w:rsidR="00DF33E5">
        <w:rPr>
          <w:szCs w:val="22"/>
        </w:rPr>
        <w:tab/>
      </w:r>
      <w:r w:rsidR="00DF33E5" w:rsidRPr="00DF33E5">
        <w:rPr>
          <w:sz w:val="18"/>
          <w:szCs w:val="18"/>
        </w:rPr>
        <w:t>“</w:t>
      </w:r>
      <w:r w:rsidR="000B5F3A" w:rsidRPr="00DF33E5">
        <w:rPr>
          <w:sz w:val="18"/>
          <w:szCs w:val="18"/>
        </w:rPr>
        <w:t>I</w:t>
      </w:r>
      <w:r w:rsidRPr="00DF33E5">
        <w:rPr>
          <w:sz w:val="18"/>
          <w:szCs w:val="18"/>
        </w:rPr>
        <w:t xml:space="preserve">f applicable,” means that the reports should include the numbers of units and quantities of material distributed </w:t>
      </w:r>
    </w:p>
    <w:p w14:paraId="64AC97DC" w14:textId="6F9CA99D" w:rsidR="00506902" w:rsidRDefault="00DF33E5" w:rsidP="00DF33E5">
      <w:pPr>
        <w:pStyle w:val="CommentText"/>
        <w:tabs>
          <w:tab w:val="left" w:pos="360"/>
        </w:tabs>
        <w:ind w:left="360"/>
      </w:pPr>
      <w:r>
        <w:rPr>
          <w:sz w:val="18"/>
          <w:szCs w:val="18"/>
        </w:rPr>
        <w:t>b</w:t>
      </w:r>
      <w:r w:rsidR="00506902" w:rsidRPr="00DF33E5">
        <w:rPr>
          <w:sz w:val="18"/>
          <w:szCs w:val="18"/>
        </w:rPr>
        <w:t>y</w:t>
      </w:r>
      <w:r>
        <w:rPr>
          <w:sz w:val="18"/>
          <w:szCs w:val="18"/>
        </w:rPr>
        <w:t xml:space="preserve"> </w:t>
      </w:r>
      <w:r w:rsidR="00506902" w:rsidRPr="00DF33E5">
        <w:rPr>
          <w:sz w:val="18"/>
          <w:szCs w:val="18"/>
        </w:rPr>
        <w:t>model number if the distributor uses model numbers to distinguish its products.  Data from similar models may be combined when there are no significant radiological differences, such as when a series of models have only aesthetic differences.</w:t>
      </w:r>
    </w:p>
  </w:footnote>
  <w:footnote w:id="4">
    <w:p w14:paraId="0FD6084B" w14:textId="6714E8BA" w:rsidR="0028328D" w:rsidRDefault="0028328D" w:rsidP="0028328D">
      <w:pPr>
        <w:pStyle w:val="FootnoteText"/>
      </w:pPr>
      <w:r w:rsidRPr="00705FE7">
        <w:rPr>
          <w:rStyle w:val="FootnoteReference"/>
          <w:rFonts w:cs="Arial"/>
        </w:rPr>
        <w:footnoteRef/>
      </w:r>
      <w:r w:rsidRPr="00150F68">
        <w:rPr>
          <w:rFonts w:cs="Arial"/>
          <w:szCs w:val="18"/>
        </w:rPr>
        <w:t>U.S. Environmental Protection Agency</w:t>
      </w:r>
      <w:r w:rsidR="009819C5">
        <w:rPr>
          <w:rFonts w:cs="Arial"/>
          <w:szCs w:val="18"/>
        </w:rPr>
        <w:t xml:space="preserve"> (EPA)</w:t>
      </w:r>
      <w:r w:rsidRPr="00150F68">
        <w:rPr>
          <w:rFonts w:cs="Arial"/>
          <w:szCs w:val="18"/>
        </w:rPr>
        <w:t xml:space="preserve">. </w:t>
      </w:r>
      <w:r w:rsidR="00150F68">
        <w:rPr>
          <w:rFonts w:cs="Arial"/>
          <w:szCs w:val="18"/>
        </w:rPr>
        <w:t xml:space="preserve"> </w:t>
      </w:r>
      <w:r w:rsidRPr="00150F68">
        <w:rPr>
          <w:rFonts w:cs="Arial"/>
          <w:szCs w:val="18"/>
        </w:rPr>
        <w:t xml:space="preserve">2009. </w:t>
      </w:r>
      <w:r w:rsidR="00150F68">
        <w:rPr>
          <w:rFonts w:cs="Arial"/>
          <w:szCs w:val="18"/>
        </w:rPr>
        <w:t xml:space="preserve"> </w:t>
      </w:r>
      <w:r w:rsidRPr="00150F68">
        <w:rPr>
          <w:rFonts w:cs="Arial"/>
          <w:i/>
          <w:szCs w:val="18"/>
        </w:rPr>
        <w:t xml:space="preserve">Municipal Solid Waste in the United States:  2009 Facts and Figures. </w:t>
      </w:r>
      <w:r w:rsidRPr="00150F68">
        <w:rPr>
          <w:rFonts w:cs="Arial"/>
          <w:szCs w:val="18"/>
          <w:vertAlign w:val="superscript"/>
        </w:rPr>
        <w:t xml:space="preserve"> </w:t>
      </w:r>
      <w:r w:rsidRPr="00150F68">
        <w:rPr>
          <w:rStyle w:val="A31"/>
          <w:rFonts w:cs="Arial"/>
          <w:sz w:val="18"/>
          <w:szCs w:val="18"/>
        </w:rPr>
        <w:t xml:space="preserve">EPA530-R-10-012.  </w:t>
      </w:r>
      <w:r w:rsidRPr="00150F68">
        <w:rPr>
          <w:rFonts w:cs="Arial"/>
          <w:szCs w:val="18"/>
        </w:rPr>
        <w:t xml:space="preserve">Office of Solid Waste, EPA: Washington, DC.  </w:t>
      </w:r>
      <w:r w:rsidRPr="00150F68">
        <w:rPr>
          <w:rStyle w:val="A31"/>
          <w:rFonts w:cs="Arial"/>
          <w:sz w:val="18"/>
          <w:szCs w:val="18"/>
        </w:rPr>
        <w:t>December 2010.</w:t>
      </w:r>
    </w:p>
  </w:footnote>
  <w:footnote w:id="5">
    <w:p w14:paraId="1D039772" w14:textId="0A3906EF" w:rsidR="00EA235B" w:rsidRDefault="00EA235B">
      <w:pPr>
        <w:pStyle w:val="FootnoteText"/>
      </w:pPr>
      <w:r>
        <w:rPr>
          <w:rStyle w:val="FootnoteReference"/>
        </w:rPr>
        <w:footnoteRef/>
      </w:r>
      <w:r>
        <w:t xml:space="preserve"> Point-of-sale package refers to the </w:t>
      </w:r>
      <w:r w:rsidR="00A61B03">
        <w:t>items containing byproduct material incidental to production (</w:t>
      </w:r>
      <w:r>
        <w:t>ICBMIP</w:t>
      </w:r>
      <w:r w:rsidR="00A61B03">
        <w:t>)</w:t>
      </w:r>
      <w:r>
        <w:t xml:space="preserve"> and its associated packaging at the point of sale or point of purchase at a physical or virtual location for the processing of payment (e.g., cash, check, or credit or debit card) and potential calculation and payment of applicable sales tax.  Point of sale package, for purposes of </w:t>
      </w:r>
      <w:r w:rsidR="00D31145">
        <w:rPr>
          <w:rFonts w:cs="Arial"/>
        </w:rPr>
        <w:t>§§</w:t>
      </w:r>
      <w:r w:rsidR="00D31145">
        <w:t xml:space="preserve"> </w:t>
      </w:r>
      <w:r>
        <w:t xml:space="preserve">32.33 </w:t>
      </w:r>
      <w:r w:rsidR="00D31145">
        <w:t>and</w:t>
      </w:r>
      <w:r>
        <w:t xml:space="preserve"> 32.35 does not mean the presentation of the item in a retail setting nor the packaging used to ship the ICBMIP (e.g., postage packaging or packaging used to ship multiple units of the ICBMIP).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5777A" w14:textId="77777777" w:rsidR="00C9523F" w:rsidRDefault="00C9523F" w:rsidP="003B3BEE">
    <w:pPr>
      <w:rPr>
        <w:sz w:val="20"/>
      </w:rPr>
    </w:pPr>
    <w:r w:rsidRPr="00273541">
      <w:rPr>
        <w:sz w:val="20"/>
      </w:rPr>
      <w:t xml:space="preserve">APPENDIX </w:t>
    </w:r>
    <w:r>
      <w:rPr>
        <w:sz w:val="20"/>
      </w:rPr>
      <w:t>E</w:t>
    </w:r>
  </w:p>
  <w:p w14:paraId="03557D62" w14:textId="77777777" w:rsidR="00C9523F" w:rsidRPr="0056135F" w:rsidRDefault="00C9523F" w:rsidP="003B3BEE">
    <w:pP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CC97" w14:textId="77777777" w:rsidR="00C9523F" w:rsidRPr="00917510" w:rsidRDefault="00C9523F" w:rsidP="009175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9E329" w14:textId="77777777" w:rsidR="00C9523F" w:rsidRPr="003B5AE0" w:rsidRDefault="00C952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2D07EDE"/>
    <w:lvl w:ilvl="0">
      <w:start w:val="1"/>
      <w:numFmt w:val="bullet"/>
      <w:pStyle w:val="ListBullet"/>
      <w:lvlText w:val=""/>
      <w:lvlJc w:val="left"/>
      <w:pPr>
        <w:tabs>
          <w:tab w:val="num" w:pos="450"/>
        </w:tabs>
        <w:ind w:left="450" w:hanging="360"/>
      </w:pPr>
      <w:rPr>
        <w:rFonts w:ascii="Symbol" w:hAnsi="Symbol" w:hint="default"/>
      </w:rPr>
    </w:lvl>
  </w:abstractNum>
  <w:abstractNum w:abstractNumId="1" w15:restartNumberingAfterBreak="0">
    <w:nsid w:val="011B19D0"/>
    <w:multiLevelType w:val="hybridMultilevel"/>
    <w:tmpl w:val="C1986B24"/>
    <w:lvl w:ilvl="0" w:tplc="85C2D848">
      <w:start w:val="1"/>
      <w:numFmt w:val="bullet"/>
      <w:lvlText w:val=""/>
      <w:lvlJc w:val="left"/>
      <w:pPr>
        <w:ind w:left="720" w:hanging="360"/>
      </w:pPr>
      <w:rPr>
        <w:rFonts w:ascii="Symbol" w:hAnsi="Symbol" w:hint="default"/>
      </w:rPr>
    </w:lvl>
    <w:lvl w:ilvl="1" w:tplc="DED081D2" w:tentative="1">
      <w:start w:val="1"/>
      <w:numFmt w:val="bullet"/>
      <w:lvlText w:val="o"/>
      <w:lvlJc w:val="left"/>
      <w:pPr>
        <w:ind w:left="1440" w:hanging="360"/>
      </w:pPr>
      <w:rPr>
        <w:rFonts w:ascii="Courier New" w:hAnsi="Courier New" w:cs="Courier New" w:hint="default"/>
      </w:rPr>
    </w:lvl>
    <w:lvl w:ilvl="2" w:tplc="D62840C4">
      <w:start w:val="1"/>
      <w:numFmt w:val="bullet"/>
      <w:lvlText w:val=""/>
      <w:lvlJc w:val="left"/>
      <w:pPr>
        <w:ind w:left="2160" w:hanging="360"/>
      </w:pPr>
      <w:rPr>
        <w:rFonts w:ascii="Wingdings" w:hAnsi="Wingdings" w:hint="default"/>
      </w:rPr>
    </w:lvl>
    <w:lvl w:ilvl="3" w:tplc="EE9EB890" w:tentative="1">
      <w:start w:val="1"/>
      <w:numFmt w:val="bullet"/>
      <w:lvlText w:val=""/>
      <w:lvlJc w:val="left"/>
      <w:pPr>
        <w:ind w:left="2880" w:hanging="360"/>
      </w:pPr>
      <w:rPr>
        <w:rFonts w:ascii="Symbol" w:hAnsi="Symbol" w:hint="default"/>
      </w:rPr>
    </w:lvl>
    <w:lvl w:ilvl="4" w:tplc="02467AA6" w:tentative="1">
      <w:start w:val="1"/>
      <w:numFmt w:val="bullet"/>
      <w:lvlText w:val="o"/>
      <w:lvlJc w:val="left"/>
      <w:pPr>
        <w:ind w:left="3600" w:hanging="360"/>
      </w:pPr>
      <w:rPr>
        <w:rFonts w:ascii="Courier New" w:hAnsi="Courier New" w:cs="Courier New" w:hint="default"/>
      </w:rPr>
    </w:lvl>
    <w:lvl w:ilvl="5" w:tplc="AA02A9C6" w:tentative="1">
      <w:start w:val="1"/>
      <w:numFmt w:val="bullet"/>
      <w:lvlText w:val=""/>
      <w:lvlJc w:val="left"/>
      <w:pPr>
        <w:ind w:left="4320" w:hanging="360"/>
      </w:pPr>
      <w:rPr>
        <w:rFonts w:ascii="Wingdings" w:hAnsi="Wingdings" w:hint="default"/>
      </w:rPr>
    </w:lvl>
    <w:lvl w:ilvl="6" w:tplc="B694E324" w:tentative="1">
      <w:start w:val="1"/>
      <w:numFmt w:val="bullet"/>
      <w:lvlText w:val=""/>
      <w:lvlJc w:val="left"/>
      <w:pPr>
        <w:ind w:left="5040" w:hanging="360"/>
      </w:pPr>
      <w:rPr>
        <w:rFonts w:ascii="Symbol" w:hAnsi="Symbol" w:hint="default"/>
      </w:rPr>
    </w:lvl>
    <w:lvl w:ilvl="7" w:tplc="61D81AB0" w:tentative="1">
      <w:start w:val="1"/>
      <w:numFmt w:val="bullet"/>
      <w:lvlText w:val="o"/>
      <w:lvlJc w:val="left"/>
      <w:pPr>
        <w:ind w:left="5760" w:hanging="360"/>
      </w:pPr>
      <w:rPr>
        <w:rFonts w:ascii="Courier New" w:hAnsi="Courier New" w:cs="Courier New" w:hint="default"/>
      </w:rPr>
    </w:lvl>
    <w:lvl w:ilvl="8" w:tplc="11321FEA" w:tentative="1">
      <w:start w:val="1"/>
      <w:numFmt w:val="bullet"/>
      <w:lvlText w:val=""/>
      <w:lvlJc w:val="left"/>
      <w:pPr>
        <w:ind w:left="6480" w:hanging="360"/>
      </w:pPr>
      <w:rPr>
        <w:rFonts w:ascii="Wingdings" w:hAnsi="Wingdings" w:hint="default"/>
      </w:rPr>
    </w:lvl>
  </w:abstractNum>
  <w:abstractNum w:abstractNumId="2" w15:restartNumberingAfterBreak="0">
    <w:nsid w:val="047102F3"/>
    <w:multiLevelType w:val="hybridMultilevel"/>
    <w:tmpl w:val="07FCC668"/>
    <w:lvl w:ilvl="0" w:tplc="0EECBA22">
      <w:start w:val="1"/>
      <w:numFmt w:val="bullet"/>
      <w:lvlText w:val=""/>
      <w:lvlJc w:val="left"/>
      <w:pPr>
        <w:ind w:left="720" w:hanging="360"/>
      </w:pPr>
      <w:rPr>
        <w:rFonts w:ascii="Symbol" w:hAnsi="Symbol" w:hint="default"/>
      </w:rPr>
    </w:lvl>
    <w:lvl w:ilvl="1" w:tplc="59F2182C" w:tentative="1">
      <w:start w:val="1"/>
      <w:numFmt w:val="bullet"/>
      <w:lvlText w:val="o"/>
      <w:lvlJc w:val="left"/>
      <w:pPr>
        <w:ind w:left="1440" w:hanging="360"/>
      </w:pPr>
      <w:rPr>
        <w:rFonts w:ascii="Courier New" w:hAnsi="Courier New" w:hint="default"/>
      </w:rPr>
    </w:lvl>
    <w:lvl w:ilvl="2" w:tplc="90BE6AC0" w:tentative="1">
      <w:start w:val="1"/>
      <w:numFmt w:val="bullet"/>
      <w:lvlText w:val=""/>
      <w:lvlJc w:val="left"/>
      <w:pPr>
        <w:ind w:left="2160" w:hanging="360"/>
      </w:pPr>
      <w:rPr>
        <w:rFonts w:ascii="Wingdings" w:hAnsi="Wingdings" w:hint="default"/>
      </w:rPr>
    </w:lvl>
    <w:lvl w:ilvl="3" w:tplc="BBECC842" w:tentative="1">
      <w:start w:val="1"/>
      <w:numFmt w:val="bullet"/>
      <w:lvlText w:val=""/>
      <w:lvlJc w:val="left"/>
      <w:pPr>
        <w:ind w:left="2880" w:hanging="360"/>
      </w:pPr>
      <w:rPr>
        <w:rFonts w:ascii="Symbol" w:hAnsi="Symbol" w:hint="default"/>
      </w:rPr>
    </w:lvl>
    <w:lvl w:ilvl="4" w:tplc="40264168" w:tentative="1">
      <w:start w:val="1"/>
      <w:numFmt w:val="bullet"/>
      <w:lvlText w:val="o"/>
      <w:lvlJc w:val="left"/>
      <w:pPr>
        <w:ind w:left="3600" w:hanging="360"/>
      </w:pPr>
      <w:rPr>
        <w:rFonts w:ascii="Courier New" w:hAnsi="Courier New" w:hint="default"/>
      </w:rPr>
    </w:lvl>
    <w:lvl w:ilvl="5" w:tplc="B7B8C5A4" w:tentative="1">
      <w:start w:val="1"/>
      <w:numFmt w:val="bullet"/>
      <w:lvlText w:val=""/>
      <w:lvlJc w:val="left"/>
      <w:pPr>
        <w:ind w:left="4320" w:hanging="360"/>
      </w:pPr>
      <w:rPr>
        <w:rFonts w:ascii="Wingdings" w:hAnsi="Wingdings" w:hint="default"/>
      </w:rPr>
    </w:lvl>
    <w:lvl w:ilvl="6" w:tplc="982A17D4" w:tentative="1">
      <w:start w:val="1"/>
      <w:numFmt w:val="bullet"/>
      <w:lvlText w:val=""/>
      <w:lvlJc w:val="left"/>
      <w:pPr>
        <w:ind w:left="5040" w:hanging="360"/>
      </w:pPr>
      <w:rPr>
        <w:rFonts w:ascii="Symbol" w:hAnsi="Symbol" w:hint="default"/>
      </w:rPr>
    </w:lvl>
    <w:lvl w:ilvl="7" w:tplc="91EA69A8" w:tentative="1">
      <w:start w:val="1"/>
      <w:numFmt w:val="bullet"/>
      <w:lvlText w:val="o"/>
      <w:lvlJc w:val="left"/>
      <w:pPr>
        <w:ind w:left="5760" w:hanging="360"/>
      </w:pPr>
      <w:rPr>
        <w:rFonts w:ascii="Courier New" w:hAnsi="Courier New" w:hint="default"/>
      </w:rPr>
    </w:lvl>
    <w:lvl w:ilvl="8" w:tplc="C7721242" w:tentative="1">
      <w:start w:val="1"/>
      <w:numFmt w:val="bullet"/>
      <w:lvlText w:val=""/>
      <w:lvlJc w:val="left"/>
      <w:pPr>
        <w:ind w:left="6480" w:hanging="360"/>
      </w:pPr>
      <w:rPr>
        <w:rFonts w:ascii="Wingdings" w:hAnsi="Wingdings" w:hint="default"/>
      </w:rPr>
    </w:lvl>
  </w:abstractNum>
  <w:abstractNum w:abstractNumId="3" w15:restartNumberingAfterBreak="0">
    <w:nsid w:val="0FDE6BE0"/>
    <w:multiLevelType w:val="hybridMultilevel"/>
    <w:tmpl w:val="917E0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37CFD"/>
    <w:multiLevelType w:val="hybridMultilevel"/>
    <w:tmpl w:val="56161156"/>
    <w:lvl w:ilvl="0" w:tplc="7D0CD95C">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 w15:restartNumberingAfterBreak="0">
    <w:nsid w:val="23E41B24"/>
    <w:multiLevelType w:val="hybridMultilevel"/>
    <w:tmpl w:val="049669B2"/>
    <w:lvl w:ilvl="0" w:tplc="0409001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D1599"/>
    <w:multiLevelType w:val="hybridMultilevel"/>
    <w:tmpl w:val="E04E9F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9934DC"/>
    <w:multiLevelType w:val="hybridMultilevel"/>
    <w:tmpl w:val="EEC0D1D4"/>
    <w:lvl w:ilvl="0" w:tplc="0D583D36">
      <w:start w:val="1"/>
      <w:numFmt w:val="decimal"/>
      <w:lvlText w:val="%1."/>
      <w:lvlJc w:val="left"/>
      <w:pPr>
        <w:ind w:left="1440" w:hanging="360"/>
      </w:pPr>
      <w:rPr>
        <w:rFonts w:ascii="Arial" w:hAnsi="Arial" w:hint="default"/>
        <w:b w:val="0"/>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51A3E76"/>
    <w:multiLevelType w:val="hybridMultilevel"/>
    <w:tmpl w:val="7ACE9D4A"/>
    <w:lvl w:ilvl="0" w:tplc="204EAEC8">
      <w:start w:val="1"/>
      <w:numFmt w:val="bullet"/>
      <w:lvlText w:val=""/>
      <w:lvlJc w:val="left"/>
      <w:pPr>
        <w:tabs>
          <w:tab w:val="num" w:pos="360"/>
        </w:tabs>
        <w:ind w:left="360" w:hanging="360"/>
      </w:pPr>
      <w:rPr>
        <w:rFonts w:ascii="Symbol" w:hAnsi="Symbol" w:hint="default"/>
        <w:sz w:val="22"/>
        <w:szCs w:val="22"/>
      </w:rPr>
    </w:lvl>
    <w:lvl w:ilvl="1" w:tplc="B704885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2C5C7D"/>
    <w:multiLevelType w:val="hybridMultilevel"/>
    <w:tmpl w:val="A73A0A66"/>
    <w:lvl w:ilvl="0" w:tplc="A0B265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B8F6190"/>
    <w:multiLevelType w:val="hybridMultilevel"/>
    <w:tmpl w:val="354ABD54"/>
    <w:lvl w:ilvl="0" w:tplc="131213DC">
      <w:start w:val="1"/>
      <w:numFmt w:val="bullet"/>
      <w:lvlText w:val=""/>
      <w:lvlJc w:val="left"/>
      <w:pPr>
        <w:tabs>
          <w:tab w:val="num" w:pos="720"/>
        </w:tabs>
        <w:ind w:left="720" w:hanging="360"/>
      </w:pPr>
      <w:rPr>
        <w:rFonts w:ascii="Symbol" w:hAnsi="Symbol" w:hint="default"/>
        <w:sz w:val="22"/>
        <w:szCs w:val="22"/>
      </w:rPr>
    </w:lvl>
    <w:lvl w:ilvl="1" w:tplc="63EAA386">
      <w:start w:val="1"/>
      <w:numFmt w:val="bullet"/>
      <w:lvlText w:val="o"/>
      <w:lvlJc w:val="left"/>
      <w:pPr>
        <w:tabs>
          <w:tab w:val="num" w:pos="1800"/>
        </w:tabs>
        <w:ind w:left="1800" w:hanging="360"/>
      </w:pPr>
      <w:rPr>
        <w:rFonts w:ascii="Courier New" w:hAnsi="Courier New" w:cs="Courier New" w:hint="default"/>
      </w:rPr>
    </w:lvl>
    <w:lvl w:ilvl="2" w:tplc="E0325E94" w:tentative="1">
      <w:start w:val="1"/>
      <w:numFmt w:val="bullet"/>
      <w:lvlText w:val=""/>
      <w:lvlJc w:val="left"/>
      <w:pPr>
        <w:tabs>
          <w:tab w:val="num" w:pos="2520"/>
        </w:tabs>
        <w:ind w:left="2520" w:hanging="360"/>
      </w:pPr>
      <w:rPr>
        <w:rFonts w:ascii="Wingdings" w:hAnsi="Wingdings" w:hint="default"/>
      </w:rPr>
    </w:lvl>
    <w:lvl w:ilvl="3" w:tplc="D9787C0A" w:tentative="1">
      <w:start w:val="1"/>
      <w:numFmt w:val="bullet"/>
      <w:lvlText w:val=""/>
      <w:lvlJc w:val="left"/>
      <w:pPr>
        <w:tabs>
          <w:tab w:val="num" w:pos="3240"/>
        </w:tabs>
        <w:ind w:left="3240" w:hanging="360"/>
      </w:pPr>
      <w:rPr>
        <w:rFonts w:ascii="Symbol" w:hAnsi="Symbol" w:hint="default"/>
      </w:rPr>
    </w:lvl>
    <w:lvl w:ilvl="4" w:tplc="25FCB9F0" w:tentative="1">
      <w:start w:val="1"/>
      <w:numFmt w:val="bullet"/>
      <w:lvlText w:val="o"/>
      <w:lvlJc w:val="left"/>
      <w:pPr>
        <w:tabs>
          <w:tab w:val="num" w:pos="3960"/>
        </w:tabs>
        <w:ind w:left="3960" w:hanging="360"/>
      </w:pPr>
      <w:rPr>
        <w:rFonts w:ascii="Courier New" w:hAnsi="Courier New" w:cs="Courier New" w:hint="default"/>
      </w:rPr>
    </w:lvl>
    <w:lvl w:ilvl="5" w:tplc="A40C13AA" w:tentative="1">
      <w:start w:val="1"/>
      <w:numFmt w:val="bullet"/>
      <w:lvlText w:val=""/>
      <w:lvlJc w:val="left"/>
      <w:pPr>
        <w:tabs>
          <w:tab w:val="num" w:pos="4680"/>
        </w:tabs>
        <w:ind w:left="4680" w:hanging="360"/>
      </w:pPr>
      <w:rPr>
        <w:rFonts w:ascii="Wingdings" w:hAnsi="Wingdings" w:hint="default"/>
      </w:rPr>
    </w:lvl>
    <w:lvl w:ilvl="6" w:tplc="D79403A8" w:tentative="1">
      <w:start w:val="1"/>
      <w:numFmt w:val="bullet"/>
      <w:lvlText w:val=""/>
      <w:lvlJc w:val="left"/>
      <w:pPr>
        <w:tabs>
          <w:tab w:val="num" w:pos="5400"/>
        </w:tabs>
        <w:ind w:left="5400" w:hanging="360"/>
      </w:pPr>
      <w:rPr>
        <w:rFonts w:ascii="Symbol" w:hAnsi="Symbol" w:hint="default"/>
      </w:rPr>
    </w:lvl>
    <w:lvl w:ilvl="7" w:tplc="C5585B1C" w:tentative="1">
      <w:start w:val="1"/>
      <w:numFmt w:val="bullet"/>
      <w:lvlText w:val="o"/>
      <w:lvlJc w:val="left"/>
      <w:pPr>
        <w:tabs>
          <w:tab w:val="num" w:pos="6120"/>
        </w:tabs>
        <w:ind w:left="6120" w:hanging="360"/>
      </w:pPr>
      <w:rPr>
        <w:rFonts w:ascii="Courier New" w:hAnsi="Courier New" w:cs="Courier New" w:hint="default"/>
      </w:rPr>
    </w:lvl>
    <w:lvl w:ilvl="8" w:tplc="D3C0E626"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BBD4F4D"/>
    <w:multiLevelType w:val="hybridMultilevel"/>
    <w:tmpl w:val="342007DC"/>
    <w:lvl w:ilvl="0" w:tplc="6AA851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C4E1D4A"/>
    <w:multiLevelType w:val="hybridMultilevel"/>
    <w:tmpl w:val="BC00E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907273"/>
    <w:multiLevelType w:val="hybridMultilevel"/>
    <w:tmpl w:val="C6B224A4"/>
    <w:lvl w:ilvl="0" w:tplc="7EBA347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A936EE"/>
    <w:multiLevelType w:val="hybridMultilevel"/>
    <w:tmpl w:val="7C1A6EB2"/>
    <w:lvl w:ilvl="0" w:tplc="762AB7B0">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58AC1A3F"/>
    <w:multiLevelType w:val="hybridMultilevel"/>
    <w:tmpl w:val="538806EE"/>
    <w:lvl w:ilvl="0" w:tplc="04090001">
      <w:start w:val="1"/>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15:restartNumberingAfterBreak="0">
    <w:nsid w:val="6374246F"/>
    <w:multiLevelType w:val="hybridMultilevel"/>
    <w:tmpl w:val="DCB0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5B5319"/>
    <w:multiLevelType w:val="hybridMultilevel"/>
    <w:tmpl w:val="D9BE0DF6"/>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 w15:restartNumberingAfterBreak="0">
    <w:nsid w:val="65095799"/>
    <w:multiLevelType w:val="hybridMultilevel"/>
    <w:tmpl w:val="96D6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1D49D5"/>
    <w:multiLevelType w:val="hybridMultilevel"/>
    <w:tmpl w:val="598E325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DE23E87"/>
    <w:multiLevelType w:val="hybridMultilevel"/>
    <w:tmpl w:val="435ECE28"/>
    <w:lvl w:ilvl="0" w:tplc="04090001">
      <w:start w:val="1"/>
      <w:numFmt w:val="bullet"/>
      <w:lvlText w:val=""/>
      <w:lvlJc w:val="left"/>
      <w:pPr>
        <w:ind w:left="720" w:hanging="360"/>
      </w:pPr>
      <w:rPr>
        <w:rFonts w:ascii="Symbol" w:hAnsi="Symbol" w:hint="default"/>
      </w:rPr>
    </w:lvl>
    <w:lvl w:ilvl="1" w:tplc="579EE54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B5281F"/>
    <w:multiLevelType w:val="multilevel"/>
    <w:tmpl w:val="ABD218A4"/>
    <w:lvl w:ilvl="0">
      <w:start w:val="1"/>
      <w:numFmt w:val="decimal"/>
      <w:pStyle w:val="Heading1"/>
      <w:lvlText w:val="%1"/>
      <w:lvlJc w:val="left"/>
      <w:pPr>
        <w:ind w:left="432" w:hanging="432"/>
      </w:pPr>
    </w:lvl>
    <w:lvl w:ilvl="1">
      <w:start w:val="1"/>
      <w:numFmt w:val="decimal"/>
      <w:pStyle w:val="Heading2"/>
      <w:lvlText w:val="%1.%2"/>
      <w:lvlJc w:val="left"/>
      <w:pPr>
        <w:ind w:left="756" w:hanging="576"/>
      </w:pPr>
      <w:rPr>
        <w:rFonts w:ascii="Arial Bold" w:hAnsi="Arial Bold"/>
        <w:sz w:val="26"/>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1A17BDD"/>
    <w:multiLevelType w:val="hybridMultilevel"/>
    <w:tmpl w:val="BE4042CC"/>
    <w:lvl w:ilvl="0" w:tplc="D6E0FAB2">
      <w:start w:val="1"/>
      <w:numFmt w:val="decimal"/>
      <w:lvlText w:val="%1."/>
      <w:lvlJc w:val="left"/>
      <w:pPr>
        <w:ind w:left="1440" w:hanging="360"/>
      </w:pPr>
    </w:lvl>
    <w:lvl w:ilvl="1" w:tplc="463CF8C2" w:tentative="1">
      <w:start w:val="1"/>
      <w:numFmt w:val="lowerLetter"/>
      <w:lvlText w:val="%2."/>
      <w:lvlJc w:val="left"/>
      <w:pPr>
        <w:ind w:left="2160" w:hanging="360"/>
      </w:pPr>
    </w:lvl>
    <w:lvl w:ilvl="2" w:tplc="B6FC6870" w:tentative="1">
      <w:start w:val="1"/>
      <w:numFmt w:val="lowerRoman"/>
      <w:lvlText w:val="%3."/>
      <w:lvlJc w:val="right"/>
      <w:pPr>
        <w:ind w:left="2880" w:hanging="180"/>
      </w:pPr>
    </w:lvl>
    <w:lvl w:ilvl="3" w:tplc="0CD00BEA" w:tentative="1">
      <w:start w:val="1"/>
      <w:numFmt w:val="decimal"/>
      <w:lvlText w:val="%4."/>
      <w:lvlJc w:val="left"/>
      <w:pPr>
        <w:ind w:left="3600" w:hanging="360"/>
      </w:pPr>
    </w:lvl>
    <w:lvl w:ilvl="4" w:tplc="89BC62A8" w:tentative="1">
      <w:start w:val="1"/>
      <w:numFmt w:val="lowerLetter"/>
      <w:lvlText w:val="%5."/>
      <w:lvlJc w:val="left"/>
      <w:pPr>
        <w:ind w:left="4320" w:hanging="360"/>
      </w:pPr>
    </w:lvl>
    <w:lvl w:ilvl="5" w:tplc="4532DD9A" w:tentative="1">
      <w:start w:val="1"/>
      <w:numFmt w:val="lowerRoman"/>
      <w:lvlText w:val="%6."/>
      <w:lvlJc w:val="right"/>
      <w:pPr>
        <w:ind w:left="5040" w:hanging="180"/>
      </w:pPr>
    </w:lvl>
    <w:lvl w:ilvl="6" w:tplc="E82A13FA" w:tentative="1">
      <w:start w:val="1"/>
      <w:numFmt w:val="decimal"/>
      <w:lvlText w:val="%7."/>
      <w:lvlJc w:val="left"/>
      <w:pPr>
        <w:ind w:left="5760" w:hanging="360"/>
      </w:pPr>
    </w:lvl>
    <w:lvl w:ilvl="7" w:tplc="C1347364" w:tentative="1">
      <w:start w:val="1"/>
      <w:numFmt w:val="lowerLetter"/>
      <w:lvlText w:val="%8."/>
      <w:lvlJc w:val="left"/>
      <w:pPr>
        <w:ind w:left="6480" w:hanging="360"/>
      </w:pPr>
    </w:lvl>
    <w:lvl w:ilvl="8" w:tplc="388E1F90" w:tentative="1">
      <w:start w:val="1"/>
      <w:numFmt w:val="lowerRoman"/>
      <w:lvlText w:val="%9."/>
      <w:lvlJc w:val="right"/>
      <w:pPr>
        <w:ind w:left="7200" w:hanging="180"/>
      </w:pPr>
    </w:lvl>
  </w:abstractNum>
  <w:abstractNum w:abstractNumId="23" w15:restartNumberingAfterBreak="0">
    <w:nsid w:val="76195EE1"/>
    <w:multiLevelType w:val="hybridMultilevel"/>
    <w:tmpl w:val="BE4042CC"/>
    <w:lvl w:ilvl="0" w:tplc="D6E0FAB2">
      <w:start w:val="1"/>
      <w:numFmt w:val="decimal"/>
      <w:lvlText w:val="%1."/>
      <w:lvlJc w:val="left"/>
      <w:pPr>
        <w:ind w:left="1440" w:hanging="360"/>
      </w:pPr>
    </w:lvl>
    <w:lvl w:ilvl="1" w:tplc="463CF8C2" w:tentative="1">
      <w:start w:val="1"/>
      <w:numFmt w:val="lowerLetter"/>
      <w:lvlText w:val="%2."/>
      <w:lvlJc w:val="left"/>
      <w:pPr>
        <w:ind w:left="2160" w:hanging="360"/>
      </w:pPr>
    </w:lvl>
    <w:lvl w:ilvl="2" w:tplc="B6FC6870" w:tentative="1">
      <w:start w:val="1"/>
      <w:numFmt w:val="lowerRoman"/>
      <w:lvlText w:val="%3."/>
      <w:lvlJc w:val="right"/>
      <w:pPr>
        <w:ind w:left="2880" w:hanging="180"/>
      </w:pPr>
    </w:lvl>
    <w:lvl w:ilvl="3" w:tplc="0CD00BEA" w:tentative="1">
      <w:start w:val="1"/>
      <w:numFmt w:val="decimal"/>
      <w:lvlText w:val="%4."/>
      <w:lvlJc w:val="left"/>
      <w:pPr>
        <w:ind w:left="3600" w:hanging="360"/>
      </w:pPr>
    </w:lvl>
    <w:lvl w:ilvl="4" w:tplc="89BC62A8" w:tentative="1">
      <w:start w:val="1"/>
      <w:numFmt w:val="lowerLetter"/>
      <w:lvlText w:val="%5."/>
      <w:lvlJc w:val="left"/>
      <w:pPr>
        <w:ind w:left="4320" w:hanging="360"/>
      </w:pPr>
    </w:lvl>
    <w:lvl w:ilvl="5" w:tplc="4532DD9A" w:tentative="1">
      <w:start w:val="1"/>
      <w:numFmt w:val="lowerRoman"/>
      <w:lvlText w:val="%6."/>
      <w:lvlJc w:val="right"/>
      <w:pPr>
        <w:ind w:left="5040" w:hanging="180"/>
      </w:pPr>
    </w:lvl>
    <w:lvl w:ilvl="6" w:tplc="E82A13FA" w:tentative="1">
      <w:start w:val="1"/>
      <w:numFmt w:val="decimal"/>
      <w:lvlText w:val="%7."/>
      <w:lvlJc w:val="left"/>
      <w:pPr>
        <w:ind w:left="5760" w:hanging="360"/>
      </w:pPr>
    </w:lvl>
    <w:lvl w:ilvl="7" w:tplc="C1347364" w:tentative="1">
      <w:start w:val="1"/>
      <w:numFmt w:val="lowerLetter"/>
      <w:lvlText w:val="%8."/>
      <w:lvlJc w:val="left"/>
      <w:pPr>
        <w:ind w:left="6480" w:hanging="360"/>
      </w:pPr>
    </w:lvl>
    <w:lvl w:ilvl="8" w:tplc="388E1F90" w:tentative="1">
      <w:start w:val="1"/>
      <w:numFmt w:val="lowerRoman"/>
      <w:lvlText w:val="%9."/>
      <w:lvlJc w:val="right"/>
      <w:pPr>
        <w:ind w:left="7200" w:hanging="180"/>
      </w:pPr>
    </w:lvl>
  </w:abstractNum>
  <w:abstractNum w:abstractNumId="24" w15:restartNumberingAfterBreak="0">
    <w:nsid w:val="77A95816"/>
    <w:multiLevelType w:val="hybridMultilevel"/>
    <w:tmpl w:val="BE4042CC"/>
    <w:lvl w:ilvl="0" w:tplc="D6E0FAB2">
      <w:start w:val="1"/>
      <w:numFmt w:val="decimal"/>
      <w:lvlText w:val="%1."/>
      <w:lvlJc w:val="left"/>
      <w:pPr>
        <w:ind w:left="1440" w:hanging="360"/>
      </w:pPr>
    </w:lvl>
    <w:lvl w:ilvl="1" w:tplc="463CF8C2" w:tentative="1">
      <w:start w:val="1"/>
      <w:numFmt w:val="lowerLetter"/>
      <w:lvlText w:val="%2."/>
      <w:lvlJc w:val="left"/>
      <w:pPr>
        <w:ind w:left="2160" w:hanging="360"/>
      </w:pPr>
    </w:lvl>
    <w:lvl w:ilvl="2" w:tplc="B6FC6870" w:tentative="1">
      <w:start w:val="1"/>
      <w:numFmt w:val="lowerRoman"/>
      <w:lvlText w:val="%3."/>
      <w:lvlJc w:val="right"/>
      <w:pPr>
        <w:ind w:left="2880" w:hanging="180"/>
      </w:pPr>
    </w:lvl>
    <w:lvl w:ilvl="3" w:tplc="0CD00BEA" w:tentative="1">
      <w:start w:val="1"/>
      <w:numFmt w:val="decimal"/>
      <w:lvlText w:val="%4."/>
      <w:lvlJc w:val="left"/>
      <w:pPr>
        <w:ind w:left="3600" w:hanging="360"/>
      </w:pPr>
    </w:lvl>
    <w:lvl w:ilvl="4" w:tplc="89BC62A8" w:tentative="1">
      <w:start w:val="1"/>
      <w:numFmt w:val="lowerLetter"/>
      <w:lvlText w:val="%5."/>
      <w:lvlJc w:val="left"/>
      <w:pPr>
        <w:ind w:left="4320" w:hanging="360"/>
      </w:pPr>
    </w:lvl>
    <w:lvl w:ilvl="5" w:tplc="4532DD9A" w:tentative="1">
      <w:start w:val="1"/>
      <w:numFmt w:val="lowerRoman"/>
      <w:lvlText w:val="%6."/>
      <w:lvlJc w:val="right"/>
      <w:pPr>
        <w:ind w:left="5040" w:hanging="180"/>
      </w:pPr>
    </w:lvl>
    <w:lvl w:ilvl="6" w:tplc="E82A13FA" w:tentative="1">
      <w:start w:val="1"/>
      <w:numFmt w:val="decimal"/>
      <w:lvlText w:val="%7."/>
      <w:lvlJc w:val="left"/>
      <w:pPr>
        <w:ind w:left="5760" w:hanging="360"/>
      </w:pPr>
    </w:lvl>
    <w:lvl w:ilvl="7" w:tplc="C1347364" w:tentative="1">
      <w:start w:val="1"/>
      <w:numFmt w:val="lowerLetter"/>
      <w:lvlText w:val="%8."/>
      <w:lvlJc w:val="left"/>
      <w:pPr>
        <w:ind w:left="6480" w:hanging="360"/>
      </w:pPr>
    </w:lvl>
    <w:lvl w:ilvl="8" w:tplc="388E1F90" w:tentative="1">
      <w:start w:val="1"/>
      <w:numFmt w:val="lowerRoman"/>
      <w:lvlText w:val="%9."/>
      <w:lvlJc w:val="right"/>
      <w:pPr>
        <w:ind w:left="7200" w:hanging="180"/>
      </w:pPr>
    </w:lvl>
  </w:abstractNum>
  <w:abstractNum w:abstractNumId="25" w15:restartNumberingAfterBreak="0">
    <w:nsid w:val="7AF849C6"/>
    <w:multiLevelType w:val="hybridMultilevel"/>
    <w:tmpl w:val="BE4042CC"/>
    <w:lvl w:ilvl="0" w:tplc="D6E0FAB2">
      <w:start w:val="1"/>
      <w:numFmt w:val="decimal"/>
      <w:lvlText w:val="%1."/>
      <w:lvlJc w:val="left"/>
      <w:pPr>
        <w:ind w:left="1440" w:hanging="360"/>
      </w:pPr>
    </w:lvl>
    <w:lvl w:ilvl="1" w:tplc="463CF8C2" w:tentative="1">
      <w:start w:val="1"/>
      <w:numFmt w:val="lowerLetter"/>
      <w:lvlText w:val="%2."/>
      <w:lvlJc w:val="left"/>
      <w:pPr>
        <w:ind w:left="2160" w:hanging="360"/>
      </w:pPr>
    </w:lvl>
    <w:lvl w:ilvl="2" w:tplc="B6FC6870" w:tentative="1">
      <w:start w:val="1"/>
      <w:numFmt w:val="lowerRoman"/>
      <w:lvlText w:val="%3."/>
      <w:lvlJc w:val="right"/>
      <w:pPr>
        <w:ind w:left="2880" w:hanging="180"/>
      </w:pPr>
    </w:lvl>
    <w:lvl w:ilvl="3" w:tplc="0CD00BEA" w:tentative="1">
      <w:start w:val="1"/>
      <w:numFmt w:val="decimal"/>
      <w:lvlText w:val="%4."/>
      <w:lvlJc w:val="left"/>
      <w:pPr>
        <w:ind w:left="3600" w:hanging="360"/>
      </w:pPr>
    </w:lvl>
    <w:lvl w:ilvl="4" w:tplc="89BC62A8" w:tentative="1">
      <w:start w:val="1"/>
      <w:numFmt w:val="lowerLetter"/>
      <w:lvlText w:val="%5."/>
      <w:lvlJc w:val="left"/>
      <w:pPr>
        <w:ind w:left="4320" w:hanging="360"/>
      </w:pPr>
    </w:lvl>
    <w:lvl w:ilvl="5" w:tplc="4532DD9A" w:tentative="1">
      <w:start w:val="1"/>
      <w:numFmt w:val="lowerRoman"/>
      <w:lvlText w:val="%6."/>
      <w:lvlJc w:val="right"/>
      <w:pPr>
        <w:ind w:left="5040" w:hanging="180"/>
      </w:pPr>
    </w:lvl>
    <w:lvl w:ilvl="6" w:tplc="E82A13FA" w:tentative="1">
      <w:start w:val="1"/>
      <w:numFmt w:val="decimal"/>
      <w:lvlText w:val="%7."/>
      <w:lvlJc w:val="left"/>
      <w:pPr>
        <w:ind w:left="5760" w:hanging="360"/>
      </w:pPr>
    </w:lvl>
    <w:lvl w:ilvl="7" w:tplc="C1347364" w:tentative="1">
      <w:start w:val="1"/>
      <w:numFmt w:val="lowerLetter"/>
      <w:lvlText w:val="%8."/>
      <w:lvlJc w:val="left"/>
      <w:pPr>
        <w:ind w:left="6480" w:hanging="360"/>
      </w:pPr>
    </w:lvl>
    <w:lvl w:ilvl="8" w:tplc="388E1F90" w:tentative="1">
      <w:start w:val="1"/>
      <w:numFmt w:val="lowerRoman"/>
      <w:lvlText w:val="%9."/>
      <w:lvlJc w:val="right"/>
      <w:pPr>
        <w:ind w:left="7200" w:hanging="180"/>
      </w:pPr>
    </w:lvl>
  </w:abstractNum>
  <w:abstractNum w:abstractNumId="26" w15:restartNumberingAfterBreak="0">
    <w:nsid w:val="7CDB3988"/>
    <w:multiLevelType w:val="hybridMultilevel"/>
    <w:tmpl w:val="BD889A42"/>
    <w:lvl w:ilvl="0" w:tplc="04090011">
      <w:start w:val="1"/>
      <w:numFmt w:val="bullet"/>
      <w:lvlText w:val=""/>
      <w:lvlJc w:val="left"/>
      <w:pPr>
        <w:ind w:left="1080" w:hanging="72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8"/>
  </w:num>
  <w:num w:numId="5">
    <w:abstractNumId w:val="21"/>
  </w:num>
  <w:num w:numId="6">
    <w:abstractNumId w:val="3"/>
  </w:num>
  <w:num w:numId="7">
    <w:abstractNumId w:val="9"/>
  </w:num>
  <w:num w:numId="8">
    <w:abstractNumId w:val="14"/>
  </w:num>
  <w:num w:numId="9">
    <w:abstractNumId w:val="5"/>
  </w:num>
  <w:num w:numId="10">
    <w:abstractNumId w:val="18"/>
  </w:num>
  <w:num w:numId="11">
    <w:abstractNumId w:val="17"/>
  </w:num>
  <w:num w:numId="12">
    <w:abstractNumId w:val="15"/>
  </w:num>
  <w:num w:numId="13">
    <w:abstractNumId w:val="7"/>
  </w:num>
  <w:num w:numId="14">
    <w:abstractNumId w:val="26"/>
  </w:num>
  <w:num w:numId="15">
    <w:abstractNumId w:val="2"/>
  </w:num>
  <w:num w:numId="16">
    <w:abstractNumId w:val="24"/>
  </w:num>
  <w:num w:numId="17">
    <w:abstractNumId w:val="4"/>
  </w:num>
  <w:num w:numId="18">
    <w:abstractNumId w:val="6"/>
  </w:num>
  <w:num w:numId="19">
    <w:abstractNumId w:val="19"/>
  </w:num>
  <w:num w:numId="20">
    <w:abstractNumId w:val="20"/>
  </w:num>
  <w:num w:numId="21">
    <w:abstractNumId w:val="12"/>
  </w:num>
  <w:num w:numId="22">
    <w:abstractNumId w:val="16"/>
  </w:num>
  <w:num w:numId="23">
    <w:abstractNumId w:val="13"/>
  </w:num>
  <w:num w:numId="24">
    <w:abstractNumId w:val="11"/>
  </w:num>
  <w:num w:numId="25">
    <w:abstractNumId w:val="22"/>
  </w:num>
  <w:num w:numId="26">
    <w:abstractNumId w:val="23"/>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2E"/>
    <w:rsid w:val="0000002C"/>
    <w:rsid w:val="000008F9"/>
    <w:rsid w:val="0000109D"/>
    <w:rsid w:val="000014A0"/>
    <w:rsid w:val="00001515"/>
    <w:rsid w:val="0000195F"/>
    <w:rsid w:val="00002397"/>
    <w:rsid w:val="000024C3"/>
    <w:rsid w:val="000028E9"/>
    <w:rsid w:val="00003130"/>
    <w:rsid w:val="00003761"/>
    <w:rsid w:val="00003B61"/>
    <w:rsid w:val="00003BDA"/>
    <w:rsid w:val="00004DE0"/>
    <w:rsid w:val="00005246"/>
    <w:rsid w:val="00006306"/>
    <w:rsid w:val="00006620"/>
    <w:rsid w:val="00006791"/>
    <w:rsid w:val="00006967"/>
    <w:rsid w:val="000072CF"/>
    <w:rsid w:val="000073EB"/>
    <w:rsid w:val="00007A31"/>
    <w:rsid w:val="00007F07"/>
    <w:rsid w:val="000106E7"/>
    <w:rsid w:val="00010DC0"/>
    <w:rsid w:val="000113D9"/>
    <w:rsid w:val="00011858"/>
    <w:rsid w:val="00011E4A"/>
    <w:rsid w:val="000123FF"/>
    <w:rsid w:val="00012C65"/>
    <w:rsid w:val="00012E11"/>
    <w:rsid w:val="00013013"/>
    <w:rsid w:val="00013381"/>
    <w:rsid w:val="0001343B"/>
    <w:rsid w:val="000136B8"/>
    <w:rsid w:val="00014D97"/>
    <w:rsid w:val="00014DE6"/>
    <w:rsid w:val="00015B16"/>
    <w:rsid w:val="000162F4"/>
    <w:rsid w:val="0001703B"/>
    <w:rsid w:val="0001724D"/>
    <w:rsid w:val="00017D80"/>
    <w:rsid w:val="00017F37"/>
    <w:rsid w:val="000208DE"/>
    <w:rsid w:val="00021D1B"/>
    <w:rsid w:val="0002270D"/>
    <w:rsid w:val="00023B0E"/>
    <w:rsid w:val="00023E82"/>
    <w:rsid w:val="00023E9E"/>
    <w:rsid w:val="000251F2"/>
    <w:rsid w:val="00025856"/>
    <w:rsid w:val="00026E20"/>
    <w:rsid w:val="00027249"/>
    <w:rsid w:val="00027A08"/>
    <w:rsid w:val="0003037A"/>
    <w:rsid w:val="0003095D"/>
    <w:rsid w:val="00030AB7"/>
    <w:rsid w:val="00030AF3"/>
    <w:rsid w:val="00031435"/>
    <w:rsid w:val="00032A65"/>
    <w:rsid w:val="00033092"/>
    <w:rsid w:val="00033158"/>
    <w:rsid w:val="000338EF"/>
    <w:rsid w:val="000340B4"/>
    <w:rsid w:val="00034BE4"/>
    <w:rsid w:val="000351D4"/>
    <w:rsid w:val="00035F82"/>
    <w:rsid w:val="00036117"/>
    <w:rsid w:val="00036476"/>
    <w:rsid w:val="0003647C"/>
    <w:rsid w:val="00036B15"/>
    <w:rsid w:val="00036DEE"/>
    <w:rsid w:val="00037102"/>
    <w:rsid w:val="000378A5"/>
    <w:rsid w:val="00040FE0"/>
    <w:rsid w:val="00041268"/>
    <w:rsid w:val="000418BE"/>
    <w:rsid w:val="00041AE4"/>
    <w:rsid w:val="00041CC8"/>
    <w:rsid w:val="00041E06"/>
    <w:rsid w:val="00043467"/>
    <w:rsid w:val="00043481"/>
    <w:rsid w:val="000435FC"/>
    <w:rsid w:val="00043E57"/>
    <w:rsid w:val="000459D4"/>
    <w:rsid w:val="00045AA1"/>
    <w:rsid w:val="00045B0E"/>
    <w:rsid w:val="00046D5D"/>
    <w:rsid w:val="00046DF1"/>
    <w:rsid w:val="00047316"/>
    <w:rsid w:val="0004734F"/>
    <w:rsid w:val="000479B7"/>
    <w:rsid w:val="0005129C"/>
    <w:rsid w:val="00052B2C"/>
    <w:rsid w:val="000532C2"/>
    <w:rsid w:val="00053E2E"/>
    <w:rsid w:val="000549B1"/>
    <w:rsid w:val="00054D58"/>
    <w:rsid w:val="000556A4"/>
    <w:rsid w:val="000557BD"/>
    <w:rsid w:val="00055973"/>
    <w:rsid w:val="00055995"/>
    <w:rsid w:val="00055C08"/>
    <w:rsid w:val="0005645D"/>
    <w:rsid w:val="00056565"/>
    <w:rsid w:val="0005672E"/>
    <w:rsid w:val="00056902"/>
    <w:rsid w:val="00056A6D"/>
    <w:rsid w:val="00056A98"/>
    <w:rsid w:val="0005768F"/>
    <w:rsid w:val="00060183"/>
    <w:rsid w:val="00060D01"/>
    <w:rsid w:val="00061BAC"/>
    <w:rsid w:val="00062074"/>
    <w:rsid w:val="000627BC"/>
    <w:rsid w:val="00062E05"/>
    <w:rsid w:val="000630FD"/>
    <w:rsid w:val="0006340A"/>
    <w:rsid w:val="0006360F"/>
    <w:rsid w:val="000638CB"/>
    <w:rsid w:val="00064188"/>
    <w:rsid w:val="00065F08"/>
    <w:rsid w:val="00067247"/>
    <w:rsid w:val="0006762F"/>
    <w:rsid w:val="00067719"/>
    <w:rsid w:val="000678A9"/>
    <w:rsid w:val="00067911"/>
    <w:rsid w:val="00067F72"/>
    <w:rsid w:val="00070158"/>
    <w:rsid w:val="00070D25"/>
    <w:rsid w:val="000712AE"/>
    <w:rsid w:val="0007135C"/>
    <w:rsid w:val="000720BA"/>
    <w:rsid w:val="00072852"/>
    <w:rsid w:val="0007458E"/>
    <w:rsid w:val="00074783"/>
    <w:rsid w:val="00074910"/>
    <w:rsid w:val="00074D69"/>
    <w:rsid w:val="00075597"/>
    <w:rsid w:val="000757CB"/>
    <w:rsid w:val="00075814"/>
    <w:rsid w:val="00075C1F"/>
    <w:rsid w:val="000765E5"/>
    <w:rsid w:val="00076BBC"/>
    <w:rsid w:val="0007717C"/>
    <w:rsid w:val="000772FA"/>
    <w:rsid w:val="00077926"/>
    <w:rsid w:val="0008064A"/>
    <w:rsid w:val="00080BD7"/>
    <w:rsid w:val="00080DE9"/>
    <w:rsid w:val="00081382"/>
    <w:rsid w:val="00081758"/>
    <w:rsid w:val="0008196C"/>
    <w:rsid w:val="000819C0"/>
    <w:rsid w:val="00081CCD"/>
    <w:rsid w:val="000821B8"/>
    <w:rsid w:val="000822DA"/>
    <w:rsid w:val="00082479"/>
    <w:rsid w:val="0008284C"/>
    <w:rsid w:val="00082944"/>
    <w:rsid w:val="000854C7"/>
    <w:rsid w:val="00085B37"/>
    <w:rsid w:val="000865B0"/>
    <w:rsid w:val="000868DF"/>
    <w:rsid w:val="00086D42"/>
    <w:rsid w:val="000878F5"/>
    <w:rsid w:val="00091229"/>
    <w:rsid w:val="0009168F"/>
    <w:rsid w:val="000919AC"/>
    <w:rsid w:val="00092AFB"/>
    <w:rsid w:val="00092B05"/>
    <w:rsid w:val="00093B85"/>
    <w:rsid w:val="00094FE9"/>
    <w:rsid w:val="0009531C"/>
    <w:rsid w:val="00095DF7"/>
    <w:rsid w:val="00096F3F"/>
    <w:rsid w:val="000970BB"/>
    <w:rsid w:val="000972ED"/>
    <w:rsid w:val="0009750A"/>
    <w:rsid w:val="00097C2D"/>
    <w:rsid w:val="000A00CF"/>
    <w:rsid w:val="000A1420"/>
    <w:rsid w:val="000A149D"/>
    <w:rsid w:val="000A15A3"/>
    <w:rsid w:val="000A2124"/>
    <w:rsid w:val="000A212F"/>
    <w:rsid w:val="000A226C"/>
    <w:rsid w:val="000A2471"/>
    <w:rsid w:val="000A28FE"/>
    <w:rsid w:val="000A2D73"/>
    <w:rsid w:val="000A398B"/>
    <w:rsid w:val="000A3C6F"/>
    <w:rsid w:val="000A3EE6"/>
    <w:rsid w:val="000A40C5"/>
    <w:rsid w:val="000A4F72"/>
    <w:rsid w:val="000A51B2"/>
    <w:rsid w:val="000A52B9"/>
    <w:rsid w:val="000A53EA"/>
    <w:rsid w:val="000A5CF9"/>
    <w:rsid w:val="000A5F0B"/>
    <w:rsid w:val="000A6347"/>
    <w:rsid w:val="000A66E3"/>
    <w:rsid w:val="000A6D2A"/>
    <w:rsid w:val="000A6E5C"/>
    <w:rsid w:val="000A746F"/>
    <w:rsid w:val="000A7E98"/>
    <w:rsid w:val="000B06AC"/>
    <w:rsid w:val="000B0D6F"/>
    <w:rsid w:val="000B2F77"/>
    <w:rsid w:val="000B310C"/>
    <w:rsid w:val="000B3590"/>
    <w:rsid w:val="000B468A"/>
    <w:rsid w:val="000B46C7"/>
    <w:rsid w:val="000B491E"/>
    <w:rsid w:val="000B4C8F"/>
    <w:rsid w:val="000B5184"/>
    <w:rsid w:val="000B5E56"/>
    <w:rsid w:val="000B5F3A"/>
    <w:rsid w:val="000B65B1"/>
    <w:rsid w:val="000B6CA0"/>
    <w:rsid w:val="000B701A"/>
    <w:rsid w:val="000B7C3F"/>
    <w:rsid w:val="000C01CB"/>
    <w:rsid w:val="000C075E"/>
    <w:rsid w:val="000C0E38"/>
    <w:rsid w:val="000C0FD6"/>
    <w:rsid w:val="000C10D0"/>
    <w:rsid w:val="000C13ED"/>
    <w:rsid w:val="000C14AA"/>
    <w:rsid w:val="000C197A"/>
    <w:rsid w:val="000C1AFB"/>
    <w:rsid w:val="000C1FFB"/>
    <w:rsid w:val="000C231C"/>
    <w:rsid w:val="000C236C"/>
    <w:rsid w:val="000C2740"/>
    <w:rsid w:val="000C2AFE"/>
    <w:rsid w:val="000C3167"/>
    <w:rsid w:val="000C33DB"/>
    <w:rsid w:val="000C3665"/>
    <w:rsid w:val="000C37F2"/>
    <w:rsid w:val="000C3A77"/>
    <w:rsid w:val="000C44D1"/>
    <w:rsid w:val="000C4DC5"/>
    <w:rsid w:val="000C4FB9"/>
    <w:rsid w:val="000C535F"/>
    <w:rsid w:val="000C59C1"/>
    <w:rsid w:val="000C5E93"/>
    <w:rsid w:val="000C5FA2"/>
    <w:rsid w:val="000C6A0D"/>
    <w:rsid w:val="000C6F48"/>
    <w:rsid w:val="000C754A"/>
    <w:rsid w:val="000C7A44"/>
    <w:rsid w:val="000C7E13"/>
    <w:rsid w:val="000C7E7C"/>
    <w:rsid w:val="000D083E"/>
    <w:rsid w:val="000D0894"/>
    <w:rsid w:val="000D1191"/>
    <w:rsid w:val="000D11BD"/>
    <w:rsid w:val="000D1237"/>
    <w:rsid w:val="000D13E5"/>
    <w:rsid w:val="000D1710"/>
    <w:rsid w:val="000D1A1D"/>
    <w:rsid w:val="000D1E9B"/>
    <w:rsid w:val="000D31E5"/>
    <w:rsid w:val="000D3305"/>
    <w:rsid w:val="000D337B"/>
    <w:rsid w:val="000D3420"/>
    <w:rsid w:val="000D3799"/>
    <w:rsid w:val="000D4A7D"/>
    <w:rsid w:val="000D5617"/>
    <w:rsid w:val="000D5A70"/>
    <w:rsid w:val="000D6140"/>
    <w:rsid w:val="000D65B6"/>
    <w:rsid w:val="000D6AF8"/>
    <w:rsid w:val="000D6CCC"/>
    <w:rsid w:val="000E02DF"/>
    <w:rsid w:val="000E051C"/>
    <w:rsid w:val="000E0C49"/>
    <w:rsid w:val="000E1FE0"/>
    <w:rsid w:val="000E2021"/>
    <w:rsid w:val="000E24FC"/>
    <w:rsid w:val="000E34BF"/>
    <w:rsid w:val="000E3571"/>
    <w:rsid w:val="000E442C"/>
    <w:rsid w:val="000E4586"/>
    <w:rsid w:val="000E62FE"/>
    <w:rsid w:val="000E643D"/>
    <w:rsid w:val="000E6730"/>
    <w:rsid w:val="000F14BA"/>
    <w:rsid w:val="000F1D8E"/>
    <w:rsid w:val="000F1D9C"/>
    <w:rsid w:val="000F1EB4"/>
    <w:rsid w:val="000F4309"/>
    <w:rsid w:val="000F460F"/>
    <w:rsid w:val="000F485B"/>
    <w:rsid w:val="000F4B72"/>
    <w:rsid w:val="000F4DA2"/>
    <w:rsid w:val="000F4F99"/>
    <w:rsid w:val="000F4FC2"/>
    <w:rsid w:val="000F500E"/>
    <w:rsid w:val="000F5218"/>
    <w:rsid w:val="000F5DB2"/>
    <w:rsid w:val="000F608D"/>
    <w:rsid w:val="000F60C9"/>
    <w:rsid w:val="000F675F"/>
    <w:rsid w:val="000F6E4E"/>
    <w:rsid w:val="000F70CA"/>
    <w:rsid w:val="000F7160"/>
    <w:rsid w:val="000F7257"/>
    <w:rsid w:val="000F7B99"/>
    <w:rsid w:val="00100114"/>
    <w:rsid w:val="0010020F"/>
    <w:rsid w:val="001005A1"/>
    <w:rsid w:val="0010071F"/>
    <w:rsid w:val="00100935"/>
    <w:rsid w:val="001009F3"/>
    <w:rsid w:val="00101400"/>
    <w:rsid w:val="00101A2E"/>
    <w:rsid w:val="00101BB9"/>
    <w:rsid w:val="00101C1A"/>
    <w:rsid w:val="00101D10"/>
    <w:rsid w:val="0010292C"/>
    <w:rsid w:val="001029CE"/>
    <w:rsid w:val="00102B57"/>
    <w:rsid w:val="00104101"/>
    <w:rsid w:val="0010428C"/>
    <w:rsid w:val="00104381"/>
    <w:rsid w:val="001046DC"/>
    <w:rsid w:val="00104903"/>
    <w:rsid w:val="00104A1D"/>
    <w:rsid w:val="00105B69"/>
    <w:rsid w:val="00106D36"/>
    <w:rsid w:val="00107506"/>
    <w:rsid w:val="00107C1F"/>
    <w:rsid w:val="0011017C"/>
    <w:rsid w:val="0011163F"/>
    <w:rsid w:val="00111CAE"/>
    <w:rsid w:val="00111E8C"/>
    <w:rsid w:val="00111F7F"/>
    <w:rsid w:val="001122C9"/>
    <w:rsid w:val="001123BA"/>
    <w:rsid w:val="0011284A"/>
    <w:rsid w:val="00112B1E"/>
    <w:rsid w:val="00112D49"/>
    <w:rsid w:val="001133A2"/>
    <w:rsid w:val="001133A7"/>
    <w:rsid w:val="00114041"/>
    <w:rsid w:val="0011467E"/>
    <w:rsid w:val="00114C27"/>
    <w:rsid w:val="00114DFB"/>
    <w:rsid w:val="0011563C"/>
    <w:rsid w:val="00115AFD"/>
    <w:rsid w:val="0011621B"/>
    <w:rsid w:val="001169E2"/>
    <w:rsid w:val="00116B17"/>
    <w:rsid w:val="0011738E"/>
    <w:rsid w:val="00117EA5"/>
    <w:rsid w:val="00120D22"/>
    <w:rsid w:val="001212AF"/>
    <w:rsid w:val="001225EF"/>
    <w:rsid w:val="00122790"/>
    <w:rsid w:val="00122ACB"/>
    <w:rsid w:val="00123D90"/>
    <w:rsid w:val="00123F3A"/>
    <w:rsid w:val="0012478F"/>
    <w:rsid w:val="00124E33"/>
    <w:rsid w:val="00124FA3"/>
    <w:rsid w:val="00125425"/>
    <w:rsid w:val="0012558C"/>
    <w:rsid w:val="00126185"/>
    <w:rsid w:val="00126808"/>
    <w:rsid w:val="00127780"/>
    <w:rsid w:val="00130689"/>
    <w:rsid w:val="00130741"/>
    <w:rsid w:val="00130D11"/>
    <w:rsid w:val="00131125"/>
    <w:rsid w:val="00131160"/>
    <w:rsid w:val="00131C72"/>
    <w:rsid w:val="0013236D"/>
    <w:rsid w:val="001325E3"/>
    <w:rsid w:val="00132ABF"/>
    <w:rsid w:val="00132EAD"/>
    <w:rsid w:val="001342CD"/>
    <w:rsid w:val="001346F3"/>
    <w:rsid w:val="001350EC"/>
    <w:rsid w:val="0013582C"/>
    <w:rsid w:val="001365E1"/>
    <w:rsid w:val="0013661C"/>
    <w:rsid w:val="0013692E"/>
    <w:rsid w:val="00137A54"/>
    <w:rsid w:val="00137BA4"/>
    <w:rsid w:val="00137D9C"/>
    <w:rsid w:val="00141798"/>
    <w:rsid w:val="00141B29"/>
    <w:rsid w:val="00141CAB"/>
    <w:rsid w:val="0014257C"/>
    <w:rsid w:val="001425C5"/>
    <w:rsid w:val="00142F36"/>
    <w:rsid w:val="001430C0"/>
    <w:rsid w:val="001434C3"/>
    <w:rsid w:val="001437E7"/>
    <w:rsid w:val="00143D88"/>
    <w:rsid w:val="001440F0"/>
    <w:rsid w:val="00144732"/>
    <w:rsid w:val="00145C23"/>
    <w:rsid w:val="00145C97"/>
    <w:rsid w:val="00145F71"/>
    <w:rsid w:val="00146066"/>
    <w:rsid w:val="0014667D"/>
    <w:rsid w:val="001476E2"/>
    <w:rsid w:val="00150462"/>
    <w:rsid w:val="00150F68"/>
    <w:rsid w:val="001515EA"/>
    <w:rsid w:val="001523B4"/>
    <w:rsid w:val="00152BF1"/>
    <w:rsid w:val="00153C2D"/>
    <w:rsid w:val="00153ECF"/>
    <w:rsid w:val="00153F13"/>
    <w:rsid w:val="0015413C"/>
    <w:rsid w:val="0015454D"/>
    <w:rsid w:val="001545EA"/>
    <w:rsid w:val="0015523A"/>
    <w:rsid w:val="00155327"/>
    <w:rsid w:val="001556C6"/>
    <w:rsid w:val="001556E7"/>
    <w:rsid w:val="00155B68"/>
    <w:rsid w:val="00155C34"/>
    <w:rsid w:val="00155DC0"/>
    <w:rsid w:val="00155EF3"/>
    <w:rsid w:val="00156311"/>
    <w:rsid w:val="0015655F"/>
    <w:rsid w:val="0015769B"/>
    <w:rsid w:val="001576B0"/>
    <w:rsid w:val="00157712"/>
    <w:rsid w:val="00157DA2"/>
    <w:rsid w:val="00160754"/>
    <w:rsid w:val="00160A7D"/>
    <w:rsid w:val="00160B6D"/>
    <w:rsid w:val="00160CAB"/>
    <w:rsid w:val="00162888"/>
    <w:rsid w:val="00162A3D"/>
    <w:rsid w:val="00162A56"/>
    <w:rsid w:val="00162A92"/>
    <w:rsid w:val="001630C0"/>
    <w:rsid w:val="00163206"/>
    <w:rsid w:val="0016370E"/>
    <w:rsid w:val="001638ED"/>
    <w:rsid w:val="001644D7"/>
    <w:rsid w:val="00165651"/>
    <w:rsid w:val="001657AB"/>
    <w:rsid w:val="00165953"/>
    <w:rsid w:val="0016597F"/>
    <w:rsid w:val="001660EA"/>
    <w:rsid w:val="00166481"/>
    <w:rsid w:val="00167212"/>
    <w:rsid w:val="0016785D"/>
    <w:rsid w:val="001678F7"/>
    <w:rsid w:val="0016793F"/>
    <w:rsid w:val="00167A8B"/>
    <w:rsid w:val="0017019F"/>
    <w:rsid w:val="001702F1"/>
    <w:rsid w:val="00170458"/>
    <w:rsid w:val="001705B3"/>
    <w:rsid w:val="00170851"/>
    <w:rsid w:val="001711FB"/>
    <w:rsid w:val="00171AE8"/>
    <w:rsid w:val="00171E34"/>
    <w:rsid w:val="00171EE5"/>
    <w:rsid w:val="0017259A"/>
    <w:rsid w:val="00172B12"/>
    <w:rsid w:val="001732A3"/>
    <w:rsid w:val="001735C6"/>
    <w:rsid w:val="0017367E"/>
    <w:rsid w:val="001739B3"/>
    <w:rsid w:val="00174008"/>
    <w:rsid w:val="00174E52"/>
    <w:rsid w:val="001750F1"/>
    <w:rsid w:val="001751CE"/>
    <w:rsid w:val="00175537"/>
    <w:rsid w:val="00176E77"/>
    <w:rsid w:val="001770EC"/>
    <w:rsid w:val="00177FD8"/>
    <w:rsid w:val="00180597"/>
    <w:rsid w:val="001816BB"/>
    <w:rsid w:val="00182468"/>
    <w:rsid w:val="0018299D"/>
    <w:rsid w:val="0018319F"/>
    <w:rsid w:val="001835B2"/>
    <w:rsid w:val="00183744"/>
    <w:rsid w:val="00184055"/>
    <w:rsid w:val="00184411"/>
    <w:rsid w:val="00184981"/>
    <w:rsid w:val="0018565C"/>
    <w:rsid w:val="00187743"/>
    <w:rsid w:val="00187F88"/>
    <w:rsid w:val="00190404"/>
    <w:rsid w:val="00190D17"/>
    <w:rsid w:val="00191104"/>
    <w:rsid w:val="00191B72"/>
    <w:rsid w:val="00192688"/>
    <w:rsid w:val="00192845"/>
    <w:rsid w:val="00192B1F"/>
    <w:rsid w:val="00192FA2"/>
    <w:rsid w:val="001930AC"/>
    <w:rsid w:val="0019333A"/>
    <w:rsid w:val="0019386E"/>
    <w:rsid w:val="00193DAA"/>
    <w:rsid w:val="00193ED3"/>
    <w:rsid w:val="001948F1"/>
    <w:rsid w:val="00194F0A"/>
    <w:rsid w:val="0019539A"/>
    <w:rsid w:val="001955A5"/>
    <w:rsid w:val="0019583B"/>
    <w:rsid w:val="00195A52"/>
    <w:rsid w:val="00195D9E"/>
    <w:rsid w:val="00196158"/>
    <w:rsid w:val="001962F4"/>
    <w:rsid w:val="0019642A"/>
    <w:rsid w:val="00197A48"/>
    <w:rsid w:val="00197C37"/>
    <w:rsid w:val="001A021D"/>
    <w:rsid w:val="001A0435"/>
    <w:rsid w:val="001A0467"/>
    <w:rsid w:val="001A04B4"/>
    <w:rsid w:val="001A0BE2"/>
    <w:rsid w:val="001A1078"/>
    <w:rsid w:val="001A16D6"/>
    <w:rsid w:val="001A1C28"/>
    <w:rsid w:val="001A1E00"/>
    <w:rsid w:val="001A2DCD"/>
    <w:rsid w:val="001A4A4B"/>
    <w:rsid w:val="001A4F47"/>
    <w:rsid w:val="001A5123"/>
    <w:rsid w:val="001A589C"/>
    <w:rsid w:val="001A5DBA"/>
    <w:rsid w:val="001A656E"/>
    <w:rsid w:val="001A6B0A"/>
    <w:rsid w:val="001A6DB0"/>
    <w:rsid w:val="001A740C"/>
    <w:rsid w:val="001B05BD"/>
    <w:rsid w:val="001B13F4"/>
    <w:rsid w:val="001B141F"/>
    <w:rsid w:val="001B1B6C"/>
    <w:rsid w:val="001B1CE8"/>
    <w:rsid w:val="001B247B"/>
    <w:rsid w:val="001B2C52"/>
    <w:rsid w:val="001B2E40"/>
    <w:rsid w:val="001B3619"/>
    <w:rsid w:val="001B3758"/>
    <w:rsid w:val="001B422B"/>
    <w:rsid w:val="001B42D0"/>
    <w:rsid w:val="001B487F"/>
    <w:rsid w:val="001B5413"/>
    <w:rsid w:val="001B5F2B"/>
    <w:rsid w:val="001B6271"/>
    <w:rsid w:val="001B6F06"/>
    <w:rsid w:val="001B6F89"/>
    <w:rsid w:val="001B7079"/>
    <w:rsid w:val="001B77CF"/>
    <w:rsid w:val="001B7B28"/>
    <w:rsid w:val="001B7D1C"/>
    <w:rsid w:val="001B7E92"/>
    <w:rsid w:val="001C13B4"/>
    <w:rsid w:val="001C1433"/>
    <w:rsid w:val="001C1485"/>
    <w:rsid w:val="001C149E"/>
    <w:rsid w:val="001C1B8D"/>
    <w:rsid w:val="001C1DFE"/>
    <w:rsid w:val="001C22D1"/>
    <w:rsid w:val="001C23B8"/>
    <w:rsid w:val="001C25F0"/>
    <w:rsid w:val="001C2B79"/>
    <w:rsid w:val="001C30B3"/>
    <w:rsid w:val="001C3805"/>
    <w:rsid w:val="001C3A4C"/>
    <w:rsid w:val="001C3CB9"/>
    <w:rsid w:val="001C3EE4"/>
    <w:rsid w:val="001C4083"/>
    <w:rsid w:val="001C40D2"/>
    <w:rsid w:val="001C4C5F"/>
    <w:rsid w:val="001C504E"/>
    <w:rsid w:val="001C5091"/>
    <w:rsid w:val="001C539F"/>
    <w:rsid w:val="001C55C6"/>
    <w:rsid w:val="001C70A3"/>
    <w:rsid w:val="001C7ECC"/>
    <w:rsid w:val="001D0996"/>
    <w:rsid w:val="001D0C8E"/>
    <w:rsid w:val="001D11E3"/>
    <w:rsid w:val="001D1973"/>
    <w:rsid w:val="001D1A46"/>
    <w:rsid w:val="001D1CB0"/>
    <w:rsid w:val="001D22D9"/>
    <w:rsid w:val="001D2781"/>
    <w:rsid w:val="001D2F94"/>
    <w:rsid w:val="001D3DB7"/>
    <w:rsid w:val="001D44E0"/>
    <w:rsid w:val="001D5107"/>
    <w:rsid w:val="001D6406"/>
    <w:rsid w:val="001D699D"/>
    <w:rsid w:val="001D6C2C"/>
    <w:rsid w:val="001D6F6A"/>
    <w:rsid w:val="001D7147"/>
    <w:rsid w:val="001D7608"/>
    <w:rsid w:val="001D7A7A"/>
    <w:rsid w:val="001D7C9D"/>
    <w:rsid w:val="001D7D31"/>
    <w:rsid w:val="001E0312"/>
    <w:rsid w:val="001E0DCA"/>
    <w:rsid w:val="001E0EC2"/>
    <w:rsid w:val="001E1913"/>
    <w:rsid w:val="001E1B02"/>
    <w:rsid w:val="001E21D7"/>
    <w:rsid w:val="001E30DA"/>
    <w:rsid w:val="001E3353"/>
    <w:rsid w:val="001E3871"/>
    <w:rsid w:val="001E3E48"/>
    <w:rsid w:val="001E497F"/>
    <w:rsid w:val="001E4A03"/>
    <w:rsid w:val="001E4B02"/>
    <w:rsid w:val="001E5933"/>
    <w:rsid w:val="001E5E9C"/>
    <w:rsid w:val="001E5FD4"/>
    <w:rsid w:val="001E62A4"/>
    <w:rsid w:val="001E6A53"/>
    <w:rsid w:val="001E7557"/>
    <w:rsid w:val="001E79C2"/>
    <w:rsid w:val="001F081D"/>
    <w:rsid w:val="001F11F8"/>
    <w:rsid w:val="001F1679"/>
    <w:rsid w:val="001F22C4"/>
    <w:rsid w:val="001F32A1"/>
    <w:rsid w:val="001F3951"/>
    <w:rsid w:val="001F3AAE"/>
    <w:rsid w:val="001F4782"/>
    <w:rsid w:val="001F4C4D"/>
    <w:rsid w:val="001F5541"/>
    <w:rsid w:val="001F59E0"/>
    <w:rsid w:val="001F665B"/>
    <w:rsid w:val="001F6971"/>
    <w:rsid w:val="001F6D3D"/>
    <w:rsid w:val="001F7916"/>
    <w:rsid w:val="00200965"/>
    <w:rsid w:val="00200A11"/>
    <w:rsid w:val="00200C56"/>
    <w:rsid w:val="00200D9E"/>
    <w:rsid w:val="002015B5"/>
    <w:rsid w:val="002019BD"/>
    <w:rsid w:val="002019D4"/>
    <w:rsid w:val="00201AA5"/>
    <w:rsid w:val="00202004"/>
    <w:rsid w:val="002020D7"/>
    <w:rsid w:val="0020257E"/>
    <w:rsid w:val="00202ACC"/>
    <w:rsid w:val="0020351B"/>
    <w:rsid w:val="0020370F"/>
    <w:rsid w:val="0020419A"/>
    <w:rsid w:val="00204A0A"/>
    <w:rsid w:val="00204C6E"/>
    <w:rsid w:val="002052FE"/>
    <w:rsid w:val="00205502"/>
    <w:rsid w:val="00206043"/>
    <w:rsid w:val="00206942"/>
    <w:rsid w:val="00206F45"/>
    <w:rsid w:val="002070E5"/>
    <w:rsid w:val="002071AF"/>
    <w:rsid w:val="00207734"/>
    <w:rsid w:val="00207977"/>
    <w:rsid w:val="00207C63"/>
    <w:rsid w:val="00210B58"/>
    <w:rsid w:val="00211837"/>
    <w:rsid w:val="002119C5"/>
    <w:rsid w:val="002125B5"/>
    <w:rsid w:val="00212D91"/>
    <w:rsid w:val="00213E3A"/>
    <w:rsid w:val="00213ECF"/>
    <w:rsid w:val="002145B5"/>
    <w:rsid w:val="00214BB2"/>
    <w:rsid w:val="002152FC"/>
    <w:rsid w:val="00215F9A"/>
    <w:rsid w:val="0021630E"/>
    <w:rsid w:val="002163DB"/>
    <w:rsid w:val="002171BA"/>
    <w:rsid w:val="00217A5B"/>
    <w:rsid w:val="00217B72"/>
    <w:rsid w:val="00217D57"/>
    <w:rsid w:val="00220201"/>
    <w:rsid w:val="00220202"/>
    <w:rsid w:val="002205B2"/>
    <w:rsid w:val="002207D3"/>
    <w:rsid w:val="00220B4E"/>
    <w:rsid w:val="002211FF"/>
    <w:rsid w:val="002219DA"/>
    <w:rsid w:val="00222A0A"/>
    <w:rsid w:val="00222EAE"/>
    <w:rsid w:val="0022304D"/>
    <w:rsid w:val="00223759"/>
    <w:rsid w:val="00223C07"/>
    <w:rsid w:val="00223E52"/>
    <w:rsid w:val="002243B6"/>
    <w:rsid w:val="0022453D"/>
    <w:rsid w:val="00224B43"/>
    <w:rsid w:val="0022625D"/>
    <w:rsid w:val="00226C4E"/>
    <w:rsid w:val="00226C50"/>
    <w:rsid w:val="0022712D"/>
    <w:rsid w:val="00227ED4"/>
    <w:rsid w:val="0023051C"/>
    <w:rsid w:val="00230C79"/>
    <w:rsid w:val="00231781"/>
    <w:rsid w:val="002317B2"/>
    <w:rsid w:val="00231A41"/>
    <w:rsid w:val="00231FFD"/>
    <w:rsid w:val="002322DD"/>
    <w:rsid w:val="002326FA"/>
    <w:rsid w:val="002329C4"/>
    <w:rsid w:val="00232A45"/>
    <w:rsid w:val="0023325F"/>
    <w:rsid w:val="002337B4"/>
    <w:rsid w:val="002337F9"/>
    <w:rsid w:val="002346B4"/>
    <w:rsid w:val="00234C28"/>
    <w:rsid w:val="0023509F"/>
    <w:rsid w:val="0023578C"/>
    <w:rsid w:val="00235C60"/>
    <w:rsid w:val="00235CD2"/>
    <w:rsid w:val="00235E10"/>
    <w:rsid w:val="00236735"/>
    <w:rsid w:val="0023681C"/>
    <w:rsid w:val="00236828"/>
    <w:rsid w:val="00236FE6"/>
    <w:rsid w:val="00237304"/>
    <w:rsid w:val="0023799C"/>
    <w:rsid w:val="002403AC"/>
    <w:rsid w:val="00240659"/>
    <w:rsid w:val="002407B0"/>
    <w:rsid w:val="00240AFE"/>
    <w:rsid w:val="00240DB6"/>
    <w:rsid w:val="0024102B"/>
    <w:rsid w:val="00241AA1"/>
    <w:rsid w:val="00241BAE"/>
    <w:rsid w:val="00241FAE"/>
    <w:rsid w:val="00242A94"/>
    <w:rsid w:val="00242B10"/>
    <w:rsid w:val="00242CC5"/>
    <w:rsid w:val="00242E42"/>
    <w:rsid w:val="00242EFE"/>
    <w:rsid w:val="00243100"/>
    <w:rsid w:val="002435FE"/>
    <w:rsid w:val="00243B55"/>
    <w:rsid w:val="00243B97"/>
    <w:rsid w:val="00243FED"/>
    <w:rsid w:val="002442E9"/>
    <w:rsid w:val="00244A26"/>
    <w:rsid w:val="00245748"/>
    <w:rsid w:val="00246235"/>
    <w:rsid w:val="002464A7"/>
    <w:rsid w:val="00246B10"/>
    <w:rsid w:val="002476B8"/>
    <w:rsid w:val="0025042B"/>
    <w:rsid w:val="00250D02"/>
    <w:rsid w:val="0025242A"/>
    <w:rsid w:val="00253881"/>
    <w:rsid w:val="0025393C"/>
    <w:rsid w:val="00255783"/>
    <w:rsid w:val="002558DF"/>
    <w:rsid w:val="00255B7F"/>
    <w:rsid w:val="0025633E"/>
    <w:rsid w:val="00256932"/>
    <w:rsid w:val="002571E6"/>
    <w:rsid w:val="002601FE"/>
    <w:rsid w:val="0026082C"/>
    <w:rsid w:val="002611A1"/>
    <w:rsid w:val="002619BF"/>
    <w:rsid w:val="00261E72"/>
    <w:rsid w:val="0026233A"/>
    <w:rsid w:val="00262417"/>
    <w:rsid w:val="00262517"/>
    <w:rsid w:val="00262C22"/>
    <w:rsid w:val="00263A89"/>
    <w:rsid w:val="00263B00"/>
    <w:rsid w:val="00263D61"/>
    <w:rsid w:val="002648E4"/>
    <w:rsid w:val="00264B21"/>
    <w:rsid w:val="00266293"/>
    <w:rsid w:val="00266561"/>
    <w:rsid w:val="00266603"/>
    <w:rsid w:val="00266977"/>
    <w:rsid w:val="00266CCD"/>
    <w:rsid w:val="002671E9"/>
    <w:rsid w:val="002675F2"/>
    <w:rsid w:val="0026761A"/>
    <w:rsid w:val="00267B09"/>
    <w:rsid w:val="00267D2C"/>
    <w:rsid w:val="002701BC"/>
    <w:rsid w:val="0027054A"/>
    <w:rsid w:val="00270568"/>
    <w:rsid w:val="00271454"/>
    <w:rsid w:val="002721F3"/>
    <w:rsid w:val="002723A0"/>
    <w:rsid w:val="00273045"/>
    <w:rsid w:val="002738B9"/>
    <w:rsid w:val="002739D7"/>
    <w:rsid w:val="00273F01"/>
    <w:rsid w:val="00274668"/>
    <w:rsid w:val="00274747"/>
    <w:rsid w:val="00274AA1"/>
    <w:rsid w:val="00275D52"/>
    <w:rsid w:val="00275FB4"/>
    <w:rsid w:val="002768FF"/>
    <w:rsid w:val="00277A34"/>
    <w:rsid w:val="0028074F"/>
    <w:rsid w:val="00281B33"/>
    <w:rsid w:val="00281E3E"/>
    <w:rsid w:val="00281E7B"/>
    <w:rsid w:val="002821D2"/>
    <w:rsid w:val="00282605"/>
    <w:rsid w:val="00282C86"/>
    <w:rsid w:val="00282D4B"/>
    <w:rsid w:val="0028328D"/>
    <w:rsid w:val="0028329F"/>
    <w:rsid w:val="0028379C"/>
    <w:rsid w:val="00283E2B"/>
    <w:rsid w:val="0028472E"/>
    <w:rsid w:val="002847BC"/>
    <w:rsid w:val="00284A3C"/>
    <w:rsid w:val="00284BFD"/>
    <w:rsid w:val="00284E7A"/>
    <w:rsid w:val="002853BD"/>
    <w:rsid w:val="00285B92"/>
    <w:rsid w:val="00286004"/>
    <w:rsid w:val="00286976"/>
    <w:rsid w:val="00286C6A"/>
    <w:rsid w:val="002876E4"/>
    <w:rsid w:val="00287A84"/>
    <w:rsid w:val="0029001F"/>
    <w:rsid w:val="002904D0"/>
    <w:rsid w:val="00290A47"/>
    <w:rsid w:val="00290A4C"/>
    <w:rsid w:val="00290C94"/>
    <w:rsid w:val="00290F97"/>
    <w:rsid w:val="00291476"/>
    <w:rsid w:val="002914CB"/>
    <w:rsid w:val="0029217C"/>
    <w:rsid w:val="00292AA5"/>
    <w:rsid w:val="00292BA8"/>
    <w:rsid w:val="00292ED7"/>
    <w:rsid w:val="0029375B"/>
    <w:rsid w:val="00294251"/>
    <w:rsid w:val="00294B2F"/>
    <w:rsid w:val="00294D49"/>
    <w:rsid w:val="0029632C"/>
    <w:rsid w:val="002968EF"/>
    <w:rsid w:val="00297528"/>
    <w:rsid w:val="002979BA"/>
    <w:rsid w:val="002A08A0"/>
    <w:rsid w:val="002A0A01"/>
    <w:rsid w:val="002A0BAB"/>
    <w:rsid w:val="002A0C54"/>
    <w:rsid w:val="002A0E6C"/>
    <w:rsid w:val="002A1654"/>
    <w:rsid w:val="002A234B"/>
    <w:rsid w:val="002A35D6"/>
    <w:rsid w:val="002A3AF8"/>
    <w:rsid w:val="002A41B7"/>
    <w:rsid w:val="002A4872"/>
    <w:rsid w:val="002A4C26"/>
    <w:rsid w:val="002A6E53"/>
    <w:rsid w:val="002A70F6"/>
    <w:rsid w:val="002A727F"/>
    <w:rsid w:val="002A7722"/>
    <w:rsid w:val="002B1106"/>
    <w:rsid w:val="002B14D9"/>
    <w:rsid w:val="002B22F5"/>
    <w:rsid w:val="002B2781"/>
    <w:rsid w:val="002B2845"/>
    <w:rsid w:val="002B3B32"/>
    <w:rsid w:val="002B4386"/>
    <w:rsid w:val="002B4C3D"/>
    <w:rsid w:val="002B5AB6"/>
    <w:rsid w:val="002B5D78"/>
    <w:rsid w:val="002B6438"/>
    <w:rsid w:val="002B68DF"/>
    <w:rsid w:val="002B71D9"/>
    <w:rsid w:val="002B76AB"/>
    <w:rsid w:val="002C0037"/>
    <w:rsid w:val="002C081C"/>
    <w:rsid w:val="002C149A"/>
    <w:rsid w:val="002C18AD"/>
    <w:rsid w:val="002C198B"/>
    <w:rsid w:val="002C1E71"/>
    <w:rsid w:val="002C2005"/>
    <w:rsid w:val="002C3151"/>
    <w:rsid w:val="002C3244"/>
    <w:rsid w:val="002C361B"/>
    <w:rsid w:val="002C36FF"/>
    <w:rsid w:val="002C3874"/>
    <w:rsid w:val="002C3D80"/>
    <w:rsid w:val="002C4103"/>
    <w:rsid w:val="002C493C"/>
    <w:rsid w:val="002C49B9"/>
    <w:rsid w:val="002C4E1F"/>
    <w:rsid w:val="002C5041"/>
    <w:rsid w:val="002C5510"/>
    <w:rsid w:val="002C5736"/>
    <w:rsid w:val="002C618B"/>
    <w:rsid w:val="002C6428"/>
    <w:rsid w:val="002C6923"/>
    <w:rsid w:val="002C70FA"/>
    <w:rsid w:val="002C7404"/>
    <w:rsid w:val="002C753A"/>
    <w:rsid w:val="002C75F5"/>
    <w:rsid w:val="002C789A"/>
    <w:rsid w:val="002D016E"/>
    <w:rsid w:val="002D01A7"/>
    <w:rsid w:val="002D094C"/>
    <w:rsid w:val="002D0BAE"/>
    <w:rsid w:val="002D0C7F"/>
    <w:rsid w:val="002D1AE7"/>
    <w:rsid w:val="002D26E4"/>
    <w:rsid w:val="002D2961"/>
    <w:rsid w:val="002D2F8F"/>
    <w:rsid w:val="002D3740"/>
    <w:rsid w:val="002D3A97"/>
    <w:rsid w:val="002D4327"/>
    <w:rsid w:val="002D44D7"/>
    <w:rsid w:val="002D5E2B"/>
    <w:rsid w:val="002D712E"/>
    <w:rsid w:val="002D727F"/>
    <w:rsid w:val="002D72FC"/>
    <w:rsid w:val="002D739F"/>
    <w:rsid w:val="002E02D6"/>
    <w:rsid w:val="002E02EA"/>
    <w:rsid w:val="002E0CD8"/>
    <w:rsid w:val="002E109F"/>
    <w:rsid w:val="002E1247"/>
    <w:rsid w:val="002E17F2"/>
    <w:rsid w:val="002E1AFF"/>
    <w:rsid w:val="002E249E"/>
    <w:rsid w:val="002E3116"/>
    <w:rsid w:val="002E3558"/>
    <w:rsid w:val="002E3578"/>
    <w:rsid w:val="002E37CF"/>
    <w:rsid w:val="002E3F1C"/>
    <w:rsid w:val="002E453D"/>
    <w:rsid w:val="002E46A6"/>
    <w:rsid w:val="002E4873"/>
    <w:rsid w:val="002E4A3E"/>
    <w:rsid w:val="002E4C73"/>
    <w:rsid w:val="002E5469"/>
    <w:rsid w:val="002E5867"/>
    <w:rsid w:val="002E5E74"/>
    <w:rsid w:val="002E65FD"/>
    <w:rsid w:val="002E6F13"/>
    <w:rsid w:val="002E73E5"/>
    <w:rsid w:val="002F0602"/>
    <w:rsid w:val="002F154A"/>
    <w:rsid w:val="002F15D7"/>
    <w:rsid w:val="002F361A"/>
    <w:rsid w:val="002F3B91"/>
    <w:rsid w:val="002F448A"/>
    <w:rsid w:val="002F4721"/>
    <w:rsid w:val="002F48DB"/>
    <w:rsid w:val="002F515D"/>
    <w:rsid w:val="002F596D"/>
    <w:rsid w:val="002F7A9C"/>
    <w:rsid w:val="002F7D29"/>
    <w:rsid w:val="00300ABE"/>
    <w:rsid w:val="00300ADA"/>
    <w:rsid w:val="003010BE"/>
    <w:rsid w:val="00301A75"/>
    <w:rsid w:val="0030325C"/>
    <w:rsid w:val="003034DC"/>
    <w:rsid w:val="00304B62"/>
    <w:rsid w:val="00305A99"/>
    <w:rsid w:val="00305F69"/>
    <w:rsid w:val="00306190"/>
    <w:rsid w:val="003062E5"/>
    <w:rsid w:val="00306818"/>
    <w:rsid w:val="00306EEB"/>
    <w:rsid w:val="003072D7"/>
    <w:rsid w:val="00310177"/>
    <w:rsid w:val="003106D6"/>
    <w:rsid w:val="00310700"/>
    <w:rsid w:val="00310A19"/>
    <w:rsid w:val="003113BE"/>
    <w:rsid w:val="0031280C"/>
    <w:rsid w:val="00312EF5"/>
    <w:rsid w:val="00312F8D"/>
    <w:rsid w:val="00313760"/>
    <w:rsid w:val="00314578"/>
    <w:rsid w:val="0031469B"/>
    <w:rsid w:val="00314926"/>
    <w:rsid w:val="003151F7"/>
    <w:rsid w:val="0031525D"/>
    <w:rsid w:val="003157C3"/>
    <w:rsid w:val="0031586C"/>
    <w:rsid w:val="00315904"/>
    <w:rsid w:val="00315E7D"/>
    <w:rsid w:val="0031629D"/>
    <w:rsid w:val="00316F26"/>
    <w:rsid w:val="003176F7"/>
    <w:rsid w:val="00317DCD"/>
    <w:rsid w:val="0032079D"/>
    <w:rsid w:val="00320D33"/>
    <w:rsid w:val="0032120E"/>
    <w:rsid w:val="0032130B"/>
    <w:rsid w:val="003223F0"/>
    <w:rsid w:val="00322412"/>
    <w:rsid w:val="00322CCE"/>
    <w:rsid w:val="00322E67"/>
    <w:rsid w:val="0032301C"/>
    <w:rsid w:val="0032303E"/>
    <w:rsid w:val="0032404E"/>
    <w:rsid w:val="0032481C"/>
    <w:rsid w:val="00324C87"/>
    <w:rsid w:val="00324CC4"/>
    <w:rsid w:val="00324EB9"/>
    <w:rsid w:val="00324F4A"/>
    <w:rsid w:val="00325CFA"/>
    <w:rsid w:val="00325DD5"/>
    <w:rsid w:val="00326642"/>
    <w:rsid w:val="00326763"/>
    <w:rsid w:val="00326A67"/>
    <w:rsid w:val="003272C0"/>
    <w:rsid w:val="00327D36"/>
    <w:rsid w:val="003305FE"/>
    <w:rsid w:val="00331433"/>
    <w:rsid w:val="0033172A"/>
    <w:rsid w:val="00331897"/>
    <w:rsid w:val="00331B52"/>
    <w:rsid w:val="00331C17"/>
    <w:rsid w:val="00331C8B"/>
    <w:rsid w:val="00332060"/>
    <w:rsid w:val="00332265"/>
    <w:rsid w:val="0033286A"/>
    <w:rsid w:val="00332940"/>
    <w:rsid w:val="00332B00"/>
    <w:rsid w:val="003332E1"/>
    <w:rsid w:val="003334B3"/>
    <w:rsid w:val="00335BF6"/>
    <w:rsid w:val="00336C17"/>
    <w:rsid w:val="00337527"/>
    <w:rsid w:val="00337B0D"/>
    <w:rsid w:val="00337D2B"/>
    <w:rsid w:val="00337E71"/>
    <w:rsid w:val="00340058"/>
    <w:rsid w:val="003406A1"/>
    <w:rsid w:val="00340851"/>
    <w:rsid w:val="00340D4B"/>
    <w:rsid w:val="00341A7D"/>
    <w:rsid w:val="00341B5B"/>
    <w:rsid w:val="00341B9D"/>
    <w:rsid w:val="0034294F"/>
    <w:rsid w:val="00342DFB"/>
    <w:rsid w:val="00342F31"/>
    <w:rsid w:val="0034396A"/>
    <w:rsid w:val="00344898"/>
    <w:rsid w:val="00345C39"/>
    <w:rsid w:val="00345EA2"/>
    <w:rsid w:val="00346B11"/>
    <w:rsid w:val="003505CD"/>
    <w:rsid w:val="0035089B"/>
    <w:rsid w:val="00350B4F"/>
    <w:rsid w:val="00350CD2"/>
    <w:rsid w:val="00351D78"/>
    <w:rsid w:val="0035294E"/>
    <w:rsid w:val="00352C3F"/>
    <w:rsid w:val="00352CD6"/>
    <w:rsid w:val="00353BFC"/>
    <w:rsid w:val="00353FB3"/>
    <w:rsid w:val="0035433F"/>
    <w:rsid w:val="0035440A"/>
    <w:rsid w:val="003557D4"/>
    <w:rsid w:val="003568E3"/>
    <w:rsid w:val="00356EC0"/>
    <w:rsid w:val="00357233"/>
    <w:rsid w:val="0035726C"/>
    <w:rsid w:val="0035735B"/>
    <w:rsid w:val="003602E0"/>
    <w:rsid w:val="0036186A"/>
    <w:rsid w:val="003618B2"/>
    <w:rsid w:val="00362854"/>
    <w:rsid w:val="0036414A"/>
    <w:rsid w:val="00364AF0"/>
    <w:rsid w:val="003653E3"/>
    <w:rsid w:val="003658AF"/>
    <w:rsid w:val="003664AD"/>
    <w:rsid w:val="0036691E"/>
    <w:rsid w:val="00366BC9"/>
    <w:rsid w:val="0036703B"/>
    <w:rsid w:val="003671E8"/>
    <w:rsid w:val="0036755E"/>
    <w:rsid w:val="0037036E"/>
    <w:rsid w:val="003704DE"/>
    <w:rsid w:val="00370F3F"/>
    <w:rsid w:val="00371269"/>
    <w:rsid w:val="00371687"/>
    <w:rsid w:val="00371B9E"/>
    <w:rsid w:val="003721CE"/>
    <w:rsid w:val="003723F0"/>
    <w:rsid w:val="003727DE"/>
    <w:rsid w:val="00372E3C"/>
    <w:rsid w:val="00372F11"/>
    <w:rsid w:val="00373182"/>
    <w:rsid w:val="003733D5"/>
    <w:rsid w:val="003737AF"/>
    <w:rsid w:val="0037394B"/>
    <w:rsid w:val="00373D6C"/>
    <w:rsid w:val="00373E71"/>
    <w:rsid w:val="0037419B"/>
    <w:rsid w:val="003745E5"/>
    <w:rsid w:val="0037473E"/>
    <w:rsid w:val="003748E8"/>
    <w:rsid w:val="00375D65"/>
    <w:rsid w:val="00376828"/>
    <w:rsid w:val="00377092"/>
    <w:rsid w:val="00377473"/>
    <w:rsid w:val="00377B94"/>
    <w:rsid w:val="00377D29"/>
    <w:rsid w:val="00380164"/>
    <w:rsid w:val="00380480"/>
    <w:rsid w:val="0038087B"/>
    <w:rsid w:val="00380C75"/>
    <w:rsid w:val="00380F6F"/>
    <w:rsid w:val="00380FF0"/>
    <w:rsid w:val="0038197A"/>
    <w:rsid w:val="00382029"/>
    <w:rsid w:val="00382051"/>
    <w:rsid w:val="003822AC"/>
    <w:rsid w:val="0038287A"/>
    <w:rsid w:val="0038297C"/>
    <w:rsid w:val="00382C01"/>
    <w:rsid w:val="0038370F"/>
    <w:rsid w:val="003840CD"/>
    <w:rsid w:val="0038428E"/>
    <w:rsid w:val="00384E6F"/>
    <w:rsid w:val="0038680A"/>
    <w:rsid w:val="003869D5"/>
    <w:rsid w:val="0038721A"/>
    <w:rsid w:val="003877D6"/>
    <w:rsid w:val="0039115B"/>
    <w:rsid w:val="00391329"/>
    <w:rsid w:val="00391BBA"/>
    <w:rsid w:val="00391EA4"/>
    <w:rsid w:val="0039335A"/>
    <w:rsid w:val="0039338D"/>
    <w:rsid w:val="00393517"/>
    <w:rsid w:val="00393A73"/>
    <w:rsid w:val="00393D91"/>
    <w:rsid w:val="00394120"/>
    <w:rsid w:val="00394164"/>
    <w:rsid w:val="00394EA1"/>
    <w:rsid w:val="00395DBF"/>
    <w:rsid w:val="00395E3D"/>
    <w:rsid w:val="00395F2F"/>
    <w:rsid w:val="003960E1"/>
    <w:rsid w:val="003967EC"/>
    <w:rsid w:val="00397978"/>
    <w:rsid w:val="00397B00"/>
    <w:rsid w:val="00397C05"/>
    <w:rsid w:val="003A0230"/>
    <w:rsid w:val="003A07CA"/>
    <w:rsid w:val="003A1CD3"/>
    <w:rsid w:val="003A1E24"/>
    <w:rsid w:val="003A1EB2"/>
    <w:rsid w:val="003A2059"/>
    <w:rsid w:val="003A280C"/>
    <w:rsid w:val="003A3119"/>
    <w:rsid w:val="003A34D2"/>
    <w:rsid w:val="003A3896"/>
    <w:rsid w:val="003A3C93"/>
    <w:rsid w:val="003A3EC0"/>
    <w:rsid w:val="003A4303"/>
    <w:rsid w:val="003A5562"/>
    <w:rsid w:val="003A598E"/>
    <w:rsid w:val="003A63DC"/>
    <w:rsid w:val="003A6984"/>
    <w:rsid w:val="003A6DB3"/>
    <w:rsid w:val="003A7904"/>
    <w:rsid w:val="003A7E93"/>
    <w:rsid w:val="003B1066"/>
    <w:rsid w:val="003B20B6"/>
    <w:rsid w:val="003B2238"/>
    <w:rsid w:val="003B37B9"/>
    <w:rsid w:val="003B3BEE"/>
    <w:rsid w:val="003B3F30"/>
    <w:rsid w:val="003B4834"/>
    <w:rsid w:val="003B48D0"/>
    <w:rsid w:val="003B48FC"/>
    <w:rsid w:val="003B4DE2"/>
    <w:rsid w:val="003B51D7"/>
    <w:rsid w:val="003B54BD"/>
    <w:rsid w:val="003B565D"/>
    <w:rsid w:val="003B5C7B"/>
    <w:rsid w:val="003B5E68"/>
    <w:rsid w:val="003B624C"/>
    <w:rsid w:val="003B6774"/>
    <w:rsid w:val="003B6C9D"/>
    <w:rsid w:val="003B72F9"/>
    <w:rsid w:val="003C067B"/>
    <w:rsid w:val="003C0CD0"/>
    <w:rsid w:val="003C11CB"/>
    <w:rsid w:val="003C1B2B"/>
    <w:rsid w:val="003C20F2"/>
    <w:rsid w:val="003C2683"/>
    <w:rsid w:val="003C2FF1"/>
    <w:rsid w:val="003C32C7"/>
    <w:rsid w:val="003C3872"/>
    <w:rsid w:val="003C38BE"/>
    <w:rsid w:val="003C3AC1"/>
    <w:rsid w:val="003C4958"/>
    <w:rsid w:val="003C4F38"/>
    <w:rsid w:val="003C4F96"/>
    <w:rsid w:val="003C684A"/>
    <w:rsid w:val="003D02C5"/>
    <w:rsid w:val="003D0912"/>
    <w:rsid w:val="003D0F39"/>
    <w:rsid w:val="003D0FA8"/>
    <w:rsid w:val="003D1481"/>
    <w:rsid w:val="003D180E"/>
    <w:rsid w:val="003D19D0"/>
    <w:rsid w:val="003D2071"/>
    <w:rsid w:val="003D2608"/>
    <w:rsid w:val="003D2846"/>
    <w:rsid w:val="003D28E3"/>
    <w:rsid w:val="003D2B6B"/>
    <w:rsid w:val="003D2F87"/>
    <w:rsid w:val="003D3ADF"/>
    <w:rsid w:val="003D3AEF"/>
    <w:rsid w:val="003D3B01"/>
    <w:rsid w:val="003D4287"/>
    <w:rsid w:val="003D4CF6"/>
    <w:rsid w:val="003D5805"/>
    <w:rsid w:val="003D581E"/>
    <w:rsid w:val="003D5ECF"/>
    <w:rsid w:val="003D6217"/>
    <w:rsid w:val="003D6248"/>
    <w:rsid w:val="003D7356"/>
    <w:rsid w:val="003D7459"/>
    <w:rsid w:val="003E1491"/>
    <w:rsid w:val="003E14F6"/>
    <w:rsid w:val="003E1544"/>
    <w:rsid w:val="003E1826"/>
    <w:rsid w:val="003E1D1A"/>
    <w:rsid w:val="003E1D6C"/>
    <w:rsid w:val="003E212A"/>
    <w:rsid w:val="003E38D9"/>
    <w:rsid w:val="003E3AFE"/>
    <w:rsid w:val="003E3D85"/>
    <w:rsid w:val="003E4CC0"/>
    <w:rsid w:val="003E55E9"/>
    <w:rsid w:val="003E587E"/>
    <w:rsid w:val="003E5A91"/>
    <w:rsid w:val="003E61BF"/>
    <w:rsid w:val="003E61F8"/>
    <w:rsid w:val="003E704D"/>
    <w:rsid w:val="003E77F6"/>
    <w:rsid w:val="003E78BB"/>
    <w:rsid w:val="003F0182"/>
    <w:rsid w:val="003F073A"/>
    <w:rsid w:val="003F0DD6"/>
    <w:rsid w:val="003F0F02"/>
    <w:rsid w:val="003F1306"/>
    <w:rsid w:val="003F15AF"/>
    <w:rsid w:val="003F2702"/>
    <w:rsid w:val="003F30F7"/>
    <w:rsid w:val="003F46B3"/>
    <w:rsid w:val="003F4A3F"/>
    <w:rsid w:val="003F533B"/>
    <w:rsid w:val="003F56E9"/>
    <w:rsid w:val="003F5829"/>
    <w:rsid w:val="003F5BDD"/>
    <w:rsid w:val="003F6522"/>
    <w:rsid w:val="003F724F"/>
    <w:rsid w:val="003F76D7"/>
    <w:rsid w:val="003F7BF3"/>
    <w:rsid w:val="004000FC"/>
    <w:rsid w:val="004004E6"/>
    <w:rsid w:val="0040073C"/>
    <w:rsid w:val="00400A2A"/>
    <w:rsid w:val="00400E68"/>
    <w:rsid w:val="00400E80"/>
    <w:rsid w:val="004014FD"/>
    <w:rsid w:val="00401CB4"/>
    <w:rsid w:val="004021DF"/>
    <w:rsid w:val="004024C1"/>
    <w:rsid w:val="00402722"/>
    <w:rsid w:val="00402848"/>
    <w:rsid w:val="00402E45"/>
    <w:rsid w:val="00403270"/>
    <w:rsid w:val="004033A6"/>
    <w:rsid w:val="00403D56"/>
    <w:rsid w:val="00404B1D"/>
    <w:rsid w:val="00404B35"/>
    <w:rsid w:val="00404B78"/>
    <w:rsid w:val="00404F2E"/>
    <w:rsid w:val="0040534D"/>
    <w:rsid w:val="004061A5"/>
    <w:rsid w:val="004067D9"/>
    <w:rsid w:val="00406E0F"/>
    <w:rsid w:val="0040732C"/>
    <w:rsid w:val="004074AC"/>
    <w:rsid w:val="004074B6"/>
    <w:rsid w:val="004077BA"/>
    <w:rsid w:val="00410557"/>
    <w:rsid w:val="00410B43"/>
    <w:rsid w:val="00411093"/>
    <w:rsid w:val="004110CF"/>
    <w:rsid w:val="00411EA4"/>
    <w:rsid w:val="00411F51"/>
    <w:rsid w:val="00412884"/>
    <w:rsid w:val="00412F3C"/>
    <w:rsid w:val="00413792"/>
    <w:rsid w:val="0041381F"/>
    <w:rsid w:val="00413AAE"/>
    <w:rsid w:val="00413C27"/>
    <w:rsid w:val="00413F21"/>
    <w:rsid w:val="0041459A"/>
    <w:rsid w:val="00414C42"/>
    <w:rsid w:val="00414CAF"/>
    <w:rsid w:val="00415206"/>
    <w:rsid w:val="00415C15"/>
    <w:rsid w:val="00415FB4"/>
    <w:rsid w:val="00416776"/>
    <w:rsid w:val="0041711C"/>
    <w:rsid w:val="0042026D"/>
    <w:rsid w:val="0042180C"/>
    <w:rsid w:val="004219EE"/>
    <w:rsid w:val="00421A02"/>
    <w:rsid w:val="00421A29"/>
    <w:rsid w:val="00422606"/>
    <w:rsid w:val="0042285A"/>
    <w:rsid w:val="00422B38"/>
    <w:rsid w:val="00422B72"/>
    <w:rsid w:val="00423BE8"/>
    <w:rsid w:val="00423F61"/>
    <w:rsid w:val="00424621"/>
    <w:rsid w:val="004246BB"/>
    <w:rsid w:val="00424D75"/>
    <w:rsid w:val="00424E3E"/>
    <w:rsid w:val="004256B5"/>
    <w:rsid w:val="004259C8"/>
    <w:rsid w:val="004265CF"/>
    <w:rsid w:val="00426B86"/>
    <w:rsid w:val="00426B9D"/>
    <w:rsid w:val="00426BB1"/>
    <w:rsid w:val="0042784B"/>
    <w:rsid w:val="00427AC5"/>
    <w:rsid w:val="00430040"/>
    <w:rsid w:val="004300A0"/>
    <w:rsid w:val="00430A84"/>
    <w:rsid w:val="004321AA"/>
    <w:rsid w:val="004324E0"/>
    <w:rsid w:val="004328B4"/>
    <w:rsid w:val="00432A4D"/>
    <w:rsid w:val="00432B17"/>
    <w:rsid w:val="004330B3"/>
    <w:rsid w:val="00433145"/>
    <w:rsid w:val="0043380E"/>
    <w:rsid w:val="004339FC"/>
    <w:rsid w:val="0043481D"/>
    <w:rsid w:val="00434B38"/>
    <w:rsid w:val="004356E8"/>
    <w:rsid w:val="00436207"/>
    <w:rsid w:val="00436D07"/>
    <w:rsid w:val="00437174"/>
    <w:rsid w:val="0043778C"/>
    <w:rsid w:val="00437B2B"/>
    <w:rsid w:val="00437B77"/>
    <w:rsid w:val="00440265"/>
    <w:rsid w:val="004403C0"/>
    <w:rsid w:val="00440798"/>
    <w:rsid w:val="00440989"/>
    <w:rsid w:val="0044175F"/>
    <w:rsid w:val="00441B78"/>
    <w:rsid w:val="00441E95"/>
    <w:rsid w:val="00442956"/>
    <w:rsid w:val="00442E44"/>
    <w:rsid w:val="00442F1E"/>
    <w:rsid w:val="0044366B"/>
    <w:rsid w:val="00443A95"/>
    <w:rsid w:val="0044401D"/>
    <w:rsid w:val="004446F9"/>
    <w:rsid w:val="00444B4E"/>
    <w:rsid w:val="00444C55"/>
    <w:rsid w:val="00444EA4"/>
    <w:rsid w:val="00445481"/>
    <w:rsid w:val="00446061"/>
    <w:rsid w:val="004466EC"/>
    <w:rsid w:val="00446C7B"/>
    <w:rsid w:val="00447AA7"/>
    <w:rsid w:val="00447DCA"/>
    <w:rsid w:val="0045087F"/>
    <w:rsid w:val="00450972"/>
    <w:rsid w:val="00451B51"/>
    <w:rsid w:val="00451C45"/>
    <w:rsid w:val="00452851"/>
    <w:rsid w:val="0045285A"/>
    <w:rsid w:val="00452925"/>
    <w:rsid w:val="004536B2"/>
    <w:rsid w:val="0045412B"/>
    <w:rsid w:val="004541B9"/>
    <w:rsid w:val="00454580"/>
    <w:rsid w:val="0045491B"/>
    <w:rsid w:val="004573E5"/>
    <w:rsid w:val="004575E9"/>
    <w:rsid w:val="00457E00"/>
    <w:rsid w:val="00461B56"/>
    <w:rsid w:val="0046202E"/>
    <w:rsid w:val="00462585"/>
    <w:rsid w:val="00462BAC"/>
    <w:rsid w:val="004630F0"/>
    <w:rsid w:val="00463126"/>
    <w:rsid w:val="004631A6"/>
    <w:rsid w:val="0046371D"/>
    <w:rsid w:val="00463A38"/>
    <w:rsid w:val="00463B29"/>
    <w:rsid w:val="00463C37"/>
    <w:rsid w:val="0046482D"/>
    <w:rsid w:val="00464B98"/>
    <w:rsid w:val="00464DCB"/>
    <w:rsid w:val="00465047"/>
    <w:rsid w:val="00465338"/>
    <w:rsid w:val="00465693"/>
    <w:rsid w:val="004658DD"/>
    <w:rsid w:val="0046672E"/>
    <w:rsid w:val="00466987"/>
    <w:rsid w:val="004669C9"/>
    <w:rsid w:val="0046714B"/>
    <w:rsid w:val="0046717C"/>
    <w:rsid w:val="00467EF8"/>
    <w:rsid w:val="00470499"/>
    <w:rsid w:val="00470728"/>
    <w:rsid w:val="00470ABD"/>
    <w:rsid w:val="00471268"/>
    <w:rsid w:val="00471DE1"/>
    <w:rsid w:val="0047285B"/>
    <w:rsid w:val="00473019"/>
    <w:rsid w:val="004734B8"/>
    <w:rsid w:val="004735D3"/>
    <w:rsid w:val="00474C62"/>
    <w:rsid w:val="004755B3"/>
    <w:rsid w:val="004762B0"/>
    <w:rsid w:val="00476360"/>
    <w:rsid w:val="004778F0"/>
    <w:rsid w:val="00477BAD"/>
    <w:rsid w:val="00477D03"/>
    <w:rsid w:val="00477E67"/>
    <w:rsid w:val="0048041E"/>
    <w:rsid w:val="004808E7"/>
    <w:rsid w:val="00480A78"/>
    <w:rsid w:val="00480AAA"/>
    <w:rsid w:val="0048141E"/>
    <w:rsid w:val="00481D04"/>
    <w:rsid w:val="00483008"/>
    <w:rsid w:val="00483016"/>
    <w:rsid w:val="0048362C"/>
    <w:rsid w:val="00483793"/>
    <w:rsid w:val="00484233"/>
    <w:rsid w:val="004842C9"/>
    <w:rsid w:val="00484DD2"/>
    <w:rsid w:val="004851FE"/>
    <w:rsid w:val="00485579"/>
    <w:rsid w:val="00485660"/>
    <w:rsid w:val="004856D9"/>
    <w:rsid w:val="00485843"/>
    <w:rsid w:val="00486AE1"/>
    <w:rsid w:val="00487D28"/>
    <w:rsid w:val="00490DE2"/>
    <w:rsid w:val="00491A6E"/>
    <w:rsid w:val="0049304B"/>
    <w:rsid w:val="004943C8"/>
    <w:rsid w:val="004944F5"/>
    <w:rsid w:val="004952B7"/>
    <w:rsid w:val="0049571D"/>
    <w:rsid w:val="0049587B"/>
    <w:rsid w:val="00495C30"/>
    <w:rsid w:val="00496297"/>
    <w:rsid w:val="004974F0"/>
    <w:rsid w:val="00497533"/>
    <w:rsid w:val="00497F8E"/>
    <w:rsid w:val="004A0FB5"/>
    <w:rsid w:val="004A1150"/>
    <w:rsid w:val="004A121F"/>
    <w:rsid w:val="004A15F7"/>
    <w:rsid w:val="004A185E"/>
    <w:rsid w:val="004A19B2"/>
    <w:rsid w:val="004A1B6F"/>
    <w:rsid w:val="004A1DD5"/>
    <w:rsid w:val="004A264E"/>
    <w:rsid w:val="004A2685"/>
    <w:rsid w:val="004A2847"/>
    <w:rsid w:val="004A4D2C"/>
    <w:rsid w:val="004A50CC"/>
    <w:rsid w:val="004A55B0"/>
    <w:rsid w:val="004A5B46"/>
    <w:rsid w:val="004A5EFA"/>
    <w:rsid w:val="004A5FDD"/>
    <w:rsid w:val="004A65C5"/>
    <w:rsid w:val="004A65F6"/>
    <w:rsid w:val="004A6833"/>
    <w:rsid w:val="004A74AE"/>
    <w:rsid w:val="004A7CD0"/>
    <w:rsid w:val="004A7D1C"/>
    <w:rsid w:val="004A7DF3"/>
    <w:rsid w:val="004B0B48"/>
    <w:rsid w:val="004B11C0"/>
    <w:rsid w:val="004B1392"/>
    <w:rsid w:val="004B23F3"/>
    <w:rsid w:val="004B25D1"/>
    <w:rsid w:val="004B2E5C"/>
    <w:rsid w:val="004B3358"/>
    <w:rsid w:val="004B3870"/>
    <w:rsid w:val="004B3F78"/>
    <w:rsid w:val="004B43C0"/>
    <w:rsid w:val="004B445E"/>
    <w:rsid w:val="004B55C9"/>
    <w:rsid w:val="004B5953"/>
    <w:rsid w:val="004B5E8B"/>
    <w:rsid w:val="004B6349"/>
    <w:rsid w:val="004B6352"/>
    <w:rsid w:val="004B6E9B"/>
    <w:rsid w:val="004B704B"/>
    <w:rsid w:val="004B7516"/>
    <w:rsid w:val="004B7A93"/>
    <w:rsid w:val="004C02C7"/>
    <w:rsid w:val="004C0489"/>
    <w:rsid w:val="004C060F"/>
    <w:rsid w:val="004C0861"/>
    <w:rsid w:val="004C0D9A"/>
    <w:rsid w:val="004C13F6"/>
    <w:rsid w:val="004C1A37"/>
    <w:rsid w:val="004C1F64"/>
    <w:rsid w:val="004C3139"/>
    <w:rsid w:val="004C37A2"/>
    <w:rsid w:val="004C38B3"/>
    <w:rsid w:val="004C39F7"/>
    <w:rsid w:val="004C3D1A"/>
    <w:rsid w:val="004C438D"/>
    <w:rsid w:val="004C442F"/>
    <w:rsid w:val="004C577F"/>
    <w:rsid w:val="004C5F1B"/>
    <w:rsid w:val="004C6140"/>
    <w:rsid w:val="004C7175"/>
    <w:rsid w:val="004C726B"/>
    <w:rsid w:val="004C7A09"/>
    <w:rsid w:val="004C7A71"/>
    <w:rsid w:val="004C7D13"/>
    <w:rsid w:val="004D0524"/>
    <w:rsid w:val="004D09BC"/>
    <w:rsid w:val="004D1731"/>
    <w:rsid w:val="004D1DB3"/>
    <w:rsid w:val="004D1EC9"/>
    <w:rsid w:val="004D2B2E"/>
    <w:rsid w:val="004D2B5F"/>
    <w:rsid w:val="004D3053"/>
    <w:rsid w:val="004D375C"/>
    <w:rsid w:val="004D3FBB"/>
    <w:rsid w:val="004D403A"/>
    <w:rsid w:val="004D4065"/>
    <w:rsid w:val="004D5D78"/>
    <w:rsid w:val="004D6403"/>
    <w:rsid w:val="004D7A4A"/>
    <w:rsid w:val="004D7CBC"/>
    <w:rsid w:val="004E0094"/>
    <w:rsid w:val="004E126E"/>
    <w:rsid w:val="004E2070"/>
    <w:rsid w:val="004E27A9"/>
    <w:rsid w:val="004E2822"/>
    <w:rsid w:val="004E2EB9"/>
    <w:rsid w:val="004E3B42"/>
    <w:rsid w:val="004E4630"/>
    <w:rsid w:val="004E4C3E"/>
    <w:rsid w:val="004E4CB9"/>
    <w:rsid w:val="004E531F"/>
    <w:rsid w:val="004E62AA"/>
    <w:rsid w:val="004E6A93"/>
    <w:rsid w:val="004E7118"/>
    <w:rsid w:val="004F1CFA"/>
    <w:rsid w:val="004F1E52"/>
    <w:rsid w:val="004F2922"/>
    <w:rsid w:val="004F380C"/>
    <w:rsid w:val="004F3E7A"/>
    <w:rsid w:val="004F5451"/>
    <w:rsid w:val="004F5A70"/>
    <w:rsid w:val="004F5AF4"/>
    <w:rsid w:val="004F659E"/>
    <w:rsid w:val="004F6A13"/>
    <w:rsid w:val="004F6E81"/>
    <w:rsid w:val="004F7490"/>
    <w:rsid w:val="00500152"/>
    <w:rsid w:val="0050077F"/>
    <w:rsid w:val="00500BD6"/>
    <w:rsid w:val="0050100F"/>
    <w:rsid w:val="0050197E"/>
    <w:rsid w:val="00501D9E"/>
    <w:rsid w:val="00502459"/>
    <w:rsid w:val="00502D8E"/>
    <w:rsid w:val="005031D6"/>
    <w:rsid w:val="00503794"/>
    <w:rsid w:val="00503EC2"/>
    <w:rsid w:val="00504799"/>
    <w:rsid w:val="005047B6"/>
    <w:rsid w:val="00504D6E"/>
    <w:rsid w:val="00504E3C"/>
    <w:rsid w:val="005051A8"/>
    <w:rsid w:val="00505327"/>
    <w:rsid w:val="005056C8"/>
    <w:rsid w:val="00505D5A"/>
    <w:rsid w:val="00505F95"/>
    <w:rsid w:val="005062FA"/>
    <w:rsid w:val="00506370"/>
    <w:rsid w:val="005064C6"/>
    <w:rsid w:val="00506867"/>
    <w:rsid w:val="00506902"/>
    <w:rsid w:val="0050691C"/>
    <w:rsid w:val="00506C51"/>
    <w:rsid w:val="00506EF6"/>
    <w:rsid w:val="00507621"/>
    <w:rsid w:val="005105B6"/>
    <w:rsid w:val="005105D6"/>
    <w:rsid w:val="00510900"/>
    <w:rsid w:val="00510B1A"/>
    <w:rsid w:val="00511A5D"/>
    <w:rsid w:val="00511E1D"/>
    <w:rsid w:val="00511ED2"/>
    <w:rsid w:val="005120A9"/>
    <w:rsid w:val="0051285E"/>
    <w:rsid w:val="00512CBD"/>
    <w:rsid w:val="00513735"/>
    <w:rsid w:val="00513982"/>
    <w:rsid w:val="005143BB"/>
    <w:rsid w:val="00514762"/>
    <w:rsid w:val="00514CA5"/>
    <w:rsid w:val="0051528B"/>
    <w:rsid w:val="00515D72"/>
    <w:rsid w:val="00516B2F"/>
    <w:rsid w:val="00516BD1"/>
    <w:rsid w:val="005170FD"/>
    <w:rsid w:val="00520CEB"/>
    <w:rsid w:val="00521874"/>
    <w:rsid w:val="005231E4"/>
    <w:rsid w:val="005246BA"/>
    <w:rsid w:val="005248AE"/>
    <w:rsid w:val="00525652"/>
    <w:rsid w:val="0052583A"/>
    <w:rsid w:val="00526E98"/>
    <w:rsid w:val="005308BE"/>
    <w:rsid w:val="005329D5"/>
    <w:rsid w:val="005329FA"/>
    <w:rsid w:val="005335A2"/>
    <w:rsid w:val="005336BF"/>
    <w:rsid w:val="00533911"/>
    <w:rsid w:val="0053419B"/>
    <w:rsid w:val="00534FB1"/>
    <w:rsid w:val="00535668"/>
    <w:rsid w:val="00535F60"/>
    <w:rsid w:val="005369D4"/>
    <w:rsid w:val="00536D94"/>
    <w:rsid w:val="005373FB"/>
    <w:rsid w:val="00540EE1"/>
    <w:rsid w:val="005413EB"/>
    <w:rsid w:val="00541598"/>
    <w:rsid w:val="00542431"/>
    <w:rsid w:val="005424C6"/>
    <w:rsid w:val="0054293E"/>
    <w:rsid w:val="00542985"/>
    <w:rsid w:val="00542E6B"/>
    <w:rsid w:val="005430DF"/>
    <w:rsid w:val="00543D1B"/>
    <w:rsid w:val="00543F76"/>
    <w:rsid w:val="00544302"/>
    <w:rsid w:val="00544351"/>
    <w:rsid w:val="00544451"/>
    <w:rsid w:val="005447E5"/>
    <w:rsid w:val="00544B07"/>
    <w:rsid w:val="00544B6C"/>
    <w:rsid w:val="00545050"/>
    <w:rsid w:val="00545597"/>
    <w:rsid w:val="0054607A"/>
    <w:rsid w:val="00546242"/>
    <w:rsid w:val="00546518"/>
    <w:rsid w:val="00546B18"/>
    <w:rsid w:val="00547BFC"/>
    <w:rsid w:val="00547EAD"/>
    <w:rsid w:val="00550935"/>
    <w:rsid w:val="00551100"/>
    <w:rsid w:val="005518F5"/>
    <w:rsid w:val="005519DC"/>
    <w:rsid w:val="005522BF"/>
    <w:rsid w:val="00552745"/>
    <w:rsid w:val="00552B0B"/>
    <w:rsid w:val="00552FDC"/>
    <w:rsid w:val="00553019"/>
    <w:rsid w:val="0055304A"/>
    <w:rsid w:val="005538CB"/>
    <w:rsid w:val="00553D30"/>
    <w:rsid w:val="00553ED4"/>
    <w:rsid w:val="005543BB"/>
    <w:rsid w:val="00555781"/>
    <w:rsid w:val="00555866"/>
    <w:rsid w:val="005562B1"/>
    <w:rsid w:val="00556804"/>
    <w:rsid w:val="00556B08"/>
    <w:rsid w:val="00556DD1"/>
    <w:rsid w:val="00557CF6"/>
    <w:rsid w:val="00560581"/>
    <w:rsid w:val="00561F18"/>
    <w:rsid w:val="00562284"/>
    <w:rsid w:val="00562796"/>
    <w:rsid w:val="00562C30"/>
    <w:rsid w:val="005646C1"/>
    <w:rsid w:val="00564D5B"/>
    <w:rsid w:val="00565431"/>
    <w:rsid w:val="0056615A"/>
    <w:rsid w:val="00566281"/>
    <w:rsid w:val="005664EB"/>
    <w:rsid w:val="00566BA3"/>
    <w:rsid w:val="00566E2D"/>
    <w:rsid w:val="00567658"/>
    <w:rsid w:val="00567C46"/>
    <w:rsid w:val="005704A0"/>
    <w:rsid w:val="005708A1"/>
    <w:rsid w:val="00571442"/>
    <w:rsid w:val="00571F00"/>
    <w:rsid w:val="005721BE"/>
    <w:rsid w:val="0057252B"/>
    <w:rsid w:val="00572540"/>
    <w:rsid w:val="00572922"/>
    <w:rsid w:val="00573616"/>
    <w:rsid w:val="005742B8"/>
    <w:rsid w:val="00574712"/>
    <w:rsid w:val="005754A3"/>
    <w:rsid w:val="00575630"/>
    <w:rsid w:val="00575BD3"/>
    <w:rsid w:val="00575FC5"/>
    <w:rsid w:val="0057667E"/>
    <w:rsid w:val="0057683C"/>
    <w:rsid w:val="00576BD3"/>
    <w:rsid w:val="00576CB1"/>
    <w:rsid w:val="00576D3B"/>
    <w:rsid w:val="005774FA"/>
    <w:rsid w:val="00577909"/>
    <w:rsid w:val="005800AF"/>
    <w:rsid w:val="005807EB"/>
    <w:rsid w:val="00580A8C"/>
    <w:rsid w:val="00580CCA"/>
    <w:rsid w:val="00580D80"/>
    <w:rsid w:val="00580D99"/>
    <w:rsid w:val="00581122"/>
    <w:rsid w:val="005820B1"/>
    <w:rsid w:val="00582125"/>
    <w:rsid w:val="005821D1"/>
    <w:rsid w:val="0058274B"/>
    <w:rsid w:val="00582906"/>
    <w:rsid w:val="00582A9A"/>
    <w:rsid w:val="00582B71"/>
    <w:rsid w:val="00582CFE"/>
    <w:rsid w:val="005830F4"/>
    <w:rsid w:val="00583D5A"/>
    <w:rsid w:val="005849B6"/>
    <w:rsid w:val="00584EE3"/>
    <w:rsid w:val="005863EB"/>
    <w:rsid w:val="00586483"/>
    <w:rsid w:val="00586783"/>
    <w:rsid w:val="00586F6E"/>
    <w:rsid w:val="0058757A"/>
    <w:rsid w:val="00587CBB"/>
    <w:rsid w:val="00587E0D"/>
    <w:rsid w:val="005900FA"/>
    <w:rsid w:val="00590818"/>
    <w:rsid w:val="00590E15"/>
    <w:rsid w:val="00591171"/>
    <w:rsid w:val="0059207C"/>
    <w:rsid w:val="00592A5F"/>
    <w:rsid w:val="00592C54"/>
    <w:rsid w:val="00592C65"/>
    <w:rsid w:val="00593B88"/>
    <w:rsid w:val="00593BED"/>
    <w:rsid w:val="0059401E"/>
    <w:rsid w:val="00595065"/>
    <w:rsid w:val="00595ACB"/>
    <w:rsid w:val="00595E09"/>
    <w:rsid w:val="00595FD7"/>
    <w:rsid w:val="00596236"/>
    <w:rsid w:val="005963AC"/>
    <w:rsid w:val="005968F1"/>
    <w:rsid w:val="00596EC7"/>
    <w:rsid w:val="00597A22"/>
    <w:rsid w:val="00597ACA"/>
    <w:rsid w:val="00597BA2"/>
    <w:rsid w:val="00597FD4"/>
    <w:rsid w:val="005A0B2D"/>
    <w:rsid w:val="005A0DE8"/>
    <w:rsid w:val="005A12F6"/>
    <w:rsid w:val="005A1A9F"/>
    <w:rsid w:val="005A1D4D"/>
    <w:rsid w:val="005A2753"/>
    <w:rsid w:val="005A2767"/>
    <w:rsid w:val="005A284D"/>
    <w:rsid w:val="005A2C93"/>
    <w:rsid w:val="005A2E72"/>
    <w:rsid w:val="005A3126"/>
    <w:rsid w:val="005A31DC"/>
    <w:rsid w:val="005A32B8"/>
    <w:rsid w:val="005A34A1"/>
    <w:rsid w:val="005A373E"/>
    <w:rsid w:val="005A3C8A"/>
    <w:rsid w:val="005A3D68"/>
    <w:rsid w:val="005A3F55"/>
    <w:rsid w:val="005A4599"/>
    <w:rsid w:val="005A46BC"/>
    <w:rsid w:val="005A4806"/>
    <w:rsid w:val="005A4DD7"/>
    <w:rsid w:val="005A5032"/>
    <w:rsid w:val="005A5059"/>
    <w:rsid w:val="005A5773"/>
    <w:rsid w:val="005A5D02"/>
    <w:rsid w:val="005A5E81"/>
    <w:rsid w:val="005A66DE"/>
    <w:rsid w:val="005A6C22"/>
    <w:rsid w:val="005A70C4"/>
    <w:rsid w:val="005A7B99"/>
    <w:rsid w:val="005A7CD4"/>
    <w:rsid w:val="005A7E4B"/>
    <w:rsid w:val="005A7FAE"/>
    <w:rsid w:val="005B02EC"/>
    <w:rsid w:val="005B06A9"/>
    <w:rsid w:val="005B0A80"/>
    <w:rsid w:val="005B0E3C"/>
    <w:rsid w:val="005B15D4"/>
    <w:rsid w:val="005B1736"/>
    <w:rsid w:val="005B1962"/>
    <w:rsid w:val="005B199D"/>
    <w:rsid w:val="005B281E"/>
    <w:rsid w:val="005B2883"/>
    <w:rsid w:val="005B2E2F"/>
    <w:rsid w:val="005B328A"/>
    <w:rsid w:val="005B340A"/>
    <w:rsid w:val="005B35CF"/>
    <w:rsid w:val="005B3F41"/>
    <w:rsid w:val="005B4015"/>
    <w:rsid w:val="005B4814"/>
    <w:rsid w:val="005B56B0"/>
    <w:rsid w:val="005B6270"/>
    <w:rsid w:val="005B7072"/>
    <w:rsid w:val="005B783F"/>
    <w:rsid w:val="005B7DFE"/>
    <w:rsid w:val="005C0344"/>
    <w:rsid w:val="005C04D2"/>
    <w:rsid w:val="005C04FF"/>
    <w:rsid w:val="005C0C00"/>
    <w:rsid w:val="005C145D"/>
    <w:rsid w:val="005C165B"/>
    <w:rsid w:val="005C1C53"/>
    <w:rsid w:val="005C2211"/>
    <w:rsid w:val="005C2D2A"/>
    <w:rsid w:val="005C3A87"/>
    <w:rsid w:val="005C40EA"/>
    <w:rsid w:val="005C417B"/>
    <w:rsid w:val="005C48E1"/>
    <w:rsid w:val="005C51FC"/>
    <w:rsid w:val="005C5ED1"/>
    <w:rsid w:val="005C6D2B"/>
    <w:rsid w:val="005C73B5"/>
    <w:rsid w:val="005C79D4"/>
    <w:rsid w:val="005D073E"/>
    <w:rsid w:val="005D07DE"/>
    <w:rsid w:val="005D0C2A"/>
    <w:rsid w:val="005D0CC9"/>
    <w:rsid w:val="005D0E55"/>
    <w:rsid w:val="005D1D7E"/>
    <w:rsid w:val="005D2048"/>
    <w:rsid w:val="005D21E0"/>
    <w:rsid w:val="005D2546"/>
    <w:rsid w:val="005D2D50"/>
    <w:rsid w:val="005D3B84"/>
    <w:rsid w:val="005D3EC9"/>
    <w:rsid w:val="005D453A"/>
    <w:rsid w:val="005D4C8B"/>
    <w:rsid w:val="005D4F05"/>
    <w:rsid w:val="005D545B"/>
    <w:rsid w:val="005D5750"/>
    <w:rsid w:val="005D580B"/>
    <w:rsid w:val="005D63AC"/>
    <w:rsid w:val="005D77FD"/>
    <w:rsid w:val="005D7A90"/>
    <w:rsid w:val="005D7BF8"/>
    <w:rsid w:val="005E02CA"/>
    <w:rsid w:val="005E0557"/>
    <w:rsid w:val="005E0A86"/>
    <w:rsid w:val="005E0DDE"/>
    <w:rsid w:val="005E0E01"/>
    <w:rsid w:val="005E0F77"/>
    <w:rsid w:val="005E100C"/>
    <w:rsid w:val="005E1178"/>
    <w:rsid w:val="005E1937"/>
    <w:rsid w:val="005E208F"/>
    <w:rsid w:val="005E29B7"/>
    <w:rsid w:val="005E3284"/>
    <w:rsid w:val="005E3A5B"/>
    <w:rsid w:val="005E3D2A"/>
    <w:rsid w:val="005E3D75"/>
    <w:rsid w:val="005E3E5B"/>
    <w:rsid w:val="005E45D4"/>
    <w:rsid w:val="005E513F"/>
    <w:rsid w:val="005E7136"/>
    <w:rsid w:val="005E7491"/>
    <w:rsid w:val="005F02EB"/>
    <w:rsid w:val="005F037A"/>
    <w:rsid w:val="005F0BD2"/>
    <w:rsid w:val="005F1732"/>
    <w:rsid w:val="005F2161"/>
    <w:rsid w:val="005F28DC"/>
    <w:rsid w:val="005F2EE1"/>
    <w:rsid w:val="005F3246"/>
    <w:rsid w:val="005F3D8C"/>
    <w:rsid w:val="005F4585"/>
    <w:rsid w:val="005F47E1"/>
    <w:rsid w:val="005F5D7E"/>
    <w:rsid w:val="005F6155"/>
    <w:rsid w:val="005F7111"/>
    <w:rsid w:val="005F7153"/>
    <w:rsid w:val="005F71E4"/>
    <w:rsid w:val="005F76F9"/>
    <w:rsid w:val="00600457"/>
    <w:rsid w:val="006008F5"/>
    <w:rsid w:val="0060102B"/>
    <w:rsid w:val="006016CB"/>
    <w:rsid w:val="00601DFE"/>
    <w:rsid w:val="006024AE"/>
    <w:rsid w:val="00602877"/>
    <w:rsid w:val="006033B7"/>
    <w:rsid w:val="00603428"/>
    <w:rsid w:val="00604DFF"/>
    <w:rsid w:val="00604EE2"/>
    <w:rsid w:val="00605401"/>
    <w:rsid w:val="00605951"/>
    <w:rsid w:val="00606055"/>
    <w:rsid w:val="006060CA"/>
    <w:rsid w:val="006062BB"/>
    <w:rsid w:val="006067BC"/>
    <w:rsid w:val="00606AE3"/>
    <w:rsid w:val="00607186"/>
    <w:rsid w:val="006075E7"/>
    <w:rsid w:val="006078BE"/>
    <w:rsid w:val="0061049C"/>
    <w:rsid w:val="00610A4F"/>
    <w:rsid w:val="00612E3A"/>
    <w:rsid w:val="0061379F"/>
    <w:rsid w:val="00613FBD"/>
    <w:rsid w:val="00614088"/>
    <w:rsid w:val="00614171"/>
    <w:rsid w:val="00614812"/>
    <w:rsid w:val="00614C74"/>
    <w:rsid w:val="006159CE"/>
    <w:rsid w:val="006159EF"/>
    <w:rsid w:val="0061617F"/>
    <w:rsid w:val="0061654E"/>
    <w:rsid w:val="00616709"/>
    <w:rsid w:val="00616B72"/>
    <w:rsid w:val="00617004"/>
    <w:rsid w:val="00620037"/>
    <w:rsid w:val="0062049D"/>
    <w:rsid w:val="006204E7"/>
    <w:rsid w:val="00620762"/>
    <w:rsid w:val="00620A24"/>
    <w:rsid w:val="00621C64"/>
    <w:rsid w:val="006222D6"/>
    <w:rsid w:val="00622AEB"/>
    <w:rsid w:val="006238DC"/>
    <w:rsid w:val="00623C30"/>
    <w:rsid w:val="00623F92"/>
    <w:rsid w:val="006246AB"/>
    <w:rsid w:val="006247A5"/>
    <w:rsid w:val="00624D07"/>
    <w:rsid w:val="0062500D"/>
    <w:rsid w:val="006254A8"/>
    <w:rsid w:val="00625BDF"/>
    <w:rsid w:val="0062641A"/>
    <w:rsid w:val="00626A64"/>
    <w:rsid w:val="0062736E"/>
    <w:rsid w:val="006274B7"/>
    <w:rsid w:val="00627901"/>
    <w:rsid w:val="00627F2D"/>
    <w:rsid w:val="00627FF9"/>
    <w:rsid w:val="006303F9"/>
    <w:rsid w:val="00631251"/>
    <w:rsid w:val="00631ABD"/>
    <w:rsid w:val="00631E1F"/>
    <w:rsid w:val="00632AFA"/>
    <w:rsid w:val="00632E5F"/>
    <w:rsid w:val="00632F8C"/>
    <w:rsid w:val="00633C78"/>
    <w:rsid w:val="00633DB4"/>
    <w:rsid w:val="00633E79"/>
    <w:rsid w:val="00634320"/>
    <w:rsid w:val="006349E8"/>
    <w:rsid w:val="006351D3"/>
    <w:rsid w:val="006357BC"/>
    <w:rsid w:val="006358F9"/>
    <w:rsid w:val="00636B99"/>
    <w:rsid w:val="00637178"/>
    <w:rsid w:val="0063739A"/>
    <w:rsid w:val="006377AE"/>
    <w:rsid w:val="006404E3"/>
    <w:rsid w:val="006405CD"/>
    <w:rsid w:val="0064075C"/>
    <w:rsid w:val="00640A11"/>
    <w:rsid w:val="00640C52"/>
    <w:rsid w:val="006422E4"/>
    <w:rsid w:val="0064246C"/>
    <w:rsid w:val="00642779"/>
    <w:rsid w:val="00642CDA"/>
    <w:rsid w:val="00642E03"/>
    <w:rsid w:val="0064355D"/>
    <w:rsid w:val="006440F0"/>
    <w:rsid w:val="006441F8"/>
    <w:rsid w:val="006442FA"/>
    <w:rsid w:val="00644705"/>
    <w:rsid w:val="00644C02"/>
    <w:rsid w:val="00644D5F"/>
    <w:rsid w:val="00645423"/>
    <w:rsid w:val="00645878"/>
    <w:rsid w:val="00645F0D"/>
    <w:rsid w:val="00646263"/>
    <w:rsid w:val="00646504"/>
    <w:rsid w:val="0064677A"/>
    <w:rsid w:val="006468AF"/>
    <w:rsid w:val="0064704E"/>
    <w:rsid w:val="0064739B"/>
    <w:rsid w:val="006475BC"/>
    <w:rsid w:val="00650421"/>
    <w:rsid w:val="00650DE0"/>
    <w:rsid w:val="006515CC"/>
    <w:rsid w:val="0065174B"/>
    <w:rsid w:val="00651880"/>
    <w:rsid w:val="006518D5"/>
    <w:rsid w:val="00651C85"/>
    <w:rsid w:val="00651CFB"/>
    <w:rsid w:val="00651D3E"/>
    <w:rsid w:val="006524B2"/>
    <w:rsid w:val="00652BE7"/>
    <w:rsid w:val="00652F8C"/>
    <w:rsid w:val="006532E3"/>
    <w:rsid w:val="00654596"/>
    <w:rsid w:val="00654631"/>
    <w:rsid w:val="00654C74"/>
    <w:rsid w:val="006553F1"/>
    <w:rsid w:val="00655749"/>
    <w:rsid w:val="00655965"/>
    <w:rsid w:val="006561CF"/>
    <w:rsid w:val="0065672A"/>
    <w:rsid w:val="006569BA"/>
    <w:rsid w:val="00656DAE"/>
    <w:rsid w:val="0065739D"/>
    <w:rsid w:val="00657D00"/>
    <w:rsid w:val="00657D4E"/>
    <w:rsid w:val="00657F5A"/>
    <w:rsid w:val="0066000A"/>
    <w:rsid w:val="00660390"/>
    <w:rsid w:val="006605DD"/>
    <w:rsid w:val="0066090B"/>
    <w:rsid w:val="00660B2C"/>
    <w:rsid w:val="00660F64"/>
    <w:rsid w:val="00661242"/>
    <w:rsid w:val="006615B9"/>
    <w:rsid w:val="00662257"/>
    <w:rsid w:val="0066230F"/>
    <w:rsid w:val="006631D9"/>
    <w:rsid w:val="006632F3"/>
    <w:rsid w:val="0066385D"/>
    <w:rsid w:val="00663F67"/>
    <w:rsid w:val="00663FA6"/>
    <w:rsid w:val="006644E6"/>
    <w:rsid w:val="006651F6"/>
    <w:rsid w:val="00665340"/>
    <w:rsid w:val="00665594"/>
    <w:rsid w:val="0066603A"/>
    <w:rsid w:val="006660C1"/>
    <w:rsid w:val="00666164"/>
    <w:rsid w:val="006661FF"/>
    <w:rsid w:val="00666533"/>
    <w:rsid w:val="006666FE"/>
    <w:rsid w:val="00666BC3"/>
    <w:rsid w:val="00666E7E"/>
    <w:rsid w:val="006677E9"/>
    <w:rsid w:val="00672368"/>
    <w:rsid w:val="006724F3"/>
    <w:rsid w:val="0067315F"/>
    <w:rsid w:val="00674395"/>
    <w:rsid w:val="006745DE"/>
    <w:rsid w:val="00674804"/>
    <w:rsid w:val="00674A68"/>
    <w:rsid w:val="00674C64"/>
    <w:rsid w:val="00675AA4"/>
    <w:rsid w:val="00675AEE"/>
    <w:rsid w:val="00675FCC"/>
    <w:rsid w:val="006763C7"/>
    <w:rsid w:val="00676536"/>
    <w:rsid w:val="006765B6"/>
    <w:rsid w:val="006767FC"/>
    <w:rsid w:val="00676C5D"/>
    <w:rsid w:val="00676CF2"/>
    <w:rsid w:val="00676D7B"/>
    <w:rsid w:val="00677359"/>
    <w:rsid w:val="00680479"/>
    <w:rsid w:val="0068076A"/>
    <w:rsid w:val="00680AE5"/>
    <w:rsid w:val="00680F13"/>
    <w:rsid w:val="00680F7F"/>
    <w:rsid w:val="00682658"/>
    <w:rsid w:val="0068344D"/>
    <w:rsid w:val="00683596"/>
    <w:rsid w:val="00683956"/>
    <w:rsid w:val="00683D2D"/>
    <w:rsid w:val="00684AFD"/>
    <w:rsid w:val="00684BD3"/>
    <w:rsid w:val="00685408"/>
    <w:rsid w:val="006860AE"/>
    <w:rsid w:val="00686326"/>
    <w:rsid w:val="00687371"/>
    <w:rsid w:val="00687C09"/>
    <w:rsid w:val="00687CA3"/>
    <w:rsid w:val="00687F10"/>
    <w:rsid w:val="00690183"/>
    <w:rsid w:val="00690D2D"/>
    <w:rsid w:val="00691410"/>
    <w:rsid w:val="0069154C"/>
    <w:rsid w:val="00691668"/>
    <w:rsid w:val="00691B86"/>
    <w:rsid w:val="0069208F"/>
    <w:rsid w:val="00692BA4"/>
    <w:rsid w:val="00693F53"/>
    <w:rsid w:val="006955CD"/>
    <w:rsid w:val="00695855"/>
    <w:rsid w:val="00697168"/>
    <w:rsid w:val="00697841"/>
    <w:rsid w:val="00697DBD"/>
    <w:rsid w:val="00697EC0"/>
    <w:rsid w:val="00697EC7"/>
    <w:rsid w:val="00697EC9"/>
    <w:rsid w:val="006A02E5"/>
    <w:rsid w:val="006A0BFF"/>
    <w:rsid w:val="006A1010"/>
    <w:rsid w:val="006A10AC"/>
    <w:rsid w:val="006A12A2"/>
    <w:rsid w:val="006A1C2B"/>
    <w:rsid w:val="006A2907"/>
    <w:rsid w:val="006A311A"/>
    <w:rsid w:val="006A334C"/>
    <w:rsid w:val="006A347D"/>
    <w:rsid w:val="006A3B51"/>
    <w:rsid w:val="006A4AE6"/>
    <w:rsid w:val="006A526D"/>
    <w:rsid w:val="006A541D"/>
    <w:rsid w:val="006A5690"/>
    <w:rsid w:val="006A56C2"/>
    <w:rsid w:val="006A5DC6"/>
    <w:rsid w:val="006A64E9"/>
    <w:rsid w:val="006A7149"/>
    <w:rsid w:val="006A71E2"/>
    <w:rsid w:val="006A7A30"/>
    <w:rsid w:val="006A7F77"/>
    <w:rsid w:val="006B00D9"/>
    <w:rsid w:val="006B1DA5"/>
    <w:rsid w:val="006B3265"/>
    <w:rsid w:val="006B4595"/>
    <w:rsid w:val="006B45CB"/>
    <w:rsid w:val="006B488A"/>
    <w:rsid w:val="006B4B55"/>
    <w:rsid w:val="006B5727"/>
    <w:rsid w:val="006B5808"/>
    <w:rsid w:val="006B5BC4"/>
    <w:rsid w:val="006C0AB2"/>
    <w:rsid w:val="006C0ADB"/>
    <w:rsid w:val="006C16D4"/>
    <w:rsid w:val="006C1802"/>
    <w:rsid w:val="006C261D"/>
    <w:rsid w:val="006C28F1"/>
    <w:rsid w:val="006C3962"/>
    <w:rsid w:val="006C3A9E"/>
    <w:rsid w:val="006C4173"/>
    <w:rsid w:val="006C4CF1"/>
    <w:rsid w:val="006C59BF"/>
    <w:rsid w:val="006C5E10"/>
    <w:rsid w:val="006C681C"/>
    <w:rsid w:val="006C68D9"/>
    <w:rsid w:val="006C745C"/>
    <w:rsid w:val="006C7906"/>
    <w:rsid w:val="006C7C05"/>
    <w:rsid w:val="006D0055"/>
    <w:rsid w:val="006D04E7"/>
    <w:rsid w:val="006D3BD8"/>
    <w:rsid w:val="006D48DE"/>
    <w:rsid w:val="006D5405"/>
    <w:rsid w:val="006D5779"/>
    <w:rsid w:val="006D5984"/>
    <w:rsid w:val="006D5AA8"/>
    <w:rsid w:val="006D655E"/>
    <w:rsid w:val="006D6AEA"/>
    <w:rsid w:val="006D6F7B"/>
    <w:rsid w:val="006D7354"/>
    <w:rsid w:val="006D7551"/>
    <w:rsid w:val="006D7B06"/>
    <w:rsid w:val="006D7F24"/>
    <w:rsid w:val="006E0AF5"/>
    <w:rsid w:val="006E1082"/>
    <w:rsid w:val="006E10DC"/>
    <w:rsid w:val="006E203F"/>
    <w:rsid w:val="006E34CA"/>
    <w:rsid w:val="006E3631"/>
    <w:rsid w:val="006E42B3"/>
    <w:rsid w:val="006E4EDC"/>
    <w:rsid w:val="006E4FC5"/>
    <w:rsid w:val="006E5044"/>
    <w:rsid w:val="006E5628"/>
    <w:rsid w:val="006E5784"/>
    <w:rsid w:val="006E5978"/>
    <w:rsid w:val="006E63BF"/>
    <w:rsid w:val="006E65E9"/>
    <w:rsid w:val="006E6AFC"/>
    <w:rsid w:val="006E6F7C"/>
    <w:rsid w:val="006E7312"/>
    <w:rsid w:val="006E752B"/>
    <w:rsid w:val="006E7A3C"/>
    <w:rsid w:val="006F002B"/>
    <w:rsid w:val="006F0068"/>
    <w:rsid w:val="006F0A07"/>
    <w:rsid w:val="006F0A12"/>
    <w:rsid w:val="006F0BE9"/>
    <w:rsid w:val="006F0C3C"/>
    <w:rsid w:val="006F0D1A"/>
    <w:rsid w:val="006F1073"/>
    <w:rsid w:val="006F1261"/>
    <w:rsid w:val="006F137D"/>
    <w:rsid w:val="006F28F7"/>
    <w:rsid w:val="006F2E0F"/>
    <w:rsid w:val="006F3A14"/>
    <w:rsid w:val="006F3D83"/>
    <w:rsid w:val="006F45DD"/>
    <w:rsid w:val="006F5333"/>
    <w:rsid w:val="006F6267"/>
    <w:rsid w:val="006F63A7"/>
    <w:rsid w:val="006F6F2F"/>
    <w:rsid w:val="006F724A"/>
    <w:rsid w:val="007016B0"/>
    <w:rsid w:val="00702BD1"/>
    <w:rsid w:val="00702EDF"/>
    <w:rsid w:val="0070444B"/>
    <w:rsid w:val="00704476"/>
    <w:rsid w:val="00704766"/>
    <w:rsid w:val="007052BE"/>
    <w:rsid w:val="0070547E"/>
    <w:rsid w:val="00705F41"/>
    <w:rsid w:val="00705F96"/>
    <w:rsid w:val="00706A1C"/>
    <w:rsid w:val="007072C6"/>
    <w:rsid w:val="0070737A"/>
    <w:rsid w:val="007076C3"/>
    <w:rsid w:val="00707789"/>
    <w:rsid w:val="00707DD7"/>
    <w:rsid w:val="00707E54"/>
    <w:rsid w:val="007103FE"/>
    <w:rsid w:val="00710C24"/>
    <w:rsid w:val="00711D18"/>
    <w:rsid w:val="007120CF"/>
    <w:rsid w:val="0071370E"/>
    <w:rsid w:val="007139F6"/>
    <w:rsid w:val="00713A0D"/>
    <w:rsid w:val="0071415D"/>
    <w:rsid w:val="007147D6"/>
    <w:rsid w:val="007151B6"/>
    <w:rsid w:val="0071564D"/>
    <w:rsid w:val="00716427"/>
    <w:rsid w:val="0071652D"/>
    <w:rsid w:val="00716BF3"/>
    <w:rsid w:val="00716CCA"/>
    <w:rsid w:val="00716EAE"/>
    <w:rsid w:val="00716F0F"/>
    <w:rsid w:val="00717137"/>
    <w:rsid w:val="007178B4"/>
    <w:rsid w:val="007179A0"/>
    <w:rsid w:val="00720344"/>
    <w:rsid w:val="00720592"/>
    <w:rsid w:val="0072125C"/>
    <w:rsid w:val="00721610"/>
    <w:rsid w:val="0072192E"/>
    <w:rsid w:val="007219E7"/>
    <w:rsid w:val="00722497"/>
    <w:rsid w:val="00722628"/>
    <w:rsid w:val="00722CA2"/>
    <w:rsid w:val="00722DD6"/>
    <w:rsid w:val="0072360A"/>
    <w:rsid w:val="00723B7C"/>
    <w:rsid w:val="00723CB3"/>
    <w:rsid w:val="00723CF1"/>
    <w:rsid w:val="00724583"/>
    <w:rsid w:val="00724A5D"/>
    <w:rsid w:val="0072571F"/>
    <w:rsid w:val="0072578F"/>
    <w:rsid w:val="00725BCA"/>
    <w:rsid w:val="00725DEC"/>
    <w:rsid w:val="00725F3E"/>
    <w:rsid w:val="00726EC8"/>
    <w:rsid w:val="007271BA"/>
    <w:rsid w:val="007274AD"/>
    <w:rsid w:val="00727E5B"/>
    <w:rsid w:val="00727EF9"/>
    <w:rsid w:val="00727FE9"/>
    <w:rsid w:val="0073016F"/>
    <w:rsid w:val="00730C1A"/>
    <w:rsid w:val="007311B8"/>
    <w:rsid w:val="0073153B"/>
    <w:rsid w:val="00731E6B"/>
    <w:rsid w:val="00732E00"/>
    <w:rsid w:val="0073346F"/>
    <w:rsid w:val="00733B69"/>
    <w:rsid w:val="00733E2E"/>
    <w:rsid w:val="00734665"/>
    <w:rsid w:val="00734749"/>
    <w:rsid w:val="007349FD"/>
    <w:rsid w:val="00735355"/>
    <w:rsid w:val="00735518"/>
    <w:rsid w:val="00735915"/>
    <w:rsid w:val="00735F05"/>
    <w:rsid w:val="0073655B"/>
    <w:rsid w:val="00736692"/>
    <w:rsid w:val="00736D6A"/>
    <w:rsid w:val="0073731A"/>
    <w:rsid w:val="00737543"/>
    <w:rsid w:val="0073769C"/>
    <w:rsid w:val="00740B60"/>
    <w:rsid w:val="0074137E"/>
    <w:rsid w:val="0074141B"/>
    <w:rsid w:val="007422A6"/>
    <w:rsid w:val="007426CF"/>
    <w:rsid w:val="00742830"/>
    <w:rsid w:val="00742845"/>
    <w:rsid w:val="00742A1D"/>
    <w:rsid w:val="00743031"/>
    <w:rsid w:val="00743133"/>
    <w:rsid w:val="007441EE"/>
    <w:rsid w:val="007448DB"/>
    <w:rsid w:val="00745964"/>
    <w:rsid w:val="00745B83"/>
    <w:rsid w:val="00745B9F"/>
    <w:rsid w:val="00745DA9"/>
    <w:rsid w:val="00746E4F"/>
    <w:rsid w:val="00747754"/>
    <w:rsid w:val="00747772"/>
    <w:rsid w:val="00750065"/>
    <w:rsid w:val="007502AC"/>
    <w:rsid w:val="007506AE"/>
    <w:rsid w:val="0075070C"/>
    <w:rsid w:val="007518B2"/>
    <w:rsid w:val="0075199F"/>
    <w:rsid w:val="00751D8A"/>
    <w:rsid w:val="007521A6"/>
    <w:rsid w:val="007524F1"/>
    <w:rsid w:val="00753061"/>
    <w:rsid w:val="007538BE"/>
    <w:rsid w:val="007544AF"/>
    <w:rsid w:val="00754A29"/>
    <w:rsid w:val="00754EBA"/>
    <w:rsid w:val="0075510D"/>
    <w:rsid w:val="00755621"/>
    <w:rsid w:val="0075603C"/>
    <w:rsid w:val="00756189"/>
    <w:rsid w:val="00756A30"/>
    <w:rsid w:val="00756CD8"/>
    <w:rsid w:val="007572B3"/>
    <w:rsid w:val="007574A0"/>
    <w:rsid w:val="00760264"/>
    <w:rsid w:val="007610B6"/>
    <w:rsid w:val="00761FFF"/>
    <w:rsid w:val="00763395"/>
    <w:rsid w:val="00763DBE"/>
    <w:rsid w:val="00763F14"/>
    <w:rsid w:val="007642BE"/>
    <w:rsid w:val="00764333"/>
    <w:rsid w:val="00765109"/>
    <w:rsid w:val="007655FC"/>
    <w:rsid w:val="00765A20"/>
    <w:rsid w:val="007663B6"/>
    <w:rsid w:val="007664E5"/>
    <w:rsid w:val="00766929"/>
    <w:rsid w:val="00766F28"/>
    <w:rsid w:val="007670AB"/>
    <w:rsid w:val="00767DAB"/>
    <w:rsid w:val="00767DC4"/>
    <w:rsid w:val="00767F56"/>
    <w:rsid w:val="00770127"/>
    <w:rsid w:val="00770C6C"/>
    <w:rsid w:val="007711D6"/>
    <w:rsid w:val="0077120F"/>
    <w:rsid w:val="007714B5"/>
    <w:rsid w:val="00771630"/>
    <w:rsid w:val="00771779"/>
    <w:rsid w:val="007727F8"/>
    <w:rsid w:val="00772A19"/>
    <w:rsid w:val="00772C93"/>
    <w:rsid w:val="0077315F"/>
    <w:rsid w:val="00773227"/>
    <w:rsid w:val="00773D4D"/>
    <w:rsid w:val="00774060"/>
    <w:rsid w:val="00774157"/>
    <w:rsid w:val="00774A4C"/>
    <w:rsid w:val="00774AFA"/>
    <w:rsid w:val="00775404"/>
    <w:rsid w:val="00775B70"/>
    <w:rsid w:val="007762C4"/>
    <w:rsid w:val="00776301"/>
    <w:rsid w:val="00776AA2"/>
    <w:rsid w:val="00776EEB"/>
    <w:rsid w:val="007772C6"/>
    <w:rsid w:val="00777C57"/>
    <w:rsid w:val="007800B3"/>
    <w:rsid w:val="007809BA"/>
    <w:rsid w:val="007820FA"/>
    <w:rsid w:val="00782379"/>
    <w:rsid w:val="0078278B"/>
    <w:rsid w:val="00783F00"/>
    <w:rsid w:val="007840B9"/>
    <w:rsid w:val="00784691"/>
    <w:rsid w:val="00784715"/>
    <w:rsid w:val="00784B38"/>
    <w:rsid w:val="00784B6A"/>
    <w:rsid w:val="00784DBE"/>
    <w:rsid w:val="00784FFA"/>
    <w:rsid w:val="00786AA6"/>
    <w:rsid w:val="00786C82"/>
    <w:rsid w:val="007900C2"/>
    <w:rsid w:val="007901F3"/>
    <w:rsid w:val="00790245"/>
    <w:rsid w:val="0079064A"/>
    <w:rsid w:val="00791428"/>
    <w:rsid w:val="00791462"/>
    <w:rsid w:val="007918AC"/>
    <w:rsid w:val="00791908"/>
    <w:rsid w:val="007923A9"/>
    <w:rsid w:val="007924D8"/>
    <w:rsid w:val="007929B5"/>
    <w:rsid w:val="00792F60"/>
    <w:rsid w:val="00792FEF"/>
    <w:rsid w:val="007934DB"/>
    <w:rsid w:val="00793A2C"/>
    <w:rsid w:val="007944E9"/>
    <w:rsid w:val="00794DE1"/>
    <w:rsid w:val="007957E2"/>
    <w:rsid w:val="00795B9D"/>
    <w:rsid w:val="00795F49"/>
    <w:rsid w:val="007964ED"/>
    <w:rsid w:val="00796889"/>
    <w:rsid w:val="007968D7"/>
    <w:rsid w:val="00796B5C"/>
    <w:rsid w:val="00797221"/>
    <w:rsid w:val="007A029F"/>
    <w:rsid w:val="007A046C"/>
    <w:rsid w:val="007A05CC"/>
    <w:rsid w:val="007A09F2"/>
    <w:rsid w:val="007A0DF0"/>
    <w:rsid w:val="007A106A"/>
    <w:rsid w:val="007A1847"/>
    <w:rsid w:val="007A1B08"/>
    <w:rsid w:val="007A1DDF"/>
    <w:rsid w:val="007A2215"/>
    <w:rsid w:val="007A2392"/>
    <w:rsid w:val="007A2CA3"/>
    <w:rsid w:val="007A3996"/>
    <w:rsid w:val="007A4135"/>
    <w:rsid w:val="007A48DE"/>
    <w:rsid w:val="007A5AB5"/>
    <w:rsid w:val="007A5D2E"/>
    <w:rsid w:val="007A5D41"/>
    <w:rsid w:val="007A6682"/>
    <w:rsid w:val="007A77D5"/>
    <w:rsid w:val="007A7A7E"/>
    <w:rsid w:val="007B18B8"/>
    <w:rsid w:val="007B246F"/>
    <w:rsid w:val="007B381F"/>
    <w:rsid w:val="007B45E2"/>
    <w:rsid w:val="007B4DEF"/>
    <w:rsid w:val="007B4E97"/>
    <w:rsid w:val="007B508C"/>
    <w:rsid w:val="007B6A9A"/>
    <w:rsid w:val="007B7C69"/>
    <w:rsid w:val="007B7C76"/>
    <w:rsid w:val="007B7DD0"/>
    <w:rsid w:val="007C1676"/>
    <w:rsid w:val="007C18F1"/>
    <w:rsid w:val="007C190B"/>
    <w:rsid w:val="007C209A"/>
    <w:rsid w:val="007C23F5"/>
    <w:rsid w:val="007C2D73"/>
    <w:rsid w:val="007C3532"/>
    <w:rsid w:val="007C42ED"/>
    <w:rsid w:val="007C4320"/>
    <w:rsid w:val="007C493C"/>
    <w:rsid w:val="007C4B6A"/>
    <w:rsid w:val="007C4DC3"/>
    <w:rsid w:val="007C5132"/>
    <w:rsid w:val="007C5888"/>
    <w:rsid w:val="007C593A"/>
    <w:rsid w:val="007C5BBF"/>
    <w:rsid w:val="007C605A"/>
    <w:rsid w:val="007C6695"/>
    <w:rsid w:val="007C799C"/>
    <w:rsid w:val="007D045E"/>
    <w:rsid w:val="007D135A"/>
    <w:rsid w:val="007D19A4"/>
    <w:rsid w:val="007D1D95"/>
    <w:rsid w:val="007D2387"/>
    <w:rsid w:val="007D2BD1"/>
    <w:rsid w:val="007D34C6"/>
    <w:rsid w:val="007D354B"/>
    <w:rsid w:val="007D359B"/>
    <w:rsid w:val="007D3604"/>
    <w:rsid w:val="007D3730"/>
    <w:rsid w:val="007D3AFC"/>
    <w:rsid w:val="007D409E"/>
    <w:rsid w:val="007D41AC"/>
    <w:rsid w:val="007D47A0"/>
    <w:rsid w:val="007D550F"/>
    <w:rsid w:val="007D586C"/>
    <w:rsid w:val="007D5BBE"/>
    <w:rsid w:val="007D5C99"/>
    <w:rsid w:val="007D64F5"/>
    <w:rsid w:val="007D677D"/>
    <w:rsid w:val="007D6B28"/>
    <w:rsid w:val="007D74E0"/>
    <w:rsid w:val="007D7B0E"/>
    <w:rsid w:val="007D7BD3"/>
    <w:rsid w:val="007E131A"/>
    <w:rsid w:val="007E23E7"/>
    <w:rsid w:val="007E3151"/>
    <w:rsid w:val="007E3546"/>
    <w:rsid w:val="007E3C69"/>
    <w:rsid w:val="007E40A3"/>
    <w:rsid w:val="007E52AB"/>
    <w:rsid w:val="007E5C37"/>
    <w:rsid w:val="007E5ED4"/>
    <w:rsid w:val="007E62B9"/>
    <w:rsid w:val="007E6BB6"/>
    <w:rsid w:val="007E6CBA"/>
    <w:rsid w:val="007F03D0"/>
    <w:rsid w:val="007F19AB"/>
    <w:rsid w:val="007F1B45"/>
    <w:rsid w:val="007F1C80"/>
    <w:rsid w:val="007F2F13"/>
    <w:rsid w:val="007F3163"/>
    <w:rsid w:val="007F33D7"/>
    <w:rsid w:val="007F36C0"/>
    <w:rsid w:val="007F39C0"/>
    <w:rsid w:val="007F3A34"/>
    <w:rsid w:val="007F3A8F"/>
    <w:rsid w:val="007F3B0E"/>
    <w:rsid w:val="007F42C1"/>
    <w:rsid w:val="007F46E5"/>
    <w:rsid w:val="007F5A17"/>
    <w:rsid w:val="007F6708"/>
    <w:rsid w:val="007F695F"/>
    <w:rsid w:val="007F6F0F"/>
    <w:rsid w:val="007F7587"/>
    <w:rsid w:val="00800341"/>
    <w:rsid w:val="00800368"/>
    <w:rsid w:val="008003BC"/>
    <w:rsid w:val="00800A85"/>
    <w:rsid w:val="0080223C"/>
    <w:rsid w:val="00803578"/>
    <w:rsid w:val="00803826"/>
    <w:rsid w:val="00803947"/>
    <w:rsid w:val="00803A3F"/>
    <w:rsid w:val="0080522C"/>
    <w:rsid w:val="008057E3"/>
    <w:rsid w:val="00805BC4"/>
    <w:rsid w:val="00807183"/>
    <w:rsid w:val="0080735F"/>
    <w:rsid w:val="008079C0"/>
    <w:rsid w:val="00807BF8"/>
    <w:rsid w:val="00807FB8"/>
    <w:rsid w:val="00810BCF"/>
    <w:rsid w:val="00811A57"/>
    <w:rsid w:val="00811D10"/>
    <w:rsid w:val="00813017"/>
    <w:rsid w:val="00813099"/>
    <w:rsid w:val="008130D9"/>
    <w:rsid w:val="00813521"/>
    <w:rsid w:val="00813808"/>
    <w:rsid w:val="00814302"/>
    <w:rsid w:val="00814B2B"/>
    <w:rsid w:val="00814C74"/>
    <w:rsid w:val="008150E8"/>
    <w:rsid w:val="0081534F"/>
    <w:rsid w:val="00815B00"/>
    <w:rsid w:val="00815DC1"/>
    <w:rsid w:val="008160D0"/>
    <w:rsid w:val="00816112"/>
    <w:rsid w:val="008161A2"/>
    <w:rsid w:val="0081641D"/>
    <w:rsid w:val="00816470"/>
    <w:rsid w:val="00816694"/>
    <w:rsid w:val="00816856"/>
    <w:rsid w:val="00816B86"/>
    <w:rsid w:val="00816ED0"/>
    <w:rsid w:val="00817F29"/>
    <w:rsid w:val="008203BA"/>
    <w:rsid w:val="0082073C"/>
    <w:rsid w:val="00820814"/>
    <w:rsid w:val="008214E2"/>
    <w:rsid w:val="0082159D"/>
    <w:rsid w:val="00821F4A"/>
    <w:rsid w:val="00822A74"/>
    <w:rsid w:val="00822B08"/>
    <w:rsid w:val="008236D2"/>
    <w:rsid w:val="008239FD"/>
    <w:rsid w:val="00823B0E"/>
    <w:rsid w:val="00823E4A"/>
    <w:rsid w:val="00824467"/>
    <w:rsid w:val="00824CFB"/>
    <w:rsid w:val="00825068"/>
    <w:rsid w:val="008250D9"/>
    <w:rsid w:val="008251BA"/>
    <w:rsid w:val="00826300"/>
    <w:rsid w:val="0082638B"/>
    <w:rsid w:val="00826B7D"/>
    <w:rsid w:val="00827122"/>
    <w:rsid w:val="0082723F"/>
    <w:rsid w:val="0082724F"/>
    <w:rsid w:val="0082765C"/>
    <w:rsid w:val="00830901"/>
    <w:rsid w:val="00830E7A"/>
    <w:rsid w:val="00830ECD"/>
    <w:rsid w:val="00831049"/>
    <w:rsid w:val="00831F56"/>
    <w:rsid w:val="00832BA3"/>
    <w:rsid w:val="00832D0F"/>
    <w:rsid w:val="00832D4E"/>
    <w:rsid w:val="00833EAC"/>
    <w:rsid w:val="008340F6"/>
    <w:rsid w:val="00834EC2"/>
    <w:rsid w:val="0083659B"/>
    <w:rsid w:val="00836858"/>
    <w:rsid w:val="008369CA"/>
    <w:rsid w:val="00837A44"/>
    <w:rsid w:val="00837AAE"/>
    <w:rsid w:val="00837E84"/>
    <w:rsid w:val="00840484"/>
    <w:rsid w:val="00840496"/>
    <w:rsid w:val="00840598"/>
    <w:rsid w:val="00840BB8"/>
    <w:rsid w:val="008422DC"/>
    <w:rsid w:val="00842327"/>
    <w:rsid w:val="0084255D"/>
    <w:rsid w:val="008430BE"/>
    <w:rsid w:val="008434F0"/>
    <w:rsid w:val="00843A1F"/>
    <w:rsid w:val="00844752"/>
    <w:rsid w:val="008452BA"/>
    <w:rsid w:val="00845894"/>
    <w:rsid w:val="00845A4E"/>
    <w:rsid w:val="00846451"/>
    <w:rsid w:val="00846473"/>
    <w:rsid w:val="008465A6"/>
    <w:rsid w:val="0084684F"/>
    <w:rsid w:val="008470F7"/>
    <w:rsid w:val="00847203"/>
    <w:rsid w:val="008476F6"/>
    <w:rsid w:val="00850192"/>
    <w:rsid w:val="00850234"/>
    <w:rsid w:val="0085074D"/>
    <w:rsid w:val="00850FA3"/>
    <w:rsid w:val="00851051"/>
    <w:rsid w:val="0085132F"/>
    <w:rsid w:val="00851471"/>
    <w:rsid w:val="00851ADD"/>
    <w:rsid w:val="00851CE6"/>
    <w:rsid w:val="008526C6"/>
    <w:rsid w:val="0085334A"/>
    <w:rsid w:val="00853933"/>
    <w:rsid w:val="00853D3C"/>
    <w:rsid w:val="00854517"/>
    <w:rsid w:val="00854B55"/>
    <w:rsid w:val="00855401"/>
    <w:rsid w:val="00855457"/>
    <w:rsid w:val="008555F1"/>
    <w:rsid w:val="00855CFB"/>
    <w:rsid w:val="00855F3D"/>
    <w:rsid w:val="00856284"/>
    <w:rsid w:val="00856A04"/>
    <w:rsid w:val="008573C3"/>
    <w:rsid w:val="0085750B"/>
    <w:rsid w:val="00857562"/>
    <w:rsid w:val="00857862"/>
    <w:rsid w:val="008601C1"/>
    <w:rsid w:val="00860E2C"/>
    <w:rsid w:val="0086112F"/>
    <w:rsid w:val="0086122B"/>
    <w:rsid w:val="00861691"/>
    <w:rsid w:val="0086225D"/>
    <w:rsid w:val="0086282E"/>
    <w:rsid w:val="008632AD"/>
    <w:rsid w:val="00863779"/>
    <w:rsid w:val="00863832"/>
    <w:rsid w:val="00863FB4"/>
    <w:rsid w:val="00864687"/>
    <w:rsid w:val="0086518B"/>
    <w:rsid w:val="00865FBA"/>
    <w:rsid w:val="0086630C"/>
    <w:rsid w:val="00866E70"/>
    <w:rsid w:val="0086771A"/>
    <w:rsid w:val="00867AFD"/>
    <w:rsid w:val="00867CA7"/>
    <w:rsid w:val="00867EEB"/>
    <w:rsid w:val="008705E4"/>
    <w:rsid w:val="0087152E"/>
    <w:rsid w:val="00871556"/>
    <w:rsid w:val="008720B9"/>
    <w:rsid w:val="008722D7"/>
    <w:rsid w:val="008733DA"/>
    <w:rsid w:val="00873A58"/>
    <w:rsid w:val="008754DE"/>
    <w:rsid w:val="008754F7"/>
    <w:rsid w:val="008758E5"/>
    <w:rsid w:val="008771ED"/>
    <w:rsid w:val="008776FA"/>
    <w:rsid w:val="00877C37"/>
    <w:rsid w:val="00880390"/>
    <w:rsid w:val="00880946"/>
    <w:rsid w:val="008811A4"/>
    <w:rsid w:val="00881409"/>
    <w:rsid w:val="00881672"/>
    <w:rsid w:val="008819C2"/>
    <w:rsid w:val="00881BC9"/>
    <w:rsid w:val="00881D6F"/>
    <w:rsid w:val="00881EE4"/>
    <w:rsid w:val="0088207C"/>
    <w:rsid w:val="008825CE"/>
    <w:rsid w:val="00884A5E"/>
    <w:rsid w:val="00884C21"/>
    <w:rsid w:val="0088582B"/>
    <w:rsid w:val="008866A4"/>
    <w:rsid w:val="0088686C"/>
    <w:rsid w:val="00887442"/>
    <w:rsid w:val="00890203"/>
    <w:rsid w:val="00890430"/>
    <w:rsid w:val="00890531"/>
    <w:rsid w:val="00890A33"/>
    <w:rsid w:val="00891280"/>
    <w:rsid w:val="008921FA"/>
    <w:rsid w:val="00892B30"/>
    <w:rsid w:val="00892DE3"/>
    <w:rsid w:val="00892EEB"/>
    <w:rsid w:val="00893A60"/>
    <w:rsid w:val="00893C98"/>
    <w:rsid w:val="00894BF7"/>
    <w:rsid w:val="00895334"/>
    <w:rsid w:val="008959FA"/>
    <w:rsid w:val="00895DAB"/>
    <w:rsid w:val="008963B7"/>
    <w:rsid w:val="00896481"/>
    <w:rsid w:val="00896E26"/>
    <w:rsid w:val="008972CF"/>
    <w:rsid w:val="008975E2"/>
    <w:rsid w:val="00897EAD"/>
    <w:rsid w:val="008A0F4F"/>
    <w:rsid w:val="008A17D7"/>
    <w:rsid w:val="008A1E5A"/>
    <w:rsid w:val="008A2418"/>
    <w:rsid w:val="008A250F"/>
    <w:rsid w:val="008A27BC"/>
    <w:rsid w:val="008A2A2A"/>
    <w:rsid w:val="008A30E5"/>
    <w:rsid w:val="008A3221"/>
    <w:rsid w:val="008A3239"/>
    <w:rsid w:val="008A3FDD"/>
    <w:rsid w:val="008A49D5"/>
    <w:rsid w:val="008A5186"/>
    <w:rsid w:val="008A5AD9"/>
    <w:rsid w:val="008A694A"/>
    <w:rsid w:val="008A7451"/>
    <w:rsid w:val="008A7F16"/>
    <w:rsid w:val="008A7FF8"/>
    <w:rsid w:val="008B10B3"/>
    <w:rsid w:val="008B1326"/>
    <w:rsid w:val="008B1D14"/>
    <w:rsid w:val="008B252D"/>
    <w:rsid w:val="008B2A99"/>
    <w:rsid w:val="008B4362"/>
    <w:rsid w:val="008B487A"/>
    <w:rsid w:val="008B48B9"/>
    <w:rsid w:val="008B4D45"/>
    <w:rsid w:val="008B4DC9"/>
    <w:rsid w:val="008B5295"/>
    <w:rsid w:val="008B52A9"/>
    <w:rsid w:val="008B5AB8"/>
    <w:rsid w:val="008B60B2"/>
    <w:rsid w:val="008B6F4C"/>
    <w:rsid w:val="008B78DD"/>
    <w:rsid w:val="008B7C5E"/>
    <w:rsid w:val="008C0AD6"/>
    <w:rsid w:val="008C15A3"/>
    <w:rsid w:val="008C1683"/>
    <w:rsid w:val="008C193C"/>
    <w:rsid w:val="008C2298"/>
    <w:rsid w:val="008C260E"/>
    <w:rsid w:val="008C2824"/>
    <w:rsid w:val="008C29DF"/>
    <w:rsid w:val="008C2D6B"/>
    <w:rsid w:val="008C2E4A"/>
    <w:rsid w:val="008C36CD"/>
    <w:rsid w:val="008C391F"/>
    <w:rsid w:val="008C3B32"/>
    <w:rsid w:val="008C4287"/>
    <w:rsid w:val="008C4C50"/>
    <w:rsid w:val="008C4F7C"/>
    <w:rsid w:val="008C64EF"/>
    <w:rsid w:val="008C68E2"/>
    <w:rsid w:val="008C74F3"/>
    <w:rsid w:val="008C7EAE"/>
    <w:rsid w:val="008D014B"/>
    <w:rsid w:val="008D1248"/>
    <w:rsid w:val="008D1948"/>
    <w:rsid w:val="008D2010"/>
    <w:rsid w:val="008D28E0"/>
    <w:rsid w:val="008D2D55"/>
    <w:rsid w:val="008D2E77"/>
    <w:rsid w:val="008D2F47"/>
    <w:rsid w:val="008D3147"/>
    <w:rsid w:val="008D3725"/>
    <w:rsid w:val="008D3DFC"/>
    <w:rsid w:val="008D453C"/>
    <w:rsid w:val="008D4989"/>
    <w:rsid w:val="008D5341"/>
    <w:rsid w:val="008D53D9"/>
    <w:rsid w:val="008D5569"/>
    <w:rsid w:val="008D6126"/>
    <w:rsid w:val="008D63B4"/>
    <w:rsid w:val="008D6E99"/>
    <w:rsid w:val="008D7A36"/>
    <w:rsid w:val="008E12BF"/>
    <w:rsid w:val="008E148F"/>
    <w:rsid w:val="008E1958"/>
    <w:rsid w:val="008E1CA2"/>
    <w:rsid w:val="008E2735"/>
    <w:rsid w:val="008E2AA8"/>
    <w:rsid w:val="008E3BC7"/>
    <w:rsid w:val="008E3D2B"/>
    <w:rsid w:val="008E3D5C"/>
    <w:rsid w:val="008E3E09"/>
    <w:rsid w:val="008E4029"/>
    <w:rsid w:val="008E4226"/>
    <w:rsid w:val="008E4D02"/>
    <w:rsid w:val="008E4D44"/>
    <w:rsid w:val="008E4FA9"/>
    <w:rsid w:val="008E4FFA"/>
    <w:rsid w:val="008E52E6"/>
    <w:rsid w:val="008E53D8"/>
    <w:rsid w:val="008E569C"/>
    <w:rsid w:val="008E602C"/>
    <w:rsid w:val="008E66B2"/>
    <w:rsid w:val="008E6E3D"/>
    <w:rsid w:val="008E7F29"/>
    <w:rsid w:val="008F001D"/>
    <w:rsid w:val="008F0186"/>
    <w:rsid w:val="008F0E52"/>
    <w:rsid w:val="008F125C"/>
    <w:rsid w:val="008F168C"/>
    <w:rsid w:val="008F3039"/>
    <w:rsid w:val="008F3752"/>
    <w:rsid w:val="008F39EA"/>
    <w:rsid w:val="008F3BEF"/>
    <w:rsid w:val="008F41E8"/>
    <w:rsid w:val="008F41EB"/>
    <w:rsid w:val="008F42FA"/>
    <w:rsid w:val="008F4388"/>
    <w:rsid w:val="008F4772"/>
    <w:rsid w:val="008F5270"/>
    <w:rsid w:val="008F577C"/>
    <w:rsid w:val="008F57FD"/>
    <w:rsid w:val="008F5D54"/>
    <w:rsid w:val="008F6021"/>
    <w:rsid w:val="008F6467"/>
    <w:rsid w:val="008F6ADF"/>
    <w:rsid w:val="008F6D5F"/>
    <w:rsid w:val="008F6FC9"/>
    <w:rsid w:val="008F7380"/>
    <w:rsid w:val="008F795B"/>
    <w:rsid w:val="008F7EB8"/>
    <w:rsid w:val="0090071C"/>
    <w:rsid w:val="009009EF"/>
    <w:rsid w:val="0090103B"/>
    <w:rsid w:val="00901366"/>
    <w:rsid w:val="0090140A"/>
    <w:rsid w:val="00902382"/>
    <w:rsid w:val="00902A98"/>
    <w:rsid w:val="009032EB"/>
    <w:rsid w:val="00903773"/>
    <w:rsid w:val="009037F3"/>
    <w:rsid w:val="009038EF"/>
    <w:rsid w:val="00904452"/>
    <w:rsid w:val="009046E6"/>
    <w:rsid w:val="00904B65"/>
    <w:rsid w:val="00904D43"/>
    <w:rsid w:val="009055DD"/>
    <w:rsid w:val="00906806"/>
    <w:rsid w:val="00906817"/>
    <w:rsid w:val="00906B08"/>
    <w:rsid w:val="0090770F"/>
    <w:rsid w:val="00907865"/>
    <w:rsid w:val="0090796E"/>
    <w:rsid w:val="009108CB"/>
    <w:rsid w:val="00910C5E"/>
    <w:rsid w:val="00910FB4"/>
    <w:rsid w:val="00911174"/>
    <w:rsid w:val="00912586"/>
    <w:rsid w:val="00913B0E"/>
    <w:rsid w:val="009140E5"/>
    <w:rsid w:val="00914368"/>
    <w:rsid w:val="009145C9"/>
    <w:rsid w:val="009151B4"/>
    <w:rsid w:val="009152E9"/>
    <w:rsid w:val="009155C9"/>
    <w:rsid w:val="00915BDD"/>
    <w:rsid w:val="00915D06"/>
    <w:rsid w:val="00916279"/>
    <w:rsid w:val="00917510"/>
    <w:rsid w:val="0091755C"/>
    <w:rsid w:val="0091788E"/>
    <w:rsid w:val="00920CCD"/>
    <w:rsid w:val="00921144"/>
    <w:rsid w:val="0092136B"/>
    <w:rsid w:val="00921BE5"/>
    <w:rsid w:val="00921E52"/>
    <w:rsid w:val="00922733"/>
    <w:rsid w:val="0092288D"/>
    <w:rsid w:val="00922C56"/>
    <w:rsid w:val="00922E7E"/>
    <w:rsid w:val="009232A7"/>
    <w:rsid w:val="0092351A"/>
    <w:rsid w:val="009243DD"/>
    <w:rsid w:val="009247CB"/>
    <w:rsid w:val="00924866"/>
    <w:rsid w:val="00924ADF"/>
    <w:rsid w:val="00924B5C"/>
    <w:rsid w:val="00925442"/>
    <w:rsid w:val="009255E6"/>
    <w:rsid w:val="0092738F"/>
    <w:rsid w:val="0092773D"/>
    <w:rsid w:val="009302A8"/>
    <w:rsid w:val="0093032F"/>
    <w:rsid w:val="0093094D"/>
    <w:rsid w:val="00930C58"/>
    <w:rsid w:val="0093100B"/>
    <w:rsid w:val="009319A1"/>
    <w:rsid w:val="00931C54"/>
    <w:rsid w:val="00931E61"/>
    <w:rsid w:val="00932CC9"/>
    <w:rsid w:val="00933264"/>
    <w:rsid w:val="0093395A"/>
    <w:rsid w:val="00933BF9"/>
    <w:rsid w:val="00933DB4"/>
    <w:rsid w:val="00934562"/>
    <w:rsid w:val="00934D4A"/>
    <w:rsid w:val="00935726"/>
    <w:rsid w:val="0093648C"/>
    <w:rsid w:val="009369A4"/>
    <w:rsid w:val="00936D9B"/>
    <w:rsid w:val="00937775"/>
    <w:rsid w:val="00937B3B"/>
    <w:rsid w:val="009403F2"/>
    <w:rsid w:val="0094130E"/>
    <w:rsid w:val="009413A3"/>
    <w:rsid w:val="009417C7"/>
    <w:rsid w:val="0094186D"/>
    <w:rsid w:val="00941A40"/>
    <w:rsid w:val="0094208A"/>
    <w:rsid w:val="00942386"/>
    <w:rsid w:val="00942ABE"/>
    <w:rsid w:val="00942ADE"/>
    <w:rsid w:val="00942FC0"/>
    <w:rsid w:val="009434A8"/>
    <w:rsid w:val="009434EE"/>
    <w:rsid w:val="00943C6D"/>
    <w:rsid w:val="009444E6"/>
    <w:rsid w:val="009449D1"/>
    <w:rsid w:val="00945A1D"/>
    <w:rsid w:val="0094623E"/>
    <w:rsid w:val="00946411"/>
    <w:rsid w:val="00946B32"/>
    <w:rsid w:val="0094793F"/>
    <w:rsid w:val="00950B22"/>
    <w:rsid w:val="00950CA0"/>
    <w:rsid w:val="00950E08"/>
    <w:rsid w:val="00951CC4"/>
    <w:rsid w:val="0095329C"/>
    <w:rsid w:val="00953B12"/>
    <w:rsid w:val="00954915"/>
    <w:rsid w:val="00954BEB"/>
    <w:rsid w:val="00954C58"/>
    <w:rsid w:val="00955978"/>
    <w:rsid w:val="00955F25"/>
    <w:rsid w:val="00955FDA"/>
    <w:rsid w:val="00956159"/>
    <w:rsid w:val="009566D1"/>
    <w:rsid w:val="00956E72"/>
    <w:rsid w:val="009606A1"/>
    <w:rsid w:val="00960766"/>
    <w:rsid w:val="00960F2D"/>
    <w:rsid w:val="0096118A"/>
    <w:rsid w:val="00961A11"/>
    <w:rsid w:val="00961AFD"/>
    <w:rsid w:val="00962024"/>
    <w:rsid w:val="00962320"/>
    <w:rsid w:val="00963104"/>
    <w:rsid w:val="0096337E"/>
    <w:rsid w:val="00963459"/>
    <w:rsid w:val="00964A88"/>
    <w:rsid w:val="0096591F"/>
    <w:rsid w:val="00965EDA"/>
    <w:rsid w:val="00966893"/>
    <w:rsid w:val="00966EB2"/>
    <w:rsid w:val="00967B31"/>
    <w:rsid w:val="00967BAE"/>
    <w:rsid w:val="0097015B"/>
    <w:rsid w:val="00970592"/>
    <w:rsid w:val="00970785"/>
    <w:rsid w:val="0097214F"/>
    <w:rsid w:val="00973109"/>
    <w:rsid w:val="00973416"/>
    <w:rsid w:val="009736FA"/>
    <w:rsid w:val="009740BF"/>
    <w:rsid w:val="009743DC"/>
    <w:rsid w:val="00974B7B"/>
    <w:rsid w:val="009751DF"/>
    <w:rsid w:val="00975640"/>
    <w:rsid w:val="009760B1"/>
    <w:rsid w:val="0097612C"/>
    <w:rsid w:val="0097634F"/>
    <w:rsid w:val="00976D57"/>
    <w:rsid w:val="009772B4"/>
    <w:rsid w:val="0097776E"/>
    <w:rsid w:val="00977864"/>
    <w:rsid w:val="00977BDD"/>
    <w:rsid w:val="00980F77"/>
    <w:rsid w:val="00980F82"/>
    <w:rsid w:val="00981806"/>
    <w:rsid w:val="009819C5"/>
    <w:rsid w:val="009821B8"/>
    <w:rsid w:val="00982544"/>
    <w:rsid w:val="00982837"/>
    <w:rsid w:val="00982A40"/>
    <w:rsid w:val="0098371A"/>
    <w:rsid w:val="00983764"/>
    <w:rsid w:val="009844A1"/>
    <w:rsid w:val="009845FE"/>
    <w:rsid w:val="00984774"/>
    <w:rsid w:val="00984A09"/>
    <w:rsid w:val="00984B64"/>
    <w:rsid w:val="0098579B"/>
    <w:rsid w:val="0098579D"/>
    <w:rsid w:val="009857FC"/>
    <w:rsid w:val="00986990"/>
    <w:rsid w:val="00987928"/>
    <w:rsid w:val="009879EA"/>
    <w:rsid w:val="00990037"/>
    <w:rsid w:val="00990519"/>
    <w:rsid w:val="00990949"/>
    <w:rsid w:val="00990A38"/>
    <w:rsid w:val="00990C56"/>
    <w:rsid w:val="00990D9E"/>
    <w:rsid w:val="009910FF"/>
    <w:rsid w:val="00991454"/>
    <w:rsid w:val="00991D28"/>
    <w:rsid w:val="00991E8B"/>
    <w:rsid w:val="009920E9"/>
    <w:rsid w:val="0099243A"/>
    <w:rsid w:val="00992932"/>
    <w:rsid w:val="00992F6F"/>
    <w:rsid w:val="009943B8"/>
    <w:rsid w:val="0099442F"/>
    <w:rsid w:val="009946AF"/>
    <w:rsid w:val="0099489D"/>
    <w:rsid w:val="00995153"/>
    <w:rsid w:val="009954A5"/>
    <w:rsid w:val="0099564F"/>
    <w:rsid w:val="00996237"/>
    <w:rsid w:val="009965BC"/>
    <w:rsid w:val="00996763"/>
    <w:rsid w:val="009967AB"/>
    <w:rsid w:val="00996C2A"/>
    <w:rsid w:val="00996EA2"/>
    <w:rsid w:val="00997ED1"/>
    <w:rsid w:val="00997EFD"/>
    <w:rsid w:val="009A024A"/>
    <w:rsid w:val="009A1CF4"/>
    <w:rsid w:val="009A2D7B"/>
    <w:rsid w:val="009A340F"/>
    <w:rsid w:val="009A3A27"/>
    <w:rsid w:val="009A43BC"/>
    <w:rsid w:val="009A542E"/>
    <w:rsid w:val="009A63D9"/>
    <w:rsid w:val="009A6890"/>
    <w:rsid w:val="009A7939"/>
    <w:rsid w:val="009A794A"/>
    <w:rsid w:val="009A79B3"/>
    <w:rsid w:val="009B01FB"/>
    <w:rsid w:val="009B24F3"/>
    <w:rsid w:val="009B2A01"/>
    <w:rsid w:val="009B2DF4"/>
    <w:rsid w:val="009B2EB4"/>
    <w:rsid w:val="009B3984"/>
    <w:rsid w:val="009B4726"/>
    <w:rsid w:val="009B4BF9"/>
    <w:rsid w:val="009B53F8"/>
    <w:rsid w:val="009B5453"/>
    <w:rsid w:val="009B583B"/>
    <w:rsid w:val="009B69C1"/>
    <w:rsid w:val="009B7415"/>
    <w:rsid w:val="009B7DF3"/>
    <w:rsid w:val="009C0130"/>
    <w:rsid w:val="009C0821"/>
    <w:rsid w:val="009C0C21"/>
    <w:rsid w:val="009C14B1"/>
    <w:rsid w:val="009C2128"/>
    <w:rsid w:val="009C2218"/>
    <w:rsid w:val="009C2397"/>
    <w:rsid w:val="009C2DD9"/>
    <w:rsid w:val="009C2F46"/>
    <w:rsid w:val="009C3469"/>
    <w:rsid w:val="009C3A59"/>
    <w:rsid w:val="009C3D87"/>
    <w:rsid w:val="009C4B0F"/>
    <w:rsid w:val="009C562A"/>
    <w:rsid w:val="009C56F1"/>
    <w:rsid w:val="009C5DCC"/>
    <w:rsid w:val="009C7383"/>
    <w:rsid w:val="009C743B"/>
    <w:rsid w:val="009C7804"/>
    <w:rsid w:val="009C79B0"/>
    <w:rsid w:val="009D0D24"/>
    <w:rsid w:val="009D1573"/>
    <w:rsid w:val="009D19FD"/>
    <w:rsid w:val="009D1CE8"/>
    <w:rsid w:val="009D1E55"/>
    <w:rsid w:val="009D28F1"/>
    <w:rsid w:val="009D2AB0"/>
    <w:rsid w:val="009D4B4F"/>
    <w:rsid w:val="009D4BE5"/>
    <w:rsid w:val="009D4D61"/>
    <w:rsid w:val="009D51CC"/>
    <w:rsid w:val="009D53CA"/>
    <w:rsid w:val="009D5437"/>
    <w:rsid w:val="009D54CF"/>
    <w:rsid w:val="009D5C17"/>
    <w:rsid w:val="009D6FEA"/>
    <w:rsid w:val="009D704F"/>
    <w:rsid w:val="009D76B1"/>
    <w:rsid w:val="009D7D97"/>
    <w:rsid w:val="009E1371"/>
    <w:rsid w:val="009E1E1B"/>
    <w:rsid w:val="009E2013"/>
    <w:rsid w:val="009E2F1D"/>
    <w:rsid w:val="009E3A5F"/>
    <w:rsid w:val="009E3A61"/>
    <w:rsid w:val="009E3AE9"/>
    <w:rsid w:val="009E433E"/>
    <w:rsid w:val="009E458B"/>
    <w:rsid w:val="009E45BA"/>
    <w:rsid w:val="009E4759"/>
    <w:rsid w:val="009E59BA"/>
    <w:rsid w:val="009E6AD9"/>
    <w:rsid w:val="009E7203"/>
    <w:rsid w:val="009E7EB3"/>
    <w:rsid w:val="009F016A"/>
    <w:rsid w:val="009F0464"/>
    <w:rsid w:val="009F09A5"/>
    <w:rsid w:val="009F0B14"/>
    <w:rsid w:val="009F0BC7"/>
    <w:rsid w:val="009F0DDB"/>
    <w:rsid w:val="009F17CE"/>
    <w:rsid w:val="009F19E3"/>
    <w:rsid w:val="009F32DF"/>
    <w:rsid w:val="009F395E"/>
    <w:rsid w:val="009F399C"/>
    <w:rsid w:val="009F3AAC"/>
    <w:rsid w:val="009F3AD0"/>
    <w:rsid w:val="009F4758"/>
    <w:rsid w:val="009F54F8"/>
    <w:rsid w:val="009F560E"/>
    <w:rsid w:val="009F5684"/>
    <w:rsid w:val="009F58A1"/>
    <w:rsid w:val="009F58F0"/>
    <w:rsid w:val="009F5A4C"/>
    <w:rsid w:val="009F5BE1"/>
    <w:rsid w:val="009F6095"/>
    <w:rsid w:val="009F6DEF"/>
    <w:rsid w:val="009F7630"/>
    <w:rsid w:val="009F764F"/>
    <w:rsid w:val="009F7B8C"/>
    <w:rsid w:val="00A000F8"/>
    <w:rsid w:val="00A001DB"/>
    <w:rsid w:val="00A0052C"/>
    <w:rsid w:val="00A00AB2"/>
    <w:rsid w:val="00A016C4"/>
    <w:rsid w:val="00A02313"/>
    <w:rsid w:val="00A02D66"/>
    <w:rsid w:val="00A02E4E"/>
    <w:rsid w:val="00A038F1"/>
    <w:rsid w:val="00A03A0D"/>
    <w:rsid w:val="00A03A5F"/>
    <w:rsid w:val="00A04042"/>
    <w:rsid w:val="00A04C82"/>
    <w:rsid w:val="00A0509D"/>
    <w:rsid w:val="00A0537C"/>
    <w:rsid w:val="00A056C8"/>
    <w:rsid w:val="00A069E9"/>
    <w:rsid w:val="00A07730"/>
    <w:rsid w:val="00A10192"/>
    <w:rsid w:val="00A10332"/>
    <w:rsid w:val="00A10844"/>
    <w:rsid w:val="00A109CB"/>
    <w:rsid w:val="00A10B4B"/>
    <w:rsid w:val="00A11104"/>
    <w:rsid w:val="00A11A1A"/>
    <w:rsid w:val="00A11ED5"/>
    <w:rsid w:val="00A12112"/>
    <w:rsid w:val="00A126CB"/>
    <w:rsid w:val="00A12A07"/>
    <w:rsid w:val="00A12D46"/>
    <w:rsid w:val="00A1300A"/>
    <w:rsid w:val="00A13905"/>
    <w:rsid w:val="00A13FE8"/>
    <w:rsid w:val="00A141D4"/>
    <w:rsid w:val="00A14FB5"/>
    <w:rsid w:val="00A153E3"/>
    <w:rsid w:val="00A15D9C"/>
    <w:rsid w:val="00A16D25"/>
    <w:rsid w:val="00A16F89"/>
    <w:rsid w:val="00A17E59"/>
    <w:rsid w:val="00A202FB"/>
    <w:rsid w:val="00A20312"/>
    <w:rsid w:val="00A2052F"/>
    <w:rsid w:val="00A20FDD"/>
    <w:rsid w:val="00A218D3"/>
    <w:rsid w:val="00A21B96"/>
    <w:rsid w:val="00A21E24"/>
    <w:rsid w:val="00A2243D"/>
    <w:rsid w:val="00A230E1"/>
    <w:rsid w:val="00A2461C"/>
    <w:rsid w:val="00A24921"/>
    <w:rsid w:val="00A24B7B"/>
    <w:rsid w:val="00A25015"/>
    <w:rsid w:val="00A26227"/>
    <w:rsid w:val="00A26B49"/>
    <w:rsid w:val="00A26CB0"/>
    <w:rsid w:val="00A26ED9"/>
    <w:rsid w:val="00A270E4"/>
    <w:rsid w:val="00A277B4"/>
    <w:rsid w:val="00A30330"/>
    <w:rsid w:val="00A30502"/>
    <w:rsid w:val="00A312F7"/>
    <w:rsid w:val="00A31CCC"/>
    <w:rsid w:val="00A321C2"/>
    <w:rsid w:val="00A32BDD"/>
    <w:rsid w:val="00A32C3E"/>
    <w:rsid w:val="00A3307D"/>
    <w:rsid w:val="00A33238"/>
    <w:rsid w:val="00A33632"/>
    <w:rsid w:val="00A33700"/>
    <w:rsid w:val="00A3379F"/>
    <w:rsid w:val="00A33E05"/>
    <w:rsid w:val="00A346F9"/>
    <w:rsid w:val="00A3478C"/>
    <w:rsid w:val="00A3484A"/>
    <w:rsid w:val="00A34DC6"/>
    <w:rsid w:val="00A35C51"/>
    <w:rsid w:val="00A362FE"/>
    <w:rsid w:val="00A36EDB"/>
    <w:rsid w:val="00A37115"/>
    <w:rsid w:val="00A40206"/>
    <w:rsid w:val="00A40AB0"/>
    <w:rsid w:val="00A419B6"/>
    <w:rsid w:val="00A41D04"/>
    <w:rsid w:val="00A434F1"/>
    <w:rsid w:val="00A4367F"/>
    <w:rsid w:val="00A43C97"/>
    <w:rsid w:val="00A445B5"/>
    <w:rsid w:val="00A447A9"/>
    <w:rsid w:val="00A45073"/>
    <w:rsid w:val="00A456F5"/>
    <w:rsid w:val="00A46460"/>
    <w:rsid w:val="00A46F58"/>
    <w:rsid w:val="00A46FFF"/>
    <w:rsid w:val="00A47157"/>
    <w:rsid w:val="00A47B18"/>
    <w:rsid w:val="00A47CD7"/>
    <w:rsid w:val="00A50566"/>
    <w:rsid w:val="00A512C9"/>
    <w:rsid w:val="00A51B7E"/>
    <w:rsid w:val="00A51C83"/>
    <w:rsid w:val="00A51D41"/>
    <w:rsid w:val="00A51DFC"/>
    <w:rsid w:val="00A51E3B"/>
    <w:rsid w:val="00A52417"/>
    <w:rsid w:val="00A52E13"/>
    <w:rsid w:val="00A5356F"/>
    <w:rsid w:val="00A53830"/>
    <w:rsid w:val="00A5436A"/>
    <w:rsid w:val="00A54C03"/>
    <w:rsid w:val="00A554DE"/>
    <w:rsid w:val="00A55E8C"/>
    <w:rsid w:val="00A5650F"/>
    <w:rsid w:val="00A56694"/>
    <w:rsid w:val="00A5672C"/>
    <w:rsid w:val="00A570CF"/>
    <w:rsid w:val="00A57264"/>
    <w:rsid w:val="00A57D6B"/>
    <w:rsid w:val="00A6144C"/>
    <w:rsid w:val="00A61B03"/>
    <w:rsid w:val="00A62643"/>
    <w:rsid w:val="00A626AA"/>
    <w:rsid w:val="00A636B4"/>
    <w:rsid w:val="00A63902"/>
    <w:rsid w:val="00A64C81"/>
    <w:rsid w:val="00A663C6"/>
    <w:rsid w:val="00A6640B"/>
    <w:rsid w:val="00A66603"/>
    <w:rsid w:val="00A66AC9"/>
    <w:rsid w:val="00A70DF7"/>
    <w:rsid w:val="00A71572"/>
    <w:rsid w:val="00A7168C"/>
    <w:rsid w:val="00A7179E"/>
    <w:rsid w:val="00A71D26"/>
    <w:rsid w:val="00A723C8"/>
    <w:rsid w:val="00A72A8F"/>
    <w:rsid w:val="00A735E8"/>
    <w:rsid w:val="00A7383C"/>
    <w:rsid w:val="00A7392D"/>
    <w:rsid w:val="00A7396B"/>
    <w:rsid w:val="00A73AF2"/>
    <w:rsid w:val="00A743FD"/>
    <w:rsid w:val="00A74FF0"/>
    <w:rsid w:val="00A7510B"/>
    <w:rsid w:val="00A755FB"/>
    <w:rsid w:val="00A756ED"/>
    <w:rsid w:val="00A7582D"/>
    <w:rsid w:val="00A75BD1"/>
    <w:rsid w:val="00A75C12"/>
    <w:rsid w:val="00A761B2"/>
    <w:rsid w:val="00A7637C"/>
    <w:rsid w:val="00A76829"/>
    <w:rsid w:val="00A768CA"/>
    <w:rsid w:val="00A76920"/>
    <w:rsid w:val="00A7692C"/>
    <w:rsid w:val="00A804A1"/>
    <w:rsid w:val="00A80501"/>
    <w:rsid w:val="00A80684"/>
    <w:rsid w:val="00A80A7B"/>
    <w:rsid w:val="00A80A7F"/>
    <w:rsid w:val="00A8147D"/>
    <w:rsid w:val="00A8193A"/>
    <w:rsid w:val="00A829E1"/>
    <w:rsid w:val="00A82FC6"/>
    <w:rsid w:val="00A83198"/>
    <w:rsid w:val="00A834D6"/>
    <w:rsid w:val="00A83B88"/>
    <w:rsid w:val="00A83D6D"/>
    <w:rsid w:val="00A83EE0"/>
    <w:rsid w:val="00A842A0"/>
    <w:rsid w:val="00A84CDD"/>
    <w:rsid w:val="00A857FB"/>
    <w:rsid w:val="00A85F76"/>
    <w:rsid w:val="00A86688"/>
    <w:rsid w:val="00A87460"/>
    <w:rsid w:val="00A87697"/>
    <w:rsid w:val="00A87DBB"/>
    <w:rsid w:val="00A90147"/>
    <w:rsid w:val="00A90681"/>
    <w:rsid w:val="00A906DC"/>
    <w:rsid w:val="00A9086C"/>
    <w:rsid w:val="00A90BB5"/>
    <w:rsid w:val="00A90D57"/>
    <w:rsid w:val="00A9162F"/>
    <w:rsid w:val="00A91B26"/>
    <w:rsid w:val="00A91D10"/>
    <w:rsid w:val="00A9295F"/>
    <w:rsid w:val="00A93312"/>
    <w:rsid w:val="00A9375B"/>
    <w:rsid w:val="00A93B00"/>
    <w:rsid w:val="00A9408A"/>
    <w:rsid w:val="00A94C6C"/>
    <w:rsid w:val="00A94D2F"/>
    <w:rsid w:val="00A94ECA"/>
    <w:rsid w:val="00A9545E"/>
    <w:rsid w:val="00A960F2"/>
    <w:rsid w:val="00A97143"/>
    <w:rsid w:val="00A972CF"/>
    <w:rsid w:val="00A97326"/>
    <w:rsid w:val="00A97CB0"/>
    <w:rsid w:val="00AA1C78"/>
    <w:rsid w:val="00AA265A"/>
    <w:rsid w:val="00AA35B0"/>
    <w:rsid w:val="00AA3B20"/>
    <w:rsid w:val="00AA4486"/>
    <w:rsid w:val="00AA4B38"/>
    <w:rsid w:val="00AA4C40"/>
    <w:rsid w:val="00AA4F48"/>
    <w:rsid w:val="00AA51EF"/>
    <w:rsid w:val="00AA5251"/>
    <w:rsid w:val="00AA53E4"/>
    <w:rsid w:val="00AA5A8A"/>
    <w:rsid w:val="00AA62E1"/>
    <w:rsid w:val="00AA68C2"/>
    <w:rsid w:val="00AA6BA0"/>
    <w:rsid w:val="00AA7125"/>
    <w:rsid w:val="00AA74FB"/>
    <w:rsid w:val="00AB0223"/>
    <w:rsid w:val="00AB087B"/>
    <w:rsid w:val="00AB0D42"/>
    <w:rsid w:val="00AB0F53"/>
    <w:rsid w:val="00AB1818"/>
    <w:rsid w:val="00AB1884"/>
    <w:rsid w:val="00AB1C7B"/>
    <w:rsid w:val="00AB2897"/>
    <w:rsid w:val="00AB33DE"/>
    <w:rsid w:val="00AB34EE"/>
    <w:rsid w:val="00AB350D"/>
    <w:rsid w:val="00AB35D1"/>
    <w:rsid w:val="00AB567E"/>
    <w:rsid w:val="00AB5981"/>
    <w:rsid w:val="00AB5B15"/>
    <w:rsid w:val="00AB6136"/>
    <w:rsid w:val="00AB617F"/>
    <w:rsid w:val="00AB682E"/>
    <w:rsid w:val="00AB699D"/>
    <w:rsid w:val="00AB6EE6"/>
    <w:rsid w:val="00AB72FC"/>
    <w:rsid w:val="00AB76DB"/>
    <w:rsid w:val="00AB7818"/>
    <w:rsid w:val="00AC0A4A"/>
    <w:rsid w:val="00AC0B4E"/>
    <w:rsid w:val="00AC1348"/>
    <w:rsid w:val="00AC1A2B"/>
    <w:rsid w:val="00AC1E36"/>
    <w:rsid w:val="00AC216A"/>
    <w:rsid w:val="00AC23CD"/>
    <w:rsid w:val="00AC2A9C"/>
    <w:rsid w:val="00AC3408"/>
    <w:rsid w:val="00AC34FD"/>
    <w:rsid w:val="00AC3558"/>
    <w:rsid w:val="00AC3B0B"/>
    <w:rsid w:val="00AC445E"/>
    <w:rsid w:val="00AC47D1"/>
    <w:rsid w:val="00AC487A"/>
    <w:rsid w:val="00AC4DCB"/>
    <w:rsid w:val="00AC61BD"/>
    <w:rsid w:val="00AC6D16"/>
    <w:rsid w:val="00AC6E66"/>
    <w:rsid w:val="00AC6E85"/>
    <w:rsid w:val="00AC753D"/>
    <w:rsid w:val="00AC7B42"/>
    <w:rsid w:val="00AD00B2"/>
    <w:rsid w:val="00AD21CF"/>
    <w:rsid w:val="00AD2E90"/>
    <w:rsid w:val="00AD348F"/>
    <w:rsid w:val="00AD3516"/>
    <w:rsid w:val="00AD4603"/>
    <w:rsid w:val="00AD5785"/>
    <w:rsid w:val="00AD58AA"/>
    <w:rsid w:val="00AD5A07"/>
    <w:rsid w:val="00AD5B14"/>
    <w:rsid w:val="00AD5D23"/>
    <w:rsid w:val="00AD62F3"/>
    <w:rsid w:val="00AD6D47"/>
    <w:rsid w:val="00AD75E6"/>
    <w:rsid w:val="00AD76BA"/>
    <w:rsid w:val="00AD7B0C"/>
    <w:rsid w:val="00AD7BD2"/>
    <w:rsid w:val="00AE06A3"/>
    <w:rsid w:val="00AE19EC"/>
    <w:rsid w:val="00AE27F8"/>
    <w:rsid w:val="00AE28A9"/>
    <w:rsid w:val="00AE377A"/>
    <w:rsid w:val="00AE3B61"/>
    <w:rsid w:val="00AE3D00"/>
    <w:rsid w:val="00AE3EC1"/>
    <w:rsid w:val="00AE44E0"/>
    <w:rsid w:val="00AE48AC"/>
    <w:rsid w:val="00AE5036"/>
    <w:rsid w:val="00AE567C"/>
    <w:rsid w:val="00AE6261"/>
    <w:rsid w:val="00AE62C6"/>
    <w:rsid w:val="00AE6375"/>
    <w:rsid w:val="00AE6421"/>
    <w:rsid w:val="00AE6ED0"/>
    <w:rsid w:val="00AF0443"/>
    <w:rsid w:val="00AF083C"/>
    <w:rsid w:val="00AF0872"/>
    <w:rsid w:val="00AF0887"/>
    <w:rsid w:val="00AF0D55"/>
    <w:rsid w:val="00AF0F86"/>
    <w:rsid w:val="00AF12CA"/>
    <w:rsid w:val="00AF1631"/>
    <w:rsid w:val="00AF1886"/>
    <w:rsid w:val="00AF18A8"/>
    <w:rsid w:val="00AF18BA"/>
    <w:rsid w:val="00AF20AD"/>
    <w:rsid w:val="00AF3760"/>
    <w:rsid w:val="00AF3A00"/>
    <w:rsid w:val="00AF4FF1"/>
    <w:rsid w:val="00AF5D1D"/>
    <w:rsid w:val="00AF6659"/>
    <w:rsid w:val="00AF6D3A"/>
    <w:rsid w:val="00AF6DC6"/>
    <w:rsid w:val="00AF7207"/>
    <w:rsid w:val="00B000FE"/>
    <w:rsid w:val="00B00409"/>
    <w:rsid w:val="00B006A3"/>
    <w:rsid w:val="00B00EEA"/>
    <w:rsid w:val="00B014B0"/>
    <w:rsid w:val="00B015CC"/>
    <w:rsid w:val="00B018BD"/>
    <w:rsid w:val="00B01B3E"/>
    <w:rsid w:val="00B01D2D"/>
    <w:rsid w:val="00B020CA"/>
    <w:rsid w:val="00B0291E"/>
    <w:rsid w:val="00B02975"/>
    <w:rsid w:val="00B02B5A"/>
    <w:rsid w:val="00B02EB6"/>
    <w:rsid w:val="00B02FDE"/>
    <w:rsid w:val="00B03D90"/>
    <w:rsid w:val="00B0491B"/>
    <w:rsid w:val="00B0547C"/>
    <w:rsid w:val="00B057B0"/>
    <w:rsid w:val="00B05856"/>
    <w:rsid w:val="00B05DA9"/>
    <w:rsid w:val="00B06240"/>
    <w:rsid w:val="00B06DB1"/>
    <w:rsid w:val="00B07462"/>
    <w:rsid w:val="00B07FC7"/>
    <w:rsid w:val="00B100A2"/>
    <w:rsid w:val="00B107EC"/>
    <w:rsid w:val="00B10981"/>
    <w:rsid w:val="00B109E0"/>
    <w:rsid w:val="00B10D88"/>
    <w:rsid w:val="00B1149B"/>
    <w:rsid w:val="00B118A0"/>
    <w:rsid w:val="00B12159"/>
    <w:rsid w:val="00B13504"/>
    <w:rsid w:val="00B1366C"/>
    <w:rsid w:val="00B13AC3"/>
    <w:rsid w:val="00B13F70"/>
    <w:rsid w:val="00B141AF"/>
    <w:rsid w:val="00B143E8"/>
    <w:rsid w:val="00B14C7D"/>
    <w:rsid w:val="00B15BB9"/>
    <w:rsid w:val="00B17266"/>
    <w:rsid w:val="00B175ED"/>
    <w:rsid w:val="00B17D0B"/>
    <w:rsid w:val="00B20378"/>
    <w:rsid w:val="00B20456"/>
    <w:rsid w:val="00B205D9"/>
    <w:rsid w:val="00B20828"/>
    <w:rsid w:val="00B21BCC"/>
    <w:rsid w:val="00B22172"/>
    <w:rsid w:val="00B221D3"/>
    <w:rsid w:val="00B22370"/>
    <w:rsid w:val="00B22B71"/>
    <w:rsid w:val="00B22E52"/>
    <w:rsid w:val="00B23101"/>
    <w:rsid w:val="00B23495"/>
    <w:rsid w:val="00B241DC"/>
    <w:rsid w:val="00B24FF0"/>
    <w:rsid w:val="00B25B2A"/>
    <w:rsid w:val="00B261AA"/>
    <w:rsid w:val="00B271CE"/>
    <w:rsid w:val="00B27693"/>
    <w:rsid w:val="00B30FD5"/>
    <w:rsid w:val="00B315BA"/>
    <w:rsid w:val="00B315E2"/>
    <w:rsid w:val="00B316BE"/>
    <w:rsid w:val="00B325EF"/>
    <w:rsid w:val="00B329AD"/>
    <w:rsid w:val="00B32C66"/>
    <w:rsid w:val="00B335F7"/>
    <w:rsid w:val="00B34275"/>
    <w:rsid w:val="00B34C76"/>
    <w:rsid w:val="00B34F1A"/>
    <w:rsid w:val="00B35DA8"/>
    <w:rsid w:val="00B35F8E"/>
    <w:rsid w:val="00B35FDF"/>
    <w:rsid w:val="00B35FEF"/>
    <w:rsid w:val="00B3636B"/>
    <w:rsid w:val="00B36A9A"/>
    <w:rsid w:val="00B36DAD"/>
    <w:rsid w:val="00B3755C"/>
    <w:rsid w:val="00B37E32"/>
    <w:rsid w:val="00B37EA5"/>
    <w:rsid w:val="00B40025"/>
    <w:rsid w:val="00B401D5"/>
    <w:rsid w:val="00B4029C"/>
    <w:rsid w:val="00B40987"/>
    <w:rsid w:val="00B40997"/>
    <w:rsid w:val="00B40A65"/>
    <w:rsid w:val="00B40B6C"/>
    <w:rsid w:val="00B41021"/>
    <w:rsid w:val="00B414BD"/>
    <w:rsid w:val="00B4181C"/>
    <w:rsid w:val="00B41A83"/>
    <w:rsid w:val="00B41DFB"/>
    <w:rsid w:val="00B41E6F"/>
    <w:rsid w:val="00B42004"/>
    <w:rsid w:val="00B42FDF"/>
    <w:rsid w:val="00B4403B"/>
    <w:rsid w:val="00B44430"/>
    <w:rsid w:val="00B44D34"/>
    <w:rsid w:val="00B44F41"/>
    <w:rsid w:val="00B45095"/>
    <w:rsid w:val="00B45574"/>
    <w:rsid w:val="00B458D5"/>
    <w:rsid w:val="00B4592E"/>
    <w:rsid w:val="00B45BE2"/>
    <w:rsid w:val="00B46A8B"/>
    <w:rsid w:val="00B46E9F"/>
    <w:rsid w:val="00B476E1"/>
    <w:rsid w:val="00B477A0"/>
    <w:rsid w:val="00B47E31"/>
    <w:rsid w:val="00B508E7"/>
    <w:rsid w:val="00B50D88"/>
    <w:rsid w:val="00B50E1E"/>
    <w:rsid w:val="00B50E23"/>
    <w:rsid w:val="00B51193"/>
    <w:rsid w:val="00B511C9"/>
    <w:rsid w:val="00B5128F"/>
    <w:rsid w:val="00B515BC"/>
    <w:rsid w:val="00B519F2"/>
    <w:rsid w:val="00B51B6E"/>
    <w:rsid w:val="00B51C1E"/>
    <w:rsid w:val="00B51E21"/>
    <w:rsid w:val="00B5267D"/>
    <w:rsid w:val="00B52C37"/>
    <w:rsid w:val="00B53822"/>
    <w:rsid w:val="00B53F52"/>
    <w:rsid w:val="00B54333"/>
    <w:rsid w:val="00B550EB"/>
    <w:rsid w:val="00B55B42"/>
    <w:rsid w:val="00B560F8"/>
    <w:rsid w:val="00B563AB"/>
    <w:rsid w:val="00B565D7"/>
    <w:rsid w:val="00B579BE"/>
    <w:rsid w:val="00B57DBD"/>
    <w:rsid w:val="00B57F9F"/>
    <w:rsid w:val="00B6042C"/>
    <w:rsid w:val="00B60D56"/>
    <w:rsid w:val="00B60FBD"/>
    <w:rsid w:val="00B61323"/>
    <w:rsid w:val="00B61427"/>
    <w:rsid w:val="00B614E8"/>
    <w:rsid w:val="00B61749"/>
    <w:rsid w:val="00B617CF"/>
    <w:rsid w:val="00B626A3"/>
    <w:rsid w:val="00B62736"/>
    <w:rsid w:val="00B629BF"/>
    <w:rsid w:val="00B62D20"/>
    <w:rsid w:val="00B62F16"/>
    <w:rsid w:val="00B63F7F"/>
    <w:rsid w:val="00B64512"/>
    <w:rsid w:val="00B6471C"/>
    <w:rsid w:val="00B64B52"/>
    <w:rsid w:val="00B6506B"/>
    <w:rsid w:val="00B657E2"/>
    <w:rsid w:val="00B65B47"/>
    <w:rsid w:val="00B65E86"/>
    <w:rsid w:val="00B65F7D"/>
    <w:rsid w:val="00B660C6"/>
    <w:rsid w:val="00B661A3"/>
    <w:rsid w:val="00B667D0"/>
    <w:rsid w:val="00B670D2"/>
    <w:rsid w:val="00B67453"/>
    <w:rsid w:val="00B67633"/>
    <w:rsid w:val="00B677FA"/>
    <w:rsid w:val="00B67D48"/>
    <w:rsid w:val="00B71022"/>
    <w:rsid w:val="00B71828"/>
    <w:rsid w:val="00B71B9F"/>
    <w:rsid w:val="00B71FDA"/>
    <w:rsid w:val="00B7227E"/>
    <w:rsid w:val="00B72471"/>
    <w:rsid w:val="00B73335"/>
    <w:rsid w:val="00B738E3"/>
    <w:rsid w:val="00B74EF2"/>
    <w:rsid w:val="00B76111"/>
    <w:rsid w:val="00B76577"/>
    <w:rsid w:val="00B772EE"/>
    <w:rsid w:val="00B77AB2"/>
    <w:rsid w:val="00B8005D"/>
    <w:rsid w:val="00B80846"/>
    <w:rsid w:val="00B810D6"/>
    <w:rsid w:val="00B818C6"/>
    <w:rsid w:val="00B81FD8"/>
    <w:rsid w:val="00B81FF8"/>
    <w:rsid w:val="00B828E3"/>
    <w:rsid w:val="00B83902"/>
    <w:rsid w:val="00B8398E"/>
    <w:rsid w:val="00B83DA5"/>
    <w:rsid w:val="00B846EC"/>
    <w:rsid w:val="00B8496C"/>
    <w:rsid w:val="00B84C46"/>
    <w:rsid w:val="00B853E6"/>
    <w:rsid w:val="00B855A2"/>
    <w:rsid w:val="00B86561"/>
    <w:rsid w:val="00B86BE8"/>
    <w:rsid w:val="00B87522"/>
    <w:rsid w:val="00B877C4"/>
    <w:rsid w:val="00B87B52"/>
    <w:rsid w:val="00B90679"/>
    <w:rsid w:val="00B9095B"/>
    <w:rsid w:val="00B90E20"/>
    <w:rsid w:val="00B916B5"/>
    <w:rsid w:val="00B91E68"/>
    <w:rsid w:val="00B9221F"/>
    <w:rsid w:val="00B92886"/>
    <w:rsid w:val="00B92977"/>
    <w:rsid w:val="00B92B44"/>
    <w:rsid w:val="00B93222"/>
    <w:rsid w:val="00B9383C"/>
    <w:rsid w:val="00B93C7C"/>
    <w:rsid w:val="00B9518F"/>
    <w:rsid w:val="00B95EBE"/>
    <w:rsid w:val="00B9606E"/>
    <w:rsid w:val="00B960B4"/>
    <w:rsid w:val="00B971B1"/>
    <w:rsid w:val="00BA0ADB"/>
    <w:rsid w:val="00BA0B94"/>
    <w:rsid w:val="00BA103B"/>
    <w:rsid w:val="00BA1301"/>
    <w:rsid w:val="00BA1CD5"/>
    <w:rsid w:val="00BA1E25"/>
    <w:rsid w:val="00BA1F0C"/>
    <w:rsid w:val="00BA242E"/>
    <w:rsid w:val="00BA272D"/>
    <w:rsid w:val="00BA3132"/>
    <w:rsid w:val="00BA3839"/>
    <w:rsid w:val="00BA4400"/>
    <w:rsid w:val="00BA4BB2"/>
    <w:rsid w:val="00BA5B66"/>
    <w:rsid w:val="00BA5C15"/>
    <w:rsid w:val="00BA77BF"/>
    <w:rsid w:val="00BA7C2D"/>
    <w:rsid w:val="00BB004F"/>
    <w:rsid w:val="00BB0CD8"/>
    <w:rsid w:val="00BB0D8A"/>
    <w:rsid w:val="00BB2852"/>
    <w:rsid w:val="00BB2DAF"/>
    <w:rsid w:val="00BB2F6A"/>
    <w:rsid w:val="00BB3FC3"/>
    <w:rsid w:val="00BB43CC"/>
    <w:rsid w:val="00BB48D9"/>
    <w:rsid w:val="00BB4DA7"/>
    <w:rsid w:val="00BB57EA"/>
    <w:rsid w:val="00BB5D56"/>
    <w:rsid w:val="00BB5EAE"/>
    <w:rsid w:val="00BB68CA"/>
    <w:rsid w:val="00BB7057"/>
    <w:rsid w:val="00BB71BF"/>
    <w:rsid w:val="00BB75F5"/>
    <w:rsid w:val="00BB7978"/>
    <w:rsid w:val="00BB7B64"/>
    <w:rsid w:val="00BC083B"/>
    <w:rsid w:val="00BC117A"/>
    <w:rsid w:val="00BC16F6"/>
    <w:rsid w:val="00BC1993"/>
    <w:rsid w:val="00BC19E1"/>
    <w:rsid w:val="00BC1A3B"/>
    <w:rsid w:val="00BC1E8B"/>
    <w:rsid w:val="00BC2128"/>
    <w:rsid w:val="00BC21AD"/>
    <w:rsid w:val="00BC2394"/>
    <w:rsid w:val="00BC2664"/>
    <w:rsid w:val="00BC284D"/>
    <w:rsid w:val="00BC2929"/>
    <w:rsid w:val="00BC2A6E"/>
    <w:rsid w:val="00BC4C15"/>
    <w:rsid w:val="00BC5305"/>
    <w:rsid w:val="00BC5A76"/>
    <w:rsid w:val="00BC6694"/>
    <w:rsid w:val="00BC6856"/>
    <w:rsid w:val="00BC6BE8"/>
    <w:rsid w:val="00BC6FFD"/>
    <w:rsid w:val="00BD0DC0"/>
    <w:rsid w:val="00BD359C"/>
    <w:rsid w:val="00BD3930"/>
    <w:rsid w:val="00BD3CCF"/>
    <w:rsid w:val="00BD406E"/>
    <w:rsid w:val="00BD44BE"/>
    <w:rsid w:val="00BD5DEB"/>
    <w:rsid w:val="00BD5F0A"/>
    <w:rsid w:val="00BD62A1"/>
    <w:rsid w:val="00BD6AC7"/>
    <w:rsid w:val="00BD7127"/>
    <w:rsid w:val="00BD7DF7"/>
    <w:rsid w:val="00BD7E73"/>
    <w:rsid w:val="00BE0742"/>
    <w:rsid w:val="00BE2227"/>
    <w:rsid w:val="00BE2378"/>
    <w:rsid w:val="00BE260F"/>
    <w:rsid w:val="00BE28AB"/>
    <w:rsid w:val="00BE2C43"/>
    <w:rsid w:val="00BE376E"/>
    <w:rsid w:val="00BE4083"/>
    <w:rsid w:val="00BE44C0"/>
    <w:rsid w:val="00BE4DFB"/>
    <w:rsid w:val="00BE4E2E"/>
    <w:rsid w:val="00BE4F87"/>
    <w:rsid w:val="00BE5A7E"/>
    <w:rsid w:val="00BE5CE2"/>
    <w:rsid w:val="00BE5DA1"/>
    <w:rsid w:val="00BE60A7"/>
    <w:rsid w:val="00BE60E9"/>
    <w:rsid w:val="00BE62B6"/>
    <w:rsid w:val="00BE66DF"/>
    <w:rsid w:val="00BE6FE4"/>
    <w:rsid w:val="00BE7D2C"/>
    <w:rsid w:val="00BF063B"/>
    <w:rsid w:val="00BF0A6F"/>
    <w:rsid w:val="00BF0B58"/>
    <w:rsid w:val="00BF0E63"/>
    <w:rsid w:val="00BF0ECA"/>
    <w:rsid w:val="00BF168F"/>
    <w:rsid w:val="00BF186B"/>
    <w:rsid w:val="00BF19A2"/>
    <w:rsid w:val="00BF1BC7"/>
    <w:rsid w:val="00BF2071"/>
    <w:rsid w:val="00BF2633"/>
    <w:rsid w:val="00BF2793"/>
    <w:rsid w:val="00BF29E5"/>
    <w:rsid w:val="00BF2D0A"/>
    <w:rsid w:val="00BF3288"/>
    <w:rsid w:val="00BF344B"/>
    <w:rsid w:val="00BF3486"/>
    <w:rsid w:val="00BF36C7"/>
    <w:rsid w:val="00BF38F6"/>
    <w:rsid w:val="00BF3EA7"/>
    <w:rsid w:val="00BF40A6"/>
    <w:rsid w:val="00BF41D5"/>
    <w:rsid w:val="00BF485F"/>
    <w:rsid w:val="00BF534E"/>
    <w:rsid w:val="00BF538D"/>
    <w:rsid w:val="00BF552D"/>
    <w:rsid w:val="00BF6706"/>
    <w:rsid w:val="00BF6758"/>
    <w:rsid w:val="00BF6F9E"/>
    <w:rsid w:val="00BF709D"/>
    <w:rsid w:val="00BF75E5"/>
    <w:rsid w:val="00BF7DED"/>
    <w:rsid w:val="00C0106C"/>
    <w:rsid w:val="00C01244"/>
    <w:rsid w:val="00C017EE"/>
    <w:rsid w:val="00C01BF6"/>
    <w:rsid w:val="00C020FB"/>
    <w:rsid w:val="00C029DD"/>
    <w:rsid w:val="00C0300F"/>
    <w:rsid w:val="00C034A4"/>
    <w:rsid w:val="00C03C85"/>
    <w:rsid w:val="00C0410D"/>
    <w:rsid w:val="00C04489"/>
    <w:rsid w:val="00C047DD"/>
    <w:rsid w:val="00C04864"/>
    <w:rsid w:val="00C04B9A"/>
    <w:rsid w:val="00C0547F"/>
    <w:rsid w:val="00C05F01"/>
    <w:rsid w:val="00C06086"/>
    <w:rsid w:val="00C06AAE"/>
    <w:rsid w:val="00C06D5B"/>
    <w:rsid w:val="00C0731C"/>
    <w:rsid w:val="00C075DD"/>
    <w:rsid w:val="00C11BB4"/>
    <w:rsid w:val="00C11F75"/>
    <w:rsid w:val="00C1240B"/>
    <w:rsid w:val="00C131D3"/>
    <w:rsid w:val="00C144EA"/>
    <w:rsid w:val="00C14945"/>
    <w:rsid w:val="00C14EEF"/>
    <w:rsid w:val="00C1541A"/>
    <w:rsid w:val="00C16675"/>
    <w:rsid w:val="00C1667D"/>
    <w:rsid w:val="00C16A80"/>
    <w:rsid w:val="00C17994"/>
    <w:rsid w:val="00C1799B"/>
    <w:rsid w:val="00C201FF"/>
    <w:rsid w:val="00C2053D"/>
    <w:rsid w:val="00C21574"/>
    <w:rsid w:val="00C22430"/>
    <w:rsid w:val="00C2262B"/>
    <w:rsid w:val="00C233F3"/>
    <w:rsid w:val="00C235A7"/>
    <w:rsid w:val="00C23888"/>
    <w:rsid w:val="00C24404"/>
    <w:rsid w:val="00C24775"/>
    <w:rsid w:val="00C24A30"/>
    <w:rsid w:val="00C24BAA"/>
    <w:rsid w:val="00C25CE4"/>
    <w:rsid w:val="00C25D9C"/>
    <w:rsid w:val="00C25FBF"/>
    <w:rsid w:val="00C2603C"/>
    <w:rsid w:val="00C26B1B"/>
    <w:rsid w:val="00C26FD3"/>
    <w:rsid w:val="00C2710E"/>
    <w:rsid w:val="00C27175"/>
    <w:rsid w:val="00C3000F"/>
    <w:rsid w:val="00C306A2"/>
    <w:rsid w:val="00C3090D"/>
    <w:rsid w:val="00C31343"/>
    <w:rsid w:val="00C315A8"/>
    <w:rsid w:val="00C31623"/>
    <w:rsid w:val="00C31C39"/>
    <w:rsid w:val="00C31FDE"/>
    <w:rsid w:val="00C32B08"/>
    <w:rsid w:val="00C32DC1"/>
    <w:rsid w:val="00C3316B"/>
    <w:rsid w:val="00C33265"/>
    <w:rsid w:val="00C33D0F"/>
    <w:rsid w:val="00C33EF8"/>
    <w:rsid w:val="00C340F2"/>
    <w:rsid w:val="00C343AF"/>
    <w:rsid w:val="00C34B49"/>
    <w:rsid w:val="00C35168"/>
    <w:rsid w:val="00C352E5"/>
    <w:rsid w:val="00C35B2C"/>
    <w:rsid w:val="00C35CB9"/>
    <w:rsid w:val="00C35E2E"/>
    <w:rsid w:val="00C36412"/>
    <w:rsid w:val="00C36479"/>
    <w:rsid w:val="00C364E3"/>
    <w:rsid w:val="00C369F8"/>
    <w:rsid w:val="00C36C6C"/>
    <w:rsid w:val="00C37184"/>
    <w:rsid w:val="00C37B2C"/>
    <w:rsid w:val="00C37CD7"/>
    <w:rsid w:val="00C40BA3"/>
    <w:rsid w:val="00C412F5"/>
    <w:rsid w:val="00C4161A"/>
    <w:rsid w:val="00C416B8"/>
    <w:rsid w:val="00C41C49"/>
    <w:rsid w:val="00C41EEC"/>
    <w:rsid w:val="00C4245C"/>
    <w:rsid w:val="00C42C56"/>
    <w:rsid w:val="00C431DE"/>
    <w:rsid w:val="00C43C40"/>
    <w:rsid w:val="00C44787"/>
    <w:rsid w:val="00C465E0"/>
    <w:rsid w:val="00C4674B"/>
    <w:rsid w:val="00C4723D"/>
    <w:rsid w:val="00C475DA"/>
    <w:rsid w:val="00C47EC9"/>
    <w:rsid w:val="00C501F0"/>
    <w:rsid w:val="00C51022"/>
    <w:rsid w:val="00C51087"/>
    <w:rsid w:val="00C510FB"/>
    <w:rsid w:val="00C51107"/>
    <w:rsid w:val="00C51781"/>
    <w:rsid w:val="00C51B30"/>
    <w:rsid w:val="00C51F59"/>
    <w:rsid w:val="00C523DE"/>
    <w:rsid w:val="00C52522"/>
    <w:rsid w:val="00C525D8"/>
    <w:rsid w:val="00C52948"/>
    <w:rsid w:val="00C52ACC"/>
    <w:rsid w:val="00C52AEA"/>
    <w:rsid w:val="00C52C7C"/>
    <w:rsid w:val="00C5338C"/>
    <w:rsid w:val="00C53936"/>
    <w:rsid w:val="00C53E8F"/>
    <w:rsid w:val="00C54EDB"/>
    <w:rsid w:val="00C55DC2"/>
    <w:rsid w:val="00C5624B"/>
    <w:rsid w:val="00C56909"/>
    <w:rsid w:val="00C56AB4"/>
    <w:rsid w:val="00C56B94"/>
    <w:rsid w:val="00C56FEF"/>
    <w:rsid w:val="00C57A54"/>
    <w:rsid w:val="00C57A84"/>
    <w:rsid w:val="00C57E53"/>
    <w:rsid w:val="00C603C1"/>
    <w:rsid w:val="00C6132A"/>
    <w:rsid w:val="00C61635"/>
    <w:rsid w:val="00C61ABB"/>
    <w:rsid w:val="00C61E69"/>
    <w:rsid w:val="00C62740"/>
    <w:rsid w:val="00C62E8D"/>
    <w:rsid w:val="00C6316E"/>
    <w:rsid w:val="00C6353C"/>
    <w:rsid w:val="00C6363C"/>
    <w:rsid w:val="00C63664"/>
    <w:rsid w:val="00C638EB"/>
    <w:rsid w:val="00C6421B"/>
    <w:rsid w:val="00C643F1"/>
    <w:rsid w:val="00C6453E"/>
    <w:rsid w:val="00C64945"/>
    <w:rsid w:val="00C652DA"/>
    <w:rsid w:val="00C655A5"/>
    <w:rsid w:val="00C65E2C"/>
    <w:rsid w:val="00C660CD"/>
    <w:rsid w:val="00C6651F"/>
    <w:rsid w:val="00C66653"/>
    <w:rsid w:val="00C66893"/>
    <w:rsid w:val="00C66BBB"/>
    <w:rsid w:val="00C66E77"/>
    <w:rsid w:val="00C6710B"/>
    <w:rsid w:val="00C6728F"/>
    <w:rsid w:val="00C70EC5"/>
    <w:rsid w:val="00C71BC7"/>
    <w:rsid w:val="00C72322"/>
    <w:rsid w:val="00C72349"/>
    <w:rsid w:val="00C723E8"/>
    <w:rsid w:val="00C72F7D"/>
    <w:rsid w:val="00C73305"/>
    <w:rsid w:val="00C733CB"/>
    <w:rsid w:val="00C734D2"/>
    <w:rsid w:val="00C7400F"/>
    <w:rsid w:val="00C74445"/>
    <w:rsid w:val="00C74A52"/>
    <w:rsid w:val="00C757EF"/>
    <w:rsid w:val="00C75C8A"/>
    <w:rsid w:val="00C75EDF"/>
    <w:rsid w:val="00C760F4"/>
    <w:rsid w:val="00C763A8"/>
    <w:rsid w:val="00C76720"/>
    <w:rsid w:val="00C768B8"/>
    <w:rsid w:val="00C7723D"/>
    <w:rsid w:val="00C77DEC"/>
    <w:rsid w:val="00C8017F"/>
    <w:rsid w:val="00C8046C"/>
    <w:rsid w:val="00C80688"/>
    <w:rsid w:val="00C80AA9"/>
    <w:rsid w:val="00C80D8D"/>
    <w:rsid w:val="00C81064"/>
    <w:rsid w:val="00C812B9"/>
    <w:rsid w:val="00C8180D"/>
    <w:rsid w:val="00C8196B"/>
    <w:rsid w:val="00C819FA"/>
    <w:rsid w:val="00C81D9F"/>
    <w:rsid w:val="00C82436"/>
    <w:rsid w:val="00C8258D"/>
    <w:rsid w:val="00C831BB"/>
    <w:rsid w:val="00C83EA8"/>
    <w:rsid w:val="00C844A4"/>
    <w:rsid w:val="00C84703"/>
    <w:rsid w:val="00C84C89"/>
    <w:rsid w:val="00C84CCB"/>
    <w:rsid w:val="00C84D4C"/>
    <w:rsid w:val="00C84F0D"/>
    <w:rsid w:val="00C84F35"/>
    <w:rsid w:val="00C84FE8"/>
    <w:rsid w:val="00C85CE0"/>
    <w:rsid w:val="00C86205"/>
    <w:rsid w:val="00C86545"/>
    <w:rsid w:val="00C87395"/>
    <w:rsid w:val="00C90195"/>
    <w:rsid w:val="00C90217"/>
    <w:rsid w:val="00C90B20"/>
    <w:rsid w:val="00C90B85"/>
    <w:rsid w:val="00C91221"/>
    <w:rsid w:val="00C916DE"/>
    <w:rsid w:val="00C91BD4"/>
    <w:rsid w:val="00C92B86"/>
    <w:rsid w:val="00C933FE"/>
    <w:rsid w:val="00C9391C"/>
    <w:rsid w:val="00C9396A"/>
    <w:rsid w:val="00C9449A"/>
    <w:rsid w:val="00C9510E"/>
    <w:rsid w:val="00C9523F"/>
    <w:rsid w:val="00C95FD3"/>
    <w:rsid w:val="00C968A1"/>
    <w:rsid w:val="00CA0254"/>
    <w:rsid w:val="00CA0370"/>
    <w:rsid w:val="00CA0D9B"/>
    <w:rsid w:val="00CA1BE2"/>
    <w:rsid w:val="00CA2346"/>
    <w:rsid w:val="00CA2957"/>
    <w:rsid w:val="00CA2BC9"/>
    <w:rsid w:val="00CA300E"/>
    <w:rsid w:val="00CA3D17"/>
    <w:rsid w:val="00CA3E47"/>
    <w:rsid w:val="00CA443A"/>
    <w:rsid w:val="00CA5505"/>
    <w:rsid w:val="00CA6741"/>
    <w:rsid w:val="00CA6FC4"/>
    <w:rsid w:val="00CA722C"/>
    <w:rsid w:val="00CA7264"/>
    <w:rsid w:val="00CA77EF"/>
    <w:rsid w:val="00CA7C75"/>
    <w:rsid w:val="00CB0308"/>
    <w:rsid w:val="00CB06AC"/>
    <w:rsid w:val="00CB0943"/>
    <w:rsid w:val="00CB11DF"/>
    <w:rsid w:val="00CB1233"/>
    <w:rsid w:val="00CB138D"/>
    <w:rsid w:val="00CB20B9"/>
    <w:rsid w:val="00CB248F"/>
    <w:rsid w:val="00CB2746"/>
    <w:rsid w:val="00CB2814"/>
    <w:rsid w:val="00CB2A85"/>
    <w:rsid w:val="00CB2CB6"/>
    <w:rsid w:val="00CB33E7"/>
    <w:rsid w:val="00CB36E2"/>
    <w:rsid w:val="00CB382F"/>
    <w:rsid w:val="00CB3AC6"/>
    <w:rsid w:val="00CB3BDC"/>
    <w:rsid w:val="00CB3C30"/>
    <w:rsid w:val="00CB4B21"/>
    <w:rsid w:val="00CB548B"/>
    <w:rsid w:val="00CB612C"/>
    <w:rsid w:val="00CB6544"/>
    <w:rsid w:val="00CB714F"/>
    <w:rsid w:val="00CB7599"/>
    <w:rsid w:val="00CB75BB"/>
    <w:rsid w:val="00CC11ED"/>
    <w:rsid w:val="00CC1249"/>
    <w:rsid w:val="00CC13E6"/>
    <w:rsid w:val="00CC1899"/>
    <w:rsid w:val="00CC2A49"/>
    <w:rsid w:val="00CC2E4E"/>
    <w:rsid w:val="00CC31E8"/>
    <w:rsid w:val="00CC351E"/>
    <w:rsid w:val="00CC4083"/>
    <w:rsid w:val="00CC411E"/>
    <w:rsid w:val="00CC43A9"/>
    <w:rsid w:val="00CC4567"/>
    <w:rsid w:val="00CC489E"/>
    <w:rsid w:val="00CC4C49"/>
    <w:rsid w:val="00CC5688"/>
    <w:rsid w:val="00CC625B"/>
    <w:rsid w:val="00CC6AAC"/>
    <w:rsid w:val="00CC7033"/>
    <w:rsid w:val="00CC71FC"/>
    <w:rsid w:val="00CC78ED"/>
    <w:rsid w:val="00CC7962"/>
    <w:rsid w:val="00CD0349"/>
    <w:rsid w:val="00CD07DB"/>
    <w:rsid w:val="00CD0885"/>
    <w:rsid w:val="00CD0F9F"/>
    <w:rsid w:val="00CD1E98"/>
    <w:rsid w:val="00CD2826"/>
    <w:rsid w:val="00CD4266"/>
    <w:rsid w:val="00CD49E5"/>
    <w:rsid w:val="00CD4F70"/>
    <w:rsid w:val="00CD51D3"/>
    <w:rsid w:val="00CD5427"/>
    <w:rsid w:val="00CD5B36"/>
    <w:rsid w:val="00CD5E43"/>
    <w:rsid w:val="00CD679E"/>
    <w:rsid w:val="00CD68D4"/>
    <w:rsid w:val="00CD6D15"/>
    <w:rsid w:val="00CD6DC8"/>
    <w:rsid w:val="00CD7916"/>
    <w:rsid w:val="00CE0D4C"/>
    <w:rsid w:val="00CE1ADB"/>
    <w:rsid w:val="00CE1E38"/>
    <w:rsid w:val="00CE2375"/>
    <w:rsid w:val="00CE25ED"/>
    <w:rsid w:val="00CE2739"/>
    <w:rsid w:val="00CE2B26"/>
    <w:rsid w:val="00CE2BAF"/>
    <w:rsid w:val="00CE2BD3"/>
    <w:rsid w:val="00CE32EB"/>
    <w:rsid w:val="00CE3869"/>
    <w:rsid w:val="00CE391A"/>
    <w:rsid w:val="00CE3B2E"/>
    <w:rsid w:val="00CE3BB1"/>
    <w:rsid w:val="00CE3C34"/>
    <w:rsid w:val="00CE43EC"/>
    <w:rsid w:val="00CE4F51"/>
    <w:rsid w:val="00CE51A9"/>
    <w:rsid w:val="00CE5C93"/>
    <w:rsid w:val="00CE5DC2"/>
    <w:rsid w:val="00CE5F54"/>
    <w:rsid w:val="00CE738F"/>
    <w:rsid w:val="00CE791E"/>
    <w:rsid w:val="00CF0040"/>
    <w:rsid w:val="00CF09CF"/>
    <w:rsid w:val="00CF0AA2"/>
    <w:rsid w:val="00CF128B"/>
    <w:rsid w:val="00CF1C8C"/>
    <w:rsid w:val="00CF2726"/>
    <w:rsid w:val="00CF2861"/>
    <w:rsid w:val="00CF4418"/>
    <w:rsid w:val="00CF4D15"/>
    <w:rsid w:val="00CF529D"/>
    <w:rsid w:val="00CF53EE"/>
    <w:rsid w:val="00CF545B"/>
    <w:rsid w:val="00CF58AA"/>
    <w:rsid w:val="00CF6376"/>
    <w:rsid w:val="00CF6D0F"/>
    <w:rsid w:val="00CF7843"/>
    <w:rsid w:val="00CF7A8B"/>
    <w:rsid w:val="00CF7AD0"/>
    <w:rsid w:val="00CF7DC2"/>
    <w:rsid w:val="00D00987"/>
    <w:rsid w:val="00D01177"/>
    <w:rsid w:val="00D01754"/>
    <w:rsid w:val="00D01D4D"/>
    <w:rsid w:val="00D02C57"/>
    <w:rsid w:val="00D02FA2"/>
    <w:rsid w:val="00D03C03"/>
    <w:rsid w:val="00D04B55"/>
    <w:rsid w:val="00D05676"/>
    <w:rsid w:val="00D05827"/>
    <w:rsid w:val="00D05E78"/>
    <w:rsid w:val="00D06784"/>
    <w:rsid w:val="00D06D9B"/>
    <w:rsid w:val="00D070B6"/>
    <w:rsid w:val="00D0762E"/>
    <w:rsid w:val="00D0778B"/>
    <w:rsid w:val="00D07B07"/>
    <w:rsid w:val="00D10329"/>
    <w:rsid w:val="00D10463"/>
    <w:rsid w:val="00D111F8"/>
    <w:rsid w:val="00D13407"/>
    <w:rsid w:val="00D13C0D"/>
    <w:rsid w:val="00D13ECC"/>
    <w:rsid w:val="00D1486A"/>
    <w:rsid w:val="00D1488D"/>
    <w:rsid w:val="00D14D8A"/>
    <w:rsid w:val="00D156B0"/>
    <w:rsid w:val="00D157AA"/>
    <w:rsid w:val="00D158AF"/>
    <w:rsid w:val="00D15974"/>
    <w:rsid w:val="00D16617"/>
    <w:rsid w:val="00D16721"/>
    <w:rsid w:val="00D168EC"/>
    <w:rsid w:val="00D16A54"/>
    <w:rsid w:val="00D16F7E"/>
    <w:rsid w:val="00D172B7"/>
    <w:rsid w:val="00D1798F"/>
    <w:rsid w:val="00D17CF7"/>
    <w:rsid w:val="00D17DF1"/>
    <w:rsid w:val="00D21DA4"/>
    <w:rsid w:val="00D22BC8"/>
    <w:rsid w:val="00D22C76"/>
    <w:rsid w:val="00D2331F"/>
    <w:rsid w:val="00D23D98"/>
    <w:rsid w:val="00D241A0"/>
    <w:rsid w:val="00D24ECA"/>
    <w:rsid w:val="00D250E1"/>
    <w:rsid w:val="00D25850"/>
    <w:rsid w:val="00D268F2"/>
    <w:rsid w:val="00D26D4B"/>
    <w:rsid w:val="00D27001"/>
    <w:rsid w:val="00D2746B"/>
    <w:rsid w:val="00D27480"/>
    <w:rsid w:val="00D27FD0"/>
    <w:rsid w:val="00D30010"/>
    <w:rsid w:val="00D309C3"/>
    <w:rsid w:val="00D31145"/>
    <w:rsid w:val="00D311CC"/>
    <w:rsid w:val="00D31464"/>
    <w:rsid w:val="00D31BA9"/>
    <w:rsid w:val="00D31C66"/>
    <w:rsid w:val="00D33693"/>
    <w:rsid w:val="00D33921"/>
    <w:rsid w:val="00D3409C"/>
    <w:rsid w:val="00D34193"/>
    <w:rsid w:val="00D34908"/>
    <w:rsid w:val="00D34C80"/>
    <w:rsid w:val="00D3571A"/>
    <w:rsid w:val="00D35BAB"/>
    <w:rsid w:val="00D35BE1"/>
    <w:rsid w:val="00D35CB2"/>
    <w:rsid w:val="00D35CE1"/>
    <w:rsid w:val="00D35EC0"/>
    <w:rsid w:val="00D36561"/>
    <w:rsid w:val="00D36647"/>
    <w:rsid w:val="00D36916"/>
    <w:rsid w:val="00D40CDB"/>
    <w:rsid w:val="00D41526"/>
    <w:rsid w:val="00D41714"/>
    <w:rsid w:val="00D417E0"/>
    <w:rsid w:val="00D41819"/>
    <w:rsid w:val="00D41973"/>
    <w:rsid w:val="00D42361"/>
    <w:rsid w:val="00D425E8"/>
    <w:rsid w:val="00D4260C"/>
    <w:rsid w:val="00D42B1B"/>
    <w:rsid w:val="00D42C65"/>
    <w:rsid w:val="00D4382E"/>
    <w:rsid w:val="00D4430A"/>
    <w:rsid w:val="00D45001"/>
    <w:rsid w:val="00D45590"/>
    <w:rsid w:val="00D459D1"/>
    <w:rsid w:val="00D45AAF"/>
    <w:rsid w:val="00D461CE"/>
    <w:rsid w:val="00D465D4"/>
    <w:rsid w:val="00D46CFD"/>
    <w:rsid w:val="00D47293"/>
    <w:rsid w:val="00D473C5"/>
    <w:rsid w:val="00D4745F"/>
    <w:rsid w:val="00D50199"/>
    <w:rsid w:val="00D50557"/>
    <w:rsid w:val="00D50560"/>
    <w:rsid w:val="00D50A9E"/>
    <w:rsid w:val="00D50AD4"/>
    <w:rsid w:val="00D521AF"/>
    <w:rsid w:val="00D5289B"/>
    <w:rsid w:val="00D52C09"/>
    <w:rsid w:val="00D52C44"/>
    <w:rsid w:val="00D52F91"/>
    <w:rsid w:val="00D5358F"/>
    <w:rsid w:val="00D53B50"/>
    <w:rsid w:val="00D53BBB"/>
    <w:rsid w:val="00D53D00"/>
    <w:rsid w:val="00D53F31"/>
    <w:rsid w:val="00D54033"/>
    <w:rsid w:val="00D54448"/>
    <w:rsid w:val="00D547C9"/>
    <w:rsid w:val="00D54F4F"/>
    <w:rsid w:val="00D55587"/>
    <w:rsid w:val="00D55B74"/>
    <w:rsid w:val="00D55CE2"/>
    <w:rsid w:val="00D55CF7"/>
    <w:rsid w:val="00D56017"/>
    <w:rsid w:val="00D5642F"/>
    <w:rsid w:val="00D56504"/>
    <w:rsid w:val="00D568A3"/>
    <w:rsid w:val="00D57457"/>
    <w:rsid w:val="00D5792C"/>
    <w:rsid w:val="00D57A04"/>
    <w:rsid w:val="00D604DB"/>
    <w:rsid w:val="00D605F6"/>
    <w:rsid w:val="00D609D3"/>
    <w:rsid w:val="00D60FD7"/>
    <w:rsid w:val="00D61001"/>
    <w:rsid w:val="00D614A4"/>
    <w:rsid w:val="00D6174E"/>
    <w:rsid w:val="00D6204E"/>
    <w:rsid w:val="00D622E4"/>
    <w:rsid w:val="00D6252A"/>
    <w:rsid w:val="00D626B9"/>
    <w:rsid w:val="00D62813"/>
    <w:rsid w:val="00D62840"/>
    <w:rsid w:val="00D62873"/>
    <w:rsid w:val="00D6351B"/>
    <w:rsid w:val="00D6472F"/>
    <w:rsid w:val="00D64FC9"/>
    <w:rsid w:val="00D6505B"/>
    <w:rsid w:val="00D65EBB"/>
    <w:rsid w:val="00D660A4"/>
    <w:rsid w:val="00D66C36"/>
    <w:rsid w:val="00D673FA"/>
    <w:rsid w:val="00D67CD4"/>
    <w:rsid w:val="00D7089A"/>
    <w:rsid w:val="00D70E01"/>
    <w:rsid w:val="00D70F25"/>
    <w:rsid w:val="00D71686"/>
    <w:rsid w:val="00D71817"/>
    <w:rsid w:val="00D7187D"/>
    <w:rsid w:val="00D727AF"/>
    <w:rsid w:val="00D729F2"/>
    <w:rsid w:val="00D73D98"/>
    <w:rsid w:val="00D74043"/>
    <w:rsid w:val="00D74464"/>
    <w:rsid w:val="00D74858"/>
    <w:rsid w:val="00D74D52"/>
    <w:rsid w:val="00D75026"/>
    <w:rsid w:val="00D7673B"/>
    <w:rsid w:val="00D767F3"/>
    <w:rsid w:val="00D76AC6"/>
    <w:rsid w:val="00D76DBE"/>
    <w:rsid w:val="00D776E2"/>
    <w:rsid w:val="00D77C37"/>
    <w:rsid w:val="00D77DF8"/>
    <w:rsid w:val="00D80786"/>
    <w:rsid w:val="00D813BD"/>
    <w:rsid w:val="00D81C69"/>
    <w:rsid w:val="00D81D13"/>
    <w:rsid w:val="00D82124"/>
    <w:rsid w:val="00D82229"/>
    <w:rsid w:val="00D83129"/>
    <w:rsid w:val="00D836F9"/>
    <w:rsid w:val="00D83E44"/>
    <w:rsid w:val="00D84428"/>
    <w:rsid w:val="00D848A8"/>
    <w:rsid w:val="00D84E59"/>
    <w:rsid w:val="00D84F27"/>
    <w:rsid w:val="00D85055"/>
    <w:rsid w:val="00D8544D"/>
    <w:rsid w:val="00D85667"/>
    <w:rsid w:val="00D857A2"/>
    <w:rsid w:val="00D85886"/>
    <w:rsid w:val="00D85B9F"/>
    <w:rsid w:val="00D86681"/>
    <w:rsid w:val="00D87183"/>
    <w:rsid w:val="00D8787D"/>
    <w:rsid w:val="00D878AA"/>
    <w:rsid w:val="00D87C25"/>
    <w:rsid w:val="00D905BE"/>
    <w:rsid w:val="00D911A5"/>
    <w:rsid w:val="00D91B5C"/>
    <w:rsid w:val="00D92BA8"/>
    <w:rsid w:val="00D93815"/>
    <w:rsid w:val="00D93CE2"/>
    <w:rsid w:val="00D947D5"/>
    <w:rsid w:val="00D9499D"/>
    <w:rsid w:val="00D94AA7"/>
    <w:rsid w:val="00D94B1B"/>
    <w:rsid w:val="00D94CDA"/>
    <w:rsid w:val="00D94DC1"/>
    <w:rsid w:val="00D95560"/>
    <w:rsid w:val="00D9589B"/>
    <w:rsid w:val="00D959A7"/>
    <w:rsid w:val="00D95EEB"/>
    <w:rsid w:val="00D96106"/>
    <w:rsid w:val="00D96373"/>
    <w:rsid w:val="00D9645C"/>
    <w:rsid w:val="00D96C1E"/>
    <w:rsid w:val="00D9756B"/>
    <w:rsid w:val="00DA0576"/>
    <w:rsid w:val="00DA1588"/>
    <w:rsid w:val="00DA1E13"/>
    <w:rsid w:val="00DA2244"/>
    <w:rsid w:val="00DA23F2"/>
    <w:rsid w:val="00DA281C"/>
    <w:rsid w:val="00DA29FA"/>
    <w:rsid w:val="00DA2C5F"/>
    <w:rsid w:val="00DA33C6"/>
    <w:rsid w:val="00DA34A3"/>
    <w:rsid w:val="00DA419C"/>
    <w:rsid w:val="00DA41C5"/>
    <w:rsid w:val="00DA4599"/>
    <w:rsid w:val="00DA4EA7"/>
    <w:rsid w:val="00DA5280"/>
    <w:rsid w:val="00DA53DB"/>
    <w:rsid w:val="00DA55BD"/>
    <w:rsid w:val="00DA5B95"/>
    <w:rsid w:val="00DA6284"/>
    <w:rsid w:val="00DA675C"/>
    <w:rsid w:val="00DA7C1A"/>
    <w:rsid w:val="00DB0DAD"/>
    <w:rsid w:val="00DB0F6D"/>
    <w:rsid w:val="00DB1062"/>
    <w:rsid w:val="00DB11B3"/>
    <w:rsid w:val="00DB1707"/>
    <w:rsid w:val="00DB1B2A"/>
    <w:rsid w:val="00DB1C44"/>
    <w:rsid w:val="00DB2429"/>
    <w:rsid w:val="00DB260C"/>
    <w:rsid w:val="00DB2FAB"/>
    <w:rsid w:val="00DB355D"/>
    <w:rsid w:val="00DB3685"/>
    <w:rsid w:val="00DB4327"/>
    <w:rsid w:val="00DB5689"/>
    <w:rsid w:val="00DB5A33"/>
    <w:rsid w:val="00DB60DD"/>
    <w:rsid w:val="00DB6664"/>
    <w:rsid w:val="00DB723D"/>
    <w:rsid w:val="00DB7A7F"/>
    <w:rsid w:val="00DB7D1A"/>
    <w:rsid w:val="00DC0041"/>
    <w:rsid w:val="00DC02AF"/>
    <w:rsid w:val="00DC05B4"/>
    <w:rsid w:val="00DC0696"/>
    <w:rsid w:val="00DC07A6"/>
    <w:rsid w:val="00DC1309"/>
    <w:rsid w:val="00DC1766"/>
    <w:rsid w:val="00DC1D91"/>
    <w:rsid w:val="00DC2307"/>
    <w:rsid w:val="00DC2399"/>
    <w:rsid w:val="00DC2DD3"/>
    <w:rsid w:val="00DC37EE"/>
    <w:rsid w:val="00DC48E6"/>
    <w:rsid w:val="00DC51E6"/>
    <w:rsid w:val="00DC5CB5"/>
    <w:rsid w:val="00DC5F1D"/>
    <w:rsid w:val="00DC6349"/>
    <w:rsid w:val="00DC670C"/>
    <w:rsid w:val="00DC675F"/>
    <w:rsid w:val="00DC6A6A"/>
    <w:rsid w:val="00DC6C03"/>
    <w:rsid w:val="00DC6D98"/>
    <w:rsid w:val="00DC6EB7"/>
    <w:rsid w:val="00DC76B0"/>
    <w:rsid w:val="00DC771D"/>
    <w:rsid w:val="00DC7F3E"/>
    <w:rsid w:val="00DD009B"/>
    <w:rsid w:val="00DD03B8"/>
    <w:rsid w:val="00DD19BA"/>
    <w:rsid w:val="00DD1D39"/>
    <w:rsid w:val="00DD1D70"/>
    <w:rsid w:val="00DD2132"/>
    <w:rsid w:val="00DD26D1"/>
    <w:rsid w:val="00DD34ED"/>
    <w:rsid w:val="00DD3945"/>
    <w:rsid w:val="00DD3C5C"/>
    <w:rsid w:val="00DD3F06"/>
    <w:rsid w:val="00DD4934"/>
    <w:rsid w:val="00DD4DB2"/>
    <w:rsid w:val="00DD4EB3"/>
    <w:rsid w:val="00DD51A4"/>
    <w:rsid w:val="00DD531B"/>
    <w:rsid w:val="00DD5368"/>
    <w:rsid w:val="00DD593F"/>
    <w:rsid w:val="00DD5B56"/>
    <w:rsid w:val="00DD5FC4"/>
    <w:rsid w:val="00DD799A"/>
    <w:rsid w:val="00DD7B5E"/>
    <w:rsid w:val="00DE0142"/>
    <w:rsid w:val="00DE0638"/>
    <w:rsid w:val="00DE1133"/>
    <w:rsid w:val="00DE127F"/>
    <w:rsid w:val="00DE198B"/>
    <w:rsid w:val="00DE3169"/>
    <w:rsid w:val="00DE3420"/>
    <w:rsid w:val="00DE3CE5"/>
    <w:rsid w:val="00DE3FD6"/>
    <w:rsid w:val="00DE415E"/>
    <w:rsid w:val="00DE42AB"/>
    <w:rsid w:val="00DE4BE1"/>
    <w:rsid w:val="00DE4D0A"/>
    <w:rsid w:val="00DE54F0"/>
    <w:rsid w:val="00DE59CB"/>
    <w:rsid w:val="00DE5BDE"/>
    <w:rsid w:val="00DE6918"/>
    <w:rsid w:val="00DE69EA"/>
    <w:rsid w:val="00DE759C"/>
    <w:rsid w:val="00DE799A"/>
    <w:rsid w:val="00DE7B3E"/>
    <w:rsid w:val="00DE7EBB"/>
    <w:rsid w:val="00DF075F"/>
    <w:rsid w:val="00DF13D3"/>
    <w:rsid w:val="00DF142E"/>
    <w:rsid w:val="00DF1885"/>
    <w:rsid w:val="00DF20A7"/>
    <w:rsid w:val="00DF2220"/>
    <w:rsid w:val="00DF257E"/>
    <w:rsid w:val="00DF2B51"/>
    <w:rsid w:val="00DF33E5"/>
    <w:rsid w:val="00DF393C"/>
    <w:rsid w:val="00DF3BAD"/>
    <w:rsid w:val="00DF3D12"/>
    <w:rsid w:val="00DF3D50"/>
    <w:rsid w:val="00DF3FD2"/>
    <w:rsid w:val="00DF440E"/>
    <w:rsid w:val="00DF499F"/>
    <w:rsid w:val="00DF4BE4"/>
    <w:rsid w:val="00DF587C"/>
    <w:rsid w:val="00DF5D1D"/>
    <w:rsid w:val="00DF5EA6"/>
    <w:rsid w:val="00DF6605"/>
    <w:rsid w:val="00DF676A"/>
    <w:rsid w:val="00DF6901"/>
    <w:rsid w:val="00DF7BC6"/>
    <w:rsid w:val="00E000BB"/>
    <w:rsid w:val="00E00128"/>
    <w:rsid w:val="00E00D6D"/>
    <w:rsid w:val="00E00DEF"/>
    <w:rsid w:val="00E0113D"/>
    <w:rsid w:val="00E011F8"/>
    <w:rsid w:val="00E01FAF"/>
    <w:rsid w:val="00E02204"/>
    <w:rsid w:val="00E04F33"/>
    <w:rsid w:val="00E04F7A"/>
    <w:rsid w:val="00E056A5"/>
    <w:rsid w:val="00E0570E"/>
    <w:rsid w:val="00E05A95"/>
    <w:rsid w:val="00E06F5F"/>
    <w:rsid w:val="00E07464"/>
    <w:rsid w:val="00E07475"/>
    <w:rsid w:val="00E07880"/>
    <w:rsid w:val="00E10BB2"/>
    <w:rsid w:val="00E111FE"/>
    <w:rsid w:val="00E11200"/>
    <w:rsid w:val="00E11ACD"/>
    <w:rsid w:val="00E11E2B"/>
    <w:rsid w:val="00E1243F"/>
    <w:rsid w:val="00E12AF6"/>
    <w:rsid w:val="00E12B87"/>
    <w:rsid w:val="00E137C8"/>
    <w:rsid w:val="00E13B63"/>
    <w:rsid w:val="00E14343"/>
    <w:rsid w:val="00E1474E"/>
    <w:rsid w:val="00E14B45"/>
    <w:rsid w:val="00E151A6"/>
    <w:rsid w:val="00E156D5"/>
    <w:rsid w:val="00E15F03"/>
    <w:rsid w:val="00E16910"/>
    <w:rsid w:val="00E16B73"/>
    <w:rsid w:val="00E16BEF"/>
    <w:rsid w:val="00E16E72"/>
    <w:rsid w:val="00E17156"/>
    <w:rsid w:val="00E200FC"/>
    <w:rsid w:val="00E20B6F"/>
    <w:rsid w:val="00E20FFC"/>
    <w:rsid w:val="00E2161D"/>
    <w:rsid w:val="00E21728"/>
    <w:rsid w:val="00E2242F"/>
    <w:rsid w:val="00E2324A"/>
    <w:rsid w:val="00E24110"/>
    <w:rsid w:val="00E24176"/>
    <w:rsid w:val="00E24753"/>
    <w:rsid w:val="00E24D6D"/>
    <w:rsid w:val="00E25E58"/>
    <w:rsid w:val="00E261DA"/>
    <w:rsid w:val="00E263CC"/>
    <w:rsid w:val="00E26457"/>
    <w:rsid w:val="00E26F3D"/>
    <w:rsid w:val="00E272D2"/>
    <w:rsid w:val="00E27D4D"/>
    <w:rsid w:val="00E27E01"/>
    <w:rsid w:val="00E306ED"/>
    <w:rsid w:val="00E30AC4"/>
    <w:rsid w:val="00E30F9A"/>
    <w:rsid w:val="00E31F37"/>
    <w:rsid w:val="00E31F76"/>
    <w:rsid w:val="00E3272B"/>
    <w:rsid w:val="00E328B1"/>
    <w:rsid w:val="00E328E6"/>
    <w:rsid w:val="00E32C7B"/>
    <w:rsid w:val="00E33232"/>
    <w:rsid w:val="00E3344E"/>
    <w:rsid w:val="00E33700"/>
    <w:rsid w:val="00E33A56"/>
    <w:rsid w:val="00E33E58"/>
    <w:rsid w:val="00E34B18"/>
    <w:rsid w:val="00E350C9"/>
    <w:rsid w:val="00E35B75"/>
    <w:rsid w:val="00E35C59"/>
    <w:rsid w:val="00E35FF7"/>
    <w:rsid w:val="00E36231"/>
    <w:rsid w:val="00E3644D"/>
    <w:rsid w:val="00E36837"/>
    <w:rsid w:val="00E36A0D"/>
    <w:rsid w:val="00E36B18"/>
    <w:rsid w:val="00E377FC"/>
    <w:rsid w:val="00E37B39"/>
    <w:rsid w:val="00E37B47"/>
    <w:rsid w:val="00E37C57"/>
    <w:rsid w:val="00E37E40"/>
    <w:rsid w:val="00E409DC"/>
    <w:rsid w:val="00E40A49"/>
    <w:rsid w:val="00E40B66"/>
    <w:rsid w:val="00E4101E"/>
    <w:rsid w:val="00E410D7"/>
    <w:rsid w:val="00E41A3A"/>
    <w:rsid w:val="00E4242F"/>
    <w:rsid w:val="00E42566"/>
    <w:rsid w:val="00E428CA"/>
    <w:rsid w:val="00E43313"/>
    <w:rsid w:val="00E44180"/>
    <w:rsid w:val="00E4462B"/>
    <w:rsid w:val="00E44631"/>
    <w:rsid w:val="00E449B6"/>
    <w:rsid w:val="00E44F26"/>
    <w:rsid w:val="00E45025"/>
    <w:rsid w:val="00E45026"/>
    <w:rsid w:val="00E4541A"/>
    <w:rsid w:val="00E456CF"/>
    <w:rsid w:val="00E45B5A"/>
    <w:rsid w:val="00E46160"/>
    <w:rsid w:val="00E46398"/>
    <w:rsid w:val="00E4645C"/>
    <w:rsid w:val="00E50066"/>
    <w:rsid w:val="00E502FC"/>
    <w:rsid w:val="00E5094A"/>
    <w:rsid w:val="00E5259E"/>
    <w:rsid w:val="00E52D17"/>
    <w:rsid w:val="00E52E6D"/>
    <w:rsid w:val="00E5318D"/>
    <w:rsid w:val="00E53ACB"/>
    <w:rsid w:val="00E53C00"/>
    <w:rsid w:val="00E53C0C"/>
    <w:rsid w:val="00E5451A"/>
    <w:rsid w:val="00E54689"/>
    <w:rsid w:val="00E54F39"/>
    <w:rsid w:val="00E54F4C"/>
    <w:rsid w:val="00E556BC"/>
    <w:rsid w:val="00E57178"/>
    <w:rsid w:val="00E5717B"/>
    <w:rsid w:val="00E60EF8"/>
    <w:rsid w:val="00E61128"/>
    <w:rsid w:val="00E61576"/>
    <w:rsid w:val="00E615B4"/>
    <w:rsid w:val="00E61635"/>
    <w:rsid w:val="00E61FCF"/>
    <w:rsid w:val="00E620B2"/>
    <w:rsid w:val="00E6238C"/>
    <w:rsid w:val="00E62B1C"/>
    <w:rsid w:val="00E62BEE"/>
    <w:rsid w:val="00E630E4"/>
    <w:rsid w:val="00E63147"/>
    <w:rsid w:val="00E63B54"/>
    <w:rsid w:val="00E63FD3"/>
    <w:rsid w:val="00E658C8"/>
    <w:rsid w:val="00E65DEC"/>
    <w:rsid w:val="00E65F52"/>
    <w:rsid w:val="00E6768D"/>
    <w:rsid w:val="00E677C3"/>
    <w:rsid w:val="00E70662"/>
    <w:rsid w:val="00E70C33"/>
    <w:rsid w:val="00E7139F"/>
    <w:rsid w:val="00E719B2"/>
    <w:rsid w:val="00E71DA1"/>
    <w:rsid w:val="00E722AE"/>
    <w:rsid w:val="00E73B18"/>
    <w:rsid w:val="00E73E11"/>
    <w:rsid w:val="00E73E7F"/>
    <w:rsid w:val="00E73FD9"/>
    <w:rsid w:val="00E74005"/>
    <w:rsid w:val="00E743CE"/>
    <w:rsid w:val="00E74DA1"/>
    <w:rsid w:val="00E75734"/>
    <w:rsid w:val="00E76977"/>
    <w:rsid w:val="00E76B65"/>
    <w:rsid w:val="00E77A48"/>
    <w:rsid w:val="00E77B02"/>
    <w:rsid w:val="00E77BBE"/>
    <w:rsid w:val="00E77F91"/>
    <w:rsid w:val="00E80249"/>
    <w:rsid w:val="00E80AAB"/>
    <w:rsid w:val="00E81501"/>
    <w:rsid w:val="00E81678"/>
    <w:rsid w:val="00E817F6"/>
    <w:rsid w:val="00E818B7"/>
    <w:rsid w:val="00E81DC3"/>
    <w:rsid w:val="00E825C8"/>
    <w:rsid w:val="00E82872"/>
    <w:rsid w:val="00E8293A"/>
    <w:rsid w:val="00E82B68"/>
    <w:rsid w:val="00E82D0C"/>
    <w:rsid w:val="00E82E18"/>
    <w:rsid w:val="00E82EEC"/>
    <w:rsid w:val="00E83689"/>
    <w:rsid w:val="00E836E5"/>
    <w:rsid w:val="00E8375B"/>
    <w:rsid w:val="00E83E9C"/>
    <w:rsid w:val="00E8405F"/>
    <w:rsid w:val="00E840EE"/>
    <w:rsid w:val="00E85B42"/>
    <w:rsid w:val="00E85E31"/>
    <w:rsid w:val="00E86C0D"/>
    <w:rsid w:val="00E86D31"/>
    <w:rsid w:val="00E872F8"/>
    <w:rsid w:val="00E873D0"/>
    <w:rsid w:val="00E8785D"/>
    <w:rsid w:val="00E87DEC"/>
    <w:rsid w:val="00E90308"/>
    <w:rsid w:val="00E91204"/>
    <w:rsid w:val="00E91520"/>
    <w:rsid w:val="00E91761"/>
    <w:rsid w:val="00E91AF5"/>
    <w:rsid w:val="00E92365"/>
    <w:rsid w:val="00E92423"/>
    <w:rsid w:val="00E92ACB"/>
    <w:rsid w:val="00E93137"/>
    <w:rsid w:val="00E93D6A"/>
    <w:rsid w:val="00E93D76"/>
    <w:rsid w:val="00E9406F"/>
    <w:rsid w:val="00E94F91"/>
    <w:rsid w:val="00E9559F"/>
    <w:rsid w:val="00E96575"/>
    <w:rsid w:val="00E96C3C"/>
    <w:rsid w:val="00E97055"/>
    <w:rsid w:val="00EA0010"/>
    <w:rsid w:val="00EA08E2"/>
    <w:rsid w:val="00EA169F"/>
    <w:rsid w:val="00EA235B"/>
    <w:rsid w:val="00EA2695"/>
    <w:rsid w:val="00EA27BD"/>
    <w:rsid w:val="00EA2974"/>
    <w:rsid w:val="00EA29F9"/>
    <w:rsid w:val="00EA3D9B"/>
    <w:rsid w:val="00EA3DFE"/>
    <w:rsid w:val="00EA419F"/>
    <w:rsid w:val="00EA4558"/>
    <w:rsid w:val="00EA4F75"/>
    <w:rsid w:val="00EA4FAF"/>
    <w:rsid w:val="00EA52E3"/>
    <w:rsid w:val="00EA572E"/>
    <w:rsid w:val="00EA68DD"/>
    <w:rsid w:val="00EA7549"/>
    <w:rsid w:val="00EA77E0"/>
    <w:rsid w:val="00EB1106"/>
    <w:rsid w:val="00EB14E2"/>
    <w:rsid w:val="00EB14EF"/>
    <w:rsid w:val="00EB167B"/>
    <w:rsid w:val="00EB1724"/>
    <w:rsid w:val="00EB1B0D"/>
    <w:rsid w:val="00EB2385"/>
    <w:rsid w:val="00EB269B"/>
    <w:rsid w:val="00EB2841"/>
    <w:rsid w:val="00EB28CF"/>
    <w:rsid w:val="00EB2B06"/>
    <w:rsid w:val="00EB3483"/>
    <w:rsid w:val="00EB3601"/>
    <w:rsid w:val="00EB384B"/>
    <w:rsid w:val="00EB3A7C"/>
    <w:rsid w:val="00EB3B60"/>
    <w:rsid w:val="00EB3C93"/>
    <w:rsid w:val="00EB3E1E"/>
    <w:rsid w:val="00EB4F48"/>
    <w:rsid w:val="00EB5835"/>
    <w:rsid w:val="00EB59C9"/>
    <w:rsid w:val="00EB5C65"/>
    <w:rsid w:val="00EB5CFC"/>
    <w:rsid w:val="00EB6478"/>
    <w:rsid w:val="00EB755E"/>
    <w:rsid w:val="00EC0771"/>
    <w:rsid w:val="00EC0F4A"/>
    <w:rsid w:val="00EC14C9"/>
    <w:rsid w:val="00EC1633"/>
    <w:rsid w:val="00EC1C27"/>
    <w:rsid w:val="00EC1E18"/>
    <w:rsid w:val="00EC2A88"/>
    <w:rsid w:val="00EC2FB4"/>
    <w:rsid w:val="00EC3885"/>
    <w:rsid w:val="00EC399E"/>
    <w:rsid w:val="00EC46E6"/>
    <w:rsid w:val="00EC47A1"/>
    <w:rsid w:val="00EC47C7"/>
    <w:rsid w:val="00EC47F1"/>
    <w:rsid w:val="00EC4899"/>
    <w:rsid w:val="00EC4B58"/>
    <w:rsid w:val="00EC4B78"/>
    <w:rsid w:val="00EC4DB5"/>
    <w:rsid w:val="00EC5354"/>
    <w:rsid w:val="00EC55DE"/>
    <w:rsid w:val="00EC5CF7"/>
    <w:rsid w:val="00EC69CE"/>
    <w:rsid w:val="00EC6EC0"/>
    <w:rsid w:val="00EC75F5"/>
    <w:rsid w:val="00ED076F"/>
    <w:rsid w:val="00ED0C74"/>
    <w:rsid w:val="00ED15FC"/>
    <w:rsid w:val="00ED1679"/>
    <w:rsid w:val="00ED2011"/>
    <w:rsid w:val="00ED285A"/>
    <w:rsid w:val="00ED29EB"/>
    <w:rsid w:val="00ED2B96"/>
    <w:rsid w:val="00ED2E65"/>
    <w:rsid w:val="00ED3544"/>
    <w:rsid w:val="00ED3594"/>
    <w:rsid w:val="00ED3A09"/>
    <w:rsid w:val="00ED3C7D"/>
    <w:rsid w:val="00ED5120"/>
    <w:rsid w:val="00ED5540"/>
    <w:rsid w:val="00ED58D1"/>
    <w:rsid w:val="00ED60A7"/>
    <w:rsid w:val="00ED628D"/>
    <w:rsid w:val="00ED6415"/>
    <w:rsid w:val="00ED6595"/>
    <w:rsid w:val="00ED78C7"/>
    <w:rsid w:val="00ED7A7F"/>
    <w:rsid w:val="00EE01C8"/>
    <w:rsid w:val="00EE0293"/>
    <w:rsid w:val="00EE099A"/>
    <w:rsid w:val="00EE0DA9"/>
    <w:rsid w:val="00EE1753"/>
    <w:rsid w:val="00EE18BE"/>
    <w:rsid w:val="00EE1B07"/>
    <w:rsid w:val="00EE1BAE"/>
    <w:rsid w:val="00EE2313"/>
    <w:rsid w:val="00EE239B"/>
    <w:rsid w:val="00EE2B16"/>
    <w:rsid w:val="00EE3548"/>
    <w:rsid w:val="00EE445B"/>
    <w:rsid w:val="00EE4B1C"/>
    <w:rsid w:val="00EE67C6"/>
    <w:rsid w:val="00EE6FA2"/>
    <w:rsid w:val="00EE731D"/>
    <w:rsid w:val="00EE77B5"/>
    <w:rsid w:val="00EE7A0C"/>
    <w:rsid w:val="00EE7A49"/>
    <w:rsid w:val="00EF03FC"/>
    <w:rsid w:val="00EF04CA"/>
    <w:rsid w:val="00EF11F7"/>
    <w:rsid w:val="00EF1741"/>
    <w:rsid w:val="00EF21AE"/>
    <w:rsid w:val="00EF270C"/>
    <w:rsid w:val="00EF2965"/>
    <w:rsid w:val="00EF2A97"/>
    <w:rsid w:val="00EF2B3D"/>
    <w:rsid w:val="00EF4B92"/>
    <w:rsid w:val="00EF50F6"/>
    <w:rsid w:val="00EF58F2"/>
    <w:rsid w:val="00EF6B3B"/>
    <w:rsid w:val="00EF6F56"/>
    <w:rsid w:val="00EF74BF"/>
    <w:rsid w:val="00EF7892"/>
    <w:rsid w:val="00F000AD"/>
    <w:rsid w:val="00F002FB"/>
    <w:rsid w:val="00F006A4"/>
    <w:rsid w:val="00F00E35"/>
    <w:rsid w:val="00F00FC9"/>
    <w:rsid w:val="00F012E1"/>
    <w:rsid w:val="00F01451"/>
    <w:rsid w:val="00F016A8"/>
    <w:rsid w:val="00F01E29"/>
    <w:rsid w:val="00F0202D"/>
    <w:rsid w:val="00F02190"/>
    <w:rsid w:val="00F0252B"/>
    <w:rsid w:val="00F02802"/>
    <w:rsid w:val="00F029D2"/>
    <w:rsid w:val="00F02D46"/>
    <w:rsid w:val="00F02D59"/>
    <w:rsid w:val="00F03175"/>
    <w:rsid w:val="00F037A6"/>
    <w:rsid w:val="00F038DA"/>
    <w:rsid w:val="00F03993"/>
    <w:rsid w:val="00F06DE2"/>
    <w:rsid w:val="00F074D5"/>
    <w:rsid w:val="00F075C1"/>
    <w:rsid w:val="00F079C7"/>
    <w:rsid w:val="00F10125"/>
    <w:rsid w:val="00F10755"/>
    <w:rsid w:val="00F10D73"/>
    <w:rsid w:val="00F10DB7"/>
    <w:rsid w:val="00F11088"/>
    <w:rsid w:val="00F11CE6"/>
    <w:rsid w:val="00F11D91"/>
    <w:rsid w:val="00F12E41"/>
    <w:rsid w:val="00F13691"/>
    <w:rsid w:val="00F14758"/>
    <w:rsid w:val="00F16A16"/>
    <w:rsid w:val="00F174FC"/>
    <w:rsid w:val="00F17586"/>
    <w:rsid w:val="00F1779B"/>
    <w:rsid w:val="00F17B1B"/>
    <w:rsid w:val="00F17CBE"/>
    <w:rsid w:val="00F217A0"/>
    <w:rsid w:val="00F21C42"/>
    <w:rsid w:val="00F21D18"/>
    <w:rsid w:val="00F22A57"/>
    <w:rsid w:val="00F245BA"/>
    <w:rsid w:val="00F24A79"/>
    <w:rsid w:val="00F24E7A"/>
    <w:rsid w:val="00F24EC2"/>
    <w:rsid w:val="00F253CF"/>
    <w:rsid w:val="00F2678B"/>
    <w:rsid w:val="00F27203"/>
    <w:rsid w:val="00F2784B"/>
    <w:rsid w:val="00F27D23"/>
    <w:rsid w:val="00F27E17"/>
    <w:rsid w:val="00F300A0"/>
    <w:rsid w:val="00F30B40"/>
    <w:rsid w:val="00F31603"/>
    <w:rsid w:val="00F31A60"/>
    <w:rsid w:val="00F31C59"/>
    <w:rsid w:val="00F31DA9"/>
    <w:rsid w:val="00F31F5E"/>
    <w:rsid w:val="00F321D0"/>
    <w:rsid w:val="00F32370"/>
    <w:rsid w:val="00F3261E"/>
    <w:rsid w:val="00F32F23"/>
    <w:rsid w:val="00F32FC0"/>
    <w:rsid w:val="00F3439F"/>
    <w:rsid w:val="00F34CC0"/>
    <w:rsid w:val="00F34E43"/>
    <w:rsid w:val="00F34EEE"/>
    <w:rsid w:val="00F35646"/>
    <w:rsid w:val="00F35D5D"/>
    <w:rsid w:val="00F365B1"/>
    <w:rsid w:val="00F36641"/>
    <w:rsid w:val="00F36F85"/>
    <w:rsid w:val="00F373A8"/>
    <w:rsid w:val="00F3755F"/>
    <w:rsid w:val="00F37F56"/>
    <w:rsid w:val="00F400A0"/>
    <w:rsid w:val="00F4026B"/>
    <w:rsid w:val="00F404ED"/>
    <w:rsid w:val="00F40AF1"/>
    <w:rsid w:val="00F413BE"/>
    <w:rsid w:val="00F41C7B"/>
    <w:rsid w:val="00F41E5E"/>
    <w:rsid w:val="00F426E1"/>
    <w:rsid w:val="00F428C0"/>
    <w:rsid w:val="00F42CED"/>
    <w:rsid w:val="00F438F2"/>
    <w:rsid w:val="00F44007"/>
    <w:rsid w:val="00F442DD"/>
    <w:rsid w:val="00F44744"/>
    <w:rsid w:val="00F44C3D"/>
    <w:rsid w:val="00F44D03"/>
    <w:rsid w:val="00F46B49"/>
    <w:rsid w:val="00F46CB0"/>
    <w:rsid w:val="00F477D2"/>
    <w:rsid w:val="00F477E1"/>
    <w:rsid w:val="00F477FA"/>
    <w:rsid w:val="00F478BD"/>
    <w:rsid w:val="00F4792F"/>
    <w:rsid w:val="00F47BE3"/>
    <w:rsid w:val="00F47D34"/>
    <w:rsid w:val="00F47EED"/>
    <w:rsid w:val="00F50246"/>
    <w:rsid w:val="00F50319"/>
    <w:rsid w:val="00F50DEC"/>
    <w:rsid w:val="00F517B8"/>
    <w:rsid w:val="00F51D0A"/>
    <w:rsid w:val="00F52200"/>
    <w:rsid w:val="00F5279D"/>
    <w:rsid w:val="00F5282B"/>
    <w:rsid w:val="00F5293A"/>
    <w:rsid w:val="00F553D4"/>
    <w:rsid w:val="00F5582E"/>
    <w:rsid w:val="00F5627A"/>
    <w:rsid w:val="00F56393"/>
    <w:rsid w:val="00F56805"/>
    <w:rsid w:val="00F57D87"/>
    <w:rsid w:val="00F600D3"/>
    <w:rsid w:val="00F60FE0"/>
    <w:rsid w:val="00F61651"/>
    <w:rsid w:val="00F622BA"/>
    <w:rsid w:val="00F62601"/>
    <w:rsid w:val="00F629FB"/>
    <w:rsid w:val="00F62D7D"/>
    <w:rsid w:val="00F63114"/>
    <w:rsid w:val="00F6327C"/>
    <w:rsid w:val="00F63447"/>
    <w:rsid w:val="00F63D74"/>
    <w:rsid w:val="00F63E93"/>
    <w:rsid w:val="00F64014"/>
    <w:rsid w:val="00F644F2"/>
    <w:rsid w:val="00F648C9"/>
    <w:rsid w:val="00F64E34"/>
    <w:rsid w:val="00F64F41"/>
    <w:rsid w:val="00F65A04"/>
    <w:rsid w:val="00F66383"/>
    <w:rsid w:val="00F66799"/>
    <w:rsid w:val="00F67145"/>
    <w:rsid w:val="00F671B0"/>
    <w:rsid w:val="00F70031"/>
    <w:rsid w:val="00F7059C"/>
    <w:rsid w:val="00F70F0D"/>
    <w:rsid w:val="00F71373"/>
    <w:rsid w:val="00F71805"/>
    <w:rsid w:val="00F7353C"/>
    <w:rsid w:val="00F73B95"/>
    <w:rsid w:val="00F74870"/>
    <w:rsid w:val="00F74F2B"/>
    <w:rsid w:val="00F75844"/>
    <w:rsid w:val="00F75B6F"/>
    <w:rsid w:val="00F760DF"/>
    <w:rsid w:val="00F76153"/>
    <w:rsid w:val="00F76C7E"/>
    <w:rsid w:val="00F76E14"/>
    <w:rsid w:val="00F77347"/>
    <w:rsid w:val="00F7743B"/>
    <w:rsid w:val="00F776D2"/>
    <w:rsid w:val="00F77F13"/>
    <w:rsid w:val="00F802B2"/>
    <w:rsid w:val="00F80522"/>
    <w:rsid w:val="00F80F29"/>
    <w:rsid w:val="00F8137F"/>
    <w:rsid w:val="00F81D03"/>
    <w:rsid w:val="00F81DEF"/>
    <w:rsid w:val="00F82FA4"/>
    <w:rsid w:val="00F831F6"/>
    <w:rsid w:val="00F837A7"/>
    <w:rsid w:val="00F83C25"/>
    <w:rsid w:val="00F85437"/>
    <w:rsid w:val="00F8577F"/>
    <w:rsid w:val="00F85BBC"/>
    <w:rsid w:val="00F85D27"/>
    <w:rsid w:val="00F860F8"/>
    <w:rsid w:val="00F865D2"/>
    <w:rsid w:val="00F8692B"/>
    <w:rsid w:val="00F869CA"/>
    <w:rsid w:val="00F86CB9"/>
    <w:rsid w:val="00F87405"/>
    <w:rsid w:val="00F9012A"/>
    <w:rsid w:val="00F90745"/>
    <w:rsid w:val="00F90860"/>
    <w:rsid w:val="00F90C68"/>
    <w:rsid w:val="00F912C3"/>
    <w:rsid w:val="00F91D2A"/>
    <w:rsid w:val="00F91E83"/>
    <w:rsid w:val="00F926E1"/>
    <w:rsid w:val="00F92D31"/>
    <w:rsid w:val="00F92E1D"/>
    <w:rsid w:val="00F92F59"/>
    <w:rsid w:val="00F93CFA"/>
    <w:rsid w:val="00F95145"/>
    <w:rsid w:val="00F956BF"/>
    <w:rsid w:val="00F957EE"/>
    <w:rsid w:val="00F959CD"/>
    <w:rsid w:val="00F95A05"/>
    <w:rsid w:val="00F9602A"/>
    <w:rsid w:val="00F96515"/>
    <w:rsid w:val="00F966B0"/>
    <w:rsid w:val="00F96B55"/>
    <w:rsid w:val="00FA061A"/>
    <w:rsid w:val="00FA126E"/>
    <w:rsid w:val="00FA2409"/>
    <w:rsid w:val="00FA2708"/>
    <w:rsid w:val="00FA2A58"/>
    <w:rsid w:val="00FA2BBE"/>
    <w:rsid w:val="00FA2F1A"/>
    <w:rsid w:val="00FA3386"/>
    <w:rsid w:val="00FA39CF"/>
    <w:rsid w:val="00FA3C9D"/>
    <w:rsid w:val="00FA5A22"/>
    <w:rsid w:val="00FA5B43"/>
    <w:rsid w:val="00FA5C1A"/>
    <w:rsid w:val="00FA60EC"/>
    <w:rsid w:val="00FA6338"/>
    <w:rsid w:val="00FA6729"/>
    <w:rsid w:val="00FA6DA9"/>
    <w:rsid w:val="00FA7546"/>
    <w:rsid w:val="00FA7B20"/>
    <w:rsid w:val="00FB0869"/>
    <w:rsid w:val="00FB23C6"/>
    <w:rsid w:val="00FB2971"/>
    <w:rsid w:val="00FB2D35"/>
    <w:rsid w:val="00FB3000"/>
    <w:rsid w:val="00FB34A5"/>
    <w:rsid w:val="00FB3A86"/>
    <w:rsid w:val="00FB40E0"/>
    <w:rsid w:val="00FB437A"/>
    <w:rsid w:val="00FB4F65"/>
    <w:rsid w:val="00FB54F2"/>
    <w:rsid w:val="00FB5617"/>
    <w:rsid w:val="00FB6622"/>
    <w:rsid w:val="00FB6E67"/>
    <w:rsid w:val="00FB7314"/>
    <w:rsid w:val="00FB7AE0"/>
    <w:rsid w:val="00FC11ED"/>
    <w:rsid w:val="00FC1213"/>
    <w:rsid w:val="00FC2033"/>
    <w:rsid w:val="00FC210F"/>
    <w:rsid w:val="00FC2F28"/>
    <w:rsid w:val="00FC30C9"/>
    <w:rsid w:val="00FC30DC"/>
    <w:rsid w:val="00FC483D"/>
    <w:rsid w:val="00FC48F3"/>
    <w:rsid w:val="00FC49ED"/>
    <w:rsid w:val="00FC50C4"/>
    <w:rsid w:val="00FC5267"/>
    <w:rsid w:val="00FC5B73"/>
    <w:rsid w:val="00FC5BB8"/>
    <w:rsid w:val="00FC5CA6"/>
    <w:rsid w:val="00FC69E9"/>
    <w:rsid w:val="00FC6DFA"/>
    <w:rsid w:val="00FC72A2"/>
    <w:rsid w:val="00FC7424"/>
    <w:rsid w:val="00FC788C"/>
    <w:rsid w:val="00FD0836"/>
    <w:rsid w:val="00FD0F07"/>
    <w:rsid w:val="00FD0FF0"/>
    <w:rsid w:val="00FD1A7A"/>
    <w:rsid w:val="00FD1E0F"/>
    <w:rsid w:val="00FD2117"/>
    <w:rsid w:val="00FD21AB"/>
    <w:rsid w:val="00FD25D3"/>
    <w:rsid w:val="00FD2A5A"/>
    <w:rsid w:val="00FD2B01"/>
    <w:rsid w:val="00FD2D00"/>
    <w:rsid w:val="00FD355E"/>
    <w:rsid w:val="00FD35FC"/>
    <w:rsid w:val="00FD36C0"/>
    <w:rsid w:val="00FD4357"/>
    <w:rsid w:val="00FD4741"/>
    <w:rsid w:val="00FD47E2"/>
    <w:rsid w:val="00FD4A97"/>
    <w:rsid w:val="00FD5395"/>
    <w:rsid w:val="00FD592B"/>
    <w:rsid w:val="00FD5C4D"/>
    <w:rsid w:val="00FD692C"/>
    <w:rsid w:val="00FD6F12"/>
    <w:rsid w:val="00FD6FBB"/>
    <w:rsid w:val="00FE0267"/>
    <w:rsid w:val="00FE092A"/>
    <w:rsid w:val="00FE0A69"/>
    <w:rsid w:val="00FE0A7B"/>
    <w:rsid w:val="00FE1ADB"/>
    <w:rsid w:val="00FE1DF7"/>
    <w:rsid w:val="00FE20B3"/>
    <w:rsid w:val="00FE232B"/>
    <w:rsid w:val="00FE3A48"/>
    <w:rsid w:val="00FE3B29"/>
    <w:rsid w:val="00FE3D13"/>
    <w:rsid w:val="00FE43AB"/>
    <w:rsid w:val="00FE4987"/>
    <w:rsid w:val="00FE4CB0"/>
    <w:rsid w:val="00FE4E57"/>
    <w:rsid w:val="00FE5057"/>
    <w:rsid w:val="00FE53DD"/>
    <w:rsid w:val="00FE5A53"/>
    <w:rsid w:val="00FE5BAE"/>
    <w:rsid w:val="00FE64EF"/>
    <w:rsid w:val="00FE6755"/>
    <w:rsid w:val="00FE6A27"/>
    <w:rsid w:val="00FE70D9"/>
    <w:rsid w:val="00FE76D5"/>
    <w:rsid w:val="00FE779E"/>
    <w:rsid w:val="00FE78E5"/>
    <w:rsid w:val="00FE7A54"/>
    <w:rsid w:val="00FE7DBB"/>
    <w:rsid w:val="00FE7E36"/>
    <w:rsid w:val="00FE7F24"/>
    <w:rsid w:val="00FF00AD"/>
    <w:rsid w:val="00FF0315"/>
    <w:rsid w:val="00FF07CC"/>
    <w:rsid w:val="00FF1636"/>
    <w:rsid w:val="00FF1893"/>
    <w:rsid w:val="00FF2AB1"/>
    <w:rsid w:val="00FF2D21"/>
    <w:rsid w:val="00FF34B5"/>
    <w:rsid w:val="00FF37BB"/>
    <w:rsid w:val="00FF3E2F"/>
    <w:rsid w:val="00FF43AB"/>
    <w:rsid w:val="00FF443B"/>
    <w:rsid w:val="00FF4588"/>
    <w:rsid w:val="00FF4F05"/>
    <w:rsid w:val="00FF5520"/>
    <w:rsid w:val="00FF5B38"/>
    <w:rsid w:val="00FF5D07"/>
    <w:rsid w:val="00FF5DD3"/>
    <w:rsid w:val="00FF5FC7"/>
    <w:rsid w:val="00FF60B8"/>
    <w:rsid w:val="00FF6462"/>
    <w:rsid w:val="00FF6EB3"/>
    <w:rsid w:val="00FF78A0"/>
    <w:rsid w:val="1A01B9C9"/>
    <w:rsid w:val="37BEF20A"/>
    <w:rsid w:val="70419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8FEA2"/>
  <w15:chartTrackingRefBased/>
  <w15:docId w15:val="{094E4E8F-E898-45B6-8545-76264775F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qFormat/>
    <w:rsid w:val="00064188"/>
    <w:pPr>
      <w:numPr>
        <w:numId w:val="5"/>
      </w:numPr>
      <w:spacing w:after="240" w:line="240" w:lineRule="auto"/>
      <w:jc w:val="center"/>
      <w:outlineLvl w:val="0"/>
    </w:pPr>
    <w:rPr>
      <w:rFonts w:ascii="Arial Bold" w:eastAsia="Times New Roman" w:hAnsi="Arial Bold" w:cs="Times New Roman"/>
      <w:bCs/>
      <w:caps/>
      <w:kern w:val="32"/>
      <w:sz w:val="26"/>
      <w:szCs w:val="26"/>
      <w:lang w:bidi="en-US"/>
    </w:rPr>
  </w:style>
  <w:style w:type="paragraph" w:styleId="Heading2">
    <w:name w:val="heading 2"/>
    <w:next w:val="Normal"/>
    <w:link w:val="Heading2Char"/>
    <w:qFormat/>
    <w:rsid w:val="00064188"/>
    <w:pPr>
      <w:numPr>
        <w:ilvl w:val="1"/>
        <w:numId w:val="5"/>
      </w:numPr>
      <w:tabs>
        <w:tab w:val="left" w:pos="720"/>
      </w:tabs>
      <w:spacing w:before="240" w:after="240" w:line="240" w:lineRule="auto"/>
      <w:ind w:left="720" w:hanging="720"/>
      <w:outlineLvl w:val="1"/>
    </w:pPr>
    <w:rPr>
      <w:rFonts w:ascii="Arial Bold" w:eastAsia="Times New Roman" w:hAnsi="Arial Bold" w:cs="Times New Roman"/>
      <w:b/>
      <w:bCs/>
      <w:iCs/>
      <w:kern w:val="32"/>
      <w:sz w:val="26"/>
      <w:szCs w:val="26"/>
      <w:u w:val="single"/>
      <w:lang w:bidi="en-US"/>
    </w:rPr>
  </w:style>
  <w:style w:type="paragraph" w:styleId="Heading3">
    <w:name w:val="heading 3"/>
    <w:next w:val="Normal"/>
    <w:link w:val="Heading3Char"/>
    <w:qFormat/>
    <w:rsid w:val="00064188"/>
    <w:pPr>
      <w:keepNext/>
      <w:numPr>
        <w:ilvl w:val="2"/>
        <w:numId w:val="5"/>
      </w:numPr>
      <w:spacing w:after="240" w:line="240" w:lineRule="auto"/>
      <w:outlineLvl w:val="2"/>
    </w:pPr>
    <w:rPr>
      <w:rFonts w:ascii="Arial Bold" w:eastAsia="Times New Roman" w:hAnsi="Arial Bold" w:cs="Times New Roman"/>
      <w:bCs/>
      <w:sz w:val="24"/>
      <w:szCs w:val="28"/>
      <w:lang w:bidi="en-US"/>
    </w:rPr>
  </w:style>
  <w:style w:type="paragraph" w:styleId="Heading4">
    <w:name w:val="heading 4"/>
    <w:next w:val="Normal"/>
    <w:link w:val="Heading4Char"/>
    <w:qFormat/>
    <w:rsid w:val="00064188"/>
    <w:pPr>
      <w:keepNext/>
      <w:numPr>
        <w:ilvl w:val="3"/>
        <w:numId w:val="5"/>
      </w:numPr>
      <w:tabs>
        <w:tab w:val="left" w:pos="1440"/>
      </w:tabs>
      <w:spacing w:after="240" w:line="240" w:lineRule="auto"/>
      <w:outlineLvl w:val="3"/>
    </w:pPr>
    <w:rPr>
      <w:rFonts w:ascii="Arial Bold" w:eastAsia="Times New Roman" w:hAnsi="Arial Bold" w:cs="Times New Roman"/>
      <w:bCs/>
      <w:sz w:val="24"/>
      <w:szCs w:val="28"/>
      <w:lang w:bidi="en-US"/>
    </w:rPr>
  </w:style>
  <w:style w:type="paragraph" w:styleId="Heading5">
    <w:name w:val="heading 5"/>
    <w:basedOn w:val="Normal"/>
    <w:next w:val="Normal"/>
    <w:link w:val="Heading5Char"/>
    <w:qFormat/>
    <w:rsid w:val="00064188"/>
    <w:pPr>
      <w:keepNext/>
      <w:numPr>
        <w:ilvl w:val="4"/>
        <w:numId w:val="5"/>
      </w:numPr>
      <w:tabs>
        <w:tab w:val="left" w:pos="1440"/>
      </w:tabs>
      <w:spacing w:after="240" w:line="240" w:lineRule="auto"/>
      <w:outlineLvl w:val="4"/>
    </w:pPr>
    <w:rPr>
      <w:rFonts w:eastAsia="Times New Roman" w:cs="Times New Roman"/>
      <w:i/>
      <w:iCs/>
      <w:szCs w:val="20"/>
    </w:rPr>
  </w:style>
  <w:style w:type="paragraph" w:styleId="Heading6">
    <w:name w:val="heading 6"/>
    <w:basedOn w:val="Normal"/>
    <w:next w:val="Normal"/>
    <w:link w:val="Heading6Char"/>
    <w:qFormat/>
    <w:rsid w:val="00064188"/>
    <w:pPr>
      <w:keepNext/>
      <w:numPr>
        <w:ilvl w:val="5"/>
        <w:numId w:val="5"/>
      </w:numPr>
      <w:spacing w:after="240" w:line="240" w:lineRule="auto"/>
      <w:outlineLvl w:val="5"/>
    </w:pPr>
    <w:rPr>
      <w:rFonts w:eastAsia="Times New Roman" w:cs="Times New Roman"/>
      <w:i/>
      <w:szCs w:val="20"/>
    </w:rPr>
  </w:style>
  <w:style w:type="paragraph" w:styleId="Heading7">
    <w:name w:val="heading 7"/>
    <w:basedOn w:val="Normal"/>
    <w:next w:val="Normal"/>
    <w:link w:val="Heading7Char"/>
    <w:qFormat/>
    <w:rsid w:val="00064188"/>
    <w:pPr>
      <w:keepNext/>
      <w:numPr>
        <w:ilvl w:val="6"/>
        <w:numId w:val="5"/>
      </w:numPr>
      <w:spacing w:after="240" w:line="240" w:lineRule="auto"/>
      <w:outlineLvl w:val="6"/>
    </w:pPr>
    <w:rPr>
      <w:rFonts w:eastAsia="Times New Roman" w:cs="Times New Roman"/>
      <w:szCs w:val="20"/>
    </w:rPr>
  </w:style>
  <w:style w:type="paragraph" w:styleId="Heading8">
    <w:name w:val="heading 8"/>
    <w:basedOn w:val="Normal"/>
    <w:next w:val="Normal"/>
    <w:link w:val="Heading8Char"/>
    <w:qFormat/>
    <w:rsid w:val="00064188"/>
    <w:pPr>
      <w:numPr>
        <w:ilvl w:val="7"/>
        <w:numId w:val="5"/>
      </w:numPr>
      <w:spacing w:before="240" w:after="60" w:line="240" w:lineRule="auto"/>
      <w:outlineLvl w:val="7"/>
    </w:pPr>
    <w:rPr>
      <w:rFonts w:eastAsia="Times New Roman" w:cs="Times New Roman"/>
      <w:i/>
      <w:iCs/>
      <w:szCs w:val="20"/>
    </w:rPr>
  </w:style>
  <w:style w:type="paragraph" w:styleId="Heading9">
    <w:name w:val="heading 9"/>
    <w:basedOn w:val="Normal"/>
    <w:next w:val="Normal"/>
    <w:link w:val="Heading9Char"/>
    <w:qFormat/>
    <w:rsid w:val="00064188"/>
    <w:pPr>
      <w:numPr>
        <w:ilvl w:val="8"/>
        <w:numId w:val="5"/>
      </w:numPr>
      <w:spacing w:before="240" w:after="60" w:line="240" w:lineRule="auto"/>
      <w:outlineLvl w:val="8"/>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4188"/>
    <w:rPr>
      <w:rFonts w:ascii="Arial Bold" w:eastAsia="Times New Roman" w:hAnsi="Arial Bold" w:cs="Times New Roman"/>
      <w:bCs/>
      <w:caps/>
      <w:kern w:val="32"/>
      <w:sz w:val="26"/>
      <w:szCs w:val="26"/>
      <w:lang w:bidi="en-US"/>
    </w:rPr>
  </w:style>
  <w:style w:type="character" w:customStyle="1" w:styleId="Heading2Char">
    <w:name w:val="Heading 2 Char"/>
    <w:basedOn w:val="DefaultParagraphFont"/>
    <w:link w:val="Heading2"/>
    <w:rsid w:val="00064188"/>
    <w:rPr>
      <w:rFonts w:ascii="Arial Bold" w:eastAsia="Times New Roman" w:hAnsi="Arial Bold" w:cs="Times New Roman"/>
      <w:b/>
      <w:bCs/>
      <w:iCs/>
      <w:kern w:val="32"/>
      <w:sz w:val="26"/>
      <w:szCs w:val="26"/>
      <w:u w:val="single"/>
      <w:lang w:bidi="en-US"/>
    </w:rPr>
  </w:style>
  <w:style w:type="character" w:customStyle="1" w:styleId="Heading3Char">
    <w:name w:val="Heading 3 Char"/>
    <w:basedOn w:val="DefaultParagraphFont"/>
    <w:link w:val="Heading3"/>
    <w:rsid w:val="00064188"/>
    <w:rPr>
      <w:rFonts w:ascii="Arial Bold" w:eastAsia="Times New Roman" w:hAnsi="Arial Bold" w:cs="Times New Roman"/>
      <w:bCs/>
      <w:sz w:val="24"/>
      <w:szCs w:val="28"/>
      <w:lang w:bidi="en-US"/>
    </w:rPr>
  </w:style>
  <w:style w:type="character" w:customStyle="1" w:styleId="Heading4Char">
    <w:name w:val="Heading 4 Char"/>
    <w:basedOn w:val="DefaultParagraphFont"/>
    <w:link w:val="Heading4"/>
    <w:rsid w:val="00064188"/>
    <w:rPr>
      <w:rFonts w:ascii="Arial Bold" w:eastAsia="Times New Roman" w:hAnsi="Arial Bold" w:cs="Times New Roman"/>
      <w:bCs/>
      <w:sz w:val="24"/>
      <w:szCs w:val="28"/>
      <w:lang w:bidi="en-US"/>
    </w:rPr>
  </w:style>
  <w:style w:type="character" w:customStyle="1" w:styleId="Heading5Char">
    <w:name w:val="Heading 5 Char"/>
    <w:basedOn w:val="DefaultParagraphFont"/>
    <w:link w:val="Heading5"/>
    <w:rsid w:val="00064188"/>
    <w:rPr>
      <w:rFonts w:eastAsia="Times New Roman" w:cs="Times New Roman"/>
      <w:i/>
      <w:iCs/>
      <w:szCs w:val="20"/>
    </w:rPr>
  </w:style>
  <w:style w:type="character" w:customStyle="1" w:styleId="Heading6Char">
    <w:name w:val="Heading 6 Char"/>
    <w:basedOn w:val="DefaultParagraphFont"/>
    <w:link w:val="Heading6"/>
    <w:rsid w:val="00064188"/>
    <w:rPr>
      <w:rFonts w:eastAsia="Times New Roman" w:cs="Times New Roman"/>
      <w:i/>
      <w:szCs w:val="20"/>
    </w:rPr>
  </w:style>
  <w:style w:type="character" w:customStyle="1" w:styleId="Heading7Char">
    <w:name w:val="Heading 7 Char"/>
    <w:basedOn w:val="DefaultParagraphFont"/>
    <w:link w:val="Heading7"/>
    <w:rsid w:val="00064188"/>
    <w:rPr>
      <w:rFonts w:eastAsia="Times New Roman" w:cs="Times New Roman"/>
      <w:szCs w:val="20"/>
    </w:rPr>
  </w:style>
  <w:style w:type="character" w:customStyle="1" w:styleId="Heading8Char">
    <w:name w:val="Heading 8 Char"/>
    <w:basedOn w:val="DefaultParagraphFont"/>
    <w:link w:val="Heading8"/>
    <w:rsid w:val="00064188"/>
    <w:rPr>
      <w:rFonts w:eastAsia="Times New Roman" w:cs="Times New Roman"/>
      <w:i/>
      <w:iCs/>
      <w:szCs w:val="20"/>
    </w:rPr>
  </w:style>
  <w:style w:type="character" w:customStyle="1" w:styleId="Heading9Char">
    <w:name w:val="Heading 9 Char"/>
    <w:basedOn w:val="DefaultParagraphFont"/>
    <w:link w:val="Heading9"/>
    <w:rsid w:val="00064188"/>
    <w:rPr>
      <w:rFonts w:eastAsia="Times New Roman" w:cs="Times New Roman"/>
      <w:szCs w:val="20"/>
    </w:rPr>
  </w:style>
  <w:style w:type="character" w:styleId="Hyperlink">
    <w:name w:val="Hyperlink"/>
    <w:basedOn w:val="DefaultParagraphFont"/>
    <w:uiPriority w:val="99"/>
    <w:rsid w:val="00064188"/>
    <w:rPr>
      <w:noProof/>
      <w:color w:val="0000FF"/>
      <w:u w:val="single"/>
      <w:lang w:bidi="en-US"/>
    </w:rPr>
  </w:style>
  <w:style w:type="paragraph" w:styleId="ListBullet">
    <w:name w:val="List Bullet"/>
    <w:basedOn w:val="Normal"/>
    <w:rsid w:val="00064188"/>
    <w:pPr>
      <w:numPr>
        <w:numId w:val="1"/>
      </w:numPr>
      <w:tabs>
        <w:tab w:val="left" w:pos="720"/>
      </w:tabs>
      <w:spacing w:after="120" w:line="240" w:lineRule="auto"/>
    </w:pPr>
    <w:rPr>
      <w:rFonts w:eastAsia="Times New Roman" w:cs="Times New Roman"/>
      <w:szCs w:val="20"/>
    </w:rPr>
  </w:style>
  <w:style w:type="table" w:customStyle="1" w:styleId="TableGrid1">
    <w:name w:val="Table Grid1"/>
    <w:basedOn w:val="TableNormal"/>
    <w:next w:val="TableGrid"/>
    <w:uiPriority w:val="59"/>
    <w:rsid w:val="00064188"/>
    <w:pPr>
      <w:spacing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06418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4EB9"/>
    <w:rPr>
      <w:sz w:val="16"/>
      <w:szCs w:val="16"/>
    </w:rPr>
  </w:style>
  <w:style w:type="paragraph" w:styleId="CommentText">
    <w:name w:val="annotation text"/>
    <w:basedOn w:val="Normal"/>
    <w:link w:val="CommentTextChar"/>
    <w:uiPriority w:val="99"/>
    <w:unhideWhenUsed/>
    <w:rsid w:val="00324EB9"/>
    <w:pPr>
      <w:spacing w:line="240" w:lineRule="auto"/>
    </w:pPr>
    <w:rPr>
      <w:sz w:val="20"/>
      <w:szCs w:val="20"/>
    </w:rPr>
  </w:style>
  <w:style w:type="character" w:customStyle="1" w:styleId="CommentTextChar">
    <w:name w:val="Comment Text Char"/>
    <w:basedOn w:val="DefaultParagraphFont"/>
    <w:link w:val="CommentText"/>
    <w:uiPriority w:val="99"/>
    <w:rsid w:val="00324EB9"/>
    <w:rPr>
      <w:sz w:val="20"/>
      <w:szCs w:val="20"/>
    </w:rPr>
  </w:style>
  <w:style w:type="paragraph" w:styleId="CommentSubject">
    <w:name w:val="annotation subject"/>
    <w:basedOn w:val="CommentText"/>
    <w:next w:val="CommentText"/>
    <w:link w:val="CommentSubjectChar"/>
    <w:uiPriority w:val="99"/>
    <w:semiHidden/>
    <w:unhideWhenUsed/>
    <w:rsid w:val="00324EB9"/>
    <w:rPr>
      <w:b/>
      <w:bCs/>
    </w:rPr>
  </w:style>
  <w:style w:type="character" w:customStyle="1" w:styleId="CommentSubjectChar">
    <w:name w:val="Comment Subject Char"/>
    <w:basedOn w:val="CommentTextChar"/>
    <w:link w:val="CommentSubject"/>
    <w:uiPriority w:val="99"/>
    <w:semiHidden/>
    <w:rsid w:val="00324EB9"/>
    <w:rPr>
      <w:b/>
      <w:bCs/>
      <w:sz w:val="20"/>
      <w:szCs w:val="20"/>
    </w:rPr>
  </w:style>
  <w:style w:type="paragraph" w:styleId="BalloonText">
    <w:name w:val="Balloon Text"/>
    <w:basedOn w:val="Normal"/>
    <w:link w:val="BalloonTextChar"/>
    <w:uiPriority w:val="99"/>
    <w:semiHidden/>
    <w:unhideWhenUsed/>
    <w:rsid w:val="00324EB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EB9"/>
    <w:rPr>
      <w:rFonts w:ascii="Segoe UI" w:hAnsi="Segoe UI" w:cs="Segoe UI"/>
      <w:sz w:val="18"/>
      <w:szCs w:val="18"/>
    </w:rPr>
  </w:style>
  <w:style w:type="paragraph" w:styleId="ListParagraph">
    <w:name w:val="List Paragraph"/>
    <w:basedOn w:val="Normal"/>
    <w:uiPriority w:val="34"/>
    <w:qFormat/>
    <w:rsid w:val="0083659B"/>
    <w:pPr>
      <w:spacing w:after="240" w:line="240" w:lineRule="auto"/>
    </w:pPr>
    <w:rPr>
      <w:rFonts w:eastAsia="Batang" w:cs="Times New Roman"/>
      <w:szCs w:val="20"/>
    </w:rPr>
  </w:style>
  <w:style w:type="paragraph" w:customStyle="1" w:styleId="bullet">
    <w:name w:val="bullet"/>
    <w:basedOn w:val="Normal"/>
    <w:rsid w:val="003960E1"/>
    <w:pPr>
      <w:tabs>
        <w:tab w:val="left" w:pos="0"/>
      </w:tabs>
      <w:spacing w:after="120" w:line="240" w:lineRule="auto"/>
      <w:ind w:left="271" w:hanging="271"/>
    </w:pPr>
    <w:rPr>
      <w:rFonts w:eastAsia="Times New Roman" w:cs="Times New Roman"/>
      <w:szCs w:val="20"/>
    </w:rPr>
  </w:style>
  <w:style w:type="paragraph" w:customStyle="1" w:styleId="Normal1">
    <w:name w:val="Normal1"/>
    <w:basedOn w:val="Normal"/>
    <w:uiPriority w:val="99"/>
    <w:rsid w:val="003960E1"/>
    <w:pPr>
      <w:spacing w:after="240" w:line="240" w:lineRule="auto"/>
    </w:pPr>
    <w:rPr>
      <w:rFonts w:cs="Times New Roman"/>
      <w:szCs w:val="20"/>
    </w:rPr>
  </w:style>
  <w:style w:type="paragraph" w:styleId="Footer">
    <w:name w:val="footer"/>
    <w:basedOn w:val="Normal"/>
    <w:link w:val="FooterChar"/>
    <w:uiPriority w:val="99"/>
    <w:rsid w:val="003960E1"/>
    <w:pPr>
      <w:tabs>
        <w:tab w:val="center" w:pos="4320"/>
        <w:tab w:val="right" w:pos="8640"/>
      </w:tabs>
      <w:spacing w:after="240" w:line="240" w:lineRule="auto"/>
      <w:jc w:val="center"/>
    </w:pPr>
    <w:rPr>
      <w:rFonts w:eastAsia="Times New Roman" w:cs="Times New Roman"/>
      <w:szCs w:val="20"/>
      <w:lang w:bidi="en-US"/>
    </w:rPr>
  </w:style>
  <w:style w:type="character" w:customStyle="1" w:styleId="FooterChar">
    <w:name w:val="Footer Char"/>
    <w:basedOn w:val="DefaultParagraphFont"/>
    <w:link w:val="Footer"/>
    <w:uiPriority w:val="99"/>
    <w:rsid w:val="003960E1"/>
    <w:rPr>
      <w:rFonts w:eastAsia="Times New Roman" w:cs="Times New Roman"/>
      <w:szCs w:val="20"/>
      <w:lang w:bidi="en-US"/>
    </w:rPr>
  </w:style>
  <w:style w:type="paragraph" w:styleId="Header">
    <w:name w:val="header"/>
    <w:basedOn w:val="Normal"/>
    <w:link w:val="HeaderChar"/>
    <w:uiPriority w:val="99"/>
    <w:rsid w:val="003960E1"/>
    <w:pPr>
      <w:tabs>
        <w:tab w:val="center" w:pos="4320"/>
        <w:tab w:val="right" w:pos="8640"/>
      </w:tabs>
      <w:spacing w:after="240" w:line="240" w:lineRule="auto"/>
    </w:pPr>
    <w:rPr>
      <w:rFonts w:eastAsia="Times New Roman" w:cs="Times New Roman"/>
      <w:szCs w:val="20"/>
    </w:rPr>
  </w:style>
  <w:style w:type="character" w:customStyle="1" w:styleId="HeaderChar">
    <w:name w:val="Header Char"/>
    <w:basedOn w:val="DefaultParagraphFont"/>
    <w:link w:val="Header"/>
    <w:uiPriority w:val="99"/>
    <w:rsid w:val="003960E1"/>
    <w:rPr>
      <w:rFonts w:eastAsia="Times New Roman" w:cs="Times New Roman"/>
      <w:szCs w:val="20"/>
    </w:rPr>
  </w:style>
  <w:style w:type="paragraph" w:customStyle="1" w:styleId="PrelimHds">
    <w:name w:val="Prelim Hds"/>
    <w:next w:val="Normal"/>
    <w:rsid w:val="003960E1"/>
    <w:pPr>
      <w:keepNext/>
      <w:spacing w:after="240" w:line="240" w:lineRule="auto"/>
      <w:jc w:val="center"/>
    </w:pPr>
    <w:rPr>
      <w:rFonts w:ascii="Arial Bold" w:eastAsia="Times New Roman" w:hAnsi="Arial Bold" w:cs="Times New Roman"/>
      <w:b/>
      <w:bCs/>
      <w:caps/>
      <w:kern w:val="32"/>
      <w:sz w:val="26"/>
      <w:szCs w:val="26"/>
    </w:rPr>
  </w:style>
  <w:style w:type="character" w:styleId="PageNumber">
    <w:name w:val="page number"/>
    <w:rsid w:val="00513735"/>
    <w:rPr>
      <w:rFonts w:ascii="Arial" w:hAnsi="Arial"/>
      <w:sz w:val="22"/>
    </w:rPr>
  </w:style>
  <w:style w:type="character" w:styleId="FootnoteReference">
    <w:name w:val="footnote reference"/>
    <w:basedOn w:val="DefaultParagraphFont"/>
    <w:rsid w:val="00513735"/>
    <w:rPr>
      <w:vertAlign w:val="superscript"/>
    </w:rPr>
  </w:style>
  <w:style w:type="paragraph" w:styleId="BodyText">
    <w:name w:val="Body Text"/>
    <w:basedOn w:val="Normal"/>
    <w:link w:val="BodyTextChar"/>
    <w:rsid w:val="00513735"/>
    <w:pPr>
      <w:spacing w:after="240" w:line="240" w:lineRule="auto"/>
    </w:pPr>
    <w:rPr>
      <w:rFonts w:eastAsia="Times New Roman" w:cs="Times New Roman"/>
      <w:szCs w:val="20"/>
    </w:rPr>
  </w:style>
  <w:style w:type="character" w:customStyle="1" w:styleId="BodyTextChar">
    <w:name w:val="Body Text Char"/>
    <w:basedOn w:val="DefaultParagraphFont"/>
    <w:link w:val="BodyText"/>
    <w:rsid w:val="00513735"/>
    <w:rPr>
      <w:rFonts w:eastAsia="Times New Roman" w:cs="Times New Roman"/>
      <w:szCs w:val="20"/>
    </w:rPr>
  </w:style>
  <w:style w:type="paragraph" w:styleId="FootnoteText">
    <w:name w:val="footnote text"/>
    <w:basedOn w:val="Normal"/>
    <w:link w:val="FootnoteTextChar"/>
    <w:rsid w:val="00513735"/>
    <w:pPr>
      <w:spacing w:after="240" w:line="240" w:lineRule="auto"/>
    </w:pPr>
    <w:rPr>
      <w:rFonts w:eastAsia="Times New Roman" w:cs="Times New Roman"/>
      <w:sz w:val="18"/>
      <w:szCs w:val="20"/>
    </w:rPr>
  </w:style>
  <w:style w:type="character" w:customStyle="1" w:styleId="FootnoteTextChar">
    <w:name w:val="Footnote Text Char"/>
    <w:basedOn w:val="DefaultParagraphFont"/>
    <w:link w:val="FootnoteText"/>
    <w:rsid w:val="00513735"/>
    <w:rPr>
      <w:rFonts w:eastAsia="Times New Roman" w:cs="Times New Roman"/>
      <w:sz w:val="18"/>
      <w:szCs w:val="20"/>
    </w:rPr>
  </w:style>
  <w:style w:type="character" w:customStyle="1" w:styleId="A31">
    <w:name w:val="A3+1"/>
    <w:uiPriority w:val="99"/>
    <w:rsid w:val="00F32FC0"/>
    <w:rPr>
      <w:color w:val="211D1E"/>
      <w:sz w:val="20"/>
      <w:szCs w:val="20"/>
    </w:rPr>
  </w:style>
  <w:style w:type="paragraph" w:styleId="NormalWeb">
    <w:name w:val="Normal (Web)"/>
    <w:basedOn w:val="Normal"/>
    <w:uiPriority w:val="99"/>
    <w:semiHidden/>
    <w:unhideWhenUsed/>
    <w:rsid w:val="00332B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RegBull">
    <w:name w:val="App Reg Bull"/>
    <w:basedOn w:val="Normal"/>
    <w:rsid w:val="003B3BEE"/>
    <w:pPr>
      <w:tabs>
        <w:tab w:val="left" w:pos="0"/>
      </w:tabs>
      <w:spacing w:after="120" w:line="240" w:lineRule="auto"/>
      <w:ind w:left="1713" w:hanging="271"/>
    </w:pPr>
    <w:rPr>
      <w:rFonts w:eastAsia="Times New Roman" w:cs="Times New Roman"/>
      <w:szCs w:val="20"/>
    </w:rPr>
  </w:style>
  <w:style w:type="character" w:customStyle="1" w:styleId="normaltextrun">
    <w:name w:val="normaltextrun"/>
    <w:basedOn w:val="DefaultParagraphFont"/>
    <w:rsid w:val="00235C60"/>
  </w:style>
  <w:style w:type="paragraph" w:styleId="Revision">
    <w:name w:val="Revision"/>
    <w:hidden/>
    <w:uiPriority w:val="99"/>
    <w:semiHidden/>
    <w:rsid w:val="00D85B9F"/>
    <w:pPr>
      <w:spacing w:line="240" w:lineRule="auto"/>
    </w:pPr>
  </w:style>
  <w:style w:type="character" w:styleId="UnresolvedMention">
    <w:name w:val="Unresolved Mention"/>
    <w:basedOn w:val="DefaultParagraphFont"/>
    <w:uiPriority w:val="99"/>
    <w:unhideWhenUsed/>
    <w:rsid w:val="005413EB"/>
    <w:rPr>
      <w:color w:val="605E5C"/>
      <w:shd w:val="clear" w:color="auto" w:fill="E1DFDD"/>
    </w:rPr>
  </w:style>
  <w:style w:type="character" w:styleId="Mention">
    <w:name w:val="Mention"/>
    <w:basedOn w:val="DefaultParagraphFont"/>
    <w:uiPriority w:val="99"/>
    <w:unhideWhenUsed/>
    <w:rsid w:val="005413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ollects.Resource@nrc.gov"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ira_submission@omb.eop.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riginating_x0020_Office xmlns="ab88f1b7-a21f-483b-a912-730cef2de801" xsi:nil="true"/>
    <SharedWithUsers xmlns="d084bbf4-67d2-42b5-ad0b-bbb3e8240277">
      <UserInfo>
        <DisplayName>Brunson, Wesley</DisplayName>
        <AccountId>14</AccountId>
        <AccountType/>
      </UserInfo>
      <UserInfo>
        <DisplayName>Ghneim, Munira</DisplayName>
        <AccountId>10</AccountId>
        <AccountType/>
      </UserInfo>
      <UserInfo>
        <DisplayName>Gunasekera, Manjula</DisplayName>
        <AccountId>21</AccountId>
        <AccountType/>
      </UserInfo>
      <UserInfo>
        <DisplayName>Kenny, Caylee</DisplayName>
        <AccountId>62</AccountId>
        <AccountType/>
      </UserInfo>
      <UserInfo>
        <DisplayName>Ronewicz, Lynn</DisplayName>
        <AccountId>85</AccountId>
        <AccountType/>
      </UserInfo>
      <UserInfo>
        <DisplayName>Thieneman, Kristopher</DisplayName>
        <AccountId>13</AccountId>
        <AccountType/>
      </UserInfo>
      <UserInfo>
        <DisplayName>Chang, Helen</DisplayName>
        <AccountId>203</AccountId>
        <AccountType/>
      </UserInfo>
      <UserInfo>
        <DisplayName>Quintero, Jessie</DisplayName>
        <AccountId>84</AccountId>
        <AccountType/>
      </UserInfo>
      <UserInfo>
        <DisplayName>Arribas-Colon, Maria</DisplayName>
        <AccountId>466</AccountId>
        <AccountType/>
      </UserInfo>
      <UserInfo>
        <DisplayName>Shepherd, Jill</DisplayName>
        <AccountId>78</AccountId>
        <AccountType/>
      </UserInfo>
      <UserInfo>
        <DisplayName>Irvin, Ian</DisplayName>
        <AccountId>205</AccountId>
        <AccountType/>
      </UserInfo>
      <UserInfo>
        <DisplayName>Imboden, Stacey</DisplayName>
        <AccountId>697</AccountId>
        <AccountType/>
      </UserInfo>
      <UserInfo>
        <DisplayName>Xu, Shirley</DisplayName>
        <AccountId>207</AccountId>
        <AccountType/>
      </UserInfo>
      <UserInfo>
        <DisplayName>Gomez, Antonio</DisplayName>
        <AccountId>627</AccountId>
        <AccountType/>
      </UserInfo>
      <UserInfo>
        <DisplayName>Williams, Kevin</DisplayName>
        <AccountId>86</AccountId>
        <AccountType/>
      </UserInfo>
      <UserInfo>
        <DisplayName>Clark, Theresa</DisplayName>
        <AccountId>153</AccountId>
        <AccountType/>
      </UserInfo>
      <UserInfo>
        <DisplayName>Tappert, John</DisplayName>
        <AccountId>80</AccountId>
        <AccountType/>
      </UserInfo>
      <UserInfo>
        <DisplayName>Coyne, Kevin</DisplayName>
        <AccountId>96</AccountId>
        <AccountType/>
      </UserInfo>
      <UserInfo>
        <DisplayName>Cullison, David</DisplayName>
        <AccountId>68</AccountId>
        <AccountType/>
      </UserInfo>
      <UserInfo>
        <DisplayName>Allwein, Russell</DisplayName>
        <AccountId>66</AccountId>
        <AccountType/>
      </UserInfo>
      <UserInfo>
        <DisplayName>Wilson, George</DisplayName>
        <AccountId>82</AccountId>
        <AccountType/>
      </UserInfo>
      <UserInfo>
        <DisplayName>Bladey, Cindy</DisplayName>
        <AccountId>67</AccountId>
        <AccountType/>
      </UserInfo>
      <UserInfo>
        <DisplayName>Jones, Travis</DisplayName>
        <AccountId>544</AccountId>
        <AccountType/>
      </UserInfo>
      <UserInfo>
        <DisplayName>Love Blair, Angella</DisplayName>
        <AccountId>103</AccountId>
        <AccountType/>
      </UserInfo>
      <UserInfo>
        <DisplayName>Azariah-Kribbs, Keith</DisplayName>
        <AccountId>310</AccountId>
        <AccountType/>
      </UserInfo>
      <UserInfo>
        <DisplayName>Miles, Brenda</DisplayName>
        <AccountId>908</AccountId>
        <AccountType/>
      </UserInfo>
      <UserInfo>
        <DisplayName>Lombard, Mark</DisplayName>
        <AccountId>222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DE66E28BB682458FD1D102B17309FC" ma:contentTypeVersion="5" ma:contentTypeDescription="Create a new document." ma:contentTypeScope="" ma:versionID="f32a46e749d13b2fa1bd359c0444127b">
  <xsd:schema xmlns:xsd="http://www.w3.org/2001/XMLSchema" xmlns:xs="http://www.w3.org/2001/XMLSchema" xmlns:p="http://schemas.microsoft.com/office/2006/metadata/properties" xmlns:ns2="ab88f1b7-a21f-483b-a912-730cef2de801" xmlns:ns3="d084bbf4-67d2-42b5-ad0b-bbb3e8240277" targetNamespace="http://schemas.microsoft.com/office/2006/metadata/properties" ma:root="true" ma:fieldsID="869ef93deefe2d3c163720c2f714f6b4" ns2:_="" ns3:_="">
    <xsd:import namespace="ab88f1b7-a21f-483b-a912-730cef2de801"/>
    <xsd:import namespace="d084bbf4-67d2-42b5-ad0b-bbb3e8240277"/>
    <xsd:element name="properties">
      <xsd:complexType>
        <xsd:sequence>
          <xsd:element name="documentManagement">
            <xsd:complexType>
              <xsd:all>
                <xsd:element ref="ns2:Originating_x0020_Office"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8f1b7-a21f-483b-a912-730cef2de801" elementFormDefault="qualified">
    <xsd:import namespace="http://schemas.microsoft.com/office/2006/documentManagement/types"/>
    <xsd:import namespace="http://schemas.microsoft.com/office/infopath/2007/PartnerControls"/>
    <xsd:element name="Originating_x0020_Office" ma:index="8" nillable="true" ma:displayName="Originating Office" ma:internalName="Originating_x0020_Offic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4bbf4-67d2-42b5-ad0b-bbb3e824027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C38E6-96F9-4644-915E-B89D657E7ADD}">
  <ds:schemaRefs>
    <ds:schemaRef ds:uri="http://schemas.openxmlformats.org/officeDocument/2006/bibliography"/>
  </ds:schemaRefs>
</ds:datastoreItem>
</file>

<file path=customXml/itemProps2.xml><?xml version="1.0" encoding="utf-8"?>
<ds:datastoreItem xmlns:ds="http://schemas.openxmlformats.org/officeDocument/2006/customXml" ds:itemID="{DEF3E5C5-2214-4CF3-81CA-9DC4862D27B7}">
  <ds:schemaRefs>
    <ds:schemaRef ds:uri="http://schemas.microsoft.com/office/2006/metadata/properties"/>
    <ds:schemaRef ds:uri="http://schemas.microsoft.com/office/infopath/2007/PartnerControls"/>
    <ds:schemaRef ds:uri="ab88f1b7-a21f-483b-a912-730cef2de801"/>
    <ds:schemaRef ds:uri="d084bbf4-67d2-42b5-ad0b-bbb3e8240277"/>
  </ds:schemaRefs>
</ds:datastoreItem>
</file>

<file path=customXml/itemProps3.xml><?xml version="1.0" encoding="utf-8"?>
<ds:datastoreItem xmlns:ds="http://schemas.openxmlformats.org/officeDocument/2006/customXml" ds:itemID="{2A236442-A24A-4EE1-88AF-289786E75202}">
  <ds:schemaRefs>
    <ds:schemaRef ds:uri="http://schemas.microsoft.com/sharepoint/v3/contenttype/forms"/>
  </ds:schemaRefs>
</ds:datastoreItem>
</file>

<file path=customXml/itemProps4.xml><?xml version="1.0" encoding="utf-8"?>
<ds:datastoreItem xmlns:ds="http://schemas.openxmlformats.org/officeDocument/2006/customXml" ds:itemID="{8D2A836E-7BAD-4481-9F25-C654BB19D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8f1b7-a21f-483b-a912-730cef2de801"/>
    <ds:schemaRef ds:uri="d084bbf4-67d2-42b5-ad0b-bbb3e8240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6850</Words>
  <Characters>39050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McMurtray, Anthony</dc:creator>
  <cp:keywords/>
  <dc:description/>
  <cp:lastModifiedBy>Benney, Kristen</cp:lastModifiedBy>
  <cp:revision>3</cp:revision>
  <dcterms:created xsi:type="dcterms:W3CDTF">2021-10-19T19:28:00Z</dcterms:created>
  <dcterms:modified xsi:type="dcterms:W3CDTF">2022-06-23T15:08:00Z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0x01010077DE66E28BB682458FD1D102B17309FC</vt:lpwstr>
  </property>
</Properties>
</file>