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4E6" w:rsidRDefault="003414E6" w14:paraId="686EBDD2" w14:textId="77777777">
      <w:pPr>
        <w:jc w:val="center"/>
      </w:pPr>
    </w:p>
    <w:p w:rsidR="003414E6" w:rsidRDefault="003414E6" w14:paraId="7B750E15" w14:textId="77777777">
      <w:pPr>
        <w:jc w:val="center"/>
      </w:pPr>
    </w:p>
    <w:p w:rsidR="0067719F" w:rsidRDefault="0067719F" w14:paraId="54AA31F1" w14:textId="77777777">
      <w:pPr>
        <w:jc w:val="center"/>
      </w:pPr>
      <w:r>
        <w:t>OMB SUPPORTING STATEMENT</w:t>
      </w:r>
    </w:p>
    <w:p w:rsidR="0067719F" w:rsidRDefault="0067719F" w14:paraId="204ABD33" w14:textId="77777777"/>
    <w:p w:rsidR="003414E6" w:rsidRDefault="003414E6" w14:paraId="6E490E6A" w14:textId="77777777"/>
    <w:p w:rsidR="0067719F" w:rsidRDefault="009760F2" w14:paraId="03BADDE4" w14:textId="77777777">
      <w:r w:rsidRPr="009760F2">
        <w:rPr>
          <w:b/>
        </w:rPr>
        <w:t>FEHB Program Health Plan Carrier Application Supporting Statement</w:t>
      </w:r>
    </w:p>
    <w:p w:rsidR="00A86050" w:rsidRDefault="00A86050" w14:paraId="32DF1E2A" w14:textId="77777777"/>
    <w:p w:rsidR="00A86050" w:rsidP="00A86050" w:rsidRDefault="00A86050" w14:paraId="3494FCC9" w14:textId="77777777">
      <w:pPr>
        <w:numPr>
          <w:ilvl w:val="0"/>
          <w:numId w:val="3"/>
        </w:numPr>
      </w:pPr>
      <w:r>
        <w:t>Justification</w:t>
      </w:r>
    </w:p>
    <w:p w:rsidR="00A86050" w:rsidP="00A86050" w:rsidRDefault="00A86050" w14:paraId="52B28874" w14:textId="77777777"/>
    <w:p w:rsidRPr="00741061" w:rsidR="00A86050" w:rsidP="00A86050" w:rsidRDefault="00A86050" w14:paraId="2629B763" w14:textId="77777777">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14:paraId="296D245D" w14:textId="77777777"/>
    <w:p w:rsidR="00B95978" w:rsidP="009D5156" w:rsidRDefault="009760F2" w14:paraId="7F94C8E0" w14:textId="752632B9">
      <w:pPr>
        <w:ind w:left="360"/>
      </w:pPr>
      <w:r w:rsidRPr="009760F2">
        <w:t>The Federal Employees Health Benefits (FEHB) Program is offered under the authority of the FEHB law (Chapter 89 of title 5 of the U.S. Code) and is administered by the Office of Personnel Management (OPM) in accordance with the FEHB law and its implementing regulations (5 CFR Part 89, and 48 CFR Chapter 16).</w:t>
      </w:r>
      <w:r w:rsidR="00B95978">
        <w:t xml:space="preserve"> Consumer Assessment of Healthcare Providers and Systems (CAHPS®) surveys ask consumers and patients to report on and evaluate their experiences with health care. These surveys cover topics that are important to consumers and focus on aspects of quality that consumers are best qualified to assess, such as the communication skills of providers and ease of access to health care services. </w:t>
      </w:r>
    </w:p>
    <w:p w:rsidR="00A86050" w:rsidP="00B95978" w:rsidRDefault="00A86050" w14:paraId="5F2FAC04" w14:textId="77777777"/>
    <w:p w:rsidRPr="00741061" w:rsidR="00A86050" w:rsidP="00A86050" w:rsidRDefault="00A86050" w14:paraId="42E71030" w14:textId="77777777">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A86050" w:rsidP="00A86050" w:rsidRDefault="00A86050" w14:paraId="3564C925" w14:textId="77777777"/>
    <w:p w:rsidRPr="009760F2" w:rsidR="009760F2" w:rsidP="00B95978" w:rsidRDefault="00B95978" w14:paraId="768563C2" w14:textId="7BD68898">
      <w:pPr>
        <w:ind w:left="360"/>
        <w:rPr>
          <w:noProof/>
        </w:rPr>
      </w:pPr>
      <w:r>
        <w:t>OPM uses the CAHPS results as part of the FEHB Program Plan Performance Assessment (PPA).  The PPA enables a consistent, objective evaluation of carrier performance and also provides more transparency for enrollees. This assessment uses a discrete set of quantifiable measures to examine key aspects of performance in the areas of clinical quality, customer service and resource use. Six CAHPS measures are part of this discrete set of quantifiable measures. Taken together with more traditional assessments of contract administration, these measures help ensure that enrollees receive high quality affordable healthcare and a positive customer experience. The PPA is linked to carrier profit and adjustment factors. FEHB contracts include language to incorporate the PPA as a determinant of the Service Charge or Performance Adjustment</w:t>
      </w:r>
      <w:r w:rsidRPr="009760F2" w:rsidR="009760F2">
        <w:rPr>
          <w:noProof/>
        </w:rPr>
        <w:t>.</w:t>
      </w:r>
    </w:p>
    <w:p w:rsidR="0067719F" w:rsidRDefault="0067719F" w14:paraId="76510914" w14:textId="77777777"/>
    <w:p w:rsidRPr="00741061" w:rsidR="006B37C6" w:rsidP="006B37C6" w:rsidRDefault="006B37C6" w14:paraId="1DD62AFF" w14:textId="77777777">
      <w:pPr>
        <w:pStyle w:val="ListParagraph"/>
        <w:numPr>
          <w:ilvl w:val="0"/>
          <w:numId w:val="4"/>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6B37C6" w:rsidP="006B37C6" w:rsidRDefault="006B37C6" w14:paraId="3C3C2D50" w14:textId="77777777">
      <w:pPr>
        <w:ind w:left="720"/>
      </w:pPr>
    </w:p>
    <w:p w:rsidR="0009586A" w:rsidP="002B1643" w:rsidRDefault="0009586A" w14:paraId="081C3EFD" w14:textId="2AEA88E9">
      <w:pPr>
        <w:ind w:left="720"/>
      </w:pPr>
      <w:r w:rsidRPr="0009586A">
        <w:t xml:space="preserve">The CAHPS program is funded and administered by the Agency for Healthcare Research and Quality (AHRQ), </w:t>
      </w:r>
      <w:r>
        <w:t xml:space="preserve">which </w:t>
      </w:r>
      <w:proofErr w:type="spellStart"/>
      <w:r>
        <w:t>overseas</w:t>
      </w:r>
      <w:proofErr w:type="spellEnd"/>
      <w:r>
        <w:t xml:space="preserve"> the use of the CAHPS Survey. According to their </w:t>
      </w:r>
      <w:hyperlink w:history="1" r:id="rId6">
        <w:r w:rsidRPr="0009586A">
          <w:rPr>
            <w:rStyle w:val="Hyperlink"/>
          </w:rPr>
          <w:t>website</w:t>
        </w:r>
      </w:hyperlink>
      <w:r>
        <w:t xml:space="preserve">: </w:t>
      </w:r>
    </w:p>
    <w:p w:rsidRPr="0009586A" w:rsidR="002B1643" w:rsidP="0009586A" w:rsidRDefault="0009586A" w14:paraId="6CAE36E4" w14:textId="68B1CD42">
      <w:pPr>
        <w:ind w:left="1440"/>
        <w:rPr>
          <w:i/>
          <w:iCs/>
        </w:rPr>
      </w:pPr>
      <w:r w:rsidRPr="0009586A">
        <w:rPr>
          <w:i/>
          <w:iCs/>
        </w:rPr>
        <w:t xml:space="preserve">Web-based surveying is an increasingly popular mode of survey administration given its cost-effectiveness. However, the CAHPS research team has found that </w:t>
      </w:r>
      <w:r w:rsidRPr="0009586A">
        <w:rPr>
          <w:i/>
          <w:iCs/>
        </w:rPr>
        <w:lastRenderedPageBreak/>
        <w:t>healthcare organizations are unlikely to have valid email addresses for a representative portion of their patient or enrollee population. Further, research indicates that a web-based administration, by itself, of CAHPS surveys consistently yields the lowest response rates. Therefore, to minimize nonresponse bias and increase response rates, web administration is currently recommended only as part of a mixed mode protocol.</w:t>
      </w:r>
    </w:p>
    <w:p w:rsidR="0009586A" w:rsidP="002B1643" w:rsidRDefault="0009586A" w14:paraId="6F3361E6" w14:textId="77777777">
      <w:pPr>
        <w:ind w:left="720"/>
      </w:pPr>
    </w:p>
    <w:p w:rsidRPr="00741061" w:rsidR="006B37C6" w:rsidP="006B37C6" w:rsidRDefault="006B37C6" w14:paraId="727CC37C" w14:textId="77777777">
      <w:pPr>
        <w:pStyle w:val="ListParagraph"/>
        <w:numPr>
          <w:ilvl w:val="0"/>
          <w:numId w:val="4"/>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6B37C6" w:rsidP="006B37C6" w:rsidRDefault="006B37C6" w14:paraId="37645339" w14:textId="77777777">
      <w:pPr>
        <w:ind w:firstLine="720"/>
      </w:pPr>
    </w:p>
    <w:p w:rsidRPr="009760F2" w:rsidR="009760F2" w:rsidP="009F6DA2" w:rsidRDefault="00B45F0F" w14:paraId="1ED99032" w14:textId="1122CA77">
      <w:pPr>
        <w:ind w:left="720"/>
      </w:pPr>
      <w:r w:rsidRPr="004F356B">
        <w:rPr>
          <w:szCs w:val="24"/>
        </w:rPr>
        <w:t>The survey does not duplicate any other survey. CAHPS is a widely use customer survey used by many employers.</w:t>
      </w:r>
      <w:r w:rsidR="003F2A40">
        <w:t xml:space="preserve"> </w:t>
      </w:r>
    </w:p>
    <w:p w:rsidR="006B37C6" w:rsidP="006B37C6" w:rsidRDefault="006B37C6" w14:paraId="1B7D8384" w14:textId="77777777">
      <w:pPr>
        <w:ind w:firstLine="720"/>
      </w:pPr>
    </w:p>
    <w:p w:rsidRPr="00741061" w:rsidR="006B37C6" w:rsidP="006B37C6" w:rsidRDefault="006B37C6" w14:paraId="392B1F04" w14:textId="77777777">
      <w:pPr>
        <w:pStyle w:val="ListParagraph"/>
        <w:numPr>
          <w:ilvl w:val="0"/>
          <w:numId w:val="4"/>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6B37C6" w:rsidP="006B37C6" w:rsidRDefault="006B37C6" w14:paraId="4651C1E8" w14:textId="77777777">
      <w:pPr>
        <w:ind w:left="720"/>
      </w:pPr>
    </w:p>
    <w:p w:rsidR="0067719F" w:rsidP="006B37C6" w:rsidRDefault="00837D73" w14:paraId="4988B8DF" w14:textId="7C63D177">
      <w:pPr>
        <w:ind w:left="720"/>
      </w:pPr>
      <w:r w:rsidRPr="00837D73">
        <w:t>This IRC does not impact small businesses.</w:t>
      </w:r>
    </w:p>
    <w:p w:rsidR="006B37C6" w:rsidP="006B37C6" w:rsidRDefault="006B37C6" w14:paraId="1D2929D1" w14:textId="77777777">
      <w:pPr>
        <w:ind w:left="720"/>
      </w:pPr>
    </w:p>
    <w:p w:rsidRPr="00741061" w:rsidR="006B37C6" w:rsidP="006B37C6" w:rsidRDefault="006B37C6" w14:paraId="4F35F27E" w14:textId="77777777">
      <w:pPr>
        <w:pStyle w:val="ListParagraph"/>
        <w:numPr>
          <w:ilvl w:val="0"/>
          <w:numId w:val="4"/>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67719F" w:rsidRDefault="0067719F" w14:paraId="63A4B51F" w14:textId="77777777"/>
    <w:p w:rsidRPr="0036340A" w:rsidR="0036340A" w:rsidP="0036340A" w:rsidRDefault="00C12F5C" w14:paraId="40C54EF0" w14:textId="6267917E">
      <w:pPr>
        <w:ind w:left="720"/>
      </w:pPr>
      <w:r w:rsidRPr="00C12F5C">
        <w:t>The PPA is linked to carrier profit and adjustment factors. FEHB contracts include language to incorporate the PPA as a determinant of the Service Charge or Performance Adjustment</w:t>
      </w:r>
      <w:r w:rsidR="0036340A">
        <w:t>.</w:t>
      </w:r>
      <w:r>
        <w:t xml:space="preserve"> CAHPS data is also provided annually to consumers through the FEHB Plan Comparison Tool, used as part of the FEHB Open Season. It is important that consumers have the most recent data available to assist in decision making. </w:t>
      </w:r>
    </w:p>
    <w:p w:rsidRPr="0036340A" w:rsidR="0036340A" w:rsidP="0036340A" w:rsidRDefault="0036340A" w14:paraId="6C721D82" w14:textId="77777777">
      <w:pPr>
        <w:ind w:left="720"/>
      </w:pPr>
    </w:p>
    <w:p w:rsidR="00CB0B42" w:rsidP="006B37C6" w:rsidRDefault="00CB0B42" w14:paraId="70E2F9A3" w14:textId="77777777">
      <w:pPr>
        <w:ind w:left="720"/>
      </w:pPr>
    </w:p>
    <w:p w:rsidR="00CB0B42" w:rsidP="00CB0B42" w:rsidRDefault="00CB0B42" w14:paraId="4E8FD454" w14:textId="77777777">
      <w:pPr>
        <w:pStyle w:val="ListParagraph"/>
        <w:numPr>
          <w:ilvl w:val="0"/>
          <w:numId w:val="4"/>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CB0B42" w:rsidP="00CB0B42" w:rsidRDefault="00CB0B42" w14:paraId="7ED18CED" w14:textId="77777777">
      <w:pPr>
        <w:pStyle w:val="ListParagraph"/>
        <w:shd w:val="pct25" w:color="auto" w:fill="auto"/>
        <w:tabs>
          <w:tab w:val="left" w:pos="-720"/>
        </w:tabs>
        <w:suppressAutoHyphens/>
      </w:pPr>
      <w:r>
        <w:t xml:space="preserve">• requiring respondents to report information to the agency more often than </w:t>
      </w:r>
      <w:proofErr w:type="gramStart"/>
      <w:r>
        <w:t>quarterly;</w:t>
      </w:r>
      <w:proofErr w:type="gramEnd"/>
      <w:r>
        <w:t xml:space="preserve"> </w:t>
      </w:r>
    </w:p>
    <w:p w:rsidR="00CB0B42" w:rsidP="00CB0B42" w:rsidRDefault="00CB0B42" w14:paraId="48186E50"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w:t>
      </w:r>
      <w:proofErr w:type="gramStart"/>
      <w:r>
        <w:t>it;</w:t>
      </w:r>
      <w:proofErr w:type="gramEnd"/>
      <w:r>
        <w:t xml:space="preserve"> </w:t>
      </w:r>
    </w:p>
    <w:p w:rsidR="00CB0B42" w:rsidP="00CB0B42" w:rsidRDefault="00CB0B42" w14:paraId="6C4CC39C" w14:textId="77777777">
      <w:pPr>
        <w:pStyle w:val="ListParagraph"/>
        <w:shd w:val="pct25" w:color="auto" w:fill="auto"/>
        <w:tabs>
          <w:tab w:val="left" w:pos="-720"/>
        </w:tabs>
        <w:suppressAutoHyphens/>
      </w:pPr>
      <w:r>
        <w:t xml:space="preserve">•requiring respondents to submit more than an original and two copies of any </w:t>
      </w:r>
      <w:proofErr w:type="gramStart"/>
      <w:r>
        <w:t>document;</w:t>
      </w:r>
      <w:proofErr w:type="gramEnd"/>
      <w:r>
        <w:t xml:space="preserve"> </w:t>
      </w:r>
    </w:p>
    <w:p w:rsidR="00CB0B42" w:rsidP="00CB0B42" w:rsidRDefault="00CB0B42" w14:paraId="57F91BA0"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w:t>
      </w:r>
      <w:proofErr w:type="gramStart"/>
      <w:r>
        <w:t>years;</w:t>
      </w:r>
      <w:proofErr w:type="gramEnd"/>
      <w:r>
        <w:t xml:space="preserve"> </w:t>
      </w:r>
    </w:p>
    <w:p w:rsidR="00CB0B42" w:rsidP="00CB0B42" w:rsidRDefault="00CB0B42" w14:paraId="0AA5AEF5"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w:t>
      </w:r>
      <w:proofErr w:type="gramStart"/>
      <w:r>
        <w:t>study;</w:t>
      </w:r>
      <w:proofErr w:type="gramEnd"/>
      <w:r>
        <w:t xml:space="preserve"> </w:t>
      </w:r>
    </w:p>
    <w:p w:rsidR="00CB0B42" w:rsidP="00CB0B42" w:rsidRDefault="00CB0B42" w14:paraId="11359AB7" w14:textId="77777777">
      <w:pPr>
        <w:pStyle w:val="ListParagraph"/>
        <w:shd w:val="pct25" w:color="auto" w:fill="auto"/>
        <w:tabs>
          <w:tab w:val="left" w:pos="-720"/>
        </w:tabs>
        <w:suppressAutoHyphens/>
      </w:pPr>
      <w:r>
        <w:t xml:space="preserve">• requiring the use of a statistical data classification that has not been reviewed and approved by </w:t>
      </w:r>
      <w:proofErr w:type="gramStart"/>
      <w:r>
        <w:t>OMB;</w:t>
      </w:r>
      <w:proofErr w:type="gramEnd"/>
      <w:r>
        <w:t xml:space="preserve"> </w:t>
      </w:r>
    </w:p>
    <w:p w:rsidR="00CB0B42" w:rsidP="00CB0B42" w:rsidRDefault="00CB0B42" w14:paraId="507D0A50"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B0B42" w:rsidP="00CB0B42" w:rsidRDefault="00CB0B42" w14:paraId="680182DD"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CB0B42" w:rsidP="00CB0B42" w:rsidRDefault="00CB0B42" w14:paraId="1D065664" w14:textId="77777777">
      <w:pPr>
        <w:ind w:left="720"/>
      </w:pPr>
      <w:r>
        <w:lastRenderedPageBreak/>
        <w:br/>
        <w:t>There are no special circumstances involved in the collection of this information.</w:t>
      </w:r>
    </w:p>
    <w:p w:rsidR="00CB0B42" w:rsidP="00CB0B42" w:rsidRDefault="00CB0B42" w14:paraId="172D08B5" w14:textId="77777777">
      <w:pPr>
        <w:ind w:left="720"/>
      </w:pPr>
    </w:p>
    <w:p w:rsidRPr="00741061" w:rsidR="00CB0B42" w:rsidP="00CB0B42" w:rsidRDefault="00CB0B42" w14:paraId="35B3BB15" w14:textId="6BE79671">
      <w:pPr>
        <w:pStyle w:val="ListParagraph"/>
        <w:numPr>
          <w:ilvl w:val="0"/>
          <w:numId w:val="4"/>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rsidR="003B3CFE">
        <w:t>publications</w:t>
      </w:r>
      <w:r w:rsidRPr="00741061">
        <w:t xml:space="preserve"> in the Federal Register of the agency’s notice soliciting comments on the information collection prior to submission to OMB</w:t>
      </w:r>
    </w:p>
    <w:p w:rsidR="00CB0B42" w:rsidP="00CB0B42" w:rsidRDefault="00CB0B42" w14:paraId="4B1CD85D" w14:textId="6748EC10">
      <w:pPr>
        <w:ind w:left="720"/>
      </w:pPr>
      <w:r>
        <w:br/>
      </w:r>
      <w:r w:rsidR="00837D73">
        <w:t>N/A</w:t>
      </w:r>
    </w:p>
    <w:p w:rsidR="00CB0B42" w:rsidP="0047295A" w:rsidRDefault="00CB0B42" w14:paraId="2CA5496B" w14:textId="77777777"/>
    <w:p w:rsidR="00CB0B42" w:rsidP="00CB0B42" w:rsidRDefault="00CB0B42" w14:paraId="5BFE5B58" w14:textId="77777777">
      <w:pPr>
        <w:ind w:left="720"/>
      </w:pPr>
    </w:p>
    <w:p w:rsidRPr="00741061" w:rsidR="00CB0B42" w:rsidP="00CB0B42" w:rsidRDefault="00CB0B42" w14:paraId="48033821" w14:textId="77777777">
      <w:pPr>
        <w:pStyle w:val="ListParagraph"/>
        <w:numPr>
          <w:ilvl w:val="0"/>
          <w:numId w:val="4"/>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2B1643" w:rsidP="006B37C6" w:rsidRDefault="002B1643" w14:paraId="3E8D18D0" w14:textId="77777777">
      <w:pPr>
        <w:ind w:left="720"/>
      </w:pPr>
    </w:p>
    <w:p w:rsidR="006B37C6" w:rsidP="006B37C6" w:rsidRDefault="002B1643" w14:paraId="45FDC0B3" w14:textId="77777777">
      <w:pPr>
        <w:ind w:left="720"/>
      </w:pPr>
      <w:r>
        <w:t>No payment or gift is provided to respondents.</w:t>
      </w:r>
    </w:p>
    <w:p w:rsidR="002B1643" w:rsidP="006B37C6" w:rsidRDefault="002B1643" w14:paraId="32D66467" w14:textId="77777777">
      <w:pPr>
        <w:ind w:left="720"/>
      </w:pPr>
    </w:p>
    <w:p w:rsidRPr="00741061" w:rsidR="00CB0B42" w:rsidP="00CB0B42" w:rsidRDefault="00CB0B42" w14:paraId="65D680EF" w14:textId="77777777">
      <w:pPr>
        <w:pStyle w:val="ListParagraph"/>
        <w:numPr>
          <w:ilvl w:val="0"/>
          <w:numId w:val="4"/>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CB0B42" w:rsidP="00CB0B42" w:rsidRDefault="00CB0B42" w14:paraId="711D2F88" w14:textId="77777777">
      <w:pPr>
        <w:pStyle w:val="ListParagraph"/>
        <w:ind w:right="-288"/>
      </w:pPr>
    </w:p>
    <w:p w:rsidR="00CB0B42" w:rsidP="0036340A" w:rsidRDefault="00CB0B42" w14:paraId="07B56507" w14:textId="6E2DFD2D">
      <w:pPr>
        <w:ind w:left="720" w:right="-288"/>
      </w:pPr>
      <w:r>
        <w:t xml:space="preserve">This information collection is protected </w:t>
      </w:r>
      <w:r w:rsidR="003A2BDE">
        <w:t xml:space="preserve">as confidential contracting documents under the Federal Acquisition Regulation and the FEHB Acquisition Regulation.  In addition, the Freedom of Information Act protects commercial or financial information from being disclosed that could harm the business interest of a company.  The information is also protected </w:t>
      </w:r>
      <w:r>
        <w:t>by the Privacy Act of 1974</w:t>
      </w:r>
      <w:r w:rsidR="0036340A">
        <w:t xml:space="preserve">, </w:t>
      </w:r>
      <w:r w:rsidRPr="0036340A" w:rsidR="0036340A">
        <w:t>the Health Insurance Portability and Accountability Act</w:t>
      </w:r>
      <w:r w:rsidR="003A2BDE">
        <w:t>.</w:t>
      </w:r>
    </w:p>
    <w:p w:rsidR="00CB0B42" w:rsidP="00CB0B42" w:rsidRDefault="00CB0B42" w14:paraId="54F17151" w14:textId="77777777">
      <w:pPr>
        <w:ind w:right="-288" w:firstLine="720"/>
      </w:pPr>
    </w:p>
    <w:p w:rsidRPr="00741061" w:rsidR="00CB0B42" w:rsidP="00CB0B42" w:rsidRDefault="00CB0B42" w14:paraId="4D951DF8" w14:textId="77777777">
      <w:pPr>
        <w:pStyle w:val="ListParagraph"/>
        <w:numPr>
          <w:ilvl w:val="0"/>
          <w:numId w:val="4"/>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B0B42" w:rsidP="00CB0B42" w:rsidRDefault="00CB0B42" w14:paraId="6CABA25C" w14:textId="77777777">
      <w:pPr>
        <w:spacing w:before="240"/>
        <w:ind w:left="720"/>
      </w:pPr>
      <w:r>
        <w:t xml:space="preserve">The information collection does not include questions of a sensitive nature, such as sexual behavior and attitudes, religious beliefs, and other matters that are commonly considered private. </w:t>
      </w:r>
    </w:p>
    <w:p w:rsidR="00CB0B42" w:rsidP="00CB0B42" w:rsidRDefault="00CB0B42" w14:paraId="0F809983" w14:textId="77777777">
      <w:pPr>
        <w:ind w:right="-288" w:firstLine="720"/>
      </w:pPr>
    </w:p>
    <w:p w:rsidRPr="00741061" w:rsidR="00CB0B42" w:rsidP="00CB0B42" w:rsidRDefault="00CB0B42" w14:paraId="538DF441"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Pr="00741061" w:rsidR="00CB0B42" w:rsidP="00CB0B42" w:rsidRDefault="00CB0B42" w14:paraId="07E04E43" w14:textId="77777777">
      <w:pPr>
        <w:pStyle w:val="ListParagraph"/>
        <w:tabs>
          <w:tab w:val="left" w:pos="-720"/>
        </w:tabs>
        <w:suppressAutoHyphens/>
        <w:ind w:left="360"/>
      </w:pPr>
    </w:p>
    <w:p w:rsidR="00CB0B42" w:rsidP="00CB0B42" w:rsidRDefault="00CB0B42" w14:paraId="4327225A"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CB0B42" w:rsidP="00CB0B42" w:rsidRDefault="00CB0B42" w14:paraId="4F5DB182" w14:textId="77777777">
      <w:pPr>
        <w:pStyle w:val="ListParagraph"/>
        <w:shd w:val="pct25" w:color="auto" w:fill="auto"/>
        <w:tabs>
          <w:tab w:val="left" w:pos="-720"/>
        </w:tabs>
        <w:suppressAutoHyphens/>
        <w:ind w:left="360"/>
      </w:pPr>
      <w:r w:rsidRPr="00741061">
        <w:t xml:space="preserve">b.  If this request for approval covers more than one form, provide separate hour burden estimates for each </w:t>
      </w:r>
      <w:proofErr w:type="gramStart"/>
      <w:r w:rsidRPr="00741061">
        <w:t>form</w:t>
      </w:r>
      <w:proofErr w:type="gramEnd"/>
      <w:r w:rsidRPr="00741061">
        <w:t xml:space="preserve"> and aggregate the hour burdens in Item 13 of OMB Form 83-I.</w:t>
      </w:r>
      <w:r>
        <w:t xml:space="preserve"> </w:t>
      </w:r>
    </w:p>
    <w:p w:rsidRPr="00741061" w:rsidR="00CB0B42" w:rsidP="00C1773B" w:rsidRDefault="00CB0B42" w14:paraId="586FA7C2" w14:textId="77777777">
      <w:pPr>
        <w:pStyle w:val="ListParagraph"/>
        <w:shd w:val="pct25" w:color="auto" w:fill="auto"/>
        <w:tabs>
          <w:tab w:val="left" w:pos="-720"/>
        </w:tabs>
        <w:suppressAutoHyphens/>
        <w:ind w:left="360"/>
      </w:pPr>
      <w:r>
        <w:lastRenderedPageBreak/>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37D73" w:rsidR="00837D73" w:rsidP="00837D73" w:rsidRDefault="00C1773B" w14:paraId="66B73DC4" w14:textId="2C154672">
      <w:pPr>
        <w:ind w:left="360"/>
        <w:rPr>
          <w:iCs/>
        </w:rPr>
      </w:pPr>
      <w:r>
        <w:br/>
      </w:r>
      <w:r w:rsidRPr="0036340A" w:rsidR="0036340A">
        <w:t>Burden Estimate</w:t>
      </w:r>
      <w:r w:rsidRPr="0036340A" w:rsidR="0036340A">
        <w:rPr>
          <w:b/>
        </w:rPr>
        <w:t xml:space="preserve">: </w:t>
      </w:r>
      <w:r w:rsidRPr="00837D73" w:rsidR="00837D73">
        <w:rPr>
          <w:iCs/>
        </w:rPr>
        <w:t xml:space="preserve">Approximately 73,505 CAHPS surveys will be processed annually. The survey requires approximately 15 minutes for the respondents to read the instructions and complete the survey. A burden of 18,376 hours is estimated and is not expected to vary substantially. </w:t>
      </w:r>
    </w:p>
    <w:p w:rsidR="00837D73" w:rsidP="00837D73" w:rsidRDefault="00837D73" w14:paraId="4DD4691A" w14:textId="77777777">
      <w:pPr>
        <w:rPr>
          <w:iCs/>
        </w:rPr>
      </w:pPr>
    </w:p>
    <w:tbl>
      <w:tblPr>
        <w:tblpPr w:leftFromText="180" w:rightFromText="180" w:vertAnchor="text" w:horzAnchor="margin" w:tblpY="170"/>
        <w:tblW w:w="10535" w:type="dxa"/>
        <w:tblLayout w:type="fixed"/>
        <w:tblCellMar>
          <w:left w:w="0" w:type="dxa"/>
          <w:right w:w="0" w:type="dxa"/>
        </w:tblCellMar>
        <w:tblLook w:val="04A0" w:firstRow="1" w:lastRow="0" w:firstColumn="1" w:lastColumn="0" w:noHBand="0" w:noVBand="1"/>
      </w:tblPr>
      <w:tblGrid>
        <w:gridCol w:w="1316"/>
        <w:gridCol w:w="1317"/>
        <w:gridCol w:w="1317"/>
        <w:gridCol w:w="1317"/>
        <w:gridCol w:w="1317"/>
        <w:gridCol w:w="1317"/>
        <w:gridCol w:w="1317"/>
        <w:gridCol w:w="1317"/>
      </w:tblGrid>
      <w:tr w:rsidRPr="00110B5F" w:rsidR="00837D73" w:rsidTr="00837D73" w14:paraId="518305E7" w14:textId="77777777">
        <w:trPr>
          <w:trHeight w:val="1141"/>
        </w:trPr>
        <w:tc>
          <w:tcPr>
            <w:tcW w:w="131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0DCFAA49" w14:textId="77777777">
            <w:pPr>
              <w:rPr>
                <w:iCs/>
                <w:sz w:val="20"/>
                <w:szCs w:val="16"/>
              </w:rPr>
            </w:pPr>
            <w:r w:rsidRPr="0009586A">
              <w:rPr>
                <w:b/>
                <w:bCs/>
                <w:iCs/>
                <w:sz w:val="20"/>
                <w:szCs w:val="16"/>
              </w:rPr>
              <w:t>Form Name</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72C46565" w14:textId="77777777">
            <w:pPr>
              <w:rPr>
                <w:iCs/>
                <w:sz w:val="20"/>
                <w:szCs w:val="16"/>
              </w:rPr>
            </w:pPr>
            <w:r w:rsidRPr="0009586A">
              <w:rPr>
                <w:b/>
                <w:bCs/>
                <w:iCs/>
                <w:sz w:val="20"/>
                <w:szCs w:val="16"/>
              </w:rPr>
              <w:t>Form Number</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7372BA57" w14:textId="77777777">
            <w:pPr>
              <w:rPr>
                <w:iCs/>
                <w:sz w:val="20"/>
                <w:szCs w:val="16"/>
              </w:rPr>
            </w:pPr>
            <w:r w:rsidRPr="0009586A">
              <w:rPr>
                <w:b/>
                <w:bCs/>
                <w:iCs/>
                <w:sz w:val="20"/>
                <w:szCs w:val="16"/>
              </w:rPr>
              <w:t>No. of Respondents</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1363961E" w14:textId="77777777">
            <w:pPr>
              <w:rPr>
                <w:iCs/>
                <w:sz w:val="20"/>
                <w:szCs w:val="16"/>
              </w:rPr>
            </w:pPr>
            <w:r w:rsidRPr="0009586A">
              <w:rPr>
                <w:b/>
                <w:bCs/>
                <w:iCs/>
                <w:sz w:val="20"/>
                <w:szCs w:val="16"/>
              </w:rPr>
              <w:t>No. of Responses per Respondent</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6E82AFC6" w14:textId="77777777">
            <w:pPr>
              <w:rPr>
                <w:iCs/>
                <w:sz w:val="20"/>
                <w:szCs w:val="16"/>
              </w:rPr>
            </w:pPr>
            <w:r w:rsidRPr="0009586A">
              <w:rPr>
                <w:b/>
                <w:bCs/>
                <w:iCs/>
                <w:sz w:val="20"/>
                <w:szCs w:val="16"/>
              </w:rPr>
              <w:t>Average Burden per Response (in hours)</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269E2595" w14:textId="77777777">
            <w:pPr>
              <w:rPr>
                <w:iCs/>
                <w:sz w:val="20"/>
                <w:szCs w:val="16"/>
              </w:rPr>
            </w:pPr>
            <w:r w:rsidRPr="0009586A">
              <w:rPr>
                <w:b/>
                <w:bCs/>
                <w:iCs/>
                <w:sz w:val="20"/>
                <w:szCs w:val="16"/>
              </w:rPr>
              <w:t>Total Annual Burden (in hours)</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1C149947" w14:textId="3E137073">
            <w:pPr>
              <w:rPr>
                <w:iCs/>
                <w:sz w:val="20"/>
                <w:szCs w:val="16"/>
              </w:rPr>
            </w:pPr>
            <w:r w:rsidRPr="0009586A">
              <w:rPr>
                <w:b/>
                <w:bCs/>
                <w:iCs/>
                <w:sz w:val="20"/>
                <w:szCs w:val="16"/>
              </w:rPr>
              <w:t>Average Rate</w:t>
            </w:r>
          </w:p>
        </w:tc>
        <w:tc>
          <w:tcPr>
            <w:tcW w:w="131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09586A" w:rsidR="00837D73" w:rsidP="00837D73" w:rsidRDefault="00837D73" w14:paraId="5D48EB98" w14:textId="77777777">
            <w:pPr>
              <w:rPr>
                <w:iCs/>
                <w:sz w:val="20"/>
                <w:szCs w:val="16"/>
              </w:rPr>
            </w:pPr>
            <w:r w:rsidRPr="0009586A">
              <w:rPr>
                <w:b/>
                <w:bCs/>
                <w:iCs/>
                <w:sz w:val="20"/>
                <w:szCs w:val="16"/>
              </w:rPr>
              <w:t>Total Annual Respondent Cost</w:t>
            </w:r>
          </w:p>
        </w:tc>
      </w:tr>
      <w:tr w:rsidRPr="00110B5F" w:rsidR="00837D73" w:rsidTr="00837D73" w14:paraId="120E80CA" w14:textId="77777777">
        <w:trPr>
          <w:trHeight w:val="905"/>
        </w:trPr>
        <w:tc>
          <w:tcPr>
            <w:tcW w:w="131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2A864709" w14:textId="77777777">
            <w:pPr>
              <w:rPr>
                <w:iCs/>
                <w:sz w:val="20"/>
                <w:szCs w:val="16"/>
              </w:rPr>
            </w:pPr>
            <w:r w:rsidRPr="00C12F5C">
              <w:rPr>
                <w:b/>
                <w:bCs/>
                <w:i/>
                <w:iCs/>
                <w:sz w:val="20"/>
                <w:szCs w:val="16"/>
              </w:rPr>
              <w:t>CAHPS Enrollee Survey</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7C5FEF1F" w14:textId="2971C9A0">
            <w:pPr>
              <w:rPr>
                <w:iCs/>
                <w:sz w:val="20"/>
                <w:szCs w:val="16"/>
              </w:rPr>
            </w:pPr>
            <w:r w:rsidRPr="0009586A">
              <w:rPr>
                <w:iCs/>
                <w:sz w:val="20"/>
                <w:szCs w:val="16"/>
              </w:rPr>
              <w:t>3206-</w:t>
            </w:r>
            <w:r w:rsidR="00D907BA">
              <w:rPr>
                <w:iCs/>
                <w:sz w:val="20"/>
                <w:szCs w:val="16"/>
              </w:rPr>
              <w:t>0274</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076563B6" w14:textId="77777777">
            <w:pPr>
              <w:jc w:val="right"/>
              <w:rPr>
                <w:iCs/>
                <w:sz w:val="20"/>
                <w:szCs w:val="16"/>
              </w:rPr>
            </w:pPr>
            <w:r w:rsidRPr="00C12F5C">
              <w:rPr>
                <w:iCs/>
                <w:sz w:val="20"/>
                <w:szCs w:val="16"/>
              </w:rPr>
              <w:t>73,505</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57AF02E0" w14:textId="77777777">
            <w:pPr>
              <w:jc w:val="right"/>
              <w:rPr>
                <w:iCs/>
                <w:sz w:val="20"/>
                <w:szCs w:val="16"/>
              </w:rPr>
            </w:pPr>
            <w:r w:rsidRPr="0009586A">
              <w:rPr>
                <w:iCs/>
                <w:sz w:val="20"/>
                <w:szCs w:val="16"/>
              </w:rPr>
              <w:t>1 </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700E2955" w14:textId="77777777">
            <w:pPr>
              <w:jc w:val="right"/>
              <w:rPr>
                <w:iCs/>
                <w:sz w:val="20"/>
                <w:szCs w:val="16"/>
              </w:rPr>
            </w:pPr>
            <w:bookmarkStart w:name="_Hlk89954275" w:id="0"/>
            <w:r>
              <w:rPr>
                <w:iCs/>
                <w:sz w:val="20"/>
                <w:szCs w:val="16"/>
              </w:rPr>
              <w:t>0.25 hours</w:t>
            </w:r>
            <w:bookmarkEnd w:id="0"/>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6A54998A" w14:textId="77777777">
            <w:pPr>
              <w:jc w:val="right"/>
              <w:rPr>
                <w:iCs/>
                <w:sz w:val="20"/>
                <w:szCs w:val="16"/>
              </w:rPr>
            </w:pPr>
            <w:bookmarkStart w:name="_Hlk92179491" w:id="1"/>
            <w:r w:rsidRPr="00C12F5C">
              <w:rPr>
                <w:iCs/>
                <w:sz w:val="20"/>
                <w:szCs w:val="16"/>
              </w:rPr>
              <w:t>18,376</w:t>
            </w:r>
            <w:r>
              <w:rPr>
                <w:iCs/>
                <w:sz w:val="20"/>
                <w:szCs w:val="16"/>
              </w:rPr>
              <w:t>.25</w:t>
            </w:r>
            <w:r w:rsidRPr="00C12F5C">
              <w:rPr>
                <w:iCs/>
                <w:sz w:val="20"/>
                <w:szCs w:val="16"/>
              </w:rPr>
              <w:t xml:space="preserve"> </w:t>
            </w:r>
            <w:bookmarkEnd w:id="1"/>
            <w:r w:rsidRPr="00C12F5C">
              <w:rPr>
                <w:iCs/>
                <w:sz w:val="20"/>
                <w:szCs w:val="16"/>
              </w:rPr>
              <w:t>hours</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4F086A" w14:paraId="4A93201E" w14:textId="772375C2">
            <w:pPr>
              <w:jc w:val="right"/>
              <w:rPr>
                <w:iCs/>
                <w:sz w:val="20"/>
                <w:szCs w:val="16"/>
              </w:rPr>
            </w:pPr>
            <w:r>
              <w:rPr>
                <w:iCs/>
                <w:sz w:val="20"/>
                <w:szCs w:val="16"/>
              </w:rPr>
              <w:t>10.75 per hour</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09586A" w:rsidR="00837D73" w:rsidP="00837D73" w:rsidRDefault="00837D73" w14:paraId="094408B3" w14:textId="0C394FDA">
            <w:pPr>
              <w:jc w:val="right"/>
              <w:rPr>
                <w:iCs/>
                <w:sz w:val="20"/>
                <w:szCs w:val="16"/>
              </w:rPr>
            </w:pPr>
            <w:r w:rsidRPr="0009586A">
              <w:rPr>
                <w:iCs/>
                <w:sz w:val="20"/>
                <w:szCs w:val="16"/>
              </w:rPr>
              <w:t>$</w:t>
            </w:r>
            <w:r w:rsidR="004F086A">
              <w:rPr>
                <w:iCs/>
                <w:sz w:val="20"/>
                <w:szCs w:val="16"/>
              </w:rPr>
              <w:t>197,545</w:t>
            </w:r>
          </w:p>
        </w:tc>
      </w:tr>
    </w:tbl>
    <w:p w:rsidRPr="0036340A" w:rsidR="00666B96" w:rsidP="00666B96" w:rsidRDefault="00666B96" w14:paraId="2CB7C8EA" w14:textId="77777777">
      <w:pPr>
        <w:ind w:left="360"/>
        <w:rPr>
          <w:iCs/>
        </w:rPr>
      </w:pPr>
    </w:p>
    <w:p w:rsidR="00900E7C" w:rsidP="00CB0B42" w:rsidRDefault="00900E7C" w14:paraId="1033A193" w14:textId="77777777">
      <w:pPr>
        <w:ind w:right="-288" w:firstLine="720"/>
      </w:pPr>
    </w:p>
    <w:p w:rsidRPr="00741061" w:rsidR="00C11A92" w:rsidP="00C11A92" w:rsidRDefault="00C11A92" w14:paraId="27CA4BD0"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14:paraId="16CB2203" w14:textId="77777777">
      <w:pPr>
        <w:pStyle w:val="ListParagraph"/>
        <w:shd w:val="pct25" w:color="auto" w:fill="auto"/>
        <w:tabs>
          <w:tab w:val="left" w:pos="-720"/>
        </w:tabs>
        <w:suppressAutoHyphens/>
        <w:ind w:left="0"/>
      </w:pPr>
    </w:p>
    <w:p w:rsidRPr="00741061" w:rsidR="00C11A92" w:rsidP="00C11A92" w:rsidRDefault="00C11A92" w14:paraId="09E49074" w14:textId="77777777">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C11A92" w:rsidP="00C11A92" w:rsidRDefault="00C11A92" w14:paraId="208670EF" w14:textId="77777777">
      <w:pPr>
        <w:pStyle w:val="ListParagraph"/>
        <w:shd w:val="pct25" w:color="auto" w:fill="FFFFFF"/>
        <w:tabs>
          <w:tab w:val="left" w:pos="-720"/>
        </w:tabs>
        <w:suppressAutoHyphens/>
        <w:ind w:left="0"/>
      </w:pPr>
    </w:p>
    <w:p w:rsidRPr="00741061" w:rsidR="00C11A92" w:rsidP="00C11A92" w:rsidRDefault="00C11A92" w14:paraId="60A73C8A" w14:textId="77777777">
      <w:pPr>
        <w:pStyle w:val="ListParagraph"/>
        <w:shd w:val="pct25" w:color="auto" w:fill="FFFFFF"/>
        <w:tabs>
          <w:tab w:val="left" w:pos="-720"/>
        </w:tabs>
        <w:suppressAutoHyphens/>
        <w:ind w:left="0"/>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41061">
        <w:t>process</w:t>
      </w:r>
      <w:proofErr w:type="gramEnd"/>
      <w:r w:rsidRPr="00741061">
        <w:t xml:space="preserve"> and use existing economic or regulatory impact analysis associated with the rulemaking containing the information collection as appropriate.</w:t>
      </w:r>
    </w:p>
    <w:p w:rsidRPr="00741061" w:rsidR="00C11A92" w:rsidP="00C11A92" w:rsidRDefault="00C11A92" w14:paraId="0ACA716C" w14:textId="77777777">
      <w:pPr>
        <w:pStyle w:val="ListParagraph"/>
        <w:shd w:val="pct25" w:color="auto" w:fill="FFFFFF"/>
        <w:tabs>
          <w:tab w:val="left" w:pos="-720"/>
        </w:tabs>
        <w:suppressAutoHyphens/>
        <w:ind w:left="0"/>
      </w:pPr>
    </w:p>
    <w:p w:rsidRPr="00741061" w:rsidR="00C11A92" w:rsidP="00C11A92" w:rsidRDefault="00C11A92" w14:paraId="136DF64F"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w:t>
      </w:r>
      <w:proofErr w:type="gramStart"/>
      <w:r w:rsidRPr="00741061">
        <w:t>:  (</w:t>
      </w:r>
      <w:proofErr w:type="gramEnd"/>
      <w:r w:rsidRPr="00741061">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D27067" w:rsidP="00D27067" w:rsidRDefault="00D27067" w14:paraId="7C8EDF68" w14:textId="77777777">
      <w:pPr>
        <w:pStyle w:val="ListParagraph"/>
        <w:shd w:val="pct25" w:color="auto" w:fill="FFFFFF"/>
        <w:tabs>
          <w:tab w:val="left" w:pos="-720"/>
        </w:tabs>
        <w:suppressAutoHyphens/>
        <w:ind w:left="0"/>
        <w:rPr>
          <w:iCs/>
        </w:rPr>
      </w:pPr>
    </w:p>
    <w:p w:rsidR="00D30957" w:rsidP="00D30957" w:rsidRDefault="00D30957" w14:paraId="101D8727" w14:textId="77777777">
      <w:pPr>
        <w:rPr>
          <w:iCs/>
        </w:rPr>
      </w:pPr>
    </w:p>
    <w:p w:rsidR="006856F2" w:rsidP="006856F2" w:rsidRDefault="006856F2" w14:paraId="65C9CB0C" w14:textId="77777777">
      <w:pPr>
        <w:rPr>
          <w:iCs/>
        </w:rPr>
      </w:pPr>
      <w:r>
        <w:rPr>
          <w:iCs/>
        </w:rPr>
        <w:t>See 14 below</w:t>
      </w:r>
      <w:r w:rsidR="00837D73">
        <w:rPr>
          <w:iCs/>
        </w:rPr>
        <w:t xml:space="preserve">. </w:t>
      </w:r>
    </w:p>
    <w:p w:rsidRPr="00D17EF3" w:rsidR="00C11A92" w:rsidP="006856F2" w:rsidRDefault="00C11A92" w14:paraId="484FAED0" w14:textId="61391439">
      <w:r w:rsidRPr="00741061">
        <w:lastRenderedPageBreak/>
        <w:fldChar w:fldCharType="begin"/>
      </w:r>
      <w:r w:rsidRPr="00741061">
        <w:instrText>ADVANCE \R 0.95</w:instrText>
      </w:r>
      <w:r w:rsidRPr="00741061">
        <w:fldChar w:fldCharType="end"/>
      </w:r>
      <w:r w:rsidRPr="00D17EF3">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D30957" w:rsidP="00D30957" w:rsidRDefault="00D30957" w14:paraId="33F249F0" w14:textId="77777777"/>
    <w:p w:rsidRPr="000B5139" w:rsidR="00837D73" w:rsidP="006856F2" w:rsidRDefault="00837D73" w14:paraId="61F54D4A" w14:textId="336BDC0F">
      <w:pPr>
        <w:rPr>
          <w:iCs/>
        </w:rPr>
      </w:pPr>
      <w:r w:rsidRPr="00837D73">
        <w:rPr>
          <w:iCs/>
        </w:rPr>
        <w:t>This cost is calculated by processing the total forms indicated by (73,505) at a rate of $</w:t>
      </w:r>
      <w:r w:rsidR="00AB41A6">
        <w:rPr>
          <w:iCs/>
        </w:rPr>
        <w:t xml:space="preserve">10.75 per </w:t>
      </w:r>
      <w:r w:rsidR="00186795">
        <w:rPr>
          <w:iCs/>
        </w:rPr>
        <w:t>hour</w:t>
      </w:r>
      <w:r w:rsidRPr="00837D73">
        <w:rPr>
          <w:iCs/>
        </w:rPr>
        <w:t xml:space="preserve"> (15 minutes of the average hourly rate) for a total of </w:t>
      </w:r>
      <w:r w:rsidR="00BA114F">
        <w:rPr>
          <w:iCs/>
        </w:rPr>
        <w:t>$197,545</w:t>
      </w:r>
      <w:r>
        <w:rPr>
          <w:iCs/>
        </w:rPr>
        <w:t xml:space="preserve"> </w:t>
      </w:r>
      <w:r w:rsidRPr="00837D73">
        <w:rPr>
          <w:iCs/>
        </w:rPr>
        <w:t xml:space="preserve">plus </w:t>
      </w:r>
      <w:r w:rsidR="00FD6F50">
        <w:rPr>
          <w:iCs/>
        </w:rPr>
        <w:t>30</w:t>
      </w:r>
      <w:r w:rsidRPr="00837D73">
        <w:rPr>
          <w:iCs/>
        </w:rPr>
        <w:t xml:space="preserve">% overhead </w:t>
      </w:r>
      <w:r w:rsidR="009B08DA">
        <w:rPr>
          <w:iCs/>
        </w:rPr>
        <w:t>($</w:t>
      </w:r>
      <w:r w:rsidR="00316459">
        <w:rPr>
          <w:iCs/>
        </w:rPr>
        <w:t>59,264</w:t>
      </w:r>
      <w:r w:rsidRPr="00837D73">
        <w:rPr>
          <w:iCs/>
        </w:rPr>
        <w:t>) resulting in a total cost of $</w:t>
      </w:r>
      <w:r w:rsidR="00BA114F">
        <w:rPr>
          <w:iCs/>
        </w:rPr>
        <w:t>2</w:t>
      </w:r>
      <w:r w:rsidR="00316459">
        <w:rPr>
          <w:iCs/>
        </w:rPr>
        <w:t>56,809</w:t>
      </w:r>
      <w:r w:rsidRPr="00837D73">
        <w:rPr>
          <w:iCs/>
        </w:rPr>
        <w:t xml:space="preserve"> to the government</w:t>
      </w:r>
      <w:r w:rsidR="002D1BDB">
        <w:rPr>
          <w:iCs/>
        </w:rPr>
        <w:t xml:space="preserve"> and carriers</w:t>
      </w:r>
      <w:r w:rsidR="00BA114F">
        <w:rPr>
          <w:iCs/>
        </w:rPr>
        <w:t>.</w:t>
      </w:r>
    </w:p>
    <w:p w:rsidR="00CB0B42" w:rsidP="006B37C6" w:rsidRDefault="00CB0B42" w14:paraId="5B157A88" w14:textId="77777777">
      <w:pPr>
        <w:ind w:left="720"/>
      </w:pPr>
    </w:p>
    <w:p w:rsidRPr="00741061" w:rsidR="00C11A92" w:rsidP="00C11A92" w:rsidRDefault="00C11A92" w14:paraId="620AA406"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14:paraId="4D43543E" w14:textId="77777777">
      <w:pPr>
        <w:ind w:left="720"/>
      </w:pPr>
    </w:p>
    <w:p w:rsidR="00C11A92" w:rsidP="001D67AD" w:rsidRDefault="001753D1" w14:paraId="2B03B51A" w14:textId="77777777">
      <w:pPr>
        <w:ind w:left="720"/>
      </w:pPr>
      <w:r>
        <w:t>There are no</w:t>
      </w:r>
      <w:r w:rsidR="00C11A92">
        <w:t xml:space="preserve"> new changes.</w:t>
      </w:r>
    </w:p>
    <w:p w:rsidR="00C11A92" w:rsidP="006B37C6" w:rsidRDefault="00C11A92" w14:paraId="48477379" w14:textId="77777777">
      <w:pPr>
        <w:ind w:left="720"/>
      </w:pPr>
    </w:p>
    <w:p w:rsidRPr="00741061" w:rsidR="00C11A92" w:rsidP="00C11A92" w:rsidRDefault="00C11A92" w14:paraId="7825B84E"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1A92" w:rsidP="00C11A92" w:rsidRDefault="00C11A92" w14:paraId="5A1C6FE3" w14:textId="77777777">
      <w:pPr>
        <w:ind w:left="720"/>
      </w:pPr>
    </w:p>
    <w:p w:rsidR="00C11A92" w:rsidP="001D67AD" w:rsidRDefault="00C11A92" w14:paraId="0FFD3282" w14:textId="28CA52C7">
      <w:pPr>
        <w:ind w:left="720"/>
      </w:pPr>
      <w:r>
        <w:t>The results of this information collection are published</w:t>
      </w:r>
      <w:r w:rsidR="009A3952">
        <w:t xml:space="preserve"> as part of the FEHB Carriers Plan Comparison Tool and Quality data in the form of pie charts to help consumer </w:t>
      </w:r>
      <w:r w:rsidR="00A66955">
        <w:t>decisions</w:t>
      </w:r>
      <w:r w:rsidR="009A3952">
        <w:t xml:space="preserve"> making</w:t>
      </w:r>
      <w:r>
        <w:t>.</w:t>
      </w:r>
      <w:r w:rsidR="009A3952">
        <w:t xml:space="preserve"> This information is published annually during the FEHB open season</w:t>
      </w:r>
    </w:p>
    <w:p w:rsidR="00C11A92" w:rsidP="00C11A92" w:rsidRDefault="00C11A92" w14:paraId="7F874CEF" w14:textId="77777777">
      <w:pPr>
        <w:ind w:left="720"/>
      </w:pPr>
    </w:p>
    <w:p w:rsidRPr="00741061" w:rsidR="00C11A92" w:rsidP="00C11A92" w:rsidRDefault="00C11A92" w14:paraId="049F775F"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14:paraId="74B32571" w14:textId="77777777">
      <w:pPr>
        <w:pStyle w:val="ListParagraph"/>
        <w:tabs>
          <w:tab w:val="left" w:pos="-720"/>
        </w:tabs>
        <w:suppressAutoHyphens/>
        <w:ind w:left="0"/>
      </w:pPr>
    </w:p>
    <w:p w:rsidR="00611CDB" w:rsidP="00611CDB" w:rsidRDefault="001D67AD" w14:paraId="60A67A9C" w14:textId="6C70C390">
      <w:pPr>
        <w:ind w:left="720"/>
      </w:pPr>
      <w:r>
        <w:t>N/A</w:t>
      </w:r>
      <w:r w:rsidRPr="0092615E" w:rsidR="00611CDB">
        <w:t xml:space="preserve"> </w:t>
      </w:r>
    </w:p>
    <w:p w:rsidRPr="00741061" w:rsidR="00C11A92" w:rsidP="00C11A92" w:rsidRDefault="00C11A92" w14:paraId="6DBA8B89" w14:textId="77777777">
      <w:pPr>
        <w:pStyle w:val="ListParagraph"/>
        <w:tabs>
          <w:tab w:val="left" w:pos="-720"/>
        </w:tabs>
        <w:suppressAutoHyphens/>
        <w:ind w:left="0"/>
      </w:pPr>
    </w:p>
    <w:p w:rsidR="00C11A92" w:rsidP="0088417A" w:rsidRDefault="00C11A92" w14:paraId="2887F0F2"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C11A92" w:rsidP="00C11A92" w:rsidRDefault="00C11A92" w14:paraId="0233363B" w14:textId="77777777">
      <w:pPr>
        <w:spacing w:before="240"/>
        <w:ind w:firstLine="720"/>
      </w:pPr>
      <w:r>
        <w:t>There are no exceptions to the certification statement.</w:t>
      </w:r>
    </w:p>
    <w:p w:rsidR="0067719F" w:rsidRDefault="0067719F" w14:paraId="01B41F66" w14:textId="77777777"/>
    <w:sectPr w:rsidR="0067719F">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15:restartNumberingAfterBreak="0">
    <w:nsid w:val="6D1469A7"/>
    <w:multiLevelType w:val="hybridMultilevel"/>
    <w:tmpl w:val="5760572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abstractNum w:abstractNumId="6" w15:restartNumberingAfterBreak="0">
    <w:nsid w:val="7B6C34BD"/>
    <w:multiLevelType w:val="hybridMultilevel"/>
    <w:tmpl w:val="072A32FA"/>
    <w:lvl w:ilvl="0" w:tplc="EAF8C73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3"/>
    <w:rsid w:val="00015DF7"/>
    <w:rsid w:val="00087C24"/>
    <w:rsid w:val="0009586A"/>
    <w:rsid w:val="000B5139"/>
    <w:rsid w:val="000C76FA"/>
    <w:rsid w:val="00104044"/>
    <w:rsid w:val="0014051F"/>
    <w:rsid w:val="00144EAB"/>
    <w:rsid w:val="0016093E"/>
    <w:rsid w:val="001753D1"/>
    <w:rsid w:val="00186795"/>
    <w:rsid w:val="001D67AD"/>
    <w:rsid w:val="001F7B17"/>
    <w:rsid w:val="00237649"/>
    <w:rsid w:val="002459DD"/>
    <w:rsid w:val="002B1643"/>
    <w:rsid w:val="002D1BDB"/>
    <w:rsid w:val="002E15C4"/>
    <w:rsid w:val="00300EE8"/>
    <w:rsid w:val="00303C99"/>
    <w:rsid w:val="003120F3"/>
    <w:rsid w:val="00316459"/>
    <w:rsid w:val="0032674C"/>
    <w:rsid w:val="00330C2F"/>
    <w:rsid w:val="003414E6"/>
    <w:rsid w:val="0034372F"/>
    <w:rsid w:val="0036340A"/>
    <w:rsid w:val="0038206A"/>
    <w:rsid w:val="003A2BDE"/>
    <w:rsid w:val="003A4EDB"/>
    <w:rsid w:val="003B3CFE"/>
    <w:rsid w:val="003F2A40"/>
    <w:rsid w:val="003F330A"/>
    <w:rsid w:val="0043366D"/>
    <w:rsid w:val="0047295A"/>
    <w:rsid w:val="004A59B6"/>
    <w:rsid w:val="004F086A"/>
    <w:rsid w:val="00522CBB"/>
    <w:rsid w:val="00591F3F"/>
    <w:rsid w:val="00611CDB"/>
    <w:rsid w:val="00613BDD"/>
    <w:rsid w:val="006632C4"/>
    <w:rsid w:val="00666B96"/>
    <w:rsid w:val="0067719F"/>
    <w:rsid w:val="006856F2"/>
    <w:rsid w:val="006B3340"/>
    <w:rsid w:val="006B37C6"/>
    <w:rsid w:val="006F6859"/>
    <w:rsid w:val="007438A8"/>
    <w:rsid w:val="007E3EED"/>
    <w:rsid w:val="00810C0A"/>
    <w:rsid w:val="008114ED"/>
    <w:rsid w:val="00837D73"/>
    <w:rsid w:val="0087629F"/>
    <w:rsid w:val="0088417A"/>
    <w:rsid w:val="00900E7C"/>
    <w:rsid w:val="00934EFB"/>
    <w:rsid w:val="009760F2"/>
    <w:rsid w:val="009A3952"/>
    <w:rsid w:val="009A69F3"/>
    <w:rsid w:val="009A6C84"/>
    <w:rsid w:val="009B08DA"/>
    <w:rsid w:val="009D5156"/>
    <w:rsid w:val="009D5166"/>
    <w:rsid w:val="009F6DA2"/>
    <w:rsid w:val="00A1229D"/>
    <w:rsid w:val="00A14624"/>
    <w:rsid w:val="00A308CB"/>
    <w:rsid w:val="00A3690D"/>
    <w:rsid w:val="00A66955"/>
    <w:rsid w:val="00A86050"/>
    <w:rsid w:val="00AA502A"/>
    <w:rsid w:val="00AA682B"/>
    <w:rsid w:val="00AB084A"/>
    <w:rsid w:val="00AB41A6"/>
    <w:rsid w:val="00AC532D"/>
    <w:rsid w:val="00B05BB8"/>
    <w:rsid w:val="00B45F0F"/>
    <w:rsid w:val="00B5725A"/>
    <w:rsid w:val="00B721CC"/>
    <w:rsid w:val="00B74393"/>
    <w:rsid w:val="00B95978"/>
    <w:rsid w:val="00BA114F"/>
    <w:rsid w:val="00C11A92"/>
    <w:rsid w:val="00C12F5C"/>
    <w:rsid w:val="00C1773B"/>
    <w:rsid w:val="00C416F1"/>
    <w:rsid w:val="00CB0B42"/>
    <w:rsid w:val="00D17EF3"/>
    <w:rsid w:val="00D27067"/>
    <w:rsid w:val="00D30957"/>
    <w:rsid w:val="00D43115"/>
    <w:rsid w:val="00D82F63"/>
    <w:rsid w:val="00D907BA"/>
    <w:rsid w:val="00E26880"/>
    <w:rsid w:val="00E52EAE"/>
    <w:rsid w:val="00EB0FB2"/>
    <w:rsid w:val="00EB2081"/>
    <w:rsid w:val="00ED158B"/>
    <w:rsid w:val="00F52260"/>
    <w:rsid w:val="00FC4360"/>
    <w:rsid w:val="00FD6F50"/>
    <w:rsid w:val="00FF1D49"/>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6CCDA"/>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BDE"/>
    <w:rPr>
      <w:rFonts w:ascii="Segoe UI" w:hAnsi="Segoe UI" w:cs="Segoe UI"/>
      <w:sz w:val="18"/>
      <w:szCs w:val="18"/>
    </w:rPr>
  </w:style>
  <w:style w:type="character" w:styleId="Hyperlink">
    <w:name w:val="Hyperlink"/>
    <w:basedOn w:val="DefaultParagraphFont"/>
    <w:uiPriority w:val="99"/>
    <w:unhideWhenUsed/>
    <w:rsid w:val="0009586A"/>
    <w:rPr>
      <w:color w:val="0563C1" w:themeColor="hyperlink"/>
      <w:u w:val="single"/>
    </w:rPr>
  </w:style>
  <w:style w:type="character" w:styleId="UnresolvedMention">
    <w:name w:val="Unresolved Mention"/>
    <w:basedOn w:val="DefaultParagraphFont"/>
    <w:uiPriority w:val="99"/>
    <w:semiHidden/>
    <w:unhideWhenUsed/>
    <w:rsid w:val="0009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 w:id="5125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hrq.gov/cahps/faq/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05BA-AD22-46E5-9E61-DFC429D5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Jones, Demetrius H.</cp:lastModifiedBy>
  <cp:revision>2</cp:revision>
  <cp:lastPrinted>2011-06-22T14:53:00Z</cp:lastPrinted>
  <dcterms:created xsi:type="dcterms:W3CDTF">2022-06-13T15:33:00Z</dcterms:created>
  <dcterms:modified xsi:type="dcterms:W3CDTF">2022-06-13T15:33:00Z</dcterms:modified>
</cp:coreProperties>
</file>