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1543C" w:rsidR="000E57E5" w:rsidP="000E57E5" w:rsidRDefault="000E57E5" w14:paraId="26A8757D" w14:textId="77777777">
      <w:pPr>
        <w:widowControl w:val="0"/>
        <w:jc w:val="center"/>
        <w:rPr>
          <w:rFonts w:ascii="Times New Roman" w:hAnsi="Times New Roman"/>
          <w:szCs w:val="22"/>
        </w:rPr>
      </w:pPr>
      <w:r w:rsidRPr="0071543C">
        <w:rPr>
          <w:rFonts w:ascii="Times New Roman" w:hAnsi="Times New Roman"/>
          <w:szCs w:val="22"/>
        </w:rPr>
        <w:t>U.S. SMALL BUSINESS ADMINISTRATION</w:t>
      </w:r>
    </w:p>
    <w:p w:rsidRPr="0071543C" w:rsidR="000E57E5" w:rsidP="000E57E5" w:rsidRDefault="000E57E5" w14:paraId="27B00F0F" w14:textId="77777777">
      <w:pPr>
        <w:widowControl w:val="0"/>
        <w:jc w:val="center"/>
        <w:rPr>
          <w:rFonts w:ascii="Times New Roman" w:hAnsi="Times New Roman"/>
          <w:szCs w:val="22"/>
        </w:rPr>
      </w:pPr>
      <w:r w:rsidRPr="0071543C">
        <w:rPr>
          <w:rFonts w:ascii="Times New Roman" w:hAnsi="Times New Roman"/>
          <w:szCs w:val="22"/>
        </w:rPr>
        <w:t>Generic Clearance for Formative Data Collections for Evaluation, Research, and Evidence-Building</w:t>
      </w:r>
    </w:p>
    <w:p w:rsidRPr="0071543C" w:rsidR="000E57E5" w:rsidP="000E57E5" w:rsidRDefault="000E57E5" w14:paraId="283E7357" w14:textId="77777777">
      <w:pPr>
        <w:widowControl w:val="0"/>
        <w:jc w:val="center"/>
        <w:rPr>
          <w:rFonts w:ascii="Times New Roman" w:hAnsi="Times New Roman"/>
          <w:szCs w:val="22"/>
        </w:rPr>
      </w:pPr>
      <w:r w:rsidRPr="0071543C">
        <w:rPr>
          <w:rFonts w:ascii="Times New Roman" w:hAnsi="Times New Roman"/>
          <w:szCs w:val="22"/>
        </w:rPr>
        <w:t>OMB Control Number, 3245-XXXX</w:t>
      </w:r>
    </w:p>
    <w:p w:rsidRPr="0071543C" w:rsidR="000E57E5" w:rsidP="000E57E5" w:rsidRDefault="000E57E5" w14:paraId="7EDB8F9E" w14:textId="1DA18110">
      <w:pPr>
        <w:widowControl w:val="0"/>
        <w:jc w:val="center"/>
        <w:rPr>
          <w:rFonts w:ascii="Times New Roman" w:hAnsi="Times New Roman"/>
          <w:szCs w:val="22"/>
        </w:rPr>
      </w:pPr>
      <w:r w:rsidRPr="0071543C">
        <w:rPr>
          <w:rFonts w:ascii="Times New Roman" w:hAnsi="Times New Roman"/>
          <w:szCs w:val="22"/>
        </w:rPr>
        <w:t>Part B Supporting Statement</w:t>
      </w:r>
    </w:p>
    <w:p w:rsidRPr="0071543C" w:rsidR="00F0379E" w:rsidRDefault="00F0379E" w14:paraId="661B9C32" w14:textId="2D6CE24F">
      <w:pPr>
        <w:rPr>
          <w:rFonts w:ascii="Times New Roman" w:hAnsi="Times New Roman"/>
        </w:rPr>
      </w:pPr>
    </w:p>
    <w:p w:rsidRPr="0071543C" w:rsidR="003D5938" w:rsidRDefault="003D5938" w14:paraId="4532AF44" w14:textId="6289B77F">
      <w:pPr>
        <w:rPr>
          <w:rFonts w:ascii="Times New Roman" w:hAnsi="Times New Roman"/>
        </w:rPr>
      </w:pPr>
    </w:p>
    <w:p w:rsidRPr="0071543C" w:rsidR="00A227D6" w:rsidP="00A227D6" w:rsidRDefault="00A227D6" w14:paraId="49C6B6AD" w14:textId="77777777">
      <w:pPr>
        <w:ind w:hanging="360"/>
        <w:rPr>
          <w:rFonts w:ascii="Times New Roman" w:hAnsi="Times New Roman"/>
          <w:b/>
        </w:rPr>
      </w:pPr>
      <w:r w:rsidRPr="0071543C">
        <w:rPr>
          <w:rFonts w:ascii="Times New Roman" w:hAnsi="Times New Roman"/>
          <w:b/>
        </w:rPr>
        <w:t>B.</w:t>
      </w:r>
      <w:r w:rsidRPr="0071543C">
        <w:rPr>
          <w:rFonts w:ascii="Times New Roman" w:hAnsi="Times New Roman"/>
          <w:b/>
        </w:rPr>
        <w:tab/>
        <w:t>STATISTICAL METHODS</w:t>
      </w:r>
    </w:p>
    <w:p w:rsidRPr="0071543C" w:rsidR="00A227D6" w:rsidRDefault="00853E35" w14:paraId="585180CA" w14:textId="6505CF5B">
      <w:pPr>
        <w:rPr>
          <w:rFonts w:ascii="Times New Roman" w:hAnsi="Times New Roman"/>
        </w:rPr>
      </w:pPr>
      <w:r w:rsidRPr="0071543C">
        <w:rPr>
          <w:rFonts w:ascii="Times New Roman" w:hAnsi="Times New Roman"/>
          <w:szCs w:val="24"/>
        </w:rPr>
        <w:t>The primary pur</w:t>
      </w:r>
      <w:r w:rsidRPr="0071543C" w:rsidR="00724C64">
        <w:rPr>
          <w:rFonts w:ascii="Times New Roman" w:hAnsi="Times New Roman"/>
          <w:szCs w:val="24"/>
        </w:rPr>
        <w:t xml:space="preserve">pose </w:t>
      </w:r>
      <w:r w:rsidR="00EE7460">
        <w:rPr>
          <w:rFonts w:ascii="Times New Roman" w:hAnsi="Times New Roman"/>
          <w:szCs w:val="24"/>
        </w:rPr>
        <w:t xml:space="preserve">of this generic </w:t>
      </w:r>
      <w:r w:rsidR="0036351E">
        <w:rPr>
          <w:rFonts w:ascii="Times New Roman" w:hAnsi="Times New Roman"/>
          <w:szCs w:val="24"/>
        </w:rPr>
        <w:t>clearance</w:t>
      </w:r>
      <w:r w:rsidR="00EE7460">
        <w:rPr>
          <w:rFonts w:ascii="Times New Roman" w:hAnsi="Times New Roman"/>
          <w:szCs w:val="24"/>
        </w:rPr>
        <w:t xml:space="preserve"> </w:t>
      </w:r>
      <w:r w:rsidRPr="0071543C" w:rsidR="00F447CA">
        <w:rPr>
          <w:rFonts w:ascii="Times New Roman" w:hAnsi="Times New Roman"/>
          <w:szCs w:val="24"/>
        </w:rPr>
        <w:t xml:space="preserve">is to collect </w:t>
      </w:r>
      <w:r w:rsidRPr="0071543C" w:rsidR="00357A11">
        <w:rPr>
          <w:rFonts w:ascii="Times New Roman" w:hAnsi="Times New Roman"/>
          <w:szCs w:val="24"/>
        </w:rPr>
        <w:t xml:space="preserve">data </w:t>
      </w:r>
      <w:r w:rsidRPr="0071543C" w:rsidR="00F447CA">
        <w:rPr>
          <w:rFonts w:ascii="Times New Roman" w:hAnsi="Times New Roman"/>
          <w:szCs w:val="24"/>
        </w:rPr>
        <w:t>to</w:t>
      </w:r>
      <w:r w:rsidRPr="0071543C" w:rsidR="00357A11">
        <w:rPr>
          <w:rFonts w:ascii="Times New Roman" w:hAnsi="Times New Roman"/>
          <w:szCs w:val="24"/>
        </w:rPr>
        <w:t xml:space="preserve"> </w:t>
      </w:r>
      <w:r w:rsidRPr="0071543C" w:rsidR="001453F9">
        <w:rPr>
          <w:rFonts w:ascii="Times New Roman" w:hAnsi="Times New Roman"/>
        </w:rPr>
        <w:t xml:space="preserve">inform the U.S. Small Business Administration’s (SBA) evaluation, research, and evidence-building activities and </w:t>
      </w:r>
      <w:r w:rsidRPr="0071543C" w:rsidR="00357A11">
        <w:rPr>
          <w:rFonts w:ascii="Times New Roman" w:hAnsi="Times New Roman"/>
          <w:szCs w:val="24"/>
        </w:rPr>
        <w:t xml:space="preserve">allow for collaborative, ongoing, and actionable communications between the Agency and its customers and stakeholders </w:t>
      </w:r>
      <w:r w:rsidRPr="0071543C" w:rsidR="00F447CA">
        <w:rPr>
          <w:rFonts w:ascii="Times New Roman" w:hAnsi="Times New Roman"/>
          <w:szCs w:val="24"/>
        </w:rPr>
        <w:t xml:space="preserve">that </w:t>
      </w:r>
      <w:r w:rsidRPr="0071543C" w:rsidR="00357A11">
        <w:rPr>
          <w:rFonts w:ascii="Times New Roman" w:hAnsi="Times New Roman"/>
          <w:szCs w:val="24"/>
        </w:rPr>
        <w:t>allow the SBA to identify the strengths and weaknesses of current programs, initiatives, and services.</w:t>
      </w:r>
      <w:r w:rsidRPr="0071543C" w:rsidR="00A3261E">
        <w:rPr>
          <w:rFonts w:ascii="Times New Roman" w:hAnsi="Times New Roman"/>
          <w:szCs w:val="24"/>
        </w:rPr>
        <w:t xml:space="preserve"> </w:t>
      </w:r>
      <w:r w:rsidR="00BE1C1F">
        <w:rPr>
          <w:rFonts w:ascii="Times New Roman" w:hAnsi="Times New Roman"/>
        </w:rPr>
        <w:t>Due to the nature of the proposed</w:t>
      </w:r>
      <w:r w:rsidRPr="003477D5" w:rsidR="00BE1C1F">
        <w:rPr>
          <w:rFonts w:ascii="Times New Roman" w:hAnsi="Times New Roman"/>
        </w:rPr>
        <w:t xml:space="preserve"> </w:t>
      </w:r>
      <w:r w:rsidR="00BE1C1F">
        <w:rPr>
          <w:rFonts w:ascii="Times New Roman" w:hAnsi="Times New Roman"/>
        </w:rPr>
        <w:t>activities</w:t>
      </w:r>
      <w:r w:rsidR="0036351E">
        <w:rPr>
          <w:rFonts w:ascii="Times New Roman" w:hAnsi="Times New Roman"/>
        </w:rPr>
        <w:t>,</w:t>
      </w:r>
      <w:r w:rsidR="00BE1C1F">
        <w:rPr>
          <w:rFonts w:ascii="Times New Roman" w:hAnsi="Times New Roman"/>
        </w:rPr>
        <w:t xml:space="preserve"> </w:t>
      </w:r>
      <w:r w:rsidR="001272FE">
        <w:rPr>
          <w:rFonts w:ascii="Times New Roman" w:hAnsi="Times New Roman"/>
          <w:szCs w:val="24"/>
        </w:rPr>
        <w:t>v</w:t>
      </w:r>
      <w:r w:rsidRPr="0071543C" w:rsidR="001272FE">
        <w:rPr>
          <w:rFonts w:ascii="Times New Roman" w:hAnsi="Times New Roman"/>
          <w:szCs w:val="24"/>
        </w:rPr>
        <w:t xml:space="preserve">arious data collection techniques and instruments </w:t>
      </w:r>
      <w:r w:rsidR="001272FE">
        <w:rPr>
          <w:rFonts w:ascii="Times New Roman" w:hAnsi="Times New Roman"/>
          <w:szCs w:val="24"/>
        </w:rPr>
        <w:t>and</w:t>
      </w:r>
      <w:r w:rsidRPr="0071543C" w:rsidR="001272FE">
        <w:rPr>
          <w:rFonts w:ascii="Times New Roman" w:hAnsi="Times New Roman"/>
        </w:rPr>
        <w:t xml:space="preserve"> </w:t>
      </w:r>
      <w:r w:rsidR="00BE1C1F">
        <w:rPr>
          <w:rFonts w:ascii="Times New Roman" w:hAnsi="Times New Roman"/>
        </w:rPr>
        <w:t xml:space="preserve">information will not be collected requiring statistical analysis employing statistical methods. </w:t>
      </w:r>
      <w:r w:rsidRPr="0071543C" w:rsidR="00A3261E">
        <w:rPr>
          <w:rFonts w:ascii="Times New Roman" w:hAnsi="Times New Roman"/>
          <w:szCs w:val="24"/>
        </w:rPr>
        <w:t>Public sharing of this data is limited to the context described in Supporting Statement A.</w:t>
      </w:r>
    </w:p>
    <w:p w:rsidRPr="0071543C" w:rsidR="00AF21FB" w:rsidRDefault="00AF21FB" w14:paraId="12AF7E25" w14:textId="77777777">
      <w:pPr>
        <w:rPr>
          <w:rFonts w:ascii="Times New Roman" w:hAnsi="Times New Roman"/>
        </w:rPr>
      </w:pPr>
    </w:p>
    <w:p w:rsidRPr="0071543C" w:rsidR="008E2AB9" w:rsidP="007D2195" w:rsidRDefault="008E2AB9" w14:paraId="7F888028" w14:textId="50851181">
      <w:pPr>
        <w:pStyle w:val="ListParagraph"/>
        <w:numPr>
          <w:ilvl w:val="0"/>
          <w:numId w:val="1"/>
        </w:numPr>
        <w:ind w:left="0"/>
        <w:rPr>
          <w:rFonts w:ascii="Times New Roman" w:hAnsi="Times New Roman"/>
          <w:u w:val="single"/>
        </w:rPr>
      </w:pPr>
      <w:r w:rsidRPr="0071543C">
        <w:rPr>
          <w:rFonts w:ascii="Times New Roman" w:hAnsi="Times New Roman"/>
          <w:u w:val="single"/>
        </w:rPr>
        <w:t>Universe and Respondent Selection</w:t>
      </w:r>
    </w:p>
    <w:p w:rsidR="00710F9B" w:rsidP="007D2195" w:rsidRDefault="0070795B" w14:paraId="4C405611" w14:textId="5E36A44A">
      <w:pPr>
        <w:pStyle w:val="ListParagraph"/>
        <w:ind w:left="0"/>
        <w:rPr>
          <w:rFonts w:ascii="Times New Roman" w:hAnsi="Times New Roman"/>
        </w:rPr>
      </w:pPr>
      <w:r w:rsidRPr="0070795B">
        <w:rPr>
          <w:rFonts w:ascii="Times New Roman" w:hAnsi="Times New Roman"/>
        </w:rPr>
        <w:t>The activities under this clearance may involve samples of self-selected customers and convenience, quota, purposive, or other non-representative samples, with respondents selected either to cover a broad range of customers or to include specific characteristics related to certain products or services. The SBA will submit information about the sampling strategy with each individual collection request.</w:t>
      </w:r>
    </w:p>
    <w:p w:rsidRPr="0071543C" w:rsidR="0070795B" w:rsidP="007D2195" w:rsidRDefault="0070795B" w14:paraId="71498565" w14:textId="77777777">
      <w:pPr>
        <w:pStyle w:val="ListParagraph"/>
        <w:ind w:left="0"/>
        <w:rPr>
          <w:rFonts w:ascii="Times New Roman" w:hAnsi="Times New Roman"/>
        </w:rPr>
      </w:pPr>
    </w:p>
    <w:p w:rsidRPr="0071543C" w:rsidR="00F26456" w:rsidP="007D2195" w:rsidRDefault="00CB2405" w14:paraId="53B7C126" w14:textId="06ACCD48">
      <w:pPr>
        <w:pStyle w:val="ListParagraph"/>
        <w:ind w:left="0"/>
        <w:rPr>
          <w:rFonts w:ascii="Times New Roman" w:hAnsi="Times New Roman"/>
        </w:rPr>
      </w:pPr>
      <w:r w:rsidRPr="0071543C">
        <w:rPr>
          <w:rFonts w:ascii="Times New Roman" w:hAnsi="Times New Roman"/>
          <w:szCs w:val="24"/>
        </w:rPr>
        <w:t>Data collection requests under this generic ICR are not intended for statistical purposes as defined by 44 U.S. Code § 3561</w:t>
      </w:r>
      <w:r w:rsidR="005C7D3E">
        <w:rPr>
          <w:rFonts w:ascii="Times New Roman" w:hAnsi="Times New Roman"/>
          <w:szCs w:val="24"/>
        </w:rPr>
        <w:t xml:space="preserve">, </w:t>
      </w:r>
      <w:r w:rsidR="005C7D3E">
        <w:rPr>
          <w:rFonts w:ascii="Times New Roman" w:hAnsi="Times New Roman"/>
        </w:rPr>
        <w:t>and t</w:t>
      </w:r>
      <w:r w:rsidRPr="00400CA7" w:rsidR="005C7D3E">
        <w:rPr>
          <w:rFonts w:ascii="Times New Roman" w:hAnsi="Times New Roman"/>
          <w:szCs w:val="24"/>
        </w:rPr>
        <w:t>he samples associated with th</w:t>
      </w:r>
      <w:r w:rsidR="005C7D3E">
        <w:rPr>
          <w:rFonts w:ascii="Times New Roman" w:hAnsi="Times New Roman"/>
          <w:szCs w:val="24"/>
        </w:rPr>
        <w:t>ese</w:t>
      </w:r>
      <w:r w:rsidRPr="00400CA7" w:rsidR="005C7D3E">
        <w:rPr>
          <w:rFonts w:ascii="Times New Roman" w:hAnsi="Times New Roman"/>
          <w:szCs w:val="24"/>
        </w:rPr>
        <w:t xml:space="preserve"> collection</w:t>
      </w:r>
      <w:r w:rsidR="005C7D3E">
        <w:rPr>
          <w:rFonts w:ascii="Times New Roman" w:hAnsi="Times New Roman"/>
          <w:szCs w:val="24"/>
        </w:rPr>
        <w:t>s</w:t>
      </w:r>
      <w:r w:rsidRPr="00400CA7" w:rsidR="005C7D3E">
        <w:rPr>
          <w:rFonts w:ascii="Times New Roman" w:hAnsi="Times New Roman"/>
          <w:szCs w:val="24"/>
        </w:rPr>
        <w:t xml:space="preserve"> are not subject to the same scrutiny as scientifically drawn samples.</w:t>
      </w:r>
      <w:r w:rsidRPr="0071543C" w:rsidR="006250DD">
        <w:rPr>
          <w:rFonts w:ascii="Times New Roman" w:hAnsi="Times New Roman"/>
          <w:szCs w:val="24"/>
        </w:rPr>
        <w:t xml:space="preserve"> All sampling methods used with requests made under this ICR are to gain insight from a broad and diverse set of stakeholders while simultaneously minimizing the burden, not intended to make inferences about a population.</w:t>
      </w:r>
      <w:r w:rsidRPr="0071543C" w:rsidR="00295E5A">
        <w:rPr>
          <w:rFonts w:ascii="Times New Roman" w:hAnsi="Times New Roman"/>
          <w:szCs w:val="24"/>
        </w:rPr>
        <w:t xml:space="preserve"> </w:t>
      </w:r>
      <w:r w:rsidRPr="004F3E60" w:rsidR="004F3E60">
        <w:rPr>
          <w:rFonts w:ascii="Times New Roman" w:hAnsi="Times New Roman"/>
        </w:rPr>
        <w:t>Findings from these formative studies will not be generalized to the broader population. The results will not be used to make statements representative of the universe of study, produce statistical descriptions (careful, repeatable measurements), or generalize the data beyond the scope of the sample.</w:t>
      </w:r>
    </w:p>
    <w:p w:rsidRPr="0071543C" w:rsidR="007856E1" w:rsidP="007D2195" w:rsidRDefault="007856E1" w14:paraId="5C49F76E" w14:textId="77777777">
      <w:pPr>
        <w:pStyle w:val="ListParagraph"/>
        <w:ind w:left="0"/>
        <w:rPr>
          <w:rFonts w:ascii="Times New Roman" w:hAnsi="Times New Roman"/>
        </w:rPr>
      </w:pPr>
    </w:p>
    <w:p w:rsidRPr="0071543C" w:rsidR="00295E5A" w:rsidP="007D2195" w:rsidRDefault="00295E5A" w14:paraId="37F7D69C" w14:textId="77777777">
      <w:pPr>
        <w:pStyle w:val="ListParagraph"/>
        <w:ind w:left="0"/>
        <w:rPr>
          <w:rFonts w:ascii="Times New Roman" w:hAnsi="Times New Roman"/>
        </w:rPr>
      </w:pPr>
    </w:p>
    <w:p w:rsidRPr="0071543C" w:rsidR="004C136C" w:rsidP="007D2195" w:rsidRDefault="004C136C" w14:paraId="3A804295" w14:textId="3B09300A">
      <w:pPr>
        <w:pStyle w:val="ListParagraph"/>
        <w:numPr>
          <w:ilvl w:val="0"/>
          <w:numId w:val="1"/>
        </w:numPr>
        <w:ind w:left="0"/>
        <w:rPr>
          <w:rFonts w:ascii="Times New Roman" w:hAnsi="Times New Roman"/>
          <w:u w:val="single"/>
        </w:rPr>
      </w:pPr>
      <w:r w:rsidRPr="0071543C">
        <w:rPr>
          <w:rFonts w:ascii="Times New Roman" w:hAnsi="Times New Roman"/>
          <w:u w:val="single"/>
        </w:rPr>
        <w:t>Procedures for Collecting Information</w:t>
      </w:r>
    </w:p>
    <w:p w:rsidRPr="0071543C" w:rsidR="00710F9B" w:rsidP="007D2195" w:rsidRDefault="006C3BC3" w14:paraId="6A84B35E" w14:textId="24B9BBEC">
      <w:pPr>
        <w:pStyle w:val="ListParagraph"/>
        <w:ind w:left="0"/>
        <w:rPr>
          <w:rFonts w:ascii="Times New Roman" w:hAnsi="Times New Roman"/>
        </w:rPr>
      </w:pPr>
      <w:r w:rsidRPr="0071543C">
        <w:rPr>
          <w:rFonts w:ascii="Times New Roman" w:hAnsi="Times New Roman"/>
        </w:rPr>
        <w:t xml:space="preserve">The SBA’s formative studies will collect data using well-established methodologies, including but not limited to questionnaires and surveys, semi-structured small group discussions or focus groups, observation, interviews, and cognitive interviews. </w:t>
      </w:r>
      <w:r w:rsidRPr="00400B88" w:rsidR="00400B88">
        <w:rPr>
          <w:rFonts w:ascii="Times New Roman" w:hAnsi="Times New Roman"/>
        </w:rPr>
        <w:t>Each individual collection request will provide specific data collection methods and procedures.</w:t>
      </w:r>
    </w:p>
    <w:p w:rsidRPr="0071543C" w:rsidR="00D41CFE" w:rsidP="005609A2" w:rsidRDefault="00D41CFE" w14:paraId="6FDA56D8" w14:textId="2642964E">
      <w:pPr>
        <w:pStyle w:val="ListParagraph"/>
        <w:ind w:left="0"/>
        <w:rPr>
          <w:rFonts w:ascii="Times New Roman" w:hAnsi="Times New Roman"/>
        </w:rPr>
      </w:pPr>
    </w:p>
    <w:p w:rsidRPr="0071543C" w:rsidR="00D41CFE" w:rsidP="005609A2" w:rsidRDefault="00D41CFE" w14:paraId="638CEF4C" w14:textId="77777777">
      <w:pPr>
        <w:pStyle w:val="ListParagraph"/>
        <w:ind w:left="0"/>
        <w:rPr>
          <w:rFonts w:ascii="Times New Roman" w:hAnsi="Times New Roman"/>
        </w:rPr>
      </w:pPr>
    </w:p>
    <w:p w:rsidRPr="0071543C" w:rsidR="0094263D" w:rsidP="005609A2" w:rsidRDefault="0094263D" w14:paraId="5C9529F5" w14:textId="0870892A">
      <w:pPr>
        <w:pStyle w:val="ListParagraph"/>
        <w:numPr>
          <w:ilvl w:val="0"/>
          <w:numId w:val="1"/>
        </w:numPr>
        <w:ind w:left="0"/>
        <w:rPr>
          <w:rFonts w:ascii="Times New Roman" w:hAnsi="Times New Roman"/>
        </w:rPr>
      </w:pPr>
      <w:r w:rsidRPr="0071543C">
        <w:rPr>
          <w:rFonts w:ascii="Times New Roman" w:hAnsi="Times New Roman"/>
          <w:u w:val="single"/>
        </w:rPr>
        <w:t>Methods to Maximize Response</w:t>
      </w:r>
    </w:p>
    <w:p w:rsidRPr="00CD3329" w:rsidR="00CD3329" w:rsidP="00CD3329" w:rsidRDefault="00CD3329" w14:paraId="2627AC92" w14:textId="77777777">
      <w:pPr>
        <w:pStyle w:val="ListParagraph"/>
        <w:ind w:left="0"/>
        <w:rPr>
          <w:rFonts w:ascii="Times New Roman" w:hAnsi="Times New Roman"/>
        </w:rPr>
      </w:pPr>
      <w:r w:rsidRPr="00CD3329">
        <w:rPr>
          <w:rFonts w:ascii="Times New Roman" w:hAnsi="Times New Roman"/>
        </w:rPr>
        <w:t xml:space="preserve">As noted above, formative data collection efforts submitted under this generic clearance use non-representative sampling techniques. Several of the SBA’s past data collection efforts have </w:t>
      </w:r>
      <w:r w:rsidRPr="00CD3329">
        <w:rPr>
          <w:rFonts w:ascii="Times New Roman" w:hAnsi="Times New Roman"/>
        </w:rPr>
        <w:lastRenderedPageBreak/>
        <w:t xml:space="preserve">yielded low response rates, less than 20%, and the SBA may provide nominal monetary or non-monetary incentives. </w:t>
      </w:r>
    </w:p>
    <w:p w:rsidRPr="00CD3329" w:rsidR="00CD3329" w:rsidP="00CD3329" w:rsidRDefault="00CD3329" w14:paraId="5B141E9A" w14:textId="77777777">
      <w:pPr>
        <w:pStyle w:val="ListParagraph"/>
        <w:rPr>
          <w:rFonts w:ascii="Times New Roman" w:hAnsi="Times New Roman"/>
        </w:rPr>
      </w:pPr>
      <w:r w:rsidRPr="00CD3329">
        <w:rPr>
          <w:rFonts w:ascii="Times New Roman" w:hAnsi="Times New Roman"/>
        </w:rPr>
        <w:t xml:space="preserve"> </w:t>
      </w:r>
    </w:p>
    <w:p w:rsidR="00826EDB" w:rsidP="00CD3329" w:rsidRDefault="00CD3329" w14:paraId="629871A9" w14:textId="0AF8BBF6">
      <w:pPr>
        <w:pStyle w:val="ListParagraph"/>
        <w:ind w:left="0"/>
        <w:rPr>
          <w:rFonts w:ascii="Times New Roman" w:hAnsi="Times New Roman"/>
        </w:rPr>
      </w:pPr>
      <w:r w:rsidRPr="00CD3329">
        <w:rPr>
          <w:rFonts w:ascii="Times New Roman" w:hAnsi="Times New Roman"/>
        </w:rPr>
        <w:t>Information collected under this generic clearance will be voluntary and will not yield generalizable quantitative findings. While the collected information can provide useful stakeholder input, it does not produce results that can be generalized.</w:t>
      </w:r>
    </w:p>
    <w:p w:rsidR="00CD3329" w:rsidP="00CD3329" w:rsidRDefault="00CD3329" w14:paraId="034F944D" w14:textId="1EF90FD6">
      <w:pPr>
        <w:pStyle w:val="ListParagraph"/>
        <w:ind w:left="0"/>
        <w:rPr>
          <w:rFonts w:ascii="Times New Roman" w:hAnsi="Times New Roman"/>
        </w:rPr>
      </w:pPr>
    </w:p>
    <w:p w:rsidRPr="0071543C" w:rsidR="00CD3329" w:rsidP="00CD3329" w:rsidRDefault="00CD3329" w14:paraId="53E1519F" w14:textId="77777777">
      <w:pPr>
        <w:pStyle w:val="ListParagraph"/>
        <w:ind w:left="0"/>
        <w:rPr>
          <w:rFonts w:ascii="Times New Roman" w:hAnsi="Times New Roman"/>
        </w:rPr>
      </w:pPr>
    </w:p>
    <w:p w:rsidRPr="0071543C" w:rsidR="00B716AA" w:rsidP="005609A2" w:rsidRDefault="00B716AA" w14:paraId="7D0A0F7F" w14:textId="2FE4CDBA">
      <w:pPr>
        <w:pStyle w:val="ListParagraph"/>
        <w:numPr>
          <w:ilvl w:val="0"/>
          <w:numId w:val="1"/>
        </w:numPr>
        <w:ind w:left="0"/>
        <w:rPr>
          <w:rFonts w:ascii="Times New Roman" w:hAnsi="Times New Roman"/>
          <w:u w:val="single"/>
        </w:rPr>
      </w:pPr>
      <w:r w:rsidRPr="0071543C">
        <w:rPr>
          <w:rFonts w:ascii="Times New Roman" w:hAnsi="Times New Roman"/>
          <w:u w:val="single"/>
        </w:rPr>
        <w:t>Testing of Procedures</w:t>
      </w:r>
    </w:p>
    <w:p w:rsidR="0027583F" w:rsidP="005609A2" w:rsidRDefault="006378E5" w14:paraId="47C43BF1" w14:textId="28E6296B">
      <w:pPr>
        <w:pStyle w:val="ListParagraph"/>
        <w:ind w:left="0"/>
        <w:rPr>
          <w:rFonts w:ascii="Times New Roman" w:hAnsi="Times New Roman"/>
        </w:rPr>
      </w:pPr>
      <w:r w:rsidRPr="006378E5">
        <w:rPr>
          <w:rFonts w:ascii="Times New Roman" w:hAnsi="Times New Roman"/>
        </w:rPr>
        <w:t>Pretesting may be conducted with internal staff, a limited number of external colleagues, and/or customers who are familiar with the programs and products. If the number of pretest respondents exceeds nine members of the public, the SBA will submit the pretest instruments for review under this generic clearance.</w:t>
      </w:r>
    </w:p>
    <w:p w:rsidR="006378E5" w:rsidP="005609A2" w:rsidRDefault="006378E5" w14:paraId="20CFA9E4" w14:textId="77777777">
      <w:pPr>
        <w:pStyle w:val="ListParagraph"/>
        <w:ind w:left="0"/>
        <w:rPr>
          <w:rFonts w:ascii="Times New Roman" w:hAnsi="Times New Roman"/>
        </w:rPr>
      </w:pPr>
    </w:p>
    <w:p w:rsidRPr="0071543C" w:rsidR="00265752" w:rsidP="005609A2" w:rsidRDefault="00265752" w14:paraId="7EB3C4BC" w14:textId="77777777">
      <w:pPr>
        <w:pStyle w:val="ListParagraph"/>
        <w:ind w:left="0"/>
        <w:rPr>
          <w:rFonts w:ascii="Times New Roman" w:hAnsi="Times New Roman"/>
        </w:rPr>
      </w:pPr>
    </w:p>
    <w:p w:rsidRPr="0071543C" w:rsidR="00E914B1" w:rsidP="005609A2" w:rsidRDefault="00E914B1" w14:paraId="7B7F8880" w14:textId="07A11978">
      <w:pPr>
        <w:pStyle w:val="ListParagraph"/>
        <w:numPr>
          <w:ilvl w:val="0"/>
          <w:numId w:val="1"/>
        </w:numPr>
        <w:ind w:left="0"/>
        <w:rPr>
          <w:rFonts w:ascii="Times New Roman" w:hAnsi="Times New Roman"/>
          <w:u w:val="single"/>
        </w:rPr>
      </w:pPr>
      <w:r w:rsidRPr="0071543C">
        <w:rPr>
          <w:rFonts w:ascii="Times New Roman" w:hAnsi="Times New Roman"/>
          <w:u w:val="single"/>
        </w:rPr>
        <w:t>Contacts for Statistical Aspects and Data Collection</w:t>
      </w:r>
    </w:p>
    <w:p w:rsidRPr="001A6DC4" w:rsidR="0026204B" w:rsidP="009F1701" w:rsidRDefault="009F1701" w14:paraId="51902893" w14:textId="70BFDD09">
      <w:pPr>
        <w:pStyle w:val="ListParagraph"/>
        <w:ind w:left="0"/>
      </w:pPr>
      <w:r w:rsidRPr="009F1701">
        <w:rPr>
          <w:rFonts w:ascii="Times New Roman" w:hAnsi="Times New Roman"/>
        </w:rPr>
        <w:t>Information collections under this generic clearance will not require rigorous statistical analysis. However, as appropriate, SBA’s internal evidence experts (evaluators, researchers, economists, data scientists, statisticians) or qualified external contractors will provide guidance in the design, development, administration, or analysis of data collection instruments.</w:t>
      </w:r>
    </w:p>
    <w:sectPr w:rsidRPr="001A6DC4" w:rsidR="002620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9851B4"/>
    <w:multiLevelType w:val="hybridMultilevel"/>
    <w:tmpl w:val="5A7A5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5369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971"/>
    <w:rsid w:val="00005B3A"/>
    <w:rsid w:val="000A6EAC"/>
    <w:rsid w:val="000C3976"/>
    <w:rsid w:val="000E2547"/>
    <w:rsid w:val="000E57E5"/>
    <w:rsid w:val="001175C1"/>
    <w:rsid w:val="001272FE"/>
    <w:rsid w:val="001453F9"/>
    <w:rsid w:val="001A6DC4"/>
    <w:rsid w:val="001D4319"/>
    <w:rsid w:val="00243C76"/>
    <w:rsid w:val="0026204B"/>
    <w:rsid w:val="00265752"/>
    <w:rsid w:val="0027583F"/>
    <w:rsid w:val="00283372"/>
    <w:rsid w:val="00295E5A"/>
    <w:rsid w:val="002E54FC"/>
    <w:rsid w:val="003052FE"/>
    <w:rsid w:val="003236FA"/>
    <w:rsid w:val="003477D5"/>
    <w:rsid w:val="00357A11"/>
    <w:rsid w:val="0036351E"/>
    <w:rsid w:val="00393BD3"/>
    <w:rsid w:val="003B1B76"/>
    <w:rsid w:val="003D5938"/>
    <w:rsid w:val="003F6461"/>
    <w:rsid w:val="00400B88"/>
    <w:rsid w:val="00470410"/>
    <w:rsid w:val="004A3D7E"/>
    <w:rsid w:val="004B7453"/>
    <w:rsid w:val="004C136C"/>
    <w:rsid w:val="004F3E60"/>
    <w:rsid w:val="005609A2"/>
    <w:rsid w:val="005C7D3E"/>
    <w:rsid w:val="005E4712"/>
    <w:rsid w:val="00617C6D"/>
    <w:rsid w:val="006250DD"/>
    <w:rsid w:val="006378E5"/>
    <w:rsid w:val="006C3BC3"/>
    <w:rsid w:val="006E4D4B"/>
    <w:rsid w:val="0070795B"/>
    <w:rsid w:val="00710F9B"/>
    <w:rsid w:val="0071543C"/>
    <w:rsid w:val="00724C64"/>
    <w:rsid w:val="007258AC"/>
    <w:rsid w:val="00741261"/>
    <w:rsid w:val="007856E1"/>
    <w:rsid w:val="007D2195"/>
    <w:rsid w:val="007E3669"/>
    <w:rsid w:val="00826EDB"/>
    <w:rsid w:val="00826EFB"/>
    <w:rsid w:val="00853E35"/>
    <w:rsid w:val="008A481B"/>
    <w:rsid w:val="008E2AB9"/>
    <w:rsid w:val="00925552"/>
    <w:rsid w:val="00931B89"/>
    <w:rsid w:val="009378F5"/>
    <w:rsid w:val="0094263D"/>
    <w:rsid w:val="00956E44"/>
    <w:rsid w:val="009967E9"/>
    <w:rsid w:val="009B79CF"/>
    <w:rsid w:val="009F1701"/>
    <w:rsid w:val="00A227D6"/>
    <w:rsid w:val="00A3261E"/>
    <w:rsid w:val="00A42E03"/>
    <w:rsid w:val="00A476DC"/>
    <w:rsid w:val="00A82059"/>
    <w:rsid w:val="00AC7697"/>
    <w:rsid w:val="00AF21FB"/>
    <w:rsid w:val="00B511AD"/>
    <w:rsid w:val="00B52BD0"/>
    <w:rsid w:val="00B716AA"/>
    <w:rsid w:val="00BB3BD3"/>
    <w:rsid w:val="00BE1C1F"/>
    <w:rsid w:val="00C429D1"/>
    <w:rsid w:val="00C807D5"/>
    <w:rsid w:val="00CB2405"/>
    <w:rsid w:val="00CB7971"/>
    <w:rsid w:val="00CD3329"/>
    <w:rsid w:val="00D22834"/>
    <w:rsid w:val="00D32E9B"/>
    <w:rsid w:val="00D41CFE"/>
    <w:rsid w:val="00D55211"/>
    <w:rsid w:val="00E51CCA"/>
    <w:rsid w:val="00E914B1"/>
    <w:rsid w:val="00EB4FF7"/>
    <w:rsid w:val="00EE7460"/>
    <w:rsid w:val="00F0379E"/>
    <w:rsid w:val="00F26456"/>
    <w:rsid w:val="00F447CA"/>
    <w:rsid w:val="00F7378F"/>
    <w:rsid w:val="00F96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73524"/>
  <w15:chartTrackingRefBased/>
  <w15:docId w15:val="{0A8D4497-083E-4FE0-B725-AE35FAB05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7E5"/>
    <w:pPr>
      <w:overflowPunct w:val="0"/>
      <w:autoSpaceDE w:val="0"/>
      <w:autoSpaceDN w:val="0"/>
      <w:adjustRightInd w:val="0"/>
      <w:spacing w:after="0" w:line="240" w:lineRule="auto"/>
      <w:textAlignment w:val="baseline"/>
    </w:pPr>
    <w:rPr>
      <w:rFonts w:ascii="Tms Rmn" w:eastAsia="Times New Roman" w:hAnsi="Tms Rm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3BD3"/>
    <w:pPr>
      <w:ind w:left="720"/>
      <w:contextualSpacing/>
    </w:pPr>
  </w:style>
  <w:style w:type="character" w:styleId="CommentReference">
    <w:name w:val="annotation reference"/>
    <w:basedOn w:val="DefaultParagraphFont"/>
    <w:uiPriority w:val="99"/>
    <w:semiHidden/>
    <w:unhideWhenUsed/>
    <w:rsid w:val="003052FE"/>
    <w:rPr>
      <w:sz w:val="16"/>
      <w:szCs w:val="16"/>
    </w:rPr>
  </w:style>
  <w:style w:type="paragraph" w:styleId="CommentText">
    <w:name w:val="annotation text"/>
    <w:basedOn w:val="Normal"/>
    <w:link w:val="CommentTextChar"/>
    <w:uiPriority w:val="99"/>
    <w:semiHidden/>
    <w:unhideWhenUsed/>
    <w:rsid w:val="003052FE"/>
    <w:rPr>
      <w:sz w:val="20"/>
    </w:rPr>
  </w:style>
  <w:style w:type="character" w:customStyle="1" w:styleId="CommentTextChar">
    <w:name w:val="Comment Text Char"/>
    <w:basedOn w:val="DefaultParagraphFont"/>
    <w:link w:val="CommentText"/>
    <w:uiPriority w:val="99"/>
    <w:semiHidden/>
    <w:rsid w:val="003052FE"/>
    <w:rPr>
      <w:rFonts w:ascii="Tms Rmn" w:eastAsia="Times New Roman" w:hAnsi="Tms Rmn"/>
      <w:sz w:val="20"/>
      <w:szCs w:val="20"/>
    </w:rPr>
  </w:style>
  <w:style w:type="paragraph" w:styleId="CommentSubject">
    <w:name w:val="annotation subject"/>
    <w:basedOn w:val="CommentText"/>
    <w:next w:val="CommentText"/>
    <w:link w:val="CommentSubjectChar"/>
    <w:uiPriority w:val="99"/>
    <w:semiHidden/>
    <w:unhideWhenUsed/>
    <w:rsid w:val="003052FE"/>
    <w:rPr>
      <w:b/>
      <w:bCs/>
    </w:rPr>
  </w:style>
  <w:style w:type="character" w:customStyle="1" w:styleId="CommentSubjectChar">
    <w:name w:val="Comment Subject Char"/>
    <w:basedOn w:val="CommentTextChar"/>
    <w:link w:val="CommentSubject"/>
    <w:uiPriority w:val="99"/>
    <w:semiHidden/>
    <w:rsid w:val="003052FE"/>
    <w:rPr>
      <w:rFonts w:ascii="Tms Rmn" w:eastAsia="Times New Roman" w:hAnsi="Tms Rm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574</Words>
  <Characters>3278</Characters>
  <Application>Microsoft Office Word</Application>
  <DocSecurity>4</DocSecurity>
  <Lines>27</Lines>
  <Paragraphs>7</Paragraphs>
  <ScaleCrop>false</ScaleCrop>
  <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Formative ICR_SSB</dc:title>
  <dc:subject/>
  <dc:creator>Meinzer, Shay L.</dc:creator>
  <cp:keywords/>
  <dc:description/>
  <cp:lastModifiedBy>Rich, Curtis B.</cp:lastModifiedBy>
  <cp:revision>2</cp:revision>
  <dcterms:created xsi:type="dcterms:W3CDTF">2022-06-13T19:55:00Z</dcterms:created>
  <dcterms:modified xsi:type="dcterms:W3CDTF">2022-06-13T19:55:00Z</dcterms:modified>
</cp:coreProperties>
</file>