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6098" w:rsidRDefault="000A6098" w14:paraId="76F1ED69" w14:textId="77777777">
      <w:pPr>
        <w:widowControl/>
        <w:rPr>
          <w:b/>
        </w:rPr>
      </w:pPr>
    </w:p>
    <w:p w:rsidR="000A6098" w:rsidRDefault="000A6098" w14:paraId="3A2DBD85" w14:textId="77777777">
      <w:pPr>
        <w:widowControl/>
        <w:rPr>
          <w:b/>
        </w:rPr>
      </w:pPr>
    </w:p>
    <w:p w:rsidR="000A6098" w:rsidRDefault="000A6098" w14:paraId="07CC7235" w14:textId="77777777">
      <w:pPr>
        <w:widowControl/>
        <w:rPr>
          <w:b/>
        </w:rPr>
      </w:pPr>
    </w:p>
    <w:p w:rsidR="000A6098" w:rsidRDefault="000A6098" w14:paraId="49461B64" w14:textId="77777777">
      <w:pPr>
        <w:widowControl/>
        <w:rPr>
          <w:b/>
        </w:rPr>
      </w:pPr>
    </w:p>
    <w:p w:rsidR="000A6098" w:rsidRDefault="000A6098" w14:paraId="2195B7C0" w14:textId="77777777">
      <w:pPr>
        <w:widowControl/>
        <w:rPr>
          <w:b/>
        </w:rPr>
      </w:pPr>
    </w:p>
    <w:p w:rsidR="000A6098" w:rsidRDefault="000A6098" w14:paraId="07B71439" w14:textId="77777777">
      <w:pPr>
        <w:widowControl/>
        <w:rPr>
          <w:b/>
        </w:rPr>
      </w:pPr>
    </w:p>
    <w:p w:rsidR="000A6098" w:rsidRDefault="000A6098" w14:paraId="158F8F86" w14:textId="77777777">
      <w:pPr>
        <w:widowControl/>
        <w:rPr>
          <w:b/>
          <w:sz w:val="28"/>
        </w:rPr>
      </w:pPr>
    </w:p>
    <w:p w:rsidR="000725A7" w:rsidP="000725A7" w:rsidRDefault="000A6098" w14:paraId="3F81BFBA" w14:textId="77777777">
      <w:pPr>
        <w:widowControl/>
        <w:tabs>
          <w:tab w:val="center" w:pos="3960"/>
        </w:tabs>
        <w:jc w:val="center"/>
        <w:rPr>
          <w:b/>
          <w:sz w:val="28"/>
        </w:rPr>
      </w:pPr>
      <w:r>
        <w:rPr>
          <w:b/>
          <w:sz w:val="28"/>
        </w:rPr>
        <w:t>SUPPORTING STATEMENT</w:t>
      </w:r>
      <w:r w:rsidR="000725A7">
        <w:rPr>
          <w:b/>
          <w:sz w:val="28"/>
        </w:rPr>
        <w:t xml:space="preserve"> </w:t>
      </w:r>
      <w:r>
        <w:rPr>
          <w:b/>
          <w:sz w:val="28"/>
        </w:rPr>
        <w:t xml:space="preserve">FOR EXTENSION </w:t>
      </w:r>
    </w:p>
    <w:p w:rsidR="000A6098" w:rsidP="000725A7" w:rsidRDefault="000A6098" w14:paraId="6FA51750" w14:textId="77777777">
      <w:pPr>
        <w:widowControl/>
        <w:tabs>
          <w:tab w:val="center" w:pos="3960"/>
        </w:tabs>
        <w:jc w:val="center"/>
        <w:rPr>
          <w:b/>
          <w:sz w:val="28"/>
        </w:rPr>
      </w:pPr>
      <w:r>
        <w:rPr>
          <w:b/>
          <w:sz w:val="28"/>
        </w:rPr>
        <w:t>OF OMB APPROVAL OF</w:t>
      </w:r>
    </w:p>
    <w:p w:rsidR="000A6098" w:rsidP="000725A7" w:rsidRDefault="000A6098" w14:paraId="2B7C429D" w14:textId="77777777">
      <w:pPr>
        <w:widowControl/>
        <w:jc w:val="center"/>
        <w:rPr>
          <w:b/>
          <w:sz w:val="28"/>
        </w:rPr>
      </w:pPr>
      <w:r>
        <w:rPr>
          <w:b/>
          <w:sz w:val="28"/>
        </w:rPr>
        <w:t>THE FOOD SECURITY SUPPLEMENT</w:t>
      </w:r>
    </w:p>
    <w:p w:rsidR="000A6098" w:rsidP="000725A7" w:rsidRDefault="000A6098" w14:paraId="59143FE6" w14:textId="77777777">
      <w:pPr>
        <w:widowControl/>
        <w:jc w:val="center"/>
        <w:rPr>
          <w:b/>
          <w:sz w:val="28"/>
        </w:rPr>
      </w:pPr>
      <w:r>
        <w:rPr>
          <w:b/>
          <w:sz w:val="28"/>
        </w:rPr>
        <w:t>TO THE</w:t>
      </w:r>
      <w:r w:rsidR="0063416D">
        <w:rPr>
          <w:b/>
          <w:sz w:val="28"/>
        </w:rPr>
        <w:t xml:space="preserve"> </w:t>
      </w:r>
      <w:r>
        <w:rPr>
          <w:b/>
          <w:sz w:val="28"/>
        </w:rPr>
        <w:t>CURRENT POPULATION SURVEY</w:t>
      </w:r>
    </w:p>
    <w:p w:rsidRPr="000725A7" w:rsidR="00D86581" w:rsidP="000725A7" w:rsidRDefault="00D86581" w14:paraId="78E4439A" w14:textId="77777777">
      <w:pPr>
        <w:widowControl/>
        <w:jc w:val="center"/>
        <w:rPr>
          <w:b/>
          <w:sz w:val="28"/>
        </w:rPr>
      </w:pPr>
      <w:r>
        <w:rPr>
          <w:b/>
          <w:sz w:val="28"/>
        </w:rPr>
        <w:t>(OMB Control # 0536-0043)</w:t>
      </w:r>
    </w:p>
    <w:p w:rsidR="000A6098" w:rsidRDefault="000A6098" w14:paraId="68025E1C" w14:textId="77777777">
      <w:pPr>
        <w:widowControl/>
        <w:rPr>
          <w:sz w:val="28"/>
        </w:rPr>
      </w:pPr>
    </w:p>
    <w:p w:rsidR="000A6098" w:rsidRDefault="000A6098" w14:paraId="3DE1390E" w14:textId="77777777">
      <w:pPr>
        <w:widowControl/>
        <w:rPr>
          <w:sz w:val="28"/>
        </w:rPr>
      </w:pPr>
    </w:p>
    <w:p w:rsidR="000A6098" w:rsidRDefault="000A6098" w14:paraId="0456A29C" w14:textId="77777777">
      <w:pPr>
        <w:widowControl/>
        <w:rPr>
          <w:sz w:val="28"/>
        </w:rPr>
      </w:pPr>
    </w:p>
    <w:p w:rsidR="000A6098" w:rsidP="000725A7" w:rsidRDefault="00CE1470" w14:paraId="0AA8E9F5" w14:textId="19E32827">
      <w:pPr>
        <w:widowControl/>
        <w:tabs>
          <w:tab w:val="center" w:pos="3960"/>
        </w:tabs>
        <w:jc w:val="center"/>
        <w:rPr>
          <w:b/>
          <w:sz w:val="28"/>
        </w:rPr>
      </w:pPr>
      <w:r>
        <w:rPr>
          <w:b/>
          <w:sz w:val="28"/>
        </w:rPr>
        <w:t xml:space="preserve"> </w:t>
      </w:r>
      <w:r w:rsidR="0008040A">
        <w:rPr>
          <w:b/>
          <w:sz w:val="28"/>
        </w:rPr>
        <w:t xml:space="preserve">January </w:t>
      </w:r>
      <w:r w:rsidR="009C6E1C">
        <w:rPr>
          <w:b/>
          <w:sz w:val="28"/>
        </w:rPr>
        <w:t>2</w:t>
      </w:r>
      <w:r w:rsidR="0008040A">
        <w:rPr>
          <w:b/>
          <w:sz w:val="28"/>
        </w:rPr>
        <w:t>2, 2022</w:t>
      </w:r>
    </w:p>
    <w:p w:rsidR="00353344" w:rsidRDefault="00353344" w14:paraId="0D2400B9" w14:textId="77777777">
      <w:pPr>
        <w:widowControl/>
        <w:tabs>
          <w:tab w:val="center" w:pos="3960"/>
        </w:tabs>
        <w:rPr>
          <w:b/>
          <w:sz w:val="28"/>
        </w:rPr>
      </w:pPr>
    </w:p>
    <w:p w:rsidR="000A6098" w:rsidRDefault="000A6098" w14:paraId="393C6CD5" w14:textId="77777777">
      <w:pPr>
        <w:widowControl/>
        <w:rPr>
          <w:b/>
          <w:sz w:val="28"/>
        </w:rPr>
      </w:pPr>
    </w:p>
    <w:p w:rsidR="000A6098" w:rsidRDefault="000A6098" w14:paraId="5E2806FC" w14:textId="77777777">
      <w:pPr>
        <w:widowControl/>
        <w:rPr>
          <w:b/>
          <w:sz w:val="28"/>
        </w:rPr>
      </w:pPr>
    </w:p>
    <w:p w:rsidR="000A6098" w:rsidRDefault="000A6098" w14:paraId="40A0E90F" w14:textId="77777777">
      <w:pPr>
        <w:widowControl/>
        <w:rPr>
          <w:b/>
        </w:rPr>
      </w:pPr>
    </w:p>
    <w:p w:rsidR="000A6098" w:rsidRDefault="000A6098" w14:paraId="7819B36C" w14:textId="77777777">
      <w:pPr>
        <w:widowControl/>
        <w:rPr>
          <w:b/>
        </w:rPr>
      </w:pPr>
    </w:p>
    <w:p w:rsidR="000A6098" w:rsidRDefault="000A6098" w14:paraId="0D05214F" w14:textId="77777777">
      <w:pPr>
        <w:widowControl/>
        <w:rPr>
          <w:b/>
        </w:rPr>
      </w:pPr>
    </w:p>
    <w:p w:rsidR="000A6098" w:rsidRDefault="000A6098" w14:paraId="18DB9CE8" w14:textId="77777777">
      <w:pPr>
        <w:widowControl/>
        <w:rPr>
          <w:b/>
        </w:rPr>
      </w:pPr>
    </w:p>
    <w:p w:rsidR="000A6098" w:rsidRDefault="000A6098" w14:paraId="3C1F3584" w14:textId="77777777">
      <w:pPr>
        <w:widowControl/>
        <w:rPr>
          <w:b/>
        </w:rPr>
      </w:pPr>
    </w:p>
    <w:p w:rsidR="000A6098" w:rsidRDefault="000A6098" w14:paraId="1454DC80" w14:textId="77777777">
      <w:pPr>
        <w:widowControl/>
        <w:rPr>
          <w:b/>
        </w:rPr>
      </w:pPr>
    </w:p>
    <w:p w:rsidR="000A6098" w:rsidRDefault="000A6098" w14:paraId="169BE249" w14:textId="77777777">
      <w:pPr>
        <w:widowControl/>
        <w:rPr>
          <w:b/>
        </w:rPr>
      </w:pPr>
    </w:p>
    <w:p w:rsidR="000A6098" w:rsidRDefault="000A6098" w14:paraId="7544BE71" w14:textId="77777777">
      <w:pPr>
        <w:widowControl/>
        <w:rPr>
          <w:b/>
        </w:rPr>
      </w:pPr>
    </w:p>
    <w:p w:rsidR="000A6098" w:rsidRDefault="000A6098" w14:paraId="694AF088" w14:textId="77777777">
      <w:pPr>
        <w:widowControl/>
        <w:rPr>
          <w:b/>
        </w:rPr>
      </w:pPr>
    </w:p>
    <w:p w:rsidR="000A6098" w:rsidRDefault="000A6098" w14:paraId="7AFA786E" w14:textId="77777777">
      <w:pPr>
        <w:widowControl/>
        <w:rPr>
          <w:b/>
        </w:rPr>
      </w:pPr>
    </w:p>
    <w:p w:rsidR="000A6098" w:rsidRDefault="000A6098" w14:paraId="75EB0ACB" w14:textId="77777777">
      <w:pPr>
        <w:widowControl/>
        <w:rPr>
          <w:b/>
        </w:rPr>
      </w:pPr>
    </w:p>
    <w:p w:rsidR="000A6098" w:rsidRDefault="000A6098" w14:paraId="550A113F" w14:textId="77777777">
      <w:pPr>
        <w:widowControl/>
        <w:rPr>
          <w:b/>
        </w:rPr>
      </w:pPr>
    </w:p>
    <w:p w:rsidR="000A6098" w:rsidRDefault="000A6098" w14:paraId="7E446F55" w14:textId="77777777">
      <w:pPr>
        <w:widowControl/>
        <w:rPr>
          <w:b/>
          <w:sz w:val="28"/>
        </w:rPr>
      </w:pPr>
    </w:p>
    <w:p w:rsidR="000A6098" w:rsidRDefault="000A6098" w14:paraId="226FFABB" w14:textId="77777777">
      <w:pPr>
        <w:widowControl/>
        <w:ind w:left="1440"/>
        <w:rPr>
          <w:sz w:val="28"/>
        </w:rPr>
      </w:pPr>
      <w:r>
        <w:rPr>
          <w:b/>
          <w:sz w:val="28"/>
        </w:rPr>
        <w:t>Submitted by:</w:t>
      </w:r>
    </w:p>
    <w:p w:rsidR="000A6098" w:rsidRDefault="000A6098" w14:paraId="3CF28C4F" w14:textId="77777777">
      <w:pPr>
        <w:widowControl/>
        <w:rPr>
          <w:sz w:val="28"/>
        </w:rPr>
      </w:pPr>
    </w:p>
    <w:p w:rsidR="000A6098" w:rsidRDefault="000A6098" w14:paraId="3FFD8B44" w14:textId="77777777">
      <w:pPr>
        <w:widowControl/>
        <w:ind w:left="1440"/>
        <w:rPr>
          <w:sz w:val="28"/>
        </w:rPr>
      </w:pPr>
      <w:smartTag w:uri="urn:schemas-microsoft-com:office:smarttags" w:element="country-region">
        <w:smartTag w:uri="urn:schemas-microsoft-com:office:smarttags" w:element="place">
          <w:r>
            <w:rPr>
              <w:sz w:val="28"/>
            </w:rPr>
            <w:t>U.S.</w:t>
          </w:r>
        </w:smartTag>
      </w:smartTag>
      <w:r>
        <w:rPr>
          <w:sz w:val="28"/>
        </w:rPr>
        <w:t xml:space="preserve"> Department of Agriculture</w:t>
      </w:r>
    </w:p>
    <w:p w:rsidR="000A6098" w:rsidRDefault="000A6098" w14:paraId="7CD47E00" w14:textId="77777777">
      <w:pPr>
        <w:widowControl/>
        <w:ind w:left="1440"/>
        <w:rPr>
          <w:sz w:val="28"/>
        </w:rPr>
      </w:pPr>
      <w:r>
        <w:rPr>
          <w:sz w:val="28"/>
        </w:rPr>
        <w:t>Economic Research Service</w:t>
      </w:r>
    </w:p>
    <w:p w:rsidR="000A6098" w:rsidRDefault="000A6098" w14:paraId="7EF2BF15" w14:textId="77777777">
      <w:pPr>
        <w:widowControl/>
        <w:rPr>
          <w:b/>
        </w:rPr>
      </w:pPr>
      <w:r>
        <w:rPr>
          <w:b/>
        </w:rPr>
        <w:br w:type="page"/>
      </w:r>
      <w:r w:rsidR="00DC78D8">
        <w:lastRenderedPageBreak/>
        <w:t xml:space="preserve"> </w:t>
      </w:r>
      <w:r>
        <w:rPr>
          <w:b/>
        </w:rPr>
        <w:t>Introduction</w:t>
      </w:r>
    </w:p>
    <w:p w:rsidR="000A6098" w:rsidRDefault="000A6098" w14:paraId="419976D9" w14:textId="77777777">
      <w:pPr>
        <w:widowControl/>
        <w:rPr>
          <w:b/>
        </w:rPr>
      </w:pPr>
    </w:p>
    <w:p w:rsidR="000A6098" w:rsidRDefault="000A6098" w14:paraId="3771442A" w14:textId="77777777">
      <w:pPr>
        <w:widowControl/>
      </w:pPr>
      <w:r>
        <w:t xml:space="preserve">The Economic Research Service (ERS) of the U.S. Department of Agriculture (USDA) is requesting OMB clearance for ongoing fielding of the USDA Food Security Supplement to the Current Population Survey (CPS), which has been fielded annually since 1995. </w:t>
      </w:r>
      <w:r w:rsidRPr="008B3837" w:rsidR="008B3837">
        <w:t xml:space="preserve">Food security, for the purpose of these reports, is </w:t>
      </w:r>
      <w:r w:rsidR="0000387A">
        <w:t>conceptualized</w:t>
      </w:r>
      <w:r w:rsidRPr="008B3837" w:rsidR="008B3837">
        <w:t xml:space="preserve"> as access by all household members at all times to adequate food for an active, healthy life. Food insecurity </w:t>
      </w:r>
      <w:r w:rsidR="00B36134">
        <w:t xml:space="preserve">means that households were, at times, unable to acquire adequate food for one or more household members because they had insufficient money and other resources for food. </w:t>
      </w:r>
      <w:r w:rsidR="008B3837">
        <w:t>Very low food security is a severe range of food insecurity in which eating patterns of one or more household members are disrupted and their food intake is reduced</w:t>
      </w:r>
      <w:r w:rsidR="00B36134">
        <w:t xml:space="preserve"> at </w:t>
      </w:r>
      <w:r w:rsidR="00EE3AB4">
        <w:t xml:space="preserve">least some </w:t>
      </w:r>
      <w:r w:rsidR="00B36134">
        <w:t>time during the year because they could not afford enough food</w:t>
      </w:r>
      <w:r w:rsidR="008B3837">
        <w:t xml:space="preserve">. </w:t>
      </w:r>
      <w:r>
        <w:t>The supplement was successfully fielded by the</w:t>
      </w:r>
      <w:r w:rsidR="00215B8E">
        <w:t xml:space="preserve"> U.S.</w:t>
      </w:r>
      <w:r>
        <w:t xml:space="preserve"> Census Bureau under the sponsorship of ERS from 1998-</w:t>
      </w:r>
      <w:r w:rsidR="00B36134">
        <w:t>2020</w:t>
      </w:r>
      <w:r>
        <w:t xml:space="preserve">, and previously, under the sponsorship of the </w:t>
      </w:r>
      <w:r w:rsidR="00E84BCC">
        <w:t xml:space="preserve">USDA’s </w:t>
      </w:r>
      <w:r>
        <w:t xml:space="preserve">Food and Nutrition Service (FNS) from 1995-1997. The survey instrument is included as Attachment A. </w:t>
      </w:r>
      <w:r w:rsidRPr="00AD71A9">
        <w:t xml:space="preserve">The </w:t>
      </w:r>
      <w:r w:rsidR="0016149F">
        <w:t xml:space="preserve">content of the </w:t>
      </w:r>
      <w:r w:rsidRPr="00AD71A9">
        <w:t xml:space="preserve">questionnaire is </w:t>
      </w:r>
      <w:r w:rsidR="000B0FED">
        <w:t xml:space="preserve">similar to previous collections with some minor modifications </w:t>
      </w:r>
      <w:r w:rsidR="00EE3AB4">
        <w:t>to</w:t>
      </w:r>
      <w:r w:rsidR="000B0FED">
        <w:t xml:space="preserve"> updat</w:t>
      </w:r>
      <w:r w:rsidR="00EE3AB4">
        <w:t>e</w:t>
      </w:r>
      <w:r w:rsidR="000B0FED">
        <w:t xml:space="preserve"> </w:t>
      </w:r>
      <w:r w:rsidR="00E42B83">
        <w:t>the wording of</w:t>
      </w:r>
      <w:r w:rsidR="00215B8E">
        <w:t xml:space="preserve"> some</w:t>
      </w:r>
      <w:r w:rsidR="00E42B83">
        <w:t xml:space="preserve"> questions</w:t>
      </w:r>
      <w:r w:rsidR="00EC22B8">
        <w:t>, and the addition of two</w:t>
      </w:r>
      <w:r w:rsidR="007367F5">
        <w:t xml:space="preserve"> new questions </w:t>
      </w:r>
      <w:r w:rsidR="00EC22B8">
        <w:t>as well as two additional new questions that replaced existing questions</w:t>
      </w:r>
      <w:r w:rsidR="00CE5DC5">
        <w:t>.</w:t>
      </w:r>
      <w:r w:rsidR="00EC22B8">
        <w:t xml:space="preserve"> </w:t>
      </w:r>
      <w:r w:rsidR="007367F5">
        <w:t xml:space="preserve"> </w:t>
      </w:r>
      <w:r w:rsidRPr="00AD71A9" w:rsidR="00AA0561">
        <w:t xml:space="preserve"> </w:t>
      </w:r>
    </w:p>
    <w:p w:rsidR="000A6098" w:rsidRDefault="000A6098" w14:paraId="0F50D73A" w14:textId="77777777">
      <w:pPr>
        <w:pStyle w:val="Header"/>
        <w:widowControl/>
        <w:tabs>
          <w:tab w:val="clear" w:pos="4320"/>
          <w:tab w:val="clear" w:pos="8640"/>
        </w:tabs>
      </w:pPr>
    </w:p>
    <w:p w:rsidR="00C41D27" w:rsidP="00C41D27" w:rsidRDefault="000A6098" w14:paraId="2B5D88FD" w14:textId="77777777">
      <w:pPr>
        <w:widowControl/>
      </w:pPr>
      <w:r>
        <w:t>ERS</w:t>
      </w:r>
      <w:r w:rsidR="009D5CCA">
        <w:t xml:space="preserve"> publishes an annual statistical report on the prevalence of food insecurity in U.S. households based on the CPS Food Security Supplement data.</w:t>
      </w:r>
      <w:r w:rsidRPr="00BF3F9F" w:rsidR="00BF3F9F">
        <w:t xml:space="preserve"> </w:t>
      </w:r>
      <w:r w:rsidR="00BF3F9F">
        <w:t xml:space="preserve">These statistics </w:t>
      </w:r>
      <w:r w:rsidRPr="00AD71A9" w:rsidR="00BF3F9F">
        <w:t>provide</w:t>
      </w:r>
      <w:r w:rsidR="00BF3F9F">
        <w:t xml:space="preserve"> information on the need for Federal food and nutrition assistance programs and on how well those programs are functioning.</w:t>
      </w:r>
      <w:r w:rsidR="009D5CCA">
        <w:t xml:space="preserve"> ERS also </w:t>
      </w:r>
      <w:r>
        <w:t xml:space="preserve">conducts and funds research on the measurement, causes, and consequences of </w:t>
      </w:r>
      <w:r w:rsidRPr="00AD71A9">
        <w:t>food insecurity,</w:t>
      </w:r>
      <w:r w:rsidR="000B6D74">
        <w:t xml:space="preserve"> </w:t>
      </w:r>
      <w:r w:rsidR="00BF3F9F">
        <w:t>much</w:t>
      </w:r>
      <w:r w:rsidR="000B6D74">
        <w:t xml:space="preserve"> of which requires</w:t>
      </w:r>
      <w:r w:rsidRPr="00AD71A9">
        <w:t xml:space="preserve"> CPS Food Security Supplement data. </w:t>
      </w:r>
    </w:p>
    <w:p w:rsidR="002E21C6" w:rsidRDefault="002E21C6" w14:paraId="3E5D1F3D" w14:textId="77777777">
      <w:pPr>
        <w:widowControl/>
      </w:pPr>
    </w:p>
    <w:p w:rsidR="003400AF" w:rsidRDefault="003400AF" w14:paraId="15842C06" w14:textId="77777777">
      <w:pPr>
        <w:widowControl/>
      </w:pPr>
    </w:p>
    <w:p w:rsidR="000A6098" w:rsidP="00F04498" w:rsidRDefault="000A6098" w14:paraId="0A9992E3" w14:textId="77777777">
      <w:pPr>
        <w:keepLines/>
        <w:widowControl/>
      </w:pPr>
      <w:r>
        <w:rPr>
          <w:b/>
        </w:rPr>
        <w:t xml:space="preserve">A. </w:t>
      </w:r>
      <w:r>
        <w:rPr>
          <w:b/>
          <w:u w:val="single"/>
        </w:rPr>
        <w:t>JUSTIFICATION</w:t>
      </w:r>
    </w:p>
    <w:p w:rsidR="000A6098" w:rsidP="00F04498" w:rsidRDefault="000A6098" w14:paraId="40A4C47D" w14:textId="77777777">
      <w:pPr>
        <w:keepLines/>
        <w:widowControl/>
      </w:pPr>
    </w:p>
    <w:p w:rsidR="000A6098" w:rsidP="00CB3509" w:rsidRDefault="00CB3509" w14:paraId="0C12C7D4" w14:textId="77777777">
      <w:pPr>
        <w:keepLines/>
        <w:widowControl/>
        <w:numPr>
          <w:ilvl w:val="0"/>
          <w:numId w:val="7"/>
        </w:numPr>
        <w:tabs>
          <w:tab w:val="left" w:pos="-1440"/>
        </w:tabs>
        <w:ind w:left="720"/>
        <w:rPr>
          <w:b/>
        </w:rPr>
      </w:pPr>
      <w:r w:rsidRPr="00CB3509">
        <w:rPr>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Pr>
          <w:b/>
        </w:rPr>
        <w:t xml:space="preserve"> </w:t>
      </w:r>
    </w:p>
    <w:p w:rsidR="003E1D2C" w:rsidP="003E1D2C" w:rsidRDefault="003E1D2C" w14:paraId="4788D061" w14:textId="77777777">
      <w:pPr>
        <w:keepLines/>
        <w:widowControl/>
        <w:tabs>
          <w:tab w:val="left" w:pos="-1440"/>
        </w:tabs>
        <w:ind w:left="1080"/>
        <w:rPr>
          <w:b/>
        </w:rPr>
      </w:pPr>
    </w:p>
    <w:p w:rsidRPr="002B2C4A" w:rsidR="000A6098" w:rsidP="009564AE" w:rsidRDefault="00BE4659" w14:paraId="66AEF433" w14:textId="77777777">
      <w:pPr>
        <w:keepLines/>
        <w:widowControl/>
        <w:ind w:left="720"/>
      </w:pPr>
      <w:r>
        <w:t>The</w:t>
      </w:r>
      <w:r w:rsidR="00750895">
        <w:t xml:space="preserve"> CPS</w:t>
      </w:r>
      <w:r>
        <w:t xml:space="preserve"> </w:t>
      </w:r>
      <w:r w:rsidR="00E42B83">
        <w:t xml:space="preserve">Food Security </w:t>
      </w:r>
      <w:r>
        <w:t>Supplement is sponsored by USDA as</w:t>
      </w:r>
      <w:r w:rsidR="00E42B83">
        <w:t xml:space="preserve"> a</w:t>
      </w:r>
      <w:r>
        <w:t xml:space="preserve"> research and evaluation activity authorized under 7 U.S.C. 2204(a). This section outlines duties of the Secretary of Agriculture related to research and development including authorizing the collection of statistics. </w:t>
      </w:r>
      <w:r w:rsidR="004D77AF">
        <w:rPr>
          <w:szCs w:val="24"/>
        </w:rPr>
        <w:t>T</w:t>
      </w:r>
      <w:r w:rsidRPr="008155C5" w:rsidR="004D77AF">
        <w:rPr>
          <w:szCs w:val="24"/>
        </w:rPr>
        <w:t xml:space="preserve">he </w:t>
      </w:r>
      <w:r w:rsidR="004D77AF">
        <w:rPr>
          <w:szCs w:val="24"/>
        </w:rPr>
        <w:t>Administrator of the Economic Research Service</w:t>
      </w:r>
      <w:r w:rsidRPr="000E3A1D" w:rsidR="004D77AF">
        <w:rPr>
          <w:szCs w:val="24"/>
        </w:rPr>
        <w:t xml:space="preserve"> </w:t>
      </w:r>
      <w:r w:rsidR="004D77AF">
        <w:rPr>
          <w:szCs w:val="24"/>
        </w:rPr>
        <w:t xml:space="preserve">is </w:t>
      </w:r>
      <w:r w:rsidRPr="008155C5" w:rsidR="004D77AF">
        <w:rPr>
          <w:szCs w:val="24"/>
        </w:rPr>
        <w:t>authorize</w:t>
      </w:r>
      <w:r w:rsidR="004D77AF">
        <w:rPr>
          <w:szCs w:val="24"/>
        </w:rPr>
        <w:t>d</w:t>
      </w:r>
      <w:r w:rsidRPr="008155C5" w:rsidR="004D77AF">
        <w:rPr>
          <w:szCs w:val="24"/>
        </w:rPr>
        <w:t xml:space="preserve"> </w:t>
      </w:r>
      <w:r w:rsidR="00F83B9C">
        <w:rPr>
          <w:szCs w:val="24"/>
        </w:rPr>
        <w:t xml:space="preserve">to conduct </w:t>
      </w:r>
      <w:r w:rsidR="00A471E2">
        <w:rPr>
          <w:szCs w:val="24"/>
        </w:rPr>
        <w:t xml:space="preserve">economic and social science </w:t>
      </w:r>
      <w:r w:rsidR="004D77AF">
        <w:rPr>
          <w:szCs w:val="24"/>
        </w:rPr>
        <w:t xml:space="preserve">research and analyses related to </w:t>
      </w:r>
      <w:r w:rsidR="00F83B9C">
        <w:rPr>
          <w:szCs w:val="24"/>
        </w:rPr>
        <w:t>the U.S. food system</w:t>
      </w:r>
      <w:r w:rsidR="004D77AF">
        <w:rPr>
          <w:szCs w:val="24"/>
        </w:rPr>
        <w:t xml:space="preserve"> and</w:t>
      </w:r>
      <w:r w:rsidR="00F83B9C">
        <w:rPr>
          <w:szCs w:val="24"/>
        </w:rPr>
        <w:t xml:space="preserve"> consumers</w:t>
      </w:r>
      <w:r w:rsidR="004D77AF">
        <w:rPr>
          <w:szCs w:val="24"/>
        </w:rPr>
        <w:t xml:space="preserve"> under </w:t>
      </w:r>
      <w:r w:rsidRPr="000E3A1D" w:rsidR="004D77AF">
        <w:rPr>
          <w:szCs w:val="24"/>
        </w:rPr>
        <w:t>7 CFR 2.67</w:t>
      </w:r>
      <w:r w:rsidR="008531DA">
        <w:rPr>
          <w:szCs w:val="24"/>
        </w:rPr>
        <w:t>.</w:t>
      </w:r>
      <w:r w:rsidR="00F83B9C">
        <w:rPr>
          <w:szCs w:val="24"/>
        </w:rPr>
        <w:t xml:space="preserve"> </w:t>
      </w:r>
      <w:r>
        <w:t>The data to be collected will be used to address multiple programmatic and policy development needs of FNS and other Federal agencies.</w:t>
      </w:r>
      <w:r w:rsidR="009564AE">
        <w:t xml:space="preserve"> </w:t>
      </w:r>
      <w:r w:rsidRPr="002B2C4A" w:rsidR="002B2C4A">
        <w:t xml:space="preserve">The US Census Bureau has the right to conduct the data collection on </w:t>
      </w:r>
      <w:r w:rsidR="009564AE">
        <w:t>USDA’s</w:t>
      </w:r>
      <w:r w:rsidRPr="002B2C4A" w:rsidR="009564AE">
        <w:t xml:space="preserve"> </w:t>
      </w:r>
      <w:r w:rsidRPr="002B2C4A" w:rsidR="002B2C4A">
        <w:t>behalf under Title 13, Section 8(b).</w:t>
      </w:r>
    </w:p>
    <w:p w:rsidR="000A6098" w:rsidRDefault="000A6098" w14:paraId="60DB35FF" w14:textId="77777777">
      <w:pPr>
        <w:widowControl/>
      </w:pPr>
    </w:p>
    <w:p w:rsidR="000A6098" w:rsidRDefault="00EB2CB9" w14:paraId="54B35FF0" w14:textId="77777777">
      <w:pPr>
        <w:widowControl/>
        <w:ind w:left="720"/>
      </w:pPr>
      <w:r>
        <w:lastRenderedPageBreak/>
        <w:t xml:space="preserve">One </w:t>
      </w:r>
      <w:r w:rsidR="00E369F8">
        <w:t xml:space="preserve">of </w:t>
      </w:r>
      <w:r>
        <w:t>USDA’s strategic plan</w:t>
      </w:r>
      <w:r w:rsidR="00E369F8">
        <w:t>ning</w:t>
      </w:r>
      <w:r>
        <w:t xml:space="preserve"> </w:t>
      </w:r>
      <w:r w:rsidRPr="00242A73" w:rsidR="001E5D67">
        <w:rPr>
          <w:color w:val="000000"/>
        </w:rPr>
        <w:t xml:space="preserve">objectives </w:t>
      </w:r>
      <w:r w:rsidRPr="00242A73">
        <w:rPr>
          <w:color w:val="000000"/>
        </w:rPr>
        <w:t>is to</w:t>
      </w:r>
      <w:r w:rsidRPr="00242A73" w:rsidR="001E5D67">
        <w:rPr>
          <w:color w:val="000000"/>
        </w:rPr>
        <w:t xml:space="preserve"> </w:t>
      </w:r>
      <w:r w:rsidRPr="00242A73" w:rsidR="009E4D6B">
        <w:rPr>
          <w:color w:val="000000"/>
        </w:rPr>
        <w:t>“</w:t>
      </w:r>
      <w:r w:rsidRPr="00242A73" w:rsidR="00F83B9C">
        <w:rPr>
          <w:color w:val="000000"/>
        </w:rPr>
        <w:t>provide</w:t>
      </w:r>
      <w:r w:rsidR="00F83B9C">
        <w:t xml:space="preserve"> access to safe and nutritious food f</w:t>
      </w:r>
      <w:r w:rsidR="009E4D6B">
        <w:t>or low-income people while supporting a pathway to self-sufficiency”</w:t>
      </w:r>
      <w:r w:rsidR="002F2837">
        <w:t xml:space="preserve"> (objective 7.2)</w:t>
      </w:r>
      <w:r w:rsidR="001E5D67">
        <w:t xml:space="preserve">. </w:t>
      </w:r>
      <w:r w:rsidR="00E369F8">
        <w:t xml:space="preserve">It accomplishes this </w:t>
      </w:r>
      <w:r w:rsidR="0019650D">
        <w:t>objective</w:t>
      </w:r>
      <w:r w:rsidR="00E369F8">
        <w:t>, in part, by providing</w:t>
      </w:r>
      <w:r w:rsidR="000A6098">
        <w:t xml:space="preserve"> needy </w:t>
      </w:r>
      <w:r w:rsidR="00221CA5">
        <w:t xml:space="preserve">Americans </w:t>
      </w:r>
      <w:r w:rsidR="000A6098">
        <w:t xml:space="preserve">access to a more healthful diet through its food </w:t>
      </w:r>
      <w:r w:rsidR="00915DC1">
        <w:t xml:space="preserve">and nutrition </w:t>
      </w:r>
      <w:r w:rsidR="000A6098">
        <w:t xml:space="preserve">assistance programs and comprehensive nutrition education efforts. USDA’s 15 </w:t>
      </w:r>
      <w:r w:rsidR="002638F1">
        <w:t>nutrition</w:t>
      </w:r>
      <w:r w:rsidR="000A6098">
        <w:t xml:space="preserve"> assistance programs, administered by FNS, account for </w:t>
      </w:r>
      <w:r w:rsidR="00915DC1">
        <w:t>over</w:t>
      </w:r>
      <w:r w:rsidR="001E5D67">
        <w:t xml:space="preserve"> </w:t>
      </w:r>
      <w:r w:rsidR="00915DC1">
        <w:t>two-thirds</w:t>
      </w:r>
      <w:r w:rsidR="000A6098">
        <w:t xml:space="preserve"> of the Department’s budget. </w:t>
      </w:r>
      <w:r w:rsidR="00B42C6D">
        <w:t>“</w:t>
      </w:r>
      <w:r w:rsidRPr="00E208CA" w:rsidR="0019650D">
        <w:rPr>
          <w:rFonts w:cs="Goudy"/>
          <w:color w:val="000000"/>
          <w:szCs w:val="24"/>
        </w:rPr>
        <w:t>These programs form a nationwide safety net supporting low-income families and individuals in their efforts to escape food insecurity and hunger; achieve healthy, nutritious diets; and improve the well-being of families. Currently, the programs administered by USDA’s FNS touch the lives of one in four Americans over the course of a year.</w:t>
      </w:r>
      <w:r w:rsidR="00B42C6D">
        <w:rPr>
          <w:rFonts w:cs="Goudy"/>
          <w:color w:val="000000"/>
          <w:szCs w:val="24"/>
        </w:rPr>
        <w:t>”</w:t>
      </w:r>
      <w:r w:rsidR="0019650D">
        <w:rPr>
          <w:rFonts w:cs="Goudy"/>
          <w:color w:val="000000"/>
          <w:sz w:val="21"/>
          <w:szCs w:val="21"/>
        </w:rPr>
        <w:t xml:space="preserve"> </w:t>
      </w:r>
      <w:r w:rsidR="009211A7">
        <w:t>Success of this objective will be measured in part by the annual food security statistics provided through this data collection (</w:t>
      </w:r>
      <w:r w:rsidR="002F2837">
        <w:t xml:space="preserve">Source: </w:t>
      </w:r>
      <w:r w:rsidR="002F2837">
        <w:rPr>
          <w:i/>
        </w:rPr>
        <w:t xml:space="preserve">USDA Strategic Plan, FY 2018-2022, </w:t>
      </w:r>
      <w:hyperlink w:history="1" r:id="rId8">
        <w:r w:rsidRPr="00350664" w:rsidR="009211A7">
          <w:rPr>
            <w:rStyle w:val="Hyperlink"/>
          </w:rPr>
          <w:t>https://ww</w:t>
        </w:r>
        <w:r w:rsidRPr="00350664" w:rsidR="009211A7">
          <w:rPr>
            <w:rStyle w:val="Hyperlink"/>
          </w:rPr>
          <w:t>w</w:t>
        </w:r>
        <w:r w:rsidRPr="00350664" w:rsidR="009211A7">
          <w:rPr>
            <w:rStyle w:val="Hyperlink"/>
          </w:rPr>
          <w:t>.usda.gov/sites/default/files/documents/usda-strategic-plan-2018-2022.pdf</w:t>
        </w:r>
      </w:hyperlink>
      <w:r w:rsidR="009211A7">
        <w:t>; see pages 56-57).</w:t>
      </w:r>
      <w:r w:rsidR="000A6098">
        <w:t xml:space="preserve"> </w:t>
      </w:r>
    </w:p>
    <w:p w:rsidR="000A6098" w:rsidRDefault="000A6098" w14:paraId="00744E09" w14:textId="77777777">
      <w:pPr>
        <w:widowControl/>
      </w:pPr>
    </w:p>
    <w:p w:rsidR="00EB2CB9" w:rsidP="00EB2CB9" w:rsidRDefault="000A6098" w14:paraId="08E26C91" w14:textId="77777777">
      <w:pPr>
        <w:widowControl/>
        <w:ind w:left="720"/>
      </w:pPr>
      <w:r>
        <w:t xml:space="preserve">This </w:t>
      </w:r>
      <w:r w:rsidR="002F6E36">
        <w:t xml:space="preserve">monitoring </w:t>
      </w:r>
      <w:r>
        <w:t>need requires that USDA continue</w:t>
      </w:r>
      <w:r w:rsidR="004B422B">
        <w:t>s</w:t>
      </w:r>
      <w:r>
        <w:t xml:space="preserve"> basic data collection, analysis, and evaluation. Th</w:t>
      </w:r>
      <w:r w:rsidR="00E1757E">
        <w:t>ese data</w:t>
      </w:r>
      <w:r>
        <w:t xml:space="preserve"> provide the basis for regular monitoring as well as ongoing development of </w:t>
      </w:r>
      <w:r w:rsidR="00B82261">
        <w:t>scientifically grounded</w:t>
      </w:r>
      <w:r>
        <w:t xml:space="preserve"> methods for the consistent national measurement of food insecurity. </w:t>
      </w:r>
      <w:r w:rsidR="00A621E1">
        <w:t xml:space="preserve">Annual </w:t>
      </w:r>
      <w:r>
        <w:t>collections of the CPS Food Security Supplement are fundamental in this monitoring and research effort.</w:t>
      </w:r>
      <w:r w:rsidR="00145E09">
        <w:t xml:space="preserve"> The Agriculture Improvement Act of 2018 (2018 Farm Act; </w:t>
      </w:r>
      <w:hyperlink w:history="1" r:id="rId9">
        <w:r w:rsidRPr="005C736D" w:rsidR="00145E09">
          <w:rPr>
            <w:rStyle w:val="Hyperlink"/>
          </w:rPr>
          <w:t>https://www.congress.gov/115/bills/hr2/BILLS-115hr2enr.pdf</w:t>
        </w:r>
      </w:hyperlink>
      <w:r w:rsidR="00145E09">
        <w:t>)</w:t>
      </w:r>
      <w:r w:rsidR="00B97132">
        <w:t xml:space="preserve"> m</w:t>
      </w:r>
      <w:r w:rsidR="009920F0">
        <w:t xml:space="preserve">entions specific efforts and programs that require food security measurement for monitoring and evaluation. </w:t>
      </w:r>
      <w:r w:rsidR="00145E09">
        <w:t xml:space="preserve">   </w:t>
      </w:r>
    </w:p>
    <w:p w:rsidR="00EB2CB9" w:rsidP="00EB2CB9" w:rsidRDefault="00EB2CB9" w14:paraId="716B9A1E" w14:textId="77777777">
      <w:pPr>
        <w:widowControl/>
        <w:ind w:left="720"/>
      </w:pPr>
    </w:p>
    <w:p w:rsidRPr="005221FA" w:rsidR="002563C4" w:rsidP="00127DDC" w:rsidRDefault="00E369F8" w14:paraId="48045304" w14:textId="77777777">
      <w:pPr>
        <w:widowControl/>
        <w:ind w:left="720"/>
        <w:rPr>
          <w:snapToGrid/>
          <w:sz w:val="20"/>
        </w:rPr>
      </w:pPr>
      <w:r>
        <w:rPr>
          <w:snapToGrid/>
          <w:szCs w:val="24"/>
        </w:rPr>
        <w:t xml:space="preserve">ERS sponsors this data collection and conducts the monitoring and research work in </w:t>
      </w:r>
      <w:r w:rsidR="00E1757E">
        <w:rPr>
          <w:snapToGrid/>
          <w:szCs w:val="24"/>
        </w:rPr>
        <w:t xml:space="preserve">partial fulfillment of </w:t>
      </w:r>
      <w:r>
        <w:rPr>
          <w:snapToGrid/>
          <w:szCs w:val="24"/>
        </w:rPr>
        <w:t xml:space="preserve">its </w:t>
      </w:r>
      <w:r w:rsidR="002563C4">
        <w:rPr>
          <w:snapToGrid/>
          <w:szCs w:val="24"/>
        </w:rPr>
        <w:t xml:space="preserve">mission to </w:t>
      </w:r>
      <w:r>
        <w:rPr>
          <w:snapToGrid/>
          <w:szCs w:val="24"/>
        </w:rPr>
        <w:t>“</w:t>
      </w:r>
      <w:r w:rsidRPr="00127DDC" w:rsidR="00127DDC">
        <w:rPr>
          <w:snapToGrid/>
          <w:szCs w:val="24"/>
        </w:rPr>
        <w:t xml:space="preserve">anticipate </w:t>
      </w:r>
      <w:r w:rsidR="00127DDC">
        <w:rPr>
          <w:snapToGrid/>
          <w:szCs w:val="24"/>
        </w:rPr>
        <w:t>e</w:t>
      </w:r>
      <w:r w:rsidRPr="00127DDC" w:rsidR="00127DDC">
        <w:rPr>
          <w:snapToGrid/>
          <w:szCs w:val="24"/>
        </w:rPr>
        <w:t>conomic and policy issues related to agriculture, food, the environment, and</w:t>
      </w:r>
      <w:r w:rsidR="00127DDC">
        <w:rPr>
          <w:snapToGrid/>
          <w:szCs w:val="24"/>
        </w:rPr>
        <w:t xml:space="preserve"> </w:t>
      </w:r>
      <w:r w:rsidRPr="00127DDC" w:rsidR="00127DDC">
        <w:rPr>
          <w:snapToGrid/>
          <w:szCs w:val="24"/>
        </w:rPr>
        <w:t>rural development, and conduct economic research that broadly and specifically informs public program</w:t>
      </w:r>
      <w:r w:rsidR="00127DDC">
        <w:rPr>
          <w:snapToGrid/>
          <w:szCs w:val="24"/>
        </w:rPr>
        <w:t xml:space="preserve"> </w:t>
      </w:r>
      <w:r w:rsidRPr="00127DDC" w:rsidR="00127DDC">
        <w:rPr>
          <w:snapToGrid/>
          <w:szCs w:val="24"/>
        </w:rPr>
        <w:t>and policy decisions.</w:t>
      </w:r>
      <w:r>
        <w:rPr>
          <w:snapToGrid/>
          <w:szCs w:val="24"/>
        </w:rPr>
        <w:t xml:space="preserve">” More specifically, these activities contribute to ERS </w:t>
      </w:r>
      <w:r w:rsidR="004831A0">
        <w:rPr>
          <w:snapToGrid/>
          <w:szCs w:val="24"/>
        </w:rPr>
        <w:t>S</w:t>
      </w:r>
      <w:r>
        <w:rPr>
          <w:snapToGrid/>
          <w:szCs w:val="24"/>
        </w:rPr>
        <w:t xml:space="preserve">trategic </w:t>
      </w:r>
      <w:r w:rsidR="004831A0">
        <w:rPr>
          <w:snapToGrid/>
          <w:szCs w:val="24"/>
        </w:rPr>
        <w:t>G</w:t>
      </w:r>
      <w:r w:rsidR="001E5D67">
        <w:rPr>
          <w:snapToGrid/>
          <w:szCs w:val="24"/>
        </w:rPr>
        <w:t>oal</w:t>
      </w:r>
      <w:r w:rsidRPr="00E369F8" w:rsidR="001E5D67">
        <w:rPr>
          <w:iCs/>
          <w:snapToGrid/>
          <w:szCs w:val="24"/>
        </w:rPr>
        <w:t xml:space="preserve"> </w:t>
      </w:r>
      <w:r w:rsidR="0061360F">
        <w:rPr>
          <w:iCs/>
          <w:snapToGrid/>
          <w:szCs w:val="24"/>
        </w:rPr>
        <w:t>4</w:t>
      </w:r>
      <w:r w:rsidR="009A5629">
        <w:rPr>
          <w:iCs/>
          <w:snapToGrid/>
          <w:szCs w:val="24"/>
        </w:rPr>
        <w:t xml:space="preserve"> which targets food insecurity</w:t>
      </w:r>
      <w:r w:rsidR="00E1757E">
        <w:rPr>
          <w:iCs/>
          <w:snapToGrid/>
          <w:szCs w:val="24"/>
        </w:rPr>
        <w:t>:</w:t>
      </w:r>
      <w:r>
        <w:rPr>
          <w:iCs/>
          <w:snapToGrid/>
          <w:szCs w:val="24"/>
        </w:rPr>
        <w:t xml:space="preserve"> “</w:t>
      </w:r>
      <w:r w:rsidR="009920F0">
        <w:rPr>
          <w:iCs/>
          <w:snapToGrid/>
          <w:szCs w:val="24"/>
        </w:rPr>
        <w:t>Provide information to improve the Nation’s nutrition and food safety” (</w:t>
      </w:r>
      <w:hyperlink w:history="1" r:id="rId10">
        <w:r w:rsidRPr="005C736D" w:rsidR="009920F0">
          <w:rPr>
            <w:rStyle w:val="Hyperlink"/>
            <w:iCs/>
            <w:snapToGrid/>
            <w:szCs w:val="24"/>
          </w:rPr>
          <w:t>https://www.ers.usda.gov/media/nhelklzj/economic-research-service-strategic-plan-fy-2021-2025.pdf</w:t>
        </w:r>
      </w:hyperlink>
      <w:r w:rsidR="009920F0">
        <w:rPr>
          <w:iCs/>
          <w:snapToGrid/>
          <w:szCs w:val="24"/>
        </w:rPr>
        <w:t xml:space="preserve">). </w:t>
      </w:r>
    </w:p>
    <w:p w:rsidRPr="005221FA" w:rsidR="002563C4" w:rsidRDefault="002563C4" w14:paraId="68F1A814" w14:textId="77777777">
      <w:pPr>
        <w:widowControl/>
      </w:pPr>
    </w:p>
    <w:p w:rsidRPr="005221FA" w:rsidR="000A6098" w:rsidP="00D06AAD" w:rsidRDefault="000A6098" w14:paraId="19C9E920" w14:textId="77777777">
      <w:pPr>
        <w:widowControl/>
      </w:pPr>
    </w:p>
    <w:p w:rsidRPr="005221FA" w:rsidR="005221FA" w:rsidP="005221FA" w:rsidRDefault="005221FA" w14:paraId="72012CA4" w14:textId="77777777">
      <w:pPr>
        <w:widowControl/>
        <w:numPr>
          <w:ilvl w:val="0"/>
          <w:numId w:val="7"/>
        </w:numPr>
        <w:tabs>
          <w:tab w:val="left" w:pos="720"/>
        </w:tabs>
        <w:ind w:left="720"/>
        <w:rPr>
          <w:rFonts w:ascii="Verdana" w:hAnsi="Verdana"/>
          <w:b/>
          <w:bCs/>
          <w:sz w:val="17"/>
          <w:szCs w:val="17"/>
        </w:rPr>
      </w:pPr>
      <w:r w:rsidRPr="005221FA">
        <w:rPr>
          <w:b/>
        </w:rPr>
        <w:t xml:space="preserve">Indicate how, by whom, and for what purpose the information is to be used. Except for a new collection, indicate the actual use the agency has made of the information received from the current collection. </w:t>
      </w:r>
    </w:p>
    <w:p w:rsidR="000A6098" w:rsidRDefault="000A6098" w14:paraId="321A7C60" w14:textId="77777777">
      <w:pPr>
        <w:widowControl/>
      </w:pPr>
    </w:p>
    <w:p w:rsidR="000A6098" w:rsidRDefault="000A6098" w14:paraId="3D223ED3" w14:textId="77777777">
      <w:pPr>
        <w:widowControl/>
        <w:ind w:left="720"/>
      </w:pPr>
      <w:r>
        <w:t xml:space="preserve">The purpose of the CPS Food Security Supplement is to </w:t>
      </w:r>
      <w:r w:rsidR="00A621E1">
        <w:t xml:space="preserve">annually </w:t>
      </w:r>
      <w:r>
        <w:t>obtain reliable data from a large, representative national sample</w:t>
      </w:r>
      <w:r w:rsidR="00CA66A2">
        <w:t xml:space="preserve"> as a basis for monitoring</w:t>
      </w:r>
      <w:r>
        <w:t xml:space="preserve"> the prevalence of food</w:t>
      </w:r>
      <w:r w:rsidR="00CA66A2">
        <w:t xml:space="preserve"> security, food</w:t>
      </w:r>
      <w:r>
        <w:t xml:space="preserve"> insecurity</w:t>
      </w:r>
      <w:r w:rsidR="00CA66A2">
        <w:t>,</w:t>
      </w:r>
      <w:r>
        <w:t xml:space="preserve"> and</w:t>
      </w:r>
      <w:r w:rsidR="00CA66A2">
        <w:t xml:space="preserve"> very low</w:t>
      </w:r>
      <w:r>
        <w:t xml:space="preserve"> </w:t>
      </w:r>
      <w:r w:rsidR="00E1626D">
        <w:t xml:space="preserve">food security </w:t>
      </w:r>
      <w:r>
        <w:t>within the U.S. popula</w:t>
      </w:r>
      <w:r w:rsidR="00E1626D">
        <w:t>tion as a whole and in selected</w:t>
      </w:r>
      <w:r>
        <w:t xml:space="preserve"> population subgroups</w:t>
      </w:r>
      <w:r w:rsidR="00296BE6">
        <w:t>;</w:t>
      </w:r>
      <w:r>
        <w:t xml:space="preserve"> </w:t>
      </w:r>
      <w:r w:rsidR="00296BE6">
        <w:t xml:space="preserve">conducting research on causes of food insecurity and the role of Federal food and nutrition programs in ameliorating food insecurity; </w:t>
      </w:r>
      <w:r>
        <w:t>and continu</w:t>
      </w:r>
      <w:r w:rsidR="00CA66A2">
        <w:t>ing</w:t>
      </w:r>
      <w:r>
        <w:t xml:space="preserve"> development and improvement of methods for measuring these </w:t>
      </w:r>
      <w:r>
        <w:lastRenderedPageBreak/>
        <w:t>conditions.</w:t>
      </w:r>
      <w:r w:rsidR="00B91293">
        <w:t xml:space="preserve"> Below the proposed CPS-FSS information collection is described briefly and is followed by a discussion of the use of the information received from the current CPS-FSS data collections. </w:t>
      </w:r>
    </w:p>
    <w:p w:rsidR="007716B4" w:rsidRDefault="007716B4" w14:paraId="65D0F739" w14:textId="77777777">
      <w:pPr>
        <w:widowControl/>
        <w:ind w:left="720"/>
      </w:pPr>
    </w:p>
    <w:p w:rsidR="007716B4" w:rsidRDefault="007716B4" w14:paraId="1CA925FE" w14:textId="77777777">
      <w:pPr>
        <w:widowControl/>
        <w:ind w:left="720"/>
      </w:pPr>
      <w:r>
        <w:t xml:space="preserve">Information will be collected on food spending, use of Federal and community food and nutrition assistance programs, difficulties in obtaining adequate food during the previous 12 months and 30 days due to constrained resources, and conditions that result from inadequate access to food. Information will be collected by interviewers of the U.S. Census Bureau in </w:t>
      </w:r>
      <w:r w:rsidR="001A0221">
        <w:t xml:space="preserve">early </w:t>
      </w:r>
      <w:r>
        <w:t xml:space="preserve">December of each year as a supplement to the Bureau’s monthly Current Population Survey interviews. Information </w:t>
      </w:r>
      <w:r w:rsidR="001A0221">
        <w:t>will be</w:t>
      </w:r>
      <w:r>
        <w:t xml:space="preserve"> collected from one respondent in each household, in either face-to-face </w:t>
      </w:r>
      <w:r w:rsidR="00945D2D">
        <w:t>or</w:t>
      </w:r>
      <w:r>
        <w:t xml:space="preserve"> telephone interviews. A </w:t>
      </w:r>
      <w:r w:rsidR="00763FFF">
        <w:t>sanitized</w:t>
      </w:r>
      <w:r>
        <w:t xml:space="preserve"> public-use file </w:t>
      </w:r>
      <w:r w:rsidR="001A0221">
        <w:t>will be</w:t>
      </w:r>
      <w:r>
        <w:t xml:space="preserve"> provided by the Census Bureau</w:t>
      </w:r>
      <w:r w:rsidR="00945D2D">
        <w:t xml:space="preserve"> on its web site</w:t>
      </w:r>
      <w:r w:rsidR="00750895">
        <w:t xml:space="preserve"> that</w:t>
      </w:r>
      <w:r w:rsidR="00945D2D">
        <w:t xml:space="preserve"> can be accessed by Government, academic, and private researchers at no cost.</w:t>
      </w:r>
    </w:p>
    <w:p w:rsidR="00B146D8" w:rsidRDefault="00B146D8" w14:paraId="20234469" w14:textId="77777777">
      <w:pPr>
        <w:widowControl/>
        <w:ind w:left="720"/>
      </w:pPr>
    </w:p>
    <w:p w:rsidR="00175DB2" w:rsidP="00117D75" w:rsidRDefault="00117D75" w14:paraId="04044066" w14:textId="77777777">
      <w:pPr>
        <w:widowControl/>
        <w:ind w:left="720"/>
      </w:pPr>
      <w:r>
        <w:t xml:space="preserve">Food security data </w:t>
      </w:r>
      <w:r w:rsidR="00025F3E">
        <w:t>have</w:t>
      </w:r>
      <w:r>
        <w:t xml:space="preserve"> been collected in the CPS Food </w:t>
      </w:r>
      <w:r w:rsidR="00215B8E">
        <w:t>S</w:t>
      </w:r>
      <w:r>
        <w:t xml:space="preserve">ecurity Supplement since 1995. Data from the first collections were used by USDA and USDA contractors to develop and assess a </w:t>
      </w:r>
      <w:r w:rsidRPr="000F6009">
        <w:t>multiple-item measure of food insecurity at various levels of severity</w:t>
      </w:r>
      <w:r>
        <w:t xml:space="preserve">. Data collected subsequently have been used by USDA to improve and expand the statistical measurement methods to provide a more complete picture of food security and food insecurity in U.S. households. </w:t>
      </w:r>
    </w:p>
    <w:p w:rsidR="009266C4" w:rsidP="00117D75" w:rsidRDefault="009266C4" w14:paraId="32272AC6" w14:textId="77777777">
      <w:pPr>
        <w:widowControl/>
        <w:ind w:left="720"/>
      </w:pPr>
    </w:p>
    <w:p w:rsidR="009266C4" w:rsidP="00117D75" w:rsidRDefault="009266C4" w14:paraId="23A0BDBB" w14:textId="77777777">
      <w:pPr>
        <w:widowControl/>
        <w:ind w:left="720"/>
      </w:pPr>
      <w:r>
        <w:t xml:space="preserve">The content of the questionnaire proposed for December 2022 includes the same general content as that used in December </w:t>
      </w:r>
      <w:r w:rsidR="00E84BCC">
        <w:t>2019</w:t>
      </w:r>
      <w:r w:rsidR="007367F5">
        <w:t xml:space="preserve">, </w:t>
      </w:r>
      <w:r>
        <w:t>2020</w:t>
      </w:r>
      <w:r w:rsidR="007367F5">
        <w:t>,</w:t>
      </w:r>
      <w:r>
        <w:t xml:space="preserve"> and 2021. </w:t>
      </w:r>
      <w:r w:rsidRPr="00E1626D">
        <w:t xml:space="preserve">The </w:t>
      </w:r>
      <w:r>
        <w:t>2022</w:t>
      </w:r>
      <w:r w:rsidRPr="00E1626D">
        <w:t xml:space="preserve"> instrument </w:t>
      </w:r>
      <w:r>
        <w:t xml:space="preserve">continues </w:t>
      </w:r>
      <w:r w:rsidRPr="00E1626D">
        <w:t>collect</w:t>
      </w:r>
      <w:r>
        <w:t>ion of</w:t>
      </w:r>
      <w:r w:rsidRPr="00E1626D">
        <w:t xml:space="preserve"> household food expenditures and program participation</w:t>
      </w:r>
      <w:r>
        <w:t xml:space="preserve"> information, as in previous years, since these factors are major correlates of food insecurity. Minor modifications are proposed for the 2022 questionnaire that reflect terminology updates. The survey questions have been largely unchanged since collection began in 1995. </w:t>
      </w:r>
      <w:r w:rsidR="00215B8E">
        <w:t>To</w:t>
      </w:r>
      <w:r>
        <w:t xml:space="preserve"> ensure the</w:t>
      </w:r>
      <w:r w:rsidR="00215B8E">
        <w:t xml:space="preserve"> continued</w:t>
      </w:r>
      <w:r>
        <w:t xml:space="preserve"> relevance of the survey questions</w:t>
      </w:r>
      <w:r w:rsidR="00215B8E">
        <w:t>,</w:t>
      </w:r>
      <w:r>
        <w:t xml:space="preserve"> ERS contracted with the U.S. Census Bureau to review the </w:t>
      </w:r>
      <w:r w:rsidR="002533ED">
        <w:t xml:space="preserve">2019 </w:t>
      </w:r>
      <w:r w:rsidR="00E84BCC">
        <w:t xml:space="preserve">Food </w:t>
      </w:r>
      <w:r w:rsidR="002533ED">
        <w:t>S</w:t>
      </w:r>
      <w:r w:rsidR="00E84BCC">
        <w:t xml:space="preserve">ecurity </w:t>
      </w:r>
      <w:r w:rsidR="002533ED">
        <w:t>S</w:t>
      </w:r>
      <w:r w:rsidR="00E84BCC">
        <w:t xml:space="preserve">upplement </w:t>
      </w:r>
      <w:r w:rsidR="002533ED">
        <w:t xml:space="preserve">(FSS) </w:t>
      </w:r>
      <w:r w:rsidR="00E84BCC">
        <w:t>instrument</w:t>
      </w:r>
      <w:r>
        <w:t xml:space="preserve">, develop changes, and conduct cognitive testing of the revised survey instrument. To begin, ERS researchers undertook a review of the survey items in collaboration with research staff at USDA’s FNS and survey methods staff at the Census Bureau’s Center for Behavior Science Methods in the Research and Methodology Directorate. ERS also considered previous comments about the survey received from academic food security experts. Through this review, some wording used in the survey items was perceived to be outdated (for example, questions asking about food spending referred to spending at produce stands but did not ask about spending at farmers markets or online food purchases). Thus, some survey items were </w:t>
      </w:r>
      <w:r w:rsidR="00EE3AB4">
        <w:t>updated</w:t>
      </w:r>
      <w:r>
        <w:t xml:space="preserve">. </w:t>
      </w:r>
      <w:r w:rsidR="00E01C21">
        <w:t>Also, based on this review, w</w:t>
      </w:r>
      <w:r w:rsidR="00D9457D">
        <w:t xml:space="preserve">e </w:t>
      </w:r>
      <w:r w:rsidR="00E01C21">
        <w:t xml:space="preserve">included minor </w:t>
      </w:r>
      <w:r w:rsidR="00D9457D">
        <w:t>modifi</w:t>
      </w:r>
      <w:r w:rsidR="00E01C21">
        <w:t>cations</w:t>
      </w:r>
      <w:r w:rsidR="00D9457D">
        <w:t xml:space="preserve"> </w:t>
      </w:r>
      <w:r w:rsidR="00E01C21">
        <w:t>to some</w:t>
      </w:r>
      <w:r w:rsidR="00D9457D">
        <w:t xml:space="preserve"> food security items that are part of the 18-item food security measure, to streamline</w:t>
      </w:r>
      <w:r w:rsidR="00E01C21">
        <w:t xml:space="preserve"> consistent</w:t>
      </w:r>
      <w:r w:rsidR="00D9457D">
        <w:t xml:space="preserve"> language across items </w:t>
      </w:r>
      <w:r w:rsidR="00E01C21">
        <w:t>and</w:t>
      </w:r>
      <w:r w:rsidR="00D9457D">
        <w:t xml:space="preserve"> reduce burden</w:t>
      </w:r>
      <w:r w:rsidR="00E01C21">
        <w:t xml:space="preserve"> (for example, consistently using “wasn’t enough money for food” across items in place of “we just couldn’t afford more food”).</w:t>
      </w:r>
      <w:r w:rsidR="00D9457D">
        <w:t xml:space="preserve"> </w:t>
      </w:r>
      <w:r>
        <w:t xml:space="preserve">Some new questions regarding </w:t>
      </w:r>
      <w:r w:rsidR="00E01C21">
        <w:t>nutrition</w:t>
      </w:r>
      <w:r>
        <w:t xml:space="preserve"> assistance were added</w:t>
      </w:r>
      <w:r w:rsidR="0081539E">
        <w:t xml:space="preserve"> to reflect new and changing </w:t>
      </w:r>
      <w:r w:rsidR="00215B8E">
        <w:t>F</w:t>
      </w:r>
      <w:r w:rsidR="0081539E">
        <w:t xml:space="preserve">ederal and community nutrition assistance programs (for example, a new question asks about receipt of a free or reduced-price meal </w:t>
      </w:r>
      <w:r w:rsidR="0081539E">
        <w:lastRenderedPageBreak/>
        <w:t>or snack at an after-school program)</w:t>
      </w:r>
      <w:r>
        <w:t xml:space="preserve">. In addition, reordering of questions was proposed. The food security items were moved earlier in the survey interview with a possible effect of reducing non-response to the food security items from break-offs part way through the survey. A new questionnaire was developed for testing that incorporated revisions to some of the survey items and a reordering of survey items (Attachment A). The revised questionnaire went through three rounds of cognitive testing led by the U.S. Census Bureau in 2019. The findings and recommendations from the cognitive test are included in </w:t>
      </w:r>
      <w:r w:rsidR="00BA25FA">
        <w:t>the Census report i</w:t>
      </w:r>
      <w:r w:rsidR="007367F5">
        <w:t>n</w:t>
      </w:r>
      <w:r w:rsidR="00BA25FA">
        <w:t xml:space="preserve"> Attachment </w:t>
      </w:r>
      <w:r w:rsidR="001E1998">
        <w:t>J</w:t>
      </w:r>
      <w:r>
        <w:t xml:space="preserve">. </w:t>
      </w:r>
    </w:p>
    <w:p w:rsidR="009266C4" w:rsidP="00117D75" w:rsidRDefault="009266C4" w14:paraId="689B7391" w14:textId="77777777">
      <w:pPr>
        <w:widowControl/>
        <w:ind w:left="720"/>
      </w:pPr>
    </w:p>
    <w:p w:rsidR="009266C4" w:rsidP="009266C4" w:rsidRDefault="009266C4" w14:paraId="2EAD6A34" w14:textId="77777777">
      <w:pPr>
        <w:ind w:left="720"/>
        <w:rPr>
          <w:szCs w:val="24"/>
        </w:rPr>
      </w:pPr>
      <w:r>
        <w:t xml:space="preserve">In 2020, ERS sought and received OMB approval for a one-time split panel test to assess the revised FSS survey that resulted from the review and cognitive testing process. This split panel test was a separate data collection from the regular annual FSS data collection used to monitor the Nation’s food security. We proposed adding a split panel test because we did not want the test instrument to impact annual food security estimates in such a way that would cause an unnecessary break in the long time series. </w:t>
      </w:r>
      <w:r w:rsidRPr="0031337D">
        <w:rPr>
          <w:szCs w:val="24"/>
        </w:rPr>
        <w:t xml:space="preserve">The data from this one-time split panel test </w:t>
      </w:r>
      <w:r>
        <w:rPr>
          <w:szCs w:val="24"/>
        </w:rPr>
        <w:t>are being</w:t>
      </w:r>
      <w:r w:rsidRPr="0031337D">
        <w:rPr>
          <w:szCs w:val="24"/>
        </w:rPr>
        <w:t xml:space="preserve"> used to assess the functioning of the </w:t>
      </w:r>
      <w:r w:rsidR="0081539E">
        <w:rPr>
          <w:szCs w:val="24"/>
        </w:rPr>
        <w:t>updated questionnaire</w:t>
      </w:r>
      <w:r w:rsidRPr="0031337D">
        <w:rPr>
          <w:szCs w:val="24"/>
        </w:rPr>
        <w:t xml:space="preserve"> and the effect of </w:t>
      </w:r>
      <w:r w:rsidR="0081539E">
        <w:rPr>
          <w:szCs w:val="24"/>
        </w:rPr>
        <w:t>modifying</w:t>
      </w:r>
      <w:r w:rsidRPr="0031337D">
        <w:rPr>
          <w:szCs w:val="24"/>
        </w:rPr>
        <w:t xml:space="preserve"> some survey items on key outcomes of interest, like the measure of food security.</w:t>
      </w:r>
      <w:r>
        <w:rPr>
          <w:szCs w:val="24"/>
        </w:rPr>
        <w:t xml:space="preserve"> Our analys</w:t>
      </w:r>
      <w:r w:rsidR="00215B8E">
        <w:rPr>
          <w:szCs w:val="24"/>
        </w:rPr>
        <w:t>es</w:t>
      </w:r>
      <w:r>
        <w:rPr>
          <w:szCs w:val="24"/>
        </w:rPr>
        <w:t xml:space="preserve"> suggest that the minor modifications to the food security items did not </w:t>
      </w:r>
      <w:r w:rsidR="00215B8E">
        <w:rPr>
          <w:szCs w:val="24"/>
        </w:rPr>
        <w:t>a</w:t>
      </w:r>
      <w:r>
        <w:rPr>
          <w:szCs w:val="24"/>
        </w:rPr>
        <w:t>ffect the food security measure substantially and are unlikely to cause a break in the series</w:t>
      </w:r>
      <w:r w:rsidR="00BA25FA">
        <w:rPr>
          <w:szCs w:val="24"/>
        </w:rPr>
        <w:t xml:space="preserve">, see draft report of analysis of the CPS-FSS 2020 split panel in Attachment </w:t>
      </w:r>
      <w:r w:rsidR="001E1998">
        <w:rPr>
          <w:szCs w:val="24"/>
        </w:rPr>
        <w:t>K</w:t>
      </w:r>
      <w:r>
        <w:rPr>
          <w:szCs w:val="24"/>
        </w:rPr>
        <w:t xml:space="preserve">. </w:t>
      </w:r>
    </w:p>
    <w:p w:rsidR="009266C4" w:rsidP="009266C4" w:rsidRDefault="009266C4" w14:paraId="4DD00F47" w14:textId="77777777">
      <w:pPr>
        <w:ind w:left="720"/>
        <w:rPr>
          <w:szCs w:val="24"/>
        </w:rPr>
      </w:pPr>
    </w:p>
    <w:p w:rsidR="004472EF" w:rsidP="009266C4" w:rsidRDefault="009266C4" w14:paraId="41E6EE16" w14:textId="77777777">
      <w:pPr>
        <w:ind w:left="720"/>
        <w:rPr>
          <w:szCs w:val="24"/>
        </w:rPr>
      </w:pPr>
      <w:r>
        <w:rPr>
          <w:szCs w:val="24"/>
        </w:rPr>
        <w:t xml:space="preserve">Our analyses suggest that other modifications improved the items. For example, </w:t>
      </w:r>
      <w:r w:rsidR="0081539E">
        <w:rPr>
          <w:szCs w:val="24"/>
        </w:rPr>
        <w:t>Feeding America (a national anti-hunger organization</w:t>
      </w:r>
      <w:r w:rsidR="00493ACF">
        <w:rPr>
          <w:szCs w:val="24"/>
        </w:rPr>
        <w:t>)</w:t>
      </w:r>
      <w:r w:rsidR="0081539E">
        <w:rPr>
          <w:szCs w:val="24"/>
        </w:rPr>
        <w:t xml:space="preserve"> had previously suggested some revisions to our questions about food received from charitable and community organizations. Those suggested modifications were incorporated into the cognitive testing and the split panel test instrument. The modified </w:t>
      </w:r>
      <w:r>
        <w:rPr>
          <w:szCs w:val="24"/>
        </w:rPr>
        <w:t>questions about receipt of free food and free meals resulted in a somewhat higher prevalence of households reporting receipt from charitable or community food assistance</w:t>
      </w:r>
      <w:r w:rsidR="0081539E">
        <w:rPr>
          <w:szCs w:val="24"/>
        </w:rPr>
        <w:t xml:space="preserve"> in the test instrument</w:t>
      </w:r>
      <w:r>
        <w:rPr>
          <w:szCs w:val="24"/>
        </w:rPr>
        <w:t>. Anti-hunger organizations had previously provided feedback to ERS that our estimates of food pantry use were likely to be underestimates, so the updated items are believed to better capture participation</w:t>
      </w:r>
      <w:r w:rsidR="0081539E">
        <w:rPr>
          <w:szCs w:val="24"/>
        </w:rPr>
        <w:t xml:space="preserve"> in those programs</w:t>
      </w:r>
      <w:r>
        <w:rPr>
          <w:szCs w:val="24"/>
        </w:rPr>
        <w:t xml:space="preserve">. </w:t>
      </w:r>
    </w:p>
    <w:p w:rsidR="004472EF" w:rsidP="009266C4" w:rsidRDefault="004472EF" w14:paraId="53488CEB" w14:textId="77777777">
      <w:pPr>
        <w:ind w:left="720"/>
        <w:rPr>
          <w:szCs w:val="24"/>
        </w:rPr>
      </w:pPr>
    </w:p>
    <w:p w:rsidRPr="00117D75" w:rsidR="00117D75" w:rsidP="000C23F3" w:rsidRDefault="004472EF" w14:paraId="215305CA" w14:textId="77777777">
      <w:pPr>
        <w:widowControl/>
        <w:ind w:left="720"/>
      </w:pPr>
      <w:r>
        <w:rPr>
          <w:szCs w:val="24"/>
        </w:rPr>
        <w:t>Based on the results of cognitive testing</w:t>
      </w:r>
      <w:r w:rsidR="00BA25FA">
        <w:rPr>
          <w:szCs w:val="24"/>
        </w:rPr>
        <w:t xml:space="preserve"> (Attachment J)</w:t>
      </w:r>
      <w:r>
        <w:rPr>
          <w:szCs w:val="24"/>
        </w:rPr>
        <w:t>, and preliminary analys</w:t>
      </w:r>
      <w:r w:rsidR="00493ACF">
        <w:rPr>
          <w:szCs w:val="24"/>
        </w:rPr>
        <w:t>es</w:t>
      </w:r>
      <w:r>
        <w:rPr>
          <w:szCs w:val="24"/>
        </w:rPr>
        <w:t xml:space="preserve"> of the September 2020 split panel test data</w:t>
      </w:r>
      <w:r w:rsidR="00BA25FA">
        <w:rPr>
          <w:szCs w:val="24"/>
        </w:rPr>
        <w:t xml:space="preserve"> (Attachment </w:t>
      </w:r>
      <w:r w:rsidR="001E1998">
        <w:rPr>
          <w:szCs w:val="24"/>
        </w:rPr>
        <w:t>K</w:t>
      </w:r>
      <w:r w:rsidR="00BA25FA">
        <w:rPr>
          <w:szCs w:val="24"/>
        </w:rPr>
        <w:t>)</w:t>
      </w:r>
      <w:r>
        <w:rPr>
          <w:szCs w:val="24"/>
        </w:rPr>
        <w:t xml:space="preserve">, </w:t>
      </w:r>
      <w:r w:rsidR="009266C4">
        <w:rPr>
          <w:szCs w:val="24"/>
        </w:rPr>
        <w:t xml:space="preserve">ERS is proposing that the </w:t>
      </w:r>
      <w:r w:rsidR="0081539E">
        <w:rPr>
          <w:szCs w:val="24"/>
        </w:rPr>
        <w:t>test</w:t>
      </w:r>
      <w:r w:rsidR="009266C4">
        <w:rPr>
          <w:szCs w:val="24"/>
        </w:rPr>
        <w:t xml:space="preserve"> instrument used in September 2020 </w:t>
      </w:r>
      <w:r w:rsidR="0081539E">
        <w:rPr>
          <w:szCs w:val="24"/>
        </w:rPr>
        <w:t xml:space="preserve">become the standard </w:t>
      </w:r>
      <w:r>
        <w:rPr>
          <w:szCs w:val="24"/>
        </w:rPr>
        <w:t xml:space="preserve">CPS-FSS </w:t>
      </w:r>
      <w:r w:rsidR="0081539E">
        <w:rPr>
          <w:szCs w:val="24"/>
        </w:rPr>
        <w:t xml:space="preserve">survey instrument </w:t>
      </w:r>
      <w:r>
        <w:rPr>
          <w:szCs w:val="24"/>
        </w:rPr>
        <w:t xml:space="preserve">beginning with the 2022 data collection (Attachment A). </w:t>
      </w:r>
      <w:r w:rsidR="0081539E">
        <w:rPr>
          <w:szCs w:val="24"/>
        </w:rPr>
        <w:t>All modifications and updates from the current questionnaire are highlighted yellow in the attached questionnaire</w:t>
      </w:r>
      <w:r w:rsidR="00985903">
        <w:rPr>
          <w:szCs w:val="24"/>
        </w:rPr>
        <w:t xml:space="preserve">. </w:t>
      </w:r>
      <w:r w:rsidR="000C23F3">
        <w:rPr>
          <w:szCs w:val="24"/>
        </w:rPr>
        <w:t>ERS plans to publish a technical bulletin on the 2020 test data that describes the test, the minor modifications to survey items, and the results</w:t>
      </w:r>
      <w:r w:rsidR="00985903">
        <w:rPr>
          <w:szCs w:val="24"/>
        </w:rPr>
        <w:t>. This technical bulletin will inform</w:t>
      </w:r>
      <w:r w:rsidR="000C23F3">
        <w:rPr>
          <w:szCs w:val="24"/>
        </w:rPr>
        <w:t xml:space="preserve"> stakeholders </w:t>
      </w:r>
      <w:r w:rsidR="00985903">
        <w:rPr>
          <w:szCs w:val="24"/>
        </w:rPr>
        <w:t>about forthcoming modifications to the 2022 survey instrument, and how th</w:t>
      </w:r>
      <w:r w:rsidR="00493ACF">
        <w:rPr>
          <w:szCs w:val="24"/>
        </w:rPr>
        <w:t>e</w:t>
      </w:r>
      <w:r w:rsidR="00985903">
        <w:rPr>
          <w:szCs w:val="24"/>
        </w:rPr>
        <w:t xml:space="preserve">se modifications may affect estimates from the survey, based on the results of the 2020 split panel test. This split panel test is the most recent example of research ERS has conducted to refine food security measurement. </w:t>
      </w:r>
      <w:r w:rsidR="00D22B17">
        <w:t xml:space="preserve">A </w:t>
      </w:r>
      <w:r w:rsidR="00985903">
        <w:t xml:space="preserve">complete </w:t>
      </w:r>
      <w:r w:rsidR="00D22B17">
        <w:t xml:space="preserve">listing of </w:t>
      </w:r>
      <w:r w:rsidR="00985903">
        <w:t>previous</w:t>
      </w:r>
      <w:r w:rsidR="00D22B17">
        <w:t xml:space="preserve"> technical </w:t>
      </w:r>
      <w:r w:rsidR="00D22B17">
        <w:lastRenderedPageBreak/>
        <w:t>reports and food security measurement research is available on the ERS website (</w:t>
      </w:r>
      <w:hyperlink w:history="1" r:id="rId11">
        <w:r w:rsidRPr="00A90D7A" w:rsidR="00985903">
          <w:rPr>
            <w:rStyle w:val="Hyperlink"/>
          </w:rPr>
          <w:t>https://www.ers.usda.gov/topics/food-nutrition-assistance/food-security-in-the-us/survey-tools/#technical</w:t>
        </w:r>
      </w:hyperlink>
      <w:r w:rsidR="00D22B17">
        <w:t xml:space="preserve">).  </w:t>
      </w:r>
      <w:r w:rsidR="00117D75">
        <w:t xml:space="preserve"> </w:t>
      </w:r>
    </w:p>
    <w:p w:rsidR="00117D75" w:rsidRDefault="00117D75" w14:paraId="0911D7E0" w14:textId="77777777">
      <w:pPr>
        <w:widowControl/>
        <w:ind w:left="720"/>
      </w:pPr>
    </w:p>
    <w:p w:rsidRPr="00E208CA" w:rsidR="00B146D8" w:rsidP="00A61A97" w:rsidRDefault="00117D75" w14:paraId="0C93566A" w14:textId="77777777">
      <w:pPr>
        <w:widowControl/>
        <w:ind w:left="720"/>
        <w:rPr>
          <w:i/>
        </w:rPr>
      </w:pPr>
      <w:r>
        <w:t xml:space="preserve">A </w:t>
      </w:r>
      <w:r w:rsidR="00B146D8">
        <w:t xml:space="preserve">full Spanish-language version of the Food Security Supplement was </w:t>
      </w:r>
      <w:r>
        <w:t xml:space="preserve">first </w:t>
      </w:r>
      <w:r w:rsidR="00B146D8">
        <w:t xml:space="preserve">included in the December 2014 Food Security Supplement upon receiving OMB’s approval. Census </w:t>
      </w:r>
      <w:r w:rsidR="005A0A2E">
        <w:t xml:space="preserve">will </w:t>
      </w:r>
      <w:r w:rsidR="00B146D8">
        <w:t>continue to include the ERS translation of the Food Security Supplement in the computerized survey instrument</w:t>
      </w:r>
      <w:r w:rsidR="005A0A2E">
        <w:t>, with minor modifications to update terminology</w:t>
      </w:r>
      <w:r w:rsidR="00B146D8">
        <w:t>.</w:t>
      </w:r>
      <w:r w:rsidR="002731BE">
        <w:t xml:space="preserve"> </w:t>
      </w:r>
      <w:r w:rsidR="00985903">
        <w:t xml:space="preserve">ERS is contracting with Census to update the Spanish-language translation for the </w:t>
      </w:r>
      <w:r w:rsidR="0008040A">
        <w:t xml:space="preserve">draft </w:t>
      </w:r>
      <w:r w:rsidR="00985903">
        <w:t xml:space="preserve">2022 survey </w:t>
      </w:r>
      <w:r w:rsidR="0008040A">
        <w:t>instrument</w:t>
      </w:r>
      <w:r w:rsidR="00985903">
        <w:t xml:space="preserve">. </w:t>
      </w:r>
      <w:r w:rsidR="0008040A">
        <w:t xml:space="preserve">The updated Spanish-language version of the instrument will be submitted to OMB for review when it is finalized. </w:t>
      </w:r>
      <w:r w:rsidR="0045188C">
        <w:t xml:space="preserve">Data collection with the revised </w:t>
      </w:r>
      <w:r w:rsidR="0008040A">
        <w:t>Spanish</w:t>
      </w:r>
      <w:r w:rsidR="0045188C">
        <w:t xml:space="preserve">-language instrument </w:t>
      </w:r>
      <w:r w:rsidR="0008040A">
        <w:t>will not begin until this instrument receives its OMB clearance. </w:t>
      </w:r>
      <w:r w:rsidR="002731BE">
        <w:t xml:space="preserve">ERS researchers assessed the effect of interview language on Hispanics versus non-Hispanics and found no differences in the statistical properties of the food security measure. These findings were published in a 2017 article in the </w:t>
      </w:r>
      <w:r w:rsidR="002731BE">
        <w:rPr>
          <w:i/>
        </w:rPr>
        <w:t>Journal of Economic and Social Measurement</w:t>
      </w:r>
      <w:r w:rsidR="00AF139A">
        <w:rPr>
          <w:i/>
        </w:rPr>
        <w:t xml:space="preserve"> </w:t>
      </w:r>
      <w:r w:rsidR="00AF139A">
        <w:t xml:space="preserve">(Volume 42, Issue 2, </w:t>
      </w:r>
      <w:hyperlink w:history="1" r:id="rId12">
        <w:r w:rsidRPr="0008040A" w:rsidR="0008040A">
          <w:rPr>
            <w:rStyle w:val="Hyperlink"/>
          </w:rPr>
          <w:t>https://content.iospress.com/articles/journal-of-economic-and-social-measurement/jem443?resultNumber=1&amp;totalResults=91&amp;</w:t>
        </w:r>
        <w:r w:rsidRPr="00FE2346" w:rsidR="0008040A">
          <w:rPr>
            <w:rStyle w:val="Hyperlink"/>
          </w:rPr>
          <w:t>start=0&amp;q=Rabbitt&amp;resultsPageSize=10&amp;rows=10</w:t>
        </w:r>
      </w:hyperlink>
      <w:r w:rsidR="00AF139A">
        <w:t>)</w:t>
      </w:r>
      <w:r w:rsidR="002731BE">
        <w:rPr>
          <w:i/>
        </w:rPr>
        <w:t>.</w:t>
      </w:r>
      <w:r w:rsidR="00AF139A">
        <w:rPr>
          <w:i/>
        </w:rPr>
        <w:t xml:space="preserve"> </w:t>
      </w:r>
      <w:r w:rsidR="002731BE">
        <w:rPr>
          <w:i/>
        </w:rPr>
        <w:t xml:space="preserve"> </w:t>
      </w:r>
    </w:p>
    <w:p w:rsidR="00B146D8" w:rsidP="00A61A97" w:rsidRDefault="00B146D8" w14:paraId="0B66D02A" w14:textId="77777777">
      <w:pPr>
        <w:widowControl/>
        <w:ind w:left="720"/>
      </w:pPr>
    </w:p>
    <w:p w:rsidR="00B42C6D" w:rsidP="00493ACF" w:rsidRDefault="00B42C6D" w14:paraId="024CA2D2" w14:textId="77777777">
      <w:pPr>
        <w:widowControl/>
        <w:ind w:left="720"/>
      </w:pPr>
      <w:r>
        <w:t xml:space="preserve">USDA has analyzed the CPS Food Security Supplement data to provide statistical reports monitoring the extent and severity of food insecurity in the Nation’s households annually </w:t>
      </w:r>
      <w:r w:rsidRPr="000F6009">
        <w:t xml:space="preserve">since 1995. The most recent </w:t>
      </w:r>
      <w:r>
        <w:t xml:space="preserve">ERS </w:t>
      </w:r>
      <w:r w:rsidRPr="000F6009">
        <w:t xml:space="preserve">report, </w:t>
      </w:r>
      <w:r>
        <w:rPr>
          <w:i/>
        </w:rPr>
        <w:t>Household Food Security in the United States in 20</w:t>
      </w:r>
      <w:r w:rsidR="005A0A2E">
        <w:rPr>
          <w:i/>
        </w:rPr>
        <w:t>20</w:t>
      </w:r>
      <w:r w:rsidR="00AF139A">
        <w:rPr>
          <w:i/>
        </w:rPr>
        <w:t xml:space="preserve"> </w:t>
      </w:r>
      <w:r w:rsidR="00AF139A">
        <w:t>(</w:t>
      </w:r>
      <w:hyperlink w:history="1" r:id="rId13">
        <w:r w:rsidRPr="00BE0AB9" w:rsidR="000C23F3">
          <w:rPr>
            <w:rStyle w:val="Hyperlink"/>
          </w:rPr>
          <w:t>https://www.ers.usda.gov/publications/pub-details/?pubid=102075</w:t>
        </w:r>
      </w:hyperlink>
      <w:r w:rsidR="00AF139A">
        <w:t>)</w:t>
      </w:r>
      <w:r>
        <w:rPr>
          <w:i/>
        </w:rPr>
        <w:t xml:space="preserve">, </w:t>
      </w:r>
      <w:r w:rsidRPr="000F6009">
        <w:t>based on the December 20</w:t>
      </w:r>
      <w:r w:rsidR="005A0A2E">
        <w:t>20</w:t>
      </w:r>
      <w:r w:rsidRPr="000F6009">
        <w:t xml:space="preserve"> survey, indicated that </w:t>
      </w:r>
      <w:r w:rsidR="005A0A2E">
        <w:t>89.5</w:t>
      </w:r>
      <w:r w:rsidRPr="000F6009">
        <w:t xml:space="preserve"> percent of U.S. households were food secure throughout the entire year prior to the survey, while 1</w:t>
      </w:r>
      <w:r w:rsidR="00D22B17">
        <w:t>0.5</w:t>
      </w:r>
      <w:r w:rsidRPr="000F6009">
        <w:t xml:space="preserve"> percent were</w:t>
      </w:r>
      <w:r w:rsidR="00493ACF">
        <w:t xml:space="preserve"> food</w:t>
      </w:r>
      <w:r w:rsidRPr="000F6009">
        <w:t xml:space="preserve"> insecure at least some time during the year, including </w:t>
      </w:r>
      <w:r w:rsidR="00D22B17">
        <w:t>3.9</w:t>
      </w:r>
      <w:r w:rsidRPr="000F6009">
        <w:t xml:space="preserve"> percent with very low food security.</w:t>
      </w:r>
      <w:r w:rsidR="00493ACF">
        <w:t xml:space="preserve"> </w:t>
      </w:r>
      <w:r>
        <w:t>Among households with children, 1</w:t>
      </w:r>
      <w:r w:rsidR="00D22B17">
        <w:t>4.8</w:t>
      </w:r>
      <w:r>
        <w:t xml:space="preserve"> percent were food insecure, including 7.</w:t>
      </w:r>
      <w:r w:rsidR="00D22B17">
        <w:t>6</w:t>
      </w:r>
      <w:r>
        <w:t xml:space="preserve"> percent in which children, along with adults, were food insecure, and 0.</w:t>
      </w:r>
      <w:r w:rsidR="00D22B17">
        <w:t>8</w:t>
      </w:r>
      <w:r>
        <w:t xml:space="preserve"> percent in which children experienced very low food security.</w:t>
      </w:r>
      <w:r w:rsidRPr="00296BE6">
        <w:t xml:space="preserve"> </w:t>
      </w:r>
      <w:r>
        <w:t xml:space="preserve">The reports provide food security statistics at the national level, for critical subpopulations, and for geographical regions and States as well as statistics on food spending and use of Federal </w:t>
      </w:r>
      <w:r w:rsidR="00A5194B">
        <w:t>nutrition</w:t>
      </w:r>
      <w:r>
        <w:t xml:space="preserve"> assistance programs by food-insecure households.</w:t>
      </w:r>
      <w:r w:rsidR="00264931">
        <w:t xml:space="preserve"> </w:t>
      </w:r>
      <w:r w:rsidR="001E5E83">
        <w:t xml:space="preserve">ERS also publishes supplementary statistics in the </w:t>
      </w:r>
      <w:r w:rsidR="001E5E83">
        <w:rPr>
          <w:i/>
          <w:iCs/>
        </w:rPr>
        <w:t>Statistical Supplement to Household Food Insecurity in the United States</w:t>
      </w:r>
      <w:r w:rsidR="00F0367D">
        <w:rPr>
          <w:i/>
          <w:iCs/>
        </w:rPr>
        <w:t xml:space="preserve"> </w:t>
      </w:r>
      <w:r w:rsidR="00F0367D">
        <w:t>(</w:t>
      </w:r>
      <w:r w:rsidRPr="001E5E83" w:rsidR="00F0367D">
        <w:t>https://www.ers.usda.gov/publications/pub-details/?pubid=102071</w:t>
      </w:r>
      <w:r w:rsidR="00F0367D">
        <w:t>)</w:t>
      </w:r>
      <w:r w:rsidR="001E5E83">
        <w:t xml:space="preserve">. This publication contains critical additional information on topics including food security during the 30 days before the survey, frequency of food-insecure conditions, and use of food pantries and emergency kitchens. </w:t>
      </w:r>
      <w:r w:rsidR="00264931">
        <w:t xml:space="preserve">In addition to the annual household food security research reports, ERS also publishes charts and graphics on the ERS website that display the findings in formats that can be </w:t>
      </w:r>
      <w:r w:rsidR="00985903">
        <w:t xml:space="preserve">easily </w:t>
      </w:r>
      <w:r w:rsidR="00264931">
        <w:t xml:space="preserve">downloaded (see: </w:t>
      </w:r>
      <w:hyperlink w:history="1" r:id="rId14">
        <w:r w:rsidRPr="009B3CF9" w:rsidR="00264931">
          <w:rPr>
            <w:rStyle w:val="Hyperlink"/>
          </w:rPr>
          <w:t>https://www.ers.usda.gov/topics/food-nutrition-assistance/food-security-in-the-us/key-statistics-graphics/</w:t>
        </w:r>
      </w:hyperlink>
      <w:r w:rsidR="00264931">
        <w:t xml:space="preserve"> and </w:t>
      </w:r>
      <w:hyperlink w:history="1" r:id="rId15">
        <w:r w:rsidRPr="009B3CF9" w:rsidR="00264931">
          <w:rPr>
            <w:rStyle w:val="Hyperlink"/>
          </w:rPr>
          <w:t>https://www.ers.usda.gov/topics/food-nutrition-assistance/food-security-in-the-us/interactive-charts-and-highlights/</w:t>
        </w:r>
      </w:hyperlink>
      <w:r w:rsidR="00264931">
        <w:t xml:space="preserve">). </w:t>
      </w:r>
    </w:p>
    <w:p w:rsidR="007B29A7" w:rsidRDefault="007B29A7" w14:paraId="510EF14F" w14:textId="77777777">
      <w:pPr>
        <w:widowControl/>
        <w:ind w:left="720"/>
      </w:pPr>
    </w:p>
    <w:p w:rsidR="00F774CC" w:rsidP="00D22B17" w:rsidRDefault="00F774CC" w14:paraId="454C452F" w14:textId="77777777">
      <w:pPr>
        <w:widowControl/>
        <w:ind w:left="720"/>
      </w:pPr>
      <w:r>
        <w:lastRenderedPageBreak/>
        <w:t>Food security statistics based on these data are used by USDA to assess progress toward strategic plan objectives. For example,</w:t>
      </w:r>
      <w:r w:rsidR="00B85EC0">
        <w:t xml:space="preserve"> one of the </w:t>
      </w:r>
      <w:r w:rsidR="00D22B17">
        <w:t>“Key Performance Measures”</w:t>
      </w:r>
      <w:r w:rsidR="00B85EC0">
        <w:t xml:space="preserve"> for strategic goal </w:t>
      </w:r>
      <w:r w:rsidR="00B42C6D">
        <w:t>7</w:t>
      </w:r>
      <w:r w:rsidR="00B85EC0">
        <w:t xml:space="preserve"> (“</w:t>
      </w:r>
      <w:r w:rsidR="00B42C6D">
        <w:t>Provide all Americans access to a safe, nutritious, and secure food supply</w:t>
      </w:r>
      <w:r w:rsidR="00B85EC0">
        <w:t>”) in USDA’s 20</w:t>
      </w:r>
      <w:r w:rsidR="00073B34">
        <w:t>18-2022</w:t>
      </w:r>
      <w:r w:rsidR="00B85EC0">
        <w:t xml:space="preserve"> strategic plan is </w:t>
      </w:r>
      <w:r w:rsidR="00D22B17">
        <w:t xml:space="preserve">the </w:t>
      </w:r>
      <w:r w:rsidR="00073B34">
        <w:t>“</w:t>
      </w:r>
      <w:r w:rsidR="00D22B17">
        <w:t xml:space="preserve">Percentage of American households with consistent, dependable access to food,” </w:t>
      </w:r>
      <w:r w:rsidR="00073B34">
        <w:t>i.e. annual food security statistics</w:t>
      </w:r>
      <w:r w:rsidR="00D22B17">
        <w:t xml:space="preserve"> (See page 60 in, </w:t>
      </w:r>
      <w:hyperlink w:history="1" r:id="rId16">
        <w:r w:rsidRPr="00BE0AB9" w:rsidR="000C23F3">
          <w:rPr>
            <w:rStyle w:val="Hyperlink"/>
          </w:rPr>
          <w:t>https://www.usda.gov/sites/default/files/documents/usda-strategic-plan-2018-2022.pdf</w:t>
        </w:r>
      </w:hyperlink>
      <w:r w:rsidR="00D22B17">
        <w:t>)</w:t>
      </w:r>
      <w:r w:rsidR="00073B34">
        <w:t xml:space="preserve">. </w:t>
      </w:r>
    </w:p>
    <w:p w:rsidR="00F774CC" w:rsidRDefault="00F774CC" w14:paraId="1A06F29E" w14:textId="77777777">
      <w:pPr>
        <w:widowControl/>
        <w:ind w:left="720"/>
      </w:pPr>
    </w:p>
    <w:p w:rsidR="00296BE6" w:rsidP="005C5D7B" w:rsidRDefault="000F6009" w14:paraId="1796695F" w14:textId="77777777">
      <w:pPr>
        <w:widowControl/>
        <w:ind w:left="720"/>
      </w:pPr>
      <w:r w:rsidRPr="000F6009">
        <w:t xml:space="preserve">Food security statistics derived from the CPS Food Security Supplements are also </w:t>
      </w:r>
      <w:r w:rsidR="004E19DB">
        <w:t xml:space="preserve">the basis of two national objectives in the Department of Health and Human Services’ </w:t>
      </w:r>
      <w:r w:rsidR="00073B34">
        <w:t xml:space="preserve">current </w:t>
      </w:r>
      <w:r w:rsidRPr="000F6009">
        <w:t>Healthy People 20</w:t>
      </w:r>
      <w:r w:rsidR="00D22B17">
        <w:t>3</w:t>
      </w:r>
      <w:r w:rsidRPr="000F6009">
        <w:t>0</w:t>
      </w:r>
      <w:r w:rsidR="004E19DB">
        <w:t xml:space="preserve"> Initiative</w:t>
      </w:r>
      <w:r w:rsidR="00B668EF">
        <w:t xml:space="preserve"> (</w:t>
      </w:r>
      <w:hyperlink w:history="1" r:id="rId17">
        <w:r w:rsidRPr="00A90D7A" w:rsidR="00D9457D">
          <w:rPr>
            <w:rStyle w:val="Hyperlink"/>
          </w:rPr>
          <w:t>https://health.gov/healthypeople/objectives-and-data/browse-objectives/nutrition-and-healthy-eating</w:t>
        </w:r>
      </w:hyperlink>
      <w:r w:rsidR="00B668EF">
        <w:t>).</w:t>
      </w:r>
      <w:r w:rsidR="004D6AC6">
        <w:t xml:space="preserve"> </w:t>
      </w:r>
      <w:r w:rsidR="00D22B17">
        <w:t xml:space="preserve">Household food insecurity has also been identified as </w:t>
      </w:r>
      <w:r w:rsidR="006F2454">
        <w:t xml:space="preserve">a </w:t>
      </w:r>
      <w:r w:rsidR="00D22B17">
        <w:t>“Leading Health Indicator”</w:t>
      </w:r>
      <w:r w:rsidR="006F2454">
        <w:t xml:space="preserve"> and as a social determinant of health</w:t>
      </w:r>
      <w:r w:rsidR="00D22B17">
        <w:t xml:space="preserve"> for H</w:t>
      </w:r>
      <w:r w:rsidR="006F2454">
        <w:t>ealthy People 2030. As stated on the Healthy People website: “</w:t>
      </w:r>
      <w:r w:rsidRPr="006F2454" w:rsidR="006F2454">
        <w:t>Leading Health Indicators (LHIs) are a small subset of high-priority Healthy People 2030 objectives selected to drive action toward improving health and well-being.</w:t>
      </w:r>
      <w:r w:rsidR="006F2454">
        <w:t>”</w:t>
      </w:r>
      <w:r w:rsidRPr="006F2454" w:rsidR="006F2454">
        <w:t xml:space="preserve"> </w:t>
      </w:r>
      <w:r w:rsidR="006F2454">
        <w:t xml:space="preserve">Continued data collections with </w:t>
      </w:r>
      <w:r w:rsidR="00D9457D">
        <w:t>th</w:t>
      </w:r>
      <w:r w:rsidR="006F2454">
        <w:t xml:space="preserve">e CPS Food Security Supplements are necessary to monitor progress toward the Healthy People objectives for food security. </w:t>
      </w:r>
      <w:r w:rsidR="004E19DB">
        <w:t xml:space="preserve">Food security statistics </w:t>
      </w:r>
      <w:r w:rsidR="00CC454F">
        <w:t>are</w:t>
      </w:r>
      <w:r w:rsidR="004E19DB">
        <w:t xml:space="preserve"> </w:t>
      </w:r>
      <w:r w:rsidR="006F2454">
        <w:t xml:space="preserve">also </w:t>
      </w:r>
      <w:r w:rsidR="004E19DB">
        <w:t xml:space="preserve">reported annually in </w:t>
      </w:r>
      <w:r w:rsidRPr="004E19DB">
        <w:rPr>
          <w:i/>
        </w:rPr>
        <w:t>America’s Children: Key National Indicators of Well-Bein</w:t>
      </w:r>
      <w:r w:rsidR="004E19DB">
        <w:rPr>
          <w:i/>
        </w:rPr>
        <w:t xml:space="preserve">g, </w:t>
      </w:r>
      <w:r w:rsidR="004E19DB">
        <w:t xml:space="preserve">a report by the Federal </w:t>
      </w:r>
      <w:r w:rsidRPr="000F6009">
        <w:t>Interagency Forum on Child and Family Statistics</w:t>
      </w:r>
      <w:r w:rsidR="00AF139A">
        <w:t xml:space="preserve"> (</w:t>
      </w:r>
      <w:hyperlink w:history="1" r:id="rId18">
        <w:r w:rsidRPr="00BE0AB9" w:rsidR="000C23F3">
          <w:rPr>
            <w:rStyle w:val="Hyperlink"/>
          </w:rPr>
          <w:t>https://www.childstats.gov/americaschildren/eco4.asp</w:t>
        </w:r>
      </w:hyperlink>
      <w:r w:rsidR="00AF139A">
        <w:t>)</w:t>
      </w:r>
      <w:r w:rsidRPr="000F6009">
        <w:t>.</w:t>
      </w:r>
      <w:r w:rsidR="00AF139A">
        <w:t xml:space="preserve"> </w:t>
      </w:r>
      <w:r w:rsidR="00B64DEA">
        <w:t xml:space="preserve">This annual report highlights the percent of children living in food-insecure households. </w:t>
      </w:r>
    </w:p>
    <w:p w:rsidR="00296BE6" w:rsidRDefault="00296BE6" w14:paraId="0055306A" w14:textId="77777777">
      <w:pPr>
        <w:widowControl/>
        <w:ind w:left="720"/>
      </w:pPr>
    </w:p>
    <w:p w:rsidR="00E75CC3" w:rsidRDefault="00E85CAF" w14:paraId="5F2F103F" w14:textId="77777777">
      <w:pPr>
        <w:widowControl/>
        <w:ind w:left="720"/>
      </w:pPr>
      <w:r>
        <w:t>The data have been used to study factors affecting households’ food security</w:t>
      </w:r>
      <w:r w:rsidR="002945CF">
        <w:t xml:space="preserve">. </w:t>
      </w:r>
      <w:r w:rsidR="00A90587">
        <w:t xml:space="preserve"> </w:t>
      </w:r>
      <w:r w:rsidR="00F11DD7">
        <w:t>For example,</w:t>
      </w:r>
      <w:r w:rsidR="00264931">
        <w:t xml:space="preserve"> recent research studies using CPS </w:t>
      </w:r>
      <w:r w:rsidR="00911196">
        <w:t>F</w:t>
      </w:r>
      <w:r w:rsidR="00264931">
        <w:t xml:space="preserve">ood </w:t>
      </w:r>
      <w:r w:rsidR="00911196">
        <w:t>S</w:t>
      </w:r>
      <w:r w:rsidR="00264931">
        <w:t xml:space="preserve">ecurity </w:t>
      </w:r>
      <w:r w:rsidR="00911196">
        <w:t>S</w:t>
      </w:r>
      <w:r w:rsidR="00264931">
        <w:t>upplement data have been published as ERS research reports.</w:t>
      </w:r>
      <w:r w:rsidR="0045551F">
        <w:t xml:space="preserve"> </w:t>
      </w:r>
      <w:r w:rsidR="00264931">
        <w:t>A</w:t>
      </w:r>
      <w:r w:rsidR="00C0097E">
        <w:t xml:space="preserve"> </w:t>
      </w:r>
      <w:r w:rsidR="00745E8D">
        <w:t xml:space="preserve">2021 report, </w:t>
      </w:r>
      <w:r w:rsidR="00745E8D">
        <w:rPr>
          <w:i/>
          <w:iCs/>
        </w:rPr>
        <w:t xml:space="preserve">Food Insecurity Among Working-Age Veterans </w:t>
      </w:r>
      <w:r w:rsidR="00745E8D">
        <w:t>(</w:t>
      </w:r>
      <w:hyperlink w:history="1" r:id="rId19">
        <w:r w:rsidRPr="009B3CF9" w:rsidR="00745E8D">
          <w:rPr>
            <w:rStyle w:val="Hyperlink"/>
          </w:rPr>
          <w:t>https://www.ers.usda.gov/publications/pub-details/?pubid=101268</w:t>
        </w:r>
      </w:hyperlink>
      <w:r w:rsidR="00745E8D">
        <w:t xml:space="preserve">), used </w:t>
      </w:r>
      <w:r w:rsidR="00911196">
        <w:t>F</w:t>
      </w:r>
      <w:r w:rsidR="00745E8D">
        <w:t xml:space="preserve">ood </w:t>
      </w:r>
      <w:r w:rsidR="00911196">
        <w:t>S</w:t>
      </w:r>
      <w:r w:rsidR="00745E8D">
        <w:t xml:space="preserve">ecurity </w:t>
      </w:r>
      <w:r w:rsidR="00911196">
        <w:t>S</w:t>
      </w:r>
      <w:r w:rsidR="00745E8D">
        <w:t xml:space="preserve">upplement data from 2015-19 </w:t>
      </w:r>
      <w:r w:rsidR="00C0097E">
        <w:t>to document the extent and severity of food insecurity among working-age veterans.</w:t>
      </w:r>
      <w:r w:rsidR="00745E8D">
        <w:t xml:space="preserve"> </w:t>
      </w:r>
      <w:r w:rsidR="00264931">
        <w:t xml:space="preserve">A 2017 report, </w:t>
      </w:r>
      <w:r w:rsidR="00264931">
        <w:rPr>
          <w:i/>
          <w:iCs/>
        </w:rPr>
        <w:t xml:space="preserve">Children’s Food Security and USDA Child Nutrition </w:t>
      </w:r>
      <w:r w:rsidRPr="00264931" w:rsidR="00264931">
        <w:rPr>
          <w:i/>
          <w:iCs/>
        </w:rPr>
        <w:t>Programs</w:t>
      </w:r>
      <w:r w:rsidR="00264931">
        <w:rPr>
          <w:i/>
          <w:iCs/>
        </w:rPr>
        <w:t xml:space="preserve"> </w:t>
      </w:r>
      <w:r w:rsidR="00264931">
        <w:t>(</w:t>
      </w:r>
      <w:hyperlink w:history="1" r:id="rId20">
        <w:r w:rsidRPr="009B3CF9" w:rsidR="00264931">
          <w:rPr>
            <w:rStyle w:val="Hyperlink"/>
          </w:rPr>
          <w:t>https://www.ers.usda.gov/publications/pub-details/?pubid=84002</w:t>
        </w:r>
      </w:hyperlink>
      <w:r w:rsidR="00264931">
        <w:t xml:space="preserve">), used 2014-15 data to examine the prevalence of food insecurity among children, including by participation in Federal nutrition assistance programs. </w:t>
      </w:r>
      <w:r w:rsidRPr="00264931" w:rsidR="00264931">
        <w:t>A</w:t>
      </w:r>
      <w:r w:rsidR="00F11DD7">
        <w:t xml:space="preserve"> 201</w:t>
      </w:r>
      <w:r w:rsidR="00073B34">
        <w:t>7</w:t>
      </w:r>
      <w:r w:rsidR="00F11DD7">
        <w:t xml:space="preserve"> ERS research report, </w:t>
      </w:r>
      <w:r w:rsidR="0003587F">
        <w:rPr>
          <w:i/>
        </w:rPr>
        <w:t>The Effects of Energy Price Shocks on Household Food Security in Low-Income Households</w:t>
      </w:r>
      <w:r w:rsidR="00AF139A">
        <w:rPr>
          <w:i/>
        </w:rPr>
        <w:t xml:space="preserve"> </w:t>
      </w:r>
      <w:r w:rsidR="00AF139A">
        <w:t>(</w:t>
      </w:r>
      <w:hyperlink w:history="1" r:id="rId21">
        <w:r w:rsidRPr="00283AB3" w:rsidR="00AF139A">
          <w:rPr>
            <w:rStyle w:val="Hyperlink"/>
          </w:rPr>
          <w:t>https://www.ers.usda.gov/publications/pub-details/?pubid=84240</w:t>
        </w:r>
      </w:hyperlink>
      <w:r w:rsidR="00AF139A">
        <w:t>)</w:t>
      </w:r>
      <w:r w:rsidR="00F11DD7">
        <w:rPr>
          <w:i/>
        </w:rPr>
        <w:t xml:space="preserve">, </w:t>
      </w:r>
      <w:r w:rsidR="00F11DD7">
        <w:t xml:space="preserve">used Food Security Supplement data </w:t>
      </w:r>
      <w:r w:rsidR="0003587F">
        <w:t xml:space="preserve">from 2001-2014 </w:t>
      </w:r>
      <w:r w:rsidR="00F11DD7">
        <w:t xml:space="preserve">to identify </w:t>
      </w:r>
      <w:r w:rsidR="0003587F">
        <w:t>how changes in energy prices affect</w:t>
      </w:r>
      <w:r w:rsidR="00F11DD7">
        <w:t xml:space="preserve"> food insecurity.</w:t>
      </w:r>
      <w:r w:rsidR="00A90587">
        <w:t xml:space="preserve"> </w:t>
      </w:r>
      <w:r w:rsidR="0003587F">
        <w:t xml:space="preserve">A 2016 ERS report, </w:t>
      </w:r>
      <w:r w:rsidR="0003587F">
        <w:rPr>
          <w:i/>
        </w:rPr>
        <w:t>Food Security Among Hispanic Adults in the United States, 2011-2014</w:t>
      </w:r>
      <w:r w:rsidR="00AF139A">
        <w:rPr>
          <w:i/>
        </w:rPr>
        <w:t xml:space="preserve"> </w:t>
      </w:r>
      <w:r w:rsidR="00AF139A">
        <w:t>(</w:t>
      </w:r>
      <w:hyperlink w:history="1" r:id="rId22">
        <w:r w:rsidRPr="00283AB3" w:rsidR="00AF139A">
          <w:rPr>
            <w:rStyle w:val="Hyperlink"/>
          </w:rPr>
          <w:t>https://www.ers.usda.gov/publications/pub-details/?pubid=44083</w:t>
        </w:r>
      </w:hyperlink>
      <w:r w:rsidR="00AF139A">
        <w:t>)</w:t>
      </w:r>
      <w:r w:rsidR="0003587F">
        <w:rPr>
          <w:i/>
        </w:rPr>
        <w:t xml:space="preserve">, </w:t>
      </w:r>
      <w:r w:rsidR="0003587F">
        <w:t xml:space="preserve">examined the U.S. Hispanic population in more detail than is possible in the annual food security report because four years of data were combined. </w:t>
      </w:r>
      <w:r w:rsidR="00F11DD7">
        <w:t>T</w:t>
      </w:r>
      <w:r w:rsidR="00A90587">
        <w:t xml:space="preserve">he </w:t>
      </w:r>
      <w:r w:rsidR="00F11DD7">
        <w:t xml:space="preserve">data have also been used to examine </w:t>
      </w:r>
      <w:r w:rsidR="00A90587">
        <w:t>relationships of food security with food programs and food spending.</w:t>
      </w:r>
      <w:r w:rsidR="004E19DB">
        <w:t xml:space="preserve"> For example, an ERS research report</w:t>
      </w:r>
      <w:r w:rsidR="00CC454F">
        <w:t xml:space="preserve">, </w:t>
      </w:r>
      <w:r w:rsidR="00F81DC7">
        <w:rPr>
          <w:i/>
        </w:rPr>
        <w:t>Effects of the Decline in the Real Value of SNAP Benefits From 2009 to 2011</w:t>
      </w:r>
      <w:r w:rsidR="002F5BB8">
        <w:rPr>
          <w:i/>
        </w:rPr>
        <w:t xml:space="preserve"> </w:t>
      </w:r>
      <w:r w:rsidR="002F5BB8">
        <w:t>(</w:t>
      </w:r>
      <w:hyperlink w:history="1" r:id="rId23">
        <w:r w:rsidRPr="00283AB3" w:rsidR="002F5BB8">
          <w:rPr>
            <w:rStyle w:val="Hyperlink"/>
          </w:rPr>
          <w:t>https://www.ers.usda.gov/publications/pub-details/?pubid=45102</w:t>
        </w:r>
      </w:hyperlink>
      <w:r w:rsidR="002F5BB8">
        <w:t>)</w:t>
      </w:r>
      <w:r w:rsidRPr="00CC454F" w:rsidR="00CC454F">
        <w:rPr>
          <w:i/>
        </w:rPr>
        <w:t>,</w:t>
      </w:r>
      <w:r w:rsidR="004E19DB">
        <w:t xml:space="preserve"> published in </w:t>
      </w:r>
      <w:r w:rsidR="00CC454F">
        <w:t>201</w:t>
      </w:r>
      <w:r w:rsidR="00F81DC7">
        <w:t>3</w:t>
      </w:r>
      <w:r w:rsidR="00CC454F">
        <w:t xml:space="preserve"> used the data to assess effects </w:t>
      </w:r>
      <w:r w:rsidR="00D9457D">
        <w:t xml:space="preserve">of </w:t>
      </w:r>
      <w:r w:rsidR="00F81DC7">
        <w:t xml:space="preserve">the reduction in the real value of </w:t>
      </w:r>
      <w:r w:rsidR="00F81DC7">
        <w:lastRenderedPageBreak/>
        <w:t xml:space="preserve">SNAP benefits due to inflation in food prices </w:t>
      </w:r>
      <w:r w:rsidR="00CC454F">
        <w:t>on food spending and</w:t>
      </w:r>
      <w:r w:rsidR="00911196">
        <w:t xml:space="preserve"> the</w:t>
      </w:r>
      <w:r w:rsidR="00CC454F">
        <w:t xml:space="preserve"> food security of low-income households.</w:t>
      </w:r>
    </w:p>
    <w:p w:rsidR="002A11D1" w:rsidP="00981C94" w:rsidRDefault="002A11D1" w14:paraId="2B8F3481" w14:textId="77777777">
      <w:pPr>
        <w:widowControl/>
        <w:ind w:left="720"/>
      </w:pPr>
    </w:p>
    <w:p w:rsidR="000A6098" w:rsidP="002A11D1" w:rsidRDefault="00DD58E2" w14:paraId="2FDE0524" w14:textId="77777777">
      <w:pPr>
        <w:widowControl/>
        <w:ind w:left="720"/>
      </w:pPr>
      <w:r>
        <w:t>M</w:t>
      </w:r>
      <w:r w:rsidR="000A6098">
        <w:t xml:space="preserve">onitoring food security is also important </w:t>
      </w:r>
      <w:r>
        <w:t>for</w:t>
      </w:r>
      <w:r w:rsidR="000A6098">
        <w:t xml:space="preserve"> </w:t>
      </w:r>
      <w:r>
        <w:t xml:space="preserve">enhancing </w:t>
      </w:r>
      <w:r w:rsidR="000A6098">
        <w:t>understanding</w:t>
      </w:r>
      <w:r>
        <w:t xml:space="preserve"> of</w:t>
      </w:r>
      <w:r w:rsidR="000A6098">
        <w:t xml:space="preserve"> the general well-being of the American population. Food security, or assured access to enough food for an active, healthy life, is an important specific aspect of well-being. Food insecurity is undesirable in its own right, but also is a risk factor for more serious conditions of hunger, nutritional inadequacy, and associated health and developmental problems. As with other areas of specific need, such as inadequate access to health care or housing, food insecurity is symptomatic of compromised well-being in general. </w:t>
      </w:r>
    </w:p>
    <w:p w:rsidR="000A6098" w:rsidRDefault="000A6098" w14:paraId="73780C78" w14:textId="77777777">
      <w:pPr>
        <w:widowControl/>
        <w:ind w:left="720"/>
        <w:rPr>
          <w:b/>
        </w:rPr>
      </w:pPr>
    </w:p>
    <w:p w:rsidR="000A6098" w:rsidRDefault="000A6098" w14:paraId="5F8341FE" w14:textId="77777777">
      <w:pPr>
        <w:widowControl/>
        <w:rPr>
          <w:b/>
        </w:rPr>
      </w:pPr>
    </w:p>
    <w:p w:rsidR="000A6098" w:rsidP="00CC454F" w:rsidRDefault="00CC454F" w14:paraId="4987846A" w14:textId="77777777">
      <w:pPr>
        <w:keepNext/>
        <w:widowControl/>
        <w:ind w:left="720" w:hanging="720"/>
      </w:pPr>
      <w:r>
        <w:rPr>
          <w:b/>
        </w:rPr>
        <w:t xml:space="preserve">3. </w:t>
      </w:r>
      <w:r>
        <w:rPr>
          <w:b/>
        </w:rPr>
        <w:tab/>
      </w:r>
      <w:r w:rsidRPr="00CC454F">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00025F3E">
        <w:rPr>
          <w:b/>
        </w:rPr>
        <w:t xml:space="preserve"> </w:t>
      </w:r>
      <w:r w:rsidRPr="00CC454F">
        <w:rPr>
          <w:b/>
        </w:rPr>
        <w:t>describe any consideration of using information technology to reduce burden.</w:t>
      </w:r>
    </w:p>
    <w:p w:rsidR="003E1D2C" w:rsidRDefault="003E1D2C" w14:paraId="6EEFB9DC" w14:textId="77777777">
      <w:pPr>
        <w:keepNext/>
        <w:widowControl/>
      </w:pPr>
    </w:p>
    <w:p w:rsidR="00AC5964" w:rsidP="00AC5964" w:rsidRDefault="000A6098" w14:paraId="7DBA2793" w14:textId="77777777">
      <w:pPr>
        <w:widowControl/>
        <w:ind w:left="720"/>
      </w:pPr>
      <w:r>
        <w:t xml:space="preserve">This entire set of questions, as a supplement to the CPS, is designed to obtain the required information while keeping respondent burden to a minimum. The use of Computer Assisted Personal Interviewing (CAPI) and Computer Assisted Telephone Interviewing (CATI) is deemed the most appropriate collection method, given existing available information technology. </w:t>
      </w:r>
      <w:r w:rsidR="00AC5964">
        <w:t>The CAPI/CATI technology makes feasible the use of a multi-level screening pattern to reduce burden by skipping questions indicating more severe food insecurity if a hous</w:t>
      </w:r>
      <w:r w:rsidR="00E84496">
        <w:t>e</w:t>
      </w:r>
      <w:r w:rsidR="00AC5964">
        <w:t>hold shows no indications of food insecurity on several less severe questions.</w:t>
      </w:r>
      <w:r w:rsidR="006C028D">
        <w:t xml:space="preserve"> The computerized instrument also skips inappropriate questions such as those about children’s food security or use of child nutrition programs in households with no children.</w:t>
      </w:r>
    </w:p>
    <w:p w:rsidR="000A6098" w:rsidRDefault="000A6098" w14:paraId="698D3FF1" w14:textId="77777777">
      <w:pPr>
        <w:widowControl/>
      </w:pPr>
    </w:p>
    <w:p w:rsidR="000A6098" w:rsidRDefault="000A6098" w14:paraId="6ADADF08" w14:textId="77777777">
      <w:pPr>
        <w:widowControl/>
      </w:pPr>
    </w:p>
    <w:p w:rsidR="000A6098" w:rsidP="00110ECD" w:rsidRDefault="000A6098" w14:paraId="69AB37FB" w14:textId="77777777">
      <w:pPr>
        <w:widowControl/>
        <w:ind w:left="720" w:hanging="720"/>
      </w:pPr>
      <w:r>
        <w:rPr>
          <w:b/>
        </w:rPr>
        <w:t xml:space="preserve"> 4. </w:t>
      </w:r>
      <w:r>
        <w:rPr>
          <w:b/>
        </w:rPr>
        <w:tab/>
      </w:r>
      <w:r w:rsidRPr="00110ECD" w:rsidR="00110ECD">
        <w:rPr>
          <w:b/>
        </w:rPr>
        <w:t>Describe efforts to identify duplication. Show specifically why any similar information already available cannot be used or modified for use for the purposes described in Item 2 above.</w:t>
      </w:r>
      <w:r>
        <w:rPr>
          <w:b/>
        </w:rPr>
        <w:t xml:space="preserve">  </w:t>
      </w:r>
    </w:p>
    <w:p w:rsidR="00110ECD" w:rsidRDefault="00110ECD" w14:paraId="688F7E9C" w14:textId="77777777">
      <w:pPr>
        <w:widowControl/>
      </w:pPr>
    </w:p>
    <w:p w:rsidRPr="00EB3038" w:rsidR="000A6098" w:rsidRDefault="000A6098" w14:paraId="63F90C1F" w14:textId="77777777">
      <w:pPr>
        <w:widowControl/>
        <w:ind w:left="720"/>
      </w:pPr>
      <w:r>
        <w:t xml:space="preserve">Several items collected in this </w:t>
      </w:r>
      <w:r w:rsidR="00DD1B25">
        <w:t>s</w:t>
      </w:r>
      <w:r>
        <w:t xml:space="preserve">upplement are collected on other </w:t>
      </w:r>
      <w:r w:rsidR="00EB3038">
        <w:t>Federal</w:t>
      </w:r>
      <w:r>
        <w:t xml:space="preserve"> surveys. For example, the</w:t>
      </w:r>
      <w:r w:rsidR="003E43F0">
        <w:t xml:space="preserve"> N</w:t>
      </w:r>
      <w:r>
        <w:t>ational Health and Nutrition Examination Survey (NHANES)</w:t>
      </w:r>
      <w:r w:rsidR="00EB3038">
        <w:t>,</w:t>
      </w:r>
      <w:r>
        <w:t xml:space="preserve"> conducted by the National Center for Health Statistics</w:t>
      </w:r>
      <w:r w:rsidR="00EB3038">
        <w:t>,</w:t>
      </w:r>
      <w:r>
        <w:t xml:space="preserve"> includes the core food security items. The Census Bureau’s Survey of Income and Program Participation (</w:t>
      </w:r>
      <w:r w:rsidRPr="009B2C21">
        <w:t xml:space="preserve">SIPP) </w:t>
      </w:r>
      <w:r w:rsidR="00AF72C4">
        <w:t xml:space="preserve">has </w:t>
      </w:r>
      <w:r w:rsidRPr="009B2C21">
        <w:t>include</w:t>
      </w:r>
      <w:r w:rsidR="00AF72C4">
        <w:t>d</w:t>
      </w:r>
      <w:r w:rsidRPr="009B2C21">
        <w:t xml:space="preserve"> </w:t>
      </w:r>
      <w:r w:rsidR="00EB3038">
        <w:t xml:space="preserve">a subset of the core food security items in </w:t>
      </w:r>
      <w:r w:rsidRPr="009B2C21">
        <w:t xml:space="preserve">its occasional Topical Module on Well-Being. The </w:t>
      </w:r>
      <w:r w:rsidRPr="009B2C21" w:rsidR="003E43F0">
        <w:t xml:space="preserve">National Center for Education Statistics has included the </w:t>
      </w:r>
      <w:r w:rsidRPr="009B2C21">
        <w:t xml:space="preserve">core food security questions </w:t>
      </w:r>
      <w:r w:rsidRPr="009B2C21" w:rsidR="003E43F0">
        <w:t xml:space="preserve">in several administrations of its </w:t>
      </w:r>
      <w:r w:rsidR="00EB3038">
        <w:t xml:space="preserve">Early Childhood </w:t>
      </w:r>
      <w:r w:rsidRPr="009B2C21" w:rsidR="003E43F0">
        <w:t>Longitudinal Study</w:t>
      </w:r>
      <w:r w:rsidR="00C4379B">
        <w:t xml:space="preserve"> (ECLS)</w:t>
      </w:r>
      <w:r w:rsidRPr="009B2C21" w:rsidR="003E43F0">
        <w:t>—Kindergarten and Birth cohorts</w:t>
      </w:r>
      <w:r w:rsidRPr="009B2C21">
        <w:t xml:space="preserve">. </w:t>
      </w:r>
      <w:r w:rsidR="008B328F">
        <w:t xml:space="preserve">The National Center for Health Statistics includes the adult food security module on the National Health Interview Survey (NHIS). </w:t>
      </w:r>
      <w:r w:rsidR="00577418">
        <w:t xml:space="preserve">The American Housing Survey (AHS), sponsored by the Department of Housing and Urban </w:t>
      </w:r>
      <w:r w:rsidR="00577418">
        <w:lastRenderedPageBreak/>
        <w:t xml:space="preserve">Development, has included the adult food security module. </w:t>
      </w:r>
      <w:r w:rsidRPr="009B2C21">
        <w:t>However, these surveys are designed for specific research purposes</w:t>
      </w:r>
      <w:r w:rsidR="00EB3038">
        <w:t xml:space="preserve">, and while they are valuable for </w:t>
      </w:r>
      <w:r w:rsidRPr="00EB3038" w:rsidR="00EB3038">
        <w:t xml:space="preserve">studying </w:t>
      </w:r>
      <w:r w:rsidR="00577418">
        <w:t xml:space="preserve">determinants and </w:t>
      </w:r>
      <w:r w:rsidRPr="00EB3038" w:rsidR="00EB3038">
        <w:t>outcomes of food insecurity, they</w:t>
      </w:r>
      <w:r w:rsidRPr="00EB3038">
        <w:t xml:space="preserve"> do not provide suitable data for timely and reliable monitoring of the prevalence and severity of food insecurity in the Nation’s households and in critical subpopulations. </w:t>
      </w:r>
      <w:r w:rsidR="00C4379B">
        <w:t>NHANES has a relatively small sample and data are release</w:t>
      </w:r>
      <w:r w:rsidR="008B328F">
        <w:t>d</w:t>
      </w:r>
      <w:r w:rsidR="00C4379B">
        <w:t xml:space="preserve"> only every two years. SIPP has a larger sample but is longitudinal and has included only a partial food security module and only </w:t>
      </w:r>
      <w:r w:rsidR="00340079">
        <w:t xml:space="preserve">conducts </w:t>
      </w:r>
      <w:r w:rsidR="00C4379B">
        <w:t>ever</w:t>
      </w:r>
      <w:r w:rsidR="00555134">
        <w:t>y</w:t>
      </w:r>
      <w:r w:rsidR="00C4379B">
        <w:t xml:space="preserve"> several years. The ECLS surveys only cover households with children in selected age ranges and do not assess food security every year.</w:t>
      </w:r>
      <w:r w:rsidR="00005D06">
        <w:t xml:space="preserve"> </w:t>
      </w:r>
      <w:r w:rsidR="008B328F">
        <w:t xml:space="preserve">The NHIS </w:t>
      </w:r>
      <w:r w:rsidR="00CB302B">
        <w:t xml:space="preserve">only includes the adult food security module, does not have information on food expenditures, and State identifiers are not available in publicly released data. </w:t>
      </w:r>
      <w:r w:rsidR="00577418">
        <w:t xml:space="preserve">The AHS also only included the adult food security module. </w:t>
      </w:r>
      <w:r w:rsidR="00005D06">
        <w:t>None of th</w:t>
      </w:r>
      <w:r w:rsidR="00DD1B25">
        <w:t>e</w:t>
      </w:r>
      <w:r w:rsidR="00005D06">
        <w:t xml:space="preserve">se surveys include the full complement of </w:t>
      </w:r>
      <w:r w:rsidR="009C2A26">
        <w:t>follow-up</w:t>
      </w:r>
      <w:r w:rsidR="00005D06">
        <w:t xml:space="preserve"> questions on</w:t>
      </w:r>
      <w:r w:rsidR="00DD1B25">
        <w:t xml:space="preserve"> the</w:t>
      </w:r>
      <w:r w:rsidR="00005D06">
        <w:t xml:space="preserve"> frequency and duration of food-insecure conditions nor the food spending and full range of Federal and community food and nutrition assistance program participation that are included in the CPS Food Security Supplement, and are important factors to be examined in conjunction with food security.</w:t>
      </w:r>
    </w:p>
    <w:p w:rsidRPr="00EB3038" w:rsidR="00C12170" w:rsidP="00C12170" w:rsidRDefault="00C12170" w14:paraId="6452FF37" w14:textId="77777777">
      <w:pPr>
        <w:widowControl/>
      </w:pPr>
    </w:p>
    <w:p w:rsidR="000A6098" w:rsidP="00CF6FC0" w:rsidRDefault="00C12170" w14:paraId="5F15C7C8" w14:textId="77777777">
      <w:pPr>
        <w:widowControl/>
        <w:ind w:left="720"/>
      </w:pPr>
      <w:r w:rsidRPr="00EB3038">
        <w:t>Other measures of food program impacts are important in the Nation's nutrition monitoring system, such as measures of dietary intakes and estimates of nutritional adequacy. These measures, while essential, are inadequate for monitoring the effects of rapid economic and program changes upon the food needs of the low</w:t>
      </w:r>
      <w:r w:rsidRPr="00EB3038">
        <w:noBreakHyphen/>
        <w:t>income population. The CPS</w:t>
      </w:r>
      <w:r w:rsidRPr="00EB3038">
        <w:noBreakHyphen/>
        <w:t xml:space="preserve">based measures of food insecurity are more parsimonious in the amount of data they require and are </w:t>
      </w:r>
      <w:r w:rsidR="00555134">
        <w:t>less burdensome</w:t>
      </w:r>
      <w:r w:rsidRPr="00EB3038">
        <w:t xml:space="preserve"> to administer than dietary surveys. Consequently, the CPS-based measures lend themselves to use as national monitoring of households’ economic access to adequate food.</w:t>
      </w:r>
    </w:p>
    <w:p w:rsidR="000A6098" w:rsidRDefault="000A6098" w14:paraId="619E2596" w14:textId="77777777">
      <w:pPr>
        <w:widowControl/>
      </w:pPr>
    </w:p>
    <w:p w:rsidR="00CF6FC0" w:rsidRDefault="00CF6FC0" w14:paraId="0B14D4D8" w14:textId="77777777">
      <w:pPr>
        <w:widowControl/>
      </w:pPr>
    </w:p>
    <w:p w:rsidR="000A6098" w:rsidP="00005D06" w:rsidRDefault="000A6098" w14:paraId="393624C8" w14:textId="77777777">
      <w:pPr>
        <w:widowControl/>
        <w:ind w:left="720" w:hanging="720"/>
      </w:pPr>
      <w:r>
        <w:t xml:space="preserve"> </w:t>
      </w:r>
      <w:r>
        <w:rPr>
          <w:b/>
        </w:rPr>
        <w:t xml:space="preserve">5. </w:t>
      </w:r>
      <w:r>
        <w:rPr>
          <w:b/>
        </w:rPr>
        <w:tab/>
      </w:r>
      <w:r w:rsidRPr="00005D06" w:rsidR="00005D06">
        <w:rPr>
          <w:b/>
        </w:rPr>
        <w:t xml:space="preserve">Describe efforts </w:t>
      </w:r>
      <w:r w:rsidR="009118ED">
        <w:rPr>
          <w:b/>
        </w:rPr>
        <w:t>to minimize burden on small business.</w:t>
      </w:r>
    </w:p>
    <w:p w:rsidR="000A6098" w:rsidRDefault="000A6098" w14:paraId="6D2DDCFA" w14:textId="77777777">
      <w:pPr>
        <w:widowControl/>
      </w:pPr>
    </w:p>
    <w:p w:rsidR="000A6098" w:rsidRDefault="000A6098" w14:paraId="1383583C" w14:textId="77777777">
      <w:pPr>
        <w:widowControl/>
        <w:ind w:left="720"/>
      </w:pPr>
      <w:r>
        <w:t>The collection of food security information does not involve small businesses or other small entities.</w:t>
      </w:r>
    </w:p>
    <w:p w:rsidR="000A6098" w:rsidRDefault="000A6098" w14:paraId="30DCC18D" w14:textId="77777777">
      <w:pPr>
        <w:widowControl/>
      </w:pPr>
    </w:p>
    <w:p w:rsidR="000A6098" w:rsidRDefault="000A6098" w14:paraId="1FFA0A34" w14:textId="77777777">
      <w:pPr>
        <w:widowControl/>
        <w:rPr>
          <w:b/>
        </w:rPr>
      </w:pPr>
    </w:p>
    <w:p w:rsidR="000A6098" w:rsidP="009118ED" w:rsidRDefault="000A6098" w14:paraId="56662769" w14:textId="77777777">
      <w:pPr>
        <w:keepNext/>
        <w:widowControl/>
        <w:ind w:left="720" w:hanging="720"/>
        <w:rPr>
          <w:b/>
        </w:rPr>
      </w:pPr>
      <w:r>
        <w:rPr>
          <w:b/>
        </w:rPr>
        <w:t xml:space="preserve">6. </w:t>
      </w:r>
      <w:r>
        <w:rPr>
          <w:b/>
        </w:rPr>
        <w:tab/>
      </w:r>
      <w:r w:rsidRPr="009118ED" w:rsidR="009118ED">
        <w:rPr>
          <w:b/>
        </w:rPr>
        <w:t>Describe the consequence to Federal program or policy activities if the collection is not conducted or is conducted less frequently, as well as any technical or legal obstacles to reducing burden.</w:t>
      </w:r>
    </w:p>
    <w:p w:rsidR="009118ED" w:rsidRDefault="009118ED" w14:paraId="2802BBAA" w14:textId="77777777">
      <w:pPr>
        <w:pStyle w:val="BodyTextIndent"/>
      </w:pPr>
    </w:p>
    <w:p w:rsidR="000A6098" w:rsidRDefault="000A6098" w14:paraId="0BE63E68" w14:textId="77777777">
      <w:pPr>
        <w:pStyle w:val="BodyTextIndent"/>
      </w:pPr>
      <w:r>
        <w:t xml:space="preserve">USDA plans to collect this information annually as a supplement to the December CPS. Annual </w:t>
      </w:r>
      <w:r w:rsidR="00DD1B25">
        <w:t>monitoring</w:t>
      </w:r>
      <w:r>
        <w:t xml:space="preserve"> of these conditions will ensure that </w:t>
      </w:r>
      <w:r w:rsidR="009B2C21">
        <w:t>policy officials are aware of changes in a timely manner</w:t>
      </w:r>
      <w:r>
        <w:t xml:space="preserve"> and </w:t>
      </w:r>
      <w:r w:rsidR="009B2C21">
        <w:t xml:space="preserve">will </w:t>
      </w:r>
      <w:r>
        <w:t xml:space="preserve">help </w:t>
      </w:r>
      <w:r w:rsidR="005714AD">
        <w:t>increase understanding and</w:t>
      </w:r>
      <w:r>
        <w:t xml:space="preserve"> awareness of the effects of economic, programmatic, and other factors on the ability of households to meet their basic food needs. </w:t>
      </w:r>
      <w:r w:rsidR="009118ED">
        <w:t xml:space="preserve">Annual statistics are also needed </w:t>
      </w:r>
      <w:r w:rsidR="00124370">
        <w:t xml:space="preserve">as a “Key Performance Measure” </w:t>
      </w:r>
      <w:r w:rsidR="009118ED">
        <w:t>to track progress toward USDA strategic plan objective</w:t>
      </w:r>
      <w:r w:rsidR="00DD1B25">
        <w:t xml:space="preserve">s, evaluate the effectiveness of </w:t>
      </w:r>
      <w:r w:rsidR="00DD1B25">
        <w:lastRenderedPageBreak/>
        <w:t xml:space="preserve">USDA nutrition </w:t>
      </w:r>
      <w:r w:rsidR="002533ED">
        <w:t xml:space="preserve">assistance </w:t>
      </w:r>
      <w:r w:rsidR="00DD1B25">
        <w:t>programs, and</w:t>
      </w:r>
      <w:r w:rsidR="009118ED">
        <w:t xml:space="preserve"> are important bases for research on economic, demographic, and programmatic factors affecting food security.</w:t>
      </w:r>
    </w:p>
    <w:p w:rsidR="000A6098" w:rsidRDefault="000A6098" w14:paraId="1AF4C080" w14:textId="77777777">
      <w:pPr>
        <w:widowControl/>
      </w:pPr>
    </w:p>
    <w:p w:rsidR="000A6098" w:rsidRDefault="000A6098" w14:paraId="3A89A220" w14:textId="77777777">
      <w:pPr>
        <w:widowControl/>
      </w:pPr>
    </w:p>
    <w:p w:rsidRPr="009118ED" w:rsidR="000A6098" w:rsidP="009118ED" w:rsidRDefault="000A6098" w14:paraId="4D1D853C" w14:textId="77777777">
      <w:pPr>
        <w:widowControl/>
        <w:ind w:left="720" w:hanging="720"/>
        <w:rPr>
          <w:b/>
        </w:rPr>
      </w:pPr>
      <w:r>
        <w:rPr>
          <w:b/>
        </w:rPr>
        <w:t xml:space="preserve">7. </w:t>
      </w:r>
      <w:r>
        <w:rPr>
          <w:b/>
        </w:rPr>
        <w:tab/>
      </w:r>
      <w:r w:rsidRPr="009118ED" w:rsidR="009118ED">
        <w:rPr>
          <w:b/>
        </w:rPr>
        <w:t>Explain any special circumstances that would cause an information collect</w:t>
      </w:r>
      <w:r w:rsidR="00194FFE">
        <w:rPr>
          <w:b/>
        </w:rPr>
        <w:t>ion to be conducted in a manner inconsistent with the guidelines set forth in CFR 1320.6:</w:t>
      </w:r>
    </w:p>
    <w:p w:rsidRPr="00B2491D" w:rsidR="00582805" w:rsidP="00582805" w:rsidRDefault="0086330D" w14:paraId="008D1FF3" w14:textId="77777777">
      <w:pPr>
        <w:widowControl/>
        <w:spacing w:before="100" w:beforeAutospacing="1" w:after="100" w:afterAutospacing="1"/>
        <w:ind w:left="720"/>
        <w:rPr>
          <w:szCs w:val="24"/>
        </w:rPr>
      </w:pPr>
      <w:r w:rsidRPr="00B2491D">
        <w:rPr>
          <w:szCs w:val="24"/>
        </w:rPr>
        <w:t>There are no special circumstances.</w:t>
      </w:r>
    </w:p>
    <w:p w:rsidR="000A6098" w:rsidRDefault="000A6098" w14:paraId="410F55E4" w14:textId="77777777">
      <w:pPr>
        <w:widowControl/>
      </w:pPr>
    </w:p>
    <w:p w:rsidR="000A6098" w:rsidRDefault="000A6098" w14:paraId="045ED08B" w14:textId="77777777">
      <w:pPr>
        <w:widowControl/>
      </w:pPr>
    </w:p>
    <w:p w:rsidR="000A6098" w:rsidP="00582805" w:rsidRDefault="000A6098" w14:paraId="447312BA" w14:textId="77777777">
      <w:pPr>
        <w:widowControl/>
        <w:ind w:left="720" w:hanging="720"/>
      </w:pPr>
      <w:r>
        <w:rPr>
          <w:b/>
        </w:rPr>
        <w:t xml:space="preserve">8. </w:t>
      </w:r>
      <w:r>
        <w:rPr>
          <w:b/>
        </w:rPr>
        <w:tab/>
      </w:r>
      <w:r w:rsidRPr="00582805" w:rsidR="00582805">
        <w:rPr>
          <w:b/>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2B4089" w:rsidP="002B4089" w:rsidRDefault="002B4089" w14:paraId="0DA2462F" w14:textId="77777777">
      <w:pPr>
        <w:widowControl/>
      </w:pPr>
    </w:p>
    <w:p w:rsidR="0069551F" w:rsidP="00F84DDD" w:rsidRDefault="007772F6" w14:paraId="256B4009" w14:textId="77777777">
      <w:pPr>
        <w:pStyle w:val="BodyTextIndent"/>
      </w:pPr>
      <w:r>
        <w:t xml:space="preserve">Notice of Intent to Request Extension of a Currently Approved Information Collection was published in the Federal Register </w:t>
      </w:r>
      <w:r w:rsidRPr="00EC7BD6">
        <w:t xml:space="preserve">on </w:t>
      </w:r>
      <w:r w:rsidR="00E01C21">
        <w:t>September 10, 2021</w:t>
      </w:r>
      <w:r w:rsidRPr="00EC7BD6">
        <w:t xml:space="preserve"> (Volume </w:t>
      </w:r>
      <w:r w:rsidRPr="00EC7BD6" w:rsidR="004831A0">
        <w:t>8</w:t>
      </w:r>
      <w:r w:rsidR="00E01C21">
        <w:t>6</w:t>
      </w:r>
      <w:r w:rsidRPr="00EC7BD6">
        <w:t xml:space="preserve">, Number </w:t>
      </w:r>
      <w:r w:rsidRPr="00EC7BD6" w:rsidR="004831A0">
        <w:t>1</w:t>
      </w:r>
      <w:r w:rsidR="00E01C21">
        <w:t>73</w:t>
      </w:r>
      <w:r w:rsidRPr="00EC7BD6">
        <w:t xml:space="preserve">, Pages </w:t>
      </w:r>
      <w:r w:rsidR="00E01C21">
        <w:t>50694-50695</w:t>
      </w:r>
      <w:r w:rsidRPr="00EC7BD6">
        <w:t>).</w:t>
      </w:r>
      <w:r w:rsidR="0099484F">
        <w:t xml:space="preserve"> A cop</w:t>
      </w:r>
      <w:r w:rsidR="001F5B00">
        <w:t>y of the notice is included as A</w:t>
      </w:r>
      <w:r w:rsidR="0099484F">
        <w:t>ttachment B.</w:t>
      </w:r>
      <w:r>
        <w:t xml:space="preserve"> </w:t>
      </w:r>
      <w:r w:rsidR="00671A5F">
        <w:t>Two</w:t>
      </w:r>
      <w:r w:rsidRPr="00237FD1" w:rsidR="00671A5F">
        <w:t xml:space="preserve"> </w:t>
      </w:r>
      <w:r w:rsidRPr="00237FD1" w:rsidR="001F5B00">
        <w:t>comment</w:t>
      </w:r>
      <w:r w:rsidR="00671A5F">
        <w:t>s</w:t>
      </w:r>
      <w:r w:rsidRPr="00237FD1" w:rsidR="001F5B00">
        <w:t xml:space="preserve"> w</w:t>
      </w:r>
      <w:r w:rsidR="00671A5F">
        <w:t>ere</w:t>
      </w:r>
      <w:r w:rsidRPr="00237FD1" w:rsidR="001F5B00">
        <w:t xml:space="preserve"> received and </w:t>
      </w:r>
      <w:r w:rsidR="00671A5F">
        <w:t>are</w:t>
      </w:r>
      <w:r w:rsidRPr="00237FD1" w:rsidR="001F5B00">
        <w:t xml:space="preserve"> included as Attachment</w:t>
      </w:r>
      <w:r w:rsidR="007A148B">
        <w:t>s</w:t>
      </w:r>
      <w:r w:rsidRPr="00237FD1" w:rsidR="001F5B00">
        <w:t xml:space="preserve"> C</w:t>
      </w:r>
      <w:r w:rsidR="007A148B">
        <w:t>-1 and C-2</w:t>
      </w:r>
      <w:r w:rsidR="00671A5F">
        <w:t xml:space="preserve"> along with the ERS </w:t>
      </w:r>
      <w:r w:rsidR="002A122C">
        <w:t>replies</w:t>
      </w:r>
      <w:r w:rsidRPr="00237FD1" w:rsidR="001F5B00">
        <w:t xml:space="preserve">. </w:t>
      </w:r>
      <w:r w:rsidR="00671A5F">
        <w:t>One</w:t>
      </w:r>
      <w:r w:rsidRPr="00237FD1" w:rsidR="00671A5F">
        <w:t xml:space="preserve"> </w:t>
      </w:r>
      <w:r w:rsidR="0083669A">
        <w:t xml:space="preserve">comment requested a copy of the survey instrument and draft supporting statements. ERS shared the draft survey instrument and copies of previous supporting statements. </w:t>
      </w:r>
      <w:r w:rsidR="00671A5F">
        <w:t>The second</w:t>
      </w:r>
      <w:r w:rsidR="0083669A">
        <w:t xml:space="preserve"> comment raised questions about measuring nutrition security and asked about cultural bias in the survey. ERS responded and indicated that the food security items form a validated measure of food insecurity and there is not a validated measure of nutrition security</w:t>
      </w:r>
      <w:r w:rsidR="002A122C">
        <w:t xml:space="preserve"> currently available for</w:t>
      </w:r>
      <w:r w:rsidR="0083669A">
        <w:t xml:space="preserve"> use in the survey. </w:t>
      </w:r>
      <w:r w:rsidR="00E25204">
        <w:t>The concepts of nutrition security and economic constrained food insecurity are somewhat distinct. While there may be some overlap in the two concepts, the scientific literature on how these concepts relate is still developing. Even if there were an established methodology in the literature for nutrition security, food security must still be measured and monitored. The long time series of food security data from CPS-FSS enables annual monitoring of trends in food insecurity and research to understand determinants of food insecurity. In response to the query from the Federal Register Notice, w</w:t>
      </w:r>
      <w:r w:rsidR="0083669A">
        <w:t>e also provided some background research to address the commenters</w:t>
      </w:r>
      <w:r w:rsidR="002A122C">
        <w:t>’</w:t>
      </w:r>
      <w:r w:rsidR="0083669A">
        <w:t xml:space="preserve"> concerns regarding cultural bias.</w:t>
      </w:r>
      <w:r w:rsidR="00671A5F">
        <w:t xml:space="preserve"> </w:t>
      </w:r>
    </w:p>
    <w:p w:rsidR="00E75661" w:rsidP="00B426CD" w:rsidRDefault="00E75661" w14:paraId="1E844D46" w14:textId="77777777">
      <w:pPr>
        <w:widowControl/>
        <w:ind w:left="720"/>
      </w:pPr>
    </w:p>
    <w:p w:rsidR="0083669A" w:rsidP="005C5D7B" w:rsidRDefault="00A4443E" w14:paraId="54952C27" w14:textId="77777777">
      <w:pPr>
        <w:ind w:left="720"/>
        <w:rPr>
          <w:szCs w:val="24"/>
        </w:rPr>
      </w:pPr>
      <w:r w:rsidRPr="007233C1">
        <w:t xml:space="preserve">ERS has consulted with </w:t>
      </w:r>
      <w:r w:rsidRPr="007233C1" w:rsidR="002A122C">
        <w:t>several</w:t>
      </w:r>
      <w:r w:rsidRPr="007233C1">
        <w:t xml:space="preserve"> people outside the agency in developing plans for </w:t>
      </w:r>
      <w:r w:rsidRPr="007233C1" w:rsidR="00AC79AE">
        <w:t>th</w:t>
      </w:r>
      <w:r w:rsidR="00AC79AE">
        <w:t>e</w:t>
      </w:r>
      <w:r w:rsidRPr="007233C1" w:rsidR="00AC79AE">
        <w:t xml:space="preserve"> </w:t>
      </w:r>
      <w:r w:rsidR="00AC79AE">
        <w:t xml:space="preserve">ongoing CPS-FSS </w:t>
      </w:r>
      <w:r w:rsidRPr="007233C1">
        <w:t>data collection. Many experts</w:t>
      </w:r>
      <w:r w:rsidR="002A122C">
        <w:t>,</w:t>
      </w:r>
      <w:r w:rsidRPr="007233C1">
        <w:t xml:space="preserve"> from a broad range of disciplines </w:t>
      </w:r>
      <w:r w:rsidRPr="009C0CB1">
        <w:t>and institutions</w:t>
      </w:r>
      <w:r w:rsidR="002A122C">
        <w:t>,</w:t>
      </w:r>
      <w:r w:rsidRPr="009C0CB1">
        <w:t xml:space="preserve"> were consulted during the development and refinement of the instrument that has been used in previous years. </w:t>
      </w:r>
      <w:r w:rsidR="0083669A">
        <w:rPr>
          <w:szCs w:val="24"/>
        </w:rPr>
        <w:t xml:space="preserve">Some concerns from those earlier reviews have been incorporated into this </w:t>
      </w:r>
      <w:r w:rsidR="00E01C21">
        <w:rPr>
          <w:szCs w:val="24"/>
        </w:rPr>
        <w:t>updated</w:t>
      </w:r>
      <w:r w:rsidR="0083669A">
        <w:rPr>
          <w:szCs w:val="24"/>
        </w:rPr>
        <w:t xml:space="preserve"> instrument. For example, a professor, and user of the CPS-FSS, raised a question previously as to whether responses to the food security items may be influenced by an individual’s responses to the questions about participation in Federal</w:t>
      </w:r>
      <w:r w:rsidR="002A122C">
        <w:rPr>
          <w:szCs w:val="24"/>
        </w:rPr>
        <w:t xml:space="preserve"> food and</w:t>
      </w:r>
      <w:r w:rsidR="0083669A">
        <w:rPr>
          <w:szCs w:val="24"/>
        </w:rPr>
        <w:t xml:space="preserve"> nutrition assistance programs that </w:t>
      </w:r>
      <w:r w:rsidR="002A122C">
        <w:rPr>
          <w:szCs w:val="24"/>
        </w:rPr>
        <w:t>are administered</w:t>
      </w:r>
      <w:r w:rsidR="0083669A">
        <w:rPr>
          <w:szCs w:val="24"/>
        </w:rPr>
        <w:t xml:space="preserve"> before the food security items in the original instrument. In the </w:t>
      </w:r>
      <w:r w:rsidR="00E01C21">
        <w:rPr>
          <w:szCs w:val="24"/>
        </w:rPr>
        <w:t xml:space="preserve">2020 </w:t>
      </w:r>
      <w:r w:rsidR="008D3D60">
        <w:rPr>
          <w:szCs w:val="24"/>
        </w:rPr>
        <w:t xml:space="preserve">CPS-FSS </w:t>
      </w:r>
      <w:r w:rsidR="00AC79AE">
        <w:rPr>
          <w:szCs w:val="24"/>
        </w:rPr>
        <w:t xml:space="preserve">split panel </w:t>
      </w:r>
      <w:r w:rsidR="00635120">
        <w:rPr>
          <w:szCs w:val="24"/>
        </w:rPr>
        <w:t>test</w:t>
      </w:r>
      <w:r w:rsidR="00AC79AE">
        <w:rPr>
          <w:szCs w:val="24"/>
        </w:rPr>
        <w:t xml:space="preserve"> instrument</w:t>
      </w:r>
      <w:r w:rsidR="00635120">
        <w:rPr>
          <w:szCs w:val="24"/>
        </w:rPr>
        <w:t xml:space="preserve"> and </w:t>
      </w:r>
      <w:r w:rsidR="00E01C21">
        <w:rPr>
          <w:szCs w:val="24"/>
        </w:rPr>
        <w:lastRenderedPageBreak/>
        <w:t>proposed</w:t>
      </w:r>
      <w:r w:rsidR="0083669A">
        <w:rPr>
          <w:szCs w:val="24"/>
        </w:rPr>
        <w:t xml:space="preserve"> instrument </w:t>
      </w:r>
      <w:r w:rsidR="00AC79AE">
        <w:rPr>
          <w:szCs w:val="24"/>
        </w:rPr>
        <w:t xml:space="preserve">for 2022 </w:t>
      </w:r>
      <w:r w:rsidR="0083669A">
        <w:rPr>
          <w:szCs w:val="24"/>
        </w:rPr>
        <w:t>we move</w:t>
      </w:r>
      <w:r w:rsidR="00AC79AE">
        <w:rPr>
          <w:szCs w:val="24"/>
        </w:rPr>
        <w:t>d</w:t>
      </w:r>
      <w:r w:rsidR="0083669A">
        <w:rPr>
          <w:szCs w:val="24"/>
        </w:rPr>
        <w:t xml:space="preserve"> the food security items before the questions about Federal</w:t>
      </w:r>
      <w:r w:rsidR="002A122C">
        <w:rPr>
          <w:szCs w:val="24"/>
        </w:rPr>
        <w:t xml:space="preserve"> food and</w:t>
      </w:r>
      <w:r w:rsidR="0083669A">
        <w:rPr>
          <w:szCs w:val="24"/>
        </w:rPr>
        <w:t xml:space="preserve"> nutrition assistance in response to this query and also to possibly reduce non-response to the food security items.</w:t>
      </w:r>
      <w:r w:rsidR="00CF6FC0">
        <w:rPr>
          <w:szCs w:val="24"/>
        </w:rPr>
        <w:t xml:space="preserve"> </w:t>
      </w:r>
      <w:r w:rsidR="00635120">
        <w:rPr>
          <w:szCs w:val="24"/>
        </w:rPr>
        <w:t>Also, s</w:t>
      </w:r>
      <w:r w:rsidR="00CF6FC0">
        <w:rPr>
          <w:szCs w:val="24"/>
        </w:rPr>
        <w:t>takeholders from a national anti-hunger organization had previously provided input on how to ask respondents about use of community nutrition assistance and their suggestions were incorporated in the 2</w:t>
      </w:r>
      <w:r w:rsidR="00635120">
        <w:rPr>
          <w:szCs w:val="24"/>
        </w:rPr>
        <w:t xml:space="preserve">020 test and 2022 proposed instrument. </w:t>
      </w:r>
      <w:r w:rsidR="0083669A">
        <w:rPr>
          <w:szCs w:val="24"/>
        </w:rPr>
        <w:t xml:space="preserve">  </w:t>
      </w:r>
    </w:p>
    <w:p w:rsidR="0083669A" w:rsidP="0083669A" w:rsidRDefault="0083669A" w14:paraId="79CBB712" w14:textId="77777777">
      <w:pPr>
        <w:ind w:left="360" w:hanging="360"/>
        <w:rPr>
          <w:szCs w:val="24"/>
        </w:rPr>
      </w:pPr>
    </w:p>
    <w:p w:rsidR="0083669A" w:rsidP="0083669A" w:rsidRDefault="0083669A" w14:paraId="173B24C1" w14:textId="77777777">
      <w:pPr>
        <w:pStyle w:val="BodyTextIndent"/>
        <w:rPr>
          <w:szCs w:val="24"/>
        </w:rPr>
      </w:pPr>
      <w:r>
        <w:rPr>
          <w:szCs w:val="24"/>
        </w:rPr>
        <w:t>In developing this updated instrument, ERS research staff consulted and collaborated with multiple staff at USDA’s Food and Nutrition Service and the U.S. Census Bureau</w:t>
      </w:r>
      <w:r w:rsidR="001E2F7D">
        <w:rPr>
          <w:szCs w:val="24"/>
        </w:rPr>
        <w:t xml:space="preserve"> and incorporated previous feedback from stakeholders</w:t>
      </w:r>
      <w:r>
        <w:rPr>
          <w:szCs w:val="24"/>
        </w:rPr>
        <w:t>.</w:t>
      </w:r>
      <w:r w:rsidRPr="00F44F1A">
        <w:rPr>
          <w:szCs w:val="24"/>
        </w:rPr>
        <w:t xml:space="preserve"> </w:t>
      </w:r>
      <w:r>
        <w:rPr>
          <w:szCs w:val="24"/>
        </w:rPr>
        <w:t xml:space="preserve">Contact information </w:t>
      </w:r>
      <w:r w:rsidR="00A61539">
        <w:rPr>
          <w:szCs w:val="24"/>
        </w:rPr>
        <w:t>for the point person at</w:t>
      </w:r>
      <w:r w:rsidR="002A122C">
        <w:rPr>
          <w:szCs w:val="24"/>
        </w:rPr>
        <w:t xml:space="preserve"> the</w:t>
      </w:r>
      <w:r w:rsidR="00A61539">
        <w:rPr>
          <w:szCs w:val="24"/>
        </w:rPr>
        <w:t xml:space="preserve"> Census</w:t>
      </w:r>
      <w:r w:rsidR="002A122C">
        <w:rPr>
          <w:szCs w:val="24"/>
        </w:rPr>
        <w:t xml:space="preserve"> Bureau</w:t>
      </w:r>
      <w:r w:rsidR="00A61539">
        <w:rPr>
          <w:szCs w:val="24"/>
        </w:rPr>
        <w:t xml:space="preserve"> who led cognitive testing of the survey items is below</w:t>
      </w:r>
      <w:r>
        <w:rPr>
          <w:szCs w:val="24"/>
        </w:rPr>
        <w:t xml:space="preserve">: </w:t>
      </w:r>
    </w:p>
    <w:p w:rsidR="0083669A" w:rsidP="0083669A" w:rsidRDefault="0083669A" w14:paraId="52FDB34A" w14:textId="77777777">
      <w:pPr>
        <w:pStyle w:val="BodyTextIndent"/>
        <w:rPr>
          <w:szCs w:val="24"/>
        </w:rPr>
      </w:pPr>
    </w:p>
    <w:p w:rsidRPr="00F44F1A" w:rsidR="0083669A" w:rsidP="005C5D7B" w:rsidRDefault="0083669A" w14:paraId="69D3FA0B" w14:textId="77777777">
      <w:pPr>
        <w:ind w:left="1080"/>
        <w:rPr>
          <w:szCs w:val="24"/>
        </w:rPr>
      </w:pPr>
      <w:r>
        <w:rPr>
          <w:szCs w:val="24"/>
        </w:rPr>
        <w:t>Kathleen Kephart</w:t>
      </w:r>
      <w:r w:rsidRPr="00F44F1A">
        <w:rPr>
          <w:szCs w:val="24"/>
        </w:rPr>
        <w:t>, Survey Statistician</w:t>
      </w:r>
    </w:p>
    <w:p w:rsidR="0083669A" w:rsidP="005C5D7B" w:rsidRDefault="0083669A" w14:paraId="042C61E0" w14:textId="77777777">
      <w:pPr>
        <w:ind w:left="1080"/>
        <w:rPr>
          <w:szCs w:val="24"/>
        </w:rPr>
      </w:pPr>
      <w:r>
        <w:rPr>
          <w:szCs w:val="24"/>
        </w:rPr>
        <w:t>Center for Behavioral Science Methods</w:t>
      </w:r>
    </w:p>
    <w:p w:rsidRPr="00F44F1A" w:rsidR="0083669A" w:rsidP="005C5D7B" w:rsidRDefault="0083669A" w14:paraId="35B374BD" w14:textId="77777777">
      <w:pPr>
        <w:ind w:left="1080"/>
        <w:rPr>
          <w:szCs w:val="24"/>
        </w:rPr>
      </w:pPr>
      <w:r>
        <w:rPr>
          <w:szCs w:val="24"/>
        </w:rPr>
        <w:t>Research and Methodology Directorate</w:t>
      </w:r>
    </w:p>
    <w:p w:rsidRPr="00F44F1A" w:rsidR="0083669A" w:rsidP="005C5D7B" w:rsidRDefault="0083669A" w14:paraId="40925080" w14:textId="77777777">
      <w:pPr>
        <w:ind w:left="1440" w:hanging="360"/>
        <w:rPr>
          <w:szCs w:val="24"/>
        </w:rPr>
      </w:pPr>
      <w:r w:rsidRPr="00F44F1A">
        <w:rPr>
          <w:szCs w:val="24"/>
        </w:rPr>
        <w:t>U.S. Census Bureau</w:t>
      </w:r>
    </w:p>
    <w:p w:rsidRPr="00C1498E" w:rsidR="0083669A" w:rsidP="005C5D7B" w:rsidRDefault="0083669A" w14:paraId="4827102C" w14:textId="77777777">
      <w:pPr>
        <w:ind w:left="1440" w:hanging="360"/>
      </w:pPr>
      <w:r w:rsidRPr="00C1498E">
        <w:t>Phone: 301-763-8891</w:t>
      </w:r>
    </w:p>
    <w:p w:rsidRPr="00C1498E" w:rsidR="0083669A" w:rsidP="005C5D7B" w:rsidRDefault="0083669A" w14:paraId="1DA44160" w14:textId="77777777">
      <w:pPr>
        <w:ind w:left="1440" w:hanging="360"/>
        <w:rPr>
          <w:i/>
        </w:rPr>
      </w:pPr>
      <w:r w:rsidRPr="00C1498E">
        <w:t xml:space="preserve">Email: </w:t>
      </w:r>
      <w:hyperlink w:history="1" r:id="rId24">
        <w:r w:rsidRPr="005245F5" w:rsidR="00031B24">
          <w:rPr>
            <w:rStyle w:val="Hyperlink"/>
            <w:iCs/>
          </w:rPr>
          <w:t>kathleen.m.kephart@census.gov</w:t>
        </w:r>
      </w:hyperlink>
      <w:r w:rsidR="00031B24">
        <w:rPr>
          <w:iCs/>
        </w:rPr>
        <w:t xml:space="preserve"> </w:t>
      </w:r>
    </w:p>
    <w:p w:rsidR="0083669A" w:rsidP="00A61539" w:rsidRDefault="0083669A" w14:paraId="416CCE1A" w14:textId="77777777">
      <w:pPr>
        <w:pStyle w:val="BodyTextIndent"/>
        <w:ind w:left="0"/>
        <w:rPr>
          <w:szCs w:val="24"/>
        </w:rPr>
      </w:pPr>
    </w:p>
    <w:p w:rsidR="002A122C" w:rsidP="007A39C7" w:rsidRDefault="007A39C7" w14:paraId="062B8734" w14:textId="77777777">
      <w:pPr>
        <w:keepNext/>
        <w:keepLines/>
        <w:widowControl/>
        <w:tabs>
          <w:tab w:val="left" w:pos="-1440"/>
        </w:tabs>
        <w:ind w:left="720"/>
      </w:pPr>
      <w:r>
        <w:t>Additionally, in 2021, ERS’s food security measurement methods and findings were reviewed by academic experts Parke Wilde and Irma Arteaga. In addition, they are managing a c</w:t>
      </w:r>
      <w:r w:rsidR="002A122C">
        <w:t>ooperative</w:t>
      </w:r>
      <w:r>
        <w:t xml:space="preserve"> research program titled “25 Years of Food Security Measurement: Answered Questions and Further Research.” </w:t>
      </w:r>
      <w:r w:rsidRPr="000566E2">
        <w:rPr>
          <w:color w:val="000000"/>
          <w:shd w:val="clear" w:color="auto" w:fill="FFFFFF"/>
        </w:rPr>
        <w:t>The purpose of the program is to foster research related to the past 25</w:t>
      </w:r>
      <w:r>
        <w:rPr>
          <w:color w:val="000000"/>
          <w:shd w:val="clear" w:color="auto" w:fill="FFFFFF"/>
        </w:rPr>
        <w:t>-plus</w:t>
      </w:r>
      <w:r w:rsidRPr="000566E2">
        <w:rPr>
          <w:color w:val="000000"/>
          <w:shd w:val="clear" w:color="auto" w:fill="FFFFFF"/>
        </w:rPr>
        <w:t xml:space="preserve"> years of U.S. household food security research and to explore feasible evidence-based improvements looking forward</w:t>
      </w:r>
      <w:r>
        <w:rPr>
          <w:color w:val="000000"/>
          <w:shd w:val="clear" w:color="auto" w:fill="FFFFFF"/>
        </w:rPr>
        <w:t xml:space="preserve"> with research findings expected in 2022</w:t>
      </w:r>
      <w:r w:rsidRPr="000566E2">
        <w:rPr>
          <w:color w:val="000000"/>
          <w:shd w:val="clear" w:color="auto" w:fill="FFFFFF"/>
        </w:rPr>
        <w:t>.</w:t>
      </w:r>
      <w:r w:rsidR="002A122C">
        <w:rPr>
          <w:color w:val="000000"/>
          <w:shd w:val="clear" w:color="auto" w:fill="FFFFFF"/>
        </w:rPr>
        <w:t xml:space="preserve"> Their contact information is below</w:t>
      </w:r>
      <w:r>
        <w:t>:</w:t>
      </w:r>
    </w:p>
    <w:p w:rsidR="007A39C7" w:rsidP="007A39C7" w:rsidRDefault="007A39C7" w14:paraId="4EEE7B81" w14:textId="77777777">
      <w:pPr>
        <w:keepNext/>
        <w:keepLines/>
        <w:widowControl/>
        <w:tabs>
          <w:tab w:val="left" w:pos="-1440"/>
        </w:tabs>
        <w:ind w:left="720"/>
      </w:pPr>
      <w:r>
        <w:t xml:space="preserve"> </w:t>
      </w:r>
      <w:r>
        <w:tab/>
      </w:r>
    </w:p>
    <w:p w:rsidR="007A39C7" w:rsidP="007A39C7" w:rsidRDefault="007A39C7" w14:paraId="2E04E4BF" w14:textId="77777777">
      <w:pPr>
        <w:keepNext/>
        <w:keepLines/>
        <w:widowControl/>
        <w:tabs>
          <w:tab w:val="left" w:pos="-1440"/>
        </w:tabs>
      </w:pPr>
      <w:r>
        <w:tab/>
      </w:r>
      <w:r>
        <w:tab/>
        <w:t>Parke Wilde, Professor</w:t>
      </w:r>
    </w:p>
    <w:p w:rsidR="007A39C7" w:rsidP="007A39C7" w:rsidRDefault="007A39C7" w14:paraId="0CC847E9" w14:textId="77777777">
      <w:pPr>
        <w:keepNext/>
        <w:keepLines/>
        <w:widowControl/>
        <w:tabs>
          <w:tab w:val="left" w:pos="-1440"/>
        </w:tabs>
      </w:pPr>
      <w:r>
        <w:tab/>
      </w:r>
      <w:r>
        <w:tab/>
        <w:t>Friedman School of Nutrition Science and Policy</w:t>
      </w:r>
    </w:p>
    <w:p w:rsidR="007A39C7" w:rsidP="007A39C7" w:rsidRDefault="007A39C7" w14:paraId="7A7B64EC" w14:textId="77777777">
      <w:pPr>
        <w:keepNext/>
        <w:keepLines/>
        <w:widowControl/>
        <w:tabs>
          <w:tab w:val="left" w:pos="-1440"/>
        </w:tabs>
      </w:pPr>
      <w:r>
        <w:tab/>
      </w:r>
      <w:r>
        <w:tab/>
        <w:t>Tufts University</w:t>
      </w:r>
    </w:p>
    <w:p w:rsidR="007A39C7" w:rsidP="007A39C7" w:rsidRDefault="007A39C7" w14:paraId="6ADBA32C" w14:textId="77777777">
      <w:pPr>
        <w:keepNext/>
        <w:keepLines/>
        <w:widowControl/>
        <w:tabs>
          <w:tab w:val="left" w:pos="-1440"/>
        </w:tabs>
      </w:pPr>
      <w:r>
        <w:tab/>
      </w:r>
      <w:r>
        <w:tab/>
        <w:t>617-636-3495</w:t>
      </w:r>
      <w:r>
        <w:cr/>
      </w:r>
      <w:r>
        <w:tab/>
      </w:r>
      <w:r>
        <w:tab/>
      </w:r>
      <w:hyperlink w:history="1" r:id="rId25">
        <w:r w:rsidRPr="00A90D7A">
          <w:rPr>
            <w:rStyle w:val="Hyperlink"/>
          </w:rPr>
          <w:t>parke.wilde@tufts.edu</w:t>
        </w:r>
      </w:hyperlink>
    </w:p>
    <w:p w:rsidR="007A39C7" w:rsidP="007A39C7" w:rsidRDefault="007A39C7" w14:paraId="070FCF7D" w14:textId="77777777">
      <w:pPr>
        <w:keepNext/>
        <w:keepLines/>
        <w:widowControl/>
        <w:tabs>
          <w:tab w:val="left" w:pos="-1440"/>
        </w:tabs>
      </w:pPr>
    </w:p>
    <w:p w:rsidR="007A39C7" w:rsidP="007A39C7" w:rsidRDefault="007A39C7" w14:paraId="0497B5AC" w14:textId="77777777">
      <w:pPr>
        <w:keepNext/>
        <w:keepLines/>
        <w:widowControl/>
        <w:tabs>
          <w:tab w:val="left" w:pos="-1440"/>
        </w:tabs>
      </w:pPr>
      <w:r>
        <w:tab/>
      </w:r>
      <w:r>
        <w:tab/>
        <w:t>Irma Arteaga, Associate Professor</w:t>
      </w:r>
    </w:p>
    <w:p w:rsidR="007A39C7" w:rsidP="007A39C7" w:rsidRDefault="007A39C7" w14:paraId="4B2130FF" w14:textId="77777777">
      <w:pPr>
        <w:keepNext/>
        <w:keepLines/>
        <w:widowControl/>
        <w:tabs>
          <w:tab w:val="left" w:pos="-1440"/>
        </w:tabs>
      </w:pPr>
      <w:r>
        <w:tab/>
      </w:r>
      <w:r>
        <w:tab/>
        <w:t>Harry S. Truman School of Public Affairs</w:t>
      </w:r>
    </w:p>
    <w:p w:rsidR="007A39C7" w:rsidP="007A39C7" w:rsidRDefault="007A39C7" w14:paraId="5361723D" w14:textId="77777777">
      <w:pPr>
        <w:keepNext/>
        <w:keepLines/>
        <w:widowControl/>
        <w:tabs>
          <w:tab w:val="left" w:pos="-1440"/>
        </w:tabs>
      </w:pPr>
      <w:r>
        <w:tab/>
      </w:r>
      <w:r>
        <w:tab/>
        <w:t>University of Missouri</w:t>
      </w:r>
    </w:p>
    <w:p w:rsidR="007A39C7" w:rsidP="007A39C7" w:rsidRDefault="007A39C7" w14:paraId="5C687290" w14:textId="77777777">
      <w:pPr>
        <w:keepNext/>
        <w:keepLines/>
        <w:widowControl/>
        <w:tabs>
          <w:tab w:val="left" w:pos="-1440"/>
        </w:tabs>
      </w:pPr>
      <w:r>
        <w:tab/>
      </w:r>
      <w:r>
        <w:tab/>
        <w:t>573-882-2718</w:t>
      </w:r>
    </w:p>
    <w:p w:rsidRPr="000566E2" w:rsidR="007A39C7" w:rsidP="008D3D60" w:rsidRDefault="007A39C7" w14:paraId="2DFFE770" w14:textId="70F023DF">
      <w:r>
        <w:tab/>
      </w:r>
      <w:r>
        <w:tab/>
      </w:r>
      <w:hyperlink w:history="1" r:id="rId26">
        <w:r w:rsidRPr="008D3D60" w:rsidR="008D3D60">
          <w:rPr>
            <w:rStyle w:val="Hyperlink"/>
          </w:rPr>
          <w:t>arteagai@missouri.edu</w:t>
        </w:r>
      </w:hyperlink>
      <w:r w:rsidR="008D3D60">
        <w:t xml:space="preserve"> </w:t>
      </w:r>
      <w:r w:rsidR="00325BEB">
        <w:t xml:space="preserve"> </w:t>
      </w:r>
    </w:p>
    <w:p w:rsidR="007A39C7" w:rsidP="005C5D7B" w:rsidRDefault="007A39C7" w14:paraId="4D5E8775" w14:textId="77777777">
      <w:pPr>
        <w:pStyle w:val="BodyTextIndent"/>
        <w:ind w:left="0"/>
        <w:rPr>
          <w:szCs w:val="24"/>
        </w:rPr>
      </w:pPr>
    </w:p>
    <w:p w:rsidRPr="00237FD1" w:rsidR="00A4443E" w:rsidP="0083669A" w:rsidRDefault="00A4443E" w14:paraId="3E7F7031" w14:textId="77777777">
      <w:pPr>
        <w:pStyle w:val="BodyTextIndent"/>
      </w:pPr>
      <w:r>
        <w:t>The</w:t>
      </w:r>
      <w:r w:rsidRPr="009C0CB1">
        <w:t xml:space="preserve"> questionnaire</w:t>
      </w:r>
      <w:r>
        <w:t xml:space="preserve"> proposed for this data collection and </w:t>
      </w:r>
      <w:r w:rsidRPr="00237FD1">
        <w:t xml:space="preserve">the burden calculation were </w:t>
      </w:r>
      <w:r w:rsidR="001E2F7D">
        <w:t xml:space="preserve">also </w:t>
      </w:r>
      <w:r w:rsidRPr="00237FD1">
        <w:t xml:space="preserve">reviewed by:  </w:t>
      </w:r>
    </w:p>
    <w:p w:rsidRPr="00B2491D" w:rsidR="00A4443E" w:rsidP="00A4443E" w:rsidRDefault="00A4443E" w14:paraId="39FFD5BA" w14:textId="77777777">
      <w:pPr>
        <w:keepNext/>
        <w:widowControl/>
        <w:ind w:left="1440"/>
        <w:rPr>
          <w:highlight w:val="yellow"/>
        </w:rPr>
      </w:pPr>
    </w:p>
    <w:p w:rsidR="00A61539" w:rsidP="00A61539" w:rsidRDefault="00A61539" w14:paraId="26B716D1" w14:textId="77777777">
      <w:pPr>
        <w:keepNext/>
        <w:widowControl/>
        <w:ind w:left="1440"/>
      </w:pPr>
      <w:r>
        <w:t xml:space="preserve">Ibrahim H. Keita, Survey Statistician </w:t>
      </w:r>
    </w:p>
    <w:p w:rsidR="00A61539" w:rsidP="00A61539" w:rsidRDefault="00A61539" w14:paraId="58F30606" w14:textId="77777777">
      <w:pPr>
        <w:keepNext/>
        <w:widowControl/>
        <w:ind w:left="1440"/>
      </w:pPr>
      <w:r>
        <w:t>Current Population Survey / Associate Directorate for Demographic Programs (ADDP)</w:t>
      </w:r>
    </w:p>
    <w:p w:rsidR="00A61539" w:rsidP="00A61539" w:rsidRDefault="00A61539" w14:paraId="7E3AF38F" w14:textId="77777777">
      <w:pPr>
        <w:keepNext/>
        <w:widowControl/>
        <w:ind w:left="1440"/>
      </w:pPr>
      <w:r>
        <w:t>U.S. Census Bureau</w:t>
      </w:r>
    </w:p>
    <w:p w:rsidR="00A61539" w:rsidP="00A61539" w:rsidRDefault="00A61539" w14:paraId="369EBDEB" w14:textId="77777777">
      <w:pPr>
        <w:keepNext/>
        <w:widowControl/>
        <w:ind w:left="1440"/>
      </w:pPr>
      <w:r>
        <w:t xml:space="preserve">301-763-1959 </w:t>
      </w:r>
    </w:p>
    <w:p w:rsidR="00A61539" w:rsidP="00A61539" w:rsidRDefault="007A39C7" w14:paraId="02E8BBB6" w14:textId="77777777">
      <w:pPr>
        <w:keepNext/>
        <w:widowControl/>
        <w:ind w:left="1440"/>
      </w:pPr>
      <w:hyperlink w:history="1" r:id="rId27">
        <w:r w:rsidRPr="00A90D7A">
          <w:rPr>
            <w:rStyle w:val="Hyperlink"/>
          </w:rPr>
          <w:t>ibrahim.keita@census.gov</w:t>
        </w:r>
      </w:hyperlink>
      <w:r>
        <w:t xml:space="preserve"> </w:t>
      </w:r>
    </w:p>
    <w:p w:rsidRPr="00701920" w:rsidR="00701920" w:rsidP="00A4443E" w:rsidRDefault="00701920" w14:paraId="3575F8B4" w14:textId="77777777">
      <w:pPr>
        <w:keepNext/>
        <w:widowControl/>
        <w:ind w:left="1440"/>
      </w:pPr>
    </w:p>
    <w:p w:rsidRPr="00701920" w:rsidR="00A4443E" w:rsidP="00A4443E" w:rsidRDefault="00A4443E" w14:paraId="09D2E517" w14:textId="77777777">
      <w:pPr>
        <w:keepNext/>
        <w:widowControl/>
        <w:ind w:left="1440"/>
      </w:pPr>
      <w:r w:rsidRPr="00701920">
        <w:t xml:space="preserve">Anita Singh, </w:t>
      </w:r>
      <w:r w:rsidRPr="00701920" w:rsidR="00987EAA">
        <w:t xml:space="preserve">Chief, </w:t>
      </w:r>
      <w:r w:rsidRPr="00701920" w:rsidR="00BF0182">
        <w:t>SNAP</w:t>
      </w:r>
      <w:r w:rsidRPr="00701920" w:rsidR="00987EAA">
        <w:t xml:space="preserve"> Evaluation Branch</w:t>
      </w:r>
    </w:p>
    <w:p w:rsidRPr="00701920" w:rsidR="00A4443E" w:rsidP="00A4443E" w:rsidRDefault="00A4443E" w14:paraId="7AAB69B6" w14:textId="77777777">
      <w:pPr>
        <w:keepNext/>
        <w:widowControl/>
        <w:ind w:left="1440"/>
      </w:pPr>
      <w:r w:rsidRPr="00701920">
        <w:t xml:space="preserve">Office of </w:t>
      </w:r>
      <w:r w:rsidRPr="00701920" w:rsidR="00BF0182">
        <w:t>Policy Support</w:t>
      </w:r>
    </w:p>
    <w:p w:rsidRPr="00701920" w:rsidR="00A4443E" w:rsidP="00A4443E" w:rsidRDefault="00A4443E" w14:paraId="1D035A77" w14:textId="77777777">
      <w:pPr>
        <w:keepNext/>
        <w:widowControl/>
        <w:ind w:left="1440"/>
      </w:pPr>
      <w:r w:rsidRPr="00701920">
        <w:t>Food and Nutrition Service</w:t>
      </w:r>
      <w:r w:rsidRPr="00701920" w:rsidR="001F6320">
        <w:t>, U.S. Dept. of Agriculture</w:t>
      </w:r>
    </w:p>
    <w:p w:rsidRPr="00701920" w:rsidR="00A4443E" w:rsidP="00A4443E" w:rsidRDefault="00A4443E" w14:paraId="24B237B6" w14:textId="77777777">
      <w:pPr>
        <w:widowControl/>
        <w:ind w:left="1440"/>
      </w:pPr>
      <w:r w:rsidRPr="00701920">
        <w:t>703-305-215</w:t>
      </w:r>
      <w:r w:rsidRPr="00701920" w:rsidR="009C1644">
        <w:t>2</w:t>
      </w:r>
    </w:p>
    <w:p w:rsidR="00A4443E" w:rsidP="00635120" w:rsidRDefault="007A39C7" w14:paraId="64100899" w14:textId="77777777">
      <w:pPr>
        <w:keepNext/>
        <w:keepLines/>
        <w:widowControl/>
        <w:tabs>
          <w:tab w:val="left" w:pos="-1440"/>
        </w:tabs>
      </w:pPr>
      <w:r w:rsidRPr="005C5D7B">
        <w:tab/>
      </w:r>
      <w:r w:rsidRPr="005C5D7B">
        <w:tab/>
      </w:r>
      <w:hyperlink w:history="1" r:id="rId28">
        <w:r w:rsidRPr="00A90D7A">
          <w:rPr>
            <w:rStyle w:val="Hyperlink"/>
          </w:rPr>
          <w:t>anita.singh@usda.gov</w:t>
        </w:r>
      </w:hyperlink>
      <w:r>
        <w:t xml:space="preserve"> </w:t>
      </w:r>
    </w:p>
    <w:p w:rsidRPr="009C0CB1" w:rsidR="000A6098" w:rsidP="00174439" w:rsidRDefault="000A6098" w14:paraId="5626BA5C" w14:textId="77777777">
      <w:pPr>
        <w:widowControl/>
        <w:tabs>
          <w:tab w:val="left" w:pos="-1440"/>
        </w:tabs>
      </w:pPr>
    </w:p>
    <w:p w:rsidR="000A6098" w:rsidRDefault="0008040A" w14:paraId="26C84107" w14:textId="77777777">
      <w:pPr>
        <w:widowControl/>
        <w:ind w:left="720" w:firstLine="720"/>
      </w:pPr>
      <w:r>
        <w:t>Edwin Anderson, Section Head</w:t>
      </w:r>
      <w:r w:rsidR="002E38DF">
        <w:t xml:space="preserve"> (see </w:t>
      </w:r>
      <w:r w:rsidR="00FE2346">
        <w:t>A</w:t>
      </w:r>
      <w:r w:rsidR="002E38DF">
        <w:t>ttachment D)</w:t>
      </w:r>
    </w:p>
    <w:p w:rsidR="002E38DF" w:rsidP="002E38DF" w:rsidRDefault="002E38DF" w14:paraId="6B7368B5" w14:textId="77777777">
      <w:pPr>
        <w:widowControl/>
        <w:ind w:left="720" w:firstLine="720"/>
      </w:pPr>
      <w:r>
        <w:t xml:space="preserve">Methodology Division, Environmental and Economics Section </w:t>
      </w:r>
    </w:p>
    <w:p w:rsidR="002E38DF" w:rsidRDefault="002E38DF" w14:paraId="4584C650" w14:textId="77777777">
      <w:pPr>
        <w:widowControl/>
        <w:ind w:left="720" w:firstLine="720"/>
      </w:pPr>
      <w:r>
        <w:t>National Agricultural Statistics Service, U.S. Dept. of Agriculture</w:t>
      </w:r>
    </w:p>
    <w:p w:rsidR="002E38DF" w:rsidRDefault="002E38DF" w14:paraId="11B8CDE5" w14:textId="77777777">
      <w:pPr>
        <w:widowControl/>
        <w:ind w:left="720" w:firstLine="720"/>
      </w:pPr>
      <w:r w:rsidRPr="002E38DF">
        <w:t>202-690-0270</w:t>
      </w:r>
    </w:p>
    <w:p w:rsidR="002E38DF" w:rsidRDefault="002E38DF" w14:paraId="79BF9411" w14:textId="77777777">
      <w:pPr>
        <w:widowControl/>
        <w:ind w:left="720" w:firstLine="720"/>
      </w:pPr>
      <w:hyperlink w:history="1" r:id="rId29">
        <w:r w:rsidRPr="0007036C">
          <w:rPr>
            <w:rStyle w:val="Hyperlink"/>
          </w:rPr>
          <w:t>edwin.anderson@usda.gov</w:t>
        </w:r>
      </w:hyperlink>
      <w:r>
        <w:t xml:space="preserve"> </w:t>
      </w:r>
    </w:p>
    <w:p w:rsidR="002E38DF" w:rsidRDefault="002E38DF" w14:paraId="45A05420" w14:textId="77777777">
      <w:pPr>
        <w:widowControl/>
        <w:ind w:left="720" w:firstLine="720"/>
      </w:pPr>
    </w:p>
    <w:p w:rsidRPr="009C0CB1" w:rsidR="008F0B05" w:rsidRDefault="008F0B05" w14:paraId="32C82485" w14:textId="77777777">
      <w:pPr>
        <w:widowControl/>
        <w:ind w:left="720" w:firstLine="720"/>
      </w:pPr>
    </w:p>
    <w:p w:rsidRPr="009C0CB1" w:rsidR="000A6098" w:rsidP="00174439" w:rsidRDefault="000A6098" w14:paraId="432DD470" w14:textId="77777777">
      <w:pPr>
        <w:widowControl/>
        <w:ind w:left="720" w:hanging="720"/>
      </w:pPr>
      <w:r w:rsidRPr="009C0CB1">
        <w:rPr>
          <w:b/>
        </w:rPr>
        <w:t xml:space="preserve"> </w:t>
      </w:r>
      <w:r w:rsidR="00174439">
        <w:rPr>
          <w:b/>
        </w:rPr>
        <w:t xml:space="preserve">9. </w:t>
      </w:r>
      <w:r w:rsidR="00174439">
        <w:rPr>
          <w:b/>
        </w:rPr>
        <w:tab/>
      </w:r>
      <w:r w:rsidRPr="00174439" w:rsidR="00174439">
        <w:rPr>
          <w:b/>
        </w:rPr>
        <w:t>Explain any decision to provide any payment or gift to respondents, other than re</w:t>
      </w:r>
      <w:r w:rsidR="00174439">
        <w:rPr>
          <w:b/>
        </w:rPr>
        <w:t>mun</w:t>
      </w:r>
      <w:r w:rsidRPr="00174439" w:rsidR="00174439">
        <w:rPr>
          <w:b/>
        </w:rPr>
        <w:t>eration of contractors or grantees.</w:t>
      </w:r>
    </w:p>
    <w:p w:rsidRPr="009C0CB1" w:rsidR="000A6098" w:rsidRDefault="000A6098" w14:paraId="503BA986" w14:textId="77777777">
      <w:pPr>
        <w:widowControl/>
      </w:pPr>
    </w:p>
    <w:p w:rsidR="000A6098" w:rsidRDefault="00F86CAD" w14:paraId="1BE3558B" w14:textId="77777777">
      <w:pPr>
        <w:widowControl/>
        <w:ind w:left="720"/>
      </w:pPr>
      <w:r>
        <w:t>Neither the USDA nor the</w:t>
      </w:r>
      <w:r w:rsidR="0049326B">
        <w:t xml:space="preserve"> U.S.</w:t>
      </w:r>
      <w:r>
        <w:t xml:space="preserve"> </w:t>
      </w:r>
      <w:r w:rsidR="00C77E9E">
        <w:t>Census Bureau</w:t>
      </w:r>
      <w:r w:rsidRPr="009C0CB1" w:rsidR="000A6098">
        <w:t xml:space="preserve"> make any payments or provide any gifts to individuals participating in the CPS</w:t>
      </w:r>
      <w:r w:rsidR="000A6098">
        <w:t>.</w:t>
      </w:r>
    </w:p>
    <w:p w:rsidR="000A6098" w:rsidRDefault="000A6098" w14:paraId="7B55837E" w14:textId="77777777">
      <w:pPr>
        <w:widowControl/>
      </w:pPr>
    </w:p>
    <w:p w:rsidR="000A6098" w:rsidRDefault="000A6098" w14:paraId="1AA27C5A" w14:textId="77777777">
      <w:pPr>
        <w:widowControl/>
      </w:pPr>
    </w:p>
    <w:p w:rsidR="000A6098" w:rsidP="00684532" w:rsidRDefault="000A6098" w14:paraId="66893AAC" w14:textId="77777777">
      <w:pPr>
        <w:widowControl/>
        <w:ind w:left="720" w:hanging="720"/>
      </w:pPr>
      <w:r>
        <w:rPr>
          <w:b/>
        </w:rPr>
        <w:t xml:space="preserve">10. </w:t>
      </w:r>
      <w:r>
        <w:rPr>
          <w:b/>
        </w:rPr>
        <w:tab/>
      </w:r>
      <w:r w:rsidRPr="00684532" w:rsidR="00684532">
        <w:rPr>
          <w:b/>
        </w:rPr>
        <w:t>Describe any assurance of confidentiality provided to respondents and the basis for the assurance in statute, regulation, or agency policy.</w:t>
      </w:r>
    </w:p>
    <w:p w:rsidR="000A6098" w:rsidRDefault="000A6098" w14:paraId="399CB83E" w14:textId="77777777">
      <w:pPr>
        <w:widowControl/>
      </w:pPr>
    </w:p>
    <w:p w:rsidR="000A6098" w:rsidRDefault="000A6098" w14:paraId="4C55019B" w14:textId="77777777">
      <w:pPr>
        <w:widowControl/>
        <w:ind w:left="720"/>
      </w:pPr>
      <w:r>
        <w:t>The</w:t>
      </w:r>
      <w:r w:rsidR="001D7D8E">
        <w:t xml:space="preserve"> U.S.</w:t>
      </w:r>
      <w:r>
        <w:t xml:space="preserve"> Census Bureau will collect the </w:t>
      </w:r>
      <w:r w:rsidR="001D7D8E">
        <w:t>s</w:t>
      </w:r>
      <w:r>
        <w:t xml:space="preserve">upplement data in compliance with </w:t>
      </w:r>
      <w:r w:rsidR="00384A61">
        <w:t>13</w:t>
      </w:r>
      <w:r w:rsidR="004D273E">
        <w:t xml:space="preserve"> U.S.C. 182</w:t>
      </w:r>
      <w:r>
        <w:t xml:space="preserve">. Each sample household receives an advance letter approximately </w:t>
      </w:r>
      <w:r w:rsidR="001D7D8E">
        <w:t>one</w:t>
      </w:r>
      <w:r>
        <w:t xml:space="preserve"> week before the start of the initial CPS interview. </w:t>
      </w:r>
      <w:r w:rsidRPr="00EC7BD6">
        <w:t xml:space="preserve">(See Attachment </w:t>
      </w:r>
      <w:r w:rsidR="00FE2346">
        <w:t>E</w:t>
      </w:r>
      <w:r w:rsidRPr="00EC7BD6">
        <w:t xml:space="preserve">) This letter includes the information required </w:t>
      </w:r>
      <w:r w:rsidRPr="00EC7BD6" w:rsidR="0063416D">
        <w:t xml:space="preserve">by </w:t>
      </w:r>
      <w:r w:rsidRPr="00EC7BD6" w:rsidR="004D273E">
        <w:t>13 U.S.C. 9</w:t>
      </w:r>
      <w:r w:rsidRPr="00EC7BD6">
        <w:t>, explains the voluntary nature of the survey, and states the estimated time required for participating in the survey. Field representatives must ask if the respondent received the letter and, if not, provide a copy and allow the respondent sufficient time to read the contents. Also, field representatives provide households with the pamphlet</w:t>
      </w:r>
      <w:r w:rsidR="009047B8">
        <w:t xml:space="preserve"> </w:t>
      </w:r>
      <w:r w:rsidR="00FF01E9">
        <w:t>“</w:t>
      </w:r>
      <w:r w:rsidRPr="00EC7BD6">
        <w:t>The U.S. Census Bureau Respects Your Privacy and Keeps Your Personal Information Confidential.</w:t>
      </w:r>
      <w:r w:rsidR="00FF01E9">
        <w:t>”</w:t>
      </w:r>
      <w:r w:rsidRPr="00EC7BD6">
        <w:t xml:space="preserve"> </w:t>
      </w:r>
      <w:r w:rsidR="007A39C7">
        <w:t xml:space="preserve">Respondents also receive a pamphlet titled: “Fact Sheet for the Current Population Survey” </w:t>
      </w:r>
      <w:r w:rsidRPr="00EC7BD6">
        <w:t>(See Attachment</w:t>
      </w:r>
      <w:r w:rsidR="007A39C7">
        <w:t>s</w:t>
      </w:r>
      <w:r w:rsidRPr="00EC7BD6">
        <w:t xml:space="preserve"> </w:t>
      </w:r>
      <w:r w:rsidR="00FE2346">
        <w:t>F</w:t>
      </w:r>
      <w:r w:rsidR="007A39C7">
        <w:t xml:space="preserve"> and </w:t>
      </w:r>
      <w:r w:rsidR="00FE2346">
        <w:t>G</w:t>
      </w:r>
      <w:r w:rsidRPr="00EC7BD6">
        <w:t>)</w:t>
      </w:r>
      <w:r w:rsidR="007A39C7">
        <w:t>.</w:t>
      </w:r>
      <w:r w:rsidRPr="00EC7BD6">
        <w:t xml:space="preserve"> All</w:t>
      </w:r>
      <w:r>
        <w:t xml:space="preserve"> information given by respondents to</w:t>
      </w:r>
      <w:r w:rsidR="001D7D8E">
        <w:t xml:space="preserve"> U.S.</w:t>
      </w:r>
      <w:r>
        <w:t xml:space="preserve"> Census Bureau employees is held in strict confidence under 13</w:t>
      </w:r>
      <w:r w:rsidR="004D273E">
        <w:t xml:space="preserve"> U.S.C. </w:t>
      </w:r>
      <w:r>
        <w:t>9. Each</w:t>
      </w:r>
      <w:r w:rsidR="001D7D8E">
        <w:t xml:space="preserve"> U.S.</w:t>
      </w:r>
      <w:r>
        <w:t xml:space="preserve"> Census Bureau employee has taken an oath to </w:t>
      </w:r>
      <w:r>
        <w:lastRenderedPageBreak/>
        <w:t xml:space="preserve">that effect and is subject to a jail penalty and/or substantial fine if he/she discloses any information given to him/her. </w:t>
      </w:r>
    </w:p>
    <w:p w:rsidR="00684532" w:rsidRDefault="00684532" w14:paraId="742B8467" w14:textId="77777777">
      <w:pPr>
        <w:widowControl/>
        <w:ind w:left="720"/>
      </w:pPr>
    </w:p>
    <w:p w:rsidR="00684532" w:rsidRDefault="00CD2F5F" w14:paraId="44834F3D" w14:textId="77777777">
      <w:pPr>
        <w:widowControl/>
        <w:ind w:left="720"/>
      </w:pPr>
      <w:r>
        <w:t>The sanitized</w:t>
      </w:r>
      <w:r w:rsidR="00684532">
        <w:t xml:space="preserve"> public-use micro-data are released by the U.S. Census Bureau subject to the Bureau’s confidentiality policies and only after authorization by the Confidentiality Disclosure Review Board.</w:t>
      </w:r>
    </w:p>
    <w:p w:rsidR="000A6098" w:rsidRDefault="000A6098" w14:paraId="7C83BFAF" w14:textId="77777777">
      <w:pPr>
        <w:widowControl/>
        <w:rPr>
          <w:b/>
        </w:rPr>
      </w:pPr>
    </w:p>
    <w:p w:rsidR="003A7EAE" w:rsidRDefault="003A7EAE" w14:paraId="655D8552" w14:textId="77777777">
      <w:pPr>
        <w:widowControl/>
        <w:rPr>
          <w:b/>
        </w:rPr>
      </w:pPr>
    </w:p>
    <w:p w:rsidR="000A6098" w:rsidP="00684532" w:rsidRDefault="000A6098" w14:paraId="4FD09898" w14:textId="77777777">
      <w:pPr>
        <w:keepNext/>
        <w:keepLines/>
        <w:widowControl/>
        <w:ind w:left="720" w:hanging="720"/>
        <w:rPr>
          <w:b/>
        </w:rPr>
      </w:pPr>
      <w:r>
        <w:rPr>
          <w:b/>
        </w:rPr>
        <w:t xml:space="preserve">11. </w:t>
      </w:r>
      <w:r>
        <w:rPr>
          <w:b/>
        </w:rPr>
        <w:tab/>
      </w:r>
      <w:r w:rsidRPr="00684532" w:rsidR="00684532">
        <w:rPr>
          <w:b/>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A6098" w:rsidP="005F48A6" w:rsidRDefault="000A6098" w14:paraId="107AD816" w14:textId="77777777">
      <w:pPr>
        <w:keepNext/>
        <w:keepLines/>
        <w:widowControl/>
      </w:pPr>
    </w:p>
    <w:p w:rsidR="000A6098" w:rsidP="005F48A6" w:rsidRDefault="000A6098" w14:paraId="53C087CD" w14:textId="77777777">
      <w:pPr>
        <w:keepNext/>
        <w:keepLines/>
        <w:widowControl/>
        <w:ind w:left="720"/>
      </w:pPr>
      <w:r>
        <w:t>The Food Security Supplement does not contain any questions of a sensitive nature.</w:t>
      </w:r>
    </w:p>
    <w:p w:rsidR="000A6098" w:rsidRDefault="000A6098" w14:paraId="1C26AC13" w14:textId="77777777">
      <w:pPr>
        <w:widowControl/>
      </w:pPr>
    </w:p>
    <w:p w:rsidR="000A6098" w:rsidRDefault="000A6098" w14:paraId="12A41E43" w14:textId="77777777">
      <w:pPr>
        <w:widowControl/>
      </w:pPr>
    </w:p>
    <w:p w:rsidR="000A6098" w:rsidP="00684532" w:rsidRDefault="000A6098" w14:paraId="3D299D26" w14:textId="77777777">
      <w:pPr>
        <w:keepNext/>
        <w:keepLines/>
        <w:widowControl/>
        <w:tabs>
          <w:tab w:val="left" w:pos="720"/>
        </w:tabs>
        <w:ind w:left="720" w:hanging="720"/>
        <w:rPr>
          <w:b/>
        </w:rPr>
      </w:pPr>
      <w:r>
        <w:rPr>
          <w:b/>
        </w:rPr>
        <w:t xml:space="preserve">12. </w:t>
      </w:r>
      <w:r>
        <w:rPr>
          <w:b/>
        </w:rPr>
        <w:tab/>
      </w:r>
      <w:r w:rsidRPr="00684532" w:rsidR="00684532">
        <w:rPr>
          <w:b/>
        </w:rPr>
        <w:t>Provide estimates of the hour burden of the collection of information. Indicate the number of respondents, frequency of response, annual hour burden, and an explanation of how the burden was estimated.</w:t>
      </w:r>
    </w:p>
    <w:p w:rsidR="008119BD" w:rsidP="00684532" w:rsidRDefault="008119BD" w14:paraId="007E861D" w14:textId="77777777">
      <w:pPr>
        <w:keepNext/>
        <w:keepLines/>
        <w:widowControl/>
        <w:tabs>
          <w:tab w:val="left" w:pos="720"/>
        </w:tabs>
        <w:ind w:left="720" w:hanging="720"/>
      </w:pPr>
    </w:p>
    <w:p w:rsidR="0067104A" w:rsidP="00332103" w:rsidRDefault="0067104A" w14:paraId="10EBA8B5" w14:textId="77777777">
      <w:pPr>
        <w:numPr>
          <w:ilvl w:val="0"/>
          <w:numId w:val="13"/>
        </w:numPr>
        <w:tabs>
          <w:tab w:val="left" w:pos="1080"/>
        </w:tabs>
        <w:spacing w:before="100" w:beforeAutospacing="1" w:after="100" w:afterAutospacing="1"/>
        <w:rPr>
          <w:b/>
          <w:bCs/>
          <w:szCs w:val="24"/>
        </w:rPr>
      </w:pPr>
      <w:r w:rsidRPr="00684532">
        <w:rPr>
          <w:b/>
          <w:bCs/>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332103" w:rsidP="00332103" w:rsidRDefault="00332103" w14:paraId="3BB3D4A3" w14:textId="77777777">
      <w:pPr>
        <w:pStyle w:val="BodyTextIndent"/>
        <w:keepNext/>
        <w:keepLines/>
        <w:ind w:left="1080"/>
      </w:pPr>
    </w:p>
    <w:p w:rsidR="002861CB" w:rsidP="008D3D60" w:rsidRDefault="00321825" w14:paraId="7CF14EFC" w14:textId="77777777">
      <w:pPr>
        <w:pStyle w:val="BodyTextIndent"/>
        <w:widowControl w:val="0"/>
        <w:ind w:left="1080"/>
      </w:pPr>
      <w:r>
        <w:t>An estimated 53,</w:t>
      </w:r>
      <w:r w:rsidR="0022644E">
        <w:t>901</w:t>
      </w:r>
      <w:r w:rsidR="00C77E9E">
        <w:t xml:space="preserve"> </w:t>
      </w:r>
      <w:r>
        <w:t xml:space="preserve">households will be interviewed each year. </w:t>
      </w:r>
      <w:r w:rsidR="00046355">
        <w:t xml:space="preserve">These burden estimates assumed the highest possible burden based on recent surveys. The </w:t>
      </w:r>
      <w:r w:rsidRPr="00046355" w:rsidR="00046355">
        <w:t xml:space="preserve">total number of respondents from the recent survey with the </w:t>
      </w:r>
      <w:r w:rsidR="00B256AF">
        <w:t>larg</w:t>
      </w:r>
      <w:r w:rsidRPr="00046355" w:rsidR="00B256AF">
        <w:t xml:space="preserve">est </w:t>
      </w:r>
      <w:r w:rsidR="00046355">
        <w:t>sample size is used</w:t>
      </w:r>
      <w:r w:rsidRPr="00046355" w:rsidR="00046355">
        <w:t xml:space="preserve"> to estimate the total sample size</w:t>
      </w:r>
      <w:r w:rsidR="00046355">
        <w:t xml:space="preserve">. </w:t>
      </w:r>
      <w:r>
        <w:t xml:space="preserve">Most households will be interviewed one time per year in each of two successive years; the rest will be interviewed only one time. </w:t>
      </w:r>
      <w:r w:rsidRPr="00D05BA8" w:rsidR="00332103">
        <w:t xml:space="preserve">The estimated </w:t>
      </w:r>
      <w:r>
        <w:t xml:space="preserve">annual </w:t>
      </w:r>
      <w:r w:rsidRPr="00D05BA8" w:rsidR="00332103">
        <w:t>respondent burden</w:t>
      </w:r>
      <w:r w:rsidR="002861CB">
        <w:t xml:space="preserve"> for the total sample</w:t>
      </w:r>
      <w:r w:rsidRPr="00D05BA8" w:rsidR="00332103">
        <w:t xml:space="preserve"> is </w:t>
      </w:r>
      <w:r w:rsidR="00332103">
        <w:t>6,</w:t>
      </w:r>
      <w:r w:rsidR="00C77E9E">
        <w:t>4</w:t>
      </w:r>
      <w:r w:rsidR="00046355">
        <w:t>79</w:t>
      </w:r>
      <w:r w:rsidRPr="00D05BA8" w:rsidR="00C77E9E">
        <w:t xml:space="preserve"> </w:t>
      </w:r>
      <w:r w:rsidRPr="00D05BA8" w:rsidR="00332103">
        <w:t>hours</w:t>
      </w:r>
      <w:r w:rsidR="00226CC2">
        <w:t xml:space="preserve">; </w:t>
      </w:r>
      <w:r w:rsidRPr="00D05BA8" w:rsidR="00332103">
        <w:t>an average respondent burden of 7.</w:t>
      </w:r>
      <w:r w:rsidR="003D0693">
        <w:t>2</w:t>
      </w:r>
      <w:r w:rsidRPr="00D05BA8" w:rsidR="003D0693">
        <w:t xml:space="preserve"> </w:t>
      </w:r>
      <w:r w:rsidRPr="00D05BA8" w:rsidR="00332103">
        <w:t xml:space="preserve">minutes for each of the </w:t>
      </w:r>
      <w:r w:rsidR="00332103">
        <w:t>5</w:t>
      </w:r>
      <w:r w:rsidR="00A8635B">
        <w:t>3,</w:t>
      </w:r>
      <w:r w:rsidR="00046355">
        <w:t>901</w:t>
      </w:r>
      <w:r w:rsidRPr="00D05BA8" w:rsidR="00046355">
        <w:t xml:space="preserve"> </w:t>
      </w:r>
      <w:r w:rsidRPr="00D05BA8" w:rsidR="00332103">
        <w:t xml:space="preserve">households </w:t>
      </w:r>
      <w:r w:rsidR="00332103">
        <w:t xml:space="preserve">expected to be </w:t>
      </w:r>
      <w:r w:rsidRPr="00D05BA8" w:rsidR="00332103">
        <w:t xml:space="preserve">in the </w:t>
      </w:r>
      <w:r w:rsidR="001D7D8E">
        <w:t>s</w:t>
      </w:r>
      <w:r w:rsidRPr="00D05BA8" w:rsidR="00332103">
        <w:t xml:space="preserve">upplement universe. </w:t>
      </w:r>
      <w:r w:rsidR="00C77E9E">
        <w:t xml:space="preserve">The estimate </w:t>
      </w:r>
      <w:r w:rsidR="00C878B1">
        <w:t xml:space="preserve">assumes an 80 percent response rate to the supplement and </w:t>
      </w:r>
      <w:r w:rsidR="00C77E9E">
        <w:t xml:space="preserve">is based on the average proportion of </w:t>
      </w:r>
      <w:r w:rsidR="002861CB">
        <w:t>sampled households</w:t>
      </w:r>
      <w:r w:rsidR="00C77E9E">
        <w:t xml:space="preserve"> that were asked each question</w:t>
      </w:r>
      <w:r w:rsidR="00D37C6A">
        <w:t xml:space="preserve"> in recent survey years (</w:t>
      </w:r>
      <w:r w:rsidR="00046355">
        <w:t>2014-18</w:t>
      </w:r>
      <w:r w:rsidR="00C77E9E">
        <w:t>) and typical reading and response times for the questions</w:t>
      </w:r>
      <w:r w:rsidR="002861CB">
        <w:t>.</w:t>
      </w:r>
      <w:r w:rsidRPr="00D37C6A" w:rsidR="00D37C6A">
        <w:t xml:space="preserve"> </w:t>
      </w:r>
      <w:r w:rsidR="00D37C6A">
        <w:t>(Note that 201</w:t>
      </w:r>
      <w:r w:rsidR="00046355">
        <w:t>9</w:t>
      </w:r>
      <w:r w:rsidR="00D37C6A">
        <w:t xml:space="preserve"> CPS-FSS data was not used in these calculations because </w:t>
      </w:r>
      <w:r w:rsidR="00046355">
        <w:t xml:space="preserve">the number of households in the sample and response rates were lower than in all previous </w:t>
      </w:r>
      <w:r w:rsidR="00635120">
        <w:t>years and</w:t>
      </w:r>
      <w:r w:rsidR="00046355">
        <w:t xml:space="preserve"> could result in lower burden estimates than typically expected. Data</w:t>
      </w:r>
      <w:r w:rsidR="001D7D8E">
        <w:t xml:space="preserve"> from 2020</w:t>
      </w:r>
      <w:r w:rsidR="00046355">
        <w:t xml:space="preserve"> was not used because CPS response rates were affected by the COVID-19 pandemic</w:t>
      </w:r>
      <w:r w:rsidR="007A39C7">
        <w:t>, and those data were not publicly available at the time the Federal Register notice was published</w:t>
      </w:r>
      <w:r w:rsidR="00046355">
        <w:t>.</w:t>
      </w:r>
      <w:r w:rsidR="00D37C6A">
        <w:t>)</w:t>
      </w:r>
    </w:p>
    <w:p w:rsidR="002861CB" w:rsidP="00C77E9E" w:rsidRDefault="002861CB" w14:paraId="507012EE" w14:textId="77777777">
      <w:pPr>
        <w:pStyle w:val="BodyTextIndent"/>
        <w:keepNext/>
        <w:keepLines/>
        <w:ind w:left="1080"/>
      </w:pPr>
    </w:p>
    <w:p w:rsidR="00D37C6A" w:rsidP="00C77E9E" w:rsidRDefault="002861CB" w14:paraId="76931830" w14:textId="77777777">
      <w:pPr>
        <w:pStyle w:val="BodyTextIndent"/>
        <w:keepNext/>
        <w:keepLines/>
        <w:ind w:left="1080"/>
      </w:pPr>
      <w:r>
        <w:t>An estimated 43,</w:t>
      </w:r>
      <w:r w:rsidR="00046355">
        <w:t>121</w:t>
      </w:r>
      <w:r>
        <w:t xml:space="preserve"> households will complete the Food Security Supplement</w:t>
      </w:r>
      <w:r w:rsidR="005F3367">
        <w:t xml:space="preserve"> </w:t>
      </w:r>
      <w:r w:rsidR="00D37C6A">
        <w:t>(respondents)</w:t>
      </w:r>
      <w:r>
        <w:t>. This</w:t>
      </w:r>
      <w:r w:rsidR="00C77E9E">
        <w:t xml:space="preserve"> estimate assumes an 80 percent response rate to the supplement. </w:t>
      </w:r>
      <w:r>
        <w:t xml:space="preserve">The average respondent </w:t>
      </w:r>
      <w:r w:rsidR="00D37C6A">
        <w:t xml:space="preserve">burden is 8.8 minutes for </w:t>
      </w:r>
      <w:r w:rsidR="00C878B1">
        <w:t xml:space="preserve">each of the </w:t>
      </w:r>
      <w:r w:rsidR="00D37C6A">
        <w:t xml:space="preserve">supplement respondents. This estimate </w:t>
      </w:r>
      <w:r w:rsidR="001D7D8E">
        <w:t>accounts for</w:t>
      </w:r>
      <w:r w:rsidR="00D37C6A">
        <w:t xml:space="preserve"> screening within the supplement and the average proportion of respondent households that answered each section based on their screening status and</w:t>
      </w:r>
      <w:r w:rsidR="001D7D8E">
        <w:t xml:space="preserve"> the</w:t>
      </w:r>
      <w:r w:rsidR="00D37C6A">
        <w:t xml:space="preserve"> presence of children. </w:t>
      </w:r>
    </w:p>
    <w:p w:rsidR="00D37C6A" w:rsidP="00C77E9E" w:rsidRDefault="00D37C6A" w14:paraId="0413E094" w14:textId="77777777">
      <w:pPr>
        <w:pStyle w:val="BodyTextIndent"/>
        <w:keepNext/>
        <w:keepLines/>
        <w:ind w:left="1080"/>
      </w:pPr>
    </w:p>
    <w:p w:rsidR="00D37C6A" w:rsidP="00D37C6A" w:rsidRDefault="00D37C6A" w14:paraId="099B3A0D" w14:textId="77777777">
      <w:pPr>
        <w:pStyle w:val="BodyTextIndent"/>
        <w:keepNext/>
        <w:keepLines/>
        <w:ind w:left="1080"/>
      </w:pPr>
      <w:r>
        <w:t>An estimated 10,7</w:t>
      </w:r>
      <w:r w:rsidR="00046355">
        <w:t>80</w:t>
      </w:r>
      <w:r>
        <w:t xml:space="preserve"> households will not complete the </w:t>
      </w:r>
      <w:r w:rsidR="00C878B1">
        <w:t>s</w:t>
      </w:r>
      <w:r>
        <w:t xml:space="preserve">upplement (non-respondents). The average burden is 1 minute for supplement non-respondents. This estimate assumes that non-respondents only hear the </w:t>
      </w:r>
      <w:r w:rsidR="00C878B1">
        <w:t>one</w:t>
      </w:r>
      <w:r w:rsidR="00046355">
        <w:t>-</w:t>
      </w:r>
      <w:r w:rsidR="00C878B1">
        <w:t>minute introduction to the s</w:t>
      </w:r>
      <w:r>
        <w:t xml:space="preserve">upplement.  </w:t>
      </w:r>
    </w:p>
    <w:p w:rsidR="00D37C6A" w:rsidP="00C77E9E" w:rsidRDefault="00D37C6A" w14:paraId="230EC59D" w14:textId="77777777">
      <w:pPr>
        <w:pStyle w:val="BodyTextIndent"/>
        <w:keepNext/>
        <w:keepLines/>
        <w:ind w:left="1080"/>
      </w:pPr>
    </w:p>
    <w:p w:rsidR="00332103" w:rsidP="00C77E9E" w:rsidRDefault="00332103" w14:paraId="08BFD70E" w14:textId="77777777">
      <w:pPr>
        <w:pStyle w:val="BodyTextIndent"/>
        <w:keepNext/>
        <w:keepLines/>
        <w:ind w:left="1080"/>
      </w:pPr>
      <w:r w:rsidRPr="00D05BA8">
        <w:t>The table below provides a breakdown of the number of households expected to complete different parts of the Food Security Supplement questionnaire and average and total response time for households in each category</w:t>
      </w:r>
      <w:r w:rsidR="0048248C">
        <w:t xml:space="preserve"> based on </w:t>
      </w:r>
      <w:r w:rsidR="00497636">
        <w:t xml:space="preserve">recent </w:t>
      </w:r>
      <w:r w:rsidR="0048248C">
        <w:t>CPS-FSS data collections</w:t>
      </w:r>
      <w:r w:rsidR="00D37C6A">
        <w:t xml:space="preserve"> (</w:t>
      </w:r>
      <w:r w:rsidR="00046355">
        <w:t>2014-18</w:t>
      </w:r>
      <w:r w:rsidR="00D37C6A">
        <w:t>)</w:t>
      </w:r>
      <w:r w:rsidRPr="00D05BA8">
        <w:t>.</w:t>
      </w:r>
      <w:r>
        <w:t xml:space="preserve"> </w:t>
      </w:r>
    </w:p>
    <w:p w:rsidR="002533ED" w:rsidP="002533ED" w:rsidRDefault="002533ED" w14:paraId="42A9DE58" w14:textId="77777777">
      <w:pPr>
        <w:widowControl/>
        <w:ind w:left="720"/>
      </w:pPr>
    </w:p>
    <w:p w:rsidRPr="003A7EAE" w:rsidR="002533ED" w:rsidP="008D3D60" w:rsidRDefault="002533ED" w14:paraId="09C3C0E5" w14:textId="77777777">
      <w:pPr>
        <w:widowControl/>
        <w:ind w:left="1080"/>
      </w:pPr>
      <w:r w:rsidRPr="00D05BA8">
        <w:t xml:space="preserve">About </w:t>
      </w:r>
      <w:r>
        <w:t>57</w:t>
      </w:r>
      <w:r w:rsidRPr="00D05BA8">
        <w:t xml:space="preserve"> percent of the </w:t>
      </w:r>
      <w:r>
        <w:t xml:space="preserve">respondent </w:t>
      </w:r>
      <w:r w:rsidRPr="00D05BA8">
        <w:t xml:space="preserve">sample is expected to </w:t>
      </w:r>
      <w:r>
        <w:t xml:space="preserve">be </w:t>
      </w:r>
      <w:r w:rsidRPr="00F170DB">
        <w:t>households with incomes above 185</w:t>
      </w:r>
      <w:r>
        <w:t xml:space="preserve"> percent</w:t>
      </w:r>
      <w:r w:rsidRPr="00F170DB">
        <w:t xml:space="preserve"> of the poverty line who indicate no food security problem</w:t>
      </w:r>
      <w:r>
        <w:t>s</w:t>
      </w:r>
      <w:r w:rsidRPr="00F170DB">
        <w:t xml:space="preserve"> on questions S9 and SS1 and therefore answer only the food expenditure and food sufficiency questions</w:t>
      </w:r>
      <w:r>
        <w:t xml:space="preserve"> (S1 to S9 and SS1)</w:t>
      </w:r>
      <w:r w:rsidRPr="00F170DB">
        <w:t xml:space="preserve">. </w:t>
      </w:r>
      <w:r>
        <w:t xml:space="preserve">The remaining respondents, lower-income households and households screened in based on S9 or SS1 (categories 3 and 4), will also answer questions about their food security and use of food and nutrition assistance programs. The number of questions these households answer depends on whether the household includes children and on how food insecure the household is, as questions about more severe food-insecure conditions are screened for administration based on </w:t>
      </w:r>
      <w:r w:rsidRPr="000D67F2">
        <w:t xml:space="preserve">responses to questions about less severe conditions. Based on average responses in the </w:t>
      </w:r>
      <w:r>
        <w:t>2014-18</w:t>
      </w:r>
      <w:r w:rsidRPr="000D67F2">
        <w:t xml:space="preserve"> surveys</w:t>
      </w:r>
      <w:r>
        <w:t>, and the number of new items proposed in the updated questionnaire</w:t>
      </w:r>
      <w:r w:rsidRPr="000D67F2">
        <w:t>, lower</w:t>
      </w:r>
      <w:r>
        <w:t xml:space="preserve"> </w:t>
      </w:r>
      <w:r w:rsidRPr="000D67F2">
        <w:t>income or screened in households with children will answer, on average, 3</w:t>
      </w:r>
      <w:r>
        <w:t>5</w:t>
      </w:r>
      <w:r w:rsidRPr="000D67F2">
        <w:t xml:space="preserve"> questions and lower</w:t>
      </w:r>
      <w:r>
        <w:t xml:space="preserve"> </w:t>
      </w:r>
      <w:r w:rsidRPr="000D67F2">
        <w:t>income or screened in households with no child will answer, on average</w:t>
      </w:r>
      <w:r>
        <w:t>,</w:t>
      </w:r>
      <w:r w:rsidRPr="000D67F2">
        <w:t xml:space="preserve"> 2</w:t>
      </w:r>
      <w:r>
        <w:t>6</w:t>
      </w:r>
      <w:r w:rsidRPr="000D67F2">
        <w:t xml:space="preserve"> questions</w:t>
      </w:r>
      <w:r>
        <w:t xml:space="preserve">. </w:t>
      </w:r>
    </w:p>
    <w:p w:rsidRPr="003A7EAE" w:rsidR="002533ED" w:rsidP="002533ED" w:rsidRDefault="002533ED" w14:paraId="35CBCC63" w14:textId="77777777">
      <w:pPr>
        <w:widowControl/>
      </w:pPr>
    </w:p>
    <w:p w:rsidRPr="003A7EAE" w:rsidR="002533ED" w:rsidP="008D3D60" w:rsidRDefault="002533ED" w14:paraId="666CB878" w14:textId="77777777">
      <w:pPr>
        <w:widowControl/>
        <w:ind w:left="720" w:firstLine="360"/>
      </w:pPr>
      <w:r>
        <w:t>Average times are based on timed readings of questions and typical responses.</w:t>
      </w:r>
    </w:p>
    <w:p w:rsidR="002533ED" w:rsidP="00C77E9E" w:rsidRDefault="002533ED" w14:paraId="73EDD0DF" w14:textId="77777777">
      <w:pPr>
        <w:pStyle w:val="BodyTextIndent"/>
        <w:keepNext/>
        <w:keepLines/>
        <w:ind w:left="1080"/>
      </w:pPr>
    </w:p>
    <w:p w:rsidR="00A45561" w:rsidP="00C77E9E" w:rsidRDefault="00A45561" w14:paraId="0572EFD4" w14:textId="77777777">
      <w:pPr>
        <w:widowControl/>
        <w:jc w:val="center"/>
        <w:rPr>
          <w:rFonts w:ascii="Arial" w:hAnsi="Arial" w:cs="Arial"/>
          <w:b/>
          <w:bCs/>
          <w:snapToGrid/>
          <w:sz w:val="18"/>
          <w:szCs w:val="18"/>
        </w:rPr>
      </w:pPr>
    </w:p>
    <w:p w:rsidR="00FF01E9" w:rsidP="00C77E9E" w:rsidRDefault="00FF01E9" w14:paraId="25675263" w14:textId="77777777">
      <w:pPr>
        <w:widowControl/>
        <w:jc w:val="center"/>
        <w:rPr>
          <w:rFonts w:ascii="Arial" w:hAnsi="Arial" w:cs="Arial"/>
          <w:b/>
          <w:bCs/>
          <w:snapToGrid/>
          <w:sz w:val="18"/>
          <w:szCs w:val="18"/>
        </w:rPr>
        <w:sectPr w:rsidR="00FF01E9" w:rsidSect="00C244E1">
          <w:footerReference w:type="default" r:id="rId30"/>
          <w:endnotePr>
            <w:numFmt w:val="decimal"/>
          </w:endnotePr>
          <w:type w:val="continuous"/>
          <w:pgSz w:w="12240" w:h="15840"/>
          <w:pgMar w:top="1440" w:right="1440" w:bottom="1440" w:left="1440" w:header="2160" w:footer="1440" w:gutter="0"/>
          <w:cols w:space="720"/>
          <w:noEndnote/>
          <w:docGrid w:linePitch="326"/>
        </w:sectPr>
      </w:pPr>
    </w:p>
    <w:tbl>
      <w:tblPr>
        <w:tblW w:w="14275" w:type="dxa"/>
        <w:tblInd w:w="113" w:type="dxa"/>
        <w:tblLayout w:type="fixed"/>
        <w:tblLook w:val="04A0" w:firstRow="1" w:lastRow="0" w:firstColumn="1" w:lastColumn="0" w:noHBand="0" w:noVBand="1"/>
      </w:tblPr>
      <w:tblGrid>
        <w:gridCol w:w="2875"/>
        <w:gridCol w:w="900"/>
        <w:gridCol w:w="630"/>
        <w:gridCol w:w="810"/>
        <w:gridCol w:w="810"/>
        <w:gridCol w:w="720"/>
        <w:gridCol w:w="900"/>
        <w:gridCol w:w="990"/>
        <w:gridCol w:w="810"/>
        <w:gridCol w:w="720"/>
        <w:gridCol w:w="900"/>
        <w:gridCol w:w="1530"/>
        <w:gridCol w:w="1680"/>
      </w:tblGrid>
      <w:tr w:rsidRPr="00FF01E9" w:rsidR="0022644E" w:rsidTr="005C5D7B" w14:paraId="325765AB" w14:textId="77777777">
        <w:trPr>
          <w:gridAfter w:val="1"/>
          <w:wAfter w:w="1680" w:type="dxa"/>
          <w:trHeight w:val="297"/>
        </w:trPr>
        <w:tc>
          <w:tcPr>
            <w:tcW w:w="287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FF01E9" w:rsidR="00FF01E9" w:rsidP="00FF01E9" w:rsidRDefault="00FF01E9" w14:paraId="07D0668D" w14:textId="77777777">
            <w:pPr>
              <w:widowControl/>
              <w:jc w:val="center"/>
              <w:rPr>
                <w:rFonts w:ascii="Arial" w:hAnsi="Arial" w:cs="Arial"/>
                <w:b/>
                <w:bCs/>
                <w:snapToGrid/>
                <w:sz w:val="18"/>
                <w:szCs w:val="18"/>
              </w:rPr>
            </w:pPr>
            <w:r w:rsidRPr="00FF01E9">
              <w:rPr>
                <w:rFonts w:ascii="Arial" w:hAnsi="Arial" w:cs="Arial"/>
                <w:b/>
                <w:bCs/>
                <w:snapToGrid/>
                <w:sz w:val="18"/>
                <w:szCs w:val="18"/>
              </w:rPr>
              <w:lastRenderedPageBreak/>
              <w:t>Current Population Survey Food Security Supplement</w:t>
            </w:r>
          </w:p>
        </w:tc>
        <w:tc>
          <w:tcPr>
            <w:tcW w:w="90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FF01E9" w:rsidR="00FF01E9" w:rsidP="00FF01E9" w:rsidRDefault="00FF01E9" w14:paraId="60FAE6BE" w14:textId="77777777">
            <w:pPr>
              <w:widowControl/>
              <w:jc w:val="center"/>
              <w:rPr>
                <w:rFonts w:ascii="Arial" w:hAnsi="Arial" w:cs="Arial"/>
                <w:b/>
                <w:bCs/>
                <w:snapToGrid/>
                <w:sz w:val="18"/>
                <w:szCs w:val="18"/>
              </w:rPr>
            </w:pPr>
            <w:r w:rsidRPr="00FF01E9">
              <w:rPr>
                <w:rFonts w:ascii="Arial" w:hAnsi="Arial" w:cs="Arial"/>
                <w:b/>
                <w:bCs/>
                <w:snapToGrid/>
                <w:sz w:val="18"/>
                <w:szCs w:val="18"/>
              </w:rPr>
              <w:t>Sample Size</w:t>
            </w:r>
          </w:p>
        </w:tc>
        <w:tc>
          <w:tcPr>
            <w:tcW w:w="63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FF01E9" w:rsidR="00FF01E9" w:rsidP="00FF01E9" w:rsidRDefault="00FF01E9" w14:paraId="1472F7B8" w14:textId="77777777">
            <w:pPr>
              <w:widowControl/>
              <w:jc w:val="center"/>
              <w:rPr>
                <w:rFonts w:ascii="Arial" w:hAnsi="Arial" w:cs="Arial"/>
                <w:b/>
                <w:bCs/>
                <w:snapToGrid/>
                <w:sz w:val="18"/>
                <w:szCs w:val="18"/>
              </w:rPr>
            </w:pPr>
            <w:r w:rsidRPr="00FF01E9">
              <w:rPr>
                <w:rFonts w:ascii="Arial" w:hAnsi="Arial" w:cs="Arial"/>
                <w:b/>
                <w:bCs/>
                <w:snapToGrid/>
                <w:sz w:val="18"/>
                <w:szCs w:val="18"/>
              </w:rPr>
              <w:t>Freq</w:t>
            </w:r>
          </w:p>
        </w:tc>
        <w:tc>
          <w:tcPr>
            <w:tcW w:w="3240" w:type="dxa"/>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FF01E9" w:rsidR="00FF01E9" w:rsidP="00FF01E9" w:rsidRDefault="00FF01E9" w14:paraId="19960884" w14:textId="77777777">
            <w:pPr>
              <w:widowControl/>
              <w:jc w:val="center"/>
              <w:rPr>
                <w:rFonts w:ascii="Arial" w:hAnsi="Arial" w:cs="Arial"/>
                <w:b/>
                <w:bCs/>
                <w:snapToGrid/>
                <w:sz w:val="18"/>
                <w:szCs w:val="18"/>
              </w:rPr>
            </w:pPr>
            <w:r w:rsidRPr="00FF01E9">
              <w:rPr>
                <w:rFonts w:ascii="Arial" w:hAnsi="Arial" w:cs="Arial"/>
                <w:b/>
                <w:bCs/>
                <w:snapToGrid/>
                <w:sz w:val="18"/>
                <w:szCs w:val="18"/>
              </w:rPr>
              <w:t>Responses</w:t>
            </w:r>
          </w:p>
        </w:tc>
        <w:tc>
          <w:tcPr>
            <w:tcW w:w="3420" w:type="dxa"/>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FF01E9" w:rsidR="00FF01E9" w:rsidP="00FF01E9" w:rsidRDefault="00FF01E9" w14:paraId="2BD16C0C" w14:textId="77777777">
            <w:pPr>
              <w:widowControl/>
              <w:jc w:val="center"/>
              <w:rPr>
                <w:rFonts w:ascii="Arial" w:hAnsi="Arial" w:cs="Arial"/>
                <w:b/>
                <w:bCs/>
                <w:snapToGrid/>
                <w:sz w:val="18"/>
                <w:szCs w:val="18"/>
              </w:rPr>
            </w:pPr>
            <w:r w:rsidRPr="00FF01E9">
              <w:rPr>
                <w:rFonts w:ascii="Arial" w:hAnsi="Arial" w:cs="Arial"/>
                <w:b/>
                <w:bCs/>
                <w:snapToGrid/>
                <w:sz w:val="18"/>
                <w:szCs w:val="18"/>
              </w:rPr>
              <w:t>Non-response</w:t>
            </w:r>
          </w:p>
        </w:tc>
        <w:tc>
          <w:tcPr>
            <w:tcW w:w="153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FF01E9" w:rsidR="00FF01E9" w:rsidP="00FF01E9" w:rsidRDefault="00FF01E9" w14:paraId="1C2AD5C3" w14:textId="77777777">
            <w:pPr>
              <w:widowControl/>
              <w:jc w:val="center"/>
              <w:rPr>
                <w:rFonts w:ascii="Arial" w:hAnsi="Arial" w:cs="Arial"/>
                <w:b/>
                <w:bCs/>
                <w:snapToGrid/>
                <w:sz w:val="18"/>
                <w:szCs w:val="18"/>
              </w:rPr>
            </w:pPr>
            <w:r w:rsidRPr="00FF01E9">
              <w:rPr>
                <w:rFonts w:ascii="Arial" w:hAnsi="Arial" w:cs="Arial"/>
                <w:b/>
                <w:bCs/>
                <w:snapToGrid/>
                <w:sz w:val="18"/>
                <w:szCs w:val="18"/>
              </w:rPr>
              <w:t>Total Burden Hours</w:t>
            </w:r>
          </w:p>
        </w:tc>
      </w:tr>
      <w:tr w:rsidRPr="00FF01E9" w:rsidR="00FF01E9" w:rsidTr="005C5D7B" w14:paraId="5E4778BC" w14:textId="77777777">
        <w:trPr>
          <w:trHeight w:val="297"/>
        </w:trPr>
        <w:tc>
          <w:tcPr>
            <w:tcW w:w="2875" w:type="dxa"/>
            <w:vMerge/>
            <w:tcBorders>
              <w:top w:val="single" w:color="auto" w:sz="4" w:space="0"/>
              <w:left w:val="single" w:color="auto" w:sz="4" w:space="0"/>
              <w:bottom w:val="single" w:color="auto" w:sz="4" w:space="0"/>
              <w:right w:val="single" w:color="auto" w:sz="4" w:space="0"/>
            </w:tcBorders>
            <w:vAlign w:val="center"/>
            <w:hideMark/>
          </w:tcPr>
          <w:p w:rsidRPr="00FF01E9" w:rsidR="00FF01E9" w:rsidP="00FF01E9" w:rsidRDefault="00FF01E9" w14:paraId="5DE42411" w14:textId="77777777">
            <w:pPr>
              <w:widowControl/>
              <w:rPr>
                <w:rFonts w:ascii="Arial" w:hAnsi="Arial" w:cs="Arial"/>
                <w:b/>
                <w:bCs/>
                <w:snapToGrid/>
                <w:sz w:val="18"/>
                <w:szCs w:val="18"/>
              </w:rPr>
            </w:pPr>
          </w:p>
        </w:tc>
        <w:tc>
          <w:tcPr>
            <w:tcW w:w="900" w:type="dxa"/>
            <w:vMerge/>
            <w:tcBorders>
              <w:top w:val="single" w:color="auto" w:sz="4" w:space="0"/>
              <w:left w:val="single" w:color="auto" w:sz="4" w:space="0"/>
              <w:bottom w:val="single" w:color="auto" w:sz="4" w:space="0"/>
              <w:right w:val="single" w:color="auto" w:sz="4" w:space="0"/>
            </w:tcBorders>
            <w:vAlign w:val="center"/>
            <w:hideMark/>
          </w:tcPr>
          <w:p w:rsidRPr="00FF01E9" w:rsidR="00FF01E9" w:rsidP="00FF01E9" w:rsidRDefault="00FF01E9" w14:paraId="14487CF1" w14:textId="77777777">
            <w:pPr>
              <w:widowControl/>
              <w:rPr>
                <w:rFonts w:ascii="Arial" w:hAnsi="Arial" w:cs="Arial"/>
                <w:b/>
                <w:bCs/>
                <w:snapToGrid/>
                <w:sz w:val="18"/>
                <w:szCs w:val="18"/>
              </w:rPr>
            </w:pPr>
          </w:p>
        </w:tc>
        <w:tc>
          <w:tcPr>
            <w:tcW w:w="630" w:type="dxa"/>
            <w:vMerge/>
            <w:tcBorders>
              <w:top w:val="single" w:color="auto" w:sz="4" w:space="0"/>
              <w:left w:val="single" w:color="auto" w:sz="4" w:space="0"/>
              <w:bottom w:val="single" w:color="auto" w:sz="4" w:space="0"/>
              <w:right w:val="single" w:color="auto" w:sz="4" w:space="0"/>
            </w:tcBorders>
            <w:vAlign w:val="center"/>
            <w:hideMark/>
          </w:tcPr>
          <w:p w:rsidRPr="00FF01E9" w:rsidR="00FF01E9" w:rsidP="00FF01E9" w:rsidRDefault="00FF01E9" w14:paraId="3BEDD815" w14:textId="77777777">
            <w:pPr>
              <w:widowControl/>
              <w:rPr>
                <w:rFonts w:ascii="Arial" w:hAnsi="Arial" w:cs="Arial"/>
                <w:b/>
                <w:bCs/>
                <w:snapToGrid/>
                <w:sz w:val="18"/>
                <w:szCs w:val="18"/>
              </w:rPr>
            </w:pPr>
          </w:p>
        </w:tc>
        <w:tc>
          <w:tcPr>
            <w:tcW w:w="3240" w:type="dxa"/>
            <w:gridSpan w:val="4"/>
            <w:vMerge/>
            <w:tcBorders>
              <w:top w:val="single" w:color="auto" w:sz="4" w:space="0"/>
              <w:left w:val="single" w:color="auto" w:sz="4" w:space="0"/>
              <w:bottom w:val="single" w:color="auto" w:sz="4" w:space="0"/>
              <w:right w:val="single" w:color="auto" w:sz="4" w:space="0"/>
            </w:tcBorders>
            <w:vAlign w:val="center"/>
            <w:hideMark/>
          </w:tcPr>
          <w:p w:rsidRPr="00FF01E9" w:rsidR="00FF01E9" w:rsidP="00FF01E9" w:rsidRDefault="00FF01E9" w14:paraId="2E876FC0" w14:textId="77777777">
            <w:pPr>
              <w:widowControl/>
              <w:rPr>
                <w:rFonts w:ascii="Arial" w:hAnsi="Arial" w:cs="Arial"/>
                <w:b/>
                <w:bCs/>
                <w:snapToGrid/>
                <w:sz w:val="18"/>
                <w:szCs w:val="18"/>
              </w:rPr>
            </w:pPr>
          </w:p>
        </w:tc>
        <w:tc>
          <w:tcPr>
            <w:tcW w:w="3420" w:type="dxa"/>
            <w:gridSpan w:val="4"/>
            <w:vMerge/>
            <w:tcBorders>
              <w:top w:val="single" w:color="auto" w:sz="4" w:space="0"/>
              <w:left w:val="single" w:color="auto" w:sz="4" w:space="0"/>
              <w:bottom w:val="single" w:color="auto" w:sz="4" w:space="0"/>
              <w:right w:val="single" w:color="auto" w:sz="4" w:space="0"/>
            </w:tcBorders>
            <w:vAlign w:val="center"/>
            <w:hideMark/>
          </w:tcPr>
          <w:p w:rsidRPr="00FF01E9" w:rsidR="00FF01E9" w:rsidP="00FF01E9" w:rsidRDefault="00FF01E9" w14:paraId="1CD6F597" w14:textId="77777777">
            <w:pPr>
              <w:widowControl/>
              <w:rPr>
                <w:rFonts w:ascii="Arial" w:hAnsi="Arial" w:cs="Arial"/>
                <w:b/>
                <w:bCs/>
                <w:snapToGrid/>
                <w:sz w:val="18"/>
                <w:szCs w:val="18"/>
              </w:rPr>
            </w:pPr>
          </w:p>
        </w:tc>
        <w:tc>
          <w:tcPr>
            <w:tcW w:w="1530" w:type="dxa"/>
            <w:vMerge/>
            <w:tcBorders>
              <w:top w:val="single" w:color="auto" w:sz="4" w:space="0"/>
              <w:left w:val="single" w:color="auto" w:sz="4" w:space="0"/>
              <w:bottom w:val="single" w:color="auto" w:sz="4" w:space="0"/>
              <w:right w:val="single" w:color="auto" w:sz="4" w:space="0"/>
            </w:tcBorders>
            <w:vAlign w:val="center"/>
            <w:hideMark/>
          </w:tcPr>
          <w:p w:rsidRPr="00FF01E9" w:rsidR="00FF01E9" w:rsidP="00FF01E9" w:rsidRDefault="00FF01E9" w14:paraId="7D98575A" w14:textId="77777777">
            <w:pPr>
              <w:widowControl/>
              <w:rPr>
                <w:rFonts w:ascii="Arial" w:hAnsi="Arial" w:cs="Arial"/>
                <w:b/>
                <w:bCs/>
                <w:snapToGrid/>
                <w:sz w:val="18"/>
                <w:szCs w:val="18"/>
              </w:rPr>
            </w:pPr>
          </w:p>
        </w:tc>
        <w:tc>
          <w:tcPr>
            <w:tcW w:w="1680" w:type="dxa"/>
            <w:tcBorders>
              <w:top w:val="nil"/>
              <w:left w:val="nil"/>
              <w:bottom w:val="nil"/>
              <w:right w:val="nil"/>
            </w:tcBorders>
            <w:shd w:val="clear" w:color="auto" w:fill="auto"/>
            <w:noWrap/>
            <w:vAlign w:val="bottom"/>
            <w:hideMark/>
          </w:tcPr>
          <w:p w:rsidRPr="00FF01E9" w:rsidR="00FF01E9" w:rsidP="00FF01E9" w:rsidRDefault="00FF01E9" w14:paraId="585C0C0F" w14:textId="77777777">
            <w:pPr>
              <w:widowControl/>
              <w:jc w:val="center"/>
              <w:rPr>
                <w:rFonts w:ascii="Arial" w:hAnsi="Arial" w:cs="Arial"/>
                <w:b/>
                <w:bCs/>
                <w:snapToGrid/>
                <w:sz w:val="18"/>
                <w:szCs w:val="18"/>
              </w:rPr>
            </w:pPr>
          </w:p>
        </w:tc>
      </w:tr>
      <w:tr w:rsidRPr="00FF01E9" w:rsidR="0022644E" w:rsidTr="005C5D7B" w14:paraId="2258D384" w14:textId="77777777">
        <w:trPr>
          <w:trHeight w:val="297"/>
        </w:trPr>
        <w:tc>
          <w:tcPr>
            <w:tcW w:w="2875" w:type="dxa"/>
            <w:vMerge/>
            <w:tcBorders>
              <w:top w:val="single" w:color="auto" w:sz="4" w:space="0"/>
              <w:left w:val="single" w:color="auto" w:sz="4" w:space="0"/>
              <w:bottom w:val="single" w:color="auto" w:sz="4" w:space="0"/>
              <w:right w:val="single" w:color="auto" w:sz="4" w:space="0"/>
            </w:tcBorders>
            <w:vAlign w:val="center"/>
            <w:hideMark/>
          </w:tcPr>
          <w:p w:rsidRPr="00FF01E9" w:rsidR="00FF01E9" w:rsidP="00FF01E9" w:rsidRDefault="00FF01E9" w14:paraId="76EFA39A" w14:textId="77777777">
            <w:pPr>
              <w:widowControl/>
              <w:rPr>
                <w:rFonts w:ascii="Arial" w:hAnsi="Arial" w:cs="Arial"/>
                <w:b/>
                <w:bCs/>
                <w:snapToGrid/>
                <w:sz w:val="18"/>
                <w:szCs w:val="18"/>
              </w:rPr>
            </w:pPr>
          </w:p>
        </w:tc>
        <w:tc>
          <w:tcPr>
            <w:tcW w:w="900" w:type="dxa"/>
            <w:vMerge/>
            <w:tcBorders>
              <w:top w:val="single" w:color="auto" w:sz="4" w:space="0"/>
              <w:left w:val="single" w:color="auto" w:sz="4" w:space="0"/>
              <w:bottom w:val="single" w:color="auto" w:sz="4" w:space="0"/>
              <w:right w:val="single" w:color="auto" w:sz="4" w:space="0"/>
            </w:tcBorders>
            <w:vAlign w:val="center"/>
            <w:hideMark/>
          </w:tcPr>
          <w:p w:rsidRPr="00FF01E9" w:rsidR="00FF01E9" w:rsidP="00FF01E9" w:rsidRDefault="00FF01E9" w14:paraId="62644CF2" w14:textId="77777777">
            <w:pPr>
              <w:widowControl/>
              <w:rPr>
                <w:rFonts w:ascii="Arial" w:hAnsi="Arial" w:cs="Arial"/>
                <w:b/>
                <w:bCs/>
                <w:snapToGrid/>
                <w:sz w:val="18"/>
                <w:szCs w:val="18"/>
              </w:rPr>
            </w:pPr>
          </w:p>
        </w:tc>
        <w:tc>
          <w:tcPr>
            <w:tcW w:w="630" w:type="dxa"/>
            <w:vMerge/>
            <w:tcBorders>
              <w:top w:val="single" w:color="auto" w:sz="4" w:space="0"/>
              <w:left w:val="single" w:color="auto" w:sz="4" w:space="0"/>
              <w:bottom w:val="single" w:color="auto" w:sz="4" w:space="0"/>
              <w:right w:val="single" w:color="auto" w:sz="4" w:space="0"/>
            </w:tcBorders>
            <w:vAlign w:val="center"/>
            <w:hideMark/>
          </w:tcPr>
          <w:p w:rsidRPr="00FF01E9" w:rsidR="00FF01E9" w:rsidP="00FF01E9" w:rsidRDefault="00FF01E9" w14:paraId="3CE8BF73" w14:textId="77777777">
            <w:pPr>
              <w:widowControl/>
              <w:rPr>
                <w:rFonts w:ascii="Arial" w:hAnsi="Arial" w:cs="Arial"/>
                <w:b/>
                <w:bCs/>
                <w:snapToGrid/>
                <w:sz w:val="18"/>
                <w:szCs w:val="18"/>
              </w:rPr>
            </w:pPr>
          </w:p>
        </w:tc>
        <w:tc>
          <w:tcPr>
            <w:tcW w:w="810" w:type="dxa"/>
            <w:vMerge w:val="restart"/>
            <w:tcBorders>
              <w:top w:val="nil"/>
              <w:left w:val="single" w:color="auto" w:sz="4" w:space="0"/>
              <w:bottom w:val="single" w:color="auto" w:sz="4" w:space="0"/>
              <w:right w:val="single" w:color="auto" w:sz="4" w:space="0"/>
            </w:tcBorders>
            <w:shd w:val="clear" w:color="auto" w:fill="auto"/>
            <w:vAlign w:val="center"/>
            <w:hideMark/>
          </w:tcPr>
          <w:p w:rsidRPr="00FF01E9" w:rsidR="00FF01E9" w:rsidP="00FF01E9" w:rsidRDefault="00FF01E9" w14:paraId="480568F5" w14:textId="77777777">
            <w:pPr>
              <w:widowControl/>
              <w:jc w:val="center"/>
              <w:rPr>
                <w:rFonts w:ascii="Arial" w:hAnsi="Arial" w:cs="Arial"/>
                <w:b/>
                <w:bCs/>
                <w:snapToGrid/>
                <w:sz w:val="18"/>
                <w:szCs w:val="18"/>
              </w:rPr>
            </w:pPr>
            <w:r w:rsidRPr="00FF01E9">
              <w:rPr>
                <w:rFonts w:ascii="Arial" w:hAnsi="Arial" w:cs="Arial"/>
                <w:b/>
                <w:bCs/>
                <w:snapToGrid/>
                <w:sz w:val="18"/>
                <w:szCs w:val="18"/>
              </w:rPr>
              <w:t>Resp. Count</w:t>
            </w:r>
          </w:p>
        </w:tc>
        <w:tc>
          <w:tcPr>
            <w:tcW w:w="810" w:type="dxa"/>
            <w:vMerge w:val="restart"/>
            <w:tcBorders>
              <w:top w:val="nil"/>
              <w:left w:val="single" w:color="auto" w:sz="4" w:space="0"/>
              <w:bottom w:val="single" w:color="auto" w:sz="4" w:space="0"/>
              <w:right w:val="single" w:color="auto" w:sz="4" w:space="0"/>
            </w:tcBorders>
            <w:shd w:val="clear" w:color="auto" w:fill="auto"/>
            <w:vAlign w:val="center"/>
            <w:hideMark/>
          </w:tcPr>
          <w:p w:rsidRPr="00FF01E9" w:rsidR="00FF01E9" w:rsidP="00FF01E9" w:rsidRDefault="00FF01E9" w14:paraId="1298521A" w14:textId="77777777">
            <w:pPr>
              <w:widowControl/>
              <w:jc w:val="center"/>
              <w:rPr>
                <w:rFonts w:ascii="Arial" w:hAnsi="Arial" w:cs="Arial"/>
                <w:b/>
                <w:bCs/>
                <w:snapToGrid/>
                <w:sz w:val="18"/>
                <w:szCs w:val="18"/>
              </w:rPr>
            </w:pPr>
            <w:r w:rsidRPr="00FF01E9">
              <w:rPr>
                <w:rFonts w:ascii="Arial" w:hAnsi="Arial" w:cs="Arial"/>
                <w:b/>
                <w:bCs/>
                <w:snapToGrid/>
                <w:sz w:val="18"/>
                <w:szCs w:val="18"/>
              </w:rPr>
              <w:t>Freq x Count</w:t>
            </w:r>
          </w:p>
        </w:tc>
        <w:tc>
          <w:tcPr>
            <w:tcW w:w="720" w:type="dxa"/>
            <w:vMerge w:val="restart"/>
            <w:tcBorders>
              <w:top w:val="nil"/>
              <w:left w:val="single" w:color="auto" w:sz="4" w:space="0"/>
              <w:bottom w:val="single" w:color="auto" w:sz="4" w:space="0"/>
              <w:right w:val="single" w:color="auto" w:sz="4" w:space="0"/>
            </w:tcBorders>
            <w:shd w:val="clear" w:color="auto" w:fill="auto"/>
            <w:vAlign w:val="center"/>
            <w:hideMark/>
          </w:tcPr>
          <w:p w:rsidRPr="00FF01E9" w:rsidR="00FF01E9" w:rsidP="00FF01E9" w:rsidRDefault="00FF01E9" w14:paraId="789273C7" w14:textId="77777777">
            <w:pPr>
              <w:widowControl/>
              <w:jc w:val="center"/>
              <w:rPr>
                <w:rFonts w:ascii="Arial" w:hAnsi="Arial" w:cs="Arial"/>
                <w:b/>
                <w:bCs/>
                <w:snapToGrid/>
                <w:sz w:val="18"/>
                <w:szCs w:val="18"/>
              </w:rPr>
            </w:pPr>
            <w:r w:rsidRPr="00FF01E9">
              <w:rPr>
                <w:rFonts w:ascii="Arial" w:hAnsi="Arial" w:cs="Arial"/>
                <w:b/>
                <w:bCs/>
                <w:snapToGrid/>
                <w:sz w:val="18"/>
                <w:szCs w:val="18"/>
              </w:rPr>
              <w:t>Min./ Resp.</w:t>
            </w:r>
          </w:p>
        </w:tc>
        <w:tc>
          <w:tcPr>
            <w:tcW w:w="900" w:type="dxa"/>
            <w:vMerge w:val="restart"/>
            <w:tcBorders>
              <w:top w:val="nil"/>
              <w:left w:val="single" w:color="auto" w:sz="4" w:space="0"/>
              <w:bottom w:val="single" w:color="auto" w:sz="4" w:space="0"/>
              <w:right w:val="single" w:color="auto" w:sz="4" w:space="0"/>
            </w:tcBorders>
            <w:shd w:val="clear" w:color="auto" w:fill="auto"/>
            <w:vAlign w:val="center"/>
            <w:hideMark/>
          </w:tcPr>
          <w:p w:rsidRPr="00FF01E9" w:rsidR="00FF01E9" w:rsidP="00FF01E9" w:rsidRDefault="00FF01E9" w14:paraId="25708C4F" w14:textId="77777777">
            <w:pPr>
              <w:widowControl/>
              <w:jc w:val="center"/>
              <w:rPr>
                <w:rFonts w:ascii="Arial" w:hAnsi="Arial" w:cs="Arial"/>
                <w:b/>
                <w:bCs/>
                <w:snapToGrid/>
                <w:sz w:val="18"/>
                <w:szCs w:val="18"/>
              </w:rPr>
            </w:pPr>
            <w:r w:rsidRPr="00FF01E9">
              <w:rPr>
                <w:rFonts w:ascii="Arial" w:hAnsi="Arial" w:cs="Arial"/>
                <w:b/>
                <w:bCs/>
                <w:snapToGrid/>
                <w:sz w:val="18"/>
                <w:szCs w:val="18"/>
              </w:rPr>
              <w:t>Burden Hours</w:t>
            </w:r>
          </w:p>
        </w:tc>
        <w:tc>
          <w:tcPr>
            <w:tcW w:w="990" w:type="dxa"/>
            <w:vMerge w:val="restart"/>
            <w:tcBorders>
              <w:top w:val="nil"/>
              <w:left w:val="single" w:color="auto" w:sz="4" w:space="0"/>
              <w:bottom w:val="single" w:color="auto" w:sz="4" w:space="0"/>
              <w:right w:val="single" w:color="auto" w:sz="4" w:space="0"/>
            </w:tcBorders>
            <w:shd w:val="clear" w:color="auto" w:fill="auto"/>
            <w:vAlign w:val="center"/>
            <w:hideMark/>
          </w:tcPr>
          <w:p w:rsidRPr="00FF01E9" w:rsidR="00FF01E9" w:rsidP="00FF01E9" w:rsidRDefault="00FF01E9" w14:paraId="69C385A5" w14:textId="77777777">
            <w:pPr>
              <w:widowControl/>
              <w:jc w:val="center"/>
              <w:rPr>
                <w:rFonts w:ascii="Arial" w:hAnsi="Arial" w:cs="Arial"/>
                <w:b/>
                <w:bCs/>
                <w:snapToGrid/>
                <w:sz w:val="18"/>
                <w:szCs w:val="18"/>
              </w:rPr>
            </w:pPr>
            <w:r w:rsidRPr="00FF01E9">
              <w:rPr>
                <w:rFonts w:ascii="Arial" w:hAnsi="Arial" w:cs="Arial"/>
                <w:b/>
                <w:bCs/>
                <w:snapToGrid/>
                <w:sz w:val="18"/>
                <w:szCs w:val="18"/>
              </w:rPr>
              <w:t>Nonresp Count</w:t>
            </w:r>
          </w:p>
        </w:tc>
        <w:tc>
          <w:tcPr>
            <w:tcW w:w="810" w:type="dxa"/>
            <w:vMerge w:val="restart"/>
            <w:tcBorders>
              <w:top w:val="nil"/>
              <w:left w:val="single" w:color="auto" w:sz="4" w:space="0"/>
              <w:bottom w:val="single" w:color="auto" w:sz="4" w:space="0"/>
              <w:right w:val="single" w:color="auto" w:sz="4" w:space="0"/>
            </w:tcBorders>
            <w:shd w:val="clear" w:color="auto" w:fill="auto"/>
            <w:vAlign w:val="center"/>
            <w:hideMark/>
          </w:tcPr>
          <w:p w:rsidRPr="00FF01E9" w:rsidR="00FF01E9" w:rsidP="00FF01E9" w:rsidRDefault="00FF01E9" w14:paraId="0CEAE7B5" w14:textId="77777777">
            <w:pPr>
              <w:widowControl/>
              <w:jc w:val="center"/>
              <w:rPr>
                <w:rFonts w:ascii="Arial" w:hAnsi="Arial" w:cs="Arial"/>
                <w:b/>
                <w:bCs/>
                <w:snapToGrid/>
                <w:sz w:val="18"/>
                <w:szCs w:val="18"/>
              </w:rPr>
            </w:pPr>
            <w:r w:rsidRPr="00FF01E9">
              <w:rPr>
                <w:rFonts w:ascii="Arial" w:hAnsi="Arial" w:cs="Arial"/>
                <w:b/>
                <w:bCs/>
                <w:snapToGrid/>
                <w:sz w:val="18"/>
                <w:szCs w:val="18"/>
              </w:rPr>
              <w:t>Freq. x Count</w:t>
            </w:r>
          </w:p>
        </w:tc>
        <w:tc>
          <w:tcPr>
            <w:tcW w:w="720" w:type="dxa"/>
            <w:vMerge w:val="restart"/>
            <w:tcBorders>
              <w:top w:val="nil"/>
              <w:left w:val="single" w:color="auto" w:sz="4" w:space="0"/>
              <w:bottom w:val="single" w:color="auto" w:sz="4" w:space="0"/>
              <w:right w:val="single" w:color="auto" w:sz="4" w:space="0"/>
            </w:tcBorders>
            <w:shd w:val="clear" w:color="auto" w:fill="auto"/>
            <w:vAlign w:val="center"/>
            <w:hideMark/>
          </w:tcPr>
          <w:p w:rsidRPr="00FF01E9" w:rsidR="00FF01E9" w:rsidP="00FF01E9" w:rsidRDefault="00FF01E9" w14:paraId="2AC7B949" w14:textId="77777777">
            <w:pPr>
              <w:widowControl/>
              <w:jc w:val="center"/>
              <w:rPr>
                <w:rFonts w:ascii="Arial" w:hAnsi="Arial" w:cs="Arial"/>
                <w:b/>
                <w:bCs/>
                <w:snapToGrid/>
                <w:sz w:val="18"/>
                <w:szCs w:val="18"/>
              </w:rPr>
            </w:pPr>
            <w:r w:rsidRPr="00FF01E9">
              <w:rPr>
                <w:rFonts w:ascii="Arial" w:hAnsi="Arial" w:cs="Arial"/>
                <w:b/>
                <w:bCs/>
                <w:snapToGrid/>
                <w:sz w:val="18"/>
                <w:szCs w:val="18"/>
              </w:rPr>
              <w:t>Min./ Nonr.</w:t>
            </w:r>
          </w:p>
        </w:tc>
        <w:tc>
          <w:tcPr>
            <w:tcW w:w="900" w:type="dxa"/>
            <w:vMerge w:val="restart"/>
            <w:tcBorders>
              <w:top w:val="nil"/>
              <w:left w:val="single" w:color="auto" w:sz="4" w:space="0"/>
              <w:bottom w:val="single" w:color="auto" w:sz="4" w:space="0"/>
              <w:right w:val="single" w:color="auto" w:sz="4" w:space="0"/>
            </w:tcBorders>
            <w:shd w:val="clear" w:color="auto" w:fill="auto"/>
            <w:vAlign w:val="center"/>
            <w:hideMark/>
          </w:tcPr>
          <w:p w:rsidRPr="00FF01E9" w:rsidR="00FF01E9" w:rsidP="00FF01E9" w:rsidRDefault="00FF01E9" w14:paraId="4B1BF7A4" w14:textId="77777777">
            <w:pPr>
              <w:widowControl/>
              <w:jc w:val="center"/>
              <w:rPr>
                <w:rFonts w:ascii="Arial" w:hAnsi="Arial" w:cs="Arial"/>
                <w:b/>
                <w:bCs/>
                <w:snapToGrid/>
                <w:sz w:val="18"/>
                <w:szCs w:val="18"/>
              </w:rPr>
            </w:pPr>
            <w:r w:rsidRPr="00FF01E9">
              <w:rPr>
                <w:rFonts w:ascii="Arial" w:hAnsi="Arial" w:cs="Arial"/>
                <w:b/>
                <w:bCs/>
                <w:snapToGrid/>
                <w:sz w:val="18"/>
                <w:szCs w:val="18"/>
              </w:rPr>
              <w:t>Burden Hours</w:t>
            </w:r>
          </w:p>
        </w:tc>
        <w:tc>
          <w:tcPr>
            <w:tcW w:w="1530" w:type="dxa"/>
            <w:vMerge/>
            <w:tcBorders>
              <w:top w:val="single" w:color="auto" w:sz="4" w:space="0"/>
              <w:left w:val="single" w:color="auto" w:sz="4" w:space="0"/>
              <w:bottom w:val="single" w:color="auto" w:sz="4" w:space="0"/>
              <w:right w:val="single" w:color="auto" w:sz="4" w:space="0"/>
            </w:tcBorders>
            <w:vAlign w:val="center"/>
            <w:hideMark/>
          </w:tcPr>
          <w:p w:rsidRPr="00FF01E9" w:rsidR="00FF01E9" w:rsidP="00FF01E9" w:rsidRDefault="00FF01E9" w14:paraId="0AF82B6B" w14:textId="77777777">
            <w:pPr>
              <w:widowControl/>
              <w:rPr>
                <w:rFonts w:ascii="Arial" w:hAnsi="Arial" w:cs="Arial"/>
                <w:b/>
                <w:bCs/>
                <w:snapToGrid/>
                <w:sz w:val="18"/>
                <w:szCs w:val="18"/>
              </w:rPr>
            </w:pPr>
          </w:p>
        </w:tc>
        <w:tc>
          <w:tcPr>
            <w:tcW w:w="1680" w:type="dxa"/>
            <w:vAlign w:val="center"/>
            <w:hideMark/>
          </w:tcPr>
          <w:p w:rsidRPr="00FF01E9" w:rsidR="00FF01E9" w:rsidP="00FF01E9" w:rsidRDefault="00FF01E9" w14:paraId="6DA65D5E" w14:textId="77777777">
            <w:pPr>
              <w:widowControl/>
              <w:rPr>
                <w:snapToGrid/>
                <w:sz w:val="20"/>
              </w:rPr>
            </w:pPr>
          </w:p>
        </w:tc>
      </w:tr>
      <w:tr w:rsidRPr="00FF01E9" w:rsidR="0022644E" w:rsidTr="005C5D7B" w14:paraId="72939006" w14:textId="77777777">
        <w:trPr>
          <w:trHeight w:val="297"/>
        </w:trPr>
        <w:tc>
          <w:tcPr>
            <w:tcW w:w="2875" w:type="dxa"/>
            <w:vMerge/>
            <w:tcBorders>
              <w:top w:val="single" w:color="auto" w:sz="4" w:space="0"/>
              <w:left w:val="single" w:color="auto" w:sz="4" w:space="0"/>
              <w:bottom w:val="single" w:color="auto" w:sz="4" w:space="0"/>
              <w:right w:val="single" w:color="auto" w:sz="4" w:space="0"/>
            </w:tcBorders>
            <w:vAlign w:val="center"/>
            <w:hideMark/>
          </w:tcPr>
          <w:p w:rsidRPr="00FF01E9" w:rsidR="00FF01E9" w:rsidP="00FF01E9" w:rsidRDefault="00FF01E9" w14:paraId="44B725E0" w14:textId="77777777">
            <w:pPr>
              <w:widowControl/>
              <w:rPr>
                <w:rFonts w:ascii="Arial" w:hAnsi="Arial" w:cs="Arial"/>
                <w:b/>
                <w:bCs/>
                <w:snapToGrid/>
                <w:sz w:val="18"/>
                <w:szCs w:val="18"/>
              </w:rPr>
            </w:pPr>
          </w:p>
        </w:tc>
        <w:tc>
          <w:tcPr>
            <w:tcW w:w="900" w:type="dxa"/>
            <w:vMerge/>
            <w:tcBorders>
              <w:top w:val="single" w:color="auto" w:sz="4" w:space="0"/>
              <w:left w:val="single" w:color="auto" w:sz="4" w:space="0"/>
              <w:bottom w:val="single" w:color="auto" w:sz="4" w:space="0"/>
              <w:right w:val="single" w:color="auto" w:sz="4" w:space="0"/>
            </w:tcBorders>
            <w:vAlign w:val="center"/>
            <w:hideMark/>
          </w:tcPr>
          <w:p w:rsidRPr="00FF01E9" w:rsidR="00FF01E9" w:rsidP="00FF01E9" w:rsidRDefault="00FF01E9" w14:paraId="4134E1AF" w14:textId="77777777">
            <w:pPr>
              <w:widowControl/>
              <w:rPr>
                <w:rFonts w:ascii="Arial" w:hAnsi="Arial" w:cs="Arial"/>
                <w:b/>
                <w:bCs/>
                <w:snapToGrid/>
                <w:sz w:val="18"/>
                <w:szCs w:val="18"/>
              </w:rPr>
            </w:pPr>
          </w:p>
        </w:tc>
        <w:tc>
          <w:tcPr>
            <w:tcW w:w="630" w:type="dxa"/>
            <w:vMerge/>
            <w:tcBorders>
              <w:top w:val="single" w:color="auto" w:sz="4" w:space="0"/>
              <w:left w:val="single" w:color="auto" w:sz="4" w:space="0"/>
              <w:bottom w:val="single" w:color="auto" w:sz="4" w:space="0"/>
              <w:right w:val="single" w:color="auto" w:sz="4" w:space="0"/>
            </w:tcBorders>
            <w:vAlign w:val="center"/>
            <w:hideMark/>
          </w:tcPr>
          <w:p w:rsidRPr="00FF01E9" w:rsidR="00FF01E9" w:rsidP="00FF01E9" w:rsidRDefault="00FF01E9" w14:paraId="24C2D237" w14:textId="77777777">
            <w:pPr>
              <w:widowControl/>
              <w:rPr>
                <w:rFonts w:ascii="Arial" w:hAnsi="Arial" w:cs="Arial"/>
                <w:b/>
                <w:bCs/>
                <w:snapToGrid/>
                <w:sz w:val="18"/>
                <w:szCs w:val="18"/>
              </w:rPr>
            </w:pPr>
          </w:p>
        </w:tc>
        <w:tc>
          <w:tcPr>
            <w:tcW w:w="810" w:type="dxa"/>
            <w:vMerge/>
            <w:tcBorders>
              <w:top w:val="nil"/>
              <w:left w:val="single" w:color="auto" w:sz="4" w:space="0"/>
              <w:bottom w:val="single" w:color="auto" w:sz="4" w:space="0"/>
              <w:right w:val="single" w:color="auto" w:sz="4" w:space="0"/>
            </w:tcBorders>
            <w:vAlign w:val="center"/>
            <w:hideMark/>
          </w:tcPr>
          <w:p w:rsidRPr="00FF01E9" w:rsidR="00FF01E9" w:rsidP="00FF01E9" w:rsidRDefault="00FF01E9" w14:paraId="61074113" w14:textId="77777777">
            <w:pPr>
              <w:widowControl/>
              <w:rPr>
                <w:rFonts w:ascii="Arial" w:hAnsi="Arial" w:cs="Arial"/>
                <w:b/>
                <w:bCs/>
                <w:snapToGrid/>
                <w:sz w:val="18"/>
                <w:szCs w:val="18"/>
              </w:rPr>
            </w:pPr>
          </w:p>
        </w:tc>
        <w:tc>
          <w:tcPr>
            <w:tcW w:w="810" w:type="dxa"/>
            <w:vMerge/>
            <w:tcBorders>
              <w:top w:val="nil"/>
              <w:left w:val="single" w:color="auto" w:sz="4" w:space="0"/>
              <w:bottom w:val="single" w:color="auto" w:sz="4" w:space="0"/>
              <w:right w:val="single" w:color="auto" w:sz="4" w:space="0"/>
            </w:tcBorders>
            <w:vAlign w:val="center"/>
            <w:hideMark/>
          </w:tcPr>
          <w:p w:rsidRPr="00FF01E9" w:rsidR="00FF01E9" w:rsidP="00FF01E9" w:rsidRDefault="00FF01E9" w14:paraId="6E585F79" w14:textId="77777777">
            <w:pPr>
              <w:widowControl/>
              <w:rPr>
                <w:rFonts w:ascii="Arial" w:hAnsi="Arial" w:cs="Arial"/>
                <w:b/>
                <w:bCs/>
                <w:snapToGrid/>
                <w:sz w:val="18"/>
                <w:szCs w:val="18"/>
              </w:rPr>
            </w:pPr>
          </w:p>
        </w:tc>
        <w:tc>
          <w:tcPr>
            <w:tcW w:w="720" w:type="dxa"/>
            <w:vMerge/>
            <w:tcBorders>
              <w:top w:val="nil"/>
              <w:left w:val="single" w:color="auto" w:sz="4" w:space="0"/>
              <w:bottom w:val="single" w:color="auto" w:sz="4" w:space="0"/>
              <w:right w:val="single" w:color="auto" w:sz="4" w:space="0"/>
            </w:tcBorders>
            <w:vAlign w:val="center"/>
            <w:hideMark/>
          </w:tcPr>
          <w:p w:rsidRPr="00FF01E9" w:rsidR="00FF01E9" w:rsidP="00FF01E9" w:rsidRDefault="00FF01E9" w14:paraId="4F53A289" w14:textId="77777777">
            <w:pPr>
              <w:widowControl/>
              <w:rPr>
                <w:rFonts w:ascii="Arial" w:hAnsi="Arial" w:cs="Arial"/>
                <w:b/>
                <w:bCs/>
                <w:snapToGrid/>
                <w:sz w:val="18"/>
                <w:szCs w:val="18"/>
              </w:rPr>
            </w:pPr>
          </w:p>
        </w:tc>
        <w:tc>
          <w:tcPr>
            <w:tcW w:w="900" w:type="dxa"/>
            <w:vMerge/>
            <w:tcBorders>
              <w:top w:val="nil"/>
              <w:left w:val="single" w:color="auto" w:sz="4" w:space="0"/>
              <w:bottom w:val="single" w:color="auto" w:sz="4" w:space="0"/>
              <w:right w:val="single" w:color="auto" w:sz="4" w:space="0"/>
            </w:tcBorders>
            <w:vAlign w:val="center"/>
            <w:hideMark/>
          </w:tcPr>
          <w:p w:rsidRPr="00FF01E9" w:rsidR="00FF01E9" w:rsidP="00FF01E9" w:rsidRDefault="00FF01E9" w14:paraId="568F4C17" w14:textId="77777777">
            <w:pPr>
              <w:widowControl/>
              <w:rPr>
                <w:rFonts w:ascii="Arial" w:hAnsi="Arial" w:cs="Arial"/>
                <w:b/>
                <w:bCs/>
                <w:snapToGrid/>
                <w:sz w:val="18"/>
                <w:szCs w:val="18"/>
              </w:rPr>
            </w:pPr>
          </w:p>
        </w:tc>
        <w:tc>
          <w:tcPr>
            <w:tcW w:w="990" w:type="dxa"/>
            <w:vMerge/>
            <w:tcBorders>
              <w:top w:val="nil"/>
              <w:left w:val="single" w:color="auto" w:sz="4" w:space="0"/>
              <w:bottom w:val="single" w:color="auto" w:sz="4" w:space="0"/>
              <w:right w:val="single" w:color="auto" w:sz="4" w:space="0"/>
            </w:tcBorders>
            <w:vAlign w:val="center"/>
            <w:hideMark/>
          </w:tcPr>
          <w:p w:rsidRPr="00FF01E9" w:rsidR="00FF01E9" w:rsidP="00FF01E9" w:rsidRDefault="00FF01E9" w14:paraId="526704E4" w14:textId="77777777">
            <w:pPr>
              <w:widowControl/>
              <w:rPr>
                <w:rFonts w:ascii="Arial" w:hAnsi="Arial" w:cs="Arial"/>
                <w:b/>
                <w:bCs/>
                <w:snapToGrid/>
                <w:sz w:val="18"/>
                <w:szCs w:val="18"/>
              </w:rPr>
            </w:pPr>
          </w:p>
        </w:tc>
        <w:tc>
          <w:tcPr>
            <w:tcW w:w="810" w:type="dxa"/>
            <w:vMerge/>
            <w:tcBorders>
              <w:top w:val="nil"/>
              <w:left w:val="single" w:color="auto" w:sz="4" w:space="0"/>
              <w:bottom w:val="single" w:color="auto" w:sz="4" w:space="0"/>
              <w:right w:val="single" w:color="auto" w:sz="4" w:space="0"/>
            </w:tcBorders>
            <w:vAlign w:val="center"/>
            <w:hideMark/>
          </w:tcPr>
          <w:p w:rsidRPr="00FF01E9" w:rsidR="00FF01E9" w:rsidP="00FF01E9" w:rsidRDefault="00FF01E9" w14:paraId="5533864E" w14:textId="77777777">
            <w:pPr>
              <w:widowControl/>
              <w:rPr>
                <w:rFonts w:ascii="Arial" w:hAnsi="Arial" w:cs="Arial"/>
                <w:b/>
                <w:bCs/>
                <w:snapToGrid/>
                <w:sz w:val="18"/>
                <w:szCs w:val="18"/>
              </w:rPr>
            </w:pPr>
          </w:p>
        </w:tc>
        <w:tc>
          <w:tcPr>
            <w:tcW w:w="720" w:type="dxa"/>
            <w:vMerge/>
            <w:tcBorders>
              <w:top w:val="nil"/>
              <w:left w:val="single" w:color="auto" w:sz="4" w:space="0"/>
              <w:bottom w:val="single" w:color="auto" w:sz="4" w:space="0"/>
              <w:right w:val="single" w:color="auto" w:sz="4" w:space="0"/>
            </w:tcBorders>
            <w:vAlign w:val="center"/>
            <w:hideMark/>
          </w:tcPr>
          <w:p w:rsidRPr="00FF01E9" w:rsidR="00FF01E9" w:rsidP="00FF01E9" w:rsidRDefault="00FF01E9" w14:paraId="34B43242" w14:textId="77777777">
            <w:pPr>
              <w:widowControl/>
              <w:rPr>
                <w:rFonts w:ascii="Arial" w:hAnsi="Arial" w:cs="Arial"/>
                <w:b/>
                <w:bCs/>
                <w:snapToGrid/>
                <w:sz w:val="18"/>
                <w:szCs w:val="18"/>
              </w:rPr>
            </w:pPr>
          </w:p>
        </w:tc>
        <w:tc>
          <w:tcPr>
            <w:tcW w:w="900" w:type="dxa"/>
            <w:vMerge/>
            <w:tcBorders>
              <w:top w:val="nil"/>
              <w:left w:val="single" w:color="auto" w:sz="4" w:space="0"/>
              <w:bottom w:val="single" w:color="auto" w:sz="4" w:space="0"/>
              <w:right w:val="single" w:color="auto" w:sz="4" w:space="0"/>
            </w:tcBorders>
            <w:vAlign w:val="center"/>
            <w:hideMark/>
          </w:tcPr>
          <w:p w:rsidRPr="00FF01E9" w:rsidR="00FF01E9" w:rsidP="00FF01E9" w:rsidRDefault="00FF01E9" w14:paraId="7FF8D23C" w14:textId="77777777">
            <w:pPr>
              <w:widowControl/>
              <w:rPr>
                <w:rFonts w:ascii="Arial" w:hAnsi="Arial" w:cs="Arial"/>
                <w:b/>
                <w:bCs/>
                <w:snapToGrid/>
                <w:sz w:val="18"/>
                <w:szCs w:val="18"/>
              </w:rPr>
            </w:pPr>
          </w:p>
        </w:tc>
        <w:tc>
          <w:tcPr>
            <w:tcW w:w="1530" w:type="dxa"/>
            <w:vMerge/>
            <w:tcBorders>
              <w:top w:val="single" w:color="auto" w:sz="4" w:space="0"/>
              <w:left w:val="single" w:color="auto" w:sz="4" w:space="0"/>
              <w:bottom w:val="single" w:color="auto" w:sz="4" w:space="0"/>
              <w:right w:val="single" w:color="auto" w:sz="4" w:space="0"/>
            </w:tcBorders>
            <w:vAlign w:val="center"/>
            <w:hideMark/>
          </w:tcPr>
          <w:p w:rsidRPr="00FF01E9" w:rsidR="00FF01E9" w:rsidP="00FF01E9" w:rsidRDefault="00FF01E9" w14:paraId="07A633D9" w14:textId="77777777">
            <w:pPr>
              <w:widowControl/>
              <w:rPr>
                <w:rFonts w:ascii="Arial" w:hAnsi="Arial" w:cs="Arial"/>
                <w:b/>
                <w:bCs/>
                <w:snapToGrid/>
                <w:sz w:val="18"/>
                <w:szCs w:val="18"/>
              </w:rPr>
            </w:pPr>
          </w:p>
        </w:tc>
        <w:tc>
          <w:tcPr>
            <w:tcW w:w="1680" w:type="dxa"/>
            <w:tcBorders>
              <w:top w:val="nil"/>
              <w:left w:val="nil"/>
              <w:bottom w:val="nil"/>
              <w:right w:val="nil"/>
            </w:tcBorders>
            <w:shd w:val="clear" w:color="auto" w:fill="auto"/>
            <w:noWrap/>
            <w:vAlign w:val="bottom"/>
            <w:hideMark/>
          </w:tcPr>
          <w:p w:rsidRPr="00FF01E9" w:rsidR="00FF01E9" w:rsidP="00FF01E9" w:rsidRDefault="00FF01E9" w14:paraId="0E1FBC9D" w14:textId="77777777">
            <w:pPr>
              <w:widowControl/>
              <w:jc w:val="center"/>
              <w:rPr>
                <w:rFonts w:ascii="Arial" w:hAnsi="Arial" w:cs="Arial"/>
                <w:b/>
                <w:bCs/>
                <w:snapToGrid/>
                <w:sz w:val="18"/>
                <w:szCs w:val="18"/>
              </w:rPr>
            </w:pPr>
          </w:p>
        </w:tc>
      </w:tr>
      <w:tr w:rsidRPr="00FF01E9" w:rsidR="0022644E" w:rsidTr="005C5D7B" w14:paraId="42C5470F" w14:textId="77777777">
        <w:trPr>
          <w:trHeight w:val="729"/>
        </w:trPr>
        <w:tc>
          <w:tcPr>
            <w:tcW w:w="2875" w:type="dxa"/>
            <w:tcBorders>
              <w:top w:val="nil"/>
              <w:left w:val="single" w:color="auto" w:sz="4" w:space="0"/>
              <w:bottom w:val="single" w:color="auto" w:sz="4" w:space="0"/>
              <w:right w:val="single" w:color="auto" w:sz="4" w:space="0"/>
            </w:tcBorders>
            <w:shd w:val="clear" w:color="auto" w:fill="auto"/>
            <w:vAlign w:val="bottom"/>
            <w:hideMark/>
          </w:tcPr>
          <w:p w:rsidRPr="00FF01E9" w:rsidR="00FF01E9" w:rsidP="00FF01E9" w:rsidRDefault="00FF01E9" w14:paraId="220930D7" w14:textId="77777777">
            <w:pPr>
              <w:widowControl/>
              <w:rPr>
                <w:rFonts w:ascii="Arial" w:hAnsi="Arial" w:cs="Arial"/>
                <w:b/>
                <w:bCs/>
                <w:snapToGrid/>
                <w:sz w:val="18"/>
                <w:szCs w:val="18"/>
              </w:rPr>
            </w:pPr>
            <w:r w:rsidRPr="00FF01E9">
              <w:rPr>
                <w:rFonts w:ascii="Arial" w:hAnsi="Arial" w:cs="Arial"/>
                <w:b/>
                <w:bCs/>
                <w:snapToGrid/>
                <w:sz w:val="18"/>
                <w:szCs w:val="18"/>
              </w:rPr>
              <w:t>CPS-FSS Total Sample (Respondents and Nonrespondents)</w:t>
            </w:r>
          </w:p>
        </w:tc>
        <w:tc>
          <w:tcPr>
            <w:tcW w:w="900" w:type="dxa"/>
            <w:tcBorders>
              <w:top w:val="nil"/>
              <w:left w:val="nil"/>
              <w:bottom w:val="single" w:color="auto" w:sz="4" w:space="0"/>
              <w:right w:val="single" w:color="auto" w:sz="4" w:space="0"/>
            </w:tcBorders>
            <w:shd w:val="clear" w:color="auto" w:fill="auto"/>
            <w:noWrap/>
            <w:vAlign w:val="bottom"/>
            <w:hideMark/>
          </w:tcPr>
          <w:p w:rsidRPr="00FF01E9" w:rsidR="00FF01E9" w:rsidP="00FF01E9" w:rsidRDefault="00FF01E9" w14:paraId="55A368EB" w14:textId="77777777">
            <w:pPr>
              <w:widowControl/>
              <w:jc w:val="center"/>
              <w:rPr>
                <w:rFonts w:ascii="Calibri" w:hAnsi="Calibri" w:cs="Calibri"/>
                <w:snapToGrid/>
                <w:color w:val="000000"/>
                <w:sz w:val="22"/>
                <w:szCs w:val="22"/>
              </w:rPr>
            </w:pPr>
            <w:r w:rsidRPr="00FF01E9">
              <w:rPr>
                <w:rFonts w:ascii="Calibri" w:hAnsi="Calibri" w:cs="Calibri"/>
                <w:snapToGrid/>
                <w:color w:val="000000"/>
                <w:sz w:val="22"/>
                <w:szCs w:val="22"/>
              </w:rPr>
              <w:t xml:space="preserve">            53,901 </w:t>
            </w:r>
          </w:p>
        </w:tc>
        <w:tc>
          <w:tcPr>
            <w:tcW w:w="630" w:type="dxa"/>
            <w:tcBorders>
              <w:top w:val="nil"/>
              <w:left w:val="nil"/>
              <w:bottom w:val="single" w:color="auto" w:sz="4" w:space="0"/>
              <w:right w:val="single" w:color="auto" w:sz="4" w:space="0"/>
            </w:tcBorders>
            <w:shd w:val="clear" w:color="auto" w:fill="auto"/>
            <w:vAlign w:val="bottom"/>
            <w:hideMark/>
          </w:tcPr>
          <w:p w:rsidRPr="00FF01E9" w:rsidR="00FF01E9" w:rsidP="00FF01E9" w:rsidRDefault="00FF01E9" w14:paraId="78FCDDC7" w14:textId="77777777">
            <w:pPr>
              <w:widowControl/>
              <w:jc w:val="center"/>
              <w:rPr>
                <w:rFonts w:ascii="Arial" w:hAnsi="Arial" w:cs="Arial"/>
                <w:snapToGrid/>
                <w:sz w:val="18"/>
                <w:szCs w:val="18"/>
              </w:rPr>
            </w:pPr>
            <w:r w:rsidRPr="00FF01E9">
              <w:rPr>
                <w:rFonts w:ascii="Arial" w:hAnsi="Arial" w:cs="Arial"/>
                <w:snapToGrid/>
                <w:sz w:val="18"/>
                <w:szCs w:val="18"/>
              </w:rPr>
              <w:t xml:space="preserve">          1 </w:t>
            </w:r>
          </w:p>
        </w:tc>
        <w:tc>
          <w:tcPr>
            <w:tcW w:w="810" w:type="dxa"/>
            <w:tcBorders>
              <w:top w:val="nil"/>
              <w:left w:val="nil"/>
              <w:bottom w:val="single" w:color="auto" w:sz="4" w:space="0"/>
              <w:right w:val="single" w:color="auto" w:sz="4" w:space="0"/>
            </w:tcBorders>
            <w:shd w:val="clear" w:color="auto" w:fill="auto"/>
            <w:vAlign w:val="bottom"/>
            <w:hideMark/>
          </w:tcPr>
          <w:p w:rsidRPr="00FF01E9" w:rsidR="00FF01E9" w:rsidP="00FF01E9" w:rsidRDefault="00FF01E9" w14:paraId="17D51667" w14:textId="77777777">
            <w:pPr>
              <w:widowControl/>
              <w:jc w:val="center"/>
              <w:rPr>
                <w:rFonts w:ascii="Arial" w:hAnsi="Arial" w:cs="Arial"/>
                <w:snapToGrid/>
                <w:sz w:val="18"/>
                <w:szCs w:val="18"/>
              </w:rPr>
            </w:pPr>
            <w:r w:rsidRPr="00FF01E9">
              <w:rPr>
                <w:rFonts w:ascii="Arial" w:hAnsi="Arial" w:cs="Arial"/>
                <w:snapToGrid/>
                <w:sz w:val="18"/>
                <w:szCs w:val="18"/>
              </w:rPr>
              <w:t xml:space="preserve">       43,121 </w:t>
            </w:r>
          </w:p>
        </w:tc>
        <w:tc>
          <w:tcPr>
            <w:tcW w:w="810" w:type="dxa"/>
            <w:tcBorders>
              <w:top w:val="nil"/>
              <w:left w:val="nil"/>
              <w:bottom w:val="single" w:color="auto" w:sz="4" w:space="0"/>
              <w:right w:val="single" w:color="auto" w:sz="4" w:space="0"/>
            </w:tcBorders>
            <w:shd w:val="clear" w:color="auto" w:fill="auto"/>
            <w:vAlign w:val="bottom"/>
            <w:hideMark/>
          </w:tcPr>
          <w:p w:rsidRPr="00FF01E9" w:rsidR="00FF01E9" w:rsidP="00FF01E9" w:rsidRDefault="00FF01E9" w14:paraId="64C931AD" w14:textId="77777777">
            <w:pPr>
              <w:widowControl/>
              <w:jc w:val="center"/>
              <w:rPr>
                <w:rFonts w:ascii="Arial" w:hAnsi="Arial" w:cs="Arial"/>
                <w:snapToGrid/>
                <w:sz w:val="18"/>
                <w:szCs w:val="18"/>
              </w:rPr>
            </w:pPr>
            <w:r w:rsidRPr="00FF01E9">
              <w:rPr>
                <w:rFonts w:ascii="Arial" w:hAnsi="Arial" w:cs="Arial"/>
                <w:snapToGrid/>
                <w:sz w:val="18"/>
                <w:szCs w:val="18"/>
              </w:rPr>
              <w:t xml:space="preserve">       43,121 </w:t>
            </w:r>
          </w:p>
        </w:tc>
        <w:tc>
          <w:tcPr>
            <w:tcW w:w="720" w:type="dxa"/>
            <w:tcBorders>
              <w:top w:val="nil"/>
              <w:left w:val="nil"/>
              <w:bottom w:val="single" w:color="auto" w:sz="4" w:space="0"/>
              <w:right w:val="single" w:color="auto" w:sz="4" w:space="0"/>
            </w:tcBorders>
            <w:shd w:val="clear" w:color="auto" w:fill="auto"/>
            <w:vAlign w:val="bottom"/>
            <w:hideMark/>
          </w:tcPr>
          <w:p w:rsidRPr="00FF01E9" w:rsidR="00FF01E9" w:rsidP="00FF01E9" w:rsidRDefault="00FF01E9" w14:paraId="1583A5E6" w14:textId="77777777">
            <w:pPr>
              <w:widowControl/>
              <w:rPr>
                <w:rFonts w:ascii="Arial" w:hAnsi="Arial" w:cs="Arial"/>
                <w:snapToGrid/>
                <w:sz w:val="18"/>
                <w:szCs w:val="18"/>
              </w:rPr>
            </w:pPr>
            <w:r w:rsidRPr="00FF01E9">
              <w:rPr>
                <w:rFonts w:ascii="Arial" w:hAnsi="Arial" w:cs="Arial"/>
                <w:snapToGrid/>
                <w:sz w:val="18"/>
                <w:szCs w:val="18"/>
              </w:rPr>
              <w:t xml:space="preserve">             8.8 </w:t>
            </w:r>
          </w:p>
        </w:tc>
        <w:tc>
          <w:tcPr>
            <w:tcW w:w="900" w:type="dxa"/>
            <w:tcBorders>
              <w:top w:val="nil"/>
              <w:left w:val="nil"/>
              <w:bottom w:val="single" w:color="auto" w:sz="4" w:space="0"/>
              <w:right w:val="single" w:color="auto" w:sz="4" w:space="0"/>
            </w:tcBorders>
            <w:shd w:val="clear" w:color="auto" w:fill="auto"/>
            <w:vAlign w:val="bottom"/>
            <w:hideMark/>
          </w:tcPr>
          <w:p w:rsidRPr="00FF01E9" w:rsidR="00FF01E9" w:rsidP="00FF01E9" w:rsidRDefault="00FF01E9" w14:paraId="7680192E" w14:textId="77777777">
            <w:pPr>
              <w:widowControl/>
              <w:rPr>
                <w:rFonts w:ascii="Arial" w:hAnsi="Arial" w:cs="Arial"/>
                <w:snapToGrid/>
                <w:sz w:val="18"/>
                <w:szCs w:val="18"/>
              </w:rPr>
            </w:pPr>
            <w:r w:rsidRPr="00FF01E9">
              <w:rPr>
                <w:rFonts w:ascii="Arial" w:hAnsi="Arial" w:cs="Arial"/>
                <w:snapToGrid/>
                <w:sz w:val="18"/>
                <w:szCs w:val="18"/>
              </w:rPr>
              <w:t xml:space="preserve">         6,299 </w:t>
            </w:r>
          </w:p>
        </w:tc>
        <w:tc>
          <w:tcPr>
            <w:tcW w:w="990" w:type="dxa"/>
            <w:tcBorders>
              <w:top w:val="nil"/>
              <w:left w:val="nil"/>
              <w:bottom w:val="single" w:color="auto" w:sz="4" w:space="0"/>
              <w:right w:val="single" w:color="auto" w:sz="4" w:space="0"/>
            </w:tcBorders>
            <w:shd w:val="clear" w:color="auto" w:fill="auto"/>
            <w:vAlign w:val="bottom"/>
            <w:hideMark/>
          </w:tcPr>
          <w:p w:rsidRPr="00FF01E9" w:rsidR="00FF01E9" w:rsidP="00FF01E9" w:rsidRDefault="00FF01E9" w14:paraId="2B52F57E" w14:textId="77777777">
            <w:pPr>
              <w:widowControl/>
              <w:jc w:val="center"/>
              <w:rPr>
                <w:rFonts w:ascii="Arial" w:hAnsi="Arial" w:cs="Arial"/>
                <w:snapToGrid/>
                <w:sz w:val="18"/>
                <w:szCs w:val="18"/>
              </w:rPr>
            </w:pPr>
            <w:r w:rsidRPr="00FF01E9">
              <w:rPr>
                <w:rFonts w:ascii="Arial" w:hAnsi="Arial" w:cs="Arial"/>
                <w:snapToGrid/>
                <w:sz w:val="18"/>
                <w:szCs w:val="18"/>
              </w:rPr>
              <w:t xml:space="preserve">       10,780 </w:t>
            </w:r>
          </w:p>
        </w:tc>
        <w:tc>
          <w:tcPr>
            <w:tcW w:w="810" w:type="dxa"/>
            <w:tcBorders>
              <w:top w:val="nil"/>
              <w:left w:val="nil"/>
              <w:bottom w:val="single" w:color="auto" w:sz="4" w:space="0"/>
              <w:right w:val="single" w:color="auto" w:sz="4" w:space="0"/>
            </w:tcBorders>
            <w:shd w:val="clear" w:color="auto" w:fill="auto"/>
            <w:vAlign w:val="bottom"/>
            <w:hideMark/>
          </w:tcPr>
          <w:p w:rsidRPr="00FF01E9" w:rsidR="00FF01E9" w:rsidP="00FF01E9" w:rsidRDefault="00FF01E9" w14:paraId="28A0BF50" w14:textId="77777777">
            <w:pPr>
              <w:widowControl/>
              <w:jc w:val="center"/>
              <w:rPr>
                <w:rFonts w:ascii="Arial" w:hAnsi="Arial" w:cs="Arial"/>
                <w:snapToGrid/>
                <w:sz w:val="18"/>
                <w:szCs w:val="18"/>
              </w:rPr>
            </w:pPr>
            <w:r w:rsidRPr="00FF01E9">
              <w:rPr>
                <w:rFonts w:ascii="Arial" w:hAnsi="Arial" w:cs="Arial"/>
                <w:snapToGrid/>
                <w:sz w:val="18"/>
                <w:szCs w:val="18"/>
              </w:rPr>
              <w:t xml:space="preserve">       10,780 </w:t>
            </w:r>
          </w:p>
        </w:tc>
        <w:tc>
          <w:tcPr>
            <w:tcW w:w="720" w:type="dxa"/>
            <w:tcBorders>
              <w:top w:val="nil"/>
              <w:left w:val="nil"/>
              <w:bottom w:val="single" w:color="auto" w:sz="4" w:space="0"/>
              <w:right w:val="single" w:color="auto" w:sz="4" w:space="0"/>
            </w:tcBorders>
            <w:shd w:val="clear" w:color="auto" w:fill="auto"/>
            <w:vAlign w:val="bottom"/>
            <w:hideMark/>
          </w:tcPr>
          <w:p w:rsidRPr="00FF01E9" w:rsidR="00FF01E9" w:rsidP="00FF01E9" w:rsidRDefault="00FF01E9" w14:paraId="39D8200D" w14:textId="77777777">
            <w:pPr>
              <w:widowControl/>
              <w:jc w:val="center"/>
              <w:rPr>
                <w:rFonts w:ascii="Arial" w:hAnsi="Arial" w:cs="Arial"/>
                <w:snapToGrid/>
                <w:sz w:val="18"/>
                <w:szCs w:val="18"/>
              </w:rPr>
            </w:pPr>
            <w:r w:rsidRPr="00FF01E9">
              <w:rPr>
                <w:rFonts w:ascii="Arial" w:hAnsi="Arial" w:cs="Arial"/>
                <w:snapToGrid/>
                <w:sz w:val="18"/>
                <w:szCs w:val="18"/>
              </w:rPr>
              <w:t xml:space="preserve">                1 </w:t>
            </w:r>
          </w:p>
        </w:tc>
        <w:tc>
          <w:tcPr>
            <w:tcW w:w="900" w:type="dxa"/>
            <w:tcBorders>
              <w:top w:val="nil"/>
              <w:left w:val="nil"/>
              <w:bottom w:val="single" w:color="auto" w:sz="4" w:space="0"/>
              <w:right w:val="single" w:color="auto" w:sz="4" w:space="0"/>
            </w:tcBorders>
            <w:shd w:val="clear" w:color="auto" w:fill="auto"/>
            <w:vAlign w:val="bottom"/>
            <w:hideMark/>
          </w:tcPr>
          <w:p w:rsidRPr="00FF01E9" w:rsidR="00FF01E9" w:rsidP="00FF01E9" w:rsidRDefault="00FF01E9" w14:paraId="33527135" w14:textId="77777777">
            <w:pPr>
              <w:widowControl/>
              <w:jc w:val="center"/>
              <w:rPr>
                <w:rFonts w:ascii="Arial" w:hAnsi="Arial" w:cs="Arial"/>
                <w:snapToGrid/>
                <w:sz w:val="18"/>
                <w:szCs w:val="18"/>
              </w:rPr>
            </w:pPr>
            <w:r w:rsidRPr="00FF01E9">
              <w:rPr>
                <w:rFonts w:ascii="Arial" w:hAnsi="Arial" w:cs="Arial"/>
                <w:snapToGrid/>
                <w:sz w:val="18"/>
                <w:szCs w:val="18"/>
              </w:rPr>
              <w:t xml:space="preserve">            180 </w:t>
            </w:r>
          </w:p>
        </w:tc>
        <w:tc>
          <w:tcPr>
            <w:tcW w:w="1530" w:type="dxa"/>
            <w:tcBorders>
              <w:top w:val="nil"/>
              <w:left w:val="nil"/>
              <w:bottom w:val="single" w:color="auto" w:sz="4" w:space="0"/>
              <w:right w:val="single" w:color="auto" w:sz="4" w:space="0"/>
            </w:tcBorders>
            <w:shd w:val="clear" w:color="auto" w:fill="auto"/>
            <w:vAlign w:val="bottom"/>
            <w:hideMark/>
          </w:tcPr>
          <w:p w:rsidRPr="00FF01E9" w:rsidR="00FF01E9" w:rsidP="00FF01E9" w:rsidRDefault="00FF01E9" w14:paraId="7CCDD9F6" w14:textId="77777777">
            <w:pPr>
              <w:widowControl/>
              <w:jc w:val="center"/>
              <w:rPr>
                <w:rFonts w:ascii="Arial" w:hAnsi="Arial" w:cs="Arial"/>
                <w:b/>
                <w:bCs/>
                <w:snapToGrid/>
                <w:sz w:val="18"/>
                <w:szCs w:val="18"/>
              </w:rPr>
            </w:pPr>
            <w:r w:rsidRPr="00FF01E9">
              <w:rPr>
                <w:rFonts w:ascii="Arial" w:hAnsi="Arial" w:cs="Arial"/>
                <w:b/>
                <w:bCs/>
                <w:snapToGrid/>
                <w:sz w:val="18"/>
                <w:szCs w:val="18"/>
              </w:rPr>
              <w:t xml:space="preserve"> 6,479 hours (7.2 minutes per household) </w:t>
            </w:r>
          </w:p>
        </w:tc>
        <w:tc>
          <w:tcPr>
            <w:tcW w:w="1680" w:type="dxa"/>
            <w:vAlign w:val="center"/>
            <w:hideMark/>
          </w:tcPr>
          <w:p w:rsidRPr="00FF01E9" w:rsidR="00FF01E9" w:rsidP="00FF01E9" w:rsidRDefault="00FF01E9" w14:paraId="002FBF29" w14:textId="77777777">
            <w:pPr>
              <w:widowControl/>
              <w:rPr>
                <w:snapToGrid/>
                <w:sz w:val="20"/>
              </w:rPr>
            </w:pPr>
          </w:p>
        </w:tc>
      </w:tr>
      <w:tr w:rsidRPr="00FF01E9" w:rsidR="00FF01E9" w:rsidTr="005C5D7B" w14:paraId="225F6342" w14:textId="77777777">
        <w:trPr>
          <w:trHeight w:val="647"/>
        </w:trPr>
        <w:tc>
          <w:tcPr>
            <w:tcW w:w="12595" w:type="dxa"/>
            <w:gridSpan w:val="12"/>
            <w:tcBorders>
              <w:top w:val="single" w:color="auto" w:sz="4" w:space="0"/>
              <w:left w:val="single" w:color="auto" w:sz="4" w:space="0"/>
              <w:bottom w:val="single" w:color="auto" w:sz="4" w:space="0"/>
              <w:right w:val="single" w:color="auto" w:sz="4" w:space="0"/>
            </w:tcBorders>
            <w:shd w:val="clear" w:color="auto" w:fill="auto"/>
            <w:vAlign w:val="bottom"/>
            <w:hideMark/>
          </w:tcPr>
          <w:p w:rsidRPr="00FF01E9" w:rsidR="00FF01E9" w:rsidP="00FF01E9" w:rsidRDefault="00FF01E9" w14:paraId="2543E903" w14:textId="77777777">
            <w:pPr>
              <w:widowControl/>
              <w:rPr>
                <w:b/>
                <w:bCs/>
                <w:snapToGrid/>
                <w:color w:val="000000"/>
                <w:sz w:val="20"/>
              </w:rPr>
            </w:pPr>
            <w:r w:rsidRPr="00FF01E9">
              <w:rPr>
                <w:b/>
                <w:bCs/>
                <w:snapToGrid/>
                <w:color w:val="000000"/>
                <w:sz w:val="20"/>
              </w:rPr>
              <w:t>Detailed Burden Estimates by Screening Status of Respondents:</w:t>
            </w:r>
          </w:p>
        </w:tc>
        <w:tc>
          <w:tcPr>
            <w:tcW w:w="1680" w:type="dxa"/>
            <w:vAlign w:val="center"/>
            <w:hideMark/>
          </w:tcPr>
          <w:p w:rsidRPr="00FF01E9" w:rsidR="00FF01E9" w:rsidP="00FF01E9" w:rsidRDefault="00FF01E9" w14:paraId="394EE2CB" w14:textId="77777777">
            <w:pPr>
              <w:widowControl/>
              <w:rPr>
                <w:snapToGrid/>
                <w:sz w:val="20"/>
              </w:rPr>
            </w:pPr>
          </w:p>
        </w:tc>
      </w:tr>
      <w:tr w:rsidRPr="00FF01E9" w:rsidR="0022644E" w:rsidTr="005C5D7B" w14:paraId="51792588" w14:textId="77777777">
        <w:trPr>
          <w:trHeight w:val="534"/>
        </w:trPr>
        <w:tc>
          <w:tcPr>
            <w:tcW w:w="2875" w:type="dxa"/>
            <w:tcBorders>
              <w:top w:val="nil"/>
              <w:left w:val="single" w:color="auto" w:sz="4" w:space="0"/>
              <w:bottom w:val="single" w:color="auto" w:sz="4" w:space="0"/>
              <w:right w:val="single" w:color="auto" w:sz="4" w:space="0"/>
            </w:tcBorders>
            <w:shd w:val="clear" w:color="auto" w:fill="auto"/>
            <w:vAlign w:val="center"/>
            <w:hideMark/>
          </w:tcPr>
          <w:p w:rsidRPr="00FF01E9" w:rsidR="00FF01E9" w:rsidP="00FF01E9" w:rsidRDefault="00FF01E9" w14:paraId="406FA8D4" w14:textId="77777777">
            <w:pPr>
              <w:widowControl/>
              <w:ind w:firstLine="200" w:firstLineChars="100"/>
              <w:rPr>
                <w:snapToGrid/>
                <w:color w:val="000000"/>
                <w:sz w:val="20"/>
              </w:rPr>
            </w:pPr>
            <w:r w:rsidRPr="00FF01E9">
              <w:rPr>
                <w:snapToGrid/>
                <w:color w:val="000000"/>
                <w:sz w:val="20"/>
              </w:rPr>
              <w:t>1. Higher-income households screened out after food spending questions (average 12 questions)</w:t>
            </w:r>
          </w:p>
        </w:tc>
        <w:tc>
          <w:tcPr>
            <w:tcW w:w="900" w:type="dxa"/>
            <w:tcBorders>
              <w:top w:val="nil"/>
              <w:left w:val="nil"/>
              <w:bottom w:val="single" w:color="auto" w:sz="4" w:space="0"/>
              <w:right w:val="single" w:color="auto" w:sz="4" w:space="0"/>
            </w:tcBorders>
            <w:shd w:val="clear" w:color="auto" w:fill="auto"/>
            <w:vAlign w:val="bottom"/>
            <w:hideMark/>
          </w:tcPr>
          <w:p w:rsidRPr="00FF01E9" w:rsidR="00FF01E9" w:rsidP="00FF01E9" w:rsidRDefault="00FF01E9" w14:paraId="16AC9C4B" w14:textId="77777777">
            <w:pPr>
              <w:widowControl/>
              <w:jc w:val="right"/>
              <w:rPr>
                <w:rFonts w:ascii="Arial" w:hAnsi="Arial" w:cs="Arial"/>
                <w:snapToGrid/>
                <w:sz w:val="18"/>
                <w:szCs w:val="18"/>
              </w:rPr>
            </w:pPr>
            <w:r w:rsidRPr="00FF01E9">
              <w:rPr>
                <w:rFonts w:ascii="Arial" w:hAnsi="Arial" w:cs="Arial"/>
                <w:snapToGrid/>
                <w:sz w:val="18"/>
                <w:szCs w:val="18"/>
              </w:rPr>
              <w:t> </w:t>
            </w:r>
          </w:p>
        </w:tc>
        <w:tc>
          <w:tcPr>
            <w:tcW w:w="630" w:type="dxa"/>
            <w:tcBorders>
              <w:top w:val="nil"/>
              <w:left w:val="nil"/>
              <w:bottom w:val="single" w:color="auto" w:sz="4" w:space="0"/>
              <w:right w:val="single" w:color="auto" w:sz="4" w:space="0"/>
            </w:tcBorders>
            <w:shd w:val="clear" w:color="auto" w:fill="auto"/>
            <w:vAlign w:val="bottom"/>
            <w:hideMark/>
          </w:tcPr>
          <w:p w:rsidRPr="00FF01E9" w:rsidR="00FF01E9" w:rsidP="00FF01E9" w:rsidRDefault="00FF01E9" w14:paraId="76F4A376" w14:textId="77777777">
            <w:pPr>
              <w:widowControl/>
              <w:jc w:val="right"/>
              <w:rPr>
                <w:rFonts w:ascii="Arial" w:hAnsi="Arial" w:cs="Arial"/>
                <w:snapToGrid/>
                <w:sz w:val="18"/>
                <w:szCs w:val="18"/>
              </w:rPr>
            </w:pPr>
            <w:r w:rsidRPr="00FF01E9">
              <w:rPr>
                <w:rFonts w:ascii="Arial" w:hAnsi="Arial" w:cs="Arial"/>
                <w:snapToGrid/>
                <w:sz w:val="18"/>
                <w:szCs w:val="18"/>
              </w:rPr>
              <w:t> </w:t>
            </w:r>
          </w:p>
        </w:tc>
        <w:tc>
          <w:tcPr>
            <w:tcW w:w="810" w:type="dxa"/>
            <w:tcBorders>
              <w:top w:val="nil"/>
              <w:left w:val="nil"/>
              <w:bottom w:val="single" w:color="auto" w:sz="4" w:space="0"/>
              <w:right w:val="single" w:color="auto" w:sz="4" w:space="0"/>
            </w:tcBorders>
            <w:shd w:val="clear" w:color="auto" w:fill="auto"/>
            <w:vAlign w:val="bottom"/>
            <w:hideMark/>
          </w:tcPr>
          <w:p w:rsidRPr="00FF01E9" w:rsidR="00FF01E9" w:rsidP="00FF01E9" w:rsidRDefault="00FF01E9" w14:paraId="222FEB3E" w14:textId="77777777">
            <w:pPr>
              <w:widowControl/>
              <w:jc w:val="right"/>
              <w:rPr>
                <w:rFonts w:ascii="Arial" w:hAnsi="Arial" w:cs="Arial"/>
                <w:snapToGrid/>
                <w:sz w:val="18"/>
                <w:szCs w:val="18"/>
              </w:rPr>
            </w:pPr>
            <w:r w:rsidRPr="00FF01E9">
              <w:rPr>
                <w:rFonts w:ascii="Arial" w:hAnsi="Arial" w:cs="Arial"/>
                <w:snapToGrid/>
                <w:sz w:val="18"/>
                <w:szCs w:val="18"/>
              </w:rPr>
              <w:t>24,418</w:t>
            </w:r>
          </w:p>
        </w:tc>
        <w:tc>
          <w:tcPr>
            <w:tcW w:w="810" w:type="dxa"/>
            <w:tcBorders>
              <w:top w:val="nil"/>
              <w:left w:val="nil"/>
              <w:bottom w:val="single" w:color="auto" w:sz="4" w:space="0"/>
              <w:right w:val="single" w:color="auto" w:sz="4" w:space="0"/>
            </w:tcBorders>
            <w:shd w:val="clear" w:color="auto" w:fill="auto"/>
            <w:vAlign w:val="bottom"/>
            <w:hideMark/>
          </w:tcPr>
          <w:p w:rsidRPr="00FF01E9" w:rsidR="00FF01E9" w:rsidP="00FF01E9" w:rsidRDefault="00FF01E9" w14:paraId="2360694A" w14:textId="77777777">
            <w:pPr>
              <w:widowControl/>
              <w:jc w:val="right"/>
              <w:rPr>
                <w:rFonts w:ascii="Arial" w:hAnsi="Arial" w:cs="Arial"/>
                <w:snapToGrid/>
                <w:sz w:val="18"/>
                <w:szCs w:val="18"/>
              </w:rPr>
            </w:pPr>
            <w:r w:rsidRPr="00FF01E9">
              <w:rPr>
                <w:rFonts w:ascii="Arial" w:hAnsi="Arial" w:cs="Arial"/>
                <w:snapToGrid/>
                <w:sz w:val="18"/>
                <w:szCs w:val="18"/>
              </w:rPr>
              <w:t>24,418</w:t>
            </w:r>
          </w:p>
        </w:tc>
        <w:tc>
          <w:tcPr>
            <w:tcW w:w="720" w:type="dxa"/>
            <w:tcBorders>
              <w:top w:val="nil"/>
              <w:left w:val="nil"/>
              <w:bottom w:val="single" w:color="auto" w:sz="4" w:space="0"/>
              <w:right w:val="single" w:color="auto" w:sz="4" w:space="0"/>
            </w:tcBorders>
            <w:shd w:val="clear" w:color="auto" w:fill="auto"/>
            <w:vAlign w:val="bottom"/>
            <w:hideMark/>
          </w:tcPr>
          <w:p w:rsidRPr="00FF01E9" w:rsidR="00FF01E9" w:rsidP="00FF01E9" w:rsidRDefault="00FF01E9" w14:paraId="44B40576" w14:textId="77777777">
            <w:pPr>
              <w:widowControl/>
              <w:jc w:val="right"/>
              <w:rPr>
                <w:rFonts w:ascii="Arial" w:hAnsi="Arial" w:cs="Arial"/>
                <w:snapToGrid/>
                <w:sz w:val="18"/>
                <w:szCs w:val="18"/>
              </w:rPr>
            </w:pPr>
            <w:r w:rsidRPr="00FF01E9">
              <w:rPr>
                <w:rFonts w:ascii="Arial" w:hAnsi="Arial" w:cs="Arial"/>
                <w:snapToGrid/>
                <w:sz w:val="18"/>
                <w:szCs w:val="18"/>
              </w:rPr>
              <w:t>6</w:t>
            </w:r>
          </w:p>
        </w:tc>
        <w:tc>
          <w:tcPr>
            <w:tcW w:w="900" w:type="dxa"/>
            <w:tcBorders>
              <w:top w:val="nil"/>
              <w:left w:val="nil"/>
              <w:bottom w:val="single" w:color="auto" w:sz="4" w:space="0"/>
              <w:right w:val="single" w:color="auto" w:sz="4" w:space="0"/>
            </w:tcBorders>
            <w:shd w:val="clear" w:color="auto" w:fill="auto"/>
            <w:vAlign w:val="bottom"/>
            <w:hideMark/>
          </w:tcPr>
          <w:p w:rsidRPr="00FF01E9" w:rsidR="00FF01E9" w:rsidP="00FF01E9" w:rsidRDefault="00FF01E9" w14:paraId="494267F1" w14:textId="77777777">
            <w:pPr>
              <w:widowControl/>
              <w:jc w:val="right"/>
              <w:rPr>
                <w:rFonts w:ascii="Arial" w:hAnsi="Arial" w:cs="Arial"/>
                <w:snapToGrid/>
                <w:sz w:val="18"/>
                <w:szCs w:val="18"/>
              </w:rPr>
            </w:pPr>
            <w:r w:rsidRPr="00FF01E9">
              <w:rPr>
                <w:rFonts w:ascii="Arial" w:hAnsi="Arial" w:cs="Arial"/>
                <w:snapToGrid/>
                <w:sz w:val="18"/>
                <w:szCs w:val="18"/>
              </w:rPr>
              <w:t>2,442</w:t>
            </w:r>
          </w:p>
        </w:tc>
        <w:tc>
          <w:tcPr>
            <w:tcW w:w="990" w:type="dxa"/>
            <w:tcBorders>
              <w:top w:val="nil"/>
              <w:left w:val="nil"/>
              <w:bottom w:val="single" w:color="auto" w:sz="4" w:space="0"/>
              <w:right w:val="single" w:color="auto" w:sz="4" w:space="0"/>
            </w:tcBorders>
            <w:shd w:val="clear" w:color="auto" w:fill="auto"/>
            <w:vAlign w:val="bottom"/>
            <w:hideMark/>
          </w:tcPr>
          <w:p w:rsidRPr="00FF01E9" w:rsidR="00FF01E9" w:rsidP="00FF01E9" w:rsidRDefault="00FF01E9" w14:paraId="139A6DDB" w14:textId="77777777">
            <w:pPr>
              <w:widowControl/>
              <w:jc w:val="right"/>
              <w:rPr>
                <w:rFonts w:ascii="Arial" w:hAnsi="Arial" w:cs="Arial"/>
                <w:snapToGrid/>
                <w:sz w:val="18"/>
                <w:szCs w:val="18"/>
              </w:rPr>
            </w:pPr>
            <w:r w:rsidRPr="00FF01E9">
              <w:rPr>
                <w:rFonts w:ascii="Arial" w:hAnsi="Arial" w:cs="Arial"/>
                <w:snapToGrid/>
                <w:sz w:val="18"/>
                <w:szCs w:val="18"/>
              </w:rPr>
              <w:t> </w:t>
            </w:r>
          </w:p>
        </w:tc>
        <w:tc>
          <w:tcPr>
            <w:tcW w:w="810" w:type="dxa"/>
            <w:tcBorders>
              <w:top w:val="nil"/>
              <w:left w:val="nil"/>
              <w:bottom w:val="single" w:color="auto" w:sz="4" w:space="0"/>
              <w:right w:val="single" w:color="auto" w:sz="4" w:space="0"/>
            </w:tcBorders>
            <w:shd w:val="clear" w:color="auto" w:fill="auto"/>
            <w:vAlign w:val="bottom"/>
            <w:hideMark/>
          </w:tcPr>
          <w:p w:rsidRPr="00FF01E9" w:rsidR="00FF01E9" w:rsidP="00FF01E9" w:rsidRDefault="00FF01E9" w14:paraId="26753437" w14:textId="77777777">
            <w:pPr>
              <w:widowControl/>
              <w:jc w:val="right"/>
              <w:rPr>
                <w:rFonts w:ascii="Arial" w:hAnsi="Arial" w:cs="Arial"/>
                <w:snapToGrid/>
                <w:sz w:val="18"/>
                <w:szCs w:val="18"/>
              </w:rPr>
            </w:pPr>
            <w:r w:rsidRPr="00FF01E9">
              <w:rPr>
                <w:rFonts w:ascii="Arial" w:hAnsi="Arial" w:cs="Arial"/>
                <w:snapToGrid/>
                <w:sz w:val="18"/>
                <w:szCs w:val="18"/>
              </w:rPr>
              <w:t> </w:t>
            </w:r>
          </w:p>
        </w:tc>
        <w:tc>
          <w:tcPr>
            <w:tcW w:w="720" w:type="dxa"/>
            <w:tcBorders>
              <w:top w:val="nil"/>
              <w:left w:val="nil"/>
              <w:bottom w:val="single" w:color="auto" w:sz="4" w:space="0"/>
              <w:right w:val="single" w:color="auto" w:sz="4" w:space="0"/>
            </w:tcBorders>
            <w:shd w:val="clear" w:color="auto" w:fill="auto"/>
            <w:vAlign w:val="bottom"/>
            <w:hideMark/>
          </w:tcPr>
          <w:p w:rsidRPr="00FF01E9" w:rsidR="00FF01E9" w:rsidP="00FF01E9" w:rsidRDefault="00FF01E9" w14:paraId="7960EAA8" w14:textId="77777777">
            <w:pPr>
              <w:widowControl/>
              <w:jc w:val="right"/>
              <w:rPr>
                <w:rFonts w:ascii="Arial" w:hAnsi="Arial" w:cs="Arial"/>
                <w:snapToGrid/>
                <w:sz w:val="18"/>
                <w:szCs w:val="18"/>
              </w:rPr>
            </w:pPr>
            <w:r w:rsidRPr="00FF01E9">
              <w:rPr>
                <w:rFonts w:ascii="Arial" w:hAnsi="Arial" w:cs="Arial"/>
                <w:snapToGrid/>
                <w:sz w:val="18"/>
                <w:szCs w:val="18"/>
              </w:rPr>
              <w:t> </w:t>
            </w:r>
          </w:p>
        </w:tc>
        <w:tc>
          <w:tcPr>
            <w:tcW w:w="900" w:type="dxa"/>
            <w:tcBorders>
              <w:top w:val="nil"/>
              <w:left w:val="nil"/>
              <w:bottom w:val="single" w:color="auto" w:sz="4" w:space="0"/>
              <w:right w:val="single" w:color="auto" w:sz="4" w:space="0"/>
            </w:tcBorders>
            <w:shd w:val="clear" w:color="auto" w:fill="auto"/>
            <w:vAlign w:val="bottom"/>
            <w:hideMark/>
          </w:tcPr>
          <w:p w:rsidRPr="00FF01E9" w:rsidR="00FF01E9" w:rsidP="00FF01E9" w:rsidRDefault="00FF01E9" w14:paraId="16173694" w14:textId="77777777">
            <w:pPr>
              <w:widowControl/>
              <w:jc w:val="right"/>
              <w:rPr>
                <w:rFonts w:ascii="Arial" w:hAnsi="Arial" w:cs="Arial"/>
                <w:snapToGrid/>
                <w:sz w:val="18"/>
                <w:szCs w:val="18"/>
              </w:rPr>
            </w:pPr>
            <w:r w:rsidRPr="00FF01E9">
              <w:rPr>
                <w:rFonts w:ascii="Arial" w:hAnsi="Arial" w:cs="Arial"/>
                <w:snapToGrid/>
                <w:sz w:val="18"/>
                <w:szCs w:val="18"/>
              </w:rPr>
              <w:t> </w:t>
            </w:r>
          </w:p>
        </w:tc>
        <w:tc>
          <w:tcPr>
            <w:tcW w:w="1530" w:type="dxa"/>
            <w:tcBorders>
              <w:top w:val="nil"/>
              <w:left w:val="nil"/>
              <w:bottom w:val="single" w:color="auto" w:sz="4" w:space="0"/>
              <w:right w:val="single" w:color="auto" w:sz="4" w:space="0"/>
            </w:tcBorders>
            <w:shd w:val="clear" w:color="auto" w:fill="auto"/>
            <w:vAlign w:val="bottom"/>
            <w:hideMark/>
          </w:tcPr>
          <w:p w:rsidRPr="00FF01E9" w:rsidR="00FF01E9" w:rsidP="00FF01E9" w:rsidRDefault="00FF01E9" w14:paraId="139595DF" w14:textId="77777777">
            <w:pPr>
              <w:widowControl/>
              <w:jc w:val="right"/>
              <w:rPr>
                <w:rFonts w:ascii="Arial" w:hAnsi="Arial" w:cs="Arial"/>
                <w:snapToGrid/>
                <w:sz w:val="18"/>
                <w:szCs w:val="18"/>
              </w:rPr>
            </w:pPr>
            <w:r w:rsidRPr="00FF01E9">
              <w:rPr>
                <w:rFonts w:ascii="Arial" w:hAnsi="Arial" w:cs="Arial"/>
                <w:snapToGrid/>
                <w:sz w:val="18"/>
                <w:szCs w:val="18"/>
              </w:rPr>
              <w:t> </w:t>
            </w:r>
          </w:p>
        </w:tc>
        <w:tc>
          <w:tcPr>
            <w:tcW w:w="1680" w:type="dxa"/>
            <w:vAlign w:val="center"/>
            <w:hideMark/>
          </w:tcPr>
          <w:p w:rsidRPr="00FF01E9" w:rsidR="00FF01E9" w:rsidP="00FF01E9" w:rsidRDefault="00FF01E9" w14:paraId="6CA35823" w14:textId="77777777">
            <w:pPr>
              <w:widowControl/>
              <w:rPr>
                <w:snapToGrid/>
                <w:sz w:val="20"/>
              </w:rPr>
            </w:pPr>
          </w:p>
        </w:tc>
      </w:tr>
      <w:tr w:rsidRPr="00FF01E9" w:rsidR="0022644E" w:rsidTr="005C5D7B" w14:paraId="2EC766BD" w14:textId="77777777">
        <w:trPr>
          <w:trHeight w:val="801"/>
        </w:trPr>
        <w:tc>
          <w:tcPr>
            <w:tcW w:w="2875" w:type="dxa"/>
            <w:tcBorders>
              <w:top w:val="nil"/>
              <w:left w:val="single" w:color="auto" w:sz="4" w:space="0"/>
              <w:bottom w:val="single" w:color="auto" w:sz="4" w:space="0"/>
              <w:right w:val="single" w:color="auto" w:sz="4" w:space="0"/>
            </w:tcBorders>
            <w:shd w:val="clear" w:color="auto" w:fill="auto"/>
            <w:vAlign w:val="center"/>
            <w:hideMark/>
          </w:tcPr>
          <w:p w:rsidRPr="00FF01E9" w:rsidR="00FF01E9" w:rsidP="00FF01E9" w:rsidRDefault="00FF01E9" w14:paraId="2FA1C51F" w14:textId="77777777">
            <w:pPr>
              <w:widowControl/>
              <w:ind w:firstLine="200" w:firstLineChars="100"/>
              <w:rPr>
                <w:snapToGrid/>
                <w:color w:val="000000"/>
                <w:sz w:val="20"/>
              </w:rPr>
            </w:pPr>
            <w:r w:rsidRPr="00FF01E9">
              <w:rPr>
                <w:snapToGrid/>
                <w:color w:val="000000"/>
                <w:sz w:val="20"/>
              </w:rPr>
              <w:t>2. Households with children and either lower-income or screened in after food spending questions (average 35 questions)</w:t>
            </w:r>
          </w:p>
        </w:tc>
        <w:tc>
          <w:tcPr>
            <w:tcW w:w="900" w:type="dxa"/>
            <w:tcBorders>
              <w:top w:val="nil"/>
              <w:left w:val="nil"/>
              <w:bottom w:val="single" w:color="auto" w:sz="4" w:space="0"/>
              <w:right w:val="single" w:color="auto" w:sz="4" w:space="0"/>
            </w:tcBorders>
            <w:shd w:val="clear" w:color="auto" w:fill="auto"/>
            <w:vAlign w:val="bottom"/>
            <w:hideMark/>
          </w:tcPr>
          <w:p w:rsidRPr="00FF01E9" w:rsidR="00FF01E9" w:rsidP="00FF01E9" w:rsidRDefault="00FF01E9" w14:paraId="6C14139F" w14:textId="77777777">
            <w:pPr>
              <w:widowControl/>
              <w:jc w:val="right"/>
              <w:rPr>
                <w:rFonts w:ascii="Arial" w:hAnsi="Arial" w:cs="Arial"/>
                <w:snapToGrid/>
                <w:sz w:val="18"/>
                <w:szCs w:val="18"/>
              </w:rPr>
            </w:pPr>
            <w:r w:rsidRPr="00FF01E9">
              <w:rPr>
                <w:rFonts w:ascii="Arial" w:hAnsi="Arial" w:cs="Arial"/>
                <w:snapToGrid/>
                <w:sz w:val="18"/>
                <w:szCs w:val="18"/>
              </w:rPr>
              <w:t> </w:t>
            </w:r>
          </w:p>
        </w:tc>
        <w:tc>
          <w:tcPr>
            <w:tcW w:w="630" w:type="dxa"/>
            <w:tcBorders>
              <w:top w:val="nil"/>
              <w:left w:val="nil"/>
              <w:bottom w:val="single" w:color="auto" w:sz="4" w:space="0"/>
              <w:right w:val="single" w:color="auto" w:sz="4" w:space="0"/>
            </w:tcBorders>
            <w:shd w:val="clear" w:color="auto" w:fill="auto"/>
            <w:vAlign w:val="bottom"/>
            <w:hideMark/>
          </w:tcPr>
          <w:p w:rsidRPr="00FF01E9" w:rsidR="00FF01E9" w:rsidP="00FF01E9" w:rsidRDefault="00FF01E9" w14:paraId="5941A10A" w14:textId="77777777">
            <w:pPr>
              <w:widowControl/>
              <w:jc w:val="right"/>
              <w:rPr>
                <w:rFonts w:ascii="Arial" w:hAnsi="Arial" w:cs="Arial"/>
                <w:snapToGrid/>
                <w:sz w:val="18"/>
                <w:szCs w:val="18"/>
              </w:rPr>
            </w:pPr>
            <w:r w:rsidRPr="00FF01E9">
              <w:rPr>
                <w:rFonts w:ascii="Arial" w:hAnsi="Arial" w:cs="Arial"/>
                <w:snapToGrid/>
                <w:sz w:val="18"/>
                <w:szCs w:val="18"/>
              </w:rPr>
              <w:t> </w:t>
            </w:r>
          </w:p>
        </w:tc>
        <w:tc>
          <w:tcPr>
            <w:tcW w:w="810" w:type="dxa"/>
            <w:tcBorders>
              <w:top w:val="nil"/>
              <w:left w:val="nil"/>
              <w:bottom w:val="single" w:color="auto" w:sz="4" w:space="0"/>
              <w:right w:val="single" w:color="auto" w:sz="4" w:space="0"/>
            </w:tcBorders>
            <w:shd w:val="clear" w:color="auto" w:fill="auto"/>
            <w:vAlign w:val="bottom"/>
            <w:hideMark/>
          </w:tcPr>
          <w:p w:rsidRPr="00FF01E9" w:rsidR="00FF01E9" w:rsidP="00FF01E9" w:rsidRDefault="00FF01E9" w14:paraId="45CBD439" w14:textId="77777777">
            <w:pPr>
              <w:widowControl/>
              <w:jc w:val="right"/>
              <w:rPr>
                <w:rFonts w:ascii="Arial" w:hAnsi="Arial" w:cs="Arial"/>
                <w:snapToGrid/>
                <w:sz w:val="18"/>
                <w:szCs w:val="18"/>
              </w:rPr>
            </w:pPr>
            <w:r w:rsidRPr="00FF01E9">
              <w:rPr>
                <w:rFonts w:ascii="Arial" w:hAnsi="Arial" w:cs="Arial"/>
                <w:snapToGrid/>
                <w:sz w:val="18"/>
                <w:szCs w:val="18"/>
              </w:rPr>
              <w:t>6,430</w:t>
            </w:r>
          </w:p>
        </w:tc>
        <w:tc>
          <w:tcPr>
            <w:tcW w:w="810" w:type="dxa"/>
            <w:tcBorders>
              <w:top w:val="nil"/>
              <w:left w:val="nil"/>
              <w:bottom w:val="single" w:color="auto" w:sz="4" w:space="0"/>
              <w:right w:val="single" w:color="auto" w:sz="4" w:space="0"/>
            </w:tcBorders>
            <w:shd w:val="clear" w:color="auto" w:fill="auto"/>
            <w:vAlign w:val="bottom"/>
            <w:hideMark/>
          </w:tcPr>
          <w:p w:rsidRPr="00FF01E9" w:rsidR="00FF01E9" w:rsidP="00FF01E9" w:rsidRDefault="00FF01E9" w14:paraId="37997582" w14:textId="77777777">
            <w:pPr>
              <w:widowControl/>
              <w:jc w:val="right"/>
              <w:rPr>
                <w:rFonts w:ascii="Arial" w:hAnsi="Arial" w:cs="Arial"/>
                <w:snapToGrid/>
                <w:sz w:val="18"/>
                <w:szCs w:val="18"/>
              </w:rPr>
            </w:pPr>
            <w:r w:rsidRPr="00FF01E9">
              <w:rPr>
                <w:rFonts w:ascii="Arial" w:hAnsi="Arial" w:cs="Arial"/>
                <w:snapToGrid/>
                <w:sz w:val="18"/>
                <w:szCs w:val="18"/>
              </w:rPr>
              <w:t>6,430</w:t>
            </w:r>
          </w:p>
        </w:tc>
        <w:tc>
          <w:tcPr>
            <w:tcW w:w="720" w:type="dxa"/>
            <w:tcBorders>
              <w:top w:val="nil"/>
              <w:left w:val="nil"/>
              <w:bottom w:val="single" w:color="auto" w:sz="4" w:space="0"/>
              <w:right w:val="single" w:color="auto" w:sz="4" w:space="0"/>
            </w:tcBorders>
            <w:shd w:val="clear" w:color="auto" w:fill="auto"/>
            <w:vAlign w:val="bottom"/>
            <w:hideMark/>
          </w:tcPr>
          <w:p w:rsidRPr="00FF01E9" w:rsidR="00FF01E9" w:rsidP="00FF01E9" w:rsidRDefault="00FF01E9" w14:paraId="153DDE29" w14:textId="77777777">
            <w:pPr>
              <w:widowControl/>
              <w:jc w:val="right"/>
              <w:rPr>
                <w:rFonts w:ascii="Arial" w:hAnsi="Arial" w:cs="Arial"/>
                <w:snapToGrid/>
                <w:sz w:val="18"/>
                <w:szCs w:val="18"/>
              </w:rPr>
            </w:pPr>
            <w:r w:rsidRPr="00FF01E9">
              <w:rPr>
                <w:rFonts w:ascii="Arial" w:hAnsi="Arial" w:cs="Arial"/>
                <w:snapToGrid/>
                <w:sz w:val="18"/>
                <w:szCs w:val="18"/>
              </w:rPr>
              <w:t>15</w:t>
            </w:r>
          </w:p>
        </w:tc>
        <w:tc>
          <w:tcPr>
            <w:tcW w:w="900" w:type="dxa"/>
            <w:tcBorders>
              <w:top w:val="nil"/>
              <w:left w:val="nil"/>
              <w:bottom w:val="single" w:color="auto" w:sz="4" w:space="0"/>
              <w:right w:val="single" w:color="auto" w:sz="4" w:space="0"/>
            </w:tcBorders>
            <w:shd w:val="clear" w:color="auto" w:fill="auto"/>
            <w:vAlign w:val="bottom"/>
            <w:hideMark/>
          </w:tcPr>
          <w:p w:rsidRPr="00FF01E9" w:rsidR="00FF01E9" w:rsidP="00FF01E9" w:rsidRDefault="00FF01E9" w14:paraId="01808DE2" w14:textId="77777777">
            <w:pPr>
              <w:widowControl/>
              <w:jc w:val="right"/>
              <w:rPr>
                <w:rFonts w:ascii="Arial" w:hAnsi="Arial" w:cs="Arial"/>
                <w:snapToGrid/>
                <w:sz w:val="18"/>
                <w:szCs w:val="18"/>
              </w:rPr>
            </w:pPr>
            <w:r w:rsidRPr="00FF01E9">
              <w:rPr>
                <w:rFonts w:ascii="Arial" w:hAnsi="Arial" w:cs="Arial"/>
                <w:snapToGrid/>
                <w:sz w:val="18"/>
                <w:szCs w:val="18"/>
              </w:rPr>
              <w:t>1,607</w:t>
            </w:r>
          </w:p>
        </w:tc>
        <w:tc>
          <w:tcPr>
            <w:tcW w:w="990" w:type="dxa"/>
            <w:tcBorders>
              <w:top w:val="nil"/>
              <w:left w:val="nil"/>
              <w:bottom w:val="single" w:color="auto" w:sz="4" w:space="0"/>
              <w:right w:val="single" w:color="auto" w:sz="4" w:space="0"/>
            </w:tcBorders>
            <w:shd w:val="clear" w:color="auto" w:fill="auto"/>
            <w:vAlign w:val="bottom"/>
            <w:hideMark/>
          </w:tcPr>
          <w:p w:rsidRPr="00FF01E9" w:rsidR="00FF01E9" w:rsidP="00FF01E9" w:rsidRDefault="00FF01E9" w14:paraId="3BCFD96A" w14:textId="77777777">
            <w:pPr>
              <w:widowControl/>
              <w:jc w:val="right"/>
              <w:rPr>
                <w:rFonts w:ascii="Arial" w:hAnsi="Arial" w:cs="Arial"/>
                <w:snapToGrid/>
                <w:sz w:val="18"/>
                <w:szCs w:val="18"/>
              </w:rPr>
            </w:pPr>
            <w:r w:rsidRPr="00FF01E9">
              <w:rPr>
                <w:rFonts w:ascii="Arial" w:hAnsi="Arial" w:cs="Arial"/>
                <w:snapToGrid/>
                <w:sz w:val="18"/>
                <w:szCs w:val="18"/>
              </w:rPr>
              <w:t> </w:t>
            </w:r>
          </w:p>
        </w:tc>
        <w:tc>
          <w:tcPr>
            <w:tcW w:w="810" w:type="dxa"/>
            <w:tcBorders>
              <w:top w:val="nil"/>
              <w:left w:val="nil"/>
              <w:bottom w:val="single" w:color="auto" w:sz="4" w:space="0"/>
              <w:right w:val="single" w:color="auto" w:sz="4" w:space="0"/>
            </w:tcBorders>
            <w:shd w:val="clear" w:color="auto" w:fill="auto"/>
            <w:vAlign w:val="bottom"/>
            <w:hideMark/>
          </w:tcPr>
          <w:p w:rsidRPr="00FF01E9" w:rsidR="00FF01E9" w:rsidP="00FF01E9" w:rsidRDefault="00FF01E9" w14:paraId="2FD487D5" w14:textId="77777777">
            <w:pPr>
              <w:widowControl/>
              <w:jc w:val="right"/>
              <w:rPr>
                <w:rFonts w:ascii="Arial" w:hAnsi="Arial" w:cs="Arial"/>
                <w:snapToGrid/>
                <w:sz w:val="18"/>
                <w:szCs w:val="18"/>
              </w:rPr>
            </w:pPr>
            <w:r w:rsidRPr="00FF01E9">
              <w:rPr>
                <w:rFonts w:ascii="Arial" w:hAnsi="Arial" w:cs="Arial"/>
                <w:snapToGrid/>
                <w:sz w:val="18"/>
                <w:szCs w:val="18"/>
              </w:rPr>
              <w:t> </w:t>
            </w:r>
          </w:p>
        </w:tc>
        <w:tc>
          <w:tcPr>
            <w:tcW w:w="720" w:type="dxa"/>
            <w:tcBorders>
              <w:top w:val="nil"/>
              <w:left w:val="nil"/>
              <w:bottom w:val="single" w:color="auto" w:sz="4" w:space="0"/>
              <w:right w:val="single" w:color="auto" w:sz="4" w:space="0"/>
            </w:tcBorders>
            <w:shd w:val="clear" w:color="auto" w:fill="auto"/>
            <w:vAlign w:val="bottom"/>
            <w:hideMark/>
          </w:tcPr>
          <w:p w:rsidRPr="00FF01E9" w:rsidR="00FF01E9" w:rsidP="00FF01E9" w:rsidRDefault="00FF01E9" w14:paraId="076BD0E5" w14:textId="77777777">
            <w:pPr>
              <w:widowControl/>
              <w:jc w:val="right"/>
              <w:rPr>
                <w:rFonts w:ascii="Arial" w:hAnsi="Arial" w:cs="Arial"/>
                <w:snapToGrid/>
                <w:sz w:val="18"/>
                <w:szCs w:val="18"/>
              </w:rPr>
            </w:pPr>
            <w:r w:rsidRPr="00FF01E9">
              <w:rPr>
                <w:rFonts w:ascii="Arial" w:hAnsi="Arial" w:cs="Arial"/>
                <w:snapToGrid/>
                <w:sz w:val="18"/>
                <w:szCs w:val="18"/>
              </w:rPr>
              <w:t> </w:t>
            </w:r>
          </w:p>
        </w:tc>
        <w:tc>
          <w:tcPr>
            <w:tcW w:w="900" w:type="dxa"/>
            <w:tcBorders>
              <w:top w:val="nil"/>
              <w:left w:val="nil"/>
              <w:bottom w:val="single" w:color="auto" w:sz="4" w:space="0"/>
              <w:right w:val="single" w:color="auto" w:sz="4" w:space="0"/>
            </w:tcBorders>
            <w:shd w:val="clear" w:color="auto" w:fill="auto"/>
            <w:vAlign w:val="bottom"/>
            <w:hideMark/>
          </w:tcPr>
          <w:p w:rsidRPr="00FF01E9" w:rsidR="00FF01E9" w:rsidP="00FF01E9" w:rsidRDefault="00FF01E9" w14:paraId="4E39A4DA" w14:textId="77777777">
            <w:pPr>
              <w:widowControl/>
              <w:jc w:val="right"/>
              <w:rPr>
                <w:rFonts w:ascii="Arial" w:hAnsi="Arial" w:cs="Arial"/>
                <w:snapToGrid/>
                <w:sz w:val="18"/>
                <w:szCs w:val="18"/>
              </w:rPr>
            </w:pPr>
            <w:r w:rsidRPr="00FF01E9">
              <w:rPr>
                <w:rFonts w:ascii="Arial" w:hAnsi="Arial" w:cs="Arial"/>
                <w:snapToGrid/>
                <w:sz w:val="18"/>
                <w:szCs w:val="18"/>
              </w:rPr>
              <w:t> </w:t>
            </w:r>
          </w:p>
        </w:tc>
        <w:tc>
          <w:tcPr>
            <w:tcW w:w="1530" w:type="dxa"/>
            <w:tcBorders>
              <w:top w:val="nil"/>
              <w:left w:val="nil"/>
              <w:bottom w:val="single" w:color="auto" w:sz="4" w:space="0"/>
              <w:right w:val="single" w:color="auto" w:sz="4" w:space="0"/>
            </w:tcBorders>
            <w:shd w:val="clear" w:color="auto" w:fill="auto"/>
            <w:vAlign w:val="bottom"/>
            <w:hideMark/>
          </w:tcPr>
          <w:p w:rsidRPr="00FF01E9" w:rsidR="00FF01E9" w:rsidP="00FF01E9" w:rsidRDefault="00FF01E9" w14:paraId="147619DD" w14:textId="77777777">
            <w:pPr>
              <w:widowControl/>
              <w:jc w:val="right"/>
              <w:rPr>
                <w:rFonts w:ascii="Arial" w:hAnsi="Arial" w:cs="Arial"/>
                <w:snapToGrid/>
                <w:sz w:val="18"/>
                <w:szCs w:val="18"/>
              </w:rPr>
            </w:pPr>
            <w:r w:rsidRPr="00FF01E9">
              <w:rPr>
                <w:rFonts w:ascii="Arial" w:hAnsi="Arial" w:cs="Arial"/>
                <w:snapToGrid/>
                <w:sz w:val="18"/>
                <w:szCs w:val="18"/>
              </w:rPr>
              <w:t> </w:t>
            </w:r>
          </w:p>
        </w:tc>
        <w:tc>
          <w:tcPr>
            <w:tcW w:w="1680" w:type="dxa"/>
            <w:vAlign w:val="center"/>
            <w:hideMark/>
          </w:tcPr>
          <w:p w:rsidRPr="00FF01E9" w:rsidR="00FF01E9" w:rsidP="00FF01E9" w:rsidRDefault="00FF01E9" w14:paraId="11CADE86" w14:textId="77777777">
            <w:pPr>
              <w:widowControl/>
              <w:rPr>
                <w:snapToGrid/>
                <w:sz w:val="20"/>
              </w:rPr>
            </w:pPr>
          </w:p>
        </w:tc>
      </w:tr>
      <w:tr w:rsidRPr="00FF01E9" w:rsidR="0022644E" w:rsidTr="005C5D7B" w14:paraId="2B36CFA3" w14:textId="77777777">
        <w:trPr>
          <w:trHeight w:val="801"/>
        </w:trPr>
        <w:tc>
          <w:tcPr>
            <w:tcW w:w="2875" w:type="dxa"/>
            <w:tcBorders>
              <w:top w:val="nil"/>
              <w:left w:val="single" w:color="auto" w:sz="4" w:space="0"/>
              <w:bottom w:val="single" w:color="auto" w:sz="4" w:space="0"/>
              <w:right w:val="single" w:color="auto" w:sz="4" w:space="0"/>
            </w:tcBorders>
            <w:shd w:val="clear" w:color="auto" w:fill="auto"/>
            <w:vAlign w:val="center"/>
            <w:hideMark/>
          </w:tcPr>
          <w:p w:rsidRPr="00FF01E9" w:rsidR="00FF01E9" w:rsidP="00FF01E9" w:rsidRDefault="00FF01E9" w14:paraId="32BD3302" w14:textId="77777777">
            <w:pPr>
              <w:widowControl/>
              <w:ind w:firstLine="200" w:firstLineChars="100"/>
              <w:rPr>
                <w:snapToGrid/>
                <w:color w:val="000000"/>
                <w:sz w:val="20"/>
              </w:rPr>
            </w:pPr>
            <w:r w:rsidRPr="00FF01E9">
              <w:rPr>
                <w:snapToGrid/>
                <w:color w:val="000000"/>
                <w:sz w:val="20"/>
              </w:rPr>
              <w:t>3. Households with no child and either lower-income or screened in after food spending questions (average 26 questions)</w:t>
            </w:r>
          </w:p>
        </w:tc>
        <w:tc>
          <w:tcPr>
            <w:tcW w:w="900" w:type="dxa"/>
            <w:tcBorders>
              <w:top w:val="nil"/>
              <w:left w:val="nil"/>
              <w:bottom w:val="single" w:color="auto" w:sz="4" w:space="0"/>
              <w:right w:val="single" w:color="auto" w:sz="4" w:space="0"/>
            </w:tcBorders>
            <w:shd w:val="clear" w:color="auto" w:fill="auto"/>
            <w:vAlign w:val="bottom"/>
            <w:hideMark/>
          </w:tcPr>
          <w:p w:rsidRPr="00FF01E9" w:rsidR="00FF01E9" w:rsidP="00FF01E9" w:rsidRDefault="00FF01E9" w14:paraId="1F5A9F1B" w14:textId="77777777">
            <w:pPr>
              <w:widowControl/>
              <w:jc w:val="right"/>
              <w:rPr>
                <w:rFonts w:ascii="Arial" w:hAnsi="Arial" w:cs="Arial"/>
                <w:snapToGrid/>
                <w:sz w:val="18"/>
                <w:szCs w:val="18"/>
              </w:rPr>
            </w:pPr>
            <w:r w:rsidRPr="00FF01E9">
              <w:rPr>
                <w:rFonts w:ascii="Arial" w:hAnsi="Arial" w:cs="Arial"/>
                <w:snapToGrid/>
                <w:sz w:val="18"/>
                <w:szCs w:val="18"/>
              </w:rPr>
              <w:t> </w:t>
            </w:r>
          </w:p>
        </w:tc>
        <w:tc>
          <w:tcPr>
            <w:tcW w:w="630" w:type="dxa"/>
            <w:tcBorders>
              <w:top w:val="nil"/>
              <w:left w:val="nil"/>
              <w:bottom w:val="single" w:color="auto" w:sz="4" w:space="0"/>
              <w:right w:val="single" w:color="auto" w:sz="4" w:space="0"/>
            </w:tcBorders>
            <w:shd w:val="clear" w:color="auto" w:fill="auto"/>
            <w:vAlign w:val="bottom"/>
            <w:hideMark/>
          </w:tcPr>
          <w:p w:rsidRPr="00FF01E9" w:rsidR="00FF01E9" w:rsidP="00FF01E9" w:rsidRDefault="00FF01E9" w14:paraId="72969E4E" w14:textId="77777777">
            <w:pPr>
              <w:widowControl/>
              <w:jc w:val="right"/>
              <w:rPr>
                <w:rFonts w:ascii="Arial" w:hAnsi="Arial" w:cs="Arial"/>
                <w:snapToGrid/>
                <w:sz w:val="18"/>
                <w:szCs w:val="18"/>
              </w:rPr>
            </w:pPr>
            <w:r w:rsidRPr="00FF01E9">
              <w:rPr>
                <w:rFonts w:ascii="Arial" w:hAnsi="Arial" w:cs="Arial"/>
                <w:snapToGrid/>
                <w:sz w:val="18"/>
                <w:szCs w:val="18"/>
              </w:rPr>
              <w:t> </w:t>
            </w:r>
          </w:p>
        </w:tc>
        <w:tc>
          <w:tcPr>
            <w:tcW w:w="810" w:type="dxa"/>
            <w:tcBorders>
              <w:top w:val="nil"/>
              <w:left w:val="nil"/>
              <w:bottom w:val="single" w:color="auto" w:sz="4" w:space="0"/>
              <w:right w:val="single" w:color="auto" w:sz="4" w:space="0"/>
            </w:tcBorders>
            <w:shd w:val="clear" w:color="auto" w:fill="auto"/>
            <w:vAlign w:val="bottom"/>
            <w:hideMark/>
          </w:tcPr>
          <w:p w:rsidRPr="00FF01E9" w:rsidR="00FF01E9" w:rsidP="00FF01E9" w:rsidRDefault="00FF01E9" w14:paraId="17440BD4" w14:textId="77777777">
            <w:pPr>
              <w:widowControl/>
              <w:jc w:val="right"/>
              <w:rPr>
                <w:rFonts w:ascii="Arial" w:hAnsi="Arial" w:cs="Arial"/>
                <w:snapToGrid/>
                <w:sz w:val="18"/>
                <w:szCs w:val="18"/>
              </w:rPr>
            </w:pPr>
            <w:r w:rsidRPr="00FF01E9">
              <w:rPr>
                <w:rFonts w:ascii="Arial" w:hAnsi="Arial" w:cs="Arial"/>
                <w:snapToGrid/>
                <w:sz w:val="18"/>
                <w:szCs w:val="18"/>
              </w:rPr>
              <w:t>12,273</w:t>
            </w:r>
          </w:p>
        </w:tc>
        <w:tc>
          <w:tcPr>
            <w:tcW w:w="810" w:type="dxa"/>
            <w:tcBorders>
              <w:top w:val="nil"/>
              <w:left w:val="nil"/>
              <w:bottom w:val="single" w:color="auto" w:sz="4" w:space="0"/>
              <w:right w:val="single" w:color="auto" w:sz="4" w:space="0"/>
            </w:tcBorders>
            <w:shd w:val="clear" w:color="auto" w:fill="auto"/>
            <w:vAlign w:val="bottom"/>
            <w:hideMark/>
          </w:tcPr>
          <w:p w:rsidRPr="00FF01E9" w:rsidR="00FF01E9" w:rsidP="00FF01E9" w:rsidRDefault="00FF01E9" w14:paraId="2886704D" w14:textId="77777777">
            <w:pPr>
              <w:widowControl/>
              <w:jc w:val="right"/>
              <w:rPr>
                <w:rFonts w:ascii="Arial" w:hAnsi="Arial" w:cs="Arial"/>
                <w:snapToGrid/>
                <w:sz w:val="18"/>
                <w:szCs w:val="18"/>
              </w:rPr>
            </w:pPr>
            <w:r w:rsidRPr="00FF01E9">
              <w:rPr>
                <w:rFonts w:ascii="Arial" w:hAnsi="Arial" w:cs="Arial"/>
                <w:snapToGrid/>
                <w:sz w:val="18"/>
                <w:szCs w:val="18"/>
              </w:rPr>
              <w:t>12,273</w:t>
            </w:r>
          </w:p>
        </w:tc>
        <w:tc>
          <w:tcPr>
            <w:tcW w:w="720" w:type="dxa"/>
            <w:tcBorders>
              <w:top w:val="nil"/>
              <w:left w:val="nil"/>
              <w:bottom w:val="single" w:color="auto" w:sz="4" w:space="0"/>
              <w:right w:val="single" w:color="auto" w:sz="4" w:space="0"/>
            </w:tcBorders>
            <w:shd w:val="clear" w:color="auto" w:fill="auto"/>
            <w:vAlign w:val="bottom"/>
            <w:hideMark/>
          </w:tcPr>
          <w:p w:rsidRPr="00FF01E9" w:rsidR="00FF01E9" w:rsidP="00FF01E9" w:rsidRDefault="00FF01E9" w14:paraId="488EFADC" w14:textId="77777777">
            <w:pPr>
              <w:widowControl/>
              <w:jc w:val="right"/>
              <w:rPr>
                <w:rFonts w:ascii="Arial" w:hAnsi="Arial" w:cs="Arial"/>
                <w:snapToGrid/>
                <w:sz w:val="18"/>
                <w:szCs w:val="18"/>
              </w:rPr>
            </w:pPr>
            <w:r w:rsidRPr="00FF01E9">
              <w:rPr>
                <w:rFonts w:ascii="Arial" w:hAnsi="Arial" w:cs="Arial"/>
                <w:snapToGrid/>
                <w:sz w:val="18"/>
                <w:szCs w:val="18"/>
              </w:rPr>
              <w:t>11</w:t>
            </w:r>
          </w:p>
        </w:tc>
        <w:tc>
          <w:tcPr>
            <w:tcW w:w="900" w:type="dxa"/>
            <w:tcBorders>
              <w:top w:val="nil"/>
              <w:left w:val="nil"/>
              <w:bottom w:val="single" w:color="auto" w:sz="4" w:space="0"/>
              <w:right w:val="single" w:color="auto" w:sz="4" w:space="0"/>
            </w:tcBorders>
            <w:shd w:val="clear" w:color="auto" w:fill="auto"/>
            <w:vAlign w:val="bottom"/>
            <w:hideMark/>
          </w:tcPr>
          <w:p w:rsidRPr="00FF01E9" w:rsidR="00FF01E9" w:rsidP="00FF01E9" w:rsidRDefault="00FF01E9" w14:paraId="303AAF4D" w14:textId="77777777">
            <w:pPr>
              <w:widowControl/>
              <w:jc w:val="right"/>
              <w:rPr>
                <w:rFonts w:ascii="Arial" w:hAnsi="Arial" w:cs="Arial"/>
                <w:snapToGrid/>
                <w:sz w:val="18"/>
                <w:szCs w:val="18"/>
              </w:rPr>
            </w:pPr>
            <w:r w:rsidRPr="00FF01E9">
              <w:rPr>
                <w:rFonts w:ascii="Arial" w:hAnsi="Arial" w:cs="Arial"/>
                <w:snapToGrid/>
                <w:sz w:val="18"/>
                <w:szCs w:val="18"/>
              </w:rPr>
              <w:t>2,250</w:t>
            </w:r>
          </w:p>
        </w:tc>
        <w:tc>
          <w:tcPr>
            <w:tcW w:w="990" w:type="dxa"/>
            <w:tcBorders>
              <w:top w:val="nil"/>
              <w:left w:val="nil"/>
              <w:bottom w:val="single" w:color="auto" w:sz="4" w:space="0"/>
              <w:right w:val="single" w:color="auto" w:sz="4" w:space="0"/>
            </w:tcBorders>
            <w:shd w:val="clear" w:color="auto" w:fill="auto"/>
            <w:vAlign w:val="bottom"/>
            <w:hideMark/>
          </w:tcPr>
          <w:p w:rsidRPr="00FF01E9" w:rsidR="00FF01E9" w:rsidP="00FF01E9" w:rsidRDefault="00FF01E9" w14:paraId="5663ED98" w14:textId="77777777">
            <w:pPr>
              <w:widowControl/>
              <w:jc w:val="right"/>
              <w:rPr>
                <w:rFonts w:ascii="Arial" w:hAnsi="Arial" w:cs="Arial"/>
                <w:snapToGrid/>
                <w:sz w:val="18"/>
                <w:szCs w:val="18"/>
              </w:rPr>
            </w:pPr>
            <w:r w:rsidRPr="00FF01E9">
              <w:rPr>
                <w:rFonts w:ascii="Arial" w:hAnsi="Arial" w:cs="Arial"/>
                <w:snapToGrid/>
                <w:sz w:val="18"/>
                <w:szCs w:val="18"/>
              </w:rPr>
              <w:t> </w:t>
            </w:r>
          </w:p>
        </w:tc>
        <w:tc>
          <w:tcPr>
            <w:tcW w:w="810" w:type="dxa"/>
            <w:tcBorders>
              <w:top w:val="nil"/>
              <w:left w:val="nil"/>
              <w:bottom w:val="single" w:color="auto" w:sz="4" w:space="0"/>
              <w:right w:val="single" w:color="auto" w:sz="4" w:space="0"/>
            </w:tcBorders>
            <w:shd w:val="clear" w:color="auto" w:fill="auto"/>
            <w:vAlign w:val="bottom"/>
            <w:hideMark/>
          </w:tcPr>
          <w:p w:rsidRPr="00FF01E9" w:rsidR="00FF01E9" w:rsidP="00FF01E9" w:rsidRDefault="00FF01E9" w14:paraId="529ECB24" w14:textId="77777777">
            <w:pPr>
              <w:widowControl/>
              <w:jc w:val="right"/>
              <w:rPr>
                <w:rFonts w:ascii="Arial" w:hAnsi="Arial" w:cs="Arial"/>
                <w:snapToGrid/>
                <w:sz w:val="18"/>
                <w:szCs w:val="18"/>
              </w:rPr>
            </w:pPr>
            <w:r w:rsidRPr="00FF01E9">
              <w:rPr>
                <w:rFonts w:ascii="Arial" w:hAnsi="Arial" w:cs="Arial"/>
                <w:snapToGrid/>
                <w:sz w:val="18"/>
                <w:szCs w:val="18"/>
              </w:rPr>
              <w:t> </w:t>
            </w:r>
          </w:p>
        </w:tc>
        <w:tc>
          <w:tcPr>
            <w:tcW w:w="720" w:type="dxa"/>
            <w:tcBorders>
              <w:top w:val="nil"/>
              <w:left w:val="nil"/>
              <w:bottom w:val="single" w:color="auto" w:sz="4" w:space="0"/>
              <w:right w:val="single" w:color="auto" w:sz="4" w:space="0"/>
            </w:tcBorders>
            <w:shd w:val="clear" w:color="auto" w:fill="auto"/>
            <w:vAlign w:val="bottom"/>
            <w:hideMark/>
          </w:tcPr>
          <w:p w:rsidRPr="00FF01E9" w:rsidR="00FF01E9" w:rsidP="00FF01E9" w:rsidRDefault="00FF01E9" w14:paraId="30E405A3" w14:textId="77777777">
            <w:pPr>
              <w:widowControl/>
              <w:jc w:val="right"/>
              <w:rPr>
                <w:rFonts w:ascii="Arial" w:hAnsi="Arial" w:cs="Arial"/>
                <w:snapToGrid/>
                <w:sz w:val="18"/>
                <w:szCs w:val="18"/>
              </w:rPr>
            </w:pPr>
            <w:r w:rsidRPr="00FF01E9">
              <w:rPr>
                <w:rFonts w:ascii="Arial" w:hAnsi="Arial" w:cs="Arial"/>
                <w:snapToGrid/>
                <w:sz w:val="18"/>
                <w:szCs w:val="18"/>
              </w:rPr>
              <w:t> </w:t>
            </w:r>
          </w:p>
        </w:tc>
        <w:tc>
          <w:tcPr>
            <w:tcW w:w="900" w:type="dxa"/>
            <w:tcBorders>
              <w:top w:val="nil"/>
              <w:left w:val="nil"/>
              <w:bottom w:val="single" w:color="auto" w:sz="4" w:space="0"/>
              <w:right w:val="single" w:color="auto" w:sz="4" w:space="0"/>
            </w:tcBorders>
            <w:shd w:val="clear" w:color="auto" w:fill="auto"/>
            <w:vAlign w:val="bottom"/>
            <w:hideMark/>
          </w:tcPr>
          <w:p w:rsidRPr="00FF01E9" w:rsidR="00FF01E9" w:rsidP="00FF01E9" w:rsidRDefault="00FF01E9" w14:paraId="36B904B9" w14:textId="77777777">
            <w:pPr>
              <w:widowControl/>
              <w:jc w:val="right"/>
              <w:rPr>
                <w:rFonts w:ascii="Arial" w:hAnsi="Arial" w:cs="Arial"/>
                <w:snapToGrid/>
                <w:sz w:val="18"/>
                <w:szCs w:val="18"/>
              </w:rPr>
            </w:pPr>
            <w:r w:rsidRPr="00FF01E9">
              <w:rPr>
                <w:rFonts w:ascii="Arial" w:hAnsi="Arial" w:cs="Arial"/>
                <w:snapToGrid/>
                <w:sz w:val="18"/>
                <w:szCs w:val="18"/>
              </w:rPr>
              <w:t> </w:t>
            </w:r>
          </w:p>
        </w:tc>
        <w:tc>
          <w:tcPr>
            <w:tcW w:w="1530" w:type="dxa"/>
            <w:tcBorders>
              <w:top w:val="nil"/>
              <w:left w:val="nil"/>
              <w:bottom w:val="single" w:color="auto" w:sz="4" w:space="0"/>
              <w:right w:val="single" w:color="auto" w:sz="4" w:space="0"/>
            </w:tcBorders>
            <w:shd w:val="clear" w:color="auto" w:fill="auto"/>
            <w:vAlign w:val="bottom"/>
            <w:hideMark/>
          </w:tcPr>
          <w:p w:rsidRPr="00FF01E9" w:rsidR="00FF01E9" w:rsidP="00FF01E9" w:rsidRDefault="00FF01E9" w14:paraId="72F7041F" w14:textId="77777777">
            <w:pPr>
              <w:widowControl/>
              <w:jc w:val="right"/>
              <w:rPr>
                <w:rFonts w:ascii="Arial" w:hAnsi="Arial" w:cs="Arial"/>
                <w:snapToGrid/>
                <w:sz w:val="18"/>
                <w:szCs w:val="18"/>
              </w:rPr>
            </w:pPr>
            <w:r w:rsidRPr="00FF01E9">
              <w:rPr>
                <w:rFonts w:ascii="Arial" w:hAnsi="Arial" w:cs="Arial"/>
                <w:snapToGrid/>
                <w:sz w:val="18"/>
                <w:szCs w:val="18"/>
              </w:rPr>
              <w:t> </w:t>
            </w:r>
          </w:p>
        </w:tc>
        <w:tc>
          <w:tcPr>
            <w:tcW w:w="1680" w:type="dxa"/>
            <w:vAlign w:val="center"/>
            <w:hideMark/>
          </w:tcPr>
          <w:p w:rsidRPr="00FF01E9" w:rsidR="00FF01E9" w:rsidP="00FF01E9" w:rsidRDefault="00FF01E9" w14:paraId="09660E14" w14:textId="77777777">
            <w:pPr>
              <w:widowControl/>
              <w:rPr>
                <w:snapToGrid/>
                <w:sz w:val="20"/>
              </w:rPr>
            </w:pPr>
          </w:p>
        </w:tc>
      </w:tr>
      <w:tr w:rsidRPr="00FF01E9" w:rsidR="0022644E" w:rsidTr="005C5D7B" w14:paraId="1C8A4A85" w14:textId="77777777">
        <w:trPr>
          <w:trHeight w:val="297"/>
        </w:trPr>
        <w:tc>
          <w:tcPr>
            <w:tcW w:w="2875" w:type="dxa"/>
            <w:tcBorders>
              <w:top w:val="nil"/>
              <w:left w:val="single" w:color="auto" w:sz="4" w:space="0"/>
              <w:bottom w:val="single" w:color="auto" w:sz="4" w:space="0"/>
              <w:right w:val="single" w:color="auto" w:sz="4" w:space="0"/>
            </w:tcBorders>
            <w:shd w:val="clear" w:color="auto" w:fill="auto"/>
            <w:vAlign w:val="bottom"/>
            <w:hideMark/>
          </w:tcPr>
          <w:p w:rsidRPr="00FF01E9" w:rsidR="00FF01E9" w:rsidP="00FF01E9" w:rsidRDefault="00FF01E9" w14:paraId="70C866CB" w14:textId="77777777">
            <w:pPr>
              <w:widowControl/>
              <w:ind w:firstLine="181" w:firstLineChars="100"/>
              <w:rPr>
                <w:rFonts w:ascii="Arial" w:hAnsi="Arial" w:cs="Arial"/>
                <w:b/>
                <w:bCs/>
                <w:snapToGrid/>
                <w:sz w:val="18"/>
                <w:szCs w:val="18"/>
              </w:rPr>
            </w:pPr>
            <w:r w:rsidRPr="00FF01E9">
              <w:rPr>
                <w:rFonts w:ascii="Arial" w:hAnsi="Arial" w:cs="Arial"/>
                <w:b/>
                <w:bCs/>
                <w:snapToGrid/>
                <w:sz w:val="18"/>
                <w:szCs w:val="18"/>
              </w:rPr>
              <w:t>Total CPS-FSS Respondents</w:t>
            </w:r>
          </w:p>
        </w:tc>
        <w:tc>
          <w:tcPr>
            <w:tcW w:w="900" w:type="dxa"/>
            <w:tcBorders>
              <w:top w:val="nil"/>
              <w:left w:val="nil"/>
              <w:bottom w:val="single" w:color="auto" w:sz="4" w:space="0"/>
              <w:right w:val="single" w:color="auto" w:sz="4" w:space="0"/>
            </w:tcBorders>
            <w:shd w:val="clear" w:color="auto" w:fill="auto"/>
            <w:vAlign w:val="bottom"/>
            <w:hideMark/>
          </w:tcPr>
          <w:p w:rsidRPr="00FF01E9" w:rsidR="00FF01E9" w:rsidP="00FF01E9" w:rsidRDefault="00FF01E9" w14:paraId="531C7DFE" w14:textId="77777777">
            <w:pPr>
              <w:widowControl/>
              <w:jc w:val="right"/>
              <w:rPr>
                <w:rFonts w:ascii="Arial" w:hAnsi="Arial" w:cs="Arial"/>
                <w:snapToGrid/>
                <w:sz w:val="18"/>
                <w:szCs w:val="18"/>
              </w:rPr>
            </w:pPr>
            <w:r w:rsidRPr="00FF01E9">
              <w:rPr>
                <w:rFonts w:ascii="Arial" w:hAnsi="Arial" w:cs="Arial"/>
                <w:snapToGrid/>
                <w:sz w:val="18"/>
                <w:szCs w:val="18"/>
              </w:rPr>
              <w:t> </w:t>
            </w:r>
          </w:p>
        </w:tc>
        <w:tc>
          <w:tcPr>
            <w:tcW w:w="630" w:type="dxa"/>
            <w:tcBorders>
              <w:top w:val="nil"/>
              <w:left w:val="nil"/>
              <w:bottom w:val="single" w:color="auto" w:sz="4" w:space="0"/>
              <w:right w:val="single" w:color="auto" w:sz="4" w:space="0"/>
            </w:tcBorders>
            <w:shd w:val="clear" w:color="auto" w:fill="auto"/>
            <w:vAlign w:val="bottom"/>
            <w:hideMark/>
          </w:tcPr>
          <w:p w:rsidRPr="00FF01E9" w:rsidR="00FF01E9" w:rsidP="00FF01E9" w:rsidRDefault="00FF01E9" w14:paraId="071A6A0B" w14:textId="77777777">
            <w:pPr>
              <w:widowControl/>
              <w:jc w:val="right"/>
              <w:rPr>
                <w:rFonts w:ascii="Arial" w:hAnsi="Arial" w:cs="Arial"/>
                <w:snapToGrid/>
                <w:sz w:val="18"/>
                <w:szCs w:val="18"/>
              </w:rPr>
            </w:pPr>
            <w:r w:rsidRPr="00FF01E9">
              <w:rPr>
                <w:rFonts w:ascii="Arial" w:hAnsi="Arial" w:cs="Arial"/>
                <w:snapToGrid/>
                <w:sz w:val="18"/>
                <w:szCs w:val="18"/>
              </w:rPr>
              <w:t> </w:t>
            </w:r>
          </w:p>
        </w:tc>
        <w:tc>
          <w:tcPr>
            <w:tcW w:w="810" w:type="dxa"/>
            <w:tcBorders>
              <w:top w:val="nil"/>
              <w:left w:val="nil"/>
              <w:bottom w:val="single" w:color="auto" w:sz="4" w:space="0"/>
              <w:right w:val="single" w:color="auto" w:sz="4" w:space="0"/>
            </w:tcBorders>
            <w:shd w:val="clear" w:color="auto" w:fill="auto"/>
            <w:vAlign w:val="bottom"/>
            <w:hideMark/>
          </w:tcPr>
          <w:p w:rsidRPr="00FF01E9" w:rsidR="00FF01E9" w:rsidP="00FF01E9" w:rsidRDefault="00FF01E9" w14:paraId="1B62E9A3" w14:textId="77777777">
            <w:pPr>
              <w:widowControl/>
              <w:jc w:val="right"/>
              <w:rPr>
                <w:rFonts w:ascii="Arial" w:hAnsi="Arial" w:cs="Arial"/>
                <w:snapToGrid/>
                <w:sz w:val="18"/>
                <w:szCs w:val="18"/>
              </w:rPr>
            </w:pPr>
            <w:r w:rsidRPr="00FF01E9">
              <w:rPr>
                <w:rFonts w:ascii="Arial" w:hAnsi="Arial" w:cs="Arial"/>
                <w:snapToGrid/>
                <w:sz w:val="18"/>
                <w:szCs w:val="18"/>
              </w:rPr>
              <w:t>43,121</w:t>
            </w:r>
          </w:p>
        </w:tc>
        <w:tc>
          <w:tcPr>
            <w:tcW w:w="810" w:type="dxa"/>
            <w:tcBorders>
              <w:top w:val="nil"/>
              <w:left w:val="nil"/>
              <w:bottom w:val="single" w:color="auto" w:sz="4" w:space="0"/>
              <w:right w:val="single" w:color="auto" w:sz="4" w:space="0"/>
            </w:tcBorders>
            <w:shd w:val="clear" w:color="auto" w:fill="auto"/>
            <w:vAlign w:val="bottom"/>
            <w:hideMark/>
          </w:tcPr>
          <w:p w:rsidRPr="00FF01E9" w:rsidR="00FF01E9" w:rsidP="00FF01E9" w:rsidRDefault="00FF01E9" w14:paraId="3CA9CA30" w14:textId="77777777">
            <w:pPr>
              <w:widowControl/>
              <w:jc w:val="right"/>
              <w:rPr>
                <w:rFonts w:ascii="Arial" w:hAnsi="Arial" w:cs="Arial"/>
                <w:snapToGrid/>
                <w:sz w:val="18"/>
                <w:szCs w:val="18"/>
              </w:rPr>
            </w:pPr>
            <w:r w:rsidRPr="00FF01E9">
              <w:rPr>
                <w:rFonts w:ascii="Arial" w:hAnsi="Arial" w:cs="Arial"/>
                <w:snapToGrid/>
                <w:sz w:val="18"/>
                <w:szCs w:val="18"/>
              </w:rPr>
              <w:t> </w:t>
            </w:r>
          </w:p>
        </w:tc>
        <w:tc>
          <w:tcPr>
            <w:tcW w:w="720" w:type="dxa"/>
            <w:tcBorders>
              <w:top w:val="nil"/>
              <w:left w:val="nil"/>
              <w:bottom w:val="single" w:color="auto" w:sz="4" w:space="0"/>
              <w:right w:val="single" w:color="auto" w:sz="4" w:space="0"/>
            </w:tcBorders>
            <w:shd w:val="clear" w:color="auto" w:fill="auto"/>
            <w:vAlign w:val="bottom"/>
            <w:hideMark/>
          </w:tcPr>
          <w:p w:rsidRPr="00FF01E9" w:rsidR="00FF01E9" w:rsidP="00FF01E9" w:rsidRDefault="00FF01E9" w14:paraId="58BE6136" w14:textId="77777777">
            <w:pPr>
              <w:widowControl/>
              <w:jc w:val="right"/>
              <w:rPr>
                <w:rFonts w:ascii="Arial" w:hAnsi="Arial" w:cs="Arial"/>
                <w:snapToGrid/>
                <w:sz w:val="18"/>
                <w:szCs w:val="18"/>
              </w:rPr>
            </w:pPr>
            <w:r w:rsidRPr="00FF01E9">
              <w:rPr>
                <w:rFonts w:ascii="Arial" w:hAnsi="Arial" w:cs="Arial"/>
                <w:snapToGrid/>
                <w:sz w:val="18"/>
                <w:szCs w:val="18"/>
              </w:rPr>
              <w:t> </w:t>
            </w:r>
          </w:p>
        </w:tc>
        <w:tc>
          <w:tcPr>
            <w:tcW w:w="900" w:type="dxa"/>
            <w:tcBorders>
              <w:top w:val="nil"/>
              <w:left w:val="nil"/>
              <w:bottom w:val="single" w:color="auto" w:sz="4" w:space="0"/>
              <w:right w:val="single" w:color="auto" w:sz="4" w:space="0"/>
            </w:tcBorders>
            <w:shd w:val="clear" w:color="auto" w:fill="auto"/>
            <w:vAlign w:val="bottom"/>
            <w:hideMark/>
          </w:tcPr>
          <w:p w:rsidRPr="00FF01E9" w:rsidR="00FF01E9" w:rsidP="00FF01E9" w:rsidRDefault="00FF01E9" w14:paraId="1AA4434A" w14:textId="77777777">
            <w:pPr>
              <w:widowControl/>
              <w:jc w:val="right"/>
              <w:rPr>
                <w:rFonts w:ascii="Arial" w:hAnsi="Arial" w:cs="Arial"/>
                <w:snapToGrid/>
                <w:sz w:val="18"/>
                <w:szCs w:val="18"/>
              </w:rPr>
            </w:pPr>
            <w:r w:rsidRPr="00FF01E9">
              <w:rPr>
                <w:rFonts w:ascii="Arial" w:hAnsi="Arial" w:cs="Arial"/>
                <w:snapToGrid/>
                <w:sz w:val="18"/>
                <w:szCs w:val="18"/>
              </w:rPr>
              <w:t>6,299</w:t>
            </w:r>
          </w:p>
        </w:tc>
        <w:tc>
          <w:tcPr>
            <w:tcW w:w="990" w:type="dxa"/>
            <w:tcBorders>
              <w:top w:val="nil"/>
              <w:left w:val="nil"/>
              <w:bottom w:val="single" w:color="auto" w:sz="4" w:space="0"/>
              <w:right w:val="single" w:color="auto" w:sz="4" w:space="0"/>
            </w:tcBorders>
            <w:shd w:val="clear" w:color="auto" w:fill="auto"/>
            <w:vAlign w:val="bottom"/>
            <w:hideMark/>
          </w:tcPr>
          <w:p w:rsidRPr="00FF01E9" w:rsidR="00FF01E9" w:rsidP="00FF01E9" w:rsidRDefault="00FF01E9" w14:paraId="2AB62C3A" w14:textId="77777777">
            <w:pPr>
              <w:widowControl/>
              <w:jc w:val="right"/>
              <w:rPr>
                <w:rFonts w:ascii="Arial" w:hAnsi="Arial" w:cs="Arial"/>
                <w:snapToGrid/>
                <w:sz w:val="18"/>
                <w:szCs w:val="18"/>
              </w:rPr>
            </w:pPr>
            <w:r w:rsidRPr="00FF01E9">
              <w:rPr>
                <w:rFonts w:ascii="Arial" w:hAnsi="Arial" w:cs="Arial"/>
                <w:snapToGrid/>
                <w:sz w:val="18"/>
                <w:szCs w:val="18"/>
              </w:rPr>
              <w:t> </w:t>
            </w:r>
          </w:p>
        </w:tc>
        <w:tc>
          <w:tcPr>
            <w:tcW w:w="810" w:type="dxa"/>
            <w:tcBorders>
              <w:top w:val="nil"/>
              <w:left w:val="nil"/>
              <w:bottom w:val="single" w:color="auto" w:sz="4" w:space="0"/>
              <w:right w:val="single" w:color="auto" w:sz="4" w:space="0"/>
            </w:tcBorders>
            <w:shd w:val="clear" w:color="auto" w:fill="auto"/>
            <w:vAlign w:val="bottom"/>
            <w:hideMark/>
          </w:tcPr>
          <w:p w:rsidRPr="00FF01E9" w:rsidR="00FF01E9" w:rsidP="00FF01E9" w:rsidRDefault="00FF01E9" w14:paraId="29CB6558" w14:textId="77777777">
            <w:pPr>
              <w:widowControl/>
              <w:jc w:val="right"/>
              <w:rPr>
                <w:rFonts w:ascii="Arial" w:hAnsi="Arial" w:cs="Arial"/>
                <w:snapToGrid/>
                <w:sz w:val="18"/>
                <w:szCs w:val="18"/>
              </w:rPr>
            </w:pPr>
            <w:r w:rsidRPr="00FF01E9">
              <w:rPr>
                <w:rFonts w:ascii="Arial" w:hAnsi="Arial" w:cs="Arial"/>
                <w:snapToGrid/>
                <w:sz w:val="18"/>
                <w:szCs w:val="18"/>
              </w:rPr>
              <w:t> </w:t>
            </w:r>
          </w:p>
        </w:tc>
        <w:tc>
          <w:tcPr>
            <w:tcW w:w="720" w:type="dxa"/>
            <w:tcBorders>
              <w:top w:val="nil"/>
              <w:left w:val="nil"/>
              <w:bottom w:val="single" w:color="auto" w:sz="4" w:space="0"/>
              <w:right w:val="single" w:color="auto" w:sz="4" w:space="0"/>
            </w:tcBorders>
            <w:shd w:val="clear" w:color="auto" w:fill="auto"/>
            <w:vAlign w:val="bottom"/>
            <w:hideMark/>
          </w:tcPr>
          <w:p w:rsidRPr="00FF01E9" w:rsidR="00FF01E9" w:rsidP="00FF01E9" w:rsidRDefault="00FF01E9" w14:paraId="7AFBA440" w14:textId="77777777">
            <w:pPr>
              <w:widowControl/>
              <w:jc w:val="right"/>
              <w:rPr>
                <w:rFonts w:ascii="Arial" w:hAnsi="Arial" w:cs="Arial"/>
                <w:snapToGrid/>
                <w:sz w:val="18"/>
                <w:szCs w:val="18"/>
              </w:rPr>
            </w:pPr>
            <w:r w:rsidRPr="00FF01E9">
              <w:rPr>
                <w:rFonts w:ascii="Arial" w:hAnsi="Arial" w:cs="Arial"/>
                <w:snapToGrid/>
                <w:sz w:val="18"/>
                <w:szCs w:val="18"/>
              </w:rPr>
              <w:t> </w:t>
            </w:r>
          </w:p>
        </w:tc>
        <w:tc>
          <w:tcPr>
            <w:tcW w:w="900" w:type="dxa"/>
            <w:tcBorders>
              <w:top w:val="nil"/>
              <w:left w:val="nil"/>
              <w:bottom w:val="single" w:color="auto" w:sz="4" w:space="0"/>
              <w:right w:val="single" w:color="auto" w:sz="4" w:space="0"/>
            </w:tcBorders>
            <w:shd w:val="clear" w:color="auto" w:fill="auto"/>
            <w:vAlign w:val="bottom"/>
            <w:hideMark/>
          </w:tcPr>
          <w:p w:rsidRPr="00FF01E9" w:rsidR="00FF01E9" w:rsidP="00FF01E9" w:rsidRDefault="00FF01E9" w14:paraId="22D92FCD" w14:textId="77777777">
            <w:pPr>
              <w:widowControl/>
              <w:jc w:val="right"/>
              <w:rPr>
                <w:rFonts w:ascii="Arial" w:hAnsi="Arial" w:cs="Arial"/>
                <w:snapToGrid/>
                <w:sz w:val="18"/>
                <w:szCs w:val="18"/>
              </w:rPr>
            </w:pPr>
            <w:r w:rsidRPr="00FF01E9">
              <w:rPr>
                <w:rFonts w:ascii="Arial" w:hAnsi="Arial" w:cs="Arial"/>
                <w:snapToGrid/>
                <w:sz w:val="18"/>
                <w:szCs w:val="18"/>
              </w:rPr>
              <w:t> </w:t>
            </w:r>
          </w:p>
        </w:tc>
        <w:tc>
          <w:tcPr>
            <w:tcW w:w="1530" w:type="dxa"/>
            <w:tcBorders>
              <w:top w:val="nil"/>
              <w:left w:val="nil"/>
              <w:bottom w:val="single" w:color="auto" w:sz="4" w:space="0"/>
              <w:right w:val="single" w:color="auto" w:sz="4" w:space="0"/>
            </w:tcBorders>
            <w:shd w:val="clear" w:color="auto" w:fill="auto"/>
            <w:vAlign w:val="bottom"/>
            <w:hideMark/>
          </w:tcPr>
          <w:p w:rsidRPr="00FF01E9" w:rsidR="00FF01E9" w:rsidP="00FF01E9" w:rsidRDefault="00FF01E9" w14:paraId="010B8B64" w14:textId="77777777">
            <w:pPr>
              <w:widowControl/>
              <w:jc w:val="right"/>
              <w:rPr>
                <w:rFonts w:ascii="Arial" w:hAnsi="Arial" w:cs="Arial"/>
                <w:snapToGrid/>
                <w:sz w:val="18"/>
                <w:szCs w:val="18"/>
              </w:rPr>
            </w:pPr>
            <w:r w:rsidRPr="00FF01E9">
              <w:rPr>
                <w:rFonts w:ascii="Arial" w:hAnsi="Arial" w:cs="Arial"/>
                <w:snapToGrid/>
                <w:sz w:val="18"/>
                <w:szCs w:val="18"/>
              </w:rPr>
              <w:t> </w:t>
            </w:r>
          </w:p>
        </w:tc>
        <w:tc>
          <w:tcPr>
            <w:tcW w:w="1680" w:type="dxa"/>
            <w:vAlign w:val="center"/>
            <w:hideMark/>
          </w:tcPr>
          <w:p w:rsidRPr="00FF01E9" w:rsidR="00FF01E9" w:rsidP="00FF01E9" w:rsidRDefault="00FF01E9" w14:paraId="32EF2C7B" w14:textId="77777777">
            <w:pPr>
              <w:widowControl/>
              <w:rPr>
                <w:snapToGrid/>
                <w:sz w:val="20"/>
              </w:rPr>
            </w:pPr>
          </w:p>
        </w:tc>
      </w:tr>
    </w:tbl>
    <w:p w:rsidR="00A45561" w:rsidP="00332103" w:rsidRDefault="00A45561" w14:paraId="00599B83" w14:textId="77777777">
      <w:pPr>
        <w:pStyle w:val="Header"/>
        <w:widowControl/>
        <w:tabs>
          <w:tab w:val="clear" w:pos="4320"/>
          <w:tab w:val="clear" w:pos="8640"/>
        </w:tabs>
        <w:sectPr w:rsidR="00A45561" w:rsidSect="00A45561">
          <w:endnotePr>
            <w:numFmt w:val="decimal"/>
          </w:endnotePr>
          <w:pgSz w:w="15840" w:h="12240" w:orient="landscape"/>
          <w:pgMar w:top="1440" w:right="1440" w:bottom="1440" w:left="1440" w:header="2160" w:footer="1440" w:gutter="0"/>
          <w:cols w:space="720"/>
          <w:noEndnote/>
          <w:docGrid w:linePitch="326"/>
        </w:sectPr>
      </w:pPr>
    </w:p>
    <w:p w:rsidR="00332103" w:rsidP="00332103" w:rsidRDefault="00332103" w14:paraId="08AF9B7D" w14:textId="77777777">
      <w:pPr>
        <w:pStyle w:val="Header"/>
        <w:widowControl/>
        <w:tabs>
          <w:tab w:val="clear" w:pos="4320"/>
          <w:tab w:val="clear" w:pos="8640"/>
        </w:tabs>
      </w:pPr>
    </w:p>
    <w:p w:rsidRPr="00684532" w:rsidR="00332103" w:rsidP="00332103" w:rsidRDefault="00332103" w14:paraId="53ECD0A8" w14:textId="77777777">
      <w:pPr>
        <w:tabs>
          <w:tab w:val="left" w:pos="1080"/>
        </w:tabs>
        <w:spacing w:before="100" w:beforeAutospacing="1" w:after="100" w:afterAutospacing="1"/>
        <w:rPr>
          <w:szCs w:val="24"/>
        </w:rPr>
      </w:pPr>
    </w:p>
    <w:p w:rsidRPr="00332103" w:rsidR="00332103" w:rsidP="00332103" w:rsidRDefault="0067104A" w14:paraId="3F0D9D1E" w14:textId="77777777">
      <w:pPr>
        <w:numPr>
          <w:ilvl w:val="0"/>
          <w:numId w:val="13"/>
        </w:numPr>
        <w:tabs>
          <w:tab w:val="left" w:pos="1080"/>
        </w:tabs>
        <w:spacing w:before="100" w:beforeAutospacing="1" w:after="100" w:afterAutospacing="1"/>
        <w:rPr>
          <w:szCs w:val="24"/>
        </w:rPr>
      </w:pPr>
      <w:r w:rsidRPr="00332103">
        <w:rPr>
          <w:b/>
          <w:bCs/>
          <w:szCs w:val="24"/>
        </w:rPr>
        <w:t>Provide estimates of annualized cost to respondents for the hour burdens for collections of information, identifying and using appropriate wage rate categories.</w:t>
      </w:r>
      <w:r w:rsidRPr="00332103" w:rsidR="00332103">
        <w:t xml:space="preserve"> </w:t>
      </w:r>
    </w:p>
    <w:p w:rsidRPr="00DB5838" w:rsidR="0067104A" w:rsidP="00DB5838" w:rsidRDefault="00332103" w14:paraId="085163EA" w14:textId="77777777">
      <w:pPr>
        <w:tabs>
          <w:tab w:val="left" w:pos="1080"/>
        </w:tabs>
        <w:spacing w:before="100" w:beforeAutospacing="1" w:after="100" w:afterAutospacing="1"/>
        <w:ind w:left="1080"/>
      </w:pPr>
      <w:r w:rsidRPr="00862B1D">
        <w:t xml:space="preserve">In this </w:t>
      </w:r>
      <w:r w:rsidR="008C67E3">
        <w:t>s</w:t>
      </w:r>
      <w:r w:rsidRPr="00862B1D">
        <w:t xml:space="preserve">upplement, one respondent will answer for the entire household. No </w:t>
      </w:r>
      <w:r w:rsidRPr="00117AA1">
        <w:t xml:space="preserve">cost other than the respondents’ time is incurred. The annualized cost of the respondents’ time spent answering the </w:t>
      </w:r>
      <w:r w:rsidR="008C67E3">
        <w:t>s</w:t>
      </w:r>
      <w:r w:rsidRPr="00117AA1">
        <w:t xml:space="preserve">upplement questions is </w:t>
      </w:r>
      <w:r w:rsidRPr="000D67F2">
        <w:t>estimated to be $</w:t>
      </w:r>
      <w:r w:rsidR="00CE6E28">
        <w:t>167,547</w:t>
      </w:r>
      <w:r w:rsidRPr="000D67F2">
        <w:t xml:space="preserve">. Cost of respondents’ time is estimated based on the average hourly </w:t>
      </w:r>
      <w:r w:rsidRPr="000D67F2" w:rsidR="00DB5838">
        <w:t xml:space="preserve">earnings of </w:t>
      </w:r>
      <w:r w:rsidRPr="000D67F2">
        <w:t xml:space="preserve">production and non-supervisory private-sector </w:t>
      </w:r>
      <w:r w:rsidRPr="000D67F2" w:rsidR="00DB5838">
        <w:t xml:space="preserve">employees </w:t>
      </w:r>
      <w:r w:rsidRPr="000D67F2">
        <w:t>($</w:t>
      </w:r>
      <w:r w:rsidR="00CE6E28">
        <w:t>25.86</w:t>
      </w:r>
      <w:r w:rsidRPr="000D67F2">
        <w:t xml:space="preserve"> per hour in </w:t>
      </w:r>
      <w:r w:rsidRPr="000D67F2" w:rsidR="00416154">
        <w:t>Ju</w:t>
      </w:r>
      <w:r w:rsidR="00CE6E28">
        <w:t>ly</w:t>
      </w:r>
      <w:r w:rsidRPr="000D67F2" w:rsidR="00416154">
        <w:t xml:space="preserve"> </w:t>
      </w:r>
      <w:r w:rsidRPr="000D67F2">
        <w:t>20</w:t>
      </w:r>
      <w:r w:rsidR="00CE6E28">
        <w:t>21</w:t>
      </w:r>
      <w:r w:rsidRPr="000D67F2" w:rsidR="00117AA1">
        <w:t>, as estimated by the U.S. Bureau of Labor Statistics</w:t>
      </w:r>
      <w:r w:rsidR="00DE6881">
        <w:t xml:space="preserve">; </w:t>
      </w:r>
      <w:hyperlink w:history="1" r:id="rId31">
        <w:r w:rsidRPr="008D11DF" w:rsidR="00DE6881">
          <w:rPr>
            <w:rStyle w:val="Hyperlink"/>
          </w:rPr>
          <w:t>https://dat</w:t>
        </w:r>
        <w:r w:rsidRPr="008D11DF" w:rsidR="00DE6881">
          <w:rPr>
            <w:rStyle w:val="Hyperlink"/>
          </w:rPr>
          <w:t>a</w:t>
        </w:r>
        <w:r w:rsidRPr="008D11DF" w:rsidR="00DE6881">
          <w:rPr>
            <w:rStyle w:val="Hyperlink"/>
          </w:rPr>
          <w:t>.bls.gov/timeseries/CE</w:t>
        </w:r>
        <w:r w:rsidRPr="008D11DF" w:rsidR="00DE6881">
          <w:rPr>
            <w:rStyle w:val="Hyperlink"/>
          </w:rPr>
          <w:t>S</w:t>
        </w:r>
        <w:r w:rsidRPr="008D11DF" w:rsidR="00DE6881">
          <w:rPr>
            <w:rStyle w:val="Hyperlink"/>
          </w:rPr>
          <w:t>0500000008</w:t>
        </w:r>
      </w:hyperlink>
      <w:r w:rsidRPr="000D67F2">
        <w:t xml:space="preserve">) multiplied by the total response time for all respondents </w:t>
      </w:r>
      <w:r w:rsidRPr="000D67F2" w:rsidR="00EF3CDD">
        <w:t xml:space="preserve">and non-respondents </w:t>
      </w:r>
      <w:r w:rsidRPr="000D67F2">
        <w:t>(6,</w:t>
      </w:r>
      <w:r w:rsidRPr="000D67F2" w:rsidR="00CE6E28">
        <w:t>4</w:t>
      </w:r>
      <w:r w:rsidR="00CE6E28">
        <w:t>79</w:t>
      </w:r>
      <w:r w:rsidRPr="000D67F2" w:rsidR="00CE6E28">
        <w:t xml:space="preserve"> </w:t>
      </w:r>
      <w:r w:rsidRPr="000D67F2">
        <w:t>hours)</w:t>
      </w:r>
      <w:r w:rsidR="00A4497F">
        <w:t>.</w:t>
      </w:r>
    </w:p>
    <w:p w:rsidR="000A6098" w:rsidRDefault="000A6098" w14:paraId="3572BD95" w14:textId="77777777">
      <w:pPr>
        <w:widowControl/>
        <w:rPr>
          <w:b/>
        </w:rPr>
      </w:pPr>
    </w:p>
    <w:p w:rsidR="00A03563" w:rsidRDefault="00A03563" w14:paraId="0DDFD21A" w14:textId="77777777">
      <w:pPr>
        <w:widowControl/>
        <w:rPr>
          <w:b/>
        </w:rPr>
      </w:pPr>
    </w:p>
    <w:p w:rsidR="000A6098" w:rsidP="007A1CEB" w:rsidRDefault="000A6098" w14:paraId="5E8BE22C" w14:textId="77777777">
      <w:pPr>
        <w:widowControl/>
        <w:ind w:left="720" w:hanging="720"/>
        <w:rPr>
          <w:b/>
        </w:rPr>
      </w:pPr>
      <w:r>
        <w:rPr>
          <w:b/>
        </w:rPr>
        <w:t>13.</w:t>
      </w:r>
      <w:r>
        <w:tab/>
      </w:r>
      <w:r w:rsidRPr="007A1CEB" w:rsidR="007A1CEB">
        <w:rPr>
          <w:b/>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0A6098" w:rsidRDefault="000A6098" w14:paraId="37708AB3" w14:textId="77777777">
      <w:pPr>
        <w:widowControl/>
      </w:pPr>
    </w:p>
    <w:p w:rsidR="000A6098" w:rsidRDefault="007A1CEB" w14:paraId="7385D143" w14:textId="77777777">
      <w:pPr>
        <w:widowControl/>
        <w:ind w:left="720"/>
      </w:pPr>
      <w:r w:rsidRPr="007A1CEB">
        <w:t>There are no capital/start-up or ongoing operation/maintenance costs associated with this information collection.</w:t>
      </w:r>
    </w:p>
    <w:p w:rsidR="000A6098" w:rsidRDefault="000A6098" w14:paraId="6FB9E82E" w14:textId="77777777">
      <w:pPr>
        <w:widowControl/>
        <w:ind w:left="720"/>
      </w:pPr>
    </w:p>
    <w:p w:rsidR="000A6098" w:rsidRDefault="000A6098" w14:paraId="4A0D1BD4" w14:textId="77777777">
      <w:pPr>
        <w:widowControl/>
        <w:ind w:left="720"/>
      </w:pPr>
    </w:p>
    <w:p w:rsidR="000A6098" w:rsidP="007A1CEB" w:rsidRDefault="000A6098" w14:paraId="73F17C3D" w14:textId="77777777">
      <w:pPr>
        <w:widowControl/>
        <w:ind w:left="720" w:hanging="720"/>
        <w:rPr>
          <w:b/>
        </w:rPr>
      </w:pPr>
      <w:r>
        <w:rPr>
          <w:b/>
        </w:rPr>
        <w:t xml:space="preserve">14. </w:t>
      </w:r>
      <w:r>
        <w:rPr>
          <w:b/>
        </w:rPr>
        <w:tab/>
      </w:r>
      <w:r w:rsidRPr="007A1CEB" w:rsidR="007A1CEB">
        <w:rPr>
          <w:b/>
        </w:rPr>
        <w:t>Provide estimates of annualized cost to the Federal government. Provide a description of the method used to estimate cost and any other expense that would not have been incurred without this collection of information.</w:t>
      </w:r>
    </w:p>
    <w:p w:rsidR="007A1CEB" w:rsidP="00F472FB" w:rsidRDefault="007A1CEB" w14:paraId="12382367" w14:textId="77777777">
      <w:pPr>
        <w:spacing w:before="100" w:beforeAutospacing="1" w:after="100" w:afterAutospacing="1"/>
        <w:rPr>
          <w:rFonts w:ascii="Verdana" w:hAnsi="Verdana"/>
          <w:color w:val="FF0000"/>
          <w:sz w:val="17"/>
          <w:szCs w:val="17"/>
        </w:rPr>
      </w:pPr>
    </w:p>
    <w:p w:rsidR="000A6098" w:rsidRDefault="000A6098" w14:paraId="0EB2E7FC" w14:textId="77777777">
      <w:pPr>
        <w:widowControl/>
        <w:ind w:left="720"/>
      </w:pPr>
      <w:r>
        <w:t xml:space="preserve">The cost to the Government of the Current </w:t>
      </w:r>
      <w:r w:rsidRPr="00F95D37">
        <w:t xml:space="preserve">Population Survey program of data collection, to which this </w:t>
      </w:r>
      <w:r w:rsidR="00452E75">
        <w:t>collection is a supplement</w:t>
      </w:r>
      <w:r w:rsidR="00C41D27">
        <w:t xml:space="preserve">, </w:t>
      </w:r>
      <w:r w:rsidRPr="00F95D37">
        <w:t>is borne by the</w:t>
      </w:r>
      <w:r w:rsidR="008C67E3">
        <w:t xml:space="preserve"> U.S.</w:t>
      </w:r>
      <w:r w:rsidRPr="00F95D37">
        <w:t xml:space="preserve"> Census</w:t>
      </w:r>
      <w:r w:rsidR="000202DD">
        <w:t xml:space="preserve"> Bureau</w:t>
      </w:r>
      <w:r w:rsidRPr="00F95D37">
        <w:t>, the Bureau of Labor Statistics, and other Government agencies, if involved</w:t>
      </w:r>
      <w:r>
        <w:t xml:space="preserve">. </w:t>
      </w:r>
      <w:r w:rsidR="00CE6E28">
        <w:t xml:space="preserve">The cost of the December 2021 Food Security Supplement was </w:t>
      </w:r>
      <w:r w:rsidR="00946D29">
        <w:t xml:space="preserve">$710,000. </w:t>
      </w:r>
      <w:r w:rsidR="00F602D4">
        <w:t xml:space="preserve">This total cost </w:t>
      </w:r>
      <w:r w:rsidR="002A16A2">
        <w:t>includ</w:t>
      </w:r>
      <w:r w:rsidR="00F602D4">
        <w:t>e</w:t>
      </w:r>
      <w:r w:rsidR="00031B24">
        <w:t>s</w:t>
      </w:r>
      <w:r w:rsidR="002A16A2">
        <w:t xml:space="preserve"> related development costs and public-use data provision</w:t>
      </w:r>
      <w:r w:rsidR="00AA2947">
        <w:t xml:space="preserve"> </w:t>
      </w:r>
      <w:r>
        <w:t xml:space="preserve">costs. This cost is borne by ERS and supported through an interagency transfer to the </w:t>
      </w:r>
      <w:r w:rsidR="008C67E3">
        <w:t xml:space="preserve">U.S. </w:t>
      </w:r>
      <w:r>
        <w:t>Census Bureau.</w:t>
      </w:r>
    </w:p>
    <w:p w:rsidR="000A6098" w:rsidRDefault="000A6098" w14:paraId="007A5F8E" w14:textId="77777777">
      <w:pPr>
        <w:widowControl/>
      </w:pPr>
    </w:p>
    <w:p w:rsidR="000A6098" w:rsidRDefault="000A6098" w14:paraId="71B0761E" w14:textId="77777777">
      <w:pPr>
        <w:widowControl/>
      </w:pPr>
    </w:p>
    <w:p w:rsidRPr="009C0CB1" w:rsidR="000A6098" w:rsidP="007A1CEB" w:rsidRDefault="000A6098" w14:paraId="19B04B32" w14:textId="77777777">
      <w:pPr>
        <w:keepNext/>
        <w:widowControl/>
        <w:ind w:left="720" w:hanging="720"/>
        <w:rPr>
          <w:b/>
        </w:rPr>
      </w:pPr>
      <w:r w:rsidRPr="009C0CB1">
        <w:rPr>
          <w:b/>
        </w:rPr>
        <w:lastRenderedPageBreak/>
        <w:t xml:space="preserve">15. </w:t>
      </w:r>
      <w:r w:rsidRPr="009C0CB1">
        <w:rPr>
          <w:b/>
        </w:rPr>
        <w:tab/>
      </w:r>
      <w:r w:rsidRPr="007A1CEB" w:rsidR="007A1CEB">
        <w:rPr>
          <w:b/>
        </w:rPr>
        <w:t>Explain the reasons for any program changes or adjustments reported in Items 13 or 14 of the OMB Form 83-1.</w:t>
      </w:r>
    </w:p>
    <w:p w:rsidRPr="009C0CB1" w:rsidR="000A6098" w:rsidRDefault="000A6098" w14:paraId="1B418A91" w14:textId="77777777">
      <w:pPr>
        <w:keepNext/>
        <w:widowControl/>
      </w:pPr>
    </w:p>
    <w:p w:rsidR="005E6386" w:rsidRDefault="000A6098" w14:paraId="3C6DA881" w14:textId="77777777">
      <w:pPr>
        <w:widowControl/>
        <w:tabs>
          <w:tab w:val="left" w:pos="-1440"/>
        </w:tabs>
        <w:ind w:left="720" w:hanging="720"/>
      </w:pPr>
      <w:r w:rsidRPr="009C0CB1">
        <w:t xml:space="preserve"> </w:t>
      </w:r>
      <w:r w:rsidRPr="009C0CB1">
        <w:tab/>
        <w:t xml:space="preserve">Total estimated burden for the December </w:t>
      </w:r>
      <w:r w:rsidR="00946D29">
        <w:t>2022</w:t>
      </w:r>
      <w:r w:rsidRPr="009C0CB1" w:rsidR="00946D29">
        <w:t xml:space="preserve"> </w:t>
      </w:r>
      <w:r w:rsidRPr="009C0CB1">
        <w:t xml:space="preserve">supplement is </w:t>
      </w:r>
      <w:r w:rsidR="00416154">
        <w:t xml:space="preserve">somewhat </w:t>
      </w:r>
      <w:r w:rsidR="00EF3CDD">
        <w:t>higher</w:t>
      </w:r>
      <w:r w:rsidRPr="009C0CB1" w:rsidR="00EF3CDD">
        <w:t xml:space="preserve"> </w:t>
      </w:r>
      <w:r w:rsidRPr="009C0CB1" w:rsidR="00866438">
        <w:t xml:space="preserve">(by </w:t>
      </w:r>
      <w:r w:rsidR="00EF3CDD">
        <w:t>1</w:t>
      </w:r>
      <w:r w:rsidR="00946D29">
        <w:t>4</w:t>
      </w:r>
      <w:r w:rsidRPr="009C0CB1" w:rsidR="00EF3CDD">
        <w:t xml:space="preserve"> </w:t>
      </w:r>
      <w:r w:rsidRPr="009C0CB1" w:rsidR="00866438">
        <w:t>hours</w:t>
      </w:r>
      <w:r w:rsidRPr="009C0CB1" w:rsidR="00A82899">
        <w:t xml:space="preserve"> or </w:t>
      </w:r>
      <w:r w:rsidR="00EF3CDD">
        <w:t>0.2</w:t>
      </w:r>
      <w:r w:rsidR="00946D29">
        <w:t>1</w:t>
      </w:r>
      <w:r w:rsidRPr="009C0CB1" w:rsidR="00A82899">
        <w:t xml:space="preserve"> percent</w:t>
      </w:r>
      <w:r w:rsidRPr="009C0CB1" w:rsidR="00866438">
        <w:t xml:space="preserve">) </w:t>
      </w:r>
      <w:r w:rsidRPr="009C0CB1">
        <w:t>than that estimated in th</w:t>
      </w:r>
      <w:r w:rsidR="00EF5A8D">
        <w:t>e previous submission for this s</w:t>
      </w:r>
      <w:r w:rsidRPr="009C0CB1">
        <w:t>upplement (</w:t>
      </w:r>
      <w:r w:rsidR="00EF5A8D">
        <w:t xml:space="preserve">submitted in </w:t>
      </w:r>
      <w:r w:rsidR="00DA2000">
        <w:t>20</w:t>
      </w:r>
      <w:r w:rsidR="000C0025">
        <w:t>1</w:t>
      </w:r>
      <w:r w:rsidR="00946D29">
        <w:t>8</w:t>
      </w:r>
      <w:r w:rsidRPr="009C0CB1">
        <w:t>)</w:t>
      </w:r>
      <w:r w:rsidRPr="009C0CB1" w:rsidR="00E8332F">
        <w:t xml:space="preserve">. </w:t>
      </w:r>
      <w:r w:rsidR="004A552A">
        <w:t xml:space="preserve">The slight adjustment is due to differences in how the burden estimates were calculated. The current estimated total number of respondents is based </w:t>
      </w:r>
      <w:r w:rsidR="00946D29">
        <w:t xml:space="preserve">on the </w:t>
      </w:r>
      <w:r w:rsidRPr="00946D29" w:rsidR="00946D29">
        <w:t xml:space="preserve">total number of respondents from the recent survey with the </w:t>
      </w:r>
      <w:r w:rsidR="007C79F7">
        <w:t>larg</w:t>
      </w:r>
      <w:r w:rsidRPr="00946D29" w:rsidR="00946D29">
        <w:t>est N to estimate the total sample size (53,901 respondents in sample in 2014)</w:t>
      </w:r>
      <w:r w:rsidR="00946D29">
        <w:t xml:space="preserve">. The previous submission </w:t>
      </w:r>
      <w:r w:rsidR="009D5B00">
        <w:t xml:space="preserve">based the total number of respondents </w:t>
      </w:r>
      <w:r w:rsidR="004A552A">
        <w:t xml:space="preserve">on the average of the two years out of the last five years </w:t>
      </w:r>
      <w:r w:rsidR="009D5B00">
        <w:t xml:space="preserve">before that submission </w:t>
      </w:r>
      <w:r w:rsidR="004A552A">
        <w:t>with the largest numbers of sampled households in the survey (2012 and 2014</w:t>
      </w:r>
      <w:r w:rsidR="00EF5A8D">
        <w:t xml:space="preserve"> were the two recent years with the largest sample</w:t>
      </w:r>
      <w:r w:rsidR="004A552A">
        <w:t>). The current calculations also assume an 80 percent response rate (or 20 percent nonresponse), while actual recent response rates have been slightly lower. Thus</w:t>
      </w:r>
      <w:r w:rsidR="00A4497F">
        <w:t>,</w:t>
      </w:r>
      <w:r w:rsidR="004A552A">
        <w:t xml:space="preserve"> the </w:t>
      </w:r>
      <w:r w:rsidR="008A3F84">
        <w:t xml:space="preserve">assumptions of the revised </w:t>
      </w:r>
      <w:r w:rsidR="004A552A">
        <w:t xml:space="preserve">estimates represent the highest likely </w:t>
      </w:r>
      <w:r w:rsidR="008A3F84">
        <w:t xml:space="preserve">possible </w:t>
      </w:r>
      <w:r w:rsidR="004A552A">
        <w:t>burden</w:t>
      </w:r>
      <w:r w:rsidR="008A3F84">
        <w:t>.</w:t>
      </w:r>
      <w:r w:rsidR="004A552A">
        <w:t xml:space="preserve"> </w:t>
      </w:r>
      <w:r w:rsidR="00BF0182">
        <w:t xml:space="preserve">A change in average incomes or </w:t>
      </w:r>
      <w:r w:rsidR="000431C4">
        <w:t xml:space="preserve">National </w:t>
      </w:r>
      <w:r w:rsidR="00BF0182">
        <w:t>economic conditions,</w:t>
      </w:r>
      <w:r w:rsidR="000431C4">
        <w:t xml:space="preserve"> could result in a change in actual burden for future supplements.</w:t>
      </w:r>
      <w:r w:rsidR="00BF0182">
        <w:t xml:space="preserve"> </w:t>
      </w:r>
    </w:p>
    <w:p w:rsidR="00BE2599" w:rsidRDefault="00BE2599" w14:paraId="55E62FCF" w14:textId="77777777">
      <w:pPr>
        <w:widowControl/>
        <w:tabs>
          <w:tab w:val="left" w:pos="-1440"/>
        </w:tabs>
        <w:ind w:left="720" w:hanging="720"/>
      </w:pPr>
    </w:p>
    <w:p w:rsidR="005E6386" w:rsidP="008C67E3" w:rsidRDefault="00BE2599" w14:paraId="7AC4F4F5" w14:textId="77777777">
      <w:pPr>
        <w:widowControl/>
        <w:tabs>
          <w:tab w:val="left" w:pos="-1440"/>
        </w:tabs>
        <w:ind w:left="720" w:hanging="720"/>
      </w:pPr>
      <w:r>
        <w:tab/>
        <w:t xml:space="preserve">The </w:t>
      </w:r>
      <w:r w:rsidR="00103CA2">
        <w:t xml:space="preserve">cost of the </w:t>
      </w:r>
      <w:r w:rsidR="00AC79AE">
        <w:t xml:space="preserve">2021 CPS </w:t>
      </w:r>
      <w:r w:rsidR="008C67E3">
        <w:t>F</w:t>
      </w:r>
      <w:r w:rsidR="00103CA2">
        <w:t xml:space="preserve">ood </w:t>
      </w:r>
      <w:r w:rsidR="008C67E3">
        <w:t>S</w:t>
      </w:r>
      <w:r w:rsidR="00103CA2">
        <w:t xml:space="preserve">ecurity </w:t>
      </w:r>
      <w:r w:rsidR="008C67E3">
        <w:t>S</w:t>
      </w:r>
      <w:r w:rsidRPr="000D67F2" w:rsidR="00103CA2">
        <w:t>upplement increased (by $</w:t>
      </w:r>
      <w:r w:rsidR="009D5B00">
        <w:t>4</w:t>
      </w:r>
      <w:r w:rsidRPr="000D67F2" w:rsidR="00103CA2">
        <w:t xml:space="preserve">0,000 or about </w:t>
      </w:r>
      <w:r w:rsidR="009D5B00">
        <w:t>6</w:t>
      </w:r>
      <w:r w:rsidRPr="000D67F2" w:rsidR="009D5B00">
        <w:t xml:space="preserve"> </w:t>
      </w:r>
      <w:r w:rsidRPr="000D67F2" w:rsidR="00103CA2">
        <w:t>percent) from</w:t>
      </w:r>
      <w:r w:rsidR="00103CA2">
        <w:t xml:space="preserve"> the previous submission</w:t>
      </w:r>
      <w:r w:rsidR="00AC79AE">
        <w:t xml:space="preserve"> in 2018</w:t>
      </w:r>
      <w:r w:rsidR="00103CA2">
        <w:t>. This change was due to the increased costs of conducting surveys.</w:t>
      </w:r>
    </w:p>
    <w:p w:rsidR="000A6098" w:rsidRDefault="005E6386" w14:paraId="70F65642" w14:textId="77777777">
      <w:pPr>
        <w:widowControl/>
        <w:tabs>
          <w:tab w:val="left" w:pos="-1440"/>
        </w:tabs>
        <w:ind w:left="720" w:hanging="720"/>
      </w:pPr>
      <w:r>
        <w:tab/>
      </w:r>
      <w:r w:rsidR="000A616C">
        <w:t xml:space="preserve"> </w:t>
      </w:r>
    </w:p>
    <w:p w:rsidR="000A6098" w:rsidRDefault="000A6098" w14:paraId="35581A8A" w14:textId="77777777">
      <w:pPr>
        <w:widowControl/>
        <w:tabs>
          <w:tab w:val="left" w:pos="-1440"/>
        </w:tabs>
        <w:ind w:left="720" w:hanging="720"/>
        <w:rPr>
          <w:b/>
        </w:rPr>
      </w:pPr>
    </w:p>
    <w:p w:rsidR="000A6098" w:rsidP="00155445" w:rsidRDefault="000A6098" w14:paraId="0FFEDDA7" w14:textId="77777777">
      <w:pPr>
        <w:keepLines/>
        <w:ind w:left="720" w:hanging="720"/>
      </w:pPr>
      <w:r>
        <w:rPr>
          <w:b/>
        </w:rPr>
        <w:t xml:space="preserve">16. </w:t>
      </w:r>
      <w:r>
        <w:rPr>
          <w:b/>
        </w:rPr>
        <w:tab/>
      </w:r>
      <w:r w:rsidRPr="00155445" w:rsidR="00155445">
        <w:rPr>
          <w:b/>
        </w:rPr>
        <w:t>For collections of information whose results are planned to be published, outline plans for tabulation and publication</w:t>
      </w:r>
      <w:r w:rsidR="00155445">
        <w:rPr>
          <w:b/>
        </w:rPr>
        <w:t>.</w:t>
      </w:r>
      <w:r>
        <w:t xml:space="preserve"> </w:t>
      </w:r>
    </w:p>
    <w:p w:rsidR="000A6098" w:rsidP="000C4688" w:rsidRDefault="000A6098" w14:paraId="3F8A0804" w14:textId="77777777">
      <w:pPr>
        <w:keepLines/>
      </w:pPr>
    </w:p>
    <w:p w:rsidR="000A6098" w:rsidP="000C4688" w:rsidRDefault="000A6098" w14:paraId="2D624BB5" w14:textId="77777777">
      <w:pPr>
        <w:pStyle w:val="BodyTextIndent"/>
        <w:keepLines/>
        <w:widowControl w:val="0"/>
      </w:pPr>
      <w:r>
        <w:t xml:space="preserve">The December CPS, of which this </w:t>
      </w:r>
      <w:r w:rsidR="008C67E3">
        <w:t>s</w:t>
      </w:r>
      <w:r>
        <w:t>upplement is a part, will be conducted during the second week of December each year. Processing of th</w:t>
      </w:r>
      <w:r w:rsidR="00DF40AE">
        <w:t>e</w:t>
      </w:r>
      <w:r>
        <w:t xml:space="preserve"> </w:t>
      </w:r>
      <w:r w:rsidR="008C67E3">
        <w:t>s</w:t>
      </w:r>
      <w:r>
        <w:t xml:space="preserve">upplement </w:t>
      </w:r>
      <w:r w:rsidR="00155445">
        <w:t xml:space="preserve">data by the Census Bureau </w:t>
      </w:r>
      <w:r>
        <w:t xml:space="preserve">will </w:t>
      </w:r>
      <w:r w:rsidR="00452E75">
        <w:t>begin</w:t>
      </w:r>
      <w:r>
        <w:t xml:space="preserve"> in December</w:t>
      </w:r>
      <w:r w:rsidR="00DF40AE">
        <w:t>, and t</w:t>
      </w:r>
      <w:r>
        <w:t xml:space="preserve">he </w:t>
      </w:r>
      <w:r w:rsidR="00452E75">
        <w:t xml:space="preserve">edited and de-identified </w:t>
      </w:r>
      <w:r>
        <w:t>data will be released to ERS in mid</w:t>
      </w:r>
      <w:r>
        <w:noBreakHyphen/>
        <w:t>April. Publication of the annual food security report by ERS</w:t>
      </w:r>
      <w:r w:rsidR="00DF40AE">
        <w:t xml:space="preserve"> and release of p</w:t>
      </w:r>
      <w:r>
        <w:t xml:space="preserve">ublic-use data files by the Census Bureau </w:t>
      </w:r>
      <w:r w:rsidR="00DF40AE">
        <w:t xml:space="preserve">are scheduled for early September, </w:t>
      </w:r>
      <w:r w:rsidR="00155445">
        <w:t>about nine months</w:t>
      </w:r>
      <w:r>
        <w:t xml:space="preserve"> after collection of the data. </w:t>
      </w:r>
    </w:p>
    <w:p w:rsidR="000A6098" w:rsidRDefault="000A6098" w14:paraId="2EFF38D2" w14:textId="77777777">
      <w:pPr>
        <w:widowControl/>
      </w:pPr>
    </w:p>
    <w:p w:rsidR="000A6098" w:rsidRDefault="000A6098" w14:paraId="10339081" w14:textId="77777777">
      <w:pPr>
        <w:widowControl/>
        <w:rPr>
          <w:b/>
        </w:rPr>
      </w:pPr>
    </w:p>
    <w:p w:rsidR="000A6098" w:rsidP="00426E56" w:rsidRDefault="000A6098" w14:paraId="253B71E4" w14:textId="77777777">
      <w:pPr>
        <w:widowControl/>
        <w:ind w:left="720" w:hanging="720"/>
        <w:rPr>
          <w:b/>
        </w:rPr>
      </w:pPr>
      <w:r>
        <w:rPr>
          <w:b/>
        </w:rPr>
        <w:t xml:space="preserve">17. </w:t>
      </w:r>
      <w:r>
        <w:rPr>
          <w:b/>
        </w:rPr>
        <w:tab/>
      </w:r>
      <w:r w:rsidRPr="00426E56" w:rsidR="00426E56">
        <w:rPr>
          <w:b/>
        </w:rPr>
        <w:t>If seeking approval to not display the expiration date for OMB approval of the information collection, explain the reasons that display would be inappropriate.</w:t>
      </w:r>
    </w:p>
    <w:p w:rsidR="000A6098" w:rsidRDefault="000A6098" w14:paraId="748D072D" w14:textId="77777777">
      <w:pPr>
        <w:widowControl/>
      </w:pPr>
    </w:p>
    <w:p w:rsidR="000A6098" w:rsidRDefault="00A03563" w14:paraId="615930E6" w14:textId="77777777">
      <w:pPr>
        <w:widowControl/>
        <w:ind w:left="720"/>
      </w:pPr>
      <w:r>
        <w:t xml:space="preserve">The Current Population Survey, of which this is a supplement, does </w:t>
      </w:r>
      <w:r w:rsidR="000A6098">
        <w:t xml:space="preserve">not display the assigned expiration date of the information collection because the instrument is automated and the respondent, therefore, would never see the date. Instead, the OMB control number for the CPS </w:t>
      </w:r>
      <w:r>
        <w:t xml:space="preserve">is included </w:t>
      </w:r>
      <w:r w:rsidR="000A6098">
        <w:t xml:space="preserve">in the survey's advance letter. (See Attachment </w:t>
      </w:r>
      <w:r w:rsidR="00FE2346">
        <w:t>E</w:t>
      </w:r>
      <w:r w:rsidR="000A6098">
        <w:t>)</w:t>
      </w:r>
    </w:p>
    <w:p w:rsidR="000A6098" w:rsidRDefault="000A6098" w14:paraId="35B5C298" w14:textId="77777777">
      <w:pPr>
        <w:widowControl/>
      </w:pPr>
    </w:p>
    <w:p w:rsidR="000A6098" w:rsidRDefault="000A6098" w14:paraId="18F70F4C" w14:textId="77777777">
      <w:pPr>
        <w:widowControl/>
        <w:rPr>
          <w:b/>
        </w:rPr>
      </w:pPr>
    </w:p>
    <w:p w:rsidR="000A6098" w:rsidP="00A03563" w:rsidRDefault="000A6098" w14:paraId="5912946D" w14:textId="77777777">
      <w:pPr>
        <w:widowControl/>
        <w:ind w:left="720" w:hanging="720"/>
      </w:pPr>
      <w:r>
        <w:rPr>
          <w:b/>
        </w:rPr>
        <w:lastRenderedPageBreak/>
        <w:t xml:space="preserve">18. </w:t>
      </w:r>
      <w:r>
        <w:rPr>
          <w:b/>
        </w:rPr>
        <w:tab/>
      </w:r>
      <w:r w:rsidRPr="00A03563" w:rsidR="00A03563">
        <w:rPr>
          <w:b/>
        </w:rPr>
        <w:t>Explain each exception to the certification statement identified in Item 19 "Certification for Paperwork Reduction Act."</w:t>
      </w:r>
    </w:p>
    <w:p w:rsidR="000A6098" w:rsidRDefault="000A6098" w14:paraId="38D4EDD1" w14:textId="77777777">
      <w:pPr>
        <w:widowControl/>
      </w:pPr>
    </w:p>
    <w:p w:rsidR="000A6098" w:rsidP="00A03563" w:rsidRDefault="00A03563" w14:paraId="5BB44B0F" w14:textId="77777777">
      <w:pPr>
        <w:widowControl/>
        <w:ind w:left="720"/>
      </w:pPr>
      <w:r w:rsidRPr="00A03563">
        <w:t>The agency is able to certify compliance with all provisions under Item 19 of OMB Form 83-I.</w:t>
      </w:r>
    </w:p>
    <w:p w:rsidR="00A03563" w:rsidP="00A03563" w:rsidRDefault="00A03563" w14:paraId="2EB05A03" w14:textId="77777777">
      <w:pPr>
        <w:widowControl/>
        <w:ind w:left="720"/>
      </w:pPr>
    </w:p>
    <w:p w:rsidR="00A03563" w:rsidP="00A03563" w:rsidRDefault="00A03563" w14:paraId="3E79FD95" w14:textId="77777777">
      <w:pPr>
        <w:widowControl/>
        <w:ind w:left="720"/>
      </w:pPr>
    </w:p>
    <w:p w:rsidR="00AA2947" w:rsidP="00BC717D" w:rsidRDefault="00AA2947" w14:paraId="69020475" w14:textId="77777777">
      <w:pPr>
        <w:widowControl/>
        <w:rPr>
          <w:b/>
        </w:rPr>
      </w:pPr>
    </w:p>
    <w:sectPr w:rsidR="00AA2947" w:rsidSect="00A45561">
      <w:endnotePr>
        <w:numFmt w:val="decimal"/>
      </w:endnotePr>
      <w:pgSz w:w="12240" w:h="15840"/>
      <w:pgMar w:top="1440" w:right="1440" w:bottom="1440" w:left="1440" w:header="216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ECAB5" w14:textId="77777777" w:rsidR="0049671A" w:rsidRDefault="0049671A">
      <w:r>
        <w:separator/>
      </w:r>
    </w:p>
  </w:endnote>
  <w:endnote w:type="continuationSeparator" w:id="0">
    <w:p w14:paraId="6412BFBE" w14:textId="77777777" w:rsidR="0049671A" w:rsidRDefault="00496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oudy">
    <w:altName w:val="Goudy"/>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F6238" w14:textId="77777777" w:rsidR="00A17296" w:rsidRDefault="00A17296">
    <w:pPr>
      <w:pStyle w:val="Footer"/>
      <w:jc w:val="center"/>
    </w:pPr>
    <w:r>
      <w:fldChar w:fldCharType="begin"/>
    </w:r>
    <w:r>
      <w:instrText xml:space="preserve"> PAGE   \* MERGEFORMAT </w:instrText>
    </w:r>
    <w:r>
      <w:fldChar w:fldCharType="separate"/>
    </w:r>
    <w:r w:rsidR="00874625">
      <w:rPr>
        <w:noProof/>
      </w:rPr>
      <w:t>18</w:t>
    </w:r>
    <w:r>
      <w:rPr>
        <w:noProof/>
      </w:rPr>
      <w:fldChar w:fldCharType="end"/>
    </w:r>
  </w:p>
  <w:p w14:paraId="7147A7ED" w14:textId="77777777" w:rsidR="00A17296" w:rsidRDefault="00A17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1F9B6" w14:textId="77777777" w:rsidR="0049671A" w:rsidRDefault="0049671A">
      <w:r>
        <w:separator/>
      </w:r>
    </w:p>
  </w:footnote>
  <w:footnote w:type="continuationSeparator" w:id="0">
    <w:p w14:paraId="64F00C5C" w14:textId="77777777" w:rsidR="0049671A" w:rsidRDefault="004967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A0DD2"/>
    <w:multiLevelType w:val="hybridMultilevel"/>
    <w:tmpl w:val="0E74B720"/>
    <w:lvl w:ilvl="0" w:tplc="ECCC0B3C">
      <w:start w:val="1"/>
      <w:numFmt w:val="decimal"/>
      <w:lvlText w:val="%1."/>
      <w:lvlJc w:val="left"/>
      <w:pPr>
        <w:ind w:left="1080" w:hanging="72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545AC2"/>
    <w:multiLevelType w:val="multilevel"/>
    <w:tmpl w:val="1D662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AD0EBF"/>
    <w:multiLevelType w:val="singleLevel"/>
    <w:tmpl w:val="67744A8A"/>
    <w:lvl w:ilvl="0">
      <w:start w:val="1"/>
      <w:numFmt w:val="bullet"/>
      <w:lvlText w:val=""/>
      <w:lvlJc w:val="left"/>
      <w:pPr>
        <w:tabs>
          <w:tab w:val="num" w:pos="360"/>
        </w:tabs>
        <w:ind w:left="360" w:hanging="360"/>
      </w:pPr>
      <w:rPr>
        <w:rFonts w:ascii="Symbol" w:hAnsi="Symbol" w:hint="default"/>
        <w:b w:val="0"/>
        <w:i w:val="0"/>
        <w:sz w:val="24"/>
      </w:rPr>
    </w:lvl>
  </w:abstractNum>
  <w:abstractNum w:abstractNumId="3" w15:restartNumberingAfterBreak="0">
    <w:nsid w:val="32897A09"/>
    <w:multiLevelType w:val="multilevel"/>
    <w:tmpl w:val="DCD6B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F13BF8"/>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3FF7190E"/>
    <w:multiLevelType w:val="hybridMultilevel"/>
    <w:tmpl w:val="BDC6C8DE"/>
    <w:lvl w:ilvl="0" w:tplc="4F18D1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52E3196"/>
    <w:multiLevelType w:val="hybridMultilevel"/>
    <w:tmpl w:val="A1248F7C"/>
    <w:lvl w:ilvl="0" w:tplc="BB24F3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0076772"/>
    <w:multiLevelType w:val="singleLevel"/>
    <w:tmpl w:val="75CA4014"/>
    <w:lvl w:ilvl="0">
      <w:start w:val="2"/>
      <w:numFmt w:val="upperLetter"/>
      <w:lvlText w:val="%1."/>
      <w:lvlJc w:val="left"/>
      <w:pPr>
        <w:tabs>
          <w:tab w:val="num" w:pos="720"/>
        </w:tabs>
        <w:ind w:left="720" w:hanging="720"/>
      </w:pPr>
      <w:rPr>
        <w:rFonts w:hint="default"/>
      </w:rPr>
    </w:lvl>
  </w:abstractNum>
  <w:abstractNum w:abstractNumId="8" w15:restartNumberingAfterBreak="0">
    <w:nsid w:val="606C62FE"/>
    <w:multiLevelType w:val="singleLevel"/>
    <w:tmpl w:val="E84A2378"/>
    <w:lvl w:ilvl="0">
      <w:start w:val="1"/>
      <w:numFmt w:val="upperLetter"/>
      <w:lvlText w:val="%1."/>
      <w:lvlJc w:val="left"/>
      <w:pPr>
        <w:tabs>
          <w:tab w:val="num" w:pos="720"/>
        </w:tabs>
        <w:ind w:left="720" w:hanging="720"/>
      </w:pPr>
      <w:rPr>
        <w:rFonts w:hint="default"/>
      </w:rPr>
    </w:lvl>
  </w:abstractNum>
  <w:abstractNum w:abstractNumId="9" w15:restartNumberingAfterBreak="0">
    <w:nsid w:val="6716155C"/>
    <w:multiLevelType w:val="multilevel"/>
    <w:tmpl w:val="519C3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FC2E39"/>
    <w:multiLevelType w:val="multilevel"/>
    <w:tmpl w:val="0D109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E8543D1"/>
    <w:multiLevelType w:val="hybridMultilevel"/>
    <w:tmpl w:val="E026B94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CE37547"/>
    <w:multiLevelType w:val="hybridMultilevel"/>
    <w:tmpl w:val="34DAE716"/>
    <w:lvl w:ilvl="0" w:tplc="3BBE5A8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8"/>
  </w:num>
  <w:num w:numId="3">
    <w:abstractNumId w:val="4"/>
  </w:num>
  <w:num w:numId="4">
    <w:abstractNumId w:val="2"/>
  </w:num>
  <w:num w:numId="5">
    <w:abstractNumId w:val="11"/>
  </w:num>
  <w:num w:numId="6">
    <w:abstractNumId w:val="12"/>
  </w:num>
  <w:num w:numId="7">
    <w:abstractNumId w:val="0"/>
  </w:num>
  <w:num w:numId="8">
    <w:abstractNumId w:val="9"/>
  </w:num>
  <w:num w:numId="9">
    <w:abstractNumId w:val="1"/>
  </w:num>
  <w:num w:numId="10">
    <w:abstractNumId w:val="10"/>
  </w:num>
  <w:num w:numId="11">
    <w:abstractNumId w:val="3"/>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4C9"/>
    <w:rsid w:val="0000387A"/>
    <w:rsid w:val="00004A5B"/>
    <w:rsid w:val="00005D06"/>
    <w:rsid w:val="00006E39"/>
    <w:rsid w:val="000071C5"/>
    <w:rsid w:val="00007EB6"/>
    <w:rsid w:val="00010019"/>
    <w:rsid w:val="00013D0E"/>
    <w:rsid w:val="00015D57"/>
    <w:rsid w:val="00017501"/>
    <w:rsid w:val="000202DD"/>
    <w:rsid w:val="00020608"/>
    <w:rsid w:val="00025462"/>
    <w:rsid w:val="00025F3E"/>
    <w:rsid w:val="00027A6C"/>
    <w:rsid w:val="00031B24"/>
    <w:rsid w:val="0003587F"/>
    <w:rsid w:val="000370D8"/>
    <w:rsid w:val="00041962"/>
    <w:rsid w:val="000431C4"/>
    <w:rsid w:val="00046355"/>
    <w:rsid w:val="00057287"/>
    <w:rsid w:val="00061D0D"/>
    <w:rsid w:val="00065F11"/>
    <w:rsid w:val="000725A7"/>
    <w:rsid w:val="00073564"/>
    <w:rsid w:val="00073B34"/>
    <w:rsid w:val="0008040A"/>
    <w:rsid w:val="00083569"/>
    <w:rsid w:val="000866B4"/>
    <w:rsid w:val="000A36B4"/>
    <w:rsid w:val="000A6098"/>
    <w:rsid w:val="000A616C"/>
    <w:rsid w:val="000A6965"/>
    <w:rsid w:val="000B0FED"/>
    <w:rsid w:val="000B5122"/>
    <w:rsid w:val="000B6D74"/>
    <w:rsid w:val="000C0025"/>
    <w:rsid w:val="000C03A9"/>
    <w:rsid w:val="000C1445"/>
    <w:rsid w:val="000C23F3"/>
    <w:rsid w:val="000C4688"/>
    <w:rsid w:val="000D3227"/>
    <w:rsid w:val="000D43A5"/>
    <w:rsid w:val="000D67F2"/>
    <w:rsid w:val="000F0519"/>
    <w:rsid w:val="000F52FD"/>
    <w:rsid w:val="000F5A07"/>
    <w:rsid w:val="000F5CFC"/>
    <w:rsid w:val="000F6009"/>
    <w:rsid w:val="00103716"/>
    <w:rsid w:val="00103CA2"/>
    <w:rsid w:val="00106905"/>
    <w:rsid w:val="00110755"/>
    <w:rsid w:val="00110ECD"/>
    <w:rsid w:val="00113726"/>
    <w:rsid w:val="0011485B"/>
    <w:rsid w:val="00117966"/>
    <w:rsid w:val="00117AA1"/>
    <w:rsid w:val="00117D75"/>
    <w:rsid w:val="001210A3"/>
    <w:rsid w:val="00124370"/>
    <w:rsid w:val="00127DDC"/>
    <w:rsid w:val="00134C76"/>
    <w:rsid w:val="00143C5A"/>
    <w:rsid w:val="00145E09"/>
    <w:rsid w:val="001529A7"/>
    <w:rsid w:val="0015369A"/>
    <w:rsid w:val="00154AC5"/>
    <w:rsid w:val="00155445"/>
    <w:rsid w:val="00160A8F"/>
    <w:rsid w:val="0016149F"/>
    <w:rsid w:val="0016281A"/>
    <w:rsid w:val="00162F82"/>
    <w:rsid w:val="00174439"/>
    <w:rsid w:val="00175DB2"/>
    <w:rsid w:val="001761C4"/>
    <w:rsid w:val="001772E9"/>
    <w:rsid w:val="00194FFE"/>
    <w:rsid w:val="00195515"/>
    <w:rsid w:val="0019650D"/>
    <w:rsid w:val="001A0221"/>
    <w:rsid w:val="001B53A5"/>
    <w:rsid w:val="001B5EA9"/>
    <w:rsid w:val="001D7D8E"/>
    <w:rsid w:val="001E123D"/>
    <w:rsid w:val="001E1998"/>
    <w:rsid w:val="001E1EE0"/>
    <w:rsid w:val="001E2F7D"/>
    <w:rsid w:val="001E3CF4"/>
    <w:rsid w:val="001E544A"/>
    <w:rsid w:val="001E5D67"/>
    <w:rsid w:val="001E5E83"/>
    <w:rsid w:val="001F09C9"/>
    <w:rsid w:val="001F5B00"/>
    <w:rsid w:val="001F6320"/>
    <w:rsid w:val="00203EAD"/>
    <w:rsid w:val="002134B9"/>
    <w:rsid w:val="0021492A"/>
    <w:rsid w:val="00215B8E"/>
    <w:rsid w:val="00220E91"/>
    <w:rsid w:val="00221CA5"/>
    <w:rsid w:val="0022644E"/>
    <w:rsid w:val="00226CC2"/>
    <w:rsid w:val="002316A0"/>
    <w:rsid w:val="002324EB"/>
    <w:rsid w:val="00232C9F"/>
    <w:rsid w:val="00233227"/>
    <w:rsid w:val="00237FD1"/>
    <w:rsid w:val="00242A73"/>
    <w:rsid w:val="0025192E"/>
    <w:rsid w:val="00253310"/>
    <w:rsid w:val="002533ED"/>
    <w:rsid w:val="002563C4"/>
    <w:rsid w:val="002605D3"/>
    <w:rsid w:val="0026097D"/>
    <w:rsid w:val="002638F1"/>
    <w:rsid w:val="00264931"/>
    <w:rsid w:val="002731BE"/>
    <w:rsid w:val="00274ED9"/>
    <w:rsid w:val="0028178C"/>
    <w:rsid w:val="00282B11"/>
    <w:rsid w:val="00282EB1"/>
    <w:rsid w:val="00283B5B"/>
    <w:rsid w:val="002861CB"/>
    <w:rsid w:val="00287439"/>
    <w:rsid w:val="0029193A"/>
    <w:rsid w:val="002945CF"/>
    <w:rsid w:val="002946BF"/>
    <w:rsid w:val="00296BE6"/>
    <w:rsid w:val="00297E61"/>
    <w:rsid w:val="002A0510"/>
    <w:rsid w:val="002A11D1"/>
    <w:rsid w:val="002A122C"/>
    <w:rsid w:val="002A16A2"/>
    <w:rsid w:val="002A2B69"/>
    <w:rsid w:val="002A5A2A"/>
    <w:rsid w:val="002B0EA3"/>
    <w:rsid w:val="002B28F4"/>
    <w:rsid w:val="002B2C4A"/>
    <w:rsid w:val="002B4089"/>
    <w:rsid w:val="002D3784"/>
    <w:rsid w:val="002E020B"/>
    <w:rsid w:val="002E21C6"/>
    <w:rsid w:val="002E38DF"/>
    <w:rsid w:val="002E6091"/>
    <w:rsid w:val="002E7C83"/>
    <w:rsid w:val="002F06AA"/>
    <w:rsid w:val="002F13DF"/>
    <w:rsid w:val="002F2837"/>
    <w:rsid w:val="002F5A70"/>
    <w:rsid w:val="002F5BB8"/>
    <w:rsid w:val="002F6E36"/>
    <w:rsid w:val="002F7FCE"/>
    <w:rsid w:val="0030166A"/>
    <w:rsid w:val="00305EE3"/>
    <w:rsid w:val="00306C0B"/>
    <w:rsid w:val="003070B7"/>
    <w:rsid w:val="00313630"/>
    <w:rsid w:val="00314D60"/>
    <w:rsid w:val="00321825"/>
    <w:rsid w:val="00325BEB"/>
    <w:rsid w:val="00331D3A"/>
    <w:rsid w:val="00332103"/>
    <w:rsid w:val="00333C3F"/>
    <w:rsid w:val="003343AF"/>
    <w:rsid w:val="003373F4"/>
    <w:rsid w:val="00340079"/>
    <w:rsid w:val="003400AF"/>
    <w:rsid w:val="0034196A"/>
    <w:rsid w:val="0034237C"/>
    <w:rsid w:val="0034344D"/>
    <w:rsid w:val="003464FD"/>
    <w:rsid w:val="00352A3D"/>
    <w:rsid w:val="00353344"/>
    <w:rsid w:val="00356CCA"/>
    <w:rsid w:val="00357C8B"/>
    <w:rsid w:val="00361200"/>
    <w:rsid w:val="00361F6A"/>
    <w:rsid w:val="003705A0"/>
    <w:rsid w:val="00370B0C"/>
    <w:rsid w:val="003726EA"/>
    <w:rsid w:val="00372C57"/>
    <w:rsid w:val="0037798C"/>
    <w:rsid w:val="00384A61"/>
    <w:rsid w:val="003958B3"/>
    <w:rsid w:val="00397BC2"/>
    <w:rsid w:val="003A062A"/>
    <w:rsid w:val="003A4EFE"/>
    <w:rsid w:val="003A5B80"/>
    <w:rsid w:val="003A7EAE"/>
    <w:rsid w:val="003B4173"/>
    <w:rsid w:val="003B65B1"/>
    <w:rsid w:val="003B7F55"/>
    <w:rsid w:val="003C1EC4"/>
    <w:rsid w:val="003C313C"/>
    <w:rsid w:val="003D0693"/>
    <w:rsid w:val="003D1BAD"/>
    <w:rsid w:val="003D4D7F"/>
    <w:rsid w:val="003D4ECB"/>
    <w:rsid w:val="003E1D2C"/>
    <w:rsid w:val="003E43F0"/>
    <w:rsid w:val="003F3236"/>
    <w:rsid w:val="00400AAB"/>
    <w:rsid w:val="00410C55"/>
    <w:rsid w:val="004152EE"/>
    <w:rsid w:val="00416154"/>
    <w:rsid w:val="00426BD0"/>
    <w:rsid w:val="00426E56"/>
    <w:rsid w:val="00427404"/>
    <w:rsid w:val="00427C23"/>
    <w:rsid w:val="004327A3"/>
    <w:rsid w:val="004332C9"/>
    <w:rsid w:val="00442DE9"/>
    <w:rsid w:val="004472EF"/>
    <w:rsid w:val="00447CE1"/>
    <w:rsid w:val="004502E7"/>
    <w:rsid w:val="00451603"/>
    <w:rsid w:val="0045188C"/>
    <w:rsid w:val="00452644"/>
    <w:rsid w:val="00452E75"/>
    <w:rsid w:val="00454BDE"/>
    <w:rsid w:val="0045551F"/>
    <w:rsid w:val="0045774A"/>
    <w:rsid w:val="00471D30"/>
    <w:rsid w:val="00472511"/>
    <w:rsid w:val="00473E8E"/>
    <w:rsid w:val="004771B7"/>
    <w:rsid w:val="00477A1A"/>
    <w:rsid w:val="004815DB"/>
    <w:rsid w:val="0048248C"/>
    <w:rsid w:val="00482CEE"/>
    <w:rsid w:val="004831A0"/>
    <w:rsid w:val="00486B3C"/>
    <w:rsid w:val="00492958"/>
    <w:rsid w:val="0049326B"/>
    <w:rsid w:val="00493ACF"/>
    <w:rsid w:val="0049671A"/>
    <w:rsid w:val="00496DE2"/>
    <w:rsid w:val="00497636"/>
    <w:rsid w:val="004A552A"/>
    <w:rsid w:val="004B1FF2"/>
    <w:rsid w:val="004B3D40"/>
    <w:rsid w:val="004B422B"/>
    <w:rsid w:val="004B47AF"/>
    <w:rsid w:val="004B4FE3"/>
    <w:rsid w:val="004B52EE"/>
    <w:rsid w:val="004B6532"/>
    <w:rsid w:val="004C525D"/>
    <w:rsid w:val="004C5964"/>
    <w:rsid w:val="004D273E"/>
    <w:rsid w:val="004D3C11"/>
    <w:rsid w:val="004D6AC6"/>
    <w:rsid w:val="004D7161"/>
    <w:rsid w:val="004D735C"/>
    <w:rsid w:val="004D77AF"/>
    <w:rsid w:val="004E19DB"/>
    <w:rsid w:val="004E27B6"/>
    <w:rsid w:val="004F0E64"/>
    <w:rsid w:val="004F18DD"/>
    <w:rsid w:val="004F52C0"/>
    <w:rsid w:val="004F6E80"/>
    <w:rsid w:val="00500B4B"/>
    <w:rsid w:val="00511C99"/>
    <w:rsid w:val="005221FA"/>
    <w:rsid w:val="005227C5"/>
    <w:rsid w:val="0052516A"/>
    <w:rsid w:val="00533656"/>
    <w:rsid w:val="00544628"/>
    <w:rsid w:val="00555134"/>
    <w:rsid w:val="0055653F"/>
    <w:rsid w:val="00561FBD"/>
    <w:rsid w:val="00567649"/>
    <w:rsid w:val="005714AD"/>
    <w:rsid w:val="00577418"/>
    <w:rsid w:val="00582805"/>
    <w:rsid w:val="00594015"/>
    <w:rsid w:val="00596FFD"/>
    <w:rsid w:val="005A00F8"/>
    <w:rsid w:val="005A0A2E"/>
    <w:rsid w:val="005A341D"/>
    <w:rsid w:val="005A478A"/>
    <w:rsid w:val="005B641A"/>
    <w:rsid w:val="005B6CA3"/>
    <w:rsid w:val="005C2E78"/>
    <w:rsid w:val="005C5D7B"/>
    <w:rsid w:val="005C6BA8"/>
    <w:rsid w:val="005C784B"/>
    <w:rsid w:val="005D3DD1"/>
    <w:rsid w:val="005E0169"/>
    <w:rsid w:val="005E616A"/>
    <w:rsid w:val="005E6386"/>
    <w:rsid w:val="005F3367"/>
    <w:rsid w:val="005F48A6"/>
    <w:rsid w:val="005F6DCD"/>
    <w:rsid w:val="006038F0"/>
    <w:rsid w:val="0061360F"/>
    <w:rsid w:val="006145FA"/>
    <w:rsid w:val="006203CD"/>
    <w:rsid w:val="00620C13"/>
    <w:rsid w:val="006213AC"/>
    <w:rsid w:val="00625166"/>
    <w:rsid w:val="0063416D"/>
    <w:rsid w:val="00635120"/>
    <w:rsid w:val="0065202A"/>
    <w:rsid w:val="006524C4"/>
    <w:rsid w:val="00655513"/>
    <w:rsid w:val="00662187"/>
    <w:rsid w:val="00662BC0"/>
    <w:rsid w:val="00666985"/>
    <w:rsid w:val="0067104A"/>
    <w:rsid w:val="00671A5F"/>
    <w:rsid w:val="0068075F"/>
    <w:rsid w:val="006829BB"/>
    <w:rsid w:val="00684532"/>
    <w:rsid w:val="0068766A"/>
    <w:rsid w:val="006932F6"/>
    <w:rsid w:val="006933AC"/>
    <w:rsid w:val="00693E88"/>
    <w:rsid w:val="00694104"/>
    <w:rsid w:val="006948AB"/>
    <w:rsid w:val="00694EAC"/>
    <w:rsid w:val="0069551F"/>
    <w:rsid w:val="0069638D"/>
    <w:rsid w:val="006A1C88"/>
    <w:rsid w:val="006A2E1A"/>
    <w:rsid w:val="006A6EBB"/>
    <w:rsid w:val="006B105F"/>
    <w:rsid w:val="006B2D0F"/>
    <w:rsid w:val="006C01CB"/>
    <w:rsid w:val="006C028D"/>
    <w:rsid w:val="006C17C6"/>
    <w:rsid w:val="006C1A9E"/>
    <w:rsid w:val="006C412E"/>
    <w:rsid w:val="006C4BDA"/>
    <w:rsid w:val="006E2C82"/>
    <w:rsid w:val="006E6CD1"/>
    <w:rsid w:val="006E6FFD"/>
    <w:rsid w:val="006F2454"/>
    <w:rsid w:val="00701920"/>
    <w:rsid w:val="0070306F"/>
    <w:rsid w:val="007034BC"/>
    <w:rsid w:val="00714634"/>
    <w:rsid w:val="00721BD6"/>
    <w:rsid w:val="007233C1"/>
    <w:rsid w:val="00727E81"/>
    <w:rsid w:val="007367F5"/>
    <w:rsid w:val="007367F9"/>
    <w:rsid w:val="007370D6"/>
    <w:rsid w:val="007425F3"/>
    <w:rsid w:val="00742FBA"/>
    <w:rsid w:val="00743A3E"/>
    <w:rsid w:val="00745E8D"/>
    <w:rsid w:val="00750895"/>
    <w:rsid w:val="00752F97"/>
    <w:rsid w:val="00763FFF"/>
    <w:rsid w:val="007716B4"/>
    <w:rsid w:val="007772F6"/>
    <w:rsid w:val="0077795F"/>
    <w:rsid w:val="0078088E"/>
    <w:rsid w:val="007809A4"/>
    <w:rsid w:val="00791334"/>
    <w:rsid w:val="00794EDB"/>
    <w:rsid w:val="007A148B"/>
    <w:rsid w:val="007A1CEB"/>
    <w:rsid w:val="007A39C7"/>
    <w:rsid w:val="007A54F3"/>
    <w:rsid w:val="007A580E"/>
    <w:rsid w:val="007B1535"/>
    <w:rsid w:val="007B29A7"/>
    <w:rsid w:val="007B7B7F"/>
    <w:rsid w:val="007C79F7"/>
    <w:rsid w:val="007D45FB"/>
    <w:rsid w:val="007D4918"/>
    <w:rsid w:val="007E41B7"/>
    <w:rsid w:val="007E51BE"/>
    <w:rsid w:val="007F2F15"/>
    <w:rsid w:val="007F612D"/>
    <w:rsid w:val="008020F2"/>
    <w:rsid w:val="00806D94"/>
    <w:rsid w:val="008119BD"/>
    <w:rsid w:val="0081539E"/>
    <w:rsid w:val="008264C9"/>
    <w:rsid w:val="008268A1"/>
    <w:rsid w:val="00833F4D"/>
    <w:rsid w:val="0083669A"/>
    <w:rsid w:val="008433C3"/>
    <w:rsid w:val="00846514"/>
    <w:rsid w:val="00852ABA"/>
    <w:rsid w:val="008531DA"/>
    <w:rsid w:val="00854E29"/>
    <w:rsid w:val="008575E9"/>
    <w:rsid w:val="00862B1D"/>
    <w:rsid w:val="0086330D"/>
    <w:rsid w:val="0086421E"/>
    <w:rsid w:val="008661C7"/>
    <w:rsid w:val="00866438"/>
    <w:rsid w:val="008701C2"/>
    <w:rsid w:val="00871B99"/>
    <w:rsid w:val="00874625"/>
    <w:rsid w:val="00882704"/>
    <w:rsid w:val="00882EAA"/>
    <w:rsid w:val="0088340D"/>
    <w:rsid w:val="008845E8"/>
    <w:rsid w:val="008862FA"/>
    <w:rsid w:val="008A02FB"/>
    <w:rsid w:val="008A1734"/>
    <w:rsid w:val="008A3F84"/>
    <w:rsid w:val="008A5B7F"/>
    <w:rsid w:val="008A6951"/>
    <w:rsid w:val="008A7A50"/>
    <w:rsid w:val="008B328F"/>
    <w:rsid w:val="008B3837"/>
    <w:rsid w:val="008C2D1C"/>
    <w:rsid w:val="008C33C4"/>
    <w:rsid w:val="008C67E3"/>
    <w:rsid w:val="008D3D60"/>
    <w:rsid w:val="008D468C"/>
    <w:rsid w:val="008F0B05"/>
    <w:rsid w:val="008F1EBB"/>
    <w:rsid w:val="009036CF"/>
    <w:rsid w:val="009047B8"/>
    <w:rsid w:val="00906C1F"/>
    <w:rsid w:val="00911196"/>
    <w:rsid w:val="009118ED"/>
    <w:rsid w:val="00913E4B"/>
    <w:rsid w:val="00915DC1"/>
    <w:rsid w:val="009211A7"/>
    <w:rsid w:val="009215FE"/>
    <w:rsid w:val="00921AF2"/>
    <w:rsid w:val="009223C1"/>
    <w:rsid w:val="0092277C"/>
    <w:rsid w:val="009266C4"/>
    <w:rsid w:val="00942069"/>
    <w:rsid w:val="00945D2D"/>
    <w:rsid w:val="00946D29"/>
    <w:rsid w:val="00947672"/>
    <w:rsid w:val="00952A1F"/>
    <w:rsid w:val="009564AE"/>
    <w:rsid w:val="00961588"/>
    <w:rsid w:val="00971369"/>
    <w:rsid w:val="009775E9"/>
    <w:rsid w:val="00981C94"/>
    <w:rsid w:val="00982EFA"/>
    <w:rsid w:val="00985903"/>
    <w:rsid w:val="00987EAA"/>
    <w:rsid w:val="009920F0"/>
    <w:rsid w:val="00993223"/>
    <w:rsid w:val="0099484F"/>
    <w:rsid w:val="009A0404"/>
    <w:rsid w:val="009A210D"/>
    <w:rsid w:val="009A5629"/>
    <w:rsid w:val="009B2C21"/>
    <w:rsid w:val="009C0CB1"/>
    <w:rsid w:val="009C1644"/>
    <w:rsid w:val="009C2A26"/>
    <w:rsid w:val="009C2FA4"/>
    <w:rsid w:val="009C45B0"/>
    <w:rsid w:val="009C6E1C"/>
    <w:rsid w:val="009D05A6"/>
    <w:rsid w:val="009D34CF"/>
    <w:rsid w:val="009D5B00"/>
    <w:rsid w:val="009D5CCA"/>
    <w:rsid w:val="009E3DE3"/>
    <w:rsid w:val="009E4640"/>
    <w:rsid w:val="009E4D6B"/>
    <w:rsid w:val="009E7A5A"/>
    <w:rsid w:val="009F294D"/>
    <w:rsid w:val="009F75FC"/>
    <w:rsid w:val="00A03563"/>
    <w:rsid w:val="00A03F6C"/>
    <w:rsid w:val="00A05FE1"/>
    <w:rsid w:val="00A06A99"/>
    <w:rsid w:val="00A11BCA"/>
    <w:rsid w:val="00A16C41"/>
    <w:rsid w:val="00A17296"/>
    <w:rsid w:val="00A21289"/>
    <w:rsid w:val="00A41861"/>
    <w:rsid w:val="00A4443E"/>
    <w:rsid w:val="00A4497F"/>
    <w:rsid w:val="00A45561"/>
    <w:rsid w:val="00A471E2"/>
    <w:rsid w:val="00A51917"/>
    <w:rsid w:val="00A5194B"/>
    <w:rsid w:val="00A528F6"/>
    <w:rsid w:val="00A61539"/>
    <w:rsid w:val="00A61A97"/>
    <w:rsid w:val="00A621E1"/>
    <w:rsid w:val="00A63B8F"/>
    <w:rsid w:val="00A671EF"/>
    <w:rsid w:val="00A70B72"/>
    <w:rsid w:val="00A76F08"/>
    <w:rsid w:val="00A82899"/>
    <w:rsid w:val="00A8635B"/>
    <w:rsid w:val="00A90587"/>
    <w:rsid w:val="00A90A0C"/>
    <w:rsid w:val="00A95C64"/>
    <w:rsid w:val="00A960D1"/>
    <w:rsid w:val="00AA0561"/>
    <w:rsid w:val="00AA2947"/>
    <w:rsid w:val="00AB6730"/>
    <w:rsid w:val="00AC28C7"/>
    <w:rsid w:val="00AC5964"/>
    <w:rsid w:val="00AC79AE"/>
    <w:rsid w:val="00AD2E0F"/>
    <w:rsid w:val="00AD3065"/>
    <w:rsid w:val="00AD63A4"/>
    <w:rsid w:val="00AD71A9"/>
    <w:rsid w:val="00AE1479"/>
    <w:rsid w:val="00AE3F3C"/>
    <w:rsid w:val="00AE5BF9"/>
    <w:rsid w:val="00AF139A"/>
    <w:rsid w:val="00AF438B"/>
    <w:rsid w:val="00AF4C36"/>
    <w:rsid w:val="00AF72C4"/>
    <w:rsid w:val="00AF7387"/>
    <w:rsid w:val="00B07340"/>
    <w:rsid w:val="00B146D8"/>
    <w:rsid w:val="00B14DE5"/>
    <w:rsid w:val="00B16264"/>
    <w:rsid w:val="00B2491D"/>
    <w:rsid w:val="00B24CE1"/>
    <w:rsid w:val="00B256AF"/>
    <w:rsid w:val="00B36134"/>
    <w:rsid w:val="00B426CD"/>
    <w:rsid w:val="00B42C6D"/>
    <w:rsid w:val="00B54737"/>
    <w:rsid w:val="00B56703"/>
    <w:rsid w:val="00B576BA"/>
    <w:rsid w:val="00B64DEA"/>
    <w:rsid w:val="00B668EF"/>
    <w:rsid w:val="00B72135"/>
    <w:rsid w:val="00B74C08"/>
    <w:rsid w:val="00B82261"/>
    <w:rsid w:val="00B85EC0"/>
    <w:rsid w:val="00B91293"/>
    <w:rsid w:val="00B91789"/>
    <w:rsid w:val="00B949F1"/>
    <w:rsid w:val="00B94A97"/>
    <w:rsid w:val="00B97132"/>
    <w:rsid w:val="00BA25FA"/>
    <w:rsid w:val="00BA2C50"/>
    <w:rsid w:val="00BA2E76"/>
    <w:rsid w:val="00BB4A7B"/>
    <w:rsid w:val="00BC34AC"/>
    <w:rsid w:val="00BC52B2"/>
    <w:rsid w:val="00BC661D"/>
    <w:rsid w:val="00BC717D"/>
    <w:rsid w:val="00BD1FCD"/>
    <w:rsid w:val="00BE1091"/>
    <w:rsid w:val="00BE11AE"/>
    <w:rsid w:val="00BE2599"/>
    <w:rsid w:val="00BE4659"/>
    <w:rsid w:val="00BE6485"/>
    <w:rsid w:val="00BF0182"/>
    <w:rsid w:val="00BF08CB"/>
    <w:rsid w:val="00BF3F9F"/>
    <w:rsid w:val="00BF45BC"/>
    <w:rsid w:val="00C0097E"/>
    <w:rsid w:val="00C0590F"/>
    <w:rsid w:val="00C078D0"/>
    <w:rsid w:val="00C07EFA"/>
    <w:rsid w:val="00C10C00"/>
    <w:rsid w:val="00C12170"/>
    <w:rsid w:val="00C158B8"/>
    <w:rsid w:val="00C17000"/>
    <w:rsid w:val="00C20165"/>
    <w:rsid w:val="00C22D89"/>
    <w:rsid w:val="00C24012"/>
    <w:rsid w:val="00C244E1"/>
    <w:rsid w:val="00C279B8"/>
    <w:rsid w:val="00C3071A"/>
    <w:rsid w:val="00C308FF"/>
    <w:rsid w:val="00C327B2"/>
    <w:rsid w:val="00C4055F"/>
    <w:rsid w:val="00C414B4"/>
    <w:rsid w:val="00C41D27"/>
    <w:rsid w:val="00C4379B"/>
    <w:rsid w:val="00C45895"/>
    <w:rsid w:val="00C45919"/>
    <w:rsid w:val="00C46A25"/>
    <w:rsid w:val="00C545B5"/>
    <w:rsid w:val="00C60D0A"/>
    <w:rsid w:val="00C65A12"/>
    <w:rsid w:val="00C65E65"/>
    <w:rsid w:val="00C72668"/>
    <w:rsid w:val="00C7520C"/>
    <w:rsid w:val="00C77E9E"/>
    <w:rsid w:val="00C80D43"/>
    <w:rsid w:val="00C840F5"/>
    <w:rsid w:val="00C878B1"/>
    <w:rsid w:val="00C93A2E"/>
    <w:rsid w:val="00C93F31"/>
    <w:rsid w:val="00C957C1"/>
    <w:rsid w:val="00CA2795"/>
    <w:rsid w:val="00CA66A2"/>
    <w:rsid w:val="00CA7803"/>
    <w:rsid w:val="00CB302B"/>
    <w:rsid w:val="00CB3080"/>
    <w:rsid w:val="00CB3509"/>
    <w:rsid w:val="00CC1630"/>
    <w:rsid w:val="00CC25F4"/>
    <w:rsid w:val="00CC454F"/>
    <w:rsid w:val="00CD2A4C"/>
    <w:rsid w:val="00CD2F5F"/>
    <w:rsid w:val="00CD50FE"/>
    <w:rsid w:val="00CD6218"/>
    <w:rsid w:val="00CD7372"/>
    <w:rsid w:val="00CE0327"/>
    <w:rsid w:val="00CE1470"/>
    <w:rsid w:val="00CE24EF"/>
    <w:rsid w:val="00CE5DC5"/>
    <w:rsid w:val="00CE6E28"/>
    <w:rsid w:val="00CF079C"/>
    <w:rsid w:val="00CF0CA7"/>
    <w:rsid w:val="00CF415E"/>
    <w:rsid w:val="00CF6FC0"/>
    <w:rsid w:val="00D05BA8"/>
    <w:rsid w:val="00D06AAD"/>
    <w:rsid w:val="00D10C23"/>
    <w:rsid w:val="00D1673A"/>
    <w:rsid w:val="00D22B17"/>
    <w:rsid w:val="00D3606A"/>
    <w:rsid w:val="00D3739A"/>
    <w:rsid w:val="00D37C6A"/>
    <w:rsid w:val="00D37CFB"/>
    <w:rsid w:val="00D5078A"/>
    <w:rsid w:val="00D552F9"/>
    <w:rsid w:val="00D63531"/>
    <w:rsid w:val="00D64AA2"/>
    <w:rsid w:val="00D73624"/>
    <w:rsid w:val="00D7522A"/>
    <w:rsid w:val="00D754C0"/>
    <w:rsid w:val="00D771FF"/>
    <w:rsid w:val="00D86581"/>
    <w:rsid w:val="00D90830"/>
    <w:rsid w:val="00D90C5A"/>
    <w:rsid w:val="00D93FC8"/>
    <w:rsid w:val="00D9457D"/>
    <w:rsid w:val="00D9473C"/>
    <w:rsid w:val="00D94910"/>
    <w:rsid w:val="00D96D29"/>
    <w:rsid w:val="00DA2000"/>
    <w:rsid w:val="00DB5838"/>
    <w:rsid w:val="00DC00E0"/>
    <w:rsid w:val="00DC443C"/>
    <w:rsid w:val="00DC78D8"/>
    <w:rsid w:val="00DC7F34"/>
    <w:rsid w:val="00DD1B25"/>
    <w:rsid w:val="00DD2691"/>
    <w:rsid w:val="00DD58E2"/>
    <w:rsid w:val="00DE36F8"/>
    <w:rsid w:val="00DE6881"/>
    <w:rsid w:val="00DE782C"/>
    <w:rsid w:val="00DF40AE"/>
    <w:rsid w:val="00E00F34"/>
    <w:rsid w:val="00E01C21"/>
    <w:rsid w:val="00E05CAA"/>
    <w:rsid w:val="00E115E5"/>
    <w:rsid w:val="00E1626D"/>
    <w:rsid w:val="00E1757E"/>
    <w:rsid w:val="00E208CA"/>
    <w:rsid w:val="00E24E20"/>
    <w:rsid w:val="00E250DC"/>
    <w:rsid w:val="00E25204"/>
    <w:rsid w:val="00E33004"/>
    <w:rsid w:val="00E369F8"/>
    <w:rsid w:val="00E37F12"/>
    <w:rsid w:val="00E42B83"/>
    <w:rsid w:val="00E4769A"/>
    <w:rsid w:val="00E5163A"/>
    <w:rsid w:val="00E64D28"/>
    <w:rsid w:val="00E74A27"/>
    <w:rsid w:val="00E75661"/>
    <w:rsid w:val="00E75936"/>
    <w:rsid w:val="00E75CC3"/>
    <w:rsid w:val="00E80E62"/>
    <w:rsid w:val="00E8237D"/>
    <w:rsid w:val="00E829D0"/>
    <w:rsid w:val="00E8332F"/>
    <w:rsid w:val="00E84496"/>
    <w:rsid w:val="00E84BCC"/>
    <w:rsid w:val="00E85CAF"/>
    <w:rsid w:val="00E90542"/>
    <w:rsid w:val="00E905C2"/>
    <w:rsid w:val="00EB2952"/>
    <w:rsid w:val="00EB2CB9"/>
    <w:rsid w:val="00EB3038"/>
    <w:rsid w:val="00EC0DDF"/>
    <w:rsid w:val="00EC187D"/>
    <w:rsid w:val="00EC22B8"/>
    <w:rsid w:val="00EC49A4"/>
    <w:rsid w:val="00EC7BD6"/>
    <w:rsid w:val="00ED0A01"/>
    <w:rsid w:val="00EE3AB4"/>
    <w:rsid w:val="00EF06E7"/>
    <w:rsid w:val="00EF3CDD"/>
    <w:rsid w:val="00EF5A8D"/>
    <w:rsid w:val="00F0367D"/>
    <w:rsid w:val="00F04498"/>
    <w:rsid w:val="00F11DD7"/>
    <w:rsid w:val="00F13223"/>
    <w:rsid w:val="00F170DB"/>
    <w:rsid w:val="00F262C3"/>
    <w:rsid w:val="00F31788"/>
    <w:rsid w:val="00F37249"/>
    <w:rsid w:val="00F44442"/>
    <w:rsid w:val="00F472FB"/>
    <w:rsid w:val="00F503F3"/>
    <w:rsid w:val="00F51259"/>
    <w:rsid w:val="00F512FE"/>
    <w:rsid w:val="00F51B48"/>
    <w:rsid w:val="00F602D4"/>
    <w:rsid w:val="00F62023"/>
    <w:rsid w:val="00F64770"/>
    <w:rsid w:val="00F701DB"/>
    <w:rsid w:val="00F70F03"/>
    <w:rsid w:val="00F726B7"/>
    <w:rsid w:val="00F727CA"/>
    <w:rsid w:val="00F762B3"/>
    <w:rsid w:val="00F76EAF"/>
    <w:rsid w:val="00F77289"/>
    <w:rsid w:val="00F774CC"/>
    <w:rsid w:val="00F81DC7"/>
    <w:rsid w:val="00F82AE0"/>
    <w:rsid w:val="00F82AFD"/>
    <w:rsid w:val="00F83AEF"/>
    <w:rsid w:val="00F83B9C"/>
    <w:rsid w:val="00F84DDD"/>
    <w:rsid w:val="00F86CAD"/>
    <w:rsid w:val="00F95779"/>
    <w:rsid w:val="00F95C4E"/>
    <w:rsid w:val="00F95D37"/>
    <w:rsid w:val="00FA1ED9"/>
    <w:rsid w:val="00FA4FDE"/>
    <w:rsid w:val="00FE2346"/>
    <w:rsid w:val="00FE3EC6"/>
    <w:rsid w:val="00FE5960"/>
    <w:rsid w:val="00FF01E9"/>
    <w:rsid w:val="00FF0642"/>
    <w:rsid w:val="00FF0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4:docId w14:val="3945C038"/>
  <w15:chartTrackingRefBased/>
  <w15:docId w15:val="{BC8852CB-3BB7-4FA8-857B-CA1EF9389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widowControl/>
      <w:spacing w:after="10"/>
      <w:jc w:val="right"/>
      <w:outlineLvl w:val="0"/>
    </w:pPr>
    <w:rPr>
      <w:b/>
    </w:rPr>
  </w:style>
  <w:style w:type="paragraph" w:styleId="Heading2">
    <w:name w:val="heading 2"/>
    <w:basedOn w:val="Normal"/>
    <w:next w:val="Normal"/>
    <w:qFormat/>
    <w:pPr>
      <w:keepNext/>
      <w:widowControl/>
      <w:jc w:val="both"/>
      <w:outlineLvl w:val="1"/>
    </w:pPr>
    <w:rPr>
      <w:b/>
      <w:snapToGrid/>
    </w:rPr>
  </w:style>
  <w:style w:type="paragraph" w:styleId="Heading3">
    <w:name w:val="heading 3"/>
    <w:basedOn w:val="Normal"/>
    <w:next w:val="Normal"/>
    <w:qFormat/>
    <w:pPr>
      <w:keepNext/>
      <w:widowControl/>
      <w:jc w:val="center"/>
      <w:outlineLvl w:val="2"/>
    </w:pPr>
    <w:rPr>
      <w:b/>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BodyTextIndent">
    <w:name w:val="Body Text Indent"/>
    <w:basedOn w:val="Normal"/>
    <w:pPr>
      <w:widowControl/>
      <w:ind w:left="720"/>
    </w:pPr>
  </w:style>
  <w:style w:type="paragraph" w:styleId="BodyTextIndent2">
    <w:name w:val="Body Text Indent 2"/>
    <w:basedOn w:val="Normal"/>
    <w:pPr>
      <w:widowControl/>
      <w:ind w:left="2160"/>
    </w:p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widowControl/>
      <w:tabs>
        <w:tab w:val="left" w:pos="-1440"/>
      </w:tabs>
      <w:ind w:left="2160" w:hanging="720"/>
    </w:pPr>
  </w:style>
  <w:style w:type="paragraph" w:styleId="BodyText">
    <w:name w:val="Body Text"/>
    <w:basedOn w:val="Normal"/>
    <w:pPr>
      <w:widowControl/>
      <w:jc w:val="center"/>
    </w:pPr>
    <w:rPr>
      <w:b/>
    </w:rPr>
  </w:style>
  <w:style w:type="paragraph" w:styleId="BodyText2">
    <w:name w:val="Body Text 2"/>
    <w:basedOn w:val="Normal"/>
    <w:pPr>
      <w:widowControl/>
    </w:pPr>
    <w:rPr>
      <w:b/>
    </w:rPr>
  </w:style>
  <w:style w:type="paragraph" w:styleId="BalloonText">
    <w:name w:val="Balloon Text"/>
    <w:basedOn w:val="Normal"/>
    <w:semiHidden/>
    <w:rsid w:val="0025192E"/>
    <w:rPr>
      <w:rFonts w:ascii="Tahoma" w:hAnsi="Tahoma" w:cs="Tahoma"/>
      <w:sz w:val="16"/>
      <w:szCs w:val="16"/>
    </w:rPr>
  </w:style>
  <w:style w:type="character" w:customStyle="1" w:styleId="FooterChar">
    <w:name w:val="Footer Char"/>
    <w:link w:val="Footer"/>
    <w:uiPriority w:val="99"/>
    <w:rsid w:val="00C244E1"/>
    <w:rPr>
      <w:snapToGrid w:val="0"/>
      <w:sz w:val="24"/>
    </w:rPr>
  </w:style>
  <w:style w:type="paragraph" w:styleId="Revision">
    <w:name w:val="Revision"/>
    <w:hidden/>
    <w:uiPriority w:val="99"/>
    <w:semiHidden/>
    <w:rsid w:val="00B2491D"/>
    <w:rPr>
      <w:snapToGrid w:val="0"/>
      <w:sz w:val="24"/>
    </w:rPr>
  </w:style>
  <w:style w:type="character" w:styleId="CommentReference">
    <w:name w:val="annotation reference"/>
    <w:rsid w:val="00BF0182"/>
    <w:rPr>
      <w:sz w:val="16"/>
      <w:szCs w:val="16"/>
    </w:rPr>
  </w:style>
  <w:style w:type="paragraph" w:styleId="CommentText">
    <w:name w:val="annotation text"/>
    <w:basedOn w:val="Normal"/>
    <w:link w:val="CommentTextChar"/>
    <w:rsid w:val="00BF0182"/>
    <w:rPr>
      <w:sz w:val="20"/>
    </w:rPr>
  </w:style>
  <w:style w:type="character" w:customStyle="1" w:styleId="CommentTextChar">
    <w:name w:val="Comment Text Char"/>
    <w:link w:val="CommentText"/>
    <w:rsid w:val="00BF0182"/>
    <w:rPr>
      <w:snapToGrid w:val="0"/>
    </w:rPr>
  </w:style>
  <w:style w:type="paragraph" w:styleId="CommentSubject">
    <w:name w:val="annotation subject"/>
    <w:basedOn w:val="CommentText"/>
    <w:next w:val="CommentText"/>
    <w:link w:val="CommentSubjectChar"/>
    <w:rsid w:val="00BF0182"/>
    <w:rPr>
      <w:b/>
      <w:bCs/>
    </w:rPr>
  </w:style>
  <w:style w:type="character" w:customStyle="1" w:styleId="CommentSubjectChar">
    <w:name w:val="Comment Subject Char"/>
    <w:link w:val="CommentSubject"/>
    <w:rsid w:val="00BF0182"/>
    <w:rPr>
      <w:b/>
      <w:bCs/>
      <w:snapToGrid w:val="0"/>
    </w:rPr>
  </w:style>
  <w:style w:type="character" w:styleId="FollowedHyperlink">
    <w:name w:val="FollowedHyperlink"/>
    <w:rsid w:val="0030166A"/>
    <w:rPr>
      <w:color w:val="954F72"/>
      <w:u w:val="single"/>
    </w:rPr>
  </w:style>
  <w:style w:type="character" w:styleId="UnresolvedMention">
    <w:name w:val="Unresolved Mention"/>
    <w:uiPriority w:val="99"/>
    <w:semiHidden/>
    <w:unhideWhenUsed/>
    <w:rsid w:val="00145E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017709">
      <w:bodyDiv w:val="1"/>
      <w:marLeft w:val="0"/>
      <w:marRight w:val="0"/>
      <w:marTop w:val="0"/>
      <w:marBottom w:val="0"/>
      <w:divBdr>
        <w:top w:val="none" w:sz="0" w:space="0" w:color="auto"/>
        <w:left w:val="none" w:sz="0" w:space="0" w:color="auto"/>
        <w:bottom w:val="none" w:sz="0" w:space="0" w:color="auto"/>
        <w:right w:val="none" w:sz="0" w:space="0" w:color="auto"/>
      </w:divBdr>
    </w:div>
    <w:div w:id="382369476">
      <w:bodyDiv w:val="1"/>
      <w:marLeft w:val="0"/>
      <w:marRight w:val="0"/>
      <w:marTop w:val="0"/>
      <w:marBottom w:val="0"/>
      <w:divBdr>
        <w:top w:val="none" w:sz="0" w:space="0" w:color="auto"/>
        <w:left w:val="none" w:sz="0" w:space="0" w:color="auto"/>
        <w:bottom w:val="none" w:sz="0" w:space="0" w:color="auto"/>
        <w:right w:val="none" w:sz="0" w:space="0" w:color="auto"/>
      </w:divBdr>
    </w:div>
    <w:div w:id="909079571">
      <w:bodyDiv w:val="1"/>
      <w:marLeft w:val="0"/>
      <w:marRight w:val="0"/>
      <w:marTop w:val="0"/>
      <w:marBottom w:val="0"/>
      <w:divBdr>
        <w:top w:val="none" w:sz="0" w:space="0" w:color="auto"/>
        <w:left w:val="none" w:sz="0" w:space="0" w:color="auto"/>
        <w:bottom w:val="none" w:sz="0" w:space="0" w:color="auto"/>
        <w:right w:val="none" w:sz="0" w:space="0" w:color="auto"/>
      </w:divBdr>
    </w:div>
    <w:div w:id="1082214462">
      <w:bodyDiv w:val="1"/>
      <w:marLeft w:val="0"/>
      <w:marRight w:val="0"/>
      <w:marTop w:val="0"/>
      <w:marBottom w:val="0"/>
      <w:divBdr>
        <w:top w:val="none" w:sz="0" w:space="0" w:color="auto"/>
        <w:left w:val="none" w:sz="0" w:space="0" w:color="auto"/>
        <w:bottom w:val="none" w:sz="0" w:space="0" w:color="auto"/>
        <w:right w:val="none" w:sz="0" w:space="0" w:color="auto"/>
      </w:divBdr>
    </w:div>
    <w:div w:id="1150712346">
      <w:bodyDiv w:val="1"/>
      <w:marLeft w:val="0"/>
      <w:marRight w:val="0"/>
      <w:marTop w:val="0"/>
      <w:marBottom w:val="0"/>
      <w:divBdr>
        <w:top w:val="none" w:sz="0" w:space="0" w:color="auto"/>
        <w:left w:val="none" w:sz="0" w:space="0" w:color="auto"/>
        <w:bottom w:val="none" w:sz="0" w:space="0" w:color="auto"/>
        <w:right w:val="none" w:sz="0" w:space="0" w:color="auto"/>
      </w:divBdr>
    </w:div>
    <w:div w:id="1171525787">
      <w:bodyDiv w:val="1"/>
      <w:marLeft w:val="0"/>
      <w:marRight w:val="0"/>
      <w:marTop w:val="0"/>
      <w:marBottom w:val="0"/>
      <w:divBdr>
        <w:top w:val="none" w:sz="0" w:space="0" w:color="auto"/>
        <w:left w:val="none" w:sz="0" w:space="0" w:color="auto"/>
        <w:bottom w:val="none" w:sz="0" w:space="0" w:color="auto"/>
        <w:right w:val="none" w:sz="0" w:space="0" w:color="auto"/>
      </w:divBdr>
    </w:div>
    <w:div w:id="1260413346">
      <w:bodyDiv w:val="1"/>
      <w:marLeft w:val="0"/>
      <w:marRight w:val="0"/>
      <w:marTop w:val="0"/>
      <w:marBottom w:val="0"/>
      <w:divBdr>
        <w:top w:val="none" w:sz="0" w:space="0" w:color="auto"/>
        <w:left w:val="none" w:sz="0" w:space="0" w:color="auto"/>
        <w:bottom w:val="none" w:sz="0" w:space="0" w:color="auto"/>
        <w:right w:val="none" w:sz="0" w:space="0" w:color="auto"/>
      </w:divBdr>
    </w:div>
    <w:div w:id="2140762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s://www.ers.usda.gov/publications/pub-details/?pubid=102075" TargetMode="External"/><Relationship Id="rId18" Type="http://schemas.openxmlformats.org/officeDocument/2006/relationships/hyperlink" Target="https://www.childstats.gov/americaschildren/eco4.asp" TargetMode="External"/><Relationship Id="rId26" Type="http://schemas.openxmlformats.org/officeDocument/2006/relationships/hyperlink" Target="file:///\\usda.net\ERS\homedirs\PWEIDMAN\ERS%20OMB%20infor%20Collection%20Approval%20Request\Food%20Security\2021%20Renewal\ICR\arteagai@missouri.edu" TargetMode="External"/><Relationship Id="rId3" Type="http://schemas.openxmlformats.org/officeDocument/2006/relationships/styles" Target="styles.xml"/><Relationship Id="rId21" Type="http://schemas.openxmlformats.org/officeDocument/2006/relationships/hyperlink" Target="https://www.ers.usda.gov/publications/pub-details/?pubid=84240" TargetMode="External"/><Relationship Id="rId7" Type="http://schemas.openxmlformats.org/officeDocument/2006/relationships/endnotes" Target="endnotes.xml"/><Relationship Id="rId12" Type="http://schemas.openxmlformats.org/officeDocument/2006/relationships/hyperlink" Target="https://content.iospress.com/articles/journal-of-economic-and-social-measurement/jem443?resultNumber=1&amp;totalResults=91&amp;start=0&amp;q=Rabbitt&amp;resultsPageSize=10&amp;rows=10" TargetMode="External"/><Relationship Id="rId17" Type="http://schemas.openxmlformats.org/officeDocument/2006/relationships/hyperlink" Target="https://health.gov/healthypeople/objectives-and-data/browse-objectives/nutrition-and-healthy-eating" TargetMode="External"/><Relationship Id="rId25" Type="http://schemas.openxmlformats.org/officeDocument/2006/relationships/hyperlink" Target="mailto:parke.wilde@tufts.ed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usda.gov/sites/default/files/documents/usda-strategic-plan-2018-2022.pdf" TargetMode="External"/><Relationship Id="rId20" Type="http://schemas.openxmlformats.org/officeDocument/2006/relationships/hyperlink" Target="https://www.ers.usda.gov/publications/pub-details/?pubid=84002" TargetMode="External"/><Relationship Id="rId29" Type="http://schemas.openxmlformats.org/officeDocument/2006/relationships/hyperlink" Target="mailto:edwin.anderson@usd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s.usda.gov/topics/food-nutrition-assistance/food-security-in-the-us/survey-tools/#technical" TargetMode="External"/><Relationship Id="rId24" Type="http://schemas.openxmlformats.org/officeDocument/2006/relationships/hyperlink" Target="mailto:kathleen.m.kephart@census.gov"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rs.usda.gov/topics/food-nutrition-assistance/food-security-in-the-us/interactive-charts-and-highlights/" TargetMode="External"/><Relationship Id="rId23" Type="http://schemas.openxmlformats.org/officeDocument/2006/relationships/hyperlink" Target="https://www.ers.usda.gov/publications/pub-details/?pubid=45102" TargetMode="External"/><Relationship Id="rId28" Type="http://schemas.openxmlformats.org/officeDocument/2006/relationships/hyperlink" Target="mailto:anita.singh@usda.gov" TargetMode="External"/><Relationship Id="rId10" Type="http://schemas.openxmlformats.org/officeDocument/2006/relationships/hyperlink" Target="https://www.ers.usda.gov/media/nhelklzj/economic-research-service-strategic-plan-fy-2021-2025.pdf" TargetMode="External"/><Relationship Id="rId19" Type="http://schemas.openxmlformats.org/officeDocument/2006/relationships/hyperlink" Target="https://www.ers.usda.gov/publications/pub-details/?pubid=101268" TargetMode="External"/><Relationship Id="rId31" Type="http://schemas.openxmlformats.org/officeDocument/2006/relationships/hyperlink" Target="https://data.bls.gov/timeseries/CES0500000008" TargetMode="External"/><Relationship Id="rId4" Type="http://schemas.openxmlformats.org/officeDocument/2006/relationships/settings" Target="settings.xml"/><Relationship Id="rId9" Type="http://schemas.openxmlformats.org/officeDocument/2006/relationships/hyperlink" Target="https://www.congress.gov/115/bills/hr2/BILLS-115hr2enr.pdf" TargetMode="External"/><Relationship Id="rId14" Type="http://schemas.openxmlformats.org/officeDocument/2006/relationships/hyperlink" Target="https://www.ers.usda.gov/topics/food-nutrition-assistance/food-security-in-the-us/key-statistics-graphics/" TargetMode="External"/><Relationship Id="rId22" Type="http://schemas.openxmlformats.org/officeDocument/2006/relationships/hyperlink" Target="https://www.ers.usda.gov/publications/pub-details/?pubid=44083" TargetMode="External"/><Relationship Id="rId27" Type="http://schemas.openxmlformats.org/officeDocument/2006/relationships/hyperlink" Target="mailto:ibrahim.keita@census.gov" TargetMode="External"/><Relationship Id="rId30" Type="http://schemas.openxmlformats.org/officeDocument/2006/relationships/footer" Target="footer1.xml"/><Relationship Id="rId8" Type="http://schemas.openxmlformats.org/officeDocument/2006/relationships/hyperlink" Target="https://www.usda.gov/sites/default/files/documents/usda-strategic-plan-2018-20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1F0B3-AC70-4BB1-BF74-D1CA62E27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18</Pages>
  <Words>6273</Words>
  <Characters>38957</Characters>
  <Application>Microsoft Office Word</Application>
  <DocSecurity>0</DocSecurity>
  <Lines>324</Lines>
  <Paragraphs>90</Paragraphs>
  <ScaleCrop>false</ScaleCrop>
  <HeadingPairs>
    <vt:vector size="2" baseType="variant">
      <vt:variant>
        <vt:lpstr>Title</vt:lpstr>
      </vt:variant>
      <vt:variant>
        <vt:i4>1</vt:i4>
      </vt:variant>
    </vt:vector>
  </HeadingPairs>
  <TitlesOfParts>
    <vt:vector size="1" baseType="lpstr">
      <vt:lpstr/>
    </vt:vector>
  </TitlesOfParts>
  <Company>USDA/ERS</Company>
  <LinksUpToDate>false</LinksUpToDate>
  <CharactersWithSpaces>45140</CharactersWithSpaces>
  <SharedDoc>false</SharedDoc>
  <HLinks>
    <vt:vector size="138" baseType="variant">
      <vt:variant>
        <vt:i4>1441818</vt:i4>
      </vt:variant>
      <vt:variant>
        <vt:i4>66</vt:i4>
      </vt:variant>
      <vt:variant>
        <vt:i4>0</vt:i4>
      </vt:variant>
      <vt:variant>
        <vt:i4>5</vt:i4>
      </vt:variant>
      <vt:variant>
        <vt:lpwstr>https://data.bls.gov/timeseries/CES0500000008</vt:lpwstr>
      </vt:variant>
      <vt:variant>
        <vt:lpwstr/>
      </vt:variant>
      <vt:variant>
        <vt:i4>4522031</vt:i4>
      </vt:variant>
      <vt:variant>
        <vt:i4>63</vt:i4>
      </vt:variant>
      <vt:variant>
        <vt:i4>0</vt:i4>
      </vt:variant>
      <vt:variant>
        <vt:i4>5</vt:i4>
      </vt:variant>
      <vt:variant>
        <vt:lpwstr>mailto:edwin.anderson@usda.gov</vt:lpwstr>
      </vt:variant>
      <vt:variant>
        <vt:lpwstr/>
      </vt:variant>
      <vt:variant>
        <vt:i4>3014725</vt:i4>
      </vt:variant>
      <vt:variant>
        <vt:i4>60</vt:i4>
      </vt:variant>
      <vt:variant>
        <vt:i4>0</vt:i4>
      </vt:variant>
      <vt:variant>
        <vt:i4>5</vt:i4>
      </vt:variant>
      <vt:variant>
        <vt:lpwstr>mailto:anita.singh@usda.gov</vt:lpwstr>
      </vt:variant>
      <vt:variant>
        <vt:lpwstr/>
      </vt:variant>
      <vt:variant>
        <vt:i4>2490461</vt:i4>
      </vt:variant>
      <vt:variant>
        <vt:i4>57</vt:i4>
      </vt:variant>
      <vt:variant>
        <vt:i4>0</vt:i4>
      </vt:variant>
      <vt:variant>
        <vt:i4>5</vt:i4>
      </vt:variant>
      <vt:variant>
        <vt:lpwstr>mailto:ibrahim.keita@census.gov</vt:lpwstr>
      </vt:variant>
      <vt:variant>
        <vt:lpwstr/>
      </vt:variant>
      <vt:variant>
        <vt:i4>7143505</vt:i4>
      </vt:variant>
      <vt:variant>
        <vt:i4>54</vt:i4>
      </vt:variant>
      <vt:variant>
        <vt:i4>0</vt:i4>
      </vt:variant>
      <vt:variant>
        <vt:i4>5</vt:i4>
      </vt:variant>
      <vt:variant>
        <vt:lpwstr>../arteagai@missouri.edu</vt:lpwstr>
      </vt:variant>
      <vt:variant>
        <vt:lpwstr/>
      </vt:variant>
      <vt:variant>
        <vt:i4>655464</vt:i4>
      </vt:variant>
      <vt:variant>
        <vt:i4>51</vt:i4>
      </vt:variant>
      <vt:variant>
        <vt:i4>0</vt:i4>
      </vt:variant>
      <vt:variant>
        <vt:i4>5</vt:i4>
      </vt:variant>
      <vt:variant>
        <vt:lpwstr>mailto:parke.wilde@tufts.edu</vt:lpwstr>
      </vt:variant>
      <vt:variant>
        <vt:lpwstr/>
      </vt:variant>
      <vt:variant>
        <vt:i4>4128786</vt:i4>
      </vt:variant>
      <vt:variant>
        <vt:i4>48</vt:i4>
      </vt:variant>
      <vt:variant>
        <vt:i4>0</vt:i4>
      </vt:variant>
      <vt:variant>
        <vt:i4>5</vt:i4>
      </vt:variant>
      <vt:variant>
        <vt:lpwstr>mailto:kathleen.m.kephart@census.gov</vt:lpwstr>
      </vt:variant>
      <vt:variant>
        <vt:lpwstr/>
      </vt:variant>
      <vt:variant>
        <vt:i4>8060984</vt:i4>
      </vt:variant>
      <vt:variant>
        <vt:i4>45</vt:i4>
      </vt:variant>
      <vt:variant>
        <vt:i4>0</vt:i4>
      </vt:variant>
      <vt:variant>
        <vt:i4>5</vt:i4>
      </vt:variant>
      <vt:variant>
        <vt:lpwstr>https://www.ers.usda.gov/publications/pub-details/?pubid=45102</vt:lpwstr>
      </vt:variant>
      <vt:variant>
        <vt:lpwstr/>
      </vt:variant>
      <vt:variant>
        <vt:i4>8060977</vt:i4>
      </vt:variant>
      <vt:variant>
        <vt:i4>42</vt:i4>
      </vt:variant>
      <vt:variant>
        <vt:i4>0</vt:i4>
      </vt:variant>
      <vt:variant>
        <vt:i4>5</vt:i4>
      </vt:variant>
      <vt:variant>
        <vt:lpwstr>https://www.ers.usda.gov/publications/pub-details/?pubid=44083</vt:lpwstr>
      </vt:variant>
      <vt:variant>
        <vt:lpwstr/>
      </vt:variant>
      <vt:variant>
        <vt:i4>7733309</vt:i4>
      </vt:variant>
      <vt:variant>
        <vt:i4>39</vt:i4>
      </vt:variant>
      <vt:variant>
        <vt:i4>0</vt:i4>
      </vt:variant>
      <vt:variant>
        <vt:i4>5</vt:i4>
      </vt:variant>
      <vt:variant>
        <vt:lpwstr>https://www.ers.usda.gov/publications/pub-details/?pubid=84240</vt:lpwstr>
      </vt:variant>
      <vt:variant>
        <vt:lpwstr/>
      </vt:variant>
      <vt:variant>
        <vt:i4>7733305</vt:i4>
      </vt:variant>
      <vt:variant>
        <vt:i4>36</vt:i4>
      </vt:variant>
      <vt:variant>
        <vt:i4>0</vt:i4>
      </vt:variant>
      <vt:variant>
        <vt:i4>5</vt:i4>
      </vt:variant>
      <vt:variant>
        <vt:lpwstr>https://www.ers.usda.gov/publications/pub-details/?pubid=84002</vt:lpwstr>
      </vt:variant>
      <vt:variant>
        <vt:lpwstr/>
      </vt:variant>
      <vt:variant>
        <vt:i4>7995455</vt:i4>
      </vt:variant>
      <vt:variant>
        <vt:i4>33</vt:i4>
      </vt:variant>
      <vt:variant>
        <vt:i4>0</vt:i4>
      </vt:variant>
      <vt:variant>
        <vt:i4>5</vt:i4>
      </vt:variant>
      <vt:variant>
        <vt:lpwstr>https://www.ers.usda.gov/publications/pub-details/?pubid=101268</vt:lpwstr>
      </vt:variant>
      <vt:variant>
        <vt:lpwstr/>
      </vt:variant>
      <vt:variant>
        <vt:i4>5373952</vt:i4>
      </vt:variant>
      <vt:variant>
        <vt:i4>30</vt:i4>
      </vt:variant>
      <vt:variant>
        <vt:i4>0</vt:i4>
      </vt:variant>
      <vt:variant>
        <vt:i4>5</vt:i4>
      </vt:variant>
      <vt:variant>
        <vt:lpwstr>https://www.childstats.gov/americaschildren/eco4.asp</vt:lpwstr>
      </vt:variant>
      <vt:variant>
        <vt:lpwstr/>
      </vt:variant>
      <vt:variant>
        <vt:i4>4063281</vt:i4>
      </vt:variant>
      <vt:variant>
        <vt:i4>27</vt:i4>
      </vt:variant>
      <vt:variant>
        <vt:i4>0</vt:i4>
      </vt:variant>
      <vt:variant>
        <vt:i4>5</vt:i4>
      </vt:variant>
      <vt:variant>
        <vt:lpwstr>https://health.gov/healthypeople/objectives-and-data/browse-objectives/nutrition-and-healthy-eating</vt:lpwstr>
      </vt:variant>
      <vt:variant>
        <vt:lpwstr/>
      </vt:variant>
      <vt:variant>
        <vt:i4>131137</vt:i4>
      </vt:variant>
      <vt:variant>
        <vt:i4>24</vt:i4>
      </vt:variant>
      <vt:variant>
        <vt:i4>0</vt:i4>
      </vt:variant>
      <vt:variant>
        <vt:i4>5</vt:i4>
      </vt:variant>
      <vt:variant>
        <vt:lpwstr>https://www.usda.gov/sites/default/files/documents/usda-strategic-plan-2018-2022.pdf</vt:lpwstr>
      </vt:variant>
      <vt:variant>
        <vt:lpwstr/>
      </vt:variant>
      <vt:variant>
        <vt:i4>983057</vt:i4>
      </vt:variant>
      <vt:variant>
        <vt:i4>21</vt:i4>
      </vt:variant>
      <vt:variant>
        <vt:i4>0</vt:i4>
      </vt:variant>
      <vt:variant>
        <vt:i4>5</vt:i4>
      </vt:variant>
      <vt:variant>
        <vt:lpwstr>https://www.ers.usda.gov/topics/food-nutrition-assistance/food-security-in-the-us/interactive-charts-and-highlights/</vt:lpwstr>
      </vt:variant>
      <vt:variant>
        <vt:lpwstr/>
      </vt:variant>
      <vt:variant>
        <vt:i4>7995441</vt:i4>
      </vt:variant>
      <vt:variant>
        <vt:i4>18</vt:i4>
      </vt:variant>
      <vt:variant>
        <vt:i4>0</vt:i4>
      </vt:variant>
      <vt:variant>
        <vt:i4>5</vt:i4>
      </vt:variant>
      <vt:variant>
        <vt:lpwstr>https://www.ers.usda.gov/topics/food-nutrition-assistance/food-security-in-the-us/key-statistics-graphics/</vt:lpwstr>
      </vt:variant>
      <vt:variant>
        <vt:lpwstr/>
      </vt:variant>
      <vt:variant>
        <vt:i4>7864381</vt:i4>
      </vt:variant>
      <vt:variant>
        <vt:i4>15</vt:i4>
      </vt:variant>
      <vt:variant>
        <vt:i4>0</vt:i4>
      </vt:variant>
      <vt:variant>
        <vt:i4>5</vt:i4>
      </vt:variant>
      <vt:variant>
        <vt:lpwstr>https://www.ers.usda.gov/publications/pub-details/?pubid=102075</vt:lpwstr>
      </vt:variant>
      <vt:variant>
        <vt:lpwstr/>
      </vt:variant>
      <vt:variant>
        <vt:i4>8192035</vt:i4>
      </vt:variant>
      <vt:variant>
        <vt:i4>12</vt:i4>
      </vt:variant>
      <vt:variant>
        <vt:i4>0</vt:i4>
      </vt:variant>
      <vt:variant>
        <vt:i4>5</vt:i4>
      </vt:variant>
      <vt:variant>
        <vt:lpwstr>https://content.iospress.com/articles/journal-of-economic-and-social-measurement/jem443?resultNumber=1&amp;totalResults=91&amp;start=0&amp;q=Rabbitt&amp;resultsPageSize=10&amp;rows=10</vt:lpwstr>
      </vt:variant>
      <vt:variant>
        <vt:lpwstr/>
      </vt:variant>
      <vt:variant>
        <vt:i4>7209002</vt:i4>
      </vt:variant>
      <vt:variant>
        <vt:i4>9</vt:i4>
      </vt:variant>
      <vt:variant>
        <vt:i4>0</vt:i4>
      </vt:variant>
      <vt:variant>
        <vt:i4>5</vt:i4>
      </vt:variant>
      <vt:variant>
        <vt:lpwstr>https://www.ers.usda.gov/topics/food-nutrition-assistance/food-security-in-the-us/survey-tools/</vt:lpwstr>
      </vt:variant>
      <vt:variant>
        <vt:lpwstr>technical</vt:lpwstr>
      </vt:variant>
      <vt:variant>
        <vt:i4>786514</vt:i4>
      </vt:variant>
      <vt:variant>
        <vt:i4>6</vt:i4>
      </vt:variant>
      <vt:variant>
        <vt:i4>0</vt:i4>
      </vt:variant>
      <vt:variant>
        <vt:i4>5</vt:i4>
      </vt:variant>
      <vt:variant>
        <vt:lpwstr>https://www.ers.usda.gov/media/nhelklzj/economic-research-service-strategic-plan-fy-2021-2025.pdf</vt:lpwstr>
      </vt:variant>
      <vt:variant>
        <vt:lpwstr/>
      </vt:variant>
      <vt:variant>
        <vt:i4>7209004</vt:i4>
      </vt:variant>
      <vt:variant>
        <vt:i4>3</vt:i4>
      </vt:variant>
      <vt:variant>
        <vt:i4>0</vt:i4>
      </vt:variant>
      <vt:variant>
        <vt:i4>5</vt:i4>
      </vt:variant>
      <vt:variant>
        <vt:lpwstr>https://www.congress.gov/115/bills/hr2/BILLS-115hr2enr.pdf</vt:lpwstr>
      </vt:variant>
      <vt:variant>
        <vt:lpwstr/>
      </vt:variant>
      <vt:variant>
        <vt:i4>131137</vt:i4>
      </vt:variant>
      <vt:variant>
        <vt:i4>0</vt:i4>
      </vt:variant>
      <vt:variant>
        <vt:i4>0</vt:i4>
      </vt:variant>
      <vt:variant>
        <vt:i4>5</vt:i4>
      </vt:variant>
      <vt:variant>
        <vt:lpwstr>https://www.usda.gov/sites/default/files/documents/usda-strategic-plan-2018-2022.pdf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Andrews</dc:creator>
  <cp:keywords/>
  <cp:lastModifiedBy>Weidman, Pheny - REE-ERS, Washington, DC</cp:lastModifiedBy>
  <cp:revision>3</cp:revision>
  <cp:lastPrinted>2015-09-28T20:01:00Z</cp:lastPrinted>
  <dcterms:created xsi:type="dcterms:W3CDTF">2022-01-23T01:24:00Z</dcterms:created>
  <dcterms:modified xsi:type="dcterms:W3CDTF">2022-01-23T01:25:00Z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