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52547" w:rsidR="0089596D" w:rsidP="0089596D" w:rsidRDefault="006F25C8" w14:paraId="1B7FE80C" w14:textId="0324F767">
      <w:pPr>
        <w:ind w:left="2880"/>
        <w:jc w:val="right"/>
        <w:rPr>
          <w:rFonts w:ascii="Times New Roman" w:hAnsi="Times New Roman"/>
          <w:sz w:val="24"/>
          <w:szCs w:val="24"/>
        </w:rPr>
      </w:pPr>
      <w:r>
        <w:rPr>
          <w:rFonts w:ascii="Times New Roman" w:hAnsi="Times New Roman"/>
          <w:sz w:val="24"/>
          <w:szCs w:val="24"/>
        </w:rPr>
        <w:t xml:space="preserve">July </w:t>
      </w:r>
      <w:r w:rsidR="0089596D">
        <w:rPr>
          <w:rFonts w:ascii="Times New Roman" w:hAnsi="Times New Roman"/>
          <w:sz w:val="24"/>
          <w:szCs w:val="24"/>
        </w:rPr>
        <w:t>20</w:t>
      </w:r>
      <w:r w:rsidR="0027289B">
        <w:rPr>
          <w:rFonts w:ascii="Times New Roman" w:hAnsi="Times New Roman"/>
          <w:sz w:val="24"/>
          <w:szCs w:val="24"/>
        </w:rPr>
        <w:t>22</w:t>
      </w:r>
    </w:p>
    <w:p w:rsidRPr="00552547" w:rsidR="0089596D" w:rsidP="0089596D" w:rsidRDefault="0089596D" w14:paraId="14F5E67C" w14:textId="77777777">
      <w:pPr>
        <w:ind w:left="2880"/>
        <w:jc w:val="right"/>
        <w:rPr>
          <w:rFonts w:ascii="Times New Roman" w:hAnsi="Times New Roman"/>
          <w:sz w:val="24"/>
          <w:szCs w:val="24"/>
        </w:rPr>
      </w:pPr>
    </w:p>
    <w:p w:rsidRPr="00552547" w:rsidR="0089596D" w:rsidP="0089596D" w:rsidRDefault="0089596D" w14:paraId="3897D985" w14:textId="77777777">
      <w:pPr>
        <w:jc w:val="center"/>
        <w:rPr>
          <w:rFonts w:ascii="Times New Roman" w:hAnsi="Times New Roman"/>
          <w:sz w:val="24"/>
          <w:szCs w:val="24"/>
        </w:rPr>
      </w:pPr>
      <w:r w:rsidRPr="00552547">
        <w:rPr>
          <w:rFonts w:ascii="Times New Roman" w:hAnsi="Times New Roman"/>
          <w:sz w:val="24"/>
          <w:szCs w:val="24"/>
        </w:rPr>
        <w:t>SUPPORTING STATEMENT</w:t>
      </w:r>
    </w:p>
    <w:p w:rsidRPr="00552547" w:rsidR="0089596D" w:rsidP="0089596D" w:rsidRDefault="0089596D" w14:paraId="34809F2E" w14:textId="77777777">
      <w:pPr>
        <w:jc w:val="center"/>
        <w:rPr>
          <w:rFonts w:ascii="Times New Roman" w:hAnsi="Times New Roman"/>
          <w:sz w:val="24"/>
          <w:szCs w:val="24"/>
        </w:rPr>
      </w:pPr>
      <w:r w:rsidRPr="00552547">
        <w:rPr>
          <w:rFonts w:ascii="Times New Roman" w:hAnsi="Times New Roman"/>
          <w:sz w:val="24"/>
          <w:szCs w:val="24"/>
        </w:rPr>
        <w:t>Biorefinery, Renewable Chemical, and Biobased Product Manufacturing Assistance Program</w:t>
      </w:r>
    </w:p>
    <w:p w:rsidRPr="00552547" w:rsidR="0089596D" w:rsidP="0089596D" w:rsidRDefault="0027289B" w14:paraId="456775B6" w14:textId="77777777">
      <w:pPr>
        <w:jc w:val="center"/>
        <w:rPr>
          <w:rFonts w:ascii="Times New Roman" w:hAnsi="Times New Roman"/>
          <w:sz w:val="24"/>
          <w:szCs w:val="24"/>
        </w:rPr>
      </w:pPr>
      <w:r>
        <w:rPr>
          <w:rFonts w:ascii="Times New Roman" w:hAnsi="Times New Roman"/>
          <w:sz w:val="24"/>
          <w:szCs w:val="24"/>
        </w:rPr>
        <w:t xml:space="preserve">OMB Control No. </w:t>
      </w:r>
      <w:r w:rsidR="0089596D">
        <w:rPr>
          <w:rFonts w:ascii="Times New Roman" w:hAnsi="Times New Roman"/>
          <w:sz w:val="24"/>
          <w:szCs w:val="24"/>
        </w:rPr>
        <w:t xml:space="preserve">0570-0065 </w:t>
      </w:r>
    </w:p>
    <w:p w:rsidRPr="00552547" w:rsidR="0089596D" w:rsidP="0089596D" w:rsidRDefault="0089596D" w14:paraId="2D1BA454" w14:textId="77777777">
      <w:pPr>
        <w:jc w:val="center"/>
        <w:rPr>
          <w:rFonts w:ascii="Times New Roman" w:hAnsi="Times New Roman"/>
          <w:sz w:val="24"/>
          <w:szCs w:val="24"/>
        </w:rPr>
      </w:pPr>
    </w:p>
    <w:p w:rsidRPr="00552547" w:rsidR="0089596D" w:rsidP="0089596D" w:rsidRDefault="0089596D" w14:paraId="187C02DC" w14:textId="77777777">
      <w:pPr>
        <w:rPr>
          <w:rFonts w:ascii="Times New Roman" w:hAnsi="Times New Roman"/>
          <w:sz w:val="24"/>
          <w:szCs w:val="24"/>
        </w:rPr>
      </w:pPr>
      <w:r w:rsidRPr="00552547">
        <w:rPr>
          <w:rFonts w:ascii="Times New Roman" w:hAnsi="Times New Roman"/>
          <w:sz w:val="24"/>
          <w:szCs w:val="24"/>
        </w:rPr>
        <w:t xml:space="preserve">A.  </w:t>
      </w:r>
      <w:r w:rsidRPr="00552547">
        <w:rPr>
          <w:rFonts w:ascii="Times New Roman" w:hAnsi="Times New Roman"/>
          <w:sz w:val="24"/>
          <w:szCs w:val="24"/>
          <w:u w:val="single"/>
        </w:rPr>
        <w:t>Justification</w:t>
      </w:r>
    </w:p>
    <w:p w:rsidRPr="00552547" w:rsidR="0089596D" w:rsidP="0089596D" w:rsidRDefault="0089596D" w14:paraId="68866B51" w14:textId="77777777">
      <w:pPr>
        <w:rPr>
          <w:rFonts w:ascii="Times New Roman" w:hAnsi="Times New Roman"/>
          <w:sz w:val="24"/>
          <w:szCs w:val="24"/>
        </w:rPr>
      </w:pPr>
    </w:p>
    <w:p w:rsidRPr="00552547" w:rsidR="0089596D" w:rsidP="0089596D" w:rsidRDefault="0089596D" w14:paraId="07CFE183" w14:textId="77777777">
      <w:pPr>
        <w:tabs>
          <w:tab w:val="left" w:pos="360"/>
        </w:tabs>
        <w:rPr>
          <w:rFonts w:ascii="Times New Roman" w:hAnsi="Times New Roman"/>
          <w:sz w:val="24"/>
          <w:szCs w:val="24"/>
        </w:rPr>
      </w:pPr>
      <w:r w:rsidRPr="00552547">
        <w:rPr>
          <w:rFonts w:ascii="Times New Roman" w:hAnsi="Times New Roman"/>
          <w:sz w:val="24"/>
          <w:szCs w:val="24"/>
        </w:rPr>
        <w:t>1.</w:t>
      </w:r>
      <w:r w:rsidRPr="00552547">
        <w:rPr>
          <w:rFonts w:ascii="Times New Roman" w:hAnsi="Times New Roman"/>
          <w:sz w:val="24"/>
          <w:szCs w:val="24"/>
        </w:rPr>
        <w:tab/>
      </w:r>
      <w:r w:rsidRPr="00552547">
        <w:rPr>
          <w:rFonts w:ascii="Times New Roman" w:hAnsi="Times New Roman"/>
          <w:sz w:val="24"/>
          <w:szCs w:val="24"/>
          <w:u w:val="single"/>
        </w:rPr>
        <w:t>Explain the circumstances that make the collection of information necessary.</w:t>
      </w:r>
      <w:r w:rsidRPr="00552547">
        <w:rPr>
          <w:rFonts w:ascii="Times New Roman" w:hAnsi="Times New Roman"/>
          <w:sz w:val="24"/>
          <w:szCs w:val="24"/>
        </w:rPr>
        <w:t xml:space="preserve">   </w:t>
      </w:r>
    </w:p>
    <w:p w:rsidRPr="001C7035" w:rsidR="0089596D" w:rsidP="0089596D" w:rsidRDefault="0089596D" w14:paraId="4D0B2552" w14:textId="77777777">
      <w:pPr>
        <w:rPr>
          <w:rFonts w:ascii="Times New Roman" w:hAnsi="Times New Roman"/>
          <w:sz w:val="24"/>
          <w:szCs w:val="24"/>
        </w:rPr>
      </w:pPr>
    </w:p>
    <w:p w:rsidRPr="001C7035" w:rsidR="001C7035" w:rsidP="0089596D" w:rsidRDefault="001C7035" w14:paraId="3FA3A69C" w14:textId="77777777">
      <w:pPr>
        <w:rPr>
          <w:rFonts w:ascii="Times New Roman" w:hAnsi="Times New Roman"/>
          <w:sz w:val="24"/>
          <w:szCs w:val="24"/>
        </w:rPr>
      </w:pPr>
      <w:r w:rsidRPr="004C4D99">
        <w:rPr>
          <w:rFonts w:ascii="Times New Roman" w:hAnsi="Times New Roman"/>
          <w:sz w:val="24"/>
          <w:szCs w:val="24"/>
        </w:rPr>
        <w:t xml:space="preserve">This is a request for revision of a currently approved information collection package. The Rural </w:t>
      </w:r>
      <w:r w:rsidR="004C4D99">
        <w:rPr>
          <w:rFonts w:ascii="Times New Roman" w:hAnsi="Times New Roman"/>
          <w:sz w:val="24"/>
          <w:szCs w:val="24"/>
        </w:rPr>
        <w:t xml:space="preserve">Business-Cooperative </w:t>
      </w:r>
      <w:r w:rsidRPr="004C4D99">
        <w:rPr>
          <w:rFonts w:ascii="Times New Roman" w:hAnsi="Times New Roman"/>
          <w:sz w:val="24"/>
          <w:szCs w:val="24"/>
        </w:rPr>
        <w:t>Service (R</w:t>
      </w:r>
      <w:r w:rsidR="004C4D99">
        <w:rPr>
          <w:rFonts w:ascii="Times New Roman" w:hAnsi="Times New Roman"/>
          <w:sz w:val="24"/>
          <w:szCs w:val="24"/>
        </w:rPr>
        <w:t>BCS</w:t>
      </w:r>
      <w:r w:rsidRPr="004C4D99">
        <w:rPr>
          <w:rFonts w:ascii="Times New Roman" w:hAnsi="Times New Roman"/>
          <w:sz w:val="24"/>
          <w:szCs w:val="24"/>
        </w:rPr>
        <w:t xml:space="preserve"> or the Agency) is a</w:t>
      </w:r>
      <w:r w:rsidR="004C4D99">
        <w:rPr>
          <w:rFonts w:ascii="Times New Roman" w:hAnsi="Times New Roman"/>
          <w:sz w:val="24"/>
          <w:szCs w:val="24"/>
        </w:rPr>
        <w:t xml:space="preserve"> Rural Development </w:t>
      </w:r>
      <w:r w:rsidRPr="004C4D99">
        <w:rPr>
          <w:rFonts w:ascii="Times New Roman" w:hAnsi="Times New Roman"/>
          <w:sz w:val="24"/>
          <w:szCs w:val="24"/>
        </w:rPr>
        <w:t>agency of the U.S. Department of Agriculture</w:t>
      </w:r>
      <w:r w:rsidR="004C4D99">
        <w:rPr>
          <w:rFonts w:ascii="Times New Roman" w:hAnsi="Times New Roman"/>
          <w:sz w:val="24"/>
          <w:szCs w:val="24"/>
        </w:rPr>
        <w:t xml:space="preserve"> and administers The </w:t>
      </w:r>
      <w:r w:rsidRPr="00552547" w:rsidR="004C4D99">
        <w:rPr>
          <w:rFonts w:ascii="Times New Roman" w:hAnsi="Times New Roman"/>
          <w:sz w:val="24"/>
          <w:szCs w:val="24"/>
        </w:rPr>
        <w:t>Biorefinery, Renewable Chemical, and Biobased Product Manufacturing Assistance Program</w:t>
      </w:r>
      <w:r w:rsidR="004C4D99">
        <w:rPr>
          <w:rFonts w:ascii="Times New Roman" w:hAnsi="Times New Roman"/>
          <w:sz w:val="24"/>
          <w:szCs w:val="24"/>
        </w:rPr>
        <w:t xml:space="preserve"> (Program).</w:t>
      </w:r>
    </w:p>
    <w:p w:rsidRPr="00552547" w:rsidR="001C7035" w:rsidP="0089596D" w:rsidRDefault="001C7035" w14:paraId="043B9720" w14:textId="77777777">
      <w:pPr>
        <w:rPr>
          <w:rFonts w:ascii="Times New Roman" w:hAnsi="Times New Roman"/>
          <w:sz w:val="24"/>
          <w:szCs w:val="24"/>
        </w:rPr>
      </w:pPr>
    </w:p>
    <w:p w:rsidRPr="00552547" w:rsidR="0089596D" w:rsidP="008705FF" w:rsidRDefault="0089596D" w14:paraId="7D21620A" w14:textId="77777777">
      <w:pPr>
        <w:rPr>
          <w:rFonts w:ascii="Times New Roman" w:hAnsi="Times New Roman"/>
          <w:sz w:val="24"/>
          <w:szCs w:val="24"/>
        </w:rPr>
      </w:pPr>
      <w:r w:rsidRPr="00552547">
        <w:rPr>
          <w:rFonts w:ascii="Times New Roman" w:hAnsi="Times New Roman"/>
          <w:sz w:val="24"/>
          <w:szCs w:val="24"/>
        </w:rPr>
        <w:t xml:space="preserve">The Program was </w:t>
      </w:r>
      <w:r w:rsidR="0027289B">
        <w:rPr>
          <w:rFonts w:ascii="Times New Roman" w:hAnsi="Times New Roman"/>
          <w:sz w:val="24"/>
          <w:szCs w:val="24"/>
        </w:rPr>
        <w:t xml:space="preserve">established </w:t>
      </w:r>
      <w:r w:rsidRPr="00552547">
        <w:rPr>
          <w:rFonts w:ascii="Times New Roman" w:hAnsi="Times New Roman"/>
          <w:sz w:val="24"/>
          <w:szCs w:val="24"/>
        </w:rPr>
        <w:t>under Section 9003 of the 2008 Farm Bill</w:t>
      </w:r>
      <w:r w:rsidR="004C4D99">
        <w:rPr>
          <w:rFonts w:ascii="Times New Roman" w:hAnsi="Times New Roman"/>
          <w:sz w:val="24"/>
          <w:szCs w:val="24"/>
        </w:rPr>
        <w:t xml:space="preserve"> and</w:t>
      </w:r>
      <w:r w:rsidRPr="00552547">
        <w:rPr>
          <w:rFonts w:ascii="Times New Roman" w:hAnsi="Times New Roman"/>
          <w:sz w:val="24"/>
          <w:szCs w:val="24"/>
        </w:rPr>
        <w:t xml:space="preserve"> assists in the development, construction, and retrofitting of new and emerging technologies for the development of advanced biofuels by providing loan guarantees of up to $250 million.  </w:t>
      </w:r>
      <w:r w:rsidR="0027289B">
        <w:rPr>
          <w:rFonts w:ascii="Times New Roman" w:hAnsi="Times New Roman"/>
          <w:sz w:val="24"/>
          <w:szCs w:val="24"/>
        </w:rPr>
        <w:t>The Program</w:t>
      </w:r>
      <w:r w:rsidR="008705FF">
        <w:rPr>
          <w:rFonts w:ascii="Times New Roman" w:hAnsi="Times New Roman"/>
          <w:sz w:val="24"/>
          <w:szCs w:val="24"/>
        </w:rPr>
        <w:t>’s authority</w:t>
      </w:r>
      <w:r w:rsidR="0027289B">
        <w:rPr>
          <w:rFonts w:ascii="Times New Roman" w:hAnsi="Times New Roman"/>
          <w:sz w:val="24"/>
          <w:szCs w:val="24"/>
        </w:rPr>
        <w:t xml:space="preserve"> was </w:t>
      </w:r>
      <w:r w:rsidR="008705FF">
        <w:rPr>
          <w:rFonts w:ascii="Times New Roman" w:hAnsi="Times New Roman"/>
          <w:sz w:val="24"/>
          <w:szCs w:val="24"/>
        </w:rPr>
        <w:t xml:space="preserve">continued in the </w:t>
      </w:r>
      <w:r w:rsidRPr="00552547">
        <w:rPr>
          <w:rFonts w:ascii="Times New Roman" w:hAnsi="Times New Roman"/>
          <w:sz w:val="24"/>
          <w:szCs w:val="24"/>
        </w:rPr>
        <w:t>Agricultural Act</w:t>
      </w:r>
      <w:r w:rsidR="008705FF">
        <w:rPr>
          <w:rFonts w:ascii="Times New Roman" w:hAnsi="Times New Roman"/>
          <w:sz w:val="24"/>
          <w:szCs w:val="24"/>
        </w:rPr>
        <w:t>s</w:t>
      </w:r>
      <w:r w:rsidRPr="00552547">
        <w:rPr>
          <w:rFonts w:ascii="Times New Roman" w:hAnsi="Times New Roman"/>
          <w:sz w:val="24"/>
          <w:szCs w:val="24"/>
        </w:rPr>
        <w:t xml:space="preserve"> o</w:t>
      </w:r>
      <w:r>
        <w:rPr>
          <w:rFonts w:ascii="Times New Roman" w:hAnsi="Times New Roman"/>
          <w:sz w:val="24"/>
          <w:szCs w:val="24"/>
        </w:rPr>
        <w:t xml:space="preserve">f 2014 </w:t>
      </w:r>
      <w:r w:rsidR="008705FF">
        <w:rPr>
          <w:rFonts w:ascii="Times New Roman" w:hAnsi="Times New Roman"/>
          <w:sz w:val="24"/>
          <w:szCs w:val="24"/>
        </w:rPr>
        <w:t xml:space="preserve">and 2018. </w:t>
      </w:r>
    </w:p>
    <w:p w:rsidRPr="00552547" w:rsidR="0089596D" w:rsidP="0089596D" w:rsidRDefault="0089596D" w14:paraId="04BB1B6A" w14:textId="77777777">
      <w:pPr>
        <w:pStyle w:val="NormalWeb"/>
        <w:spacing w:before="0" w:beforeAutospacing="0" w:after="0" w:afterAutospacing="0"/>
      </w:pPr>
    </w:p>
    <w:p w:rsidRPr="0089596D" w:rsidR="002F255F" w:rsidP="0089596D" w:rsidRDefault="0089596D" w14:paraId="191755B3" w14:textId="77777777">
      <w:pPr>
        <w:rPr>
          <w:rFonts w:ascii="Times New Roman" w:hAnsi="Times New Roman"/>
          <w:sz w:val="24"/>
          <w:szCs w:val="24"/>
        </w:rPr>
      </w:pPr>
      <w:r w:rsidRPr="0089596D">
        <w:rPr>
          <w:rFonts w:ascii="Times New Roman" w:hAnsi="Times New Roman"/>
          <w:sz w:val="24"/>
          <w:szCs w:val="24"/>
        </w:rPr>
        <w:t>This collection of information is necessary for Rural Development to identify projects eligible for loan guarantees under the Program.  In accordance with the Paperwork Reduction Act of 1995 (P.L. 104-13, 44 U.S.C. Chapter 35), Rural Development is submitting this information collection package to the Office of Management and Budget (OMB) for review and clearance.</w:t>
      </w:r>
    </w:p>
    <w:p w:rsidR="002F255F" w:rsidRDefault="002F255F" w14:paraId="2F3F839A" w14:textId="77777777">
      <w:pPr>
        <w:rPr>
          <w:rFonts w:ascii="Times New Roman" w:hAnsi="Times New Roman"/>
          <w:sz w:val="24"/>
          <w:szCs w:val="24"/>
        </w:rPr>
      </w:pPr>
    </w:p>
    <w:p w:rsidRPr="00552547" w:rsidR="00245D8A" w:rsidRDefault="00245D8A" w14:paraId="32A8810A" w14:textId="77777777">
      <w:pPr>
        <w:rPr>
          <w:rFonts w:ascii="Times New Roman" w:hAnsi="Times New Roman"/>
          <w:sz w:val="24"/>
          <w:szCs w:val="24"/>
        </w:rPr>
      </w:pPr>
    </w:p>
    <w:p w:rsidRPr="00552547" w:rsidR="005F3978" w:rsidP="006B7F5A" w:rsidRDefault="002F255F" w14:paraId="056B2B29" w14:textId="77777777">
      <w:pPr>
        <w:tabs>
          <w:tab w:val="left" w:pos="360"/>
        </w:tabs>
        <w:rPr>
          <w:rFonts w:ascii="Times New Roman" w:hAnsi="Times New Roman"/>
          <w:sz w:val="24"/>
          <w:szCs w:val="24"/>
        </w:rPr>
      </w:pPr>
      <w:r w:rsidRPr="00552547">
        <w:rPr>
          <w:rFonts w:ascii="Times New Roman" w:hAnsi="Times New Roman"/>
          <w:sz w:val="24"/>
          <w:szCs w:val="24"/>
        </w:rPr>
        <w:t>2.</w:t>
      </w:r>
      <w:r w:rsidRPr="00552547">
        <w:rPr>
          <w:rFonts w:ascii="Times New Roman" w:hAnsi="Times New Roman"/>
          <w:sz w:val="24"/>
          <w:szCs w:val="24"/>
        </w:rPr>
        <w:tab/>
      </w:r>
      <w:r w:rsidRPr="00552547" w:rsidR="005F3978">
        <w:rPr>
          <w:rFonts w:ascii="Times New Roman" w:hAnsi="Times New Roman"/>
          <w:sz w:val="24"/>
          <w:szCs w:val="24"/>
          <w:u w:val="single"/>
        </w:rPr>
        <w:t>Explain how, by whom, and for what purpose the information is to be used</w:t>
      </w:r>
      <w:r w:rsidRPr="00552547" w:rsidR="005F3978">
        <w:rPr>
          <w:rFonts w:ascii="Times New Roman" w:hAnsi="Times New Roman"/>
          <w:sz w:val="24"/>
          <w:szCs w:val="24"/>
        </w:rPr>
        <w:t>.</w:t>
      </w:r>
    </w:p>
    <w:p w:rsidRPr="00552547" w:rsidR="005F3978" w:rsidP="005F3978" w:rsidRDefault="005F3978" w14:paraId="7B638527" w14:textId="77777777">
      <w:pPr>
        <w:tabs>
          <w:tab w:val="left" w:pos="0"/>
          <w:tab w:val="left" w:pos="2160"/>
          <w:tab w:val="left" w:pos="4320"/>
          <w:tab w:val="left" w:pos="6480"/>
          <w:tab w:val="left" w:pos="8640"/>
        </w:tabs>
        <w:suppressAutoHyphens/>
        <w:rPr>
          <w:rFonts w:ascii="Times New Roman" w:hAnsi="Times New Roman"/>
          <w:sz w:val="24"/>
          <w:szCs w:val="24"/>
        </w:rPr>
      </w:pPr>
    </w:p>
    <w:p w:rsidRPr="004F0931" w:rsidR="005177AA" w:rsidP="00C3448E" w:rsidRDefault="00352852" w14:paraId="33F83164" w14:textId="77777777">
      <w:pPr>
        <w:rPr>
          <w:rFonts w:ascii="Times New Roman" w:hAnsi="Times New Roman"/>
          <w:sz w:val="24"/>
          <w:szCs w:val="24"/>
        </w:rPr>
      </w:pPr>
      <w:r>
        <w:rPr>
          <w:rFonts w:ascii="Times New Roman" w:hAnsi="Times New Roman"/>
          <w:sz w:val="24"/>
          <w:szCs w:val="24"/>
        </w:rPr>
        <w:t xml:space="preserve">Each loan guarantee request must conform to the regulations governing the program, 7 CFR </w:t>
      </w:r>
      <w:r w:rsidR="001C7035">
        <w:rPr>
          <w:rFonts w:ascii="Times New Roman" w:hAnsi="Times New Roman"/>
          <w:sz w:val="24"/>
          <w:szCs w:val="24"/>
        </w:rPr>
        <w:t xml:space="preserve">parts </w:t>
      </w:r>
      <w:r>
        <w:rPr>
          <w:rFonts w:ascii="Times New Roman" w:hAnsi="Times New Roman"/>
          <w:sz w:val="24"/>
          <w:szCs w:val="24"/>
        </w:rPr>
        <w:t xml:space="preserve">4279 subpart C and </w:t>
      </w:r>
      <w:r w:rsidR="001C7035">
        <w:rPr>
          <w:rFonts w:ascii="Times New Roman" w:hAnsi="Times New Roman"/>
          <w:sz w:val="24"/>
          <w:szCs w:val="24"/>
        </w:rPr>
        <w:t>4287 subpart D.</w:t>
      </w:r>
      <w:r>
        <w:rPr>
          <w:rFonts w:ascii="Times New Roman" w:hAnsi="Times New Roman"/>
          <w:sz w:val="24"/>
          <w:szCs w:val="24"/>
        </w:rPr>
        <w:t xml:space="preserve">  T</w:t>
      </w:r>
      <w:r w:rsidRPr="001B4F23">
        <w:rPr>
          <w:rFonts w:ascii="Times New Roman" w:hAnsi="Times New Roman"/>
          <w:sz w:val="24"/>
          <w:szCs w:val="24"/>
        </w:rPr>
        <w:t>he Agency has developed an application guide that explains the application procedures and details the process for submission of an application</w:t>
      </w:r>
      <w:r>
        <w:rPr>
          <w:rFonts w:ascii="Times New Roman" w:hAnsi="Times New Roman"/>
          <w:sz w:val="24"/>
          <w:szCs w:val="24"/>
        </w:rPr>
        <w:t xml:space="preserve"> in accordance with the regulation</w:t>
      </w:r>
      <w:r w:rsidR="001C7035">
        <w:rPr>
          <w:rFonts w:ascii="Times New Roman" w:hAnsi="Times New Roman"/>
          <w:sz w:val="24"/>
          <w:szCs w:val="24"/>
        </w:rPr>
        <w:t>s</w:t>
      </w:r>
      <w:r w:rsidRPr="001B4F23">
        <w:rPr>
          <w:rFonts w:ascii="Times New Roman" w:hAnsi="Times New Roman"/>
          <w:sz w:val="24"/>
          <w:szCs w:val="24"/>
        </w:rPr>
        <w:t>.</w:t>
      </w:r>
      <w:r w:rsidR="001C7035">
        <w:rPr>
          <w:rFonts w:ascii="Times New Roman" w:hAnsi="Times New Roman"/>
          <w:sz w:val="24"/>
          <w:szCs w:val="24"/>
        </w:rPr>
        <w:t xml:space="preserve">  </w:t>
      </w:r>
      <w:r w:rsidRPr="00552547" w:rsidR="005F3978">
        <w:rPr>
          <w:rFonts w:ascii="Times New Roman" w:hAnsi="Times New Roman"/>
          <w:sz w:val="24"/>
          <w:szCs w:val="24"/>
        </w:rPr>
        <w:t xml:space="preserve">The Agency will use </w:t>
      </w:r>
      <w:r w:rsidR="001C7035">
        <w:rPr>
          <w:rFonts w:ascii="Times New Roman" w:hAnsi="Times New Roman"/>
          <w:sz w:val="24"/>
          <w:szCs w:val="24"/>
        </w:rPr>
        <w:t xml:space="preserve">the </w:t>
      </w:r>
      <w:r w:rsidRPr="00552547" w:rsidR="005F3978">
        <w:rPr>
          <w:rFonts w:ascii="Times New Roman" w:hAnsi="Times New Roman"/>
          <w:sz w:val="24"/>
          <w:szCs w:val="24"/>
        </w:rPr>
        <w:t xml:space="preserve">RD 4279-1 </w:t>
      </w:r>
      <w:r w:rsidR="001C7035">
        <w:rPr>
          <w:rFonts w:ascii="Times New Roman" w:hAnsi="Times New Roman"/>
          <w:sz w:val="24"/>
          <w:szCs w:val="24"/>
        </w:rPr>
        <w:t xml:space="preserve">form </w:t>
      </w:r>
      <w:r w:rsidRPr="00552547" w:rsidR="005F3978">
        <w:rPr>
          <w:rFonts w:ascii="Times New Roman" w:hAnsi="Times New Roman"/>
          <w:sz w:val="24"/>
          <w:szCs w:val="24"/>
        </w:rPr>
        <w:t>and written evidence to collect information</w:t>
      </w:r>
      <w:r w:rsidR="00981F39">
        <w:rPr>
          <w:rFonts w:ascii="Times New Roman" w:hAnsi="Times New Roman"/>
          <w:sz w:val="24"/>
          <w:szCs w:val="24"/>
        </w:rPr>
        <w:t xml:space="preserve"> </w:t>
      </w:r>
      <w:r w:rsidRPr="00552547" w:rsidR="005F3978">
        <w:rPr>
          <w:rFonts w:ascii="Times New Roman" w:hAnsi="Times New Roman"/>
          <w:sz w:val="24"/>
          <w:szCs w:val="24"/>
        </w:rPr>
        <w:t>to determine lender</w:t>
      </w:r>
      <w:r w:rsidR="00981F39">
        <w:rPr>
          <w:rFonts w:ascii="Times New Roman" w:hAnsi="Times New Roman"/>
          <w:sz w:val="24"/>
          <w:szCs w:val="24"/>
        </w:rPr>
        <w:t>,</w:t>
      </w:r>
      <w:r w:rsidRPr="00552547" w:rsidR="005F3978">
        <w:rPr>
          <w:rFonts w:ascii="Times New Roman" w:hAnsi="Times New Roman"/>
          <w:sz w:val="24"/>
          <w:szCs w:val="24"/>
        </w:rPr>
        <w:t xml:space="preserve"> borrower</w:t>
      </w:r>
      <w:r w:rsidR="00981F39">
        <w:rPr>
          <w:rFonts w:ascii="Times New Roman" w:hAnsi="Times New Roman"/>
          <w:sz w:val="24"/>
          <w:szCs w:val="24"/>
        </w:rPr>
        <w:t>, and project</w:t>
      </w:r>
      <w:r w:rsidRPr="00552547" w:rsidR="005F3978">
        <w:rPr>
          <w:rFonts w:ascii="Times New Roman" w:hAnsi="Times New Roman"/>
          <w:sz w:val="24"/>
          <w:szCs w:val="24"/>
        </w:rPr>
        <w:t xml:space="preserve"> eligibility</w:t>
      </w:r>
      <w:r w:rsidR="00981F39">
        <w:rPr>
          <w:rFonts w:ascii="Times New Roman" w:hAnsi="Times New Roman"/>
          <w:sz w:val="24"/>
          <w:szCs w:val="24"/>
        </w:rPr>
        <w:t xml:space="preserve">.  </w:t>
      </w:r>
      <w:r w:rsidRPr="004F0931" w:rsidR="005177AA">
        <w:rPr>
          <w:rFonts w:ascii="Times New Roman" w:hAnsi="Times New Roman"/>
          <w:sz w:val="24"/>
          <w:szCs w:val="24"/>
        </w:rPr>
        <w:t>The specific information requirements related to loan applications include reporting of:</w:t>
      </w:r>
    </w:p>
    <w:p w:rsidRPr="003E7E09" w:rsidR="005177AA" w:rsidP="005177AA" w:rsidRDefault="005177AA" w14:paraId="538B857F" w14:textId="77777777">
      <w:pPr>
        <w:rPr>
          <w:rFonts w:ascii="Times New Roman" w:hAnsi="Times New Roman"/>
          <w:sz w:val="24"/>
          <w:szCs w:val="24"/>
        </w:rPr>
      </w:pPr>
      <w:r w:rsidRPr="004F0931">
        <w:rPr>
          <w:rFonts w:ascii="Times New Roman" w:hAnsi="Times New Roman"/>
          <w:sz w:val="24"/>
          <w:szCs w:val="24"/>
        </w:rPr>
        <w:tab/>
      </w:r>
    </w:p>
    <w:p w:rsidRPr="003E7E09" w:rsidR="005177AA" w:rsidP="005177AA" w:rsidRDefault="005177AA" w14:paraId="2A8D2D82" w14:textId="77777777">
      <w:pPr>
        <w:rPr>
          <w:rFonts w:ascii="Times New Roman" w:hAnsi="Times New Roman"/>
          <w:sz w:val="24"/>
          <w:szCs w:val="24"/>
        </w:rPr>
      </w:pPr>
      <w:r w:rsidRPr="003E7E09">
        <w:rPr>
          <w:rFonts w:ascii="Times New Roman" w:hAnsi="Times New Roman"/>
          <w:sz w:val="24"/>
          <w:szCs w:val="24"/>
        </w:rPr>
        <w:tab/>
        <w:t>Appeals</w:t>
      </w:r>
    </w:p>
    <w:p w:rsidRPr="003E7E09" w:rsidR="005177AA" w:rsidP="005177AA" w:rsidRDefault="005177AA" w14:paraId="05179BF0" w14:textId="77777777">
      <w:pPr>
        <w:rPr>
          <w:rFonts w:ascii="Times New Roman" w:hAnsi="Times New Roman"/>
          <w:sz w:val="24"/>
          <w:szCs w:val="24"/>
        </w:rPr>
      </w:pPr>
      <w:r w:rsidRPr="003E7E09">
        <w:rPr>
          <w:rFonts w:ascii="Times New Roman" w:hAnsi="Times New Roman"/>
          <w:sz w:val="24"/>
          <w:szCs w:val="24"/>
        </w:rPr>
        <w:tab/>
        <w:t>Sale or assignment of guarantee</w:t>
      </w:r>
    </w:p>
    <w:p w:rsidRPr="003E7E09" w:rsidR="005177AA" w:rsidP="005177AA" w:rsidRDefault="005177AA" w14:paraId="75C5F324" w14:textId="77777777">
      <w:pPr>
        <w:rPr>
          <w:rFonts w:ascii="Times New Roman" w:hAnsi="Times New Roman"/>
          <w:sz w:val="24"/>
          <w:szCs w:val="24"/>
        </w:rPr>
      </w:pPr>
      <w:r w:rsidRPr="003E7E09">
        <w:rPr>
          <w:rFonts w:ascii="Times New Roman" w:hAnsi="Times New Roman"/>
          <w:sz w:val="24"/>
          <w:szCs w:val="24"/>
        </w:rPr>
        <w:tab/>
        <w:t>Repurchase f</w:t>
      </w:r>
      <w:r w:rsidR="00B438EA">
        <w:rPr>
          <w:rFonts w:ascii="Times New Roman" w:hAnsi="Times New Roman"/>
          <w:sz w:val="24"/>
          <w:szCs w:val="24"/>
        </w:rPr>
        <w:t>r</w:t>
      </w:r>
      <w:r w:rsidRPr="003E7E09">
        <w:rPr>
          <w:rFonts w:ascii="Times New Roman" w:hAnsi="Times New Roman"/>
          <w:sz w:val="24"/>
          <w:szCs w:val="24"/>
        </w:rPr>
        <w:t>om holder</w:t>
      </w:r>
    </w:p>
    <w:p w:rsidRPr="003E7E09" w:rsidR="005177AA" w:rsidP="005177AA" w:rsidRDefault="005177AA" w14:paraId="460DABAE" w14:textId="77777777">
      <w:pPr>
        <w:rPr>
          <w:rFonts w:ascii="Times New Roman" w:hAnsi="Times New Roman"/>
          <w:sz w:val="24"/>
          <w:szCs w:val="24"/>
        </w:rPr>
      </w:pPr>
      <w:r w:rsidRPr="003E7E09">
        <w:rPr>
          <w:rFonts w:ascii="Times New Roman" w:hAnsi="Times New Roman"/>
          <w:sz w:val="24"/>
          <w:szCs w:val="24"/>
        </w:rPr>
        <w:tab/>
        <w:t>Replacement of document</w:t>
      </w:r>
    </w:p>
    <w:p w:rsidRPr="003E7E09" w:rsidR="005177AA" w:rsidP="005177AA" w:rsidRDefault="005177AA" w14:paraId="158018F1" w14:textId="77777777">
      <w:pPr>
        <w:rPr>
          <w:rFonts w:ascii="Times New Roman" w:hAnsi="Times New Roman"/>
          <w:sz w:val="24"/>
          <w:szCs w:val="24"/>
        </w:rPr>
      </w:pPr>
      <w:r w:rsidRPr="003E7E09">
        <w:rPr>
          <w:rFonts w:ascii="Times New Roman" w:hAnsi="Times New Roman"/>
          <w:sz w:val="24"/>
          <w:szCs w:val="24"/>
        </w:rPr>
        <w:tab/>
        <w:t>Interest rate change</w:t>
      </w:r>
    </w:p>
    <w:p w:rsidRPr="003E7E09" w:rsidR="005177AA" w:rsidP="005177AA" w:rsidRDefault="005177AA" w14:paraId="6E498A26" w14:textId="77777777">
      <w:pPr>
        <w:rPr>
          <w:rFonts w:ascii="Times New Roman" w:hAnsi="Times New Roman"/>
          <w:sz w:val="24"/>
          <w:szCs w:val="24"/>
        </w:rPr>
      </w:pPr>
      <w:r w:rsidRPr="003E7E09">
        <w:rPr>
          <w:rFonts w:ascii="Times New Roman" w:hAnsi="Times New Roman"/>
          <w:sz w:val="24"/>
          <w:szCs w:val="24"/>
        </w:rPr>
        <w:tab/>
        <w:t>Hazard Insurance</w:t>
      </w:r>
    </w:p>
    <w:p w:rsidRPr="003E7E09" w:rsidR="005177AA" w:rsidP="005177AA" w:rsidRDefault="005177AA" w14:paraId="1645C147" w14:textId="77777777">
      <w:pPr>
        <w:rPr>
          <w:rFonts w:ascii="Times New Roman" w:hAnsi="Times New Roman"/>
          <w:sz w:val="24"/>
          <w:szCs w:val="24"/>
        </w:rPr>
      </w:pPr>
      <w:r w:rsidRPr="003E7E09">
        <w:rPr>
          <w:rFonts w:ascii="Times New Roman" w:hAnsi="Times New Roman"/>
          <w:sz w:val="24"/>
          <w:szCs w:val="24"/>
        </w:rPr>
        <w:tab/>
        <w:t>Life Insurance</w:t>
      </w:r>
    </w:p>
    <w:p w:rsidRPr="003E7E09" w:rsidR="005177AA" w:rsidP="005177AA" w:rsidRDefault="005177AA" w14:paraId="0D1482CF" w14:textId="77777777">
      <w:pPr>
        <w:rPr>
          <w:rFonts w:ascii="Times New Roman" w:hAnsi="Times New Roman"/>
          <w:sz w:val="24"/>
          <w:szCs w:val="24"/>
        </w:rPr>
      </w:pPr>
      <w:r w:rsidRPr="003E7E09">
        <w:rPr>
          <w:rFonts w:ascii="Times New Roman" w:hAnsi="Times New Roman"/>
          <w:sz w:val="24"/>
          <w:szCs w:val="24"/>
        </w:rPr>
        <w:tab/>
        <w:t>Flood or other insurance</w:t>
      </w:r>
    </w:p>
    <w:p w:rsidRPr="003E7E09" w:rsidR="005177AA" w:rsidP="005177AA" w:rsidRDefault="005177AA" w14:paraId="66EAF3A6" w14:textId="77777777">
      <w:pPr>
        <w:rPr>
          <w:rFonts w:ascii="Times New Roman" w:hAnsi="Times New Roman"/>
          <w:sz w:val="24"/>
          <w:szCs w:val="24"/>
        </w:rPr>
      </w:pPr>
      <w:r w:rsidRPr="003E7E09">
        <w:rPr>
          <w:rFonts w:ascii="Times New Roman" w:hAnsi="Times New Roman"/>
          <w:sz w:val="24"/>
          <w:szCs w:val="24"/>
        </w:rPr>
        <w:tab/>
        <w:t>Appraisal report</w:t>
      </w:r>
    </w:p>
    <w:p w:rsidRPr="003E7E09" w:rsidR="005177AA" w:rsidP="005177AA" w:rsidRDefault="005177AA" w14:paraId="5E9206D6" w14:textId="77777777">
      <w:pPr>
        <w:rPr>
          <w:rFonts w:ascii="Times New Roman" w:hAnsi="Times New Roman"/>
          <w:sz w:val="24"/>
          <w:szCs w:val="24"/>
        </w:rPr>
      </w:pPr>
      <w:r w:rsidRPr="003E7E09">
        <w:rPr>
          <w:rFonts w:ascii="Times New Roman" w:hAnsi="Times New Roman"/>
          <w:sz w:val="24"/>
          <w:szCs w:val="24"/>
        </w:rPr>
        <w:tab/>
        <w:t>Request for Environmental Information</w:t>
      </w:r>
    </w:p>
    <w:p w:rsidRPr="003E7E09" w:rsidR="005177AA" w:rsidP="005177AA" w:rsidRDefault="005177AA" w14:paraId="231D3049" w14:textId="77777777">
      <w:pPr>
        <w:ind w:firstLine="720"/>
        <w:rPr>
          <w:rFonts w:ascii="Times New Roman" w:hAnsi="Times New Roman"/>
          <w:sz w:val="24"/>
          <w:szCs w:val="24"/>
        </w:rPr>
      </w:pPr>
      <w:r w:rsidRPr="003E7E09">
        <w:rPr>
          <w:rFonts w:ascii="Times New Roman" w:hAnsi="Times New Roman"/>
          <w:sz w:val="24"/>
          <w:szCs w:val="24"/>
        </w:rPr>
        <w:t>Transfer of Lenders</w:t>
      </w:r>
    </w:p>
    <w:p w:rsidRPr="003E7E09" w:rsidR="005177AA" w:rsidP="005177AA" w:rsidRDefault="005177AA" w14:paraId="31D2339E" w14:textId="77777777">
      <w:pPr>
        <w:rPr>
          <w:rFonts w:ascii="Times New Roman" w:hAnsi="Times New Roman"/>
          <w:sz w:val="24"/>
          <w:szCs w:val="24"/>
        </w:rPr>
      </w:pPr>
      <w:r w:rsidRPr="003E7E09">
        <w:rPr>
          <w:rFonts w:ascii="Times New Roman" w:hAnsi="Times New Roman"/>
          <w:sz w:val="24"/>
          <w:szCs w:val="24"/>
        </w:rPr>
        <w:tab/>
        <w:t>Changes in borrowers</w:t>
      </w:r>
    </w:p>
    <w:p w:rsidRPr="003E7E09" w:rsidR="005177AA" w:rsidP="005177AA" w:rsidRDefault="005177AA" w14:paraId="6812F8BB" w14:textId="77777777">
      <w:pPr>
        <w:rPr>
          <w:rFonts w:ascii="Times New Roman" w:hAnsi="Times New Roman"/>
          <w:sz w:val="24"/>
          <w:szCs w:val="24"/>
        </w:rPr>
      </w:pPr>
      <w:r w:rsidRPr="003E7E09">
        <w:rPr>
          <w:rFonts w:ascii="Times New Roman" w:hAnsi="Times New Roman"/>
          <w:sz w:val="24"/>
          <w:szCs w:val="24"/>
        </w:rPr>
        <w:tab/>
        <w:t>Conditions precedent to issuance of guarantee</w:t>
      </w:r>
      <w:r w:rsidR="003F152D">
        <w:rPr>
          <w:rFonts w:ascii="Times New Roman" w:hAnsi="Times New Roman"/>
          <w:sz w:val="24"/>
          <w:szCs w:val="24"/>
        </w:rPr>
        <w:t xml:space="preserve"> (including issuance of guarantee)</w:t>
      </w:r>
    </w:p>
    <w:p w:rsidRPr="003E7E09" w:rsidR="005177AA" w:rsidP="005177AA" w:rsidRDefault="005177AA" w14:paraId="3ADD10F3" w14:textId="77777777">
      <w:pPr>
        <w:rPr>
          <w:rFonts w:ascii="Times New Roman" w:hAnsi="Times New Roman"/>
          <w:sz w:val="24"/>
          <w:szCs w:val="24"/>
        </w:rPr>
      </w:pPr>
      <w:r w:rsidRPr="003E7E09">
        <w:rPr>
          <w:rFonts w:ascii="Times New Roman" w:hAnsi="Times New Roman"/>
          <w:sz w:val="24"/>
          <w:szCs w:val="24"/>
        </w:rPr>
        <w:lastRenderedPageBreak/>
        <w:tab/>
        <w:t>Construction planning and performing development</w:t>
      </w:r>
    </w:p>
    <w:p w:rsidR="005177AA" w:rsidP="005177AA" w:rsidRDefault="005177AA" w14:paraId="4DE00D26" w14:textId="77777777">
      <w:pPr>
        <w:rPr>
          <w:rFonts w:ascii="Times New Roman" w:hAnsi="Times New Roman"/>
          <w:sz w:val="24"/>
          <w:szCs w:val="24"/>
        </w:rPr>
      </w:pPr>
      <w:r w:rsidRPr="003E7E09">
        <w:rPr>
          <w:rFonts w:ascii="Times New Roman" w:hAnsi="Times New Roman"/>
          <w:sz w:val="24"/>
          <w:szCs w:val="24"/>
        </w:rPr>
        <w:tab/>
      </w:r>
      <w:r w:rsidR="00C74527">
        <w:rPr>
          <w:rFonts w:ascii="Times New Roman" w:hAnsi="Times New Roman"/>
          <w:sz w:val="24"/>
          <w:szCs w:val="24"/>
        </w:rPr>
        <w:t>Monthly c</w:t>
      </w:r>
      <w:r w:rsidRPr="003E7E09">
        <w:rPr>
          <w:rFonts w:ascii="Times New Roman" w:hAnsi="Times New Roman"/>
          <w:sz w:val="24"/>
          <w:szCs w:val="24"/>
        </w:rPr>
        <w:t>onstruction reports</w:t>
      </w:r>
    </w:p>
    <w:p w:rsidR="00C74527" w:rsidP="005177AA" w:rsidRDefault="00C74527" w14:paraId="27654099" w14:textId="77777777">
      <w:pPr>
        <w:rPr>
          <w:rFonts w:ascii="Times New Roman" w:hAnsi="Times New Roman"/>
          <w:sz w:val="24"/>
          <w:szCs w:val="24"/>
        </w:rPr>
      </w:pPr>
      <w:r>
        <w:rPr>
          <w:rFonts w:ascii="Times New Roman" w:hAnsi="Times New Roman"/>
          <w:sz w:val="24"/>
          <w:szCs w:val="24"/>
        </w:rPr>
        <w:tab/>
        <w:t>Quarterly progress reports</w:t>
      </w:r>
    </w:p>
    <w:p w:rsidRPr="003E7E09" w:rsidR="00C74527" w:rsidP="005177AA" w:rsidRDefault="00C74527" w14:paraId="726C0698" w14:textId="77777777">
      <w:pPr>
        <w:rPr>
          <w:rFonts w:ascii="Times New Roman" w:hAnsi="Times New Roman"/>
          <w:sz w:val="24"/>
          <w:szCs w:val="24"/>
        </w:rPr>
      </w:pPr>
      <w:r>
        <w:rPr>
          <w:rFonts w:ascii="Times New Roman" w:hAnsi="Times New Roman"/>
          <w:sz w:val="24"/>
          <w:szCs w:val="24"/>
        </w:rPr>
        <w:tab/>
        <w:t>Post-construction permits, completion notice, and final accounting</w:t>
      </w:r>
    </w:p>
    <w:p w:rsidRPr="003E7E09" w:rsidR="005177AA" w:rsidP="005177AA" w:rsidRDefault="005177AA" w14:paraId="3545ED54" w14:textId="77777777">
      <w:pPr>
        <w:rPr>
          <w:rFonts w:ascii="Times New Roman" w:hAnsi="Times New Roman"/>
          <w:sz w:val="24"/>
          <w:szCs w:val="24"/>
        </w:rPr>
      </w:pPr>
      <w:r w:rsidRPr="003E7E09">
        <w:rPr>
          <w:rFonts w:ascii="Times New Roman" w:hAnsi="Times New Roman"/>
          <w:sz w:val="24"/>
          <w:szCs w:val="24"/>
        </w:rPr>
        <w:tab/>
        <w:t xml:space="preserve">Application Narrative </w:t>
      </w:r>
    </w:p>
    <w:p w:rsidRPr="003E7E09" w:rsidR="005177AA" w:rsidP="005177AA" w:rsidRDefault="005177AA" w14:paraId="56AE8FF3" w14:textId="77777777">
      <w:pPr>
        <w:rPr>
          <w:rFonts w:ascii="Times New Roman" w:hAnsi="Times New Roman"/>
          <w:sz w:val="24"/>
          <w:szCs w:val="24"/>
        </w:rPr>
      </w:pPr>
      <w:r w:rsidRPr="003E7E09">
        <w:rPr>
          <w:rFonts w:ascii="Times New Roman" w:hAnsi="Times New Roman"/>
          <w:sz w:val="24"/>
          <w:szCs w:val="24"/>
        </w:rPr>
        <w:tab/>
        <w:t>Lender analysis</w:t>
      </w:r>
      <w:r w:rsidR="008F1DC6">
        <w:rPr>
          <w:rFonts w:ascii="Times New Roman" w:hAnsi="Times New Roman"/>
          <w:sz w:val="24"/>
          <w:szCs w:val="24"/>
        </w:rPr>
        <w:t xml:space="preserve"> (formerly referred to as </w:t>
      </w:r>
      <w:r w:rsidR="00342A0A">
        <w:rPr>
          <w:rFonts w:ascii="Times New Roman" w:hAnsi="Times New Roman"/>
          <w:sz w:val="24"/>
          <w:szCs w:val="24"/>
        </w:rPr>
        <w:t>“</w:t>
      </w:r>
      <w:r w:rsidR="008F1DC6">
        <w:rPr>
          <w:rFonts w:ascii="Times New Roman" w:hAnsi="Times New Roman"/>
          <w:sz w:val="24"/>
          <w:szCs w:val="24"/>
        </w:rPr>
        <w:t>lender credit analysis</w:t>
      </w:r>
      <w:r w:rsidR="00342A0A">
        <w:rPr>
          <w:rFonts w:ascii="Times New Roman" w:hAnsi="Times New Roman"/>
          <w:sz w:val="24"/>
          <w:szCs w:val="24"/>
        </w:rPr>
        <w:t>”</w:t>
      </w:r>
      <w:r w:rsidR="008F1DC6">
        <w:rPr>
          <w:rFonts w:ascii="Times New Roman" w:hAnsi="Times New Roman"/>
          <w:sz w:val="24"/>
          <w:szCs w:val="24"/>
        </w:rPr>
        <w:t>)</w:t>
      </w:r>
    </w:p>
    <w:p w:rsidRPr="003E7E09" w:rsidR="005177AA" w:rsidP="005177AA" w:rsidRDefault="005177AA" w14:paraId="01D52E5B" w14:textId="77777777">
      <w:pPr>
        <w:rPr>
          <w:rFonts w:ascii="Times New Roman" w:hAnsi="Times New Roman"/>
          <w:sz w:val="24"/>
          <w:szCs w:val="24"/>
        </w:rPr>
      </w:pPr>
      <w:r w:rsidRPr="003E7E09">
        <w:rPr>
          <w:rFonts w:ascii="Times New Roman" w:hAnsi="Times New Roman"/>
          <w:sz w:val="24"/>
          <w:szCs w:val="24"/>
        </w:rPr>
        <w:tab/>
        <w:t>Personal credit reports</w:t>
      </w:r>
    </w:p>
    <w:p w:rsidR="005177AA" w:rsidP="005177AA" w:rsidRDefault="005177AA" w14:paraId="6A5FFAB3" w14:textId="77777777">
      <w:pPr>
        <w:rPr>
          <w:rFonts w:ascii="Times New Roman" w:hAnsi="Times New Roman"/>
          <w:sz w:val="24"/>
          <w:szCs w:val="24"/>
        </w:rPr>
      </w:pPr>
      <w:r w:rsidRPr="003E7E09">
        <w:rPr>
          <w:rFonts w:ascii="Times New Roman" w:hAnsi="Times New Roman"/>
          <w:sz w:val="24"/>
          <w:szCs w:val="24"/>
        </w:rPr>
        <w:tab/>
        <w:t>Commercial credit reports</w:t>
      </w:r>
    </w:p>
    <w:p w:rsidRPr="003E7E09" w:rsidR="008F1DC6" w:rsidP="005177AA" w:rsidRDefault="008F1DC6" w14:paraId="7F219438" w14:textId="77777777">
      <w:pPr>
        <w:rPr>
          <w:rFonts w:ascii="Times New Roman" w:hAnsi="Times New Roman"/>
          <w:sz w:val="24"/>
          <w:szCs w:val="24"/>
        </w:rPr>
      </w:pPr>
      <w:r>
        <w:rPr>
          <w:rFonts w:ascii="Times New Roman" w:hAnsi="Times New Roman"/>
          <w:sz w:val="24"/>
          <w:szCs w:val="24"/>
        </w:rPr>
        <w:tab/>
        <w:t xml:space="preserve">Project financial </w:t>
      </w:r>
      <w:r w:rsidR="00C74527">
        <w:rPr>
          <w:rFonts w:ascii="Times New Roman" w:hAnsi="Times New Roman"/>
          <w:sz w:val="24"/>
          <w:szCs w:val="24"/>
        </w:rPr>
        <w:t>framework</w:t>
      </w:r>
      <w:r>
        <w:rPr>
          <w:rFonts w:ascii="Times New Roman" w:hAnsi="Times New Roman"/>
          <w:sz w:val="24"/>
          <w:szCs w:val="24"/>
        </w:rPr>
        <w:t xml:space="preserve"> (replaces “financial studies”)</w:t>
      </w:r>
    </w:p>
    <w:p w:rsidRPr="003E7E09" w:rsidR="005177AA" w:rsidP="005177AA" w:rsidRDefault="005177AA" w14:paraId="46402E77" w14:textId="77777777">
      <w:pPr>
        <w:rPr>
          <w:rFonts w:ascii="Times New Roman" w:hAnsi="Times New Roman"/>
          <w:sz w:val="24"/>
          <w:szCs w:val="24"/>
        </w:rPr>
      </w:pPr>
      <w:r w:rsidRPr="003E7E09">
        <w:rPr>
          <w:rFonts w:ascii="Times New Roman" w:hAnsi="Times New Roman"/>
          <w:sz w:val="24"/>
          <w:szCs w:val="24"/>
        </w:rPr>
        <w:tab/>
        <w:t>Financial statements</w:t>
      </w:r>
    </w:p>
    <w:p w:rsidRPr="003E7E09" w:rsidR="005177AA" w:rsidP="005177AA" w:rsidRDefault="005177AA" w14:paraId="27436A77" w14:textId="77777777">
      <w:pPr>
        <w:rPr>
          <w:rFonts w:ascii="Times New Roman" w:hAnsi="Times New Roman"/>
          <w:sz w:val="24"/>
          <w:szCs w:val="24"/>
        </w:rPr>
      </w:pPr>
      <w:r w:rsidRPr="003E7E09">
        <w:rPr>
          <w:rFonts w:ascii="Times New Roman" w:hAnsi="Times New Roman"/>
          <w:sz w:val="24"/>
          <w:szCs w:val="24"/>
        </w:rPr>
        <w:tab/>
        <w:t>Feasibility studies</w:t>
      </w:r>
    </w:p>
    <w:p w:rsidRPr="003E7E09" w:rsidR="005177AA" w:rsidP="005177AA" w:rsidRDefault="005177AA" w14:paraId="60582BE6" w14:textId="77777777">
      <w:pPr>
        <w:rPr>
          <w:rFonts w:ascii="Times New Roman" w:hAnsi="Times New Roman"/>
          <w:sz w:val="24"/>
          <w:szCs w:val="24"/>
        </w:rPr>
      </w:pPr>
      <w:r w:rsidRPr="003E7E09">
        <w:rPr>
          <w:rFonts w:ascii="Times New Roman" w:hAnsi="Times New Roman"/>
          <w:sz w:val="24"/>
          <w:szCs w:val="24"/>
        </w:rPr>
        <w:tab/>
        <w:t>Proposed loan agreement</w:t>
      </w:r>
    </w:p>
    <w:p w:rsidRPr="003E7E09" w:rsidR="005177AA" w:rsidP="005177AA" w:rsidRDefault="005177AA" w14:paraId="3198FA23" w14:textId="77777777">
      <w:pPr>
        <w:rPr>
          <w:rFonts w:ascii="Times New Roman" w:hAnsi="Times New Roman"/>
          <w:sz w:val="24"/>
          <w:szCs w:val="24"/>
        </w:rPr>
      </w:pPr>
      <w:r w:rsidRPr="003E7E09">
        <w:rPr>
          <w:rFonts w:ascii="Times New Roman" w:hAnsi="Times New Roman"/>
          <w:sz w:val="24"/>
          <w:szCs w:val="24"/>
        </w:rPr>
        <w:tab/>
      </w:r>
      <w:r w:rsidR="001A59FF">
        <w:rPr>
          <w:rFonts w:ascii="Times New Roman" w:hAnsi="Times New Roman"/>
          <w:sz w:val="24"/>
          <w:szCs w:val="24"/>
        </w:rPr>
        <w:t>Statement for loan guarantees (formerly referred to as “</w:t>
      </w:r>
      <w:r w:rsidRPr="003E7E09">
        <w:rPr>
          <w:rFonts w:ascii="Times New Roman" w:hAnsi="Times New Roman"/>
          <w:sz w:val="24"/>
          <w:szCs w:val="24"/>
        </w:rPr>
        <w:t>Certification for contracts</w:t>
      </w:r>
      <w:r w:rsidR="001A59FF">
        <w:rPr>
          <w:rFonts w:ascii="Times New Roman" w:hAnsi="Times New Roman"/>
          <w:sz w:val="24"/>
          <w:szCs w:val="24"/>
        </w:rPr>
        <w:t>”)</w:t>
      </w:r>
    </w:p>
    <w:p w:rsidRPr="003E7E09" w:rsidR="005177AA" w:rsidP="008F1DC6" w:rsidRDefault="005177AA" w14:paraId="54C0D38D" w14:textId="77777777">
      <w:pPr>
        <w:rPr>
          <w:rFonts w:ascii="Times New Roman" w:hAnsi="Times New Roman"/>
          <w:sz w:val="24"/>
          <w:szCs w:val="24"/>
        </w:rPr>
      </w:pPr>
      <w:r w:rsidRPr="003E7E09">
        <w:rPr>
          <w:rFonts w:ascii="Times New Roman" w:hAnsi="Times New Roman"/>
          <w:sz w:val="24"/>
          <w:szCs w:val="24"/>
        </w:rPr>
        <w:tab/>
        <w:t>Periodic</w:t>
      </w:r>
      <w:r w:rsidR="001A59FF">
        <w:rPr>
          <w:rFonts w:ascii="Times New Roman" w:hAnsi="Times New Roman"/>
          <w:sz w:val="24"/>
          <w:szCs w:val="24"/>
        </w:rPr>
        <w:t xml:space="preserve"> </w:t>
      </w:r>
      <w:r w:rsidR="008F1DC6">
        <w:rPr>
          <w:rFonts w:ascii="Times New Roman" w:hAnsi="Times New Roman"/>
          <w:sz w:val="24"/>
          <w:szCs w:val="24"/>
        </w:rPr>
        <w:t>Annual</w:t>
      </w:r>
      <w:r w:rsidRPr="003E7E09">
        <w:rPr>
          <w:rFonts w:ascii="Times New Roman" w:hAnsi="Times New Roman"/>
          <w:sz w:val="24"/>
          <w:szCs w:val="24"/>
        </w:rPr>
        <w:t xml:space="preserve"> reports</w:t>
      </w:r>
      <w:r w:rsidR="008F1DC6">
        <w:rPr>
          <w:rFonts w:ascii="Times New Roman" w:hAnsi="Times New Roman"/>
          <w:sz w:val="24"/>
          <w:szCs w:val="24"/>
        </w:rPr>
        <w:t xml:space="preserve"> (formerly referred to as “periodic” reports)</w:t>
      </w:r>
    </w:p>
    <w:p w:rsidRPr="003E7E09" w:rsidR="005177AA" w:rsidP="005177AA" w:rsidRDefault="005177AA" w14:paraId="0480A2F7" w14:textId="77777777">
      <w:pPr>
        <w:rPr>
          <w:rFonts w:ascii="Times New Roman" w:hAnsi="Times New Roman"/>
          <w:sz w:val="24"/>
          <w:szCs w:val="24"/>
        </w:rPr>
      </w:pPr>
      <w:r w:rsidRPr="003E7E09">
        <w:rPr>
          <w:rFonts w:ascii="Times New Roman" w:hAnsi="Times New Roman"/>
          <w:sz w:val="24"/>
          <w:szCs w:val="24"/>
        </w:rPr>
        <w:tab/>
        <w:t>Lender Inspections</w:t>
      </w:r>
    </w:p>
    <w:p w:rsidRPr="003E7E09" w:rsidR="005177AA" w:rsidP="005177AA" w:rsidRDefault="005177AA" w14:paraId="55F88FEE" w14:textId="77777777">
      <w:pPr>
        <w:rPr>
          <w:rFonts w:ascii="Times New Roman" w:hAnsi="Times New Roman"/>
          <w:sz w:val="24"/>
          <w:szCs w:val="24"/>
        </w:rPr>
      </w:pPr>
    </w:p>
    <w:p w:rsidR="004F0931" w:rsidP="004F0931" w:rsidRDefault="005177AA" w14:paraId="3BB69220" w14:textId="77777777">
      <w:pPr>
        <w:rPr>
          <w:rFonts w:ascii="Times New Roman" w:hAnsi="Times New Roman"/>
          <w:sz w:val="24"/>
          <w:szCs w:val="24"/>
        </w:rPr>
      </w:pPr>
      <w:r w:rsidRPr="004F0931">
        <w:rPr>
          <w:rFonts w:ascii="Times New Roman" w:hAnsi="Times New Roman"/>
          <w:sz w:val="24"/>
          <w:szCs w:val="24"/>
        </w:rPr>
        <w:t xml:space="preserve">Also included are the </w:t>
      </w:r>
      <w:r w:rsidR="008705FF">
        <w:rPr>
          <w:rFonts w:ascii="Times New Roman" w:hAnsi="Times New Roman"/>
          <w:sz w:val="24"/>
          <w:szCs w:val="24"/>
        </w:rPr>
        <w:t>required forms for reporting and servicing</w:t>
      </w:r>
      <w:r w:rsidR="004F0931">
        <w:rPr>
          <w:rFonts w:ascii="Times New Roman" w:hAnsi="Times New Roman"/>
          <w:sz w:val="24"/>
          <w:szCs w:val="24"/>
        </w:rPr>
        <w:t xml:space="preserve">, which help </w:t>
      </w:r>
      <w:r w:rsidRPr="00552547" w:rsidR="004F0931">
        <w:rPr>
          <w:rFonts w:ascii="Times New Roman" w:hAnsi="Times New Roman"/>
          <w:sz w:val="24"/>
          <w:szCs w:val="24"/>
        </w:rPr>
        <w:t>ensure th</w:t>
      </w:r>
      <w:r w:rsidR="004F0931">
        <w:rPr>
          <w:rFonts w:ascii="Times New Roman" w:hAnsi="Times New Roman"/>
          <w:sz w:val="24"/>
          <w:szCs w:val="24"/>
        </w:rPr>
        <w:t>at th</w:t>
      </w:r>
      <w:r w:rsidRPr="00552547" w:rsidR="004F0931">
        <w:rPr>
          <w:rFonts w:ascii="Times New Roman" w:hAnsi="Times New Roman"/>
          <w:sz w:val="24"/>
          <w:szCs w:val="24"/>
        </w:rPr>
        <w:t xml:space="preserve">e lender protects the government’s financial interests.  </w:t>
      </w:r>
    </w:p>
    <w:p w:rsidR="005177AA" w:rsidP="005F3978" w:rsidRDefault="005177AA" w14:paraId="6610A858" w14:textId="77777777">
      <w:pPr>
        <w:rPr>
          <w:rFonts w:ascii="Times New Roman" w:hAnsi="Times New Roman"/>
          <w:sz w:val="24"/>
          <w:szCs w:val="24"/>
        </w:rPr>
      </w:pPr>
    </w:p>
    <w:p w:rsidRPr="00552547" w:rsidR="005F3978" w:rsidP="005F3978" w:rsidRDefault="005F3978" w14:paraId="28172631" w14:textId="77777777">
      <w:pPr>
        <w:rPr>
          <w:rFonts w:ascii="Times New Roman" w:hAnsi="Times New Roman"/>
          <w:sz w:val="24"/>
          <w:szCs w:val="24"/>
        </w:rPr>
      </w:pPr>
      <w:r w:rsidRPr="00552547">
        <w:rPr>
          <w:rFonts w:ascii="Times New Roman" w:hAnsi="Times New Roman"/>
          <w:sz w:val="24"/>
          <w:szCs w:val="24"/>
        </w:rPr>
        <w:t xml:space="preserve">As part of the process of monitoring construction, lenders have a continuing responsibility to provide the Agency with construction progress reports, on a quarterly basis, demonstrating that engineering and financial criteria used in the review and approval of the application continue to be met during the construction phase of the project.  This is necessary to ensure that all terms of the loan guarantee agreement are being complied with.  </w:t>
      </w:r>
    </w:p>
    <w:p w:rsidRPr="00552547" w:rsidR="005F3978" w:rsidP="005F3978" w:rsidRDefault="005F3978" w14:paraId="1B20E0B2" w14:textId="77777777">
      <w:pPr>
        <w:rPr>
          <w:rFonts w:ascii="Times New Roman" w:hAnsi="Times New Roman"/>
          <w:sz w:val="24"/>
          <w:szCs w:val="24"/>
        </w:rPr>
      </w:pPr>
    </w:p>
    <w:p w:rsidRPr="00552547" w:rsidR="005F3978" w:rsidP="005F3978" w:rsidRDefault="005F3978" w14:paraId="5758DDA9" w14:textId="77777777">
      <w:pPr>
        <w:rPr>
          <w:rFonts w:ascii="Times New Roman" w:hAnsi="Times New Roman"/>
          <w:sz w:val="24"/>
          <w:szCs w:val="24"/>
        </w:rPr>
      </w:pPr>
      <w:r w:rsidRPr="00552547">
        <w:rPr>
          <w:rFonts w:ascii="Times New Roman" w:hAnsi="Times New Roman"/>
          <w:sz w:val="24"/>
          <w:szCs w:val="24"/>
        </w:rPr>
        <w:t xml:space="preserve">Post-construction, information will be collected demonstrating that the facilities are operating and meeting all financial criteria projected during the application phase.  This information is necessary </w:t>
      </w:r>
      <w:proofErr w:type="gramStart"/>
      <w:r w:rsidRPr="00552547">
        <w:rPr>
          <w:rFonts w:ascii="Times New Roman" w:hAnsi="Times New Roman"/>
          <w:sz w:val="24"/>
          <w:szCs w:val="24"/>
        </w:rPr>
        <w:t>in order for</w:t>
      </w:r>
      <w:proofErr w:type="gramEnd"/>
      <w:r w:rsidRPr="00552547">
        <w:rPr>
          <w:rFonts w:ascii="Times New Roman" w:hAnsi="Times New Roman"/>
          <w:sz w:val="24"/>
          <w:szCs w:val="24"/>
        </w:rPr>
        <w:t xml:space="preserve"> the Agency to adequately monitor the lender’s servicing activities. </w:t>
      </w:r>
    </w:p>
    <w:p w:rsidRPr="00552547" w:rsidR="005F3978" w:rsidP="005F3978" w:rsidRDefault="005F3978" w14:paraId="073C83CD" w14:textId="77777777">
      <w:pPr>
        <w:rPr>
          <w:rFonts w:ascii="Times New Roman" w:hAnsi="Times New Roman"/>
          <w:sz w:val="24"/>
          <w:szCs w:val="24"/>
        </w:rPr>
      </w:pPr>
    </w:p>
    <w:p w:rsidRPr="00552547" w:rsidR="005F3978" w:rsidP="005F3978" w:rsidRDefault="005F3978" w14:paraId="3798F61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information sought by this collection will be stored in Agency files or computers.  The Agency requires original borrower signatures on loan application forms and lender signatures on the loan documents.  The Program requires the submission of substantial information essential to protect the Government’s interest.</w:t>
      </w:r>
    </w:p>
    <w:p w:rsidRPr="00552547" w:rsidR="005F3978" w:rsidP="005F3978" w:rsidRDefault="005F3978" w14:paraId="02248C33"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5F3978" w:rsidP="005F3978" w:rsidRDefault="005F3978" w14:paraId="4F231F79"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 xml:space="preserve">The Agency, through its </w:t>
      </w:r>
      <w:r w:rsidR="0040354F">
        <w:rPr>
          <w:rFonts w:ascii="Times New Roman" w:hAnsi="Times New Roman"/>
          <w:sz w:val="24"/>
          <w:szCs w:val="24"/>
        </w:rPr>
        <w:t>Program Processing</w:t>
      </w:r>
      <w:r w:rsidRPr="00552547">
        <w:rPr>
          <w:rFonts w:ascii="Times New Roman" w:hAnsi="Times New Roman"/>
          <w:sz w:val="24"/>
          <w:szCs w:val="24"/>
        </w:rPr>
        <w:t xml:space="preserve"> Division in Washington, D.C., will be the primary user of the information collected.  Under the Freedom of Information Act, the </w:t>
      </w:r>
      <w:proofErr w:type="gramStart"/>
      <w:r w:rsidRPr="00552547">
        <w:rPr>
          <w:rFonts w:ascii="Times New Roman" w:hAnsi="Times New Roman"/>
          <w:sz w:val="24"/>
          <w:szCs w:val="24"/>
        </w:rPr>
        <w:t>general public</w:t>
      </w:r>
      <w:proofErr w:type="gramEnd"/>
      <w:r w:rsidRPr="00552547">
        <w:rPr>
          <w:rFonts w:ascii="Times New Roman" w:hAnsi="Times New Roman"/>
          <w:sz w:val="24"/>
          <w:szCs w:val="24"/>
        </w:rPr>
        <w:t xml:space="preserve"> can request some of the data provided by the borrower and lender to the Agency, except data that are proprietary or confidential.</w:t>
      </w:r>
    </w:p>
    <w:p w:rsidRPr="00552547" w:rsidR="005F3978" w:rsidP="005F3978" w:rsidRDefault="005F3978" w14:paraId="117B3F7A"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2F255F" w:rsidP="005F3978" w:rsidRDefault="005F3978" w14:paraId="403EDF9F" w14:textId="77777777">
      <w:pPr>
        <w:rPr>
          <w:rFonts w:ascii="Times New Roman" w:hAnsi="Times New Roman"/>
          <w:sz w:val="24"/>
          <w:szCs w:val="24"/>
        </w:rPr>
      </w:pPr>
      <w:r w:rsidRPr="00552547">
        <w:rPr>
          <w:rFonts w:ascii="Times New Roman" w:hAnsi="Times New Roman"/>
          <w:sz w:val="24"/>
          <w:szCs w:val="24"/>
        </w:rPr>
        <w:t>If the information is not collected</w:t>
      </w:r>
      <w:r w:rsidR="006057F2">
        <w:rPr>
          <w:rFonts w:ascii="Times New Roman" w:hAnsi="Times New Roman"/>
          <w:sz w:val="24"/>
          <w:szCs w:val="24"/>
        </w:rPr>
        <w:t>,</w:t>
      </w:r>
      <w:r w:rsidRPr="00552547">
        <w:rPr>
          <w:rFonts w:ascii="Times New Roman" w:hAnsi="Times New Roman"/>
          <w:sz w:val="24"/>
          <w:szCs w:val="24"/>
        </w:rPr>
        <w:t xml:space="preserve"> the Agency would neither be able to make prudent credit decisions nor would the Agency be able to effectively monitor the lenders’ servicing activities and thus minimize losses under the Program.  </w:t>
      </w:r>
    </w:p>
    <w:p w:rsidRPr="00552547" w:rsidR="005C30F6" w:rsidP="005F3978" w:rsidRDefault="005C30F6" w14:paraId="4715A85C" w14:textId="77777777">
      <w:pPr>
        <w:rPr>
          <w:rFonts w:ascii="Times New Roman" w:hAnsi="Times New Roman"/>
          <w:sz w:val="24"/>
          <w:szCs w:val="24"/>
        </w:rPr>
      </w:pPr>
    </w:p>
    <w:p w:rsidR="002F255F" w:rsidP="00D85ABA" w:rsidRDefault="002F255F" w14:paraId="24E8A3D8" w14:textId="77777777">
      <w:pPr>
        <w:rPr>
          <w:rFonts w:ascii="Times New Roman" w:hAnsi="Times New Roman"/>
          <w:sz w:val="24"/>
          <w:szCs w:val="24"/>
        </w:rPr>
      </w:pPr>
      <w:r w:rsidRPr="00552547">
        <w:rPr>
          <w:rFonts w:ascii="Times New Roman" w:hAnsi="Times New Roman"/>
          <w:sz w:val="24"/>
          <w:szCs w:val="24"/>
        </w:rPr>
        <w:t xml:space="preserve">The estimates do not include burden hours for customary and usual business practices of entities other than the Agency.  Therefore, this package only considers the information the Agency requires in excess of what a lender would typically require of a business, as well as the </w:t>
      </w:r>
      <w:r w:rsidRPr="00552547">
        <w:rPr>
          <w:rFonts w:ascii="Times New Roman" w:hAnsi="Times New Roman"/>
          <w:sz w:val="24"/>
          <w:szCs w:val="24"/>
        </w:rPr>
        <w:lastRenderedPageBreak/>
        <w:t xml:space="preserve">information the Agency regulation requires from the lender in excess of what it would typically do for a non-guaranteed loan.  </w:t>
      </w:r>
      <w:r w:rsidRPr="00552547" w:rsidR="005F3978">
        <w:rPr>
          <w:rFonts w:ascii="Times New Roman" w:hAnsi="Times New Roman"/>
          <w:sz w:val="24"/>
          <w:szCs w:val="24"/>
        </w:rPr>
        <w:t>T</w:t>
      </w:r>
      <w:r w:rsidRPr="00552547">
        <w:rPr>
          <w:rFonts w:ascii="Times New Roman" w:hAnsi="Times New Roman"/>
          <w:sz w:val="24"/>
          <w:szCs w:val="24"/>
        </w:rPr>
        <w:t xml:space="preserve">he burden to be cleared with this document is </w:t>
      </w:r>
      <w:r w:rsidRPr="00552547" w:rsidR="005F3978">
        <w:rPr>
          <w:rFonts w:ascii="Times New Roman" w:hAnsi="Times New Roman"/>
          <w:sz w:val="24"/>
          <w:szCs w:val="24"/>
        </w:rPr>
        <w:t>described below</w:t>
      </w:r>
      <w:r w:rsidR="004C4D99">
        <w:rPr>
          <w:rFonts w:ascii="Times New Roman" w:hAnsi="Times New Roman"/>
          <w:sz w:val="24"/>
          <w:szCs w:val="24"/>
        </w:rPr>
        <w:t xml:space="preserve"> and detailed in the supporting worksheet</w:t>
      </w:r>
      <w:r w:rsidRPr="00552547" w:rsidR="005F3978">
        <w:rPr>
          <w:rFonts w:ascii="Times New Roman" w:hAnsi="Times New Roman"/>
          <w:sz w:val="24"/>
          <w:szCs w:val="24"/>
        </w:rPr>
        <w:t>.</w:t>
      </w:r>
      <w:r w:rsidRPr="00552547">
        <w:rPr>
          <w:rFonts w:ascii="Times New Roman" w:hAnsi="Times New Roman"/>
          <w:sz w:val="24"/>
          <w:szCs w:val="24"/>
        </w:rPr>
        <w:t xml:space="preserve">  </w:t>
      </w:r>
    </w:p>
    <w:p w:rsidRPr="00552547" w:rsidR="003E1418" w:rsidP="00D85ABA" w:rsidRDefault="003E1418" w14:paraId="0BE267D2" w14:textId="77777777">
      <w:pPr>
        <w:rPr>
          <w:rFonts w:ascii="Times New Roman" w:hAnsi="Times New Roman"/>
          <w:sz w:val="24"/>
          <w:szCs w:val="24"/>
        </w:rPr>
      </w:pPr>
    </w:p>
    <w:p w:rsidRPr="00C23D9B" w:rsidR="002F255F" w:rsidRDefault="002F255F" w14:paraId="07B5884F" w14:textId="77777777">
      <w:pPr>
        <w:jc w:val="center"/>
        <w:rPr>
          <w:rFonts w:ascii="Times New Roman" w:hAnsi="Times New Roman"/>
          <w:b/>
          <w:bCs/>
          <w:sz w:val="24"/>
          <w:szCs w:val="24"/>
        </w:rPr>
      </w:pPr>
      <w:r w:rsidRPr="00C23D9B">
        <w:rPr>
          <w:rFonts w:ascii="Times New Roman" w:hAnsi="Times New Roman"/>
          <w:b/>
          <w:bCs/>
          <w:sz w:val="24"/>
          <w:szCs w:val="24"/>
        </w:rPr>
        <w:t xml:space="preserve">REPORTING REQUIREMENTS - NO FORMS  </w:t>
      </w:r>
    </w:p>
    <w:p w:rsidRPr="00552547" w:rsidR="00127AED" w:rsidRDefault="00127AED" w14:paraId="5A3AE7D5" w14:textId="77777777">
      <w:pPr>
        <w:jc w:val="center"/>
        <w:rPr>
          <w:rFonts w:ascii="Times New Roman" w:hAnsi="Times New Roman"/>
          <w:sz w:val="24"/>
          <w:szCs w:val="24"/>
        </w:rPr>
      </w:pPr>
    </w:p>
    <w:p w:rsidRPr="00B34F1D" w:rsidR="00B34F1D" w:rsidP="00B34F1D" w:rsidRDefault="00B34F1D" w14:paraId="20DCCBDE" w14:textId="77777777">
      <w:pPr>
        <w:rPr>
          <w:rFonts w:ascii="Times New Roman" w:hAnsi="Times New Roman"/>
          <w:sz w:val="24"/>
          <w:szCs w:val="24"/>
        </w:rPr>
      </w:pPr>
      <w:r w:rsidRPr="00B34F1D">
        <w:rPr>
          <w:rFonts w:ascii="Times New Roman" w:hAnsi="Times New Roman"/>
          <w:sz w:val="24"/>
          <w:szCs w:val="24"/>
          <w:u w:val="single"/>
        </w:rPr>
        <w:t>System for Award Management (SAM) Registration</w:t>
      </w:r>
      <w:r>
        <w:rPr>
          <w:rFonts w:ascii="Times New Roman" w:hAnsi="Times New Roman"/>
          <w:sz w:val="24"/>
          <w:szCs w:val="24"/>
          <w:u w:val="single"/>
        </w:rPr>
        <w:t xml:space="preserve">, </w:t>
      </w:r>
      <w:r w:rsidRPr="00B34F1D">
        <w:rPr>
          <w:rFonts w:ascii="Times New Roman" w:hAnsi="Times New Roman"/>
          <w:sz w:val="24"/>
          <w:szCs w:val="24"/>
          <w:u w:val="single"/>
        </w:rPr>
        <w:t>General Certifications and Representations.</w:t>
      </w:r>
      <w:r w:rsidRPr="00B34F1D">
        <w:rPr>
          <w:rFonts w:ascii="Times New Roman" w:hAnsi="Times New Roman"/>
          <w:sz w:val="24"/>
          <w:szCs w:val="24"/>
        </w:rPr>
        <w:t xml:space="preserve">  At the time of application, each applicant must have an active registration in SAM before submitting its application in accordance with 2 CFR 25.  This registration must </w:t>
      </w:r>
      <w:r>
        <w:rPr>
          <w:rFonts w:ascii="Times New Roman" w:hAnsi="Times New Roman"/>
          <w:sz w:val="24"/>
          <w:szCs w:val="24"/>
        </w:rPr>
        <w:t xml:space="preserve">remain </w:t>
      </w:r>
      <w:r w:rsidRPr="00B34F1D">
        <w:rPr>
          <w:rFonts w:ascii="Times New Roman" w:hAnsi="Times New Roman"/>
          <w:sz w:val="24"/>
          <w:szCs w:val="24"/>
        </w:rPr>
        <w:t>current, accurate</w:t>
      </w:r>
      <w:r w:rsidR="003E1418">
        <w:rPr>
          <w:rFonts w:ascii="Times New Roman" w:hAnsi="Times New Roman"/>
          <w:sz w:val="24"/>
          <w:szCs w:val="24"/>
        </w:rPr>
        <w:t>,</w:t>
      </w:r>
      <w:r w:rsidRPr="00B34F1D">
        <w:rPr>
          <w:rFonts w:ascii="Times New Roman" w:hAnsi="Times New Roman"/>
          <w:sz w:val="24"/>
          <w:szCs w:val="24"/>
        </w:rPr>
        <w:t xml:space="preserve"> and complete </w:t>
      </w:r>
      <w:proofErr w:type="gramStart"/>
      <w:r w:rsidRPr="00B34F1D">
        <w:rPr>
          <w:rFonts w:ascii="Times New Roman" w:hAnsi="Times New Roman"/>
          <w:sz w:val="24"/>
          <w:szCs w:val="24"/>
        </w:rPr>
        <w:t>at all times</w:t>
      </w:r>
      <w:proofErr w:type="gramEnd"/>
      <w:r w:rsidRPr="00B34F1D">
        <w:rPr>
          <w:rFonts w:ascii="Times New Roman" w:hAnsi="Times New Roman"/>
          <w:sz w:val="24"/>
          <w:szCs w:val="24"/>
        </w:rPr>
        <w:t xml:space="preserve"> during which the applicant has an active Federal award or an application under consideration.</w:t>
      </w:r>
    </w:p>
    <w:p w:rsidR="00B34F1D" w:rsidP="00127AED" w:rsidRDefault="00B34F1D" w14:paraId="5185D64B" w14:textId="77777777">
      <w:pPr>
        <w:rPr>
          <w:rFonts w:ascii="Times New Roman" w:hAnsi="Times New Roman"/>
          <w:b/>
          <w:sz w:val="24"/>
          <w:szCs w:val="24"/>
        </w:rPr>
      </w:pPr>
    </w:p>
    <w:p w:rsidRPr="00966341" w:rsidR="00127AED" w:rsidP="00127AED" w:rsidRDefault="005F3978" w14:paraId="167AE280" w14:textId="77777777">
      <w:pPr>
        <w:rPr>
          <w:rFonts w:ascii="Times New Roman" w:hAnsi="Times New Roman"/>
          <w:b/>
          <w:sz w:val="24"/>
          <w:szCs w:val="24"/>
        </w:rPr>
      </w:pPr>
      <w:r w:rsidRPr="00966341">
        <w:rPr>
          <w:rFonts w:ascii="Times New Roman" w:hAnsi="Times New Roman"/>
          <w:b/>
          <w:sz w:val="24"/>
          <w:szCs w:val="24"/>
        </w:rPr>
        <w:t>7 CFR Part 4279-C</w:t>
      </w:r>
      <w:r w:rsidRPr="00966341" w:rsidR="008313C0">
        <w:rPr>
          <w:rFonts w:ascii="Times New Roman" w:hAnsi="Times New Roman"/>
          <w:b/>
          <w:sz w:val="24"/>
          <w:szCs w:val="24"/>
        </w:rPr>
        <w:t>, Loan Processing</w:t>
      </w:r>
    </w:p>
    <w:p w:rsidRPr="00552547" w:rsidR="004E3EF8" w:rsidP="00127AED" w:rsidRDefault="004E3EF8" w14:paraId="03500785" w14:textId="77777777">
      <w:pPr>
        <w:rPr>
          <w:rFonts w:ascii="Times New Roman" w:hAnsi="Times New Roman"/>
          <w:sz w:val="24"/>
          <w:szCs w:val="24"/>
          <w:u w:val="single"/>
        </w:rPr>
      </w:pPr>
    </w:p>
    <w:p w:rsidRPr="00552547" w:rsidR="002F255F" w:rsidP="00127AED" w:rsidRDefault="002F255F" w14:paraId="303D2394" w14:textId="77777777">
      <w:pPr>
        <w:rPr>
          <w:rFonts w:ascii="Times New Roman" w:hAnsi="Times New Roman"/>
          <w:sz w:val="24"/>
          <w:szCs w:val="24"/>
        </w:rPr>
      </w:pPr>
      <w:r w:rsidRPr="00552547">
        <w:rPr>
          <w:rFonts w:ascii="Times New Roman" w:hAnsi="Times New Roman"/>
          <w:sz w:val="24"/>
          <w:szCs w:val="24"/>
          <w:u w:val="single"/>
        </w:rPr>
        <w:t>Appeals</w:t>
      </w:r>
      <w:r w:rsidRPr="00552547">
        <w:rPr>
          <w:rFonts w:ascii="Times New Roman" w:hAnsi="Times New Roman"/>
          <w:sz w:val="24"/>
          <w:szCs w:val="24"/>
        </w:rPr>
        <w:t xml:space="preserve">.  The applicant or borrower and lender and/or holder may appeal </w:t>
      </w:r>
      <w:r w:rsidRPr="00552547" w:rsidR="00346758">
        <w:rPr>
          <w:rFonts w:ascii="Times New Roman" w:hAnsi="Times New Roman"/>
          <w:sz w:val="24"/>
          <w:szCs w:val="24"/>
        </w:rPr>
        <w:t xml:space="preserve">or request a review of </w:t>
      </w:r>
      <w:r w:rsidRPr="00552547">
        <w:rPr>
          <w:rFonts w:ascii="Times New Roman" w:hAnsi="Times New Roman"/>
          <w:sz w:val="24"/>
          <w:szCs w:val="24"/>
        </w:rPr>
        <w:t xml:space="preserve">any adverse Agency decision.  Appeals are handled in accordance with Departmental appeal regulations.  </w:t>
      </w:r>
    </w:p>
    <w:p w:rsidRPr="00552547" w:rsidR="002F255F" w:rsidRDefault="002F255F" w14:paraId="348AA9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4"/>
          <w:szCs w:val="24"/>
        </w:rPr>
      </w:pPr>
    </w:p>
    <w:p w:rsidRPr="00552547" w:rsidR="002F255F" w:rsidRDefault="002F255F" w14:paraId="468ECD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Lender</w:t>
      </w:r>
      <w:r w:rsidR="001B18B0">
        <w:rPr>
          <w:rFonts w:ascii="Times New Roman" w:hAnsi="Times New Roman"/>
          <w:sz w:val="24"/>
          <w:szCs w:val="24"/>
          <w:u w:val="single"/>
        </w:rPr>
        <w:t xml:space="preserve"> eligibility</w:t>
      </w:r>
      <w:r w:rsidRPr="00552547">
        <w:rPr>
          <w:rFonts w:ascii="Times New Roman" w:hAnsi="Times New Roman"/>
          <w:sz w:val="24"/>
          <w:szCs w:val="24"/>
        </w:rPr>
        <w:t xml:space="preserve">.  </w:t>
      </w:r>
      <w:r w:rsidRPr="00552547" w:rsidR="00346758">
        <w:rPr>
          <w:rFonts w:ascii="Times New Roman" w:hAnsi="Times New Roman"/>
          <w:sz w:val="24"/>
          <w:szCs w:val="24"/>
        </w:rPr>
        <w:t>A lender seeking to participate in the Program must demonstrate that it meets the FDIC definition of “well capitalized” at the time of application and at the time of issuance of the loan note guarantee.  In addition, the lender must notify the Agency, in writing, if it is under a cease-or-desist order (or similar constraint) from a Federal agency.</w:t>
      </w:r>
    </w:p>
    <w:p w:rsidRPr="00552547" w:rsidR="00636D54" w:rsidRDefault="00636D54" w14:paraId="6F76A2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52547" w:rsidR="002F255F" w:rsidRDefault="002F255F" w14:paraId="35550F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Sale or assignment of guarantee</w:t>
      </w:r>
      <w:r w:rsidRPr="00552547">
        <w:rPr>
          <w:rFonts w:ascii="Times New Roman" w:hAnsi="Times New Roman"/>
          <w:sz w:val="24"/>
          <w:szCs w:val="24"/>
        </w:rPr>
        <w:t>.  The lender may sell the</w:t>
      </w:r>
      <w:r w:rsidR="00A74D1F">
        <w:rPr>
          <w:rFonts w:ascii="Times New Roman" w:hAnsi="Times New Roman"/>
          <w:sz w:val="24"/>
          <w:szCs w:val="24"/>
        </w:rPr>
        <w:t xml:space="preserve"> guaranteed portion of the</w:t>
      </w:r>
      <w:r w:rsidRPr="00552547">
        <w:rPr>
          <w:rFonts w:ascii="Times New Roman" w:hAnsi="Times New Roman"/>
          <w:sz w:val="24"/>
          <w:szCs w:val="24"/>
        </w:rPr>
        <w:t xml:space="preserv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Pr="00552547" w:rsidR="003478D5" w:rsidRDefault="003478D5" w14:paraId="1B3F89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52547" w:rsidR="002F255F" w:rsidRDefault="002F255F" w14:paraId="6F952B39" w14:textId="77777777">
      <w:pPr>
        <w:rPr>
          <w:rFonts w:ascii="Times New Roman" w:hAnsi="Times New Roman"/>
          <w:sz w:val="24"/>
          <w:szCs w:val="24"/>
        </w:rPr>
      </w:pPr>
      <w:r w:rsidRPr="00552547">
        <w:rPr>
          <w:rFonts w:ascii="Times New Roman" w:hAnsi="Times New Roman"/>
          <w:sz w:val="24"/>
          <w:szCs w:val="24"/>
          <w:u w:val="single"/>
        </w:rPr>
        <w:t>Repurchase from holder</w:t>
      </w:r>
      <w:r w:rsidRPr="00552547">
        <w:rPr>
          <w:rFonts w:ascii="Times New Roman" w:hAnsi="Times New Roman"/>
          <w:sz w:val="24"/>
          <w:szCs w:val="24"/>
        </w:rPr>
        <w:t xml:space="preserve">.  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  </w:t>
      </w:r>
    </w:p>
    <w:p w:rsidRPr="00552547" w:rsidR="002F255F" w:rsidRDefault="002F255F" w14:paraId="48A80FAF" w14:textId="77777777">
      <w:pPr>
        <w:rPr>
          <w:rFonts w:ascii="Times New Roman" w:hAnsi="Times New Roman"/>
          <w:sz w:val="24"/>
          <w:szCs w:val="24"/>
        </w:rPr>
      </w:pPr>
    </w:p>
    <w:p w:rsidRPr="00552547" w:rsidR="002F255F" w:rsidRDefault="001B18B0" w14:paraId="726E8E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Pr>
          <w:rFonts w:ascii="Times New Roman" w:hAnsi="Times New Roman"/>
          <w:sz w:val="24"/>
          <w:szCs w:val="24"/>
          <w:u w:val="single"/>
        </w:rPr>
        <w:t>Replacement of d</w:t>
      </w:r>
      <w:r w:rsidRPr="00552547" w:rsidR="002F255F">
        <w:rPr>
          <w:rFonts w:ascii="Times New Roman" w:hAnsi="Times New Roman"/>
          <w:sz w:val="24"/>
          <w:szCs w:val="24"/>
          <w:u w:val="single"/>
        </w:rPr>
        <w:t>ocument</w:t>
      </w:r>
      <w:r w:rsidRPr="00552547" w:rsidR="002F255F">
        <w:rPr>
          <w:rFonts w:ascii="Times New Roman" w:hAnsi="Times New Roman"/>
          <w:sz w:val="24"/>
          <w:szCs w:val="24"/>
        </w:rPr>
        <w:t xml:space="preserve">.  When a Loan Note Guarantee </w:t>
      </w:r>
      <w:r w:rsidRPr="00552547" w:rsidR="00612B63">
        <w:rPr>
          <w:rFonts w:ascii="Times New Roman" w:hAnsi="Times New Roman"/>
          <w:sz w:val="24"/>
          <w:szCs w:val="24"/>
        </w:rPr>
        <w:t xml:space="preserve">or Assignment Guarantee Agreement </w:t>
      </w:r>
      <w:r w:rsidRPr="00552547" w:rsidR="002F255F">
        <w:rPr>
          <w:rFonts w:ascii="Times New Roman" w:hAnsi="Times New Roman"/>
          <w:sz w:val="24"/>
          <w:szCs w:val="24"/>
        </w:rPr>
        <w:t xml:space="preserve">is lost, stolen, destroyed, </w:t>
      </w:r>
      <w:r w:rsidRPr="00552547" w:rsidR="009122CF">
        <w:rPr>
          <w:rFonts w:ascii="Times New Roman" w:hAnsi="Times New Roman"/>
          <w:sz w:val="24"/>
          <w:szCs w:val="24"/>
        </w:rPr>
        <w:t xml:space="preserve">mutilated, </w:t>
      </w:r>
      <w:r w:rsidRPr="00552547" w:rsidR="002F255F">
        <w:rPr>
          <w:rFonts w:ascii="Times New Roman" w:hAnsi="Times New Roman"/>
          <w:sz w:val="24"/>
          <w:szCs w:val="24"/>
        </w:rPr>
        <w:t>or defaced</w:t>
      </w:r>
      <w:r w:rsidRPr="00552547" w:rsidR="009122CF">
        <w:rPr>
          <w:rFonts w:ascii="Times New Roman" w:hAnsi="Times New Roman"/>
          <w:sz w:val="24"/>
          <w:szCs w:val="24"/>
        </w:rPr>
        <w:t>,</w:t>
      </w:r>
      <w:r w:rsidRPr="00552547" w:rsidR="002F255F">
        <w:rPr>
          <w:rFonts w:ascii="Times New Roman" w:hAnsi="Times New Roman"/>
          <w:sz w:val="24"/>
          <w:szCs w:val="24"/>
        </w:rPr>
        <w:t xml:space="preserve"> </w:t>
      </w:r>
      <w:r w:rsidRPr="00552547" w:rsidR="009122CF">
        <w:rPr>
          <w:rFonts w:ascii="Times New Roman" w:hAnsi="Times New Roman"/>
          <w:sz w:val="24"/>
          <w:szCs w:val="24"/>
        </w:rPr>
        <w:t xml:space="preserve">the </w:t>
      </w:r>
      <w:r w:rsidRPr="00552547" w:rsidR="002F255F">
        <w:rPr>
          <w:rFonts w:ascii="Times New Roman" w:hAnsi="Times New Roman"/>
          <w:sz w:val="24"/>
          <w:szCs w:val="24"/>
        </w:rPr>
        <w:t xml:space="preserve">lender </w:t>
      </w:r>
      <w:r w:rsidRPr="00552547" w:rsidR="009122CF">
        <w:rPr>
          <w:rFonts w:ascii="Times New Roman" w:hAnsi="Times New Roman"/>
          <w:sz w:val="24"/>
          <w:szCs w:val="24"/>
        </w:rPr>
        <w:t>must notify the Agency to request a replacement</w:t>
      </w:r>
      <w:r w:rsidRPr="00552547" w:rsidR="002F255F">
        <w:rPr>
          <w:rFonts w:ascii="Times New Roman" w:hAnsi="Times New Roman"/>
          <w:sz w:val="24"/>
          <w:szCs w:val="24"/>
        </w:rPr>
        <w:t xml:space="preserve">.  </w:t>
      </w:r>
    </w:p>
    <w:p w:rsidRPr="00552547" w:rsidR="00C95B81" w:rsidP="00350430" w:rsidRDefault="00C95B81" w14:paraId="166393F5" w14:textId="77777777">
      <w:pPr>
        <w:rPr>
          <w:rFonts w:ascii="Times New Roman" w:hAnsi="Times New Roman"/>
          <w:sz w:val="24"/>
          <w:szCs w:val="24"/>
          <w:u w:val="single"/>
        </w:rPr>
      </w:pPr>
    </w:p>
    <w:p w:rsidRPr="00552547" w:rsidR="00350430" w:rsidP="00350430" w:rsidRDefault="00350430" w14:paraId="052FD8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552547">
        <w:rPr>
          <w:rFonts w:ascii="Times New Roman" w:hAnsi="Times New Roman"/>
          <w:sz w:val="24"/>
          <w:szCs w:val="24"/>
          <w:u w:val="single"/>
        </w:rPr>
        <w:t>Interest rate change</w:t>
      </w:r>
      <w:r w:rsidRPr="00552547">
        <w:rPr>
          <w:rFonts w:ascii="Times New Roman" w:hAnsi="Times New Roman"/>
          <w:sz w:val="24"/>
          <w:szCs w:val="24"/>
        </w:rPr>
        <w:t>.  Lender must seek and obtain Agency approval for any change in the interest rate between the date of issuance of the Conditional Commitment and before the issuance of the Loan Note Guarantee.  Lender must also obtain Agency concurrence if there is an increase in interest rate from a variable interest rate to a higher interest rate that is a fixed rate.</w:t>
      </w:r>
    </w:p>
    <w:p w:rsidRPr="00552547" w:rsidR="00350430" w:rsidP="00350430" w:rsidRDefault="00350430" w14:paraId="178121F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552547" w:rsidR="000D2AF8" w:rsidP="000D2AF8" w:rsidRDefault="000D2AF8" w14:paraId="50013BD3" w14:textId="77777777">
      <w:pPr>
        <w:rPr>
          <w:rFonts w:ascii="Times New Roman" w:hAnsi="Times New Roman"/>
          <w:sz w:val="24"/>
          <w:szCs w:val="24"/>
        </w:rPr>
      </w:pPr>
      <w:r w:rsidRPr="00552547">
        <w:rPr>
          <w:rFonts w:ascii="Times New Roman" w:hAnsi="Times New Roman"/>
          <w:sz w:val="24"/>
          <w:szCs w:val="24"/>
          <w:u w:val="single"/>
        </w:rPr>
        <w:t xml:space="preserve">Hazard </w:t>
      </w:r>
      <w:r w:rsidR="001B18B0">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Hazard insurance is required on every loan to protect the collateral from fire or other insurable losses.  The Agency requires the lender to be named as </w:t>
      </w:r>
      <w:r w:rsidRPr="00552547" w:rsidR="00FF73F2">
        <w:rPr>
          <w:rFonts w:ascii="Times New Roman" w:hAnsi="Times New Roman"/>
          <w:sz w:val="24"/>
          <w:szCs w:val="24"/>
        </w:rPr>
        <w:t xml:space="preserve">mortgagee or </w:t>
      </w:r>
      <w:r w:rsidRPr="00552547">
        <w:rPr>
          <w:rFonts w:ascii="Times New Roman" w:hAnsi="Times New Roman"/>
          <w:sz w:val="24"/>
          <w:szCs w:val="24"/>
        </w:rPr>
        <w:t xml:space="preserve">loss </w:t>
      </w:r>
      <w:r w:rsidRPr="00552547">
        <w:rPr>
          <w:rFonts w:ascii="Times New Roman" w:hAnsi="Times New Roman"/>
          <w:sz w:val="24"/>
          <w:szCs w:val="24"/>
        </w:rPr>
        <w:lastRenderedPageBreak/>
        <w:t xml:space="preserve">payee.  The lender would typically require hazard insurance on non-guaranteed loans.  The borrower obtains the insurance, and the lender reviews it for sufficiency.  </w:t>
      </w:r>
    </w:p>
    <w:p w:rsidRPr="00552547" w:rsidR="000D2AF8" w:rsidP="000D2AF8" w:rsidRDefault="000D2AF8" w14:paraId="5A60FCD8" w14:textId="77777777">
      <w:pPr>
        <w:rPr>
          <w:rFonts w:ascii="Times New Roman" w:hAnsi="Times New Roman"/>
          <w:sz w:val="24"/>
          <w:szCs w:val="24"/>
        </w:rPr>
      </w:pPr>
    </w:p>
    <w:p w:rsidRPr="00552547" w:rsidR="000D2AF8" w:rsidP="000D2AF8" w:rsidRDefault="000D2AF8" w14:paraId="55D0D996" w14:textId="77777777">
      <w:pPr>
        <w:rPr>
          <w:rFonts w:ascii="Times New Roman" w:hAnsi="Times New Roman"/>
          <w:sz w:val="24"/>
          <w:szCs w:val="24"/>
        </w:rPr>
      </w:pPr>
      <w:r w:rsidRPr="00552547">
        <w:rPr>
          <w:rFonts w:ascii="Times New Roman" w:hAnsi="Times New Roman"/>
          <w:sz w:val="24"/>
          <w:szCs w:val="24"/>
          <w:u w:val="single"/>
        </w:rPr>
        <w:t xml:space="preserve">Life </w:t>
      </w:r>
      <w:r w:rsidR="001B18B0">
        <w:rPr>
          <w:rFonts w:ascii="Times New Roman" w:hAnsi="Times New Roman"/>
          <w:sz w:val="24"/>
          <w:szCs w:val="24"/>
          <w:u w:val="single"/>
        </w:rPr>
        <w:t>i</w:t>
      </w:r>
      <w:r w:rsidRPr="00552547">
        <w:rPr>
          <w:rFonts w:ascii="Times New Roman" w:hAnsi="Times New Roman"/>
          <w:sz w:val="24"/>
          <w:szCs w:val="24"/>
          <w:u w:val="single"/>
        </w:rPr>
        <w:t>nsurance</w:t>
      </w:r>
      <w:r w:rsidRPr="00552547">
        <w:rPr>
          <w:rFonts w:ascii="Times New Roman" w:hAnsi="Times New Roman"/>
          <w:sz w:val="24"/>
          <w:szCs w:val="24"/>
        </w:rPr>
        <w:t xml:space="preserve">.  Life insurance may be required on key management officials of the business to ensure the success of the business if key management is lost.  This is done by </w:t>
      </w:r>
      <w:proofErr w:type="gramStart"/>
      <w:r w:rsidRPr="00552547">
        <w:rPr>
          <w:rFonts w:ascii="Times New Roman" w:hAnsi="Times New Roman"/>
          <w:sz w:val="24"/>
          <w:szCs w:val="24"/>
        </w:rPr>
        <w:t>insuring</w:t>
      </w:r>
      <w:proofErr w:type="gramEnd"/>
      <w:r w:rsidRPr="00552547">
        <w:rPr>
          <w:rFonts w:ascii="Times New Roman" w:hAnsi="Times New Roman"/>
          <w:sz w:val="24"/>
          <w:szCs w:val="24"/>
        </w:rPr>
        <w:t xml:space="preserve"> the lives of key management, thus providing capital to hire new key management.  This is a common practice of lenders, but the Agency may require life insurance when the lender would not.  The borrower obtains the insurance, and the lender reviews it for sufficiency.</w:t>
      </w:r>
      <w:r w:rsidR="002967DC">
        <w:rPr>
          <w:rFonts w:ascii="Times New Roman" w:hAnsi="Times New Roman"/>
          <w:sz w:val="24"/>
          <w:szCs w:val="24"/>
        </w:rPr>
        <w:t xml:space="preserve">  </w:t>
      </w:r>
    </w:p>
    <w:p w:rsidRPr="00552547" w:rsidR="000D2AF8" w:rsidP="000D2AF8" w:rsidRDefault="000D2AF8" w14:paraId="483837A4" w14:textId="77777777">
      <w:pPr>
        <w:rPr>
          <w:rFonts w:ascii="Times New Roman" w:hAnsi="Times New Roman"/>
          <w:sz w:val="24"/>
          <w:szCs w:val="24"/>
        </w:rPr>
      </w:pPr>
    </w:p>
    <w:p w:rsidRPr="00552547" w:rsidR="000D2AF8" w:rsidP="000D2AF8" w:rsidRDefault="000D2AF8" w14:paraId="2FBB7ADA" w14:textId="77777777">
      <w:pPr>
        <w:rPr>
          <w:rFonts w:ascii="Times New Roman" w:hAnsi="Times New Roman"/>
          <w:sz w:val="24"/>
          <w:szCs w:val="24"/>
        </w:rPr>
      </w:pPr>
      <w:r w:rsidRPr="00552547">
        <w:rPr>
          <w:rFonts w:ascii="Times New Roman" w:hAnsi="Times New Roman"/>
          <w:sz w:val="24"/>
          <w:szCs w:val="24"/>
          <w:u w:val="single"/>
        </w:rPr>
        <w:t>Flood and other insurance</w:t>
      </w:r>
      <w:r w:rsidRPr="00552547">
        <w:rPr>
          <w:rFonts w:ascii="Times New Roman" w:hAnsi="Times New Roman"/>
          <w:sz w:val="24"/>
          <w:szCs w:val="24"/>
        </w:rPr>
        <w:t>.  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The borrower obtains the insurance, and the lender reviews it for sufficiency.</w:t>
      </w:r>
    </w:p>
    <w:p w:rsidRPr="00552547" w:rsidR="000D2AF8" w:rsidP="000D2AF8" w:rsidRDefault="000D2AF8" w14:paraId="4664C2BB" w14:textId="77777777">
      <w:pPr>
        <w:rPr>
          <w:rFonts w:ascii="Times New Roman" w:hAnsi="Times New Roman"/>
          <w:sz w:val="24"/>
          <w:szCs w:val="24"/>
          <w:u w:val="single"/>
        </w:rPr>
      </w:pPr>
    </w:p>
    <w:p w:rsidRPr="00552547" w:rsidR="00B67F22" w:rsidP="00FF73F2" w:rsidRDefault="00FF73F2" w14:paraId="228F48FE" w14:textId="77777777">
      <w:pPr>
        <w:rPr>
          <w:rFonts w:ascii="Times New Roman" w:hAnsi="Times New Roman"/>
          <w:sz w:val="24"/>
          <w:szCs w:val="24"/>
        </w:rPr>
      </w:pPr>
      <w:r w:rsidRPr="00552547">
        <w:rPr>
          <w:rFonts w:ascii="Times New Roman" w:hAnsi="Times New Roman"/>
          <w:sz w:val="24"/>
          <w:szCs w:val="24"/>
          <w:u w:val="single"/>
        </w:rPr>
        <w:t>Construction planning and performing development</w:t>
      </w:r>
      <w:r w:rsidRPr="00552547">
        <w:rPr>
          <w:rFonts w:ascii="Times New Roman" w:hAnsi="Times New Roman"/>
          <w:sz w:val="24"/>
          <w:szCs w:val="24"/>
        </w:rPr>
        <w:t xml:space="preserve">.  The lender must ensure the project design utilizes accepted architectural and engineering practices, conforms to applicable Federal, State, and local </w:t>
      </w:r>
      <w:proofErr w:type="gramStart"/>
      <w:r w:rsidRPr="00552547">
        <w:rPr>
          <w:rFonts w:ascii="Times New Roman" w:hAnsi="Times New Roman"/>
          <w:sz w:val="24"/>
          <w:szCs w:val="24"/>
        </w:rPr>
        <w:t>codes</w:t>
      </w:r>
      <w:proofErr w:type="gramEnd"/>
      <w:r w:rsidRPr="00552547">
        <w:rPr>
          <w:rFonts w:ascii="Times New Roman" w:hAnsi="Times New Roman"/>
          <w:sz w:val="24"/>
          <w:szCs w:val="24"/>
        </w:rPr>
        <w:t xml:space="preserve"> and will be completed with available funds.  </w:t>
      </w:r>
      <w:r w:rsidRPr="00552547" w:rsidR="00B67F22">
        <w:rPr>
          <w:rFonts w:ascii="Times New Roman" w:hAnsi="Times New Roman"/>
          <w:sz w:val="24"/>
          <w:szCs w:val="24"/>
        </w:rPr>
        <w:t xml:space="preserve">The lender must also monitor construction to ensure the project is completed in accordance with the plans and specifications and to keep the Agency informed.  </w:t>
      </w:r>
    </w:p>
    <w:p w:rsidRPr="00552547" w:rsidR="00FF73F2" w:rsidP="00C95B81" w:rsidRDefault="00FF73F2" w14:paraId="6DEFEF91" w14:textId="77777777">
      <w:pPr>
        <w:ind w:left="720" w:hanging="720"/>
        <w:rPr>
          <w:rFonts w:ascii="Times New Roman" w:hAnsi="Times New Roman"/>
          <w:sz w:val="24"/>
          <w:szCs w:val="24"/>
        </w:rPr>
      </w:pPr>
    </w:p>
    <w:p w:rsidRPr="00552547" w:rsidR="002A3138" w:rsidP="002A3138" w:rsidRDefault="002A3138" w14:paraId="28C68FD4" w14:textId="77777777">
      <w:pPr>
        <w:rPr>
          <w:rFonts w:ascii="Times New Roman" w:hAnsi="Times New Roman"/>
          <w:sz w:val="24"/>
          <w:szCs w:val="24"/>
        </w:rPr>
      </w:pPr>
      <w:r w:rsidRPr="00FC6DE1">
        <w:rPr>
          <w:rFonts w:ascii="Times New Roman" w:hAnsi="Times New Roman"/>
          <w:sz w:val="24"/>
          <w:szCs w:val="24"/>
          <w:u w:val="single"/>
        </w:rPr>
        <w:t>Construction reports.</w:t>
      </w:r>
      <w:r>
        <w:rPr>
          <w:rFonts w:ascii="Times New Roman" w:hAnsi="Times New Roman"/>
          <w:sz w:val="24"/>
          <w:szCs w:val="24"/>
        </w:rPr>
        <w:t xml:space="preserve">  </w:t>
      </w:r>
      <w:r w:rsidRPr="00552547">
        <w:rPr>
          <w:rFonts w:ascii="Times New Roman" w:hAnsi="Times New Roman"/>
          <w:sz w:val="24"/>
          <w:szCs w:val="24"/>
        </w:rPr>
        <w:t xml:space="preserve">During construction, the lender is required to submit </w:t>
      </w:r>
      <w:r>
        <w:rPr>
          <w:rFonts w:ascii="Times New Roman" w:hAnsi="Times New Roman"/>
          <w:sz w:val="24"/>
          <w:szCs w:val="24"/>
        </w:rPr>
        <w:t>monthly</w:t>
      </w:r>
      <w:r w:rsidRPr="00552547">
        <w:rPr>
          <w:rFonts w:ascii="Times New Roman" w:hAnsi="Times New Roman"/>
          <w:sz w:val="24"/>
          <w:szCs w:val="24"/>
        </w:rPr>
        <w:t xml:space="preserve"> construction reports to the Agency.  These </w:t>
      </w:r>
      <w:r w:rsidR="00820012">
        <w:rPr>
          <w:rFonts w:ascii="Times New Roman" w:hAnsi="Times New Roman"/>
          <w:sz w:val="24"/>
          <w:szCs w:val="24"/>
        </w:rPr>
        <w:t xml:space="preserve">reports cover a variety of areas such as certification of each draw request and that the work referred to in each draw has been successfully completed; certification to compliance with the Davis-Bacon Act; list of invoices; </w:t>
      </w:r>
      <w:r w:rsidR="000B0FC2">
        <w:rPr>
          <w:rFonts w:ascii="Times New Roman" w:hAnsi="Times New Roman"/>
          <w:sz w:val="24"/>
          <w:szCs w:val="24"/>
        </w:rPr>
        <w:t>status of construction and inspection reports; and concerns, potential problems, and cost overruns.</w:t>
      </w:r>
    </w:p>
    <w:p w:rsidRPr="00552547" w:rsidR="002A3138" w:rsidP="002A3138" w:rsidRDefault="002A3138" w14:paraId="64887F1F" w14:textId="77777777">
      <w:pPr>
        <w:ind w:left="720" w:hanging="720"/>
        <w:rPr>
          <w:rFonts w:ascii="Times New Roman" w:hAnsi="Times New Roman"/>
          <w:sz w:val="24"/>
          <w:szCs w:val="24"/>
        </w:rPr>
      </w:pPr>
    </w:p>
    <w:p w:rsidR="002A3138" w:rsidP="002A3138" w:rsidRDefault="002A3138" w14:paraId="6381B08F" w14:textId="77777777">
      <w:pPr>
        <w:rPr>
          <w:rFonts w:ascii="Times New Roman" w:hAnsi="Times New Roman"/>
          <w:sz w:val="24"/>
          <w:szCs w:val="24"/>
        </w:rPr>
      </w:pPr>
      <w:r>
        <w:rPr>
          <w:rFonts w:ascii="Times New Roman" w:hAnsi="Times New Roman"/>
          <w:sz w:val="24"/>
          <w:szCs w:val="24"/>
          <w:u w:val="single"/>
        </w:rPr>
        <w:t>Progress</w:t>
      </w:r>
      <w:r w:rsidRPr="00552547">
        <w:rPr>
          <w:rFonts w:ascii="Times New Roman" w:hAnsi="Times New Roman"/>
          <w:sz w:val="24"/>
          <w:szCs w:val="24"/>
          <w:u w:val="single"/>
        </w:rPr>
        <w:t xml:space="preserve"> reports</w:t>
      </w:r>
      <w:r w:rsidRPr="00552547">
        <w:rPr>
          <w:rFonts w:ascii="Times New Roman" w:hAnsi="Times New Roman"/>
          <w:sz w:val="24"/>
          <w:szCs w:val="24"/>
        </w:rPr>
        <w:t>.  During construction, the lender is required to submit quarterly progress reports to the Agency</w:t>
      </w:r>
      <w:r w:rsidR="000B0FC2">
        <w:rPr>
          <w:rFonts w:ascii="Times New Roman" w:hAnsi="Times New Roman"/>
          <w:sz w:val="24"/>
          <w:szCs w:val="24"/>
        </w:rPr>
        <w:t xml:space="preserve"> at the end of each calendar quarter</w:t>
      </w:r>
      <w:r w:rsidRPr="00552547">
        <w:rPr>
          <w:rFonts w:ascii="Times New Roman" w:hAnsi="Times New Roman"/>
          <w:sz w:val="24"/>
          <w:szCs w:val="24"/>
        </w:rPr>
        <w:t>.  These reports will contain, at a minimum, construction milestone attainment and personnel hiring, training, and retention.</w:t>
      </w:r>
    </w:p>
    <w:p w:rsidR="00820012" w:rsidP="002A3138" w:rsidRDefault="00820012" w14:paraId="015F5829" w14:textId="77777777">
      <w:pPr>
        <w:rPr>
          <w:rFonts w:ascii="Times New Roman" w:hAnsi="Times New Roman"/>
          <w:sz w:val="24"/>
          <w:szCs w:val="24"/>
        </w:rPr>
      </w:pPr>
    </w:p>
    <w:p w:rsidRPr="00552547" w:rsidR="00820012" w:rsidP="002A3138" w:rsidRDefault="00820012" w14:paraId="41C5DA30" w14:textId="77777777">
      <w:pPr>
        <w:rPr>
          <w:rFonts w:ascii="Times New Roman" w:hAnsi="Times New Roman"/>
          <w:sz w:val="24"/>
          <w:szCs w:val="24"/>
        </w:rPr>
      </w:pPr>
      <w:r w:rsidRPr="00820012">
        <w:rPr>
          <w:rFonts w:ascii="Times New Roman" w:hAnsi="Times New Roman"/>
          <w:sz w:val="24"/>
          <w:szCs w:val="24"/>
          <w:u w:val="single"/>
        </w:rPr>
        <w:t xml:space="preserve">Post-construction </w:t>
      </w:r>
      <w:r w:rsidR="00C74527">
        <w:rPr>
          <w:rFonts w:ascii="Times New Roman" w:hAnsi="Times New Roman"/>
          <w:sz w:val="24"/>
          <w:szCs w:val="24"/>
          <w:u w:val="single"/>
        </w:rPr>
        <w:t>permits, completion notice, and final accounting</w:t>
      </w:r>
      <w:r>
        <w:rPr>
          <w:rFonts w:ascii="Times New Roman" w:hAnsi="Times New Roman"/>
          <w:sz w:val="24"/>
          <w:szCs w:val="24"/>
        </w:rPr>
        <w:t xml:space="preserve">.  </w:t>
      </w:r>
      <w:r w:rsidR="000B0FC2">
        <w:rPr>
          <w:rFonts w:ascii="Times New Roman" w:hAnsi="Times New Roman"/>
          <w:sz w:val="24"/>
          <w:szCs w:val="24"/>
        </w:rPr>
        <w:t xml:space="preserve">Once construction is completed, the lender must provide the Agency with a copy of all required building permits with </w:t>
      </w:r>
      <w:proofErr w:type="gramStart"/>
      <w:r w:rsidR="000B0FC2">
        <w:rPr>
          <w:rFonts w:ascii="Times New Roman" w:hAnsi="Times New Roman"/>
          <w:sz w:val="24"/>
          <w:szCs w:val="24"/>
        </w:rPr>
        <w:t>sign-offs</w:t>
      </w:r>
      <w:proofErr w:type="gramEnd"/>
      <w:r w:rsidR="000B0FC2">
        <w:rPr>
          <w:rFonts w:ascii="Times New Roman" w:hAnsi="Times New Roman"/>
          <w:sz w:val="24"/>
          <w:szCs w:val="24"/>
        </w:rPr>
        <w:t>; notice of completion or Agency-approved equivalent; and a final accounting of sources and uses of all project funds.</w:t>
      </w:r>
    </w:p>
    <w:p w:rsidRPr="00552547" w:rsidR="005772AB" w:rsidP="00C95B81" w:rsidRDefault="005772AB" w14:paraId="5E502D3E" w14:textId="77777777">
      <w:pPr>
        <w:ind w:left="720" w:hanging="720"/>
        <w:rPr>
          <w:rFonts w:ascii="Times New Roman" w:hAnsi="Times New Roman"/>
          <w:sz w:val="24"/>
          <w:szCs w:val="24"/>
        </w:rPr>
      </w:pPr>
    </w:p>
    <w:p w:rsidRPr="00552547" w:rsidR="00D356D9" w:rsidP="00D356D9" w:rsidRDefault="001B18B0" w14:paraId="44E4859B" w14:textId="77777777">
      <w:pPr>
        <w:rPr>
          <w:rFonts w:ascii="Times New Roman" w:hAnsi="Times New Roman"/>
          <w:sz w:val="24"/>
          <w:szCs w:val="24"/>
        </w:rPr>
      </w:pPr>
      <w:r>
        <w:rPr>
          <w:rFonts w:ascii="Times New Roman" w:hAnsi="Times New Roman"/>
          <w:sz w:val="24"/>
          <w:szCs w:val="24"/>
          <w:u w:val="single"/>
        </w:rPr>
        <w:t>Non-binding l</w:t>
      </w:r>
      <w:r w:rsidRPr="00552547" w:rsidR="00D356D9">
        <w:rPr>
          <w:rFonts w:ascii="Times New Roman" w:hAnsi="Times New Roman"/>
          <w:sz w:val="24"/>
          <w:szCs w:val="24"/>
          <w:u w:val="single"/>
        </w:rPr>
        <w:t>etter of intent</w:t>
      </w:r>
      <w:r w:rsidRPr="00552547" w:rsidR="00D356D9">
        <w:rPr>
          <w:rFonts w:ascii="Times New Roman" w:hAnsi="Times New Roman"/>
          <w:sz w:val="24"/>
          <w:szCs w:val="24"/>
        </w:rPr>
        <w:t xml:space="preserve">.  The </w:t>
      </w:r>
      <w:r w:rsidR="00606B60">
        <w:rPr>
          <w:rFonts w:ascii="Times New Roman" w:hAnsi="Times New Roman"/>
          <w:sz w:val="24"/>
          <w:szCs w:val="24"/>
        </w:rPr>
        <w:t>l</w:t>
      </w:r>
      <w:r w:rsidRPr="00552547" w:rsidR="00D356D9">
        <w:rPr>
          <w:rFonts w:ascii="Times New Roman" w:hAnsi="Times New Roman"/>
          <w:sz w:val="24"/>
          <w:szCs w:val="24"/>
        </w:rPr>
        <w:t xml:space="preserve">ender or the </w:t>
      </w:r>
      <w:r w:rsidR="00606B60">
        <w:rPr>
          <w:rFonts w:ascii="Times New Roman" w:hAnsi="Times New Roman"/>
          <w:sz w:val="24"/>
          <w:szCs w:val="24"/>
        </w:rPr>
        <w:t>b</w:t>
      </w:r>
      <w:r w:rsidRPr="00552547" w:rsidR="00D356D9">
        <w:rPr>
          <w:rFonts w:ascii="Times New Roman" w:hAnsi="Times New Roman"/>
          <w:sz w:val="24"/>
          <w:szCs w:val="24"/>
        </w:rPr>
        <w:t xml:space="preserve">orrower must submit to the Agency a non-binding letter of intent to apply for loan guarantee prior to submitting the Phase 1 application.  The letter must identify the </w:t>
      </w:r>
      <w:r w:rsidR="00606B60">
        <w:rPr>
          <w:rFonts w:ascii="Times New Roman" w:hAnsi="Times New Roman"/>
          <w:sz w:val="24"/>
          <w:szCs w:val="24"/>
        </w:rPr>
        <w:t>b</w:t>
      </w:r>
      <w:r w:rsidRPr="00552547" w:rsidR="00D356D9">
        <w:rPr>
          <w:rFonts w:ascii="Times New Roman" w:hAnsi="Times New Roman"/>
          <w:sz w:val="24"/>
          <w:szCs w:val="24"/>
        </w:rPr>
        <w:t xml:space="preserve">orrower, the </w:t>
      </w:r>
      <w:r w:rsidR="00606B60">
        <w:rPr>
          <w:rFonts w:ascii="Times New Roman" w:hAnsi="Times New Roman"/>
          <w:sz w:val="24"/>
          <w:szCs w:val="24"/>
        </w:rPr>
        <w:t>l</w:t>
      </w:r>
      <w:r w:rsidRPr="00552547" w:rsidR="00D356D9">
        <w:rPr>
          <w:rFonts w:ascii="Times New Roman" w:hAnsi="Times New Roman"/>
          <w:sz w:val="24"/>
          <w:szCs w:val="24"/>
        </w:rPr>
        <w:t xml:space="preserve">ender and </w:t>
      </w:r>
      <w:r w:rsidR="00606B60">
        <w:rPr>
          <w:rFonts w:ascii="Times New Roman" w:hAnsi="Times New Roman"/>
          <w:sz w:val="24"/>
          <w:szCs w:val="24"/>
        </w:rPr>
        <w:t>p</w:t>
      </w:r>
      <w:r w:rsidRPr="00552547" w:rsidR="00D356D9">
        <w:rPr>
          <w:rFonts w:ascii="Times New Roman" w:hAnsi="Times New Roman"/>
          <w:sz w:val="24"/>
          <w:szCs w:val="24"/>
        </w:rPr>
        <w:t xml:space="preserve">roject sponsors; describe the </w:t>
      </w:r>
      <w:r w:rsidR="00606B60">
        <w:rPr>
          <w:rFonts w:ascii="Times New Roman" w:hAnsi="Times New Roman"/>
          <w:sz w:val="24"/>
          <w:szCs w:val="24"/>
        </w:rPr>
        <w:t>p</w:t>
      </w:r>
      <w:r w:rsidRPr="00552547" w:rsidR="00D356D9">
        <w:rPr>
          <w:rFonts w:ascii="Times New Roman" w:hAnsi="Times New Roman"/>
          <w:sz w:val="24"/>
          <w:szCs w:val="24"/>
        </w:rPr>
        <w:t xml:space="preserve">roject and </w:t>
      </w:r>
      <w:r w:rsidR="00606B60">
        <w:rPr>
          <w:rFonts w:ascii="Times New Roman" w:hAnsi="Times New Roman"/>
          <w:sz w:val="24"/>
          <w:szCs w:val="24"/>
        </w:rPr>
        <w:t>p</w:t>
      </w:r>
      <w:r w:rsidRPr="00552547" w:rsidR="00D356D9">
        <w:rPr>
          <w:rFonts w:ascii="Times New Roman" w:hAnsi="Times New Roman"/>
          <w:sz w:val="24"/>
          <w:szCs w:val="24"/>
        </w:rPr>
        <w:t xml:space="preserve">roject location; describe the proposed feedstock, primary technologies of the facility and primary products produced; estimate the </w:t>
      </w:r>
      <w:r w:rsidR="00606B60">
        <w:rPr>
          <w:rFonts w:ascii="Times New Roman" w:hAnsi="Times New Roman"/>
          <w:sz w:val="24"/>
          <w:szCs w:val="24"/>
        </w:rPr>
        <w:t>t</w:t>
      </w:r>
      <w:r w:rsidRPr="00552547" w:rsidR="00D356D9">
        <w:rPr>
          <w:rFonts w:ascii="Times New Roman" w:hAnsi="Times New Roman"/>
          <w:sz w:val="24"/>
          <w:szCs w:val="24"/>
        </w:rPr>
        <w:t xml:space="preserve">otal </w:t>
      </w:r>
      <w:r w:rsidR="00606B60">
        <w:rPr>
          <w:rFonts w:ascii="Times New Roman" w:hAnsi="Times New Roman"/>
          <w:sz w:val="24"/>
          <w:szCs w:val="24"/>
        </w:rPr>
        <w:t>p</w:t>
      </w:r>
      <w:r w:rsidRPr="00552547" w:rsidR="00D356D9">
        <w:rPr>
          <w:rFonts w:ascii="Times New Roman" w:hAnsi="Times New Roman"/>
          <w:sz w:val="24"/>
          <w:szCs w:val="24"/>
        </w:rPr>
        <w:t xml:space="preserve">roject </w:t>
      </w:r>
      <w:r w:rsidR="00606B60">
        <w:rPr>
          <w:rFonts w:ascii="Times New Roman" w:hAnsi="Times New Roman"/>
          <w:sz w:val="24"/>
          <w:szCs w:val="24"/>
        </w:rPr>
        <w:t>c</w:t>
      </w:r>
      <w:r w:rsidRPr="00552547" w:rsidR="00D356D9">
        <w:rPr>
          <w:rFonts w:ascii="Times New Roman" w:hAnsi="Times New Roman"/>
          <w:sz w:val="24"/>
          <w:szCs w:val="24"/>
        </w:rPr>
        <w:t>ost and amount of loan requested; and any additional information specified in the annual Federal Register notice, if any.  If the lender or borrower do not submit a letter of intent, the Agency is not obligated to accept the Phase 1 application.</w:t>
      </w:r>
    </w:p>
    <w:p w:rsidRPr="00552547" w:rsidR="00C2184E" w:rsidP="00D356D9" w:rsidRDefault="00C2184E" w14:paraId="0DE65C3C" w14:textId="77777777">
      <w:pPr>
        <w:rPr>
          <w:rFonts w:ascii="Times New Roman" w:hAnsi="Times New Roman"/>
          <w:sz w:val="24"/>
          <w:szCs w:val="24"/>
        </w:rPr>
      </w:pPr>
    </w:p>
    <w:p w:rsidRPr="00552547" w:rsidR="00C2184E" w:rsidP="00D356D9" w:rsidRDefault="00C2184E" w14:paraId="596D23DD" w14:textId="77777777">
      <w:pPr>
        <w:rPr>
          <w:rFonts w:ascii="Times New Roman" w:hAnsi="Times New Roman"/>
          <w:sz w:val="24"/>
          <w:szCs w:val="24"/>
        </w:rPr>
      </w:pPr>
      <w:r w:rsidRPr="00552547">
        <w:rPr>
          <w:rFonts w:ascii="Times New Roman" w:hAnsi="Times New Roman"/>
          <w:sz w:val="24"/>
          <w:szCs w:val="24"/>
          <w:u w:val="single"/>
        </w:rPr>
        <w:lastRenderedPageBreak/>
        <w:t>Application withdrawal notification</w:t>
      </w:r>
      <w:r w:rsidRPr="00552547">
        <w:rPr>
          <w:rFonts w:ascii="Times New Roman" w:hAnsi="Times New Roman"/>
          <w:sz w:val="24"/>
          <w:szCs w:val="24"/>
        </w:rPr>
        <w:t>.  If, during the period between the submission of an application and the execution of documents, if the project is no longer viable or the borrower is no longer requesting financial assistance for the project, the lender must submit a written notification to the Agency.  The Agency will then either rescind the project’s selection or withdraw the application, as applicable.</w:t>
      </w:r>
    </w:p>
    <w:p w:rsidRPr="00552547" w:rsidR="00C2184E" w:rsidP="00D356D9" w:rsidRDefault="00C2184E" w14:paraId="4B05CCB8" w14:textId="77777777">
      <w:pPr>
        <w:rPr>
          <w:rFonts w:ascii="Times New Roman" w:hAnsi="Times New Roman"/>
          <w:sz w:val="24"/>
          <w:szCs w:val="24"/>
        </w:rPr>
      </w:pPr>
    </w:p>
    <w:p w:rsidRPr="00552547" w:rsidR="00C2184E" w:rsidP="00D356D9" w:rsidRDefault="00C2184E" w14:paraId="388B9D37" w14:textId="77777777">
      <w:pPr>
        <w:rPr>
          <w:rFonts w:ascii="Times New Roman" w:hAnsi="Times New Roman"/>
          <w:sz w:val="24"/>
          <w:szCs w:val="24"/>
        </w:rPr>
      </w:pPr>
      <w:r w:rsidRPr="00552547">
        <w:rPr>
          <w:rFonts w:ascii="Times New Roman" w:hAnsi="Times New Roman"/>
          <w:sz w:val="24"/>
          <w:szCs w:val="24"/>
          <w:u w:val="single"/>
        </w:rPr>
        <w:t>Application revisions and updates</w:t>
      </w:r>
      <w:r w:rsidRPr="00552547">
        <w:rPr>
          <w:rFonts w:ascii="Times New Roman" w:hAnsi="Times New Roman"/>
          <w:sz w:val="24"/>
          <w:szCs w:val="24"/>
        </w:rPr>
        <w:t xml:space="preserve">.  If, during the period between the submission of an application and the execution of loan documents, there are changes to the project, the lender must notify the Agency, in writing, of those changes.  Examples of changes include revisions to technology utilized in the project, feedstock, off-take, </w:t>
      </w:r>
      <w:r w:rsidR="00820012">
        <w:rPr>
          <w:rFonts w:ascii="Times New Roman" w:hAnsi="Times New Roman"/>
          <w:sz w:val="24"/>
          <w:szCs w:val="24"/>
        </w:rPr>
        <w:t xml:space="preserve">ownership structure, </w:t>
      </w:r>
      <w:r w:rsidRPr="00552547">
        <w:rPr>
          <w:rFonts w:ascii="Times New Roman" w:hAnsi="Times New Roman"/>
          <w:sz w:val="24"/>
          <w:szCs w:val="24"/>
        </w:rPr>
        <w:t>and project financing.  Upon receipt of such notification, the Agency may require submittal of an updated application and supporting materials.</w:t>
      </w:r>
    </w:p>
    <w:p w:rsidRPr="00552547" w:rsidR="005772AB" w:rsidP="00C95B81" w:rsidRDefault="005772AB" w14:paraId="5F1B0FCF" w14:textId="77777777">
      <w:pPr>
        <w:ind w:left="720" w:hanging="720"/>
        <w:rPr>
          <w:rFonts w:ascii="Times New Roman" w:hAnsi="Times New Roman"/>
          <w:sz w:val="24"/>
          <w:szCs w:val="24"/>
        </w:rPr>
      </w:pPr>
    </w:p>
    <w:p w:rsidRPr="00552547" w:rsidR="008651C1" w:rsidP="008651C1" w:rsidRDefault="008651C1" w14:paraId="2C3A6752" w14:textId="1F716E74">
      <w:pPr>
        <w:widowControl w:val="0"/>
        <w:tabs>
          <w:tab w:val="left" w:pos="0"/>
          <w:tab w:val="left" w:pos="2160"/>
          <w:tab w:val="left" w:pos="4320"/>
          <w:tab w:val="left" w:pos="6480"/>
          <w:tab w:val="left" w:pos="8640"/>
        </w:tabs>
        <w:rPr>
          <w:rFonts w:ascii="Times New Roman" w:hAnsi="Times New Roman"/>
          <w:sz w:val="24"/>
          <w:szCs w:val="24"/>
        </w:rPr>
      </w:pPr>
      <w:r w:rsidRPr="00552547">
        <w:rPr>
          <w:rFonts w:ascii="Times New Roman" w:hAnsi="Times New Roman"/>
          <w:sz w:val="24"/>
          <w:szCs w:val="24"/>
          <w:u w:val="single"/>
        </w:rPr>
        <w:t>Phase 1 Application Requirements</w:t>
      </w:r>
      <w:r w:rsidR="003E1418">
        <w:rPr>
          <w:rFonts w:ascii="Times New Roman" w:hAnsi="Times New Roman"/>
          <w:sz w:val="24"/>
          <w:szCs w:val="24"/>
          <w:u w:val="single"/>
        </w:rPr>
        <w:t>.</w:t>
      </w:r>
      <w:r w:rsidRPr="00280805" w:rsidR="00280805">
        <w:rPr>
          <w:rFonts w:ascii="Times New Roman" w:hAnsi="Times New Roman"/>
          <w:sz w:val="24"/>
          <w:szCs w:val="24"/>
        </w:rPr>
        <w:t xml:space="preserve"> (applicable to advanced biofuel, renewable chemical, and biobased product manufacturing projects)</w:t>
      </w:r>
      <w:r w:rsidRPr="00552547">
        <w:rPr>
          <w:rFonts w:ascii="Times New Roman" w:hAnsi="Times New Roman"/>
          <w:sz w:val="24"/>
          <w:szCs w:val="24"/>
        </w:rPr>
        <w:t>.  Applicants must submit</w:t>
      </w:r>
      <w:r w:rsidR="006D6A2B">
        <w:rPr>
          <w:rFonts w:ascii="Times New Roman" w:hAnsi="Times New Roman"/>
          <w:sz w:val="24"/>
          <w:szCs w:val="24"/>
        </w:rPr>
        <w:t>,</w:t>
      </w:r>
      <w:r w:rsidRPr="00552547">
        <w:rPr>
          <w:rFonts w:ascii="Times New Roman" w:hAnsi="Times New Roman"/>
          <w:sz w:val="24"/>
          <w:szCs w:val="24"/>
        </w:rPr>
        <w:t xml:space="preserve"> with the application form</w:t>
      </w:r>
      <w:r w:rsidR="006D6A2B">
        <w:rPr>
          <w:rFonts w:ascii="Times New Roman" w:hAnsi="Times New Roman"/>
          <w:sz w:val="24"/>
          <w:szCs w:val="24"/>
        </w:rPr>
        <w:t>,</w:t>
      </w:r>
      <w:r w:rsidRPr="00552547">
        <w:rPr>
          <w:rFonts w:ascii="Times New Roman" w:hAnsi="Times New Roman"/>
          <w:sz w:val="24"/>
          <w:szCs w:val="24"/>
        </w:rPr>
        <w:t xml:space="preserve"> a package that contains the following elements:</w:t>
      </w:r>
    </w:p>
    <w:p w:rsidRPr="00552547" w:rsidR="008651C1" w:rsidP="008651C1" w:rsidRDefault="008651C1" w14:paraId="579A7693"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8651C1" w:rsidP="008651C1" w:rsidRDefault="008651C1" w14:paraId="5BC3D1AC"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Borrower eligibility</w:t>
      </w:r>
      <w:r w:rsidRPr="00552547">
        <w:rPr>
          <w:rFonts w:ascii="Times New Roman" w:hAnsi="Times New Roman"/>
          <w:sz w:val="24"/>
          <w:szCs w:val="24"/>
        </w:rPr>
        <w:t>.  A description of how the borrower meets the eligibility criteria for borrower.</w:t>
      </w:r>
    </w:p>
    <w:p w:rsidRPr="00552547" w:rsidR="008651C1" w:rsidP="008651C1" w:rsidRDefault="008651C1" w14:paraId="024F9F63"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 eligibility</w:t>
      </w:r>
      <w:r w:rsidRPr="00552547">
        <w:rPr>
          <w:rFonts w:ascii="Times New Roman" w:hAnsi="Times New Roman"/>
          <w:sz w:val="24"/>
          <w:szCs w:val="24"/>
        </w:rPr>
        <w:t>.  A description of how the project meets the eligibility criteria for projects.</w:t>
      </w:r>
    </w:p>
    <w:p w:rsidRPr="00552547" w:rsidR="008651C1" w:rsidP="008651C1" w:rsidRDefault="00167F75" w14:paraId="43A23BA8"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w:t>
      </w:r>
      <w:r w:rsidRPr="00552547" w:rsidR="008651C1">
        <w:rPr>
          <w:rFonts w:ascii="Times New Roman" w:hAnsi="Times New Roman"/>
          <w:sz w:val="24"/>
          <w:szCs w:val="24"/>
          <w:u w:val="single"/>
        </w:rPr>
        <w:t xml:space="preserve"> funds</w:t>
      </w:r>
      <w:r w:rsidRPr="00552547" w:rsidR="008651C1">
        <w:rPr>
          <w:rFonts w:ascii="Times New Roman" w:hAnsi="Times New Roman"/>
          <w:sz w:val="24"/>
          <w:szCs w:val="24"/>
        </w:rPr>
        <w:t>.  Identification of sources, amounts, and status of funds.</w:t>
      </w:r>
    </w:p>
    <w:p w:rsidRPr="00552547" w:rsidR="00167F75" w:rsidP="008651C1" w:rsidRDefault="00167F75" w14:paraId="41D779B2"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Project timeline</w:t>
      </w:r>
      <w:r w:rsidRPr="00552547">
        <w:rPr>
          <w:rFonts w:ascii="Times New Roman" w:hAnsi="Times New Roman"/>
          <w:sz w:val="24"/>
          <w:szCs w:val="24"/>
        </w:rPr>
        <w:t>.  Identify the schedule of milestones and timeline for the project.</w:t>
      </w:r>
    </w:p>
    <w:p w:rsidRPr="00552547" w:rsidR="00167F75" w:rsidP="008651C1" w:rsidRDefault="00167F75" w14:paraId="02646E18"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Application form</w:t>
      </w:r>
      <w:r w:rsidRPr="00552547">
        <w:rPr>
          <w:rFonts w:ascii="Times New Roman" w:hAnsi="Times New Roman"/>
          <w:sz w:val="24"/>
          <w:szCs w:val="24"/>
        </w:rPr>
        <w:t>.  (See below)</w:t>
      </w:r>
    </w:p>
    <w:p w:rsidRPr="00552547" w:rsidR="008651C1" w:rsidP="008651C1" w:rsidRDefault="008651C1" w14:paraId="61E04CAF"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Financial statements</w:t>
      </w:r>
      <w:r w:rsidRPr="00552547" w:rsidR="00167F75">
        <w:rPr>
          <w:rFonts w:ascii="Times New Roman" w:hAnsi="Times New Roman"/>
          <w:sz w:val="24"/>
          <w:szCs w:val="24"/>
        </w:rPr>
        <w:t xml:space="preserve">. </w:t>
      </w:r>
      <w:r w:rsidRPr="00552547">
        <w:rPr>
          <w:rFonts w:ascii="Times New Roman" w:hAnsi="Times New Roman"/>
          <w:sz w:val="24"/>
          <w:szCs w:val="24"/>
        </w:rPr>
        <w:t xml:space="preserve"> </w:t>
      </w:r>
      <w:r w:rsidRPr="00552547" w:rsidR="00E336C2">
        <w:rPr>
          <w:rFonts w:ascii="Times New Roman" w:hAnsi="Times New Roman"/>
          <w:sz w:val="24"/>
          <w:szCs w:val="24"/>
        </w:rPr>
        <w:t xml:space="preserve">The most recent audited financial statements of the borrower, unless alternative financial statements are authorized by the Agency and a current (not more than 90 days old) balance sheet and a pro forma balance sheet at startup.  </w:t>
      </w:r>
    </w:p>
    <w:p w:rsidRPr="00552547" w:rsidR="008651C1" w:rsidP="00167F75" w:rsidRDefault="00167F75" w14:paraId="74EAB7BB"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 xml:space="preserve">Project financial </w:t>
      </w:r>
      <w:r w:rsidR="00820012">
        <w:rPr>
          <w:rFonts w:ascii="Times New Roman" w:hAnsi="Times New Roman"/>
          <w:sz w:val="24"/>
          <w:szCs w:val="24"/>
          <w:u w:val="single"/>
        </w:rPr>
        <w:t>framework</w:t>
      </w:r>
      <w:r w:rsidRPr="00552547">
        <w:rPr>
          <w:rFonts w:ascii="Times New Roman" w:hAnsi="Times New Roman"/>
          <w:sz w:val="24"/>
          <w:szCs w:val="24"/>
        </w:rPr>
        <w:t xml:space="preserve">.  </w:t>
      </w:r>
      <w:r w:rsidRPr="00552547" w:rsidR="00E336C2">
        <w:rPr>
          <w:rFonts w:ascii="Times New Roman" w:hAnsi="Times New Roman"/>
          <w:sz w:val="24"/>
          <w:szCs w:val="24"/>
        </w:rPr>
        <w:t xml:space="preserve">Submit electronically the </w:t>
      </w:r>
      <w:r w:rsidR="00820012">
        <w:rPr>
          <w:rFonts w:ascii="Times New Roman" w:hAnsi="Times New Roman"/>
          <w:sz w:val="24"/>
          <w:szCs w:val="24"/>
        </w:rPr>
        <w:t>project financial framework</w:t>
      </w:r>
      <w:r w:rsidRPr="00552547" w:rsidR="00E336C2">
        <w:rPr>
          <w:rFonts w:ascii="Times New Roman" w:hAnsi="Times New Roman"/>
          <w:sz w:val="24"/>
          <w:szCs w:val="24"/>
        </w:rPr>
        <w:t>, which must address, but is not limited to, projected Project budget and projected balance sheets, income and expense statements, and cash flow statements, and Working Capital and capital expense projections for not less than the term of the loan.</w:t>
      </w:r>
      <w:r w:rsidRPr="00552547" w:rsidR="000E6662">
        <w:rPr>
          <w:rFonts w:ascii="Times New Roman" w:hAnsi="Times New Roman"/>
          <w:sz w:val="24"/>
          <w:szCs w:val="24"/>
        </w:rPr>
        <w:t xml:space="preserve">  Provide list of assumptions used in the projections.  Depending on the complexity of the project and the financial condition of the borrower, the Agency may require additional financial statements and related information.</w:t>
      </w:r>
    </w:p>
    <w:p w:rsidRPr="00552547" w:rsidR="008651C1" w:rsidP="008651C1" w:rsidRDefault="008651C1" w14:paraId="6B976FD3"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Feasibility stud</w:t>
      </w:r>
      <w:r w:rsidRPr="00552547" w:rsidR="00167F75">
        <w:rPr>
          <w:rFonts w:ascii="Times New Roman" w:hAnsi="Times New Roman"/>
          <w:sz w:val="24"/>
          <w:szCs w:val="24"/>
          <w:u w:val="single"/>
        </w:rPr>
        <w:t>y</w:t>
      </w:r>
      <w:r w:rsidRPr="00552547">
        <w:rPr>
          <w:rFonts w:ascii="Times New Roman" w:hAnsi="Times New Roman"/>
          <w:sz w:val="24"/>
          <w:szCs w:val="24"/>
        </w:rPr>
        <w:t>.  The study must address the economic, market, technical, financial, and management feasibility of the project</w:t>
      </w:r>
      <w:r w:rsidRPr="00552547" w:rsidR="00167F75">
        <w:rPr>
          <w:rFonts w:ascii="Times New Roman" w:hAnsi="Times New Roman"/>
          <w:sz w:val="24"/>
          <w:szCs w:val="24"/>
        </w:rPr>
        <w:t xml:space="preserve">, as well as the qualifications of </w:t>
      </w:r>
      <w:r w:rsidRPr="00552547" w:rsidR="000E6662">
        <w:rPr>
          <w:rFonts w:ascii="Times New Roman" w:hAnsi="Times New Roman"/>
          <w:sz w:val="24"/>
          <w:szCs w:val="24"/>
        </w:rPr>
        <w:t>the study’s authors and contributors</w:t>
      </w:r>
      <w:r w:rsidRPr="00552547">
        <w:rPr>
          <w:rFonts w:ascii="Times New Roman" w:hAnsi="Times New Roman"/>
          <w:sz w:val="24"/>
          <w:szCs w:val="24"/>
        </w:rPr>
        <w:t xml:space="preserve">.  These studies are used by the lender </w:t>
      </w:r>
      <w:r w:rsidRPr="00552547">
        <w:rPr>
          <w:rFonts w:ascii="Times New Roman" w:hAnsi="Times New Roman"/>
          <w:color w:val="000000"/>
          <w:sz w:val="24"/>
          <w:szCs w:val="24"/>
        </w:rPr>
        <w:t xml:space="preserve">and Agency to help determine the creditworthiness of the proposal.  </w:t>
      </w:r>
    </w:p>
    <w:p w:rsidRPr="00552547" w:rsidR="008651C1" w:rsidP="008651C1" w:rsidRDefault="00167F75" w14:paraId="2BA9EB43"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Business plan</w:t>
      </w:r>
      <w:r w:rsidR="003E1418">
        <w:rPr>
          <w:rFonts w:ascii="Times New Roman" w:hAnsi="Times New Roman"/>
          <w:sz w:val="24"/>
          <w:szCs w:val="24"/>
          <w:u w:val="single"/>
        </w:rPr>
        <w:t>.</w:t>
      </w:r>
      <w:r w:rsidRPr="00552547">
        <w:rPr>
          <w:rFonts w:ascii="Times New Roman" w:hAnsi="Times New Roman"/>
          <w:sz w:val="24"/>
          <w:szCs w:val="24"/>
        </w:rPr>
        <w:t xml:space="preserve"> A business plan is prepared, typically by the applicant, which describes at a minimum, the business and project, management experience, products and services, proposed use of loan funds, availability of labor, raw materials and supplies, and the names of any corporate parent, affiliates, and subsidiaries with a </w:t>
      </w:r>
      <w:r w:rsidRPr="00552547">
        <w:rPr>
          <w:rFonts w:ascii="Times New Roman" w:hAnsi="Times New Roman"/>
          <w:sz w:val="24"/>
          <w:szCs w:val="24"/>
        </w:rPr>
        <w:lastRenderedPageBreak/>
        <w:t>description of the relationship.</w:t>
      </w:r>
    </w:p>
    <w:p w:rsidRPr="00552547" w:rsidR="008651C1" w:rsidP="008651C1" w:rsidRDefault="00167F75" w14:paraId="30B33BB0" w14:textId="66B64218">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Scoring information</w:t>
      </w:r>
      <w:r w:rsidRPr="00552547" w:rsidR="008651C1">
        <w:rPr>
          <w:rFonts w:ascii="Times New Roman" w:hAnsi="Times New Roman"/>
          <w:sz w:val="24"/>
          <w:szCs w:val="24"/>
        </w:rPr>
        <w:t xml:space="preserve">.  </w:t>
      </w:r>
      <w:r w:rsidRPr="00552547" w:rsidR="00805B16">
        <w:rPr>
          <w:rFonts w:ascii="Times New Roman" w:hAnsi="Times New Roman"/>
          <w:sz w:val="24"/>
          <w:szCs w:val="24"/>
        </w:rPr>
        <w:t>Include information that allows the Agency to score the application in accordance with §4279.266 of the rule.</w:t>
      </w:r>
    </w:p>
    <w:p w:rsidRPr="00552547" w:rsidR="00167F75" w:rsidP="3B6F032B" w:rsidRDefault="00167F75" w14:paraId="67059A50" w14:textId="31024746">
      <w:pPr>
        <w:widowControl w:val="0"/>
        <w:numPr>
          <w:ilvl w:val="0"/>
          <w:numId w:val="8"/>
        </w:numPr>
        <w:tabs>
          <w:tab w:val="clear" w:pos="720"/>
          <w:tab w:val="num" w:pos="1080"/>
          <w:tab w:val="left" w:pos="4320"/>
          <w:tab w:val="left" w:pos="6480"/>
          <w:tab w:val="left" w:pos="8640"/>
        </w:tabs>
        <w:suppressAutoHyphens/>
        <w:spacing w:after="120"/>
        <w:ind w:left="1080" w:hanging="720"/>
        <w:rPr>
          <w:rFonts w:ascii="Times New Roman" w:hAnsi="Times New Roman"/>
          <w:sz w:val="24"/>
          <w:szCs w:val="24"/>
        </w:rPr>
      </w:pPr>
      <w:r w:rsidRPr="3E24305B">
        <w:rPr>
          <w:rFonts w:ascii="Times New Roman" w:hAnsi="Times New Roman"/>
          <w:sz w:val="24"/>
          <w:szCs w:val="24"/>
          <w:u w:val="single"/>
        </w:rPr>
        <w:t>Intergovernmental consultation</w:t>
      </w:r>
      <w:r w:rsidRPr="3E24305B">
        <w:rPr>
          <w:rFonts w:ascii="Times New Roman" w:hAnsi="Times New Roman"/>
          <w:sz w:val="24"/>
          <w:szCs w:val="24"/>
        </w:rPr>
        <w:t xml:space="preserve">.  The applicant is required to comply with RD Instruction 1940-J and 7 CFR part 3015, subpart V.  This is to ensure the project </w:t>
      </w:r>
      <w:proofErr w:type="gramStart"/>
      <w:r w:rsidRPr="3E24305B">
        <w:rPr>
          <w:rFonts w:ascii="Times New Roman" w:hAnsi="Times New Roman"/>
          <w:sz w:val="24"/>
          <w:szCs w:val="24"/>
        </w:rPr>
        <w:t>is in compliance with</w:t>
      </w:r>
      <w:proofErr w:type="gramEnd"/>
      <w:r w:rsidRPr="3E24305B">
        <w:rPr>
          <w:rFonts w:ascii="Times New Roman" w:hAnsi="Times New Roman"/>
          <w:sz w:val="24"/>
          <w:szCs w:val="24"/>
        </w:rPr>
        <w:t xml:space="preserve"> State and local development strategies. </w:t>
      </w:r>
    </w:p>
    <w:p w:rsidRPr="00552547" w:rsidR="00167F75" w:rsidP="008651C1" w:rsidRDefault="006124D7" w14:paraId="5CFDE4EC"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Pr>
          <w:rFonts w:ascii="Times New Roman" w:hAnsi="Times New Roman"/>
          <w:sz w:val="24"/>
          <w:szCs w:val="24"/>
          <w:u w:val="single"/>
        </w:rPr>
        <w:t>UEI</w:t>
      </w:r>
      <w:r w:rsidRPr="00552547">
        <w:rPr>
          <w:rFonts w:ascii="Times New Roman" w:hAnsi="Times New Roman"/>
          <w:sz w:val="24"/>
          <w:szCs w:val="24"/>
          <w:u w:val="single"/>
        </w:rPr>
        <w:t xml:space="preserve"> </w:t>
      </w:r>
      <w:r w:rsidRPr="00552547" w:rsidR="00167F75">
        <w:rPr>
          <w:rFonts w:ascii="Times New Roman" w:hAnsi="Times New Roman"/>
          <w:sz w:val="24"/>
          <w:szCs w:val="24"/>
          <w:u w:val="single"/>
        </w:rPr>
        <w:t>number</w:t>
      </w:r>
      <w:r w:rsidRPr="00552547" w:rsidR="00167F75">
        <w:rPr>
          <w:rFonts w:ascii="Times New Roman" w:hAnsi="Times New Roman"/>
          <w:sz w:val="24"/>
          <w:szCs w:val="24"/>
        </w:rPr>
        <w:t xml:space="preserve">.  </w:t>
      </w:r>
      <w:r w:rsidRPr="00552547" w:rsidR="00805B16">
        <w:rPr>
          <w:rFonts w:ascii="Times New Roman" w:hAnsi="Times New Roman"/>
          <w:sz w:val="24"/>
          <w:szCs w:val="24"/>
        </w:rPr>
        <w:t xml:space="preserve">For borrowers other than individuals, provide the </w:t>
      </w:r>
      <w:r>
        <w:rPr>
          <w:rFonts w:ascii="Times New Roman" w:hAnsi="Times New Roman"/>
          <w:sz w:val="24"/>
          <w:szCs w:val="24"/>
        </w:rPr>
        <w:t>Unique Entity Identifier</w:t>
      </w:r>
      <w:r w:rsidRPr="00552547" w:rsidR="00805B16">
        <w:rPr>
          <w:rFonts w:ascii="Times New Roman" w:hAnsi="Times New Roman"/>
          <w:sz w:val="24"/>
          <w:szCs w:val="24"/>
        </w:rPr>
        <w:t xml:space="preserve"> (</w:t>
      </w:r>
      <w:r>
        <w:rPr>
          <w:rFonts w:ascii="Times New Roman" w:hAnsi="Times New Roman"/>
          <w:sz w:val="24"/>
          <w:szCs w:val="24"/>
        </w:rPr>
        <w:t>UEI</w:t>
      </w:r>
      <w:r w:rsidRPr="00552547" w:rsidR="00805B16">
        <w:rPr>
          <w:rFonts w:ascii="Times New Roman" w:hAnsi="Times New Roman"/>
          <w:sz w:val="24"/>
          <w:szCs w:val="24"/>
        </w:rPr>
        <w:t>) number.</w:t>
      </w:r>
    </w:p>
    <w:p w:rsidRPr="00552547" w:rsidR="00167F75" w:rsidP="008651C1" w:rsidRDefault="00167F75" w14:paraId="1344273A" w14:textId="77777777">
      <w:pPr>
        <w:widowControl w:val="0"/>
        <w:numPr>
          <w:ilvl w:val="0"/>
          <w:numId w:val="8"/>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Other information</w:t>
      </w:r>
      <w:r w:rsidRPr="00552547">
        <w:rPr>
          <w:rFonts w:ascii="Times New Roman" w:hAnsi="Times New Roman"/>
          <w:sz w:val="24"/>
          <w:szCs w:val="24"/>
        </w:rPr>
        <w:t xml:space="preserve">.  </w:t>
      </w:r>
      <w:r w:rsidRPr="00552547" w:rsidR="00805B16">
        <w:rPr>
          <w:rFonts w:ascii="Times New Roman" w:hAnsi="Times New Roman"/>
          <w:sz w:val="24"/>
          <w:szCs w:val="24"/>
        </w:rPr>
        <w:t>Submit any other information as requested by the Agency to allow the Agency to evaluate the application.</w:t>
      </w:r>
    </w:p>
    <w:p w:rsidRPr="00552547" w:rsidR="008651C1" w:rsidP="00C95B81" w:rsidRDefault="008651C1" w14:paraId="38A1885B" w14:textId="77777777">
      <w:pPr>
        <w:ind w:left="720" w:hanging="720"/>
        <w:rPr>
          <w:rFonts w:ascii="Times New Roman" w:hAnsi="Times New Roman"/>
          <w:sz w:val="24"/>
          <w:szCs w:val="24"/>
        </w:rPr>
      </w:pPr>
    </w:p>
    <w:p w:rsidRPr="00552547" w:rsidR="008651C1" w:rsidP="008651C1" w:rsidRDefault="008651C1" w14:paraId="27F8CBF3" w14:textId="77777777">
      <w:pPr>
        <w:widowControl w:val="0"/>
        <w:tabs>
          <w:tab w:val="left" w:pos="0"/>
          <w:tab w:val="left" w:pos="2160"/>
          <w:tab w:val="left" w:pos="4320"/>
          <w:tab w:val="left" w:pos="6480"/>
          <w:tab w:val="left" w:pos="8640"/>
        </w:tabs>
        <w:rPr>
          <w:rFonts w:ascii="Times New Roman" w:hAnsi="Times New Roman"/>
          <w:sz w:val="24"/>
          <w:szCs w:val="24"/>
        </w:rPr>
      </w:pPr>
      <w:r w:rsidRPr="00552547">
        <w:rPr>
          <w:rFonts w:ascii="Times New Roman" w:hAnsi="Times New Roman"/>
          <w:sz w:val="24"/>
          <w:szCs w:val="24"/>
          <w:u w:val="single"/>
        </w:rPr>
        <w:t>Phase 2 Application Requirements</w:t>
      </w:r>
      <w:r w:rsidR="003E1418">
        <w:rPr>
          <w:rFonts w:ascii="Times New Roman" w:hAnsi="Times New Roman"/>
          <w:sz w:val="24"/>
          <w:szCs w:val="24"/>
          <w:u w:val="single"/>
        </w:rPr>
        <w:t>.</w:t>
      </w:r>
      <w:r w:rsidRPr="00280805" w:rsidR="00280805">
        <w:rPr>
          <w:rFonts w:ascii="Times New Roman" w:hAnsi="Times New Roman"/>
          <w:sz w:val="24"/>
          <w:szCs w:val="24"/>
        </w:rPr>
        <w:t xml:space="preserve"> (applicable to advanced biofuel, renewable chemical, and biobased product manufacturing projects)</w:t>
      </w:r>
      <w:r w:rsidRPr="00552547">
        <w:rPr>
          <w:rFonts w:ascii="Times New Roman" w:hAnsi="Times New Roman"/>
          <w:sz w:val="24"/>
          <w:szCs w:val="24"/>
        </w:rPr>
        <w:t xml:space="preserve">.  </w:t>
      </w:r>
      <w:r w:rsidRPr="00552547" w:rsidR="00240D26">
        <w:rPr>
          <w:rFonts w:ascii="Times New Roman" w:hAnsi="Times New Roman"/>
          <w:sz w:val="24"/>
          <w:szCs w:val="24"/>
        </w:rPr>
        <w:t>The Agency will invite high-scoring Phase 1 a</w:t>
      </w:r>
      <w:r w:rsidRPr="00552547">
        <w:rPr>
          <w:rFonts w:ascii="Times New Roman" w:hAnsi="Times New Roman"/>
          <w:sz w:val="24"/>
          <w:szCs w:val="24"/>
        </w:rPr>
        <w:t xml:space="preserve">pplicants </w:t>
      </w:r>
      <w:r w:rsidRPr="00552547" w:rsidR="00240D26">
        <w:rPr>
          <w:rFonts w:ascii="Times New Roman" w:hAnsi="Times New Roman"/>
          <w:sz w:val="24"/>
          <w:szCs w:val="24"/>
        </w:rPr>
        <w:t xml:space="preserve">to </w:t>
      </w:r>
      <w:r w:rsidRPr="00552547">
        <w:rPr>
          <w:rFonts w:ascii="Times New Roman" w:hAnsi="Times New Roman"/>
          <w:sz w:val="24"/>
          <w:szCs w:val="24"/>
        </w:rPr>
        <w:t xml:space="preserve">submit </w:t>
      </w:r>
      <w:r w:rsidRPr="00552547" w:rsidR="00240D26">
        <w:rPr>
          <w:rFonts w:ascii="Times New Roman" w:hAnsi="Times New Roman"/>
          <w:sz w:val="24"/>
          <w:szCs w:val="24"/>
        </w:rPr>
        <w:t xml:space="preserve">a Phase 2 application, which </w:t>
      </w:r>
      <w:r w:rsidRPr="00552547">
        <w:rPr>
          <w:rFonts w:ascii="Times New Roman" w:hAnsi="Times New Roman"/>
          <w:sz w:val="24"/>
          <w:szCs w:val="24"/>
        </w:rPr>
        <w:t>contains the following elements:</w:t>
      </w:r>
    </w:p>
    <w:p w:rsidRPr="00552547" w:rsidR="001D200A" w:rsidP="001D200A" w:rsidRDefault="001D200A" w14:paraId="0EB4E84C" w14:textId="77777777">
      <w:pPr>
        <w:rPr>
          <w:rFonts w:ascii="Times New Roman" w:hAnsi="Times New Roman"/>
          <w:sz w:val="24"/>
          <w:szCs w:val="24"/>
        </w:rPr>
      </w:pPr>
    </w:p>
    <w:p w:rsidR="001D200A" w:rsidP="00167F75" w:rsidRDefault="001D200A" w14:paraId="4D4055DE"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Updates (as appropriate)</w:t>
      </w:r>
      <w:r>
        <w:rPr>
          <w:rFonts w:ascii="Times New Roman" w:hAnsi="Times New Roman"/>
          <w:sz w:val="24"/>
          <w:szCs w:val="24"/>
          <w:u w:val="single"/>
        </w:rPr>
        <w:t xml:space="preserve"> and certification of lower loan guarantee amount</w:t>
      </w:r>
      <w:r w:rsidRPr="00552547">
        <w:rPr>
          <w:rFonts w:ascii="Times New Roman" w:hAnsi="Times New Roman"/>
          <w:sz w:val="24"/>
          <w:szCs w:val="24"/>
        </w:rPr>
        <w:t>.  As appropriate, applicants must update the contents of the Phase 1 application.</w:t>
      </w:r>
      <w:r>
        <w:rPr>
          <w:rFonts w:ascii="Times New Roman" w:hAnsi="Times New Roman"/>
          <w:sz w:val="24"/>
          <w:szCs w:val="24"/>
        </w:rPr>
        <w:t xml:space="preserve">  </w:t>
      </w:r>
    </w:p>
    <w:p w:rsidR="008651C1" w:rsidP="001D200A" w:rsidRDefault="001D200A" w14:paraId="382B1092" w14:textId="77777777">
      <w:pPr>
        <w:widowControl w:val="0"/>
        <w:tabs>
          <w:tab w:val="left" w:pos="0"/>
          <w:tab w:val="left" w:pos="4320"/>
          <w:tab w:val="left" w:pos="6480"/>
          <w:tab w:val="left" w:pos="8640"/>
        </w:tabs>
        <w:suppressAutoHyphens/>
        <w:spacing w:after="120"/>
        <w:ind w:left="1080"/>
        <w:rPr>
          <w:rFonts w:ascii="Times New Roman" w:hAnsi="Times New Roman"/>
          <w:sz w:val="24"/>
          <w:szCs w:val="24"/>
        </w:rPr>
      </w:pPr>
      <w:r>
        <w:rPr>
          <w:rFonts w:ascii="Times New Roman" w:hAnsi="Times New Roman"/>
          <w:sz w:val="24"/>
          <w:szCs w:val="24"/>
        </w:rPr>
        <w:t xml:space="preserve">If </w:t>
      </w:r>
      <w:r w:rsidRPr="00552547">
        <w:rPr>
          <w:rFonts w:ascii="Times New Roman" w:hAnsi="Times New Roman"/>
          <w:sz w:val="24"/>
          <w:szCs w:val="24"/>
        </w:rPr>
        <w:t>the remaining funds are insufficient to meet the requested loan guarantee amount for the next highest scoring application</w:t>
      </w:r>
      <w:r>
        <w:rPr>
          <w:rFonts w:ascii="Times New Roman" w:hAnsi="Times New Roman"/>
          <w:sz w:val="24"/>
          <w:szCs w:val="24"/>
        </w:rPr>
        <w:t xml:space="preserve">, the Agency will give </w:t>
      </w:r>
      <w:r w:rsidRPr="00552547">
        <w:rPr>
          <w:rFonts w:ascii="Times New Roman" w:hAnsi="Times New Roman"/>
          <w:sz w:val="24"/>
          <w:szCs w:val="24"/>
        </w:rPr>
        <w:t>the borrower with the next highest scoring application the opportunity to reduce the amount of its request to the amount of budgetary authority available.  If the borrower agrees to lower its request, the borrower must submit a certification to the Agency that the purposes of the project can still be met at the lower request amount.</w:t>
      </w:r>
    </w:p>
    <w:p w:rsidR="001D200A" w:rsidP="001D200A" w:rsidRDefault="008651C1" w14:paraId="67279298"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1D200A">
        <w:rPr>
          <w:rFonts w:ascii="Times New Roman" w:hAnsi="Times New Roman"/>
          <w:sz w:val="24"/>
          <w:szCs w:val="24"/>
          <w:u w:val="single"/>
        </w:rPr>
        <w:t>Appraisal</w:t>
      </w:r>
      <w:r w:rsidR="00186BC0">
        <w:rPr>
          <w:rFonts w:ascii="Times New Roman" w:hAnsi="Times New Roman"/>
          <w:sz w:val="24"/>
          <w:szCs w:val="24"/>
          <w:u w:val="single"/>
        </w:rPr>
        <w:t xml:space="preserve"> report</w:t>
      </w:r>
      <w:r w:rsidRPr="001D200A">
        <w:rPr>
          <w:rFonts w:ascii="Times New Roman" w:hAnsi="Times New Roman"/>
          <w:sz w:val="24"/>
          <w:szCs w:val="24"/>
          <w:u w:val="single"/>
        </w:rPr>
        <w:t>s</w:t>
      </w:r>
      <w:r w:rsidRPr="001D200A">
        <w:rPr>
          <w:rFonts w:ascii="Times New Roman" w:hAnsi="Times New Roman"/>
          <w:sz w:val="24"/>
          <w:szCs w:val="24"/>
        </w:rPr>
        <w:t xml:space="preserve">.  </w:t>
      </w:r>
      <w:r w:rsidRPr="001D200A" w:rsidR="001D200A">
        <w:rPr>
          <w:rFonts w:ascii="Times New Roman" w:hAnsi="Times New Roman"/>
          <w:sz w:val="24"/>
          <w:szCs w:val="24"/>
        </w:rPr>
        <w:t xml:space="preserve">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w:t>
      </w:r>
    </w:p>
    <w:p w:rsidRPr="001D200A" w:rsidR="001D200A" w:rsidP="001D200A" w:rsidRDefault="008651C1" w14:paraId="742FBE16" w14:textId="77777777">
      <w:pPr>
        <w:widowControl w:val="0"/>
        <w:tabs>
          <w:tab w:val="left" w:pos="0"/>
          <w:tab w:val="left" w:pos="4320"/>
          <w:tab w:val="left" w:pos="6480"/>
          <w:tab w:val="left" w:pos="8640"/>
        </w:tabs>
        <w:suppressAutoHyphens/>
        <w:spacing w:after="120"/>
        <w:ind w:left="1080"/>
        <w:rPr>
          <w:rFonts w:ascii="Times New Roman" w:hAnsi="Times New Roman"/>
          <w:sz w:val="24"/>
          <w:szCs w:val="24"/>
        </w:rPr>
      </w:pPr>
      <w:r w:rsidRPr="001D200A">
        <w:rPr>
          <w:rFonts w:ascii="Times New Roman" w:hAnsi="Times New Roman"/>
          <w:sz w:val="24"/>
          <w:szCs w:val="24"/>
        </w:rPr>
        <w:t xml:space="preserve">If the appraisal has not been completed at the time the </w:t>
      </w:r>
      <w:r w:rsidRPr="001D200A" w:rsidR="00240D26">
        <w:rPr>
          <w:rFonts w:ascii="Times New Roman" w:hAnsi="Times New Roman"/>
          <w:sz w:val="24"/>
          <w:szCs w:val="24"/>
        </w:rPr>
        <w:t xml:space="preserve">Phase 2 </w:t>
      </w:r>
      <w:r w:rsidRPr="001D200A">
        <w:rPr>
          <w:rFonts w:ascii="Times New Roman" w:hAnsi="Times New Roman"/>
          <w:sz w:val="24"/>
          <w:szCs w:val="24"/>
        </w:rPr>
        <w:t xml:space="preserve">application is filed, the applicant must submit an estimated appraisal.  In all cases, a completed appraisal must be submitted prior to the loan being closed.  Appraisals are used to determine the value of borrower assets being offered as collateral to ensure the loan is adequately secured.  </w:t>
      </w:r>
    </w:p>
    <w:p w:rsidRPr="00552547" w:rsidR="00167F75" w:rsidP="00167F75" w:rsidRDefault="00167F75" w14:paraId="669C4F45"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Proposed Loan Agreement</w:t>
      </w:r>
      <w:r w:rsidR="003E1418">
        <w:rPr>
          <w:rFonts w:ascii="Times New Roman" w:hAnsi="Times New Roman"/>
          <w:sz w:val="24"/>
          <w:szCs w:val="24"/>
          <w:u w:val="single"/>
        </w:rPr>
        <w:t>.</w:t>
      </w:r>
      <w:r w:rsidRPr="00552547">
        <w:rPr>
          <w:rFonts w:ascii="Times New Roman" w:hAnsi="Times New Roman"/>
          <w:sz w:val="24"/>
          <w:szCs w:val="24"/>
        </w:rPr>
        <w:t xml:space="preserve">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w:t>
      </w:r>
    </w:p>
    <w:p w:rsidRPr="00552547" w:rsidR="00167F75" w:rsidP="008651C1" w:rsidRDefault="00167F75" w14:paraId="1599FEE2" w14:textId="4E52EECE">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 xml:space="preserve">Environmental </w:t>
      </w:r>
      <w:r w:rsidR="005B34D4">
        <w:rPr>
          <w:rFonts w:ascii="Times New Roman" w:hAnsi="Times New Roman"/>
          <w:sz w:val="24"/>
          <w:szCs w:val="24"/>
          <w:u w:val="single"/>
        </w:rPr>
        <w:t>assessment</w:t>
      </w:r>
      <w:r w:rsidRPr="00552547">
        <w:rPr>
          <w:rFonts w:ascii="Times New Roman" w:hAnsi="Times New Roman"/>
          <w:sz w:val="24"/>
          <w:szCs w:val="24"/>
        </w:rPr>
        <w:t xml:space="preserve">.  </w:t>
      </w:r>
      <w:r w:rsidR="0046459A">
        <w:rPr>
          <w:rFonts w:ascii="Times New Roman" w:hAnsi="Times New Roman"/>
          <w:sz w:val="24"/>
          <w:szCs w:val="24"/>
        </w:rPr>
        <w:t>A</w:t>
      </w:r>
      <w:r w:rsidR="00EB729B">
        <w:rPr>
          <w:rFonts w:ascii="Times New Roman" w:hAnsi="Times New Roman"/>
          <w:sz w:val="24"/>
          <w:szCs w:val="24"/>
        </w:rPr>
        <w:t>n</w:t>
      </w:r>
      <w:r w:rsidR="0046459A">
        <w:rPr>
          <w:rFonts w:ascii="Times New Roman" w:hAnsi="Times New Roman"/>
          <w:sz w:val="24"/>
          <w:szCs w:val="24"/>
        </w:rPr>
        <w:t xml:space="preserve"> environmental assessment, prepared in accordance with the National Environmental Policy Act (NEPA), is to be submitted with the </w:t>
      </w:r>
      <w:r w:rsidR="0046459A">
        <w:rPr>
          <w:rFonts w:ascii="Times New Roman" w:hAnsi="Times New Roman"/>
          <w:sz w:val="24"/>
          <w:szCs w:val="24"/>
        </w:rPr>
        <w:lastRenderedPageBreak/>
        <w:t xml:space="preserve">Phase </w:t>
      </w:r>
      <w:r w:rsidR="007F5B2D">
        <w:rPr>
          <w:rFonts w:ascii="Times New Roman" w:hAnsi="Times New Roman"/>
          <w:sz w:val="24"/>
          <w:szCs w:val="24"/>
        </w:rPr>
        <w:t>II</w:t>
      </w:r>
      <w:r w:rsidR="0046459A">
        <w:rPr>
          <w:rFonts w:ascii="Times New Roman" w:hAnsi="Times New Roman"/>
          <w:sz w:val="24"/>
          <w:szCs w:val="24"/>
        </w:rPr>
        <w:t xml:space="preserve"> application.  Such environmental assessments are likely to require consideration of siting, construction, operation, and decommissioning of the energy project.</w:t>
      </w:r>
      <w:r w:rsidR="00A3327D">
        <w:rPr>
          <w:rFonts w:ascii="Times New Roman" w:hAnsi="Times New Roman"/>
          <w:sz w:val="24"/>
          <w:szCs w:val="24"/>
        </w:rPr>
        <w:t xml:space="preserve">  The primary purpose of environmental assessments is to determine whether the proposed project will require the preparation of an environmental impact statement or a finding of no significant impact.</w:t>
      </w:r>
      <w:r w:rsidR="00B63F5E">
        <w:rPr>
          <w:rFonts w:ascii="Times New Roman" w:hAnsi="Times New Roman"/>
          <w:sz w:val="24"/>
          <w:szCs w:val="24"/>
        </w:rPr>
        <w:t xml:space="preserve">  </w:t>
      </w:r>
    </w:p>
    <w:p w:rsidRPr="00552547" w:rsidR="00167F75" w:rsidP="008651C1" w:rsidRDefault="00820012" w14:paraId="4FD3DE65"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Pr>
          <w:rFonts w:ascii="Times New Roman" w:hAnsi="Times New Roman"/>
          <w:sz w:val="24"/>
          <w:szCs w:val="24"/>
          <w:u w:val="single"/>
        </w:rPr>
        <w:t>C</w:t>
      </w:r>
      <w:r w:rsidRPr="00552547" w:rsidR="00167F75">
        <w:rPr>
          <w:rFonts w:ascii="Times New Roman" w:hAnsi="Times New Roman"/>
          <w:sz w:val="24"/>
          <w:szCs w:val="24"/>
          <w:u w:val="single"/>
        </w:rPr>
        <w:t>redit r</w:t>
      </w:r>
      <w:r w:rsidR="00186BC0">
        <w:rPr>
          <w:rFonts w:ascii="Times New Roman" w:hAnsi="Times New Roman"/>
          <w:sz w:val="24"/>
          <w:szCs w:val="24"/>
          <w:u w:val="single"/>
        </w:rPr>
        <w:t>ating</w:t>
      </w:r>
      <w:r w:rsidRPr="00552547" w:rsidR="00167F75">
        <w:rPr>
          <w:rFonts w:ascii="Times New Roman" w:hAnsi="Times New Roman"/>
          <w:sz w:val="24"/>
          <w:szCs w:val="24"/>
          <w:u w:val="single"/>
        </w:rPr>
        <w:t xml:space="preserve"> or credit assessment</w:t>
      </w:r>
      <w:r w:rsidRPr="00552547" w:rsidR="00167F75">
        <w:rPr>
          <w:rFonts w:ascii="Times New Roman" w:hAnsi="Times New Roman"/>
          <w:sz w:val="24"/>
          <w:szCs w:val="24"/>
        </w:rPr>
        <w:t xml:space="preserve">.  </w:t>
      </w:r>
      <w:r>
        <w:rPr>
          <w:rFonts w:ascii="Times New Roman" w:hAnsi="Times New Roman"/>
          <w:sz w:val="24"/>
          <w:szCs w:val="24"/>
        </w:rPr>
        <w:t>For projects with total eligible project costs of $25 million or more, e</w:t>
      </w:r>
      <w:r w:rsidRPr="00552547" w:rsidR="00240D26">
        <w:rPr>
          <w:rFonts w:ascii="Times New Roman" w:hAnsi="Times New Roman"/>
          <w:sz w:val="24"/>
          <w:szCs w:val="24"/>
        </w:rPr>
        <w:t xml:space="preserve">ither a credit rating or a credit assessment of the total Project’s indebtedness, without consideration for a government guarantee, from a </w:t>
      </w:r>
      <w:proofErr w:type="gramStart"/>
      <w:r w:rsidRPr="00552547" w:rsidR="00240D26">
        <w:rPr>
          <w:rFonts w:ascii="Times New Roman" w:hAnsi="Times New Roman"/>
          <w:sz w:val="24"/>
          <w:szCs w:val="24"/>
        </w:rPr>
        <w:t>nationally-recognized</w:t>
      </w:r>
      <w:proofErr w:type="gramEnd"/>
      <w:r w:rsidRPr="00552547" w:rsidR="00240D26">
        <w:rPr>
          <w:rFonts w:ascii="Times New Roman" w:hAnsi="Times New Roman"/>
          <w:sz w:val="24"/>
          <w:szCs w:val="24"/>
        </w:rPr>
        <w:t xml:space="preserve"> rating agency as specified by the Agency.</w:t>
      </w:r>
    </w:p>
    <w:p w:rsidRPr="00552547" w:rsidR="008D4EEC" w:rsidP="008651C1" w:rsidRDefault="008651C1" w14:paraId="0E07AEAC"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Lender’s analysis</w:t>
      </w:r>
      <w:r w:rsidRPr="00552547" w:rsidR="00167F75">
        <w:rPr>
          <w:rFonts w:ascii="Times New Roman" w:hAnsi="Times New Roman"/>
          <w:sz w:val="24"/>
          <w:szCs w:val="24"/>
          <w:u w:val="single"/>
        </w:rPr>
        <w:t xml:space="preserve"> and credit evaluation</w:t>
      </w:r>
      <w:r w:rsidRPr="00552547" w:rsidR="00167F75">
        <w:rPr>
          <w:rFonts w:ascii="Times New Roman" w:hAnsi="Times New Roman"/>
          <w:sz w:val="24"/>
          <w:szCs w:val="24"/>
        </w:rPr>
        <w:t xml:space="preserve">.  </w:t>
      </w:r>
      <w:r w:rsidRPr="00552547">
        <w:rPr>
          <w:rFonts w:ascii="Times New Roman" w:hAnsi="Times New Roman"/>
          <w:sz w:val="24"/>
          <w:szCs w:val="24"/>
        </w:rPr>
        <w:t xml:space="preserve">The lender completes a comprehensive credit analysis that is the lender’s justification for making the loan.  </w:t>
      </w:r>
      <w:r w:rsidRPr="00552547" w:rsidR="008D4EEC">
        <w:rPr>
          <w:rFonts w:ascii="Times New Roman" w:hAnsi="Times New Roman"/>
          <w:sz w:val="24"/>
          <w:szCs w:val="24"/>
        </w:rPr>
        <w:t xml:space="preserve">Included with this analysis are </w:t>
      </w:r>
      <w:r w:rsidR="00A81183">
        <w:rPr>
          <w:rFonts w:ascii="Times New Roman" w:hAnsi="Times New Roman"/>
          <w:sz w:val="24"/>
          <w:szCs w:val="24"/>
        </w:rPr>
        <w:t xml:space="preserve">personal and commercial </w:t>
      </w:r>
      <w:r w:rsidRPr="00552547" w:rsidR="008D4EEC">
        <w:rPr>
          <w:rFonts w:ascii="Times New Roman" w:hAnsi="Times New Roman"/>
          <w:sz w:val="24"/>
          <w:szCs w:val="24"/>
        </w:rPr>
        <w:t>credit reports</w:t>
      </w:r>
      <w:r w:rsidR="00A81183">
        <w:rPr>
          <w:rFonts w:ascii="Times New Roman" w:hAnsi="Times New Roman"/>
          <w:sz w:val="24"/>
          <w:szCs w:val="24"/>
        </w:rPr>
        <w:t>, as applicable,</w:t>
      </w:r>
      <w:r w:rsidRPr="00552547" w:rsidR="008D4EEC">
        <w:rPr>
          <w:rFonts w:ascii="Times New Roman" w:hAnsi="Times New Roman"/>
          <w:sz w:val="24"/>
          <w:szCs w:val="24"/>
        </w:rPr>
        <w:t xml:space="preserve"> for the borrower, its principals, and any parent, affiliate, or subsidiary and a financial and sensitivity review. </w:t>
      </w:r>
    </w:p>
    <w:p w:rsidRPr="00552547" w:rsidR="008651C1" w:rsidP="008651C1" w:rsidRDefault="00167F75" w14:paraId="57C4B820" w14:textId="77777777">
      <w:pPr>
        <w:widowControl w:val="0"/>
        <w:numPr>
          <w:ilvl w:val="0"/>
          <w:numId w:val="9"/>
        </w:numPr>
        <w:tabs>
          <w:tab w:val="clear" w:pos="720"/>
          <w:tab w:val="left" w:pos="0"/>
          <w:tab w:val="num" w:pos="1080"/>
          <w:tab w:val="left" w:pos="4320"/>
          <w:tab w:val="left" w:pos="6480"/>
          <w:tab w:val="left" w:pos="8640"/>
        </w:tabs>
        <w:suppressAutoHyphens/>
        <w:spacing w:after="120"/>
        <w:ind w:left="1080" w:hanging="720"/>
        <w:rPr>
          <w:rFonts w:ascii="Times New Roman" w:hAnsi="Times New Roman"/>
          <w:sz w:val="24"/>
          <w:szCs w:val="24"/>
        </w:rPr>
      </w:pPr>
      <w:r w:rsidRPr="00552547">
        <w:rPr>
          <w:rFonts w:ascii="Times New Roman" w:hAnsi="Times New Roman"/>
          <w:sz w:val="24"/>
          <w:szCs w:val="24"/>
          <w:u w:val="single"/>
        </w:rPr>
        <w:t>Request for guarantee prior to construction</w:t>
      </w:r>
      <w:r w:rsidRPr="00552547">
        <w:rPr>
          <w:rFonts w:ascii="Times New Roman" w:hAnsi="Times New Roman"/>
          <w:sz w:val="24"/>
          <w:szCs w:val="24"/>
        </w:rPr>
        <w:t xml:space="preserve">.  </w:t>
      </w:r>
      <w:r w:rsidRPr="00552547" w:rsidR="00A476B8">
        <w:rPr>
          <w:rFonts w:ascii="Times New Roman" w:hAnsi="Times New Roman"/>
          <w:sz w:val="24"/>
          <w:szCs w:val="24"/>
        </w:rPr>
        <w:t>The application must indicate whether the loan guarantee is being requested prior to construction or after completion of the project’s construction.</w:t>
      </w:r>
    </w:p>
    <w:p w:rsidRPr="00552547" w:rsidR="008651C1" w:rsidP="003C4BB7" w:rsidRDefault="00167F75" w14:paraId="30D893F2" w14:textId="77777777">
      <w:pPr>
        <w:widowControl w:val="0"/>
        <w:numPr>
          <w:ilvl w:val="0"/>
          <w:numId w:val="9"/>
        </w:numPr>
        <w:tabs>
          <w:tab w:val="clear" w:pos="720"/>
          <w:tab w:val="left" w:pos="0"/>
          <w:tab w:val="num" w:pos="1080"/>
          <w:tab w:val="left" w:pos="4320"/>
          <w:tab w:val="left" w:pos="6480"/>
          <w:tab w:val="left" w:pos="8640"/>
        </w:tabs>
        <w:suppressAutoHyphens/>
        <w:ind w:left="1080" w:hanging="720"/>
        <w:rPr>
          <w:rFonts w:ascii="Times New Roman" w:hAnsi="Times New Roman"/>
          <w:sz w:val="24"/>
          <w:szCs w:val="24"/>
        </w:rPr>
      </w:pPr>
      <w:r w:rsidRPr="00552547">
        <w:rPr>
          <w:rFonts w:ascii="Times New Roman" w:hAnsi="Times New Roman"/>
          <w:sz w:val="24"/>
          <w:szCs w:val="24"/>
          <w:u w:val="single"/>
        </w:rPr>
        <w:t>Technical assessment</w:t>
      </w:r>
      <w:r w:rsidRPr="00552547">
        <w:rPr>
          <w:rFonts w:ascii="Times New Roman" w:hAnsi="Times New Roman"/>
          <w:sz w:val="24"/>
          <w:szCs w:val="24"/>
        </w:rPr>
        <w:t xml:space="preserve">.  </w:t>
      </w:r>
      <w:r w:rsidRPr="00552547" w:rsidR="00EA1A17">
        <w:rPr>
          <w:rFonts w:ascii="Times New Roman" w:hAnsi="Times New Roman"/>
          <w:sz w:val="24"/>
          <w:szCs w:val="24"/>
        </w:rPr>
        <w:t>A technical assessment completed by a qualified independent engineer must be submitted.  The technical assessment must address the following areas:  qualifications of the project team; agreements and permits; resource assessment; design and engineering; project development schedule; equipment procurement and installation; operations and maintenance; and decommissioning.  The technical assessment must be based upon verifiable data and contain sufficient information and analysis so that a determination can be made on the technical feasibility of achieving the levels of income or production that are projected in the financial statements.</w:t>
      </w:r>
    </w:p>
    <w:p w:rsidRPr="00552547" w:rsidR="008651C1" w:rsidP="003C4BB7" w:rsidRDefault="008651C1" w14:paraId="7FB0691A" w14:textId="77777777">
      <w:pPr>
        <w:rPr>
          <w:rFonts w:ascii="Times New Roman" w:hAnsi="Times New Roman"/>
          <w:sz w:val="24"/>
          <w:szCs w:val="24"/>
        </w:rPr>
      </w:pPr>
    </w:p>
    <w:p w:rsidR="00341869" w:rsidP="008349B5" w:rsidRDefault="00341869" w14:paraId="2DBD0182" w14:textId="77777777">
      <w:pPr>
        <w:rPr>
          <w:rFonts w:ascii="Times New Roman" w:hAnsi="Times New Roman"/>
          <w:sz w:val="24"/>
          <w:szCs w:val="24"/>
        </w:rPr>
      </w:pPr>
      <w:r w:rsidRPr="00552547">
        <w:rPr>
          <w:rFonts w:ascii="Times New Roman" w:hAnsi="Times New Roman"/>
          <w:sz w:val="24"/>
          <w:szCs w:val="24"/>
          <w:u w:val="single"/>
        </w:rPr>
        <w:t>Reduced request certification</w:t>
      </w:r>
      <w:r w:rsidRPr="00552547">
        <w:rPr>
          <w:rFonts w:ascii="Times New Roman" w:hAnsi="Times New Roman"/>
          <w:sz w:val="24"/>
          <w:szCs w:val="24"/>
        </w:rPr>
        <w:t>.  There may be instances where the remaining funds are insufficient to meet the requested loan guarantee amount for the next highest scoring application.  In such instances, the borrower with the next highest scoring application will be given the opportunity to reduce the amount of its request to the amount of budgetary authority available.  If the borrower agrees to lower its request, the borrower must submit a certification to the Agency that the purposes of the project can still be met at the lower request amount.</w:t>
      </w:r>
    </w:p>
    <w:p w:rsidR="00341869" w:rsidP="008349B5" w:rsidRDefault="00341869" w14:paraId="46EFA3D4" w14:textId="77777777">
      <w:pPr>
        <w:rPr>
          <w:rFonts w:ascii="Times New Roman" w:hAnsi="Times New Roman"/>
          <w:sz w:val="24"/>
          <w:szCs w:val="24"/>
        </w:rPr>
      </w:pPr>
    </w:p>
    <w:p w:rsidRPr="00552547" w:rsidR="006A1FF0" w:rsidP="008349B5" w:rsidRDefault="00A442F3" w14:paraId="726CE06B" w14:textId="77777777">
      <w:pPr>
        <w:rPr>
          <w:rFonts w:ascii="Times New Roman" w:hAnsi="Times New Roman"/>
          <w:sz w:val="24"/>
          <w:szCs w:val="24"/>
        </w:rPr>
      </w:pPr>
      <w:r w:rsidRPr="00552547">
        <w:rPr>
          <w:rFonts w:ascii="Times New Roman" w:hAnsi="Times New Roman"/>
          <w:sz w:val="24"/>
          <w:szCs w:val="24"/>
          <w:u w:val="single"/>
        </w:rPr>
        <w:t>Conditional Commitment changes</w:t>
      </w:r>
      <w:r w:rsidRPr="00552547">
        <w:rPr>
          <w:rFonts w:ascii="Times New Roman" w:hAnsi="Times New Roman"/>
          <w:sz w:val="24"/>
          <w:szCs w:val="24"/>
        </w:rPr>
        <w:t>.  The lender and borrower may request changes to the Conditional Commitment</w:t>
      </w:r>
      <w:r w:rsidRPr="00552547" w:rsidR="00565195">
        <w:rPr>
          <w:rFonts w:ascii="Times New Roman" w:hAnsi="Times New Roman"/>
          <w:sz w:val="24"/>
          <w:szCs w:val="24"/>
        </w:rPr>
        <w:t xml:space="preserve"> by submitting the requested changes to the Agency</w:t>
      </w:r>
      <w:r w:rsidRPr="00552547">
        <w:rPr>
          <w:rFonts w:ascii="Times New Roman" w:hAnsi="Times New Roman"/>
          <w:sz w:val="24"/>
          <w:szCs w:val="24"/>
        </w:rPr>
        <w:t>.  In such instances, the</w:t>
      </w:r>
      <w:r w:rsidRPr="00552547" w:rsidR="00565195">
        <w:rPr>
          <w:rFonts w:ascii="Times New Roman" w:hAnsi="Times New Roman"/>
          <w:sz w:val="24"/>
          <w:szCs w:val="24"/>
        </w:rPr>
        <w:t xml:space="preserve"> Agency may negotiate with the lender and the borrower regarding any proposed changes and any accepted changes will be documented via a written amendment to the Conditional Commitment.</w:t>
      </w:r>
      <w:r w:rsidR="00820012">
        <w:rPr>
          <w:rFonts w:ascii="Times New Roman" w:hAnsi="Times New Roman"/>
          <w:sz w:val="24"/>
          <w:szCs w:val="24"/>
        </w:rPr>
        <w:t xml:space="preserve">  All changes must be for Good Cause.</w:t>
      </w:r>
    </w:p>
    <w:p w:rsidRPr="00552547" w:rsidR="008349B5" w:rsidP="008349B5" w:rsidRDefault="008349B5" w14:paraId="55EA51FF" w14:textId="77777777">
      <w:pPr>
        <w:rPr>
          <w:rFonts w:ascii="Times New Roman" w:hAnsi="Times New Roman"/>
          <w:sz w:val="24"/>
          <w:szCs w:val="24"/>
        </w:rPr>
      </w:pPr>
    </w:p>
    <w:p w:rsidRPr="00552547" w:rsidR="00C95B81" w:rsidP="00C95B81" w:rsidRDefault="00C95B81" w14:paraId="1958777C" w14:textId="77777777">
      <w:pPr>
        <w:rPr>
          <w:rFonts w:ascii="Times New Roman" w:hAnsi="Times New Roman"/>
          <w:sz w:val="24"/>
          <w:szCs w:val="24"/>
          <w:u w:val="single"/>
        </w:rPr>
      </w:pPr>
      <w:r w:rsidRPr="00552547">
        <w:rPr>
          <w:rFonts w:ascii="Times New Roman" w:hAnsi="Times New Roman"/>
          <w:sz w:val="24"/>
          <w:szCs w:val="24"/>
          <w:u w:val="single"/>
        </w:rPr>
        <w:t>Transfer of lender</w:t>
      </w:r>
      <w:r w:rsidRPr="00552547">
        <w:rPr>
          <w:rFonts w:ascii="Times New Roman" w:hAnsi="Times New Roman"/>
          <w:sz w:val="24"/>
          <w:szCs w:val="24"/>
        </w:rPr>
        <w:t xml:space="preserve">.  When the applicant or lender desires to change lenders prior to issuance of the guarantee, the Agency needs information to determine if the new proposed lender is eligible and capable of making and servicing the proposed loan.  </w:t>
      </w:r>
    </w:p>
    <w:p w:rsidRPr="00552547" w:rsidR="00C95B81" w:rsidP="00C95B81" w:rsidRDefault="00C95B81" w14:paraId="71EC8D56" w14:textId="77777777">
      <w:pPr>
        <w:rPr>
          <w:rFonts w:ascii="Times New Roman" w:hAnsi="Times New Roman"/>
          <w:sz w:val="24"/>
          <w:szCs w:val="24"/>
          <w:u w:val="single"/>
        </w:rPr>
      </w:pPr>
    </w:p>
    <w:p w:rsidRPr="00552547" w:rsidR="00C95B81" w:rsidP="00C95B81" w:rsidRDefault="00C95B81" w14:paraId="1AF70C6A" w14:textId="77777777">
      <w:pPr>
        <w:rPr>
          <w:rFonts w:ascii="Times New Roman" w:hAnsi="Times New Roman"/>
          <w:sz w:val="24"/>
          <w:szCs w:val="24"/>
        </w:rPr>
      </w:pPr>
      <w:r w:rsidRPr="00552547">
        <w:rPr>
          <w:rFonts w:ascii="Times New Roman" w:hAnsi="Times New Roman"/>
          <w:sz w:val="24"/>
          <w:szCs w:val="24"/>
          <w:u w:val="single"/>
        </w:rPr>
        <w:lastRenderedPageBreak/>
        <w:t>Changes in borrower</w:t>
      </w:r>
      <w:r w:rsidRPr="00552547">
        <w:rPr>
          <w:rFonts w:ascii="Times New Roman" w:hAnsi="Times New Roman"/>
          <w:sz w:val="24"/>
          <w:szCs w:val="24"/>
        </w:rPr>
        <w:t xml:space="preserve">.  </w:t>
      </w:r>
      <w:r w:rsidRPr="00552547" w:rsidR="00BD6070">
        <w:rPr>
          <w:rFonts w:ascii="Times New Roman" w:hAnsi="Times New Roman"/>
          <w:sz w:val="24"/>
          <w:szCs w:val="24"/>
        </w:rPr>
        <w:t xml:space="preserve">Because the guarantee has not yet been issued, the Agency must still ensure the borrower meets the requirements of the applicable program.  Therefore, if there is a change in borrower, the Agency must have information to verify that the new borrower is still eligible.  </w:t>
      </w:r>
      <w:r w:rsidRPr="00552547">
        <w:rPr>
          <w:rFonts w:ascii="Times New Roman" w:hAnsi="Times New Roman"/>
          <w:sz w:val="24"/>
          <w:szCs w:val="24"/>
        </w:rPr>
        <w:t xml:space="preserve"> </w:t>
      </w:r>
    </w:p>
    <w:p w:rsidRPr="00552547" w:rsidR="00C95B81" w:rsidP="00C95B81" w:rsidRDefault="00C95B81" w14:paraId="12A3EED7" w14:textId="77777777">
      <w:pPr>
        <w:rPr>
          <w:rFonts w:ascii="Times New Roman" w:hAnsi="Times New Roman"/>
          <w:sz w:val="24"/>
          <w:szCs w:val="24"/>
        </w:rPr>
      </w:pPr>
    </w:p>
    <w:p w:rsidRPr="00552547" w:rsidR="00C95B81" w:rsidP="00C95B81" w:rsidRDefault="00C95B81" w14:paraId="360E67A7" w14:textId="77777777">
      <w:pPr>
        <w:rPr>
          <w:rFonts w:ascii="Times New Roman" w:hAnsi="Times New Roman"/>
          <w:sz w:val="24"/>
          <w:szCs w:val="24"/>
        </w:rPr>
      </w:pPr>
      <w:r w:rsidRPr="00552547">
        <w:rPr>
          <w:rFonts w:ascii="Times New Roman" w:hAnsi="Times New Roman"/>
          <w:sz w:val="24"/>
          <w:szCs w:val="24"/>
          <w:u w:val="single"/>
        </w:rPr>
        <w:t>Conditions precedent to issuance of Loan Note Guarantee</w:t>
      </w:r>
      <w:r w:rsidRPr="00552547">
        <w:rPr>
          <w:rFonts w:ascii="Times New Roman" w:hAnsi="Times New Roman"/>
          <w:sz w:val="24"/>
          <w:szCs w:val="24"/>
        </w:rPr>
        <w:t xml:space="preserve">.  This is the final check prior to issuance of the guarantee.  It is a comprehensive certification from the lender that the borrower meets all requirements of the Conditional Commitment and other program requirements.  </w:t>
      </w:r>
      <w:r w:rsidR="002967DC">
        <w:rPr>
          <w:rFonts w:ascii="Times New Roman" w:hAnsi="Times New Roman"/>
          <w:sz w:val="24"/>
          <w:szCs w:val="24"/>
        </w:rPr>
        <w:t>If requested by the Agency, the lender is to provide copies of loan documents for the Agency’s file.</w:t>
      </w:r>
    </w:p>
    <w:p w:rsidRPr="00552547" w:rsidR="00C95B81" w:rsidP="00C95B81" w:rsidRDefault="00C95B81" w14:paraId="61AB3853" w14:textId="77777777">
      <w:pPr>
        <w:rPr>
          <w:rFonts w:ascii="Times New Roman" w:hAnsi="Times New Roman"/>
          <w:sz w:val="24"/>
          <w:szCs w:val="24"/>
        </w:rPr>
      </w:pPr>
    </w:p>
    <w:p w:rsidR="00A6191D" w:rsidP="00A6191D" w:rsidRDefault="00A6191D" w14:paraId="009CAD03" w14:textId="77777777">
      <w:pPr>
        <w:tabs>
          <w:tab w:val="left" w:pos="0"/>
          <w:tab w:val="left" w:pos="4320"/>
          <w:tab w:val="left" w:pos="6480"/>
          <w:tab w:val="left" w:pos="8640"/>
        </w:tabs>
        <w:suppressAutoHyphens/>
        <w:rPr>
          <w:rFonts w:ascii="Times New Roman" w:hAnsi="Times New Roman"/>
          <w:sz w:val="24"/>
          <w:szCs w:val="24"/>
        </w:rPr>
      </w:pPr>
      <w:r>
        <w:rPr>
          <w:rFonts w:ascii="Times New Roman" w:hAnsi="Times New Roman"/>
          <w:sz w:val="24"/>
          <w:szCs w:val="24"/>
          <w:u w:val="single"/>
        </w:rPr>
        <w:t>Statement for loan guarantees</w:t>
      </w:r>
      <w:r w:rsidRPr="00A6191D">
        <w:rPr>
          <w:rFonts w:ascii="Times New Roman" w:hAnsi="Times New Roman"/>
          <w:sz w:val="24"/>
          <w:szCs w:val="24"/>
        </w:rPr>
        <w:t xml:space="preserve">.  </w:t>
      </w:r>
      <w:r>
        <w:rPr>
          <w:rFonts w:ascii="Times New Roman" w:hAnsi="Times New Roman"/>
          <w:sz w:val="24"/>
          <w:szCs w:val="24"/>
        </w:rPr>
        <w:t xml:space="preserve">Submission of this statement is a prerequisite (prior to submitting SF-LLL) for making or </w:t>
      </w:r>
      <w:proofErr w:type="gramStart"/>
      <w:r>
        <w:rPr>
          <w:rFonts w:ascii="Times New Roman" w:hAnsi="Times New Roman"/>
          <w:sz w:val="24"/>
          <w:szCs w:val="24"/>
        </w:rPr>
        <w:t>entering into</w:t>
      </w:r>
      <w:proofErr w:type="gramEnd"/>
      <w:r>
        <w:rPr>
          <w:rFonts w:ascii="Times New Roman" w:hAnsi="Times New Roman"/>
          <w:sz w:val="24"/>
          <w:szCs w:val="24"/>
        </w:rPr>
        <w:t xml:space="preserve"> any transaction imposed by section 1352, title 31, U.S. Code.</w:t>
      </w:r>
    </w:p>
    <w:p w:rsidR="00A6191D" w:rsidP="00C95B81" w:rsidRDefault="00A6191D" w14:paraId="15A5EBF0" w14:textId="77777777">
      <w:pPr>
        <w:rPr>
          <w:rFonts w:ascii="Times New Roman" w:hAnsi="Times New Roman"/>
          <w:sz w:val="24"/>
          <w:szCs w:val="24"/>
          <w:u w:val="single"/>
        </w:rPr>
      </w:pPr>
    </w:p>
    <w:p w:rsidRPr="00552547" w:rsidR="00BD6070" w:rsidP="00C95B81" w:rsidRDefault="00BD6070" w14:paraId="1959113C" w14:textId="77777777">
      <w:pPr>
        <w:rPr>
          <w:rFonts w:ascii="Times New Roman" w:hAnsi="Times New Roman"/>
          <w:sz w:val="24"/>
          <w:szCs w:val="24"/>
        </w:rPr>
      </w:pPr>
      <w:r w:rsidRPr="00552547">
        <w:rPr>
          <w:rFonts w:ascii="Times New Roman" w:hAnsi="Times New Roman"/>
          <w:sz w:val="24"/>
          <w:szCs w:val="24"/>
          <w:u w:val="single"/>
        </w:rPr>
        <w:t xml:space="preserve">Requirements after construction, </w:t>
      </w:r>
      <w:r w:rsidR="00A6191D">
        <w:rPr>
          <w:rFonts w:ascii="Times New Roman" w:hAnsi="Times New Roman"/>
          <w:sz w:val="24"/>
          <w:szCs w:val="24"/>
          <w:u w:val="single"/>
        </w:rPr>
        <w:t xml:space="preserve">annual </w:t>
      </w:r>
      <w:r w:rsidRPr="00552547">
        <w:rPr>
          <w:rFonts w:ascii="Times New Roman" w:hAnsi="Times New Roman"/>
          <w:sz w:val="24"/>
          <w:szCs w:val="24"/>
          <w:u w:val="single"/>
        </w:rPr>
        <w:t>reports</w:t>
      </w:r>
      <w:r w:rsidRPr="00552547">
        <w:rPr>
          <w:rFonts w:ascii="Times New Roman" w:hAnsi="Times New Roman"/>
          <w:sz w:val="24"/>
          <w:szCs w:val="24"/>
        </w:rPr>
        <w:t>.  The borrower is required to prepare annual reports for completed projects and provide them to lender, who submits them to the Agency for the life of the guaranteed loan.  Information to be contained in these reports include:  (1) the actual amount of advanced biofuels, biobased products, renewable chemicals, and by-products, as applicable, produced to assess whether project goals are being met; (2)  if applicable, documentation that identified health and/or sanitation problem has been solved; (3) a summary of the cost of operating and maintaining the facility; (4) description of any maintenance or operational problems associated with the facility; (5) certification that the project is and has been in compliance with all applicable State and Federal environmental laws and regulations; (6) the number of jobs created; (7) a description on the status of the project’s feedstock including, but not limited to, the feedstock being used, outstanding feedstock contracts, feedstock changes and interruptions, and quality of the feedstock; and (8) result of the required annual inspections.</w:t>
      </w:r>
    </w:p>
    <w:p w:rsidRPr="00552547" w:rsidR="00BD6070" w:rsidP="00C95B81" w:rsidRDefault="00BD6070" w14:paraId="08F6EEDF" w14:textId="77777777">
      <w:pPr>
        <w:rPr>
          <w:rFonts w:ascii="Times New Roman" w:hAnsi="Times New Roman"/>
          <w:sz w:val="24"/>
          <w:szCs w:val="24"/>
        </w:rPr>
      </w:pPr>
    </w:p>
    <w:p w:rsidRPr="00552547" w:rsidR="00CE0DB9" w:rsidP="00C95B81" w:rsidRDefault="00A6191D" w14:paraId="0436A876" w14:textId="77777777">
      <w:pPr>
        <w:rPr>
          <w:rFonts w:ascii="Times New Roman" w:hAnsi="Times New Roman"/>
          <w:sz w:val="24"/>
          <w:szCs w:val="24"/>
        </w:rPr>
      </w:pPr>
      <w:r>
        <w:rPr>
          <w:rFonts w:ascii="Times New Roman" w:hAnsi="Times New Roman"/>
          <w:sz w:val="24"/>
          <w:szCs w:val="24"/>
          <w:u w:val="single"/>
        </w:rPr>
        <w:t>Annual lender i</w:t>
      </w:r>
      <w:r w:rsidRPr="00552547" w:rsidR="00BD6070">
        <w:rPr>
          <w:rFonts w:ascii="Times New Roman" w:hAnsi="Times New Roman"/>
          <w:sz w:val="24"/>
          <w:szCs w:val="24"/>
          <w:u w:val="single"/>
        </w:rPr>
        <w:t>nspections</w:t>
      </w:r>
      <w:r w:rsidRPr="00552547" w:rsidR="00BD6070">
        <w:rPr>
          <w:rFonts w:ascii="Times New Roman" w:hAnsi="Times New Roman"/>
          <w:sz w:val="24"/>
          <w:szCs w:val="24"/>
        </w:rPr>
        <w:t>.  For the life of the guaranteed loan, the lender is required to conduct annual inspections of the facility and include the results in the annual report discussed immediately above.</w:t>
      </w:r>
    </w:p>
    <w:p w:rsidRPr="00552547" w:rsidR="00BD6070" w:rsidP="00127AED" w:rsidRDefault="00BD6070" w14:paraId="3FE95E9E" w14:textId="77777777">
      <w:pPr>
        <w:rPr>
          <w:rFonts w:ascii="Times New Roman" w:hAnsi="Times New Roman"/>
          <w:sz w:val="24"/>
          <w:szCs w:val="24"/>
          <w:u w:val="single"/>
        </w:rPr>
      </w:pPr>
    </w:p>
    <w:p w:rsidRPr="00966341" w:rsidR="00127AED" w:rsidP="00127AED" w:rsidRDefault="00127AED" w14:paraId="76DFA7E1" w14:textId="77777777">
      <w:pPr>
        <w:rPr>
          <w:rFonts w:ascii="Times New Roman" w:hAnsi="Times New Roman"/>
          <w:b/>
          <w:sz w:val="24"/>
          <w:szCs w:val="24"/>
        </w:rPr>
      </w:pPr>
      <w:r w:rsidRPr="00966341">
        <w:rPr>
          <w:rFonts w:ascii="Times New Roman" w:hAnsi="Times New Roman"/>
          <w:b/>
          <w:sz w:val="24"/>
          <w:szCs w:val="24"/>
        </w:rPr>
        <w:t>7 CFR Part 4287-</w:t>
      </w:r>
      <w:r w:rsidRPr="00966341" w:rsidR="008313C0">
        <w:rPr>
          <w:rFonts w:ascii="Times New Roman" w:hAnsi="Times New Roman"/>
          <w:b/>
          <w:sz w:val="24"/>
          <w:szCs w:val="24"/>
        </w:rPr>
        <w:t>D</w:t>
      </w:r>
      <w:r w:rsidRPr="00966341" w:rsidR="00803430">
        <w:rPr>
          <w:rFonts w:ascii="Times New Roman" w:hAnsi="Times New Roman"/>
          <w:b/>
          <w:sz w:val="24"/>
          <w:szCs w:val="24"/>
        </w:rPr>
        <w:t>, Servicing</w:t>
      </w:r>
    </w:p>
    <w:p w:rsidRPr="00552547" w:rsidR="00127AED" w:rsidP="00127AED" w:rsidRDefault="00127AED" w14:paraId="7D38480A" w14:textId="77777777">
      <w:pPr>
        <w:rPr>
          <w:rFonts w:ascii="Times New Roman" w:hAnsi="Times New Roman"/>
          <w:sz w:val="24"/>
          <w:szCs w:val="24"/>
        </w:rPr>
      </w:pPr>
    </w:p>
    <w:p w:rsidRPr="00552547" w:rsidR="00B65A5E" w:rsidP="00127AED" w:rsidRDefault="00B65A5E" w14:paraId="733097A6" w14:textId="77777777">
      <w:pPr>
        <w:rPr>
          <w:rFonts w:ascii="Times New Roman" w:hAnsi="Times New Roman"/>
          <w:sz w:val="24"/>
          <w:szCs w:val="24"/>
          <w:u w:val="single"/>
        </w:rPr>
      </w:pPr>
      <w:r w:rsidRPr="00552547">
        <w:rPr>
          <w:rFonts w:ascii="Times New Roman" w:hAnsi="Times New Roman"/>
          <w:sz w:val="24"/>
          <w:szCs w:val="24"/>
          <w:u w:val="single"/>
        </w:rPr>
        <w:t>Appeals</w:t>
      </w:r>
      <w:r w:rsidRPr="00552547">
        <w:rPr>
          <w:rFonts w:ascii="Times New Roman" w:hAnsi="Times New Roman"/>
          <w:sz w:val="24"/>
          <w:szCs w:val="24"/>
        </w:rPr>
        <w:t xml:space="preserve">.  The applicant or borrower and lender and/or holder may appeal or request a review of any adverse Agency decision.  Appeals are handled in accordance with Departmental appeal regulations.  </w:t>
      </w:r>
    </w:p>
    <w:p w:rsidRPr="00552547" w:rsidR="00B65A5E" w:rsidP="00127AED" w:rsidRDefault="00B65A5E" w14:paraId="2A36AA6D" w14:textId="77777777">
      <w:pPr>
        <w:rPr>
          <w:rFonts w:ascii="Times New Roman" w:hAnsi="Times New Roman"/>
          <w:sz w:val="24"/>
          <w:szCs w:val="24"/>
          <w:u w:val="single"/>
        </w:rPr>
      </w:pPr>
    </w:p>
    <w:p w:rsidR="00B65A5E" w:rsidP="00127AED" w:rsidRDefault="00B65A5E" w14:paraId="0E34D977" w14:textId="77777777">
      <w:pPr>
        <w:rPr>
          <w:rFonts w:ascii="Times New Roman" w:hAnsi="Times New Roman"/>
          <w:color w:val="000000"/>
          <w:sz w:val="24"/>
          <w:szCs w:val="24"/>
        </w:rPr>
      </w:pPr>
      <w:r w:rsidRPr="00552547">
        <w:rPr>
          <w:rFonts w:ascii="Times New Roman" w:hAnsi="Times New Roman"/>
          <w:sz w:val="24"/>
          <w:szCs w:val="24"/>
          <w:u w:val="single"/>
        </w:rPr>
        <w:t>Borrower Visits</w:t>
      </w:r>
      <w:r w:rsidRPr="00552547" w:rsidR="00941852">
        <w:rPr>
          <w:rFonts w:ascii="Times New Roman" w:hAnsi="Times New Roman"/>
          <w:color w:val="000000"/>
          <w:sz w:val="24"/>
          <w:szCs w:val="24"/>
        </w:rPr>
        <w:t>.</w:t>
      </w:r>
      <w:r w:rsidRPr="00552547">
        <w:rPr>
          <w:rFonts w:ascii="Times New Roman" w:hAnsi="Times New Roman"/>
          <w:color w:val="000000"/>
          <w:sz w:val="24"/>
          <w:szCs w:val="24"/>
        </w:rPr>
        <w:t xml:space="preserve">  The Agency will meet with each borrower as often as needed after the Loan Note Guarantee is issued, and more often if the account is delinquent or a problem.  The lender is encouraged to participate in the visit.  During the visit, a review of the collateral and the borrower’s operation is made.  </w:t>
      </w:r>
    </w:p>
    <w:p w:rsidR="00B86AA3" w:rsidP="00127AED" w:rsidRDefault="00B86AA3" w14:paraId="1C8750BF" w14:textId="77777777">
      <w:pPr>
        <w:rPr>
          <w:rFonts w:ascii="Times New Roman" w:hAnsi="Times New Roman"/>
          <w:color w:val="000000"/>
          <w:sz w:val="24"/>
          <w:szCs w:val="24"/>
        </w:rPr>
      </w:pPr>
    </w:p>
    <w:p w:rsidRPr="00552547" w:rsidR="005448DF" w:rsidP="005448DF" w:rsidRDefault="005448DF" w14:paraId="0E3170CD" w14:textId="77777777">
      <w:pPr>
        <w:rPr>
          <w:rFonts w:ascii="Times New Roman" w:hAnsi="Times New Roman"/>
          <w:sz w:val="24"/>
          <w:szCs w:val="24"/>
        </w:rPr>
      </w:pPr>
      <w:r>
        <w:rPr>
          <w:rFonts w:ascii="Times New Roman" w:hAnsi="Times New Roman"/>
          <w:sz w:val="24"/>
          <w:szCs w:val="24"/>
          <w:u w:val="single"/>
        </w:rPr>
        <w:t>L</w:t>
      </w:r>
      <w:r w:rsidRPr="00552547">
        <w:rPr>
          <w:rFonts w:ascii="Times New Roman" w:hAnsi="Times New Roman"/>
          <w:sz w:val="24"/>
          <w:szCs w:val="24"/>
          <w:u w:val="single"/>
        </w:rPr>
        <w:t>oan classification</w:t>
      </w:r>
      <w:r w:rsidRPr="00552547">
        <w:rPr>
          <w:rFonts w:ascii="Times New Roman" w:hAnsi="Times New Roman"/>
          <w:sz w:val="24"/>
          <w:szCs w:val="24"/>
        </w:rPr>
        <w:t>.  At the time the Loan Note Guarantee is issued, the lender must notify the Agency of the loan’s classification or rating under its regulatory standards.  Should the classification be changed at a future time, the lender must notify the Agency immediately.</w:t>
      </w:r>
    </w:p>
    <w:p w:rsidRPr="00552547" w:rsidR="005448DF" w:rsidP="005448DF" w:rsidRDefault="005448DF" w14:paraId="19C131E8" w14:textId="77777777">
      <w:pPr>
        <w:rPr>
          <w:rFonts w:ascii="Times New Roman" w:hAnsi="Times New Roman"/>
          <w:sz w:val="24"/>
          <w:szCs w:val="24"/>
          <w:u w:val="single"/>
        </w:rPr>
      </w:pPr>
    </w:p>
    <w:p w:rsidRPr="00552547" w:rsidR="00B86AA3" w:rsidP="00127AED" w:rsidRDefault="00B86AA3" w14:paraId="23A4450F" w14:textId="77777777">
      <w:pPr>
        <w:rPr>
          <w:rFonts w:ascii="Times New Roman" w:hAnsi="Times New Roman"/>
          <w:sz w:val="24"/>
          <w:szCs w:val="24"/>
          <w:u w:val="single"/>
        </w:rPr>
      </w:pPr>
      <w:r w:rsidRPr="00B86AA3">
        <w:rPr>
          <w:rFonts w:ascii="Times New Roman" w:hAnsi="Times New Roman"/>
          <w:color w:val="000000"/>
          <w:sz w:val="24"/>
          <w:szCs w:val="24"/>
          <w:u w:val="single"/>
        </w:rPr>
        <w:lastRenderedPageBreak/>
        <w:t>Annual renewal fee transmittal</w:t>
      </w:r>
      <w:r>
        <w:rPr>
          <w:rFonts w:ascii="Times New Roman" w:hAnsi="Times New Roman"/>
          <w:color w:val="000000"/>
          <w:sz w:val="24"/>
          <w:szCs w:val="24"/>
        </w:rPr>
        <w:t>.  The lender transmits this fee once per year to the Agency.</w:t>
      </w:r>
    </w:p>
    <w:p w:rsidRPr="00552547" w:rsidR="00B65A5E" w:rsidP="00127AED" w:rsidRDefault="00B65A5E" w14:paraId="6FFA17A1" w14:textId="77777777">
      <w:pPr>
        <w:rPr>
          <w:rFonts w:ascii="Times New Roman" w:hAnsi="Times New Roman"/>
          <w:sz w:val="24"/>
          <w:szCs w:val="24"/>
          <w:u w:val="single"/>
        </w:rPr>
      </w:pPr>
    </w:p>
    <w:p w:rsidRPr="00552547" w:rsidR="00127AED" w:rsidP="00127AED" w:rsidRDefault="00127AED" w14:paraId="68696AC1" w14:textId="77777777">
      <w:pPr>
        <w:rPr>
          <w:rFonts w:ascii="Times New Roman" w:hAnsi="Times New Roman"/>
          <w:sz w:val="24"/>
          <w:szCs w:val="24"/>
        </w:rPr>
      </w:pPr>
      <w:r w:rsidRPr="00552547">
        <w:rPr>
          <w:rFonts w:ascii="Times New Roman" w:hAnsi="Times New Roman"/>
          <w:sz w:val="24"/>
          <w:szCs w:val="24"/>
          <w:u w:val="single"/>
        </w:rPr>
        <w:t xml:space="preserve">Agency and </w:t>
      </w:r>
      <w:r w:rsidR="005448DF">
        <w:rPr>
          <w:rFonts w:ascii="Times New Roman" w:hAnsi="Times New Roman"/>
          <w:sz w:val="24"/>
          <w:szCs w:val="24"/>
          <w:u w:val="single"/>
        </w:rPr>
        <w:t>l</w:t>
      </w:r>
      <w:r w:rsidRPr="00552547">
        <w:rPr>
          <w:rFonts w:ascii="Times New Roman" w:hAnsi="Times New Roman"/>
          <w:sz w:val="24"/>
          <w:szCs w:val="24"/>
          <w:u w:val="single"/>
        </w:rPr>
        <w:t xml:space="preserve">ender </w:t>
      </w:r>
      <w:r w:rsidR="005448DF">
        <w:rPr>
          <w:rFonts w:ascii="Times New Roman" w:hAnsi="Times New Roman"/>
          <w:sz w:val="24"/>
          <w:szCs w:val="24"/>
          <w:u w:val="single"/>
        </w:rPr>
        <w:t>c</w:t>
      </w:r>
      <w:r w:rsidRPr="00552547">
        <w:rPr>
          <w:rFonts w:ascii="Times New Roman" w:hAnsi="Times New Roman"/>
          <w:sz w:val="24"/>
          <w:szCs w:val="24"/>
          <w:u w:val="single"/>
        </w:rPr>
        <w:t>onference</w:t>
      </w:r>
      <w:r w:rsidRPr="00552547" w:rsidR="00941852">
        <w:rPr>
          <w:rFonts w:ascii="Times New Roman" w:hAnsi="Times New Roman"/>
          <w:sz w:val="24"/>
          <w:szCs w:val="24"/>
          <w:u w:val="single"/>
        </w:rPr>
        <w:t>.</w:t>
      </w:r>
      <w:r w:rsidRPr="00552547">
        <w:rPr>
          <w:rFonts w:ascii="Times New Roman" w:hAnsi="Times New Roman"/>
          <w:sz w:val="24"/>
          <w:szCs w:val="24"/>
        </w:rPr>
        <w:t xml:space="preserve">  The lender will </w:t>
      </w:r>
      <w:r w:rsidRPr="00552547" w:rsidR="002078E1">
        <w:rPr>
          <w:rFonts w:ascii="Times New Roman" w:hAnsi="Times New Roman"/>
          <w:sz w:val="24"/>
          <w:szCs w:val="24"/>
        </w:rPr>
        <w:t>consult</w:t>
      </w:r>
      <w:r w:rsidRPr="00552547">
        <w:rPr>
          <w:rFonts w:ascii="Times New Roman" w:hAnsi="Times New Roman"/>
          <w:sz w:val="24"/>
          <w:szCs w:val="24"/>
        </w:rPr>
        <w:t xml:space="preserve"> with the Agency at the Agency’s request to ascertain how the guaranteed loan is being serviced and ensure that conditions and covenants of the Loan Agreement and Conditional Commitment are being enforced.  The Agency will </w:t>
      </w:r>
      <w:r w:rsidRPr="00552547" w:rsidR="002078E1">
        <w:rPr>
          <w:rFonts w:ascii="Times New Roman" w:hAnsi="Times New Roman"/>
          <w:sz w:val="24"/>
          <w:szCs w:val="24"/>
        </w:rPr>
        <w:t>consult</w:t>
      </w:r>
      <w:r w:rsidRPr="00552547">
        <w:rPr>
          <w:rFonts w:ascii="Times New Roman" w:hAnsi="Times New Roman"/>
          <w:sz w:val="24"/>
          <w:szCs w:val="24"/>
        </w:rPr>
        <w:t xml:space="preserve"> with each lender at least annually</w:t>
      </w:r>
      <w:r w:rsidRPr="00552547" w:rsidR="002078E1">
        <w:rPr>
          <w:rFonts w:ascii="Times New Roman" w:hAnsi="Times New Roman"/>
          <w:sz w:val="24"/>
          <w:szCs w:val="24"/>
        </w:rPr>
        <w:t>,</w:t>
      </w:r>
      <w:r w:rsidRPr="00552547">
        <w:rPr>
          <w:rFonts w:ascii="Times New Roman" w:hAnsi="Times New Roman"/>
          <w:sz w:val="24"/>
          <w:szCs w:val="24"/>
        </w:rPr>
        <w:t xml:space="preserve"> and these conferences can be done either face-to-face or via the telephone.  </w:t>
      </w:r>
    </w:p>
    <w:p w:rsidRPr="00552547" w:rsidR="00127AED" w:rsidP="00127AED" w:rsidRDefault="00127AED" w14:paraId="2F316447" w14:textId="77777777">
      <w:pPr>
        <w:ind w:left="360"/>
        <w:rPr>
          <w:rFonts w:ascii="Times New Roman" w:hAnsi="Times New Roman"/>
          <w:sz w:val="24"/>
          <w:szCs w:val="24"/>
        </w:rPr>
      </w:pPr>
    </w:p>
    <w:p w:rsidRPr="00552547" w:rsidR="00127AED" w:rsidP="00A03BAA" w:rsidRDefault="00A03BAA" w14:paraId="14E0BC6E" w14:textId="79127DB7">
      <w:pPr>
        <w:tabs>
          <w:tab w:val="left" w:pos="360"/>
          <w:tab w:val="left" w:pos="720"/>
          <w:tab w:val="left" w:pos="2160"/>
          <w:tab w:val="left" w:pos="4320"/>
          <w:tab w:val="left" w:pos="6480"/>
          <w:tab w:val="left" w:pos="8640"/>
        </w:tabs>
        <w:suppressAutoHyphens/>
        <w:rPr>
          <w:rFonts w:ascii="Times New Roman" w:hAnsi="Times New Roman"/>
          <w:sz w:val="24"/>
          <w:szCs w:val="24"/>
        </w:rPr>
      </w:pPr>
      <w:r w:rsidRPr="3E24305B">
        <w:rPr>
          <w:rFonts w:ascii="Times New Roman" w:hAnsi="Times New Roman"/>
          <w:sz w:val="24"/>
          <w:szCs w:val="24"/>
          <w:u w:val="single"/>
        </w:rPr>
        <w:t xml:space="preserve">Borrower </w:t>
      </w:r>
      <w:r w:rsidRPr="3E24305B" w:rsidR="005448DF">
        <w:rPr>
          <w:rFonts w:ascii="Times New Roman" w:hAnsi="Times New Roman"/>
          <w:sz w:val="24"/>
          <w:szCs w:val="24"/>
          <w:u w:val="single"/>
        </w:rPr>
        <w:t>f</w:t>
      </w:r>
      <w:r w:rsidRPr="3E24305B" w:rsidR="00127AED">
        <w:rPr>
          <w:rFonts w:ascii="Times New Roman" w:hAnsi="Times New Roman"/>
          <w:sz w:val="24"/>
          <w:szCs w:val="24"/>
          <w:u w:val="single"/>
        </w:rPr>
        <w:t xml:space="preserve">inancial </w:t>
      </w:r>
      <w:r w:rsidRPr="3E24305B" w:rsidR="005448DF">
        <w:rPr>
          <w:rFonts w:ascii="Times New Roman" w:hAnsi="Times New Roman"/>
          <w:sz w:val="24"/>
          <w:szCs w:val="24"/>
          <w:u w:val="single"/>
        </w:rPr>
        <w:t>r</w:t>
      </w:r>
      <w:r w:rsidRPr="3E24305B" w:rsidR="00127AED">
        <w:rPr>
          <w:rFonts w:ascii="Times New Roman" w:hAnsi="Times New Roman"/>
          <w:sz w:val="24"/>
          <w:szCs w:val="24"/>
          <w:u w:val="single"/>
        </w:rPr>
        <w:t>eports</w:t>
      </w:r>
      <w:r w:rsidRPr="3E24305B" w:rsidR="00941852">
        <w:rPr>
          <w:rFonts w:ascii="Times New Roman" w:hAnsi="Times New Roman"/>
          <w:sz w:val="24"/>
          <w:szCs w:val="24"/>
        </w:rPr>
        <w:t>.</w:t>
      </w:r>
      <w:r w:rsidRPr="3E24305B" w:rsidR="00127AED">
        <w:rPr>
          <w:rFonts w:ascii="Times New Roman" w:hAnsi="Times New Roman"/>
          <w:sz w:val="24"/>
          <w:szCs w:val="24"/>
        </w:rPr>
        <w:t xml:space="preserve">  </w:t>
      </w:r>
      <w:r w:rsidRPr="3E24305B" w:rsidR="00C84856">
        <w:rPr>
          <w:rFonts w:ascii="Times New Roman" w:hAnsi="Times New Roman"/>
          <w:sz w:val="24"/>
          <w:szCs w:val="24"/>
        </w:rPr>
        <w:t>Lenders must obtain, analyze, and submit to the Agency each quarter financial statements of the borrower and any guarantors within 45 days of the end of each quarter and audited financial statements with 180 days of the end of the borrower’s fiscal year.  The lender must analyze the financial statements and provide the Agency with a written summary of the lender’s analysis</w:t>
      </w:r>
      <w:r w:rsidRPr="3E24305B">
        <w:rPr>
          <w:rFonts w:ascii="Times New Roman" w:hAnsi="Times New Roman"/>
          <w:sz w:val="24"/>
          <w:szCs w:val="24"/>
        </w:rPr>
        <w:t>, ratio analysis,</w:t>
      </w:r>
      <w:r w:rsidRPr="3E24305B" w:rsidR="00C84856">
        <w:rPr>
          <w:rFonts w:ascii="Times New Roman" w:hAnsi="Times New Roman"/>
          <w:sz w:val="24"/>
          <w:szCs w:val="24"/>
        </w:rPr>
        <w:t xml:space="preserve"> and conclusions, including trends, strengths, weaknesses, extraordinary transactions, </w:t>
      </w:r>
      <w:r w:rsidRPr="3E24305B">
        <w:rPr>
          <w:rFonts w:ascii="Times New Roman" w:hAnsi="Times New Roman"/>
          <w:sz w:val="24"/>
          <w:szCs w:val="24"/>
        </w:rPr>
        <w:t xml:space="preserve">violations of loan covenants and covenant waivers proposed by the Lender, any routine servicing actions performed, </w:t>
      </w:r>
      <w:r w:rsidRPr="3E24305B" w:rsidR="00C84856">
        <w:rPr>
          <w:rFonts w:ascii="Times New Roman" w:hAnsi="Times New Roman"/>
          <w:sz w:val="24"/>
          <w:szCs w:val="24"/>
        </w:rPr>
        <w:t xml:space="preserve">and other indications of the financial condition of the borrower.  </w:t>
      </w:r>
      <w:r w:rsidRPr="3E24305B">
        <w:rPr>
          <w:rFonts w:ascii="Times New Roman" w:hAnsi="Times New Roman"/>
          <w:sz w:val="24"/>
          <w:szCs w:val="24"/>
        </w:rPr>
        <w:t xml:space="preserve">After its review, the Agency will provide the lender with a written report of any concerns.  The lender must address each Agency concern.  </w:t>
      </w:r>
      <w:r w:rsidRPr="3E24305B" w:rsidR="00C84856">
        <w:rPr>
          <w:rFonts w:ascii="Times New Roman" w:hAnsi="Times New Roman"/>
          <w:sz w:val="24"/>
          <w:szCs w:val="24"/>
        </w:rPr>
        <w:t>This requirement is needed in order to evaluate the borrower’s financial performance as it would pertain to both its business plan and feasibility study, if applicable, as well as to whether the business is generating sufficient cash flow to satisfy its obligations, including the guaranteed loan.</w:t>
      </w:r>
    </w:p>
    <w:p w:rsidRPr="00552547" w:rsidR="00127AED" w:rsidP="00127AED" w:rsidRDefault="00127AED" w14:paraId="0CA98A20" w14:textId="77777777">
      <w:pPr>
        <w:ind w:left="360"/>
        <w:rPr>
          <w:rFonts w:ascii="Times New Roman" w:hAnsi="Times New Roman"/>
          <w:color w:val="000000"/>
          <w:sz w:val="24"/>
          <w:szCs w:val="24"/>
        </w:rPr>
      </w:pPr>
    </w:p>
    <w:p w:rsidRPr="00552547" w:rsidR="00EC2832" w:rsidP="00EC2832" w:rsidRDefault="00EC2832" w14:paraId="5F24B003"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u w:val="single"/>
        </w:rPr>
        <w:t>Audits</w:t>
      </w:r>
      <w:r w:rsidRPr="00552547">
        <w:rPr>
          <w:rFonts w:ascii="Times New Roman" w:hAnsi="Times New Roman"/>
          <w:color w:val="000000"/>
          <w:sz w:val="24"/>
          <w:szCs w:val="24"/>
        </w:rPr>
        <w:t xml:space="preserve">.  </w:t>
      </w:r>
      <w:r w:rsidRPr="00552547">
        <w:rPr>
          <w:rFonts w:ascii="Times New Roman" w:hAnsi="Times New Roman"/>
          <w:sz w:val="24"/>
          <w:szCs w:val="24"/>
        </w:rPr>
        <w:t>Any public body</w:t>
      </w:r>
      <w:r w:rsidR="008D683E">
        <w:rPr>
          <w:rFonts w:ascii="Times New Roman" w:hAnsi="Times New Roman"/>
          <w:sz w:val="24"/>
          <w:szCs w:val="24"/>
        </w:rPr>
        <w:t>,</w:t>
      </w:r>
      <w:r w:rsidRPr="00552547">
        <w:rPr>
          <w:rFonts w:ascii="Times New Roman" w:hAnsi="Times New Roman"/>
          <w:sz w:val="24"/>
          <w:szCs w:val="24"/>
        </w:rPr>
        <w:t xml:space="preserve"> nonprofit corporation</w:t>
      </w:r>
      <w:r w:rsidR="008D683E">
        <w:rPr>
          <w:rFonts w:ascii="Times New Roman" w:hAnsi="Times New Roman"/>
          <w:sz w:val="24"/>
          <w:szCs w:val="24"/>
        </w:rPr>
        <w:t>, or Indian Tribe</w:t>
      </w:r>
      <w:r w:rsidRPr="00552547">
        <w:rPr>
          <w:rFonts w:ascii="Times New Roman" w:hAnsi="Times New Roman"/>
          <w:sz w:val="24"/>
          <w:szCs w:val="24"/>
        </w:rPr>
        <w:t xml:space="preserve"> that receives a guaranteed loan that meets the thresholds established by </w:t>
      </w:r>
      <w:r w:rsidR="008D683E">
        <w:rPr>
          <w:rFonts w:ascii="Times New Roman" w:hAnsi="Times New Roman"/>
          <w:sz w:val="24"/>
          <w:szCs w:val="24"/>
        </w:rPr>
        <w:t>2 CFR part 200, subpart F</w:t>
      </w:r>
      <w:r w:rsidRPr="00552547" w:rsidR="008D683E">
        <w:rPr>
          <w:rFonts w:ascii="Times New Roman" w:hAnsi="Times New Roman"/>
          <w:sz w:val="24"/>
          <w:szCs w:val="24"/>
        </w:rPr>
        <w:t xml:space="preserve"> </w:t>
      </w:r>
      <w:r w:rsidRPr="00552547">
        <w:rPr>
          <w:rFonts w:ascii="Times New Roman" w:hAnsi="Times New Roman"/>
          <w:sz w:val="24"/>
          <w:szCs w:val="24"/>
        </w:rPr>
        <w:t xml:space="preserve">must provide an audit </w:t>
      </w:r>
      <w:r w:rsidR="008D683E">
        <w:rPr>
          <w:rFonts w:ascii="Times New Roman" w:hAnsi="Times New Roman"/>
          <w:sz w:val="24"/>
          <w:szCs w:val="24"/>
        </w:rPr>
        <w:t>for the fiscal year of the borrower in which the Loan Note Guarantee was issued</w:t>
      </w:r>
      <w:r w:rsidRPr="00552547">
        <w:rPr>
          <w:rFonts w:ascii="Times New Roman" w:hAnsi="Times New Roman"/>
          <w:sz w:val="24"/>
          <w:szCs w:val="24"/>
        </w:rPr>
        <w:t xml:space="preserve">.  If the loan is for development or purchases made in a previous fiscal year through interim financing, an audit will also be provided for the fiscal year in which the development or purchases occurred.  Any audit meeting </w:t>
      </w:r>
      <w:r w:rsidR="008D683E">
        <w:rPr>
          <w:rFonts w:ascii="Times New Roman" w:hAnsi="Times New Roman"/>
          <w:sz w:val="24"/>
          <w:szCs w:val="24"/>
        </w:rPr>
        <w:t xml:space="preserve">the </w:t>
      </w:r>
      <w:r w:rsidRPr="00552547">
        <w:rPr>
          <w:rFonts w:ascii="Times New Roman" w:hAnsi="Times New Roman"/>
          <w:sz w:val="24"/>
          <w:szCs w:val="24"/>
        </w:rPr>
        <w:t xml:space="preserve">requirements </w:t>
      </w:r>
      <w:r w:rsidR="008D683E">
        <w:rPr>
          <w:rFonts w:ascii="Times New Roman" w:hAnsi="Times New Roman"/>
          <w:sz w:val="24"/>
          <w:szCs w:val="24"/>
        </w:rPr>
        <w:t xml:space="preserve">of this provision in the rule </w:t>
      </w:r>
      <w:r w:rsidRPr="00552547">
        <w:rPr>
          <w:rFonts w:ascii="Times New Roman" w:hAnsi="Times New Roman"/>
          <w:sz w:val="24"/>
          <w:szCs w:val="24"/>
        </w:rPr>
        <w:t>will be adequate to meet any audit requirements of the Program for that year.</w:t>
      </w:r>
    </w:p>
    <w:p w:rsidRPr="00552547" w:rsidR="00EC2832" w:rsidP="00EC2832" w:rsidRDefault="00EC2832" w14:paraId="1D813A62"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552547" w:rsidR="00D748E8" w:rsidP="00EC2832" w:rsidRDefault="00D748E8" w14:paraId="01A98C89"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u w:val="single"/>
        </w:rPr>
        <w:t>Additional loans</w:t>
      </w:r>
      <w:r w:rsidRPr="00552547">
        <w:rPr>
          <w:rFonts w:ascii="Times New Roman" w:hAnsi="Times New Roman"/>
          <w:sz w:val="24"/>
          <w:szCs w:val="24"/>
        </w:rPr>
        <w:t>.  The lender must notify the Agency whenever the lender makes any additional expenditures or new loans to the borrower.</w:t>
      </w:r>
    </w:p>
    <w:p w:rsidRPr="00552547" w:rsidR="00D748E8" w:rsidP="00EC2832" w:rsidRDefault="00D748E8" w14:paraId="60810975" w14:textId="77777777">
      <w:pPr>
        <w:tabs>
          <w:tab w:val="left" w:pos="360"/>
          <w:tab w:val="left" w:pos="720"/>
          <w:tab w:val="left" w:pos="2160"/>
          <w:tab w:val="left" w:pos="4320"/>
          <w:tab w:val="left" w:pos="6480"/>
          <w:tab w:val="left" w:pos="8640"/>
        </w:tabs>
        <w:suppressAutoHyphens/>
        <w:rPr>
          <w:rFonts w:ascii="Times New Roman" w:hAnsi="Times New Roman"/>
          <w:sz w:val="24"/>
          <w:szCs w:val="24"/>
        </w:rPr>
      </w:pPr>
    </w:p>
    <w:p w:rsidRPr="00552547" w:rsidR="00127AED" w:rsidP="00127AED" w:rsidRDefault="00127AED" w14:paraId="5154B55B" w14:textId="77777777">
      <w:pPr>
        <w:rPr>
          <w:rFonts w:ascii="Times New Roman" w:hAnsi="Times New Roman"/>
          <w:sz w:val="24"/>
          <w:szCs w:val="24"/>
          <w:u w:val="single"/>
        </w:rPr>
      </w:pPr>
      <w:r w:rsidRPr="00552547">
        <w:rPr>
          <w:rFonts w:ascii="Times New Roman" w:hAnsi="Times New Roman"/>
          <w:sz w:val="24"/>
          <w:szCs w:val="24"/>
          <w:u w:val="single"/>
        </w:rPr>
        <w:t>Interest</w:t>
      </w:r>
      <w:r w:rsidRPr="00552547" w:rsidR="00D748E8">
        <w:rPr>
          <w:rFonts w:ascii="Times New Roman" w:hAnsi="Times New Roman"/>
          <w:sz w:val="24"/>
          <w:szCs w:val="24"/>
          <w:u w:val="single"/>
        </w:rPr>
        <w:t xml:space="preserve"> r</w:t>
      </w:r>
      <w:r w:rsidRPr="00552547">
        <w:rPr>
          <w:rFonts w:ascii="Times New Roman" w:hAnsi="Times New Roman"/>
          <w:sz w:val="24"/>
          <w:szCs w:val="24"/>
          <w:u w:val="single"/>
        </w:rPr>
        <w:t xml:space="preserve">ate </w:t>
      </w:r>
      <w:r w:rsidRPr="00552547" w:rsidR="00D748E8">
        <w:rPr>
          <w:rFonts w:ascii="Times New Roman" w:hAnsi="Times New Roman"/>
          <w:sz w:val="24"/>
          <w:szCs w:val="24"/>
          <w:u w:val="single"/>
        </w:rPr>
        <w:t>change</w:t>
      </w:r>
      <w:r w:rsidRPr="00552547" w:rsidR="00941852">
        <w:rPr>
          <w:rFonts w:ascii="Times New Roman" w:hAnsi="Times New Roman"/>
          <w:sz w:val="24"/>
          <w:szCs w:val="24"/>
        </w:rPr>
        <w:t>.</w:t>
      </w:r>
      <w:r w:rsidRPr="00552547">
        <w:rPr>
          <w:rFonts w:ascii="Times New Roman" w:hAnsi="Times New Roman"/>
          <w:sz w:val="24"/>
          <w:szCs w:val="24"/>
        </w:rPr>
        <w:t xml:space="preserve">  The lender is responsible for the legal documentation of interest rate changes by an endorsement or any other legally effective amendment to the promissory note.  The Agency must be notified in writing of all interest rate change prior to the enactment of the negotiated interest rate change.  The borrower, </w:t>
      </w:r>
      <w:proofErr w:type="gramStart"/>
      <w:r w:rsidRPr="00552547">
        <w:rPr>
          <w:rFonts w:ascii="Times New Roman" w:hAnsi="Times New Roman"/>
          <w:sz w:val="24"/>
          <w:szCs w:val="24"/>
        </w:rPr>
        <w:t>lender</w:t>
      </w:r>
      <w:proofErr w:type="gramEnd"/>
      <w:r w:rsidRPr="00552547">
        <w:rPr>
          <w:rFonts w:ascii="Times New Roman" w:hAnsi="Times New Roman"/>
          <w:sz w:val="24"/>
          <w:szCs w:val="24"/>
        </w:rPr>
        <w:t xml:space="preserve"> and holder (if any) may collectively initiate a permanent or temporary reduction in the interest rate of the guaranteed loan at any time during the life of the loan upon written agreement among these parties.</w:t>
      </w:r>
    </w:p>
    <w:p w:rsidRPr="00552547" w:rsidR="00127AED" w:rsidP="00127AED" w:rsidRDefault="00127AED" w14:paraId="39BE3FEC" w14:textId="77777777">
      <w:pPr>
        <w:ind w:left="360"/>
        <w:rPr>
          <w:rFonts w:ascii="Times New Roman" w:hAnsi="Times New Roman"/>
          <w:sz w:val="24"/>
          <w:szCs w:val="24"/>
        </w:rPr>
      </w:pPr>
    </w:p>
    <w:p w:rsidRPr="00552547" w:rsidR="00127AED" w:rsidP="00127AED" w:rsidRDefault="00127AED" w14:paraId="52A70EBC" w14:textId="77777777">
      <w:pPr>
        <w:rPr>
          <w:rFonts w:ascii="Times New Roman" w:hAnsi="Times New Roman"/>
          <w:sz w:val="24"/>
          <w:szCs w:val="24"/>
        </w:rPr>
      </w:pPr>
      <w:r w:rsidRPr="00552547">
        <w:rPr>
          <w:rFonts w:ascii="Times New Roman" w:hAnsi="Times New Roman"/>
          <w:sz w:val="24"/>
          <w:szCs w:val="24"/>
          <w:u w:val="single"/>
        </w:rPr>
        <w:t xml:space="preserve">Release of </w:t>
      </w:r>
      <w:r w:rsidR="005448DF">
        <w:rPr>
          <w:rFonts w:ascii="Times New Roman" w:hAnsi="Times New Roman"/>
          <w:sz w:val="24"/>
          <w:szCs w:val="24"/>
          <w:u w:val="single"/>
        </w:rPr>
        <w:t>c</w:t>
      </w:r>
      <w:r w:rsidRPr="00552547">
        <w:rPr>
          <w:rFonts w:ascii="Times New Roman" w:hAnsi="Times New Roman"/>
          <w:sz w:val="24"/>
          <w:szCs w:val="24"/>
          <w:u w:val="single"/>
        </w:rPr>
        <w:t>ollateral</w:t>
      </w:r>
      <w:r w:rsidRPr="00552547" w:rsidR="00941852">
        <w:rPr>
          <w:rFonts w:ascii="Times New Roman" w:hAnsi="Times New Roman"/>
          <w:sz w:val="24"/>
          <w:szCs w:val="24"/>
          <w:u w:val="single"/>
        </w:rPr>
        <w:t>.</w:t>
      </w:r>
      <w:r w:rsidRPr="00552547">
        <w:rPr>
          <w:rFonts w:ascii="Times New Roman" w:hAnsi="Times New Roman"/>
          <w:sz w:val="24"/>
          <w:szCs w:val="24"/>
        </w:rPr>
        <w:t xml:space="preserve">  </w:t>
      </w:r>
      <w:r w:rsidRPr="00552547" w:rsidR="00941852">
        <w:rPr>
          <w:rFonts w:ascii="Times New Roman" w:hAnsi="Times New Roman"/>
          <w:sz w:val="24"/>
          <w:szCs w:val="24"/>
        </w:rPr>
        <w:t xml:space="preserve">All releases of collateral greater than $250,000 must be supported by a complete appraisal.  </w:t>
      </w:r>
      <w:r w:rsidRPr="00552547" w:rsidR="000005F8">
        <w:rPr>
          <w:rFonts w:ascii="Times New Roman" w:hAnsi="Times New Roman"/>
          <w:sz w:val="24"/>
          <w:szCs w:val="24"/>
        </w:rPr>
        <w:t>Prior to the release being made, t</w:t>
      </w:r>
      <w:r w:rsidRPr="00552547" w:rsidR="00941852">
        <w:rPr>
          <w:rFonts w:ascii="Times New Roman" w:hAnsi="Times New Roman"/>
          <w:sz w:val="24"/>
          <w:szCs w:val="24"/>
        </w:rPr>
        <w:t xml:space="preserve">he lender must submit written </w:t>
      </w:r>
      <w:r w:rsidRPr="00552547" w:rsidR="000005F8">
        <w:rPr>
          <w:rFonts w:ascii="Times New Roman" w:hAnsi="Times New Roman"/>
          <w:sz w:val="24"/>
          <w:szCs w:val="24"/>
        </w:rPr>
        <w:t>justification</w:t>
      </w:r>
      <w:r w:rsidRPr="00552547" w:rsidR="00941852">
        <w:rPr>
          <w:rFonts w:ascii="Times New Roman" w:hAnsi="Times New Roman"/>
          <w:sz w:val="24"/>
          <w:szCs w:val="24"/>
        </w:rPr>
        <w:t xml:space="preserve"> to the Agency </w:t>
      </w:r>
      <w:r w:rsidRPr="00552547" w:rsidR="000005F8">
        <w:rPr>
          <w:rFonts w:ascii="Times New Roman" w:hAnsi="Times New Roman"/>
          <w:sz w:val="24"/>
          <w:szCs w:val="24"/>
        </w:rPr>
        <w:t>(1) for each r</w:t>
      </w:r>
      <w:r w:rsidRPr="00552547" w:rsidR="00941852">
        <w:rPr>
          <w:rFonts w:ascii="Times New Roman" w:hAnsi="Times New Roman"/>
          <w:sz w:val="24"/>
          <w:szCs w:val="24"/>
        </w:rPr>
        <w:t xml:space="preserve">elease of collateral that </w:t>
      </w:r>
      <w:r w:rsidRPr="00552547" w:rsidR="000005F8">
        <w:rPr>
          <w:rFonts w:ascii="Times New Roman" w:hAnsi="Times New Roman"/>
          <w:sz w:val="24"/>
          <w:szCs w:val="24"/>
        </w:rPr>
        <w:t xml:space="preserve">results, individually or collectively, in more than </w:t>
      </w:r>
      <w:r w:rsidRPr="00552547" w:rsidR="00941852">
        <w:rPr>
          <w:rFonts w:ascii="Times New Roman" w:hAnsi="Times New Roman"/>
          <w:sz w:val="24"/>
          <w:szCs w:val="24"/>
        </w:rPr>
        <w:t xml:space="preserve">20 percent of the loan amount </w:t>
      </w:r>
      <w:r w:rsidRPr="00552547" w:rsidR="000005F8">
        <w:rPr>
          <w:rFonts w:ascii="Times New Roman" w:hAnsi="Times New Roman"/>
          <w:sz w:val="24"/>
          <w:szCs w:val="24"/>
        </w:rPr>
        <w:t xml:space="preserve">being released </w:t>
      </w:r>
      <w:r w:rsidRPr="00552547" w:rsidR="00941852">
        <w:rPr>
          <w:rFonts w:ascii="Times New Roman" w:hAnsi="Times New Roman"/>
          <w:sz w:val="24"/>
          <w:szCs w:val="24"/>
        </w:rPr>
        <w:t xml:space="preserve">or when the proceeds will not be used to reduce the guaranteed loan </w:t>
      </w:r>
      <w:r w:rsidRPr="00552547" w:rsidR="000005F8">
        <w:rPr>
          <w:rFonts w:ascii="Times New Roman" w:hAnsi="Times New Roman"/>
          <w:sz w:val="24"/>
          <w:szCs w:val="24"/>
        </w:rPr>
        <w:t xml:space="preserve">and (2) for any release of collateral if the proceeds are not used </w:t>
      </w:r>
      <w:r w:rsidRPr="00552547" w:rsidR="00941852">
        <w:rPr>
          <w:rFonts w:ascii="Times New Roman" w:hAnsi="Times New Roman"/>
          <w:sz w:val="24"/>
          <w:szCs w:val="24"/>
        </w:rPr>
        <w:t>to</w:t>
      </w:r>
      <w:r w:rsidRPr="00552547" w:rsidR="000005F8">
        <w:rPr>
          <w:rFonts w:ascii="Times New Roman" w:hAnsi="Times New Roman"/>
          <w:sz w:val="24"/>
          <w:szCs w:val="24"/>
        </w:rPr>
        <w:t xml:space="preserve"> reduce the guaranteed loan or to</w:t>
      </w:r>
      <w:r w:rsidRPr="00552547" w:rsidR="00941852">
        <w:rPr>
          <w:rFonts w:ascii="Times New Roman" w:hAnsi="Times New Roman"/>
          <w:sz w:val="24"/>
          <w:szCs w:val="24"/>
        </w:rPr>
        <w:t xml:space="preserve"> buy replacement collateral.  </w:t>
      </w:r>
      <w:r w:rsidRPr="00552547">
        <w:rPr>
          <w:rFonts w:ascii="Times New Roman" w:hAnsi="Times New Roman"/>
          <w:sz w:val="24"/>
          <w:szCs w:val="24"/>
        </w:rPr>
        <w:t xml:space="preserve"> </w:t>
      </w:r>
    </w:p>
    <w:p w:rsidRPr="00552547" w:rsidR="00127AED" w:rsidP="00941852" w:rsidRDefault="00127AED" w14:paraId="6DED1F81" w14:textId="77777777">
      <w:pPr>
        <w:rPr>
          <w:rFonts w:ascii="Times New Roman" w:hAnsi="Times New Roman"/>
          <w:sz w:val="24"/>
          <w:szCs w:val="24"/>
        </w:rPr>
      </w:pPr>
    </w:p>
    <w:p w:rsidRPr="00552547" w:rsidR="00127AED" w:rsidP="00127AED" w:rsidRDefault="00127AED" w14:paraId="3CDE9691" w14:textId="77777777">
      <w:pPr>
        <w:rPr>
          <w:rFonts w:ascii="Times New Roman" w:hAnsi="Times New Roman"/>
          <w:sz w:val="24"/>
          <w:szCs w:val="24"/>
        </w:rPr>
      </w:pPr>
      <w:r w:rsidRPr="00552547">
        <w:rPr>
          <w:rFonts w:ascii="Times New Roman" w:hAnsi="Times New Roman"/>
          <w:sz w:val="24"/>
          <w:szCs w:val="24"/>
          <w:u w:val="single"/>
        </w:rPr>
        <w:t xml:space="preserve">Subordination of </w:t>
      </w:r>
      <w:r w:rsidR="005448DF">
        <w:rPr>
          <w:rFonts w:ascii="Times New Roman" w:hAnsi="Times New Roman"/>
          <w:sz w:val="24"/>
          <w:szCs w:val="24"/>
          <w:u w:val="single"/>
        </w:rPr>
        <w:t>l</w:t>
      </w:r>
      <w:r w:rsidRPr="00552547">
        <w:rPr>
          <w:rFonts w:ascii="Times New Roman" w:hAnsi="Times New Roman"/>
          <w:sz w:val="24"/>
          <w:szCs w:val="24"/>
          <w:u w:val="single"/>
        </w:rPr>
        <w:t xml:space="preserve">ien </w:t>
      </w:r>
      <w:r w:rsidR="005448DF">
        <w:rPr>
          <w:rFonts w:ascii="Times New Roman" w:hAnsi="Times New Roman"/>
          <w:sz w:val="24"/>
          <w:szCs w:val="24"/>
          <w:u w:val="single"/>
        </w:rPr>
        <w:t>p</w:t>
      </w:r>
      <w:r w:rsidRPr="00552547">
        <w:rPr>
          <w:rFonts w:ascii="Times New Roman" w:hAnsi="Times New Roman"/>
          <w:sz w:val="24"/>
          <w:szCs w:val="24"/>
          <w:u w:val="single"/>
        </w:rPr>
        <w:t>osition</w:t>
      </w:r>
      <w:r w:rsidRPr="00552547" w:rsidR="00574738">
        <w:rPr>
          <w:rFonts w:ascii="Times New Roman" w:hAnsi="Times New Roman"/>
          <w:sz w:val="24"/>
          <w:szCs w:val="24"/>
          <w:u w:val="single"/>
        </w:rPr>
        <w:t>.</w:t>
      </w:r>
      <w:r w:rsidRPr="00552547">
        <w:rPr>
          <w:rFonts w:ascii="Times New Roman" w:hAnsi="Times New Roman"/>
          <w:sz w:val="24"/>
          <w:szCs w:val="24"/>
        </w:rPr>
        <w:t xml:space="preserve">  A subordination of the lender’s lien position must be requested in writing by the lender and concurred </w:t>
      </w:r>
      <w:r w:rsidRPr="00552547" w:rsidR="00574738">
        <w:rPr>
          <w:rFonts w:ascii="Times New Roman" w:hAnsi="Times New Roman"/>
          <w:sz w:val="24"/>
          <w:szCs w:val="24"/>
        </w:rPr>
        <w:t xml:space="preserve">with </w:t>
      </w:r>
      <w:r w:rsidRPr="00552547">
        <w:rPr>
          <w:rFonts w:ascii="Times New Roman" w:hAnsi="Times New Roman"/>
          <w:sz w:val="24"/>
          <w:szCs w:val="24"/>
        </w:rPr>
        <w:t xml:space="preserve">by the Agency in writing in advance of the subordination.  </w:t>
      </w:r>
      <w:r w:rsidRPr="001D200A" w:rsidR="001D200A">
        <w:rPr>
          <w:rFonts w:ascii="Times New Roman" w:hAnsi="Times New Roman"/>
          <w:sz w:val="24"/>
          <w:szCs w:val="24"/>
        </w:rPr>
        <w:t xml:space="preserve">The subordination must be in the best financial interest of the Agency, the lien to which the guaranteed loan is subordinated is for a fixed dollar limit, lien priorities remain for the portion of the loan that was not </w:t>
      </w:r>
      <w:r w:rsidRPr="001D200A" w:rsidR="00F33310">
        <w:rPr>
          <w:rFonts w:ascii="Times New Roman" w:hAnsi="Times New Roman"/>
          <w:sz w:val="24"/>
          <w:szCs w:val="24"/>
        </w:rPr>
        <w:t>subordinated</w:t>
      </w:r>
      <w:r w:rsidR="00F33310">
        <w:rPr>
          <w:rFonts w:ascii="Times New Roman" w:hAnsi="Times New Roman"/>
          <w:sz w:val="24"/>
          <w:szCs w:val="24"/>
        </w:rPr>
        <w:t xml:space="preserve"> and</w:t>
      </w:r>
      <w:r w:rsidR="008D683E">
        <w:rPr>
          <w:rFonts w:ascii="Times New Roman" w:hAnsi="Times New Roman"/>
          <w:sz w:val="24"/>
          <w:szCs w:val="24"/>
        </w:rPr>
        <w:t xml:space="preserve"> must be for Good Cause</w:t>
      </w:r>
      <w:r w:rsidRPr="001D200A" w:rsidR="001D200A">
        <w:rPr>
          <w:rFonts w:ascii="Times New Roman" w:hAnsi="Times New Roman"/>
          <w:sz w:val="24"/>
          <w:szCs w:val="24"/>
        </w:rPr>
        <w:t>.</w:t>
      </w:r>
    </w:p>
    <w:p w:rsidRPr="00552547" w:rsidR="00127AED" w:rsidP="00127AED" w:rsidRDefault="00127AED" w14:paraId="42431882" w14:textId="77777777">
      <w:pPr>
        <w:ind w:left="360"/>
        <w:rPr>
          <w:rFonts w:ascii="Times New Roman" w:hAnsi="Times New Roman"/>
          <w:sz w:val="24"/>
          <w:szCs w:val="24"/>
        </w:rPr>
      </w:pPr>
    </w:p>
    <w:p w:rsidRPr="00552547" w:rsidR="00127AED" w:rsidP="00127AED" w:rsidRDefault="00127AED" w14:paraId="23101948" w14:textId="77777777">
      <w:pPr>
        <w:rPr>
          <w:rFonts w:ascii="Times New Roman" w:hAnsi="Times New Roman"/>
          <w:sz w:val="24"/>
          <w:szCs w:val="24"/>
        </w:rPr>
      </w:pPr>
      <w:r w:rsidRPr="00552547">
        <w:rPr>
          <w:rFonts w:ascii="Times New Roman" w:hAnsi="Times New Roman"/>
          <w:sz w:val="24"/>
          <w:szCs w:val="24"/>
          <w:u w:val="single"/>
        </w:rPr>
        <w:t xml:space="preserve">Alterations of </w:t>
      </w:r>
      <w:r w:rsidR="005448DF">
        <w:rPr>
          <w:rFonts w:ascii="Times New Roman" w:hAnsi="Times New Roman"/>
          <w:sz w:val="24"/>
          <w:szCs w:val="24"/>
          <w:u w:val="single"/>
        </w:rPr>
        <w:t>l</w:t>
      </w:r>
      <w:r w:rsidRPr="00552547">
        <w:rPr>
          <w:rFonts w:ascii="Times New Roman" w:hAnsi="Times New Roman"/>
          <w:sz w:val="24"/>
          <w:szCs w:val="24"/>
          <w:u w:val="single"/>
        </w:rPr>
        <w:t xml:space="preserve">oan </w:t>
      </w:r>
      <w:r w:rsidR="005448DF">
        <w:rPr>
          <w:rFonts w:ascii="Times New Roman" w:hAnsi="Times New Roman"/>
          <w:sz w:val="24"/>
          <w:szCs w:val="24"/>
          <w:u w:val="single"/>
        </w:rPr>
        <w:t>i</w:t>
      </w:r>
      <w:r w:rsidRPr="00552547">
        <w:rPr>
          <w:rFonts w:ascii="Times New Roman" w:hAnsi="Times New Roman"/>
          <w:sz w:val="24"/>
          <w:szCs w:val="24"/>
          <w:u w:val="single"/>
        </w:rPr>
        <w:t>nstruments</w:t>
      </w:r>
      <w:r w:rsidRPr="00552547" w:rsidR="00574738">
        <w:rPr>
          <w:rFonts w:ascii="Times New Roman" w:hAnsi="Times New Roman"/>
          <w:sz w:val="24"/>
          <w:szCs w:val="24"/>
        </w:rPr>
        <w:t xml:space="preserve">. </w:t>
      </w:r>
      <w:r w:rsidRPr="00552547">
        <w:rPr>
          <w:rFonts w:ascii="Times New Roman" w:hAnsi="Times New Roman"/>
          <w:sz w:val="24"/>
          <w:szCs w:val="24"/>
        </w:rPr>
        <w:t xml:space="preserve"> Alterations </w:t>
      </w:r>
      <w:r w:rsidRPr="00552547" w:rsidR="00574738">
        <w:rPr>
          <w:rFonts w:ascii="Times New Roman" w:hAnsi="Times New Roman"/>
          <w:sz w:val="24"/>
          <w:szCs w:val="24"/>
        </w:rPr>
        <w:t xml:space="preserve">or modifications </w:t>
      </w:r>
      <w:r w:rsidRPr="00552547">
        <w:rPr>
          <w:rFonts w:ascii="Times New Roman" w:hAnsi="Times New Roman"/>
          <w:sz w:val="24"/>
          <w:szCs w:val="24"/>
        </w:rPr>
        <w:t>to any loan instrument must be approved in writing by the Agency</w:t>
      </w:r>
      <w:r w:rsidRPr="00552547" w:rsidR="00574738">
        <w:rPr>
          <w:rFonts w:ascii="Times New Roman" w:hAnsi="Times New Roman"/>
          <w:sz w:val="24"/>
          <w:szCs w:val="24"/>
        </w:rPr>
        <w:t xml:space="preserve"> prior to the alterations or modifications</w:t>
      </w:r>
      <w:r w:rsidRPr="00552547">
        <w:rPr>
          <w:rFonts w:ascii="Times New Roman" w:hAnsi="Times New Roman"/>
          <w:sz w:val="24"/>
          <w:szCs w:val="24"/>
        </w:rPr>
        <w:t xml:space="preserve">.  A request by the lender for approval to loan instrument changes must be supported by and explanation of the reason for the proposed changes, completed by the lender.  </w:t>
      </w:r>
    </w:p>
    <w:p w:rsidRPr="00552547" w:rsidR="00127AED" w:rsidP="00127AED" w:rsidRDefault="00127AED" w14:paraId="3BA6A1C5" w14:textId="77777777">
      <w:pPr>
        <w:ind w:left="360"/>
        <w:rPr>
          <w:rFonts w:ascii="Times New Roman" w:hAnsi="Times New Roman"/>
          <w:sz w:val="24"/>
          <w:szCs w:val="24"/>
        </w:rPr>
      </w:pPr>
    </w:p>
    <w:p w:rsidRPr="00552547" w:rsidR="00127AED" w:rsidP="00127AED" w:rsidRDefault="00127AED" w14:paraId="0298C867"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ssumption</w:t>
      </w:r>
      <w:r w:rsidRPr="00552547" w:rsidR="00574738">
        <w:rPr>
          <w:rFonts w:ascii="Times New Roman" w:hAnsi="Times New Roman"/>
          <w:sz w:val="24"/>
          <w:szCs w:val="24"/>
          <w:u w:val="single"/>
        </w:rPr>
        <w:t>.</w:t>
      </w:r>
      <w:r w:rsidRPr="00552547">
        <w:rPr>
          <w:rFonts w:ascii="Times New Roman" w:hAnsi="Times New Roman"/>
          <w:sz w:val="24"/>
          <w:szCs w:val="24"/>
        </w:rPr>
        <w:t xml:space="preserve">  All transfers and assumptions must be approved in writing by the Agency and must be made to eligible applicants.  In all cases, the lender must make a complete credit analysis, subject to Agency review and approval.  In addition, the lender will provide to the Agency a written certification that the transfer and assumption is valid, enforceable, and complies with all Agency regulations.  A request by the lender for approval of new loan terms must be supported by an explanation of the reasons for the proposed change in loan terms.  </w:t>
      </w:r>
    </w:p>
    <w:p w:rsidRPr="00552547" w:rsidR="00127AED" w:rsidP="00127AED" w:rsidRDefault="00127AED" w14:paraId="3A4CD5FC" w14:textId="77777777">
      <w:pPr>
        <w:ind w:left="360"/>
        <w:rPr>
          <w:rFonts w:ascii="Times New Roman" w:hAnsi="Times New Roman"/>
          <w:sz w:val="24"/>
          <w:szCs w:val="24"/>
        </w:rPr>
      </w:pPr>
    </w:p>
    <w:p w:rsidRPr="00552547" w:rsidR="00127AED" w:rsidP="00127AED" w:rsidRDefault="00C32656" w14:paraId="30B9F1BA"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 xml:space="preserve">ssumption - </w:t>
      </w:r>
      <w:r w:rsidRPr="00552547" w:rsidR="00127AED">
        <w:rPr>
          <w:rFonts w:ascii="Times New Roman" w:hAnsi="Times New Roman"/>
          <w:sz w:val="24"/>
          <w:szCs w:val="24"/>
          <w:u w:val="single"/>
        </w:rPr>
        <w:t>Credit Reports</w:t>
      </w:r>
      <w:r w:rsidRPr="00552547">
        <w:rPr>
          <w:rFonts w:ascii="Times New Roman" w:hAnsi="Times New Roman"/>
          <w:sz w:val="24"/>
          <w:szCs w:val="24"/>
        </w:rPr>
        <w:t>.</w:t>
      </w:r>
      <w:r w:rsidRPr="00552547" w:rsidR="00127AED">
        <w:rPr>
          <w:rFonts w:ascii="Times New Roman" w:hAnsi="Times New Roman"/>
          <w:sz w:val="24"/>
          <w:szCs w:val="24"/>
        </w:rPr>
        <w:t xml:space="preserve">  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w:t>
      </w:r>
      <w:proofErr w:type="gramStart"/>
      <w:r w:rsidRPr="00552547" w:rsidR="00127AED">
        <w:rPr>
          <w:rFonts w:ascii="Times New Roman" w:hAnsi="Times New Roman"/>
          <w:sz w:val="24"/>
          <w:szCs w:val="24"/>
        </w:rPr>
        <w:t>making a determination</w:t>
      </w:r>
      <w:proofErr w:type="gramEnd"/>
      <w:r w:rsidRPr="00552547" w:rsidR="00127AED">
        <w:rPr>
          <w:rFonts w:ascii="Times New Roman" w:hAnsi="Times New Roman"/>
          <w:sz w:val="24"/>
          <w:szCs w:val="24"/>
        </w:rPr>
        <w:t xml:space="preserve"> as to the credit worthiness of the transferee.  Credit reports are also typically requested for debt settlement transactions.</w:t>
      </w:r>
    </w:p>
    <w:p w:rsidRPr="00552547" w:rsidR="00127AED" w:rsidP="00127AED" w:rsidRDefault="00127AED" w14:paraId="687B3A7E" w14:textId="77777777">
      <w:pPr>
        <w:ind w:left="360"/>
        <w:rPr>
          <w:rFonts w:ascii="Times New Roman" w:hAnsi="Times New Roman"/>
          <w:sz w:val="24"/>
          <w:szCs w:val="24"/>
        </w:rPr>
      </w:pPr>
    </w:p>
    <w:p w:rsidRPr="00552547" w:rsidR="00127AED" w:rsidP="00127AED" w:rsidRDefault="00C32656" w14:paraId="5A7FF061"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 xml:space="preserve">ssumption - </w:t>
      </w:r>
      <w:r w:rsidRPr="00552547" w:rsidR="00127AED">
        <w:rPr>
          <w:rFonts w:ascii="Times New Roman" w:hAnsi="Times New Roman"/>
          <w:sz w:val="24"/>
          <w:szCs w:val="24"/>
          <w:u w:val="single"/>
        </w:rPr>
        <w:t>Appraisals</w:t>
      </w:r>
      <w:r w:rsidRPr="00552547">
        <w:rPr>
          <w:rFonts w:ascii="Times New Roman" w:hAnsi="Times New Roman"/>
          <w:sz w:val="24"/>
          <w:szCs w:val="24"/>
          <w:u w:val="single"/>
        </w:rPr>
        <w:t>.</w:t>
      </w:r>
      <w:r w:rsidRPr="00552547" w:rsidR="00127AED">
        <w:rPr>
          <w:rFonts w:ascii="Times New Roman" w:hAnsi="Times New Roman"/>
          <w:sz w:val="24"/>
          <w:szCs w:val="24"/>
        </w:rPr>
        <w:t xml:space="preserve">  </w:t>
      </w:r>
      <w:r w:rsidRPr="00552547" w:rsidR="00206B83">
        <w:rPr>
          <w:rFonts w:ascii="Times New Roman" w:hAnsi="Times New Roman"/>
          <w:sz w:val="24"/>
          <w:szCs w:val="24"/>
        </w:rPr>
        <w:t xml:space="preserve">If the transfer and assumption is for less than the full amount of the guaranteed loan, the lender must obtain an appraisal on </w:t>
      </w:r>
      <w:proofErr w:type="gramStart"/>
      <w:r w:rsidRPr="00552547" w:rsidR="00206B83">
        <w:rPr>
          <w:rFonts w:ascii="Times New Roman" w:hAnsi="Times New Roman"/>
          <w:sz w:val="24"/>
          <w:szCs w:val="24"/>
        </w:rPr>
        <w:t>all of</w:t>
      </w:r>
      <w:proofErr w:type="gramEnd"/>
      <w:r w:rsidRPr="00552547" w:rsidR="00206B83">
        <w:rPr>
          <w:rFonts w:ascii="Times New Roman" w:hAnsi="Times New Roman"/>
          <w:sz w:val="24"/>
          <w:szCs w:val="24"/>
        </w:rPr>
        <w:t xml:space="preserve"> the collateral being transferred.  </w:t>
      </w:r>
      <w:r w:rsidRPr="00552547" w:rsidR="00F4699D">
        <w:rPr>
          <w:rFonts w:ascii="Times New Roman" w:hAnsi="Times New Roman"/>
          <w:sz w:val="24"/>
          <w:szCs w:val="24"/>
        </w:rPr>
        <w:t>(Note:  An appraisal is not required if the transfer and assumption is for the full amount of the guaranteed loan.)</w:t>
      </w:r>
    </w:p>
    <w:p w:rsidRPr="00552547" w:rsidR="00537FC1" w:rsidP="00127AED" w:rsidRDefault="00537FC1" w14:paraId="793595B2" w14:textId="77777777">
      <w:pPr>
        <w:rPr>
          <w:rFonts w:ascii="Times New Roman" w:hAnsi="Times New Roman"/>
          <w:sz w:val="24"/>
          <w:szCs w:val="24"/>
        </w:rPr>
      </w:pPr>
    </w:p>
    <w:p w:rsidRPr="00552547" w:rsidR="00537FC1" w:rsidP="00127AED" w:rsidRDefault="00537FC1" w14:paraId="17BCD36A" w14:textId="77777777">
      <w:pPr>
        <w:rPr>
          <w:rFonts w:ascii="Times New Roman" w:hAnsi="Times New Roman"/>
          <w:sz w:val="24"/>
          <w:szCs w:val="24"/>
        </w:rPr>
      </w:pPr>
      <w:r w:rsidRPr="00552547">
        <w:rPr>
          <w:rFonts w:ascii="Times New Roman" w:hAnsi="Times New Roman"/>
          <w:sz w:val="24"/>
          <w:szCs w:val="24"/>
          <w:u w:val="single"/>
        </w:rPr>
        <w:t xml:space="preserve">Transfer and </w:t>
      </w:r>
      <w:r w:rsidR="005448DF">
        <w:rPr>
          <w:rFonts w:ascii="Times New Roman" w:hAnsi="Times New Roman"/>
          <w:sz w:val="24"/>
          <w:szCs w:val="24"/>
          <w:u w:val="single"/>
        </w:rPr>
        <w:t>a</w:t>
      </w:r>
      <w:r w:rsidRPr="00552547">
        <w:rPr>
          <w:rFonts w:ascii="Times New Roman" w:hAnsi="Times New Roman"/>
          <w:sz w:val="24"/>
          <w:szCs w:val="24"/>
          <w:u w:val="single"/>
        </w:rPr>
        <w:t>ssumption – Legal opinion</w:t>
      </w:r>
      <w:r w:rsidRPr="00552547">
        <w:rPr>
          <w:rFonts w:ascii="Times New Roman" w:hAnsi="Times New Roman"/>
          <w:sz w:val="24"/>
          <w:szCs w:val="24"/>
        </w:rPr>
        <w:t>.  Prior to Agency approval, the lender must provide the Agency a written legal opinion that the transaction can be properly and legally transferred and assurance that the conveyance instruments will be appropriately filed, registered, and recorded.</w:t>
      </w:r>
    </w:p>
    <w:p w:rsidRPr="00552547" w:rsidR="00127AED" w:rsidP="00127AED" w:rsidRDefault="00127AED" w14:paraId="420745D3" w14:textId="77777777">
      <w:pPr>
        <w:ind w:left="360"/>
        <w:rPr>
          <w:rFonts w:ascii="Times New Roman" w:hAnsi="Times New Roman"/>
          <w:sz w:val="24"/>
          <w:szCs w:val="24"/>
        </w:rPr>
      </w:pPr>
    </w:p>
    <w:p w:rsidRPr="00552547" w:rsidR="00127AED" w:rsidP="00127AED" w:rsidRDefault="00127AED" w14:paraId="2C0E91F6" w14:textId="77777777">
      <w:pPr>
        <w:rPr>
          <w:rFonts w:ascii="Times New Roman" w:hAnsi="Times New Roman"/>
          <w:sz w:val="24"/>
          <w:szCs w:val="24"/>
        </w:rPr>
      </w:pPr>
      <w:r w:rsidRPr="00552547">
        <w:rPr>
          <w:rFonts w:ascii="Times New Roman" w:hAnsi="Times New Roman"/>
          <w:sz w:val="24"/>
          <w:szCs w:val="24"/>
          <w:u w:val="single"/>
        </w:rPr>
        <w:t xml:space="preserve">Substitution of </w:t>
      </w:r>
      <w:r w:rsidR="005448DF">
        <w:rPr>
          <w:rFonts w:ascii="Times New Roman" w:hAnsi="Times New Roman"/>
          <w:sz w:val="24"/>
          <w:szCs w:val="24"/>
          <w:u w:val="single"/>
        </w:rPr>
        <w:t>l</w:t>
      </w:r>
      <w:r w:rsidRPr="00552547">
        <w:rPr>
          <w:rFonts w:ascii="Times New Roman" w:hAnsi="Times New Roman"/>
          <w:sz w:val="24"/>
          <w:szCs w:val="24"/>
          <w:u w:val="single"/>
        </w:rPr>
        <w:t>ender</w:t>
      </w:r>
      <w:r w:rsidRPr="00552547" w:rsidR="00B655C4">
        <w:rPr>
          <w:rFonts w:ascii="Times New Roman" w:hAnsi="Times New Roman"/>
          <w:sz w:val="24"/>
          <w:szCs w:val="24"/>
        </w:rPr>
        <w:t>.</w:t>
      </w:r>
      <w:r w:rsidRPr="00552547">
        <w:rPr>
          <w:rFonts w:ascii="Times New Roman" w:hAnsi="Times New Roman"/>
          <w:sz w:val="24"/>
          <w:szCs w:val="24"/>
        </w:rPr>
        <w:t xml:space="preserve">  After the issuance of the Loan Note Guarantee, the lender </w:t>
      </w:r>
      <w:r w:rsidRPr="00552547" w:rsidR="00B655C4">
        <w:rPr>
          <w:rFonts w:ascii="Times New Roman" w:hAnsi="Times New Roman"/>
          <w:sz w:val="24"/>
          <w:szCs w:val="24"/>
        </w:rPr>
        <w:t>can</w:t>
      </w:r>
      <w:r w:rsidRPr="00552547">
        <w:rPr>
          <w:rFonts w:ascii="Times New Roman" w:hAnsi="Times New Roman"/>
          <w:sz w:val="24"/>
          <w:szCs w:val="24"/>
        </w:rPr>
        <w:t xml:space="preserve">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 </w:t>
      </w:r>
    </w:p>
    <w:p w:rsidRPr="00552547" w:rsidR="00127AED" w:rsidP="00127AED" w:rsidRDefault="00127AED" w14:paraId="460249D5" w14:textId="77777777">
      <w:pPr>
        <w:ind w:left="360"/>
        <w:rPr>
          <w:rFonts w:ascii="Times New Roman" w:hAnsi="Times New Roman"/>
          <w:sz w:val="24"/>
          <w:szCs w:val="24"/>
        </w:rPr>
      </w:pPr>
    </w:p>
    <w:p w:rsidRPr="00552547" w:rsidR="00127AED" w:rsidP="00127AED" w:rsidRDefault="00127AED" w14:paraId="60D74472" w14:textId="77777777">
      <w:pPr>
        <w:rPr>
          <w:rFonts w:ascii="Times New Roman" w:hAnsi="Times New Roman"/>
          <w:sz w:val="24"/>
          <w:szCs w:val="24"/>
        </w:rPr>
      </w:pPr>
      <w:r w:rsidRPr="00552547">
        <w:rPr>
          <w:rFonts w:ascii="Times New Roman" w:hAnsi="Times New Roman"/>
          <w:sz w:val="24"/>
          <w:szCs w:val="24"/>
          <w:u w:val="single"/>
        </w:rPr>
        <w:t xml:space="preserve">Default by </w:t>
      </w:r>
      <w:r w:rsidR="005448DF">
        <w:rPr>
          <w:rFonts w:ascii="Times New Roman" w:hAnsi="Times New Roman"/>
          <w:sz w:val="24"/>
          <w:szCs w:val="24"/>
          <w:u w:val="single"/>
        </w:rPr>
        <w:t>b</w:t>
      </w:r>
      <w:r w:rsidRPr="00552547">
        <w:rPr>
          <w:rFonts w:ascii="Times New Roman" w:hAnsi="Times New Roman"/>
          <w:sz w:val="24"/>
          <w:szCs w:val="24"/>
          <w:u w:val="single"/>
        </w:rPr>
        <w:t>orrower</w:t>
      </w:r>
      <w:r w:rsidRPr="00552547" w:rsidR="000B5CDE">
        <w:rPr>
          <w:rFonts w:ascii="Times New Roman" w:hAnsi="Times New Roman"/>
          <w:sz w:val="24"/>
          <w:szCs w:val="24"/>
          <w:u w:val="single"/>
        </w:rPr>
        <w:t xml:space="preserve"> - Meeting</w:t>
      </w:r>
      <w:r w:rsidRPr="00552547" w:rsidR="00B655C4">
        <w:rPr>
          <w:rFonts w:ascii="Times New Roman" w:hAnsi="Times New Roman"/>
          <w:sz w:val="24"/>
          <w:szCs w:val="24"/>
        </w:rPr>
        <w:t>.</w:t>
      </w:r>
      <w:r w:rsidRPr="00552547">
        <w:rPr>
          <w:rFonts w:ascii="Times New Roman" w:hAnsi="Times New Roman"/>
          <w:sz w:val="24"/>
          <w:szCs w:val="24"/>
        </w:rPr>
        <w:t xml:space="preserve">  </w:t>
      </w:r>
      <w:r w:rsidRPr="00552547" w:rsidR="000B5CDE">
        <w:rPr>
          <w:rFonts w:ascii="Times New Roman" w:hAnsi="Times New Roman"/>
          <w:sz w:val="24"/>
          <w:szCs w:val="24"/>
        </w:rPr>
        <w:t>If a monetary default exceeds 60 days, the lender will arrange a meeting with the Agency and the borrower to resolve the problem.</w:t>
      </w:r>
    </w:p>
    <w:p w:rsidRPr="00552547" w:rsidR="00127AED" w:rsidP="00127AED" w:rsidRDefault="00127AED" w14:paraId="3D69C1F9" w14:textId="77777777">
      <w:pPr>
        <w:ind w:left="360"/>
        <w:rPr>
          <w:rFonts w:ascii="Times New Roman" w:hAnsi="Times New Roman"/>
          <w:sz w:val="24"/>
          <w:szCs w:val="24"/>
        </w:rPr>
      </w:pPr>
    </w:p>
    <w:p w:rsidRPr="00552547" w:rsidR="00127AED" w:rsidP="00127AED" w:rsidRDefault="00127AED" w14:paraId="1D435144" w14:textId="77777777">
      <w:pPr>
        <w:rPr>
          <w:rFonts w:ascii="Times New Roman" w:hAnsi="Times New Roman"/>
          <w:sz w:val="24"/>
          <w:szCs w:val="24"/>
        </w:rPr>
      </w:pPr>
      <w:r w:rsidRPr="00552547">
        <w:rPr>
          <w:rFonts w:ascii="Times New Roman" w:hAnsi="Times New Roman"/>
          <w:sz w:val="24"/>
          <w:szCs w:val="24"/>
          <w:u w:val="single"/>
        </w:rPr>
        <w:t xml:space="preserve">Curative </w:t>
      </w:r>
      <w:r w:rsidR="005448DF">
        <w:rPr>
          <w:rFonts w:ascii="Times New Roman" w:hAnsi="Times New Roman"/>
          <w:sz w:val="24"/>
          <w:szCs w:val="24"/>
          <w:u w:val="single"/>
        </w:rPr>
        <w:t>a</w:t>
      </w:r>
      <w:r w:rsidRPr="00552547">
        <w:rPr>
          <w:rFonts w:ascii="Times New Roman" w:hAnsi="Times New Roman"/>
          <w:sz w:val="24"/>
          <w:szCs w:val="24"/>
          <w:u w:val="single"/>
        </w:rPr>
        <w:t>ctions</w:t>
      </w:r>
      <w:r w:rsidRPr="00552547" w:rsidR="000B5CDE">
        <w:rPr>
          <w:rFonts w:ascii="Times New Roman" w:hAnsi="Times New Roman"/>
          <w:sz w:val="24"/>
          <w:szCs w:val="24"/>
        </w:rPr>
        <w:t>.</w:t>
      </w:r>
      <w:r w:rsidRPr="00552547">
        <w:rPr>
          <w:rFonts w:ascii="Times New Roman" w:hAnsi="Times New Roman"/>
          <w:sz w:val="24"/>
          <w:szCs w:val="24"/>
        </w:rPr>
        <w:t xml:space="preserve">  The primary curative actions </w:t>
      </w:r>
      <w:proofErr w:type="gramStart"/>
      <w:r w:rsidRPr="00552547">
        <w:rPr>
          <w:rFonts w:ascii="Times New Roman" w:hAnsi="Times New Roman"/>
          <w:sz w:val="24"/>
          <w:szCs w:val="24"/>
        </w:rPr>
        <w:t>include:</w:t>
      </w:r>
      <w:proofErr w:type="gramEnd"/>
      <w:r w:rsidRPr="00552547">
        <w:rPr>
          <w:rFonts w:ascii="Times New Roman" w:hAnsi="Times New Roman"/>
          <w:sz w:val="24"/>
          <w:szCs w:val="24"/>
        </w:rPr>
        <w:t xml:space="preserve"> payment deferment, re</w:t>
      </w:r>
      <w:r w:rsidR="00F33310">
        <w:rPr>
          <w:rFonts w:ascii="Times New Roman" w:hAnsi="Times New Roman"/>
          <w:sz w:val="24"/>
          <w:szCs w:val="24"/>
        </w:rPr>
        <w:t>-</w:t>
      </w:r>
      <w:r w:rsidRPr="00552547">
        <w:rPr>
          <w:rFonts w:ascii="Times New Roman" w:hAnsi="Times New Roman"/>
          <w:sz w:val="24"/>
          <w:szCs w:val="24"/>
        </w:rPr>
        <w:t xml:space="preserve">amortization, rescheduling, reorganization, and moratoriums.  </w:t>
      </w:r>
    </w:p>
    <w:p w:rsidRPr="00552547" w:rsidR="00127AED" w:rsidP="00127AED" w:rsidRDefault="00127AED" w14:paraId="3A914F15" w14:textId="77777777">
      <w:pPr>
        <w:ind w:left="360"/>
        <w:rPr>
          <w:rFonts w:ascii="Times New Roman" w:hAnsi="Times New Roman"/>
          <w:sz w:val="24"/>
          <w:szCs w:val="24"/>
          <w:u w:val="single"/>
        </w:rPr>
      </w:pPr>
    </w:p>
    <w:p w:rsidRPr="00552547" w:rsidR="00127AED" w:rsidP="00127AED" w:rsidRDefault="00127AED" w14:paraId="7393A700" w14:textId="77777777">
      <w:pPr>
        <w:rPr>
          <w:rFonts w:ascii="Times New Roman" w:hAnsi="Times New Roman"/>
          <w:sz w:val="24"/>
          <w:szCs w:val="24"/>
        </w:rPr>
      </w:pPr>
      <w:r w:rsidRPr="00552547">
        <w:rPr>
          <w:rFonts w:ascii="Times New Roman" w:hAnsi="Times New Roman"/>
          <w:sz w:val="24"/>
          <w:szCs w:val="24"/>
          <w:u w:val="single"/>
        </w:rPr>
        <w:t xml:space="preserve">Protective </w:t>
      </w:r>
      <w:r w:rsidR="005448DF">
        <w:rPr>
          <w:rFonts w:ascii="Times New Roman" w:hAnsi="Times New Roman"/>
          <w:sz w:val="24"/>
          <w:szCs w:val="24"/>
          <w:u w:val="single"/>
        </w:rPr>
        <w:t>a</w:t>
      </w:r>
      <w:r w:rsidRPr="00552547">
        <w:rPr>
          <w:rFonts w:ascii="Times New Roman" w:hAnsi="Times New Roman"/>
          <w:sz w:val="24"/>
          <w:szCs w:val="24"/>
          <w:u w:val="single"/>
        </w:rPr>
        <w:t>dvances</w:t>
      </w:r>
      <w:r w:rsidRPr="00552547" w:rsidR="009E1E8F">
        <w:rPr>
          <w:rFonts w:ascii="Times New Roman" w:hAnsi="Times New Roman"/>
          <w:sz w:val="24"/>
          <w:szCs w:val="24"/>
        </w:rPr>
        <w:t xml:space="preserve">. </w:t>
      </w:r>
      <w:r w:rsidRPr="00552547">
        <w:rPr>
          <w:rFonts w:ascii="Times New Roman" w:hAnsi="Times New Roman"/>
          <w:sz w:val="24"/>
          <w:szCs w:val="24"/>
        </w:rPr>
        <w:t xml:space="preserve"> Protective advances are advances made by the lender to preserve and protect the collateral.  They must constitute a</w:t>
      </w:r>
      <w:r w:rsidRPr="00552547" w:rsidR="001B6DDD">
        <w:rPr>
          <w:rFonts w:ascii="Times New Roman" w:hAnsi="Times New Roman"/>
          <w:sz w:val="24"/>
          <w:szCs w:val="24"/>
        </w:rPr>
        <w:t>n</w:t>
      </w:r>
      <w:r w:rsidRPr="00552547">
        <w:rPr>
          <w:rFonts w:ascii="Times New Roman" w:hAnsi="Times New Roman"/>
          <w:sz w:val="24"/>
          <w:szCs w:val="24"/>
        </w:rPr>
        <w:t xml:space="preserve"> indebtedness of the borrower to the lender and </w:t>
      </w:r>
      <w:r w:rsidRPr="00552547" w:rsidR="001B6DDD">
        <w:rPr>
          <w:rFonts w:ascii="Times New Roman" w:hAnsi="Times New Roman"/>
          <w:sz w:val="24"/>
          <w:szCs w:val="24"/>
        </w:rPr>
        <w:t xml:space="preserve">must </w:t>
      </w:r>
      <w:r w:rsidRPr="00552547">
        <w:rPr>
          <w:rFonts w:ascii="Times New Roman" w:hAnsi="Times New Roman"/>
          <w:sz w:val="24"/>
          <w:szCs w:val="24"/>
        </w:rPr>
        <w:t xml:space="preserve">be secured by the security instruments.  The lender needs the Agency’s written authorization when </w:t>
      </w:r>
      <w:r w:rsidRPr="00552547" w:rsidR="001B6DDD">
        <w:rPr>
          <w:rFonts w:ascii="Times New Roman" w:hAnsi="Times New Roman"/>
          <w:sz w:val="24"/>
          <w:szCs w:val="24"/>
        </w:rPr>
        <w:t xml:space="preserve">the </w:t>
      </w:r>
      <w:r w:rsidRPr="00552547">
        <w:rPr>
          <w:rFonts w:ascii="Times New Roman" w:hAnsi="Times New Roman"/>
          <w:sz w:val="24"/>
          <w:szCs w:val="24"/>
        </w:rPr>
        <w:t xml:space="preserve">cumulative </w:t>
      </w:r>
      <w:r w:rsidRPr="00552547" w:rsidR="001B6DDD">
        <w:rPr>
          <w:rFonts w:ascii="Times New Roman" w:hAnsi="Times New Roman"/>
          <w:sz w:val="24"/>
          <w:szCs w:val="24"/>
        </w:rPr>
        <w:t xml:space="preserve">total of </w:t>
      </w:r>
      <w:r w:rsidRPr="00552547">
        <w:rPr>
          <w:rFonts w:ascii="Times New Roman" w:hAnsi="Times New Roman"/>
          <w:sz w:val="24"/>
          <w:szCs w:val="24"/>
        </w:rPr>
        <w:t xml:space="preserve">protective advances </w:t>
      </w:r>
      <w:proofErr w:type="gramStart"/>
      <w:r w:rsidRPr="00552547">
        <w:rPr>
          <w:rFonts w:ascii="Times New Roman" w:hAnsi="Times New Roman"/>
          <w:sz w:val="24"/>
          <w:szCs w:val="24"/>
        </w:rPr>
        <w:t>exceed</w:t>
      </w:r>
      <w:proofErr w:type="gramEnd"/>
      <w:r w:rsidRPr="00552547">
        <w:rPr>
          <w:rFonts w:ascii="Times New Roman" w:hAnsi="Times New Roman"/>
          <w:sz w:val="24"/>
          <w:szCs w:val="24"/>
        </w:rPr>
        <w:t xml:space="preserve"> $200,000 or 10 percent of the aggregate outstanding balance of principal, whichever is less</w:t>
      </w:r>
      <w:r w:rsidRPr="00552547" w:rsidR="000B5CDE">
        <w:rPr>
          <w:rFonts w:ascii="Times New Roman" w:hAnsi="Times New Roman"/>
          <w:sz w:val="24"/>
          <w:szCs w:val="24"/>
        </w:rPr>
        <w:t>, unless otherwise specified by the Agency at a lesser amount</w:t>
      </w:r>
      <w:r w:rsidRPr="00552547">
        <w:rPr>
          <w:rFonts w:ascii="Times New Roman" w:hAnsi="Times New Roman"/>
          <w:sz w:val="24"/>
          <w:szCs w:val="24"/>
        </w:rPr>
        <w:t xml:space="preserve">.  </w:t>
      </w:r>
    </w:p>
    <w:p w:rsidRPr="00552547" w:rsidR="00127AED" w:rsidP="00127AED" w:rsidRDefault="00127AED" w14:paraId="027AAB0E" w14:textId="77777777">
      <w:pPr>
        <w:ind w:left="360"/>
        <w:rPr>
          <w:rFonts w:ascii="Times New Roman" w:hAnsi="Times New Roman"/>
          <w:sz w:val="24"/>
          <w:szCs w:val="24"/>
        </w:rPr>
      </w:pPr>
    </w:p>
    <w:p w:rsidRPr="00552547" w:rsidR="00127AED" w:rsidP="00127AED" w:rsidRDefault="00127AED" w14:paraId="3700FBE6" w14:textId="77777777">
      <w:pPr>
        <w:rPr>
          <w:rFonts w:ascii="Times New Roman" w:hAnsi="Times New Roman"/>
          <w:sz w:val="24"/>
          <w:szCs w:val="24"/>
        </w:rPr>
      </w:pPr>
      <w:r w:rsidRPr="00552547">
        <w:rPr>
          <w:rFonts w:ascii="Times New Roman" w:hAnsi="Times New Roman"/>
          <w:sz w:val="24"/>
          <w:szCs w:val="24"/>
          <w:u w:val="single"/>
        </w:rPr>
        <w:t>Liquidation</w:t>
      </w:r>
      <w:r w:rsidRPr="00552547" w:rsidR="00602A12">
        <w:rPr>
          <w:rFonts w:ascii="Times New Roman" w:hAnsi="Times New Roman"/>
          <w:sz w:val="24"/>
          <w:szCs w:val="24"/>
          <w:u w:val="single"/>
        </w:rPr>
        <w:t xml:space="preserve"> </w:t>
      </w:r>
      <w:r w:rsidR="005448DF">
        <w:rPr>
          <w:rFonts w:ascii="Times New Roman" w:hAnsi="Times New Roman"/>
          <w:sz w:val="24"/>
          <w:szCs w:val="24"/>
          <w:u w:val="single"/>
        </w:rPr>
        <w:t xml:space="preserve">plan </w:t>
      </w:r>
      <w:r w:rsidRPr="00552547" w:rsidR="00602A12">
        <w:rPr>
          <w:rFonts w:ascii="Times New Roman" w:hAnsi="Times New Roman"/>
          <w:sz w:val="24"/>
          <w:szCs w:val="24"/>
          <w:u w:val="single"/>
        </w:rPr>
        <w:t>- general</w:t>
      </w:r>
      <w:r w:rsidRPr="00552547" w:rsidR="00602A12">
        <w:rPr>
          <w:rFonts w:ascii="Times New Roman" w:hAnsi="Times New Roman"/>
          <w:sz w:val="24"/>
          <w:szCs w:val="24"/>
        </w:rPr>
        <w:t>.</w:t>
      </w:r>
      <w:r w:rsidRPr="00552547">
        <w:rPr>
          <w:rFonts w:ascii="Times New Roman" w:hAnsi="Times New Roman"/>
          <w:sz w:val="24"/>
          <w:szCs w:val="24"/>
        </w:rPr>
        <w:t xml:space="preserve">  If the lender concludes that liquidation is necessary, it must request the Agency’s concurrence.  Within 30 days after a decision to liquidate, the lender </w:t>
      </w:r>
      <w:r w:rsidRPr="00552547" w:rsidR="00B62C70">
        <w:rPr>
          <w:rFonts w:ascii="Times New Roman" w:hAnsi="Times New Roman"/>
          <w:sz w:val="24"/>
          <w:szCs w:val="24"/>
        </w:rPr>
        <w:t>must</w:t>
      </w:r>
      <w:r w:rsidRPr="00552547">
        <w:rPr>
          <w:rFonts w:ascii="Times New Roman" w:hAnsi="Times New Roman"/>
          <w:sz w:val="24"/>
          <w:szCs w:val="24"/>
        </w:rPr>
        <w:t xml:space="preserve"> submit to the Agency its proposed written detailed method of liquidation.  While the Agency </w:t>
      </w:r>
      <w:r w:rsidRPr="00552547" w:rsidR="00B62C70">
        <w:rPr>
          <w:rFonts w:ascii="Times New Roman" w:hAnsi="Times New Roman"/>
          <w:sz w:val="24"/>
          <w:szCs w:val="24"/>
        </w:rPr>
        <w:t>is reviewing the liquidation plan</w:t>
      </w:r>
      <w:r w:rsidRPr="00552547">
        <w:rPr>
          <w:rFonts w:ascii="Times New Roman" w:hAnsi="Times New Roman"/>
          <w:sz w:val="24"/>
          <w:szCs w:val="24"/>
        </w:rPr>
        <w:t xml:space="preserve">, the lender may proceed with the liquidation process after the lender has accelerated the loan.  </w:t>
      </w:r>
      <w:r w:rsidRPr="00552547" w:rsidR="00B62C70">
        <w:rPr>
          <w:rFonts w:ascii="Times New Roman" w:hAnsi="Times New Roman"/>
          <w:sz w:val="24"/>
          <w:szCs w:val="24"/>
        </w:rPr>
        <w:t xml:space="preserve">If the Agency has any concerns with the plan, the lender and Agency will attempt to resolve such concerns.  </w:t>
      </w:r>
      <w:r w:rsidRPr="00552547">
        <w:rPr>
          <w:rFonts w:ascii="Times New Roman" w:hAnsi="Times New Roman"/>
          <w:sz w:val="24"/>
          <w:szCs w:val="24"/>
        </w:rPr>
        <w:t xml:space="preserve">Upon approval by the Agency of the liquidation plan, the lender will conduct the liquidation (as it would for any non-guaranteed loan).  If significant changes to the plan become necessary, the lender must request Agency concurrence to alter the plan.  </w:t>
      </w:r>
    </w:p>
    <w:p w:rsidRPr="00552547" w:rsidR="00602A12" w:rsidP="00127AED" w:rsidRDefault="00602A12" w14:paraId="3BCC68CB" w14:textId="77777777">
      <w:pPr>
        <w:rPr>
          <w:rFonts w:ascii="Times New Roman" w:hAnsi="Times New Roman"/>
          <w:sz w:val="24"/>
          <w:szCs w:val="24"/>
        </w:rPr>
      </w:pPr>
    </w:p>
    <w:p w:rsidRPr="00552547" w:rsidR="00602A12" w:rsidP="00127AED" w:rsidRDefault="00602A12" w14:paraId="2BDD141B" w14:textId="77777777">
      <w:pPr>
        <w:rPr>
          <w:rFonts w:ascii="Times New Roman" w:hAnsi="Times New Roman"/>
          <w:sz w:val="24"/>
          <w:szCs w:val="24"/>
        </w:rPr>
      </w:pPr>
      <w:r w:rsidRPr="00552547">
        <w:rPr>
          <w:rFonts w:ascii="Times New Roman" w:hAnsi="Times New Roman"/>
          <w:sz w:val="24"/>
          <w:szCs w:val="24"/>
        </w:rPr>
        <w:t>The lender must take action to maximize recovery from all personal and corporate guarantees, including seeking deficiency judgments when there is a reasonable chance of future collection.  Compromise settlements must be approved by the Lender and the Agency, with complete current financial information on all parties obligated for the loan provided.  If, during litigation proceedings, the Agency takes any legal action to protect the rights of the lender, the lender must cooperate with the Agency.</w:t>
      </w:r>
    </w:p>
    <w:p w:rsidRPr="00552547" w:rsidR="00127AED" w:rsidP="00127AED" w:rsidRDefault="00127AED" w14:paraId="5B5919E9" w14:textId="77777777">
      <w:pPr>
        <w:ind w:left="360"/>
        <w:rPr>
          <w:rFonts w:ascii="Times New Roman" w:hAnsi="Times New Roman"/>
          <w:sz w:val="24"/>
          <w:szCs w:val="24"/>
        </w:rPr>
      </w:pPr>
    </w:p>
    <w:p w:rsidRPr="00552547" w:rsidR="00127AED" w:rsidP="00127AED" w:rsidRDefault="00602A12" w14:paraId="0443F224" w14:textId="77777777">
      <w:pPr>
        <w:rPr>
          <w:rFonts w:ascii="Times New Roman" w:hAnsi="Times New Roman"/>
          <w:sz w:val="24"/>
          <w:szCs w:val="24"/>
        </w:rPr>
      </w:pPr>
      <w:r w:rsidRPr="00552547">
        <w:rPr>
          <w:rFonts w:ascii="Times New Roman" w:hAnsi="Times New Roman"/>
          <w:sz w:val="24"/>
          <w:szCs w:val="24"/>
          <w:u w:val="single"/>
        </w:rPr>
        <w:t>Liquidation - a</w:t>
      </w:r>
      <w:r w:rsidRPr="00552547" w:rsidR="00127AED">
        <w:rPr>
          <w:rFonts w:ascii="Times New Roman" w:hAnsi="Times New Roman"/>
          <w:sz w:val="24"/>
          <w:szCs w:val="24"/>
          <w:u w:val="single"/>
        </w:rPr>
        <w:t>cceleration</w:t>
      </w:r>
      <w:r w:rsidRPr="00552547" w:rsidR="00AC2845">
        <w:rPr>
          <w:rFonts w:ascii="Times New Roman" w:hAnsi="Times New Roman"/>
          <w:sz w:val="24"/>
          <w:szCs w:val="24"/>
        </w:rPr>
        <w:t>.</w:t>
      </w:r>
      <w:r w:rsidRPr="00552547" w:rsidR="00127AED">
        <w:rPr>
          <w:rFonts w:ascii="Times New Roman" w:hAnsi="Times New Roman"/>
          <w:sz w:val="24"/>
          <w:szCs w:val="24"/>
        </w:rPr>
        <w:t xml:space="preserve">  The lender </w:t>
      </w:r>
      <w:r w:rsidRPr="00552547" w:rsidR="0022671A">
        <w:rPr>
          <w:rFonts w:ascii="Times New Roman" w:hAnsi="Times New Roman"/>
          <w:sz w:val="24"/>
          <w:szCs w:val="24"/>
        </w:rPr>
        <w:t xml:space="preserve">must </w:t>
      </w:r>
      <w:r w:rsidRPr="00552547" w:rsidR="00127AED">
        <w:rPr>
          <w:rFonts w:ascii="Times New Roman" w:hAnsi="Times New Roman"/>
          <w:sz w:val="24"/>
          <w:szCs w:val="24"/>
        </w:rPr>
        <w:t xml:space="preserve">proceed to accelerate the indebtedness as expeditiously as possible when acceleration is necessary, including giving any notices and taking any other legal actions required.  </w:t>
      </w:r>
      <w:r w:rsidRPr="00552547" w:rsidR="0022671A">
        <w:rPr>
          <w:rFonts w:ascii="Times New Roman" w:hAnsi="Times New Roman"/>
          <w:sz w:val="24"/>
          <w:szCs w:val="24"/>
        </w:rPr>
        <w:t xml:space="preserve">If the acceleration of the loan is solely due a nonmonetary default, the lender must obtain Agency concurrence prior to the acceleration.  In the case of a monetary default, prior Agency approval is not required, although Agency concurrence is required no later than when the liquidation plan is approved.  </w:t>
      </w:r>
      <w:r w:rsidRPr="00552547" w:rsidR="009902D2">
        <w:rPr>
          <w:rFonts w:ascii="Times New Roman" w:hAnsi="Times New Roman"/>
          <w:sz w:val="24"/>
          <w:szCs w:val="24"/>
        </w:rPr>
        <w:t>The lender must provide the Agency with a</w:t>
      </w:r>
      <w:r w:rsidRPr="00552547" w:rsidR="00127AED">
        <w:rPr>
          <w:rFonts w:ascii="Times New Roman" w:hAnsi="Times New Roman"/>
          <w:sz w:val="24"/>
          <w:szCs w:val="24"/>
        </w:rPr>
        <w:t xml:space="preserve"> copy of the acceleration notice </w:t>
      </w:r>
      <w:r w:rsidRPr="00552547" w:rsidR="009902D2">
        <w:rPr>
          <w:rFonts w:ascii="Times New Roman" w:hAnsi="Times New Roman"/>
          <w:sz w:val="24"/>
          <w:szCs w:val="24"/>
        </w:rPr>
        <w:t xml:space="preserve">and any </w:t>
      </w:r>
      <w:r w:rsidRPr="00552547" w:rsidR="00127AED">
        <w:rPr>
          <w:rFonts w:ascii="Times New Roman" w:hAnsi="Times New Roman"/>
          <w:sz w:val="24"/>
          <w:szCs w:val="24"/>
        </w:rPr>
        <w:t xml:space="preserve">other acceleration documents.  The guaranteed loan will be considered in liquidation once the loan has been accelerated and a demand for payment has been made upon the borrower. </w:t>
      </w:r>
    </w:p>
    <w:p w:rsidRPr="00552547" w:rsidR="00127AED" w:rsidP="00127AED" w:rsidRDefault="00127AED" w14:paraId="3DACF12C" w14:textId="77777777">
      <w:pPr>
        <w:ind w:left="360"/>
        <w:rPr>
          <w:rFonts w:ascii="Times New Roman" w:hAnsi="Times New Roman"/>
          <w:sz w:val="24"/>
          <w:szCs w:val="24"/>
        </w:rPr>
      </w:pPr>
    </w:p>
    <w:p w:rsidRPr="00552547" w:rsidR="00127AED" w:rsidP="00127AED" w:rsidRDefault="00602A12" w14:paraId="2EACF143" w14:textId="77777777">
      <w:pPr>
        <w:rPr>
          <w:rFonts w:ascii="Times New Roman" w:hAnsi="Times New Roman"/>
          <w:sz w:val="24"/>
          <w:szCs w:val="24"/>
        </w:rPr>
      </w:pPr>
      <w:r w:rsidRPr="00552547">
        <w:rPr>
          <w:rFonts w:ascii="Times New Roman" w:hAnsi="Times New Roman"/>
          <w:sz w:val="24"/>
          <w:szCs w:val="24"/>
          <w:u w:val="single"/>
        </w:rPr>
        <w:t>Liquidation - a</w:t>
      </w:r>
      <w:r w:rsidRPr="00552547" w:rsidR="00127AED">
        <w:rPr>
          <w:rFonts w:ascii="Times New Roman" w:hAnsi="Times New Roman"/>
          <w:sz w:val="24"/>
          <w:szCs w:val="24"/>
          <w:u w:val="single"/>
        </w:rPr>
        <w:t xml:space="preserve">ccounting and </w:t>
      </w:r>
      <w:r w:rsidRPr="00552547" w:rsidR="009E1E8F">
        <w:rPr>
          <w:rFonts w:ascii="Times New Roman" w:hAnsi="Times New Roman"/>
          <w:sz w:val="24"/>
          <w:szCs w:val="24"/>
          <w:u w:val="single"/>
        </w:rPr>
        <w:t>r</w:t>
      </w:r>
      <w:r w:rsidRPr="00552547" w:rsidR="00127AED">
        <w:rPr>
          <w:rFonts w:ascii="Times New Roman" w:hAnsi="Times New Roman"/>
          <w:sz w:val="24"/>
          <w:szCs w:val="24"/>
          <w:u w:val="single"/>
        </w:rPr>
        <w:t>eports</w:t>
      </w:r>
      <w:r w:rsidRPr="00552547" w:rsidR="00AC2845">
        <w:rPr>
          <w:rFonts w:ascii="Times New Roman" w:hAnsi="Times New Roman"/>
          <w:sz w:val="24"/>
          <w:szCs w:val="24"/>
        </w:rPr>
        <w:t>.</w:t>
      </w:r>
      <w:r w:rsidRPr="00552547" w:rsidR="00127AED">
        <w:rPr>
          <w:rFonts w:ascii="Times New Roman" w:hAnsi="Times New Roman"/>
          <w:sz w:val="24"/>
          <w:szCs w:val="24"/>
        </w:rPr>
        <w:t xml:space="preserve">  When </w:t>
      </w:r>
      <w:r w:rsidRPr="00552547" w:rsidR="00AC2845">
        <w:rPr>
          <w:rFonts w:ascii="Times New Roman" w:hAnsi="Times New Roman"/>
          <w:sz w:val="24"/>
          <w:szCs w:val="24"/>
        </w:rPr>
        <w:t>conducting the</w:t>
      </w:r>
      <w:r w:rsidRPr="00552547" w:rsidR="00127AED">
        <w:rPr>
          <w:rFonts w:ascii="Times New Roman" w:hAnsi="Times New Roman"/>
          <w:sz w:val="24"/>
          <w:szCs w:val="24"/>
        </w:rPr>
        <w:t xml:space="preserve"> liquidation, </w:t>
      </w:r>
      <w:r w:rsidRPr="00552547" w:rsidR="00AC2845">
        <w:rPr>
          <w:rFonts w:ascii="Times New Roman" w:hAnsi="Times New Roman"/>
          <w:sz w:val="24"/>
          <w:szCs w:val="24"/>
        </w:rPr>
        <w:t>the lender must</w:t>
      </w:r>
      <w:r w:rsidRPr="00552547" w:rsidR="00127AED">
        <w:rPr>
          <w:rFonts w:ascii="Times New Roman" w:hAnsi="Times New Roman"/>
          <w:sz w:val="24"/>
          <w:szCs w:val="24"/>
        </w:rPr>
        <w:t xml:space="preserve"> account for all funds during the period of </w:t>
      </w:r>
      <w:r w:rsidRPr="00552547" w:rsidR="00F33310">
        <w:rPr>
          <w:rFonts w:ascii="Times New Roman" w:hAnsi="Times New Roman"/>
          <w:sz w:val="24"/>
          <w:szCs w:val="24"/>
        </w:rPr>
        <w:t>liquidation and</w:t>
      </w:r>
      <w:r w:rsidRPr="00552547" w:rsidR="00127AED">
        <w:rPr>
          <w:rFonts w:ascii="Times New Roman" w:hAnsi="Times New Roman"/>
          <w:sz w:val="24"/>
          <w:szCs w:val="24"/>
        </w:rPr>
        <w:t xml:space="preserve"> </w:t>
      </w:r>
      <w:r w:rsidRPr="00552547" w:rsidR="00AC2845">
        <w:rPr>
          <w:rFonts w:ascii="Times New Roman" w:hAnsi="Times New Roman"/>
          <w:sz w:val="24"/>
          <w:szCs w:val="24"/>
        </w:rPr>
        <w:t>must</w:t>
      </w:r>
      <w:r w:rsidRPr="00552547" w:rsidR="00127AED">
        <w:rPr>
          <w:rFonts w:ascii="Times New Roman" w:hAnsi="Times New Roman"/>
          <w:sz w:val="24"/>
          <w:szCs w:val="24"/>
        </w:rPr>
        <w:t xml:space="preserve"> provide the Agency with </w:t>
      </w:r>
      <w:r w:rsidR="005F62D5">
        <w:rPr>
          <w:rFonts w:ascii="Times New Roman" w:hAnsi="Times New Roman"/>
          <w:sz w:val="24"/>
          <w:szCs w:val="24"/>
        </w:rPr>
        <w:t xml:space="preserve">monthly </w:t>
      </w:r>
      <w:r w:rsidRPr="00552547" w:rsidR="00127AED">
        <w:rPr>
          <w:rFonts w:ascii="Times New Roman" w:hAnsi="Times New Roman"/>
          <w:sz w:val="24"/>
          <w:szCs w:val="24"/>
        </w:rPr>
        <w:t xml:space="preserve">reports on the progress of liquidation including disposition of collateral, resulting costs, and additional procedures necessary for successful completion of the liquidation.  </w:t>
      </w:r>
    </w:p>
    <w:p w:rsidRPr="00552547" w:rsidR="00127AED" w:rsidP="00172B37" w:rsidRDefault="00127AED" w14:paraId="3BB06DBC" w14:textId="77777777">
      <w:pPr>
        <w:rPr>
          <w:rFonts w:ascii="Times New Roman" w:hAnsi="Times New Roman"/>
          <w:sz w:val="24"/>
          <w:szCs w:val="24"/>
        </w:rPr>
      </w:pPr>
    </w:p>
    <w:p w:rsidRPr="00552547" w:rsidR="00602A12" w:rsidP="00172B37" w:rsidRDefault="00602A12" w14:paraId="7A6E8954" w14:textId="77777777">
      <w:pPr>
        <w:rPr>
          <w:rFonts w:ascii="Times New Roman" w:hAnsi="Times New Roman"/>
          <w:sz w:val="24"/>
          <w:szCs w:val="24"/>
        </w:rPr>
      </w:pPr>
      <w:r w:rsidRPr="00552547">
        <w:rPr>
          <w:rFonts w:ascii="Times New Roman" w:hAnsi="Times New Roman"/>
          <w:sz w:val="24"/>
          <w:szCs w:val="24"/>
          <w:u w:val="single"/>
        </w:rPr>
        <w:t>Final loss</w:t>
      </w:r>
      <w:r w:rsidRPr="00552547">
        <w:rPr>
          <w:rFonts w:ascii="Times New Roman" w:hAnsi="Times New Roman"/>
          <w:sz w:val="24"/>
          <w:szCs w:val="24"/>
        </w:rPr>
        <w:t>.  If the lender received a final loss payment, the Lender must submit to the Agency an annual report on its collection activities for each unsatisfied account for 3 years following payment of the final loss claim.</w:t>
      </w:r>
    </w:p>
    <w:p w:rsidRPr="00552547" w:rsidR="00602A12" w:rsidP="00172B37" w:rsidRDefault="00602A12" w14:paraId="7D975904" w14:textId="77777777">
      <w:pPr>
        <w:rPr>
          <w:rFonts w:ascii="Times New Roman" w:hAnsi="Times New Roman"/>
          <w:sz w:val="24"/>
          <w:szCs w:val="24"/>
        </w:rPr>
      </w:pPr>
    </w:p>
    <w:p w:rsidRPr="00552547" w:rsidR="00127AED" w:rsidP="00127AED" w:rsidRDefault="00127AED" w14:paraId="323EF83F" w14:textId="77777777">
      <w:pPr>
        <w:rPr>
          <w:rFonts w:ascii="Times New Roman" w:hAnsi="Times New Roman"/>
          <w:sz w:val="24"/>
          <w:szCs w:val="24"/>
        </w:rPr>
      </w:pPr>
      <w:r w:rsidRPr="00552547">
        <w:rPr>
          <w:rFonts w:ascii="Times New Roman" w:hAnsi="Times New Roman"/>
          <w:sz w:val="24"/>
          <w:szCs w:val="24"/>
          <w:u w:val="single"/>
        </w:rPr>
        <w:lastRenderedPageBreak/>
        <w:t>Termination of Guarantee</w:t>
      </w:r>
      <w:r w:rsidRPr="00552547" w:rsidR="009E1E8F">
        <w:rPr>
          <w:rFonts w:ascii="Times New Roman" w:hAnsi="Times New Roman"/>
          <w:sz w:val="24"/>
          <w:szCs w:val="24"/>
        </w:rPr>
        <w:t xml:space="preserve">. </w:t>
      </w:r>
      <w:r w:rsidRPr="00552547">
        <w:rPr>
          <w:rFonts w:ascii="Times New Roman" w:hAnsi="Times New Roman"/>
          <w:sz w:val="24"/>
          <w:szCs w:val="24"/>
        </w:rPr>
        <w:t xml:space="preserve"> A guarantee will be terminated automatically upon the written notice from the lender to the Agency that the guarantee will terminate in 30 days after the date of notice, provided that the lender holds the entire guaranteed portion of the loan.</w:t>
      </w:r>
    </w:p>
    <w:p w:rsidRPr="00552547" w:rsidR="00C95B81" w:rsidP="00C95B81" w:rsidRDefault="00C95B81" w14:paraId="34C6643A" w14:textId="77777777">
      <w:pPr>
        <w:rPr>
          <w:rFonts w:ascii="Times New Roman" w:hAnsi="Times New Roman"/>
          <w:sz w:val="24"/>
          <w:szCs w:val="24"/>
        </w:rPr>
      </w:pPr>
    </w:p>
    <w:p w:rsidRPr="00C23D9B" w:rsidR="00127AED" w:rsidP="00127AED" w:rsidRDefault="00127AED" w14:paraId="39FFC8A8" w14:textId="77777777">
      <w:pPr>
        <w:jc w:val="center"/>
        <w:rPr>
          <w:rFonts w:ascii="Times New Roman" w:hAnsi="Times New Roman"/>
          <w:b/>
          <w:bCs/>
          <w:sz w:val="24"/>
          <w:szCs w:val="24"/>
          <w:u w:val="single"/>
        </w:rPr>
      </w:pPr>
      <w:r w:rsidRPr="00C23D9B">
        <w:rPr>
          <w:rFonts w:ascii="Times New Roman" w:hAnsi="Times New Roman"/>
          <w:b/>
          <w:bCs/>
          <w:sz w:val="24"/>
          <w:szCs w:val="24"/>
        </w:rPr>
        <w:t xml:space="preserve">REPORTING REQUIREMENTS </w:t>
      </w:r>
      <w:r w:rsidRPr="00C23D9B" w:rsidR="00CA120D">
        <w:rPr>
          <w:rFonts w:ascii="Times New Roman" w:hAnsi="Times New Roman"/>
          <w:b/>
          <w:bCs/>
          <w:sz w:val="24"/>
          <w:szCs w:val="24"/>
        </w:rPr>
        <w:t>–</w:t>
      </w:r>
      <w:r w:rsidRPr="00C23D9B">
        <w:rPr>
          <w:rFonts w:ascii="Times New Roman" w:hAnsi="Times New Roman"/>
          <w:b/>
          <w:bCs/>
          <w:sz w:val="24"/>
          <w:szCs w:val="24"/>
        </w:rPr>
        <w:t>FORMS</w:t>
      </w:r>
      <w:r w:rsidRPr="00C23D9B" w:rsidR="00CA120D">
        <w:rPr>
          <w:rFonts w:ascii="Times New Roman" w:hAnsi="Times New Roman"/>
          <w:b/>
          <w:bCs/>
          <w:sz w:val="24"/>
          <w:szCs w:val="24"/>
        </w:rPr>
        <w:t xml:space="preserve"> APPROVED UNDER THIS DOCKET</w:t>
      </w:r>
      <w:r w:rsidRPr="00C23D9B" w:rsidR="00C72E63">
        <w:rPr>
          <w:rFonts w:ascii="Times New Roman" w:hAnsi="Times New Roman"/>
          <w:b/>
          <w:bCs/>
          <w:sz w:val="24"/>
          <w:szCs w:val="24"/>
        </w:rPr>
        <w:t xml:space="preserve"> </w:t>
      </w:r>
    </w:p>
    <w:p w:rsidR="00C95B81" w:rsidP="00C95B81" w:rsidRDefault="00C95B81" w14:paraId="24C1A8BA" w14:textId="77777777">
      <w:pPr>
        <w:jc w:val="center"/>
        <w:rPr>
          <w:rFonts w:ascii="Times New Roman" w:hAnsi="Times New Roman"/>
          <w:sz w:val="24"/>
          <w:szCs w:val="24"/>
        </w:rPr>
      </w:pPr>
    </w:p>
    <w:p w:rsidRPr="00552547" w:rsidR="00C95B81" w:rsidP="00C95B81" w:rsidRDefault="00C95B81" w14:paraId="3472BD4A" w14:textId="77777777">
      <w:pPr>
        <w:rPr>
          <w:rFonts w:ascii="Times New Roman" w:hAnsi="Times New Roman"/>
          <w:sz w:val="24"/>
          <w:szCs w:val="24"/>
        </w:rPr>
      </w:pPr>
      <w:r w:rsidRPr="00552547">
        <w:rPr>
          <w:rFonts w:ascii="Times New Roman" w:hAnsi="Times New Roman"/>
          <w:sz w:val="24"/>
          <w:szCs w:val="24"/>
          <w:u w:val="single"/>
        </w:rPr>
        <w:t>Form RD 4279-</w:t>
      </w:r>
      <w:r w:rsidR="006B604A">
        <w:rPr>
          <w:rFonts w:ascii="Times New Roman" w:hAnsi="Times New Roman"/>
          <w:sz w:val="24"/>
          <w:szCs w:val="24"/>
          <w:u w:val="single"/>
        </w:rPr>
        <w:t>1</w:t>
      </w:r>
      <w:r w:rsidRPr="00552547">
        <w:rPr>
          <w:rFonts w:ascii="Times New Roman" w:hAnsi="Times New Roman"/>
          <w:sz w:val="24"/>
          <w:szCs w:val="24"/>
          <w:u w:val="single"/>
        </w:rPr>
        <w:t>, “Application for Loan Guarantee</w:t>
      </w:r>
      <w:r w:rsidRPr="00552547" w:rsidR="005C30F6">
        <w:rPr>
          <w:rFonts w:ascii="Times New Roman" w:hAnsi="Times New Roman"/>
          <w:sz w:val="24"/>
          <w:szCs w:val="24"/>
          <w:u w:val="single"/>
        </w:rPr>
        <w:t>.</w:t>
      </w:r>
      <w:r w:rsidRPr="00552547">
        <w:rPr>
          <w:rFonts w:ascii="Times New Roman" w:hAnsi="Times New Roman"/>
          <w:sz w:val="24"/>
          <w:szCs w:val="24"/>
        </w:rPr>
        <w:t>”</w:t>
      </w:r>
      <w:r w:rsidRPr="00552547" w:rsidR="005C30F6">
        <w:rPr>
          <w:rFonts w:ascii="Times New Roman" w:hAnsi="Times New Roman"/>
          <w:sz w:val="24"/>
          <w:szCs w:val="24"/>
        </w:rPr>
        <w:t xml:space="preserve"> </w:t>
      </w:r>
      <w:r w:rsidRPr="00552547">
        <w:rPr>
          <w:rFonts w:ascii="Times New Roman" w:hAnsi="Times New Roman"/>
          <w:sz w:val="24"/>
          <w:szCs w:val="24"/>
        </w:rPr>
        <w:t xml:space="preserve"> The information collected on the form is used by the Agency to determine applicant eligibility for program assistance and to provide financial and other data about the applicant and lender.  The form contains two parts.  The borrower completes part A, and the lender completes Part B.  </w:t>
      </w:r>
    </w:p>
    <w:p w:rsidRPr="000271BE" w:rsidR="00C95B81" w:rsidP="00C95B81" w:rsidRDefault="00C95B81" w14:paraId="30D491EE" w14:textId="77777777">
      <w:pPr>
        <w:rPr>
          <w:rFonts w:ascii="Times New Roman" w:hAnsi="Times New Roman"/>
          <w:sz w:val="24"/>
          <w:szCs w:val="24"/>
        </w:rPr>
      </w:pPr>
    </w:p>
    <w:p w:rsidRPr="000271BE" w:rsidR="00C95B81" w:rsidP="00C95B81" w:rsidRDefault="00C95B81" w14:paraId="65EF2D54" w14:textId="77777777">
      <w:pPr>
        <w:rPr>
          <w:rFonts w:ascii="Times New Roman" w:hAnsi="Times New Roman"/>
          <w:sz w:val="24"/>
          <w:szCs w:val="24"/>
        </w:rPr>
      </w:pPr>
      <w:r w:rsidRPr="000271BE">
        <w:rPr>
          <w:rFonts w:ascii="Times New Roman" w:hAnsi="Times New Roman"/>
          <w:sz w:val="24"/>
          <w:szCs w:val="24"/>
          <w:u w:val="single"/>
        </w:rPr>
        <w:t>Form RD 4279-</w:t>
      </w:r>
      <w:r w:rsidR="006B604A">
        <w:rPr>
          <w:rFonts w:ascii="Times New Roman" w:hAnsi="Times New Roman"/>
          <w:sz w:val="24"/>
          <w:szCs w:val="24"/>
          <w:u w:val="single"/>
        </w:rPr>
        <w:t>3</w:t>
      </w:r>
      <w:r w:rsidRPr="000271BE">
        <w:rPr>
          <w:rFonts w:ascii="Times New Roman" w:hAnsi="Times New Roman"/>
          <w:sz w:val="24"/>
          <w:szCs w:val="24"/>
          <w:u w:val="single"/>
        </w:rPr>
        <w:t>, “Conditional Commitment</w:t>
      </w:r>
      <w:r w:rsidRPr="000271BE" w:rsidR="005C30F6">
        <w:rPr>
          <w:rFonts w:ascii="Times New Roman" w:hAnsi="Times New Roman"/>
          <w:sz w:val="24"/>
          <w:szCs w:val="24"/>
          <w:u w:val="single"/>
        </w:rPr>
        <w:t>.</w:t>
      </w:r>
      <w:r w:rsidRPr="000271BE">
        <w:rPr>
          <w:rFonts w:ascii="Times New Roman" w:hAnsi="Times New Roman"/>
          <w:sz w:val="24"/>
          <w:szCs w:val="24"/>
        </w:rPr>
        <w:t>”  The form is used by the Agency to provide notice to the lender</w:t>
      </w:r>
      <w:r w:rsidRPr="000271BE" w:rsidR="00233AC4">
        <w:rPr>
          <w:rFonts w:ascii="Times New Roman" w:hAnsi="Times New Roman"/>
          <w:sz w:val="24"/>
          <w:szCs w:val="24"/>
        </w:rPr>
        <w:t xml:space="preserve">, subject to </w:t>
      </w:r>
      <w:r w:rsidRPr="000271BE">
        <w:rPr>
          <w:rFonts w:ascii="Times New Roman" w:hAnsi="Times New Roman"/>
          <w:sz w:val="24"/>
          <w:szCs w:val="24"/>
        </w:rPr>
        <w:t>lender acceptance</w:t>
      </w:r>
      <w:r w:rsidRPr="000271BE" w:rsidR="00233AC4">
        <w:rPr>
          <w:rFonts w:ascii="Times New Roman" w:hAnsi="Times New Roman"/>
          <w:sz w:val="24"/>
          <w:szCs w:val="24"/>
        </w:rPr>
        <w:t>,</w:t>
      </w:r>
      <w:r w:rsidRPr="000271BE">
        <w:rPr>
          <w:rFonts w:ascii="Times New Roman" w:hAnsi="Times New Roman"/>
          <w:sz w:val="24"/>
          <w:szCs w:val="24"/>
        </w:rPr>
        <w:t xml:space="preserve"> that the guarantee request is approved subject to the conditions established by the Agency and listed on the form.  </w:t>
      </w:r>
    </w:p>
    <w:p w:rsidRPr="000271BE" w:rsidR="00C95B81" w:rsidP="00C95B81" w:rsidRDefault="00C95B81" w14:paraId="23AACF80" w14:textId="77777777">
      <w:pPr>
        <w:ind w:left="720" w:hanging="720"/>
        <w:rPr>
          <w:rFonts w:ascii="Times New Roman" w:hAnsi="Times New Roman"/>
          <w:sz w:val="24"/>
          <w:szCs w:val="24"/>
        </w:rPr>
      </w:pPr>
    </w:p>
    <w:p w:rsidR="00C95B81" w:rsidP="00C95B81" w:rsidRDefault="00C95B81" w14:paraId="6AE72F20" w14:textId="77777777">
      <w:pPr>
        <w:rPr>
          <w:rFonts w:ascii="Times New Roman" w:hAnsi="Times New Roman"/>
          <w:sz w:val="24"/>
          <w:szCs w:val="24"/>
        </w:rPr>
      </w:pPr>
      <w:r w:rsidRPr="000271BE">
        <w:rPr>
          <w:rFonts w:ascii="Times New Roman" w:hAnsi="Times New Roman"/>
          <w:sz w:val="24"/>
          <w:szCs w:val="24"/>
          <w:u w:val="single"/>
        </w:rPr>
        <w:t>Form RD 4279-</w:t>
      </w:r>
      <w:r w:rsidR="006B604A">
        <w:rPr>
          <w:rFonts w:ascii="Times New Roman" w:hAnsi="Times New Roman"/>
          <w:sz w:val="24"/>
          <w:szCs w:val="24"/>
          <w:u w:val="single"/>
        </w:rPr>
        <w:t>4</w:t>
      </w:r>
      <w:r w:rsidRPr="000271BE">
        <w:rPr>
          <w:rFonts w:ascii="Times New Roman" w:hAnsi="Times New Roman"/>
          <w:sz w:val="24"/>
          <w:szCs w:val="24"/>
          <w:u w:val="single"/>
        </w:rPr>
        <w:t>, “Lender’s Agreement</w:t>
      </w:r>
      <w:r w:rsidR="00F60797">
        <w:rPr>
          <w:rFonts w:ascii="Times New Roman" w:hAnsi="Times New Roman"/>
          <w:sz w:val="24"/>
          <w:szCs w:val="24"/>
          <w:u w:val="single"/>
        </w:rPr>
        <w:t>.</w:t>
      </w:r>
      <w:r w:rsidRPr="000271BE">
        <w:rPr>
          <w:rFonts w:ascii="Times New Roman" w:hAnsi="Times New Roman"/>
          <w:sz w:val="24"/>
          <w:szCs w:val="24"/>
        </w:rPr>
        <w:t xml:space="preserve">”- This form is the signed agreement between USDA and the lender setting forth the lender’s loan responsibilities.  Each lender will execute the form once.  It will then apply to all </w:t>
      </w:r>
      <w:r w:rsidRPr="000271BE" w:rsidR="005C30F6">
        <w:rPr>
          <w:rFonts w:ascii="Times New Roman" w:hAnsi="Times New Roman"/>
          <w:sz w:val="24"/>
          <w:szCs w:val="24"/>
        </w:rPr>
        <w:t>Program</w:t>
      </w:r>
      <w:r w:rsidRPr="000271BE">
        <w:rPr>
          <w:rFonts w:ascii="Times New Roman" w:hAnsi="Times New Roman"/>
          <w:sz w:val="24"/>
          <w:szCs w:val="24"/>
        </w:rPr>
        <w:t xml:space="preserve"> loans the lender makes thereafter.  </w:t>
      </w:r>
    </w:p>
    <w:p w:rsidRPr="000271BE" w:rsidR="00B63E09" w:rsidP="00C95B81" w:rsidRDefault="00B63E09" w14:paraId="4207BF5C" w14:textId="77777777">
      <w:pPr>
        <w:rPr>
          <w:rFonts w:ascii="Times New Roman" w:hAnsi="Times New Roman"/>
          <w:sz w:val="24"/>
          <w:szCs w:val="24"/>
        </w:rPr>
      </w:pPr>
    </w:p>
    <w:p w:rsidRPr="002B442F" w:rsidR="00630560" w:rsidP="00630560" w:rsidRDefault="00630560" w14:paraId="3E44F314" w14:textId="77777777">
      <w:pPr>
        <w:rPr>
          <w:rFonts w:ascii="Times New Roman" w:hAnsi="Times New Roman"/>
          <w:sz w:val="24"/>
          <w:szCs w:val="24"/>
        </w:rPr>
      </w:pPr>
      <w:r w:rsidRPr="002B442F">
        <w:rPr>
          <w:rFonts w:ascii="Times New Roman" w:hAnsi="Times New Roman"/>
          <w:sz w:val="24"/>
          <w:szCs w:val="24"/>
          <w:u w:val="single"/>
        </w:rPr>
        <w:t>Form RD 4279-</w:t>
      </w:r>
      <w:r>
        <w:rPr>
          <w:rFonts w:ascii="Times New Roman" w:hAnsi="Times New Roman"/>
          <w:sz w:val="24"/>
          <w:szCs w:val="24"/>
          <w:u w:val="single"/>
        </w:rPr>
        <w:t>5</w:t>
      </w:r>
      <w:r w:rsidRPr="002B442F">
        <w:rPr>
          <w:rFonts w:ascii="Times New Roman" w:hAnsi="Times New Roman"/>
          <w:sz w:val="24"/>
          <w:szCs w:val="24"/>
          <w:u w:val="single"/>
        </w:rPr>
        <w:t>, “Loan Note Guarantee.”</w:t>
      </w:r>
      <w:r>
        <w:rPr>
          <w:rFonts w:ascii="Times New Roman" w:hAnsi="Times New Roman"/>
          <w:sz w:val="24"/>
          <w:szCs w:val="24"/>
        </w:rPr>
        <w:t xml:space="preserve"> This form is the signed agreement among the Agency and lender outlining the conditions and requirements of the loan.</w:t>
      </w:r>
    </w:p>
    <w:p w:rsidR="00630560" w:rsidP="00C95B81" w:rsidRDefault="00630560" w14:paraId="762E2B1E" w14:textId="77777777">
      <w:pPr>
        <w:rPr>
          <w:rFonts w:ascii="Times New Roman" w:hAnsi="Times New Roman"/>
          <w:sz w:val="24"/>
          <w:szCs w:val="24"/>
        </w:rPr>
      </w:pPr>
    </w:p>
    <w:p w:rsidRPr="000271BE" w:rsidR="00C95B81" w:rsidP="00C95B81" w:rsidRDefault="00C95B81" w14:paraId="64390A78" w14:textId="77777777">
      <w:pPr>
        <w:rPr>
          <w:rFonts w:ascii="Times New Roman" w:hAnsi="Times New Roman"/>
          <w:sz w:val="24"/>
          <w:szCs w:val="24"/>
        </w:rPr>
      </w:pPr>
      <w:r w:rsidRPr="000271BE">
        <w:rPr>
          <w:rFonts w:ascii="Times New Roman" w:hAnsi="Times New Roman"/>
          <w:sz w:val="24"/>
          <w:szCs w:val="24"/>
          <w:u w:val="single"/>
        </w:rPr>
        <w:t>Form RD 4279-6, “Assignment Guarantee Agreement</w:t>
      </w:r>
      <w:r w:rsidRPr="000271BE" w:rsidR="005C30F6">
        <w:rPr>
          <w:rFonts w:ascii="Times New Roman" w:hAnsi="Times New Roman"/>
          <w:sz w:val="24"/>
          <w:szCs w:val="24"/>
          <w:u w:val="single"/>
        </w:rPr>
        <w:t>.</w:t>
      </w:r>
      <w:r w:rsidRPr="000271BE">
        <w:rPr>
          <w:rFonts w:ascii="Times New Roman" w:hAnsi="Times New Roman"/>
          <w:sz w:val="24"/>
          <w:szCs w:val="24"/>
        </w:rPr>
        <w:t xml:space="preserve">”  The form is the signed agreement among the Agency, lender, and holder, setting forth the terms and conditions of an assignment of all or a portion of the guaranteed portion of a loan.  </w:t>
      </w:r>
    </w:p>
    <w:p w:rsidRPr="000271BE" w:rsidR="00465572" w:rsidP="00C95B81" w:rsidRDefault="00465572" w14:paraId="7B537F12" w14:textId="77777777">
      <w:pPr>
        <w:rPr>
          <w:rFonts w:ascii="Times New Roman" w:hAnsi="Times New Roman"/>
          <w:sz w:val="24"/>
          <w:szCs w:val="24"/>
        </w:rPr>
      </w:pPr>
    </w:p>
    <w:p w:rsidRPr="000271BE" w:rsidR="00C95B81" w:rsidP="00C95B81" w:rsidRDefault="00C95B81" w14:paraId="4D3EE1CE" w14:textId="77777777">
      <w:pPr>
        <w:rPr>
          <w:rFonts w:ascii="Times New Roman" w:hAnsi="Times New Roman"/>
          <w:sz w:val="24"/>
          <w:szCs w:val="24"/>
        </w:rPr>
      </w:pPr>
      <w:r w:rsidRPr="000271BE">
        <w:rPr>
          <w:rFonts w:ascii="Times New Roman" w:hAnsi="Times New Roman"/>
          <w:sz w:val="24"/>
          <w:szCs w:val="24"/>
          <w:u w:val="single"/>
        </w:rPr>
        <w:t>Form RD 4279-14, “Unconditional Guarantee</w:t>
      </w:r>
      <w:r w:rsidRPr="000271BE" w:rsidR="005C30F6">
        <w:rPr>
          <w:rFonts w:ascii="Times New Roman" w:hAnsi="Times New Roman"/>
          <w:sz w:val="24"/>
          <w:szCs w:val="24"/>
        </w:rPr>
        <w:t>.</w:t>
      </w:r>
      <w:r w:rsidRPr="000271BE">
        <w:rPr>
          <w:rFonts w:ascii="Times New Roman" w:hAnsi="Times New Roman"/>
          <w:sz w:val="24"/>
          <w:szCs w:val="24"/>
        </w:rPr>
        <w:t xml:space="preserve">”  </w:t>
      </w:r>
      <w:r w:rsidRPr="000271BE" w:rsidR="00DA41E8">
        <w:rPr>
          <w:rFonts w:ascii="Times New Roman" w:hAnsi="Times New Roman"/>
          <w:sz w:val="24"/>
          <w:szCs w:val="24"/>
        </w:rPr>
        <w:t>T</w:t>
      </w:r>
      <w:r w:rsidRPr="000271BE">
        <w:rPr>
          <w:rFonts w:ascii="Times New Roman" w:hAnsi="Times New Roman"/>
          <w:sz w:val="24"/>
          <w:szCs w:val="24"/>
        </w:rPr>
        <w:t>h</w:t>
      </w:r>
      <w:r w:rsidRPr="000271BE" w:rsidR="001D0A71">
        <w:rPr>
          <w:rFonts w:ascii="Times New Roman" w:hAnsi="Times New Roman"/>
          <w:sz w:val="24"/>
          <w:szCs w:val="24"/>
        </w:rPr>
        <w:t xml:space="preserve">is </w:t>
      </w:r>
      <w:r w:rsidRPr="000271BE">
        <w:rPr>
          <w:rFonts w:ascii="Times New Roman" w:hAnsi="Times New Roman"/>
          <w:sz w:val="24"/>
          <w:szCs w:val="24"/>
        </w:rPr>
        <w:t xml:space="preserve">form is used to obtain </w:t>
      </w:r>
      <w:r w:rsidRPr="000271BE" w:rsidR="001D0A71">
        <w:rPr>
          <w:rFonts w:ascii="Times New Roman" w:hAnsi="Times New Roman"/>
          <w:sz w:val="24"/>
          <w:szCs w:val="24"/>
        </w:rPr>
        <w:t xml:space="preserve">either a partial or a full, </w:t>
      </w:r>
      <w:r w:rsidRPr="000271BE">
        <w:rPr>
          <w:rFonts w:ascii="Times New Roman" w:hAnsi="Times New Roman"/>
          <w:sz w:val="24"/>
          <w:szCs w:val="24"/>
        </w:rPr>
        <w:t xml:space="preserve">unconditional </w:t>
      </w:r>
      <w:r w:rsidRPr="000271BE" w:rsidR="001D0A71">
        <w:rPr>
          <w:rFonts w:ascii="Times New Roman" w:hAnsi="Times New Roman"/>
          <w:sz w:val="24"/>
          <w:szCs w:val="24"/>
        </w:rPr>
        <w:t xml:space="preserve">personal or corporate </w:t>
      </w:r>
      <w:r w:rsidRPr="000271BE">
        <w:rPr>
          <w:rFonts w:ascii="Times New Roman" w:hAnsi="Times New Roman"/>
          <w:sz w:val="24"/>
          <w:szCs w:val="24"/>
        </w:rPr>
        <w:t xml:space="preserve">guarantee </w:t>
      </w:r>
      <w:r w:rsidRPr="000271BE" w:rsidR="001D0A71">
        <w:rPr>
          <w:rFonts w:ascii="Times New Roman" w:hAnsi="Times New Roman"/>
          <w:sz w:val="24"/>
          <w:szCs w:val="24"/>
        </w:rPr>
        <w:t>for the full term of the loan</w:t>
      </w:r>
      <w:r w:rsidRPr="000271BE" w:rsidR="00DA41E8">
        <w:rPr>
          <w:rFonts w:ascii="Times New Roman" w:hAnsi="Times New Roman"/>
          <w:sz w:val="24"/>
          <w:szCs w:val="24"/>
        </w:rPr>
        <w:t xml:space="preserve"> when the Agency has determined that such guarantees are necessary based on the Agency’s assessment of the potential financial risk of the project</w:t>
      </w:r>
      <w:r w:rsidRPr="000271BE">
        <w:rPr>
          <w:rFonts w:ascii="Times New Roman" w:hAnsi="Times New Roman"/>
          <w:sz w:val="24"/>
          <w:szCs w:val="24"/>
        </w:rPr>
        <w:t xml:space="preserve">.  This form is in addition to any guarantee forms used by lenders.  </w:t>
      </w:r>
    </w:p>
    <w:p w:rsidR="00465572" w:rsidP="00C95B81" w:rsidRDefault="00465572" w14:paraId="006976E1" w14:textId="77777777">
      <w:pPr>
        <w:rPr>
          <w:rFonts w:ascii="Times New Roman" w:hAnsi="Times New Roman"/>
          <w:sz w:val="24"/>
          <w:szCs w:val="24"/>
        </w:rPr>
      </w:pPr>
    </w:p>
    <w:p w:rsidRPr="000271BE" w:rsidR="00CA120D" w:rsidP="00CA120D" w:rsidRDefault="00CA120D" w14:paraId="69023D73" w14:textId="77777777">
      <w:pPr>
        <w:rPr>
          <w:rFonts w:ascii="Times New Roman" w:hAnsi="Times New Roman"/>
          <w:sz w:val="24"/>
          <w:szCs w:val="24"/>
        </w:rPr>
      </w:pPr>
      <w:r w:rsidRPr="000271BE">
        <w:rPr>
          <w:rFonts w:ascii="Times New Roman" w:hAnsi="Times New Roman"/>
          <w:sz w:val="24"/>
          <w:szCs w:val="24"/>
          <w:u w:val="single"/>
        </w:rPr>
        <w:t>Form RD 1980-19, “Guaranteed Loan Closing Report</w:t>
      </w:r>
      <w:r w:rsidR="00F60797">
        <w:rPr>
          <w:rFonts w:ascii="Times New Roman" w:hAnsi="Times New Roman"/>
          <w:sz w:val="24"/>
          <w:szCs w:val="24"/>
          <w:u w:val="single"/>
        </w:rPr>
        <w:t>.</w:t>
      </w:r>
      <w:r w:rsidRPr="000271BE">
        <w:rPr>
          <w:rFonts w:ascii="Times New Roman" w:hAnsi="Times New Roman"/>
          <w:sz w:val="24"/>
          <w:szCs w:val="24"/>
        </w:rPr>
        <w:t xml:space="preserve">”  The information is used by the Agency to establish the account in its accounting system.  The Agency prepares the form, and the lender verifies it for accuracy. </w:t>
      </w:r>
    </w:p>
    <w:p w:rsidRPr="000271BE" w:rsidR="00CA120D" w:rsidP="00CA120D" w:rsidRDefault="00CA120D" w14:paraId="15FC48F6" w14:textId="77777777">
      <w:pPr>
        <w:rPr>
          <w:rFonts w:ascii="Times New Roman" w:hAnsi="Times New Roman"/>
          <w:sz w:val="24"/>
          <w:szCs w:val="24"/>
        </w:rPr>
      </w:pPr>
    </w:p>
    <w:p w:rsidRPr="000271BE" w:rsidR="00CA120D" w:rsidP="00CA120D" w:rsidRDefault="00CA120D" w14:paraId="0A87C19D" w14:textId="77777777">
      <w:pPr>
        <w:rPr>
          <w:rFonts w:ascii="Times New Roman" w:hAnsi="Times New Roman"/>
          <w:sz w:val="24"/>
          <w:szCs w:val="24"/>
        </w:rPr>
      </w:pPr>
      <w:r w:rsidRPr="000271BE">
        <w:rPr>
          <w:rFonts w:ascii="Times New Roman" w:hAnsi="Times New Roman"/>
          <w:sz w:val="24"/>
          <w:szCs w:val="24"/>
          <w:u w:val="single"/>
        </w:rPr>
        <w:t>Form RD 449-30, “Loan Note Guaranteed Report of Loss</w:t>
      </w:r>
      <w:r w:rsidR="00317D33">
        <w:rPr>
          <w:rFonts w:ascii="Times New Roman" w:hAnsi="Times New Roman"/>
          <w:sz w:val="24"/>
          <w:szCs w:val="24"/>
          <w:u w:val="single"/>
        </w:rPr>
        <w:t>.</w:t>
      </w:r>
      <w:r w:rsidRPr="000271BE">
        <w:rPr>
          <w:rFonts w:ascii="Times New Roman" w:hAnsi="Times New Roman"/>
          <w:sz w:val="24"/>
          <w:szCs w:val="24"/>
        </w:rPr>
        <w:t xml:space="preserve">”  The Agency requires the lender to use of this form to process estimated and final reports of loss on guaranteed loans.  </w:t>
      </w:r>
    </w:p>
    <w:p w:rsidRPr="000271BE" w:rsidR="00CA120D" w:rsidP="00CA120D" w:rsidRDefault="00CA120D" w14:paraId="151B5903" w14:textId="77777777">
      <w:pPr>
        <w:rPr>
          <w:rFonts w:ascii="Times New Roman" w:hAnsi="Times New Roman"/>
          <w:sz w:val="24"/>
          <w:szCs w:val="24"/>
        </w:rPr>
      </w:pPr>
    </w:p>
    <w:p w:rsidRPr="000271BE" w:rsidR="00CA120D" w:rsidP="00CA120D" w:rsidRDefault="00CA120D" w14:paraId="55328BAD" w14:textId="77777777">
      <w:pPr>
        <w:rPr>
          <w:rFonts w:ascii="Times New Roman" w:hAnsi="Times New Roman"/>
          <w:sz w:val="24"/>
          <w:szCs w:val="24"/>
        </w:rPr>
      </w:pPr>
      <w:r w:rsidRPr="000271BE">
        <w:rPr>
          <w:rFonts w:ascii="Times New Roman" w:hAnsi="Times New Roman"/>
          <w:sz w:val="24"/>
          <w:szCs w:val="24"/>
          <w:u w:val="single"/>
        </w:rPr>
        <w:t>Form RD 1980-41, “Guaranteed Loan Status Report</w:t>
      </w:r>
      <w:r w:rsidR="00F60797">
        <w:rPr>
          <w:rFonts w:ascii="Times New Roman" w:hAnsi="Times New Roman"/>
          <w:sz w:val="24"/>
          <w:szCs w:val="24"/>
          <w:u w:val="single"/>
        </w:rPr>
        <w:t>.</w:t>
      </w:r>
      <w:r w:rsidRPr="000271BE">
        <w:rPr>
          <w:rFonts w:ascii="Times New Roman" w:hAnsi="Times New Roman"/>
          <w:sz w:val="24"/>
          <w:szCs w:val="24"/>
        </w:rPr>
        <w:t>”</w:t>
      </w:r>
      <w:r w:rsidR="004A7185">
        <w:rPr>
          <w:rFonts w:ascii="Times New Roman" w:hAnsi="Times New Roman"/>
          <w:sz w:val="24"/>
          <w:szCs w:val="24"/>
        </w:rPr>
        <w:t xml:space="preserve"> </w:t>
      </w:r>
      <w:r w:rsidRPr="000271BE">
        <w:rPr>
          <w:rFonts w:ascii="Times New Roman" w:hAnsi="Times New Roman"/>
          <w:sz w:val="24"/>
          <w:szCs w:val="24"/>
        </w:rPr>
        <w:t xml:space="preserve">The Agency requires the lender to complete this form four times per </w:t>
      </w:r>
      <w:proofErr w:type="gramStart"/>
      <w:r w:rsidRPr="000271BE">
        <w:rPr>
          <w:rFonts w:ascii="Times New Roman" w:hAnsi="Times New Roman"/>
          <w:sz w:val="24"/>
          <w:szCs w:val="24"/>
        </w:rPr>
        <w:t>year, unless</w:t>
      </w:r>
      <w:proofErr w:type="gramEnd"/>
      <w:r w:rsidRPr="000271BE">
        <w:rPr>
          <w:rFonts w:ascii="Times New Roman" w:hAnsi="Times New Roman"/>
          <w:sz w:val="24"/>
          <w:szCs w:val="24"/>
        </w:rPr>
        <w:t xml:space="preserve"> the Agency requests more frequent ones in order to protect the financial interests of the United States.  Form RD 1980-41 is now accessible to the lender through the Lenders Interactive Network Connection (LINC).  The lender must designate a Security Administrator.  Lenders with access to LINC must complete the status report on-line at the LINC Web site.  Lenders without LINC access must send a completed Form RD 1980-41 to the applicable State/Field Office.  </w:t>
      </w:r>
    </w:p>
    <w:p w:rsidRPr="000271BE" w:rsidR="00CA120D" w:rsidP="00CA120D" w:rsidRDefault="00CA120D" w14:paraId="0F253F8C" w14:textId="77777777">
      <w:pPr>
        <w:ind w:left="360"/>
        <w:rPr>
          <w:rFonts w:ascii="Times New Roman" w:hAnsi="Times New Roman"/>
          <w:sz w:val="24"/>
          <w:szCs w:val="24"/>
        </w:rPr>
      </w:pPr>
    </w:p>
    <w:p w:rsidRPr="000271BE" w:rsidR="00CA120D" w:rsidP="00CA120D" w:rsidRDefault="00CA120D" w14:paraId="23038D37" w14:textId="77777777">
      <w:pPr>
        <w:rPr>
          <w:rFonts w:ascii="Times New Roman" w:hAnsi="Times New Roman"/>
          <w:sz w:val="24"/>
          <w:szCs w:val="24"/>
        </w:rPr>
      </w:pPr>
      <w:r w:rsidRPr="000271BE">
        <w:rPr>
          <w:rFonts w:ascii="Times New Roman" w:hAnsi="Times New Roman"/>
          <w:sz w:val="24"/>
          <w:szCs w:val="24"/>
          <w:u w:val="single"/>
        </w:rPr>
        <w:t>Form RD 1980-43, “Lender’s Guaranteed Loan Payment to USDA</w:t>
      </w:r>
      <w:r w:rsidR="00245D8A">
        <w:rPr>
          <w:rFonts w:ascii="Times New Roman" w:hAnsi="Times New Roman"/>
          <w:sz w:val="24"/>
          <w:szCs w:val="24"/>
          <w:u w:val="single"/>
        </w:rPr>
        <w:t>.</w:t>
      </w:r>
      <w:r w:rsidRPr="000271BE">
        <w:rPr>
          <w:rFonts w:ascii="Times New Roman" w:hAnsi="Times New Roman"/>
          <w:sz w:val="24"/>
          <w:szCs w:val="24"/>
        </w:rPr>
        <w:t xml:space="preserve">”  The Agency requires the lender to use of this form to send guaranteed loan payments to the Agency Finance Office on loans repurchased from the secondary market.  </w:t>
      </w:r>
    </w:p>
    <w:p w:rsidRPr="000271BE" w:rsidR="00CA120D" w:rsidP="00CA120D" w:rsidRDefault="00CA120D" w14:paraId="5A4D4907" w14:textId="77777777">
      <w:pPr>
        <w:ind w:left="360"/>
        <w:rPr>
          <w:rFonts w:ascii="Times New Roman" w:hAnsi="Times New Roman"/>
          <w:sz w:val="24"/>
          <w:szCs w:val="24"/>
        </w:rPr>
      </w:pPr>
    </w:p>
    <w:p w:rsidRPr="000271BE" w:rsidR="00CA120D" w:rsidP="00CA120D" w:rsidRDefault="00CA120D" w14:paraId="61F76769" w14:textId="77777777">
      <w:pPr>
        <w:rPr>
          <w:rFonts w:ascii="Times New Roman" w:hAnsi="Times New Roman"/>
          <w:sz w:val="24"/>
          <w:szCs w:val="24"/>
        </w:rPr>
      </w:pPr>
      <w:r w:rsidRPr="000271BE">
        <w:rPr>
          <w:rFonts w:ascii="Times New Roman" w:hAnsi="Times New Roman"/>
          <w:sz w:val="24"/>
          <w:szCs w:val="24"/>
          <w:u w:val="single"/>
        </w:rPr>
        <w:t>Form RD 1980-44, “Guaranteed Loan Borrower Default Status</w:t>
      </w:r>
      <w:r w:rsidR="003E1418">
        <w:rPr>
          <w:rFonts w:ascii="Times New Roman" w:hAnsi="Times New Roman"/>
          <w:sz w:val="24"/>
          <w:szCs w:val="24"/>
          <w:u w:val="single"/>
        </w:rPr>
        <w:t>.</w:t>
      </w:r>
      <w:r w:rsidRPr="000271BE">
        <w:rPr>
          <w:rFonts w:ascii="Times New Roman" w:hAnsi="Times New Roman"/>
          <w:sz w:val="24"/>
          <w:szCs w:val="24"/>
        </w:rPr>
        <w:t>”</w:t>
      </w:r>
      <w:r w:rsidR="004A7185">
        <w:rPr>
          <w:rFonts w:ascii="Times New Roman" w:hAnsi="Times New Roman"/>
          <w:sz w:val="24"/>
          <w:szCs w:val="24"/>
        </w:rPr>
        <w:t xml:space="preserve"> </w:t>
      </w:r>
      <w:r w:rsidRPr="000271BE">
        <w:rPr>
          <w:rFonts w:ascii="Times New Roman" w:hAnsi="Times New Roman"/>
          <w:sz w:val="24"/>
          <w:szCs w:val="24"/>
        </w:rPr>
        <w:t>The Agency requires the lender to complete this form on all delinquent loans every month.  The Agency uses this information to determine the lender’s compliance with the Lender’s Agreement in properly servicing delinquent accounts.   The lender submits Form RD 1980-44 when the loans are 30 days past due and cannot become current within 30 days.  This form has been automated for the lender to access it electronically and update it bi-monthly through LINC.</w:t>
      </w:r>
    </w:p>
    <w:p w:rsidRPr="000271BE" w:rsidR="00C72E63" w:rsidP="00C72E63" w:rsidRDefault="00C72E63" w14:paraId="6B470720" w14:textId="77777777">
      <w:pPr>
        <w:rPr>
          <w:rFonts w:ascii="Times New Roman" w:hAnsi="Times New Roman"/>
          <w:sz w:val="24"/>
          <w:szCs w:val="24"/>
        </w:rPr>
      </w:pPr>
    </w:p>
    <w:p w:rsidRPr="00C23D9B" w:rsidR="00B63E09" w:rsidP="00C23D9B" w:rsidRDefault="00B63E09" w14:paraId="1EE94A9E" w14:textId="77777777">
      <w:pPr>
        <w:tabs>
          <w:tab w:val="left" w:pos="360"/>
        </w:tabs>
        <w:jc w:val="center"/>
        <w:rPr>
          <w:rFonts w:ascii="Times New Roman" w:hAnsi="Times New Roman"/>
          <w:b/>
          <w:bCs/>
          <w:sz w:val="24"/>
          <w:szCs w:val="24"/>
        </w:rPr>
      </w:pPr>
      <w:r w:rsidRPr="00C23D9B">
        <w:rPr>
          <w:rFonts w:ascii="Times New Roman" w:hAnsi="Times New Roman"/>
          <w:b/>
          <w:bCs/>
          <w:sz w:val="24"/>
          <w:szCs w:val="24"/>
        </w:rPr>
        <w:t>REPORTING REQUIREMENTS – FORMS APPROVED UNDER OTHER OMB NUMBERS</w:t>
      </w:r>
      <w:r w:rsidRPr="00C23D9B" w:rsidR="00905524">
        <w:rPr>
          <w:rFonts w:ascii="Times New Roman" w:hAnsi="Times New Roman"/>
          <w:b/>
          <w:bCs/>
          <w:sz w:val="24"/>
          <w:szCs w:val="24"/>
        </w:rPr>
        <w:t xml:space="preserve"> – BURDEN INCLUDED IN THIS COLLECTION</w:t>
      </w:r>
    </w:p>
    <w:p w:rsidRPr="00C23D9B" w:rsidR="00905524" w:rsidP="00C23D9B" w:rsidRDefault="00905524" w14:paraId="72AD414D" w14:textId="77777777">
      <w:pPr>
        <w:rPr>
          <w:rFonts w:ascii="Times New Roman" w:hAnsi="Times New Roman"/>
          <w:sz w:val="24"/>
          <w:szCs w:val="24"/>
        </w:rPr>
      </w:pPr>
    </w:p>
    <w:p w:rsidRPr="00C23D9B" w:rsidR="00905524" w:rsidP="000502E4" w:rsidRDefault="00905524" w14:paraId="7BAF0A2D" w14:textId="3F75153B">
      <w:pPr>
        <w:rPr>
          <w:rFonts w:ascii="Times New Roman" w:hAnsi="Times New Roman"/>
          <w:sz w:val="24"/>
          <w:szCs w:val="24"/>
        </w:rPr>
      </w:pPr>
      <w:r w:rsidRPr="3E3A70F8">
        <w:rPr>
          <w:rFonts w:ascii="Times New Roman" w:hAnsi="Times New Roman"/>
          <w:sz w:val="24"/>
          <w:szCs w:val="24"/>
          <w:u w:val="single"/>
        </w:rPr>
        <w:t>Environmental Report (OMB No. 0575-0197)</w:t>
      </w:r>
      <w:r w:rsidRPr="3E3A70F8">
        <w:rPr>
          <w:rFonts w:ascii="Times New Roman" w:hAnsi="Times New Roman"/>
          <w:sz w:val="24"/>
          <w:szCs w:val="24"/>
        </w:rPr>
        <w:t>.  As part of the Phase 2 application, the applicant is required to submit this report (along with environmental assessment, as discussed above).  This report identifies environmental information regarding the application.</w:t>
      </w:r>
    </w:p>
    <w:p w:rsidRPr="00C23D9B" w:rsidR="00905524" w:rsidP="006B7F5A" w:rsidRDefault="00905524" w14:paraId="05264D13" w14:textId="77777777">
      <w:pPr>
        <w:tabs>
          <w:tab w:val="left" w:pos="360"/>
        </w:tabs>
        <w:rPr>
          <w:rFonts w:ascii="Times New Roman" w:hAnsi="Times New Roman"/>
          <w:sz w:val="24"/>
          <w:szCs w:val="24"/>
        </w:rPr>
      </w:pPr>
    </w:p>
    <w:p w:rsidRPr="00C23D9B" w:rsidR="00B63E09" w:rsidP="00C23D9B" w:rsidRDefault="00905524" w14:paraId="29677499" w14:textId="77777777">
      <w:pPr>
        <w:tabs>
          <w:tab w:val="left" w:pos="360"/>
        </w:tabs>
        <w:jc w:val="center"/>
        <w:rPr>
          <w:rFonts w:ascii="Times New Roman" w:hAnsi="Times New Roman"/>
          <w:b/>
          <w:bCs/>
          <w:sz w:val="24"/>
          <w:szCs w:val="24"/>
        </w:rPr>
      </w:pPr>
      <w:r w:rsidRPr="00C23D9B">
        <w:rPr>
          <w:rFonts w:ascii="Times New Roman" w:hAnsi="Times New Roman"/>
          <w:b/>
          <w:bCs/>
          <w:sz w:val="24"/>
          <w:szCs w:val="24"/>
        </w:rPr>
        <w:t>REPORTING REQUIREMENTS – FORMS APPROVED UNDER OTHER OMB NUMBERS</w:t>
      </w:r>
    </w:p>
    <w:p w:rsidR="00905524" w:rsidP="00B30BC0" w:rsidRDefault="00905524" w14:paraId="00F0C8E2" w14:textId="4D1C0923">
      <w:pPr>
        <w:tabs>
          <w:tab w:val="left" w:pos="0"/>
          <w:tab w:val="left" w:pos="2160"/>
          <w:tab w:val="left" w:pos="4320"/>
          <w:tab w:val="left" w:pos="6480"/>
          <w:tab w:val="left" w:pos="8640"/>
        </w:tabs>
        <w:suppressAutoHyphens/>
        <w:rPr>
          <w:rFonts w:ascii="Times New Roman" w:hAnsi="Times New Roman"/>
          <w:sz w:val="24"/>
          <w:szCs w:val="24"/>
          <w:u w:val="single"/>
        </w:rPr>
      </w:pPr>
    </w:p>
    <w:p w:rsidR="00E03EBD" w:rsidP="00E03EBD" w:rsidRDefault="00E03EBD" w14:paraId="13B6D472" w14:textId="77777777">
      <w:pPr>
        <w:tabs>
          <w:tab w:val="left" w:pos="360"/>
        </w:tabs>
        <w:rPr>
          <w:rFonts w:ascii="Times New Roman" w:hAnsi="Times New Roman"/>
          <w:sz w:val="24"/>
          <w:szCs w:val="24"/>
        </w:rPr>
      </w:pPr>
    </w:p>
    <w:p w:rsidRPr="000271BE" w:rsidR="00E03EBD" w:rsidP="00E03EBD" w:rsidRDefault="00E03EBD" w14:paraId="6800D9DA" w14:textId="6B4E29CE">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u w:val="single"/>
        </w:rPr>
        <w:t>Form RD 400-1, "Equal Opportunity Agreement"</w:t>
      </w:r>
      <w:r>
        <w:rPr>
          <w:rFonts w:ascii="Times New Roman" w:hAnsi="Times New Roman"/>
          <w:sz w:val="24"/>
          <w:szCs w:val="24"/>
          <w:u w:val="single"/>
        </w:rPr>
        <w:t xml:space="preserve"> (OMB No. 0575-0</w:t>
      </w:r>
      <w:r>
        <w:rPr>
          <w:rFonts w:ascii="Times New Roman" w:hAnsi="Times New Roman"/>
          <w:sz w:val="24"/>
          <w:szCs w:val="24"/>
          <w:u w:val="single"/>
        </w:rPr>
        <w:t>201</w:t>
      </w:r>
      <w:r>
        <w:rPr>
          <w:rFonts w:ascii="Times New Roman" w:hAnsi="Times New Roman"/>
          <w:sz w:val="24"/>
          <w:szCs w:val="24"/>
          <w:u w:val="single"/>
        </w:rPr>
        <w:t>)</w:t>
      </w:r>
      <w:r w:rsidRPr="00245D8A">
        <w:rPr>
          <w:rFonts w:ascii="Times New Roman" w:hAnsi="Times New Roman"/>
          <w:sz w:val="24"/>
          <w:szCs w:val="24"/>
        </w:rPr>
        <w:t xml:space="preserve">.  </w:t>
      </w:r>
      <w:r w:rsidRPr="000271BE">
        <w:rPr>
          <w:rFonts w:ascii="Times New Roman" w:hAnsi="Times New Roman"/>
          <w:sz w:val="24"/>
          <w:szCs w:val="24"/>
        </w:rPr>
        <w:t>All applicants and recipients are required to complete this form to comply with Equal Opportunity requirements.</w:t>
      </w:r>
      <w:r>
        <w:rPr>
          <w:rFonts w:ascii="Times New Roman" w:hAnsi="Times New Roman"/>
          <w:sz w:val="24"/>
          <w:szCs w:val="24"/>
        </w:rPr>
        <w:t xml:space="preserve">  </w:t>
      </w:r>
    </w:p>
    <w:p w:rsidRPr="00C23D9B" w:rsidR="00E03EBD" w:rsidP="00E03EBD" w:rsidRDefault="00E03EBD" w14:paraId="03B26221" w14:textId="77777777">
      <w:pPr>
        <w:tabs>
          <w:tab w:val="left" w:pos="360"/>
        </w:tabs>
        <w:rPr>
          <w:rFonts w:ascii="Times New Roman" w:hAnsi="Times New Roman"/>
          <w:sz w:val="24"/>
          <w:szCs w:val="24"/>
        </w:rPr>
      </w:pPr>
    </w:p>
    <w:p w:rsidRPr="00C23D9B" w:rsidR="00E03EBD" w:rsidP="00E03EBD" w:rsidRDefault="00E03EBD" w14:paraId="6D6B4EF9" w14:textId="30A6AD90">
      <w:pPr>
        <w:rPr>
          <w:rFonts w:ascii="Times New Roman" w:hAnsi="Times New Roman"/>
          <w:sz w:val="24"/>
          <w:szCs w:val="24"/>
        </w:rPr>
      </w:pPr>
      <w:r w:rsidRPr="00C23D9B">
        <w:rPr>
          <w:rFonts w:ascii="Times New Roman" w:hAnsi="Times New Roman"/>
          <w:sz w:val="24"/>
          <w:szCs w:val="24"/>
          <w:u w:val="single"/>
        </w:rPr>
        <w:t>Form RD 400-4, "Assurance Agreement" (OMB No. 0575-0</w:t>
      </w:r>
      <w:r>
        <w:rPr>
          <w:rFonts w:ascii="Times New Roman" w:hAnsi="Times New Roman"/>
          <w:sz w:val="24"/>
          <w:szCs w:val="24"/>
          <w:u w:val="single"/>
        </w:rPr>
        <w:t>201</w:t>
      </w:r>
      <w:r w:rsidRPr="00C23D9B">
        <w:rPr>
          <w:rFonts w:ascii="Times New Roman" w:hAnsi="Times New Roman"/>
          <w:sz w:val="24"/>
          <w:szCs w:val="24"/>
          <w:u w:val="single"/>
        </w:rPr>
        <w:t xml:space="preserve">). </w:t>
      </w:r>
      <w:r w:rsidRPr="00C23D9B">
        <w:rPr>
          <w:rFonts w:ascii="Times New Roman" w:hAnsi="Times New Roman"/>
          <w:sz w:val="24"/>
          <w:szCs w:val="24"/>
        </w:rPr>
        <w:t xml:space="preserve">All applicants and recipients are required to complete this form to comply with Civil Rights Acts and laws.  </w:t>
      </w:r>
    </w:p>
    <w:p w:rsidR="00E03EBD" w:rsidP="00B30BC0" w:rsidRDefault="00E03EBD" w14:paraId="23912EA2" w14:textId="77777777">
      <w:pPr>
        <w:tabs>
          <w:tab w:val="left" w:pos="0"/>
          <w:tab w:val="left" w:pos="2160"/>
          <w:tab w:val="left" w:pos="4320"/>
          <w:tab w:val="left" w:pos="6480"/>
          <w:tab w:val="left" w:pos="8640"/>
        </w:tabs>
        <w:suppressAutoHyphens/>
        <w:rPr>
          <w:rFonts w:ascii="Times New Roman" w:hAnsi="Times New Roman"/>
          <w:sz w:val="24"/>
          <w:szCs w:val="24"/>
          <w:u w:val="single"/>
        </w:rPr>
      </w:pPr>
    </w:p>
    <w:p w:rsidRPr="000271BE" w:rsidR="00B30BC0" w:rsidP="00B30BC0" w:rsidRDefault="00B30BC0" w14:paraId="30573B87" w14:textId="77777777">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u w:val="single"/>
        </w:rPr>
        <w:t>Standard Form LLL, "Disclosure of Lobbying Activities"</w:t>
      </w:r>
      <w:r w:rsidR="004A7185">
        <w:rPr>
          <w:rFonts w:ascii="Times New Roman" w:hAnsi="Times New Roman"/>
          <w:sz w:val="24"/>
          <w:szCs w:val="24"/>
          <w:u w:val="single"/>
        </w:rPr>
        <w:t xml:space="preserve"> (OMB No. 4040-0013).</w:t>
      </w:r>
    </w:p>
    <w:p w:rsidRPr="000271BE" w:rsidR="00B30BC0" w:rsidP="00B30BC0" w:rsidRDefault="00B30BC0" w14:paraId="1D937114" w14:textId="77777777">
      <w:pPr>
        <w:tabs>
          <w:tab w:val="left" w:pos="0"/>
          <w:tab w:val="left" w:pos="2160"/>
          <w:tab w:val="left" w:pos="4320"/>
          <w:tab w:val="left" w:pos="6480"/>
          <w:tab w:val="left" w:pos="8640"/>
        </w:tabs>
        <w:suppressAutoHyphens/>
        <w:rPr>
          <w:rFonts w:ascii="Times New Roman" w:hAnsi="Times New Roman"/>
          <w:sz w:val="24"/>
          <w:szCs w:val="24"/>
        </w:rPr>
      </w:pPr>
      <w:r w:rsidRPr="000271BE">
        <w:rPr>
          <w:rFonts w:ascii="Times New Roman" w:hAnsi="Times New Roman"/>
          <w:sz w:val="24"/>
          <w:szCs w:val="24"/>
        </w:rPr>
        <w:t xml:space="preserve">All applicants are required to complete this form, regardless of their involvement in lobbying activities.  </w:t>
      </w:r>
    </w:p>
    <w:p w:rsidR="004A7185" w:rsidP="006B7F5A" w:rsidRDefault="004A7185" w14:paraId="3C65D2BC" w14:textId="77777777">
      <w:pPr>
        <w:tabs>
          <w:tab w:val="left" w:pos="360"/>
        </w:tabs>
        <w:rPr>
          <w:rFonts w:ascii="Times New Roman" w:hAnsi="Times New Roman"/>
          <w:sz w:val="24"/>
          <w:szCs w:val="24"/>
        </w:rPr>
      </w:pPr>
    </w:p>
    <w:p w:rsidRPr="000271BE" w:rsidR="00245D8A" w:rsidP="006B7F5A" w:rsidRDefault="00245D8A" w14:paraId="29525CEA" w14:textId="77777777">
      <w:pPr>
        <w:tabs>
          <w:tab w:val="left" w:pos="360"/>
        </w:tabs>
        <w:rPr>
          <w:rFonts w:ascii="Times New Roman" w:hAnsi="Times New Roman"/>
          <w:sz w:val="24"/>
          <w:szCs w:val="24"/>
        </w:rPr>
      </w:pPr>
    </w:p>
    <w:p w:rsidRPr="000271BE" w:rsidR="00DA66AC" w:rsidP="006B7F5A" w:rsidRDefault="006B7F5A" w14:paraId="57C33A4C" w14:textId="77777777">
      <w:pPr>
        <w:tabs>
          <w:tab w:val="left" w:pos="360"/>
        </w:tabs>
        <w:rPr>
          <w:rFonts w:ascii="Times New Roman" w:hAnsi="Times New Roman"/>
          <w:sz w:val="24"/>
          <w:szCs w:val="24"/>
        </w:rPr>
      </w:pPr>
      <w:r w:rsidRPr="000271BE">
        <w:rPr>
          <w:rFonts w:ascii="Times New Roman" w:hAnsi="Times New Roman"/>
          <w:sz w:val="24"/>
          <w:szCs w:val="24"/>
        </w:rPr>
        <w:t>3.</w:t>
      </w:r>
      <w:r w:rsidRPr="000271BE">
        <w:rPr>
          <w:rFonts w:ascii="Times New Roman" w:hAnsi="Times New Roman"/>
          <w:sz w:val="24"/>
          <w:szCs w:val="24"/>
        </w:rPr>
        <w:tab/>
      </w:r>
      <w:r w:rsidRPr="000271BE">
        <w:rPr>
          <w:rFonts w:ascii="Times New Roman" w:hAnsi="Times New Roman"/>
          <w:sz w:val="24"/>
          <w:szCs w:val="24"/>
          <w:u w:val="single"/>
        </w:rPr>
        <w:t>Describe any consideration of the use of improved information technology to reduce burden any technical or legal obstacles to reducing burden</w:t>
      </w:r>
      <w:r w:rsidRPr="000271BE">
        <w:rPr>
          <w:rFonts w:ascii="Times New Roman" w:hAnsi="Times New Roman"/>
          <w:sz w:val="24"/>
          <w:szCs w:val="24"/>
        </w:rPr>
        <w:t>.</w:t>
      </w:r>
      <w:r w:rsidRPr="000271BE" w:rsidR="002F255F">
        <w:rPr>
          <w:rFonts w:ascii="Times New Roman" w:hAnsi="Times New Roman"/>
          <w:sz w:val="24"/>
          <w:szCs w:val="24"/>
        </w:rPr>
        <w:t xml:space="preserve"> </w:t>
      </w:r>
    </w:p>
    <w:p w:rsidRPr="00552547" w:rsidR="00DA66AC" w:rsidP="00386E89" w:rsidRDefault="00DA66AC" w14:paraId="77A065C6" w14:textId="77777777">
      <w:pPr>
        <w:rPr>
          <w:rFonts w:ascii="Times New Roman" w:hAnsi="Times New Roman"/>
          <w:sz w:val="24"/>
          <w:szCs w:val="24"/>
        </w:rPr>
      </w:pPr>
    </w:p>
    <w:p w:rsidRPr="00552547" w:rsidR="00386E89" w:rsidP="00386E89" w:rsidRDefault="00465572" w14:paraId="5F6D59E9" w14:textId="45DCB39C">
      <w:pPr>
        <w:rPr>
          <w:rFonts w:ascii="Times New Roman" w:hAnsi="Times New Roman"/>
          <w:sz w:val="24"/>
          <w:szCs w:val="24"/>
        </w:rPr>
      </w:pPr>
      <w:r w:rsidRPr="3E24305B">
        <w:rPr>
          <w:rFonts w:ascii="Times New Roman" w:hAnsi="Times New Roman"/>
          <w:sz w:val="24"/>
          <w:szCs w:val="24"/>
          <w:u w:val="single"/>
        </w:rPr>
        <w:t>4279-</w:t>
      </w:r>
      <w:r w:rsidRPr="3E24305B" w:rsidR="006B7F5A">
        <w:rPr>
          <w:rFonts w:ascii="Times New Roman" w:hAnsi="Times New Roman"/>
          <w:sz w:val="24"/>
          <w:szCs w:val="24"/>
          <w:u w:val="single"/>
        </w:rPr>
        <w:t>C, Loan Processing</w:t>
      </w:r>
      <w:r w:rsidRPr="3E24305B" w:rsidR="006C33FC">
        <w:rPr>
          <w:rFonts w:ascii="Times New Roman" w:hAnsi="Times New Roman"/>
          <w:sz w:val="24"/>
          <w:szCs w:val="24"/>
          <w:u w:val="single"/>
        </w:rPr>
        <w:t>.</w:t>
      </w:r>
      <w:r w:rsidRPr="3E24305B" w:rsidR="002F255F">
        <w:rPr>
          <w:rFonts w:ascii="Times New Roman" w:hAnsi="Times New Roman"/>
          <w:sz w:val="24"/>
          <w:szCs w:val="24"/>
        </w:rPr>
        <w:t xml:space="preserve"> </w:t>
      </w:r>
      <w:r w:rsidRPr="3E24305B" w:rsidR="00DA66AC">
        <w:rPr>
          <w:rFonts w:ascii="Times New Roman" w:hAnsi="Times New Roman"/>
          <w:sz w:val="24"/>
          <w:szCs w:val="24"/>
        </w:rPr>
        <w:t xml:space="preserve"> The Agency has automated various forms used to apply for loan guarantees, and fillable forms are available on the USDA Service Center and Rural Development websites.  Lenders may complete the automated forms and submit hard copies of the forms with original or electronic signatures to the Agency.    Some application materials are accepted electronically, such as t</w:t>
      </w:r>
      <w:r w:rsidRPr="3E24305B" w:rsidR="006B7F5A">
        <w:rPr>
          <w:rFonts w:ascii="Times New Roman" w:hAnsi="Times New Roman"/>
          <w:sz w:val="24"/>
          <w:szCs w:val="24"/>
        </w:rPr>
        <w:t>he</w:t>
      </w:r>
      <w:r w:rsidRPr="3E24305B" w:rsidR="00DA66AC">
        <w:rPr>
          <w:rFonts w:ascii="Times New Roman" w:hAnsi="Times New Roman"/>
          <w:sz w:val="24"/>
          <w:szCs w:val="24"/>
        </w:rPr>
        <w:t xml:space="preserve"> lender’s analysis, financial statement spreads, credit reports, proposed loan agreements, and business plans.  The Agency is currently working on the e-Gov initiative that will eventually be capable of receiving applications and other forms electronically.  </w:t>
      </w:r>
      <w:r w:rsidRPr="3E24305B" w:rsidR="00694D93">
        <w:rPr>
          <w:rFonts w:ascii="Times New Roman" w:hAnsi="Times New Roman"/>
          <w:sz w:val="24"/>
          <w:szCs w:val="24"/>
        </w:rPr>
        <w:t xml:space="preserve">The Agency does not have an electronic application intake </w:t>
      </w:r>
      <w:r w:rsidRPr="3E24305B" w:rsidR="006623C4">
        <w:rPr>
          <w:rFonts w:ascii="Times New Roman" w:hAnsi="Times New Roman"/>
          <w:sz w:val="24"/>
          <w:szCs w:val="24"/>
        </w:rPr>
        <w:t xml:space="preserve">system for this </w:t>
      </w:r>
      <w:proofErr w:type="gramStart"/>
      <w:r w:rsidRPr="3E24305B" w:rsidR="006623C4">
        <w:rPr>
          <w:rFonts w:ascii="Times New Roman" w:hAnsi="Times New Roman"/>
          <w:sz w:val="24"/>
          <w:szCs w:val="24"/>
        </w:rPr>
        <w:t>program</w:t>
      </w:r>
      <w:proofErr w:type="gramEnd"/>
      <w:r w:rsidRPr="3E24305B" w:rsidR="006623C4">
        <w:rPr>
          <w:rFonts w:ascii="Times New Roman" w:hAnsi="Times New Roman"/>
          <w:sz w:val="24"/>
          <w:szCs w:val="24"/>
        </w:rPr>
        <w:t xml:space="preserve"> but applicants can submit their full applications electronically through a third-party</w:t>
      </w:r>
      <w:r w:rsidRPr="3E24305B" w:rsidR="00733589">
        <w:rPr>
          <w:rFonts w:ascii="Times New Roman" w:hAnsi="Times New Roman"/>
          <w:sz w:val="24"/>
          <w:szCs w:val="24"/>
        </w:rPr>
        <w:t xml:space="preserve"> data storage system.  </w:t>
      </w:r>
    </w:p>
    <w:p w:rsidRPr="00552547" w:rsidR="00DA66AC" w:rsidP="00386E89" w:rsidRDefault="00DA66AC" w14:paraId="011F1897" w14:textId="77777777">
      <w:pPr>
        <w:rPr>
          <w:rFonts w:ascii="Times New Roman" w:hAnsi="Times New Roman"/>
          <w:sz w:val="24"/>
          <w:szCs w:val="24"/>
        </w:rPr>
      </w:pPr>
    </w:p>
    <w:p w:rsidRPr="00552547" w:rsidR="00DA66AC" w:rsidP="00DA66AC" w:rsidRDefault="00DA66AC" w14:paraId="20FEFD46" w14:textId="77777777">
      <w:pPr>
        <w:rPr>
          <w:rFonts w:ascii="Times New Roman" w:hAnsi="Times New Roman"/>
          <w:sz w:val="24"/>
          <w:szCs w:val="24"/>
        </w:rPr>
      </w:pPr>
      <w:r w:rsidRPr="00552547">
        <w:rPr>
          <w:rFonts w:ascii="Times New Roman" w:hAnsi="Times New Roman"/>
          <w:sz w:val="24"/>
          <w:szCs w:val="24"/>
          <w:u w:val="single"/>
        </w:rPr>
        <w:t>4287-</w:t>
      </w:r>
      <w:r w:rsidRPr="00552547" w:rsidR="006B7F5A">
        <w:rPr>
          <w:rFonts w:ascii="Times New Roman" w:hAnsi="Times New Roman"/>
          <w:sz w:val="24"/>
          <w:szCs w:val="24"/>
          <w:u w:val="single"/>
        </w:rPr>
        <w:t>D, Servicing</w:t>
      </w:r>
      <w:r w:rsidRPr="00552547" w:rsidR="006C33FC">
        <w:rPr>
          <w:rFonts w:ascii="Times New Roman" w:hAnsi="Times New Roman"/>
          <w:sz w:val="24"/>
          <w:szCs w:val="24"/>
          <w:u w:val="single"/>
        </w:rPr>
        <w:t>.</w:t>
      </w:r>
      <w:r w:rsidRPr="00552547">
        <w:rPr>
          <w:rFonts w:ascii="Times New Roman" w:hAnsi="Times New Roman"/>
          <w:sz w:val="24"/>
          <w:szCs w:val="24"/>
        </w:rPr>
        <w:t xml:space="preserve"> </w:t>
      </w:r>
      <w:r w:rsidRPr="00552547" w:rsidR="006C33FC">
        <w:rPr>
          <w:rFonts w:ascii="Times New Roman" w:hAnsi="Times New Roman"/>
          <w:sz w:val="24"/>
          <w:szCs w:val="24"/>
        </w:rPr>
        <w:t xml:space="preserve"> </w:t>
      </w:r>
      <w:r w:rsidRPr="00552547">
        <w:rPr>
          <w:rFonts w:ascii="Times New Roman" w:hAnsi="Times New Roman"/>
          <w:sz w:val="24"/>
          <w:szCs w:val="24"/>
        </w:rPr>
        <w:t xml:space="preserve">The Agency has developed the capability to receive the </w:t>
      </w:r>
      <w:r w:rsidRPr="00552547" w:rsidR="007173B2">
        <w:rPr>
          <w:rFonts w:ascii="Times New Roman" w:hAnsi="Times New Roman"/>
          <w:sz w:val="24"/>
          <w:szCs w:val="24"/>
        </w:rPr>
        <w:t xml:space="preserve">default </w:t>
      </w:r>
      <w:r w:rsidRPr="00552547">
        <w:rPr>
          <w:rFonts w:ascii="Times New Roman" w:hAnsi="Times New Roman"/>
          <w:sz w:val="24"/>
          <w:szCs w:val="24"/>
        </w:rPr>
        <w:t>status reports electronically.  Lenders can complete these forms through Guaranteed Loan System (GLS).  They receive a certified, secure ID through the State office.  However, only lenders with a high volume of guaranteed loans have elected to utilize them.</w:t>
      </w:r>
      <w:r w:rsidRPr="00552547" w:rsidR="00465572">
        <w:rPr>
          <w:rFonts w:ascii="Times New Roman" w:hAnsi="Times New Roman"/>
          <w:sz w:val="24"/>
          <w:szCs w:val="24"/>
        </w:rPr>
        <w:t xml:space="preserve">  </w:t>
      </w:r>
      <w:r w:rsidRPr="00552547">
        <w:rPr>
          <w:rFonts w:ascii="Times New Roman" w:hAnsi="Times New Roman"/>
          <w:sz w:val="24"/>
          <w:szCs w:val="24"/>
        </w:rPr>
        <w:t>The lender submits some information electronically through the LINC.  The lender must designate a Security Administrator who can then add other users to the LINC system.</w:t>
      </w:r>
    </w:p>
    <w:p w:rsidR="00465572" w:rsidP="00D85ABA" w:rsidRDefault="00B21B56" w14:paraId="7147248B" w14:textId="77777777">
      <w:pPr>
        <w:rPr>
          <w:rFonts w:ascii="Times New Roman" w:hAnsi="Times New Roman"/>
          <w:sz w:val="24"/>
          <w:szCs w:val="24"/>
        </w:rPr>
      </w:pPr>
      <w:r w:rsidRPr="00552547">
        <w:rPr>
          <w:rFonts w:ascii="Times New Roman" w:hAnsi="Times New Roman"/>
          <w:sz w:val="24"/>
          <w:szCs w:val="24"/>
        </w:rPr>
        <w:t xml:space="preserve"> </w:t>
      </w:r>
    </w:p>
    <w:p w:rsidRPr="00552547" w:rsidR="00245D8A" w:rsidP="00D85ABA" w:rsidRDefault="00245D8A" w14:paraId="5151E417" w14:textId="77777777">
      <w:pPr>
        <w:rPr>
          <w:rFonts w:ascii="Times New Roman" w:hAnsi="Times New Roman"/>
          <w:sz w:val="24"/>
          <w:szCs w:val="24"/>
        </w:rPr>
      </w:pPr>
    </w:p>
    <w:p w:rsidRPr="00552547" w:rsidR="006B7F5A" w:rsidP="006B7F5A" w:rsidRDefault="002F255F" w14:paraId="4DA824B1" w14:textId="77777777">
      <w:pPr>
        <w:tabs>
          <w:tab w:val="left" w:pos="360"/>
        </w:tabs>
        <w:rPr>
          <w:rFonts w:ascii="Times New Roman" w:hAnsi="Times New Roman"/>
          <w:sz w:val="24"/>
          <w:szCs w:val="24"/>
        </w:rPr>
      </w:pPr>
      <w:r w:rsidRPr="00552547">
        <w:rPr>
          <w:rFonts w:ascii="Times New Roman" w:hAnsi="Times New Roman"/>
          <w:sz w:val="24"/>
          <w:szCs w:val="24"/>
        </w:rPr>
        <w:t>4.</w:t>
      </w:r>
      <w:r w:rsidRPr="00552547">
        <w:rPr>
          <w:rFonts w:ascii="Times New Roman" w:hAnsi="Times New Roman"/>
          <w:sz w:val="24"/>
          <w:szCs w:val="24"/>
        </w:rPr>
        <w:tab/>
      </w:r>
      <w:r w:rsidRPr="00552547" w:rsidR="006B7F5A">
        <w:rPr>
          <w:rFonts w:ascii="Times New Roman" w:hAnsi="Times New Roman"/>
          <w:sz w:val="24"/>
          <w:szCs w:val="24"/>
          <w:u w:val="single"/>
        </w:rPr>
        <w:t>Describe efforts to identify duplication</w:t>
      </w:r>
      <w:r w:rsidRPr="00552547" w:rsidR="006B7F5A">
        <w:rPr>
          <w:rFonts w:ascii="Times New Roman" w:hAnsi="Times New Roman"/>
          <w:sz w:val="24"/>
          <w:szCs w:val="24"/>
        </w:rPr>
        <w:t>.</w:t>
      </w:r>
      <w:r w:rsidRPr="00552547">
        <w:rPr>
          <w:rFonts w:ascii="Times New Roman" w:hAnsi="Times New Roman"/>
          <w:sz w:val="24"/>
          <w:szCs w:val="24"/>
        </w:rPr>
        <w:t xml:space="preserve">  </w:t>
      </w:r>
    </w:p>
    <w:p w:rsidRPr="00552547" w:rsidR="008C26DE" w:rsidP="006B7F5A" w:rsidRDefault="008C26DE" w14:paraId="46946814" w14:textId="77777777">
      <w:pPr>
        <w:tabs>
          <w:tab w:val="left" w:pos="360"/>
        </w:tabs>
        <w:rPr>
          <w:rFonts w:ascii="Times New Roman" w:hAnsi="Times New Roman"/>
          <w:sz w:val="24"/>
          <w:szCs w:val="24"/>
        </w:rPr>
      </w:pPr>
    </w:p>
    <w:p w:rsidRPr="00552547" w:rsidR="002F255F" w:rsidP="006B7F5A" w:rsidRDefault="008C26DE" w14:paraId="46698F92" w14:textId="77777777">
      <w:pPr>
        <w:tabs>
          <w:tab w:val="left" w:pos="360"/>
        </w:tabs>
        <w:rPr>
          <w:rFonts w:ascii="Times New Roman" w:hAnsi="Times New Roman"/>
          <w:sz w:val="24"/>
          <w:szCs w:val="24"/>
        </w:rPr>
      </w:pPr>
      <w:r w:rsidRPr="00552547">
        <w:rPr>
          <w:rFonts w:ascii="Times New Roman" w:hAnsi="Times New Roman"/>
          <w:sz w:val="24"/>
          <w:szCs w:val="24"/>
        </w:rPr>
        <w:t>The Agency is utilizing existing forms used in the current Rural Development guaranteed loan programs, which includes the Biorefinery Assistance Program.  If similar information is found to be available from another Federal agency, every effort is made to utilize that information as is or in an appropriately modified form for this program.  There will be no similar or existing information that could be submitted; therefore, there will be no duplication.</w:t>
      </w:r>
    </w:p>
    <w:p w:rsidR="002F255F" w:rsidRDefault="002F255F" w14:paraId="5AB5B8BE" w14:textId="77777777">
      <w:pPr>
        <w:rPr>
          <w:rFonts w:ascii="Times New Roman" w:hAnsi="Times New Roman"/>
          <w:sz w:val="24"/>
          <w:szCs w:val="24"/>
        </w:rPr>
      </w:pPr>
    </w:p>
    <w:p w:rsidRPr="00552547" w:rsidR="00245D8A" w:rsidRDefault="00245D8A" w14:paraId="087D2FA9" w14:textId="77777777">
      <w:pPr>
        <w:rPr>
          <w:rFonts w:ascii="Times New Roman" w:hAnsi="Times New Roman"/>
          <w:sz w:val="24"/>
          <w:szCs w:val="24"/>
        </w:rPr>
      </w:pPr>
    </w:p>
    <w:p w:rsidRPr="00552547" w:rsidR="006B7F5A" w:rsidP="006B7F5A" w:rsidRDefault="002F255F" w14:paraId="459A29AE" w14:textId="77777777">
      <w:pPr>
        <w:tabs>
          <w:tab w:val="left" w:pos="360"/>
        </w:tabs>
        <w:rPr>
          <w:rFonts w:ascii="Times New Roman" w:hAnsi="Times New Roman"/>
          <w:sz w:val="24"/>
          <w:szCs w:val="24"/>
          <w:u w:val="single"/>
        </w:rPr>
      </w:pPr>
      <w:r w:rsidRPr="00552547">
        <w:rPr>
          <w:rFonts w:ascii="Times New Roman" w:hAnsi="Times New Roman"/>
          <w:sz w:val="24"/>
          <w:szCs w:val="24"/>
        </w:rPr>
        <w:t>5.</w:t>
      </w:r>
      <w:r w:rsidRPr="00552547">
        <w:rPr>
          <w:rFonts w:ascii="Times New Roman" w:hAnsi="Times New Roman"/>
          <w:sz w:val="24"/>
          <w:szCs w:val="24"/>
        </w:rPr>
        <w:tab/>
      </w:r>
      <w:r w:rsidRPr="00552547" w:rsidR="006B7F5A">
        <w:rPr>
          <w:rFonts w:ascii="Times New Roman" w:hAnsi="Times New Roman"/>
          <w:sz w:val="24"/>
          <w:szCs w:val="24"/>
          <w:u w:val="single"/>
        </w:rPr>
        <w:t>If the collection of information involves small businesses or other small entities, describe the methods used to minimize the burden</w:t>
      </w:r>
      <w:r w:rsidRPr="00552547" w:rsidR="006B7F5A">
        <w:rPr>
          <w:rFonts w:ascii="Times New Roman" w:hAnsi="Times New Roman"/>
          <w:sz w:val="24"/>
          <w:szCs w:val="24"/>
        </w:rPr>
        <w:t>.</w:t>
      </w:r>
    </w:p>
    <w:p w:rsidRPr="00552547" w:rsidR="008C26DE" w:rsidP="006B7F5A" w:rsidRDefault="008C26DE" w14:paraId="463DD665" w14:textId="77777777">
      <w:pPr>
        <w:tabs>
          <w:tab w:val="left" w:pos="360"/>
        </w:tabs>
        <w:rPr>
          <w:rFonts w:ascii="Times New Roman" w:hAnsi="Times New Roman"/>
          <w:sz w:val="24"/>
          <w:szCs w:val="24"/>
        </w:rPr>
      </w:pPr>
    </w:p>
    <w:p w:rsidRPr="00552547" w:rsidR="00DA66AC" w:rsidP="00DA66AC" w:rsidRDefault="008C26DE" w14:paraId="4D56C6E5" w14:textId="77777777">
      <w:pPr>
        <w:rPr>
          <w:rFonts w:ascii="Times New Roman" w:hAnsi="Times New Roman"/>
          <w:sz w:val="24"/>
          <w:szCs w:val="24"/>
        </w:rPr>
      </w:pPr>
      <w:proofErr w:type="gramStart"/>
      <w:r w:rsidRPr="00552547">
        <w:rPr>
          <w:rFonts w:ascii="Times New Roman" w:hAnsi="Times New Roman"/>
          <w:sz w:val="24"/>
          <w:szCs w:val="24"/>
        </w:rPr>
        <w:t>The majority of</w:t>
      </w:r>
      <w:proofErr w:type="gramEnd"/>
      <w:r w:rsidRPr="00552547">
        <w:rPr>
          <w:rFonts w:ascii="Times New Roman" w:hAnsi="Times New Roman"/>
          <w:sz w:val="24"/>
          <w:szCs w:val="24"/>
        </w:rPr>
        <w:t xml:space="preserve"> eligible projects, if not all, are likely to be larger than those that small businesses usually undertake.  Therefore, it is possible that none of the projects will be undertaken by borrowers that are small businesses, based on their revenue, their employees, and the size and scale of their initial operations.</w:t>
      </w:r>
      <w:r w:rsidR="001F6E00">
        <w:rPr>
          <w:rFonts w:ascii="Times New Roman" w:hAnsi="Times New Roman"/>
          <w:sz w:val="24"/>
          <w:szCs w:val="24"/>
        </w:rPr>
        <w:t xml:space="preserve">  </w:t>
      </w:r>
      <w:r w:rsidRPr="00552547">
        <w:rPr>
          <w:rFonts w:ascii="Times New Roman" w:hAnsi="Times New Roman"/>
          <w:sz w:val="24"/>
          <w:szCs w:val="24"/>
        </w:rPr>
        <w:t>Furthermore, Rural Development is using industry-standardized data elements and documents, supplementing them with Government-wide forms that are familiar to many applicants.</w:t>
      </w:r>
    </w:p>
    <w:p w:rsidR="00DA66AC" w:rsidP="00D85ABA" w:rsidRDefault="00DA66AC" w14:paraId="15190FBE" w14:textId="77777777">
      <w:pPr>
        <w:rPr>
          <w:rFonts w:ascii="Times New Roman" w:hAnsi="Times New Roman"/>
          <w:sz w:val="24"/>
          <w:szCs w:val="24"/>
        </w:rPr>
      </w:pPr>
    </w:p>
    <w:p w:rsidRPr="00552547" w:rsidR="00245D8A" w:rsidP="00D85ABA" w:rsidRDefault="00245D8A" w14:paraId="7D7DA99C" w14:textId="77777777">
      <w:pPr>
        <w:rPr>
          <w:rFonts w:ascii="Times New Roman" w:hAnsi="Times New Roman"/>
          <w:sz w:val="24"/>
          <w:szCs w:val="24"/>
        </w:rPr>
      </w:pPr>
    </w:p>
    <w:p w:rsidRPr="00552547" w:rsidR="008C26DE" w:rsidP="008C26DE" w:rsidRDefault="002F255F" w14:paraId="58E0D1B6" w14:textId="77777777">
      <w:pPr>
        <w:tabs>
          <w:tab w:val="left" w:pos="360"/>
        </w:tabs>
        <w:rPr>
          <w:rFonts w:ascii="Times New Roman" w:hAnsi="Times New Roman"/>
          <w:sz w:val="24"/>
          <w:szCs w:val="24"/>
        </w:rPr>
      </w:pPr>
      <w:r w:rsidRPr="00552547">
        <w:rPr>
          <w:rFonts w:ascii="Times New Roman" w:hAnsi="Times New Roman"/>
          <w:sz w:val="24"/>
          <w:szCs w:val="24"/>
        </w:rPr>
        <w:t>6.</w:t>
      </w:r>
      <w:r w:rsidRPr="00552547">
        <w:rPr>
          <w:rFonts w:ascii="Times New Roman" w:hAnsi="Times New Roman"/>
          <w:sz w:val="24"/>
          <w:szCs w:val="24"/>
        </w:rPr>
        <w:tab/>
      </w:r>
      <w:r w:rsidRPr="00552547" w:rsidR="008C26DE">
        <w:rPr>
          <w:rFonts w:ascii="Times New Roman" w:hAnsi="Times New Roman"/>
          <w:sz w:val="24"/>
          <w:szCs w:val="24"/>
          <w:u w:val="single"/>
        </w:rPr>
        <w:t>Describe the consequences to Federal program or policy activities if the collection is not conducted or is conducted less frequently, as well as any technical or legal obstacles to reducing burden</w:t>
      </w:r>
      <w:r w:rsidRPr="00552547" w:rsidR="008C26DE">
        <w:rPr>
          <w:rFonts w:ascii="Times New Roman" w:hAnsi="Times New Roman"/>
          <w:sz w:val="24"/>
          <w:szCs w:val="24"/>
        </w:rPr>
        <w:t>.</w:t>
      </w:r>
      <w:r w:rsidRPr="00552547">
        <w:rPr>
          <w:rFonts w:ascii="Times New Roman" w:hAnsi="Times New Roman"/>
          <w:sz w:val="24"/>
          <w:szCs w:val="24"/>
        </w:rPr>
        <w:t xml:space="preserve"> </w:t>
      </w:r>
    </w:p>
    <w:p w:rsidRPr="00552547" w:rsidR="008C26DE" w:rsidP="00D85ABA" w:rsidRDefault="008C26DE" w14:paraId="43DA1FB0" w14:textId="77777777">
      <w:pPr>
        <w:rPr>
          <w:rFonts w:ascii="Times New Roman" w:hAnsi="Times New Roman"/>
          <w:sz w:val="24"/>
          <w:szCs w:val="24"/>
        </w:rPr>
      </w:pPr>
    </w:p>
    <w:p w:rsidRPr="00552547" w:rsidR="002F255F" w:rsidP="00D85ABA" w:rsidRDefault="008C26DE" w14:paraId="21FE8459" w14:textId="77777777">
      <w:pPr>
        <w:rPr>
          <w:rFonts w:ascii="Times New Roman" w:hAnsi="Times New Roman"/>
          <w:sz w:val="24"/>
          <w:szCs w:val="24"/>
        </w:rPr>
      </w:pPr>
      <w:r w:rsidRPr="00552547">
        <w:rPr>
          <w:rFonts w:ascii="Times New Roman" w:hAnsi="Times New Roman"/>
          <w:sz w:val="24"/>
          <w:szCs w:val="24"/>
        </w:rPr>
        <w:t>Application information is only collected once (over a two-phase process), while various status reports and notifications are submitted at different times throughout the year.  If this information was collected less frequently than required, the Agency would be unable to address delinquent loans, evaluate whether the borrower has sufficient cash flow to meet its obligations, and determine if the borrower is in compliance with all conditions contained in the Conditional Commitment.  Thus</w:t>
      </w:r>
      <w:r w:rsidR="0096481C">
        <w:rPr>
          <w:rFonts w:ascii="Times New Roman" w:hAnsi="Times New Roman"/>
          <w:sz w:val="24"/>
          <w:szCs w:val="24"/>
        </w:rPr>
        <w:t>,</w:t>
      </w:r>
      <w:r w:rsidRPr="00552547">
        <w:rPr>
          <w:rFonts w:ascii="Times New Roman" w:hAnsi="Times New Roman"/>
          <w:sz w:val="24"/>
          <w:szCs w:val="24"/>
        </w:rPr>
        <w:t xml:space="preserve"> the Agency would increase its risk of loss and its oversight capabilities to help manage its outstanding loan portfolio would be hindered.</w:t>
      </w:r>
    </w:p>
    <w:p w:rsidRPr="00552547" w:rsidR="002F255F" w:rsidRDefault="002F255F" w14:paraId="3C2802E7" w14:textId="77777777">
      <w:pPr>
        <w:rPr>
          <w:rFonts w:ascii="Times New Roman" w:hAnsi="Times New Roman"/>
          <w:sz w:val="24"/>
          <w:szCs w:val="24"/>
        </w:rPr>
      </w:pPr>
    </w:p>
    <w:p w:rsidRPr="00552547" w:rsidR="008C26DE" w:rsidP="008C26DE" w:rsidRDefault="002F255F" w14:paraId="66043713" w14:textId="77777777">
      <w:pPr>
        <w:tabs>
          <w:tab w:val="left" w:pos="360"/>
        </w:tabs>
        <w:rPr>
          <w:rFonts w:ascii="Times New Roman" w:hAnsi="Times New Roman"/>
          <w:sz w:val="24"/>
          <w:szCs w:val="24"/>
        </w:rPr>
      </w:pPr>
      <w:r w:rsidRPr="00552547">
        <w:rPr>
          <w:rFonts w:ascii="Times New Roman" w:hAnsi="Times New Roman"/>
          <w:sz w:val="24"/>
          <w:szCs w:val="24"/>
        </w:rPr>
        <w:t>7.</w:t>
      </w:r>
      <w:r w:rsidRPr="00552547">
        <w:rPr>
          <w:rFonts w:ascii="Times New Roman" w:hAnsi="Times New Roman"/>
          <w:sz w:val="24"/>
          <w:szCs w:val="24"/>
        </w:rPr>
        <w:tab/>
      </w:r>
      <w:r w:rsidRPr="00552547" w:rsidR="008C26DE">
        <w:rPr>
          <w:rFonts w:ascii="Times New Roman" w:hAnsi="Times New Roman"/>
          <w:sz w:val="24"/>
          <w:szCs w:val="24"/>
          <w:u w:val="single"/>
        </w:rPr>
        <w:t>Explain any special circumstances that require the collection of information to be conducted in a manner</w:t>
      </w:r>
      <w:r w:rsidRPr="00552547" w:rsidR="008C26DE">
        <w:rPr>
          <w:rFonts w:ascii="Times New Roman" w:hAnsi="Times New Roman"/>
          <w:sz w:val="24"/>
          <w:szCs w:val="24"/>
        </w:rPr>
        <w:t>:</w:t>
      </w:r>
      <w:r w:rsidRPr="00552547">
        <w:rPr>
          <w:rFonts w:ascii="Times New Roman" w:hAnsi="Times New Roman"/>
          <w:sz w:val="24"/>
          <w:szCs w:val="24"/>
        </w:rPr>
        <w:t xml:space="preserve">  </w:t>
      </w:r>
    </w:p>
    <w:p w:rsidRPr="00552547" w:rsidR="002F255F" w:rsidRDefault="002F255F" w14:paraId="4AC1C7F7" w14:textId="77777777">
      <w:pPr>
        <w:rPr>
          <w:rFonts w:ascii="Times New Roman" w:hAnsi="Times New Roman"/>
          <w:sz w:val="24"/>
          <w:szCs w:val="24"/>
        </w:rPr>
      </w:pPr>
    </w:p>
    <w:p w:rsidRPr="00FF3C1B" w:rsidR="00FF3C1B" w:rsidP="00955755" w:rsidRDefault="008C26DE" w14:paraId="0721366F" w14:textId="77777777">
      <w:pPr>
        <w:tabs>
          <w:tab w:val="left" w:pos="0"/>
          <w:tab w:val="left" w:pos="360"/>
          <w:tab w:val="left" w:pos="720"/>
          <w:tab w:val="left" w:pos="2160"/>
          <w:tab w:val="left" w:pos="4320"/>
          <w:tab w:val="left" w:pos="6480"/>
          <w:tab w:val="left" w:pos="8640"/>
        </w:tabs>
        <w:suppressAutoHyphens/>
        <w:ind w:left="720" w:hanging="360"/>
        <w:rPr>
          <w:rFonts w:ascii="Times New Roman" w:hAnsi="Times New Roman"/>
          <w:sz w:val="24"/>
          <w:szCs w:val="24"/>
        </w:rPr>
      </w:pPr>
      <w:r w:rsidRPr="00552547">
        <w:rPr>
          <w:rFonts w:ascii="Times New Roman" w:hAnsi="Times New Roman"/>
          <w:sz w:val="24"/>
          <w:szCs w:val="24"/>
        </w:rPr>
        <w:t>a.</w:t>
      </w:r>
      <w:r w:rsidRPr="00552547">
        <w:rPr>
          <w:rFonts w:ascii="Times New Roman" w:hAnsi="Times New Roman"/>
          <w:sz w:val="24"/>
          <w:szCs w:val="24"/>
        </w:rPr>
        <w:tab/>
      </w:r>
      <w:r w:rsidRPr="00552547">
        <w:rPr>
          <w:rFonts w:ascii="Times New Roman" w:hAnsi="Times New Roman"/>
          <w:sz w:val="24"/>
          <w:szCs w:val="24"/>
          <w:u w:val="single"/>
        </w:rPr>
        <w:t>Requiring respondents to report information more than quarterly</w:t>
      </w:r>
      <w:r w:rsidRPr="00552547">
        <w:rPr>
          <w:rFonts w:ascii="Times New Roman" w:hAnsi="Times New Roman"/>
          <w:sz w:val="24"/>
          <w:szCs w:val="24"/>
        </w:rPr>
        <w:t>.  For 7 CFR part 4287, subpart D, lenders must submit Form RD 1980-44</w:t>
      </w:r>
      <w:r w:rsidR="00FF3C1B">
        <w:rPr>
          <w:rFonts w:ascii="Times New Roman" w:hAnsi="Times New Roman"/>
          <w:sz w:val="24"/>
          <w:szCs w:val="24"/>
        </w:rPr>
        <w:t xml:space="preserve"> (loan default status report)</w:t>
      </w:r>
      <w:r w:rsidRPr="00552547">
        <w:rPr>
          <w:rFonts w:ascii="Times New Roman" w:hAnsi="Times New Roman"/>
          <w:sz w:val="24"/>
          <w:szCs w:val="24"/>
        </w:rPr>
        <w:t xml:space="preserve"> every </w:t>
      </w:r>
      <w:r w:rsidRPr="00552547">
        <w:rPr>
          <w:rFonts w:ascii="Times New Roman" w:hAnsi="Times New Roman"/>
          <w:sz w:val="24"/>
          <w:szCs w:val="24"/>
        </w:rPr>
        <w:lastRenderedPageBreak/>
        <w:t>month for borrowers who are delinquent.</w:t>
      </w:r>
      <w:r w:rsidR="00FF3C1B">
        <w:rPr>
          <w:rFonts w:ascii="Times New Roman" w:hAnsi="Times New Roman"/>
          <w:sz w:val="24"/>
          <w:szCs w:val="24"/>
        </w:rPr>
        <w:t xml:space="preserve">  </w:t>
      </w:r>
      <w:r w:rsidRPr="00FF3C1B" w:rsidR="00FF3C1B">
        <w:rPr>
          <w:rFonts w:ascii="Times New Roman" w:hAnsi="Times New Roman"/>
          <w:sz w:val="24"/>
          <w:szCs w:val="24"/>
        </w:rPr>
        <w:t>These reports give the Agency the ability to quickly address delinquent loans thereby decreasing the risk of loans defaulting and Agency loss.  Certain unanticipated ad-hoc events (i.e., loan agreement violations, reductions in interest rates, changes in loan classification) may occur.  If this happens, a lender is required to notify the Agency within 15 days of its occurrence thus triggering reports more frequently than quarterly.</w:t>
      </w:r>
    </w:p>
    <w:p w:rsidRPr="00552547" w:rsidR="008C26DE" w:rsidP="008C26DE" w:rsidRDefault="008C26DE" w14:paraId="203202CA"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552547" w:rsidR="008C26DE" w:rsidP="008C26DE" w:rsidRDefault="008C26DE" w14:paraId="39A1B748"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b.</w:t>
      </w:r>
      <w:r w:rsidRPr="00552547">
        <w:rPr>
          <w:rFonts w:ascii="Times New Roman" w:hAnsi="Times New Roman"/>
          <w:sz w:val="24"/>
          <w:szCs w:val="24"/>
        </w:rPr>
        <w:tab/>
      </w:r>
      <w:r w:rsidRPr="00552547">
        <w:rPr>
          <w:rFonts w:ascii="Times New Roman" w:hAnsi="Times New Roman"/>
          <w:sz w:val="24"/>
          <w:szCs w:val="24"/>
          <w:u w:val="single"/>
        </w:rPr>
        <w:t>Requiring respondents to prepare a written response to a collection of information in fewer than 30 days after receipt of it</w:t>
      </w:r>
      <w:r w:rsidRPr="00552547">
        <w:rPr>
          <w:rFonts w:ascii="Times New Roman" w:hAnsi="Times New Roman"/>
          <w:sz w:val="24"/>
          <w:szCs w:val="24"/>
        </w:rPr>
        <w:t>.  There are no information requirements that require specific reporting in less than 30 days.</w:t>
      </w:r>
    </w:p>
    <w:p w:rsidRPr="00552547" w:rsidR="008C26DE" w:rsidP="008C26DE" w:rsidRDefault="008C26DE" w14:paraId="0C010BF8"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552547" w:rsidR="008C26DE" w:rsidP="008C26DE" w:rsidRDefault="008C26DE" w14:paraId="1F34CF29"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c.</w:t>
      </w:r>
      <w:r w:rsidRPr="00552547">
        <w:rPr>
          <w:rFonts w:ascii="Times New Roman" w:hAnsi="Times New Roman"/>
          <w:sz w:val="24"/>
          <w:szCs w:val="24"/>
        </w:rPr>
        <w:tab/>
      </w:r>
      <w:r w:rsidRPr="00552547">
        <w:rPr>
          <w:rFonts w:ascii="Times New Roman" w:hAnsi="Times New Roman"/>
          <w:sz w:val="24"/>
          <w:szCs w:val="24"/>
          <w:u w:val="single"/>
        </w:rPr>
        <w:t>Requiring respondents to submit more than an original and two copies of any document</w:t>
      </w:r>
      <w:r w:rsidRPr="00552547">
        <w:rPr>
          <w:rFonts w:ascii="Times New Roman" w:hAnsi="Times New Roman"/>
          <w:sz w:val="24"/>
          <w:szCs w:val="24"/>
        </w:rPr>
        <w:t xml:space="preserve">.  There are no information requirements that require more than an original and two copies. </w:t>
      </w:r>
    </w:p>
    <w:p w:rsidRPr="00552547" w:rsidR="008C26DE" w:rsidP="008C26DE" w:rsidRDefault="008C26DE" w14:paraId="47FC15DC"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8C26DE" w:rsidP="008C26DE" w:rsidRDefault="008C26DE" w14:paraId="2CDF7B14"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d.</w:t>
      </w:r>
      <w:r w:rsidRPr="00552547">
        <w:rPr>
          <w:rFonts w:ascii="Times New Roman" w:hAnsi="Times New Roman"/>
          <w:sz w:val="24"/>
          <w:szCs w:val="24"/>
        </w:rPr>
        <w:tab/>
      </w:r>
      <w:r w:rsidRPr="00552547">
        <w:rPr>
          <w:rFonts w:ascii="Times New Roman" w:hAnsi="Times New Roman"/>
          <w:sz w:val="24"/>
          <w:szCs w:val="24"/>
          <w:u w:val="single"/>
        </w:rPr>
        <w:t>Requiring respondents to retain records for more than 3 years</w:t>
      </w:r>
      <w:r w:rsidRPr="00552547">
        <w:rPr>
          <w:rFonts w:ascii="Times New Roman" w:hAnsi="Times New Roman"/>
          <w:sz w:val="24"/>
          <w:szCs w:val="24"/>
        </w:rPr>
        <w:t>.  There are no such requirements.</w:t>
      </w:r>
    </w:p>
    <w:p w:rsidRPr="00552547" w:rsidR="008C26DE" w:rsidP="008C26DE" w:rsidRDefault="008C26DE" w14:paraId="14818629"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8C26DE" w:rsidP="008C26DE" w:rsidRDefault="008C26DE" w14:paraId="480488D8"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e.</w:t>
      </w:r>
      <w:r w:rsidRPr="00552547">
        <w:rPr>
          <w:rFonts w:ascii="Times New Roman" w:hAnsi="Times New Roman"/>
          <w:sz w:val="24"/>
          <w:szCs w:val="24"/>
        </w:rPr>
        <w:tab/>
      </w:r>
      <w:r w:rsidRPr="00552547">
        <w:rPr>
          <w:rFonts w:ascii="Times New Roman" w:hAnsi="Times New Roman"/>
          <w:sz w:val="24"/>
          <w:szCs w:val="24"/>
          <w:u w:val="single"/>
        </w:rPr>
        <w:t>Not using statistical sampling</w:t>
      </w:r>
      <w:r w:rsidRPr="00552547">
        <w:rPr>
          <w:rFonts w:ascii="Times New Roman" w:hAnsi="Times New Roman"/>
          <w:sz w:val="24"/>
          <w:szCs w:val="24"/>
        </w:rPr>
        <w:t>.  There are no such requirements.</w:t>
      </w:r>
    </w:p>
    <w:p w:rsidRPr="00552547" w:rsidR="008C26DE" w:rsidP="008C26DE" w:rsidRDefault="008C26DE" w14:paraId="710297EA"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p>
    <w:p w:rsidRPr="00552547" w:rsidR="008C26DE" w:rsidP="008C26DE" w:rsidRDefault="008C26DE" w14:paraId="0B8AD6DC"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f.</w:t>
      </w:r>
      <w:r w:rsidRPr="00552547">
        <w:rPr>
          <w:rFonts w:ascii="Times New Roman" w:hAnsi="Times New Roman"/>
          <w:sz w:val="24"/>
          <w:szCs w:val="24"/>
        </w:rPr>
        <w:tab/>
      </w:r>
      <w:r w:rsidRPr="00552547">
        <w:rPr>
          <w:rFonts w:ascii="Times New Roman" w:hAnsi="Times New Roman"/>
          <w:sz w:val="24"/>
          <w:szCs w:val="24"/>
          <w:u w:val="single"/>
        </w:rPr>
        <w:t>Requiring use of statistical data classification that has not been reviewed and approved by Office of Management and Budget (OMB)</w:t>
      </w:r>
      <w:r w:rsidRPr="00552547">
        <w:rPr>
          <w:rFonts w:ascii="Times New Roman" w:hAnsi="Times New Roman"/>
          <w:sz w:val="24"/>
          <w:szCs w:val="24"/>
        </w:rPr>
        <w:t>.  There are no such requirements.</w:t>
      </w:r>
    </w:p>
    <w:p w:rsidRPr="00552547" w:rsidR="008C26DE" w:rsidP="008C26DE" w:rsidRDefault="008C26DE" w14:paraId="68616A4B"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8C26DE" w:rsidP="008C26DE" w:rsidRDefault="008C26DE" w14:paraId="7C37BE2C"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g.</w:t>
      </w:r>
      <w:r w:rsidRPr="00552547">
        <w:rPr>
          <w:rFonts w:ascii="Times New Roman" w:hAnsi="Times New Roman"/>
          <w:sz w:val="24"/>
          <w:szCs w:val="24"/>
        </w:rPr>
        <w:tab/>
      </w:r>
      <w:r w:rsidRPr="00552547">
        <w:rPr>
          <w:rFonts w:ascii="Times New Roman" w:hAnsi="Times New Roman"/>
          <w:sz w:val="24"/>
          <w:szCs w:val="24"/>
          <w:u w:val="single"/>
        </w:rPr>
        <w:t>Requiring a pledge of confidentiality that is not supported by authority in statute or regulation, that is not supported by disclosure and data security policies that are consistent with the pledge, or which unnecessarily impedes sharing of data with other agencies for compatible confidential use</w:t>
      </w:r>
      <w:r w:rsidRPr="00552547">
        <w:rPr>
          <w:rFonts w:ascii="Times New Roman" w:hAnsi="Times New Roman"/>
          <w:sz w:val="24"/>
          <w:szCs w:val="24"/>
        </w:rPr>
        <w:t>.  There are no such requirements.</w:t>
      </w:r>
    </w:p>
    <w:p w:rsidRPr="00552547" w:rsidR="008C26DE" w:rsidP="008C26DE" w:rsidRDefault="008C26DE" w14:paraId="018792A7"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8C26DE" w:rsidP="008C26DE" w:rsidRDefault="008C26DE" w14:paraId="4911BD1A" w14:textId="77777777">
      <w:pPr>
        <w:tabs>
          <w:tab w:val="left" w:pos="0"/>
          <w:tab w:val="left" w:pos="360"/>
          <w:tab w:val="left" w:pos="720"/>
          <w:tab w:val="left" w:pos="2160"/>
          <w:tab w:val="left" w:pos="4320"/>
          <w:tab w:val="left" w:pos="6480"/>
          <w:tab w:val="left" w:pos="8640"/>
        </w:tabs>
        <w:suppressAutoHyphens/>
        <w:ind w:left="720" w:hanging="720"/>
        <w:rPr>
          <w:rFonts w:ascii="Times New Roman" w:hAnsi="Times New Roman"/>
          <w:sz w:val="24"/>
          <w:szCs w:val="24"/>
        </w:rPr>
      </w:pPr>
      <w:r w:rsidRPr="00552547">
        <w:rPr>
          <w:rFonts w:ascii="Times New Roman" w:hAnsi="Times New Roman"/>
          <w:sz w:val="24"/>
          <w:szCs w:val="24"/>
        </w:rPr>
        <w:tab/>
        <w:t>h.</w:t>
      </w:r>
      <w:r w:rsidRPr="00552547">
        <w:rPr>
          <w:rFonts w:ascii="Times New Roman" w:hAnsi="Times New Roman"/>
          <w:sz w:val="24"/>
          <w:szCs w:val="24"/>
        </w:rPr>
        <w:tab/>
      </w:r>
      <w:r w:rsidRPr="00552547">
        <w:rPr>
          <w:rFonts w:ascii="Times New Roman" w:hAnsi="Times New Roman"/>
          <w:sz w:val="24"/>
          <w:szCs w:val="24"/>
          <w:u w:val="single"/>
        </w:rPr>
        <w:t>Requiring respondents to submit proprietary trade secrets or other confidential information unless the agency can demonstrate that it has instituted procedures to protect the information’s confidentiality to the extent permissible by law</w:t>
      </w:r>
      <w:r w:rsidRPr="00552547">
        <w:rPr>
          <w:rFonts w:ascii="Times New Roman" w:hAnsi="Times New Roman"/>
          <w:sz w:val="24"/>
          <w:szCs w:val="24"/>
        </w:rPr>
        <w:t>.  There are no such requirements.</w:t>
      </w:r>
    </w:p>
    <w:p w:rsidR="008C26DE" w:rsidP="00D85ABA" w:rsidRDefault="008C26DE" w14:paraId="48905D45" w14:textId="77777777">
      <w:pPr>
        <w:rPr>
          <w:rFonts w:ascii="Times New Roman" w:hAnsi="Times New Roman"/>
          <w:sz w:val="24"/>
          <w:szCs w:val="24"/>
        </w:rPr>
      </w:pPr>
    </w:p>
    <w:p w:rsidRPr="00552547" w:rsidR="00245D8A" w:rsidP="00D85ABA" w:rsidRDefault="00245D8A" w14:paraId="655708AA" w14:textId="77777777">
      <w:pPr>
        <w:rPr>
          <w:rFonts w:ascii="Times New Roman" w:hAnsi="Times New Roman"/>
          <w:sz w:val="24"/>
          <w:szCs w:val="24"/>
        </w:rPr>
      </w:pPr>
    </w:p>
    <w:p w:rsidRPr="00552547" w:rsidR="002F255F" w:rsidP="008C26DE" w:rsidRDefault="002F255F" w14:paraId="56F4517A" w14:textId="77777777">
      <w:pPr>
        <w:tabs>
          <w:tab w:val="left" w:pos="360"/>
        </w:tabs>
        <w:rPr>
          <w:rFonts w:ascii="Times New Roman" w:hAnsi="Times New Roman"/>
          <w:sz w:val="24"/>
          <w:szCs w:val="24"/>
        </w:rPr>
      </w:pPr>
      <w:r w:rsidRPr="00552547">
        <w:rPr>
          <w:rFonts w:ascii="Times New Roman" w:hAnsi="Times New Roman"/>
          <w:sz w:val="24"/>
          <w:szCs w:val="24"/>
        </w:rPr>
        <w:t>8.</w:t>
      </w:r>
      <w:r w:rsidRPr="00552547">
        <w:rPr>
          <w:rFonts w:ascii="Times New Roman" w:hAnsi="Times New Roman"/>
          <w:sz w:val="24"/>
          <w:szCs w:val="24"/>
        </w:rPr>
        <w:tab/>
      </w:r>
      <w:r w:rsidRPr="00552547" w:rsidR="008C26DE">
        <w:rPr>
          <w:rFonts w:ascii="Times New Roman" w:hAnsi="Times New Roman"/>
          <w:sz w:val="24"/>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552547" w:rsidR="008C26DE">
        <w:rPr>
          <w:rFonts w:ascii="Times New Roman" w:hAnsi="Times New Roman"/>
          <w:sz w:val="24"/>
          <w:szCs w:val="24"/>
        </w:rPr>
        <w:t>.</w:t>
      </w:r>
      <w:r w:rsidRPr="00552547">
        <w:rPr>
          <w:rFonts w:ascii="Times New Roman" w:hAnsi="Times New Roman"/>
          <w:sz w:val="24"/>
          <w:szCs w:val="24"/>
        </w:rPr>
        <w:t xml:space="preserve">  </w:t>
      </w:r>
    </w:p>
    <w:p w:rsidRPr="0089596D" w:rsidR="00A57F20" w:rsidP="00054A5C" w:rsidRDefault="0089596D" w14:paraId="75E6887D" w14:textId="77777777">
      <w:pPr>
        <w:rPr>
          <w:rFonts w:ascii="Times New Roman" w:hAnsi="Times New Roman"/>
          <w:sz w:val="24"/>
          <w:szCs w:val="24"/>
        </w:rPr>
      </w:pPr>
      <w:r>
        <w:rPr>
          <w:rFonts w:ascii="Times New Roman" w:hAnsi="Times New Roman"/>
          <w:sz w:val="24"/>
          <w:szCs w:val="24"/>
        </w:rPr>
        <w:t xml:space="preserve"> </w:t>
      </w:r>
      <w:r w:rsidRPr="00552547">
        <w:rPr>
          <w:rFonts w:ascii="Times New Roman" w:hAnsi="Times New Roman"/>
          <w:sz w:val="24"/>
          <w:szCs w:val="24"/>
        </w:rPr>
        <w:t xml:space="preserve">  </w:t>
      </w:r>
    </w:p>
    <w:p w:rsidRPr="0089596D" w:rsidR="0089596D" w:rsidP="0089596D" w:rsidRDefault="00B820E5" w14:paraId="280F1514" w14:textId="060381EF">
      <w:pPr>
        <w:rPr>
          <w:rFonts w:ascii="Times New Roman" w:hAnsi="Times New Roman"/>
          <w:sz w:val="24"/>
          <w:szCs w:val="24"/>
        </w:rPr>
      </w:pPr>
      <w:r w:rsidRPr="00B820E5">
        <w:rPr>
          <w:rFonts w:ascii="Times New Roman" w:hAnsi="Times New Roman"/>
          <w:sz w:val="24"/>
          <w:szCs w:val="24"/>
        </w:rPr>
        <w:t xml:space="preserve">As required by 5 CFR 1320.8(d), a Notice to request comments was published on </w:t>
      </w:r>
      <w:r w:rsidR="008313B1">
        <w:rPr>
          <w:rFonts w:ascii="Times New Roman" w:hAnsi="Times New Roman"/>
          <w:sz w:val="24"/>
          <w:szCs w:val="24"/>
        </w:rPr>
        <w:t>May 16</w:t>
      </w:r>
      <w:r w:rsidRPr="00B820E5">
        <w:rPr>
          <w:rFonts w:ascii="Times New Roman" w:hAnsi="Times New Roman"/>
          <w:sz w:val="24"/>
          <w:szCs w:val="24"/>
        </w:rPr>
        <w:t>, 20</w:t>
      </w:r>
      <w:r w:rsidR="008313B1">
        <w:rPr>
          <w:rFonts w:ascii="Times New Roman" w:hAnsi="Times New Roman"/>
          <w:sz w:val="24"/>
          <w:szCs w:val="24"/>
        </w:rPr>
        <w:t>22</w:t>
      </w:r>
      <w:r w:rsidRPr="00B820E5">
        <w:rPr>
          <w:rFonts w:ascii="Times New Roman" w:hAnsi="Times New Roman"/>
          <w:sz w:val="24"/>
          <w:szCs w:val="24"/>
        </w:rPr>
        <w:t>, at 8</w:t>
      </w:r>
      <w:r w:rsidR="008313B1">
        <w:rPr>
          <w:rFonts w:ascii="Times New Roman" w:hAnsi="Times New Roman"/>
          <w:sz w:val="24"/>
          <w:szCs w:val="24"/>
        </w:rPr>
        <w:t>7</w:t>
      </w:r>
      <w:r w:rsidRPr="00B820E5">
        <w:rPr>
          <w:rFonts w:ascii="Times New Roman" w:hAnsi="Times New Roman"/>
          <w:sz w:val="24"/>
          <w:szCs w:val="24"/>
        </w:rPr>
        <w:t xml:space="preserve"> FR </w:t>
      </w:r>
      <w:r w:rsidR="008313B1">
        <w:rPr>
          <w:rFonts w:ascii="Times New Roman" w:hAnsi="Times New Roman"/>
          <w:sz w:val="24"/>
          <w:szCs w:val="24"/>
        </w:rPr>
        <w:t>29732</w:t>
      </w:r>
      <w:r w:rsidRPr="00B820E5">
        <w:rPr>
          <w:rFonts w:ascii="Times New Roman" w:hAnsi="Times New Roman"/>
          <w:sz w:val="24"/>
          <w:szCs w:val="24"/>
        </w:rPr>
        <w:t xml:space="preserve"> (</w:t>
      </w:r>
      <w:r w:rsidR="008313B1">
        <w:rPr>
          <w:rFonts w:ascii="Times New Roman" w:hAnsi="Times New Roman"/>
          <w:sz w:val="24"/>
          <w:szCs w:val="24"/>
        </w:rPr>
        <w:t>94</w:t>
      </w:r>
      <w:r w:rsidRPr="00B820E5">
        <w:rPr>
          <w:rFonts w:ascii="Times New Roman" w:hAnsi="Times New Roman"/>
          <w:sz w:val="24"/>
          <w:szCs w:val="24"/>
        </w:rPr>
        <w:t>).</w:t>
      </w:r>
      <w:r>
        <w:rPr>
          <w:rFonts w:ascii="Times New Roman" w:hAnsi="Times New Roman"/>
          <w:sz w:val="24"/>
          <w:szCs w:val="24"/>
        </w:rPr>
        <w:t xml:space="preserve"> </w:t>
      </w:r>
      <w:r w:rsidRPr="0089596D" w:rsidR="0089596D">
        <w:rPr>
          <w:rFonts w:ascii="Times New Roman" w:hAnsi="Times New Roman"/>
          <w:sz w:val="24"/>
          <w:szCs w:val="24"/>
        </w:rPr>
        <w:t xml:space="preserve">The agency did not receive any comments </w:t>
      </w:r>
      <w:r w:rsidR="008313B1">
        <w:rPr>
          <w:rFonts w:ascii="Times New Roman" w:hAnsi="Times New Roman"/>
          <w:sz w:val="24"/>
          <w:szCs w:val="24"/>
        </w:rPr>
        <w:t xml:space="preserve">that pertained to this collection </w:t>
      </w:r>
      <w:r w:rsidRPr="0089596D" w:rsidR="0089596D">
        <w:rPr>
          <w:rFonts w:ascii="Times New Roman" w:hAnsi="Times New Roman"/>
          <w:sz w:val="24"/>
          <w:szCs w:val="24"/>
        </w:rPr>
        <w:t xml:space="preserve">during the 60-day comment period. </w:t>
      </w:r>
    </w:p>
    <w:p w:rsidRPr="0089596D" w:rsidR="00054A5C" w:rsidP="00054A5C" w:rsidRDefault="00054A5C" w14:paraId="65A868DF" w14:textId="77777777">
      <w:pPr>
        <w:rPr>
          <w:rFonts w:ascii="Times New Roman" w:hAnsi="Times New Roman"/>
        </w:rPr>
      </w:pPr>
    </w:p>
    <w:p w:rsidR="00974ACB" w:rsidP="00974ACB" w:rsidRDefault="00974ACB" w14:paraId="08CC0D3B" w14:textId="77777777">
      <w:pPr>
        <w:tabs>
          <w:tab w:val="left" w:pos="-90"/>
          <w:tab w:val="left" w:pos="2160"/>
          <w:tab w:val="left" w:pos="4320"/>
          <w:tab w:val="left" w:pos="6480"/>
          <w:tab w:val="left" w:pos="8640"/>
        </w:tabs>
        <w:suppressAutoHyphens/>
        <w:rPr>
          <w:rFonts w:ascii="Times New Roman" w:hAnsi="Times New Roman"/>
          <w:sz w:val="24"/>
          <w:szCs w:val="24"/>
        </w:rPr>
      </w:pPr>
      <w:r w:rsidRPr="0089596D">
        <w:rPr>
          <w:rFonts w:ascii="Times New Roman" w:hAnsi="Times New Roman"/>
          <w:sz w:val="24"/>
          <w:szCs w:val="24"/>
        </w:rPr>
        <w:t xml:space="preserve">Through administration of the Program, the Agency engages in routine communication with </w:t>
      </w:r>
      <w:r w:rsidRPr="0089596D" w:rsidR="0089596D">
        <w:rPr>
          <w:rFonts w:ascii="Times New Roman" w:hAnsi="Times New Roman"/>
          <w:sz w:val="24"/>
          <w:szCs w:val="24"/>
        </w:rPr>
        <w:t>stakeholders</w:t>
      </w:r>
      <w:r w:rsidRPr="0089596D">
        <w:rPr>
          <w:rFonts w:ascii="Times New Roman" w:hAnsi="Times New Roman"/>
          <w:sz w:val="24"/>
          <w:szCs w:val="24"/>
        </w:rPr>
        <w:t xml:space="preserve"> on issues</w:t>
      </w:r>
      <w:r w:rsidR="00F33310">
        <w:rPr>
          <w:rFonts w:ascii="Times New Roman" w:hAnsi="Times New Roman"/>
          <w:sz w:val="24"/>
          <w:szCs w:val="24"/>
        </w:rPr>
        <w:t>;</w:t>
      </w:r>
      <w:r w:rsidRPr="0089596D">
        <w:rPr>
          <w:rFonts w:ascii="Times New Roman" w:hAnsi="Times New Roman"/>
          <w:sz w:val="24"/>
          <w:szCs w:val="24"/>
        </w:rPr>
        <w:t xml:space="preserve"> including the paperwork burden associated with guaranteed loan making.  These</w:t>
      </w:r>
      <w:r w:rsidRPr="0089596D" w:rsidR="0089596D">
        <w:rPr>
          <w:rFonts w:ascii="Times New Roman" w:hAnsi="Times New Roman"/>
          <w:sz w:val="24"/>
          <w:szCs w:val="24"/>
        </w:rPr>
        <w:t xml:space="preserve"> stakeholders </w:t>
      </w:r>
      <w:proofErr w:type="gramStart"/>
      <w:r w:rsidRPr="0089596D">
        <w:rPr>
          <w:rFonts w:ascii="Times New Roman" w:hAnsi="Times New Roman"/>
          <w:sz w:val="24"/>
          <w:szCs w:val="24"/>
        </w:rPr>
        <w:t>include</w:t>
      </w:r>
      <w:r w:rsidRPr="0089596D" w:rsidR="0089596D">
        <w:rPr>
          <w:rFonts w:ascii="Times New Roman" w:hAnsi="Times New Roman"/>
          <w:sz w:val="24"/>
          <w:szCs w:val="24"/>
        </w:rPr>
        <w:t>;</w:t>
      </w:r>
      <w:proofErr w:type="gramEnd"/>
      <w:r w:rsidRPr="0089596D">
        <w:rPr>
          <w:rFonts w:ascii="Times New Roman" w:hAnsi="Times New Roman"/>
          <w:sz w:val="24"/>
          <w:szCs w:val="24"/>
        </w:rPr>
        <w:t xml:space="preserve"> national, regional, and community lenders; nontraditional lenders; </w:t>
      </w:r>
      <w:r w:rsidRPr="0089596D" w:rsidR="0089596D">
        <w:rPr>
          <w:rFonts w:ascii="Times New Roman" w:hAnsi="Times New Roman"/>
          <w:sz w:val="24"/>
          <w:szCs w:val="24"/>
        </w:rPr>
        <w:lastRenderedPageBreak/>
        <w:t xml:space="preserve">business developers, </w:t>
      </w:r>
      <w:r w:rsidRPr="0089596D">
        <w:rPr>
          <w:rFonts w:ascii="Times New Roman" w:hAnsi="Times New Roman"/>
          <w:sz w:val="24"/>
          <w:szCs w:val="24"/>
        </w:rPr>
        <w:t>national lending and banking associations; economic and/or community development organizations; and other Federal agencies associated with credit making activities</w:t>
      </w:r>
      <w:r w:rsidR="00E432D9">
        <w:rPr>
          <w:rFonts w:ascii="Times New Roman" w:hAnsi="Times New Roman"/>
          <w:sz w:val="24"/>
          <w:szCs w:val="24"/>
        </w:rPr>
        <w:t xml:space="preserve">. </w:t>
      </w:r>
    </w:p>
    <w:p w:rsidR="00731EBD" w:rsidP="00974ACB" w:rsidRDefault="00731EBD" w14:paraId="17243839" w14:textId="77777777">
      <w:pPr>
        <w:tabs>
          <w:tab w:val="left" w:pos="-90"/>
          <w:tab w:val="left" w:pos="2160"/>
          <w:tab w:val="left" w:pos="4320"/>
          <w:tab w:val="left" w:pos="6480"/>
          <w:tab w:val="left" w:pos="8640"/>
        </w:tabs>
        <w:suppressAutoHyphens/>
        <w:rPr>
          <w:rFonts w:ascii="Times New Roman" w:hAnsi="Times New Roman"/>
          <w:sz w:val="24"/>
          <w:szCs w:val="24"/>
        </w:rPr>
      </w:pPr>
    </w:p>
    <w:p w:rsidRPr="00872855" w:rsidR="00E432D9" w:rsidP="00974ACB" w:rsidRDefault="00E432D9" w14:paraId="638DA77D" w14:textId="77777777">
      <w:pPr>
        <w:tabs>
          <w:tab w:val="left" w:pos="-90"/>
          <w:tab w:val="left" w:pos="2160"/>
          <w:tab w:val="left" w:pos="4320"/>
          <w:tab w:val="left" w:pos="6480"/>
          <w:tab w:val="left" w:pos="8640"/>
        </w:tabs>
        <w:suppressAutoHyphens/>
        <w:rPr>
          <w:rFonts w:ascii="Times New Roman" w:hAnsi="Times New Roman"/>
          <w:sz w:val="24"/>
          <w:szCs w:val="24"/>
        </w:rPr>
      </w:pPr>
      <w:r>
        <w:rPr>
          <w:rFonts w:ascii="Times New Roman" w:hAnsi="Times New Roman"/>
          <w:sz w:val="24"/>
          <w:szCs w:val="24"/>
        </w:rPr>
        <w:t xml:space="preserve">In addition to this on-going engagement, interviews were conducted with </w:t>
      </w:r>
      <w:r w:rsidR="003569D8">
        <w:rPr>
          <w:rFonts w:ascii="Times New Roman" w:hAnsi="Times New Roman"/>
          <w:sz w:val="24"/>
          <w:szCs w:val="24"/>
        </w:rPr>
        <w:t>lenders and business developer</w:t>
      </w:r>
      <w:r>
        <w:rPr>
          <w:rFonts w:ascii="Times New Roman" w:hAnsi="Times New Roman"/>
          <w:sz w:val="24"/>
          <w:szCs w:val="24"/>
        </w:rPr>
        <w:t xml:space="preserve"> who had familiarity with the program</w:t>
      </w:r>
      <w:r w:rsidR="00F33310">
        <w:rPr>
          <w:rFonts w:ascii="Times New Roman" w:hAnsi="Times New Roman"/>
          <w:sz w:val="24"/>
          <w:szCs w:val="24"/>
        </w:rPr>
        <w:t xml:space="preserve">, </w:t>
      </w:r>
      <w:r>
        <w:rPr>
          <w:rFonts w:ascii="Times New Roman" w:hAnsi="Times New Roman"/>
          <w:sz w:val="24"/>
          <w:szCs w:val="24"/>
        </w:rPr>
        <w:t xml:space="preserve">direct </w:t>
      </w:r>
      <w:r w:rsidR="003569D8">
        <w:rPr>
          <w:rFonts w:ascii="Times New Roman" w:hAnsi="Times New Roman"/>
          <w:sz w:val="24"/>
          <w:szCs w:val="24"/>
        </w:rPr>
        <w:t>experience</w:t>
      </w:r>
      <w:r>
        <w:rPr>
          <w:rFonts w:ascii="Times New Roman" w:hAnsi="Times New Roman"/>
          <w:sz w:val="24"/>
          <w:szCs w:val="24"/>
        </w:rPr>
        <w:t xml:space="preserve"> with the revised application process and servic</w:t>
      </w:r>
      <w:r w:rsidR="003569D8">
        <w:rPr>
          <w:rFonts w:ascii="Times New Roman" w:hAnsi="Times New Roman"/>
          <w:sz w:val="24"/>
          <w:szCs w:val="24"/>
        </w:rPr>
        <w:t>ing requirements.</w:t>
      </w:r>
      <w:r w:rsidR="008423B8">
        <w:rPr>
          <w:rFonts w:ascii="Times New Roman" w:hAnsi="Times New Roman"/>
          <w:sz w:val="24"/>
          <w:szCs w:val="24"/>
        </w:rPr>
        <w:t xml:space="preserve"> Respondents were asked to provide feedback on the amount of information that is collected</w:t>
      </w:r>
      <w:r w:rsidR="00F33310">
        <w:rPr>
          <w:rFonts w:ascii="Times New Roman" w:hAnsi="Times New Roman"/>
          <w:sz w:val="24"/>
          <w:szCs w:val="24"/>
        </w:rPr>
        <w:t>,</w:t>
      </w:r>
      <w:r w:rsidR="008423B8">
        <w:rPr>
          <w:rFonts w:ascii="Times New Roman" w:hAnsi="Times New Roman"/>
          <w:sz w:val="24"/>
          <w:szCs w:val="24"/>
        </w:rPr>
        <w:t xml:space="preserve"> </w:t>
      </w:r>
      <w:r w:rsidR="00F33310">
        <w:rPr>
          <w:rFonts w:ascii="Times New Roman" w:hAnsi="Times New Roman"/>
          <w:sz w:val="24"/>
          <w:szCs w:val="24"/>
        </w:rPr>
        <w:t>the required forms as well and supporting documentation</w:t>
      </w:r>
      <w:r w:rsidR="008423B8">
        <w:rPr>
          <w:rFonts w:ascii="Times New Roman" w:hAnsi="Times New Roman"/>
          <w:sz w:val="24"/>
          <w:szCs w:val="24"/>
        </w:rPr>
        <w:t xml:space="preserve">. All responses were </w:t>
      </w:r>
      <w:r w:rsidR="009C43AB">
        <w:rPr>
          <w:rFonts w:ascii="Times New Roman" w:hAnsi="Times New Roman"/>
          <w:sz w:val="24"/>
          <w:szCs w:val="24"/>
        </w:rPr>
        <w:t>affirmative,</w:t>
      </w:r>
      <w:r w:rsidR="008423B8">
        <w:rPr>
          <w:rFonts w:ascii="Times New Roman" w:hAnsi="Times New Roman"/>
          <w:sz w:val="24"/>
          <w:szCs w:val="24"/>
        </w:rPr>
        <w:t xml:space="preserve"> and re</w:t>
      </w:r>
      <w:r w:rsidR="00A85D39">
        <w:rPr>
          <w:rFonts w:ascii="Times New Roman" w:hAnsi="Times New Roman"/>
          <w:sz w:val="24"/>
          <w:szCs w:val="24"/>
        </w:rPr>
        <w:t>s</w:t>
      </w:r>
      <w:r w:rsidR="008423B8">
        <w:rPr>
          <w:rFonts w:ascii="Times New Roman" w:hAnsi="Times New Roman"/>
          <w:sz w:val="24"/>
          <w:szCs w:val="24"/>
        </w:rPr>
        <w:t>pon</w:t>
      </w:r>
      <w:r w:rsidR="00A85D39">
        <w:rPr>
          <w:rFonts w:ascii="Times New Roman" w:hAnsi="Times New Roman"/>
          <w:sz w:val="24"/>
          <w:szCs w:val="24"/>
        </w:rPr>
        <w:t xml:space="preserve">dents unanimously expressed </w:t>
      </w:r>
      <w:r w:rsidR="00731EBD">
        <w:rPr>
          <w:rFonts w:ascii="Times New Roman" w:hAnsi="Times New Roman"/>
          <w:sz w:val="24"/>
          <w:szCs w:val="24"/>
        </w:rPr>
        <w:t xml:space="preserve">that </w:t>
      </w:r>
      <w:r w:rsidR="00A85D39">
        <w:rPr>
          <w:rFonts w:ascii="Times New Roman" w:hAnsi="Times New Roman"/>
          <w:sz w:val="24"/>
          <w:szCs w:val="24"/>
        </w:rPr>
        <w:t xml:space="preserve">the </w:t>
      </w:r>
      <w:r w:rsidR="008423B8">
        <w:rPr>
          <w:rFonts w:ascii="Times New Roman" w:hAnsi="Times New Roman"/>
          <w:sz w:val="24"/>
          <w:szCs w:val="24"/>
        </w:rPr>
        <w:t xml:space="preserve">amount </w:t>
      </w:r>
      <w:r w:rsidR="000D3C2F">
        <w:rPr>
          <w:rFonts w:ascii="Times New Roman" w:hAnsi="Times New Roman"/>
          <w:sz w:val="24"/>
          <w:szCs w:val="24"/>
        </w:rPr>
        <w:t xml:space="preserve">of information collected </w:t>
      </w:r>
      <w:r w:rsidR="008423B8">
        <w:rPr>
          <w:rFonts w:ascii="Times New Roman" w:hAnsi="Times New Roman"/>
          <w:sz w:val="24"/>
          <w:szCs w:val="24"/>
        </w:rPr>
        <w:t xml:space="preserve">and </w:t>
      </w:r>
      <w:r w:rsidR="009C43AB">
        <w:rPr>
          <w:rFonts w:ascii="Times New Roman" w:hAnsi="Times New Roman"/>
          <w:sz w:val="24"/>
          <w:szCs w:val="24"/>
        </w:rPr>
        <w:t xml:space="preserve">required forms and documentation were </w:t>
      </w:r>
      <w:r w:rsidR="008423B8">
        <w:rPr>
          <w:rFonts w:ascii="Times New Roman" w:hAnsi="Times New Roman"/>
          <w:sz w:val="24"/>
          <w:szCs w:val="24"/>
        </w:rPr>
        <w:t>reasona</w:t>
      </w:r>
      <w:r w:rsidR="009C43AB">
        <w:rPr>
          <w:rFonts w:ascii="Times New Roman" w:hAnsi="Times New Roman"/>
          <w:sz w:val="24"/>
          <w:szCs w:val="24"/>
        </w:rPr>
        <w:t xml:space="preserve">ble. </w:t>
      </w:r>
      <w:r w:rsidRPr="00872855" w:rsidR="009C43AB">
        <w:rPr>
          <w:rFonts w:ascii="Times New Roman" w:hAnsi="Times New Roman"/>
          <w:sz w:val="24"/>
          <w:szCs w:val="24"/>
        </w:rPr>
        <w:t>Respondents also commented on the usefulness of the application guide and</w:t>
      </w:r>
      <w:r w:rsidRPr="00872855" w:rsidR="00F33310">
        <w:rPr>
          <w:rFonts w:ascii="Times New Roman" w:hAnsi="Times New Roman"/>
          <w:sz w:val="24"/>
          <w:szCs w:val="24"/>
        </w:rPr>
        <w:t xml:space="preserve"> responded</w:t>
      </w:r>
      <w:r w:rsidRPr="00872855" w:rsidR="009C43AB">
        <w:rPr>
          <w:rFonts w:ascii="Times New Roman" w:hAnsi="Times New Roman"/>
          <w:sz w:val="24"/>
          <w:szCs w:val="24"/>
        </w:rPr>
        <w:t xml:space="preserve"> favorably on the </w:t>
      </w:r>
      <w:r w:rsidRPr="00872855" w:rsidR="00A244B2">
        <w:rPr>
          <w:rFonts w:ascii="Times New Roman" w:hAnsi="Times New Roman"/>
          <w:sz w:val="24"/>
          <w:szCs w:val="24"/>
        </w:rPr>
        <w:t>two-phase</w:t>
      </w:r>
      <w:r w:rsidRPr="00872855" w:rsidR="009C43AB">
        <w:rPr>
          <w:rFonts w:ascii="Times New Roman" w:hAnsi="Times New Roman"/>
          <w:sz w:val="24"/>
          <w:szCs w:val="24"/>
        </w:rPr>
        <w:t xml:space="preserve"> application process</w:t>
      </w:r>
      <w:r w:rsidR="00955755">
        <w:rPr>
          <w:rFonts w:ascii="Times New Roman" w:hAnsi="Times New Roman"/>
          <w:sz w:val="24"/>
          <w:szCs w:val="24"/>
        </w:rPr>
        <w:t>.</w:t>
      </w:r>
      <w:r w:rsidRPr="00872855" w:rsidR="009C43AB">
        <w:rPr>
          <w:rFonts w:ascii="Times New Roman" w:hAnsi="Times New Roman"/>
          <w:sz w:val="24"/>
          <w:szCs w:val="24"/>
        </w:rPr>
        <w:t xml:space="preserve"> </w:t>
      </w:r>
      <w:r w:rsidRPr="00872855" w:rsidR="00F33310">
        <w:rPr>
          <w:rFonts w:ascii="Times New Roman" w:hAnsi="Times New Roman"/>
          <w:sz w:val="24"/>
          <w:szCs w:val="24"/>
        </w:rPr>
        <w:t xml:space="preserve">The interviewees and their affiliations are listed below. </w:t>
      </w:r>
    </w:p>
    <w:p w:rsidRPr="00872855" w:rsidR="00A244B2" w:rsidP="00A244B2" w:rsidRDefault="00A244B2" w14:paraId="4C5F5CDF" w14:textId="77777777">
      <w:pPr>
        <w:tabs>
          <w:tab w:val="left" w:pos="-90"/>
          <w:tab w:val="left" w:pos="2160"/>
          <w:tab w:val="left" w:pos="4320"/>
          <w:tab w:val="left" w:pos="6480"/>
          <w:tab w:val="left" w:pos="8640"/>
        </w:tabs>
        <w:suppressAutoHyphens/>
        <w:rPr>
          <w:rFonts w:ascii="Times New Roman" w:hAnsi="Times New Roman"/>
          <w:sz w:val="24"/>
          <w:szCs w:val="24"/>
        </w:rPr>
      </w:pPr>
    </w:p>
    <w:p w:rsidRPr="00872855" w:rsidR="00A244B2" w:rsidP="00A244B2" w:rsidRDefault="00A244B2" w14:paraId="017AB786"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Founder and CEO</w:t>
      </w:r>
    </w:p>
    <w:p w:rsidRPr="00872855" w:rsidR="00E42D25" w:rsidP="001F00DD" w:rsidRDefault="00A244B2" w14:paraId="5BDF415B"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 xml:space="preserve">Westar Trade Resources/ Global </w:t>
      </w:r>
      <w:proofErr w:type="spellStart"/>
      <w:r w:rsidRPr="00872855">
        <w:rPr>
          <w:rFonts w:ascii="Times New Roman" w:hAnsi="Times New Roman"/>
          <w:sz w:val="24"/>
          <w:szCs w:val="24"/>
        </w:rPr>
        <w:t>Biofuture</w:t>
      </w:r>
      <w:proofErr w:type="spellEnd"/>
      <w:r w:rsidRPr="00872855">
        <w:rPr>
          <w:rFonts w:ascii="Times New Roman" w:hAnsi="Times New Roman"/>
          <w:sz w:val="24"/>
          <w:szCs w:val="24"/>
        </w:rPr>
        <w:t xml:space="preserve"> Solutions </w:t>
      </w:r>
    </w:p>
    <w:p w:rsidRPr="00872855" w:rsidR="00A244B2" w:rsidP="001F00DD" w:rsidRDefault="00A244B2" w14:paraId="1EDB2A4F" w14:textId="77777777">
      <w:pPr>
        <w:tabs>
          <w:tab w:val="left" w:pos="-90"/>
          <w:tab w:val="left" w:pos="2160"/>
          <w:tab w:val="left" w:pos="4320"/>
          <w:tab w:val="left" w:pos="6480"/>
          <w:tab w:val="left" w:pos="8640"/>
        </w:tabs>
        <w:suppressAutoHyphens/>
        <w:rPr>
          <w:rFonts w:ascii="Times New Roman" w:hAnsi="Times New Roman"/>
          <w:sz w:val="24"/>
          <w:szCs w:val="24"/>
        </w:rPr>
      </w:pPr>
    </w:p>
    <w:p w:rsidRPr="00872855" w:rsidR="00A244B2" w:rsidP="001F00DD" w:rsidRDefault="00A244B2" w14:paraId="58F2ED5E"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 xml:space="preserve">Team Lead, Bioenergy Lending </w:t>
      </w:r>
    </w:p>
    <w:p w:rsidRPr="00872855" w:rsidR="001F00DD" w:rsidP="001F00DD" w:rsidRDefault="00EE3CE6" w14:paraId="7A8912BA"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Live Oak Bank</w:t>
      </w:r>
    </w:p>
    <w:p w:rsidRPr="00872855" w:rsidR="00A244B2" w:rsidP="00B048A4" w:rsidRDefault="00A244B2" w14:paraId="77A052C4" w14:textId="77777777">
      <w:pPr>
        <w:tabs>
          <w:tab w:val="left" w:pos="-90"/>
          <w:tab w:val="left" w:pos="2160"/>
          <w:tab w:val="left" w:pos="4320"/>
          <w:tab w:val="left" w:pos="6480"/>
          <w:tab w:val="left" w:pos="8640"/>
        </w:tabs>
        <w:suppressAutoHyphens/>
        <w:rPr>
          <w:rFonts w:ascii="Times New Roman" w:hAnsi="Times New Roman"/>
          <w:sz w:val="24"/>
          <w:szCs w:val="24"/>
        </w:rPr>
      </w:pPr>
    </w:p>
    <w:p w:rsidRPr="00872855" w:rsidR="00A244B2" w:rsidP="00B048A4" w:rsidRDefault="00A244B2" w14:paraId="5C942A4E"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Executive Vice President</w:t>
      </w:r>
    </w:p>
    <w:p w:rsidR="001F00DD" w:rsidP="001F00DD" w:rsidRDefault="00E432D9" w14:paraId="3B27CAFA" w14:textId="77777777">
      <w:pPr>
        <w:tabs>
          <w:tab w:val="left" w:pos="-90"/>
          <w:tab w:val="left" w:pos="2160"/>
          <w:tab w:val="left" w:pos="4320"/>
          <w:tab w:val="left" w:pos="6480"/>
          <w:tab w:val="left" w:pos="8640"/>
        </w:tabs>
        <w:suppressAutoHyphens/>
        <w:rPr>
          <w:rFonts w:ascii="Times New Roman" w:hAnsi="Times New Roman"/>
          <w:sz w:val="24"/>
          <w:szCs w:val="24"/>
        </w:rPr>
      </w:pPr>
      <w:r w:rsidRPr="00872855">
        <w:rPr>
          <w:rFonts w:ascii="Times New Roman" w:hAnsi="Times New Roman"/>
          <w:sz w:val="24"/>
          <w:szCs w:val="24"/>
        </w:rPr>
        <w:t>Greater Nevada Credit Union</w:t>
      </w:r>
      <w:r w:rsidRPr="00872855" w:rsidR="00A244B2">
        <w:rPr>
          <w:rFonts w:ascii="Times New Roman" w:hAnsi="Times New Roman"/>
          <w:sz w:val="24"/>
          <w:szCs w:val="24"/>
        </w:rPr>
        <w:t>/ Greater Commercial Lending</w:t>
      </w:r>
      <w:r w:rsidR="00A244B2">
        <w:rPr>
          <w:rFonts w:ascii="Times New Roman" w:hAnsi="Times New Roman"/>
          <w:sz w:val="24"/>
          <w:szCs w:val="24"/>
        </w:rPr>
        <w:t xml:space="preserve"> </w:t>
      </w:r>
    </w:p>
    <w:p w:rsidR="008C26DE" w:rsidP="008C26DE" w:rsidRDefault="008C26DE" w14:paraId="00A2AE18" w14:textId="77777777">
      <w:pPr>
        <w:rPr>
          <w:rFonts w:ascii="Times New Roman" w:hAnsi="Times New Roman"/>
          <w:sz w:val="24"/>
          <w:szCs w:val="24"/>
        </w:rPr>
      </w:pPr>
    </w:p>
    <w:p w:rsidRPr="00552547" w:rsidR="00245D8A" w:rsidP="008C26DE" w:rsidRDefault="00245D8A" w14:paraId="7BFD76F4" w14:textId="77777777">
      <w:pPr>
        <w:rPr>
          <w:rFonts w:ascii="Times New Roman" w:hAnsi="Times New Roman"/>
          <w:sz w:val="24"/>
          <w:szCs w:val="24"/>
        </w:rPr>
      </w:pPr>
    </w:p>
    <w:p w:rsidRPr="00552547" w:rsidR="000F336E" w:rsidP="000F336E" w:rsidRDefault="000F336E" w14:paraId="45C95D3C" w14:textId="77777777">
      <w:pPr>
        <w:tabs>
          <w:tab w:val="left" w:pos="450"/>
          <w:tab w:val="left" w:pos="2160"/>
          <w:tab w:val="left" w:pos="4320"/>
          <w:tab w:val="left" w:pos="6480"/>
          <w:tab w:val="left" w:pos="8640"/>
        </w:tabs>
        <w:suppressAutoHyphens/>
        <w:ind w:left="450" w:hanging="450"/>
        <w:rPr>
          <w:rFonts w:ascii="Times New Roman" w:hAnsi="Times New Roman"/>
          <w:sz w:val="24"/>
          <w:szCs w:val="24"/>
          <w:u w:val="single"/>
        </w:rPr>
      </w:pPr>
      <w:r w:rsidRPr="00552547">
        <w:rPr>
          <w:rFonts w:ascii="Times New Roman" w:hAnsi="Times New Roman"/>
          <w:sz w:val="24"/>
          <w:szCs w:val="24"/>
        </w:rPr>
        <w:t>9.</w:t>
      </w:r>
      <w:r w:rsidRPr="00552547">
        <w:rPr>
          <w:rFonts w:ascii="Times New Roman" w:hAnsi="Times New Roman"/>
          <w:sz w:val="24"/>
          <w:szCs w:val="24"/>
        </w:rPr>
        <w:tab/>
      </w:r>
      <w:r w:rsidRPr="00552547">
        <w:rPr>
          <w:rFonts w:ascii="Times New Roman" w:hAnsi="Times New Roman"/>
          <w:sz w:val="24"/>
          <w:szCs w:val="24"/>
          <w:u w:val="single"/>
        </w:rPr>
        <w:t>Explain any decision to provide any payment or gift to respondents, other than remuneration of contractors or grantees</w:t>
      </w:r>
      <w:r w:rsidRPr="00552547">
        <w:rPr>
          <w:rFonts w:ascii="Times New Roman" w:hAnsi="Times New Roman"/>
          <w:sz w:val="24"/>
          <w:szCs w:val="24"/>
        </w:rPr>
        <w:t>.</w:t>
      </w:r>
    </w:p>
    <w:p w:rsidRPr="00552547" w:rsidR="000F336E" w:rsidP="000F336E" w:rsidRDefault="000F336E" w14:paraId="590AB012" w14:textId="77777777">
      <w:pPr>
        <w:tabs>
          <w:tab w:val="left" w:pos="63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0A11844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No payments or gifts will be provided to respondents, including no remuneration of contractors or grantees.</w:t>
      </w:r>
    </w:p>
    <w:p w:rsidR="000F336E" w:rsidP="00D85ABA" w:rsidRDefault="000F336E" w14:paraId="5D0B3954" w14:textId="77777777">
      <w:pPr>
        <w:rPr>
          <w:rFonts w:ascii="Times New Roman" w:hAnsi="Times New Roman"/>
          <w:sz w:val="24"/>
          <w:szCs w:val="24"/>
        </w:rPr>
      </w:pPr>
    </w:p>
    <w:p w:rsidRPr="00552547" w:rsidR="00245D8A" w:rsidP="00D85ABA" w:rsidRDefault="00245D8A" w14:paraId="12A3408F" w14:textId="77777777">
      <w:pPr>
        <w:rPr>
          <w:rFonts w:ascii="Times New Roman" w:hAnsi="Times New Roman"/>
          <w:sz w:val="24"/>
          <w:szCs w:val="24"/>
        </w:rPr>
      </w:pPr>
    </w:p>
    <w:p w:rsidRPr="00552547" w:rsidR="000F336E" w:rsidP="000F336E" w:rsidRDefault="000F336E" w14:paraId="1BF056CA"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10.</w:t>
      </w:r>
      <w:r w:rsidRPr="00552547">
        <w:rPr>
          <w:rFonts w:ascii="Times New Roman" w:hAnsi="Times New Roman"/>
          <w:sz w:val="24"/>
          <w:szCs w:val="24"/>
        </w:rPr>
        <w:tab/>
      </w:r>
      <w:r w:rsidRPr="00552547">
        <w:rPr>
          <w:rFonts w:ascii="Times New Roman" w:hAnsi="Times New Roman"/>
          <w:sz w:val="24"/>
          <w:szCs w:val="24"/>
          <w:u w:val="single"/>
        </w:rPr>
        <w:t>Describe any assurances of confidentiality provided to respondents and the basis for the assurances in statute, regulation, or Agency policy</w:t>
      </w:r>
      <w:r w:rsidRPr="00552547">
        <w:rPr>
          <w:rFonts w:ascii="Times New Roman" w:hAnsi="Times New Roman"/>
          <w:sz w:val="24"/>
          <w:szCs w:val="24"/>
        </w:rPr>
        <w:t>.</w:t>
      </w:r>
    </w:p>
    <w:p w:rsidRPr="00552547" w:rsidR="000F336E" w:rsidP="000F336E" w:rsidRDefault="000F336E" w14:paraId="6E3E36A2" w14:textId="77777777">
      <w:pPr>
        <w:tabs>
          <w:tab w:val="left" w:pos="0"/>
          <w:tab w:val="left" w:pos="2160"/>
          <w:tab w:val="left" w:pos="4320"/>
          <w:tab w:val="left" w:pos="6480"/>
          <w:tab w:val="left" w:pos="8640"/>
        </w:tabs>
        <w:suppressAutoHyphens/>
        <w:rPr>
          <w:rFonts w:ascii="Times New Roman" w:hAnsi="Times New Roman"/>
          <w:sz w:val="24"/>
          <w:szCs w:val="24"/>
        </w:rPr>
      </w:pPr>
    </w:p>
    <w:p w:rsidR="000F336E" w:rsidP="000F336E" w:rsidRDefault="000F336E" w14:paraId="63C2C7FB"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No assurance of confidentiality is provided to respondents for the information required.  When necessary, the Agency will process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Pr="00955481" w:rsidR="00955481" w:rsidP="000F336E" w:rsidRDefault="00955481" w14:paraId="427ECE03" w14:textId="77777777">
      <w:pPr>
        <w:tabs>
          <w:tab w:val="left" w:pos="0"/>
          <w:tab w:val="left" w:pos="2160"/>
          <w:tab w:val="left" w:pos="4320"/>
          <w:tab w:val="left" w:pos="6480"/>
          <w:tab w:val="left" w:pos="8640"/>
        </w:tabs>
        <w:suppressAutoHyphens/>
        <w:rPr>
          <w:rFonts w:ascii="Times New Roman" w:hAnsi="Times New Roman"/>
          <w:sz w:val="24"/>
          <w:szCs w:val="24"/>
        </w:rPr>
      </w:pPr>
    </w:p>
    <w:p w:rsidRPr="00955481" w:rsidR="00955481" w:rsidP="000F336E" w:rsidRDefault="00955481" w14:paraId="15B21D2A" w14:textId="77777777">
      <w:pPr>
        <w:tabs>
          <w:tab w:val="left" w:pos="0"/>
          <w:tab w:val="left" w:pos="2160"/>
          <w:tab w:val="left" w:pos="4320"/>
          <w:tab w:val="left" w:pos="6480"/>
          <w:tab w:val="left" w:pos="8640"/>
        </w:tabs>
        <w:suppressAutoHyphens/>
        <w:rPr>
          <w:rFonts w:ascii="Times New Roman" w:hAnsi="Times New Roman"/>
          <w:sz w:val="24"/>
          <w:szCs w:val="24"/>
        </w:rPr>
      </w:pPr>
      <w:r w:rsidRPr="00955481">
        <w:rPr>
          <w:rFonts w:ascii="Times New Roman" w:hAnsi="Times New Roman"/>
          <w:sz w:val="24"/>
          <w:szCs w:val="24"/>
        </w:rPr>
        <w:t xml:space="preserve">The Agency does support maintenance of confidentiality when appropriate.  The Agency published a Privacy Act of 1974; System of Records in the Federal Register on May 14, 2019 (84 FR 21315).  A copy of that document can be found at </w:t>
      </w:r>
      <w:hyperlink w:history="1" r:id="rId11">
        <w:r w:rsidRPr="00955481">
          <w:rPr>
            <w:rStyle w:val="Hyperlink"/>
            <w:rFonts w:ascii="Times New Roman" w:hAnsi="Times New Roman"/>
            <w:sz w:val="24"/>
            <w:szCs w:val="24"/>
          </w:rPr>
          <w:t>&gt;https://www.govinfo.gov/content/pkg/FR-2019-05-14/pdf/2019-09874.pdf&lt;</w:t>
        </w:r>
      </w:hyperlink>
    </w:p>
    <w:p w:rsidR="000F336E" w:rsidP="000F336E" w:rsidRDefault="000F336E" w14:paraId="6D158017" w14:textId="77777777">
      <w:pPr>
        <w:tabs>
          <w:tab w:val="left" w:pos="0"/>
          <w:tab w:val="left" w:pos="2160"/>
          <w:tab w:val="left" w:pos="4320"/>
          <w:tab w:val="left" w:pos="6480"/>
          <w:tab w:val="left" w:pos="8640"/>
        </w:tabs>
        <w:suppressAutoHyphens/>
        <w:rPr>
          <w:rFonts w:ascii="Times New Roman" w:hAnsi="Times New Roman"/>
          <w:sz w:val="24"/>
          <w:szCs w:val="24"/>
        </w:rPr>
      </w:pPr>
    </w:p>
    <w:p w:rsidRPr="00955481" w:rsidR="00245D8A" w:rsidP="000F336E" w:rsidRDefault="00245D8A" w14:paraId="6CDFD628"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6227BAA2" w14:textId="77777777">
      <w:pPr>
        <w:tabs>
          <w:tab w:val="left" w:pos="0"/>
          <w:tab w:val="left" w:pos="45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lastRenderedPageBreak/>
        <w:t>11.</w:t>
      </w:r>
      <w:r w:rsidRPr="00552547">
        <w:rPr>
          <w:rFonts w:ascii="Times New Roman" w:hAnsi="Times New Roman"/>
          <w:sz w:val="24"/>
          <w:szCs w:val="24"/>
        </w:rPr>
        <w:tab/>
      </w:r>
      <w:r w:rsidRPr="00552547">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552547">
        <w:rPr>
          <w:rFonts w:ascii="Times New Roman" w:hAnsi="Times New Roman"/>
          <w:sz w:val="24"/>
          <w:szCs w:val="24"/>
        </w:rPr>
        <w:t>.</w:t>
      </w:r>
    </w:p>
    <w:p w:rsidRPr="00552547" w:rsidR="000F336E" w:rsidP="000F336E" w:rsidRDefault="000F336E" w14:paraId="292FCDAB"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29F1D36B"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information collected does not contain any questions of a sensitive nature such as sexual behavior, religious beliefs, or other matters commonly considered private.</w:t>
      </w:r>
    </w:p>
    <w:p w:rsidR="000F336E" w:rsidP="000F336E" w:rsidRDefault="000F336E" w14:paraId="3D486F7C" w14:textId="77777777">
      <w:pPr>
        <w:rPr>
          <w:rFonts w:ascii="Times New Roman" w:hAnsi="Times New Roman"/>
          <w:sz w:val="24"/>
          <w:szCs w:val="24"/>
        </w:rPr>
      </w:pPr>
    </w:p>
    <w:p w:rsidRPr="00552547" w:rsidR="00245D8A" w:rsidP="000F336E" w:rsidRDefault="00245D8A" w14:paraId="1EE9CA0E" w14:textId="77777777">
      <w:pPr>
        <w:rPr>
          <w:rFonts w:ascii="Times New Roman" w:hAnsi="Times New Roman"/>
          <w:sz w:val="24"/>
          <w:szCs w:val="24"/>
        </w:rPr>
      </w:pPr>
    </w:p>
    <w:p w:rsidRPr="00552547" w:rsidR="004B3438" w:rsidP="000F336E" w:rsidRDefault="000F336E" w14:paraId="09F9450B" w14:textId="77777777">
      <w:pPr>
        <w:tabs>
          <w:tab w:val="left" w:pos="0"/>
          <w:tab w:val="left" w:pos="450"/>
          <w:tab w:val="left" w:pos="4320"/>
          <w:tab w:val="left" w:pos="6480"/>
          <w:tab w:val="left" w:pos="8640"/>
        </w:tabs>
        <w:suppressAutoHyphens/>
        <w:ind w:left="450" w:hanging="450"/>
        <w:rPr>
          <w:rFonts w:ascii="Times New Roman" w:hAnsi="Times New Roman"/>
          <w:color w:val="000000"/>
          <w:sz w:val="24"/>
          <w:szCs w:val="24"/>
        </w:rPr>
      </w:pPr>
      <w:r w:rsidRPr="00552547">
        <w:rPr>
          <w:rFonts w:ascii="Times New Roman" w:hAnsi="Times New Roman"/>
          <w:sz w:val="24"/>
          <w:szCs w:val="24"/>
        </w:rPr>
        <w:t>12.</w:t>
      </w:r>
      <w:r w:rsidRPr="00552547">
        <w:rPr>
          <w:rFonts w:ascii="Times New Roman" w:hAnsi="Times New Roman"/>
          <w:sz w:val="24"/>
          <w:szCs w:val="24"/>
        </w:rPr>
        <w:tab/>
      </w:r>
      <w:r w:rsidRPr="00552547">
        <w:rPr>
          <w:rFonts w:ascii="Times New Roman" w:hAnsi="Times New Roman"/>
          <w:sz w:val="24"/>
          <w:szCs w:val="24"/>
          <w:u w:val="single"/>
        </w:rPr>
        <w:t>Provide estimates of the hour burden of the collection of information</w:t>
      </w:r>
      <w:r w:rsidRPr="00552547">
        <w:rPr>
          <w:rFonts w:ascii="Times New Roman" w:hAnsi="Times New Roman"/>
          <w:sz w:val="24"/>
          <w:szCs w:val="24"/>
        </w:rPr>
        <w:t>.</w:t>
      </w:r>
    </w:p>
    <w:p w:rsidRPr="00D34F1D" w:rsidR="00D34F1D" w:rsidP="00D34F1D" w:rsidRDefault="00D34F1D" w14:paraId="3ADA7530" w14:textId="77777777">
      <w:pPr>
        <w:rPr>
          <w:rFonts w:ascii="Times New Roman" w:hAnsi="Times New Roman"/>
          <w:sz w:val="24"/>
          <w:szCs w:val="24"/>
        </w:rPr>
      </w:pPr>
    </w:p>
    <w:p w:rsidR="00D34F1D" w:rsidP="00D34F1D" w:rsidRDefault="00D34F1D" w14:paraId="69CE8322" w14:textId="77777777">
      <w:pPr>
        <w:rPr>
          <w:szCs w:val="24"/>
        </w:rPr>
      </w:pPr>
      <w:r w:rsidRPr="00D34F1D">
        <w:rPr>
          <w:rFonts w:ascii="Times New Roman" w:hAnsi="Times New Roman"/>
          <w:sz w:val="24"/>
          <w:szCs w:val="24"/>
        </w:rPr>
        <w:t>See separate spreadsheet for breakdown of burden.</w:t>
      </w:r>
    </w:p>
    <w:p w:rsidRPr="00D34F1D" w:rsidR="00D34F1D" w:rsidP="00D34F1D" w:rsidRDefault="00D34F1D" w14:paraId="3289A13E" w14:textId="77777777">
      <w:pPr>
        <w:rPr>
          <w:rFonts w:ascii="Times New Roman" w:hAnsi="Times New Roman"/>
          <w:sz w:val="24"/>
          <w:szCs w:val="24"/>
        </w:rPr>
      </w:pPr>
    </w:p>
    <w:p w:rsidRPr="00D34F1D" w:rsidR="00D34F1D" w:rsidP="00D34F1D" w:rsidRDefault="002C37A3" w14:paraId="64FBA4F5" w14:textId="436E9F56">
      <w:pPr>
        <w:rPr>
          <w:rFonts w:ascii="Times New Roman" w:hAnsi="Times New Roman"/>
          <w:sz w:val="24"/>
          <w:szCs w:val="24"/>
        </w:rPr>
      </w:pPr>
      <w:r w:rsidRPr="00955755">
        <w:rPr>
          <w:rFonts w:ascii="Times New Roman" w:hAnsi="Times New Roman"/>
          <w:sz w:val="24"/>
          <w:szCs w:val="24"/>
        </w:rPr>
        <w:t xml:space="preserve">The average yearly burden (based on </w:t>
      </w:r>
      <w:r w:rsidRPr="00955755" w:rsidR="00A244B2">
        <w:rPr>
          <w:rFonts w:ascii="Times New Roman" w:hAnsi="Times New Roman"/>
          <w:sz w:val="24"/>
          <w:szCs w:val="24"/>
        </w:rPr>
        <w:t>three-year</w:t>
      </w:r>
      <w:r w:rsidRPr="00955755">
        <w:rPr>
          <w:rFonts w:ascii="Times New Roman" w:hAnsi="Times New Roman"/>
          <w:sz w:val="24"/>
          <w:szCs w:val="24"/>
        </w:rPr>
        <w:t xml:space="preserve"> estimates) for t</w:t>
      </w:r>
      <w:r w:rsidRPr="00955755" w:rsidR="00D34F1D">
        <w:rPr>
          <w:rFonts w:ascii="Times New Roman" w:hAnsi="Times New Roman"/>
          <w:sz w:val="24"/>
          <w:szCs w:val="24"/>
        </w:rPr>
        <w:t xml:space="preserve">his package </w:t>
      </w:r>
      <w:r w:rsidRPr="00955755">
        <w:rPr>
          <w:rFonts w:ascii="Times New Roman" w:hAnsi="Times New Roman"/>
          <w:sz w:val="24"/>
          <w:szCs w:val="24"/>
        </w:rPr>
        <w:t>i</w:t>
      </w:r>
      <w:r w:rsidRPr="00955755" w:rsidR="00D34F1D">
        <w:rPr>
          <w:rFonts w:ascii="Times New Roman" w:hAnsi="Times New Roman"/>
          <w:sz w:val="24"/>
          <w:szCs w:val="24"/>
        </w:rPr>
        <w:t xml:space="preserve">s </w:t>
      </w:r>
      <w:r w:rsidR="00A86686">
        <w:rPr>
          <w:rFonts w:ascii="Times New Roman" w:hAnsi="Times New Roman"/>
          <w:sz w:val="24"/>
          <w:szCs w:val="24"/>
        </w:rPr>
        <w:t>8,005</w:t>
      </w:r>
      <w:r w:rsidR="00E03EBD">
        <w:rPr>
          <w:rFonts w:ascii="Times New Roman" w:hAnsi="Times New Roman"/>
          <w:sz w:val="24"/>
          <w:szCs w:val="24"/>
        </w:rPr>
        <w:t>2</w:t>
      </w:r>
      <w:r w:rsidRPr="00955755" w:rsidR="00145B00">
        <w:rPr>
          <w:rFonts w:ascii="Times New Roman" w:hAnsi="Times New Roman"/>
          <w:sz w:val="24"/>
          <w:szCs w:val="24"/>
        </w:rPr>
        <w:t xml:space="preserve"> </w:t>
      </w:r>
      <w:r w:rsidRPr="00955755" w:rsidR="00D34F1D">
        <w:rPr>
          <w:rFonts w:ascii="Times New Roman" w:hAnsi="Times New Roman"/>
          <w:sz w:val="24"/>
          <w:szCs w:val="24"/>
        </w:rPr>
        <w:t xml:space="preserve">hours of burden and </w:t>
      </w:r>
      <w:r w:rsidR="00A86686">
        <w:rPr>
          <w:rFonts w:ascii="Times New Roman" w:hAnsi="Times New Roman"/>
          <w:sz w:val="24"/>
          <w:szCs w:val="24"/>
        </w:rPr>
        <w:t>312</w:t>
      </w:r>
      <w:r w:rsidRPr="00955755" w:rsidR="00145B00">
        <w:rPr>
          <w:rFonts w:ascii="Times New Roman" w:hAnsi="Times New Roman"/>
          <w:sz w:val="24"/>
          <w:szCs w:val="24"/>
        </w:rPr>
        <w:t xml:space="preserve"> </w:t>
      </w:r>
      <w:r w:rsidRPr="00955755" w:rsidR="00D34F1D">
        <w:rPr>
          <w:rFonts w:ascii="Times New Roman" w:hAnsi="Times New Roman"/>
          <w:sz w:val="24"/>
          <w:szCs w:val="24"/>
        </w:rPr>
        <w:t>responses. </w:t>
      </w:r>
      <w:r w:rsidRPr="00955755" w:rsidR="00037168">
        <w:rPr>
          <w:rFonts w:ascii="Times New Roman" w:hAnsi="Times New Roman"/>
          <w:sz w:val="24"/>
          <w:szCs w:val="24"/>
        </w:rPr>
        <w:t xml:space="preserve"> This is based on a yearly average of </w:t>
      </w:r>
      <w:r w:rsidRPr="00955755" w:rsidR="00DF6E96">
        <w:rPr>
          <w:rFonts w:ascii="Times New Roman" w:hAnsi="Times New Roman"/>
          <w:sz w:val="24"/>
          <w:szCs w:val="24"/>
        </w:rPr>
        <w:t>9</w:t>
      </w:r>
      <w:r w:rsidRPr="00955755" w:rsidR="00037168">
        <w:rPr>
          <w:rFonts w:ascii="Times New Roman" w:hAnsi="Times New Roman"/>
          <w:sz w:val="24"/>
          <w:szCs w:val="24"/>
        </w:rPr>
        <w:t xml:space="preserve"> applicants and </w:t>
      </w:r>
      <w:r w:rsidRPr="00955755" w:rsidR="00DF6E96">
        <w:rPr>
          <w:rFonts w:ascii="Times New Roman" w:hAnsi="Times New Roman"/>
          <w:sz w:val="24"/>
          <w:szCs w:val="24"/>
        </w:rPr>
        <w:t>2</w:t>
      </w:r>
      <w:r w:rsidRPr="00955755" w:rsidR="00037168">
        <w:rPr>
          <w:rFonts w:ascii="Times New Roman" w:hAnsi="Times New Roman"/>
          <w:sz w:val="24"/>
          <w:szCs w:val="24"/>
        </w:rPr>
        <w:t xml:space="preserve"> awardees.</w:t>
      </w:r>
    </w:p>
    <w:p w:rsidRPr="00D34F1D" w:rsidR="00D34F1D" w:rsidP="00D34F1D" w:rsidRDefault="00D34F1D" w14:paraId="24F43840" w14:textId="77777777">
      <w:pPr>
        <w:rPr>
          <w:rFonts w:ascii="Times New Roman" w:hAnsi="Times New Roman"/>
          <w:sz w:val="24"/>
          <w:szCs w:val="24"/>
        </w:rPr>
      </w:pPr>
    </w:p>
    <w:p w:rsidR="00D34F1D" w:rsidP="00D34F1D" w:rsidRDefault="00D34F1D" w14:paraId="481EC2A5" w14:textId="77777777">
      <w:pPr>
        <w:rPr>
          <w:rFonts w:ascii="Times New Roman" w:hAnsi="Times New Roman"/>
          <w:sz w:val="24"/>
          <w:szCs w:val="24"/>
        </w:rPr>
      </w:pPr>
      <w:r w:rsidRPr="00D34F1D">
        <w:rPr>
          <w:rFonts w:ascii="Times New Roman" w:hAnsi="Times New Roman"/>
          <w:sz w:val="24"/>
          <w:szCs w:val="24"/>
        </w:rPr>
        <w:t xml:space="preserve">The number of applicants </w:t>
      </w:r>
      <w:r w:rsidR="00037168">
        <w:rPr>
          <w:rFonts w:ascii="Times New Roman" w:hAnsi="Times New Roman"/>
          <w:sz w:val="24"/>
          <w:szCs w:val="24"/>
        </w:rPr>
        <w:t xml:space="preserve">was based </w:t>
      </w:r>
      <w:r w:rsidR="00DF6E96">
        <w:rPr>
          <w:rFonts w:ascii="Times New Roman" w:hAnsi="Times New Roman"/>
          <w:sz w:val="24"/>
          <w:szCs w:val="24"/>
        </w:rPr>
        <w:t xml:space="preserve">on the average annual applications received for the previous three fiscal years. </w:t>
      </w:r>
    </w:p>
    <w:p w:rsidR="00DF6E96" w:rsidP="00D34F1D" w:rsidRDefault="00DF6E96" w14:paraId="5F1E1426" w14:textId="77777777">
      <w:pPr>
        <w:rPr>
          <w:rFonts w:ascii="Times New Roman" w:hAnsi="Times New Roman"/>
          <w:sz w:val="24"/>
          <w:szCs w:val="24"/>
        </w:rPr>
      </w:pPr>
    </w:p>
    <w:p w:rsidR="00D34F1D" w:rsidP="00D34F1D" w:rsidRDefault="0050150F" w14:paraId="1FF7D856" w14:textId="05E37BE4">
      <w:pPr>
        <w:rPr>
          <w:rFonts w:ascii="Times New Roman" w:hAnsi="Times New Roman"/>
          <w:sz w:val="24"/>
          <w:szCs w:val="24"/>
        </w:rPr>
      </w:pPr>
      <w:r>
        <w:rPr>
          <w:rFonts w:ascii="Times New Roman" w:hAnsi="Times New Roman"/>
          <w:sz w:val="24"/>
          <w:szCs w:val="24"/>
        </w:rPr>
        <w:t>The annual cost to the respondents is $</w:t>
      </w:r>
      <w:r w:rsidR="00A86686">
        <w:rPr>
          <w:rFonts w:ascii="Times New Roman" w:hAnsi="Times New Roman"/>
          <w:sz w:val="24"/>
          <w:szCs w:val="24"/>
        </w:rPr>
        <w:t>396,683</w:t>
      </w:r>
      <w:r>
        <w:rPr>
          <w:rFonts w:ascii="Times New Roman" w:hAnsi="Times New Roman"/>
          <w:sz w:val="24"/>
          <w:szCs w:val="24"/>
        </w:rPr>
        <w:t xml:space="preserve">.  </w:t>
      </w:r>
      <w:r w:rsidRPr="009C10E0" w:rsidR="009C10E0">
        <w:rPr>
          <w:rFonts w:ascii="Times New Roman" w:hAnsi="Times New Roman"/>
          <w:sz w:val="24"/>
          <w:szCs w:val="24"/>
        </w:rPr>
        <w:t>The</w:t>
      </w:r>
      <w:r w:rsidR="00000EE2">
        <w:rPr>
          <w:rFonts w:ascii="Times New Roman" w:hAnsi="Times New Roman"/>
          <w:sz w:val="24"/>
          <w:szCs w:val="24"/>
        </w:rPr>
        <w:t xml:space="preserve">re are three primary occupation classes needed to complete application and supporting documentation. </w:t>
      </w:r>
      <w:proofErr w:type="gramStart"/>
      <w:r w:rsidR="00000EE2">
        <w:rPr>
          <w:rFonts w:ascii="Times New Roman" w:hAnsi="Times New Roman"/>
          <w:sz w:val="24"/>
          <w:szCs w:val="24"/>
        </w:rPr>
        <w:t>The</w:t>
      </w:r>
      <w:r w:rsidR="00C25945">
        <w:rPr>
          <w:rFonts w:ascii="Times New Roman" w:hAnsi="Times New Roman"/>
          <w:sz w:val="24"/>
          <w:szCs w:val="24"/>
        </w:rPr>
        <w:t xml:space="preserve"> majority of</w:t>
      </w:r>
      <w:proofErr w:type="gramEnd"/>
      <w:r w:rsidR="00C25945">
        <w:rPr>
          <w:rFonts w:ascii="Times New Roman" w:hAnsi="Times New Roman"/>
          <w:sz w:val="24"/>
          <w:szCs w:val="24"/>
        </w:rPr>
        <w:t xml:space="preserve"> the application and servicing tasks will be completed by representatives </w:t>
      </w:r>
      <w:r w:rsidRPr="009C10E0" w:rsidR="009C10E0">
        <w:rPr>
          <w:rFonts w:ascii="Times New Roman" w:hAnsi="Times New Roman"/>
          <w:sz w:val="24"/>
          <w:szCs w:val="24"/>
        </w:rPr>
        <w:t>of either the Borrower or the Lender (such as packaging the application, producing financial statements, financial/credit analysis, appraisals, producing reports, etc.)</w:t>
      </w:r>
      <w:r w:rsidR="00242E28">
        <w:rPr>
          <w:rFonts w:ascii="Times New Roman" w:hAnsi="Times New Roman"/>
          <w:sz w:val="24"/>
          <w:szCs w:val="24"/>
        </w:rPr>
        <w:t>.</w:t>
      </w:r>
      <w:r w:rsidR="00C25945">
        <w:rPr>
          <w:rFonts w:ascii="Times New Roman" w:hAnsi="Times New Roman"/>
          <w:sz w:val="24"/>
          <w:szCs w:val="24"/>
        </w:rPr>
        <w:t xml:space="preserve"> For this reason</w:t>
      </w:r>
      <w:r w:rsidR="00242E28">
        <w:rPr>
          <w:rFonts w:ascii="Times New Roman" w:hAnsi="Times New Roman"/>
          <w:sz w:val="24"/>
          <w:szCs w:val="24"/>
        </w:rPr>
        <w:t>,</w:t>
      </w:r>
      <w:r w:rsidR="00C25945">
        <w:rPr>
          <w:rFonts w:ascii="Times New Roman" w:hAnsi="Times New Roman"/>
          <w:sz w:val="24"/>
          <w:szCs w:val="24"/>
        </w:rPr>
        <w:t xml:space="preserve"> the Business and Financial Operations (Major Group</w:t>
      </w:r>
      <w:r w:rsidR="00F91241">
        <w:rPr>
          <w:rFonts w:ascii="Times New Roman" w:hAnsi="Times New Roman"/>
          <w:sz w:val="24"/>
          <w:szCs w:val="24"/>
        </w:rPr>
        <w:t xml:space="preserve"> – 13-0000</w:t>
      </w:r>
      <w:r w:rsidR="00C25945">
        <w:rPr>
          <w:rFonts w:ascii="Times New Roman" w:hAnsi="Times New Roman"/>
          <w:sz w:val="24"/>
          <w:szCs w:val="24"/>
        </w:rPr>
        <w:t>) was used</w:t>
      </w:r>
      <w:r w:rsidR="00000EE2">
        <w:rPr>
          <w:rFonts w:ascii="Times New Roman" w:hAnsi="Times New Roman"/>
          <w:sz w:val="24"/>
          <w:szCs w:val="24"/>
        </w:rPr>
        <w:t xml:space="preserve">. </w:t>
      </w:r>
      <w:r w:rsidR="00C25945">
        <w:rPr>
          <w:rFonts w:ascii="Times New Roman" w:hAnsi="Times New Roman"/>
          <w:sz w:val="24"/>
          <w:szCs w:val="24"/>
        </w:rPr>
        <w:t>This broad grouping includes a variety of applicable occupations and includes the following</w:t>
      </w:r>
      <w:r w:rsidRPr="009C10E0" w:rsidR="009C10E0">
        <w:rPr>
          <w:rFonts w:ascii="Times New Roman" w:hAnsi="Times New Roman"/>
          <w:sz w:val="24"/>
          <w:szCs w:val="24"/>
        </w:rPr>
        <w:t>:  Financial Specialists, Appraisers and Assessors of Real Estate,</w:t>
      </w:r>
      <w:r w:rsidR="00C25945">
        <w:rPr>
          <w:rFonts w:ascii="Times New Roman" w:hAnsi="Times New Roman"/>
          <w:sz w:val="24"/>
          <w:szCs w:val="24"/>
        </w:rPr>
        <w:t xml:space="preserve"> Market Research Analysts,</w:t>
      </w:r>
      <w:r w:rsidRPr="009C10E0" w:rsidR="009C10E0">
        <w:rPr>
          <w:rFonts w:ascii="Times New Roman" w:hAnsi="Times New Roman"/>
          <w:sz w:val="24"/>
          <w:szCs w:val="24"/>
        </w:rPr>
        <w:t xml:space="preserve"> Budget Analysts,</w:t>
      </w:r>
      <w:r w:rsidR="00C25945">
        <w:rPr>
          <w:rFonts w:ascii="Times New Roman" w:hAnsi="Times New Roman"/>
          <w:sz w:val="24"/>
          <w:szCs w:val="24"/>
        </w:rPr>
        <w:t xml:space="preserve"> Accountants and Auditors,</w:t>
      </w:r>
      <w:r w:rsidRPr="009C10E0" w:rsidR="009C10E0">
        <w:rPr>
          <w:rFonts w:ascii="Times New Roman" w:hAnsi="Times New Roman"/>
          <w:sz w:val="24"/>
          <w:szCs w:val="24"/>
        </w:rPr>
        <w:t xml:space="preserve"> Credit Analysts, Financial Analysts and Advisors, Financial Analysts, Financial Examiners, and Credit Counselors and Loan Officers.  </w:t>
      </w:r>
      <w:r w:rsidR="00144334">
        <w:rPr>
          <w:rFonts w:ascii="Times New Roman" w:hAnsi="Times New Roman"/>
          <w:sz w:val="24"/>
          <w:szCs w:val="24"/>
        </w:rPr>
        <w:t xml:space="preserve"> Specialty task</w:t>
      </w:r>
      <w:r w:rsidR="00242E28">
        <w:rPr>
          <w:rFonts w:ascii="Times New Roman" w:hAnsi="Times New Roman"/>
          <w:sz w:val="24"/>
          <w:szCs w:val="24"/>
        </w:rPr>
        <w:t>s</w:t>
      </w:r>
      <w:r w:rsidR="00144334">
        <w:rPr>
          <w:rFonts w:ascii="Times New Roman" w:hAnsi="Times New Roman"/>
          <w:sz w:val="24"/>
          <w:szCs w:val="24"/>
        </w:rPr>
        <w:t xml:space="preserve"> will normally be completed by </w:t>
      </w:r>
      <w:r w:rsidRPr="009C10E0" w:rsidR="009C10E0">
        <w:rPr>
          <w:rFonts w:ascii="Times New Roman" w:hAnsi="Times New Roman"/>
          <w:sz w:val="24"/>
          <w:szCs w:val="24"/>
        </w:rPr>
        <w:t>Lawyers</w:t>
      </w:r>
      <w:r w:rsidR="00242E28">
        <w:rPr>
          <w:rFonts w:ascii="Times New Roman" w:hAnsi="Times New Roman"/>
          <w:sz w:val="24"/>
          <w:szCs w:val="24"/>
        </w:rPr>
        <w:t>-23-1011</w:t>
      </w:r>
      <w:r w:rsidRPr="009C10E0" w:rsidR="009C10E0">
        <w:rPr>
          <w:rFonts w:ascii="Times New Roman" w:hAnsi="Times New Roman"/>
          <w:sz w:val="24"/>
          <w:szCs w:val="24"/>
        </w:rPr>
        <w:t xml:space="preserve"> </w:t>
      </w:r>
      <w:r w:rsidR="00694E5F">
        <w:rPr>
          <w:rFonts w:ascii="Times New Roman" w:hAnsi="Times New Roman"/>
          <w:sz w:val="24"/>
          <w:szCs w:val="24"/>
        </w:rPr>
        <w:t xml:space="preserve">(appeals and legal opinion) </w:t>
      </w:r>
      <w:r w:rsidRPr="009C10E0" w:rsidR="009C10E0">
        <w:rPr>
          <w:rFonts w:ascii="Times New Roman" w:hAnsi="Times New Roman"/>
          <w:sz w:val="24"/>
          <w:szCs w:val="24"/>
        </w:rPr>
        <w:t>and Engineers</w:t>
      </w:r>
      <w:r w:rsidR="00242E28">
        <w:rPr>
          <w:rFonts w:ascii="Times New Roman" w:hAnsi="Times New Roman"/>
          <w:sz w:val="24"/>
          <w:szCs w:val="24"/>
        </w:rPr>
        <w:t>-17-2000</w:t>
      </w:r>
      <w:r w:rsidR="00694E5F">
        <w:rPr>
          <w:rFonts w:ascii="Times New Roman" w:hAnsi="Times New Roman"/>
          <w:sz w:val="24"/>
          <w:szCs w:val="24"/>
        </w:rPr>
        <w:t xml:space="preserve"> (technical assessment)</w:t>
      </w:r>
      <w:r w:rsidR="00144334">
        <w:rPr>
          <w:rFonts w:ascii="Times New Roman" w:hAnsi="Times New Roman"/>
          <w:sz w:val="24"/>
          <w:szCs w:val="24"/>
        </w:rPr>
        <w:t xml:space="preserve">.  </w:t>
      </w:r>
      <w:r w:rsidR="00000EE2">
        <w:rPr>
          <w:rFonts w:ascii="Times New Roman" w:hAnsi="Times New Roman"/>
          <w:sz w:val="24"/>
          <w:szCs w:val="24"/>
        </w:rPr>
        <w:t xml:space="preserve"> </w:t>
      </w:r>
      <w:r w:rsidR="00242E28">
        <w:rPr>
          <w:rFonts w:ascii="Times New Roman" w:hAnsi="Times New Roman"/>
          <w:sz w:val="24"/>
          <w:szCs w:val="24"/>
        </w:rPr>
        <w:t xml:space="preserve">For each occupation, the median wage rate was used </w:t>
      </w:r>
      <w:r w:rsidR="00C23D9B">
        <w:rPr>
          <w:rFonts w:ascii="Times New Roman" w:hAnsi="Times New Roman"/>
          <w:sz w:val="24"/>
          <w:szCs w:val="24"/>
        </w:rPr>
        <w:t>as the base wage</w:t>
      </w:r>
      <w:r w:rsidR="00242E28">
        <w:rPr>
          <w:rFonts w:ascii="Times New Roman" w:hAnsi="Times New Roman"/>
          <w:sz w:val="24"/>
          <w:szCs w:val="24"/>
        </w:rPr>
        <w:t xml:space="preserve">.  </w:t>
      </w:r>
      <w:r w:rsidR="00000EE2">
        <w:rPr>
          <w:rFonts w:ascii="Times New Roman" w:hAnsi="Times New Roman"/>
          <w:sz w:val="24"/>
          <w:szCs w:val="24"/>
        </w:rPr>
        <w:t>Each wage was accesse</w:t>
      </w:r>
      <w:r w:rsidR="00DD227E">
        <w:rPr>
          <w:rFonts w:ascii="Times New Roman" w:hAnsi="Times New Roman"/>
          <w:sz w:val="24"/>
          <w:szCs w:val="24"/>
        </w:rPr>
        <w:t>d</w:t>
      </w:r>
      <w:r w:rsidR="00000EE2">
        <w:rPr>
          <w:rFonts w:ascii="Times New Roman" w:hAnsi="Times New Roman"/>
          <w:sz w:val="24"/>
          <w:szCs w:val="24"/>
        </w:rPr>
        <w:t xml:space="preserve"> an additional </w:t>
      </w:r>
      <w:r w:rsidR="00C23D9B">
        <w:rPr>
          <w:rFonts w:ascii="Times New Roman" w:hAnsi="Times New Roman"/>
          <w:sz w:val="24"/>
          <w:szCs w:val="24"/>
        </w:rPr>
        <w:t>29.</w:t>
      </w:r>
      <w:r w:rsidR="008313B1">
        <w:rPr>
          <w:rFonts w:ascii="Times New Roman" w:hAnsi="Times New Roman"/>
          <w:sz w:val="24"/>
          <w:szCs w:val="24"/>
        </w:rPr>
        <w:t>6</w:t>
      </w:r>
      <w:r w:rsidR="00000EE2">
        <w:rPr>
          <w:rFonts w:ascii="Times New Roman" w:hAnsi="Times New Roman"/>
          <w:sz w:val="24"/>
          <w:szCs w:val="24"/>
        </w:rPr>
        <w:t xml:space="preserve"> percent for benefits. The total wage amounts are listed below. </w:t>
      </w:r>
    </w:p>
    <w:p w:rsidR="00000EE2" w:rsidP="00D34F1D" w:rsidRDefault="00000EE2" w14:paraId="02332F9E" w14:textId="77777777">
      <w:pPr>
        <w:rPr>
          <w:rFonts w:ascii="Times New Roman" w:hAnsi="Times New Roman"/>
          <w:sz w:val="24"/>
          <w:szCs w:val="24"/>
        </w:rPr>
      </w:pPr>
    </w:p>
    <w:p w:rsidR="00DD227E" w:rsidP="00137DB2" w:rsidRDefault="00DD227E" w14:paraId="00B661BF" w14:textId="77777777">
      <w:pPr>
        <w:jc w:val="center"/>
        <w:rPr>
          <w:rFonts w:ascii="Times New Roman" w:hAnsi="Times New Roman"/>
          <w:sz w:val="24"/>
          <w:szCs w:val="24"/>
        </w:rPr>
      </w:pPr>
      <w:r>
        <w:rPr>
          <w:rFonts w:ascii="Times New Roman" w:hAnsi="Times New Roman"/>
          <w:sz w:val="24"/>
          <w:szCs w:val="24"/>
        </w:rPr>
        <w:t>Table 1</w:t>
      </w:r>
      <w:r w:rsidR="00137DB2">
        <w:rPr>
          <w:rFonts w:ascii="Times New Roman" w:hAnsi="Times New Roman"/>
          <w:sz w:val="24"/>
          <w:szCs w:val="24"/>
        </w:rPr>
        <w:t xml:space="preserve">. </w:t>
      </w:r>
      <w:r>
        <w:rPr>
          <w:rFonts w:ascii="Times New Roman" w:hAnsi="Times New Roman"/>
          <w:sz w:val="24"/>
          <w:szCs w:val="24"/>
        </w:rPr>
        <w:t>Wages by Occupation</w:t>
      </w:r>
    </w:p>
    <w:p w:rsidR="00137DB2" w:rsidP="00137DB2" w:rsidRDefault="00137DB2" w14:paraId="6FD08958" w14:textId="77777777">
      <w:pPr>
        <w:jc w:val="center"/>
        <w:rPr>
          <w:rFonts w:ascii="Times New Roman" w:hAnsi="Times New Roman"/>
          <w:sz w:val="24"/>
          <w:szCs w:val="24"/>
        </w:rPr>
      </w:pPr>
    </w:p>
    <w:tbl>
      <w:tblPr>
        <w:tblW w:w="9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0"/>
        <w:gridCol w:w="2708"/>
        <w:gridCol w:w="1710"/>
        <w:gridCol w:w="1806"/>
      </w:tblGrid>
      <w:tr w:rsidRPr="005F656A" w:rsidR="00000EE2" w:rsidTr="005F656A" w14:paraId="6A16FEC7" w14:textId="77777777">
        <w:trPr>
          <w:trHeight w:val="342"/>
        </w:trPr>
        <w:tc>
          <w:tcPr>
            <w:tcW w:w="3340" w:type="dxa"/>
            <w:shd w:val="clear" w:color="auto" w:fill="auto"/>
            <w:noWrap/>
            <w:hideMark/>
          </w:tcPr>
          <w:p w:rsidRPr="005F656A" w:rsidR="00000EE2" w:rsidP="005F656A" w:rsidRDefault="00000EE2" w14:paraId="2E31E535" w14:textId="77777777">
            <w:pPr>
              <w:jc w:val="center"/>
              <w:rPr>
                <w:rFonts w:ascii="Times New Roman" w:hAnsi="Times New Roman"/>
                <w:b/>
                <w:bCs/>
                <w:sz w:val="22"/>
                <w:szCs w:val="22"/>
              </w:rPr>
            </w:pPr>
            <w:r w:rsidRPr="005F656A">
              <w:rPr>
                <w:rFonts w:ascii="Times New Roman" w:hAnsi="Times New Roman"/>
                <w:b/>
                <w:bCs/>
                <w:sz w:val="22"/>
                <w:szCs w:val="22"/>
              </w:rPr>
              <w:t>Occupation</w:t>
            </w:r>
            <w:r w:rsidRPr="005F656A" w:rsidR="00DD227E">
              <w:rPr>
                <w:rFonts w:ascii="Times New Roman" w:hAnsi="Times New Roman"/>
                <w:b/>
                <w:bCs/>
                <w:sz w:val="22"/>
                <w:szCs w:val="22"/>
              </w:rPr>
              <w:t xml:space="preserve"> Class</w:t>
            </w:r>
          </w:p>
        </w:tc>
        <w:tc>
          <w:tcPr>
            <w:tcW w:w="2708" w:type="dxa"/>
            <w:shd w:val="clear" w:color="auto" w:fill="auto"/>
            <w:noWrap/>
            <w:hideMark/>
          </w:tcPr>
          <w:p w:rsidRPr="005F656A" w:rsidR="00000EE2" w:rsidP="005F656A" w:rsidRDefault="00000EE2" w14:paraId="4B32ECCF" w14:textId="77777777">
            <w:pPr>
              <w:jc w:val="center"/>
              <w:rPr>
                <w:rFonts w:ascii="Times New Roman" w:hAnsi="Times New Roman"/>
                <w:b/>
                <w:sz w:val="22"/>
                <w:szCs w:val="22"/>
              </w:rPr>
            </w:pPr>
            <w:r w:rsidRPr="005F656A">
              <w:rPr>
                <w:rFonts w:ascii="Times New Roman" w:hAnsi="Times New Roman"/>
                <w:b/>
                <w:sz w:val="22"/>
                <w:szCs w:val="22"/>
              </w:rPr>
              <w:t>Me</w:t>
            </w:r>
            <w:r w:rsidR="00C23D9B">
              <w:rPr>
                <w:rFonts w:ascii="Times New Roman" w:hAnsi="Times New Roman"/>
                <w:b/>
                <w:sz w:val="22"/>
                <w:szCs w:val="22"/>
              </w:rPr>
              <w:t>di</w:t>
            </w:r>
            <w:r w:rsidRPr="005F656A">
              <w:rPr>
                <w:rFonts w:ascii="Times New Roman" w:hAnsi="Times New Roman"/>
                <w:b/>
                <w:sz w:val="22"/>
                <w:szCs w:val="22"/>
              </w:rPr>
              <w:t>an Wage (HR) – Base</w:t>
            </w:r>
          </w:p>
        </w:tc>
        <w:tc>
          <w:tcPr>
            <w:tcW w:w="1710" w:type="dxa"/>
            <w:shd w:val="clear" w:color="auto" w:fill="auto"/>
            <w:noWrap/>
            <w:hideMark/>
          </w:tcPr>
          <w:p w:rsidRPr="005F656A" w:rsidR="00000EE2" w:rsidP="005F656A" w:rsidRDefault="00000EE2" w14:paraId="7BB390C5" w14:textId="74A156E2">
            <w:pPr>
              <w:jc w:val="center"/>
              <w:rPr>
                <w:rFonts w:ascii="Times New Roman" w:hAnsi="Times New Roman"/>
                <w:b/>
                <w:sz w:val="22"/>
                <w:szCs w:val="22"/>
              </w:rPr>
            </w:pPr>
            <w:r w:rsidRPr="005F656A">
              <w:rPr>
                <w:rFonts w:ascii="Times New Roman" w:hAnsi="Times New Roman"/>
                <w:b/>
                <w:sz w:val="22"/>
                <w:szCs w:val="22"/>
              </w:rPr>
              <w:t>Benefits</w:t>
            </w:r>
            <w:r w:rsidRPr="005F656A" w:rsidR="00F83CEA">
              <w:rPr>
                <w:rFonts w:ascii="Times New Roman" w:hAnsi="Times New Roman"/>
                <w:b/>
                <w:sz w:val="22"/>
                <w:szCs w:val="22"/>
              </w:rPr>
              <w:t xml:space="preserve"> (</w:t>
            </w:r>
            <w:r w:rsidR="00F91241">
              <w:rPr>
                <w:rFonts w:ascii="Times New Roman" w:hAnsi="Times New Roman"/>
                <w:b/>
                <w:sz w:val="22"/>
                <w:szCs w:val="22"/>
              </w:rPr>
              <w:t>29.</w:t>
            </w:r>
            <w:r w:rsidR="008313B1">
              <w:rPr>
                <w:rFonts w:ascii="Times New Roman" w:hAnsi="Times New Roman"/>
                <w:b/>
                <w:sz w:val="22"/>
                <w:szCs w:val="22"/>
              </w:rPr>
              <w:t>6</w:t>
            </w:r>
            <w:r w:rsidRPr="005F656A" w:rsidR="00F83CEA">
              <w:rPr>
                <w:rFonts w:ascii="Times New Roman" w:hAnsi="Times New Roman"/>
                <w:b/>
                <w:sz w:val="22"/>
                <w:szCs w:val="22"/>
              </w:rPr>
              <w:t>%)</w:t>
            </w:r>
          </w:p>
        </w:tc>
        <w:tc>
          <w:tcPr>
            <w:tcW w:w="1806" w:type="dxa"/>
            <w:shd w:val="clear" w:color="auto" w:fill="auto"/>
            <w:noWrap/>
            <w:hideMark/>
          </w:tcPr>
          <w:p w:rsidRPr="005F656A" w:rsidR="00000EE2" w:rsidP="005F656A" w:rsidRDefault="00000EE2" w14:paraId="32C5D206" w14:textId="77777777">
            <w:pPr>
              <w:jc w:val="center"/>
              <w:rPr>
                <w:rFonts w:ascii="Times New Roman" w:hAnsi="Times New Roman"/>
                <w:b/>
                <w:bCs/>
                <w:sz w:val="22"/>
                <w:szCs w:val="22"/>
              </w:rPr>
            </w:pPr>
            <w:r w:rsidRPr="005F656A">
              <w:rPr>
                <w:rFonts w:ascii="Times New Roman" w:hAnsi="Times New Roman"/>
                <w:b/>
                <w:bCs/>
                <w:sz w:val="22"/>
                <w:szCs w:val="22"/>
              </w:rPr>
              <w:t>Total</w:t>
            </w:r>
          </w:p>
        </w:tc>
      </w:tr>
      <w:tr w:rsidRPr="005F656A" w:rsidR="00000EE2" w:rsidTr="005F656A" w14:paraId="2886B3BE" w14:textId="77777777">
        <w:trPr>
          <w:trHeight w:val="342"/>
        </w:trPr>
        <w:tc>
          <w:tcPr>
            <w:tcW w:w="3340" w:type="dxa"/>
            <w:shd w:val="clear" w:color="auto" w:fill="auto"/>
            <w:noWrap/>
            <w:hideMark/>
          </w:tcPr>
          <w:p w:rsidRPr="005F656A" w:rsidR="00000EE2" w:rsidRDefault="00000EE2" w14:paraId="0F3906E4" w14:textId="60886A18">
            <w:pPr>
              <w:rPr>
                <w:rFonts w:ascii="Times New Roman" w:hAnsi="Times New Roman"/>
                <w:sz w:val="22"/>
                <w:szCs w:val="22"/>
              </w:rPr>
            </w:pPr>
            <w:r w:rsidRPr="005F656A">
              <w:rPr>
                <w:rFonts w:ascii="Times New Roman" w:hAnsi="Times New Roman"/>
                <w:sz w:val="22"/>
                <w:szCs w:val="22"/>
              </w:rPr>
              <w:t xml:space="preserve">Business/ Financial </w:t>
            </w:r>
            <w:r w:rsidR="008313B1">
              <w:rPr>
                <w:rFonts w:ascii="Times New Roman" w:hAnsi="Times New Roman"/>
                <w:sz w:val="22"/>
                <w:szCs w:val="22"/>
              </w:rPr>
              <w:t>(13-0000)</w:t>
            </w:r>
          </w:p>
        </w:tc>
        <w:tc>
          <w:tcPr>
            <w:tcW w:w="2708" w:type="dxa"/>
            <w:shd w:val="clear" w:color="auto" w:fill="auto"/>
            <w:noWrap/>
            <w:hideMark/>
          </w:tcPr>
          <w:p w:rsidRPr="005F656A" w:rsidR="00000EE2" w:rsidP="005F656A" w:rsidRDefault="00000EE2" w14:paraId="19CA1034"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36.81</w:t>
            </w:r>
          </w:p>
        </w:tc>
        <w:tc>
          <w:tcPr>
            <w:tcW w:w="1710" w:type="dxa"/>
            <w:shd w:val="clear" w:color="auto" w:fill="auto"/>
            <w:noWrap/>
            <w:hideMark/>
          </w:tcPr>
          <w:p w:rsidRPr="005F656A" w:rsidR="00000EE2" w:rsidP="005F656A" w:rsidRDefault="00000EE2" w14:paraId="77DC5748" w14:textId="6C8F1ACE">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10.</w:t>
            </w:r>
            <w:r w:rsidR="008313B1">
              <w:rPr>
                <w:rFonts w:ascii="Times New Roman" w:hAnsi="Times New Roman"/>
                <w:sz w:val="22"/>
                <w:szCs w:val="22"/>
              </w:rPr>
              <w:t>90</w:t>
            </w:r>
          </w:p>
        </w:tc>
        <w:tc>
          <w:tcPr>
            <w:tcW w:w="1806" w:type="dxa"/>
            <w:shd w:val="clear" w:color="auto" w:fill="auto"/>
            <w:noWrap/>
            <w:hideMark/>
          </w:tcPr>
          <w:p w:rsidRPr="005F656A" w:rsidR="00000EE2" w:rsidP="005F656A" w:rsidRDefault="00000EE2" w14:paraId="5B0D4E6E" w14:textId="490430AB">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47.</w:t>
            </w:r>
            <w:r w:rsidR="008313B1">
              <w:rPr>
                <w:rFonts w:ascii="Times New Roman" w:hAnsi="Times New Roman"/>
                <w:sz w:val="22"/>
                <w:szCs w:val="22"/>
              </w:rPr>
              <w:t>71</w:t>
            </w:r>
          </w:p>
        </w:tc>
      </w:tr>
      <w:tr w:rsidRPr="005F656A" w:rsidR="00000EE2" w:rsidTr="005F656A" w14:paraId="14E7019E" w14:textId="77777777">
        <w:trPr>
          <w:trHeight w:val="342"/>
        </w:trPr>
        <w:tc>
          <w:tcPr>
            <w:tcW w:w="3340" w:type="dxa"/>
            <w:shd w:val="clear" w:color="auto" w:fill="auto"/>
            <w:noWrap/>
            <w:hideMark/>
          </w:tcPr>
          <w:p w:rsidRPr="005F656A" w:rsidR="00000EE2" w:rsidRDefault="00000EE2" w14:paraId="52AA5B6F" w14:textId="71B63C39">
            <w:pPr>
              <w:rPr>
                <w:rFonts w:ascii="Times New Roman" w:hAnsi="Times New Roman"/>
                <w:sz w:val="22"/>
                <w:szCs w:val="22"/>
              </w:rPr>
            </w:pPr>
            <w:r w:rsidRPr="005F656A">
              <w:rPr>
                <w:rFonts w:ascii="Times New Roman" w:hAnsi="Times New Roman"/>
                <w:sz w:val="22"/>
                <w:szCs w:val="22"/>
              </w:rPr>
              <w:t>Engineer</w:t>
            </w:r>
            <w:r w:rsidR="00F8475B">
              <w:rPr>
                <w:rFonts w:ascii="Times New Roman" w:hAnsi="Times New Roman"/>
                <w:sz w:val="22"/>
                <w:szCs w:val="22"/>
              </w:rPr>
              <w:t xml:space="preserve"> (17-2000)</w:t>
            </w:r>
          </w:p>
        </w:tc>
        <w:tc>
          <w:tcPr>
            <w:tcW w:w="2708" w:type="dxa"/>
            <w:shd w:val="clear" w:color="auto" w:fill="auto"/>
            <w:noWrap/>
            <w:hideMark/>
          </w:tcPr>
          <w:p w:rsidRPr="005F656A" w:rsidR="00000EE2" w:rsidP="005F656A" w:rsidRDefault="00000EE2" w14:paraId="6C82A23D"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47.62</w:t>
            </w:r>
          </w:p>
        </w:tc>
        <w:tc>
          <w:tcPr>
            <w:tcW w:w="1710" w:type="dxa"/>
            <w:shd w:val="clear" w:color="auto" w:fill="auto"/>
            <w:noWrap/>
            <w:hideMark/>
          </w:tcPr>
          <w:p w:rsidRPr="005F656A" w:rsidR="00000EE2" w:rsidP="005F656A" w:rsidRDefault="00000EE2" w14:paraId="6A96F418" w14:textId="40CBF640">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14.</w:t>
            </w:r>
            <w:r w:rsidR="00F8475B">
              <w:rPr>
                <w:rFonts w:ascii="Times New Roman" w:hAnsi="Times New Roman"/>
                <w:sz w:val="22"/>
                <w:szCs w:val="22"/>
              </w:rPr>
              <w:t>10</w:t>
            </w:r>
          </w:p>
        </w:tc>
        <w:tc>
          <w:tcPr>
            <w:tcW w:w="1806" w:type="dxa"/>
            <w:shd w:val="clear" w:color="auto" w:fill="auto"/>
            <w:noWrap/>
            <w:hideMark/>
          </w:tcPr>
          <w:p w:rsidRPr="005F656A" w:rsidR="00000EE2" w:rsidP="005F656A" w:rsidRDefault="00000EE2" w14:paraId="3C1F3953" w14:textId="6BB2BED4">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61.</w:t>
            </w:r>
            <w:r w:rsidR="00F8475B">
              <w:rPr>
                <w:rFonts w:ascii="Times New Roman" w:hAnsi="Times New Roman"/>
                <w:sz w:val="22"/>
                <w:szCs w:val="22"/>
              </w:rPr>
              <w:t>72</w:t>
            </w:r>
          </w:p>
        </w:tc>
      </w:tr>
      <w:tr w:rsidRPr="005F656A" w:rsidR="00000EE2" w:rsidTr="005F656A" w14:paraId="0F17B3E2" w14:textId="77777777">
        <w:trPr>
          <w:trHeight w:val="342"/>
        </w:trPr>
        <w:tc>
          <w:tcPr>
            <w:tcW w:w="3340" w:type="dxa"/>
            <w:shd w:val="clear" w:color="auto" w:fill="auto"/>
            <w:noWrap/>
            <w:hideMark/>
          </w:tcPr>
          <w:p w:rsidRPr="005F656A" w:rsidR="00000EE2" w:rsidRDefault="00000EE2" w14:paraId="7D35C36A" w14:textId="2BB6FBDB">
            <w:pPr>
              <w:rPr>
                <w:rFonts w:ascii="Times New Roman" w:hAnsi="Times New Roman"/>
                <w:sz w:val="22"/>
                <w:szCs w:val="22"/>
              </w:rPr>
            </w:pPr>
            <w:r w:rsidRPr="005F656A">
              <w:rPr>
                <w:rFonts w:ascii="Times New Roman" w:hAnsi="Times New Roman"/>
                <w:sz w:val="22"/>
                <w:szCs w:val="22"/>
              </w:rPr>
              <w:t>Lawyer</w:t>
            </w:r>
            <w:r w:rsidR="00F8475B">
              <w:rPr>
                <w:rFonts w:ascii="Times New Roman" w:hAnsi="Times New Roman"/>
                <w:sz w:val="22"/>
                <w:szCs w:val="22"/>
              </w:rPr>
              <w:t xml:space="preserve"> (23-1011)</w:t>
            </w:r>
          </w:p>
        </w:tc>
        <w:tc>
          <w:tcPr>
            <w:tcW w:w="2708" w:type="dxa"/>
            <w:shd w:val="clear" w:color="auto" w:fill="auto"/>
            <w:noWrap/>
            <w:hideMark/>
          </w:tcPr>
          <w:p w:rsidRPr="005F656A" w:rsidR="00000EE2" w:rsidP="005F656A" w:rsidRDefault="00000EE2" w14:paraId="1296C27B" w14:textId="7777777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61.54</w:t>
            </w:r>
          </w:p>
        </w:tc>
        <w:tc>
          <w:tcPr>
            <w:tcW w:w="1710" w:type="dxa"/>
            <w:shd w:val="clear" w:color="auto" w:fill="auto"/>
            <w:noWrap/>
            <w:hideMark/>
          </w:tcPr>
          <w:p w:rsidRPr="005F656A" w:rsidR="00000EE2" w:rsidP="005F656A" w:rsidRDefault="00000EE2" w14:paraId="3CAF9DA9" w14:textId="434FB317">
            <w:pPr>
              <w:jc w:val="center"/>
              <w:rPr>
                <w:rFonts w:ascii="Times New Roman" w:hAnsi="Times New Roman"/>
                <w:sz w:val="22"/>
                <w:szCs w:val="22"/>
              </w:rPr>
            </w:pPr>
            <w:r w:rsidRPr="005F656A">
              <w:rPr>
                <w:rFonts w:ascii="Times New Roman" w:hAnsi="Times New Roman"/>
                <w:sz w:val="22"/>
                <w:szCs w:val="22"/>
              </w:rPr>
              <w:t>$</w:t>
            </w:r>
            <w:r w:rsidR="00242E28">
              <w:rPr>
                <w:rFonts w:ascii="Times New Roman" w:hAnsi="Times New Roman"/>
                <w:sz w:val="22"/>
                <w:szCs w:val="22"/>
              </w:rPr>
              <w:t xml:space="preserve"> 18.</w:t>
            </w:r>
            <w:r w:rsidR="00F8475B">
              <w:rPr>
                <w:rFonts w:ascii="Times New Roman" w:hAnsi="Times New Roman"/>
                <w:sz w:val="22"/>
                <w:szCs w:val="22"/>
              </w:rPr>
              <w:t>22</w:t>
            </w:r>
          </w:p>
        </w:tc>
        <w:tc>
          <w:tcPr>
            <w:tcW w:w="1806" w:type="dxa"/>
            <w:shd w:val="clear" w:color="auto" w:fill="auto"/>
            <w:noWrap/>
            <w:hideMark/>
          </w:tcPr>
          <w:p w:rsidRPr="005F656A" w:rsidR="00000EE2" w:rsidP="005F656A" w:rsidRDefault="00000EE2" w14:paraId="38401FFB" w14:textId="63965EBB">
            <w:pPr>
              <w:jc w:val="center"/>
              <w:rPr>
                <w:rFonts w:ascii="Times New Roman" w:hAnsi="Times New Roman"/>
                <w:sz w:val="22"/>
                <w:szCs w:val="22"/>
              </w:rPr>
            </w:pPr>
            <w:r w:rsidRPr="005F656A">
              <w:rPr>
                <w:rFonts w:ascii="Times New Roman" w:hAnsi="Times New Roman"/>
                <w:sz w:val="22"/>
                <w:szCs w:val="22"/>
              </w:rPr>
              <w:t xml:space="preserve">$ </w:t>
            </w:r>
            <w:r w:rsidR="00242E28">
              <w:rPr>
                <w:rFonts w:ascii="Times New Roman" w:hAnsi="Times New Roman"/>
                <w:sz w:val="22"/>
                <w:szCs w:val="22"/>
              </w:rPr>
              <w:t>79.</w:t>
            </w:r>
            <w:r w:rsidR="00F8475B">
              <w:rPr>
                <w:rFonts w:ascii="Times New Roman" w:hAnsi="Times New Roman"/>
                <w:sz w:val="22"/>
                <w:szCs w:val="22"/>
              </w:rPr>
              <w:t>7</w:t>
            </w:r>
            <w:r w:rsidR="00242E28">
              <w:rPr>
                <w:rFonts w:ascii="Times New Roman" w:hAnsi="Times New Roman"/>
                <w:sz w:val="22"/>
                <w:szCs w:val="22"/>
              </w:rPr>
              <w:t>6</w:t>
            </w:r>
          </w:p>
        </w:tc>
      </w:tr>
    </w:tbl>
    <w:p w:rsidRPr="00245D8A" w:rsidR="00000EE2" w:rsidP="00000EE2" w:rsidRDefault="00000EE2" w14:paraId="1B5C9475" w14:textId="77777777">
      <w:pPr>
        <w:rPr>
          <w:rFonts w:ascii="Times New Roman" w:hAnsi="Times New Roman"/>
          <w:sz w:val="16"/>
          <w:szCs w:val="16"/>
        </w:rPr>
      </w:pPr>
      <w:r w:rsidRPr="00137DB2">
        <w:rPr>
          <w:rFonts w:ascii="Times New Roman" w:hAnsi="Times New Roman"/>
          <w:sz w:val="16"/>
          <w:szCs w:val="16"/>
        </w:rPr>
        <w:t xml:space="preserve">All salary data used was obtained from the Bureau of Labor Statistics’ report “Occupational Employment and Wages, May </w:t>
      </w:r>
      <w:r w:rsidRPr="00137DB2" w:rsidR="00E93CD8">
        <w:rPr>
          <w:rFonts w:ascii="Times New Roman" w:hAnsi="Times New Roman"/>
          <w:sz w:val="16"/>
          <w:szCs w:val="16"/>
        </w:rPr>
        <w:t>20</w:t>
      </w:r>
      <w:r w:rsidR="00E93CD8">
        <w:rPr>
          <w:rFonts w:ascii="Times New Roman" w:hAnsi="Times New Roman"/>
          <w:sz w:val="16"/>
          <w:szCs w:val="16"/>
        </w:rPr>
        <w:t>2</w:t>
      </w:r>
      <w:r w:rsidR="00F91241">
        <w:rPr>
          <w:rFonts w:ascii="Times New Roman" w:hAnsi="Times New Roman"/>
          <w:sz w:val="16"/>
          <w:szCs w:val="16"/>
        </w:rPr>
        <w:t>1</w:t>
      </w:r>
      <w:r w:rsidRPr="00137DB2" w:rsidR="00E93CD8">
        <w:rPr>
          <w:rFonts w:ascii="Times New Roman" w:hAnsi="Times New Roman"/>
          <w:sz w:val="16"/>
          <w:szCs w:val="16"/>
        </w:rPr>
        <w:t xml:space="preserve"> </w:t>
      </w:r>
      <w:r w:rsidRPr="00137DB2">
        <w:rPr>
          <w:rFonts w:ascii="Times New Roman" w:hAnsi="Times New Roman"/>
          <w:sz w:val="16"/>
          <w:szCs w:val="16"/>
        </w:rPr>
        <w:t>Occupational Employment and Wage Estimates United States” (</w:t>
      </w:r>
      <w:hyperlink w:history="1" r:id="rId12">
        <w:r w:rsidRPr="00137DB2">
          <w:rPr>
            <w:rFonts w:ascii="Times New Roman" w:hAnsi="Times New Roman"/>
            <w:sz w:val="16"/>
            <w:szCs w:val="16"/>
          </w:rPr>
          <w:t>http://www.bls.gov/oes/current/oes_nat.htm</w:t>
        </w:r>
      </w:hyperlink>
      <w:r w:rsidRPr="00137DB2">
        <w:rPr>
          <w:rFonts w:ascii="Times New Roman" w:hAnsi="Times New Roman"/>
          <w:sz w:val="16"/>
          <w:szCs w:val="16"/>
        </w:rPr>
        <w:t>)</w:t>
      </w:r>
      <w:r w:rsidR="00617ABB">
        <w:rPr>
          <w:rFonts w:ascii="Times New Roman" w:hAnsi="Times New Roman"/>
          <w:sz w:val="16"/>
          <w:szCs w:val="16"/>
        </w:rPr>
        <w:t xml:space="preserve"> and </w:t>
      </w:r>
      <w:hyperlink w:history="1" r:id="rId13">
        <w:r w:rsidRPr="00617ABB" w:rsidR="00617ABB">
          <w:rPr>
            <w:rFonts w:ascii="Times New Roman" w:hAnsi="Times New Roman" w:eastAsia="Calibri"/>
            <w:color w:val="0563C1"/>
            <w:sz w:val="16"/>
            <w:szCs w:val="16"/>
            <w:u w:val="single"/>
          </w:rPr>
          <w:t>https://www.bls.gov/news.release/pdf/ecec.pdf</w:t>
        </w:r>
      </w:hyperlink>
    </w:p>
    <w:p w:rsidRPr="00D34F1D" w:rsidR="00E03EBD" w:rsidP="00D34F1D" w:rsidRDefault="00E03EBD" w14:paraId="1A6254A0" w14:textId="77777777">
      <w:pPr>
        <w:rPr>
          <w:rFonts w:ascii="Times New Roman" w:hAnsi="Times New Roman"/>
          <w:color w:val="000000"/>
          <w:sz w:val="24"/>
          <w:szCs w:val="24"/>
        </w:rPr>
      </w:pPr>
    </w:p>
    <w:p w:rsidRPr="00552547" w:rsidR="000F336E" w:rsidP="000F336E" w:rsidRDefault="000F336E" w14:paraId="3778DD17" w14:textId="77777777">
      <w:pPr>
        <w:tabs>
          <w:tab w:val="left" w:pos="0"/>
          <w:tab w:val="left" w:pos="45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13.</w:t>
      </w:r>
      <w:r w:rsidRPr="00552547">
        <w:rPr>
          <w:rFonts w:ascii="Times New Roman" w:hAnsi="Times New Roman"/>
          <w:sz w:val="24"/>
          <w:szCs w:val="24"/>
        </w:rPr>
        <w:tab/>
      </w:r>
      <w:r w:rsidRPr="00552547">
        <w:rPr>
          <w:rFonts w:ascii="Times New Roman" w:hAnsi="Times New Roman"/>
          <w:sz w:val="24"/>
          <w:szCs w:val="24"/>
          <w:u w:val="single"/>
        </w:rPr>
        <w:t>Provide estimates of annualized cost to the respondents</w:t>
      </w:r>
      <w:r w:rsidRPr="00552547">
        <w:rPr>
          <w:rFonts w:ascii="Times New Roman" w:hAnsi="Times New Roman"/>
          <w:sz w:val="24"/>
          <w:szCs w:val="24"/>
        </w:rPr>
        <w:t>.</w:t>
      </w:r>
    </w:p>
    <w:p w:rsidRPr="00552547" w:rsidR="000F336E" w:rsidP="000F336E" w:rsidRDefault="000F336E" w14:paraId="32C69B57"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0842263C"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lastRenderedPageBreak/>
        <w:t xml:space="preserve">There are no capital and start-up </w:t>
      </w:r>
      <w:r w:rsidRPr="00552547" w:rsidR="00DD227E">
        <w:rPr>
          <w:rFonts w:ascii="Times New Roman" w:hAnsi="Times New Roman"/>
          <w:sz w:val="24"/>
          <w:szCs w:val="24"/>
        </w:rPr>
        <w:t>costs,</w:t>
      </w:r>
      <w:r w:rsidRPr="00552547">
        <w:rPr>
          <w:rFonts w:ascii="Times New Roman" w:hAnsi="Times New Roman"/>
          <w:sz w:val="24"/>
          <w:szCs w:val="24"/>
        </w:rPr>
        <w:t xml:space="preserve"> or operations and maintenance costs associated with this collection.</w:t>
      </w:r>
    </w:p>
    <w:p w:rsidR="002F255F" w:rsidRDefault="002F255F" w14:paraId="6CC1862A" w14:textId="77777777">
      <w:pPr>
        <w:ind w:left="720" w:hanging="720"/>
        <w:rPr>
          <w:rFonts w:ascii="Times New Roman" w:hAnsi="Times New Roman"/>
          <w:color w:val="000000"/>
          <w:sz w:val="24"/>
          <w:szCs w:val="24"/>
        </w:rPr>
      </w:pPr>
    </w:p>
    <w:p w:rsidRPr="00552547" w:rsidR="00245D8A" w:rsidRDefault="00245D8A" w14:paraId="5744E634" w14:textId="77777777">
      <w:pPr>
        <w:ind w:left="720" w:hanging="720"/>
        <w:rPr>
          <w:rFonts w:ascii="Times New Roman" w:hAnsi="Times New Roman"/>
          <w:color w:val="000000"/>
          <w:sz w:val="24"/>
          <w:szCs w:val="24"/>
        </w:rPr>
      </w:pPr>
    </w:p>
    <w:p w:rsidRPr="00552547" w:rsidR="000F336E" w:rsidP="000F336E" w:rsidRDefault="000F336E" w14:paraId="094036EE" w14:textId="77777777">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 w:val="24"/>
          <w:szCs w:val="24"/>
        </w:rPr>
      </w:pPr>
      <w:r w:rsidRPr="00552547">
        <w:rPr>
          <w:rFonts w:ascii="Times New Roman" w:hAnsi="Times New Roman"/>
          <w:sz w:val="24"/>
          <w:szCs w:val="24"/>
        </w:rPr>
        <w:t>14.</w:t>
      </w:r>
      <w:r w:rsidRPr="00552547">
        <w:rPr>
          <w:rFonts w:ascii="Times New Roman" w:hAnsi="Times New Roman"/>
          <w:sz w:val="24"/>
          <w:szCs w:val="24"/>
        </w:rPr>
        <w:tab/>
      </w:r>
      <w:r w:rsidRPr="00552547">
        <w:rPr>
          <w:rFonts w:ascii="Times New Roman" w:hAnsi="Times New Roman"/>
          <w:sz w:val="24"/>
          <w:szCs w:val="24"/>
          <w:u w:val="single"/>
        </w:rPr>
        <w:t>Provide estimates of annualized cost to the Federal Government</w:t>
      </w:r>
      <w:r w:rsidRPr="00552547">
        <w:rPr>
          <w:rFonts w:ascii="Times New Roman" w:hAnsi="Times New Roman"/>
          <w:sz w:val="24"/>
          <w:szCs w:val="24"/>
        </w:rPr>
        <w:t>.</w:t>
      </w:r>
    </w:p>
    <w:p w:rsidRPr="00552547" w:rsidR="00271C54" w:rsidP="00AF5EFD" w:rsidRDefault="00271C54" w14:paraId="7F87FA5C" w14:textId="77777777">
      <w:pPr>
        <w:rPr>
          <w:rFonts w:ascii="Times New Roman" w:hAnsi="Times New Roman"/>
          <w:color w:val="000000"/>
          <w:sz w:val="24"/>
          <w:szCs w:val="24"/>
        </w:rPr>
      </w:pPr>
    </w:p>
    <w:p w:rsidR="000D1375" w:rsidP="00AF5EFD" w:rsidRDefault="002F255F" w14:paraId="1E9C9A94" w14:textId="77777777">
      <w:pPr>
        <w:rPr>
          <w:rFonts w:ascii="Times New Roman" w:hAnsi="Times New Roman"/>
          <w:sz w:val="24"/>
          <w:szCs w:val="24"/>
        </w:rPr>
      </w:pPr>
      <w:r w:rsidRPr="00552547">
        <w:rPr>
          <w:rFonts w:ascii="Times New Roman" w:hAnsi="Times New Roman"/>
          <w:color w:val="000000"/>
          <w:sz w:val="24"/>
          <w:szCs w:val="24"/>
        </w:rPr>
        <w:t xml:space="preserve">The annual cost to the Federal Government to collect and evaluate this information is estimated </w:t>
      </w:r>
      <w:r w:rsidR="000A7FFB">
        <w:rPr>
          <w:rFonts w:ascii="Times New Roman" w:hAnsi="Times New Roman"/>
          <w:color w:val="000000"/>
          <w:sz w:val="24"/>
          <w:szCs w:val="24"/>
        </w:rPr>
        <w:t>at</w:t>
      </w:r>
      <w:r w:rsidR="00275141">
        <w:rPr>
          <w:rFonts w:ascii="Times New Roman" w:hAnsi="Times New Roman"/>
          <w:color w:val="000000"/>
          <w:sz w:val="24"/>
          <w:szCs w:val="24"/>
        </w:rPr>
        <w:t xml:space="preserve"> </w:t>
      </w:r>
      <w:r w:rsidRPr="00336BBD" w:rsidR="00336BBD">
        <w:rPr>
          <w:rFonts w:ascii="Times New Roman" w:hAnsi="Times New Roman"/>
          <w:color w:val="000000"/>
          <w:sz w:val="24"/>
          <w:szCs w:val="24"/>
        </w:rPr>
        <w:t>1,</w:t>
      </w:r>
      <w:r w:rsidR="00D96DC2">
        <w:rPr>
          <w:rFonts w:ascii="Times New Roman" w:hAnsi="Times New Roman"/>
          <w:color w:val="000000"/>
          <w:sz w:val="24"/>
          <w:szCs w:val="24"/>
        </w:rPr>
        <w:t>665</w:t>
      </w:r>
      <w:r w:rsidRPr="00336BBD" w:rsidR="00D96DC2">
        <w:rPr>
          <w:rFonts w:ascii="Times New Roman" w:hAnsi="Times New Roman"/>
          <w:color w:val="000000"/>
          <w:sz w:val="24"/>
          <w:szCs w:val="24"/>
        </w:rPr>
        <w:t xml:space="preserve"> </w:t>
      </w:r>
      <w:r w:rsidRPr="00336BBD" w:rsidR="00275141">
        <w:rPr>
          <w:rFonts w:ascii="Times New Roman" w:hAnsi="Times New Roman"/>
          <w:color w:val="000000"/>
          <w:sz w:val="24"/>
          <w:szCs w:val="24"/>
        </w:rPr>
        <w:t>hours</w:t>
      </w:r>
      <w:r w:rsidR="00275141">
        <w:rPr>
          <w:rFonts w:ascii="Times New Roman" w:hAnsi="Times New Roman"/>
          <w:color w:val="000000"/>
          <w:sz w:val="24"/>
          <w:szCs w:val="24"/>
        </w:rPr>
        <w:t xml:space="preserve"> at a cost of </w:t>
      </w:r>
      <w:r w:rsidRPr="00336BBD">
        <w:rPr>
          <w:rFonts w:ascii="Times New Roman" w:hAnsi="Times New Roman"/>
          <w:color w:val="000000"/>
          <w:sz w:val="24"/>
          <w:szCs w:val="24"/>
        </w:rPr>
        <w:t>$</w:t>
      </w:r>
      <w:r w:rsidRPr="00336BBD" w:rsidR="00C9032D">
        <w:rPr>
          <w:rFonts w:ascii="Times New Roman" w:hAnsi="Times New Roman"/>
          <w:color w:val="000000"/>
          <w:sz w:val="24"/>
          <w:szCs w:val="24"/>
        </w:rPr>
        <w:t>1</w:t>
      </w:r>
      <w:r w:rsidR="00D96DC2">
        <w:rPr>
          <w:rFonts w:ascii="Times New Roman" w:hAnsi="Times New Roman"/>
          <w:color w:val="000000"/>
          <w:sz w:val="24"/>
          <w:szCs w:val="24"/>
        </w:rPr>
        <w:t>10</w:t>
      </w:r>
      <w:r w:rsidRPr="00336BBD" w:rsidR="00880257">
        <w:rPr>
          <w:rFonts w:ascii="Times New Roman" w:hAnsi="Times New Roman"/>
          <w:color w:val="000000"/>
          <w:sz w:val="24"/>
          <w:szCs w:val="24"/>
        </w:rPr>
        <w:t>,</w:t>
      </w:r>
      <w:r w:rsidR="00D96DC2">
        <w:rPr>
          <w:rFonts w:ascii="Times New Roman" w:hAnsi="Times New Roman"/>
          <w:color w:val="000000"/>
          <w:sz w:val="24"/>
          <w:szCs w:val="24"/>
        </w:rPr>
        <w:t>864</w:t>
      </w:r>
      <w:r w:rsidRPr="00336BBD" w:rsidR="00C9032D">
        <w:rPr>
          <w:rFonts w:ascii="Times New Roman" w:hAnsi="Times New Roman"/>
          <w:color w:val="000000"/>
          <w:sz w:val="24"/>
          <w:szCs w:val="24"/>
        </w:rPr>
        <w:t xml:space="preserve"> </w:t>
      </w:r>
      <w:r w:rsidRPr="00336BBD">
        <w:rPr>
          <w:rFonts w:ascii="Times New Roman" w:hAnsi="Times New Roman"/>
          <w:color w:val="000000"/>
          <w:sz w:val="24"/>
          <w:szCs w:val="24"/>
        </w:rPr>
        <w:t>per fiscal year</w:t>
      </w:r>
      <w:r w:rsidRPr="00552547">
        <w:rPr>
          <w:rFonts w:ascii="Times New Roman" w:hAnsi="Times New Roman"/>
          <w:color w:val="000000"/>
          <w:sz w:val="24"/>
          <w:szCs w:val="24"/>
        </w:rPr>
        <w:t xml:space="preserve"> (see attached spreadsheet).  Most of the review work is completed by </w:t>
      </w:r>
      <w:r w:rsidR="00880257">
        <w:rPr>
          <w:rFonts w:ascii="Times New Roman" w:hAnsi="Times New Roman"/>
          <w:color w:val="000000"/>
          <w:sz w:val="24"/>
          <w:szCs w:val="24"/>
        </w:rPr>
        <w:t>GS Grade 12, step 5 staff located in Washington, D.C.</w:t>
      </w:r>
      <w:r w:rsidRPr="00552547">
        <w:rPr>
          <w:rFonts w:ascii="Times New Roman" w:hAnsi="Times New Roman"/>
          <w:sz w:val="24"/>
          <w:szCs w:val="24"/>
        </w:rPr>
        <w:t xml:space="preserve">  Accordingly, the average rate was determined to be </w:t>
      </w:r>
      <w:r w:rsidRPr="00336BBD">
        <w:rPr>
          <w:rFonts w:ascii="Times New Roman" w:hAnsi="Times New Roman"/>
          <w:sz w:val="24"/>
          <w:szCs w:val="24"/>
        </w:rPr>
        <w:t>$</w:t>
      </w:r>
      <w:r w:rsidR="00D96DC2">
        <w:rPr>
          <w:rFonts w:ascii="Times New Roman" w:hAnsi="Times New Roman"/>
          <w:sz w:val="24"/>
          <w:szCs w:val="24"/>
        </w:rPr>
        <w:t>66</w:t>
      </w:r>
      <w:r w:rsidRPr="00336BBD" w:rsidR="00035740">
        <w:rPr>
          <w:rFonts w:ascii="Times New Roman" w:hAnsi="Times New Roman"/>
          <w:sz w:val="24"/>
          <w:szCs w:val="24"/>
        </w:rPr>
        <w:t>.</w:t>
      </w:r>
      <w:r w:rsidRPr="00336BBD" w:rsidR="00AF1409">
        <w:rPr>
          <w:rFonts w:ascii="Times New Roman" w:hAnsi="Times New Roman"/>
          <w:sz w:val="24"/>
          <w:szCs w:val="24"/>
        </w:rPr>
        <w:t>5</w:t>
      </w:r>
      <w:r w:rsidR="00D96DC2">
        <w:rPr>
          <w:rFonts w:ascii="Times New Roman" w:hAnsi="Times New Roman"/>
          <w:sz w:val="24"/>
          <w:szCs w:val="24"/>
        </w:rPr>
        <w:t>8</w:t>
      </w:r>
      <w:r w:rsidRPr="00336BBD" w:rsidR="00AF1409">
        <w:rPr>
          <w:rFonts w:ascii="Times New Roman" w:hAnsi="Times New Roman"/>
          <w:sz w:val="24"/>
          <w:szCs w:val="24"/>
        </w:rPr>
        <w:t xml:space="preserve"> </w:t>
      </w:r>
      <w:r w:rsidRPr="00336BBD">
        <w:rPr>
          <w:rFonts w:ascii="Times New Roman" w:hAnsi="Times New Roman"/>
          <w:sz w:val="24"/>
          <w:szCs w:val="24"/>
        </w:rPr>
        <w:t>per hour.</w:t>
      </w:r>
      <w:r w:rsidRPr="00552547">
        <w:rPr>
          <w:rFonts w:ascii="Times New Roman" w:hAnsi="Times New Roman"/>
          <w:sz w:val="24"/>
          <w:szCs w:val="24"/>
        </w:rPr>
        <w:t xml:space="preserve">  </w:t>
      </w:r>
    </w:p>
    <w:p w:rsidRPr="00552547" w:rsidR="00984A52" w:rsidP="00AF5EFD" w:rsidRDefault="00984A52" w14:paraId="78E2DCAE" w14:textId="77777777">
      <w:pPr>
        <w:rPr>
          <w:rFonts w:ascii="Times New Roman" w:hAnsi="Times New Roman"/>
          <w:color w:val="000000"/>
          <w:sz w:val="24"/>
          <w:szCs w:val="24"/>
        </w:rPr>
      </w:pPr>
    </w:p>
    <w:p w:rsidR="00D83281" w:rsidP="00A61A37" w:rsidRDefault="000D1375" w14:paraId="3238F2E7" w14:textId="77777777">
      <w:pPr>
        <w:rPr>
          <w:rFonts w:ascii="Times New Roman" w:hAnsi="Times New Roman"/>
          <w:sz w:val="24"/>
          <w:szCs w:val="24"/>
        </w:rPr>
      </w:pPr>
      <w:r w:rsidRPr="00552547">
        <w:rPr>
          <w:rFonts w:ascii="Times New Roman" w:hAnsi="Times New Roman"/>
          <w:sz w:val="24"/>
          <w:szCs w:val="24"/>
        </w:rPr>
        <w:t xml:space="preserve">The hours were computed by estimating the average time it takes to review an application package, including the lender analysis and conducting negotiations and conferences with lender, a site visit, and environmental assessment; assigning a loan priority score; approving and obligating the loan, including preparing the Conditional Commitment; and issuing the Loan Note Guarantee, including reviewing the lender’s certification and comparing it against conditions of the loan and program </w:t>
      </w:r>
      <w:r w:rsidRPr="00552547">
        <w:rPr>
          <w:rFonts w:ascii="Times New Roman" w:hAnsi="Times New Roman"/>
          <w:color w:val="000000"/>
          <w:sz w:val="24"/>
          <w:szCs w:val="24"/>
        </w:rPr>
        <w:t>regulations.</w:t>
      </w:r>
      <w:r w:rsidR="00DD227E">
        <w:rPr>
          <w:rFonts w:ascii="Times New Roman" w:hAnsi="Times New Roman"/>
          <w:color w:val="000000"/>
          <w:sz w:val="24"/>
          <w:szCs w:val="24"/>
        </w:rPr>
        <w:t xml:space="preserve"> </w:t>
      </w:r>
      <w:r w:rsidRPr="00A61A37" w:rsidR="00A61A37">
        <w:rPr>
          <w:rFonts w:ascii="Times New Roman" w:hAnsi="Times New Roman"/>
          <w:sz w:val="24"/>
          <w:szCs w:val="24"/>
        </w:rPr>
        <w:t xml:space="preserve">The </w:t>
      </w:r>
      <w:r w:rsidR="00617ABB">
        <w:rPr>
          <w:rFonts w:ascii="Times New Roman" w:hAnsi="Times New Roman"/>
          <w:sz w:val="24"/>
          <w:szCs w:val="24"/>
        </w:rPr>
        <w:t xml:space="preserve">summary </w:t>
      </w:r>
      <w:r w:rsidRPr="00A61A37" w:rsidR="00A61A37">
        <w:rPr>
          <w:rFonts w:ascii="Times New Roman" w:hAnsi="Times New Roman"/>
          <w:sz w:val="24"/>
          <w:szCs w:val="24"/>
        </w:rPr>
        <w:t xml:space="preserve">breakdown of cost to the Government is </w:t>
      </w:r>
      <w:r w:rsidR="00A03EDF">
        <w:rPr>
          <w:rFonts w:ascii="Times New Roman" w:hAnsi="Times New Roman"/>
          <w:sz w:val="24"/>
          <w:szCs w:val="24"/>
        </w:rPr>
        <w:t>shown in Table</w:t>
      </w:r>
      <w:r w:rsidR="00945F75">
        <w:rPr>
          <w:rFonts w:ascii="Times New Roman" w:hAnsi="Times New Roman"/>
          <w:sz w:val="24"/>
          <w:szCs w:val="24"/>
        </w:rPr>
        <w:t xml:space="preserve"> 2</w:t>
      </w:r>
      <w:r w:rsidR="00617ABB">
        <w:rPr>
          <w:rFonts w:ascii="Times New Roman" w:hAnsi="Times New Roman"/>
          <w:sz w:val="24"/>
          <w:szCs w:val="24"/>
        </w:rPr>
        <w:t>.</w:t>
      </w:r>
      <w:r w:rsidRPr="00A61A37" w:rsidR="00A61A37">
        <w:rPr>
          <w:rFonts w:ascii="Times New Roman" w:hAnsi="Times New Roman"/>
          <w:sz w:val="24"/>
          <w:szCs w:val="24"/>
        </w:rPr>
        <w:t xml:space="preserve">  </w:t>
      </w:r>
    </w:p>
    <w:p w:rsidRPr="00DD227E" w:rsidR="00617ABB" w:rsidP="00A61A37" w:rsidRDefault="00617ABB" w14:paraId="4DCB4CC7" w14:textId="77777777">
      <w:pPr>
        <w:rPr>
          <w:rFonts w:ascii="Times New Roman" w:hAnsi="Times New Roman"/>
          <w:color w:val="000000"/>
          <w:sz w:val="24"/>
          <w:szCs w:val="24"/>
        </w:rPr>
      </w:pPr>
    </w:p>
    <w:p w:rsidR="00A61A37" w:rsidP="00D83281" w:rsidRDefault="00D26CC1" w14:paraId="0B4D455D" w14:textId="77777777">
      <w:pPr>
        <w:jc w:val="center"/>
        <w:rPr>
          <w:rFonts w:ascii="Times New Roman" w:hAnsi="Times New Roman"/>
          <w:sz w:val="24"/>
          <w:szCs w:val="24"/>
        </w:rPr>
      </w:pPr>
      <w:r>
        <w:rPr>
          <w:rFonts w:ascii="Times New Roman" w:hAnsi="Times New Roman"/>
          <w:sz w:val="24"/>
          <w:szCs w:val="24"/>
        </w:rPr>
        <w:br w:type="page"/>
      </w:r>
      <w:r w:rsidR="00A03EDF">
        <w:rPr>
          <w:rFonts w:ascii="Times New Roman" w:hAnsi="Times New Roman"/>
          <w:sz w:val="24"/>
          <w:szCs w:val="24"/>
        </w:rPr>
        <w:lastRenderedPageBreak/>
        <w:t xml:space="preserve">Table </w:t>
      </w:r>
      <w:r w:rsidR="00DD227E">
        <w:rPr>
          <w:rFonts w:ascii="Times New Roman" w:hAnsi="Times New Roman"/>
          <w:sz w:val="24"/>
          <w:szCs w:val="24"/>
        </w:rPr>
        <w:t>2</w:t>
      </w:r>
      <w:r w:rsidR="00A03EDF">
        <w:rPr>
          <w:rFonts w:ascii="Times New Roman" w:hAnsi="Times New Roman"/>
          <w:sz w:val="24"/>
          <w:szCs w:val="24"/>
        </w:rPr>
        <w:t xml:space="preserve">.  </w:t>
      </w:r>
      <w:r w:rsidR="00D83281">
        <w:rPr>
          <w:rFonts w:ascii="Times New Roman" w:hAnsi="Times New Roman"/>
          <w:sz w:val="24"/>
          <w:szCs w:val="24"/>
        </w:rPr>
        <w:t>Summary of Government Costs</w:t>
      </w:r>
    </w:p>
    <w:p w:rsidR="001C5FC8" w:rsidP="00D83281" w:rsidRDefault="001C5FC8" w14:paraId="2E6AB6CF" w14:textId="77777777">
      <w:pPr>
        <w:jc w:val="center"/>
        <w:rPr>
          <w:rFonts w:ascii="Times New Roman" w:hAnsi="Times New Roman"/>
          <w:color w:val="000000"/>
          <w:sz w:val="24"/>
          <w:szCs w:val="24"/>
        </w:rPr>
      </w:pPr>
    </w:p>
    <w:p w:rsidR="00003FF9" w:rsidP="00003FF9" w:rsidRDefault="00AD7B4B" w14:paraId="4EF3FB9D" w14:textId="71D58F18">
      <w:pPr>
        <w:jc w:val="center"/>
      </w:pPr>
      <w:r>
        <w:rPr>
          <w:noProof/>
        </w:rPr>
        <w:drawing>
          <wp:inline distT="0" distB="0" distL="0" distR="0" wp14:anchorId="6AF7A5EB" wp14:editId="5509BE47">
            <wp:extent cx="5324475" cy="715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7153275"/>
                    </a:xfrm>
                    <a:prstGeom prst="rect">
                      <a:avLst/>
                    </a:prstGeom>
                    <a:noFill/>
                    <a:ln>
                      <a:noFill/>
                    </a:ln>
                  </pic:spPr>
                </pic:pic>
              </a:graphicData>
            </a:graphic>
          </wp:inline>
        </w:drawing>
      </w:r>
    </w:p>
    <w:p w:rsidR="00003FF9" w:rsidP="00003FF9" w:rsidRDefault="00003FF9" w14:paraId="01089CC4" w14:textId="77777777">
      <w:pPr>
        <w:jc w:val="center"/>
      </w:pPr>
    </w:p>
    <w:p w:rsidR="00003FF9" w:rsidP="00003FF9" w:rsidRDefault="00003FF9" w14:paraId="4272BFCE" w14:textId="77777777">
      <w:pPr>
        <w:jc w:val="center"/>
      </w:pPr>
    </w:p>
    <w:p w:rsidR="00003FF9" w:rsidP="00003FF9" w:rsidRDefault="00003FF9" w14:paraId="473508F2" w14:textId="77777777">
      <w:pPr>
        <w:jc w:val="center"/>
        <w:rPr>
          <w:rFonts w:ascii="Times New Roman" w:hAnsi="Times New Roman"/>
          <w:color w:val="000000"/>
          <w:sz w:val="24"/>
          <w:szCs w:val="24"/>
        </w:rPr>
      </w:pPr>
    </w:p>
    <w:p w:rsidRPr="00552547" w:rsidR="000F336E" w:rsidP="00DD227E" w:rsidRDefault="000F336E" w14:paraId="58A4F950" w14:textId="77777777">
      <w:pPr>
        <w:tabs>
          <w:tab w:val="left" w:pos="0"/>
          <w:tab w:val="left" w:pos="45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lastRenderedPageBreak/>
        <w:t>15.</w:t>
      </w:r>
      <w:r w:rsidRPr="00552547">
        <w:rPr>
          <w:rFonts w:ascii="Times New Roman" w:hAnsi="Times New Roman"/>
          <w:sz w:val="24"/>
          <w:szCs w:val="24"/>
        </w:rPr>
        <w:tab/>
      </w:r>
      <w:r w:rsidRPr="00552547">
        <w:rPr>
          <w:rFonts w:ascii="Times New Roman" w:hAnsi="Times New Roman"/>
          <w:sz w:val="24"/>
          <w:szCs w:val="24"/>
          <w:u w:val="single"/>
        </w:rPr>
        <w:t>Explain reasons for changes in burden, including the need for any increase</w:t>
      </w:r>
      <w:r w:rsidRPr="00552547">
        <w:rPr>
          <w:rFonts w:ascii="Times New Roman" w:hAnsi="Times New Roman"/>
          <w:sz w:val="24"/>
          <w:szCs w:val="24"/>
        </w:rPr>
        <w:t>.</w:t>
      </w:r>
    </w:p>
    <w:p w:rsidR="00E92BBC" w:rsidP="00AF5EFD" w:rsidRDefault="00E92BBC" w14:paraId="4BFD6441" w14:textId="77777777">
      <w:pPr>
        <w:rPr>
          <w:rFonts w:ascii="Times New Roman" w:hAnsi="Times New Roman"/>
          <w:color w:val="000000"/>
          <w:sz w:val="24"/>
          <w:szCs w:val="24"/>
        </w:rPr>
      </w:pPr>
    </w:p>
    <w:p w:rsidR="00E92BBC" w:rsidP="00AF5EFD" w:rsidRDefault="00E92BBC" w14:paraId="52FBE48F" w14:textId="1120BA77">
      <w:pPr>
        <w:rPr>
          <w:rFonts w:ascii="Times New Roman" w:hAnsi="Times New Roman"/>
          <w:color w:val="000000"/>
          <w:sz w:val="24"/>
          <w:szCs w:val="24"/>
        </w:rPr>
      </w:pPr>
      <w:r>
        <w:rPr>
          <w:rFonts w:ascii="Times New Roman" w:hAnsi="Times New Roman"/>
          <w:color w:val="000000"/>
          <w:sz w:val="24"/>
          <w:szCs w:val="24"/>
        </w:rPr>
        <w:t>The decrease in burden responses</w:t>
      </w:r>
      <w:r w:rsidR="00B8298E">
        <w:rPr>
          <w:rFonts w:ascii="Times New Roman" w:hAnsi="Times New Roman"/>
          <w:color w:val="000000"/>
          <w:sz w:val="24"/>
          <w:szCs w:val="24"/>
        </w:rPr>
        <w:t xml:space="preserve">, as shown in the </w:t>
      </w:r>
      <w:r w:rsidR="00945F75">
        <w:rPr>
          <w:rFonts w:ascii="Times New Roman" w:hAnsi="Times New Roman"/>
          <w:color w:val="000000"/>
          <w:sz w:val="24"/>
          <w:szCs w:val="24"/>
        </w:rPr>
        <w:t>T</w:t>
      </w:r>
      <w:r w:rsidR="00B8298E">
        <w:rPr>
          <w:rFonts w:ascii="Times New Roman" w:hAnsi="Times New Roman"/>
          <w:color w:val="000000"/>
          <w:sz w:val="24"/>
          <w:szCs w:val="24"/>
        </w:rPr>
        <w:t xml:space="preserve">able </w:t>
      </w:r>
      <w:r w:rsidR="00945F75">
        <w:rPr>
          <w:rFonts w:ascii="Times New Roman" w:hAnsi="Times New Roman"/>
          <w:color w:val="000000"/>
          <w:sz w:val="24"/>
          <w:szCs w:val="24"/>
        </w:rPr>
        <w:t>3 below</w:t>
      </w:r>
      <w:r w:rsidR="00B8298E">
        <w:rPr>
          <w:rFonts w:ascii="Times New Roman" w:hAnsi="Times New Roman"/>
          <w:color w:val="000000"/>
          <w:sz w:val="24"/>
          <w:szCs w:val="24"/>
        </w:rPr>
        <w:t xml:space="preserve">, </w:t>
      </w:r>
      <w:r w:rsidR="00E27271">
        <w:rPr>
          <w:rFonts w:ascii="Times New Roman" w:hAnsi="Times New Roman"/>
          <w:color w:val="000000"/>
          <w:sz w:val="24"/>
          <w:szCs w:val="24"/>
        </w:rPr>
        <w:t>is</w:t>
      </w:r>
      <w:r w:rsidR="00B8298E">
        <w:rPr>
          <w:rFonts w:ascii="Times New Roman" w:hAnsi="Times New Roman"/>
          <w:color w:val="000000"/>
          <w:sz w:val="24"/>
          <w:szCs w:val="24"/>
        </w:rPr>
        <w:t xml:space="preserve"> </w:t>
      </w:r>
      <w:r w:rsidR="00945F75">
        <w:rPr>
          <w:rFonts w:ascii="Times New Roman" w:hAnsi="Times New Roman"/>
          <w:color w:val="000000"/>
          <w:sz w:val="24"/>
          <w:szCs w:val="24"/>
        </w:rPr>
        <w:t>attributed to the removal of the Application Guide in the burden calculation.  This item was removed because the Application Guide does not collect information from the applicant.  Rather, it provides information on how to build a successful application for the program.</w:t>
      </w:r>
      <w:r w:rsidR="00B8298E">
        <w:rPr>
          <w:rFonts w:ascii="Times New Roman" w:hAnsi="Times New Roman"/>
          <w:color w:val="000000"/>
          <w:sz w:val="24"/>
          <w:szCs w:val="24"/>
        </w:rPr>
        <w:t xml:space="preserve">  </w:t>
      </w:r>
      <w:r w:rsidR="0050150F">
        <w:rPr>
          <w:rFonts w:ascii="Times New Roman" w:hAnsi="Times New Roman"/>
          <w:color w:val="000000"/>
          <w:sz w:val="24"/>
          <w:szCs w:val="24"/>
        </w:rPr>
        <w:t xml:space="preserve">Three forms (RD 400-1, RD 400-4 and </w:t>
      </w:r>
      <w:r w:rsidR="00687E77">
        <w:rPr>
          <w:rFonts w:ascii="Times New Roman" w:hAnsi="Times New Roman"/>
          <w:color w:val="000000"/>
          <w:sz w:val="24"/>
          <w:szCs w:val="24"/>
        </w:rPr>
        <w:t>SF-LLL</w:t>
      </w:r>
      <w:r w:rsidR="0050150F">
        <w:rPr>
          <w:rFonts w:ascii="Times New Roman" w:hAnsi="Times New Roman"/>
          <w:color w:val="000000"/>
          <w:sz w:val="24"/>
          <w:szCs w:val="24"/>
        </w:rPr>
        <w:t>)</w:t>
      </w:r>
      <w:r w:rsidR="00B8298E">
        <w:rPr>
          <w:rFonts w:ascii="Times New Roman" w:hAnsi="Times New Roman"/>
          <w:color w:val="000000"/>
          <w:sz w:val="24"/>
          <w:szCs w:val="24"/>
        </w:rPr>
        <w:t xml:space="preserve"> w</w:t>
      </w:r>
      <w:r w:rsidR="0050150F">
        <w:rPr>
          <w:rFonts w:ascii="Times New Roman" w:hAnsi="Times New Roman"/>
          <w:color w:val="000000"/>
          <w:sz w:val="24"/>
          <w:szCs w:val="24"/>
        </w:rPr>
        <w:t>ere</w:t>
      </w:r>
      <w:r w:rsidR="00B8298E">
        <w:rPr>
          <w:rFonts w:ascii="Times New Roman" w:hAnsi="Times New Roman"/>
          <w:color w:val="000000"/>
          <w:sz w:val="24"/>
          <w:szCs w:val="24"/>
        </w:rPr>
        <w:t xml:space="preserve"> also removed from the calculation and will be submitted </w:t>
      </w:r>
      <w:proofErr w:type="gramStart"/>
      <w:r w:rsidR="00B8298E">
        <w:rPr>
          <w:rFonts w:ascii="Times New Roman" w:hAnsi="Times New Roman"/>
          <w:color w:val="000000"/>
          <w:sz w:val="24"/>
          <w:szCs w:val="24"/>
        </w:rPr>
        <w:t>as  common</w:t>
      </w:r>
      <w:proofErr w:type="gramEnd"/>
      <w:r w:rsidR="00B8298E">
        <w:rPr>
          <w:rFonts w:ascii="Times New Roman" w:hAnsi="Times New Roman"/>
          <w:color w:val="000000"/>
          <w:sz w:val="24"/>
          <w:szCs w:val="24"/>
        </w:rPr>
        <w:t xml:space="preserve"> form</w:t>
      </w:r>
      <w:r w:rsidR="0050150F">
        <w:rPr>
          <w:rFonts w:ascii="Times New Roman" w:hAnsi="Times New Roman"/>
          <w:color w:val="000000"/>
          <w:sz w:val="24"/>
          <w:szCs w:val="24"/>
        </w:rPr>
        <w:t>s</w:t>
      </w:r>
      <w:r w:rsidR="00B8298E">
        <w:rPr>
          <w:rFonts w:ascii="Times New Roman" w:hAnsi="Times New Roman"/>
          <w:color w:val="000000"/>
          <w:sz w:val="24"/>
          <w:szCs w:val="24"/>
        </w:rPr>
        <w:t>.</w:t>
      </w:r>
      <w:r>
        <w:rPr>
          <w:rFonts w:ascii="Times New Roman" w:hAnsi="Times New Roman"/>
          <w:color w:val="000000"/>
          <w:sz w:val="24"/>
          <w:szCs w:val="24"/>
        </w:rPr>
        <w:t xml:space="preserve"> </w:t>
      </w:r>
      <w:r w:rsidR="00886A63">
        <w:rPr>
          <w:rFonts w:ascii="Times New Roman" w:hAnsi="Times New Roman"/>
          <w:color w:val="000000"/>
          <w:sz w:val="24"/>
          <w:szCs w:val="24"/>
        </w:rPr>
        <w:t xml:space="preserve"> The increase in burden hours is due to inserting placeholders in the burden worksheet for phase 2 BPM Applications (lines A39, A41 thru 43</w:t>
      </w:r>
      <w:r w:rsidR="0015031B">
        <w:rPr>
          <w:rFonts w:ascii="Times New Roman" w:hAnsi="Times New Roman"/>
          <w:color w:val="000000"/>
          <w:sz w:val="24"/>
          <w:szCs w:val="24"/>
        </w:rPr>
        <w:t xml:space="preserve"> on burden worksheet</w:t>
      </w:r>
      <w:r w:rsidR="00886A63">
        <w:rPr>
          <w:rFonts w:ascii="Times New Roman" w:hAnsi="Times New Roman"/>
          <w:color w:val="000000"/>
          <w:sz w:val="24"/>
          <w:szCs w:val="24"/>
        </w:rPr>
        <w:t>) to acknowledge this part of the application even though the program does not anticipate these items being submitted for this update.</w:t>
      </w:r>
    </w:p>
    <w:p w:rsidR="00E92BBC" w:rsidP="00AF5EFD" w:rsidRDefault="00E92BBC" w14:paraId="247C1EB6" w14:textId="77777777">
      <w:pPr>
        <w:rPr>
          <w:rFonts w:ascii="Times New Roman" w:hAnsi="Times New Roman"/>
          <w:color w:val="000000"/>
          <w:sz w:val="24"/>
          <w:szCs w:val="24"/>
        </w:rPr>
      </w:pPr>
    </w:p>
    <w:p w:rsidR="00945F75" w:rsidP="00945F75" w:rsidRDefault="00945F75" w14:paraId="48B30103" w14:textId="77777777">
      <w:pPr>
        <w:jc w:val="center"/>
        <w:rPr>
          <w:rFonts w:ascii="Times New Roman" w:hAnsi="Times New Roman"/>
          <w:color w:val="000000"/>
          <w:sz w:val="24"/>
          <w:szCs w:val="24"/>
        </w:rPr>
      </w:pPr>
      <w:r>
        <w:rPr>
          <w:rFonts w:ascii="Times New Roman" w:hAnsi="Times New Roman"/>
          <w:color w:val="000000"/>
          <w:sz w:val="24"/>
          <w:szCs w:val="24"/>
        </w:rPr>
        <w:t>Table 3.  Change in Burden</w:t>
      </w:r>
    </w:p>
    <w:p w:rsidR="00945F75" w:rsidP="00AF5EFD" w:rsidRDefault="00945F75" w14:paraId="163AA237" w14:textId="77777777">
      <w:pPr>
        <w:rPr>
          <w:rFonts w:ascii="Times New Roman" w:hAnsi="Times New Roman"/>
          <w:color w:val="000000"/>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8"/>
        <w:gridCol w:w="1710"/>
        <w:gridCol w:w="1620"/>
      </w:tblGrid>
      <w:tr w:rsidRPr="009B7582" w:rsidR="00945F75" w:rsidTr="009B7582" w14:paraId="3AA124FF" w14:textId="77777777">
        <w:trPr>
          <w:jc w:val="center"/>
        </w:trPr>
        <w:tc>
          <w:tcPr>
            <w:tcW w:w="1818" w:type="dxa"/>
            <w:shd w:val="clear" w:color="auto" w:fill="auto"/>
          </w:tcPr>
          <w:p w:rsidRPr="009B7582" w:rsidR="00945F75" w:rsidP="009B7582" w:rsidRDefault="00945F75" w14:paraId="626DCE74" w14:textId="77777777">
            <w:pPr>
              <w:rPr>
                <w:rFonts w:ascii="Times New Roman" w:hAnsi="Times New Roman"/>
                <w:color w:val="000000"/>
                <w:sz w:val="24"/>
                <w:szCs w:val="24"/>
              </w:rPr>
            </w:pPr>
          </w:p>
        </w:tc>
        <w:tc>
          <w:tcPr>
            <w:tcW w:w="1710" w:type="dxa"/>
            <w:shd w:val="clear" w:color="auto" w:fill="auto"/>
          </w:tcPr>
          <w:p w:rsidRPr="009B7582" w:rsidR="00945F75" w:rsidP="009B7582" w:rsidRDefault="00945F75" w14:paraId="29961401" w14:textId="77777777">
            <w:pPr>
              <w:rPr>
                <w:rFonts w:ascii="Times New Roman" w:hAnsi="Times New Roman"/>
                <w:color w:val="000000"/>
                <w:sz w:val="24"/>
                <w:szCs w:val="24"/>
              </w:rPr>
            </w:pPr>
            <w:r w:rsidRPr="009B7582">
              <w:rPr>
                <w:rFonts w:ascii="Times New Roman" w:hAnsi="Times New Roman"/>
                <w:color w:val="000000"/>
                <w:sz w:val="24"/>
                <w:szCs w:val="24"/>
              </w:rPr>
              <w:t>Responses</w:t>
            </w:r>
          </w:p>
        </w:tc>
        <w:tc>
          <w:tcPr>
            <w:tcW w:w="1620" w:type="dxa"/>
            <w:shd w:val="clear" w:color="auto" w:fill="auto"/>
          </w:tcPr>
          <w:p w:rsidRPr="009B7582" w:rsidR="00945F75" w:rsidP="009B7582" w:rsidRDefault="00945F75" w14:paraId="7D8A385C" w14:textId="77777777">
            <w:pPr>
              <w:rPr>
                <w:rFonts w:ascii="Times New Roman" w:hAnsi="Times New Roman"/>
                <w:color w:val="000000"/>
                <w:sz w:val="24"/>
                <w:szCs w:val="24"/>
              </w:rPr>
            </w:pPr>
            <w:r w:rsidRPr="009B7582">
              <w:rPr>
                <w:rFonts w:ascii="Times New Roman" w:hAnsi="Times New Roman"/>
                <w:color w:val="000000"/>
                <w:sz w:val="24"/>
                <w:szCs w:val="24"/>
              </w:rPr>
              <w:t>Hours</w:t>
            </w:r>
          </w:p>
        </w:tc>
      </w:tr>
      <w:tr w:rsidRPr="009B7582" w:rsidR="00945F75" w:rsidTr="009B7582" w14:paraId="00ADFE02" w14:textId="77777777">
        <w:trPr>
          <w:jc w:val="center"/>
        </w:trPr>
        <w:tc>
          <w:tcPr>
            <w:tcW w:w="1818" w:type="dxa"/>
            <w:shd w:val="clear" w:color="auto" w:fill="auto"/>
          </w:tcPr>
          <w:p w:rsidRPr="009B7582" w:rsidR="00945F75" w:rsidP="009B7582" w:rsidRDefault="00945F75" w14:paraId="531522FA" w14:textId="77777777">
            <w:pPr>
              <w:rPr>
                <w:rFonts w:ascii="Times New Roman" w:hAnsi="Times New Roman"/>
                <w:color w:val="000000"/>
                <w:sz w:val="24"/>
                <w:szCs w:val="24"/>
              </w:rPr>
            </w:pPr>
            <w:r w:rsidRPr="009B7582">
              <w:rPr>
                <w:rFonts w:ascii="Times New Roman" w:hAnsi="Times New Roman"/>
                <w:color w:val="000000"/>
                <w:sz w:val="24"/>
                <w:szCs w:val="24"/>
              </w:rPr>
              <w:t>Current</w:t>
            </w:r>
          </w:p>
        </w:tc>
        <w:tc>
          <w:tcPr>
            <w:tcW w:w="1710" w:type="dxa"/>
            <w:shd w:val="clear" w:color="auto" w:fill="auto"/>
          </w:tcPr>
          <w:p w:rsidRPr="009B7582" w:rsidR="00945F75" w:rsidP="009B7582" w:rsidRDefault="00886A63" w14:paraId="6CEBB094" w14:textId="681A0C2F">
            <w:pPr>
              <w:jc w:val="right"/>
              <w:rPr>
                <w:rFonts w:ascii="Times New Roman" w:hAnsi="Times New Roman"/>
                <w:color w:val="000000"/>
                <w:sz w:val="24"/>
                <w:szCs w:val="24"/>
              </w:rPr>
            </w:pPr>
            <w:r>
              <w:rPr>
                <w:rFonts w:ascii="Times New Roman" w:hAnsi="Times New Roman"/>
                <w:color w:val="000000"/>
                <w:sz w:val="24"/>
                <w:szCs w:val="24"/>
              </w:rPr>
              <w:t>312</w:t>
            </w:r>
          </w:p>
        </w:tc>
        <w:tc>
          <w:tcPr>
            <w:tcW w:w="1620" w:type="dxa"/>
            <w:shd w:val="clear" w:color="auto" w:fill="auto"/>
          </w:tcPr>
          <w:p w:rsidRPr="009B7582" w:rsidR="00945F75" w:rsidP="009B7582" w:rsidRDefault="00886A63" w14:paraId="28E1FCDA" w14:textId="51C794B6">
            <w:pPr>
              <w:jc w:val="right"/>
              <w:rPr>
                <w:rFonts w:ascii="Times New Roman" w:hAnsi="Times New Roman"/>
                <w:color w:val="000000"/>
                <w:sz w:val="24"/>
                <w:szCs w:val="24"/>
              </w:rPr>
            </w:pPr>
            <w:r>
              <w:rPr>
                <w:rFonts w:ascii="Times New Roman" w:hAnsi="Times New Roman"/>
                <w:color w:val="000000"/>
                <w:sz w:val="24"/>
                <w:szCs w:val="24"/>
              </w:rPr>
              <w:t>8,005</w:t>
            </w:r>
          </w:p>
        </w:tc>
      </w:tr>
      <w:tr w:rsidRPr="009B7582" w:rsidR="00945F75" w:rsidTr="009B7582" w14:paraId="230E626F" w14:textId="77777777">
        <w:trPr>
          <w:jc w:val="center"/>
        </w:trPr>
        <w:tc>
          <w:tcPr>
            <w:tcW w:w="1818" w:type="dxa"/>
            <w:shd w:val="clear" w:color="auto" w:fill="auto"/>
          </w:tcPr>
          <w:p w:rsidRPr="009B7582" w:rsidR="00945F75" w:rsidP="009B7582" w:rsidRDefault="00945F75" w14:paraId="2DF638CB" w14:textId="77777777">
            <w:pPr>
              <w:rPr>
                <w:rFonts w:ascii="Times New Roman" w:hAnsi="Times New Roman"/>
                <w:color w:val="000000"/>
                <w:sz w:val="24"/>
                <w:szCs w:val="24"/>
              </w:rPr>
            </w:pPr>
            <w:r w:rsidRPr="009B7582">
              <w:rPr>
                <w:rFonts w:ascii="Times New Roman" w:hAnsi="Times New Roman"/>
                <w:color w:val="000000"/>
                <w:sz w:val="24"/>
                <w:szCs w:val="24"/>
              </w:rPr>
              <w:t>Previous</w:t>
            </w:r>
          </w:p>
        </w:tc>
        <w:tc>
          <w:tcPr>
            <w:tcW w:w="1710" w:type="dxa"/>
            <w:shd w:val="clear" w:color="auto" w:fill="auto"/>
          </w:tcPr>
          <w:p w:rsidRPr="009B7582" w:rsidR="00945F75" w:rsidP="009B7582" w:rsidRDefault="00945F75" w14:paraId="59ED81B6" w14:textId="77777777">
            <w:pPr>
              <w:jc w:val="right"/>
              <w:rPr>
                <w:rFonts w:ascii="Times New Roman" w:hAnsi="Times New Roman"/>
                <w:color w:val="000000"/>
                <w:sz w:val="24"/>
                <w:szCs w:val="24"/>
              </w:rPr>
            </w:pPr>
            <w:r w:rsidRPr="009B7582">
              <w:rPr>
                <w:rFonts w:ascii="Times New Roman" w:hAnsi="Times New Roman"/>
                <w:color w:val="000000"/>
                <w:sz w:val="24"/>
                <w:szCs w:val="24"/>
              </w:rPr>
              <w:t>361</w:t>
            </w:r>
          </w:p>
        </w:tc>
        <w:tc>
          <w:tcPr>
            <w:tcW w:w="1620" w:type="dxa"/>
            <w:shd w:val="clear" w:color="auto" w:fill="auto"/>
          </w:tcPr>
          <w:p w:rsidRPr="009B7582" w:rsidR="00945F75" w:rsidP="009B7582" w:rsidRDefault="00945F75" w14:paraId="079610C7" w14:textId="77777777">
            <w:pPr>
              <w:jc w:val="right"/>
              <w:rPr>
                <w:rFonts w:ascii="Times New Roman" w:hAnsi="Times New Roman"/>
                <w:color w:val="000000"/>
                <w:sz w:val="24"/>
                <w:szCs w:val="24"/>
              </w:rPr>
            </w:pPr>
            <w:r w:rsidRPr="009B7582">
              <w:rPr>
                <w:rFonts w:ascii="Times New Roman" w:hAnsi="Times New Roman"/>
                <w:color w:val="000000"/>
                <w:sz w:val="24"/>
                <w:szCs w:val="24"/>
              </w:rPr>
              <w:t>7,803</w:t>
            </w:r>
          </w:p>
        </w:tc>
      </w:tr>
      <w:tr w:rsidRPr="009B7582" w:rsidR="00945F75" w:rsidTr="009B7582" w14:paraId="76DE84A1" w14:textId="77777777">
        <w:trPr>
          <w:jc w:val="center"/>
        </w:trPr>
        <w:tc>
          <w:tcPr>
            <w:tcW w:w="1818" w:type="dxa"/>
            <w:shd w:val="clear" w:color="auto" w:fill="auto"/>
          </w:tcPr>
          <w:p w:rsidRPr="009B7582" w:rsidR="00945F75" w:rsidP="009B7582" w:rsidRDefault="00945F75" w14:paraId="79E30261" w14:textId="77777777">
            <w:pPr>
              <w:rPr>
                <w:rFonts w:ascii="Times New Roman" w:hAnsi="Times New Roman"/>
                <w:color w:val="000000"/>
                <w:sz w:val="24"/>
                <w:szCs w:val="24"/>
              </w:rPr>
            </w:pPr>
            <w:r w:rsidRPr="009B7582">
              <w:rPr>
                <w:rFonts w:ascii="Times New Roman" w:hAnsi="Times New Roman"/>
                <w:color w:val="000000"/>
                <w:sz w:val="24"/>
                <w:szCs w:val="24"/>
              </w:rPr>
              <w:t>Change</w:t>
            </w:r>
          </w:p>
        </w:tc>
        <w:tc>
          <w:tcPr>
            <w:tcW w:w="1710" w:type="dxa"/>
            <w:shd w:val="clear" w:color="auto" w:fill="auto"/>
          </w:tcPr>
          <w:p w:rsidRPr="009B7582" w:rsidR="00945F75" w:rsidP="009B7582" w:rsidRDefault="00945F75" w14:paraId="14DF3D13" w14:textId="70A0F2CA">
            <w:pPr>
              <w:jc w:val="right"/>
              <w:rPr>
                <w:rFonts w:ascii="Times New Roman" w:hAnsi="Times New Roman"/>
                <w:color w:val="000000"/>
                <w:sz w:val="24"/>
                <w:szCs w:val="24"/>
              </w:rPr>
            </w:pPr>
            <w:r w:rsidRPr="009B7582">
              <w:rPr>
                <w:rFonts w:ascii="Times New Roman" w:hAnsi="Times New Roman"/>
                <w:color w:val="000000"/>
                <w:sz w:val="24"/>
                <w:szCs w:val="24"/>
              </w:rPr>
              <w:t>(</w:t>
            </w:r>
            <w:r w:rsidR="00886A63">
              <w:rPr>
                <w:rFonts w:ascii="Times New Roman" w:hAnsi="Times New Roman"/>
                <w:color w:val="000000"/>
                <w:sz w:val="24"/>
                <w:szCs w:val="24"/>
              </w:rPr>
              <w:t>49</w:t>
            </w:r>
            <w:r w:rsidRPr="009B7582">
              <w:rPr>
                <w:rFonts w:ascii="Times New Roman" w:hAnsi="Times New Roman"/>
                <w:color w:val="000000"/>
                <w:sz w:val="24"/>
                <w:szCs w:val="24"/>
              </w:rPr>
              <w:t>)</w:t>
            </w:r>
          </w:p>
        </w:tc>
        <w:tc>
          <w:tcPr>
            <w:tcW w:w="1620" w:type="dxa"/>
            <w:shd w:val="clear" w:color="auto" w:fill="auto"/>
          </w:tcPr>
          <w:p w:rsidRPr="009B7582" w:rsidR="00945F75" w:rsidP="009B7582" w:rsidRDefault="00886A63" w14:paraId="5336C2DD" w14:textId="275E1F89">
            <w:pPr>
              <w:jc w:val="right"/>
              <w:rPr>
                <w:rFonts w:ascii="Times New Roman" w:hAnsi="Times New Roman"/>
                <w:color w:val="000000"/>
                <w:sz w:val="24"/>
                <w:szCs w:val="24"/>
              </w:rPr>
            </w:pPr>
            <w:r>
              <w:rPr>
                <w:rFonts w:ascii="Times New Roman" w:hAnsi="Times New Roman"/>
                <w:color w:val="000000"/>
                <w:sz w:val="24"/>
                <w:szCs w:val="24"/>
              </w:rPr>
              <w:t>202</w:t>
            </w:r>
          </w:p>
        </w:tc>
      </w:tr>
    </w:tbl>
    <w:p w:rsidR="00C8221F" w:rsidRDefault="00C8221F" w14:paraId="5193075A" w14:textId="77777777">
      <w:pPr>
        <w:ind w:left="720" w:hanging="720"/>
        <w:rPr>
          <w:rFonts w:ascii="Times New Roman" w:hAnsi="Times New Roman"/>
          <w:color w:val="000000"/>
          <w:sz w:val="24"/>
          <w:szCs w:val="24"/>
        </w:rPr>
      </w:pPr>
    </w:p>
    <w:p w:rsidRPr="00552547" w:rsidR="00245D8A" w:rsidRDefault="00245D8A" w14:paraId="108DF312" w14:textId="77777777">
      <w:pPr>
        <w:ind w:left="720" w:hanging="720"/>
        <w:rPr>
          <w:rFonts w:ascii="Times New Roman" w:hAnsi="Times New Roman"/>
          <w:color w:val="000000"/>
          <w:sz w:val="24"/>
          <w:szCs w:val="24"/>
        </w:rPr>
      </w:pPr>
    </w:p>
    <w:p w:rsidRPr="00552547" w:rsidR="000F336E" w:rsidP="000F336E" w:rsidRDefault="000F336E" w14:paraId="30B2B82E" w14:textId="77777777">
      <w:pPr>
        <w:keepNext/>
        <w:keepLines/>
        <w:tabs>
          <w:tab w:val="left" w:pos="0"/>
          <w:tab w:val="left" w:pos="450"/>
          <w:tab w:val="left" w:pos="2160"/>
          <w:tab w:val="left" w:pos="4320"/>
          <w:tab w:val="left" w:pos="6480"/>
          <w:tab w:val="left" w:pos="8640"/>
        </w:tabs>
        <w:suppressAutoHyphens/>
        <w:ind w:left="446" w:hanging="446"/>
        <w:rPr>
          <w:rFonts w:ascii="Times New Roman" w:hAnsi="Times New Roman"/>
          <w:sz w:val="24"/>
          <w:szCs w:val="24"/>
        </w:rPr>
      </w:pPr>
      <w:r w:rsidRPr="00552547">
        <w:rPr>
          <w:rFonts w:ascii="Times New Roman" w:hAnsi="Times New Roman"/>
          <w:sz w:val="24"/>
          <w:szCs w:val="24"/>
        </w:rPr>
        <w:t>16.</w:t>
      </w:r>
      <w:r w:rsidRPr="00552547">
        <w:rPr>
          <w:rFonts w:ascii="Times New Roman" w:hAnsi="Times New Roman"/>
          <w:sz w:val="24"/>
          <w:szCs w:val="24"/>
        </w:rPr>
        <w:tab/>
      </w:r>
      <w:r w:rsidRPr="00552547">
        <w:rPr>
          <w:rFonts w:ascii="Times New Roman" w:hAnsi="Times New Roman"/>
          <w:sz w:val="24"/>
          <w:szCs w:val="24"/>
          <w:u w:val="single"/>
        </w:rPr>
        <w:t>For collection of information whose results are planned to be published for statistical use, outline plans for tabulation, statistical analysis, and publication</w:t>
      </w:r>
      <w:r w:rsidRPr="00552547">
        <w:rPr>
          <w:rFonts w:ascii="Times New Roman" w:hAnsi="Times New Roman"/>
          <w:sz w:val="24"/>
          <w:szCs w:val="24"/>
        </w:rPr>
        <w:t>.</w:t>
      </w:r>
    </w:p>
    <w:p w:rsidRPr="00552547" w:rsidR="000F336E" w:rsidP="000F336E" w:rsidRDefault="000F336E" w14:paraId="535090DB"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54D1FAB9"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 xml:space="preserve">The information collected will not be published for statistical use.  </w:t>
      </w:r>
    </w:p>
    <w:p w:rsidR="000F336E" w:rsidP="000F336E" w:rsidRDefault="000F336E" w14:paraId="168C6AE5"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552547" w:rsidR="00245D8A" w:rsidP="000F336E" w:rsidRDefault="00245D8A" w14:paraId="23ED84F2" w14:textId="77777777">
      <w:pPr>
        <w:tabs>
          <w:tab w:val="left" w:pos="0"/>
          <w:tab w:val="left" w:pos="360"/>
          <w:tab w:val="left" w:pos="2160"/>
          <w:tab w:val="left" w:pos="4320"/>
          <w:tab w:val="left" w:pos="6480"/>
          <w:tab w:val="left" w:pos="8640"/>
        </w:tabs>
        <w:suppressAutoHyphens/>
        <w:ind w:left="360" w:hanging="360"/>
        <w:rPr>
          <w:rFonts w:ascii="Times New Roman" w:hAnsi="Times New Roman"/>
          <w:sz w:val="24"/>
          <w:szCs w:val="24"/>
        </w:rPr>
      </w:pPr>
    </w:p>
    <w:p w:rsidRPr="00552547" w:rsidR="000F336E" w:rsidP="000F336E" w:rsidRDefault="000F336E" w14:paraId="6A1202C4"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17.</w:t>
      </w:r>
      <w:r w:rsidRPr="00552547">
        <w:rPr>
          <w:rFonts w:ascii="Times New Roman" w:hAnsi="Times New Roman"/>
          <w:sz w:val="24"/>
          <w:szCs w:val="24"/>
        </w:rPr>
        <w:tab/>
      </w:r>
      <w:r w:rsidRPr="00552547">
        <w:rPr>
          <w:rFonts w:ascii="Times New Roman" w:hAnsi="Times New Roman"/>
          <w:sz w:val="24"/>
          <w:szCs w:val="24"/>
          <w:u w:val="single"/>
        </w:rPr>
        <w:t>Approval not to display the expiration date for OMB approval</w:t>
      </w:r>
      <w:r w:rsidRPr="00552547">
        <w:rPr>
          <w:rFonts w:ascii="Times New Roman" w:hAnsi="Times New Roman"/>
          <w:sz w:val="24"/>
          <w:szCs w:val="24"/>
        </w:rPr>
        <w:t>.</w:t>
      </w:r>
    </w:p>
    <w:p w:rsidRPr="00552547" w:rsidR="000F336E" w:rsidP="000F336E" w:rsidRDefault="000F336E" w14:paraId="500104A6" w14:textId="77777777">
      <w:pPr>
        <w:tabs>
          <w:tab w:val="left" w:pos="0"/>
          <w:tab w:val="left" w:pos="2160"/>
          <w:tab w:val="left" w:pos="4320"/>
          <w:tab w:val="left" w:pos="6480"/>
          <w:tab w:val="left" w:pos="8640"/>
        </w:tabs>
        <w:suppressAutoHyphens/>
        <w:rPr>
          <w:rFonts w:ascii="Times New Roman" w:hAnsi="Times New Roman"/>
          <w:sz w:val="24"/>
          <w:szCs w:val="24"/>
        </w:rPr>
      </w:pPr>
    </w:p>
    <w:p w:rsidRPr="00CA1F51" w:rsidR="000F336E" w:rsidP="000F336E" w:rsidRDefault="00CA1F51" w14:paraId="521C4047" w14:textId="77777777">
      <w:pPr>
        <w:tabs>
          <w:tab w:val="left" w:pos="-720"/>
          <w:tab w:val="left" w:pos="0"/>
          <w:tab w:val="left" w:pos="720"/>
        </w:tabs>
        <w:suppressAutoHyphens/>
        <w:rPr>
          <w:rFonts w:ascii="Times New Roman" w:hAnsi="Times New Roman"/>
          <w:sz w:val="24"/>
          <w:szCs w:val="24"/>
        </w:rPr>
      </w:pPr>
      <w:r w:rsidRPr="00CA1F51">
        <w:rPr>
          <w:rFonts w:ascii="Times New Roman" w:hAnsi="Times New Roman"/>
          <w:sz w:val="24"/>
          <w:szCs w:val="24"/>
        </w:rPr>
        <w:t xml:space="preserve">These forms are used in other Rural Development information collections; therefore, it is not practical to include an OMB expiration date because of the different expiration dates for each collection.  The public would have no way of knowing which burden package/expiration date applied to their </w:t>
      </w:r>
      <w:proofErr w:type="gramStart"/>
      <w:r w:rsidRPr="00CA1F51">
        <w:rPr>
          <w:rFonts w:ascii="Times New Roman" w:hAnsi="Times New Roman"/>
          <w:sz w:val="24"/>
          <w:szCs w:val="24"/>
        </w:rPr>
        <w:t>particular program</w:t>
      </w:r>
      <w:proofErr w:type="gramEnd"/>
      <w:r w:rsidRPr="00CA1F51">
        <w:rPr>
          <w:rFonts w:ascii="Times New Roman" w:hAnsi="Times New Roman"/>
          <w:sz w:val="24"/>
          <w:szCs w:val="24"/>
        </w:rPr>
        <w:t>.  RD is seeking approval to not display the OMB expiration date on these forms.</w:t>
      </w:r>
    </w:p>
    <w:p w:rsidR="000F336E" w:rsidP="000F336E" w:rsidRDefault="000F336E" w14:paraId="20DAB3D2" w14:textId="77777777">
      <w:pPr>
        <w:tabs>
          <w:tab w:val="left" w:pos="0"/>
          <w:tab w:val="left" w:pos="2160"/>
          <w:tab w:val="left" w:pos="4320"/>
          <w:tab w:val="left" w:pos="6480"/>
          <w:tab w:val="left" w:pos="8640"/>
        </w:tabs>
        <w:suppressAutoHyphens/>
        <w:rPr>
          <w:rFonts w:ascii="Times New Roman" w:hAnsi="Times New Roman"/>
          <w:sz w:val="24"/>
          <w:szCs w:val="24"/>
        </w:rPr>
      </w:pPr>
    </w:p>
    <w:p w:rsidRPr="00CA1F51" w:rsidR="00245D8A" w:rsidP="000F336E" w:rsidRDefault="00245D8A" w14:paraId="01313278"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5769DB64" w14:textId="77777777">
      <w:pPr>
        <w:keepNext/>
        <w:tabs>
          <w:tab w:val="left" w:pos="0"/>
          <w:tab w:val="left" w:pos="450"/>
          <w:tab w:val="left" w:pos="2160"/>
          <w:tab w:val="left" w:pos="4320"/>
          <w:tab w:val="left" w:pos="6480"/>
          <w:tab w:val="left" w:pos="8640"/>
        </w:tabs>
        <w:suppressAutoHyphens/>
        <w:ind w:left="446" w:hanging="446"/>
        <w:rPr>
          <w:rFonts w:ascii="Times New Roman" w:hAnsi="Times New Roman"/>
          <w:sz w:val="24"/>
          <w:szCs w:val="24"/>
        </w:rPr>
      </w:pPr>
      <w:r w:rsidRPr="00552547">
        <w:rPr>
          <w:rFonts w:ascii="Times New Roman" w:hAnsi="Times New Roman"/>
          <w:sz w:val="24"/>
          <w:szCs w:val="24"/>
        </w:rPr>
        <w:t>18.</w:t>
      </w:r>
      <w:r w:rsidRPr="00552547">
        <w:rPr>
          <w:rFonts w:ascii="Times New Roman" w:hAnsi="Times New Roman"/>
          <w:sz w:val="24"/>
          <w:szCs w:val="24"/>
        </w:rPr>
        <w:tab/>
      </w:r>
      <w:r w:rsidRPr="00552547">
        <w:rPr>
          <w:rFonts w:ascii="Times New Roman" w:hAnsi="Times New Roman"/>
          <w:sz w:val="24"/>
          <w:szCs w:val="24"/>
          <w:u w:val="single"/>
        </w:rPr>
        <w:t>Exceptions to certification statement</w:t>
      </w:r>
      <w:r w:rsidRPr="00552547">
        <w:rPr>
          <w:rFonts w:ascii="Times New Roman" w:hAnsi="Times New Roman"/>
          <w:sz w:val="24"/>
          <w:szCs w:val="24"/>
        </w:rPr>
        <w:t>.</w:t>
      </w:r>
    </w:p>
    <w:p w:rsidRPr="00552547" w:rsidR="000F336E" w:rsidP="000F336E" w:rsidRDefault="000F336E" w14:paraId="13127535"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46272415"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There are no exceptions to the certification.</w:t>
      </w:r>
    </w:p>
    <w:p w:rsidR="000F336E" w:rsidP="000F336E" w:rsidRDefault="000F336E" w14:paraId="66A00B73"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24E4221B" w14:textId="77777777">
      <w:pPr>
        <w:tabs>
          <w:tab w:val="left" w:pos="0"/>
          <w:tab w:val="left" w:pos="450"/>
          <w:tab w:val="left" w:pos="2160"/>
          <w:tab w:val="left" w:pos="4320"/>
          <w:tab w:val="left" w:pos="6480"/>
          <w:tab w:val="left" w:pos="8640"/>
        </w:tabs>
        <w:suppressAutoHyphens/>
        <w:ind w:left="450" w:hanging="450"/>
        <w:rPr>
          <w:rFonts w:ascii="Times New Roman" w:hAnsi="Times New Roman"/>
          <w:sz w:val="24"/>
          <w:szCs w:val="24"/>
        </w:rPr>
      </w:pPr>
      <w:r w:rsidRPr="00552547">
        <w:rPr>
          <w:rFonts w:ascii="Times New Roman" w:hAnsi="Times New Roman"/>
          <w:sz w:val="24"/>
          <w:szCs w:val="24"/>
        </w:rPr>
        <w:t>19.</w:t>
      </w:r>
      <w:r w:rsidRPr="00552547">
        <w:rPr>
          <w:rFonts w:ascii="Times New Roman" w:hAnsi="Times New Roman"/>
          <w:sz w:val="24"/>
          <w:szCs w:val="24"/>
        </w:rPr>
        <w:tab/>
      </w:r>
      <w:r w:rsidRPr="00552547">
        <w:rPr>
          <w:rFonts w:ascii="Times New Roman" w:hAnsi="Times New Roman"/>
          <w:sz w:val="24"/>
          <w:szCs w:val="24"/>
          <w:u w:val="single"/>
        </w:rPr>
        <w:t>How is this information collection related of the Service Center Initiative (SCI)?  Will the information collection be part of the one stop-shopping concept</w:t>
      </w:r>
      <w:r w:rsidRPr="00552547">
        <w:rPr>
          <w:rFonts w:ascii="Times New Roman" w:hAnsi="Times New Roman"/>
          <w:sz w:val="24"/>
          <w:szCs w:val="24"/>
        </w:rPr>
        <w:t>?</w:t>
      </w:r>
      <w:r w:rsidRPr="00552547">
        <w:rPr>
          <w:rFonts w:ascii="Times New Roman" w:hAnsi="Times New Roman"/>
          <w:sz w:val="24"/>
          <w:szCs w:val="24"/>
          <w:u w:val="single"/>
        </w:rPr>
        <w:t xml:space="preserve"> </w:t>
      </w:r>
    </w:p>
    <w:p w:rsidR="003C4BB7" w:rsidP="000F336E" w:rsidRDefault="003C4BB7" w14:paraId="5EFD2BCA" w14:textId="77777777">
      <w:pPr>
        <w:tabs>
          <w:tab w:val="left" w:pos="0"/>
          <w:tab w:val="left" w:pos="2160"/>
          <w:tab w:val="left" w:pos="4320"/>
          <w:tab w:val="left" w:pos="6480"/>
          <w:tab w:val="left" w:pos="8640"/>
        </w:tabs>
        <w:suppressAutoHyphens/>
        <w:rPr>
          <w:rFonts w:ascii="Times New Roman" w:hAnsi="Times New Roman"/>
          <w:sz w:val="24"/>
          <w:szCs w:val="24"/>
        </w:rPr>
      </w:pPr>
    </w:p>
    <w:p w:rsidRPr="00552547" w:rsidR="000F336E" w:rsidP="000F336E" w:rsidRDefault="000F336E" w14:paraId="3185D740" w14:textId="77777777">
      <w:pPr>
        <w:tabs>
          <w:tab w:val="left" w:pos="0"/>
          <w:tab w:val="left" w:pos="2160"/>
          <w:tab w:val="left" w:pos="4320"/>
          <w:tab w:val="left" w:pos="6480"/>
          <w:tab w:val="left" w:pos="8640"/>
        </w:tabs>
        <w:suppressAutoHyphens/>
        <w:rPr>
          <w:rFonts w:ascii="Times New Roman" w:hAnsi="Times New Roman"/>
          <w:sz w:val="24"/>
          <w:szCs w:val="24"/>
        </w:rPr>
      </w:pPr>
      <w:r w:rsidRPr="00552547">
        <w:rPr>
          <w:rFonts w:ascii="Times New Roman" w:hAnsi="Times New Roman"/>
          <w:sz w:val="24"/>
          <w:szCs w:val="24"/>
        </w:rPr>
        <w:t>The SCI calls for changes to improve services to the United States Department of Agriculture (USDA) customers.  One aspect is providing one stop service for greater customer convenien</w:t>
      </w:r>
      <w:r w:rsidR="00445045">
        <w:rPr>
          <w:rFonts w:ascii="Times New Roman" w:hAnsi="Times New Roman"/>
          <w:sz w:val="24"/>
          <w:szCs w:val="24"/>
        </w:rPr>
        <w:t>ce in accessing USDA programs, including access to required forms</w:t>
      </w:r>
      <w:r w:rsidRPr="00552547">
        <w:rPr>
          <w:rFonts w:ascii="Times New Roman" w:hAnsi="Times New Roman"/>
          <w:sz w:val="24"/>
          <w:szCs w:val="24"/>
        </w:rPr>
        <w:t xml:space="preserve">. </w:t>
      </w:r>
    </w:p>
    <w:p w:rsidRPr="00552547" w:rsidR="002F255F" w:rsidRDefault="002F255F" w14:paraId="769F772E" w14:textId="77777777">
      <w:pPr>
        <w:rPr>
          <w:rFonts w:ascii="Times New Roman" w:hAnsi="Times New Roman"/>
          <w:sz w:val="24"/>
          <w:szCs w:val="24"/>
        </w:rPr>
      </w:pPr>
    </w:p>
    <w:p w:rsidRPr="00552547" w:rsidR="002F255F" w:rsidRDefault="004420AE" w14:paraId="5EAC241C" w14:textId="77777777">
      <w:pPr>
        <w:rPr>
          <w:rFonts w:ascii="Times New Roman" w:hAnsi="Times New Roman"/>
          <w:sz w:val="24"/>
          <w:szCs w:val="24"/>
        </w:rPr>
      </w:pPr>
      <w:r w:rsidRPr="00552547">
        <w:rPr>
          <w:rFonts w:ascii="Times New Roman" w:hAnsi="Times New Roman"/>
          <w:sz w:val="24"/>
          <w:szCs w:val="24"/>
        </w:rPr>
        <w:t xml:space="preserve">Recipients of </w:t>
      </w:r>
      <w:r w:rsidRPr="00552547" w:rsidR="00982D34">
        <w:rPr>
          <w:rFonts w:ascii="Times New Roman" w:hAnsi="Times New Roman"/>
          <w:sz w:val="24"/>
          <w:szCs w:val="24"/>
        </w:rPr>
        <w:t>Section 9003</w:t>
      </w:r>
      <w:r w:rsidRPr="00552547">
        <w:rPr>
          <w:rFonts w:ascii="Times New Roman" w:hAnsi="Times New Roman"/>
          <w:sz w:val="24"/>
          <w:szCs w:val="24"/>
        </w:rPr>
        <w:t xml:space="preserve"> loan assistance are typically not agricultural</w:t>
      </w:r>
      <w:r w:rsidRPr="00552547" w:rsidR="00982D34">
        <w:rPr>
          <w:rFonts w:ascii="Times New Roman" w:hAnsi="Times New Roman"/>
          <w:sz w:val="24"/>
          <w:szCs w:val="24"/>
        </w:rPr>
        <w:t xml:space="preserve"> businesses</w:t>
      </w:r>
      <w:r w:rsidRPr="00552547">
        <w:rPr>
          <w:rFonts w:ascii="Times New Roman" w:hAnsi="Times New Roman"/>
          <w:sz w:val="24"/>
          <w:szCs w:val="24"/>
        </w:rPr>
        <w:t xml:space="preserve">.  </w:t>
      </w:r>
      <w:r w:rsidRPr="00552547" w:rsidR="002F255F">
        <w:rPr>
          <w:rFonts w:ascii="Times New Roman" w:hAnsi="Times New Roman"/>
          <w:sz w:val="24"/>
          <w:szCs w:val="24"/>
        </w:rPr>
        <w:t xml:space="preserve">Consequently, very little of the information collected for this program would be useful in the Service Center Initiative.  The information is used only for administering the </w:t>
      </w:r>
      <w:r w:rsidRPr="00552547" w:rsidR="00982D34">
        <w:rPr>
          <w:rFonts w:ascii="Times New Roman" w:hAnsi="Times New Roman"/>
          <w:sz w:val="24"/>
          <w:szCs w:val="24"/>
        </w:rPr>
        <w:t>9003</w:t>
      </w:r>
      <w:r w:rsidR="002935A4">
        <w:rPr>
          <w:rFonts w:ascii="Times New Roman" w:hAnsi="Times New Roman"/>
          <w:sz w:val="24"/>
          <w:szCs w:val="24"/>
        </w:rPr>
        <w:t xml:space="preserve"> </w:t>
      </w:r>
      <w:r w:rsidRPr="00552547" w:rsidR="002F255F">
        <w:rPr>
          <w:rFonts w:ascii="Times New Roman" w:hAnsi="Times New Roman"/>
          <w:sz w:val="24"/>
          <w:szCs w:val="24"/>
        </w:rPr>
        <w:t xml:space="preserve">Program.  </w:t>
      </w:r>
    </w:p>
    <w:sectPr w:rsidRPr="00552547" w:rsidR="002F255F" w:rsidSect="003C4BB7">
      <w:headerReference w:type="default" r:id="rId15"/>
      <w:footerReference w:type="even" r:id="rId16"/>
      <w:footerReference w:type="default" r:id="rId17"/>
      <w:type w:val="continuous"/>
      <w:pgSz w:w="12240" w:h="15840" w:code="1"/>
      <w:pgMar w:top="1440" w:right="1440" w:bottom="1152" w:left="1440" w:header="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70B14" w14:textId="77777777" w:rsidR="005811C9" w:rsidRDefault="005811C9">
      <w:r>
        <w:separator/>
      </w:r>
    </w:p>
  </w:endnote>
  <w:endnote w:type="continuationSeparator" w:id="0">
    <w:p w14:paraId="4425A228" w14:textId="77777777" w:rsidR="005811C9" w:rsidRDefault="005811C9">
      <w:r>
        <w:continuationSeparator/>
      </w:r>
    </w:p>
  </w:endnote>
  <w:endnote w:type="continuationNotice" w:id="1">
    <w:p w14:paraId="6260D841" w14:textId="77777777" w:rsidR="005811C9" w:rsidRDefault="00581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WP">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F2153" w14:textId="77777777" w:rsidR="000F336E" w:rsidRDefault="000F33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E487D" w14:textId="77777777" w:rsidR="000F336E" w:rsidRDefault="000F3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161E" w14:textId="77777777" w:rsidR="000F336E" w:rsidRDefault="000F336E">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84CE0">
      <w:rPr>
        <w:rStyle w:val="PageNumber"/>
        <w:rFonts w:ascii="Times New Roman" w:hAnsi="Times New Roman"/>
        <w:noProof/>
      </w:rPr>
      <w:t>2</w:t>
    </w:r>
    <w:r>
      <w:rPr>
        <w:rStyle w:val="PageNumber"/>
        <w:rFonts w:ascii="Times New Roman" w:hAnsi="Times New Roman"/>
      </w:rPr>
      <w:fldChar w:fldCharType="end"/>
    </w:r>
  </w:p>
  <w:p w14:paraId="7DCB529D" w14:textId="77777777" w:rsidR="000F336E" w:rsidRDefault="000F3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D22BA" w14:textId="77777777" w:rsidR="005811C9" w:rsidRDefault="005811C9">
      <w:r>
        <w:separator/>
      </w:r>
    </w:p>
  </w:footnote>
  <w:footnote w:type="continuationSeparator" w:id="0">
    <w:p w14:paraId="40AFCFDD" w14:textId="77777777" w:rsidR="005811C9" w:rsidRDefault="005811C9">
      <w:r>
        <w:continuationSeparator/>
      </w:r>
    </w:p>
  </w:footnote>
  <w:footnote w:type="continuationNotice" w:id="1">
    <w:p w14:paraId="523815E7" w14:textId="77777777" w:rsidR="005811C9" w:rsidRDefault="00581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A5119" w14:textId="77777777" w:rsidR="000F336E" w:rsidRDefault="000F336E">
    <w:pPr>
      <w:pStyle w:val="Header"/>
      <w:rPr>
        <w:rFonts w:ascii="Times New Roman" w:hAnsi="Times New Roman"/>
      </w:rPr>
    </w:pPr>
  </w:p>
  <w:p w14:paraId="67A5E22E" w14:textId="77777777" w:rsidR="000F336E" w:rsidRDefault="000F336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E4F6A"/>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1F1947"/>
    <w:multiLevelType w:val="singleLevel"/>
    <w:tmpl w:val="B98CAC78"/>
    <w:lvl w:ilvl="0">
      <w:start w:val="13"/>
      <w:numFmt w:val="decimal"/>
      <w:lvlText w:val="%1."/>
      <w:lvlJc w:val="left"/>
      <w:pPr>
        <w:tabs>
          <w:tab w:val="num" w:pos="720"/>
        </w:tabs>
        <w:ind w:left="720" w:hanging="720"/>
      </w:pPr>
      <w:rPr>
        <w:rFonts w:hint="default"/>
        <w:b/>
      </w:rPr>
    </w:lvl>
  </w:abstractNum>
  <w:abstractNum w:abstractNumId="2" w15:restartNumberingAfterBreak="0">
    <w:nsid w:val="14FF3F65"/>
    <w:multiLevelType w:val="singleLevel"/>
    <w:tmpl w:val="7CF0820A"/>
    <w:lvl w:ilvl="0">
      <w:start w:val="1"/>
      <w:numFmt w:val="lowerLetter"/>
      <w:lvlText w:val="%1."/>
      <w:lvlJc w:val="left"/>
      <w:pPr>
        <w:tabs>
          <w:tab w:val="num" w:pos="1080"/>
        </w:tabs>
        <w:ind w:left="1080" w:hanging="360"/>
      </w:pPr>
      <w:rPr>
        <w:rFonts w:hint="default"/>
      </w:rPr>
    </w:lvl>
  </w:abstractNum>
  <w:abstractNum w:abstractNumId="3" w15:restartNumberingAfterBreak="0">
    <w:nsid w:val="16310530"/>
    <w:multiLevelType w:val="singleLevel"/>
    <w:tmpl w:val="8474DD0A"/>
    <w:lvl w:ilvl="0">
      <w:start w:val="12"/>
      <w:numFmt w:val="decimal"/>
      <w:lvlText w:val="%1."/>
      <w:lvlJc w:val="left"/>
      <w:pPr>
        <w:tabs>
          <w:tab w:val="num" w:pos="720"/>
        </w:tabs>
        <w:ind w:left="720" w:hanging="720"/>
      </w:pPr>
      <w:rPr>
        <w:rFonts w:hint="default"/>
        <w:b/>
      </w:rPr>
    </w:lvl>
  </w:abstractNum>
  <w:abstractNum w:abstractNumId="4" w15:restartNumberingAfterBreak="0">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95645"/>
    <w:multiLevelType w:val="singleLevel"/>
    <w:tmpl w:val="A630032C"/>
    <w:lvl w:ilvl="0">
      <w:start w:val="12"/>
      <w:numFmt w:val="decimal"/>
      <w:lvlText w:val="%1."/>
      <w:lvlJc w:val="left"/>
      <w:pPr>
        <w:tabs>
          <w:tab w:val="num" w:pos="720"/>
        </w:tabs>
        <w:ind w:left="720" w:hanging="720"/>
      </w:pPr>
      <w:rPr>
        <w:rFonts w:hint="default"/>
        <w:b/>
      </w:rPr>
    </w:lvl>
  </w:abstractNum>
  <w:abstractNum w:abstractNumId="6" w15:restartNumberingAfterBreak="0">
    <w:nsid w:val="48D840CF"/>
    <w:multiLevelType w:val="hybridMultilevel"/>
    <w:tmpl w:val="0CC2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BF5FBA"/>
    <w:multiLevelType w:val="hybridMultilevel"/>
    <w:tmpl w:val="4F9680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9" w15:restartNumberingAfterBreak="0">
    <w:nsid w:val="624A7267"/>
    <w:multiLevelType w:val="hybridMultilevel"/>
    <w:tmpl w:val="699E5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8"/>
  </w:num>
  <w:num w:numId="5">
    <w:abstractNumId w:val="7"/>
  </w:num>
  <w:num w:numId="6">
    <w:abstractNumId w:val="4"/>
  </w:num>
  <w:num w:numId="7">
    <w:abstractNumId w:val="2"/>
  </w:num>
  <w:num w:numId="8">
    <w:abstractNumId w:val="10"/>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9E"/>
    <w:rsid w:val="000005F8"/>
    <w:rsid w:val="00000EE2"/>
    <w:rsid w:val="00001033"/>
    <w:rsid w:val="00001054"/>
    <w:rsid w:val="00003FF9"/>
    <w:rsid w:val="00006145"/>
    <w:rsid w:val="0001150E"/>
    <w:rsid w:val="000151AA"/>
    <w:rsid w:val="00017B84"/>
    <w:rsid w:val="000200DA"/>
    <w:rsid w:val="000271BE"/>
    <w:rsid w:val="00030C4A"/>
    <w:rsid w:val="00035740"/>
    <w:rsid w:val="00036462"/>
    <w:rsid w:val="00037168"/>
    <w:rsid w:val="000502E4"/>
    <w:rsid w:val="00052899"/>
    <w:rsid w:val="00054A5C"/>
    <w:rsid w:val="00054C9D"/>
    <w:rsid w:val="00057B06"/>
    <w:rsid w:val="0006007E"/>
    <w:rsid w:val="000624BC"/>
    <w:rsid w:val="00064B6F"/>
    <w:rsid w:val="00064C28"/>
    <w:rsid w:val="00065F9A"/>
    <w:rsid w:val="000707EF"/>
    <w:rsid w:val="00081F37"/>
    <w:rsid w:val="00093FA8"/>
    <w:rsid w:val="00094CBD"/>
    <w:rsid w:val="000A144A"/>
    <w:rsid w:val="000A369E"/>
    <w:rsid w:val="000A7FFB"/>
    <w:rsid w:val="000B0FC2"/>
    <w:rsid w:val="000B33DE"/>
    <w:rsid w:val="000B5CDE"/>
    <w:rsid w:val="000B5F2B"/>
    <w:rsid w:val="000C0E65"/>
    <w:rsid w:val="000C15EC"/>
    <w:rsid w:val="000C436B"/>
    <w:rsid w:val="000C4769"/>
    <w:rsid w:val="000D1375"/>
    <w:rsid w:val="000D2AF8"/>
    <w:rsid w:val="000D3C2F"/>
    <w:rsid w:val="000D5CE6"/>
    <w:rsid w:val="000E6662"/>
    <w:rsid w:val="000F336E"/>
    <w:rsid w:val="000F5E00"/>
    <w:rsid w:val="0010409C"/>
    <w:rsid w:val="00105FD3"/>
    <w:rsid w:val="0011169E"/>
    <w:rsid w:val="001126A0"/>
    <w:rsid w:val="00115106"/>
    <w:rsid w:val="00120ADB"/>
    <w:rsid w:val="00127AED"/>
    <w:rsid w:val="001350D6"/>
    <w:rsid w:val="00136C46"/>
    <w:rsid w:val="00137DB2"/>
    <w:rsid w:val="00141E43"/>
    <w:rsid w:val="00144334"/>
    <w:rsid w:val="00145B00"/>
    <w:rsid w:val="0014717E"/>
    <w:rsid w:val="0015031B"/>
    <w:rsid w:val="001530DA"/>
    <w:rsid w:val="00166278"/>
    <w:rsid w:val="00167F75"/>
    <w:rsid w:val="0017220D"/>
    <w:rsid w:val="00172B37"/>
    <w:rsid w:val="00176080"/>
    <w:rsid w:val="00176F21"/>
    <w:rsid w:val="00182055"/>
    <w:rsid w:val="0018247F"/>
    <w:rsid w:val="0018256D"/>
    <w:rsid w:val="00183252"/>
    <w:rsid w:val="00183838"/>
    <w:rsid w:val="0018420E"/>
    <w:rsid w:val="00184642"/>
    <w:rsid w:val="00186BC0"/>
    <w:rsid w:val="00197DA1"/>
    <w:rsid w:val="001A4DF1"/>
    <w:rsid w:val="001A59FF"/>
    <w:rsid w:val="001A72B6"/>
    <w:rsid w:val="001B1481"/>
    <w:rsid w:val="001B18B0"/>
    <w:rsid w:val="001B1A7C"/>
    <w:rsid w:val="001B6DDD"/>
    <w:rsid w:val="001C2527"/>
    <w:rsid w:val="001C329F"/>
    <w:rsid w:val="001C3424"/>
    <w:rsid w:val="001C3FA3"/>
    <w:rsid w:val="001C5FC8"/>
    <w:rsid w:val="001C6591"/>
    <w:rsid w:val="001C7035"/>
    <w:rsid w:val="001D0A71"/>
    <w:rsid w:val="001D12B4"/>
    <w:rsid w:val="001D1998"/>
    <w:rsid w:val="001D200A"/>
    <w:rsid w:val="001D6888"/>
    <w:rsid w:val="001E438A"/>
    <w:rsid w:val="001E51DC"/>
    <w:rsid w:val="001F00DD"/>
    <w:rsid w:val="001F4038"/>
    <w:rsid w:val="001F6E00"/>
    <w:rsid w:val="00202603"/>
    <w:rsid w:val="00206040"/>
    <w:rsid w:val="00206B83"/>
    <w:rsid w:val="00207195"/>
    <w:rsid w:val="002078E1"/>
    <w:rsid w:val="00210DBF"/>
    <w:rsid w:val="002134BC"/>
    <w:rsid w:val="00216B2B"/>
    <w:rsid w:val="002222BA"/>
    <w:rsid w:val="0022671A"/>
    <w:rsid w:val="002279E3"/>
    <w:rsid w:val="0023128D"/>
    <w:rsid w:val="00233AC4"/>
    <w:rsid w:val="00240D26"/>
    <w:rsid w:val="00241A98"/>
    <w:rsid w:val="00242E28"/>
    <w:rsid w:val="00245D8A"/>
    <w:rsid w:val="00251E7C"/>
    <w:rsid w:val="00253A9D"/>
    <w:rsid w:val="00266C82"/>
    <w:rsid w:val="00271091"/>
    <w:rsid w:val="00271C54"/>
    <w:rsid w:val="0027289B"/>
    <w:rsid w:val="00275141"/>
    <w:rsid w:val="002751AE"/>
    <w:rsid w:val="00280805"/>
    <w:rsid w:val="00281F4B"/>
    <w:rsid w:val="002935A4"/>
    <w:rsid w:val="002967DC"/>
    <w:rsid w:val="002A2BCF"/>
    <w:rsid w:val="002A3138"/>
    <w:rsid w:val="002A3E91"/>
    <w:rsid w:val="002A68DB"/>
    <w:rsid w:val="002B442F"/>
    <w:rsid w:val="002C37A3"/>
    <w:rsid w:val="002C573B"/>
    <w:rsid w:val="002C695B"/>
    <w:rsid w:val="002C720B"/>
    <w:rsid w:val="002D5AEC"/>
    <w:rsid w:val="002F255F"/>
    <w:rsid w:val="002F449E"/>
    <w:rsid w:val="002F5C6B"/>
    <w:rsid w:val="00304192"/>
    <w:rsid w:val="00317D33"/>
    <w:rsid w:val="00322114"/>
    <w:rsid w:val="003305B1"/>
    <w:rsid w:val="00336BBD"/>
    <w:rsid w:val="00341869"/>
    <w:rsid w:val="003421D8"/>
    <w:rsid w:val="00342A0A"/>
    <w:rsid w:val="00344107"/>
    <w:rsid w:val="00346758"/>
    <w:rsid w:val="003478D5"/>
    <w:rsid w:val="00350430"/>
    <w:rsid w:val="00351037"/>
    <w:rsid w:val="00352852"/>
    <w:rsid w:val="003538D3"/>
    <w:rsid w:val="00353B80"/>
    <w:rsid w:val="003569D8"/>
    <w:rsid w:val="003613E5"/>
    <w:rsid w:val="00361F4A"/>
    <w:rsid w:val="003727BE"/>
    <w:rsid w:val="0037501D"/>
    <w:rsid w:val="00386E89"/>
    <w:rsid w:val="00391773"/>
    <w:rsid w:val="00394139"/>
    <w:rsid w:val="003A6AEE"/>
    <w:rsid w:val="003A7D73"/>
    <w:rsid w:val="003B0540"/>
    <w:rsid w:val="003B09D0"/>
    <w:rsid w:val="003B2D8E"/>
    <w:rsid w:val="003C4BB7"/>
    <w:rsid w:val="003C551F"/>
    <w:rsid w:val="003D4561"/>
    <w:rsid w:val="003D4D75"/>
    <w:rsid w:val="003D67E3"/>
    <w:rsid w:val="003E1418"/>
    <w:rsid w:val="003E7E09"/>
    <w:rsid w:val="003F152D"/>
    <w:rsid w:val="003F4ED4"/>
    <w:rsid w:val="003F6F7B"/>
    <w:rsid w:val="00400154"/>
    <w:rsid w:val="0040090E"/>
    <w:rsid w:val="0040354F"/>
    <w:rsid w:val="00404AF2"/>
    <w:rsid w:val="00412728"/>
    <w:rsid w:val="00426798"/>
    <w:rsid w:val="00432681"/>
    <w:rsid w:val="004372F9"/>
    <w:rsid w:val="004420AE"/>
    <w:rsid w:val="0044385F"/>
    <w:rsid w:val="00443FEC"/>
    <w:rsid w:val="00445045"/>
    <w:rsid w:val="00445B9B"/>
    <w:rsid w:val="004506E3"/>
    <w:rsid w:val="0045307F"/>
    <w:rsid w:val="00462CDA"/>
    <w:rsid w:val="0046459A"/>
    <w:rsid w:val="00465572"/>
    <w:rsid w:val="00466120"/>
    <w:rsid w:val="0046753E"/>
    <w:rsid w:val="004839A0"/>
    <w:rsid w:val="00486786"/>
    <w:rsid w:val="004A7185"/>
    <w:rsid w:val="004A792E"/>
    <w:rsid w:val="004B05D1"/>
    <w:rsid w:val="004B2221"/>
    <w:rsid w:val="004B267C"/>
    <w:rsid w:val="004B3438"/>
    <w:rsid w:val="004C4D99"/>
    <w:rsid w:val="004E3EF8"/>
    <w:rsid w:val="004E4C12"/>
    <w:rsid w:val="004E66B5"/>
    <w:rsid w:val="004F0931"/>
    <w:rsid w:val="004F6489"/>
    <w:rsid w:val="004F710B"/>
    <w:rsid w:val="0050150F"/>
    <w:rsid w:val="005074C9"/>
    <w:rsid w:val="005177AA"/>
    <w:rsid w:val="00520956"/>
    <w:rsid w:val="0052211E"/>
    <w:rsid w:val="005247C6"/>
    <w:rsid w:val="00530A51"/>
    <w:rsid w:val="00534C64"/>
    <w:rsid w:val="00537840"/>
    <w:rsid w:val="00537FC1"/>
    <w:rsid w:val="00540AD0"/>
    <w:rsid w:val="0054334A"/>
    <w:rsid w:val="005448DF"/>
    <w:rsid w:val="00552547"/>
    <w:rsid w:val="00553AD4"/>
    <w:rsid w:val="005547C1"/>
    <w:rsid w:val="00561A4A"/>
    <w:rsid w:val="00561BAC"/>
    <w:rsid w:val="00562CF0"/>
    <w:rsid w:val="00565195"/>
    <w:rsid w:val="00572912"/>
    <w:rsid w:val="005735D2"/>
    <w:rsid w:val="00574738"/>
    <w:rsid w:val="005772AB"/>
    <w:rsid w:val="005811C9"/>
    <w:rsid w:val="005919AD"/>
    <w:rsid w:val="00595052"/>
    <w:rsid w:val="005B34D4"/>
    <w:rsid w:val="005B78A1"/>
    <w:rsid w:val="005C0629"/>
    <w:rsid w:val="005C30F6"/>
    <w:rsid w:val="005D5BD2"/>
    <w:rsid w:val="005D5EB3"/>
    <w:rsid w:val="005D72CA"/>
    <w:rsid w:val="005E5D5C"/>
    <w:rsid w:val="005E5F49"/>
    <w:rsid w:val="005E6DD3"/>
    <w:rsid w:val="005F3978"/>
    <w:rsid w:val="005F62D5"/>
    <w:rsid w:val="005F656A"/>
    <w:rsid w:val="005F7570"/>
    <w:rsid w:val="00602A12"/>
    <w:rsid w:val="006030C9"/>
    <w:rsid w:val="00603368"/>
    <w:rsid w:val="006057F2"/>
    <w:rsid w:val="00606B60"/>
    <w:rsid w:val="006124D7"/>
    <w:rsid w:val="00612B63"/>
    <w:rsid w:val="00616B94"/>
    <w:rsid w:val="00617ABB"/>
    <w:rsid w:val="006220AB"/>
    <w:rsid w:val="00623801"/>
    <w:rsid w:val="00630560"/>
    <w:rsid w:val="00632749"/>
    <w:rsid w:val="00635245"/>
    <w:rsid w:val="00636D54"/>
    <w:rsid w:val="00636D9B"/>
    <w:rsid w:val="00640FA7"/>
    <w:rsid w:val="0064124B"/>
    <w:rsid w:val="0065728A"/>
    <w:rsid w:val="00660AB0"/>
    <w:rsid w:val="00661508"/>
    <w:rsid w:val="006623C4"/>
    <w:rsid w:val="006835BF"/>
    <w:rsid w:val="00684EFF"/>
    <w:rsid w:val="00685131"/>
    <w:rsid w:val="00687E77"/>
    <w:rsid w:val="00692EAD"/>
    <w:rsid w:val="0069396D"/>
    <w:rsid w:val="00694D93"/>
    <w:rsid w:val="00694E5F"/>
    <w:rsid w:val="0069662B"/>
    <w:rsid w:val="006A1FF0"/>
    <w:rsid w:val="006A4124"/>
    <w:rsid w:val="006B604A"/>
    <w:rsid w:val="006B7F5A"/>
    <w:rsid w:val="006C33FC"/>
    <w:rsid w:val="006C642F"/>
    <w:rsid w:val="006C729D"/>
    <w:rsid w:val="006D1475"/>
    <w:rsid w:val="006D3E02"/>
    <w:rsid w:val="006D582A"/>
    <w:rsid w:val="006D6A2B"/>
    <w:rsid w:val="006F0DBA"/>
    <w:rsid w:val="006F0F50"/>
    <w:rsid w:val="006F25C8"/>
    <w:rsid w:val="006F2AAC"/>
    <w:rsid w:val="006F300F"/>
    <w:rsid w:val="006F3062"/>
    <w:rsid w:val="006F3C3A"/>
    <w:rsid w:val="006F5272"/>
    <w:rsid w:val="0070025D"/>
    <w:rsid w:val="0071054E"/>
    <w:rsid w:val="00710FDD"/>
    <w:rsid w:val="00715625"/>
    <w:rsid w:val="007156AE"/>
    <w:rsid w:val="00716A3C"/>
    <w:rsid w:val="007173B2"/>
    <w:rsid w:val="007219B7"/>
    <w:rsid w:val="00731EBD"/>
    <w:rsid w:val="00733589"/>
    <w:rsid w:val="007408AA"/>
    <w:rsid w:val="0074475C"/>
    <w:rsid w:val="00751923"/>
    <w:rsid w:val="00751A3D"/>
    <w:rsid w:val="0076466E"/>
    <w:rsid w:val="0076526D"/>
    <w:rsid w:val="0078547D"/>
    <w:rsid w:val="00793C23"/>
    <w:rsid w:val="007A7229"/>
    <w:rsid w:val="007B1CAD"/>
    <w:rsid w:val="007B5AF5"/>
    <w:rsid w:val="007B7646"/>
    <w:rsid w:val="007C2D92"/>
    <w:rsid w:val="007C4225"/>
    <w:rsid w:val="007D633B"/>
    <w:rsid w:val="007F1934"/>
    <w:rsid w:val="007F39A7"/>
    <w:rsid w:val="007F5B2D"/>
    <w:rsid w:val="00803430"/>
    <w:rsid w:val="0080472B"/>
    <w:rsid w:val="00805B16"/>
    <w:rsid w:val="00807972"/>
    <w:rsid w:val="00810ED3"/>
    <w:rsid w:val="00813FD8"/>
    <w:rsid w:val="00815264"/>
    <w:rsid w:val="0081672D"/>
    <w:rsid w:val="00820012"/>
    <w:rsid w:val="00827943"/>
    <w:rsid w:val="008303FA"/>
    <w:rsid w:val="008313B1"/>
    <w:rsid w:val="008313C0"/>
    <w:rsid w:val="008349B5"/>
    <w:rsid w:val="00835F06"/>
    <w:rsid w:val="00836219"/>
    <w:rsid w:val="008423B8"/>
    <w:rsid w:val="00846018"/>
    <w:rsid w:val="00862C58"/>
    <w:rsid w:val="008651C1"/>
    <w:rsid w:val="008705FF"/>
    <w:rsid w:val="00871120"/>
    <w:rsid w:val="00871911"/>
    <w:rsid w:val="00872855"/>
    <w:rsid w:val="00873916"/>
    <w:rsid w:val="00874678"/>
    <w:rsid w:val="00880257"/>
    <w:rsid w:val="00882143"/>
    <w:rsid w:val="00882992"/>
    <w:rsid w:val="00884CE0"/>
    <w:rsid w:val="00886A63"/>
    <w:rsid w:val="008907B1"/>
    <w:rsid w:val="00894B79"/>
    <w:rsid w:val="0089596D"/>
    <w:rsid w:val="00897CC9"/>
    <w:rsid w:val="008A6F47"/>
    <w:rsid w:val="008B363C"/>
    <w:rsid w:val="008B5EF0"/>
    <w:rsid w:val="008B7C1A"/>
    <w:rsid w:val="008C26DE"/>
    <w:rsid w:val="008C3265"/>
    <w:rsid w:val="008D4EEC"/>
    <w:rsid w:val="008D683E"/>
    <w:rsid w:val="008E580E"/>
    <w:rsid w:val="008F0E35"/>
    <w:rsid w:val="008F1404"/>
    <w:rsid w:val="008F1DC6"/>
    <w:rsid w:val="008F256B"/>
    <w:rsid w:val="008F54ED"/>
    <w:rsid w:val="008F7B7F"/>
    <w:rsid w:val="00900F23"/>
    <w:rsid w:val="0090487B"/>
    <w:rsid w:val="00905524"/>
    <w:rsid w:val="00906410"/>
    <w:rsid w:val="00906DCC"/>
    <w:rsid w:val="00911109"/>
    <w:rsid w:val="009122CF"/>
    <w:rsid w:val="0091636C"/>
    <w:rsid w:val="0092116B"/>
    <w:rsid w:val="0092191A"/>
    <w:rsid w:val="00921DE7"/>
    <w:rsid w:val="009256F8"/>
    <w:rsid w:val="009326BA"/>
    <w:rsid w:val="00935455"/>
    <w:rsid w:val="00941852"/>
    <w:rsid w:val="00942471"/>
    <w:rsid w:val="0094518A"/>
    <w:rsid w:val="00945F75"/>
    <w:rsid w:val="00947764"/>
    <w:rsid w:val="00955481"/>
    <w:rsid w:val="00955755"/>
    <w:rsid w:val="00960AB9"/>
    <w:rsid w:val="0096481C"/>
    <w:rsid w:val="00966341"/>
    <w:rsid w:val="0097116F"/>
    <w:rsid w:val="009730E1"/>
    <w:rsid w:val="00973411"/>
    <w:rsid w:val="00974ACB"/>
    <w:rsid w:val="00977106"/>
    <w:rsid w:val="00977BCC"/>
    <w:rsid w:val="00981F39"/>
    <w:rsid w:val="00982D34"/>
    <w:rsid w:val="00984A52"/>
    <w:rsid w:val="00985D79"/>
    <w:rsid w:val="00987C56"/>
    <w:rsid w:val="009902D2"/>
    <w:rsid w:val="009964BE"/>
    <w:rsid w:val="00997AEC"/>
    <w:rsid w:val="009A0965"/>
    <w:rsid w:val="009A0C27"/>
    <w:rsid w:val="009A4083"/>
    <w:rsid w:val="009B7582"/>
    <w:rsid w:val="009C10CF"/>
    <w:rsid w:val="009C10E0"/>
    <w:rsid w:val="009C242B"/>
    <w:rsid w:val="009C43AB"/>
    <w:rsid w:val="009C718B"/>
    <w:rsid w:val="009E0580"/>
    <w:rsid w:val="009E1A8C"/>
    <w:rsid w:val="009E1E8F"/>
    <w:rsid w:val="009E2630"/>
    <w:rsid w:val="009E2988"/>
    <w:rsid w:val="00A002E0"/>
    <w:rsid w:val="00A03BAA"/>
    <w:rsid w:val="00A03EDF"/>
    <w:rsid w:val="00A04E39"/>
    <w:rsid w:val="00A055E2"/>
    <w:rsid w:val="00A16D8C"/>
    <w:rsid w:val="00A218CE"/>
    <w:rsid w:val="00A244B2"/>
    <w:rsid w:val="00A27AF8"/>
    <w:rsid w:val="00A31176"/>
    <w:rsid w:val="00A3327D"/>
    <w:rsid w:val="00A408D2"/>
    <w:rsid w:val="00A40915"/>
    <w:rsid w:val="00A41865"/>
    <w:rsid w:val="00A442F3"/>
    <w:rsid w:val="00A46253"/>
    <w:rsid w:val="00A476B8"/>
    <w:rsid w:val="00A504EE"/>
    <w:rsid w:val="00A521B5"/>
    <w:rsid w:val="00A5291C"/>
    <w:rsid w:val="00A567BB"/>
    <w:rsid w:val="00A57DB4"/>
    <w:rsid w:val="00A57F20"/>
    <w:rsid w:val="00A6191D"/>
    <w:rsid w:val="00A61A37"/>
    <w:rsid w:val="00A736E8"/>
    <w:rsid w:val="00A73E14"/>
    <w:rsid w:val="00A74D1F"/>
    <w:rsid w:val="00A81183"/>
    <w:rsid w:val="00A829A5"/>
    <w:rsid w:val="00A85D39"/>
    <w:rsid w:val="00A86686"/>
    <w:rsid w:val="00A87800"/>
    <w:rsid w:val="00A92CB2"/>
    <w:rsid w:val="00A96294"/>
    <w:rsid w:val="00AA4615"/>
    <w:rsid w:val="00AA5E2C"/>
    <w:rsid w:val="00AA6C0B"/>
    <w:rsid w:val="00AB3C75"/>
    <w:rsid w:val="00AC2845"/>
    <w:rsid w:val="00AC47CF"/>
    <w:rsid w:val="00AC6F13"/>
    <w:rsid w:val="00AD5E90"/>
    <w:rsid w:val="00AD7B4B"/>
    <w:rsid w:val="00AE4945"/>
    <w:rsid w:val="00AF1409"/>
    <w:rsid w:val="00AF2AAB"/>
    <w:rsid w:val="00AF5EFD"/>
    <w:rsid w:val="00B048A4"/>
    <w:rsid w:val="00B076CE"/>
    <w:rsid w:val="00B1187C"/>
    <w:rsid w:val="00B21B56"/>
    <w:rsid w:val="00B23A4E"/>
    <w:rsid w:val="00B260A2"/>
    <w:rsid w:val="00B30BC0"/>
    <w:rsid w:val="00B32348"/>
    <w:rsid w:val="00B34F1D"/>
    <w:rsid w:val="00B3738A"/>
    <w:rsid w:val="00B41B86"/>
    <w:rsid w:val="00B438EA"/>
    <w:rsid w:val="00B62C70"/>
    <w:rsid w:val="00B63E09"/>
    <w:rsid w:val="00B63F5E"/>
    <w:rsid w:val="00B655C4"/>
    <w:rsid w:val="00B65A5E"/>
    <w:rsid w:val="00B67F22"/>
    <w:rsid w:val="00B730A8"/>
    <w:rsid w:val="00B820E5"/>
    <w:rsid w:val="00B8298E"/>
    <w:rsid w:val="00B84E37"/>
    <w:rsid w:val="00B86AA3"/>
    <w:rsid w:val="00B90CCE"/>
    <w:rsid w:val="00BA1AAA"/>
    <w:rsid w:val="00BA3D47"/>
    <w:rsid w:val="00BB1804"/>
    <w:rsid w:val="00BB4095"/>
    <w:rsid w:val="00BB7906"/>
    <w:rsid w:val="00BC1157"/>
    <w:rsid w:val="00BC1A13"/>
    <w:rsid w:val="00BD5BDD"/>
    <w:rsid w:val="00BD6070"/>
    <w:rsid w:val="00BD6E3D"/>
    <w:rsid w:val="00C0522B"/>
    <w:rsid w:val="00C07624"/>
    <w:rsid w:val="00C20FAD"/>
    <w:rsid w:val="00C2184E"/>
    <w:rsid w:val="00C23D9B"/>
    <w:rsid w:val="00C25945"/>
    <w:rsid w:val="00C32656"/>
    <w:rsid w:val="00C3448E"/>
    <w:rsid w:val="00C37FE6"/>
    <w:rsid w:val="00C47AE9"/>
    <w:rsid w:val="00C53019"/>
    <w:rsid w:val="00C577BB"/>
    <w:rsid w:val="00C66C3A"/>
    <w:rsid w:val="00C72E63"/>
    <w:rsid w:val="00C74527"/>
    <w:rsid w:val="00C8221F"/>
    <w:rsid w:val="00C828FA"/>
    <w:rsid w:val="00C83BB1"/>
    <w:rsid w:val="00C84168"/>
    <w:rsid w:val="00C84856"/>
    <w:rsid w:val="00C85D5D"/>
    <w:rsid w:val="00C9032D"/>
    <w:rsid w:val="00C95B81"/>
    <w:rsid w:val="00C97365"/>
    <w:rsid w:val="00CA120D"/>
    <w:rsid w:val="00CA1F51"/>
    <w:rsid w:val="00CA5FDE"/>
    <w:rsid w:val="00CB3003"/>
    <w:rsid w:val="00CC03E0"/>
    <w:rsid w:val="00CD691A"/>
    <w:rsid w:val="00CD6EFF"/>
    <w:rsid w:val="00CE0DB9"/>
    <w:rsid w:val="00CE6FBC"/>
    <w:rsid w:val="00D03D0E"/>
    <w:rsid w:val="00D047FB"/>
    <w:rsid w:val="00D1618C"/>
    <w:rsid w:val="00D26CC1"/>
    <w:rsid w:val="00D337A7"/>
    <w:rsid w:val="00D34F1D"/>
    <w:rsid w:val="00D356D9"/>
    <w:rsid w:val="00D359CF"/>
    <w:rsid w:val="00D4298E"/>
    <w:rsid w:val="00D43F19"/>
    <w:rsid w:val="00D47DAF"/>
    <w:rsid w:val="00D55618"/>
    <w:rsid w:val="00D7036E"/>
    <w:rsid w:val="00D7239F"/>
    <w:rsid w:val="00D748E8"/>
    <w:rsid w:val="00D76314"/>
    <w:rsid w:val="00D77596"/>
    <w:rsid w:val="00D83281"/>
    <w:rsid w:val="00D85ABA"/>
    <w:rsid w:val="00D96DC2"/>
    <w:rsid w:val="00DA2221"/>
    <w:rsid w:val="00DA26FC"/>
    <w:rsid w:val="00DA41E8"/>
    <w:rsid w:val="00DA66AC"/>
    <w:rsid w:val="00DA6D5B"/>
    <w:rsid w:val="00DB4A1F"/>
    <w:rsid w:val="00DC07D3"/>
    <w:rsid w:val="00DC2631"/>
    <w:rsid w:val="00DC2A2D"/>
    <w:rsid w:val="00DD227E"/>
    <w:rsid w:val="00DD53D6"/>
    <w:rsid w:val="00DD5C85"/>
    <w:rsid w:val="00DD6867"/>
    <w:rsid w:val="00DE7452"/>
    <w:rsid w:val="00DE7E55"/>
    <w:rsid w:val="00DF6E96"/>
    <w:rsid w:val="00E00124"/>
    <w:rsid w:val="00E01125"/>
    <w:rsid w:val="00E032BA"/>
    <w:rsid w:val="00E03EBD"/>
    <w:rsid w:val="00E11D22"/>
    <w:rsid w:val="00E238F5"/>
    <w:rsid w:val="00E249FD"/>
    <w:rsid w:val="00E27271"/>
    <w:rsid w:val="00E30EC8"/>
    <w:rsid w:val="00E32872"/>
    <w:rsid w:val="00E336C2"/>
    <w:rsid w:val="00E360F0"/>
    <w:rsid w:val="00E3772E"/>
    <w:rsid w:val="00E4009D"/>
    <w:rsid w:val="00E411BC"/>
    <w:rsid w:val="00E42A9D"/>
    <w:rsid w:val="00E42D25"/>
    <w:rsid w:val="00E42FFA"/>
    <w:rsid w:val="00E432D9"/>
    <w:rsid w:val="00E513A0"/>
    <w:rsid w:val="00E51777"/>
    <w:rsid w:val="00E61CBB"/>
    <w:rsid w:val="00E8276A"/>
    <w:rsid w:val="00E91F04"/>
    <w:rsid w:val="00E92BBC"/>
    <w:rsid w:val="00E93CD8"/>
    <w:rsid w:val="00EA1A17"/>
    <w:rsid w:val="00EA3531"/>
    <w:rsid w:val="00EA4737"/>
    <w:rsid w:val="00EA4C33"/>
    <w:rsid w:val="00EA6DA1"/>
    <w:rsid w:val="00EA6F5B"/>
    <w:rsid w:val="00EB05B3"/>
    <w:rsid w:val="00EB729B"/>
    <w:rsid w:val="00EC17D3"/>
    <w:rsid w:val="00EC2832"/>
    <w:rsid w:val="00EC344A"/>
    <w:rsid w:val="00ED0A31"/>
    <w:rsid w:val="00ED128B"/>
    <w:rsid w:val="00ED3934"/>
    <w:rsid w:val="00EE3CE6"/>
    <w:rsid w:val="00EE6D54"/>
    <w:rsid w:val="00EF1090"/>
    <w:rsid w:val="00EF647E"/>
    <w:rsid w:val="00EF739F"/>
    <w:rsid w:val="00EF7C54"/>
    <w:rsid w:val="00F0185F"/>
    <w:rsid w:val="00F0467E"/>
    <w:rsid w:val="00F05093"/>
    <w:rsid w:val="00F15881"/>
    <w:rsid w:val="00F17A28"/>
    <w:rsid w:val="00F21D06"/>
    <w:rsid w:val="00F21FC8"/>
    <w:rsid w:val="00F2352D"/>
    <w:rsid w:val="00F33310"/>
    <w:rsid w:val="00F35410"/>
    <w:rsid w:val="00F4699D"/>
    <w:rsid w:val="00F47C62"/>
    <w:rsid w:val="00F5104E"/>
    <w:rsid w:val="00F574B0"/>
    <w:rsid w:val="00F60797"/>
    <w:rsid w:val="00F70929"/>
    <w:rsid w:val="00F83CEA"/>
    <w:rsid w:val="00F8475B"/>
    <w:rsid w:val="00F858AC"/>
    <w:rsid w:val="00F91241"/>
    <w:rsid w:val="00F923FB"/>
    <w:rsid w:val="00FA5C96"/>
    <w:rsid w:val="00FA618A"/>
    <w:rsid w:val="00FB70F0"/>
    <w:rsid w:val="00FC2C9C"/>
    <w:rsid w:val="00FC2F46"/>
    <w:rsid w:val="00FC3556"/>
    <w:rsid w:val="00FC583C"/>
    <w:rsid w:val="00FC6C39"/>
    <w:rsid w:val="00FC6DE1"/>
    <w:rsid w:val="00FC787D"/>
    <w:rsid w:val="00FE3716"/>
    <w:rsid w:val="00FE5539"/>
    <w:rsid w:val="00FE59BD"/>
    <w:rsid w:val="00FF0BFC"/>
    <w:rsid w:val="00FF0FD6"/>
    <w:rsid w:val="00FF3AA2"/>
    <w:rsid w:val="00FF3C1B"/>
    <w:rsid w:val="00FF73F2"/>
    <w:rsid w:val="1863056B"/>
    <w:rsid w:val="327E6735"/>
    <w:rsid w:val="3A7050BD"/>
    <w:rsid w:val="3B6F032B"/>
    <w:rsid w:val="3E24305B"/>
    <w:rsid w:val="3E3A70F8"/>
    <w:rsid w:val="50FDA391"/>
    <w:rsid w:val="76C97E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72E8B"/>
  <w15:chartTrackingRefBased/>
  <w15:docId w15:val="{59CEF660-0023-4E73-A838-0911598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doni-WP" w:eastAsia="Times New Roman" w:hAnsi="Bodoni-WP"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3B09D0"/>
    <w:pPr>
      <w:keepNext/>
      <w:widowControl w:val="0"/>
      <w:outlineLvl w:val="1"/>
    </w:pPr>
    <w:rPr>
      <w:rFonts w:ascii="Times New Roman" w:hAnsi="Times New Roman"/>
      <w:b/>
      <w:snapToGrid w:val="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360"/>
    </w:pPr>
    <w:rPr>
      <w:rFonts w:ascii="Times New Roman" w:hAnsi="Times New Roman"/>
      <w:sz w:val="24"/>
    </w:rPr>
  </w:style>
  <w:style w:type="paragraph" w:styleId="BalloonText">
    <w:name w:val="Balloon Text"/>
    <w:basedOn w:val="Normal"/>
    <w:semiHidden/>
    <w:rsid w:val="00F5104E"/>
    <w:rPr>
      <w:rFonts w:ascii="Tahoma" w:hAnsi="Tahoma" w:cs="Tahoma"/>
      <w:sz w:val="16"/>
      <w:szCs w:val="16"/>
    </w:rPr>
  </w:style>
  <w:style w:type="character" w:styleId="CommentReference">
    <w:name w:val="annotation reference"/>
    <w:uiPriority w:val="99"/>
    <w:rsid w:val="005247C6"/>
    <w:rPr>
      <w:sz w:val="16"/>
      <w:szCs w:val="16"/>
    </w:rPr>
  </w:style>
  <w:style w:type="paragraph" w:styleId="CommentText">
    <w:name w:val="annotation text"/>
    <w:basedOn w:val="Normal"/>
    <w:link w:val="CommentTextChar"/>
    <w:uiPriority w:val="99"/>
    <w:rsid w:val="005247C6"/>
  </w:style>
  <w:style w:type="paragraph" w:styleId="CommentSubject">
    <w:name w:val="annotation subject"/>
    <w:basedOn w:val="CommentText"/>
    <w:next w:val="CommentText"/>
    <w:semiHidden/>
    <w:rsid w:val="005247C6"/>
    <w:rPr>
      <w:b/>
      <w:bCs/>
    </w:rPr>
  </w:style>
  <w:style w:type="paragraph" w:styleId="NormalWeb">
    <w:name w:val="Normal (Web)"/>
    <w:basedOn w:val="Normal"/>
    <w:rsid w:val="00C0522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561A4A"/>
    <w:pPr>
      <w:spacing w:after="120"/>
      <w:ind w:left="360"/>
    </w:pPr>
  </w:style>
  <w:style w:type="character" w:customStyle="1" w:styleId="BodyTextIndentChar">
    <w:name w:val="Body Text Indent Char"/>
    <w:basedOn w:val="DefaultParagraphFont"/>
    <w:link w:val="BodyTextIndent"/>
    <w:rsid w:val="00561A4A"/>
  </w:style>
  <w:style w:type="character" w:customStyle="1" w:styleId="CommentTextChar">
    <w:name w:val="Comment Text Char"/>
    <w:link w:val="CommentText"/>
    <w:uiPriority w:val="99"/>
    <w:rsid w:val="002222BA"/>
  </w:style>
  <w:style w:type="paragraph" w:customStyle="1" w:styleId="Paragrapha">
    <w:name w:val="Paragraph (a)"/>
    <w:rsid w:val="00D03D0E"/>
    <w:pPr>
      <w:overflowPunct w:val="0"/>
      <w:autoSpaceDE w:val="0"/>
      <w:autoSpaceDN w:val="0"/>
      <w:adjustRightInd w:val="0"/>
      <w:spacing w:line="240" w:lineRule="exact"/>
      <w:ind w:left="605"/>
      <w:textAlignment w:val="baseline"/>
    </w:pPr>
    <w:rPr>
      <w:rFonts w:ascii="Courier" w:hAnsi="Courier"/>
    </w:rPr>
  </w:style>
  <w:style w:type="paragraph" w:styleId="ListParagraph">
    <w:name w:val="List Paragraph"/>
    <w:basedOn w:val="Normal"/>
    <w:uiPriority w:val="34"/>
    <w:qFormat/>
    <w:rsid w:val="00B41B86"/>
    <w:pPr>
      <w:ind w:left="720"/>
    </w:pPr>
    <w:rPr>
      <w:rFonts w:ascii="Times New Roman" w:hAnsi="Times New Roman"/>
      <w:sz w:val="24"/>
      <w:szCs w:val="24"/>
    </w:rPr>
  </w:style>
  <w:style w:type="character" w:customStyle="1" w:styleId="Heading2Char">
    <w:name w:val="Heading 2 Char"/>
    <w:link w:val="Heading2"/>
    <w:rsid w:val="003B09D0"/>
    <w:rPr>
      <w:rFonts w:ascii="Times New Roman" w:hAnsi="Times New Roman"/>
      <w:b/>
      <w:snapToGrid w:val="0"/>
      <w:sz w:val="24"/>
    </w:rPr>
  </w:style>
  <w:style w:type="character" w:styleId="Hyperlink">
    <w:name w:val="Hyperlink"/>
    <w:rsid w:val="006B7F5A"/>
    <w:rPr>
      <w:color w:val="0000FF"/>
      <w:u w:val="single"/>
    </w:rPr>
  </w:style>
  <w:style w:type="table" w:styleId="TableGrid">
    <w:name w:val="Table Grid"/>
    <w:basedOn w:val="TableNormal"/>
    <w:rsid w:val="00D04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F1DC6"/>
  </w:style>
  <w:style w:type="character" w:customStyle="1" w:styleId="FootnoteTextChar">
    <w:name w:val="Footnote Text Char"/>
    <w:basedOn w:val="DefaultParagraphFont"/>
    <w:link w:val="FootnoteText"/>
    <w:rsid w:val="008F1DC6"/>
  </w:style>
  <w:style w:type="character" w:styleId="FootnoteReference">
    <w:name w:val="footnote reference"/>
    <w:rsid w:val="008F1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161769">
      <w:bodyDiv w:val="1"/>
      <w:marLeft w:val="0"/>
      <w:marRight w:val="0"/>
      <w:marTop w:val="0"/>
      <w:marBottom w:val="0"/>
      <w:divBdr>
        <w:top w:val="none" w:sz="0" w:space="0" w:color="auto"/>
        <w:left w:val="none" w:sz="0" w:space="0" w:color="auto"/>
        <w:bottom w:val="none" w:sz="0" w:space="0" w:color="auto"/>
        <w:right w:val="none" w:sz="0" w:space="0" w:color="auto"/>
      </w:divBdr>
    </w:div>
    <w:div w:id="386076651">
      <w:bodyDiv w:val="1"/>
      <w:marLeft w:val="0"/>
      <w:marRight w:val="0"/>
      <w:marTop w:val="0"/>
      <w:marBottom w:val="0"/>
      <w:divBdr>
        <w:top w:val="none" w:sz="0" w:space="0" w:color="auto"/>
        <w:left w:val="none" w:sz="0" w:space="0" w:color="auto"/>
        <w:bottom w:val="none" w:sz="0" w:space="0" w:color="auto"/>
        <w:right w:val="none" w:sz="0" w:space="0" w:color="auto"/>
      </w:divBdr>
    </w:div>
    <w:div w:id="789474215">
      <w:bodyDiv w:val="1"/>
      <w:marLeft w:val="0"/>
      <w:marRight w:val="0"/>
      <w:marTop w:val="0"/>
      <w:marBottom w:val="0"/>
      <w:divBdr>
        <w:top w:val="none" w:sz="0" w:space="0" w:color="auto"/>
        <w:left w:val="none" w:sz="0" w:space="0" w:color="auto"/>
        <w:bottom w:val="none" w:sz="0" w:space="0" w:color="auto"/>
        <w:right w:val="none" w:sz="0" w:space="0" w:color="auto"/>
      </w:divBdr>
    </w:div>
    <w:div w:id="832376276">
      <w:bodyDiv w:val="1"/>
      <w:marLeft w:val="0"/>
      <w:marRight w:val="0"/>
      <w:marTop w:val="0"/>
      <w:marBottom w:val="0"/>
      <w:divBdr>
        <w:top w:val="none" w:sz="0" w:space="0" w:color="auto"/>
        <w:left w:val="none" w:sz="0" w:space="0" w:color="auto"/>
        <w:bottom w:val="none" w:sz="0" w:space="0" w:color="auto"/>
        <w:right w:val="none" w:sz="0" w:space="0" w:color="auto"/>
      </w:divBdr>
    </w:div>
    <w:div w:id="1265728207">
      <w:bodyDiv w:val="1"/>
      <w:marLeft w:val="0"/>
      <w:marRight w:val="0"/>
      <w:marTop w:val="0"/>
      <w:marBottom w:val="0"/>
      <w:divBdr>
        <w:top w:val="none" w:sz="0" w:space="0" w:color="auto"/>
        <w:left w:val="none" w:sz="0" w:space="0" w:color="auto"/>
        <w:bottom w:val="none" w:sz="0" w:space="0" w:color="auto"/>
        <w:right w:val="none" w:sz="0" w:space="0" w:color="auto"/>
      </w:divBdr>
    </w:div>
    <w:div w:id="1875388219">
      <w:bodyDiv w:val="1"/>
      <w:marLeft w:val="0"/>
      <w:marRight w:val="0"/>
      <w:marTop w:val="0"/>
      <w:marBottom w:val="0"/>
      <w:divBdr>
        <w:top w:val="none" w:sz="0" w:space="0" w:color="auto"/>
        <w:left w:val="none" w:sz="0" w:space="0" w:color="auto"/>
        <w:bottom w:val="none" w:sz="0" w:space="0" w:color="auto"/>
        <w:right w:val="none" w:sz="0" w:space="0" w:color="auto"/>
      </w:divBdr>
    </w:div>
    <w:div w:id="190456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cec.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USDA\RD\Shared\DCWA2\Innovation_Center\Regulations\Paperwork%20Reduction%20Act\RUS\Burden\0572-0112\FY20\%3ehttps:\www.govinfo.gov\content\pkg\FR-2019-05-14\pdf\2019-09874.pdf%3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4" ma:contentTypeDescription="Create a new document." ma:contentTypeScope="" ma:versionID="00879c4f3f9d070d1f9cfb9fcaf3a581">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f79f5724275cbc3dcf10c17898b12a99"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A2CAD-7775-498F-979D-FD84D0A5EAD5}">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a1b2674d-54f9-4586-a136-140e05e0fc28"/>
    <ds:schemaRef ds:uri="http://purl.org/dc/terms/"/>
    <ds:schemaRef ds:uri="http://schemas.microsoft.com/office/infopath/2007/PartnerControls"/>
    <ds:schemaRef ds:uri="a19ae5d0-f236-4513-9fa4-778668799705"/>
    <ds:schemaRef ds:uri="http://www.w3.org/XML/1998/namespace"/>
  </ds:schemaRefs>
</ds:datastoreItem>
</file>

<file path=customXml/itemProps2.xml><?xml version="1.0" encoding="utf-8"?>
<ds:datastoreItem xmlns:ds="http://schemas.openxmlformats.org/officeDocument/2006/customXml" ds:itemID="{46F9FB58-2A81-4C71-B3F6-1BFA4666C151}">
  <ds:schemaRefs>
    <ds:schemaRef ds:uri="http://schemas.microsoft.com/sharepoint/v3/contenttype/forms"/>
  </ds:schemaRefs>
</ds:datastoreItem>
</file>

<file path=customXml/itemProps3.xml><?xml version="1.0" encoding="utf-8"?>
<ds:datastoreItem xmlns:ds="http://schemas.openxmlformats.org/officeDocument/2006/customXml" ds:itemID="{66A21415-A45E-496D-B8E9-5CB54289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92DBE-0B19-49BB-95A0-8FE4B841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7900</Words>
  <Characters>45177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OMB #0570-0065 60-day Notice</vt:lpstr>
    </vt:vector>
  </TitlesOfParts>
  <Company>USDA</Company>
  <LinksUpToDate>false</LinksUpToDate>
  <CharactersWithSpaces>52972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#0570-0065 60-day Notice</dc:title>
  <dc:subject/>
  <dc:creator>USDA</dc:creator>
  <cp:keywords/>
  <cp:lastModifiedBy>Bennett, Pamela - RD, National Office</cp:lastModifiedBy>
  <cp:revision>7</cp:revision>
  <cp:lastPrinted>2015-06-04T15:17:00Z</cp:lastPrinted>
  <dcterms:created xsi:type="dcterms:W3CDTF">2022-07-08T19:20:00Z</dcterms:created>
  <dcterms:modified xsi:type="dcterms:W3CDTF">2022-07-19T13:23:00Z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0x0101008C25F03664719449ACD75A65CC103380</vt:lpwstr>
  </property>
</Properties>
</file>