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3DD" w:rsidP="00590B7F" w:rsidRDefault="00ED53DD" w14:paraId="3C92373F" w14:textId="77777777">
      <w:pPr>
        <w:jc w:val="center"/>
        <w:rPr>
          <w:b/>
          <w:bCs/>
        </w:rPr>
      </w:pPr>
    </w:p>
    <w:p w:rsidR="00ED53DD" w:rsidP="00590B7F" w:rsidRDefault="00ED53DD" w14:paraId="7B7A0BB9" w14:textId="77777777">
      <w:pPr>
        <w:jc w:val="center"/>
        <w:rPr>
          <w:b/>
          <w:bCs/>
        </w:rPr>
      </w:pPr>
    </w:p>
    <w:p w:rsidR="00ED53DD" w:rsidP="00590B7F" w:rsidRDefault="00ED53DD" w14:paraId="52E8DBF1" w14:textId="77777777">
      <w:pPr>
        <w:jc w:val="center"/>
        <w:rPr>
          <w:b/>
          <w:bCs/>
        </w:rPr>
      </w:pPr>
    </w:p>
    <w:p w:rsidR="00ED53DD" w:rsidP="00590B7F" w:rsidRDefault="00ED53DD" w14:paraId="55B974F5" w14:textId="77777777">
      <w:pPr>
        <w:jc w:val="center"/>
        <w:rPr>
          <w:b/>
          <w:bCs/>
        </w:rPr>
      </w:pPr>
    </w:p>
    <w:p w:rsidR="00ED53DD" w:rsidP="00590B7F" w:rsidRDefault="00ED53DD" w14:paraId="424B7AC5" w14:textId="77777777">
      <w:pPr>
        <w:jc w:val="center"/>
        <w:rPr>
          <w:b/>
          <w:bCs/>
        </w:rPr>
      </w:pPr>
    </w:p>
    <w:p w:rsidR="00ED53DD" w:rsidP="00590B7F" w:rsidRDefault="00ED53DD" w14:paraId="44DF46D6" w14:textId="77777777">
      <w:pPr>
        <w:jc w:val="center"/>
        <w:rPr>
          <w:b/>
          <w:bCs/>
        </w:rPr>
      </w:pPr>
    </w:p>
    <w:p w:rsidR="00ED53DD" w:rsidP="00590B7F" w:rsidRDefault="00ED53DD" w14:paraId="07F7F32D" w14:textId="77777777">
      <w:pPr>
        <w:jc w:val="center"/>
        <w:rPr>
          <w:b/>
          <w:bCs/>
        </w:rPr>
      </w:pPr>
    </w:p>
    <w:p w:rsidR="00ED53DD" w:rsidP="00590B7F" w:rsidRDefault="00ED53DD" w14:paraId="0299D0B5" w14:textId="77777777">
      <w:pPr>
        <w:jc w:val="center"/>
        <w:rPr>
          <w:b/>
          <w:bCs/>
        </w:rPr>
      </w:pPr>
    </w:p>
    <w:p w:rsidR="00ED53DD" w:rsidP="00590B7F" w:rsidRDefault="00ED53DD" w14:paraId="511B518F" w14:textId="77777777">
      <w:pPr>
        <w:jc w:val="center"/>
        <w:rPr>
          <w:b/>
          <w:bCs/>
        </w:rPr>
      </w:pPr>
    </w:p>
    <w:p w:rsidRPr="00BD0AB1" w:rsidR="00590B7F" w:rsidP="00590B7F" w:rsidRDefault="00590B7F" w14:paraId="2531464C" w14:textId="506BC2C1">
      <w:pPr>
        <w:jc w:val="center"/>
        <w:rPr>
          <w:b/>
          <w:bCs/>
        </w:rPr>
      </w:pPr>
      <w:r w:rsidRPr="00BD0AB1">
        <w:rPr>
          <w:b/>
          <w:bCs/>
        </w:rPr>
        <w:t xml:space="preserve">Maternal, Infant, and Early Childhood Home Visiting (MIECHV) Program: Advancing Health Equity in Response to the COVID-19 Public Health Emergency </w:t>
      </w:r>
    </w:p>
    <w:p w:rsidRPr="00BD0AB1" w:rsidR="00590B7F" w:rsidP="00590B7F" w:rsidRDefault="003D6A24" w14:paraId="56759932" w14:textId="3D75E2F2">
      <w:pPr>
        <w:jc w:val="center"/>
        <w:rPr>
          <w:b/>
          <w:bCs/>
        </w:rPr>
      </w:pPr>
      <w:r>
        <w:rPr>
          <w:b/>
          <w:bCs/>
        </w:rPr>
        <w:t xml:space="preserve">Supporting Statement </w:t>
      </w:r>
    </w:p>
    <w:p w:rsidR="0015059D" w:rsidP="00590B7F" w:rsidRDefault="0015059D" w14:paraId="54BE99E9" w14:textId="70283121">
      <w:pPr>
        <w:jc w:val="center"/>
      </w:pPr>
      <w:r>
        <w:br w:type="page"/>
      </w:r>
    </w:p>
    <w:p w:rsidR="0015059D" w:rsidP="0015059D" w:rsidRDefault="0015059D" w14:paraId="7B438F2C" w14:textId="61EB0897">
      <w:pPr>
        <w:jc w:val="center"/>
      </w:pPr>
      <w:r>
        <w:lastRenderedPageBreak/>
        <w:t>Table of Contents</w:t>
      </w:r>
    </w:p>
    <w:sdt>
      <w:sdtPr>
        <w:rPr>
          <w:rFonts w:asciiTheme="minorHAnsi" w:hAnsiTheme="minorHAnsi" w:eastAsiaTheme="minorHAnsi" w:cstheme="minorBidi"/>
          <w:color w:val="auto"/>
          <w:sz w:val="22"/>
          <w:szCs w:val="22"/>
        </w:rPr>
        <w:id w:val="-620456855"/>
        <w:docPartObj>
          <w:docPartGallery w:val="Table of Contents"/>
          <w:docPartUnique/>
        </w:docPartObj>
      </w:sdtPr>
      <w:sdtEndPr>
        <w:rPr>
          <w:noProof/>
        </w:rPr>
      </w:sdtEndPr>
      <w:sdtContent>
        <w:p w:rsidR="0015059D" w:rsidRDefault="0015059D" w14:paraId="790C101A" w14:textId="3950B732">
          <w:pPr>
            <w:pStyle w:val="TOCHeading"/>
          </w:pPr>
          <w:r>
            <w:t>Contents</w:t>
          </w:r>
        </w:p>
        <w:p w:rsidR="009C793B" w:rsidRDefault="0015059D" w14:paraId="5F85FA84" w14:textId="786B6808">
          <w:pPr>
            <w:pStyle w:val="TOC1"/>
            <w:tabs>
              <w:tab w:val="right" w:leader="dot" w:pos="9350"/>
            </w:tabs>
            <w:rPr>
              <w:rFonts w:eastAsiaTheme="minorEastAsia"/>
              <w:noProof/>
            </w:rPr>
          </w:pPr>
          <w:r>
            <w:fldChar w:fldCharType="begin"/>
          </w:r>
          <w:r>
            <w:instrText xml:space="preserve"> TOC \o "1-3" \h \z \u </w:instrText>
          </w:r>
          <w:r>
            <w:fldChar w:fldCharType="separate"/>
          </w:r>
          <w:hyperlink w:history="1" w:anchor="_Toc106197192">
            <w:r w:rsidRPr="00BF10C4" w:rsidR="009C793B">
              <w:rPr>
                <w:rStyle w:val="Hyperlink"/>
                <w:noProof/>
              </w:rPr>
              <w:t>A. Justification</w:t>
            </w:r>
            <w:r w:rsidR="009C793B">
              <w:rPr>
                <w:noProof/>
                <w:webHidden/>
              </w:rPr>
              <w:tab/>
            </w:r>
            <w:r w:rsidR="009C793B">
              <w:rPr>
                <w:noProof/>
                <w:webHidden/>
              </w:rPr>
              <w:fldChar w:fldCharType="begin"/>
            </w:r>
            <w:r w:rsidR="009C793B">
              <w:rPr>
                <w:noProof/>
                <w:webHidden/>
              </w:rPr>
              <w:instrText xml:space="preserve"> PAGEREF _Toc106197192 \h </w:instrText>
            </w:r>
            <w:r w:rsidR="009C793B">
              <w:rPr>
                <w:noProof/>
                <w:webHidden/>
              </w:rPr>
            </w:r>
            <w:r w:rsidR="009C793B">
              <w:rPr>
                <w:noProof/>
                <w:webHidden/>
              </w:rPr>
              <w:fldChar w:fldCharType="separate"/>
            </w:r>
            <w:r w:rsidR="009C793B">
              <w:rPr>
                <w:noProof/>
                <w:webHidden/>
              </w:rPr>
              <w:t>3</w:t>
            </w:r>
            <w:r w:rsidR="009C793B">
              <w:rPr>
                <w:noProof/>
                <w:webHidden/>
              </w:rPr>
              <w:fldChar w:fldCharType="end"/>
            </w:r>
          </w:hyperlink>
        </w:p>
        <w:p w:rsidR="009C793B" w:rsidRDefault="00E83574" w14:paraId="31E879DD" w14:textId="52C2E890">
          <w:pPr>
            <w:pStyle w:val="TOC2"/>
            <w:tabs>
              <w:tab w:val="right" w:leader="dot" w:pos="9350"/>
            </w:tabs>
            <w:rPr>
              <w:rFonts w:eastAsiaTheme="minorEastAsia"/>
              <w:noProof/>
            </w:rPr>
          </w:pPr>
          <w:hyperlink w:history="1" w:anchor="_Toc106197193">
            <w:r w:rsidRPr="00BF10C4" w:rsidR="009C793B">
              <w:rPr>
                <w:rStyle w:val="Hyperlink"/>
                <w:noProof/>
              </w:rPr>
              <w:t>A.1 Circumstances Making the Collection of Information Necessary</w:t>
            </w:r>
            <w:r w:rsidR="009C793B">
              <w:rPr>
                <w:noProof/>
                <w:webHidden/>
              </w:rPr>
              <w:tab/>
            </w:r>
            <w:r w:rsidR="009C793B">
              <w:rPr>
                <w:noProof/>
                <w:webHidden/>
              </w:rPr>
              <w:fldChar w:fldCharType="begin"/>
            </w:r>
            <w:r w:rsidR="009C793B">
              <w:rPr>
                <w:noProof/>
                <w:webHidden/>
              </w:rPr>
              <w:instrText xml:space="preserve"> PAGEREF _Toc106197193 \h </w:instrText>
            </w:r>
            <w:r w:rsidR="009C793B">
              <w:rPr>
                <w:noProof/>
                <w:webHidden/>
              </w:rPr>
            </w:r>
            <w:r w:rsidR="009C793B">
              <w:rPr>
                <w:noProof/>
                <w:webHidden/>
              </w:rPr>
              <w:fldChar w:fldCharType="separate"/>
            </w:r>
            <w:r w:rsidR="009C793B">
              <w:rPr>
                <w:noProof/>
                <w:webHidden/>
              </w:rPr>
              <w:t>3</w:t>
            </w:r>
            <w:r w:rsidR="009C793B">
              <w:rPr>
                <w:noProof/>
                <w:webHidden/>
              </w:rPr>
              <w:fldChar w:fldCharType="end"/>
            </w:r>
          </w:hyperlink>
        </w:p>
        <w:p w:rsidR="009C793B" w:rsidRDefault="00E83574" w14:paraId="3E97E568" w14:textId="49463ADF">
          <w:pPr>
            <w:pStyle w:val="TOC2"/>
            <w:tabs>
              <w:tab w:val="right" w:leader="dot" w:pos="9350"/>
            </w:tabs>
            <w:rPr>
              <w:rFonts w:eastAsiaTheme="minorEastAsia"/>
              <w:noProof/>
            </w:rPr>
          </w:pPr>
          <w:hyperlink w:history="1" w:anchor="_Toc106197194">
            <w:r w:rsidRPr="00BF10C4" w:rsidR="009C793B">
              <w:rPr>
                <w:rStyle w:val="Hyperlink"/>
                <w:noProof/>
              </w:rPr>
              <w:t>A.2 Purposes and Use of the Information Collection</w:t>
            </w:r>
            <w:r w:rsidR="009C793B">
              <w:rPr>
                <w:noProof/>
                <w:webHidden/>
              </w:rPr>
              <w:tab/>
            </w:r>
            <w:r w:rsidR="009C793B">
              <w:rPr>
                <w:noProof/>
                <w:webHidden/>
              </w:rPr>
              <w:fldChar w:fldCharType="begin"/>
            </w:r>
            <w:r w:rsidR="009C793B">
              <w:rPr>
                <w:noProof/>
                <w:webHidden/>
              </w:rPr>
              <w:instrText xml:space="preserve"> PAGEREF _Toc106197194 \h </w:instrText>
            </w:r>
            <w:r w:rsidR="009C793B">
              <w:rPr>
                <w:noProof/>
                <w:webHidden/>
              </w:rPr>
            </w:r>
            <w:r w:rsidR="009C793B">
              <w:rPr>
                <w:noProof/>
                <w:webHidden/>
              </w:rPr>
              <w:fldChar w:fldCharType="separate"/>
            </w:r>
            <w:r w:rsidR="009C793B">
              <w:rPr>
                <w:noProof/>
                <w:webHidden/>
              </w:rPr>
              <w:t>3</w:t>
            </w:r>
            <w:r w:rsidR="009C793B">
              <w:rPr>
                <w:noProof/>
                <w:webHidden/>
              </w:rPr>
              <w:fldChar w:fldCharType="end"/>
            </w:r>
          </w:hyperlink>
        </w:p>
        <w:p w:rsidR="009C793B" w:rsidRDefault="00E83574" w14:paraId="6448A39E" w14:textId="445DA7E7">
          <w:pPr>
            <w:pStyle w:val="TOC2"/>
            <w:tabs>
              <w:tab w:val="right" w:leader="dot" w:pos="9350"/>
            </w:tabs>
            <w:rPr>
              <w:rFonts w:eastAsiaTheme="minorEastAsia"/>
              <w:noProof/>
            </w:rPr>
          </w:pPr>
          <w:hyperlink w:history="1" w:anchor="_Toc106197195">
            <w:r w:rsidRPr="00BF10C4" w:rsidR="009C793B">
              <w:rPr>
                <w:rStyle w:val="Hyperlink"/>
                <w:noProof/>
              </w:rPr>
              <w:t>A.3 Use of Information Technology and Burden Reduction</w:t>
            </w:r>
            <w:r w:rsidR="009C793B">
              <w:rPr>
                <w:noProof/>
                <w:webHidden/>
              </w:rPr>
              <w:tab/>
            </w:r>
            <w:r w:rsidR="009C793B">
              <w:rPr>
                <w:noProof/>
                <w:webHidden/>
              </w:rPr>
              <w:fldChar w:fldCharType="begin"/>
            </w:r>
            <w:r w:rsidR="009C793B">
              <w:rPr>
                <w:noProof/>
                <w:webHidden/>
              </w:rPr>
              <w:instrText xml:space="preserve"> PAGEREF _Toc106197195 \h </w:instrText>
            </w:r>
            <w:r w:rsidR="009C793B">
              <w:rPr>
                <w:noProof/>
                <w:webHidden/>
              </w:rPr>
            </w:r>
            <w:r w:rsidR="009C793B">
              <w:rPr>
                <w:noProof/>
                <w:webHidden/>
              </w:rPr>
              <w:fldChar w:fldCharType="separate"/>
            </w:r>
            <w:r w:rsidR="009C793B">
              <w:rPr>
                <w:noProof/>
                <w:webHidden/>
              </w:rPr>
              <w:t>7</w:t>
            </w:r>
            <w:r w:rsidR="009C793B">
              <w:rPr>
                <w:noProof/>
                <w:webHidden/>
              </w:rPr>
              <w:fldChar w:fldCharType="end"/>
            </w:r>
          </w:hyperlink>
        </w:p>
        <w:p w:rsidR="009C793B" w:rsidRDefault="00E83574" w14:paraId="51B9C043" w14:textId="2BF46CAA">
          <w:pPr>
            <w:pStyle w:val="TOC2"/>
            <w:tabs>
              <w:tab w:val="right" w:leader="dot" w:pos="9350"/>
            </w:tabs>
            <w:rPr>
              <w:rFonts w:eastAsiaTheme="minorEastAsia"/>
              <w:noProof/>
            </w:rPr>
          </w:pPr>
          <w:hyperlink w:history="1" w:anchor="_Toc106197196">
            <w:r w:rsidRPr="00BF10C4" w:rsidR="009C793B">
              <w:rPr>
                <w:rStyle w:val="Hyperlink"/>
                <w:noProof/>
              </w:rPr>
              <w:t>A.4 Efforts to Identify Duplication and Use of Similar Information</w:t>
            </w:r>
            <w:r w:rsidR="009C793B">
              <w:rPr>
                <w:noProof/>
                <w:webHidden/>
              </w:rPr>
              <w:tab/>
            </w:r>
            <w:r w:rsidR="009C793B">
              <w:rPr>
                <w:noProof/>
                <w:webHidden/>
              </w:rPr>
              <w:fldChar w:fldCharType="begin"/>
            </w:r>
            <w:r w:rsidR="009C793B">
              <w:rPr>
                <w:noProof/>
                <w:webHidden/>
              </w:rPr>
              <w:instrText xml:space="preserve"> PAGEREF _Toc106197196 \h </w:instrText>
            </w:r>
            <w:r w:rsidR="009C793B">
              <w:rPr>
                <w:noProof/>
                <w:webHidden/>
              </w:rPr>
            </w:r>
            <w:r w:rsidR="009C793B">
              <w:rPr>
                <w:noProof/>
                <w:webHidden/>
              </w:rPr>
              <w:fldChar w:fldCharType="separate"/>
            </w:r>
            <w:r w:rsidR="009C793B">
              <w:rPr>
                <w:noProof/>
                <w:webHidden/>
              </w:rPr>
              <w:t>7</w:t>
            </w:r>
            <w:r w:rsidR="009C793B">
              <w:rPr>
                <w:noProof/>
                <w:webHidden/>
              </w:rPr>
              <w:fldChar w:fldCharType="end"/>
            </w:r>
          </w:hyperlink>
        </w:p>
        <w:p w:rsidR="009C793B" w:rsidRDefault="00E83574" w14:paraId="5E119857" w14:textId="77DAD052">
          <w:pPr>
            <w:pStyle w:val="TOC2"/>
            <w:tabs>
              <w:tab w:val="right" w:leader="dot" w:pos="9350"/>
            </w:tabs>
            <w:rPr>
              <w:rFonts w:eastAsiaTheme="minorEastAsia"/>
              <w:noProof/>
            </w:rPr>
          </w:pPr>
          <w:hyperlink w:history="1" w:anchor="_Toc106197197">
            <w:r w:rsidRPr="00BF10C4" w:rsidR="009C793B">
              <w:rPr>
                <w:rStyle w:val="Hyperlink"/>
                <w:noProof/>
              </w:rPr>
              <w:t>A.5 Impact on Small Businesses or Other Small Entities</w:t>
            </w:r>
            <w:r w:rsidR="009C793B">
              <w:rPr>
                <w:noProof/>
                <w:webHidden/>
              </w:rPr>
              <w:tab/>
            </w:r>
            <w:r w:rsidR="009C793B">
              <w:rPr>
                <w:noProof/>
                <w:webHidden/>
              </w:rPr>
              <w:fldChar w:fldCharType="begin"/>
            </w:r>
            <w:r w:rsidR="009C793B">
              <w:rPr>
                <w:noProof/>
                <w:webHidden/>
              </w:rPr>
              <w:instrText xml:space="preserve"> PAGEREF _Toc106197197 \h </w:instrText>
            </w:r>
            <w:r w:rsidR="009C793B">
              <w:rPr>
                <w:noProof/>
                <w:webHidden/>
              </w:rPr>
            </w:r>
            <w:r w:rsidR="009C793B">
              <w:rPr>
                <w:noProof/>
                <w:webHidden/>
              </w:rPr>
              <w:fldChar w:fldCharType="separate"/>
            </w:r>
            <w:r w:rsidR="009C793B">
              <w:rPr>
                <w:noProof/>
                <w:webHidden/>
              </w:rPr>
              <w:t>7</w:t>
            </w:r>
            <w:r w:rsidR="009C793B">
              <w:rPr>
                <w:noProof/>
                <w:webHidden/>
              </w:rPr>
              <w:fldChar w:fldCharType="end"/>
            </w:r>
          </w:hyperlink>
        </w:p>
        <w:p w:rsidR="009C793B" w:rsidRDefault="00E83574" w14:paraId="640E1ED0" w14:textId="323F29AD">
          <w:pPr>
            <w:pStyle w:val="TOC2"/>
            <w:tabs>
              <w:tab w:val="right" w:leader="dot" w:pos="9350"/>
            </w:tabs>
            <w:rPr>
              <w:rFonts w:eastAsiaTheme="minorEastAsia"/>
              <w:noProof/>
            </w:rPr>
          </w:pPr>
          <w:hyperlink w:history="1" w:anchor="_Toc106197198">
            <w:r w:rsidRPr="00BF10C4" w:rsidR="009C793B">
              <w:rPr>
                <w:rStyle w:val="Hyperlink"/>
                <w:noProof/>
              </w:rPr>
              <w:t>A.6 Consequences of Collecting the Information Less Frequently</w:t>
            </w:r>
            <w:r w:rsidR="009C793B">
              <w:rPr>
                <w:noProof/>
                <w:webHidden/>
              </w:rPr>
              <w:tab/>
            </w:r>
            <w:r w:rsidR="009C793B">
              <w:rPr>
                <w:noProof/>
                <w:webHidden/>
              </w:rPr>
              <w:fldChar w:fldCharType="begin"/>
            </w:r>
            <w:r w:rsidR="009C793B">
              <w:rPr>
                <w:noProof/>
                <w:webHidden/>
              </w:rPr>
              <w:instrText xml:space="preserve"> PAGEREF _Toc106197198 \h </w:instrText>
            </w:r>
            <w:r w:rsidR="009C793B">
              <w:rPr>
                <w:noProof/>
                <w:webHidden/>
              </w:rPr>
            </w:r>
            <w:r w:rsidR="009C793B">
              <w:rPr>
                <w:noProof/>
                <w:webHidden/>
              </w:rPr>
              <w:fldChar w:fldCharType="separate"/>
            </w:r>
            <w:r w:rsidR="009C793B">
              <w:rPr>
                <w:noProof/>
                <w:webHidden/>
              </w:rPr>
              <w:t>8</w:t>
            </w:r>
            <w:r w:rsidR="009C793B">
              <w:rPr>
                <w:noProof/>
                <w:webHidden/>
              </w:rPr>
              <w:fldChar w:fldCharType="end"/>
            </w:r>
          </w:hyperlink>
        </w:p>
        <w:p w:rsidR="009C793B" w:rsidRDefault="00E83574" w14:paraId="0CC11045" w14:textId="628FFF1D">
          <w:pPr>
            <w:pStyle w:val="TOC2"/>
            <w:tabs>
              <w:tab w:val="right" w:leader="dot" w:pos="9350"/>
            </w:tabs>
            <w:rPr>
              <w:rFonts w:eastAsiaTheme="minorEastAsia"/>
              <w:noProof/>
            </w:rPr>
          </w:pPr>
          <w:hyperlink w:history="1" w:anchor="_Toc106197199">
            <w:r w:rsidRPr="00BF10C4" w:rsidR="009C793B">
              <w:rPr>
                <w:rStyle w:val="Hyperlink"/>
                <w:noProof/>
              </w:rPr>
              <w:t>A.7 Special Circumstances Relating to the Guidelines of 5 CFR1320.5</w:t>
            </w:r>
            <w:r w:rsidR="009C793B">
              <w:rPr>
                <w:noProof/>
                <w:webHidden/>
              </w:rPr>
              <w:tab/>
            </w:r>
            <w:r w:rsidR="009C793B">
              <w:rPr>
                <w:noProof/>
                <w:webHidden/>
              </w:rPr>
              <w:fldChar w:fldCharType="begin"/>
            </w:r>
            <w:r w:rsidR="009C793B">
              <w:rPr>
                <w:noProof/>
                <w:webHidden/>
              </w:rPr>
              <w:instrText xml:space="preserve"> PAGEREF _Toc106197199 \h </w:instrText>
            </w:r>
            <w:r w:rsidR="009C793B">
              <w:rPr>
                <w:noProof/>
                <w:webHidden/>
              </w:rPr>
            </w:r>
            <w:r w:rsidR="009C793B">
              <w:rPr>
                <w:noProof/>
                <w:webHidden/>
              </w:rPr>
              <w:fldChar w:fldCharType="separate"/>
            </w:r>
            <w:r w:rsidR="009C793B">
              <w:rPr>
                <w:noProof/>
                <w:webHidden/>
              </w:rPr>
              <w:t>8</w:t>
            </w:r>
            <w:r w:rsidR="009C793B">
              <w:rPr>
                <w:noProof/>
                <w:webHidden/>
              </w:rPr>
              <w:fldChar w:fldCharType="end"/>
            </w:r>
          </w:hyperlink>
        </w:p>
        <w:p w:rsidR="009C793B" w:rsidRDefault="00E83574" w14:paraId="6599E076" w14:textId="4422A0B2">
          <w:pPr>
            <w:pStyle w:val="TOC2"/>
            <w:tabs>
              <w:tab w:val="right" w:leader="dot" w:pos="9350"/>
            </w:tabs>
            <w:rPr>
              <w:rFonts w:eastAsiaTheme="minorEastAsia"/>
              <w:noProof/>
            </w:rPr>
          </w:pPr>
          <w:hyperlink w:history="1" w:anchor="_Toc106197200">
            <w:r w:rsidRPr="00BF10C4" w:rsidR="009C793B">
              <w:rPr>
                <w:rStyle w:val="Hyperlink"/>
                <w:noProof/>
              </w:rPr>
              <w:t>A.8 Comments in Response to the Federal Register Notice and Efforts to Consult Outside the Agency</w:t>
            </w:r>
            <w:r w:rsidR="009C793B">
              <w:rPr>
                <w:noProof/>
                <w:webHidden/>
              </w:rPr>
              <w:tab/>
            </w:r>
            <w:r w:rsidR="009C793B">
              <w:rPr>
                <w:noProof/>
                <w:webHidden/>
              </w:rPr>
              <w:fldChar w:fldCharType="begin"/>
            </w:r>
            <w:r w:rsidR="009C793B">
              <w:rPr>
                <w:noProof/>
                <w:webHidden/>
              </w:rPr>
              <w:instrText xml:space="preserve"> PAGEREF _Toc106197200 \h </w:instrText>
            </w:r>
            <w:r w:rsidR="009C793B">
              <w:rPr>
                <w:noProof/>
                <w:webHidden/>
              </w:rPr>
            </w:r>
            <w:r w:rsidR="009C793B">
              <w:rPr>
                <w:noProof/>
                <w:webHidden/>
              </w:rPr>
              <w:fldChar w:fldCharType="separate"/>
            </w:r>
            <w:r w:rsidR="009C793B">
              <w:rPr>
                <w:noProof/>
                <w:webHidden/>
              </w:rPr>
              <w:t>8</w:t>
            </w:r>
            <w:r w:rsidR="009C793B">
              <w:rPr>
                <w:noProof/>
                <w:webHidden/>
              </w:rPr>
              <w:fldChar w:fldCharType="end"/>
            </w:r>
          </w:hyperlink>
        </w:p>
        <w:p w:rsidR="009C793B" w:rsidRDefault="00E83574" w14:paraId="5B44EDF3" w14:textId="560BE7F1">
          <w:pPr>
            <w:pStyle w:val="TOC2"/>
            <w:tabs>
              <w:tab w:val="right" w:leader="dot" w:pos="9350"/>
            </w:tabs>
            <w:rPr>
              <w:rFonts w:eastAsiaTheme="minorEastAsia"/>
              <w:noProof/>
            </w:rPr>
          </w:pPr>
          <w:hyperlink w:history="1" w:anchor="_Toc106197201">
            <w:r w:rsidRPr="00BF10C4" w:rsidR="009C793B">
              <w:rPr>
                <w:rStyle w:val="Hyperlink"/>
                <w:noProof/>
              </w:rPr>
              <w:t>A.9 Explanation of Any Payment or Gift to Respondents</w:t>
            </w:r>
            <w:r w:rsidR="009C793B">
              <w:rPr>
                <w:noProof/>
                <w:webHidden/>
              </w:rPr>
              <w:tab/>
            </w:r>
            <w:r w:rsidR="009C793B">
              <w:rPr>
                <w:noProof/>
                <w:webHidden/>
              </w:rPr>
              <w:fldChar w:fldCharType="begin"/>
            </w:r>
            <w:r w:rsidR="009C793B">
              <w:rPr>
                <w:noProof/>
                <w:webHidden/>
              </w:rPr>
              <w:instrText xml:space="preserve"> PAGEREF _Toc106197201 \h </w:instrText>
            </w:r>
            <w:r w:rsidR="009C793B">
              <w:rPr>
                <w:noProof/>
                <w:webHidden/>
              </w:rPr>
            </w:r>
            <w:r w:rsidR="009C793B">
              <w:rPr>
                <w:noProof/>
                <w:webHidden/>
              </w:rPr>
              <w:fldChar w:fldCharType="separate"/>
            </w:r>
            <w:r w:rsidR="009C793B">
              <w:rPr>
                <w:noProof/>
                <w:webHidden/>
              </w:rPr>
              <w:t>9</w:t>
            </w:r>
            <w:r w:rsidR="009C793B">
              <w:rPr>
                <w:noProof/>
                <w:webHidden/>
              </w:rPr>
              <w:fldChar w:fldCharType="end"/>
            </w:r>
          </w:hyperlink>
        </w:p>
        <w:p w:rsidR="009C793B" w:rsidRDefault="00E83574" w14:paraId="7E69705F" w14:textId="65EA0324">
          <w:pPr>
            <w:pStyle w:val="TOC2"/>
            <w:tabs>
              <w:tab w:val="right" w:leader="dot" w:pos="9350"/>
            </w:tabs>
            <w:rPr>
              <w:rFonts w:eastAsiaTheme="minorEastAsia"/>
              <w:noProof/>
            </w:rPr>
          </w:pPr>
          <w:hyperlink w:history="1" w:anchor="_Toc106197202">
            <w:r w:rsidRPr="00BF10C4" w:rsidR="009C793B">
              <w:rPr>
                <w:rStyle w:val="Hyperlink"/>
                <w:noProof/>
              </w:rPr>
              <w:t>A.10 Assurance of Confidentiality Provided to Respondents</w:t>
            </w:r>
            <w:r w:rsidR="009C793B">
              <w:rPr>
                <w:noProof/>
                <w:webHidden/>
              </w:rPr>
              <w:tab/>
            </w:r>
            <w:r w:rsidR="009C793B">
              <w:rPr>
                <w:noProof/>
                <w:webHidden/>
              </w:rPr>
              <w:fldChar w:fldCharType="begin"/>
            </w:r>
            <w:r w:rsidR="009C793B">
              <w:rPr>
                <w:noProof/>
                <w:webHidden/>
              </w:rPr>
              <w:instrText xml:space="preserve"> PAGEREF _Toc106197202 \h </w:instrText>
            </w:r>
            <w:r w:rsidR="009C793B">
              <w:rPr>
                <w:noProof/>
                <w:webHidden/>
              </w:rPr>
            </w:r>
            <w:r w:rsidR="009C793B">
              <w:rPr>
                <w:noProof/>
                <w:webHidden/>
              </w:rPr>
              <w:fldChar w:fldCharType="separate"/>
            </w:r>
            <w:r w:rsidR="009C793B">
              <w:rPr>
                <w:noProof/>
                <w:webHidden/>
              </w:rPr>
              <w:t>11</w:t>
            </w:r>
            <w:r w:rsidR="009C793B">
              <w:rPr>
                <w:noProof/>
                <w:webHidden/>
              </w:rPr>
              <w:fldChar w:fldCharType="end"/>
            </w:r>
          </w:hyperlink>
        </w:p>
        <w:p w:rsidR="009C793B" w:rsidRDefault="00E83574" w14:paraId="2E08D856" w14:textId="1B1542D9">
          <w:pPr>
            <w:pStyle w:val="TOC2"/>
            <w:tabs>
              <w:tab w:val="right" w:leader="dot" w:pos="9350"/>
            </w:tabs>
            <w:rPr>
              <w:rFonts w:eastAsiaTheme="minorEastAsia"/>
              <w:noProof/>
            </w:rPr>
          </w:pPr>
          <w:hyperlink w:history="1" w:anchor="_Toc106197203">
            <w:r w:rsidRPr="00BF10C4" w:rsidR="009C793B">
              <w:rPr>
                <w:rStyle w:val="Hyperlink"/>
                <w:noProof/>
              </w:rPr>
              <w:t>A.11 Justification for Sensitive Questions</w:t>
            </w:r>
            <w:r w:rsidR="009C793B">
              <w:rPr>
                <w:noProof/>
                <w:webHidden/>
              </w:rPr>
              <w:tab/>
            </w:r>
            <w:r w:rsidR="009C793B">
              <w:rPr>
                <w:noProof/>
                <w:webHidden/>
              </w:rPr>
              <w:fldChar w:fldCharType="begin"/>
            </w:r>
            <w:r w:rsidR="009C793B">
              <w:rPr>
                <w:noProof/>
                <w:webHidden/>
              </w:rPr>
              <w:instrText xml:space="preserve"> PAGEREF _Toc106197203 \h </w:instrText>
            </w:r>
            <w:r w:rsidR="009C793B">
              <w:rPr>
                <w:noProof/>
                <w:webHidden/>
              </w:rPr>
            </w:r>
            <w:r w:rsidR="009C793B">
              <w:rPr>
                <w:noProof/>
                <w:webHidden/>
              </w:rPr>
              <w:fldChar w:fldCharType="separate"/>
            </w:r>
            <w:r w:rsidR="009C793B">
              <w:rPr>
                <w:noProof/>
                <w:webHidden/>
              </w:rPr>
              <w:t>11</w:t>
            </w:r>
            <w:r w:rsidR="009C793B">
              <w:rPr>
                <w:noProof/>
                <w:webHidden/>
              </w:rPr>
              <w:fldChar w:fldCharType="end"/>
            </w:r>
          </w:hyperlink>
        </w:p>
        <w:p w:rsidR="009C793B" w:rsidRDefault="00E83574" w14:paraId="24601D68" w14:textId="59170AC6">
          <w:pPr>
            <w:pStyle w:val="TOC2"/>
            <w:tabs>
              <w:tab w:val="right" w:leader="dot" w:pos="9350"/>
            </w:tabs>
            <w:rPr>
              <w:rFonts w:eastAsiaTheme="minorEastAsia"/>
              <w:noProof/>
            </w:rPr>
          </w:pPr>
          <w:hyperlink w:history="1" w:anchor="_Toc106197204">
            <w:r w:rsidRPr="00BF10C4" w:rsidR="009C793B">
              <w:rPr>
                <w:rStyle w:val="Hyperlink"/>
                <w:noProof/>
              </w:rPr>
              <w:t>A.12 Estimates of Annualized Burden Hours and Costs to Respondents</w:t>
            </w:r>
            <w:r w:rsidR="009C793B">
              <w:rPr>
                <w:noProof/>
                <w:webHidden/>
              </w:rPr>
              <w:tab/>
            </w:r>
            <w:r w:rsidR="009C793B">
              <w:rPr>
                <w:noProof/>
                <w:webHidden/>
              </w:rPr>
              <w:fldChar w:fldCharType="begin"/>
            </w:r>
            <w:r w:rsidR="009C793B">
              <w:rPr>
                <w:noProof/>
                <w:webHidden/>
              </w:rPr>
              <w:instrText xml:space="preserve"> PAGEREF _Toc106197204 \h </w:instrText>
            </w:r>
            <w:r w:rsidR="009C793B">
              <w:rPr>
                <w:noProof/>
                <w:webHidden/>
              </w:rPr>
            </w:r>
            <w:r w:rsidR="009C793B">
              <w:rPr>
                <w:noProof/>
                <w:webHidden/>
              </w:rPr>
              <w:fldChar w:fldCharType="separate"/>
            </w:r>
            <w:r w:rsidR="009C793B">
              <w:rPr>
                <w:noProof/>
                <w:webHidden/>
              </w:rPr>
              <w:t>12</w:t>
            </w:r>
            <w:r w:rsidR="009C793B">
              <w:rPr>
                <w:noProof/>
                <w:webHidden/>
              </w:rPr>
              <w:fldChar w:fldCharType="end"/>
            </w:r>
          </w:hyperlink>
        </w:p>
        <w:p w:rsidR="009C793B" w:rsidRDefault="00E83574" w14:paraId="1654E12C" w14:textId="7454D969">
          <w:pPr>
            <w:pStyle w:val="TOC3"/>
            <w:tabs>
              <w:tab w:val="left" w:pos="1320"/>
              <w:tab w:val="right" w:leader="dot" w:pos="9350"/>
            </w:tabs>
            <w:rPr>
              <w:rFonts w:eastAsiaTheme="minorEastAsia"/>
              <w:noProof/>
            </w:rPr>
          </w:pPr>
          <w:hyperlink w:history="1" w:anchor="_Toc106197205">
            <w:r w:rsidRPr="00BF10C4" w:rsidR="009C793B">
              <w:rPr>
                <w:rStyle w:val="Hyperlink"/>
                <w:noProof/>
              </w:rPr>
              <w:t>A.12.1</w:t>
            </w:r>
            <w:r w:rsidR="009C793B">
              <w:rPr>
                <w:rFonts w:eastAsiaTheme="minorEastAsia"/>
                <w:noProof/>
              </w:rPr>
              <w:tab/>
            </w:r>
            <w:r w:rsidRPr="00BF10C4" w:rsidR="009C793B">
              <w:rPr>
                <w:rStyle w:val="Hyperlink"/>
                <w:noProof/>
              </w:rPr>
              <w:t>Estimated Annualized Burden Hours</w:t>
            </w:r>
            <w:r w:rsidR="009C793B">
              <w:rPr>
                <w:noProof/>
                <w:webHidden/>
              </w:rPr>
              <w:tab/>
            </w:r>
            <w:r w:rsidR="009C793B">
              <w:rPr>
                <w:noProof/>
                <w:webHidden/>
              </w:rPr>
              <w:fldChar w:fldCharType="begin"/>
            </w:r>
            <w:r w:rsidR="009C793B">
              <w:rPr>
                <w:noProof/>
                <w:webHidden/>
              </w:rPr>
              <w:instrText xml:space="preserve"> PAGEREF _Toc106197205 \h </w:instrText>
            </w:r>
            <w:r w:rsidR="009C793B">
              <w:rPr>
                <w:noProof/>
                <w:webHidden/>
              </w:rPr>
            </w:r>
            <w:r w:rsidR="009C793B">
              <w:rPr>
                <w:noProof/>
                <w:webHidden/>
              </w:rPr>
              <w:fldChar w:fldCharType="separate"/>
            </w:r>
            <w:r w:rsidR="009C793B">
              <w:rPr>
                <w:noProof/>
                <w:webHidden/>
              </w:rPr>
              <w:t>12</w:t>
            </w:r>
            <w:r w:rsidR="009C793B">
              <w:rPr>
                <w:noProof/>
                <w:webHidden/>
              </w:rPr>
              <w:fldChar w:fldCharType="end"/>
            </w:r>
          </w:hyperlink>
        </w:p>
        <w:p w:rsidR="009C793B" w:rsidRDefault="00E83574" w14:paraId="514F05E9" w14:textId="08B43C8F">
          <w:pPr>
            <w:pStyle w:val="TOC3"/>
            <w:tabs>
              <w:tab w:val="left" w:pos="1320"/>
              <w:tab w:val="right" w:leader="dot" w:pos="9350"/>
            </w:tabs>
            <w:rPr>
              <w:rFonts w:eastAsiaTheme="minorEastAsia"/>
              <w:noProof/>
            </w:rPr>
          </w:pPr>
          <w:hyperlink w:history="1" w:anchor="_Toc106197206">
            <w:r w:rsidRPr="00BF10C4" w:rsidR="009C793B">
              <w:rPr>
                <w:rStyle w:val="Hyperlink"/>
                <w:noProof/>
              </w:rPr>
              <w:t>A.12.2</w:t>
            </w:r>
            <w:r w:rsidR="009C793B">
              <w:rPr>
                <w:rFonts w:eastAsiaTheme="minorEastAsia"/>
                <w:noProof/>
              </w:rPr>
              <w:tab/>
            </w:r>
            <w:r w:rsidRPr="00BF10C4" w:rsidR="009C793B">
              <w:rPr>
                <w:rStyle w:val="Hyperlink"/>
                <w:noProof/>
              </w:rPr>
              <w:t>Estimated Annualized Cost to Respondents</w:t>
            </w:r>
            <w:r w:rsidR="009C793B">
              <w:rPr>
                <w:noProof/>
                <w:webHidden/>
              </w:rPr>
              <w:tab/>
            </w:r>
            <w:r w:rsidR="009C793B">
              <w:rPr>
                <w:noProof/>
                <w:webHidden/>
              </w:rPr>
              <w:fldChar w:fldCharType="begin"/>
            </w:r>
            <w:r w:rsidR="009C793B">
              <w:rPr>
                <w:noProof/>
                <w:webHidden/>
              </w:rPr>
              <w:instrText xml:space="preserve"> PAGEREF _Toc106197206 \h </w:instrText>
            </w:r>
            <w:r w:rsidR="009C793B">
              <w:rPr>
                <w:noProof/>
                <w:webHidden/>
              </w:rPr>
            </w:r>
            <w:r w:rsidR="009C793B">
              <w:rPr>
                <w:noProof/>
                <w:webHidden/>
              </w:rPr>
              <w:fldChar w:fldCharType="separate"/>
            </w:r>
            <w:r w:rsidR="009C793B">
              <w:rPr>
                <w:noProof/>
                <w:webHidden/>
              </w:rPr>
              <w:t>13</w:t>
            </w:r>
            <w:r w:rsidR="009C793B">
              <w:rPr>
                <w:noProof/>
                <w:webHidden/>
              </w:rPr>
              <w:fldChar w:fldCharType="end"/>
            </w:r>
          </w:hyperlink>
        </w:p>
        <w:p w:rsidR="009C793B" w:rsidRDefault="00E83574" w14:paraId="5FA2ACEF" w14:textId="590E78D6">
          <w:pPr>
            <w:pStyle w:val="TOC2"/>
            <w:tabs>
              <w:tab w:val="right" w:leader="dot" w:pos="9350"/>
            </w:tabs>
            <w:rPr>
              <w:rFonts w:eastAsiaTheme="minorEastAsia"/>
              <w:noProof/>
            </w:rPr>
          </w:pPr>
          <w:hyperlink w:history="1" w:anchor="_Toc106197207">
            <w:r w:rsidRPr="00BF10C4" w:rsidR="009C793B">
              <w:rPr>
                <w:rStyle w:val="Hyperlink"/>
                <w:noProof/>
              </w:rPr>
              <w:t>A.13 Estimates of Other Total Annual Cost Burden to Respondents or Record Keepers</w:t>
            </w:r>
            <w:r w:rsidR="009C793B">
              <w:rPr>
                <w:noProof/>
                <w:webHidden/>
              </w:rPr>
              <w:tab/>
            </w:r>
            <w:r w:rsidR="009C793B">
              <w:rPr>
                <w:noProof/>
                <w:webHidden/>
              </w:rPr>
              <w:fldChar w:fldCharType="begin"/>
            </w:r>
            <w:r w:rsidR="009C793B">
              <w:rPr>
                <w:noProof/>
                <w:webHidden/>
              </w:rPr>
              <w:instrText xml:space="preserve"> PAGEREF _Toc106197207 \h </w:instrText>
            </w:r>
            <w:r w:rsidR="009C793B">
              <w:rPr>
                <w:noProof/>
                <w:webHidden/>
              </w:rPr>
            </w:r>
            <w:r w:rsidR="009C793B">
              <w:rPr>
                <w:noProof/>
                <w:webHidden/>
              </w:rPr>
              <w:fldChar w:fldCharType="separate"/>
            </w:r>
            <w:r w:rsidR="009C793B">
              <w:rPr>
                <w:noProof/>
                <w:webHidden/>
              </w:rPr>
              <w:t>15</w:t>
            </w:r>
            <w:r w:rsidR="009C793B">
              <w:rPr>
                <w:noProof/>
                <w:webHidden/>
              </w:rPr>
              <w:fldChar w:fldCharType="end"/>
            </w:r>
          </w:hyperlink>
        </w:p>
        <w:p w:rsidR="009C793B" w:rsidRDefault="00E83574" w14:paraId="7ED13F3C" w14:textId="5A179F9E">
          <w:pPr>
            <w:pStyle w:val="TOC2"/>
            <w:tabs>
              <w:tab w:val="right" w:leader="dot" w:pos="9350"/>
            </w:tabs>
            <w:rPr>
              <w:rFonts w:eastAsiaTheme="minorEastAsia"/>
              <w:noProof/>
            </w:rPr>
          </w:pPr>
          <w:hyperlink w:history="1" w:anchor="_Toc106197208">
            <w:r w:rsidRPr="00BF10C4" w:rsidR="009C793B">
              <w:rPr>
                <w:rStyle w:val="Hyperlink"/>
                <w:noProof/>
              </w:rPr>
              <w:t>A.14 Annualized Cost to the Federal Government</w:t>
            </w:r>
            <w:r w:rsidR="009C793B">
              <w:rPr>
                <w:noProof/>
                <w:webHidden/>
              </w:rPr>
              <w:tab/>
            </w:r>
            <w:r w:rsidR="009C793B">
              <w:rPr>
                <w:noProof/>
                <w:webHidden/>
              </w:rPr>
              <w:fldChar w:fldCharType="begin"/>
            </w:r>
            <w:r w:rsidR="009C793B">
              <w:rPr>
                <w:noProof/>
                <w:webHidden/>
              </w:rPr>
              <w:instrText xml:space="preserve"> PAGEREF _Toc106197208 \h </w:instrText>
            </w:r>
            <w:r w:rsidR="009C793B">
              <w:rPr>
                <w:noProof/>
                <w:webHidden/>
              </w:rPr>
            </w:r>
            <w:r w:rsidR="009C793B">
              <w:rPr>
                <w:noProof/>
                <w:webHidden/>
              </w:rPr>
              <w:fldChar w:fldCharType="separate"/>
            </w:r>
            <w:r w:rsidR="009C793B">
              <w:rPr>
                <w:noProof/>
                <w:webHidden/>
              </w:rPr>
              <w:t>15</w:t>
            </w:r>
            <w:r w:rsidR="009C793B">
              <w:rPr>
                <w:noProof/>
                <w:webHidden/>
              </w:rPr>
              <w:fldChar w:fldCharType="end"/>
            </w:r>
          </w:hyperlink>
        </w:p>
        <w:p w:rsidR="009C793B" w:rsidRDefault="00E83574" w14:paraId="3C73EF03" w14:textId="62A15A50">
          <w:pPr>
            <w:pStyle w:val="TOC2"/>
            <w:tabs>
              <w:tab w:val="right" w:leader="dot" w:pos="9350"/>
            </w:tabs>
            <w:rPr>
              <w:rFonts w:eastAsiaTheme="minorEastAsia"/>
              <w:noProof/>
            </w:rPr>
          </w:pPr>
          <w:hyperlink w:history="1" w:anchor="_Toc106197209">
            <w:r w:rsidRPr="00BF10C4" w:rsidR="009C793B">
              <w:rPr>
                <w:rStyle w:val="Hyperlink"/>
                <w:noProof/>
              </w:rPr>
              <w:t>A.15 Explanation for Program Changes or Adjustments</w:t>
            </w:r>
            <w:r w:rsidR="009C793B">
              <w:rPr>
                <w:noProof/>
                <w:webHidden/>
              </w:rPr>
              <w:tab/>
            </w:r>
            <w:r w:rsidR="009C793B">
              <w:rPr>
                <w:noProof/>
                <w:webHidden/>
              </w:rPr>
              <w:fldChar w:fldCharType="begin"/>
            </w:r>
            <w:r w:rsidR="009C793B">
              <w:rPr>
                <w:noProof/>
                <w:webHidden/>
              </w:rPr>
              <w:instrText xml:space="preserve"> PAGEREF _Toc106197209 \h </w:instrText>
            </w:r>
            <w:r w:rsidR="009C793B">
              <w:rPr>
                <w:noProof/>
                <w:webHidden/>
              </w:rPr>
            </w:r>
            <w:r w:rsidR="009C793B">
              <w:rPr>
                <w:noProof/>
                <w:webHidden/>
              </w:rPr>
              <w:fldChar w:fldCharType="separate"/>
            </w:r>
            <w:r w:rsidR="009C793B">
              <w:rPr>
                <w:noProof/>
                <w:webHidden/>
              </w:rPr>
              <w:t>15</w:t>
            </w:r>
            <w:r w:rsidR="009C793B">
              <w:rPr>
                <w:noProof/>
                <w:webHidden/>
              </w:rPr>
              <w:fldChar w:fldCharType="end"/>
            </w:r>
          </w:hyperlink>
        </w:p>
        <w:p w:rsidR="009C793B" w:rsidRDefault="00E83574" w14:paraId="46A516A3" w14:textId="53B3FD8B">
          <w:pPr>
            <w:pStyle w:val="TOC2"/>
            <w:tabs>
              <w:tab w:val="right" w:leader="dot" w:pos="9350"/>
            </w:tabs>
            <w:rPr>
              <w:rFonts w:eastAsiaTheme="minorEastAsia"/>
              <w:noProof/>
            </w:rPr>
          </w:pPr>
          <w:hyperlink w:history="1" w:anchor="_Toc106197210">
            <w:r w:rsidRPr="00BF10C4" w:rsidR="009C793B">
              <w:rPr>
                <w:rStyle w:val="Hyperlink"/>
                <w:noProof/>
              </w:rPr>
              <w:t>A.16 Plans for Tabulation and Publication and Project Time Schedule</w:t>
            </w:r>
            <w:r w:rsidR="009C793B">
              <w:rPr>
                <w:noProof/>
                <w:webHidden/>
              </w:rPr>
              <w:tab/>
            </w:r>
            <w:r w:rsidR="009C793B">
              <w:rPr>
                <w:noProof/>
                <w:webHidden/>
              </w:rPr>
              <w:fldChar w:fldCharType="begin"/>
            </w:r>
            <w:r w:rsidR="009C793B">
              <w:rPr>
                <w:noProof/>
                <w:webHidden/>
              </w:rPr>
              <w:instrText xml:space="preserve"> PAGEREF _Toc106197210 \h </w:instrText>
            </w:r>
            <w:r w:rsidR="009C793B">
              <w:rPr>
                <w:noProof/>
                <w:webHidden/>
              </w:rPr>
            </w:r>
            <w:r w:rsidR="009C793B">
              <w:rPr>
                <w:noProof/>
                <w:webHidden/>
              </w:rPr>
              <w:fldChar w:fldCharType="separate"/>
            </w:r>
            <w:r w:rsidR="009C793B">
              <w:rPr>
                <w:noProof/>
                <w:webHidden/>
              </w:rPr>
              <w:t>15</w:t>
            </w:r>
            <w:r w:rsidR="009C793B">
              <w:rPr>
                <w:noProof/>
                <w:webHidden/>
              </w:rPr>
              <w:fldChar w:fldCharType="end"/>
            </w:r>
          </w:hyperlink>
        </w:p>
        <w:p w:rsidR="009C793B" w:rsidRDefault="00E83574" w14:paraId="46624F2B" w14:textId="7FB64949">
          <w:pPr>
            <w:pStyle w:val="TOC2"/>
            <w:tabs>
              <w:tab w:val="right" w:leader="dot" w:pos="9350"/>
            </w:tabs>
            <w:rPr>
              <w:rFonts w:eastAsiaTheme="minorEastAsia"/>
              <w:noProof/>
            </w:rPr>
          </w:pPr>
          <w:hyperlink w:history="1" w:anchor="_Toc106197211">
            <w:r w:rsidRPr="00BF10C4" w:rsidR="009C793B">
              <w:rPr>
                <w:rStyle w:val="Hyperlink"/>
                <w:noProof/>
              </w:rPr>
              <w:t>A.17 Reason(s) Display of OMB Expiration Date Is Inappropriate</w:t>
            </w:r>
            <w:r w:rsidR="009C793B">
              <w:rPr>
                <w:noProof/>
                <w:webHidden/>
              </w:rPr>
              <w:tab/>
            </w:r>
            <w:r w:rsidR="009C793B">
              <w:rPr>
                <w:noProof/>
                <w:webHidden/>
              </w:rPr>
              <w:fldChar w:fldCharType="begin"/>
            </w:r>
            <w:r w:rsidR="009C793B">
              <w:rPr>
                <w:noProof/>
                <w:webHidden/>
              </w:rPr>
              <w:instrText xml:space="preserve"> PAGEREF _Toc106197211 \h </w:instrText>
            </w:r>
            <w:r w:rsidR="009C793B">
              <w:rPr>
                <w:noProof/>
                <w:webHidden/>
              </w:rPr>
            </w:r>
            <w:r w:rsidR="009C793B">
              <w:rPr>
                <w:noProof/>
                <w:webHidden/>
              </w:rPr>
              <w:fldChar w:fldCharType="separate"/>
            </w:r>
            <w:r w:rsidR="009C793B">
              <w:rPr>
                <w:noProof/>
                <w:webHidden/>
              </w:rPr>
              <w:t>16</w:t>
            </w:r>
            <w:r w:rsidR="009C793B">
              <w:rPr>
                <w:noProof/>
                <w:webHidden/>
              </w:rPr>
              <w:fldChar w:fldCharType="end"/>
            </w:r>
          </w:hyperlink>
        </w:p>
        <w:p w:rsidR="009C793B" w:rsidRDefault="00E83574" w14:paraId="44840A4D" w14:textId="0B03E396">
          <w:pPr>
            <w:pStyle w:val="TOC2"/>
            <w:tabs>
              <w:tab w:val="right" w:leader="dot" w:pos="9350"/>
            </w:tabs>
            <w:rPr>
              <w:rFonts w:eastAsiaTheme="minorEastAsia"/>
              <w:noProof/>
            </w:rPr>
          </w:pPr>
          <w:hyperlink w:history="1" w:anchor="_Toc106197212">
            <w:r w:rsidRPr="00BF10C4" w:rsidR="009C793B">
              <w:rPr>
                <w:rStyle w:val="Hyperlink"/>
                <w:noProof/>
              </w:rPr>
              <w:t>A.18 Exceptions to Certification for Paperwork Reduction Act Submissions</w:t>
            </w:r>
            <w:r w:rsidR="009C793B">
              <w:rPr>
                <w:noProof/>
                <w:webHidden/>
              </w:rPr>
              <w:tab/>
            </w:r>
            <w:r w:rsidR="009C793B">
              <w:rPr>
                <w:noProof/>
                <w:webHidden/>
              </w:rPr>
              <w:fldChar w:fldCharType="begin"/>
            </w:r>
            <w:r w:rsidR="009C793B">
              <w:rPr>
                <w:noProof/>
                <w:webHidden/>
              </w:rPr>
              <w:instrText xml:space="preserve"> PAGEREF _Toc106197212 \h </w:instrText>
            </w:r>
            <w:r w:rsidR="009C793B">
              <w:rPr>
                <w:noProof/>
                <w:webHidden/>
              </w:rPr>
            </w:r>
            <w:r w:rsidR="009C793B">
              <w:rPr>
                <w:noProof/>
                <w:webHidden/>
              </w:rPr>
              <w:fldChar w:fldCharType="separate"/>
            </w:r>
            <w:r w:rsidR="009C793B">
              <w:rPr>
                <w:noProof/>
                <w:webHidden/>
              </w:rPr>
              <w:t>16</w:t>
            </w:r>
            <w:r w:rsidR="009C793B">
              <w:rPr>
                <w:noProof/>
                <w:webHidden/>
              </w:rPr>
              <w:fldChar w:fldCharType="end"/>
            </w:r>
          </w:hyperlink>
        </w:p>
        <w:p w:rsidR="009C793B" w:rsidRDefault="00E83574" w14:paraId="188BF21C" w14:textId="38B71E68">
          <w:pPr>
            <w:pStyle w:val="TOC1"/>
            <w:tabs>
              <w:tab w:val="right" w:leader="dot" w:pos="9350"/>
            </w:tabs>
            <w:rPr>
              <w:rFonts w:eastAsiaTheme="minorEastAsia"/>
              <w:noProof/>
            </w:rPr>
          </w:pPr>
          <w:hyperlink w:history="1" w:anchor="_Toc106197213">
            <w:r w:rsidRPr="00BF10C4" w:rsidR="009C793B">
              <w:rPr>
                <w:rStyle w:val="Hyperlink"/>
                <w:noProof/>
              </w:rPr>
              <w:t>B. Collections of Information Employing Statistical Methods</w:t>
            </w:r>
            <w:r w:rsidR="009C793B">
              <w:rPr>
                <w:noProof/>
                <w:webHidden/>
              </w:rPr>
              <w:tab/>
            </w:r>
            <w:r w:rsidR="009C793B">
              <w:rPr>
                <w:noProof/>
                <w:webHidden/>
              </w:rPr>
              <w:fldChar w:fldCharType="begin"/>
            </w:r>
            <w:r w:rsidR="009C793B">
              <w:rPr>
                <w:noProof/>
                <w:webHidden/>
              </w:rPr>
              <w:instrText xml:space="preserve"> PAGEREF _Toc106197213 \h </w:instrText>
            </w:r>
            <w:r w:rsidR="009C793B">
              <w:rPr>
                <w:noProof/>
                <w:webHidden/>
              </w:rPr>
            </w:r>
            <w:r w:rsidR="009C793B">
              <w:rPr>
                <w:noProof/>
                <w:webHidden/>
              </w:rPr>
              <w:fldChar w:fldCharType="separate"/>
            </w:r>
            <w:r w:rsidR="009C793B">
              <w:rPr>
                <w:noProof/>
                <w:webHidden/>
              </w:rPr>
              <w:t>16</w:t>
            </w:r>
            <w:r w:rsidR="009C793B">
              <w:rPr>
                <w:noProof/>
                <w:webHidden/>
              </w:rPr>
              <w:fldChar w:fldCharType="end"/>
            </w:r>
          </w:hyperlink>
        </w:p>
        <w:p w:rsidR="009C793B" w:rsidRDefault="00E83574" w14:paraId="4BD3D03F" w14:textId="5FF82EC0">
          <w:pPr>
            <w:pStyle w:val="TOC2"/>
            <w:tabs>
              <w:tab w:val="right" w:leader="dot" w:pos="9350"/>
            </w:tabs>
            <w:rPr>
              <w:rFonts w:eastAsiaTheme="minorEastAsia"/>
              <w:noProof/>
            </w:rPr>
          </w:pPr>
          <w:hyperlink w:history="1" w:anchor="_Toc106197214">
            <w:r w:rsidRPr="00BF10C4" w:rsidR="009C793B">
              <w:rPr>
                <w:rStyle w:val="Hyperlink"/>
                <w:noProof/>
              </w:rPr>
              <w:t>B.1 Sampling</w:t>
            </w:r>
            <w:r w:rsidR="009C793B">
              <w:rPr>
                <w:noProof/>
                <w:webHidden/>
              </w:rPr>
              <w:tab/>
            </w:r>
            <w:r w:rsidR="009C793B">
              <w:rPr>
                <w:noProof/>
                <w:webHidden/>
              </w:rPr>
              <w:fldChar w:fldCharType="begin"/>
            </w:r>
            <w:r w:rsidR="009C793B">
              <w:rPr>
                <w:noProof/>
                <w:webHidden/>
              </w:rPr>
              <w:instrText xml:space="preserve"> PAGEREF _Toc106197214 \h </w:instrText>
            </w:r>
            <w:r w:rsidR="009C793B">
              <w:rPr>
                <w:noProof/>
                <w:webHidden/>
              </w:rPr>
            </w:r>
            <w:r w:rsidR="009C793B">
              <w:rPr>
                <w:noProof/>
                <w:webHidden/>
              </w:rPr>
              <w:fldChar w:fldCharType="separate"/>
            </w:r>
            <w:r w:rsidR="009C793B">
              <w:rPr>
                <w:noProof/>
                <w:webHidden/>
              </w:rPr>
              <w:t>16</w:t>
            </w:r>
            <w:r w:rsidR="009C793B">
              <w:rPr>
                <w:noProof/>
                <w:webHidden/>
              </w:rPr>
              <w:fldChar w:fldCharType="end"/>
            </w:r>
          </w:hyperlink>
        </w:p>
        <w:p w:rsidR="009C793B" w:rsidRDefault="00E83574" w14:paraId="17E8E3F2" w14:textId="6F08DD43">
          <w:pPr>
            <w:pStyle w:val="TOC2"/>
            <w:tabs>
              <w:tab w:val="right" w:leader="dot" w:pos="9350"/>
            </w:tabs>
            <w:rPr>
              <w:rFonts w:eastAsiaTheme="minorEastAsia"/>
              <w:noProof/>
            </w:rPr>
          </w:pPr>
          <w:hyperlink w:history="1" w:anchor="_Toc106197215">
            <w:r w:rsidRPr="00BF10C4" w:rsidR="009C793B">
              <w:rPr>
                <w:rStyle w:val="Hyperlink"/>
                <w:noProof/>
              </w:rPr>
              <w:t>B.2 Procedures for Collection of Information</w:t>
            </w:r>
            <w:r w:rsidR="009C793B">
              <w:rPr>
                <w:noProof/>
                <w:webHidden/>
              </w:rPr>
              <w:tab/>
            </w:r>
            <w:r w:rsidR="009C793B">
              <w:rPr>
                <w:noProof/>
                <w:webHidden/>
              </w:rPr>
              <w:fldChar w:fldCharType="begin"/>
            </w:r>
            <w:r w:rsidR="009C793B">
              <w:rPr>
                <w:noProof/>
                <w:webHidden/>
              </w:rPr>
              <w:instrText xml:space="preserve"> PAGEREF _Toc106197215 \h </w:instrText>
            </w:r>
            <w:r w:rsidR="009C793B">
              <w:rPr>
                <w:noProof/>
                <w:webHidden/>
              </w:rPr>
            </w:r>
            <w:r w:rsidR="009C793B">
              <w:rPr>
                <w:noProof/>
                <w:webHidden/>
              </w:rPr>
              <w:fldChar w:fldCharType="separate"/>
            </w:r>
            <w:r w:rsidR="009C793B">
              <w:rPr>
                <w:noProof/>
                <w:webHidden/>
              </w:rPr>
              <w:t>17</w:t>
            </w:r>
            <w:r w:rsidR="009C793B">
              <w:rPr>
                <w:noProof/>
                <w:webHidden/>
              </w:rPr>
              <w:fldChar w:fldCharType="end"/>
            </w:r>
          </w:hyperlink>
        </w:p>
        <w:p w:rsidR="009C793B" w:rsidRDefault="00E83574" w14:paraId="5C7D7355" w14:textId="02700212">
          <w:pPr>
            <w:pStyle w:val="TOC2"/>
            <w:tabs>
              <w:tab w:val="right" w:leader="dot" w:pos="9350"/>
            </w:tabs>
            <w:rPr>
              <w:rFonts w:eastAsiaTheme="minorEastAsia"/>
              <w:noProof/>
            </w:rPr>
          </w:pPr>
          <w:hyperlink w:history="1" w:anchor="_Toc106197216">
            <w:r w:rsidRPr="00BF10C4" w:rsidR="009C793B">
              <w:rPr>
                <w:rStyle w:val="Hyperlink"/>
                <w:noProof/>
              </w:rPr>
              <w:t>B3. Methods to Maximize Response Rates</w:t>
            </w:r>
            <w:r w:rsidR="009C793B">
              <w:rPr>
                <w:noProof/>
                <w:webHidden/>
              </w:rPr>
              <w:tab/>
            </w:r>
            <w:r w:rsidR="009C793B">
              <w:rPr>
                <w:noProof/>
                <w:webHidden/>
              </w:rPr>
              <w:fldChar w:fldCharType="begin"/>
            </w:r>
            <w:r w:rsidR="009C793B">
              <w:rPr>
                <w:noProof/>
                <w:webHidden/>
              </w:rPr>
              <w:instrText xml:space="preserve"> PAGEREF _Toc106197216 \h </w:instrText>
            </w:r>
            <w:r w:rsidR="009C793B">
              <w:rPr>
                <w:noProof/>
                <w:webHidden/>
              </w:rPr>
            </w:r>
            <w:r w:rsidR="009C793B">
              <w:rPr>
                <w:noProof/>
                <w:webHidden/>
              </w:rPr>
              <w:fldChar w:fldCharType="separate"/>
            </w:r>
            <w:r w:rsidR="009C793B">
              <w:rPr>
                <w:noProof/>
                <w:webHidden/>
              </w:rPr>
              <w:t>18</w:t>
            </w:r>
            <w:r w:rsidR="009C793B">
              <w:rPr>
                <w:noProof/>
                <w:webHidden/>
              </w:rPr>
              <w:fldChar w:fldCharType="end"/>
            </w:r>
          </w:hyperlink>
        </w:p>
        <w:p w:rsidR="009C793B" w:rsidRDefault="00E83574" w14:paraId="53BE7B77" w14:textId="7495840A">
          <w:pPr>
            <w:pStyle w:val="TOC2"/>
            <w:tabs>
              <w:tab w:val="right" w:leader="dot" w:pos="9350"/>
            </w:tabs>
            <w:rPr>
              <w:rFonts w:eastAsiaTheme="minorEastAsia"/>
              <w:noProof/>
            </w:rPr>
          </w:pPr>
          <w:hyperlink w:history="1" w:anchor="_Toc106197217">
            <w:r w:rsidRPr="00BF10C4" w:rsidR="009C793B">
              <w:rPr>
                <w:rStyle w:val="Hyperlink"/>
                <w:noProof/>
              </w:rPr>
              <w:t>B4. Pre-testing of Procedures and Methods</w:t>
            </w:r>
            <w:r w:rsidR="009C793B">
              <w:rPr>
                <w:noProof/>
                <w:webHidden/>
              </w:rPr>
              <w:tab/>
            </w:r>
            <w:r w:rsidR="009C793B">
              <w:rPr>
                <w:noProof/>
                <w:webHidden/>
              </w:rPr>
              <w:fldChar w:fldCharType="begin"/>
            </w:r>
            <w:r w:rsidR="009C793B">
              <w:rPr>
                <w:noProof/>
                <w:webHidden/>
              </w:rPr>
              <w:instrText xml:space="preserve"> PAGEREF _Toc106197217 \h </w:instrText>
            </w:r>
            <w:r w:rsidR="009C793B">
              <w:rPr>
                <w:noProof/>
                <w:webHidden/>
              </w:rPr>
            </w:r>
            <w:r w:rsidR="009C793B">
              <w:rPr>
                <w:noProof/>
                <w:webHidden/>
              </w:rPr>
              <w:fldChar w:fldCharType="separate"/>
            </w:r>
            <w:r w:rsidR="009C793B">
              <w:rPr>
                <w:noProof/>
                <w:webHidden/>
              </w:rPr>
              <w:t>18</w:t>
            </w:r>
            <w:r w:rsidR="009C793B">
              <w:rPr>
                <w:noProof/>
                <w:webHidden/>
              </w:rPr>
              <w:fldChar w:fldCharType="end"/>
            </w:r>
          </w:hyperlink>
        </w:p>
        <w:p w:rsidR="009C793B" w:rsidRDefault="00E83574" w14:paraId="4D935A2C" w14:textId="1CAC0E97">
          <w:pPr>
            <w:pStyle w:val="TOC2"/>
            <w:tabs>
              <w:tab w:val="right" w:leader="dot" w:pos="9350"/>
            </w:tabs>
            <w:rPr>
              <w:rFonts w:eastAsiaTheme="minorEastAsia"/>
              <w:noProof/>
            </w:rPr>
          </w:pPr>
          <w:hyperlink w:history="1" w:anchor="_Toc106197218">
            <w:r w:rsidRPr="00BF10C4" w:rsidR="009C793B">
              <w:rPr>
                <w:rStyle w:val="Hyperlink"/>
                <w:noProof/>
              </w:rPr>
              <w:t>B5. Consultants on Statistical Aspects of the Design</w:t>
            </w:r>
            <w:r w:rsidR="009C793B">
              <w:rPr>
                <w:noProof/>
                <w:webHidden/>
              </w:rPr>
              <w:tab/>
            </w:r>
            <w:r w:rsidR="009C793B">
              <w:rPr>
                <w:noProof/>
                <w:webHidden/>
              </w:rPr>
              <w:fldChar w:fldCharType="begin"/>
            </w:r>
            <w:r w:rsidR="009C793B">
              <w:rPr>
                <w:noProof/>
                <w:webHidden/>
              </w:rPr>
              <w:instrText xml:space="preserve"> PAGEREF _Toc106197218 \h </w:instrText>
            </w:r>
            <w:r w:rsidR="009C793B">
              <w:rPr>
                <w:noProof/>
                <w:webHidden/>
              </w:rPr>
            </w:r>
            <w:r w:rsidR="009C793B">
              <w:rPr>
                <w:noProof/>
                <w:webHidden/>
              </w:rPr>
              <w:fldChar w:fldCharType="separate"/>
            </w:r>
            <w:r w:rsidR="009C793B">
              <w:rPr>
                <w:noProof/>
                <w:webHidden/>
              </w:rPr>
              <w:t>20</w:t>
            </w:r>
            <w:r w:rsidR="009C793B">
              <w:rPr>
                <w:noProof/>
                <w:webHidden/>
              </w:rPr>
              <w:fldChar w:fldCharType="end"/>
            </w:r>
          </w:hyperlink>
        </w:p>
        <w:p w:rsidRPr="008E3B83" w:rsidR="00716277" w:rsidP="00716277" w:rsidRDefault="0015059D" w14:paraId="48BA7625" w14:textId="28F730F0">
          <w:pPr>
            <w:rPr>
              <w:noProof/>
            </w:rPr>
          </w:pPr>
          <w:r>
            <w:rPr>
              <w:b/>
              <w:bCs/>
              <w:noProof/>
            </w:rPr>
            <w:fldChar w:fldCharType="end"/>
          </w:r>
          <w:r w:rsidRPr="008E3B83" w:rsidR="00716277">
            <w:rPr>
              <w:noProof/>
            </w:rPr>
            <w:t>Appendices</w:t>
          </w:r>
        </w:p>
        <w:p w:rsidRPr="008E3B83" w:rsidR="00716277" w:rsidP="00716277" w:rsidRDefault="00716277" w14:paraId="34534C46" w14:textId="77777777">
          <w:pPr>
            <w:contextualSpacing/>
            <w:rPr>
              <w:noProof/>
            </w:rPr>
          </w:pPr>
          <w:r w:rsidRPr="008E3B83">
            <w:rPr>
              <w:noProof/>
            </w:rPr>
            <w:t>Appendix A. 60-Day Notice</w:t>
          </w:r>
          <w:r>
            <w:rPr>
              <w:noProof/>
            </w:rPr>
            <w:t xml:space="preserve"> for Public Comments</w:t>
          </w:r>
        </w:p>
        <w:p w:rsidR="004E70A5" w:rsidP="008E3B83" w:rsidRDefault="00716277" w14:paraId="2CC3FDFE" w14:textId="77777777">
          <w:pPr>
            <w:contextualSpacing/>
            <w:rPr>
              <w:noProof/>
            </w:rPr>
          </w:pPr>
          <w:r w:rsidRPr="008E3B83">
            <w:rPr>
              <w:noProof/>
            </w:rPr>
            <w:t xml:space="preserve">Appendix B. </w:t>
          </w:r>
          <w:r>
            <w:rPr>
              <w:noProof/>
            </w:rPr>
            <w:t>Public Comments</w:t>
          </w:r>
        </w:p>
        <w:p w:rsidRPr="008E3B83" w:rsidR="0015059D" w:rsidP="008E3B83" w:rsidRDefault="004E70A5" w14:paraId="5ED2BA5E" w14:textId="2AD2949F">
          <w:pPr>
            <w:contextualSpacing/>
          </w:pPr>
          <w:r>
            <w:rPr>
              <w:noProof/>
            </w:rPr>
            <w:t>Appendix C. IRB Approval Letter</w:t>
          </w:r>
        </w:p>
      </w:sdtContent>
    </w:sdt>
    <w:p w:rsidR="0015059D" w:rsidP="0015059D" w:rsidRDefault="0015059D" w14:paraId="58DF95BF" w14:textId="21E04D66">
      <w:pPr>
        <w:pStyle w:val="Heading1"/>
      </w:pPr>
      <w:bookmarkStart w:name="_Toc106197192" w:id="0"/>
      <w:r>
        <w:lastRenderedPageBreak/>
        <w:t>A. Justification</w:t>
      </w:r>
      <w:bookmarkEnd w:id="0"/>
    </w:p>
    <w:p w:rsidR="0015059D" w:rsidP="00FB01A8" w:rsidRDefault="0015059D" w14:paraId="3376D750" w14:textId="75657CAB">
      <w:pPr>
        <w:pStyle w:val="Heading2"/>
      </w:pPr>
      <w:bookmarkStart w:name="_Toc106197193" w:id="1"/>
      <w:r>
        <w:t xml:space="preserve">A.1 </w:t>
      </w:r>
      <w:r w:rsidRPr="005C43A1">
        <w:t>Circumstances Making the Collection of Information Necessary</w:t>
      </w:r>
      <w:bookmarkEnd w:id="1"/>
    </w:p>
    <w:p w:rsidR="00240527" w:rsidP="0015059D" w:rsidRDefault="00240527" w14:paraId="680FE781" w14:textId="3C4A6C40">
      <w:r w:rsidRPr="00240527">
        <w:t xml:space="preserve">This is a new </w:t>
      </w:r>
      <w:r w:rsidR="00E60158">
        <w:t>Information Collection Request (ICR)</w:t>
      </w:r>
      <w:r w:rsidRPr="00240527">
        <w:t xml:space="preserve">. The Health Resources and Services Administration (HRSA) requests Office of Management and Budget (OMB) approval to initiate data collection for the </w:t>
      </w:r>
      <w:r>
        <w:t>M</w:t>
      </w:r>
      <w:r w:rsidRPr="00832E4D">
        <w:t>aternal, Infant, and Early Childhood Home Visiting (MIECHV) Program: Advancing Health Equity in Response to the COVID-19 Public Health Emergency project</w:t>
      </w:r>
      <w:r w:rsidRPr="00240527">
        <w:t>.</w:t>
      </w:r>
    </w:p>
    <w:p w:rsidR="00E40B43" w:rsidP="0015059D" w:rsidRDefault="00832E4D" w14:paraId="04BB544F" w14:textId="412FC937">
      <w:r w:rsidRPr="00832E4D">
        <w:t>The Maternal, Infant, and Early Childhood Home Visiting (MIECHV) Program: Advancing Health Equity in Response to the COVID-19 Public Health Emergency project aims to understand how health equity</w:t>
      </w:r>
      <w:r w:rsidR="009262A0">
        <w:t xml:space="preserve"> has been</w:t>
      </w:r>
      <w:r w:rsidRPr="00832E4D">
        <w:t xml:space="preserve"> advanced during the COVID-19 public health emergency in communities with MIECHV-funded home visiting programs. </w:t>
      </w:r>
      <w:r w:rsidR="00B81478">
        <w:t xml:space="preserve">The MIECHV Program makes grants to states, jurisdictions, and tribal communities, which then have flexibility to develop, implement, and tailor their home visiting programs based on community needs, capacity, and resources within the parameters of </w:t>
      </w:r>
      <w:r w:rsidR="00E60158">
        <w:t>statutory and programmatic requirements</w:t>
      </w:r>
      <w:r w:rsidR="00B81478">
        <w:t xml:space="preserve">. In fiscal year </w:t>
      </w:r>
      <w:r w:rsidR="00E60158">
        <w:t>2021</w:t>
      </w:r>
      <w:r w:rsidR="00B81478">
        <w:t>, MIECHV awarded about $</w:t>
      </w:r>
      <w:r w:rsidR="00E60158">
        <w:t xml:space="preserve">342 </w:t>
      </w:r>
      <w:r w:rsidR="00B81478">
        <w:t xml:space="preserve">million in funding to programs that served 140,000 parents and children and provided over </w:t>
      </w:r>
      <w:r w:rsidR="00E60158">
        <w:t>920</w:t>
      </w:r>
      <w:r w:rsidR="00B81478">
        <w:t>,000 home visits across all 50 states, the District of Columbia, and five U.S. territories.</w:t>
      </w:r>
      <w:r w:rsidR="00B81478">
        <w:rPr>
          <w:rStyle w:val="EndnoteReference"/>
        </w:rPr>
        <w:endnoteReference w:id="2"/>
      </w:r>
      <w:r w:rsidR="00B81478">
        <w:rPr>
          <w:vertAlign w:val="superscript"/>
        </w:rPr>
        <w:t>,</w:t>
      </w:r>
      <w:r w:rsidR="00B81478">
        <w:rPr>
          <w:rStyle w:val="EndnoteReference"/>
        </w:rPr>
        <w:endnoteReference w:id="3"/>
      </w:r>
      <w:r w:rsidR="00E60158">
        <w:rPr>
          <w:vertAlign w:val="superscript"/>
        </w:rPr>
        <w:t xml:space="preserve">  </w:t>
      </w:r>
      <w:r w:rsidR="00E60158">
        <w:t>In addition, in calendar year 2021, HRSA issued approximately $122 million in emergency COVID-19 relief funding appropriated through the American Rescue Plan to MIECHV awardees to address the immediate and ongoing needs of low-resourced families participating in home visiting services.</w:t>
      </w:r>
      <w:r w:rsidR="009D3132">
        <w:t xml:space="preserve"> </w:t>
      </w:r>
    </w:p>
    <w:p w:rsidR="002D3664" w:rsidP="0015059D" w:rsidRDefault="00290BF6" w14:paraId="7B501635" w14:textId="1D8E330C">
      <w:r>
        <w:t>HRSA provide grants to</w:t>
      </w:r>
      <w:r w:rsidR="00AD66E6">
        <w:t xml:space="preserve"> </w:t>
      </w:r>
      <w:r w:rsidR="005F49AD">
        <w:t>state</w:t>
      </w:r>
      <w:r w:rsidR="008D61AE">
        <w:t xml:space="preserve"> awardees</w:t>
      </w:r>
      <w:r>
        <w:t>, who are generally state departments of health, public health, or early childhood. State awardees, in turn,</w:t>
      </w:r>
      <w:r w:rsidR="00AD66E6">
        <w:t xml:space="preserve"> contract with local implementing agencies</w:t>
      </w:r>
      <w:r w:rsidR="005F49AD">
        <w:t xml:space="preserve"> (LIAs) to provide home visiting services</w:t>
      </w:r>
      <w:r w:rsidR="00D17267">
        <w:t xml:space="preserve"> in the community.</w:t>
      </w:r>
      <w:r w:rsidR="00090785">
        <w:t xml:space="preserve"> This</w:t>
      </w:r>
      <w:r w:rsidR="00F0593C">
        <w:t xml:space="preserve"> LIA and</w:t>
      </w:r>
      <w:r w:rsidR="00090785">
        <w:t xml:space="preserve"> </w:t>
      </w:r>
      <w:r w:rsidR="00F96940">
        <w:t>community level will be the unit of analysis for</w:t>
      </w:r>
      <w:r w:rsidR="00F0593C">
        <w:t xml:space="preserve"> each of</w:t>
      </w:r>
      <w:r w:rsidR="00F96940">
        <w:t xml:space="preserve"> the</w:t>
      </w:r>
      <w:r w:rsidRPr="00832E4D" w:rsidR="00832E4D">
        <w:t xml:space="preserve"> case studies to be conducted </w:t>
      </w:r>
      <w:r w:rsidR="00F96940">
        <w:t>for thi</w:t>
      </w:r>
      <w:r w:rsidR="00F0593C">
        <w:t>s project.</w:t>
      </w:r>
      <w:r w:rsidR="00B6155B">
        <w:t xml:space="preserve"> </w:t>
      </w:r>
      <w:r w:rsidR="00CB0CC6">
        <w:t>Five c</w:t>
      </w:r>
      <w:r w:rsidRPr="00832E4D" w:rsidR="00832E4D">
        <w:t>ommunities</w:t>
      </w:r>
      <w:r w:rsidR="00CB0CC6">
        <w:t xml:space="preserve"> from across the United States</w:t>
      </w:r>
      <w:r w:rsidRPr="00832E4D" w:rsidR="00832E4D">
        <w:t xml:space="preserve"> will be selected based on a county level assessment from the County Response Index to Support Equity in Home Visiting (County RISE-HV), the variation in COVID-19 patterns including </w:t>
      </w:r>
      <w:r w:rsidR="00E60158">
        <w:t xml:space="preserve">data </w:t>
      </w:r>
      <w:r w:rsidRPr="00832E4D" w:rsidR="00832E4D">
        <w:t>indicating disproportionality in experiences of COVID-19, and the existence of MIECHV-funded local implementing agencies.</w:t>
      </w:r>
      <w:r w:rsidR="001810C1">
        <w:t xml:space="preserve"> The County RISE-HV </w:t>
      </w:r>
      <w:r w:rsidR="00353B3C">
        <w:t xml:space="preserve">is an index created for this project using data from </w:t>
      </w:r>
      <w:r w:rsidR="00BE0EFC">
        <w:t xml:space="preserve">national data sources such as the American Community Survey, </w:t>
      </w:r>
      <w:r w:rsidR="003F58E1">
        <w:t xml:space="preserve">the Current Population Survey, the </w:t>
      </w:r>
      <w:r w:rsidR="006C0C55">
        <w:t xml:space="preserve">County Health Rankings, </w:t>
      </w:r>
      <w:r w:rsidR="00D70696">
        <w:t xml:space="preserve">the </w:t>
      </w:r>
      <w:r w:rsidRPr="00D70696" w:rsidR="00345667">
        <w:rPr>
          <w:rFonts w:eastAsia="Yu Mincho" w:cs="Arial"/>
          <w:szCs w:val="20"/>
        </w:rPr>
        <w:t>CDC Wide-ranging Online Data for Epidemiologic Research</w:t>
      </w:r>
      <w:r w:rsidR="00345667">
        <w:rPr>
          <w:rFonts w:eastAsia="Yu Mincho" w:cs="Arial"/>
          <w:szCs w:val="20"/>
        </w:rPr>
        <w:t xml:space="preserve">, and the </w:t>
      </w:r>
      <w:r w:rsidR="00D70696">
        <w:rPr>
          <w:rFonts w:eastAsia="Yu Mincho" w:cs="Arial"/>
          <w:szCs w:val="20"/>
        </w:rPr>
        <w:t>Civil Rights Data Collection.</w:t>
      </w:r>
      <w:r w:rsidR="001810C1">
        <w:rPr>
          <w:rFonts w:eastAsia="Lato" w:cs="Lato"/>
          <w:color w:val="000000" w:themeColor="text1"/>
        </w:rPr>
        <w:t xml:space="preserve"> </w:t>
      </w:r>
      <w:r w:rsidR="00225FB5">
        <w:rPr>
          <w:rFonts w:eastAsia="Lato" w:cs="Lato"/>
          <w:color w:val="000000" w:themeColor="text1"/>
        </w:rPr>
        <w:t xml:space="preserve">The index </w:t>
      </w:r>
      <w:r w:rsidR="001810C1">
        <w:rPr>
          <w:rFonts w:eastAsia="Lato" w:cs="Lato"/>
          <w:color w:val="000000" w:themeColor="text1"/>
        </w:rPr>
        <w:t>include</w:t>
      </w:r>
      <w:r w:rsidR="00353B3C">
        <w:rPr>
          <w:rFonts w:eastAsia="Lato" w:cs="Lato"/>
          <w:color w:val="000000" w:themeColor="text1"/>
        </w:rPr>
        <w:t>s</w:t>
      </w:r>
      <w:r w:rsidRPr="771B8270" w:rsidR="001810C1">
        <w:rPr>
          <w:rFonts w:eastAsia="Lato" w:cs="Lato"/>
          <w:color w:val="000000" w:themeColor="text1"/>
        </w:rPr>
        <w:t xml:space="preserve"> </w:t>
      </w:r>
      <w:r w:rsidRPr="00A54054" w:rsidR="001810C1">
        <w:rPr>
          <w:rFonts w:eastAsia="Lato" w:cs="Lato"/>
          <w:bCs/>
          <w:color w:val="000000" w:themeColor="text1"/>
        </w:rPr>
        <w:t xml:space="preserve">social determinants of health </w:t>
      </w:r>
      <w:r w:rsidR="001810C1">
        <w:rPr>
          <w:rFonts w:eastAsia="Lato" w:cs="Lato"/>
          <w:color w:val="000000" w:themeColor="text1"/>
        </w:rPr>
        <w:t>indicators</w:t>
      </w:r>
      <w:r w:rsidRPr="771B8270" w:rsidR="001810C1">
        <w:rPr>
          <w:rFonts w:eastAsia="Lato" w:cs="Lato"/>
          <w:color w:val="000000" w:themeColor="text1"/>
        </w:rPr>
        <w:t xml:space="preserve"> </w:t>
      </w:r>
      <w:r w:rsidR="001810C1">
        <w:rPr>
          <w:szCs w:val="20"/>
        </w:rPr>
        <w:t xml:space="preserve">that were present in counties before the COVID-19 pandemic, </w:t>
      </w:r>
      <w:r w:rsidR="001810C1">
        <w:t>with particular attention to those most relevant to home visiting-related outcomes</w:t>
      </w:r>
      <w:r w:rsidR="00271168">
        <w:t>.</w:t>
      </w:r>
      <w:r w:rsidRPr="00832E4D" w:rsidR="00832E4D">
        <w:t xml:space="preserve"> The five communities will represent a mix of urban and rural counties, will include a Tribal community, and will include communities with existing health disparities by race and ethnicity. </w:t>
      </w:r>
    </w:p>
    <w:p w:rsidR="00FB01A8" w:rsidP="0015059D" w:rsidRDefault="00FB01A8" w14:paraId="5D25886E" w14:textId="2CE1C486">
      <w:r>
        <w:t>There are no legal or administrative requirements that necessitate this data collection.</w:t>
      </w:r>
    </w:p>
    <w:p w:rsidRPr="005C43A1" w:rsidR="0015059D" w:rsidP="0015059D" w:rsidRDefault="0015059D" w14:paraId="29EC0F73" w14:textId="02B93060">
      <w:pPr>
        <w:pStyle w:val="Heading2"/>
      </w:pPr>
      <w:bookmarkStart w:name="_Toc106197194" w:id="2"/>
      <w:r>
        <w:t xml:space="preserve">A.2 </w:t>
      </w:r>
      <w:r w:rsidRPr="005C43A1">
        <w:t>Purposes and Use of the Information Collection</w:t>
      </w:r>
      <w:bookmarkEnd w:id="2"/>
    </w:p>
    <w:p w:rsidR="0015059D" w:rsidP="0015059D" w:rsidRDefault="00832E4D" w14:paraId="69BAD929" w14:textId="4A483BB6">
      <w:pPr>
        <w:rPr>
          <w:rFonts w:cstheme="minorHAnsi"/>
        </w:rPr>
      </w:pPr>
      <w:r w:rsidRPr="00BD2BA5">
        <w:rPr>
          <w:rFonts w:cstheme="minorHAnsi"/>
        </w:rPr>
        <w:t>HRSA is seeking additional information about the strategies and partners home visiting programs have used to advance health equity in communities disproportionately impacted by the COVID-19 public health emergency. HRSA intends to use this information to provide technical assistance and disseminate best practices to MIECHV awardees, publish findings for lay and research audiences to advance the field’s knowledge of home visiting’s role in COVID-19 response, and to prepare state and local home visiting programs for future public health emergencies.</w:t>
      </w:r>
    </w:p>
    <w:p w:rsidR="00B901CE" w:rsidP="00B901CE" w:rsidRDefault="00B901CE" w14:paraId="03B1657B" w14:textId="523BCFF2">
      <w:r w:rsidRPr="00832E4D">
        <w:lastRenderedPageBreak/>
        <w:t xml:space="preserve">The case studies will lead to a deeper understanding of the ways in which COVID-19 has shaped families’ experiences, and the role home visiting plays (and could play) in addressing the inequities that continue to accrue from the pandemic within a community. </w:t>
      </w:r>
      <w:r w:rsidR="00081829">
        <w:t xml:space="preserve">See </w:t>
      </w:r>
      <w:r w:rsidR="00355D57">
        <w:t>Table 1</w:t>
      </w:r>
      <w:r w:rsidR="00081829">
        <w:t xml:space="preserve"> for mo</w:t>
      </w:r>
      <w:r w:rsidR="008D183E">
        <w:t xml:space="preserve">re detail on the types of information to be collected. </w:t>
      </w:r>
      <w:r w:rsidRPr="00832E4D">
        <w:t>Information gained from these case studies can inform the development of more responsive home visiting systems and more equitable health and family support systems, in general. Data collection activities include key informant interviews, focus groups, and online surveys.</w:t>
      </w:r>
    </w:p>
    <w:p w:rsidR="006D2761" w:rsidRDefault="006D2761" w14:paraId="43BA4135" w14:textId="77777777">
      <w:pPr>
        <w:sectPr w:rsidR="006D2761">
          <w:footerReference w:type="default" r:id="rId11"/>
          <w:endnotePr>
            <w:numFmt w:val="decimal"/>
          </w:endnotePr>
          <w:pgSz w:w="12240" w:h="15840"/>
          <w:pgMar w:top="1440" w:right="1440" w:bottom="1440" w:left="1440" w:header="720" w:footer="720" w:gutter="0"/>
          <w:cols w:space="720"/>
          <w:docGrid w:linePitch="360"/>
        </w:sectPr>
      </w:pPr>
    </w:p>
    <w:p w:rsidRPr="005719DF" w:rsidR="00DD1193" w:rsidP="00DD1193" w:rsidRDefault="00DD1193" w14:paraId="6337B451" w14:textId="608CF2F2">
      <w:pPr>
        <w:rPr>
          <w:b/>
          <w:bCs/>
        </w:rPr>
      </w:pPr>
      <w:r w:rsidRPr="005719DF">
        <w:rPr>
          <w:b/>
          <w:bCs/>
        </w:rPr>
        <w:lastRenderedPageBreak/>
        <w:t xml:space="preserve">Table </w:t>
      </w:r>
      <w:r w:rsidR="00355D57">
        <w:rPr>
          <w:b/>
          <w:bCs/>
        </w:rPr>
        <w:t>1</w:t>
      </w:r>
      <w:r w:rsidRPr="005719DF">
        <w:rPr>
          <w:b/>
          <w:bCs/>
        </w:rPr>
        <w:t>. Constructs, sub-constructs</w:t>
      </w:r>
      <w:r>
        <w:rPr>
          <w:b/>
          <w:bCs/>
        </w:rPr>
        <w:t>,</w:t>
      </w:r>
      <w:r w:rsidRPr="005719DF">
        <w:rPr>
          <w:b/>
          <w:bCs/>
        </w:rPr>
        <w:t xml:space="preserve"> and data sources</w:t>
      </w:r>
    </w:p>
    <w:tbl>
      <w:tblPr>
        <w:tblStyle w:val="TableGrid"/>
        <w:tblW w:w="5000" w:type="pct"/>
        <w:tblLook w:val="04A0" w:firstRow="1" w:lastRow="0" w:firstColumn="1" w:lastColumn="0" w:noHBand="0" w:noVBand="1"/>
      </w:tblPr>
      <w:tblGrid>
        <w:gridCol w:w="2425"/>
        <w:gridCol w:w="6998"/>
        <w:gridCol w:w="1256"/>
        <w:gridCol w:w="1168"/>
        <w:gridCol w:w="1103"/>
      </w:tblGrid>
      <w:tr w:rsidRPr="00971826" w:rsidR="00DD1193" w:rsidTr="00FD63EC" w14:paraId="57F6BA85" w14:textId="77777777">
        <w:trPr>
          <w:tblHeader/>
        </w:trPr>
        <w:tc>
          <w:tcPr>
            <w:tcW w:w="936" w:type="pct"/>
            <w:vMerge w:val="restart"/>
            <w:shd w:val="clear" w:color="auto" w:fill="auto"/>
            <w:vAlign w:val="center"/>
          </w:tcPr>
          <w:p w:rsidRPr="005159EF" w:rsidR="00DD1193" w:rsidP="007B43BB" w:rsidRDefault="00DD1193" w14:paraId="6B0D763E" w14:textId="77777777">
            <w:pPr>
              <w:contextualSpacing/>
              <w:rPr>
                <w:b/>
                <w:bCs/>
                <w:sz w:val="22"/>
                <w:szCs w:val="22"/>
              </w:rPr>
            </w:pPr>
            <w:r w:rsidRPr="005159EF">
              <w:rPr>
                <w:b/>
                <w:bCs/>
                <w:sz w:val="22"/>
                <w:szCs w:val="22"/>
              </w:rPr>
              <w:t>Construct</w:t>
            </w:r>
          </w:p>
        </w:tc>
        <w:tc>
          <w:tcPr>
            <w:tcW w:w="2702" w:type="pct"/>
            <w:vMerge w:val="restart"/>
            <w:shd w:val="clear" w:color="auto" w:fill="auto"/>
            <w:vAlign w:val="center"/>
          </w:tcPr>
          <w:p w:rsidRPr="005159EF" w:rsidR="00DD1193" w:rsidP="007B43BB" w:rsidRDefault="00DD1193" w14:paraId="7E7E1B29" w14:textId="77777777">
            <w:pPr>
              <w:contextualSpacing/>
              <w:rPr>
                <w:b/>
                <w:bCs/>
                <w:sz w:val="22"/>
                <w:szCs w:val="22"/>
              </w:rPr>
            </w:pPr>
            <w:r w:rsidRPr="005159EF">
              <w:rPr>
                <w:b/>
                <w:bCs/>
                <w:sz w:val="22"/>
                <w:szCs w:val="22"/>
              </w:rPr>
              <w:t>Sub-Constructs</w:t>
            </w:r>
          </w:p>
        </w:tc>
        <w:tc>
          <w:tcPr>
            <w:tcW w:w="1362" w:type="pct"/>
            <w:gridSpan w:val="3"/>
            <w:shd w:val="clear" w:color="auto" w:fill="auto"/>
            <w:vAlign w:val="center"/>
          </w:tcPr>
          <w:p w:rsidRPr="005159EF" w:rsidR="00DD1193" w:rsidP="007B43BB" w:rsidRDefault="00DD1193" w14:paraId="46E4F0CD" w14:textId="77777777">
            <w:pPr>
              <w:contextualSpacing/>
              <w:jc w:val="center"/>
              <w:rPr>
                <w:b/>
                <w:bCs/>
                <w:sz w:val="22"/>
                <w:szCs w:val="22"/>
              </w:rPr>
            </w:pPr>
            <w:r w:rsidRPr="005159EF">
              <w:rPr>
                <w:b/>
                <w:bCs/>
                <w:sz w:val="22"/>
                <w:szCs w:val="22"/>
              </w:rPr>
              <w:t>Data Source</w:t>
            </w:r>
          </w:p>
        </w:tc>
      </w:tr>
      <w:tr w:rsidRPr="00971826" w:rsidR="00DD1193" w:rsidTr="00FD63EC" w14:paraId="73EEF224" w14:textId="77777777">
        <w:trPr>
          <w:trHeight w:val="749"/>
          <w:tblHeader/>
        </w:trPr>
        <w:tc>
          <w:tcPr>
            <w:tcW w:w="936" w:type="pct"/>
            <w:vMerge/>
            <w:shd w:val="clear" w:color="auto" w:fill="auto"/>
          </w:tcPr>
          <w:p w:rsidRPr="005159EF" w:rsidR="00DD1193" w:rsidP="007B43BB" w:rsidRDefault="00DD1193" w14:paraId="2F5E5630" w14:textId="77777777">
            <w:pPr>
              <w:contextualSpacing/>
              <w:rPr>
                <w:b/>
                <w:bCs/>
                <w:sz w:val="22"/>
                <w:szCs w:val="22"/>
              </w:rPr>
            </w:pPr>
          </w:p>
        </w:tc>
        <w:tc>
          <w:tcPr>
            <w:tcW w:w="2702" w:type="pct"/>
            <w:vMerge/>
            <w:shd w:val="clear" w:color="auto" w:fill="auto"/>
          </w:tcPr>
          <w:p w:rsidRPr="005159EF" w:rsidR="00DD1193" w:rsidP="007B43BB" w:rsidRDefault="00DD1193" w14:paraId="511D290F" w14:textId="77777777">
            <w:pPr>
              <w:contextualSpacing/>
              <w:rPr>
                <w:b/>
                <w:bCs/>
                <w:sz w:val="22"/>
                <w:szCs w:val="22"/>
              </w:rPr>
            </w:pPr>
          </w:p>
        </w:tc>
        <w:tc>
          <w:tcPr>
            <w:tcW w:w="485" w:type="pct"/>
            <w:shd w:val="clear" w:color="auto" w:fill="auto"/>
            <w:vAlign w:val="center"/>
          </w:tcPr>
          <w:p w:rsidRPr="005159EF" w:rsidR="00DD1193" w:rsidP="007B43BB" w:rsidRDefault="00DD1193" w14:paraId="66BCF213" w14:textId="49834E24">
            <w:pPr>
              <w:contextualSpacing/>
              <w:jc w:val="center"/>
              <w:rPr>
                <w:b/>
                <w:bCs/>
                <w:sz w:val="22"/>
                <w:szCs w:val="22"/>
              </w:rPr>
            </w:pPr>
            <w:r w:rsidRPr="005159EF">
              <w:rPr>
                <w:b/>
                <w:bCs/>
                <w:sz w:val="22"/>
                <w:szCs w:val="22"/>
              </w:rPr>
              <w:t>Interview</w:t>
            </w:r>
          </w:p>
        </w:tc>
        <w:tc>
          <w:tcPr>
            <w:tcW w:w="451" w:type="pct"/>
            <w:shd w:val="clear" w:color="auto" w:fill="auto"/>
            <w:vAlign w:val="center"/>
          </w:tcPr>
          <w:p w:rsidRPr="005159EF" w:rsidR="00DD1193" w:rsidP="007B43BB" w:rsidRDefault="00DD1193" w14:paraId="799FA3A2" w14:textId="77777777">
            <w:pPr>
              <w:contextualSpacing/>
              <w:jc w:val="center"/>
              <w:rPr>
                <w:b/>
                <w:bCs/>
                <w:sz w:val="22"/>
                <w:szCs w:val="22"/>
              </w:rPr>
            </w:pPr>
            <w:r w:rsidRPr="005159EF">
              <w:rPr>
                <w:b/>
                <w:bCs/>
                <w:sz w:val="22"/>
                <w:szCs w:val="22"/>
              </w:rPr>
              <w:t>Focus Group</w:t>
            </w:r>
          </w:p>
        </w:tc>
        <w:tc>
          <w:tcPr>
            <w:tcW w:w="426" w:type="pct"/>
            <w:shd w:val="clear" w:color="auto" w:fill="auto"/>
            <w:vAlign w:val="center"/>
          </w:tcPr>
          <w:p w:rsidRPr="005159EF" w:rsidR="00DD1193" w:rsidP="007B43BB" w:rsidRDefault="00DD1193" w14:paraId="7C556ACB" w14:textId="77777777">
            <w:pPr>
              <w:contextualSpacing/>
              <w:jc w:val="center"/>
              <w:rPr>
                <w:b/>
                <w:bCs/>
                <w:sz w:val="22"/>
                <w:szCs w:val="22"/>
              </w:rPr>
            </w:pPr>
            <w:r w:rsidRPr="005159EF">
              <w:rPr>
                <w:b/>
                <w:bCs/>
                <w:sz w:val="22"/>
                <w:szCs w:val="22"/>
              </w:rPr>
              <w:t>Survey</w:t>
            </w:r>
          </w:p>
        </w:tc>
      </w:tr>
      <w:tr w:rsidRPr="00971826" w:rsidR="00DD1193" w:rsidTr="00FD63EC" w14:paraId="1E50B7C6" w14:textId="77777777">
        <w:trPr>
          <w:trHeight w:val="331"/>
        </w:trPr>
        <w:tc>
          <w:tcPr>
            <w:tcW w:w="936" w:type="pct"/>
            <w:vMerge w:val="restart"/>
            <w:vAlign w:val="center"/>
          </w:tcPr>
          <w:p w:rsidRPr="00355D57" w:rsidR="00DD1193" w:rsidP="007B43BB" w:rsidRDefault="00DD1193" w14:paraId="30CC4DC8" w14:textId="77777777">
            <w:pPr>
              <w:contextualSpacing/>
              <w:rPr>
                <w:sz w:val="21"/>
                <w:szCs w:val="21"/>
              </w:rPr>
            </w:pPr>
            <w:r w:rsidRPr="00355D57">
              <w:rPr>
                <w:sz w:val="21"/>
                <w:szCs w:val="21"/>
              </w:rPr>
              <w:t>Policy and health systems context in the community</w:t>
            </w:r>
          </w:p>
        </w:tc>
        <w:tc>
          <w:tcPr>
            <w:tcW w:w="2702" w:type="pct"/>
            <w:vAlign w:val="center"/>
          </w:tcPr>
          <w:p w:rsidRPr="00355D57" w:rsidR="00DD1193" w:rsidP="007B43BB" w:rsidRDefault="00DD1193" w14:paraId="28D0D17E" w14:textId="77777777">
            <w:pPr>
              <w:contextualSpacing/>
              <w:rPr>
                <w:sz w:val="21"/>
                <w:szCs w:val="21"/>
              </w:rPr>
            </w:pPr>
            <w:r w:rsidRPr="00355D57">
              <w:rPr>
                <w:sz w:val="21"/>
                <w:szCs w:val="21"/>
              </w:rPr>
              <w:t>COVID-19 policy responses and impacts on families</w:t>
            </w:r>
          </w:p>
        </w:tc>
        <w:tc>
          <w:tcPr>
            <w:tcW w:w="485" w:type="pct"/>
            <w:vAlign w:val="center"/>
          </w:tcPr>
          <w:p w:rsidRPr="00355D57" w:rsidR="00DD1193" w:rsidP="007B43BB" w:rsidRDefault="00DD1193" w14:paraId="6E018E76" w14:textId="77777777">
            <w:pPr>
              <w:contextualSpacing/>
              <w:jc w:val="center"/>
              <w:rPr>
                <w:sz w:val="21"/>
                <w:szCs w:val="21"/>
              </w:rPr>
            </w:pPr>
            <w:r w:rsidRPr="00355D57">
              <w:rPr>
                <w:sz w:val="21"/>
                <w:szCs w:val="21"/>
              </w:rPr>
              <w:t>X</w:t>
            </w:r>
          </w:p>
        </w:tc>
        <w:tc>
          <w:tcPr>
            <w:tcW w:w="451" w:type="pct"/>
            <w:vAlign w:val="center"/>
          </w:tcPr>
          <w:p w:rsidRPr="00355D57" w:rsidR="00DD1193" w:rsidP="007B43BB" w:rsidRDefault="00DD1193" w14:paraId="4CC32DD7" w14:textId="77777777">
            <w:pPr>
              <w:contextualSpacing/>
              <w:jc w:val="center"/>
              <w:rPr>
                <w:sz w:val="21"/>
                <w:szCs w:val="21"/>
              </w:rPr>
            </w:pPr>
          </w:p>
        </w:tc>
        <w:tc>
          <w:tcPr>
            <w:tcW w:w="426" w:type="pct"/>
            <w:vAlign w:val="center"/>
          </w:tcPr>
          <w:p w:rsidRPr="00355D57" w:rsidR="00DD1193" w:rsidP="007B43BB" w:rsidRDefault="00DD1193" w14:paraId="76C27D60" w14:textId="77777777">
            <w:pPr>
              <w:contextualSpacing/>
              <w:jc w:val="center"/>
              <w:rPr>
                <w:sz w:val="21"/>
                <w:szCs w:val="21"/>
              </w:rPr>
            </w:pPr>
          </w:p>
        </w:tc>
      </w:tr>
      <w:tr w:rsidRPr="00971826" w:rsidR="00DD1193" w:rsidTr="00FD63EC" w14:paraId="72F3CC57" w14:textId="77777777">
        <w:trPr>
          <w:trHeight w:val="331"/>
        </w:trPr>
        <w:tc>
          <w:tcPr>
            <w:tcW w:w="936" w:type="pct"/>
            <w:vMerge/>
            <w:vAlign w:val="center"/>
          </w:tcPr>
          <w:p w:rsidRPr="00355D57" w:rsidR="00DD1193" w:rsidP="007B43BB" w:rsidRDefault="00DD1193" w14:paraId="19A6EFFD" w14:textId="77777777">
            <w:pPr>
              <w:contextualSpacing/>
              <w:rPr>
                <w:sz w:val="21"/>
                <w:szCs w:val="21"/>
                <w:highlight w:val="green"/>
              </w:rPr>
            </w:pPr>
          </w:p>
        </w:tc>
        <w:tc>
          <w:tcPr>
            <w:tcW w:w="2702" w:type="pct"/>
            <w:vAlign w:val="center"/>
          </w:tcPr>
          <w:p w:rsidRPr="00355D57" w:rsidR="00DD1193" w:rsidP="007B43BB" w:rsidRDefault="00DD1193" w14:paraId="34517435" w14:textId="77777777">
            <w:pPr>
              <w:contextualSpacing/>
              <w:rPr>
                <w:sz w:val="21"/>
                <w:szCs w:val="21"/>
                <w:highlight w:val="green"/>
              </w:rPr>
            </w:pPr>
            <w:r w:rsidRPr="00355D57">
              <w:rPr>
                <w:sz w:val="21"/>
                <w:szCs w:val="21"/>
              </w:rPr>
              <w:t>Awareness of historical disparities</w:t>
            </w:r>
          </w:p>
        </w:tc>
        <w:tc>
          <w:tcPr>
            <w:tcW w:w="485" w:type="pct"/>
            <w:vAlign w:val="center"/>
          </w:tcPr>
          <w:p w:rsidRPr="00355D57" w:rsidR="00DD1193" w:rsidP="007B43BB" w:rsidRDefault="00DD1193" w14:paraId="33E3F10B" w14:textId="77777777">
            <w:pPr>
              <w:contextualSpacing/>
              <w:jc w:val="center"/>
              <w:rPr>
                <w:sz w:val="21"/>
                <w:szCs w:val="21"/>
              </w:rPr>
            </w:pPr>
            <w:r w:rsidRPr="00355D57">
              <w:rPr>
                <w:sz w:val="21"/>
                <w:szCs w:val="21"/>
              </w:rPr>
              <w:t>X</w:t>
            </w:r>
          </w:p>
        </w:tc>
        <w:tc>
          <w:tcPr>
            <w:tcW w:w="451" w:type="pct"/>
            <w:vAlign w:val="center"/>
          </w:tcPr>
          <w:p w:rsidRPr="00355D57" w:rsidR="00DD1193" w:rsidP="007B43BB" w:rsidRDefault="00DD1193" w14:paraId="4AA2FA07" w14:textId="77777777">
            <w:pPr>
              <w:contextualSpacing/>
              <w:jc w:val="center"/>
              <w:rPr>
                <w:sz w:val="21"/>
                <w:szCs w:val="21"/>
              </w:rPr>
            </w:pPr>
          </w:p>
        </w:tc>
        <w:tc>
          <w:tcPr>
            <w:tcW w:w="426" w:type="pct"/>
            <w:vAlign w:val="center"/>
          </w:tcPr>
          <w:p w:rsidRPr="00355D57" w:rsidR="00DD1193" w:rsidP="007B43BB" w:rsidRDefault="00DD1193" w14:paraId="695EBFDF" w14:textId="77777777">
            <w:pPr>
              <w:contextualSpacing/>
              <w:jc w:val="center"/>
              <w:rPr>
                <w:sz w:val="21"/>
                <w:szCs w:val="21"/>
              </w:rPr>
            </w:pPr>
          </w:p>
        </w:tc>
      </w:tr>
      <w:tr w:rsidRPr="00971826" w:rsidR="00A668DE" w:rsidTr="00FD63EC" w14:paraId="755BEF1F" w14:textId="77777777">
        <w:trPr>
          <w:trHeight w:val="331"/>
        </w:trPr>
        <w:tc>
          <w:tcPr>
            <w:tcW w:w="936" w:type="pct"/>
            <w:vMerge w:val="restart"/>
            <w:tcBorders>
              <w:top w:val="nil"/>
            </w:tcBorders>
            <w:vAlign w:val="center"/>
          </w:tcPr>
          <w:p w:rsidRPr="00355D57" w:rsidR="00A668DE" w:rsidP="00A668DE" w:rsidRDefault="00A668DE" w14:paraId="0DF308E4" w14:textId="77777777">
            <w:pPr>
              <w:contextualSpacing/>
              <w:rPr>
                <w:sz w:val="21"/>
                <w:szCs w:val="21"/>
              </w:rPr>
            </w:pPr>
            <w:r w:rsidRPr="00355D57">
              <w:rPr>
                <w:sz w:val="21"/>
                <w:szCs w:val="21"/>
              </w:rPr>
              <w:t>Families experience of COVID-19</w:t>
            </w:r>
          </w:p>
        </w:tc>
        <w:tc>
          <w:tcPr>
            <w:tcW w:w="2702" w:type="pct"/>
            <w:tcBorders>
              <w:top w:val="nil"/>
            </w:tcBorders>
            <w:vAlign w:val="center"/>
          </w:tcPr>
          <w:p w:rsidRPr="00355D57" w:rsidR="00A668DE" w:rsidP="00A668DE" w:rsidRDefault="00A668DE" w14:paraId="3FA8B9DE" w14:textId="77777777">
            <w:pPr>
              <w:contextualSpacing/>
              <w:rPr>
                <w:sz w:val="21"/>
                <w:szCs w:val="21"/>
              </w:rPr>
            </w:pPr>
            <w:r w:rsidRPr="00355D57">
              <w:rPr>
                <w:sz w:val="21"/>
                <w:szCs w:val="21"/>
              </w:rPr>
              <w:t>Risk and fear of infection; Experiences with infection, hospitalization, and vaccination; Effects of social distancing, stay-at-home orders, quarantines; COVID impacts on familial structure/relationships, including grandparent and fatherhood engagement; Mental health; Housing instability; Economic, school/child care, and business shut downs</w:t>
            </w:r>
          </w:p>
        </w:tc>
        <w:tc>
          <w:tcPr>
            <w:tcW w:w="485" w:type="pct"/>
            <w:vAlign w:val="center"/>
          </w:tcPr>
          <w:p w:rsidRPr="00355D57" w:rsidR="00A668DE" w:rsidP="00A668DE" w:rsidRDefault="00A668DE" w14:paraId="46EF457A" w14:textId="77777777">
            <w:pPr>
              <w:contextualSpacing/>
              <w:jc w:val="center"/>
              <w:rPr>
                <w:sz w:val="21"/>
                <w:szCs w:val="21"/>
              </w:rPr>
            </w:pPr>
          </w:p>
        </w:tc>
        <w:tc>
          <w:tcPr>
            <w:tcW w:w="451" w:type="pct"/>
          </w:tcPr>
          <w:p w:rsidRPr="00355D57" w:rsidR="00A668DE" w:rsidP="00A668DE" w:rsidRDefault="00A668DE" w14:paraId="64492C44" w14:textId="4A9A30F5">
            <w:pPr>
              <w:contextualSpacing/>
              <w:jc w:val="center"/>
              <w:rPr>
                <w:sz w:val="21"/>
                <w:szCs w:val="21"/>
              </w:rPr>
            </w:pPr>
            <w:r w:rsidRPr="00355D57">
              <w:rPr>
                <w:sz w:val="21"/>
                <w:szCs w:val="21"/>
              </w:rPr>
              <w:t>X</w:t>
            </w:r>
          </w:p>
        </w:tc>
        <w:tc>
          <w:tcPr>
            <w:tcW w:w="426" w:type="pct"/>
          </w:tcPr>
          <w:p w:rsidRPr="00355D57" w:rsidR="00A668DE" w:rsidP="00A668DE" w:rsidRDefault="00A668DE" w14:paraId="66340976" w14:textId="7691E5F0">
            <w:pPr>
              <w:contextualSpacing/>
              <w:jc w:val="center"/>
              <w:rPr>
                <w:sz w:val="21"/>
                <w:szCs w:val="21"/>
              </w:rPr>
            </w:pPr>
            <w:r w:rsidRPr="00355D57">
              <w:rPr>
                <w:sz w:val="21"/>
                <w:szCs w:val="21"/>
              </w:rPr>
              <w:t>X</w:t>
            </w:r>
          </w:p>
        </w:tc>
      </w:tr>
      <w:tr w:rsidRPr="00971826" w:rsidR="00A668DE" w:rsidTr="00FD63EC" w14:paraId="421CF3CF" w14:textId="77777777">
        <w:trPr>
          <w:trHeight w:val="331"/>
        </w:trPr>
        <w:tc>
          <w:tcPr>
            <w:tcW w:w="936" w:type="pct"/>
            <w:vMerge/>
            <w:vAlign w:val="center"/>
          </w:tcPr>
          <w:p w:rsidRPr="00355D57" w:rsidR="00A668DE" w:rsidP="00A668DE" w:rsidRDefault="00A668DE" w14:paraId="62F170BF" w14:textId="77777777">
            <w:pPr>
              <w:contextualSpacing/>
              <w:rPr>
                <w:sz w:val="21"/>
                <w:szCs w:val="21"/>
              </w:rPr>
            </w:pPr>
          </w:p>
        </w:tc>
        <w:tc>
          <w:tcPr>
            <w:tcW w:w="2702" w:type="pct"/>
            <w:tcBorders>
              <w:top w:val="nil"/>
            </w:tcBorders>
            <w:vAlign w:val="center"/>
          </w:tcPr>
          <w:p w:rsidRPr="00355D57" w:rsidR="00A668DE" w:rsidP="00A668DE" w:rsidRDefault="00A668DE" w14:paraId="637F2C39" w14:textId="77777777">
            <w:pPr>
              <w:contextualSpacing/>
              <w:rPr>
                <w:sz w:val="21"/>
                <w:szCs w:val="21"/>
              </w:rPr>
            </w:pPr>
            <w:r w:rsidRPr="00355D57">
              <w:rPr>
                <w:sz w:val="21"/>
                <w:szCs w:val="21"/>
              </w:rPr>
              <w:t xml:space="preserve">Changes in the needs of families across time (e.g., material support, housing) </w:t>
            </w:r>
          </w:p>
        </w:tc>
        <w:tc>
          <w:tcPr>
            <w:tcW w:w="485" w:type="pct"/>
            <w:vAlign w:val="center"/>
          </w:tcPr>
          <w:p w:rsidRPr="00355D57" w:rsidR="00A668DE" w:rsidP="00A668DE" w:rsidRDefault="00A668DE" w14:paraId="20D06292" w14:textId="77777777">
            <w:pPr>
              <w:contextualSpacing/>
              <w:jc w:val="center"/>
              <w:rPr>
                <w:sz w:val="21"/>
                <w:szCs w:val="21"/>
              </w:rPr>
            </w:pPr>
          </w:p>
        </w:tc>
        <w:tc>
          <w:tcPr>
            <w:tcW w:w="451" w:type="pct"/>
          </w:tcPr>
          <w:p w:rsidRPr="00355D57" w:rsidR="00A668DE" w:rsidP="00A668DE" w:rsidRDefault="00A668DE" w14:paraId="75624909" w14:textId="122A97D5">
            <w:pPr>
              <w:contextualSpacing/>
              <w:jc w:val="center"/>
              <w:rPr>
                <w:sz w:val="21"/>
                <w:szCs w:val="21"/>
              </w:rPr>
            </w:pPr>
            <w:r w:rsidRPr="00355D57">
              <w:rPr>
                <w:sz w:val="21"/>
                <w:szCs w:val="21"/>
              </w:rPr>
              <w:t>X</w:t>
            </w:r>
          </w:p>
        </w:tc>
        <w:tc>
          <w:tcPr>
            <w:tcW w:w="426" w:type="pct"/>
          </w:tcPr>
          <w:p w:rsidRPr="00355D57" w:rsidR="00A668DE" w:rsidP="00A668DE" w:rsidRDefault="00A668DE" w14:paraId="5698E1D8" w14:textId="66957F75">
            <w:pPr>
              <w:contextualSpacing/>
              <w:jc w:val="center"/>
              <w:rPr>
                <w:sz w:val="21"/>
                <w:szCs w:val="21"/>
              </w:rPr>
            </w:pPr>
            <w:r w:rsidRPr="00355D57">
              <w:rPr>
                <w:sz w:val="21"/>
                <w:szCs w:val="21"/>
              </w:rPr>
              <w:t>X</w:t>
            </w:r>
          </w:p>
        </w:tc>
      </w:tr>
      <w:tr w:rsidRPr="00971826" w:rsidR="00DD1193" w:rsidTr="00FD63EC" w14:paraId="73AF7A25" w14:textId="77777777">
        <w:trPr>
          <w:trHeight w:val="331"/>
        </w:trPr>
        <w:tc>
          <w:tcPr>
            <w:tcW w:w="936" w:type="pct"/>
            <w:vMerge/>
            <w:vAlign w:val="center"/>
          </w:tcPr>
          <w:p w:rsidRPr="00355D57" w:rsidR="00DD1193" w:rsidP="007B43BB" w:rsidRDefault="00DD1193" w14:paraId="6BC22BF5" w14:textId="77777777">
            <w:pPr>
              <w:contextualSpacing/>
              <w:rPr>
                <w:sz w:val="21"/>
                <w:szCs w:val="21"/>
              </w:rPr>
            </w:pPr>
          </w:p>
        </w:tc>
        <w:tc>
          <w:tcPr>
            <w:tcW w:w="2702" w:type="pct"/>
            <w:tcBorders>
              <w:top w:val="nil"/>
            </w:tcBorders>
            <w:vAlign w:val="center"/>
          </w:tcPr>
          <w:p w:rsidRPr="00355D57" w:rsidR="00DD1193" w:rsidP="007B43BB" w:rsidRDefault="00DD1193" w14:paraId="131D3517" w14:textId="77777777">
            <w:pPr>
              <w:contextualSpacing/>
              <w:rPr>
                <w:sz w:val="21"/>
                <w:szCs w:val="21"/>
              </w:rPr>
            </w:pPr>
            <w:r w:rsidRPr="00355D57">
              <w:rPr>
                <w:sz w:val="21"/>
                <w:szCs w:val="21"/>
              </w:rPr>
              <w:t>Barriers and inequities experienced by families based on community or geography (e.g., regional food shortages), identities (e.g., race/ethnicity, age, sex, sexual orientation, country of origin, etc.) and various lived experiences (e.g., immigration)</w:t>
            </w:r>
          </w:p>
        </w:tc>
        <w:tc>
          <w:tcPr>
            <w:tcW w:w="485" w:type="pct"/>
            <w:vAlign w:val="center"/>
          </w:tcPr>
          <w:p w:rsidRPr="00355D57" w:rsidR="00DD1193" w:rsidP="007B43BB" w:rsidRDefault="00DD1193" w14:paraId="628A7A29" w14:textId="77777777">
            <w:pPr>
              <w:contextualSpacing/>
              <w:jc w:val="center"/>
              <w:rPr>
                <w:sz w:val="21"/>
                <w:szCs w:val="21"/>
              </w:rPr>
            </w:pPr>
          </w:p>
        </w:tc>
        <w:tc>
          <w:tcPr>
            <w:tcW w:w="451" w:type="pct"/>
            <w:vAlign w:val="center"/>
          </w:tcPr>
          <w:p w:rsidRPr="00355D57" w:rsidR="00DD1193" w:rsidP="007B43BB" w:rsidRDefault="00A668DE" w14:paraId="757D69AF" w14:textId="0D7BB3F7">
            <w:pPr>
              <w:contextualSpacing/>
              <w:jc w:val="center"/>
              <w:rPr>
                <w:sz w:val="21"/>
                <w:szCs w:val="21"/>
              </w:rPr>
            </w:pPr>
            <w:r w:rsidRPr="00355D57">
              <w:rPr>
                <w:sz w:val="21"/>
                <w:szCs w:val="21"/>
              </w:rPr>
              <w:t>X</w:t>
            </w:r>
          </w:p>
        </w:tc>
        <w:tc>
          <w:tcPr>
            <w:tcW w:w="426" w:type="pct"/>
            <w:vAlign w:val="center"/>
          </w:tcPr>
          <w:p w:rsidRPr="00355D57" w:rsidR="00DD1193" w:rsidP="007B43BB" w:rsidRDefault="00DD1193" w14:paraId="674C42E7" w14:textId="77777777">
            <w:pPr>
              <w:contextualSpacing/>
              <w:jc w:val="center"/>
              <w:rPr>
                <w:sz w:val="21"/>
                <w:szCs w:val="21"/>
              </w:rPr>
            </w:pPr>
          </w:p>
        </w:tc>
      </w:tr>
      <w:tr w:rsidRPr="00971826" w:rsidR="00DD1193" w:rsidTr="00FD63EC" w14:paraId="1C85641A" w14:textId="77777777">
        <w:trPr>
          <w:trHeight w:val="331"/>
        </w:trPr>
        <w:tc>
          <w:tcPr>
            <w:tcW w:w="936" w:type="pct"/>
            <w:vMerge w:val="restart"/>
            <w:tcBorders>
              <w:top w:val="nil"/>
            </w:tcBorders>
            <w:vAlign w:val="center"/>
          </w:tcPr>
          <w:p w:rsidRPr="00355D57" w:rsidR="00DD1193" w:rsidP="007B43BB" w:rsidRDefault="00DD1193" w14:paraId="2DEDE2AA" w14:textId="77777777">
            <w:pPr>
              <w:contextualSpacing/>
              <w:rPr>
                <w:sz w:val="21"/>
                <w:szCs w:val="21"/>
              </w:rPr>
            </w:pPr>
            <w:r w:rsidRPr="00355D57">
              <w:rPr>
                <w:sz w:val="21"/>
                <w:szCs w:val="21"/>
              </w:rPr>
              <w:t>Home visiting response to COVID-19</w:t>
            </w:r>
          </w:p>
        </w:tc>
        <w:tc>
          <w:tcPr>
            <w:tcW w:w="2702" w:type="pct"/>
            <w:tcBorders>
              <w:top w:val="nil"/>
            </w:tcBorders>
            <w:vAlign w:val="center"/>
          </w:tcPr>
          <w:p w:rsidRPr="00355D57" w:rsidR="00DD1193" w:rsidP="007B43BB" w:rsidRDefault="00DD1193" w14:paraId="1A1D6C1A" w14:textId="77777777">
            <w:pPr>
              <w:contextualSpacing/>
              <w:rPr>
                <w:sz w:val="21"/>
                <w:szCs w:val="21"/>
              </w:rPr>
            </w:pPr>
            <w:r w:rsidRPr="00355D57">
              <w:rPr>
                <w:sz w:val="21"/>
                <w:szCs w:val="21"/>
              </w:rPr>
              <w:t>Context and changes to the MIECHV program in the state or Tribal entity, and in the selected community</w:t>
            </w:r>
          </w:p>
        </w:tc>
        <w:tc>
          <w:tcPr>
            <w:tcW w:w="485" w:type="pct"/>
            <w:vAlign w:val="center"/>
          </w:tcPr>
          <w:p w:rsidRPr="00355D57" w:rsidR="00DD1193" w:rsidP="007B43BB" w:rsidRDefault="00DD1193" w14:paraId="75C8DAD6" w14:textId="77777777">
            <w:pPr>
              <w:contextualSpacing/>
              <w:jc w:val="center"/>
              <w:rPr>
                <w:sz w:val="21"/>
                <w:szCs w:val="21"/>
              </w:rPr>
            </w:pPr>
            <w:r w:rsidRPr="00355D57">
              <w:rPr>
                <w:sz w:val="21"/>
                <w:szCs w:val="21"/>
              </w:rPr>
              <w:t>X</w:t>
            </w:r>
          </w:p>
        </w:tc>
        <w:tc>
          <w:tcPr>
            <w:tcW w:w="451" w:type="pct"/>
            <w:vAlign w:val="center"/>
          </w:tcPr>
          <w:p w:rsidRPr="00355D57" w:rsidR="00DD1193" w:rsidP="007B43BB" w:rsidRDefault="00DD1193" w14:paraId="35804931" w14:textId="77777777">
            <w:pPr>
              <w:contextualSpacing/>
              <w:jc w:val="center"/>
              <w:rPr>
                <w:sz w:val="21"/>
                <w:szCs w:val="21"/>
              </w:rPr>
            </w:pPr>
          </w:p>
        </w:tc>
        <w:tc>
          <w:tcPr>
            <w:tcW w:w="426" w:type="pct"/>
            <w:vAlign w:val="center"/>
          </w:tcPr>
          <w:p w:rsidRPr="00355D57" w:rsidR="00DD1193" w:rsidP="007B43BB" w:rsidRDefault="00DD1193" w14:paraId="1584A39C" w14:textId="77777777">
            <w:pPr>
              <w:contextualSpacing/>
              <w:jc w:val="center"/>
              <w:rPr>
                <w:sz w:val="21"/>
                <w:szCs w:val="21"/>
              </w:rPr>
            </w:pPr>
          </w:p>
        </w:tc>
      </w:tr>
      <w:tr w:rsidRPr="00971826" w:rsidR="00DD1193" w:rsidTr="00FD63EC" w14:paraId="2EA23264" w14:textId="77777777">
        <w:trPr>
          <w:trHeight w:val="331"/>
        </w:trPr>
        <w:tc>
          <w:tcPr>
            <w:tcW w:w="936" w:type="pct"/>
            <w:vMerge/>
            <w:vAlign w:val="center"/>
          </w:tcPr>
          <w:p w:rsidRPr="00355D57" w:rsidR="00DD1193" w:rsidP="007B43BB" w:rsidRDefault="00DD1193" w14:paraId="445DF769" w14:textId="77777777">
            <w:pPr>
              <w:contextualSpacing/>
              <w:rPr>
                <w:sz w:val="21"/>
                <w:szCs w:val="21"/>
              </w:rPr>
            </w:pPr>
          </w:p>
        </w:tc>
        <w:tc>
          <w:tcPr>
            <w:tcW w:w="2702" w:type="pct"/>
            <w:tcBorders>
              <w:top w:val="nil"/>
            </w:tcBorders>
            <w:vAlign w:val="center"/>
          </w:tcPr>
          <w:p w:rsidRPr="00355D57" w:rsidR="00DD1193" w:rsidP="007B43BB" w:rsidRDefault="00DD1193" w14:paraId="63E9594C" w14:textId="77777777">
            <w:pPr>
              <w:contextualSpacing/>
              <w:rPr>
                <w:sz w:val="21"/>
                <w:szCs w:val="21"/>
              </w:rPr>
            </w:pPr>
            <w:r w:rsidRPr="00355D57">
              <w:rPr>
                <w:sz w:val="21"/>
                <w:szCs w:val="21"/>
              </w:rPr>
              <w:t>COVID-19 impacts on outreach and recruitment</w:t>
            </w:r>
          </w:p>
        </w:tc>
        <w:tc>
          <w:tcPr>
            <w:tcW w:w="485" w:type="pct"/>
            <w:vAlign w:val="center"/>
          </w:tcPr>
          <w:p w:rsidRPr="00355D57" w:rsidR="00DD1193" w:rsidP="007B43BB" w:rsidRDefault="00DD1193" w14:paraId="0A13B6DE" w14:textId="77777777">
            <w:pPr>
              <w:contextualSpacing/>
              <w:jc w:val="center"/>
              <w:rPr>
                <w:sz w:val="21"/>
                <w:szCs w:val="21"/>
              </w:rPr>
            </w:pPr>
            <w:r w:rsidRPr="00355D57">
              <w:rPr>
                <w:sz w:val="21"/>
                <w:szCs w:val="21"/>
              </w:rPr>
              <w:t>X</w:t>
            </w:r>
          </w:p>
        </w:tc>
        <w:tc>
          <w:tcPr>
            <w:tcW w:w="451" w:type="pct"/>
            <w:vAlign w:val="center"/>
          </w:tcPr>
          <w:p w:rsidRPr="00355D57" w:rsidR="00DD1193" w:rsidP="007B43BB" w:rsidRDefault="00DD1193" w14:paraId="315B1899" w14:textId="77777777">
            <w:pPr>
              <w:contextualSpacing/>
              <w:jc w:val="center"/>
              <w:rPr>
                <w:sz w:val="21"/>
                <w:szCs w:val="21"/>
              </w:rPr>
            </w:pPr>
          </w:p>
        </w:tc>
        <w:tc>
          <w:tcPr>
            <w:tcW w:w="426" w:type="pct"/>
            <w:vAlign w:val="center"/>
          </w:tcPr>
          <w:p w:rsidRPr="00355D57" w:rsidR="00DD1193" w:rsidP="007B43BB" w:rsidRDefault="00DD1193" w14:paraId="0ECB7708" w14:textId="77777777">
            <w:pPr>
              <w:contextualSpacing/>
              <w:jc w:val="center"/>
              <w:rPr>
                <w:sz w:val="21"/>
                <w:szCs w:val="21"/>
              </w:rPr>
            </w:pPr>
          </w:p>
        </w:tc>
      </w:tr>
      <w:tr w:rsidRPr="00971826" w:rsidR="00A668DE" w:rsidTr="00FD63EC" w14:paraId="081E0D9F" w14:textId="77777777">
        <w:trPr>
          <w:trHeight w:val="331"/>
        </w:trPr>
        <w:tc>
          <w:tcPr>
            <w:tcW w:w="936" w:type="pct"/>
            <w:vMerge/>
            <w:vAlign w:val="center"/>
          </w:tcPr>
          <w:p w:rsidRPr="00355D57" w:rsidR="00A668DE" w:rsidP="00A668DE" w:rsidRDefault="00A668DE" w14:paraId="1F7400EB" w14:textId="77777777">
            <w:pPr>
              <w:contextualSpacing/>
              <w:rPr>
                <w:sz w:val="21"/>
                <w:szCs w:val="21"/>
              </w:rPr>
            </w:pPr>
          </w:p>
        </w:tc>
        <w:tc>
          <w:tcPr>
            <w:tcW w:w="2702" w:type="pct"/>
            <w:tcBorders>
              <w:top w:val="nil"/>
            </w:tcBorders>
            <w:vAlign w:val="center"/>
          </w:tcPr>
          <w:p w:rsidRPr="00355D57" w:rsidR="00A668DE" w:rsidP="00A668DE" w:rsidRDefault="00A668DE" w14:paraId="40540200" w14:textId="77777777">
            <w:pPr>
              <w:contextualSpacing/>
              <w:rPr>
                <w:sz w:val="21"/>
                <w:szCs w:val="21"/>
              </w:rPr>
            </w:pPr>
            <w:r w:rsidRPr="00355D57">
              <w:rPr>
                <w:sz w:val="21"/>
                <w:szCs w:val="21"/>
              </w:rPr>
              <w:t>Changes in service delivery methods throughout the course of the pandemic (e.g., use of video, text communication)</w:t>
            </w:r>
          </w:p>
        </w:tc>
        <w:tc>
          <w:tcPr>
            <w:tcW w:w="485" w:type="pct"/>
            <w:vAlign w:val="center"/>
          </w:tcPr>
          <w:p w:rsidRPr="00355D57" w:rsidR="00A668DE" w:rsidP="00A668DE" w:rsidRDefault="00A668DE" w14:paraId="71DD908A" w14:textId="77777777">
            <w:pPr>
              <w:contextualSpacing/>
              <w:jc w:val="center"/>
              <w:rPr>
                <w:sz w:val="21"/>
                <w:szCs w:val="21"/>
              </w:rPr>
            </w:pPr>
            <w:r w:rsidRPr="00355D57">
              <w:rPr>
                <w:sz w:val="21"/>
                <w:szCs w:val="21"/>
              </w:rPr>
              <w:t>X</w:t>
            </w:r>
          </w:p>
        </w:tc>
        <w:tc>
          <w:tcPr>
            <w:tcW w:w="451" w:type="pct"/>
            <w:vAlign w:val="center"/>
          </w:tcPr>
          <w:p w:rsidRPr="00355D57" w:rsidR="00A668DE" w:rsidP="00A668DE" w:rsidRDefault="00A668DE" w14:paraId="5BFEF677" w14:textId="77777777">
            <w:pPr>
              <w:contextualSpacing/>
              <w:jc w:val="center"/>
              <w:rPr>
                <w:sz w:val="21"/>
                <w:szCs w:val="21"/>
              </w:rPr>
            </w:pPr>
          </w:p>
        </w:tc>
        <w:tc>
          <w:tcPr>
            <w:tcW w:w="426" w:type="pct"/>
          </w:tcPr>
          <w:p w:rsidRPr="00355D57" w:rsidR="00A668DE" w:rsidP="00A668DE" w:rsidRDefault="00A668DE" w14:paraId="5F4228A4" w14:textId="1F0B1A02">
            <w:pPr>
              <w:contextualSpacing/>
              <w:jc w:val="center"/>
              <w:rPr>
                <w:sz w:val="21"/>
                <w:szCs w:val="21"/>
              </w:rPr>
            </w:pPr>
            <w:r w:rsidRPr="00355D57">
              <w:rPr>
                <w:sz w:val="21"/>
                <w:szCs w:val="21"/>
              </w:rPr>
              <w:t>X</w:t>
            </w:r>
          </w:p>
        </w:tc>
      </w:tr>
      <w:tr w:rsidRPr="00971826" w:rsidR="00A668DE" w:rsidTr="00FD63EC" w14:paraId="5DEC6195" w14:textId="77777777">
        <w:trPr>
          <w:trHeight w:val="331"/>
        </w:trPr>
        <w:tc>
          <w:tcPr>
            <w:tcW w:w="936" w:type="pct"/>
            <w:vMerge/>
            <w:vAlign w:val="center"/>
          </w:tcPr>
          <w:p w:rsidRPr="00355D57" w:rsidR="00A668DE" w:rsidP="00A668DE" w:rsidRDefault="00A668DE" w14:paraId="03FD51C6" w14:textId="77777777">
            <w:pPr>
              <w:contextualSpacing/>
              <w:rPr>
                <w:sz w:val="21"/>
                <w:szCs w:val="21"/>
              </w:rPr>
            </w:pPr>
          </w:p>
        </w:tc>
        <w:tc>
          <w:tcPr>
            <w:tcW w:w="2702" w:type="pct"/>
            <w:tcBorders>
              <w:top w:val="nil"/>
            </w:tcBorders>
            <w:vAlign w:val="center"/>
          </w:tcPr>
          <w:p w:rsidRPr="00355D57" w:rsidR="00A668DE" w:rsidP="00A668DE" w:rsidRDefault="00A668DE" w14:paraId="2836D792" w14:textId="77777777">
            <w:pPr>
              <w:contextualSpacing/>
              <w:rPr>
                <w:sz w:val="21"/>
                <w:szCs w:val="21"/>
              </w:rPr>
            </w:pPr>
            <w:r w:rsidRPr="00355D57">
              <w:rPr>
                <w:sz w:val="21"/>
                <w:szCs w:val="21"/>
              </w:rPr>
              <w:t>Changes in screening, assessment, and referral processes</w:t>
            </w:r>
          </w:p>
        </w:tc>
        <w:tc>
          <w:tcPr>
            <w:tcW w:w="485" w:type="pct"/>
            <w:vAlign w:val="center"/>
          </w:tcPr>
          <w:p w:rsidRPr="00355D57" w:rsidR="00A668DE" w:rsidP="00A668DE" w:rsidRDefault="00A668DE" w14:paraId="5AF8D02F" w14:textId="77777777">
            <w:pPr>
              <w:contextualSpacing/>
              <w:jc w:val="center"/>
              <w:rPr>
                <w:sz w:val="21"/>
                <w:szCs w:val="21"/>
              </w:rPr>
            </w:pPr>
          </w:p>
        </w:tc>
        <w:tc>
          <w:tcPr>
            <w:tcW w:w="451" w:type="pct"/>
            <w:vAlign w:val="center"/>
          </w:tcPr>
          <w:p w:rsidRPr="00355D57" w:rsidR="00A668DE" w:rsidP="00A668DE" w:rsidRDefault="00A668DE" w14:paraId="1657743E" w14:textId="77777777">
            <w:pPr>
              <w:contextualSpacing/>
              <w:jc w:val="center"/>
              <w:rPr>
                <w:sz w:val="21"/>
                <w:szCs w:val="21"/>
              </w:rPr>
            </w:pPr>
          </w:p>
        </w:tc>
        <w:tc>
          <w:tcPr>
            <w:tcW w:w="426" w:type="pct"/>
          </w:tcPr>
          <w:p w:rsidRPr="00355D57" w:rsidR="00A668DE" w:rsidP="00A668DE" w:rsidRDefault="00A668DE" w14:paraId="341327D8" w14:textId="575A882B">
            <w:pPr>
              <w:contextualSpacing/>
              <w:jc w:val="center"/>
              <w:rPr>
                <w:sz w:val="21"/>
                <w:szCs w:val="21"/>
              </w:rPr>
            </w:pPr>
            <w:r w:rsidRPr="00355D57">
              <w:rPr>
                <w:sz w:val="21"/>
                <w:szCs w:val="21"/>
              </w:rPr>
              <w:t>X</w:t>
            </w:r>
          </w:p>
        </w:tc>
      </w:tr>
      <w:tr w:rsidRPr="00971826" w:rsidR="00A668DE" w:rsidTr="00FD63EC" w14:paraId="65C6A768" w14:textId="77777777">
        <w:trPr>
          <w:trHeight w:val="331"/>
        </w:trPr>
        <w:tc>
          <w:tcPr>
            <w:tcW w:w="936" w:type="pct"/>
            <w:vMerge/>
            <w:vAlign w:val="center"/>
          </w:tcPr>
          <w:p w:rsidRPr="00355D57" w:rsidR="00A668DE" w:rsidP="00A668DE" w:rsidRDefault="00A668DE" w14:paraId="50688258" w14:textId="77777777">
            <w:pPr>
              <w:contextualSpacing/>
              <w:rPr>
                <w:sz w:val="21"/>
                <w:szCs w:val="21"/>
              </w:rPr>
            </w:pPr>
          </w:p>
        </w:tc>
        <w:tc>
          <w:tcPr>
            <w:tcW w:w="2702" w:type="pct"/>
            <w:tcBorders>
              <w:top w:val="nil"/>
            </w:tcBorders>
            <w:vAlign w:val="center"/>
          </w:tcPr>
          <w:p w:rsidRPr="00355D57" w:rsidR="00A668DE" w:rsidP="00A668DE" w:rsidRDefault="00A668DE" w14:paraId="545D556A" w14:textId="77777777">
            <w:pPr>
              <w:contextualSpacing/>
              <w:rPr>
                <w:sz w:val="21"/>
                <w:szCs w:val="21"/>
              </w:rPr>
            </w:pPr>
            <w:r w:rsidRPr="00355D57">
              <w:rPr>
                <w:sz w:val="21"/>
                <w:szCs w:val="21"/>
              </w:rPr>
              <w:t>COVID-19 impacts on home visiting staff including home visitor well-being, deployments, turnover, and shortages and impact on service delivery</w:t>
            </w:r>
          </w:p>
        </w:tc>
        <w:tc>
          <w:tcPr>
            <w:tcW w:w="485" w:type="pct"/>
            <w:vAlign w:val="center"/>
          </w:tcPr>
          <w:p w:rsidRPr="00355D57" w:rsidR="00A668DE" w:rsidP="00A668DE" w:rsidRDefault="00A668DE" w14:paraId="1BA2AF7B" w14:textId="77777777">
            <w:pPr>
              <w:contextualSpacing/>
              <w:jc w:val="center"/>
              <w:rPr>
                <w:sz w:val="21"/>
                <w:szCs w:val="21"/>
              </w:rPr>
            </w:pPr>
            <w:r w:rsidRPr="00355D57">
              <w:rPr>
                <w:sz w:val="21"/>
                <w:szCs w:val="21"/>
              </w:rPr>
              <w:t>X</w:t>
            </w:r>
          </w:p>
        </w:tc>
        <w:tc>
          <w:tcPr>
            <w:tcW w:w="451" w:type="pct"/>
            <w:vAlign w:val="center"/>
          </w:tcPr>
          <w:p w:rsidRPr="00355D57" w:rsidR="00A668DE" w:rsidP="00A668DE" w:rsidRDefault="00A668DE" w14:paraId="4B32D1B5" w14:textId="77777777">
            <w:pPr>
              <w:contextualSpacing/>
              <w:jc w:val="center"/>
              <w:rPr>
                <w:sz w:val="21"/>
                <w:szCs w:val="21"/>
              </w:rPr>
            </w:pPr>
          </w:p>
        </w:tc>
        <w:tc>
          <w:tcPr>
            <w:tcW w:w="426" w:type="pct"/>
          </w:tcPr>
          <w:p w:rsidRPr="00355D57" w:rsidR="00A668DE" w:rsidP="00A668DE" w:rsidRDefault="00A668DE" w14:paraId="77A3E64A" w14:textId="3706B644">
            <w:pPr>
              <w:contextualSpacing/>
              <w:jc w:val="center"/>
              <w:rPr>
                <w:sz w:val="21"/>
                <w:szCs w:val="21"/>
              </w:rPr>
            </w:pPr>
            <w:r w:rsidRPr="00355D57">
              <w:rPr>
                <w:sz w:val="21"/>
                <w:szCs w:val="21"/>
              </w:rPr>
              <w:t>X</w:t>
            </w:r>
          </w:p>
        </w:tc>
      </w:tr>
      <w:tr w:rsidRPr="00971826" w:rsidR="00A668DE" w:rsidTr="00FD63EC" w14:paraId="4718D1FF" w14:textId="77777777">
        <w:trPr>
          <w:trHeight w:val="331"/>
        </w:trPr>
        <w:tc>
          <w:tcPr>
            <w:tcW w:w="936" w:type="pct"/>
            <w:vMerge w:val="restart"/>
            <w:tcBorders>
              <w:top w:val="nil"/>
            </w:tcBorders>
            <w:vAlign w:val="center"/>
          </w:tcPr>
          <w:p w:rsidRPr="00355D57" w:rsidR="00A668DE" w:rsidP="00A668DE" w:rsidRDefault="00A668DE" w14:paraId="11112ACF" w14:textId="77777777">
            <w:pPr>
              <w:contextualSpacing/>
              <w:rPr>
                <w:sz w:val="21"/>
                <w:szCs w:val="21"/>
              </w:rPr>
            </w:pPr>
            <w:r w:rsidRPr="00355D57">
              <w:rPr>
                <w:sz w:val="21"/>
                <w:szCs w:val="21"/>
              </w:rPr>
              <w:t>Home visiting’s role in health equity</w:t>
            </w:r>
          </w:p>
        </w:tc>
        <w:tc>
          <w:tcPr>
            <w:tcW w:w="2702" w:type="pct"/>
            <w:tcBorders>
              <w:top w:val="nil"/>
            </w:tcBorders>
            <w:vAlign w:val="center"/>
          </w:tcPr>
          <w:p w:rsidRPr="00355D57" w:rsidR="00A668DE" w:rsidP="00A668DE" w:rsidRDefault="00A668DE" w14:paraId="5AA3FB7F" w14:textId="77777777">
            <w:pPr>
              <w:contextualSpacing/>
              <w:rPr>
                <w:sz w:val="21"/>
                <w:szCs w:val="21"/>
                <w:highlight w:val="green"/>
              </w:rPr>
            </w:pPr>
            <w:r w:rsidRPr="00355D57">
              <w:rPr>
                <w:sz w:val="21"/>
                <w:szCs w:val="21"/>
              </w:rPr>
              <w:t>Role of home visiting in addressing community historical context with families</w:t>
            </w:r>
          </w:p>
        </w:tc>
        <w:tc>
          <w:tcPr>
            <w:tcW w:w="485" w:type="pct"/>
            <w:vAlign w:val="center"/>
          </w:tcPr>
          <w:p w:rsidRPr="00355D57" w:rsidR="00A668DE" w:rsidP="00A668DE" w:rsidRDefault="00A668DE" w14:paraId="5FF42F18" w14:textId="77777777">
            <w:pPr>
              <w:contextualSpacing/>
              <w:jc w:val="center"/>
              <w:rPr>
                <w:sz w:val="21"/>
                <w:szCs w:val="21"/>
              </w:rPr>
            </w:pPr>
          </w:p>
        </w:tc>
        <w:tc>
          <w:tcPr>
            <w:tcW w:w="451" w:type="pct"/>
          </w:tcPr>
          <w:p w:rsidRPr="00355D57" w:rsidR="00A668DE" w:rsidP="00A668DE" w:rsidRDefault="00A668DE" w14:paraId="35BFA481" w14:textId="42F6A8E9">
            <w:pPr>
              <w:contextualSpacing/>
              <w:jc w:val="center"/>
              <w:rPr>
                <w:sz w:val="21"/>
                <w:szCs w:val="21"/>
              </w:rPr>
            </w:pPr>
            <w:r w:rsidRPr="00355D57">
              <w:rPr>
                <w:sz w:val="21"/>
                <w:szCs w:val="21"/>
              </w:rPr>
              <w:t>X</w:t>
            </w:r>
          </w:p>
        </w:tc>
        <w:tc>
          <w:tcPr>
            <w:tcW w:w="426" w:type="pct"/>
          </w:tcPr>
          <w:p w:rsidRPr="00355D57" w:rsidR="00A668DE" w:rsidP="00A668DE" w:rsidRDefault="00A668DE" w14:paraId="1416BB36" w14:textId="19ADB26D">
            <w:pPr>
              <w:contextualSpacing/>
              <w:jc w:val="center"/>
              <w:rPr>
                <w:sz w:val="21"/>
                <w:szCs w:val="21"/>
              </w:rPr>
            </w:pPr>
            <w:r w:rsidRPr="00355D57">
              <w:rPr>
                <w:sz w:val="21"/>
                <w:szCs w:val="21"/>
              </w:rPr>
              <w:t>X</w:t>
            </w:r>
          </w:p>
        </w:tc>
      </w:tr>
      <w:tr w:rsidRPr="00971826" w:rsidR="00DD1193" w:rsidTr="00FD63EC" w14:paraId="61C425EF" w14:textId="77777777">
        <w:trPr>
          <w:trHeight w:val="331"/>
        </w:trPr>
        <w:tc>
          <w:tcPr>
            <w:tcW w:w="936" w:type="pct"/>
            <w:vMerge/>
            <w:vAlign w:val="center"/>
          </w:tcPr>
          <w:p w:rsidRPr="00355D57" w:rsidR="00DD1193" w:rsidP="007B43BB" w:rsidRDefault="00DD1193" w14:paraId="1E3CF323" w14:textId="77777777">
            <w:pPr>
              <w:contextualSpacing/>
              <w:rPr>
                <w:sz w:val="21"/>
                <w:szCs w:val="21"/>
              </w:rPr>
            </w:pPr>
          </w:p>
        </w:tc>
        <w:tc>
          <w:tcPr>
            <w:tcW w:w="2702" w:type="pct"/>
            <w:tcBorders>
              <w:top w:val="nil"/>
            </w:tcBorders>
            <w:vAlign w:val="center"/>
          </w:tcPr>
          <w:p w:rsidRPr="00355D57" w:rsidR="00DD1193" w:rsidP="007B43BB" w:rsidRDefault="00DD1193" w14:paraId="234854D7" w14:textId="77777777">
            <w:pPr>
              <w:contextualSpacing/>
              <w:rPr>
                <w:sz w:val="21"/>
                <w:szCs w:val="21"/>
              </w:rPr>
            </w:pPr>
            <w:r w:rsidRPr="00355D57">
              <w:rPr>
                <w:sz w:val="21"/>
                <w:szCs w:val="21"/>
              </w:rPr>
              <w:t>Ways home visiting considers equity during COVID-19</w:t>
            </w:r>
          </w:p>
        </w:tc>
        <w:tc>
          <w:tcPr>
            <w:tcW w:w="485" w:type="pct"/>
            <w:vAlign w:val="center"/>
          </w:tcPr>
          <w:p w:rsidRPr="00355D57" w:rsidR="00DD1193" w:rsidP="007B43BB" w:rsidRDefault="00DD1193" w14:paraId="28EB8EC1" w14:textId="77777777">
            <w:pPr>
              <w:contextualSpacing/>
              <w:jc w:val="center"/>
              <w:rPr>
                <w:sz w:val="21"/>
                <w:szCs w:val="21"/>
              </w:rPr>
            </w:pPr>
          </w:p>
        </w:tc>
        <w:tc>
          <w:tcPr>
            <w:tcW w:w="451" w:type="pct"/>
            <w:vAlign w:val="center"/>
          </w:tcPr>
          <w:p w:rsidRPr="00355D57" w:rsidR="00DD1193" w:rsidP="007B43BB" w:rsidRDefault="00A668DE" w14:paraId="6FD04300" w14:textId="57522136">
            <w:pPr>
              <w:contextualSpacing/>
              <w:jc w:val="center"/>
              <w:rPr>
                <w:sz w:val="21"/>
                <w:szCs w:val="21"/>
              </w:rPr>
            </w:pPr>
            <w:r w:rsidRPr="00355D57">
              <w:rPr>
                <w:sz w:val="21"/>
                <w:szCs w:val="21"/>
              </w:rPr>
              <w:t>X</w:t>
            </w:r>
          </w:p>
        </w:tc>
        <w:tc>
          <w:tcPr>
            <w:tcW w:w="426" w:type="pct"/>
            <w:vAlign w:val="center"/>
          </w:tcPr>
          <w:p w:rsidRPr="00355D57" w:rsidR="00DD1193" w:rsidP="007B43BB" w:rsidRDefault="00DD1193" w14:paraId="23A73C61" w14:textId="77777777">
            <w:pPr>
              <w:contextualSpacing/>
              <w:jc w:val="center"/>
              <w:rPr>
                <w:sz w:val="21"/>
                <w:szCs w:val="21"/>
              </w:rPr>
            </w:pPr>
          </w:p>
        </w:tc>
      </w:tr>
      <w:tr w:rsidRPr="00971826" w:rsidR="00DD1193" w:rsidTr="00FD63EC" w14:paraId="5BBC4E5B" w14:textId="77777777">
        <w:trPr>
          <w:trHeight w:val="331"/>
        </w:trPr>
        <w:tc>
          <w:tcPr>
            <w:tcW w:w="936" w:type="pct"/>
            <w:vMerge/>
            <w:tcBorders>
              <w:bottom w:val="single" w:color="auto" w:sz="4" w:space="0"/>
            </w:tcBorders>
            <w:vAlign w:val="center"/>
          </w:tcPr>
          <w:p w:rsidRPr="00355D57" w:rsidR="00DD1193" w:rsidP="007B43BB" w:rsidRDefault="00DD1193" w14:paraId="3CF033B7" w14:textId="77777777">
            <w:pPr>
              <w:contextualSpacing/>
              <w:rPr>
                <w:sz w:val="21"/>
                <w:szCs w:val="21"/>
              </w:rPr>
            </w:pPr>
          </w:p>
        </w:tc>
        <w:tc>
          <w:tcPr>
            <w:tcW w:w="2702" w:type="pct"/>
            <w:tcBorders>
              <w:top w:val="nil"/>
              <w:bottom w:val="single" w:color="auto" w:sz="4" w:space="0"/>
            </w:tcBorders>
            <w:vAlign w:val="center"/>
          </w:tcPr>
          <w:p w:rsidRPr="00355D57" w:rsidR="00DD1193" w:rsidP="007B43BB" w:rsidRDefault="00DD1193" w14:paraId="65FCD0EA" w14:textId="77777777">
            <w:pPr>
              <w:contextualSpacing/>
              <w:rPr>
                <w:sz w:val="21"/>
                <w:szCs w:val="21"/>
              </w:rPr>
            </w:pPr>
            <w:r w:rsidRPr="00355D57">
              <w:rPr>
                <w:sz w:val="21"/>
                <w:szCs w:val="21"/>
              </w:rPr>
              <w:t>Perceived role of home visiting to address health equity</w:t>
            </w:r>
          </w:p>
        </w:tc>
        <w:tc>
          <w:tcPr>
            <w:tcW w:w="485" w:type="pct"/>
            <w:tcBorders>
              <w:bottom w:val="single" w:color="auto" w:sz="4" w:space="0"/>
            </w:tcBorders>
            <w:vAlign w:val="center"/>
          </w:tcPr>
          <w:p w:rsidRPr="00355D57" w:rsidR="00DD1193" w:rsidP="007B43BB" w:rsidRDefault="00DD1193" w14:paraId="2EE78E41" w14:textId="77777777">
            <w:pPr>
              <w:contextualSpacing/>
              <w:jc w:val="center"/>
              <w:rPr>
                <w:sz w:val="21"/>
                <w:szCs w:val="21"/>
              </w:rPr>
            </w:pPr>
          </w:p>
        </w:tc>
        <w:tc>
          <w:tcPr>
            <w:tcW w:w="451" w:type="pct"/>
            <w:tcBorders>
              <w:bottom w:val="single" w:color="auto" w:sz="4" w:space="0"/>
            </w:tcBorders>
            <w:vAlign w:val="center"/>
          </w:tcPr>
          <w:p w:rsidRPr="00355D57" w:rsidR="00DD1193" w:rsidP="007B43BB" w:rsidRDefault="00DD1193" w14:paraId="04492703" w14:textId="77777777">
            <w:pPr>
              <w:contextualSpacing/>
              <w:jc w:val="center"/>
              <w:rPr>
                <w:sz w:val="21"/>
                <w:szCs w:val="21"/>
              </w:rPr>
            </w:pPr>
          </w:p>
        </w:tc>
        <w:tc>
          <w:tcPr>
            <w:tcW w:w="426" w:type="pct"/>
            <w:tcBorders>
              <w:bottom w:val="single" w:color="auto" w:sz="4" w:space="0"/>
            </w:tcBorders>
            <w:vAlign w:val="center"/>
          </w:tcPr>
          <w:p w:rsidRPr="00355D57" w:rsidR="00DD1193" w:rsidP="007B43BB" w:rsidRDefault="00A668DE" w14:paraId="056A57F0" w14:textId="5DEE74F6">
            <w:pPr>
              <w:contextualSpacing/>
              <w:jc w:val="center"/>
              <w:rPr>
                <w:sz w:val="21"/>
                <w:szCs w:val="21"/>
              </w:rPr>
            </w:pPr>
            <w:r w:rsidRPr="00355D57">
              <w:rPr>
                <w:sz w:val="21"/>
                <w:szCs w:val="21"/>
              </w:rPr>
              <w:t>X</w:t>
            </w:r>
          </w:p>
        </w:tc>
      </w:tr>
      <w:tr w:rsidRPr="00971826" w:rsidR="00DD1193" w:rsidTr="00FD63EC" w14:paraId="088907C5" w14:textId="77777777">
        <w:trPr>
          <w:trHeight w:val="331"/>
        </w:trPr>
        <w:tc>
          <w:tcPr>
            <w:tcW w:w="936" w:type="pct"/>
            <w:vMerge w:val="restart"/>
            <w:tcBorders>
              <w:top w:val="single" w:color="auto" w:sz="4" w:space="0"/>
            </w:tcBorders>
            <w:vAlign w:val="center"/>
          </w:tcPr>
          <w:p w:rsidRPr="00355D57" w:rsidR="00DD1193" w:rsidP="007B43BB" w:rsidRDefault="00DD1193" w14:paraId="6216CD6D" w14:textId="77777777">
            <w:pPr>
              <w:contextualSpacing/>
              <w:rPr>
                <w:sz w:val="21"/>
                <w:szCs w:val="21"/>
              </w:rPr>
            </w:pPr>
            <w:r w:rsidRPr="00355D57">
              <w:rPr>
                <w:sz w:val="21"/>
                <w:szCs w:val="21"/>
              </w:rPr>
              <w:t>Home visiting’s role in the community system</w:t>
            </w:r>
          </w:p>
        </w:tc>
        <w:tc>
          <w:tcPr>
            <w:tcW w:w="2702" w:type="pct"/>
            <w:tcBorders>
              <w:top w:val="single" w:color="auto" w:sz="4" w:space="0"/>
            </w:tcBorders>
            <w:vAlign w:val="center"/>
          </w:tcPr>
          <w:p w:rsidRPr="00355D57" w:rsidR="00DD1193" w:rsidP="007B43BB" w:rsidRDefault="00DD1193" w14:paraId="1FD3BCAB" w14:textId="5F9E6C4D">
            <w:pPr>
              <w:contextualSpacing/>
              <w:rPr>
                <w:sz w:val="21"/>
                <w:szCs w:val="21"/>
              </w:rPr>
            </w:pPr>
            <w:r w:rsidRPr="00355D57">
              <w:rPr>
                <w:sz w:val="21"/>
                <w:szCs w:val="21"/>
              </w:rPr>
              <w:t>Home visiting</w:t>
            </w:r>
            <w:r w:rsidR="0025181D">
              <w:rPr>
                <w:sz w:val="21"/>
                <w:szCs w:val="21"/>
              </w:rPr>
              <w:t>’s</w:t>
            </w:r>
            <w:r w:rsidRPr="00355D57">
              <w:rPr>
                <w:sz w:val="21"/>
                <w:szCs w:val="21"/>
              </w:rPr>
              <w:t xml:space="preserve"> role in community service response to COVID-19 via cross-sector collaboration</w:t>
            </w:r>
          </w:p>
        </w:tc>
        <w:tc>
          <w:tcPr>
            <w:tcW w:w="485" w:type="pct"/>
            <w:tcBorders>
              <w:top w:val="single" w:color="auto" w:sz="4" w:space="0"/>
            </w:tcBorders>
            <w:vAlign w:val="center"/>
          </w:tcPr>
          <w:p w:rsidRPr="00355D57" w:rsidR="00DD1193" w:rsidP="007B43BB" w:rsidRDefault="00DD1193" w14:paraId="18F9BF72" w14:textId="77777777">
            <w:pPr>
              <w:contextualSpacing/>
              <w:jc w:val="center"/>
              <w:rPr>
                <w:sz w:val="21"/>
                <w:szCs w:val="21"/>
              </w:rPr>
            </w:pPr>
            <w:r w:rsidRPr="00355D57">
              <w:rPr>
                <w:sz w:val="21"/>
                <w:szCs w:val="21"/>
              </w:rPr>
              <w:t>X</w:t>
            </w:r>
          </w:p>
        </w:tc>
        <w:tc>
          <w:tcPr>
            <w:tcW w:w="451" w:type="pct"/>
            <w:tcBorders>
              <w:top w:val="single" w:color="auto" w:sz="4" w:space="0"/>
            </w:tcBorders>
            <w:vAlign w:val="center"/>
          </w:tcPr>
          <w:p w:rsidRPr="00355D57" w:rsidR="00DD1193" w:rsidP="007B43BB" w:rsidRDefault="00DD1193" w14:paraId="40322B4A" w14:textId="77777777">
            <w:pPr>
              <w:contextualSpacing/>
              <w:jc w:val="center"/>
              <w:rPr>
                <w:sz w:val="21"/>
                <w:szCs w:val="21"/>
              </w:rPr>
            </w:pPr>
          </w:p>
        </w:tc>
        <w:tc>
          <w:tcPr>
            <w:tcW w:w="426" w:type="pct"/>
            <w:tcBorders>
              <w:top w:val="single" w:color="auto" w:sz="4" w:space="0"/>
            </w:tcBorders>
            <w:vAlign w:val="center"/>
          </w:tcPr>
          <w:p w:rsidRPr="00355D57" w:rsidR="00DD1193" w:rsidP="007B43BB" w:rsidRDefault="00DD1193" w14:paraId="5FB39C88" w14:textId="77777777">
            <w:pPr>
              <w:contextualSpacing/>
              <w:jc w:val="center"/>
              <w:rPr>
                <w:sz w:val="21"/>
                <w:szCs w:val="21"/>
              </w:rPr>
            </w:pPr>
          </w:p>
        </w:tc>
      </w:tr>
      <w:tr w:rsidRPr="00971826" w:rsidR="00A668DE" w:rsidTr="00FD63EC" w14:paraId="3DFD906F" w14:textId="77777777">
        <w:trPr>
          <w:trHeight w:val="331"/>
        </w:trPr>
        <w:tc>
          <w:tcPr>
            <w:tcW w:w="936" w:type="pct"/>
            <w:vMerge/>
            <w:tcBorders>
              <w:top w:val="single" w:color="auto" w:sz="4" w:space="0"/>
            </w:tcBorders>
            <w:vAlign w:val="center"/>
          </w:tcPr>
          <w:p w:rsidRPr="00355D57" w:rsidR="00A668DE" w:rsidP="00A668DE" w:rsidRDefault="00A668DE" w14:paraId="0BFBB56F" w14:textId="77777777">
            <w:pPr>
              <w:contextualSpacing/>
              <w:rPr>
                <w:sz w:val="21"/>
                <w:szCs w:val="21"/>
              </w:rPr>
            </w:pPr>
          </w:p>
        </w:tc>
        <w:tc>
          <w:tcPr>
            <w:tcW w:w="2702" w:type="pct"/>
            <w:tcBorders>
              <w:top w:val="single" w:color="auto" w:sz="4" w:space="0"/>
            </w:tcBorders>
            <w:vAlign w:val="center"/>
          </w:tcPr>
          <w:p w:rsidRPr="00355D57" w:rsidR="00A668DE" w:rsidP="00A668DE" w:rsidRDefault="00A668DE" w14:paraId="526C24E3" w14:textId="77777777">
            <w:pPr>
              <w:contextualSpacing/>
              <w:rPr>
                <w:sz w:val="21"/>
                <w:szCs w:val="21"/>
              </w:rPr>
            </w:pPr>
            <w:r w:rsidRPr="00355D57">
              <w:rPr>
                <w:sz w:val="21"/>
                <w:szCs w:val="21"/>
              </w:rPr>
              <w:t>Role of home visiting in the network of supports for families</w:t>
            </w:r>
          </w:p>
        </w:tc>
        <w:tc>
          <w:tcPr>
            <w:tcW w:w="485" w:type="pct"/>
            <w:tcBorders>
              <w:top w:val="single" w:color="auto" w:sz="4" w:space="0"/>
            </w:tcBorders>
            <w:vAlign w:val="center"/>
          </w:tcPr>
          <w:p w:rsidRPr="00355D57" w:rsidR="00A668DE" w:rsidP="00A668DE" w:rsidRDefault="00A668DE" w14:paraId="19CFEFD5" w14:textId="77777777">
            <w:pPr>
              <w:contextualSpacing/>
              <w:jc w:val="center"/>
              <w:rPr>
                <w:sz w:val="21"/>
                <w:szCs w:val="21"/>
              </w:rPr>
            </w:pPr>
          </w:p>
        </w:tc>
        <w:tc>
          <w:tcPr>
            <w:tcW w:w="451" w:type="pct"/>
            <w:tcBorders>
              <w:top w:val="single" w:color="auto" w:sz="4" w:space="0"/>
            </w:tcBorders>
          </w:tcPr>
          <w:p w:rsidRPr="00355D57" w:rsidR="00A668DE" w:rsidP="00A668DE" w:rsidRDefault="00A668DE" w14:paraId="59309046" w14:textId="4DE22578">
            <w:pPr>
              <w:contextualSpacing/>
              <w:jc w:val="center"/>
              <w:rPr>
                <w:sz w:val="21"/>
                <w:szCs w:val="21"/>
              </w:rPr>
            </w:pPr>
            <w:r w:rsidRPr="00355D57">
              <w:rPr>
                <w:sz w:val="21"/>
                <w:szCs w:val="21"/>
              </w:rPr>
              <w:t>X</w:t>
            </w:r>
          </w:p>
        </w:tc>
        <w:tc>
          <w:tcPr>
            <w:tcW w:w="426" w:type="pct"/>
            <w:tcBorders>
              <w:top w:val="single" w:color="auto" w:sz="4" w:space="0"/>
            </w:tcBorders>
            <w:vAlign w:val="center"/>
          </w:tcPr>
          <w:p w:rsidRPr="00355D57" w:rsidR="00A668DE" w:rsidP="00A668DE" w:rsidRDefault="00A668DE" w14:paraId="371BBBBA" w14:textId="77777777">
            <w:pPr>
              <w:contextualSpacing/>
              <w:jc w:val="center"/>
              <w:rPr>
                <w:sz w:val="21"/>
                <w:szCs w:val="21"/>
              </w:rPr>
            </w:pPr>
          </w:p>
        </w:tc>
      </w:tr>
      <w:tr w:rsidRPr="00971826" w:rsidR="00A668DE" w:rsidTr="00FD63EC" w14:paraId="230A9913" w14:textId="77777777">
        <w:trPr>
          <w:trHeight w:val="331"/>
        </w:trPr>
        <w:tc>
          <w:tcPr>
            <w:tcW w:w="936" w:type="pct"/>
            <w:vMerge/>
            <w:tcBorders>
              <w:top w:val="single" w:color="auto" w:sz="4" w:space="0"/>
              <w:bottom w:val="single" w:color="auto" w:sz="4" w:space="0"/>
            </w:tcBorders>
            <w:vAlign w:val="center"/>
          </w:tcPr>
          <w:p w:rsidRPr="00355D57" w:rsidR="00A668DE" w:rsidP="00A668DE" w:rsidRDefault="00A668DE" w14:paraId="439ABF33" w14:textId="77777777">
            <w:pPr>
              <w:contextualSpacing/>
              <w:rPr>
                <w:sz w:val="21"/>
                <w:szCs w:val="21"/>
              </w:rPr>
            </w:pPr>
          </w:p>
        </w:tc>
        <w:tc>
          <w:tcPr>
            <w:tcW w:w="2702" w:type="pct"/>
            <w:tcBorders>
              <w:top w:val="single" w:color="auto" w:sz="4" w:space="0"/>
              <w:bottom w:val="single" w:color="auto" w:sz="4" w:space="0"/>
            </w:tcBorders>
            <w:vAlign w:val="center"/>
          </w:tcPr>
          <w:p w:rsidRPr="00355D57" w:rsidR="00A668DE" w:rsidP="00A668DE" w:rsidRDefault="00A668DE" w14:paraId="22A5EF4E" w14:textId="77777777">
            <w:pPr>
              <w:contextualSpacing/>
              <w:rPr>
                <w:sz w:val="21"/>
                <w:szCs w:val="21"/>
                <w:highlight w:val="green"/>
              </w:rPr>
            </w:pPr>
            <w:r w:rsidRPr="00355D57">
              <w:rPr>
                <w:sz w:val="21"/>
                <w:szCs w:val="21"/>
              </w:rPr>
              <w:t>Role of home visiting in addressing service gaps and limits in addressing gaps</w:t>
            </w:r>
          </w:p>
        </w:tc>
        <w:tc>
          <w:tcPr>
            <w:tcW w:w="485" w:type="pct"/>
            <w:tcBorders>
              <w:top w:val="single" w:color="auto" w:sz="4" w:space="0"/>
              <w:bottom w:val="single" w:color="auto" w:sz="4" w:space="0"/>
            </w:tcBorders>
            <w:vAlign w:val="center"/>
          </w:tcPr>
          <w:p w:rsidRPr="00355D57" w:rsidR="00A668DE" w:rsidP="00A668DE" w:rsidRDefault="00A668DE" w14:paraId="52DA4CC4" w14:textId="77777777">
            <w:pPr>
              <w:contextualSpacing/>
              <w:jc w:val="center"/>
              <w:rPr>
                <w:sz w:val="21"/>
                <w:szCs w:val="21"/>
              </w:rPr>
            </w:pPr>
          </w:p>
        </w:tc>
        <w:tc>
          <w:tcPr>
            <w:tcW w:w="451" w:type="pct"/>
            <w:tcBorders>
              <w:top w:val="single" w:color="auto" w:sz="4" w:space="0"/>
              <w:bottom w:val="single" w:color="auto" w:sz="4" w:space="0"/>
            </w:tcBorders>
          </w:tcPr>
          <w:p w:rsidRPr="00355D57" w:rsidR="00A668DE" w:rsidP="00A668DE" w:rsidRDefault="00A668DE" w14:paraId="1BBFD558" w14:textId="3F84255C">
            <w:pPr>
              <w:contextualSpacing/>
              <w:jc w:val="center"/>
              <w:rPr>
                <w:sz w:val="21"/>
                <w:szCs w:val="21"/>
              </w:rPr>
            </w:pPr>
            <w:r w:rsidRPr="00355D57">
              <w:rPr>
                <w:sz w:val="21"/>
                <w:szCs w:val="21"/>
              </w:rPr>
              <w:t>X</w:t>
            </w:r>
          </w:p>
        </w:tc>
        <w:tc>
          <w:tcPr>
            <w:tcW w:w="426" w:type="pct"/>
            <w:tcBorders>
              <w:top w:val="single" w:color="auto" w:sz="4" w:space="0"/>
              <w:bottom w:val="single" w:color="auto" w:sz="4" w:space="0"/>
            </w:tcBorders>
            <w:vAlign w:val="center"/>
          </w:tcPr>
          <w:p w:rsidRPr="00355D57" w:rsidR="00A668DE" w:rsidP="00A668DE" w:rsidRDefault="00A668DE" w14:paraId="29685827" w14:textId="77777777">
            <w:pPr>
              <w:contextualSpacing/>
              <w:jc w:val="center"/>
              <w:rPr>
                <w:sz w:val="21"/>
                <w:szCs w:val="21"/>
              </w:rPr>
            </w:pPr>
          </w:p>
        </w:tc>
      </w:tr>
      <w:tr w:rsidRPr="00971826" w:rsidR="00DD1193" w:rsidTr="00FD63EC" w14:paraId="04B79F8A" w14:textId="77777777">
        <w:trPr>
          <w:trHeight w:val="331"/>
        </w:trPr>
        <w:tc>
          <w:tcPr>
            <w:tcW w:w="936" w:type="pct"/>
            <w:vMerge w:val="restart"/>
            <w:tcBorders>
              <w:top w:val="nil"/>
            </w:tcBorders>
            <w:vAlign w:val="center"/>
          </w:tcPr>
          <w:p w:rsidRPr="00355D57" w:rsidR="00DD1193" w:rsidP="007B43BB" w:rsidRDefault="00DD1193" w14:paraId="689F3DA0" w14:textId="77777777">
            <w:pPr>
              <w:contextualSpacing/>
              <w:rPr>
                <w:sz w:val="21"/>
                <w:szCs w:val="21"/>
              </w:rPr>
            </w:pPr>
            <w:r w:rsidRPr="00355D57">
              <w:rPr>
                <w:sz w:val="21"/>
                <w:szCs w:val="21"/>
              </w:rPr>
              <w:lastRenderedPageBreak/>
              <w:t>Community strengths and challenges</w:t>
            </w:r>
          </w:p>
        </w:tc>
        <w:tc>
          <w:tcPr>
            <w:tcW w:w="2702" w:type="pct"/>
            <w:tcBorders>
              <w:top w:val="nil"/>
            </w:tcBorders>
            <w:vAlign w:val="center"/>
          </w:tcPr>
          <w:p w:rsidRPr="00355D57" w:rsidR="00DD1193" w:rsidP="007B43BB" w:rsidRDefault="00DD1193" w14:paraId="400C0728" w14:textId="77777777">
            <w:pPr>
              <w:contextualSpacing/>
              <w:rPr>
                <w:sz w:val="21"/>
                <w:szCs w:val="21"/>
              </w:rPr>
            </w:pPr>
            <w:r w:rsidRPr="00355D57">
              <w:rPr>
                <w:sz w:val="21"/>
                <w:szCs w:val="21"/>
              </w:rPr>
              <w:t>Factors that promote resilience (e.g., power of culture and tradition)</w:t>
            </w:r>
          </w:p>
        </w:tc>
        <w:tc>
          <w:tcPr>
            <w:tcW w:w="485" w:type="pct"/>
            <w:tcBorders>
              <w:top w:val="nil"/>
            </w:tcBorders>
            <w:vAlign w:val="center"/>
          </w:tcPr>
          <w:p w:rsidRPr="00355D57" w:rsidR="00DD1193" w:rsidP="007B43BB" w:rsidRDefault="00DD1193" w14:paraId="287B4FD1" w14:textId="77777777">
            <w:pPr>
              <w:contextualSpacing/>
              <w:jc w:val="center"/>
              <w:rPr>
                <w:sz w:val="21"/>
                <w:szCs w:val="21"/>
              </w:rPr>
            </w:pPr>
          </w:p>
        </w:tc>
        <w:tc>
          <w:tcPr>
            <w:tcW w:w="451" w:type="pct"/>
            <w:tcBorders>
              <w:top w:val="nil"/>
            </w:tcBorders>
            <w:vAlign w:val="center"/>
          </w:tcPr>
          <w:p w:rsidRPr="00355D57" w:rsidR="00DD1193" w:rsidP="007B43BB" w:rsidRDefault="00A668DE" w14:paraId="1DB1C6F1" w14:textId="724EEE57">
            <w:pPr>
              <w:contextualSpacing/>
              <w:jc w:val="center"/>
              <w:rPr>
                <w:sz w:val="21"/>
                <w:szCs w:val="21"/>
              </w:rPr>
            </w:pPr>
            <w:r w:rsidRPr="00355D57">
              <w:rPr>
                <w:sz w:val="21"/>
                <w:szCs w:val="21"/>
              </w:rPr>
              <w:t>X</w:t>
            </w:r>
          </w:p>
        </w:tc>
        <w:tc>
          <w:tcPr>
            <w:tcW w:w="426" w:type="pct"/>
            <w:tcBorders>
              <w:top w:val="nil"/>
            </w:tcBorders>
            <w:vAlign w:val="center"/>
          </w:tcPr>
          <w:p w:rsidRPr="00355D57" w:rsidR="00DD1193" w:rsidP="007B43BB" w:rsidRDefault="00DD1193" w14:paraId="4829C000" w14:textId="77777777">
            <w:pPr>
              <w:contextualSpacing/>
              <w:jc w:val="center"/>
              <w:rPr>
                <w:sz w:val="21"/>
                <w:szCs w:val="21"/>
              </w:rPr>
            </w:pPr>
          </w:p>
        </w:tc>
      </w:tr>
      <w:tr w:rsidRPr="00971826" w:rsidR="00DD1193" w:rsidTr="00FD63EC" w14:paraId="199BC9FC" w14:textId="77777777">
        <w:trPr>
          <w:trHeight w:val="331"/>
        </w:trPr>
        <w:tc>
          <w:tcPr>
            <w:tcW w:w="936" w:type="pct"/>
            <w:vMerge/>
            <w:vAlign w:val="center"/>
          </w:tcPr>
          <w:p w:rsidRPr="00355D57" w:rsidR="00DD1193" w:rsidP="007B43BB" w:rsidRDefault="00DD1193" w14:paraId="137014F4" w14:textId="77777777">
            <w:pPr>
              <w:contextualSpacing/>
              <w:rPr>
                <w:sz w:val="21"/>
                <w:szCs w:val="21"/>
              </w:rPr>
            </w:pPr>
          </w:p>
        </w:tc>
        <w:tc>
          <w:tcPr>
            <w:tcW w:w="2702" w:type="pct"/>
            <w:tcBorders>
              <w:top w:val="nil"/>
            </w:tcBorders>
            <w:vAlign w:val="center"/>
          </w:tcPr>
          <w:p w:rsidRPr="00355D57" w:rsidR="00DD1193" w:rsidP="007B43BB" w:rsidRDefault="00DD1193" w14:paraId="4DE0815F" w14:textId="77777777">
            <w:pPr>
              <w:contextualSpacing/>
              <w:rPr>
                <w:sz w:val="21"/>
                <w:szCs w:val="21"/>
              </w:rPr>
            </w:pPr>
            <w:r w:rsidRPr="00355D57">
              <w:rPr>
                <w:sz w:val="21"/>
                <w:szCs w:val="21"/>
              </w:rPr>
              <w:t>Community service needs and gaps including those beyond the scope of home visiting such as mental health, physical health, material needs (e.g., food), social support</w:t>
            </w:r>
          </w:p>
        </w:tc>
        <w:tc>
          <w:tcPr>
            <w:tcW w:w="485" w:type="pct"/>
            <w:vAlign w:val="center"/>
          </w:tcPr>
          <w:p w:rsidRPr="00355D57" w:rsidR="00DD1193" w:rsidP="007B43BB" w:rsidRDefault="00DD1193" w14:paraId="38D00436" w14:textId="77777777">
            <w:pPr>
              <w:contextualSpacing/>
              <w:jc w:val="center"/>
              <w:rPr>
                <w:sz w:val="21"/>
                <w:szCs w:val="21"/>
              </w:rPr>
            </w:pPr>
            <w:r w:rsidRPr="00355D57">
              <w:rPr>
                <w:sz w:val="21"/>
                <w:szCs w:val="21"/>
              </w:rPr>
              <w:t>X</w:t>
            </w:r>
          </w:p>
        </w:tc>
        <w:tc>
          <w:tcPr>
            <w:tcW w:w="451" w:type="pct"/>
            <w:vAlign w:val="center"/>
          </w:tcPr>
          <w:p w:rsidRPr="00355D57" w:rsidR="00DD1193" w:rsidP="007B43BB" w:rsidRDefault="00A668DE" w14:paraId="1F3E5845" w14:textId="64A6A7FC">
            <w:pPr>
              <w:contextualSpacing/>
              <w:jc w:val="center"/>
              <w:rPr>
                <w:sz w:val="21"/>
                <w:szCs w:val="21"/>
              </w:rPr>
            </w:pPr>
            <w:r w:rsidRPr="00355D57">
              <w:rPr>
                <w:sz w:val="21"/>
                <w:szCs w:val="21"/>
              </w:rPr>
              <w:t>X</w:t>
            </w:r>
          </w:p>
        </w:tc>
        <w:tc>
          <w:tcPr>
            <w:tcW w:w="426" w:type="pct"/>
            <w:vAlign w:val="center"/>
          </w:tcPr>
          <w:p w:rsidRPr="00355D57" w:rsidR="00DD1193" w:rsidP="007B43BB" w:rsidRDefault="00DD1193" w14:paraId="35CD21F0" w14:textId="77777777">
            <w:pPr>
              <w:contextualSpacing/>
              <w:jc w:val="center"/>
              <w:rPr>
                <w:sz w:val="21"/>
                <w:szCs w:val="21"/>
              </w:rPr>
            </w:pPr>
          </w:p>
        </w:tc>
      </w:tr>
      <w:tr w:rsidRPr="00971826" w:rsidR="00DD1193" w:rsidTr="00FD63EC" w14:paraId="6AB25A0D" w14:textId="77777777">
        <w:trPr>
          <w:trHeight w:val="331"/>
        </w:trPr>
        <w:tc>
          <w:tcPr>
            <w:tcW w:w="936" w:type="pct"/>
            <w:vMerge/>
            <w:vAlign w:val="center"/>
          </w:tcPr>
          <w:p w:rsidRPr="00355D57" w:rsidR="00DD1193" w:rsidP="007B43BB" w:rsidRDefault="00DD1193" w14:paraId="08A07B34" w14:textId="77777777">
            <w:pPr>
              <w:contextualSpacing/>
              <w:rPr>
                <w:sz w:val="21"/>
                <w:szCs w:val="21"/>
              </w:rPr>
            </w:pPr>
          </w:p>
        </w:tc>
        <w:tc>
          <w:tcPr>
            <w:tcW w:w="2702" w:type="pct"/>
            <w:tcBorders>
              <w:top w:val="nil"/>
            </w:tcBorders>
            <w:vAlign w:val="center"/>
          </w:tcPr>
          <w:p w:rsidRPr="00355D57" w:rsidR="00DD1193" w:rsidP="007B43BB" w:rsidRDefault="00DD1193" w14:paraId="0FA32547" w14:textId="77777777">
            <w:pPr>
              <w:contextualSpacing/>
              <w:rPr>
                <w:sz w:val="21"/>
                <w:szCs w:val="21"/>
              </w:rPr>
            </w:pPr>
            <w:r w:rsidRPr="00355D57">
              <w:rPr>
                <w:sz w:val="21"/>
                <w:szCs w:val="21"/>
              </w:rPr>
              <w:t>Community response to COVID-19-related service needs</w:t>
            </w:r>
          </w:p>
        </w:tc>
        <w:tc>
          <w:tcPr>
            <w:tcW w:w="485" w:type="pct"/>
            <w:vAlign w:val="center"/>
          </w:tcPr>
          <w:p w:rsidRPr="00355D57" w:rsidR="00DD1193" w:rsidP="007B43BB" w:rsidRDefault="00DD1193" w14:paraId="00D9CECB" w14:textId="77777777">
            <w:pPr>
              <w:contextualSpacing/>
              <w:jc w:val="center"/>
              <w:rPr>
                <w:sz w:val="21"/>
                <w:szCs w:val="21"/>
              </w:rPr>
            </w:pPr>
            <w:r w:rsidRPr="00355D57">
              <w:rPr>
                <w:sz w:val="21"/>
                <w:szCs w:val="21"/>
              </w:rPr>
              <w:t>X</w:t>
            </w:r>
          </w:p>
        </w:tc>
        <w:tc>
          <w:tcPr>
            <w:tcW w:w="451" w:type="pct"/>
            <w:vAlign w:val="center"/>
          </w:tcPr>
          <w:p w:rsidRPr="00355D57" w:rsidR="00DD1193" w:rsidP="007B43BB" w:rsidRDefault="00DD1193" w14:paraId="3EDEE57D" w14:textId="77777777">
            <w:pPr>
              <w:contextualSpacing/>
              <w:jc w:val="center"/>
              <w:rPr>
                <w:sz w:val="21"/>
                <w:szCs w:val="21"/>
              </w:rPr>
            </w:pPr>
          </w:p>
        </w:tc>
        <w:tc>
          <w:tcPr>
            <w:tcW w:w="426" w:type="pct"/>
            <w:vAlign w:val="center"/>
          </w:tcPr>
          <w:p w:rsidRPr="00355D57" w:rsidR="00DD1193" w:rsidP="007B43BB" w:rsidRDefault="00DD1193" w14:paraId="0816B88B" w14:textId="77777777">
            <w:pPr>
              <w:contextualSpacing/>
              <w:jc w:val="center"/>
              <w:rPr>
                <w:sz w:val="21"/>
                <w:szCs w:val="21"/>
              </w:rPr>
            </w:pPr>
          </w:p>
        </w:tc>
      </w:tr>
      <w:tr w:rsidRPr="00971826" w:rsidR="00A668DE" w:rsidTr="00FD63EC" w14:paraId="522E6B5C" w14:textId="77777777">
        <w:trPr>
          <w:trHeight w:val="331"/>
        </w:trPr>
        <w:tc>
          <w:tcPr>
            <w:tcW w:w="936" w:type="pct"/>
            <w:vMerge w:val="restart"/>
            <w:tcBorders>
              <w:top w:val="nil"/>
            </w:tcBorders>
            <w:vAlign w:val="center"/>
          </w:tcPr>
          <w:p w:rsidRPr="00355D57" w:rsidR="00A668DE" w:rsidP="00A668DE" w:rsidRDefault="00A668DE" w14:paraId="57358F58" w14:textId="77777777">
            <w:pPr>
              <w:contextualSpacing/>
              <w:rPr>
                <w:sz w:val="21"/>
                <w:szCs w:val="21"/>
              </w:rPr>
            </w:pPr>
            <w:r w:rsidRPr="00355D57">
              <w:rPr>
                <w:sz w:val="21"/>
                <w:szCs w:val="21"/>
              </w:rPr>
              <w:t>Families experience of services including home visiting</w:t>
            </w:r>
          </w:p>
        </w:tc>
        <w:tc>
          <w:tcPr>
            <w:tcW w:w="2702" w:type="pct"/>
            <w:tcBorders>
              <w:top w:val="nil"/>
            </w:tcBorders>
            <w:vAlign w:val="center"/>
          </w:tcPr>
          <w:p w:rsidRPr="00355D57" w:rsidR="00A668DE" w:rsidP="00A668DE" w:rsidRDefault="00A668DE" w14:paraId="3CC90F04" w14:textId="77777777">
            <w:pPr>
              <w:contextualSpacing/>
              <w:rPr>
                <w:sz w:val="21"/>
                <w:szCs w:val="21"/>
              </w:rPr>
            </w:pPr>
            <w:r w:rsidRPr="00355D57">
              <w:rPr>
                <w:sz w:val="21"/>
                <w:szCs w:val="21"/>
              </w:rPr>
              <w:t>Ways in which, and reasons why, families access services, resources, and information</w:t>
            </w:r>
          </w:p>
        </w:tc>
        <w:tc>
          <w:tcPr>
            <w:tcW w:w="485" w:type="pct"/>
            <w:vAlign w:val="center"/>
          </w:tcPr>
          <w:p w:rsidRPr="00355D57" w:rsidR="00A668DE" w:rsidP="00A668DE" w:rsidRDefault="00A668DE" w14:paraId="0851E373" w14:textId="77777777">
            <w:pPr>
              <w:contextualSpacing/>
              <w:jc w:val="center"/>
              <w:rPr>
                <w:sz w:val="21"/>
                <w:szCs w:val="21"/>
              </w:rPr>
            </w:pPr>
          </w:p>
        </w:tc>
        <w:tc>
          <w:tcPr>
            <w:tcW w:w="451" w:type="pct"/>
          </w:tcPr>
          <w:p w:rsidRPr="00355D57" w:rsidR="00A668DE" w:rsidP="00A668DE" w:rsidRDefault="00A668DE" w14:paraId="488F61D5" w14:textId="383C212D">
            <w:pPr>
              <w:contextualSpacing/>
              <w:jc w:val="center"/>
              <w:rPr>
                <w:sz w:val="21"/>
                <w:szCs w:val="21"/>
              </w:rPr>
            </w:pPr>
            <w:r w:rsidRPr="00355D57">
              <w:rPr>
                <w:sz w:val="21"/>
                <w:szCs w:val="21"/>
              </w:rPr>
              <w:t>X</w:t>
            </w:r>
          </w:p>
        </w:tc>
        <w:tc>
          <w:tcPr>
            <w:tcW w:w="426" w:type="pct"/>
            <w:vAlign w:val="center"/>
          </w:tcPr>
          <w:p w:rsidRPr="00355D57" w:rsidR="00A668DE" w:rsidP="00A668DE" w:rsidRDefault="00A668DE" w14:paraId="3FA904EA" w14:textId="77777777">
            <w:pPr>
              <w:contextualSpacing/>
              <w:jc w:val="center"/>
              <w:rPr>
                <w:sz w:val="21"/>
                <w:szCs w:val="21"/>
              </w:rPr>
            </w:pPr>
          </w:p>
        </w:tc>
      </w:tr>
      <w:tr w:rsidRPr="00971826" w:rsidR="00A668DE" w:rsidTr="00FD63EC" w14:paraId="5CB0F53B" w14:textId="77777777">
        <w:trPr>
          <w:trHeight w:val="331"/>
        </w:trPr>
        <w:tc>
          <w:tcPr>
            <w:tcW w:w="936" w:type="pct"/>
            <w:vMerge/>
            <w:vAlign w:val="center"/>
          </w:tcPr>
          <w:p w:rsidRPr="00355D57" w:rsidR="00A668DE" w:rsidP="00A668DE" w:rsidRDefault="00A668DE" w14:paraId="59D986E8" w14:textId="77777777">
            <w:pPr>
              <w:contextualSpacing/>
              <w:rPr>
                <w:sz w:val="21"/>
                <w:szCs w:val="21"/>
              </w:rPr>
            </w:pPr>
          </w:p>
        </w:tc>
        <w:tc>
          <w:tcPr>
            <w:tcW w:w="2702" w:type="pct"/>
            <w:tcBorders>
              <w:top w:val="nil"/>
            </w:tcBorders>
            <w:vAlign w:val="center"/>
          </w:tcPr>
          <w:p w:rsidRPr="00355D57" w:rsidR="00A668DE" w:rsidP="00A668DE" w:rsidRDefault="00A668DE" w14:paraId="09194DFF" w14:textId="77777777">
            <w:pPr>
              <w:contextualSpacing/>
              <w:rPr>
                <w:sz w:val="21"/>
                <w:szCs w:val="21"/>
              </w:rPr>
            </w:pPr>
            <w:r w:rsidRPr="00355D57">
              <w:rPr>
                <w:sz w:val="21"/>
                <w:szCs w:val="21"/>
              </w:rPr>
              <w:t xml:space="preserve">Resources used during the pandemic to support families </w:t>
            </w:r>
          </w:p>
        </w:tc>
        <w:tc>
          <w:tcPr>
            <w:tcW w:w="485" w:type="pct"/>
            <w:vAlign w:val="center"/>
          </w:tcPr>
          <w:p w:rsidRPr="00355D57" w:rsidR="00A668DE" w:rsidP="00A668DE" w:rsidRDefault="00A668DE" w14:paraId="2AD1EFB4" w14:textId="77777777">
            <w:pPr>
              <w:contextualSpacing/>
              <w:jc w:val="center"/>
              <w:rPr>
                <w:sz w:val="21"/>
                <w:szCs w:val="21"/>
              </w:rPr>
            </w:pPr>
          </w:p>
        </w:tc>
        <w:tc>
          <w:tcPr>
            <w:tcW w:w="451" w:type="pct"/>
          </w:tcPr>
          <w:p w:rsidRPr="00355D57" w:rsidR="00A668DE" w:rsidP="00A668DE" w:rsidRDefault="00A668DE" w14:paraId="52E58B7B" w14:textId="009ACF0D">
            <w:pPr>
              <w:contextualSpacing/>
              <w:jc w:val="center"/>
              <w:rPr>
                <w:sz w:val="21"/>
                <w:szCs w:val="21"/>
              </w:rPr>
            </w:pPr>
            <w:r w:rsidRPr="00355D57">
              <w:rPr>
                <w:sz w:val="21"/>
                <w:szCs w:val="21"/>
              </w:rPr>
              <w:t>X</w:t>
            </w:r>
          </w:p>
        </w:tc>
        <w:tc>
          <w:tcPr>
            <w:tcW w:w="426" w:type="pct"/>
            <w:vAlign w:val="center"/>
          </w:tcPr>
          <w:p w:rsidRPr="00355D57" w:rsidR="00A668DE" w:rsidP="00A668DE" w:rsidRDefault="00A668DE" w14:paraId="4B24C546" w14:textId="77777777">
            <w:pPr>
              <w:contextualSpacing/>
              <w:jc w:val="center"/>
              <w:rPr>
                <w:sz w:val="21"/>
                <w:szCs w:val="21"/>
              </w:rPr>
            </w:pPr>
          </w:p>
        </w:tc>
      </w:tr>
      <w:tr w:rsidRPr="00971826" w:rsidR="00A668DE" w:rsidTr="00FD63EC" w14:paraId="4AB0A1B4" w14:textId="77777777">
        <w:trPr>
          <w:trHeight w:val="331"/>
        </w:trPr>
        <w:tc>
          <w:tcPr>
            <w:tcW w:w="936" w:type="pct"/>
            <w:vMerge/>
            <w:vAlign w:val="center"/>
          </w:tcPr>
          <w:p w:rsidRPr="00355D57" w:rsidR="00A668DE" w:rsidP="00A668DE" w:rsidRDefault="00A668DE" w14:paraId="0BBCBA5E" w14:textId="77777777">
            <w:pPr>
              <w:contextualSpacing/>
              <w:rPr>
                <w:sz w:val="21"/>
                <w:szCs w:val="21"/>
              </w:rPr>
            </w:pPr>
          </w:p>
        </w:tc>
        <w:tc>
          <w:tcPr>
            <w:tcW w:w="2702" w:type="pct"/>
            <w:tcBorders>
              <w:top w:val="nil"/>
            </w:tcBorders>
            <w:vAlign w:val="center"/>
          </w:tcPr>
          <w:p w:rsidRPr="00355D57" w:rsidR="00A668DE" w:rsidP="00A668DE" w:rsidRDefault="00A668DE" w14:paraId="62466B22" w14:textId="77777777">
            <w:pPr>
              <w:contextualSpacing/>
              <w:rPr>
                <w:sz w:val="21"/>
                <w:szCs w:val="21"/>
              </w:rPr>
            </w:pPr>
            <w:r w:rsidRPr="00355D57">
              <w:rPr>
                <w:sz w:val="21"/>
                <w:szCs w:val="21"/>
              </w:rPr>
              <w:t>Distrust of home visiting, social services, health services</w:t>
            </w:r>
          </w:p>
        </w:tc>
        <w:tc>
          <w:tcPr>
            <w:tcW w:w="485" w:type="pct"/>
            <w:vAlign w:val="center"/>
          </w:tcPr>
          <w:p w:rsidRPr="00355D57" w:rsidR="00A668DE" w:rsidP="00A668DE" w:rsidRDefault="00A668DE" w14:paraId="4288E007" w14:textId="77777777">
            <w:pPr>
              <w:contextualSpacing/>
              <w:jc w:val="center"/>
              <w:rPr>
                <w:sz w:val="21"/>
                <w:szCs w:val="21"/>
              </w:rPr>
            </w:pPr>
          </w:p>
        </w:tc>
        <w:tc>
          <w:tcPr>
            <w:tcW w:w="451" w:type="pct"/>
          </w:tcPr>
          <w:p w:rsidRPr="00355D57" w:rsidR="00A668DE" w:rsidP="00A668DE" w:rsidRDefault="00A668DE" w14:paraId="18073CDE" w14:textId="4F7061F6">
            <w:pPr>
              <w:contextualSpacing/>
              <w:jc w:val="center"/>
              <w:rPr>
                <w:sz w:val="21"/>
                <w:szCs w:val="21"/>
              </w:rPr>
            </w:pPr>
            <w:r w:rsidRPr="00355D57">
              <w:rPr>
                <w:sz w:val="21"/>
                <w:szCs w:val="21"/>
              </w:rPr>
              <w:t>X</w:t>
            </w:r>
          </w:p>
        </w:tc>
        <w:tc>
          <w:tcPr>
            <w:tcW w:w="426" w:type="pct"/>
            <w:vAlign w:val="center"/>
          </w:tcPr>
          <w:p w:rsidRPr="00355D57" w:rsidR="00A668DE" w:rsidP="00A668DE" w:rsidRDefault="00A668DE" w14:paraId="68B6DFB2" w14:textId="77777777">
            <w:pPr>
              <w:contextualSpacing/>
              <w:jc w:val="center"/>
              <w:rPr>
                <w:sz w:val="21"/>
                <w:szCs w:val="21"/>
              </w:rPr>
            </w:pPr>
          </w:p>
        </w:tc>
      </w:tr>
      <w:tr w:rsidRPr="00971826" w:rsidR="00A668DE" w:rsidTr="00FD63EC" w14:paraId="6DFCB7BB" w14:textId="77777777">
        <w:trPr>
          <w:trHeight w:val="331"/>
        </w:trPr>
        <w:tc>
          <w:tcPr>
            <w:tcW w:w="936" w:type="pct"/>
            <w:vMerge/>
            <w:vAlign w:val="center"/>
          </w:tcPr>
          <w:p w:rsidRPr="00355D57" w:rsidR="00A668DE" w:rsidP="00A668DE" w:rsidRDefault="00A668DE" w14:paraId="753861C3" w14:textId="77777777">
            <w:pPr>
              <w:contextualSpacing/>
              <w:rPr>
                <w:sz w:val="21"/>
                <w:szCs w:val="21"/>
              </w:rPr>
            </w:pPr>
          </w:p>
        </w:tc>
        <w:tc>
          <w:tcPr>
            <w:tcW w:w="2702" w:type="pct"/>
            <w:tcBorders>
              <w:top w:val="nil"/>
            </w:tcBorders>
            <w:vAlign w:val="center"/>
          </w:tcPr>
          <w:p w:rsidRPr="00355D57" w:rsidR="00A668DE" w:rsidP="00A668DE" w:rsidRDefault="00A668DE" w14:paraId="0F0B5AD9" w14:textId="77777777">
            <w:pPr>
              <w:contextualSpacing/>
              <w:rPr>
                <w:sz w:val="21"/>
                <w:szCs w:val="21"/>
              </w:rPr>
            </w:pPr>
            <w:r w:rsidRPr="00355D57">
              <w:rPr>
                <w:sz w:val="21"/>
                <w:szCs w:val="21"/>
              </w:rPr>
              <w:t>Successes and challenges for enrolling in services</w:t>
            </w:r>
          </w:p>
        </w:tc>
        <w:tc>
          <w:tcPr>
            <w:tcW w:w="485" w:type="pct"/>
            <w:vAlign w:val="center"/>
          </w:tcPr>
          <w:p w:rsidRPr="00355D57" w:rsidR="00A668DE" w:rsidP="00A668DE" w:rsidRDefault="00A668DE" w14:paraId="41A8E49D" w14:textId="77777777">
            <w:pPr>
              <w:contextualSpacing/>
              <w:jc w:val="center"/>
              <w:rPr>
                <w:sz w:val="21"/>
                <w:szCs w:val="21"/>
              </w:rPr>
            </w:pPr>
          </w:p>
        </w:tc>
        <w:tc>
          <w:tcPr>
            <w:tcW w:w="451" w:type="pct"/>
          </w:tcPr>
          <w:p w:rsidRPr="00355D57" w:rsidR="00A668DE" w:rsidP="00A668DE" w:rsidRDefault="00A668DE" w14:paraId="07573434" w14:textId="1443FA20">
            <w:pPr>
              <w:contextualSpacing/>
              <w:jc w:val="center"/>
              <w:rPr>
                <w:sz w:val="21"/>
                <w:szCs w:val="21"/>
              </w:rPr>
            </w:pPr>
            <w:r w:rsidRPr="00355D57">
              <w:rPr>
                <w:sz w:val="21"/>
                <w:szCs w:val="21"/>
              </w:rPr>
              <w:t>X</w:t>
            </w:r>
          </w:p>
        </w:tc>
        <w:tc>
          <w:tcPr>
            <w:tcW w:w="426" w:type="pct"/>
            <w:vAlign w:val="center"/>
          </w:tcPr>
          <w:p w:rsidRPr="00355D57" w:rsidR="00A668DE" w:rsidP="00A668DE" w:rsidRDefault="00A668DE" w14:paraId="377A6836" w14:textId="77777777">
            <w:pPr>
              <w:contextualSpacing/>
              <w:jc w:val="center"/>
              <w:rPr>
                <w:sz w:val="21"/>
                <w:szCs w:val="21"/>
              </w:rPr>
            </w:pPr>
          </w:p>
        </w:tc>
      </w:tr>
      <w:tr w:rsidRPr="00971826" w:rsidR="00A668DE" w:rsidTr="00FD63EC" w14:paraId="4DBFA85C" w14:textId="77777777">
        <w:trPr>
          <w:trHeight w:val="331"/>
        </w:trPr>
        <w:tc>
          <w:tcPr>
            <w:tcW w:w="936" w:type="pct"/>
            <w:vMerge w:val="restart"/>
            <w:tcBorders>
              <w:top w:val="nil"/>
            </w:tcBorders>
            <w:vAlign w:val="center"/>
          </w:tcPr>
          <w:p w:rsidRPr="00355D57" w:rsidR="00A668DE" w:rsidP="00A668DE" w:rsidRDefault="00A668DE" w14:paraId="13217227" w14:textId="77777777">
            <w:pPr>
              <w:contextualSpacing/>
              <w:rPr>
                <w:sz w:val="21"/>
                <w:szCs w:val="21"/>
                <w:vertAlign w:val="superscript"/>
              </w:rPr>
            </w:pPr>
            <w:r w:rsidRPr="00355D57">
              <w:rPr>
                <w:sz w:val="21"/>
                <w:szCs w:val="21"/>
              </w:rPr>
              <w:t xml:space="preserve">Perceptions of community organizations </w:t>
            </w:r>
            <w:r w:rsidRPr="00355D57">
              <w:rPr>
                <w:sz w:val="21"/>
                <w:szCs w:val="21"/>
                <w:vertAlign w:val="superscript"/>
              </w:rPr>
              <w:t>a</w:t>
            </w:r>
          </w:p>
        </w:tc>
        <w:tc>
          <w:tcPr>
            <w:tcW w:w="2702" w:type="pct"/>
            <w:tcBorders>
              <w:top w:val="nil"/>
            </w:tcBorders>
            <w:vAlign w:val="center"/>
          </w:tcPr>
          <w:p w:rsidRPr="00355D57" w:rsidR="00A668DE" w:rsidP="00A668DE" w:rsidRDefault="00A668DE" w14:paraId="05250755" w14:textId="77777777">
            <w:pPr>
              <w:contextualSpacing/>
              <w:rPr>
                <w:sz w:val="21"/>
                <w:szCs w:val="21"/>
              </w:rPr>
            </w:pPr>
            <w:r w:rsidRPr="00355D57">
              <w:rPr>
                <w:sz w:val="21"/>
                <w:szCs w:val="21"/>
              </w:rPr>
              <w:t>Beliefs about home visiting programs’/other organizations’ relative importance in the system of care for families</w:t>
            </w:r>
          </w:p>
        </w:tc>
        <w:tc>
          <w:tcPr>
            <w:tcW w:w="485" w:type="pct"/>
            <w:vAlign w:val="center"/>
          </w:tcPr>
          <w:p w:rsidRPr="00355D57" w:rsidR="00A668DE" w:rsidP="00A668DE" w:rsidRDefault="00A668DE" w14:paraId="7896EE17" w14:textId="77777777">
            <w:pPr>
              <w:contextualSpacing/>
              <w:jc w:val="center"/>
              <w:rPr>
                <w:sz w:val="21"/>
                <w:szCs w:val="21"/>
              </w:rPr>
            </w:pPr>
          </w:p>
        </w:tc>
        <w:tc>
          <w:tcPr>
            <w:tcW w:w="451" w:type="pct"/>
            <w:vAlign w:val="center"/>
          </w:tcPr>
          <w:p w:rsidRPr="00355D57" w:rsidR="00A668DE" w:rsidP="00A668DE" w:rsidRDefault="00A668DE" w14:paraId="5138DA9F" w14:textId="77777777">
            <w:pPr>
              <w:contextualSpacing/>
              <w:jc w:val="center"/>
              <w:rPr>
                <w:sz w:val="21"/>
                <w:szCs w:val="21"/>
              </w:rPr>
            </w:pPr>
          </w:p>
        </w:tc>
        <w:tc>
          <w:tcPr>
            <w:tcW w:w="426" w:type="pct"/>
          </w:tcPr>
          <w:p w:rsidRPr="00355D57" w:rsidR="00A668DE" w:rsidP="00A668DE" w:rsidRDefault="00A668DE" w14:paraId="0D27DFC1" w14:textId="361F18E5">
            <w:pPr>
              <w:contextualSpacing/>
              <w:jc w:val="center"/>
              <w:rPr>
                <w:sz w:val="21"/>
                <w:szCs w:val="21"/>
              </w:rPr>
            </w:pPr>
            <w:r w:rsidRPr="00355D57">
              <w:rPr>
                <w:sz w:val="21"/>
                <w:szCs w:val="21"/>
              </w:rPr>
              <w:t>X</w:t>
            </w:r>
          </w:p>
        </w:tc>
      </w:tr>
      <w:tr w:rsidRPr="00971826" w:rsidR="00A668DE" w:rsidTr="00FD63EC" w14:paraId="495564F6" w14:textId="77777777">
        <w:trPr>
          <w:trHeight w:val="331"/>
        </w:trPr>
        <w:tc>
          <w:tcPr>
            <w:tcW w:w="936" w:type="pct"/>
            <w:vMerge/>
            <w:vAlign w:val="center"/>
          </w:tcPr>
          <w:p w:rsidRPr="00355D57" w:rsidR="00A668DE" w:rsidP="00A668DE" w:rsidRDefault="00A668DE" w14:paraId="4CAAA292" w14:textId="77777777">
            <w:pPr>
              <w:contextualSpacing/>
              <w:rPr>
                <w:sz w:val="21"/>
                <w:szCs w:val="21"/>
              </w:rPr>
            </w:pPr>
          </w:p>
        </w:tc>
        <w:tc>
          <w:tcPr>
            <w:tcW w:w="2702" w:type="pct"/>
            <w:tcBorders>
              <w:top w:val="nil"/>
            </w:tcBorders>
            <w:vAlign w:val="center"/>
          </w:tcPr>
          <w:p w:rsidRPr="00355D57" w:rsidR="00A668DE" w:rsidP="00A668DE" w:rsidRDefault="00A668DE" w14:paraId="492B8A03" w14:textId="77777777">
            <w:pPr>
              <w:contextualSpacing/>
              <w:rPr>
                <w:sz w:val="21"/>
                <w:szCs w:val="21"/>
              </w:rPr>
            </w:pPr>
            <w:r w:rsidRPr="00355D57">
              <w:rPr>
                <w:sz w:val="21"/>
                <w:szCs w:val="21"/>
              </w:rPr>
              <w:t>How well home visiting programs/other community organizations are equipped to meet families’ needs</w:t>
            </w:r>
          </w:p>
        </w:tc>
        <w:tc>
          <w:tcPr>
            <w:tcW w:w="485" w:type="pct"/>
            <w:vAlign w:val="center"/>
          </w:tcPr>
          <w:p w:rsidRPr="00355D57" w:rsidR="00A668DE" w:rsidP="00A668DE" w:rsidRDefault="00A668DE" w14:paraId="265A802A" w14:textId="77777777">
            <w:pPr>
              <w:contextualSpacing/>
              <w:jc w:val="center"/>
              <w:rPr>
                <w:sz w:val="21"/>
                <w:szCs w:val="21"/>
              </w:rPr>
            </w:pPr>
          </w:p>
        </w:tc>
        <w:tc>
          <w:tcPr>
            <w:tcW w:w="451" w:type="pct"/>
            <w:vAlign w:val="center"/>
          </w:tcPr>
          <w:p w:rsidRPr="00355D57" w:rsidR="00A668DE" w:rsidP="00A668DE" w:rsidRDefault="00A668DE" w14:paraId="78F39462" w14:textId="77777777">
            <w:pPr>
              <w:contextualSpacing/>
              <w:jc w:val="center"/>
              <w:rPr>
                <w:sz w:val="21"/>
                <w:szCs w:val="21"/>
              </w:rPr>
            </w:pPr>
          </w:p>
        </w:tc>
        <w:tc>
          <w:tcPr>
            <w:tcW w:w="426" w:type="pct"/>
          </w:tcPr>
          <w:p w:rsidRPr="00355D57" w:rsidR="00A668DE" w:rsidP="00A668DE" w:rsidRDefault="00A668DE" w14:paraId="33907E98" w14:textId="54AC32FC">
            <w:pPr>
              <w:contextualSpacing/>
              <w:jc w:val="center"/>
              <w:rPr>
                <w:sz w:val="21"/>
                <w:szCs w:val="21"/>
              </w:rPr>
            </w:pPr>
            <w:r w:rsidRPr="00355D57">
              <w:rPr>
                <w:sz w:val="21"/>
                <w:szCs w:val="21"/>
              </w:rPr>
              <w:t>X</w:t>
            </w:r>
          </w:p>
        </w:tc>
      </w:tr>
      <w:tr w:rsidRPr="00971826" w:rsidR="00A668DE" w:rsidTr="00FD63EC" w14:paraId="44B894AA" w14:textId="77777777">
        <w:trPr>
          <w:trHeight w:val="331"/>
        </w:trPr>
        <w:tc>
          <w:tcPr>
            <w:tcW w:w="936" w:type="pct"/>
            <w:vMerge/>
            <w:vAlign w:val="center"/>
          </w:tcPr>
          <w:p w:rsidRPr="00355D57" w:rsidR="00A668DE" w:rsidP="00A668DE" w:rsidRDefault="00A668DE" w14:paraId="6C0EFFBD" w14:textId="77777777">
            <w:pPr>
              <w:contextualSpacing/>
              <w:rPr>
                <w:sz w:val="21"/>
                <w:szCs w:val="21"/>
              </w:rPr>
            </w:pPr>
          </w:p>
        </w:tc>
        <w:tc>
          <w:tcPr>
            <w:tcW w:w="2702" w:type="pct"/>
            <w:tcBorders>
              <w:top w:val="nil"/>
            </w:tcBorders>
            <w:vAlign w:val="center"/>
          </w:tcPr>
          <w:p w:rsidRPr="00355D57" w:rsidR="00A668DE" w:rsidP="00A668DE" w:rsidRDefault="00A668DE" w14:paraId="1675F5B7" w14:textId="77777777">
            <w:pPr>
              <w:contextualSpacing/>
              <w:rPr>
                <w:sz w:val="21"/>
                <w:szCs w:val="21"/>
              </w:rPr>
            </w:pPr>
            <w:r w:rsidRPr="00355D57">
              <w:rPr>
                <w:sz w:val="21"/>
                <w:szCs w:val="21"/>
              </w:rPr>
              <w:t>Changes in home visiting programs’/other community organizations’ ability to meet families’ needs across the course of the pandemic</w:t>
            </w:r>
          </w:p>
        </w:tc>
        <w:tc>
          <w:tcPr>
            <w:tcW w:w="485" w:type="pct"/>
            <w:vAlign w:val="center"/>
          </w:tcPr>
          <w:p w:rsidRPr="00355D57" w:rsidR="00A668DE" w:rsidP="00A668DE" w:rsidRDefault="00A668DE" w14:paraId="4660314A" w14:textId="77777777">
            <w:pPr>
              <w:contextualSpacing/>
              <w:jc w:val="center"/>
              <w:rPr>
                <w:sz w:val="21"/>
                <w:szCs w:val="21"/>
              </w:rPr>
            </w:pPr>
          </w:p>
        </w:tc>
        <w:tc>
          <w:tcPr>
            <w:tcW w:w="451" w:type="pct"/>
            <w:vAlign w:val="center"/>
          </w:tcPr>
          <w:p w:rsidRPr="00355D57" w:rsidR="00A668DE" w:rsidP="00A668DE" w:rsidRDefault="00A668DE" w14:paraId="734FCC7B" w14:textId="77777777">
            <w:pPr>
              <w:contextualSpacing/>
              <w:jc w:val="center"/>
              <w:rPr>
                <w:sz w:val="21"/>
                <w:szCs w:val="21"/>
              </w:rPr>
            </w:pPr>
          </w:p>
        </w:tc>
        <w:tc>
          <w:tcPr>
            <w:tcW w:w="426" w:type="pct"/>
          </w:tcPr>
          <w:p w:rsidRPr="00355D57" w:rsidR="00A668DE" w:rsidP="00A668DE" w:rsidRDefault="00A668DE" w14:paraId="57647A67" w14:textId="6C65360E">
            <w:pPr>
              <w:contextualSpacing/>
              <w:jc w:val="center"/>
              <w:rPr>
                <w:sz w:val="21"/>
                <w:szCs w:val="21"/>
              </w:rPr>
            </w:pPr>
            <w:r w:rsidRPr="00355D57">
              <w:rPr>
                <w:sz w:val="21"/>
                <w:szCs w:val="21"/>
              </w:rPr>
              <w:t>X</w:t>
            </w:r>
          </w:p>
        </w:tc>
      </w:tr>
      <w:tr w:rsidRPr="00971826" w:rsidR="00A668DE" w:rsidTr="00FD63EC" w14:paraId="529A1A6C" w14:textId="77777777">
        <w:trPr>
          <w:trHeight w:val="331"/>
        </w:trPr>
        <w:tc>
          <w:tcPr>
            <w:tcW w:w="936" w:type="pct"/>
            <w:vMerge w:val="restart"/>
            <w:tcBorders>
              <w:top w:val="nil"/>
            </w:tcBorders>
            <w:vAlign w:val="center"/>
          </w:tcPr>
          <w:p w:rsidRPr="00355D57" w:rsidR="00A668DE" w:rsidP="00A668DE" w:rsidRDefault="00A668DE" w14:paraId="782C1007" w14:textId="77777777">
            <w:pPr>
              <w:contextualSpacing/>
              <w:rPr>
                <w:sz w:val="21"/>
                <w:szCs w:val="21"/>
                <w:vertAlign w:val="superscript"/>
              </w:rPr>
            </w:pPr>
            <w:r w:rsidRPr="00355D57">
              <w:rPr>
                <w:sz w:val="21"/>
                <w:szCs w:val="21"/>
              </w:rPr>
              <w:t xml:space="preserve">Organizational collaboration </w:t>
            </w:r>
            <w:r w:rsidRPr="00355D57">
              <w:rPr>
                <w:sz w:val="21"/>
                <w:szCs w:val="21"/>
                <w:vertAlign w:val="superscript"/>
              </w:rPr>
              <w:t>a, b</w:t>
            </w:r>
          </w:p>
          <w:p w:rsidRPr="00355D57" w:rsidR="00A668DE" w:rsidP="00A668DE" w:rsidRDefault="00A668DE" w14:paraId="4D6FC751" w14:textId="77777777">
            <w:pPr>
              <w:contextualSpacing/>
              <w:rPr>
                <w:sz w:val="21"/>
                <w:szCs w:val="21"/>
              </w:rPr>
            </w:pPr>
          </w:p>
          <w:p w:rsidRPr="00355D57" w:rsidR="00A668DE" w:rsidP="00A668DE" w:rsidRDefault="00A668DE" w14:paraId="543E421F" w14:textId="77777777">
            <w:pPr>
              <w:contextualSpacing/>
              <w:rPr>
                <w:sz w:val="21"/>
                <w:szCs w:val="21"/>
              </w:rPr>
            </w:pPr>
          </w:p>
          <w:p w:rsidRPr="00355D57" w:rsidR="00A668DE" w:rsidP="00A668DE" w:rsidRDefault="00A668DE" w14:paraId="737B74FA" w14:textId="77777777">
            <w:pPr>
              <w:contextualSpacing/>
              <w:rPr>
                <w:sz w:val="21"/>
                <w:szCs w:val="21"/>
                <w:vertAlign w:val="superscript"/>
              </w:rPr>
            </w:pPr>
          </w:p>
        </w:tc>
        <w:tc>
          <w:tcPr>
            <w:tcW w:w="2702" w:type="pct"/>
            <w:tcBorders>
              <w:top w:val="nil"/>
            </w:tcBorders>
            <w:vAlign w:val="center"/>
          </w:tcPr>
          <w:p w:rsidRPr="00355D57" w:rsidR="00A668DE" w:rsidP="00A668DE" w:rsidRDefault="00A668DE" w14:paraId="6243933A" w14:textId="77777777">
            <w:pPr>
              <w:contextualSpacing/>
              <w:rPr>
                <w:sz w:val="21"/>
                <w:szCs w:val="21"/>
              </w:rPr>
            </w:pPr>
            <w:r w:rsidRPr="00355D57">
              <w:rPr>
                <w:sz w:val="21"/>
                <w:szCs w:val="21"/>
              </w:rPr>
              <w:t>Awareness of specific programs in the community</w:t>
            </w:r>
          </w:p>
        </w:tc>
        <w:tc>
          <w:tcPr>
            <w:tcW w:w="485" w:type="pct"/>
            <w:vAlign w:val="center"/>
          </w:tcPr>
          <w:p w:rsidRPr="00355D57" w:rsidR="00A668DE" w:rsidP="00A668DE" w:rsidRDefault="00A668DE" w14:paraId="55741460" w14:textId="77777777">
            <w:pPr>
              <w:contextualSpacing/>
              <w:jc w:val="center"/>
              <w:rPr>
                <w:sz w:val="21"/>
                <w:szCs w:val="21"/>
              </w:rPr>
            </w:pPr>
          </w:p>
        </w:tc>
        <w:tc>
          <w:tcPr>
            <w:tcW w:w="451" w:type="pct"/>
            <w:vAlign w:val="center"/>
          </w:tcPr>
          <w:p w:rsidRPr="00355D57" w:rsidR="00A668DE" w:rsidP="00A668DE" w:rsidRDefault="00A668DE" w14:paraId="613E8DD3" w14:textId="77777777">
            <w:pPr>
              <w:contextualSpacing/>
              <w:jc w:val="center"/>
              <w:rPr>
                <w:sz w:val="21"/>
                <w:szCs w:val="21"/>
              </w:rPr>
            </w:pPr>
          </w:p>
        </w:tc>
        <w:tc>
          <w:tcPr>
            <w:tcW w:w="426" w:type="pct"/>
          </w:tcPr>
          <w:p w:rsidRPr="00355D57" w:rsidR="00A668DE" w:rsidP="00A668DE" w:rsidRDefault="00A668DE" w14:paraId="37D3C785" w14:textId="474F954A">
            <w:pPr>
              <w:contextualSpacing/>
              <w:jc w:val="center"/>
              <w:rPr>
                <w:sz w:val="21"/>
                <w:szCs w:val="21"/>
              </w:rPr>
            </w:pPr>
            <w:r w:rsidRPr="00355D57">
              <w:rPr>
                <w:sz w:val="21"/>
                <w:szCs w:val="21"/>
              </w:rPr>
              <w:t>X</w:t>
            </w:r>
          </w:p>
        </w:tc>
      </w:tr>
      <w:tr w:rsidRPr="00971826" w:rsidR="00A668DE" w:rsidTr="00FD63EC" w14:paraId="69ACD68A" w14:textId="77777777">
        <w:trPr>
          <w:trHeight w:val="331"/>
        </w:trPr>
        <w:tc>
          <w:tcPr>
            <w:tcW w:w="936" w:type="pct"/>
            <w:vMerge/>
            <w:vAlign w:val="center"/>
          </w:tcPr>
          <w:p w:rsidRPr="00355D57" w:rsidR="00A668DE" w:rsidP="00A668DE" w:rsidRDefault="00A668DE" w14:paraId="7CF48AA8" w14:textId="77777777">
            <w:pPr>
              <w:contextualSpacing/>
              <w:rPr>
                <w:sz w:val="21"/>
                <w:szCs w:val="21"/>
              </w:rPr>
            </w:pPr>
          </w:p>
        </w:tc>
        <w:tc>
          <w:tcPr>
            <w:tcW w:w="2702" w:type="pct"/>
            <w:tcBorders>
              <w:top w:val="nil"/>
              <w:bottom w:val="single" w:color="auto" w:sz="4" w:space="0"/>
            </w:tcBorders>
            <w:vAlign w:val="center"/>
          </w:tcPr>
          <w:p w:rsidRPr="00355D57" w:rsidR="00A668DE" w:rsidP="00A668DE" w:rsidRDefault="00A668DE" w14:paraId="4C783EAD" w14:textId="77777777">
            <w:pPr>
              <w:contextualSpacing/>
              <w:rPr>
                <w:sz w:val="21"/>
                <w:szCs w:val="21"/>
              </w:rPr>
            </w:pPr>
            <w:r w:rsidRPr="00355D57">
              <w:rPr>
                <w:sz w:val="21"/>
                <w:szCs w:val="21"/>
              </w:rPr>
              <w:t>Extent to which home visiting program collaborates with other community organizations</w:t>
            </w:r>
          </w:p>
        </w:tc>
        <w:tc>
          <w:tcPr>
            <w:tcW w:w="485" w:type="pct"/>
            <w:tcBorders>
              <w:bottom w:val="single" w:color="auto" w:sz="4" w:space="0"/>
            </w:tcBorders>
            <w:vAlign w:val="center"/>
          </w:tcPr>
          <w:p w:rsidRPr="00355D57" w:rsidR="00A668DE" w:rsidP="00A668DE" w:rsidRDefault="00A668DE" w14:paraId="3C093F33" w14:textId="77777777">
            <w:pPr>
              <w:contextualSpacing/>
              <w:jc w:val="center"/>
              <w:rPr>
                <w:sz w:val="21"/>
                <w:szCs w:val="21"/>
              </w:rPr>
            </w:pPr>
          </w:p>
        </w:tc>
        <w:tc>
          <w:tcPr>
            <w:tcW w:w="451" w:type="pct"/>
            <w:tcBorders>
              <w:bottom w:val="single" w:color="auto" w:sz="4" w:space="0"/>
            </w:tcBorders>
            <w:vAlign w:val="center"/>
          </w:tcPr>
          <w:p w:rsidRPr="00355D57" w:rsidR="00A668DE" w:rsidP="00A668DE" w:rsidRDefault="00A668DE" w14:paraId="49CA64E3" w14:textId="77777777">
            <w:pPr>
              <w:contextualSpacing/>
              <w:jc w:val="center"/>
              <w:rPr>
                <w:sz w:val="21"/>
                <w:szCs w:val="21"/>
              </w:rPr>
            </w:pPr>
          </w:p>
        </w:tc>
        <w:tc>
          <w:tcPr>
            <w:tcW w:w="426" w:type="pct"/>
            <w:tcBorders>
              <w:bottom w:val="single" w:color="auto" w:sz="4" w:space="0"/>
            </w:tcBorders>
          </w:tcPr>
          <w:p w:rsidRPr="00355D57" w:rsidR="00A668DE" w:rsidP="00A668DE" w:rsidRDefault="00A668DE" w14:paraId="748D3EBD" w14:textId="6C61D313">
            <w:pPr>
              <w:contextualSpacing/>
              <w:jc w:val="center"/>
              <w:rPr>
                <w:sz w:val="21"/>
                <w:szCs w:val="21"/>
              </w:rPr>
            </w:pPr>
            <w:r w:rsidRPr="00355D57">
              <w:rPr>
                <w:sz w:val="21"/>
                <w:szCs w:val="21"/>
              </w:rPr>
              <w:t>X</w:t>
            </w:r>
          </w:p>
        </w:tc>
      </w:tr>
      <w:tr w:rsidRPr="00971826" w:rsidR="00A668DE" w:rsidTr="00FD63EC" w14:paraId="4D35810A" w14:textId="77777777">
        <w:trPr>
          <w:trHeight w:val="331"/>
        </w:trPr>
        <w:tc>
          <w:tcPr>
            <w:tcW w:w="936" w:type="pct"/>
            <w:vMerge/>
            <w:tcBorders>
              <w:bottom w:val="single" w:color="auto" w:sz="4" w:space="0"/>
            </w:tcBorders>
            <w:vAlign w:val="center"/>
          </w:tcPr>
          <w:p w:rsidRPr="00355D57" w:rsidR="00A668DE" w:rsidP="00A668DE" w:rsidRDefault="00A668DE" w14:paraId="26AF4BF8" w14:textId="77777777">
            <w:pPr>
              <w:contextualSpacing/>
              <w:rPr>
                <w:sz w:val="21"/>
                <w:szCs w:val="21"/>
              </w:rPr>
            </w:pPr>
          </w:p>
        </w:tc>
        <w:tc>
          <w:tcPr>
            <w:tcW w:w="2702" w:type="pct"/>
            <w:tcBorders>
              <w:top w:val="single" w:color="auto" w:sz="4" w:space="0"/>
              <w:bottom w:val="single" w:color="auto" w:sz="4" w:space="0"/>
            </w:tcBorders>
            <w:vAlign w:val="center"/>
          </w:tcPr>
          <w:p w:rsidRPr="00355D57" w:rsidR="00A668DE" w:rsidP="00A668DE" w:rsidRDefault="00A668DE" w14:paraId="2E0228C9" w14:textId="77777777">
            <w:pPr>
              <w:contextualSpacing/>
              <w:rPr>
                <w:sz w:val="21"/>
                <w:szCs w:val="21"/>
              </w:rPr>
            </w:pPr>
            <w:r w:rsidRPr="00355D57">
              <w:rPr>
                <w:sz w:val="21"/>
                <w:szCs w:val="21"/>
              </w:rPr>
              <w:t>Changes in collaboration, including strengthening of existing partnerships and development of new partnerships, across the course of the pandemic</w:t>
            </w:r>
          </w:p>
        </w:tc>
        <w:tc>
          <w:tcPr>
            <w:tcW w:w="485" w:type="pct"/>
            <w:tcBorders>
              <w:top w:val="single" w:color="auto" w:sz="4" w:space="0"/>
              <w:bottom w:val="single" w:color="auto" w:sz="4" w:space="0"/>
            </w:tcBorders>
            <w:vAlign w:val="center"/>
          </w:tcPr>
          <w:p w:rsidRPr="00355D57" w:rsidR="00A668DE" w:rsidP="00A668DE" w:rsidRDefault="00A668DE" w14:paraId="23E369A2" w14:textId="77777777">
            <w:pPr>
              <w:contextualSpacing/>
              <w:jc w:val="center"/>
              <w:rPr>
                <w:sz w:val="21"/>
                <w:szCs w:val="21"/>
              </w:rPr>
            </w:pPr>
          </w:p>
        </w:tc>
        <w:tc>
          <w:tcPr>
            <w:tcW w:w="451" w:type="pct"/>
            <w:tcBorders>
              <w:top w:val="single" w:color="auto" w:sz="4" w:space="0"/>
              <w:bottom w:val="single" w:color="auto" w:sz="4" w:space="0"/>
            </w:tcBorders>
            <w:vAlign w:val="center"/>
          </w:tcPr>
          <w:p w:rsidRPr="00355D57" w:rsidR="00A668DE" w:rsidP="00A668DE" w:rsidRDefault="00A668DE" w14:paraId="665831AF" w14:textId="77777777">
            <w:pPr>
              <w:contextualSpacing/>
              <w:jc w:val="center"/>
              <w:rPr>
                <w:sz w:val="21"/>
                <w:szCs w:val="21"/>
              </w:rPr>
            </w:pPr>
          </w:p>
        </w:tc>
        <w:tc>
          <w:tcPr>
            <w:tcW w:w="426" w:type="pct"/>
            <w:tcBorders>
              <w:top w:val="single" w:color="auto" w:sz="4" w:space="0"/>
              <w:bottom w:val="single" w:color="auto" w:sz="4" w:space="0"/>
            </w:tcBorders>
          </w:tcPr>
          <w:p w:rsidRPr="00355D57" w:rsidR="00A668DE" w:rsidP="00A668DE" w:rsidRDefault="00A668DE" w14:paraId="6076EB80" w14:textId="06A47452">
            <w:pPr>
              <w:contextualSpacing/>
              <w:jc w:val="center"/>
              <w:rPr>
                <w:sz w:val="21"/>
                <w:szCs w:val="21"/>
              </w:rPr>
            </w:pPr>
            <w:r w:rsidRPr="00355D57">
              <w:rPr>
                <w:sz w:val="21"/>
                <w:szCs w:val="21"/>
              </w:rPr>
              <w:t>X</w:t>
            </w:r>
          </w:p>
        </w:tc>
      </w:tr>
    </w:tbl>
    <w:p w:rsidRPr="00355D57" w:rsidR="00DD1193" w:rsidP="00DD1193" w:rsidRDefault="00DD1193" w14:paraId="6F4ECBAD" w14:textId="77777777">
      <w:pPr>
        <w:contextualSpacing/>
        <w:rPr>
          <w:sz w:val="20"/>
          <w:szCs w:val="20"/>
        </w:rPr>
      </w:pPr>
      <w:r w:rsidRPr="00355D57">
        <w:rPr>
          <w:sz w:val="20"/>
          <w:szCs w:val="20"/>
          <w:vertAlign w:val="superscript"/>
        </w:rPr>
        <w:t xml:space="preserve">a </w:t>
      </w:r>
      <w:r w:rsidRPr="00355D57">
        <w:rPr>
          <w:sz w:val="20"/>
          <w:szCs w:val="20"/>
        </w:rPr>
        <w:t>Questions will be asked of home visitors about other community service providers and questions will be asked of other community service providers about home visiting programs and other community service providers.</w:t>
      </w:r>
    </w:p>
    <w:p w:rsidR="00A24F07" w:rsidP="00DD1193" w:rsidRDefault="00DD1193" w14:paraId="66060D42" w14:textId="3CE8ADD9">
      <w:r w:rsidRPr="00355D57">
        <w:rPr>
          <w:sz w:val="20"/>
          <w:szCs w:val="20"/>
          <w:vertAlign w:val="superscript"/>
        </w:rPr>
        <w:t xml:space="preserve">b </w:t>
      </w:r>
      <w:r w:rsidRPr="00355D57">
        <w:rPr>
          <w:sz w:val="20"/>
          <w:szCs w:val="20"/>
        </w:rPr>
        <w:t>Questions will be included as part of social network analyses</w:t>
      </w:r>
      <w:r w:rsidR="00A24F07">
        <w:br w:type="page"/>
      </w:r>
    </w:p>
    <w:p w:rsidR="006D2761" w:rsidP="00B901CE" w:rsidRDefault="006D2761" w14:paraId="44DB7044" w14:textId="77777777">
      <w:pPr>
        <w:sectPr w:rsidR="006D2761" w:rsidSect="006D2761">
          <w:pgSz w:w="15840" w:h="12240" w:orient="landscape"/>
          <w:pgMar w:top="1440" w:right="1440" w:bottom="1440" w:left="1440" w:header="720" w:footer="720" w:gutter="0"/>
          <w:cols w:space="720"/>
          <w:docGrid w:linePitch="360"/>
        </w:sectPr>
      </w:pPr>
    </w:p>
    <w:p w:rsidR="0015059D" w:rsidP="0015059D" w:rsidRDefault="0015059D" w14:paraId="220569F1" w14:textId="0B9486BD">
      <w:pPr>
        <w:pStyle w:val="Heading2"/>
      </w:pPr>
      <w:bookmarkStart w:name="_Toc106197195" w:id="3"/>
      <w:r>
        <w:lastRenderedPageBreak/>
        <w:t xml:space="preserve">A.3 </w:t>
      </w:r>
      <w:r w:rsidRPr="0015059D">
        <w:t>Use of Information Technology and Burden Reduction</w:t>
      </w:r>
      <w:bookmarkEnd w:id="3"/>
    </w:p>
    <w:p w:rsidR="00932AA7" w:rsidP="0015059D" w:rsidRDefault="000070C5" w14:paraId="13B2532B" w14:textId="077DC078">
      <w:r>
        <w:t xml:space="preserve">The </w:t>
      </w:r>
      <w:r w:rsidR="008D6B82">
        <w:t>planned information collection</w:t>
      </w:r>
      <w:r>
        <w:t xml:space="preserve"> does </w:t>
      </w:r>
      <w:r w:rsidR="008D6B82">
        <w:t xml:space="preserve">include the use of technological data collection techniques. </w:t>
      </w:r>
      <w:r w:rsidR="00B6155B">
        <w:t>Specifically,</w:t>
      </w:r>
      <w:r w:rsidR="00633BB4">
        <w:t xml:space="preserve"> the project includes</w:t>
      </w:r>
      <w:r w:rsidR="00895035">
        <w:t>:</w:t>
      </w:r>
    </w:p>
    <w:p w:rsidR="00895035" w:rsidP="0015059D" w:rsidRDefault="00895035" w14:paraId="29938743" w14:textId="5A24209B">
      <w:r>
        <w:tab/>
      </w:r>
      <w:r w:rsidR="001F799D">
        <w:t>-</w:t>
      </w:r>
      <w:r w:rsidR="0084063A">
        <w:t>Online</w:t>
      </w:r>
      <w:r>
        <w:t xml:space="preserve"> </w:t>
      </w:r>
      <w:r w:rsidR="00C1011A">
        <w:t xml:space="preserve">community and home visitor </w:t>
      </w:r>
      <w:r>
        <w:t>survey</w:t>
      </w:r>
    </w:p>
    <w:p w:rsidR="00895035" w:rsidP="0015059D" w:rsidRDefault="00895035" w14:paraId="6D86B26B" w14:textId="3703B533">
      <w:r>
        <w:tab/>
      </w:r>
      <w:r w:rsidR="001F799D">
        <w:t>-</w:t>
      </w:r>
      <w:r w:rsidR="0084063A">
        <w:t>Online</w:t>
      </w:r>
      <w:r>
        <w:t xml:space="preserve"> program</w:t>
      </w:r>
      <w:r w:rsidR="00ED1F1B">
        <w:t xml:space="preserve"> data</w:t>
      </w:r>
      <w:r w:rsidR="0084063A">
        <w:t xml:space="preserve"> tool</w:t>
      </w:r>
    </w:p>
    <w:p w:rsidR="001F799D" w:rsidP="0015059D" w:rsidRDefault="00346799" w14:paraId="71F0D72D" w14:textId="20601CC4">
      <w:r w:rsidRPr="00955655">
        <w:t>O</w:t>
      </w:r>
      <w:r w:rsidRPr="00955655" w:rsidR="0084063A">
        <w:t>nline</w:t>
      </w:r>
      <w:r w:rsidRPr="00955655" w:rsidR="00633BB4">
        <w:t xml:space="preserve"> data collection</w:t>
      </w:r>
      <w:r w:rsidRPr="00955655">
        <w:t xml:space="preserve"> a</w:t>
      </w:r>
      <w:r>
        <w:t xml:space="preserve">llows for efficiencies and reductions in respondent burden. Web-based surveys provide efficient ways of </w:t>
      </w:r>
      <w:r w:rsidRPr="00AC7776" w:rsidR="00AC7776">
        <w:t xml:space="preserve">using skip logic to quickly move to the next </w:t>
      </w:r>
      <w:r w:rsidR="00AC7776">
        <w:t>relevant</w:t>
      </w:r>
      <w:r w:rsidRPr="00AC7776" w:rsidR="00AC7776">
        <w:t xml:space="preserve"> question depending upon a respondent’s</w:t>
      </w:r>
      <w:r w:rsidR="00AC7776">
        <w:t xml:space="preserve"> answer selection. </w:t>
      </w:r>
      <w:r w:rsidR="0001591B">
        <w:t>Web-based surveys also provide ways to limit</w:t>
      </w:r>
      <w:r w:rsidRPr="0001591B" w:rsidR="0001591B">
        <w:t xml:space="preserve"> invalid responses </w:t>
      </w:r>
      <w:r w:rsidR="0001591B">
        <w:t xml:space="preserve">so that they </w:t>
      </w:r>
      <w:r w:rsidRPr="0001591B" w:rsidR="0001591B">
        <w:t xml:space="preserve">cannot be entered and </w:t>
      </w:r>
      <w:r w:rsidR="0001591B">
        <w:t xml:space="preserve">can </w:t>
      </w:r>
      <w:r w:rsidRPr="0001591B" w:rsidR="0001591B">
        <w:t xml:space="preserve">prompt the respondent </w:t>
      </w:r>
      <w:r w:rsidR="0001591B">
        <w:t>to enter a valid response</w:t>
      </w:r>
      <w:r w:rsidRPr="0001591B" w:rsidR="0001591B">
        <w:t xml:space="preserve">. </w:t>
      </w:r>
      <w:r w:rsidR="00FA178B">
        <w:t xml:space="preserve">Web-based surveys reduce burden </w:t>
      </w:r>
      <w:r w:rsidR="0042755D">
        <w:t>related to</w:t>
      </w:r>
      <w:r w:rsidR="005C400F">
        <w:t xml:space="preserve"> completing and mailing (or otherwise submitting) paper forms. </w:t>
      </w:r>
    </w:p>
    <w:p w:rsidR="00F32089" w:rsidP="0015059D" w:rsidRDefault="00F32089" w14:paraId="2583D122" w14:textId="3984C861">
      <w:r>
        <w:t xml:space="preserve">For the online program data tool, </w:t>
      </w:r>
      <w:r>
        <w:rPr>
          <w:rFonts w:eastAsia="Batang"/>
          <w:szCs w:val="24"/>
        </w:rPr>
        <w:t>the information collection has made efforts to ensure home visiting programs can use existing information when possible. The online data collection tool allows for programs to enter data for enrollment, services, and referrals for the categories they already collect</w:t>
      </w:r>
      <w:r w:rsidR="00F30AB0">
        <w:rPr>
          <w:rFonts w:eastAsia="Batang"/>
          <w:szCs w:val="24"/>
        </w:rPr>
        <w:t xml:space="preserve"> as part of regular program operations</w:t>
      </w:r>
      <w:r>
        <w:rPr>
          <w:rFonts w:eastAsia="Batang"/>
          <w:szCs w:val="24"/>
        </w:rPr>
        <w:t xml:space="preserve">. </w:t>
      </w:r>
    </w:p>
    <w:p w:rsidR="00BA0E11" w:rsidP="0015059D" w:rsidRDefault="00BA0E11" w14:paraId="1D0D42DB" w14:textId="4E785189">
      <w:r>
        <w:t>The planned information collection includes</w:t>
      </w:r>
      <w:r w:rsidR="00E804CF">
        <w:t xml:space="preserve"> interviews and</w:t>
      </w:r>
      <w:r>
        <w:t xml:space="preserve"> focus groups conducted in-person. However, if </w:t>
      </w:r>
      <w:r w:rsidR="005C0ECD">
        <w:t>a</w:t>
      </w:r>
      <w:r w:rsidR="006C70B1">
        <w:t>n individual</w:t>
      </w:r>
      <w:r w:rsidR="00E804CF">
        <w:t xml:space="preserve"> respondent would prefer to </w:t>
      </w:r>
      <w:r w:rsidR="00476FEF">
        <w:t>not to participate in-person</w:t>
      </w:r>
      <w:r w:rsidR="00E804CF">
        <w:t xml:space="preserve">, the </w:t>
      </w:r>
      <w:r w:rsidR="00040FBF">
        <w:t>interviews and focus groups</w:t>
      </w:r>
      <w:r w:rsidR="005E39A2">
        <w:t xml:space="preserve"> can</w:t>
      </w:r>
      <w:r w:rsidR="00BB3B32">
        <w:t xml:space="preserve"> be completed online</w:t>
      </w:r>
      <w:r w:rsidR="002F4156">
        <w:t xml:space="preserve"> using a web-based video platform (e.g., Microsoft Teams)</w:t>
      </w:r>
      <w:r w:rsidR="00BB3B32">
        <w:t>.</w:t>
      </w:r>
      <w:r w:rsidR="007179D1">
        <w:t xml:space="preserve"> If travel is not advisable due to the pandemic or if individual communities are</w:t>
      </w:r>
      <w:r w:rsidR="00E11277">
        <w:t xml:space="preserve"> under COVID related restrictions</w:t>
      </w:r>
      <w:r w:rsidR="00F30AB0">
        <w:t xml:space="preserve"> that</w:t>
      </w:r>
      <w:r w:rsidR="00E11277">
        <w:t xml:space="preserve"> </w:t>
      </w:r>
      <w:r w:rsidR="000070CA">
        <w:t xml:space="preserve">impact in-person activities, the </w:t>
      </w:r>
      <w:r w:rsidR="00FB33AC">
        <w:t xml:space="preserve">interviews and focus groups </w:t>
      </w:r>
      <w:r w:rsidR="000070CA">
        <w:t>will be completed online.</w:t>
      </w:r>
    </w:p>
    <w:p w:rsidR="00BB3B32" w:rsidP="0015059D" w:rsidRDefault="00BB3B32" w14:paraId="1A603420" w14:textId="521EBDF1">
      <w:r>
        <w:t>All</w:t>
      </w:r>
      <w:r w:rsidR="003564BB">
        <w:t xml:space="preserve"> </w:t>
      </w:r>
      <w:r>
        <w:t xml:space="preserve">data collection tools have been tested in </w:t>
      </w:r>
      <w:r w:rsidRPr="00C35432">
        <w:t>consultation with a representative sample (fewer than 10) of potential respondents</w:t>
      </w:r>
      <w:r>
        <w:t>.</w:t>
      </w:r>
    </w:p>
    <w:p w:rsidR="0015059D" w:rsidP="00F908B8" w:rsidRDefault="00F908B8" w14:paraId="1FBAE0D6" w14:textId="4B880C9F">
      <w:pPr>
        <w:pStyle w:val="Heading2"/>
      </w:pPr>
      <w:bookmarkStart w:name="_Toc106197196" w:id="4"/>
      <w:r>
        <w:t xml:space="preserve">A.4 </w:t>
      </w:r>
      <w:r w:rsidRPr="005C43A1">
        <w:t>Efforts to Identify Duplication and Use of Similar Information</w:t>
      </w:r>
      <w:bookmarkEnd w:id="4"/>
    </w:p>
    <w:p w:rsidR="005C400F" w:rsidP="005C400F" w:rsidRDefault="00DB7076" w14:paraId="76C11549" w14:textId="30DADB7E">
      <w:pPr>
        <w:rPr>
          <w:rFonts w:cstheme="minorHAnsi"/>
        </w:rPr>
      </w:pPr>
      <w:r>
        <w:t xml:space="preserve">This project seeks to understand the strategies </w:t>
      </w:r>
      <w:r w:rsidRPr="00BD2BA5">
        <w:rPr>
          <w:rFonts w:cstheme="minorHAnsi"/>
        </w:rPr>
        <w:t>home visiting programs have used to advance health equity in communities disproportionately impacted by the COVID-19 public health emergency</w:t>
      </w:r>
      <w:r>
        <w:rPr>
          <w:rFonts w:cstheme="minorHAnsi"/>
        </w:rPr>
        <w:t>. To date, this information has not been systematically collected.</w:t>
      </w:r>
      <w:r w:rsidR="00223F22">
        <w:rPr>
          <w:rFonts w:cstheme="minorHAnsi"/>
        </w:rPr>
        <w:t xml:space="preserve"> The team is aware of small studies and anecdotal information to support this understandi</w:t>
      </w:r>
      <w:r w:rsidR="000022C6">
        <w:rPr>
          <w:rFonts w:cstheme="minorHAnsi"/>
        </w:rPr>
        <w:t>ng</w:t>
      </w:r>
      <w:r w:rsidR="007E1A3F">
        <w:rPr>
          <w:rFonts w:cstheme="minorHAnsi"/>
        </w:rPr>
        <w:t xml:space="preserve"> which has informed the design of the data collection instruments.</w:t>
      </w:r>
    </w:p>
    <w:p w:rsidR="00591B9C" w:rsidP="00591B9C" w:rsidRDefault="00591B9C" w14:paraId="36AE1FF8" w14:textId="1BE2AE9D">
      <w:r>
        <w:t xml:space="preserve">Prior to collecting any data within each community, the project </w:t>
      </w:r>
      <w:r w:rsidR="00476FEF">
        <w:t xml:space="preserve">team </w:t>
      </w:r>
      <w:r>
        <w:t>will complete an environmental and policy scan to address the broader policy and health systems contexts that contributed to the disproportionate impact of COVID-19 on some groups. These scans will enable the study team to understand how those contexts have been shaped by historical disparities and inequities. This information will also allow the project team to identify any potential duplication of available information from secondary sources.</w:t>
      </w:r>
    </w:p>
    <w:p w:rsidR="00BA5C54" w:rsidP="00BA5C54" w:rsidRDefault="00BA5C54" w14:paraId="53A15509" w14:textId="55E039CB">
      <w:pPr>
        <w:pStyle w:val="Heading2"/>
      </w:pPr>
      <w:bookmarkStart w:name="_Toc106197197" w:id="5"/>
      <w:r>
        <w:t xml:space="preserve">A.5 </w:t>
      </w:r>
      <w:r w:rsidRPr="005C43A1">
        <w:t>Impact on Small Businesses or Other Small Entities</w:t>
      </w:r>
      <w:bookmarkEnd w:id="5"/>
    </w:p>
    <w:p w:rsidR="00F7411B" w:rsidP="001F4089" w:rsidRDefault="001F4089" w14:paraId="5E1826F8" w14:textId="4059EC09">
      <w:r>
        <w:t>This information collection will not have a significant economic impact on a substantial number of small busin</w:t>
      </w:r>
      <w:r w:rsidR="00991368">
        <w:t>esses or other small</w:t>
      </w:r>
      <w:r>
        <w:t xml:space="preserve"> entities</w:t>
      </w:r>
      <w:r w:rsidR="00991368">
        <w:t>.</w:t>
      </w:r>
    </w:p>
    <w:p w:rsidRPr="00B74BDD" w:rsidR="00476FEF" w:rsidP="001F4089" w:rsidRDefault="00476FEF" w14:paraId="54C0F866" w14:textId="0F503373">
      <w:pPr>
        <w:rPr>
          <w:rFonts w:cstheme="minorHAnsi"/>
          <w:sz w:val="20"/>
        </w:rPr>
      </w:pPr>
      <w:r w:rsidRPr="00B74BDD">
        <w:rPr>
          <w:rFonts w:cstheme="minorHAnsi"/>
        </w:rPr>
        <w:t xml:space="preserve">Information will be collected from individuals </w:t>
      </w:r>
      <w:r w:rsidR="00FB33AC">
        <w:rPr>
          <w:rFonts w:cstheme="minorHAnsi"/>
        </w:rPr>
        <w:t>employed by</w:t>
      </w:r>
      <w:r w:rsidRPr="00B74BDD">
        <w:rPr>
          <w:rFonts w:cstheme="minorHAnsi"/>
        </w:rPr>
        <w:t xml:space="preserve"> Local Implementing Agencies. Local Implementing Agencies are contracted by the state or territorial awardee to provide home visiting </w:t>
      </w:r>
      <w:r w:rsidRPr="00B74BDD">
        <w:rPr>
          <w:rFonts w:cstheme="minorHAnsi"/>
        </w:rPr>
        <w:lastRenderedPageBreak/>
        <w:t xml:space="preserve">services and may be small businesses.  Because information collection may involve small businesses, the information being requested has been held to the absolute minimum necessary for the intended use of the data.  </w:t>
      </w:r>
    </w:p>
    <w:p w:rsidR="00F7411B" w:rsidP="00F7411B" w:rsidRDefault="00F7411B" w14:paraId="78A3660D" w14:textId="61DDB2A7">
      <w:pPr>
        <w:pStyle w:val="Heading2"/>
      </w:pPr>
      <w:bookmarkStart w:name="_Toc106197198" w:id="6"/>
      <w:r>
        <w:t xml:space="preserve">A.6 </w:t>
      </w:r>
      <w:r w:rsidRPr="005C43A1">
        <w:t>Consequences of Collecting the Information Less Frequently</w:t>
      </w:r>
      <w:bookmarkEnd w:id="6"/>
    </w:p>
    <w:p w:rsidR="00F7411B" w:rsidP="00F7411B" w:rsidRDefault="0011752C" w14:paraId="58C6511C" w14:textId="68CC6D16">
      <w:r>
        <w:t>The information collection will o</w:t>
      </w:r>
      <w:r w:rsidR="00E61847">
        <w:t>ccur only one time</w:t>
      </w:r>
      <w:r w:rsidR="009F711E">
        <w:t xml:space="preserve"> for each respondent. </w:t>
      </w:r>
    </w:p>
    <w:p w:rsidRPr="005C43A1" w:rsidR="00F7411B" w:rsidP="00F7411B" w:rsidRDefault="00F7411B" w14:paraId="195C10F4" w14:textId="5307F3CE">
      <w:pPr>
        <w:pStyle w:val="Heading2"/>
      </w:pPr>
      <w:bookmarkStart w:name="_Toc106197199" w:id="7"/>
      <w:r>
        <w:t xml:space="preserve">A.7 </w:t>
      </w:r>
      <w:r w:rsidRPr="005C43A1">
        <w:t>Special Circumstances Relating to the Guidelines of 5 CFR1320.5</w:t>
      </w:r>
      <w:bookmarkEnd w:id="7"/>
    </w:p>
    <w:p w:rsidRPr="000E2B85" w:rsidR="00F7411B" w:rsidP="005C400F" w:rsidRDefault="00F7411B" w14:paraId="7C0328A5" w14:textId="77777777">
      <w:pPr>
        <w:pStyle w:val="BodyText1"/>
        <w:spacing w:line="259" w:lineRule="auto"/>
        <w:ind w:firstLine="0"/>
        <w:rPr>
          <w:sz w:val="22"/>
          <w:szCs w:val="20"/>
        </w:rPr>
      </w:pPr>
      <w:r w:rsidRPr="000E2B85">
        <w:rPr>
          <w:sz w:val="22"/>
          <w:szCs w:val="20"/>
        </w:rPr>
        <w:t>This request fully complies with all guidelines of 5 CFR 1320.5. There are no special circumstances required.</w:t>
      </w:r>
    </w:p>
    <w:p w:rsidRPr="00EA5A64" w:rsidR="00F7411B" w:rsidP="00F7411B" w:rsidRDefault="00F7411B" w14:paraId="203B3123" w14:textId="05FE799B">
      <w:pPr>
        <w:pStyle w:val="Heading2"/>
        <w:spacing w:line="276" w:lineRule="auto"/>
      </w:pPr>
      <w:bookmarkStart w:name="_Toc88033472" w:id="8"/>
      <w:bookmarkStart w:name="_Toc457313783" w:id="9"/>
      <w:bookmarkStart w:name="_Toc106197200" w:id="10"/>
      <w:r w:rsidRPr="005C43A1">
        <w:t>A.8</w:t>
      </w:r>
      <w:bookmarkEnd w:id="8"/>
      <w:r w:rsidR="00BB4F0B">
        <w:t xml:space="preserve"> </w:t>
      </w:r>
      <w:r w:rsidRPr="00876FAD">
        <w:t>Comments in Response to the Federal Register Notice and Efforts to Consult Outside the Agency</w:t>
      </w:r>
      <w:bookmarkEnd w:id="9"/>
      <w:bookmarkEnd w:id="10"/>
    </w:p>
    <w:p w:rsidRPr="009D3597" w:rsidR="00F6658C" w:rsidP="00B7389F" w:rsidRDefault="00F6658C" w14:paraId="132763B4" w14:textId="67EB955D">
      <w:r w:rsidRPr="009D3597">
        <w:t xml:space="preserve">A 60-day notice for public comments on the proposed data collection activities required by Section 3506(c)(2)(A) of the Paperwork Reduction Act of 1995 was published in the Federal Register on </w:t>
      </w:r>
      <w:r w:rsidRPr="009D3597" w:rsidR="00DF37FA">
        <w:t>March</w:t>
      </w:r>
      <w:r w:rsidRPr="009D3597">
        <w:t xml:space="preserve"> </w:t>
      </w:r>
      <w:r w:rsidRPr="009D3597" w:rsidR="00DF37FA">
        <w:t>17</w:t>
      </w:r>
      <w:r w:rsidRPr="009D3597">
        <w:t>, 202</w:t>
      </w:r>
      <w:r w:rsidRPr="009D3597" w:rsidR="00DF37FA">
        <w:t>2</w:t>
      </w:r>
      <w:r w:rsidRPr="009D3597">
        <w:t xml:space="preserve"> (</w:t>
      </w:r>
      <w:r w:rsidRPr="009D3597" w:rsidR="007C096C">
        <w:t>87 FR 15254</w:t>
      </w:r>
      <w:r w:rsidR="00E83574">
        <w:t>,</w:t>
      </w:r>
      <w:bookmarkStart w:name="_GoBack" w:id="11"/>
      <w:bookmarkEnd w:id="11"/>
      <w:r w:rsidRPr="009D3597">
        <w:t>) (A</w:t>
      </w:r>
      <w:r w:rsidR="00965C73">
        <w:t>ppendix A</w:t>
      </w:r>
      <w:r w:rsidRPr="009D3597">
        <w:t xml:space="preserve">). Public comments were requested by </w:t>
      </w:r>
      <w:r w:rsidRPr="009D3597" w:rsidR="009D3597">
        <w:t>May 16, 2022</w:t>
      </w:r>
      <w:r w:rsidRPr="009D3597">
        <w:t>.</w:t>
      </w:r>
      <w:r w:rsidR="00D462C3">
        <w:t xml:space="preserve"> HRSA received 3 comments.</w:t>
      </w:r>
      <w:r w:rsidR="005D132D">
        <w:t xml:space="preserve"> </w:t>
      </w:r>
      <w:r w:rsidR="00A03A6F">
        <w:t xml:space="preserve">An abbreviated version of the comments </w:t>
      </w:r>
      <w:r w:rsidR="00DD4884">
        <w:t>and responses are</w:t>
      </w:r>
      <w:r w:rsidR="00A03A6F">
        <w:t xml:space="preserve"> summarized here. </w:t>
      </w:r>
      <w:r w:rsidRPr="007D334C" w:rsidR="00A03A6F">
        <w:t>Copies of the</w:t>
      </w:r>
      <w:r w:rsidRPr="007D334C" w:rsidR="005D132D">
        <w:t xml:space="preserve"> public comments are included as A</w:t>
      </w:r>
      <w:r w:rsidR="00671998">
        <w:t>ppendix</w:t>
      </w:r>
      <w:r w:rsidRPr="007D334C" w:rsidR="005D132D">
        <w:t xml:space="preserve"> </w:t>
      </w:r>
      <w:r w:rsidR="00965C73">
        <w:t>B</w:t>
      </w:r>
      <w:r w:rsidRPr="007D334C" w:rsidR="005D132D">
        <w:t>.</w:t>
      </w:r>
    </w:p>
    <w:p w:rsidR="008079B1" w:rsidP="00771C81" w:rsidRDefault="008079B1" w14:paraId="230329B4" w14:textId="21AD1E43">
      <w:pPr>
        <w:pStyle w:val="ListParagraph"/>
        <w:numPr>
          <w:ilvl w:val="0"/>
          <w:numId w:val="5"/>
        </w:numPr>
      </w:pPr>
      <w:r>
        <w:t>Comment:</w:t>
      </w:r>
      <w:r w:rsidR="005F6EF8">
        <w:t xml:space="preserve"> Respondents expressed concern for the estimated burden to complete data collection instruments.</w:t>
      </w:r>
    </w:p>
    <w:p w:rsidR="008079B1" w:rsidP="00771C81" w:rsidRDefault="008079B1" w14:paraId="1A1103E7" w14:textId="7A9BD0B7">
      <w:pPr>
        <w:pStyle w:val="ListParagraph"/>
        <w:numPr>
          <w:ilvl w:val="1"/>
          <w:numId w:val="5"/>
        </w:numPr>
      </w:pPr>
      <w:r>
        <w:t>Response</w:t>
      </w:r>
      <w:r w:rsidR="005F6EF8">
        <w:t xml:space="preserve">: The number of items on each of the data collection instruments has been reduced. To reduce items, the team identified </w:t>
      </w:r>
      <w:r w:rsidR="00771C81">
        <w:t>item content</w:t>
      </w:r>
      <w:r w:rsidR="005F6EF8">
        <w:t xml:space="preserve"> where there was unnecessary overlap across instruments and </w:t>
      </w:r>
      <w:r w:rsidR="00771C81">
        <w:t>identified i</w:t>
      </w:r>
      <w:r w:rsidR="007A0685">
        <w:t xml:space="preserve">tems that </w:t>
      </w:r>
      <w:r w:rsidR="00C42CA1">
        <w:t>were extraneous to addressing research questions.</w:t>
      </w:r>
      <w:r w:rsidR="00E5417A">
        <w:t xml:space="preserve"> </w:t>
      </w:r>
    </w:p>
    <w:p w:rsidRPr="00C1297B" w:rsidR="008079B1" w:rsidP="00771C81" w:rsidRDefault="008079B1" w14:paraId="21709CF9" w14:textId="4D00B17B">
      <w:pPr>
        <w:pStyle w:val="ListParagraph"/>
        <w:numPr>
          <w:ilvl w:val="0"/>
          <w:numId w:val="5"/>
        </w:numPr>
      </w:pPr>
      <w:r w:rsidRPr="00C1297B">
        <w:t>Comment:</w:t>
      </w:r>
      <w:r w:rsidR="00C1297B">
        <w:t xml:space="preserve"> </w:t>
      </w:r>
      <w:r w:rsidR="00EE12C9">
        <w:t xml:space="preserve">Respondents asked for clarification on </w:t>
      </w:r>
      <w:r w:rsidR="00F247E6">
        <w:t xml:space="preserve">surveys used in the </w:t>
      </w:r>
      <w:r w:rsidR="0083058B">
        <w:t>local implementing agency (</w:t>
      </w:r>
      <w:r w:rsidR="00F247E6">
        <w:t>LIA</w:t>
      </w:r>
      <w:r w:rsidR="0083058B">
        <w:t>)</w:t>
      </w:r>
      <w:r w:rsidR="00F247E6">
        <w:t xml:space="preserve"> selection process, </w:t>
      </w:r>
      <w:r w:rsidR="00EE12C9">
        <w:t>the role of the awardee</w:t>
      </w:r>
      <w:r w:rsidR="00A52DAB">
        <w:t>,</w:t>
      </w:r>
      <w:r w:rsidR="00EE12C9">
        <w:t xml:space="preserve"> the division of labor between the </w:t>
      </w:r>
      <w:r w:rsidR="0083058B">
        <w:t>LIA</w:t>
      </w:r>
      <w:r w:rsidR="00F45D98">
        <w:t xml:space="preserve"> and the awardee</w:t>
      </w:r>
      <w:r w:rsidR="00A52DAB">
        <w:t>, and the timing of inviting families to participate in focus groups</w:t>
      </w:r>
      <w:r w:rsidR="00F45D98">
        <w:t xml:space="preserve">. </w:t>
      </w:r>
    </w:p>
    <w:p w:rsidRPr="00C1297B" w:rsidR="008079B1" w:rsidP="00B33B16" w:rsidRDefault="008079B1" w14:paraId="4286B94E" w14:textId="06DA6C1B">
      <w:pPr>
        <w:pStyle w:val="ListParagraph"/>
        <w:numPr>
          <w:ilvl w:val="1"/>
          <w:numId w:val="5"/>
        </w:numPr>
      </w:pPr>
      <w:r w:rsidRPr="00C1297B">
        <w:t>Response</w:t>
      </w:r>
      <w:r w:rsidR="00262F9C">
        <w:t xml:space="preserve">: </w:t>
      </w:r>
      <w:r w:rsidR="00F247E6">
        <w:t>No surveys will be used to</w:t>
      </w:r>
      <w:r w:rsidR="0083058B">
        <w:t xml:space="preserve"> invite LIAs to participate in the project.</w:t>
      </w:r>
      <w:r w:rsidR="008442E8">
        <w:t xml:space="preserve"> All potential communities </w:t>
      </w:r>
      <w:r w:rsidR="00B076C4">
        <w:t xml:space="preserve">and LIAs </w:t>
      </w:r>
      <w:r w:rsidR="008442E8">
        <w:t>will be identified through</w:t>
      </w:r>
      <w:r w:rsidR="002C5FBD">
        <w:t xml:space="preserve"> analysis of existing data.</w:t>
      </w:r>
      <w:r w:rsidR="00F247E6">
        <w:t xml:space="preserve"> </w:t>
      </w:r>
      <w:r w:rsidR="00F11C77">
        <w:t xml:space="preserve">The project team will reach out to the MIECHV awardee or </w:t>
      </w:r>
      <w:r w:rsidR="00260754">
        <w:t>Tribal grantee</w:t>
      </w:r>
      <w:r w:rsidR="001459EA">
        <w:t xml:space="preserve"> before beginning any recruitment of specific communities or programs to participate in the project. </w:t>
      </w:r>
      <w:r w:rsidR="00E30495">
        <w:t>T</w:t>
      </w:r>
      <w:r w:rsidR="001459EA">
        <w:t xml:space="preserve">he team will meet with the </w:t>
      </w:r>
      <w:r w:rsidR="00577E08">
        <w:t xml:space="preserve">MIECHV state Project Director </w:t>
      </w:r>
      <w:r w:rsidR="001459EA">
        <w:t xml:space="preserve">to </w:t>
      </w:r>
      <w:r w:rsidRPr="00B056E0" w:rsidR="001459EA">
        <w:t>explain more about the case study process.</w:t>
      </w:r>
      <w:r w:rsidR="00BD4BFA">
        <w:t xml:space="preserve"> </w:t>
      </w:r>
      <w:r w:rsidR="00B33B16">
        <w:t>Additionally, i</w:t>
      </w:r>
      <w:r w:rsidR="0025409E">
        <w:t xml:space="preserve">f </w:t>
      </w:r>
      <w:r w:rsidR="006F2A14">
        <w:t>the</w:t>
      </w:r>
      <w:r w:rsidR="005118F2">
        <w:t xml:space="preserve"> community</w:t>
      </w:r>
      <w:r w:rsidR="00C307EA">
        <w:t xml:space="preserve"> </w:t>
      </w:r>
      <w:r w:rsidR="006F2A14">
        <w:t xml:space="preserve">agrees to participate in the case study, the </w:t>
      </w:r>
      <w:r w:rsidR="00577E08">
        <w:t xml:space="preserve">Project Director </w:t>
      </w:r>
      <w:r w:rsidR="006F2A14">
        <w:t>would</w:t>
      </w:r>
      <w:r w:rsidR="00C307EA">
        <w:t xml:space="preserve"> be</w:t>
      </w:r>
      <w:r w:rsidR="006F2A14">
        <w:t xml:space="preserve"> asked to complete the community interview</w:t>
      </w:r>
      <w:r w:rsidR="00010518">
        <w:t xml:space="preserve"> and to help identify other potential key informants to complete the community interview</w:t>
      </w:r>
      <w:r w:rsidR="006F2A14">
        <w:t xml:space="preserve">. </w:t>
      </w:r>
      <w:r w:rsidR="00754C96">
        <w:t xml:space="preserve">Staff at the LIA would be asked to </w:t>
      </w:r>
      <w:r w:rsidR="00011157">
        <w:t xml:space="preserve">participate in data collection activities (e.g., complete web-based survey) and to </w:t>
      </w:r>
      <w:r w:rsidR="0006373C">
        <w:t xml:space="preserve">support </w:t>
      </w:r>
      <w:r w:rsidR="00011157">
        <w:t xml:space="preserve">recruitment of families for </w:t>
      </w:r>
      <w:r w:rsidR="0068141B">
        <w:t>data collection activities. The project team would recruit families to participate</w:t>
      </w:r>
      <w:r w:rsidR="00C079DC">
        <w:t xml:space="preserve"> in focus groups</w:t>
      </w:r>
      <w:r w:rsidR="0068141B">
        <w:t xml:space="preserve"> who had been enrolled in home visiting for at least 6 months and therefore had an established relationship with their home visitor</w:t>
      </w:r>
      <w:r w:rsidR="00722674">
        <w:t xml:space="preserve"> and familiarity with the program and services provided. </w:t>
      </w:r>
      <w:r w:rsidR="00FB33AC">
        <w:t>Project Directors</w:t>
      </w:r>
      <w:r w:rsidR="006674C8">
        <w:t xml:space="preserve">, staff, and families would be included in the development of the community profiles as </w:t>
      </w:r>
      <w:r w:rsidR="00D3301B">
        <w:t>interested.</w:t>
      </w:r>
    </w:p>
    <w:p w:rsidR="0099381E" w:rsidP="0099381E" w:rsidRDefault="00C1297B" w14:paraId="3034E9B9" w14:textId="1318D3E3">
      <w:pPr>
        <w:pStyle w:val="ListParagraph"/>
        <w:numPr>
          <w:ilvl w:val="0"/>
          <w:numId w:val="5"/>
        </w:numPr>
      </w:pPr>
      <w:r w:rsidRPr="00C1297B">
        <w:lastRenderedPageBreak/>
        <w:t>Comment:</w:t>
      </w:r>
      <w:r w:rsidR="007F1DC0">
        <w:t xml:space="preserve"> Respondents suggested an a</w:t>
      </w:r>
      <w:r w:rsidRPr="00C1297B" w:rsidR="0099381E">
        <w:t xml:space="preserve">nalytical strategy </w:t>
      </w:r>
      <w:r w:rsidR="007F1DC0">
        <w:t xml:space="preserve">that </w:t>
      </w:r>
      <w:r w:rsidRPr="00C1297B" w:rsidR="0099381E">
        <w:t>should include a comparison of responses to</w:t>
      </w:r>
      <w:r w:rsidR="00A15D60">
        <w:t xml:space="preserve"> questions </w:t>
      </w:r>
      <w:r w:rsidR="00C42AFF">
        <w:t xml:space="preserve">about staff well-being in the </w:t>
      </w:r>
      <w:r w:rsidR="006F2A14">
        <w:t>community</w:t>
      </w:r>
      <w:r w:rsidR="00C42AFF">
        <w:t xml:space="preserve"> interview</w:t>
      </w:r>
      <w:r w:rsidRPr="00C1297B" w:rsidR="0099381E">
        <w:t xml:space="preserve"> </w:t>
      </w:r>
      <w:r w:rsidR="00C42AFF">
        <w:t>with responses from the</w:t>
      </w:r>
      <w:r w:rsidR="006F2A14">
        <w:t xml:space="preserve"> community and home visitor </w:t>
      </w:r>
      <w:r w:rsidRPr="00C1297B" w:rsidR="0099381E">
        <w:t>survey of frontline staff.</w:t>
      </w:r>
    </w:p>
    <w:p w:rsidRPr="00C1297B" w:rsidR="002E193E" w:rsidP="002E193E" w:rsidRDefault="002E193E" w14:paraId="6F9B5769" w14:textId="2CA841D8">
      <w:pPr>
        <w:pStyle w:val="ListParagraph"/>
        <w:numPr>
          <w:ilvl w:val="1"/>
          <w:numId w:val="5"/>
        </w:numPr>
      </w:pPr>
      <w:r>
        <w:t xml:space="preserve">Response: The team appreciates the suggestion to compare reports of </w:t>
      </w:r>
      <w:r w:rsidR="006155A1">
        <w:t>staff well-being</w:t>
      </w:r>
      <w:r w:rsidR="00896880">
        <w:t xml:space="preserve"> across different types of respondents</w:t>
      </w:r>
      <w:r w:rsidR="001903A4">
        <w:t>. However, in an effort to reduce duplicative content across data collection instruments, the team has eliminated items where program administrators are answering questions about their staff</w:t>
      </w:r>
      <w:r w:rsidR="007F1DC0">
        <w:t>’s</w:t>
      </w:r>
      <w:r w:rsidR="001903A4">
        <w:t xml:space="preserve"> well-being and instead focused on responses from the frontline staff themselves. </w:t>
      </w:r>
    </w:p>
    <w:p w:rsidRPr="00C1297B" w:rsidR="0099381E" w:rsidP="0099381E" w:rsidRDefault="00C873B5" w14:paraId="1CCF444F" w14:textId="4DA8B169">
      <w:pPr>
        <w:pStyle w:val="ListParagraph"/>
        <w:numPr>
          <w:ilvl w:val="0"/>
          <w:numId w:val="5"/>
        </w:numPr>
      </w:pPr>
      <w:r w:rsidRPr="00C1297B">
        <w:t>Comment: Respondents provided specific recommendations</w:t>
      </w:r>
      <w:r w:rsidRPr="00C1297B" w:rsidR="00BF300C">
        <w:t xml:space="preserve"> for revisions to item wording</w:t>
      </w:r>
      <w:r w:rsidRPr="00C1297B" w:rsidR="00C1297B">
        <w:t xml:space="preserve"> and</w:t>
      </w:r>
      <w:r w:rsidRPr="00C1297B" w:rsidR="00BF300C">
        <w:t xml:space="preserve"> instructions for participants</w:t>
      </w:r>
      <w:r w:rsidRPr="00C1297B" w:rsidR="00C1297B">
        <w:t>.</w:t>
      </w:r>
    </w:p>
    <w:p w:rsidRPr="00C1297B" w:rsidR="00BF300C" w:rsidP="00BF300C" w:rsidRDefault="00BF300C" w14:paraId="188F15A3" w14:textId="6BEA0F50">
      <w:pPr>
        <w:pStyle w:val="ListParagraph"/>
        <w:numPr>
          <w:ilvl w:val="1"/>
          <w:numId w:val="5"/>
        </w:numPr>
      </w:pPr>
      <w:r w:rsidRPr="00C1297B">
        <w:t>Response: All recommendations have been incorporated into the revised data collection instruments. More details on changes made are provided in Section B.4.</w:t>
      </w:r>
    </w:p>
    <w:p w:rsidR="00F7411B" w:rsidP="00F7411B" w:rsidRDefault="0015524A" w14:paraId="03ABE3B9" w14:textId="13D3F494">
      <w:r w:rsidRPr="00B23EF4">
        <w:rPr>
          <w:rStyle w:val="normaltextrun"/>
          <w:color w:val="000000"/>
          <w:shd w:val="clear" w:color="auto" w:fill="FFFFFF"/>
        </w:rPr>
        <w:t xml:space="preserve">Other comments did not merit changes to the </w:t>
      </w:r>
      <w:r w:rsidRPr="00B23EF4" w:rsidR="002E72C3">
        <w:rPr>
          <w:rStyle w:val="normaltextrun"/>
          <w:color w:val="000000"/>
          <w:shd w:val="clear" w:color="auto" w:fill="FFFFFF"/>
        </w:rPr>
        <w:t>information request, but instead provided</w:t>
      </w:r>
      <w:r w:rsidRPr="00B23EF4" w:rsidR="009B67A9">
        <w:rPr>
          <w:rStyle w:val="normaltextrun"/>
          <w:color w:val="000000"/>
          <w:shd w:val="clear" w:color="auto" w:fill="FFFFFF"/>
        </w:rPr>
        <w:t xml:space="preserve"> support</w:t>
      </w:r>
      <w:r w:rsidRPr="00B23EF4" w:rsidR="00D20600">
        <w:rPr>
          <w:rStyle w:val="normaltextrun"/>
          <w:color w:val="000000"/>
          <w:shd w:val="clear" w:color="auto" w:fill="FFFFFF"/>
        </w:rPr>
        <w:t xml:space="preserve"> for the project</w:t>
      </w:r>
      <w:r w:rsidRPr="00B23EF4" w:rsidR="009B67A9">
        <w:rPr>
          <w:rStyle w:val="normaltextrun"/>
          <w:color w:val="000000"/>
          <w:shd w:val="clear" w:color="auto" w:fill="FFFFFF"/>
        </w:rPr>
        <w:t xml:space="preserve"> and </w:t>
      </w:r>
      <w:r w:rsidRPr="00B23EF4" w:rsidR="00D20600">
        <w:rPr>
          <w:rStyle w:val="normaltextrun"/>
          <w:color w:val="000000"/>
          <w:shd w:val="clear" w:color="auto" w:fill="FFFFFF"/>
        </w:rPr>
        <w:t xml:space="preserve">highlighted the importance of </w:t>
      </w:r>
      <w:r w:rsidRPr="00B23EF4" w:rsidR="00B23EF4">
        <w:rPr>
          <w:rStyle w:val="normaltextrun"/>
          <w:color w:val="000000"/>
          <w:shd w:val="clear" w:color="auto" w:fill="FFFFFF"/>
        </w:rPr>
        <w:t>addressing how COVID-19 has shaped the experiences of families and the meaningful role MIECHV plays and could further play in addressing inequities.</w:t>
      </w:r>
      <w:r w:rsidR="00E87072">
        <w:rPr>
          <w:rStyle w:val="normaltextrun"/>
          <w:color w:val="000000"/>
          <w:shd w:val="clear" w:color="auto" w:fill="FFFFFF"/>
        </w:rPr>
        <w:t xml:space="preserve"> Other comments emphasized the important role that virtual service delivery has</w:t>
      </w:r>
      <w:r w:rsidR="00965E11">
        <w:rPr>
          <w:rStyle w:val="normaltextrun"/>
          <w:color w:val="000000"/>
          <w:shd w:val="clear" w:color="auto" w:fill="FFFFFF"/>
        </w:rPr>
        <w:t xml:space="preserve"> played in reaching families in</w:t>
      </w:r>
      <w:r w:rsidRPr="00965E11" w:rsidR="00965E11">
        <w:rPr>
          <w:rStyle w:val="normaltextrun"/>
          <w:color w:val="000000"/>
          <w:shd w:val="clear" w:color="auto" w:fill="FFFFFF"/>
        </w:rPr>
        <w:t xml:space="preserve"> areas where vulnerable populations may lack an entrance to health care services, including rural and frontier areas</w:t>
      </w:r>
      <w:r w:rsidR="009166F7">
        <w:rPr>
          <w:rStyle w:val="normaltextrun"/>
          <w:color w:val="000000"/>
          <w:shd w:val="clear" w:color="auto" w:fill="FFFFFF"/>
        </w:rPr>
        <w:t>.</w:t>
      </w:r>
      <w:r w:rsidR="00E87072">
        <w:rPr>
          <w:rStyle w:val="normaltextrun"/>
          <w:color w:val="000000"/>
          <w:shd w:val="clear" w:color="auto" w:fill="FFFFFF"/>
        </w:rPr>
        <w:t xml:space="preserve"> </w:t>
      </w:r>
      <w:r w:rsidR="00AA3460">
        <w:rPr>
          <w:rStyle w:val="normaltextrun"/>
          <w:color w:val="000000"/>
          <w:shd w:val="clear" w:color="auto" w:fill="FFFFFF"/>
        </w:rPr>
        <w:t>Lastly, other comments expressed interest in whether this project would be tied to or lead to additional initiatives in this area.</w:t>
      </w:r>
    </w:p>
    <w:p w:rsidR="00F7411B" w:rsidP="00F7411B" w:rsidRDefault="00F7411B" w14:paraId="1DB636BD" w14:textId="70EDD492">
      <w:pPr>
        <w:pStyle w:val="Heading2"/>
      </w:pPr>
      <w:bookmarkStart w:name="_Toc88033473" w:id="12"/>
      <w:bookmarkStart w:name="_Toc457313784" w:id="13"/>
      <w:bookmarkStart w:name="_Toc106197201" w:id="14"/>
      <w:r w:rsidRPr="005C43A1">
        <w:t>A.9</w:t>
      </w:r>
      <w:bookmarkEnd w:id="12"/>
      <w:r w:rsidR="00BB4F0B">
        <w:t xml:space="preserve"> </w:t>
      </w:r>
      <w:r w:rsidRPr="005C43A1">
        <w:t>Explanation of Any Payment or Gift to Respondents</w:t>
      </w:r>
      <w:bookmarkEnd w:id="13"/>
      <w:bookmarkEnd w:id="14"/>
    </w:p>
    <w:p w:rsidR="00A95F07" w:rsidP="00A95F07" w:rsidRDefault="00A95F07" w14:paraId="5B1AFBF4" w14:textId="01DD9E20">
      <w:bookmarkStart w:name="_Toc88033474" w:id="15"/>
      <w:bookmarkStart w:name="_Toc457313785" w:id="16"/>
      <w:r>
        <w:t>Providing incentives to respondents is an important strategy for ensuring high response rates in data collection activities.</w:t>
      </w:r>
      <w:r>
        <w:rPr>
          <w:rStyle w:val="EndnoteReference"/>
        </w:rPr>
        <w:endnoteReference w:id="4"/>
      </w:r>
      <w:r>
        <w:t xml:space="preserve"> By participating in data collection activities, respondents may encounter financial (e.g., through missed work or lost wages) and emotional costs (e.g., through recalling and discussing potentially stressful or sensitive events). </w:t>
      </w:r>
      <w:r w:rsidR="008F366B">
        <w:rPr>
          <w:szCs w:val="24"/>
        </w:rPr>
        <w:t>Providing</w:t>
      </w:r>
      <w:r>
        <w:rPr>
          <w:szCs w:val="24"/>
        </w:rPr>
        <w:t xml:space="preserve"> incentives to respondents is a way of </w:t>
      </w:r>
      <w:r w:rsidR="00D04B65">
        <w:rPr>
          <w:szCs w:val="24"/>
        </w:rPr>
        <w:t>acknowledging</w:t>
      </w:r>
      <w:r>
        <w:rPr>
          <w:szCs w:val="24"/>
        </w:rPr>
        <w:t xml:space="preserve"> the value of the time and knowledge being shared with the study team.</w:t>
      </w:r>
      <w:r>
        <w:t xml:space="preserve"> I</w:t>
      </w:r>
      <w:r>
        <w:rPr>
          <w:szCs w:val="24"/>
        </w:rPr>
        <w:t>ncentives also reinforce the notion that the</w:t>
      </w:r>
      <w:r w:rsidR="002D19DB">
        <w:rPr>
          <w:szCs w:val="24"/>
        </w:rPr>
        <w:t xml:space="preserve"> </w:t>
      </w:r>
      <w:r w:rsidR="00F26A81">
        <w:rPr>
          <w:szCs w:val="24"/>
        </w:rPr>
        <w:t>local community</w:t>
      </w:r>
      <w:r>
        <w:rPr>
          <w:szCs w:val="24"/>
        </w:rPr>
        <w:t xml:space="preserve"> knowledge being shared by respondents is valued, respected, and honored. This is particularly important given the community-level case study methods to be used in this project.</w:t>
      </w:r>
    </w:p>
    <w:p w:rsidR="005C400F" w:rsidP="007E5517" w:rsidRDefault="00CA1E34" w14:paraId="24BEE384" w14:textId="127AAD69">
      <w:r>
        <w:t xml:space="preserve">Table </w:t>
      </w:r>
      <w:r w:rsidR="005D7B9F">
        <w:t>2</w:t>
      </w:r>
      <w:r w:rsidR="00E25CD9">
        <w:t xml:space="preserve"> provides an overview of the respondent type</w:t>
      </w:r>
      <w:r w:rsidR="009F4B53">
        <w:t xml:space="preserve"> and number, the estimated burden, the planned incentive and rationale for the incentive (e.g., respondent incurs financial costs) for each of the data collection activities</w:t>
      </w:r>
      <w:r>
        <w:t xml:space="preserve">. </w:t>
      </w:r>
      <w:r w:rsidR="004113C4">
        <w:t xml:space="preserve"> </w:t>
      </w:r>
      <w:r w:rsidR="00815625">
        <w:t>Although the incentive rationale f</w:t>
      </w:r>
      <w:r w:rsidR="004113C4">
        <w:t>or the Community Interview Protocol and the Family and Community Focus Group Guide</w:t>
      </w:r>
      <w:r w:rsidR="00815625">
        <w:t xml:space="preserve"> is similar</w:t>
      </w:r>
      <w:r w:rsidR="004113C4">
        <w:t>, the</w:t>
      </w:r>
      <w:r w:rsidR="00815625">
        <w:t xml:space="preserve"> planned</w:t>
      </w:r>
      <w:r w:rsidR="004113C4">
        <w:t xml:space="preserve"> incentive</w:t>
      </w:r>
      <w:r w:rsidR="00815625">
        <w:t xml:space="preserve"> amount</w:t>
      </w:r>
      <w:r w:rsidR="004113C4">
        <w:t xml:space="preserve"> has been adjusted to reflect the </w:t>
      </w:r>
      <w:r w:rsidR="00E277A8">
        <w:t xml:space="preserve">difference in </w:t>
      </w:r>
      <w:r w:rsidR="00275897">
        <w:t>anticipated</w:t>
      </w:r>
      <w:r w:rsidR="00E277A8">
        <w:t xml:space="preserve"> burden for the two activities (1.5 hours and 2 hours, respectively). </w:t>
      </w:r>
      <w:r w:rsidR="00330B91">
        <w:t>For the Community and Home Visitor Survey,</w:t>
      </w:r>
      <w:r w:rsidR="00A91490">
        <w:t xml:space="preserve"> </w:t>
      </w:r>
      <w:r w:rsidR="00781798">
        <w:t>t</w:t>
      </w:r>
      <w:r w:rsidRPr="00781798" w:rsidR="00781798">
        <w:t xml:space="preserve">he </w:t>
      </w:r>
      <w:r w:rsidR="00781798">
        <w:t>project</w:t>
      </w:r>
      <w:r w:rsidRPr="00781798" w:rsidR="00781798">
        <w:t xml:space="preserve"> team will provide each</w:t>
      </w:r>
      <w:r w:rsidR="00781798">
        <w:t xml:space="preserve"> respondent</w:t>
      </w:r>
      <w:r w:rsidRPr="00781798" w:rsidR="00781798">
        <w:t xml:space="preserve"> with a one-time, $</w:t>
      </w:r>
      <w:r w:rsidR="00781798">
        <w:t>2</w:t>
      </w:r>
      <w:r w:rsidRPr="00781798" w:rsidR="00781798">
        <w:t>0</w:t>
      </w:r>
      <w:r w:rsidR="00781798">
        <w:t xml:space="preserve"> gift card as a</w:t>
      </w:r>
      <w:r w:rsidRPr="00781798" w:rsidR="00781798">
        <w:t xml:space="preserve"> token of appreciation</w:t>
      </w:r>
      <w:r w:rsidR="00781798">
        <w:t xml:space="preserve">. </w:t>
      </w:r>
      <w:r w:rsidR="004915FB">
        <w:t>The value of this gift card was selected to approximate a .75 hourly rate, given the estimate of hourly wages from potential respondents (see section A12).</w:t>
      </w:r>
      <w:r w:rsidDel="004915FB" w:rsidR="004915FB">
        <w:t xml:space="preserve"> </w:t>
      </w:r>
    </w:p>
    <w:p w:rsidR="00CA45AE" w:rsidP="007E5517" w:rsidRDefault="00CA45AE" w14:paraId="478C6EF9" w14:textId="77777777"/>
    <w:p w:rsidR="00CA45AE" w:rsidP="007E5517" w:rsidRDefault="00CA45AE" w14:paraId="263C0ABE" w14:textId="77777777"/>
    <w:p w:rsidR="00CA45AE" w:rsidP="007E5517" w:rsidRDefault="00CA45AE" w14:paraId="7F332C6D" w14:textId="77777777"/>
    <w:p w:rsidRPr="001223CE" w:rsidR="00CA1E34" w:rsidP="007E5517" w:rsidRDefault="00CA1E34" w14:paraId="44A12F95" w14:textId="6727DC16">
      <w:pPr>
        <w:rPr>
          <w:b/>
          <w:bCs/>
        </w:rPr>
      </w:pPr>
      <w:r w:rsidRPr="001223CE">
        <w:rPr>
          <w:b/>
          <w:bCs/>
        </w:rPr>
        <w:lastRenderedPageBreak/>
        <w:t xml:space="preserve">Table </w:t>
      </w:r>
      <w:r w:rsidRPr="001223CE" w:rsidR="005D7B9F">
        <w:rPr>
          <w:b/>
          <w:bCs/>
        </w:rPr>
        <w:t>2.</w:t>
      </w:r>
      <w:r w:rsidRPr="001223CE">
        <w:rPr>
          <w:b/>
          <w:bCs/>
        </w:rPr>
        <w:t xml:space="preserve"> Planned Incentive</w:t>
      </w:r>
      <w:r w:rsidRPr="001223CE" w:rsidR="005D7B9F">
        <w:rPr>
          <w:b/>
          <w:bCs/>
        </w:rPr>
        <w:t xml:space="preserve">s </w:t>
      </w:r>
    </w:p>
    <w:tbl>
      <w:tblPr>
        <w:tblW w:w="5000" w:type="pct"/>
        <w:tblLayout w:type="fixed"/>
        <w:tblCellMar>
          <w:left w:w="100" w:type="dxa"/>
          <w:right w:w="100" w:type="dxa"/>
        </w:tblCellMar>
        <w:tblLook w:val="0000" w:firstRow="0" w:lastRow="0" w:firstColumn="0" w:lastColumn="0" w:noHBand="0" w:noVBand="0"/>
      </w:tblPr>
      <w:tblGrid>
        <w:gridCol w:w="1264"/>
        <w:gridCol w:w="2442"/>
        <w:gridCol w:w="1414"/>
        <w:gridCol w:w="1030"/>
        <w:gridCol w:w="1043"/>
        <w:gridCol w:w="2156"/>
      </w:tblGrid>
      <w:tr w:rsidRPr="00EE083E" w:rsidR="002D19DB" w:rsidTr="00BB5AC7" w14:paraId="497FB8B8" w14:textId="56AE616E">
        <w:trPr>
          <w:cantSplit/>
          <w:trHeight w:val="403"/>
          <w:tblHeader/>
        </w:trPr>
        <w:tc>
          <w:tcPr>
            <w:tcW w:w="676" w:type="pct"/>
            <w:tcBorders>
              <w:top w:val="single" w:color="auto" w:sz="6" w:space="0"/>
              <w:left w:val="single" w:color="auto" w:sz="6" w:space="0"/>
              <w:bottom w:val="double" w:color="auto" w:sz="4" w:space="0"/>
              <w:right w:val="nil"/>
            </w:tcBorders>
          </w:tcPr>
          <w:p w:rsidRPr="00EE083E" w:rsidR="004D539D" w:rsidP="00136FEA" w:rsidRDefault="004D539D" w14:paraId="115B5567" w14:textId="77777777">
            <w:pPr>
              <w:jc w:val="center"/>
              <w:rPr>
                <w:rFonts w:cstheme="minorHAnsi"/>
                <w:b/>
              </w:rPr>
            </w:pPr>
            <w:r w:rsidRPr="00EE083E">
              <w:rPr>
                <w:rFonts w:cstheme="minorHAnsi"/>
                <w:b/>
              </w:rPr>
              <w:t>Form Name</w:t>
            </w:r>
          </w:p>
        </w:tc>
        <w:tc>
          <w:tcPr>
            <w:tcW w:w="1306" w:type="pct"/>
            <w:tcBorders>
              <w:top w:val="single" w:color="auto" w:sz="6" w:space="0"/>
              <w:left w:val="single" w:color="auto" w:sz="6" w:space="0"/>
              <w:bottom w:val="double" w:color="auto" w:sz="4" w:space="0"/>
              <w:right w:val="nil"/>
            </w:tcBorders>
          </w:tcPr>
          <w:p w:rsidRPr="00EE083E" w:rsidR="004D539D" w:rsidP="00136FEA" w:rsidRDefault="004D539D" w14:paraId="77E81A12" w14:textId="7BDE8EF2">
            <w:pPr>
              <w:jc w:val="center"/>
              <w:rPr>
                <w:rFonts w:cstheme="minorHAnsi"/>
                <w:b/>
              </w:rPr>
            </w:pPr>
            <w:r>
              <w:rPr>
                <w:rFonts w:cstheme="minorHAnsi"/>
                <w:b/>
              </w:rPr>
              <w:t>Example Respondents</w:t>
            </w:r>
          </w:p>
        </w:tc>
        <w:tc>
          <w:tcPr>
            <w:tcW w:w="756" w:type="pct"/>
            <w:tcBorders>
              <w:top w:val="single" w:color="auto" w:sz="6" w:space="0"/>
              <w:left w:val="single" w:color="auto" w:sz="6" w:space="0"/>
              <w:bottom w:val="double" w:color="auto" w:sz="4" w:space="0"/>
              <w:right w:val="single" w:color="auto" w:sz="6" w:space="0"/>
            </w:tcBorders>
          </w:tcPr>
          <w:p w:rsidRPr="004113C4" w:rsidR="004D539D" w:rsidP="00136FEA" w:rsidRDefault="004D539D" w14:paraId="04893A84" w14:textId="031EBD17">
            <w:pPr>
              <w:jc w:val="center"/>
              <w:rPr>
                <w:rFonts w:cstheme="minorHAnsi"/>
                <w:b/>
                <w:vertAlign w:val="superscript"/>
              </w:rPr>
            </w:pPr>
            <w:r>
              <w:rPr>
                <w:rFonts w:cstheme="minorHAnsi"/>
                <w:b/>
              </w:rPr>
              <w:t xml:space="preserve">Estimated </w:t>
            </w:r>
            <w:r w:rsidR="001F4B35">
              <w:rPr>
                <w:rFonts w:cstheme="minorHAnsi"/>
                <w:b/>
              </w:rPr>
              <w:t>number of</w:t>
            </w:r>
            <w:r w:rsidR="009E1C61">
              <w:rPr>
                <w:rFonts w:cstheme="minorHAnsi"/>
                <w:b/>
              </w:rPr>
              <w:t xml:space="preserve"> </w:t>
            </w:r>
            <w:r w:rsidR="001F4B35">
              <w:rPr>
                <w:rFonts w:cstheme="minorHAnsi"/>
                <w:b/>
              </w:rPr>
              <w:t>respondents</w:t>
            </w:r>
            <w:r w:rsidR="001F4B35">
              <w:rPr>
                <w:rFonts w:cstheme="minorHAnsi"/>
                <w:b/>
                <w:vertAlign w:val="superscript"/>
              </w:rPr>
              <w:t>1</w:t>
            </w:r>
          </w:p>
        </w:tc>
        <w:tc>
          <w:tcPr>
            <w:tcW w:w="551" w:type="pct"/>
            <w:tcBorders>
              <w:top w:val="single" w:color="auto" w:sz="6" w:space="0"/>
              <w:left w:val="single" w:color="auto" w:sz="6" w:space="0"/>
              <w:bottom w:val="double" w:color="auto" w:sz="4" w:space="0"/>
              <w:right w:val="single" w:color="auto" w:sz="6" w:space="0"/>
            </w:tcBorders>
          </w:tcPr>
          <w:p w:rsidR="004D539D" w:rsidP="00136FEA" w:rsidRDefault="001F4B35" w14:paraId="420A6EC2" w14:textId="6ED4F3D4">
            <w:pPr>
              <w:jc w:val="center"/>
              <w:rPr>
                <w:rFonts w:cstheme="minorHAnsi"/>
                <w:b/>
              </w:rPr>
            </w:pPr>
            <w:r>
              <w:rPr>
                <w:rFonts w:cstheme="minorHAnsi"/>
                <w:b/>
              </w:rPr>
              <w:t xml:space="preserve">Average </w:t>
            </w:r>
            <w:r w:rsidR="004D539D">
              <w:rPr>
                <w:rFonts w:cstheme="minorHAnsi"/>
                <w:b/>
              </w:rPr>
              <w:t>Burden</w:t>
            </w:r>
            <w:r>
              <w:rPr>
                <w:rFonts w:cstheme="minorHAnsi"/>
                <w:b/>
              </w:rPr>
              <w:t xml:space="preserve"> per response (hours)</w:t>
            </w:r>
          </w:p>
        </w:tc>
        <w:tc>
          <w:tcPr>
            <w:tcW w:w="558" w:type="pct"/>
            <w:tcBorders>
              <w:top w:val="single" w:color="auto" w:sz="6" w:space="0"/>
              <w:left w:val="single" w:color="auto" w:sz="6" w:space="0"/>
              <w:bottom w:val="double" w:color="auto" w:sz="4" w:space="0"/>
              <w:right w:val="single" w:color="auto" w:sz="2" w:space="0"/>
            </w:tcBorders>
          </w:tcPr>
          <w:p w:rsidRPr="00EE083E" w:rsidR="004D539D" w:rsidP="00136FEA" w:rsidRDefault="004D539D" w14:paraId="1E3D1396" w14:textId="317DCC11">
            <w:pPr>
              <w:jc w:val="center"/>
              <w:rPr>
                <w:rFonts w:cstheme="minorHAnsi"/>
                <w:b/>
              </w:rPr>
            </w:pPr>
            <w:r>
              <w:rPr>
                <w:rFonts w:cstheme="minorHAnsi"/>
                <w:b/>
              </w:rPr>
              <w:t>Incentive</w:t>
            </w:r>
          </w:p>
        </w:tc>
        <w:tc>
          <w:tcPr>
            <w:tcW w:w="1154" w:type="pct"/>
            <w:tcBorders>
              <w:top w:val="single" w:color="auto" w:sz="6" w:space="0"/>
              <w:left w:val="single" w:color="auto" w:sz="6" w:space="0"/>
              <w:bottom w:val="double" w:color="auto" w:sz="4" w:space="0"/>
              <w:right w:val="single" w:color="auto" w:sz="2" w:space="0"/>
            </w:tcBorders>
          </w:tcPr>
          <w:p w:rsidR="004D539D" w:rsidP="002627B8" w:rsidRDefault="009E1C61" w14:paraId="7ADCA96D" w14:textId="4E4F870C">
            <w:pPr>
              <w:jc w:val="center"/>
              <w:rPr>
                <w:rFonts w:cstheme="minorHAnsi"/>
                <w:b/>
              </w:rPr>
            </w:pPr>
            <w:r>
              <w:rPr>
                <w:rFonts w:cstheme="minorHAnsi"/>
                <w:b/>
              </w:rPr>
              <w:t xml:space="preserve">Incentive </w:t>
            </w:r>
            <w:r w:rsidR="004D539D">
              <w:rPr>
                <w:rFonts w:cstheme="minorHAnsi"/>
                <w:b/>
              </w:rPr>
              <w:t>Rationale</w:t>
            </w:r>
          </w:p>
        </w:tc>
      </w:tr>
      <w:tr w:rsidRPr="00EE083E" w:rsidR="002627B8" w:rsidTr="00BB5AC7" w14:paraId="120F112C" w14:textId="0E29DEEB">
        <w:trPr>
          <w:cantSplit/>
          <w:trHeight w:val="403"/>
        </w:trPr>
        <w:tc>
          <w:tcPr>
            <w:tcW w:w="676" w:type="pct"/>
            <w:tcBorders>
              <w:top w:val="double" w:color="auto" w:sz="4" w:space="0"/>
              <w:left w:val="single" w:color="auto" w:sz="6" w:space="0"/>
              <w:bottom w:val="nil"/>
              <w:right w:val="nil"/>
            </w:tcBorders>
          </w:tcPr>
          <w:p w:rsidRPr="00EE083E" w:rsidR="001F4B35" w:rsidP="001F4B35" w:rsidRDefault="001F4B35" w14:paraId="43DE5611" w14:textId="77777777">
            <w:pPr>
              <w:jc w:val="center"/>
              <w:rPr>
                <w:rFonts w:cstheme="minorHAnsi"/>
                <w:b/>
                <w:bCs/>
              </w:rPr>
            </w:pPr>
            <w:r w:rsidRPr="00EE083E">
              <w:rPr>
                <w:rFonts w:cstheme="minorHAnsi"/>
                <w:b/>
                <w:bCs/>
              </w:rPr>
              <w:t xml:space="preserve">Community Interview Protocol   </w:t>
            </w:r>
          </w:p>
        </w:tc>
        <w:tc>
          <w:tcPr>
            <w:tcW w:w="1306" w:type="pct"/>
            <w:tcBorders>
              <w:top w:val="double" w:color="auto" w:sz="4" w:space="0"/>
              <w:left w:val="single" w:color="auto" w:sz="6" w:space="0"/>
              <w:bottom w:val="single" w:color="auto" w:sz="6" w:space="0"/>
              <w:right w:val="nil"/>
            </w:tcBorders>
            <w:shd w:val="clear" w:color="auto" w:fill="auto"/>
          </w:tcPr>
          <w:p w:rsidRPr="00EE083E" w:rsidR="001F4B35" w:rsidP="001F4B35" w:rsidRDefault="001F4B35" w14:paraId="4398A13E" w14:textId="60838688">
            <w:pPr>
              <w:rPr>
                <w:rFonts w:cstheme="minorHAnsi"/>
              </w:rPr>
            </w:pPr>
            <w:r>
              <w:rPr>
                <w:rFonts w:cstheme="minorHAnsi"/>
              </w:rPr>
              <w:t>Leaders of s</w:t>
            </w:r>
            <w:r w:rsidRPr="005055FA">
              <w:rPr>
                <w:rFonts w:cstheme="minorHAnsi"/>
              </w:rPr>
              <w:t>tates, territories, and, where applicable, nonprofit organizations receiving MIECHV funding to provide home visiting services within states; state and local representatives from home visiting, public health, health care, and other human service agencies in the early childhood system; community organizers, Tribal elders, religious</w:t>
            </w:r>
            <w:r>
              <w:rPr>
                <w:rFonts w:cstheme="minorHAnsi"/>
              </w:rPr>
              <w:t xml:space="preserve"> leaders</w:t>
            </w:r>
          </w:p>
        </w:tc>
        <w:tc>
          <w:tcPr>
            <w:tcW w:w="756" w:type="pct"/>
            <w:tcBorders>
              <w:top w:val="double" w:color="auto" w:sz="4" w:space="0"/>
              <w:left w:val="single" w:color="auto" w:sz="6" w:space="0"/>
              <w:bottom w:val="single" w:color="auto" w:sz="6" w:space="0"/>
              <w:right w:val="single" w:color="auto" w:sz="6" w:space="0"/>
            </w:tcBorders>
          </w:tcPr>
          <w:p w:rsidRPr="00800904" w:rsidR="001F4B35" w:rsidP="001F4B35" w:rsidRDefault="001F4B35" w14:paraId="61503FDB" w14:textId="523424A6">
            <w:pPr>
              <w:jc w:val="center"/>
              <w:rPr>
                <w:szCs w:val="20"/>
              </w:rPr>
            </w:pPr>
            <w:r w:rsidRPr="00EE083E">
              <w:rPr>
                <w:rFonts w:cstheme="minorHAnsi"/>
              </w:rPr>
              <w:t>60</w:t>
            </w:r>
          </w:p>
        </w:tc>
        <w:tc>
          <w:tcPr>
            <w:tcW w:w="551" w:type="pct"/>
            <w:tcBorders>
              <w:top w:val="double" w:color="auto" w:sz="4" w:space="0"/>
              <w:left w:val="single" w:color="auto" w:sz="6" w:space="0"/>
              <w:bottom w:val="single" w:color="auto" w:sz="6" w:space="0"/>
              <w:right w:val="single" w:color="auto" w:sz="6" w:space="0"/>
            </w:tcBorders>
          </w:tcPr>
          <w:p w:rsidRPr="00800904" w:rsidR="001F4B35" w:rsidP="001F4B35" w:rsidRDefault="001F4B35" w14:paraId="403FDA22" w14:textId="3750F3B1">
            <w:pPr>
              <w:jc w:val="center"/>
              <w:rPr>
                <w:szCs w:val="20"/>
              </w:rPr>
            </w:pPr>
            <w:r w:rsidRPr="00EE083E">
              <w:rPr>
                <w:rFonts w:cstheme="minorHAnsi"/>
              </w:rPr>
              <w:t>1.50</w:t>
            </w:r>
          </w:p>
        </w:tc>
        <w:tc>
          <w:tcPr>
            <w:tcW w:w="558" w:type="pct"/>
            <w:tcBorders>
              <w:top w:val="double" w:color="auto" w:sz="4" w:space="0"/>
              <w:left w:val="single" w:color="auto" w:sz="6" w:space="0"/>
              <w:bottom w:val="single" w:color="auto" w:sz="6" w:space="0"/>
              <w:right w:val="single" w:color="auto" w:sz="2" w:space="0"/>
            </w:tcBorders>
            <w:shd w:val="clear" w:color="auto" w:fill="auto"/>
          </w:tcPr>
          <w:p w:rsidRPr="00EE083E" w:rsidR="001F4B35" w:rsidP="001F4B35" w:rsidRDefault="001F4B35" w14:paraId="516EA3E9" w14:textId="5FA46191">
            <w:pPr>
              <w:jc w:val="center"/>
              <w:rPr>
                <w:rFonts w:cstheme="minorHAnsi"/>
              </w:rPr>
            </w:pPr>
            <w:r w:rsidRPr="00800904">
              <w:rPr>
                <w:szCs w:val="20"/>
              </w:rPr>
              <w:t>$50</w:t>
            </w:r>
          </w:p>
        </w:tc>
        <w:tc>
          <w:tcPr>
            <w:tcW w:w="1154" w:type="pct"/>
            <w:tcBorders>
              <w:top w:val="double" w:color="auto" w:sz="4" w:space="0"/>
              <w:left w:val="single" w:color="auto" w:sz="6" w:space="0"/>
              <w:bottom w:val="single" w:color="auto" w:sz="6" w:space="0"/>
              <w:right w:val="single" w:color="auto" w:sz="2" w:space="0"/>
            </w:tcBorders>
          </w:tcPr>
          <w:p w:rsidR="002627B8" w:rsidP="002627B8" w:rsidRDefault="002627B8" w14:paraId="4FB3FFDD" w14:textId="3C8AA9A1">
            <w:pPr>
              <w:rPr>
                <w:szCs w:val="20"/>
              </w:rPr>
            </w:pPr>
            <w:r>
              <w:rPr>
                <w:szCs w:val="20"/>
              </w:rPr>
              <w:t>-  Financial costs</w:t>
            </w:r>
            <w:r w:rsidR="00290BF6">
              <w:rPr>
                <w:szCs w:val="20"/>
              </w:rPr>
              <w:t xml:space="preserve"> of participation</w:t>
            </w:r>
            <w:r w:rsidR="00A376BF">
              <w:rPr>
                <w:szCs w:val="20"/>
              </w:rPr>
              <w:t xml:space="preserve"> (high)</w:t>
            </w:r>
          </w:p>
          <w:p w:rsidR="000022E0" w:rsidP="002627B8" w:rsidRDefault="000022E0" w14:paraId="2537081B" w14:textId="3B5D6F37">
            <w:pPr>
              <w:rPr>
                <w:szCs w:val="20"/>
              </w:rPr>
            </w:pPr>
            <w:r>
              <w:rPr>
                <w:szCs w:val="20"/>
              </w:rPr>
              <w:t>-  Emotional costs</w:t>
            </w:r>
            <w:r w:rsidR="00290BF6">
              <w:rPr>
                <w:szCs w:val="20"/>
              </w:rPr>
              <w:t xml:space="preserve"> of participation</w:t>
            </w:r>
            <w:r>
              <w:rPr>
                <w:szCs w:val="20"/>
              </w:rPr>
              <w:t xml:space="preserve"> (low)</w:t>
            </w:r>
          </w:p>
          <w:p w:rsidRPr="002627B8" w:rsidR="00F26A81" w:rsidP="004113C4" w:rsidRDefault="004113C4" w14:paraId="7759945E" w14:textId="7A61DA7B">
            <w:pPr>
              <w:rPr>
                <w:szCs w:val="20"/>
              </w:rPr>
            </w:pPr>
            <w:r>
              <w:rPr>
                <w:szCs w:val="20"/>
              </w:rPr>
              <w:t xml:space="preserve">-  </w:t>
            </w:r>
            <w:r w:rsidRPr="002627B8">
              <w:rPr>
                <w:szCs w:val="20"/>
              </w:rPr>
              <w:t>Shar</w:t>
            </w:r>
            <w:r>
              <w:rPr>
                <w:szCs w:val="20"/>
              </w:rPr>
              <w:t>ing of</w:t>
            </w:r>
            <w:r w:rsidRPr="002627B8">
              <w:rPr>
                <w:szCs w:val="20"/>
              </w:rPr>
              <w:t xml:space="preserve"> local community knowl</w:t>
            </w:r>
            <w:r>
              <w:rPr>
                <w:szCs w:val="20"/>
              </w:rPr>
              <w:t>e</w:t>
            </w:r>
            <w:r w:rsidRPr="002627B8">
              <w:rPr>
                <w:szCs w:val="20"/>
              </w:rPr>
              <w:t>dge</w:t>
            </w:r>
          </w:p>
        </w:tc>
      </w:tr>
      <w:tr w:rsidRPr="00EE083E" w:rsidR="002627B8" w:rsidTr="00BB5AC7" w14:paraId="26738995" w14:textId="4DF7313D">
        <w:trPr>
          <w:cantSplit/>
          <w:trHeight w:val="403"/>
        </w:trPr>
        <w:tc>
          <w:tcPr>
            <w:tcW w:w="676" w:type="pct"/>
            <w:tcBorders>
              <w:top w:val="single" w:color="auto" w:sz="6" w:space="0"/>
              <w:left w:val="single" w:color="auto" w:sz="6" w:space="0"/>
              <w:bottom w:val="single" w:color="auto" w:sz="6" w:space="0"/>
              <w:right w:val="nil"/>
            </w:tcBorders>
          </w:tcPr>
          <w:p w:rsidRPr="00EE083E" w:rsidR="001F4B35" w:rsidP="001F4B35" w:rsidRDefault="001F4B35" w14:paraId="671286EB" w14:textId="77777777">
            <w:pPr>
              <w:jc w:val="center"/>
              <w:rPr>
                <w:rFonts w:cstheme="minorHAnsi"/>
                <w:b/>
                <w:bCs/>
              </w:rPr>
            </w:pPr>
            <w:r w:rsidRPr="00EE083E">
              <w:rPr>
                <w:rFonts w:cstheme="minorHAnsi"/>
                <w:b/>
                <w:bCs/>
              </w:rPr>
              <w:t xml:space="preserve">Family and Community Focus Group Guide  </w:t>
            </w:r>
          </w:p>
        </w:tc>
        <w:tc>
          <w:tcPr>
            <w:tcW w:w="1306" w:type="pct"/>
            <w:tcBorders>
              <w:top w:val="single" w:color="auto" w:sz="6" w:space="0"/>
              <w:left w:val="single" w:color="auto" w:sz="6" w:space="0"/>
              <w:bottom w:val="single" w:color="auto" w:sz="6" w:space="0"/>
              <w:right w:val="nil"/>
            </w:tcBorders>
            <w:shd w:val="clear" w:color="auto" w:fill="auto"/>
          </w:tcPr>
          <w:p w:rsidRPr="00800904" w:rsidR="001F4B35" w:rsidP="001F4B35" w:rsidRDefault="001F4B35" w14:paraId="553B7028" w14:textId="041DD7DA">
            <w:pPr>
              <w:rPr>
                <w:szCs w:val="20"/>
              </w:rPr>
            </w:pPr>
            <w:r w:rsidRPr="00800904">
              <w:rPr>
                <w:szCs w:val="20"/>
              </w:rPr>
              <w:t xml:space="preserve">Families </w:t>
            </w:r>
            <w:r>
              <w:rPr>
                <w:szCs w:val="20"/>
              </w:rPr>
              <w:t>(</w:t>
            </w:r>
            <w:r w:rsidRPr="001E1B89">
              <w:rPr>
                <w:szCs w:val="20"/>
              </w:rPr>
              <w:t>including families participating in MIECHV-funded home visiting services and those with shared experiences)</w:t>
            </w:r>
          </w:p>
          <w:p w:rsidRPr="0018307C" w:rsidR="001F4B35" w:rsidP="001F4B35" w:rsidRDefault="001F4B35" w14:paraId="4CCEDF94" w14:textId="3AC82B81">
            <w:pPr>
              <w:rPr>
                <w:szCs w:val="20"/>
              </w:rPr>
            </w:pPr>
            <w:r w:rsidRPr="00800904">
              <w:rPr>
                <w:szCs w:val="20"/>
              </w:rPr>
              <w:t>Community providers</w:t>
            </w:r>
            <w:r>
              <w:rPr>
                <w:szCs w:val="20"/>
              </w:rPr>
              <w:t xml:space="preserve">, </w:t>
            </w:r>
            <w:r w:rsidRPr="00491E58">
              <w:rPr>
                <w:rFonts w:cstheme="minorHAnsi"/>
              </w:rPr>
              <w:t>including home visitors</w:t>
            </w:r>
          </w:p>
        </w:tc>
        <w:tc>
          <w:tcPr>
            <w:tcW w:w="756" w:type="pct"/>
            <w:tcBorders>
              <w:top w:val="single" w:color="auto" w:sz="6" w:space="0"/>
              <w:left w:val="single" w:color="auto" w:sz="6" w:space="0"/>
              <w:bottom w:val="single" w:color="auto" w:sz="6" w:space="0"/>
              <w:right w:val="single" w:color="auto" w:sz="6" w:space="0"/>
            </w:tcBorders>
          </w:tcPr>
          <w:p w:rsidRPr="00800904" w:rsidR="001F4B35" w:rsidP="001F4B35" w:rsidRDefault="001F4B35" w14:paraId="63B44E56" w14:textId="356ED2CA">
            <w:pPr>
              <w:jc w:val="center"/>
              <w:rPr>
                <w:szCs w:val="20"/>
              </w:rPr>
            </w:pPr>
            <w:r w:rsidRPr="00EE083E">
              <w:rPr>
                <w:rFonts w:cstheme="minorHAnsi"/>
              </w:rPr>
              <w:t>240</w:t>
            </w:r>
          </w:p>
        </w:tc>
        <w:tc>
          <w:tcPr>
            <w:tcW w:w="551" w:type="pct"/>
            <w:tcBorders>
              <w:top w:val="single" w:color="auto" w:sz="6" w:space="0"/>
              <w:left w:val="single" w:color="auto" w:sz="6" w:space="0"/>
              <w:bottom w:val="single" w:color="auto" w:sz="6" w:space="0"/>
              <w:right w:val="single" w:color="auto" w:sz="6" w:space="0"/>
            </w:tcBorders>
          </w:tcPr>
          <w:p w:rsidRPr="00800904" w:rsidR="001F4B35" w:rsidP="001F4B35" w:rsidRDefault="001F4B35" w14:paraId="0E7B36E7" w14:textId="37A19741">
            <w:pPr>
              <w:jc w:val="center"/>
              <w:rPr>
                <w:szCs w:val="20"/>
              </w:rPr>
            </w:pPr>
            <w:r w:rsidRPr="00EE083E">
              <w:rPr>
                <w:rFonts w:cstheme="minorHAnsi"/>
              </w:rPr>
              <w:t>2.00</w:t>
            </w:r>
          </w:p>
        </w:tc>
        <w:tc>
          <w:tcPr>
            <w:tcW w:w="558" w:type="pct"/>
            <w:tcBorders>
              <w:top w:val="single" w:color="auto" w:sz="6" w:space="0"/>
              <w:left w:val="single" w:color="auto" w:sz="6" w:space="0"/>
              <w:bottom w:val="single" w:color="auto" w:sz="6" w:space="0"/>
              <w:right w:val="single" w:color="auto" w:sz="2" w:space="0"/>
            </w:tcBorders>
            <w:shd w:val="clear" w:color="auto" w:fill="auto"/>
          </w:tcPr>
          <w:p w:rsidRPr="00EE083E" w:rsidR="001F4B35" w:rsidP="001F4B35" w:rsidRDefault="001F4B35" w14:paraId="3764146C" w14:textId="4E2F7A7F">
            <w:pPr>
              <w:jc w:val="center"/>
              <w:rPr>
                <w:rFonts w:cstheme="minorHAnsi"/>
              </w:rPr>
            </w:pPr>
            <w:r w:rsidRPr="00800904">
              <w:rPr>
                <w:szCs w:val="20"/>
              </w:rPr>
              <w:t>$</w:t>
            </w:r>
            <w:r>
              <w:rPr>
                <w:szCs w:val="20"/>
              </w:rPr>
              <w:t>75</w:t>
            </w:r>
          </w:p>
        </w:tc>
        <w:tc>
          <w:tcPr>
            <w:tcW w:w="1154" w:type="pct"/>
            <w:tcBorders>
              <w:top w:val="single" w:color="auto" w:sz="6" w:space="0"/>
              <w:left w:val="single" w:color="auto" w:sz="6" w:space="0"/>
              <w:bottom w:val="single" w:color="auto" w:sz="6" w:space="0"/>
              <w:right w:val="single" w:color="auto" w:sz="2" w:space="0"/>
            </w:tcBorders>
          </w:tcPr>
          <w:p w:rsidRPr="002627B8" w:rsidR="002627B8" w:rsidP="002627B8" w:rsidRDefault="002627B8" w14:paraId="5CD32717" w14:textId="1FECC427">
            <w:pPr>
              <w:rPr>
                <w:szCs w:val="20"/>
              </w:rPr>
            </w:pPr>
            <w:r>
              <w:rPr>
                <w:szCs w:val="20"/>
              </w:rPr>
              <w:t>-  Financial costs</w:t>
            </w:r>
            <w:r w:rsidR="00CA45AE">
              <w:rPr>
                <w:szCs w:val="20"/>
              </w:rPr>
              <w:t xml:space="preserve"> of participation</w:t>
            </w:r>
            <w:r w:rsidR="00A376BF">
              <w:rPr>
                <w:szCs w:val="20"/>
              </w:rPr>
              <w:t xml:space="preserve"> (high)</w:t>
            </w:r>
          </w:p>
          <w:p w:rsidR="001F4B35" w:rsidP="00F26A81" w:rsidRDefault="002627B8" w14:paraId="210247F9" w14:textId="1B31E226">
            <w:pPr>
              <w:rPr>
                <w:szCs w:val="20"/>
              </w:rPr>
            </w:pPr>
            <w:r>
              <w:rPr>
                <w:szCs w:val="20"/>
              </w:rPr>
              <w:t>-  Emotional costs</w:t>
            </w:r>
            <w:r w:rsidR="00CA45AE">
              <w:rPr>
                <w:szCs w:val="20"/>
              </w:rPr>
              <w:t xml:space="preserve"> of participation</w:t>
            </w:r>
            <w:r w:rsidR="00A376BF">
              <w:rPr>
                <w:szCs w:val="20"/>
              </w:rPr>
              <w:t xml:space="preserve"> (high)</w:t>
            </w:r>
          </w:p>
          <w:p w:rsidRPr="00800904" w:rsidR="004113C4" w:rsidP="004113C4" w:rsidRDefault="004113C4" w14:paraId="1F28D318" w14:textId="04A2E947">
            <w:pPr>
              <w:rPr>
                <w:szCs w:val="20"/>
              </w:rPr>
            </w:pPr>
            <w:r>
              <w:rPr>
                <w:szCs w:val="20"/>
              </w:rPr>
              <w:t xml:space="preserve">-  </w:t>
            </w:r>
            <w:r w:rsidRPr="002627B8">
              <w:rPr>
                <w:szCs w:val="20"/>
              </w:rPr>
              <w:t>Shar</w:t>
            </w:r>
            <w:r>
              <w:rPr>
                <w:szCs w:val="20"/>
              </w:rPr>
              <w:t>ing of</w:t>
            </w:r>
            <w:r w:rsidRPr="002627B8">
              <w:rPr>
                <w:szCs w:val="20"/>
              </w:rPr>
              <w:t xml:space="preserve"> local community knowl</w:t>
            </w:r>
            <w:r>
              <w:rPr>
                <w:szCs w:val="20"/>
              </w:rPr>
              <w:t>e</w:t>
            </w:r>
            <w:r w:rsidRPr="002627B8">
              <w:rPr>
                <w:szCs w:val="20"/>
              </w:rPr>
              <w:t>dge</w:t>
            </w:r>
          </w:p>
        </w:tc>
      </w:tr>
      <w:tr w:rsidRPr="00EE083E" w:rsidR="002627B8" w:rsidTr="00BB5AC7" w14:paraId="54378950" w14:textId="05C30894">
        <w:trPr>
          <w:cantSplit/>
          <w:trHeight w:val="403"/>
        </w:trPr>
        <w:tc>
          <w:tcPr>
            <w:tcW w:w="676" w:type="pct"/>
            <w:tcBorders>
              <w:top w:val="single" w:color="auto" w:sz="6" w:space="0"/>
              <w:left w:val="single" w:color="auto" w:sz="6" w:space="0"/>
              <w:bottom w:val="single" w:color="auto" w:sz="4" w:space="0"/>
              <w:right w:val="nil"/>
            </w:tcBorders>
          </w:tcPr>
          <w:p w:rsidRPr="00EE083E" w:rsidR="002627B8" w:rsidP="002627B8" w:rsidRDefault="002627B8" w14:paraId="3971D73F" w14:textId="77777777">
            <w:pPr>
              <w:jc w:val="center"/>
              <w:rPr>
                <w:rFonts w:cstheme="minorHAnsi"/>
                <w:b/>
                <w:bCs/>
              </w:rPr>
            </w:pPr>
            <w:r w:rsidRPr="00EE083E">
              <w:rPr>
                <w:rFonts w:cstheme="minorHAnsi"/>
                <w:b/>
                <w:bCs/>
              </w:rPr>
              <w:t>Community and Home Visitor Survey Instrument</w:t>
            </w:r>
          </w:p>
        </w:tc>
        <w:tc>
          <w:tcPr>
            <w:tcW w:w="1306" w:type="pct"/>
            <w:tcBorders>
              <w:top w:val="single" w:color="auto" w:sz="6" w:space="0"/>
              <w:left w:val="single" w:color="auto" w:sz="6" w:space="0"/>
              <w:bottom w:val="single" w:color="auto" w:sz="6" w:space="0"/>
              <w:right w:val="nil"/>
            </w:tcBorders>
            <w:shd w:val="clear" w:color="auto" w:fill="auto"/>
          </w:tcPr>
          <w:p w:rsidR="002627B8" w:rsidP="002627B8" w:rsidRDefault="002627B8" w14:paraId="061CB3DF" w14:textId="77777777">
            <w:pPr>
              <w:rPr>
                <w:szCs w:val="20"/>
              </w:rPr>
            </w:pPr>
            <w:r w:rsidRPr="00800904">
              <w:rPr>
                <w:szCs w:val="20"/>
              </w:rPr>
              <w:t>Staff from organizations in the communities providing services relevant/complementary to home visiting</w:t>
            </w:r>
            <w:r>
              <w:rPr>
                <w:szCs w:val="20"/>
              </w:rPr>
              <w:t xml:space="preserve">; </w:t>
            </w:r>
          </w:p>
          <w:p w:rsidRPr="00EE083E" w:rsidR="002627B8" w:rsidP="002627B8" w:rsidRDefault="002627B8" w14:paraId="5F5B559D" w14:textId="4F9AF102">
            <w:pPr>
              <w:rPr>
                <w:rFonts w:cstheme="minorHAnsi"/>
              </w:rPr>
            </w:pPr>
            <w:r>
              <w:rPr>
                <w:szCs w:val="20"/>
              </w:rPr>
              <w:t>Home visitors</w:t>
            </w:r>
          </w:p>
        </w:tc>
        <w:tc>
          <w:tcPr>
            <w:tcW w:w="756" w:type="pct"/>
            <w:tcBorders>
              <w:top w:val="single" w:color="auto" w:sz="6" w:space="0"/>
              <w:left w:val="single" w:color="auto" w:sz="6" w:space="0"/>
              <w:bottom w:val="single" w:color="auto" w:sz="6" w:space="0"/>
              <w:right w:val="single" w:color="auto" w:sz="6" w:space="0"/>
            </w:tcBorders>
          </w:tcPr>
          <w:p w:rsidRPr="00800904" w:rsidR="002627B8" w:rsidP="002627B8" w:rsidRDefault="002627B8" w14:paraId="0F7222B3" w14:textId="77996B18">
            <w:pPr>
              <w:jc w:val="center"/>
              <w:rPr>
                <w:szCs w:val="20"/>
              </w:rPr>
            </w:pPr>
            <w:r w:rsidRPr="00EE083E">
              <w:rPr>
                <w:rFonts w:cstheme="minorHAnsi"/>
              </w:rPr>
              <w:t>500</w:t>
            </w:r>
          </w:p>
        </w:tc>
        <w:tc>
          <w:tcPr>
            <w:tcW w:w="551" w:type="pct"/>
            <w:tcBorders>
              <w:top w:val="single" w:color="auto" w:sz="6" w:space="0"/>
              <w:left w:val="single" w:color="auto" w:sz="6" w:space="0"/>
              <w:bottom w:val="single" w:color="auto" w:sz="6" w:space="0"/>
              <w:right w:val="single" w:color="auto" w:sz="6" w:space="0"/>
            </w:tcBorders>
          </w:tcPr>
          <w:p w:rsidRPr="00800904" w:rsidR="002627B8" w:rsidP="002627B8" w:rsidRDefault="002627B8" w14:paraId="73942330" w14:textId="4D347D2B">
            <w:pPr>
              <w:jc w:val="center"/>
              <w:rPr>
                <w:szCs w:val="20"/>
              </w:rPr>
            </w:pPr>
            <w:r w:rsidRPr="00EE083E">
              <w:rPr>
                <w:rFonts w:cstheme="minorHAnsi"/>
              </w:rPr>
              <w:t>0.75</w:t>
            </w:r>
          </w:p>
        </w:tc>
        <w:tc>
          <w:tcPr>
            <w:tcW w:w="558" w:type="pct"/>
            <w:tcBorders>
              <w:top w:val="single" w:color="auto" w:sz="6" w:space="0"/>
              <w:left w:val="single" w:color="auto" w:sz="6" w:space="0"/>
              <w:bottom w:val="single" w:color="auto" w:sz="6" w:space="0"/>
              <w:right w:val="single" w:color="auto" w:sz="2" w:space="0"/>
            </w:tcBorders>
            <w:shd w:val="clear" w:color="auto" w:fill="auto"/>
          </w:tcPr>
          <w:p w:rsidRPr="00EE083E" w:rsidR="002627B8" w:rsidP="00142BEC" w:rsidRDefault="00142BEC" w14:paraId="4DF05E0C" w14:textId="11AD6F91">
            <w:pPr>
              <w:jc w:val="center"/>
              <w:rPr>
                <w:rFonts w:cstheme="minorHAnsi"/>
              </w:rPr>
            </w:pPr>
            <w:r>
              <w:rPr>
                <w:szCs w:val="20"/>
              </w:rPr>
              <w:t>$20</w:t>
            </w:r>
          </w:p>
        </w:tc>
        <w:tc>
          <w:tcPr>
            <w:tcW w:w="1154" w:type="pct"/>
            <w:tcBorders>
              <w:top w:val="single" w:color="auto" w:sz="6" w:space="0"/>
              <w:left w:val="single" w:color="auto" w:sz="6" w:space="0"/>
              <w:bottom w:val="single" w:color="auto" w:sz="6" w:space="0"/>
              <w:right w:val="single" w:color="auto" w:sz="2" w:space="0"/>
            </w:tcBorders>
          </w:tcPr>
          <w:p w:rsidRPr="002627B8" w:rsidR="002627B8" w:rsidP="002627B8" w:rsidRDefault="002627B8" w14:paraId="7B99B09B" w14:textId="5211EDCD">
            <w:pPr>
              <w:rPr>
                <w:szCs w:val="20"/>
              </w:rPr>
            </w:pPr>
            <w:r>
              <w:rPr>
                <w:szCs w:val="20"/>
              </w:rPr>
              <w:t>-  Financial costs</w:t>
            </w:r>
            <w:r w:rsidR="00A376BF">
              <w:rPr>
                <w:szCs w:val="20"/>
              </w:rPr>
              <w:t xml:space="preserve"> </w:t>
            </w:r>
            <w:r w:rsidR="00CA45AE">
              <w:rPr>
                <w:szCs w:val="20"/>
              </w:rPr>
              <w:t xml:space="preserve">of participation </w:t>
            </w:r>
            <w:r w:rsidR="00A376BF">
              <w:rPr>
                <w:szCs w:val="20"/>
              </w:rPr>
              <w:t>(low)</w:t>
            </w:r>
          </w:p>
          <w:p w:rsidR="002627B8" w:rsidP="002627B8" w:rsidRDefault="002627B8" w14:paraId="29B42FF3" w14:textId="2F705A8B">
            <w:pPr>
              <w:rPr>
                <w:szCs w:val="20"/>
              </w:rPr>
            </w:pPr>
            <w:r>
              <w:rPr>
                <w:szCs w:val="20"/>
              </w:rPr>
              <w:t>-  Emotional costs</w:t>
            </w:r>
            <w:r w:rsidR="00CA45AE">
              <w:rPr>
                <w:szCs w:val="20"/>
              </w:rPr>
              <w:t xml:space="preserve"> of participation</w:t>
            </w:r>
            <w:r w:rsidR="00A376BF">
              <w:rPr>
                <w:szCs w:val="20"/>
              </w:rPr>
              <w:t xml:space="preserve"> (low)</w:t>
            </w:r>
          </w:p>
          <w:p w:rsidRPr="00800904" w:rsidR="004113C4" w:rsidP="004113C4" w:rsidRDefault="004113C4" w14:paraId="262CC56C" w14:textId="65C39DD4">
            <w:pPr>
              <w:rPr>
                <w:szCs w:val="20"/>
              </w:rPr>
            </w:pPr>
            <w:r>
              <w:rPr>
                <w:szCs w:val="20"/>
              </w:rPr>
              <w:t xml:space="preserve">-  </w:t>
            </w:r>
            <w:r w:rsidRPr="002627B8">
              <w:rPr>
                <w:szCs w:val="20"/>
              </w:rPr>
              <w:t>Shar</w:t>
            </w:r>
            <w:r>
              <w:rPr>
                <w:szCs w:val="20"/>
              </w:rPr>
              <w:t>ing of</w:t>
            </w:r>
            <w:r w:rsidRPr="002627B8">
              <w:rPr>
                <w:szCs w:val="20"/>
              </w:rPr>
              <w:t xml:space="preserve"> local community knowl</w:t>
            </w:r>
            <w:r>
              <w:rPr>
                <w:szCs w:val="20"/>
              </w:rPr>
              <w:t>e</w:t>
            </w:r>
            <w:r w:rsidRPr="002627B8">
              <w:rPr>
                <w:szCs w:val="20"/>
              </w:rPr>
              <w:t>dge</w:t>
            </w:r>
          </w:p>
        </w:tc>
      </w:tr>
      <w:tr w:rsidRPr="00EE083E" w:rsidR="002627B8" w:rsidTr="00BB5AC7" w14:paraId="7F5DD959" w14:textId="302B9F79">
        <w:trPr>
          <w:cantSplit/>
          <w:trHeight w:val="403"/>
        </w:trPr>
        <w:tc>
          <w:tcPr>
            <w:tcW w:w="676" w:type="pct"/>
            <w:tcBorders>
              <w:top w:val="single" w:color="auto" w:sz="4" w:space="0"/>
              <w:left w:val="single" w:color="auto" w:sz="6" w:space="0"/>
              <w:bottom w:val="double" w:color="auto" w:sz="4" w:space="0"/>
              <w:right w:val="nil"/>
            </w:tcBorders>
          </w:tcPr>
          <w:p w:rsidRPr="00EE083E" w:rsidR="002627B8" w:rsidP="002627B8" w:rsidRDefault="002627B8" w14:paraId="719BB633" w14:textId="77777777">
            <w:pPr>
              <w:jc w:val="center"/>
              <w:rPr>
                <w:rFonts w:cstheme="minorHAnsi"/>
                <w:b/>
                <w:bCs/>
              </w:rPr>
            </w:pPr>
            <w:r w:rsidRPr="00EE083E">
              <w:rPr>
                <w:rFonts w:cstheme="minorHAnsi"/>
                <w:b/>
                <w:bCs/>
              </w:rPr>
              <w:lastRenderedPageBreak/>
              <w:t>Program Data</w:t>
            </w:r>
          </w:p>
        </w:tc>
        <w:tc>
          <w:tcPr>
            <w:tcW w:w="1306" w:type="pct"/>
            <w:tcBorders>
              <w:top w:val="single" w:color="auto" w:sz="6" w:space="0"/>
              <w:left w:val="single" w:color="auto" w:sz="6" w:space="0"/>
              <w:bottom w:val="double" w:color="auto" w:sz="4" w:space="0"/>
              <w:right w:val="nil"/>
            </w:tcBorders>
            <w:shd w:val="clear" w:color="auto" w:fill="auto"/>
          </w:tcPr>
          <w:p w:rsidRPr="00591B9C" w:rsidR="002627B8" w:rsidP="002627B8" w:rsidRDefault="002627B8" w14:paraId="7DA9B131" w14:textId="518B4E2E">
            <w:pPr>
              <w:rPr>
                <w:rFonts w:cstheme="minorHAnsi"/>
              </w:rPr>
            </w:pPr>
            <w:r w:rsidRPr="00591B9C">
              <w:rPr>
                <w:rFonts w:cstheme="minorHAnsi"/>
              </w:rPr>
              <w:t>Data entry or data intake staff</w:t>
            </w:r>
            <w:r>
              <w:rPr>
                <w:rFonts w:cstheme="minorHAnsi"/>
              </w:rPr>
              <w:t xml:space="preserve"> at home visiting programs</w:t>
            </w:r>
          </w:p>
        </w:tc>
        <w:tc>
          <w:tcPr>
            <w:tcW w:w="756" w:type="pct"/>
            <w:tcBorders>
              <w:top w:val="single" w:color="auto" w:sz="6" w:space="0"/>
              <w:left w:val="single" w:color="auto" w:sz="6" w:space="0"/>
              <w:bottom w:val="double" w:color="auto" w:sz="4" w:space="0"/>
              <w:right w:val="single" w:color="auto" w:sz="6" w:space="0"/>
            </w:tcBorders>
          </w:tcPr>
          <w:p w:rsidR="002627B8" w:rsidP="002627B8" w:rsidRDefault="002627B8" w14:paraId="1E78001D" w14:textId="53AE5E25">
            <w:pPr>
              <w:jc w:val="center"/>
              <w:rPr>
                <w:rFonts w:cstheme="minorHAnsi"/>
              </w:rPr>
            </w:pPr>
            <w:r w:rsidRPr="00EE083E">
              <w:rPr>
                <w:rFonts w:cstheme="minorHAnsi"/>
              </w:rPr>
              <w:t>15</w:t>
            </w:r>
          </w:p>
        </w:tc>
        <w:tc>
          <w:tcPr>
            <w:tcW w:w="551" w:type="pct"/>
            <w:tcBorders>
              <w:top w:val="single" w:color="auto" w:sz="6" w:space="0"/>
              <w:left w:val="single" w:color="auto" w:sz="6" w:space="0"/>
              <w:bottom w:val="double" w:color="auto" w:sz="4" w:space="0"/>
              <w:right w:val="single" w:color="auto" w:sz="6" w:space="0"/>
            </w:tcBorders>
          </w:tcPr>
          <w:p w:rsidR="002627B8" w:rsidP="002627B8" w:rsidRDefault="002627B8" w14:paraId="00517111" w14:textId="6E633450">
            <w:pPr>
              <w:jc w:val="center"/>
              <w:rPr>
                <w:rFonts w:cstheme="minorHAnsi"/>
              </w:rPr>
            </w:pPr>
            <w:r>
              <w:rPr>
                <w:rFonts w:cstheme="minorHAnsi"/>
              </w:rPr>
              <w:t>10</w:t>
            </w:r>
            <w:r w:rsidRPr="00EE083E">
              <w:rPr>
                <w:rFonts w:cstheme="minorHAnsi"/>
              </w:rPr>
              <w:t>.00</w:t>
            </w:r>
          </w:p>
        </w:tc>
        <w:tc>
          <w:tcPr>
            <w:tcW w:w="558" w:type="pct"/>
            <w:tcBorders>
              <w:top w:val="single" w:color="auto" w:sz="6" w:space="0"/>
              <w:left w:val="single" w:color="auto" w:sz="6" w:space="0"/>
              <w:bottom w:val="double" w:color="auto" w:sz="4" w:space="0"/>
              <w:right w:val="single" w:color="auto" w:sz="2" w:space="0"/>
            </w:tcBorders>
            <w:shd w:val="clear" w:color="auto" w:fill="auto"/>
          </w:tcPr>
          <w:p w:rsidRPr="00591B9C" w:rsidR="002627B8" w:rsidP="002627B8" w:rsidRDefault="002627B8" w14:paraId="71FFAFF1" w14:textId="6208A291">
            <w:pPr>
              <w:jc w:val="center"/>
              <w:rPr>
                <w:rFonts w:cstheme="minorHAnsi"/>
              </w:rPr>
            </w:pPr>
            <w:r>
              <w:rPr>
                <w:rFonts w:cstheme="minorHAnsi"/>
              </w:rPr>
              <w:t>N/A</w:t>
            </w:r>
          </w:p>
        </w:tc>
        <w:tc>
          <w:tcPr>
            <w:tcW w:w="1154" w:type="pct"/>
            <w:tcBorders>
              <w:top w:val="single" w:color="auto" w:sz="6" w:space="0"/>
              <w:left w:val="single" w:color="auto" w:sz="6" w:space="0"/>
              <w:bottom w:val="double" w:color="auto" w:sz="4" w:space="0"/>
              <w:right w:val="single" w:color="auto" w:sz="2" w:space="0"/>
            </w:tcBorders>
          </w:tcPr>
          <w:p w:rsidR="002627B8" w:rsidP="00237E13" w:rsidRDefault="002627B8" w14:paraId="1491A480" w14:textId="241DB531">
            <w:pPr>
              <w:jc w:val="center"/>
              <w:rPr>
                <w:rFonts w:cstheme="minorHAnsi"/>
              </w:rPr>
            </w:pPr>
            <w:r>
              <w:rPr>
                <w:rFonts w:cstheme="minorHAnsi"/>
              </w:rPr>
              <w:t>N/A</w:t>
            </w:r>
          </w:p>
        </w:tc>
      </w:tr>
    </w:tbl>
    <w:p w:rsidRPr="001F4B35" w:rsidR="0084063A" w:rsidP="005C400F" w:rsidRDefault="00E03580" w14:paraId="4852A1B4" w14:textId="15C20498">
      <w:r>
        <w:t xml:space="preserve"> </w:t>
      </w:r>
      <w:r w:rsidRPr="00EE083E" w:rsidR="001F4B35">
        <w:rPr>
          <w:rFonts w:cstheme="minorHAnsi"/>
          <w:sz w:val="20"/>
          <w:szCs w:val="20"/>
          <w:vertAlign w:val="superscript"/>
        </w:rPr>
        <w:t xml:space="preserve">1 </w:t>
      </w:r>
      <w:r w:rsidRPr="00EE083E" w:rsidR="001F4B35">
        <w:rPr>
          <w:rFonts w:cstheme="minorHAnsi"/>
          <w:sz w:val="20"/>
          <w:szCs w:val="20"/>
        </w:rPr>
        <w:t>There may be variation in the number of study participants and home visiting programs in each community (e.g., some selected communities may have fewer home visitors). The total burden hours presented here provide information assuming the maximum number of respondents in each community.</w:t>
      </w:r>
    </w:p>
    <w:p w:rsidRPr="005C43A1" w:rsidR="00F7411B" w:rsidP="00F7411B" w:rsidRDefault="00F7411B" w14:paraId="3718C9DE" w14:textId="06F16423">
      <w:pPr>
        <w:pStyle w:val="Heading2"/>
      </w:pPr>
      <w:bookmarkStart w:name="_Toc106197202" w:id="17"/>
      <w:r w:rsidRPr="005C43A1">
        <w:t>A.10</w:t>
      </w:r>
      <w:bookmarkEnd w:id="15"/>
      <w:r w:rsidR="00BB4F0B">
        <w:t xml:space="preserve"> </w:t>
      </w:r>
      <w:r w:rsidRPr="005C43A1">
        <w:t>Assurance of Confidentiality Provided to Respondents</w:t>
      </w:r>
      <w:bookmarkEnd w:id="16"/>
      <w:bookmarkEnd w:id="17"/>
    </w:p>
    <w:p w:rsidR="00F7411B" w:rsidP="00F7411B" w:rsidRDefault="00477601" w14:paraId="3FB5DD2E" w14:textId="7965A1C0">
      <w:pPr>
        <w:rPr>
          <w:rStyle w:val="normaltextrun"/>
          <w:rFonts w:cstheme="minorHAnsi"/>
          <w:color w:val="000000"/>
          <w:shd w:val="clear" w:color="auto" w:fill="FFFFFF"/>
        </w:rPr>
      </w:pPr>
      <w:r>
        <w:t xml:space="preserve">Participation in all data collection activities is voluntary. All respondents will be </w:t>
      </w:r>
      <w:r>
        <w:rPr>
          <w:rFonts w:cstheme="minorHAnsi"/>
        </w:rPr>
        <w:t xml:space="preserve">informed </w:t>
      </w:r>
      <w:r w:rsidRPr="00B44AFA">
        <w:rPr>
          <w:rFonts w:cstheme="minorHAnsi"/>
        </w:rPr>
        <w:t>that their responses are confidential</w:t>
      </w:r>
      <w:r>
        <w:rPr>
          <w:rFonts w:cstheme="minorHAnsi"/>
        </w:rPr>
        <w:t>.</w:t>
      </w:r>
      <w:r w:rsidR="0054263F">
        <w:rPr>
          <w:rFonts w:cstheme="minorHAnsi"/>
        </w:rPr>
        <w:t xml:space="preserve"> </w:t>
      </w:r>
      <w:r w:rsidR="0054263F">
        <w:rPr>
          <w:rStyle w:val="normaltextrun"/>
          <w:rFonts w:cstheme="minorHAnsi"/>
          <w:color w:val="000000"/>
          <w:shd w:val="clear" w:color="auto" w:fill="FFFFFF"/>
        </w:rPr>
        <w:t xml:space="preserve">For interviews, confidentiality means that </w:t>
      </w:r>
      <w:r w:rsidR="006F349F">
        <w:rPr>
          <w:rStyle w:val="normaltextrun"/>
          <w:rFonts w:cstheme="minorHAnsi"/>
          <w:color w:val="000000"/>
          <w:shd w:val="clear" w:color="auto" w:fill="FFFFFF"/>
        </w:rPr>
        <w:t xml:space="preserve">their </w:t>
      </w:r>
      <w:r w:rsidR="0054263F">
        <w:rPr>
          <w:rStyle w:val="normaltextrun"/>
          <w:rFonts w:cstheme="minorHAnsi"/>
          <w:color w:val="000000"/>
          <w:shd w:val="clear" w:color="auto" w:fill="FFFFFF"/>
        </w:rPr>
        <w:t xml:space="preserve">responses will not be shared with anyone outside of the study team. </w:t>
      </w:r>
      <w:r w:rsidR="009855C6">
        <w:rPr>
          <w:rStyle w:val="normaltextrun"/>
          <w:rFonts w:cstheme="minorHAnsi"/>
          <w:color w:val="000000"/>
          <w:shd w:val="clear" w:color="auto" w:fill="FFFFFF"/>
        </w:rPr>
        <w:t>For focus groups, confidentiality means that the study team will not share any of their individual responses with any home visiting program or local or state agencies</w:t>
      </w:r>
      <w:r w:rsidR="00EB4C93">
        <w:rPr>
          <w:rStyle w:val="normaltextrun"/>
          <w:rFonts w:cstheme="minorHAnsi"/>
          <w:color w:val="000000"/>
          <w:shd w:val="clear" w:color="auto" w:fill="FFFFFF"/>
        </w:rPr>
        <w:t xml:space="preserve"> or in any report. However, given the nature of a focus group (i.e., multiple respondents sharing information together), </w:t>
      </w:r>
      <w:r w:rsidR="005D58F7">
        <w:rPr>
          <w:rStyle w:val="normaltextrun"/>
          <w:rFonts w:cstheme="minorHAnsi"/>
          <w:color w:val="000000"/>
          <w:shd w:val="clear" w:color="auto" w:fill="FFFFFF"/>
        </w:rPr>
        <w:t>all respondents wi</w:t>
      </w:r>
      <w:r w:rsidR="001766BC">
        <w:rPr>
          <w:rStyle w:val="normaltextrun"/>
          <w:rFonts w:cstheme="minorHAnsi"/>
          <w:color w:val="000000"/>
          <w:shd w:val="clear" w:color="auto" w:fill="FFFFFF"/>
        </w:rPr>
        <w:t xml:space="preserve">ll hear responses from </w:t>
      </w:r>
      <w:r w:rsidR="00184517">
        <w:rPr>
          <w:rStyle w:val="normaltextrun"/>
          <w:rFonts w:cstheme="minorHAnsi"/>
          <w:color w:val="000000"/>
          <w:shd w:val="clear" w:color="auto" w:fill="FFFFFF"/>
        </w:rPr>
        <w:t>the group and confidentiality cannot be fully guaranteed. The focus group facilitators will ask that respondents do not share any information or personal experiences that they hear from others during the group.</w:t>
      </w:r>
      <w:r w:rsidR="00186781">
        <w:rPr>
          <w:rStyle w:val="normaltextrun"/>
          <w:rFonts w:cstheme="minorHAnsi"/>
          <w:color w:val="000000"/>
          <w:shd w:val="clear" w:color="auto" w:fill="FFFFFF"/>
        </w:rPr>
        <w:t xml:space="preserve"> </w:t>
      </w:r>
      <w:r w:rsidR="000A4078">
        <w:rPr>
          <w:rStyle w:val="normaltextrun"/>
          <w:rFonts w:cstheme="minorHAnsi"/>
          <w:color w:val="000000"/>
          <w:shd w:val="clear" w:color="auto" w:fill="FFFFFF"/>
        </w:rPr>
        <w:t>Focus groups and interviews will be recorded</w:t>
      </w:r>
      <w:r w:rsidR="00D35D73">
        <w:rPr>
          <w:rStyle w:val="normaltextrun"/>
          <w:rFonts w:cstheme="minorHAnsi"/>
          <w:color w:val="000000"/>
          <w:shd w:val="clear" w:color="auto" w:fill="FFFFFF"/>
        </w:rPr>
        <w:t xml:space="preserve">. The recordings, notes, and </w:t>
      </w:r>
      <w:r w:rsidR="004C4EA6">
        <w:rPr>
          <w:rStyle w:val="normaltextrun"/>
          <w:rFonts w:cstheme="minorHAnsi"/>
          <w:color w:val="000000"/>
          <w:shd w:val="clear" w:color="auto" w:fill="FFFFFF"/>
        </w:rPr>
        <w:t xml:space="preserve">transcriptions will be saved to a secure drive and only the study team will have access. </w:t>
      </w:r>
      <w:r w:rsidR="005E0C1F">
        <w:rPr>
          <w:rFonts w:cstheme="minorHAnsi"/>
        </w:rPr>
        <w:t xml:space="preserve">For surveys, confidentiality means that </w:t>
      </w:r>
      <w:r w:rsidRPr="00B44AFA" w:rsidR="005E0C1F">
        <w:rPr>
          <w:rFonts w:cstheme="minorHAnsi"/>
        </w:rPr>
        <w:t xml:space="preserve">only </w:t>
      </w:r>
      <w:r w:rsidRPr="00B44AFA" w:rsidR="005E0C1F">
        <w:rPr>
          <w:rStyle w:val="normaltextrun"/>
          <w:rFonts w:cstheme="minorHAnsi"/>
          <w:color w:val="000000"/>
          <w:shd w:val="clear" w:color="auto" w:fill="FFFFFF"/>
        </w:rPr>
        <w:t>the study team will have access to their responses and that their individual responses will not be shared with any home visiting program or local or state agencies or identified in any report.</w:t>
      </w:r>
    </w:p>
    <w:p w:rsidR="00F7411B" w:rsidP="00F7411B" w:rsidRDefault="00DE2B49" w14:paraId="2F179D5E" w14:textId="46B8652B">
      <w:r>
        <w:rPr>
          <w:rFonts w:eastAsia="Calibri"/>
        </w:rPr>
        <w:t>This study was reviewed and approved by the Child Trends Institutional Review Board (IRB). See Appendix C for documentation of initial IRB approval. The Child Trends IRB operates under Federal</w:t>
      </w:r>
      <w:r w:rsidR="00290BF6">
        <w:rPr>
          <w:rFonts w:eastAsia="Calibri"/>
        </w:rPr>
        <w:t>-</w:t>
      </w:r>
      <w:r>
        <w:rPr>
          <w:rFonts w:eastAsia="Calibri"/>
        </w:rPr>
        <w:t xml:space="preserve">wide Assurance Number </w:t>
      </w:r>
      <w:r w:rsidRPr="00CC0464">
        <w:rPr>
          <w:rFonts w:eastAsia="Calibri"/>
        </w:rPr>
        <w:t>00005835</w:t>
      </w:r>
      <w:r>
        <w:rPr>
          <w:rFonts w:eastAsia="Calibri"/>
        </w:rPr>
        <w:t>, and thereby adheres to the requirements in the HHS Protection of Human Subjects regulations at 45 CFR Part 46. Final IRB approval will be obtained prior to the beginning of any data collection activities when OMB and any local approvals are in place. </w:t>
      </w:r>
    </w:p>
    <w:p w:rsidRPr="005C43A1" w:rsidR="00F7411B" w:rsidP="00F7411B" w:rsidRDefault="00F7411B" w14:paraId="06B9A969" w14:textId="6CF966E4">
      <w:pPr>
        <w:pStyle w:val="Heading2"/>
      </w:pPr>
      <w:bookmarkStart w:name="_Toc88033477" w:id="18"/>
      <w:bookmarkStart w:name="_Toc457313786" w:id="19"/>
      <w:bookmarkStart w:name="_Toc106197203" w:id="20"/>
      <w:r w:rsidRPr="005C43A1">
        <w:t>A.11</w:t>
      </w:r>
      <w:bookmarkEnd w:id="18"/>
      <w:r w:rsidR="00BB4F0B">
        <w:t xml:space="preserve"> </w:t>
      </w:r>
      <w:r w:rsidRPr="005C43A1">
        <w:t>Justification for Sensitive Questions</w:t>
      </w:r>
      <w:bookmarkEnd w:id="19"/>
      <w:bookmarkEnd w:id="20"/>
    </w:p>
    <w:p w:rsidR="00F7411B" w:rsidP="00BB7478" w:rsidRDefault="00BE6240" w14:paraId="715E8CA2" w14:textId="5959B102">
      <w:bookmarkStart w:name="_Toc88033478" w:id="21"/>
      <w:bookmarkStart w:name="_Toc457313787" w:id="22"/>
      <w:r w:rsidRPr="00BE6240">
        <w:t>Questions in some components of the</w:t>
      </w:r>
      <w:r>
        <w:t xml:space="preserve"> focus group and survey </w:t>
      </w:r>
      <w:r w:rsidR="009C13A1">
        <w:t>protocols</w:t>
      </w:r>
      <w:r w:rsidRPr="00BE6240">
        <w:t xml:space="preserve"> are potentially sensitive for respondents. </w:t>
      </w:r>
      <w:r w:rsidR="00046D97">
        <w:t>For example, i</w:t>
      </w:r>
      <w:r w:rsidR="009C13A1">
        <w:t>n the focus groups,</w:t>
      </w:r>
      <w:r w:rsidR="00663C26">
        <w:t xml:space="preserve"> respondents are asked about sensitive topics related to the impacts of COVID-19</w:t>
      </w:r>
      <w:r w:rsidR="006638A6">
        <w:t xml:space="preserve"> on their health, mental health, employment,</w:t>
      </w:r>
      <w:r w:rsidR="005A03CA">
        <w:t xml:space="preserve"> need for services,</w:t>
      </w:r>
      <w:r w:rsidR="006F349F">
        <w:t xml:space="preserve"> barriers to </w:t>
      </w:r>
      <w:r w:rsidR="00B86E3A">
        <w:t xml:space="preserve">meeting </w:t>
      </w:r>
      <w:r w:rsidR="00B86E3A">
        <w:rPr>
          <w:bCs/>
        </w:rPr>
        <w:t xml:space="preserve">their needs related to their lived experiences, including their race, ethnicity, sexual orientation, disability status, or nationality, </w:t>
      </w:r>
      <w:r w:rsidR="006638A6">
        <w:t xml:space="preserve">and their families’ health. </w:t>
      </w:r>
      <w:r w:rsidR="00046D97">
        <w:t xml:space="preserve">Respondents are also asked </w:t>
      </w:r>
      <w:r w:rsidR="00100B81">
        <w:t>about issues related to social determinants of health including structural racism.</w:t>
      </w:r>
      <w:r w:rsidR="00CF44C1">
        <w:t xml:space="preserve"> </w:t>
      </w:r>
      <w:r w:rsidR="00CF44C1">
        <w:rPr>
          <w:bCs/>
        </w:rPr>
        <w:t xml:space="preserve">For respondents who experienced trauma and loss during the pandemic, or who have experienced discrimination based on some aspect of their identity, these questions may cause psychological discomfort and upset. To minimize this risk, every effort will be made to establish a supportive and respectful relationship with respondents, and respondents will be reminded that they are free to refrain from answering questions or excuse themselves from participating at any time. </w:t>
      </w:r>
      <w:r w:rsidR="00D1354D">
        <w:t>These questions are being asked to</w:t>
      </w:r>
      <w:r w:rsidR="00CC1EDC">
        <w:t xml:space="preserve"> better understand how </w:t>
      </w:r>
      <w:r w:rsidR="005A03CA">
        <w:lastRenderedPageBreak/>
        <w:t>these issues have impacted families in the community and how home visiting and other community services have responded to address families’ needs.</w:t>
      </w:r>
      <w:r w:rsidR="009025B0">
        <w:t xml:space="preserve"> </w:t>
      </w:r>
    </w:p>
    <w:p w:rsidR="00235C15" w:rsidP="00BB7478" w:rsidRDefault="00100B81" w14:paraId="353359AE" w14:textId="0371BF2F">
      <w:r w:rsidRPr="00D1354D">
        <w:t>In the surveys</w:t>
      </w:r>
      <w:r w:rsidR="00D1354D">
        <w:t>,</w:t>
      </w:r>
      <w:r w:rsidRPr="00D1354D">
        <w:t xml:space="preserve"> respondents are asked about their well-being and m</w:t>
      </w:r>
      <w:r w:rsidRPr="00D1354D" w:rsidR="00235C15">
        <w:t>ental health</w:t>
      </w:r>
      <w:r w:rsidRPr="00D1354D">
        <w:t xml:space="preserve">. These </w:t>
      </w:r>
      <w:r w:rsidRPr="00D1354D" w:rsidR="00235C15">
        <w:t xml:space="preserve">questions are being asked because </w:t>
      </w:r>
      <w:r w:rsidRPr="00D1354D" w:rsidR="00BB104C">
        <w:t xml:space="preserve">previous work has shown that home visitors and community services providers </w:t>
      </w:r>
      <w:r w:rsidR="00C118C8">
        <w:t>have</w:t>
      </w:r>
      <w:r w:rsidRPr="00D1354D" w:rsidR="00BB104C">
        <w:t xml:space="preserve"> </w:t>
      </w:r>
      <w:r w:rsidRPr="00D1354D" w:rsidR="00D1354D">
        <w:t>experienced</w:t>
      </w:r>
      <w:r w:rsidRPr="00D1354D" w:rsidR="00BB104C">
        <w:t xml:space="preserve"> high rates of </w:t>
      </w:r>
      <w:r w:rsidRPr="00D1354D" w:rsidR="00D1354D">
        <w:t>stress and depressive symptoms during COVID-19</w:t>
      </w:r>
      <w:r w:rsidR="00DD039B">
        <w:t>.</w:t>
      </w:r>
      <w:r w:rsidR="00C012E3">
        <w:rPr>
          <w:rStyle w:val="EndnoteReference"/>
        </w:rPr>
        <w:endnoteReference w:id="5"/>
      </w:r>
      <w:r w:rsidRPr="00DD039B" w:rsidR="00DD039B">
        <w:rPr>
          <w:vertAlign w:val="superscript"/>
        </w:rPr>
        <w:t>,</w:t>
      </w:r>
      <w:r w:rsidR="00E96540">
        <w:rPr>
          <w:rStyle w:val="EndnoteReference"/>
        </w:rPr>
        <w:endnoteReference w:id="6"/>
      </w:r>
      <w:r w:rsidRPr="00D1354D" w:rsidR="00D1354D">
        <w:t xml:space="preserve"> P</w:t>
      </w:r>
      <w:r w:rsidRPr="00D1354D" w:rsidR="00235C15">
        <w:t xml:space="preserve">revious research has </w:t>
      </w:r>
      <w:r w:rsidR="001D1773">
        <w:t xml:space="preserve">also </w:t>
      </w:r>
      <w:r w:rsidRPr="00D1354D" w:rsidR="00235C15">
        <w:t xml:space="preserve">found that </w:t>
      </w:r>
      <w:r w:rsidRPr="00D1354D" w:rsidR="00D1354D">
        <w:t>provider</w:t>
      </w:r>
      <w:r w:rsidRPr="00D1354D" w:rsidR="00235C15">
        <w:t xml:space="preserve"> psychological well-being influences family engagement</w:t>
      </w:r>
      <w:r w:rsidRPr="00D1354D" w:rsidR="00D1354D">
        <w:t xml:space="preserve"> and </w:t>
      </w:r>
      <w:r w:rsidRPr="00D1354D" w:rsidR="00235C15">
        <w:t>turnover.</w:t>
      </w:r>
      <w:r w:rsidR="00A675FD">
        <w:rPr>
          <w:rStyle w:val="EndnoteReference"/>
        </w:rPr>
        <w:endnoteReference w:id="7"/>
      </w:r>
      <w:r w:rsidRPr="009262A0" w:rsidR="009262A0">
        <w:rPr>
          <w:vertAlign w:val="superscript"/>
        </w:rPr>
        <w:t>,</w:t>
      </w:r>
      <w:r w:rsidR="00A675FD">
        <w:rPr>
          <w:rStyle w:val="EndnoteReference"/>
        </w:rPr>
        <w:endnoteReference w:id="8"/>
      </w:r>
      <w:r w:rsidRPr="00D1354D" w:rsidR="00235C15">
        <w:t xml:space="preserve"> The well-being </w:t>
      </w:r>
      <w:r w:rsidRPr="00D1354D" w:rsidR="00D1354D">
        <w:t xml:space="preserve">and mental health </w:t>
      </w:r>
      <w:r w:rsidRPr="00D1354D" w:rsidR="00235C15">
        <w:t>questions used in the surveys are from standardized measures or have been used in other studies of home visiting with no evidence of harm.</w:t>
      </w:r>
    </w:p>
    <w:p w:rsidRPr="00394ED9" w:rsidR="00394ED9" w:rsidP="00394ED9" w:rsidRDefault="00394ED9" w14:paraId="590B46C1" w14:textId="1B21B670">
      <w:r w:rsidRPr="00B44AFA">
        <w:rPr>
          <w:rFonts w:cstheme="minorHAnsi"/>
        </w:rPr>
        <w:t>As part of the consent process</w:t>
      </w:r>
      <w:r w:rsidR="00CF44C1">
        <w:rPr>
          <w:rFonts w:cstheme="minorHAnsi"/>
        </w:rPr>
        <w:t xml:space="preserve"> for all activities</w:t>
      </w:r>
      <w:r w:rsidRPr="00B44AFA">
        <w:rPr>
          <w:rFonts w:cstheme="minorHAnsi"/>
        </w:rPr>
        <w:t>, respondents will be informed that sensitive questions will be asked</w:t>
      </w:r>
      <w:r w:rsidRPr="00B44AFA" w:rsidR="007E426C">
        <w:rPr>
          <w:rFonts w:cstheme="minorHAnsi"/>
        </w:rPr>
        <w:t xml:space="preserve"> and that they may be asked to share about their experiences during the COVID-19 pandemic</w:t>
      </w:r>
      <w:r w:rsidRPr="00B44AFA">
        <w:rPr>
          <w:rFonts w:cstheme="minorHAnsi"/>
        </w:rPr>
        <w:t>.</w:t>
      </w:r>
      <w:r w:rsidRPr="00B44AFA" w:rsidR="007E426C">
        <w:rPr>
          <w:rFonts w:cstheme="minorHAnsi"/>
        </w:rPr>
        <w:t xml:space="preserve"> Respondents will be told that it is their choice to share what they are comfortable sharing and that they are able to skip questions they are not comfortable answering. They will also be told that their responses are confidential, </w:t>
      </w:r>
      <w:r w:rsidRPr="00B44AFA" w:rsidR="00B44AFA">
        <w:rPr>
          <w:rFonts w:cstheme="minorHAnsi"/>
        </w:rPr>
        <w:t xml:space="preserve">only </w:t>
      </w:r>
      <w:r w:rsidRPr="00B44AFA" w:rsidR="007E426C">
        <w:rPr>
          <w:rStyle w:val="normaltextrun"/>
          <w:rFonts w:cstheme="minorHAnsi"/>
          <w:color w:val="000000"/>
          <w:shd w:val="clear" w:color="auto" w:fill="FFFFFF"/>
        </w:rPr>
        <w:t>the study team will have access to th</w:t>
      </w:r>
      <w:r w:rsidRPr="00B44AFA" w:rsidR="00B44AFA">
        <w:rPr>
          <w:rStyle w:val="normaltextrun"/>
          <w:rFonts w:cstheme="minorHAnsi"/>
          <w:color w:val="000000"/>
          <w:shd w:val="clear" w:color="auto" w:fill="FFFFFF"/>
        </w:rPr>
        <w:t>eir responses</w:t>
      </w:r>
      <w:r w:rsidR="008B66AB">
        <w:rPr>
          <w:rStyle w:val="normaltextrun"/>
          <w:rFonts w:cstheme="minorHAnsi"/>
          <w:color w:val="000000"/>
          <w:shd w:val="clear" w:color="auto" w:fill="FFFFFF"/>
        </w:rPr>
        <w:t xml:space="preserve"> (with the exception of focus group participants)</w:t>
      </w:r>
      <w:r w:rsidRPr="00B44AFA" w:rsidR="00B44AFA">
        <w:rPr>
          <w:rStyle w:val="normaltextrun"/>
          <w:rFonts w:cstheme="minorHAnsi"/>
          <w:color w:val="000000"/>
          <w:shd w:val="clear" w:color="auto" w:fill="FFFFFF"/>
        </w:rPr>
        <w:t>, and that their individual responses will not be shared with any home visiting program or local or state agencies or identified in any report.</w:t>
      </w:r>
      <w:r w:rsidRPr="00B44AFA" w:rsidR="007E426C">
        <w:rPr>
          <w:rFonts w:cstheme="minorHAnsi"/>
        </w:rPr>
        <w:t xml:space="preserve"> </w:t>
      </w:r>
      <w:r w:rsidRPr="00B44AFA">
        <w:rPr>
          <w:rFonts w:cstheme="minorHAnsi"/>
        </w:rPr>
        <w:t xml:space="preserve"> </w:t>
      </w:r>
    </w:p>
    <w:p w:rsidRPr="00B0565E" w:rsidR="00F7411B" w:rsidP="00F7411B" w:rsidRDefault="00F7411B" w14:paraId="1B2D8414" w14:textId="3C2D0216">
      <w:pPr>
        <w:pStyle w:val="Heading2"/>
      </w:pPr>
      <w:bookmarkStart w:name="_Toc106197204" w:id="23"/>
      <w:r w:rsidRPr="005C43A1">
        <w:t>A.12</w:t>
      </w:r>
      <w:bookmarkEnd w:id="21"/>
      <w:r w:rsidR="00BB4F0B">
        <w:t xml:space="preserve"> </w:t>
      </w:r>
      <w:r w:rsidRPr="005A677E">
        <w:t>Estimates of Annualized Burden Hours and Costs</w:t>
      </w:r>
      <w:bookmarkStart w:name="_Toc273528741" w:id="24"/>
      <w:bookmarkStart w:name="_Toc275433773" w:id="25"/>
      <w:r w:rsidRPr="005A677E">
        <w:t xml:space="preserve"> to Respondents</w:t>
      </w:r>
      <w:bookmarkEnd w:id="22"/>
      <w:bookmarkEnd w:id="24"/>
      <w:bookmarkEnd w:id="25"/>
      <w:bookmarkEnd w:id="23"/>
    </w:p>
    <w:p w:rsidRPr="005A677E" w:rsidR="00F7411B" w:rsidP="00F7411B" w:rsidRDefault="00F7411B" w14:paraId="3C30AB3D" w14:textId="74FD1AE6">
      <w:pPr>
        <w:pStyle w:val="Heading3"/>
      </w:pPr>
      <w:bookmarkStart w:name="_Toc275433774" w:id="26"/>
      <w:bookmarkStart w:name="_Toc457313788" w:id="27"/>
      <w:bookmarkStart w:name="_Toc106197205" w:id="28"/>
      <w:r w:rsidRPr="005A677E">
        <w:t>A.12.1</w:t>
      </w:r>
      <w:r w:rsidRPr="005A677E">
        <w:tab/>
        <w:t>Estimated Annualized Burden Hour</w:t>
      </w:r>
      <w:bookmarkEnd w:id="26"/>
      <w:bookmarkEnd w:id="27"/>
      <w:r w:rsidR="00F575E2">
        <w:t>s</w:t>
      </w:r>
      <w:bookmarkEnd w:id="28"/>
    </w:p>
    <w:p w:rsidR="00082EBA" w:rsidP="00C35432" w:rsidRDefault="00974164" w14:paraId="4BBEBEE2" w14:textId="14A78352">
      <w:pPr>
        <w:pStyle w:val="BodyText1"/>
        <w:spacing w:line="259" w:lineRule="auto"/>
        <w:rPr>
          <w:sz w:val="22"/>
        </w:rPr>
      </w:pPr>
      <w:bookmarkStart w:name="_Toc275433791" w:id="29"/>
      <w:bookmarkStart w:name="_Toc307224724" w:id="30"/>
      <w:r w:rsidRPr="00C35432">
        <w:rPr>
          <w:sz w:val="22"/>
        </w:rPr>
        <w:t>For each data collection protocol, t</w:t>
      </w:r>
      <w:r w:rsidRPr="00C35432" w:rsidR="00082EBA">
        <w:rPr>
          <w:sz w:val="22"/>
        </w:rPr>
        <w:t>he data collection process will be conducted only once</w:t>
      </w:r>
      <w:r w:rsidRPr="00C35432">
        <w:rPr>
          <w:sz w:val="22"/>
        </w:rPr>
        <w:t>.</w:t>
      </w:r>
      <w:r w:rsidRPr="00C35432" w:rsidR="00082EBA">
        <w:rPr>
          <w:sz w:val="22"/>
        </w:rPr>
        <w:t xml:space="preserve"> </w:t>
      </w:r>
      <w:r w:rsidRPr="00C35432">
        <w:rPr>
          <w:sz w:val="22"/>
        </w:rPr>
        <w:t>T</w:t>
      </w:r>
      <w:r w:rsidRPr="00C35432" w:rsidR="00082EBA">
        <w:rPr>
          <w:sz w:val="22"/>
        </w:rPr>
        <w:t xml:space="preserve">he estimated burden per </w:t>
      </w:r>
      <w:r w:rsidRPr="00C35432">
        <w:rPr>
          <w:sz w:val="22"/>
        </w:rPr>
        <w:t>responde</w:t>
      </w:r>
      <w:r w:rsidRPr="00C35432" w:rsidR="00B80483">
        <w:rPr>
          <w:sz w:val="22"/>
        </w:rPr>
        <w:t>nt</w:t>
      </w:r>
      <w:r w:rsidRPr="00C35432">
        <w:rPr>
          <w:sz w:val="22"/>
        </w:rPr>
        <w:t xml:space="preserve"> varies (as shown </w:t>
      </w:r>
      <w:r w:rsidRPr="00C35432" w:rsidR="00D44A23">
        <w:rPr>
          <w:sz w:val="22"/>
        </w:rPr>
        <w:t xml:space="preserve">in Table </w:t>
      </w:r>
      <w:r w:rsidR="005D7B9F">
        <w:rPr>
          <w:sz w:val="22"/>
        </w:rPr>
        <w:t>3</w:t>
      </w:r>
      <w:r w:rsidRPr="00C35432">
        <w:rPr>
          <w:sz w:val="22"/>
        </w:rPr>
        <w:t>)</w:t>
      </w:r>
      <w:r w:rsidRPr="00C35432" w:rsidR="00082EBA">
        <w:rPr>
          <w:sz w:val="22"/>
        </w:rPr>
        <w:t xml:space="preserve">. </w:t>
      </w:r>
      <w:r w:rsidRPr="00C35432" w:rsidR="00B80483">
        <w:rPr>
          <w:sz w:val="22"/>
        </w:rPr>
        <w:t>The total burden for this information collection is</w:t>
      </w:r>
      <w:r w:rsidR="00EE7C18">
        <w:rPr>
          <w:sz w:val="22"/>
        </w:rPr>
        <w:t xml:space="preserve"> 1095</w:t>
      </w:r>
      <w:r w:rsidRPr="00C35432" w:rsidR="00B80483">
        <w:rPr>
          <w:sz w:val="22"/>
        </w:rPr>
        <w:t xml:space="preserve"> hours.</w:t>
      </w:r>
      <w:r w:rsidR="00AA1227">
        <w:rPr>
          <w:sz w:val="22"/>
        </w:rPr>
        <w:t xml:space="preserve"> </w:t>
      </w:r>
      <w:r w:rsidRPr="00AA1227" w:rsidR="00AA1227">
        <w:rPr>
          <w:sz w:val="22"/>
        </w:rPr>
        <w:t>There may be variation in the number of</w:t>
      </w:r>
      <w:r w:rsidR="00AA1227">
        <w:rPr>
          <w:sz w:val="22"/>
        </w:rPr>
        <w:t xml:space="preserve"> respondents</w:t>
      </w:r>
      <w:r w:rsidRPr="00AA1227" w:rsidR="00AA1227">
        <w:rPr>
          <w:sz w:val="22"/>
        </w:rPr>
        <w:t xml:space="preserve"> in each community (e.g., some selected communities may have fewer home visitors). The total </w:t>
      </w:r>
      <w:r w:rsidR="00AA1227">
        <w:rPr>
          <w:sz w:val="22"/>
        </w:rPr>
        <w:t>burden hours</w:t>
      </w:r>
      <w:r w:rsidRPr="00AA1227" w:rsidR="00AA1227">
        <w:rPr>
          <w:sz w:val="22"/>
        </w:rPr>
        <w:t xml:space="preserve"> presented here assum</w:t>
      </w:r>
      <w:r w:rsidR="00AA1227">
        <w:rPr>
          <w:sz w:val="22"/>
        </w:rPr>
        <w:t>es</w:t>
      </w:r>
      <w:r w:rsidRPr="00AA1227" w:rsidR="00AA1227">
        <w:rPr>
          <w:sz w:val="22"/>
        </w:rPr>
        <w:t xml:space="preserve"> the maximum number of respondents in each community.</w:t>
      </w:r>
      <w:r w:rsidRPr="00C35432" w:rsidR="00B80483">
        <w:rPr>
          <w:sz w:val="22"/>
        </w:rPr>
        <w:t xml:space="preserve"> </w:t>
      </w:r>
      <w:r w:rsidRPr="00C35432" w:rsidR="00082EBA">
        <w:rPr>
          <w:sz w:val="22"/>
        </w:rPr>
        <w:t xml:space="preserve">This burden estimate </w:t>
      </w:r>
      <w:r w:rsidRPr="00C35432" w:rsidR="00B2696E">
        <w:rPr>
          <w:sz w:val="22"/>
        </w:rPr>
        <w:t>includes the time expended by persons to generate, maintain, retain, disclose, or provide the information requested. This includes the time needed to review instructions; to develop, acquire, install, and utilize technology and systems for the purpose of collecting, validating, and verifying information, processing and maintaining information, and disclosing and providing information; to train personnel and to be able to respond to a collection of information; to search data sources; to complete and review the collection of information; and to transmit or otherwise disclose the information. The burden estimate</w:t>
      </w:r>
      <w:r w:rsidRPr="00C35432" w:rsidR="000E2B85">
        <w:rPr>
          <w:sz w:val="22"/>
        </w:rPr>
        <w:t>s</w:t>
      </w:r>
      <w:r w:rsidR="009779E9">
        <w:rPr>
          <w:sz w:val="22"/>
        </w:rPr>
        <w:t xml:space="preserve"> for the program data collection</w:t>
      </w:r>
      <w:r w:rsidRPr="00C35432" w:rsidR="00B2696E">
        <w:rPr>
          <w:sz w:val="22"/>
        </w:rPr>
        <w:t xml:space="preserve"> </w:t>
      </w:r>
      <w:r w:rsidRPr="00C35432" w:rsidR="00082EBA">
        <w:rPr>
          <w:sz w:val="22"/>
        </w:rPr>
        <w:t>h</w:t>
      </w:r>
      <w:r w:rsidRPr="00C35432" w:rsidR="000E2B85">
        <w:rPr>
          <w:sz w:val="22"/>
        </w:rPr>
        <w:t>ave</w:t>
      </w:r>
      <w:r w:rsidRPr="00C35432" w:rsidR="00082EBA">
        <w:rPr>
          <w:sz w:val="22"/>
        </w:rPr>
        <w:t xml:space="preserve"> been revised to reflect</w:t>
      </w:r>
      <w:r w:rsidRPr="00C35432" w:rsidR="007A796F">
        <w:rPr>
          <w:sz w:val="22"/>
        </w:rPr>
        <w:t xml:space="preserve"> consultation with a sample of potential responden</w:t>
      </w:r>
      <w:r w:rsidRPr="009D3569" w:rsidR="007A796F">
        <w:rPr>
          <w:sz w:val="22"/>
        </w:rPr>
        <w:t>ts</w:t>
      </w:r>
      <w:r w:rsidRPr="009D3569" w:rsidR="00082EBA">
        <w:rPr>
          <w:sz w:val="22"/>
        </w:rPr>
        <w:t xml:space="preserve"> </w:t>
      </w:r>
      <w:r w:rsidRPr="009D3569" w:rsidR="007A796F">
        <w:rPr>
          <w:sz w:val="22"/>
        </w:rPr>
        <w:t xml:space="preserve">and </w:t>
      </w:r>
      <w:r w:rsidRPr="009D3569" w:rsidR="00082EBA">
        <w:rPr>
          <w:sz w:val="22"/>
        </w:rPr>
        <w:t>comments received in response to the 60-day Federal Register Notice public comment period.</w:t>
      </w:r>
      <w:r w:rsidRPr="009D3569" w:rsidR="009779E9">
        <w:rPr>
          <w:sz w:val="22"/>
        </w:rPr>
        <w:t xml:space="preserve"> Other burden estimates have remained the same but the number of items for the data collection instruments has been significantly reduced</w:t>
      </w:r>
      <w:r w:rsidR="00112025">
        <w:rPr>
          <w:sz w:val="22"/>
        </w:rPr>
        <w:t xml:space="preserve"> (as described in Section B.4)</w:t>
      </w:r>
      <w:r w:rsidRPr="009D3569" w:rsidR="009779E9">
        <w:rPr>
          <w:sz w:val="22"/>
        </w:rPr>
        <w:t>.</w:t>
      </w:r>
    </w:p>
    <w:p w:rsidRPr="00C35432" w:rsidR="001F5127" w:rsidP="00C35432" w:rsidRDefault="001F5127" w14:paraId="2D47A679" w14:textId="77777777">
      <w:pPr>
        <w:pStyle w:val="BodyText1"/>
        <w:spacing w:line="259" w:lineRule="auto"/>
        <w:rPr>
          <w:sz w:val="22"/>
        </w:rPr>
      </w:pPr>
    </w:p>
    <w:p w:rsidRPr="001223CE" w:rsidR="00F7411B" w:rsidP="008C1325" w:rsidRDefault="00420D9D" w14:paraId="3A2109EE" w14:textId="0632617F">
      <w:pPr>
        <w:pStyle w:val="FigureTitle"/>
        <w:rPr>
          <w:rFonts w:asciiTheme="minorHAnsi" w:hAnsiTheme="minorHAnsi" w:cstheme="minorHAnsi"/>
          <w:sz w:val="22"/>
          <w:szCs w:val="22"/>
          <w:vertAlign w:val="superscript"/>
        </w:rPr>
      </w:pPr>
      <w:r w:rsidRPr="001223CE">
        <w:rPr>
          <w:rFonts w:asciiTheme="minorHAnsi" w:hAnsiTheme="minorHAnsi" w:cstheme="minorHAnsi"/>
          <w:sz w:val="22"/>
          <w:szCs w:val="22"/>
        </w:rPr>
        <w:lastRenderedPageBreak/>
        <w:t xml:space="preserve">Table </w:t>
      </w:r>
      <w:r w:rsidRPr="001223CE" w:rsidR="005D7B9F">
        <w:rPr>
          <w:rFonts w:asciiTheme="minorHAnsi" w:hAnsiTheme="minorHAnsi" w:cstheme="minorHAnsi"/>
          <w:sz w:val="22"/>
          <w:szCs w:val="22"/>
        </w:rPr>
        <w:t>3</w:t>
      </w:r>
      <w:r w:rsidRPr="001223CE" w:rsidR="00F7411B">
        <w:rPr>
          <w:rFonts w:asciiTheme="minorHAnsi" w:hAnsiTheme="minorHAnsi" w:cstheme="minorHAnsi"/>
          <w:sz w:val="22"/>
          <w:szCs w:val="22"/>
        </w:rPr>
        <w:t>.</w:t>
      </w:r>
      <w:r w:rsidRPr="001223CE" w:rsidR="008C1325">
        <w:rPr>
          <w:rFonts w:asciiTheme="minorHAnsi" w:hAnsiTheme="minorHAnsi" w:cstheme="minorHAnsi"/>
          <w:sz w:val="22"/>
          <w:szCs w:val="22"/>
        </w:rPr>
        <w:t xml:space="preserve"> </w:t>
      </w:r>
      <w:r w:rsidRPr="001223CE" w:rsidR="00F7411B">
        <w:rPr>
          <w:rFonts w:asciiTheme="minorHAnsi" w:hAnsiTheme="minorHAnsi" w:cstheme="minorHAnsi"/>
          <w:sz w:val="22"/>
          <w:szCs w:val="22"/>
        </w:rPr>
        <w:t>Estimated Annualized Burden Hours</w:t>
      </w:r>
      <w:bookmarkEnd w:id="29"/>
      <w:bookmarkEnd w:id="30"/>
      <w:r w:rsidRPr="001223CE" w:rsidR="00BB48C9">
        <w:rPr>
          <w:rFonts w:asciiTheme="minorHAnsi" w:hAnsiTheme="minorHAnsi" w:cstheme="minorHAnsi"/>
          <w:sz w:val="22"/>
          <w:szCs w:val="22"/>
          <w:vertAlign w:val="superscript"/>
        </w:rPr>
        <w:t>1</w:t>
      </w:r>
    </w:p>
    <w:tbl>
      <w:tblPr>
        <w:tblW w:w="9982" w:type="dxa"/>
        <w:jc w:val="center"/>
        <w:tblLayout w:type="fixed"/>
        <w:tblCellMar>
          <w:left w:w="100" w:type="dxa"/>
          <w:right w:w="100" w:type="dxa"/>
        </w:tblCellMar>
        <w:tblLook w:val="0000" w:firstRow="0" w:lastRow="0" w:firstColumn="0" w:lastColumn="0" w:noHBand="0" w:noVBand="0"/>
      </w:tblPr>
      <w:tblGrid>
        <w:gridCol w:w="2004"/>
        <w:gridCol w:w="1440"/>
        <w:gridCol w:w="1710"/>
        <w:gridCol w:w="1350"/>
        <w:gridCol w:w="2070"/>
        <w:gridCol w:w="1408"/>
      </w:tblGrid>
      <w:tr w:rsidRPr="00886911" w:rsidR="008C1325" w:rsidTr="009E7793" w14:paraId="4ACA188A" w14:textId="77777777">
        <w:trPr>
          <w:cantSplit/>
          <w:trHeight w:val="403"/>
          <w:tblHeader/>
          <w:jc w:val="center"/>
        </w:trPr>
        <w:tc>
          <w:tcPr>
            <w:tcW w:w="2004" w:type="dxa"/>
            <w:tcBorders>
              <w:top w:val="single" w:color="auto" w:sz="6" w:space="0"/>
              <w:left w:val="single" w:color="auto" w:sz="6" w:space="0"/>
              <w:bottom w:val="double" w:color="auto" w:sz="4" w:space="0"/>
              <w:right w:val="nil"/>
            </w:tcBorders>
          </w:tcPr>
          <w:p w:rsidRPr="00EE083E" w:rsidR="008C1325" w:rsidP="009918B9" w:rsidRDefault="008C1325" w14:paraId="7CE26207" w14:textId="77777777">
            <w:pPr>
              <w:jc w:val="center"/>
              <w:rPr>
                <w:rFonts w:cstheme="minorHAnsi"/>
                <w:b/>
              </w:rPr>
            </w:pPr>
            <w:bookmarkStart w:name="_Toc275433775" w:id="31"/>
            <w:bookmarkStart w:name="_Toc457313789" w:id="32"/>
          </w:p>
          <w:p w:rsidRPr="00EE083E" w:rsidR="008C1325" w:rsidP="009918B9" w:rsidRDefault="008C1325" w14:paraId="13D7AE3E" w14:textId="77777777">
            <w:pPr>
              <w:jc w:val="center"/>
              <w:rPr>
                <w:rFonts w:cstheme="minorHAnsi"/>
                <w:b/>
              </w:rPr>
            </w:pPr>
          </w:p>
          <w:p w:rsidRPr="00EE083E" w:rsidR="008C1325" w:rsidP="009918B9" w:rsidRDefault="008C1325" w14:paraId="54443233" w14:textId="77777777">
            <w:pPr>
              <w:jc w:val="center"/>
              <w:rPr>
                <w:rFonts w:cstheme="minorHAnsi"/>
                <w:b/>
              </w:rPr>
            </w:pPr>
            <w:r w:rsidRPr="00EE083E">
              <w:rPr>
                <w:rFonts w:cstheme="minorHAnsi"/>
                <w:b/>
              </w:rPr>
              <w:t>Form Name</w:t>
            </w:r>
          </w:p>
        </w:tc>
        <w:tc>
          <w:tcPr>
            <w:tcW w:w="1440" w:type="dxa"/>
            <w:tcBorders>
              <w:top w:val="single" w:color="auto" w:sz="6" w:space="0"/>
              <w:left w:val="single" w:color="auto" w:sz="6" w:space="0"/>
              <w:bottom w:val="double" w:color="auto" w:sz="4" w:space="0"/>
              <w:right w:val="nil"/>
            </w:tcBorders>
          </w:tcPr>
          <w:p w:rsidRPr="00EE083E" w:rsidR="008C1325" w:rsidP="009918B9" w:rsidRDefault="008C1325" w14:paraId="5746B8C6" w14:textId="77777777">
            <w:pPr>
              <w:jc w:val="center"/>
              <w:rPr>
                <w:rFonts w:cstheme="minorHAnsi"/>
                <w:b/>
              </w:rPr>
            </w:pPr>
            <w:r w:rsidRPr="00EE083E">
              <w:rPr>
                <w:rFonts w:cstheme="minorHAnsi"/>
                <w:b/>
              </w:rPr>
              <w:t>Number of Respondents</w:t>
            </w:r>
          </w:p>
        </w:tc>
        <w:tc>
          <w:tcPr>
            <w:tcW w:w="1710" w:type="dxa"/>
            <w:tcBorders>
              <w:top w:val="single" w:color="auto" w:sz="6" w:space="0"/>
              <w:left w:val="single" w:color="auto" w:sz="6" w:space="0"/>
              <w:bottom w:val="double" w:color="auto" w:sz="4" w:space="0"/>
              <w:right w:val="nil"/>
            </w:tcBorders>
          </w:tcPr>
          <w:p w:rsidRPr="00EE083E" w:rsidR="008C1325" w:rsidP="009918B9" w:rsidRDefault="008C1325" w14:paraId="4F2B737F" w14:textId="77777777">
            <w:pPr>
              <w:jc w:val="center"/>
              <w:rPr>
                <w:rFonts w:cstheme="minorHAnsi"/>
                <w:b/>
              </w:rPr>
            </w:pPr>
            <w:r w:rsidRPr="00EE083E">
              <w:rPr>
                <w:rFonts w:cstheme="minorHAnsi"/>
                <w:b/>
              </w:rPr>
              <w:t>Number of Responses per Respondent</w:t>
            </w:r>
          </w:p>
        </w:tc>
        <w:tc>
          <w:tcPr>
            <w:tcW w:w="1350" w:type="dxa"/>
            <w:tcBorders>
              <w:top w:val="single" w:color="auto" w:sz="6" w:space="0"/>
              <w:left w:val="single" w:color="auto" w:sz="6" w:space="0"/>
              <w:bottom w:val="double" w:color="auto" w:sz="4" w:space="0"/>
              <w:right w:val="nil"/>
            </w:tcBorders>
          </w:tcPr>
          <w:p w:rsidRPr="00EE083E" w:rsidR="008C1325" w:rsidP="009918B9" w:rsidRDefault="008C1325" w14:paraId="50FABABC" w14:textId="77777777">
            <w:pPr>
              <w:jc w:val="center"/>
              <w:rPr>
                <w:rFonts w:cstheme="minorHAnsi"/>
                <w:b/>
              </w:rPr>
            </w:pPr>
            <w:r w:rsidRPr="00EE083E">
              <w:rPr>
                <w:rFonts w:cstheme="minorHAnsi"/>
                <w:b/>
              </w:rPr>
              <w:t>Total Responses</w:t>
            </w:r>
          </w:p>
        </w:tc>
        <w:tc>
          <w:tcPr>
            <w:tcW w:w="2070" w:type="dxa"/>
            <w:tcBorders>
              <w:top w:val="single" w:color="auto" w:sz="6" w:space="0"/>
              <w:left w:val="single" w:color="auto" w:sz="6" w:space="0"/>
              <w:bottom w:val="double" w:color="auto" w:sz="4" w:space="0"/>
              <w:right w:val="nil"/>
            </w:tcBorders>
          </w:tcPr>
          <w:p w:rsidRPr="00EE083E" w:rsidR="008C1325" w:rsidP="009918B9" w:rsidRDefault="008C1325" w14:paraId="3DDA91D8" w14:textId="77777777">
            <w:pPr>
              <w:jc w:val="center"/>
              <w:rPr>
                <w:rFonts w:cstheme="minorHAnsi"/>
                <w:b/>
              </w:rPr>
            </w:pPr>
            <w:r w:rsidRPr="00EE083E">
              <w:rPr>
                <w:rFonts w:cstheme="minorHAnsi"/>
                <w:b/>
              </w:rPr>
              <w:t>Average Burden per Response (in hours)</w:t>
            </w:r>
          </w:p>
        </w:tc>
        <w:tc>
          <w:tcPr>
            <w:tcW w:w="1408" w:type="dxa"/>
            <w:tcBorders>
              <w:top w:val="single" w:color="auto" w:sz="6" w:space="0"/>
              <w:left w:val="single" w:color="auto" w:sz="6" w:space="0"/>
              <w:bottom w:val="double" w:color="auto" w:sz="4" w:space="0"/>
              <w:right w:val="single" w:color="auto" w:sz="6" w:space="0"/>
            </w:tcBorders>
          </w:tcPr>
          <w:p w:rsidRPr="00EE083E" w:rsidR="008C1325" w:rsidP="009918B9" w:rsidRDefault="008C1325" w14:paraId="0519D341" w14:textId="77777777">
            <w:pPr>
              <w:jc w:val="center"/>
              <w:rPr>
                <w:rFonts w:cstheme="minorHAnsi"/>
                <w:b/>
              </w:rPr>
            </w:pPr>
            <w:r w:rsidRPr="00EE083E">
              <w:rPr>
                <w:rFonts w:cstheme="minorHAnsi"/>
                <w:b/>
              </w:rPr>
              <w:t>Total Burden Hours</w:t>
            </w:r>
          </w:p>
        </w:tc>
      </w:tr>
      <w:tr w:rsidRPr="00886911" w:rsidR="008C1325" w:rsidTr="009E7793" w14:paraId="56D14DE8" w14:textId="77777777">
        <w:trPr>
          <w:cantSplit/>
          <w:trHeight w:val="403"/>
          <w:jc w:val="center"/>
        </w:trPr>
        <w:tc>
          <w:tcPr>
            <w:tcW w:w="2004" w:type="dxa"/>
            <w:tcBorders>
              <w:top w:val="double" w:color="auto" w:sz="4" w:space="0"/>
              <w:left w:val="single" w:color="auto" w:sz="6" w:space="0"/>
              <w:bottom w:val="nil"/>
              <w:right w:val="nil"/>
            </w:tcBorders>
            <w:vAlign w:val="bottom"/>
          </w:tcPr>
          <w:p w:rsidRPr="00EE083E" w:rsidR="008C1325" w:rsidP="009918B9" w:rsidRDefault="008C1325" w14:paraId="461C3B40" w14:textId="77777777">
            <w:pPr>
              <w:jc w:val="center"/>
              <w:rPr>
                <w:rFonts w:cstheme="minorHAnsi"/>
                <w:b/>
                <w:bCs/>
              </w:rPr>
            </w:pPr>
            <w:r w:rsidRPr="00EE083E">
              <w:rPr>
                <w:rFonts w:cstheme="minorHAnsi"/>
                <w:b/>
                <w:bCs/>
              </w:rPr>
              <w:t xml:space="preserve">Community Interview Protocol   </w:t>
            </w:r>
          </w:p>
        </w:tc>
        <w:tc>
          <w:tcPr>
            <w:tcW w:w="1440" w:type="dxa"/>
            <w:tcBorders>
              <w:top w:val="double" w:color="auto" w:sz="4" w:space="0"/>
              <w:left w:val="single" w:color="auto" w:sz="6" w:space="0"/>
              <w:bottom w:val="single" w:color="auto" w:sz="6" w:space="0"/>
              <w:right w:val="nil"/>
            </w:tcBorders>
            <w:shd w:val="clear" w:color="auto" w:fill="auto"/>
            <w:vAlign w:val="bottom"/>
          </w:tcPr>
          <w:p w:rsidRPr="00EE083E" w:rsidR="008C1325" w:rsidP="009918B9" w:rsidRDefault="008C1325" w14:paraId="4419ED47" w14:textId="77777777">
            <w:pPr>
              <w:jc w:val="right"/>
              <w:rPr>
                <w:rFonts w:cstheme="minorHAnsi"/>
              </w:rPr>
            </w:pPr>
            <w:r w:rsidRPr="00EE083E">
              <w:rPr>
                <w:rFonts w:cstheme="minorHAnsi"/>
              </w:rPr>
              <w:t>60</w:t>
            </w:r>
          </w:p>
        </w:tc>
        <w:tc>
          <w:tcPr>
            <w:tcW w:w="1710" w:type="dxa"/>
            <w:tcBorders>
              <w:top w:val="double" w:color="auto" w:sz="4" w:space="0"/>
              <w:left w:val="single" w:color="auto" w:sz="6" w:space="0"/>
              <w:bottom w:val="single" w:color="auto" w:sz="6" w:space="0"/>
              <w:right w:val="nil"/>
            </w:tcBorders>
            <w:shd w:val="clear" w:color="auto" w:fill="auto"/>
            <w:vAlign w:val="bottom"/>
          </w:tcPr>
          <w:p w:rsidRPr="00EE083E" w:rsidR="008C1325" w:rsidP="009918B9" w:rsidRDefault="008C1325" w14:paraId="31B08D44" w14:textId="77777777">
            <w:pPr>
              <w:jc w:val="right"/>
              <w:rPr>
                <w:rFonts w:cstheme="minorHAnsi"/>
              </w:rPr>
            </w:pPr>
            <w:r w:rsidRPr="00EE083E">
              <w:rPr>
                <w:rFonts w:cstheme="minorHAnsi"/>
              </w:rPr>
              <w:t>1</w:t>
            </w:r>
          </w:p>
        </w:tc>
        <w:tc>
          <w:tcPr>
            <w:tcW w:w="1350" w:type="dxa"/>
            <w:tcBorders>
              <w:top w:val="double" w:color="auto" w:sz="4" w:space="0"/>
              <w:left w:val="single" w:color="auto" w:sz="6" w:space="0"/>
              <w:bottom w:val="single" w:color="auto" w:sz="6" w:space="0"/>
              <w:right w:val="nil"/>
            </w:tcBorders>
            <w:shd w:val="clear" w:color="auto" w:fill="auto"/>
            <w:vAlign w:val="bottom"/>
          </w:tcPr>
          <w:p w:rsidRPr="00EE083E" w:rsidR="008C1325" w:rsidP="009918B9" w:rsidRDefault="008C1325" w14:paraId="5D2846B0" w14:textId="77777777">
            <w:pPr>
              <w:jc w:val="right"/>
              <w:rPr>
                <w:rFonts w:cstheme="minorHAnsi"/>
              </w:rPr>
            </w:pPr>
            <w:r w:rsidRPr="00EE083E">
              <w:rPr>
                <w:rFonts w:cstheme="minorHAnsi"/>
              </w:rPr>
              <w:t>60</w:t>
            </w:r>
          </w:p>
        </w:tc>
        <w:tc>
          <w:tcPr>
            <w:tcW w:w="2070" w:type="dxa"/>
            <w:tcBorders>
              <w:top w:val="double" w:color="auto" w:sz="4" w:space="0"/>
              <w:left w:val="single" w:color="auto" w:sz="6" w:space="0"/>
              <w:bottom w:val="single" w:color="auto" w:sz="6" w:space="0"/>
              <w:right w:val="nil"/>
            </w:tcBorders>
            <w:shd w:val="clear" w:color="auto" w:fill="auto"/>
            <w:vAlign w:val="bottom"/>
          </w:tcPr>
          <w:p w:rsidRPr="00EE083E" w:rsidR="008C1325" w:rsidP="009918B9" w:rsidRDefault="008C1325" w14:paraId="6D2CB7BC" w14:textId="70BDFD1B">
            <w:pPr>
              <w:jc w:val="right"/>
              <w:rPr>
                <w:rFonts w:cstheme="minorHAnsi"/>
              </w:rPr>
            </w:pPr>
            <w:r w:rsidRPr="00EE083E">
              <w:rPr>
                <w:rFonts w:cstheme="minorHAnsi"/>
              </w:rPr>
              <w:t>1.5</w:t>
            </w:r>
            <w:r w:rsidRPr="00EE083E" w:rsidR="00D34D74">
              <w:rPr>
                <w:rFonts w:cstheme="minorHAnsi"/>
              </w:rPr>
              <w:t>0</w:t>
            </w:r>
          </w:p>
        </w:tc>
        <w:tc>
          <w:tcPr>
            <w:tcW w:w="1408" w:type="dxa"/>
            <w:tcBorders>
              <w:top w:val="double" w:color="auto" w:sz="4" w:space="0"/>
              <w:left w:val="single" w:color="auto" w:sz="6" w:space="0"/>
              <w:bottom w:val="single" w:color="auto" w:sz="6" w:space="0"/>
              <w:right w:val="single" w:color="auto" w:sz="6" w:space="0"/>
            </w:tcBorders>
            <w:shd w:val="clear" w:color="auto" w:fill="auto"/>
            <w:vAlign w:val="bottom"/>
          </w:tcPr>
          <w:p w:rsidRPr="00EE083E" w:rsidR="008C1325" w:rsidP="009918B9" w:rsidRDefault="008C1325" w14:paraId="6791936B" w14:textId="77777777">
            <w:pPr>
              <w:jc w:val="right"/>
              <w:rPr>
                <w:rFonts w:cstheme="minorHAnsi"/>
              </w:rPr>
            </w:pPr>
            <w:r w:rsidRPr="00EE083E">
              <w:rPr>
                <w:rFonts w:cstheme="minorHAnsi"/>
              </w:rPr>
              <w:t>90</w:t>
            </w:r>
          </w:p>
        </w:tc>
      </w:tr>
      <w:tr w:rsidR="008C1325" w:rsidTr="009E7793" w14:paraId="7B483707" w14:textId="77777777">
        <w:trPr>
          <w:cantSplit/>
          <w:trHeight w:val="403"/>
          <w:jc w:val="center"/>
        </w:trPr>
        <w:tc>
          <w:tcPr>
            <w:tcW w:w="2004" w:type="dxa"/>
            <w:tcBorders>
              <w:top w:val="single" w:color="auto" w:sz="6" w:space="0"/>
              <w:left w:val="single" w:color="auto" w:sz="6" w:space="0"/>
              <w:bottom w:val="nil"/>
              <w:right w:val="nil"/>
            </w:tcBorders>
            <w:vAlign w:val="bottom"/>
          </w:tcPr>
          <w:p w:rsidRPr="00EE083E" w:rsidR="008C1325" w:rsidP="009918B9" w:rsidRDefault="008C1325" w14:paraId="36A6958C" w14:textId="77777777">
            <w:pPr>
              <w:jc w:val="center"/>
              <w:rPr>
                <w:rFonts w:cstheme="minorHAnsi"/>
                <w:b/>
                <w:bCs/>
              </w:rPr>
            </w:pPr>
            <w:r w:rsidRPr="00EE083E">
              <w:rPr>
                <w:rFonts w:cstheme="minorHAnsi"/>
                <w:b/>
                <w:bCs/>
              </w:rPr>
              <w:t xml:space="preserve">Family and Community Focus Group Guide  </w:t>
            </w:r>
          </w:p>
        </w:tc>
        <w:tc>
          <w:tcPr>
            <w:tcW w:w="1440" w:type="dxa"/>
            <w:tcBorders>
              <w:top w:val="single" w:color="auto" w:sz="6" w:space="0"/>
              <w:left w:val="single" w:color="auto" w:sz="6" w:space="0"/>
              <w:bottom w:val="single" w:color="auto" w:sz="6" w:space="0"/>
              <w:right w:val="nil"/>
            </w:tcBorders>
            <w:shd w:val="clear" w:color="auto" w:fill="auto"/>
            <w:vAlign w:val="bottom"/>
          </w:tcPr>
          <w:p w:rsidRPr="00EE083E" w:rsidR="008C1325" w:rsidP="009918B9" w:rsidRDefault="008C1325" w14:paraId="2FC3F4A7" w14:textId="77777777">
            <w:pPr>
              <w:jc w:val="right"/>
              <w:rPr>
                <w:rFonts w:cstheme="minorHAnsi"/>
              </w:rPr>
            </w:pPr>
            <w:r w:rsidRPr="00EE083E">
              <w:rPr>
                <w:rFonts w:cstheme="minorHAnsi"/>
              </w:rPr>
              <w:t>240</w:t>
            </w:r>
          </w:p>
        </w:tc>
        <w:tc>
          <w:tcPr>
            <w:tcW w:w="1710" w:type="dxa"/>
            <w:tcBorders>
              <w:top w:val="single" w:color="auto" w:sz="6" w:space="0"/>
              <w:left w:val="single" w:color="auto" w:sz="6" w:space="0"/>
              <w:bottom w:val="single" w:color="auto" w:sz="6" w:space="0"/>
              <w:right w:val="nil"/>
            </w:tcBorders>
            <w:shd w:val="clear" w:color="auto" w:fill="auto"/>
            <w:vAlign w:val="bottom"/>
          </w:tcPr>
          <w:p w:rsidRPr="00EE083E" w:rsidR="008C1325" w:rsidP="009918B9" w:rsidRDefault="008C1325" w14:paraId="0B8D6783" w14:textId="77777777">
            <w:pPr>
              <w:jc w:val="right"/>
              <w:rPr>
                <w:rFonts w:cstheme="minorHAnsi"/>
              </w:rPr>
            </w:pPr>
            <w:r w:rsidRPr="00EE083E">
              <w:rPr>
                <w:rFonts w:cstheme="minorHAnsi"/>
              </w:rPr>
              <w:t>1</w:t>
            </w:r>
          </w:p>
        </w:tc>
        <w:tc>
          <w:tcPr>
            <w:tcW w:w="1350" w:type="dxa"/>
            <w:tcBorders>
              <w:top w:val="single" w:color="auto" w:sz="6" w:space="0"/>
              <w:left w:val="single" w:color="auto" w:sz="6" w:space="0"/>
              <w:bottom w:val="single" w:color="auto" w:sz="6" w:space="0"/>
              <w:right w:val="nil"/>
            </w:tcBorders>
            <w:shd w:val="clear" w:color="auto" w:fill="auto"/>
            <w:vAlign w:val="bottom"/>
          </w:tcPr>
          <w:p w:rsidRPr="00EE083E" w:rsidR="008C1325" w:rsidP="009918B9" w:rsidRDefault="008C1325" w14:paraId="4AC8D2F2" w14:textId="77777777">
            <w:pPr>
              <w:jc w:val="right"/>
              <w:rPr>
                <w:rFonts w:cstheme="minorHAnsi"/>
              </w:rPr>
            </w:pPr>
            <w:r w:rsidRPr="00EE083E">
              <w:rPr>
                <w:rFonts w:cstheme="minorHAnsi"/>
              </w:rPr>
              <w:t>240</w:t>
            </w:r>
          </w:p>
        </w:tc>
        <w:tc>
          <w:tcPr>
            <w:tcW w:w="2070" w:type="dxa"/>
            <w:tcBorders>
              <w:top w:val="single" w:color="auto" w:sz="6" w:space="0"/>
              <w:left w:val="single" w:color="auto" w:sz="6" w:space="0"/>
              <w:bottom w:val="single" w:color="auto" w:sz="6" w:space="0"/>
              <w:right w:val="nil"/>
            </w:tcBorders>
            <w:shd w:val="clear" w:color="auto" w:fill="auto"/>
            <w:vAlign w:val="bottom"/>
          </w:tcPr>
          <w:p w:rsidRPr="00EE083E" w:rsidR="008C1325" w:rsidP="009918B9" w:rsidRDefault="008C1325" w14:paraId="15517D43" w14:textId="01706BE1">
            <w:pPr>
              <w:jc w:val="right"/>
              <w:rPr>
                <w:rFonts w:cstheme="minorHAnsi"/>
              </w:rPr>
            </w:pPr>
            <w:r w:rsidRPr="00EE083E">
              <w:rPr>
                <w:rFonts w:cstheme="minorHAnsi"/>
              </w:rPr>
              <w:t>2</w:t>
            </w:r>
            <w:r w:rsidRPr="00EE083E" w:rsidR="00D34D74">
              <w:rPr>
                <w:rFonts w:cstheme="minorHAnsi"/>
              </w:rPr>
              <w:t>.00</w:t>
            </w:r>
          </w:p>
        </w:tc>
        <w:tc>
          <w:tcPr>
            <w:tcW w:w="1408" w:type="dxa"/>
            <w:tcBorders>
              <w:top w:val="single" w:color="auto" w:sz="6" w:space="0"/>
              <w:left w:val="single" w:color="auto" w:sz="6" w:space="0"/>
              <w:bottom w:val="single" w:color="auto" w:sz="6" w:space="0"/>
              <w:right w:val="single" w:color="auto" w:sz="6" w:space="0"/>
            </w:tcBorders>
            <w:shd w:val="clear" w:color="auto" w:fill="auto"/>
            <w:vAlign w:val="bottom"/>
          </w:tcPr>
          <w:p w:rsidRPr="00EE083E" w:rsidR="008C1325" w:rsidP="009918B9" w:rsidRDefault="008C1325" w14:paraId="723F23AA" w14:textId="77777777">
            <w:pPr>
              <w:jc w:val="right"/>
              <w:rPr>
                <w:rFonts w:cstheme="minorHAnsi"/>
              </w:rPr>
            </w:pPr>
            <w:r w:rsidRPr="00EE083E">
              <w:rPr>
                <w:rFonts w:cstheme="minorHAnsi"/>
              </w:rPr>
              <w:t>480</w:t>
            </w:r>
          </w:p>
        </w:tc>
      </w:tr>
      <w:tr w:rsidR="008C1325" w:rsidTr="009E7793" w14:paraId="27542C45" w14:textId="77777777">
        <w:trPr>
          <w:cantSplit/>
          <w:trHeight w:val="403"/>
          <w:jc w:val="center"/>
        </w:trPr>
        <w:tc>
          <w:tcPr>
            <w:tcW w:w="2004" w:type="dxa"/>
            <w:tcBorders>
              <w:top w:val="single" w:color="auto" w:sz="6" w:space="0"/>
              <w:left w:val="single" w:color="auto" w:sz="6" w:space="0"/>
              <w:bottom w:val="nil"/>
              <w:right w:val="nil"/>
            </w:tcBorders>
            <w:vAlign w:val="bottom"/>
          </w:tcPr>
          <w:p w:rsidRPr="00EE083E" w:rsidR="008C1325" w:rsidP="009918B9" w:rsidRDefault="008C1325" w14:paraId="1C73F491" w14:textId="77777777">
            <w:pPr>
              <w:jc w:val="center"/>
              <w:rPr>
                <w:rFonts w:cstheme="minorHAnsi"/>
                <w:b/>
                <w:bCs/>
              </w:rPr>
            </w:pPr>
            <w:r w:rsidRPr="00EE083E">
              <w:rPr>
                <w:rFonts w:cstheme="minorHAnsi"/>
                <w:b/>
                <w:bCs/>
              </w:rPr>
              <w:t>Community and Home Visitor Survey Instrument</w:t>
            </w:r>
          </w:p>
        </w:tc>
        <w:tc>
          <w:tcPr>
            <w:tcW w:w="1440" w:type="dxa"/>
            <w:tcBorders>
              <w:top w:val="single" w:color="auto" w:sz="6" w:space="0"/>
              <w:left w:val="single" w:color="auto" w:sz="6" w:space="0"/>
              <w:bottom w:val="single" w:color="auto" w:sz="6" w:space="0"/>
              <w:right w:val="nil"/>
            </w:tcBorders>
            <w:shd w:val="clear" w:color="auto" w:fill="auto"/>
            <w:vAlign w:val="bottom"/>
          </w:tcPr>
          <w:p w:rsidRPr="00EE083E" w:rsidR="008C1325" w:rsidP="009918B9" w:rsidRDefault="008C1325" w14:paraId="277A1D3E" w14:textId="77777777">
            <w:pPr>
              <w:jc w:val="right"/>
              <w:rPr>
                <w:rFonts w:cstheme="minorHAnsi"/>
              </w:rPr>
            </w:pPr>
            <w:r w:rsidRPr="00EE083E">
              <w:rPr>
                <w:rFonts w:cstheme="minorHAnsi"/>
              </w:rPr>
              <w:t>500</w:t>
            </w:r>
          </w:p>
        </w:tc>
        <w:tc>
          <w:tcPr>
            <w:tcW w:w="1710" w:type="dxa"/>
            <w:tcBorders>
              <w:top w:val="single" w:color="auto" w:sz="6" w:space="0"/>
              <w:left w:val="single" w:color="auto" w:sz="6" w:space="0"/>
              <w:bottom w:val="single" w:color="auto" w:sz="6" w:space="0"/>
              <w:right w:val="nil"/>
            </w:tcBorders>
            <w:shd w:val="clear" w:color="auto" w:fill="auto"/>
            <w:vAlign w:val="bottom"/>
          </w:tcPr>
          <w:p w:rsidRPr="00EE083E" w:rsidR="008C1325" w:rsidP="009918B9" w:rsidRDefault="008C1325" w14:paraId="12C0A0B4" w14:textId="77777777">
            <w:pPr>
              <w:jc w:val="right"/>
              <w:rPr>
                <w:rFonts w:cstheme="minorHAnsi"/>
              </w:rPr>
            </w:pPr>
            <w:r w:rsidRPr="00EE083E">
              <w:rPr>
                <w:rFonts w:cstheme="minorHAnsi"/>
              </w:rPr>
              <w:t>1</w:t>
            </w:r>
          </w:p>
        </w:tc>
        <w:tc>
          <w:tcPr>
            <w:tcW w:w="1350" w:type="dxa"/>
            <w:tcBorders>
              <w:top w:val="single" w:color="auto" w:sz="6" w:space="0"/>
              <w:left w:val="single" w:color="auto" w:sz="6" w:space="0"/>
              <w:bottom w:val="single" w:color="auto" w:sz="6" w:space="0"/>
              <w:right w:val="nil"/>
            </w:tcBorders>
            <w:shd w:val="clear" w:color="auto" w:fill="auto"/>
            <w:vAlign w:val="bottom"/>
          </w:tcPr>
          <w:p w:rsidRPr="00EE083E" w:rsidR="008C1325" w:rsidP="009918B9" w:rsidRDefault="008C1325" w14:paraId="02E1D051" w14:textId="77777777">
            <w:pPr>
              <w:jc w:val="right"/>
              <w:rPr>
                <w:rFonts w:cstheme="minorHAnsi"/>
              </w:rPr>
            </w:pPr>
            <w:r w:rsidRPr="00EE083E">
              <w:rPr>
                <w:rFonts w:cstheme="minorHAnsi"/>
              </w:rPr>
              <w:t>500</w:t>
            </w:r>
          </w:p>
        </w:tc>
        <w:tc>
          <w:tcPr>
            <w:tcW w:w="2070" w:type="dxa"/>
            <w:tcBorders>
              <w:top w:val="single" w:color="auto" w:sz="6" w:space="0"/>
              <w:left w:val="single" w:color="auto" w:sz="6" w:space="0"/>
              <w:bottom w:val="single" w:color="auto" w:sz="6" w:space="0"/>
              <w:right w:val="nil"/>
            </w:tcBorders>
            <w:shd w:val="clear" w:color="auto" w:fill="auto"/>
            <w:vAlign w:val="bottom"/>
          </w:tcPr>
          <w:p w:rsidRPr="00EE083E" w:rsidR="008C1325" w:rsidP="009918B9" w:rsidRDefault="008C1325" w14:paraId="2C016C5F" w14:textId="77777777">
            <w:pPr>
              <w:jc w:val="right"/>
              <w:rPr>
                <w:rFonts w:cstheme="minorHAnsi"/>
              </w:rPr>
            </w:pPr>
            <w:r w:rsidRPr="00EE083E">
              <w:rPr>
                <w:rFonts w:cstheme="minorHAnsi"/>
              </w:rPr>
              <w:t>0.75</w:t>
            </w:r>
          </w:p>
        </w:tc>
        <w:tc>
          <w:tcPr>
            <w:tcW w:w="1408" w:type="dxa"/>
            <w:tcBorders>
              <w:top w:val="single" w:color="auto" w:sz="6" w:space="0"/>
              <w:left w:val="single" w:color="auto" w:sz="6" w:space="0"/>
              <w:bottom w:val="single" w:color="auto" w:sz="6" w:space="0"/>
              <w:right w:val="single" w:color="auto" w:sz="6" w:space="0"/>
            </w:tcBorders>
            <w:shd w:val="clear" w:color="auto" w:fill="auto"/>
            <w:vAlign w:val="bottom"/>
          </w:tcPr>
          <w:p w:rsidRPr="00EE083E" w:rsidR="008C1325" w:rsidP="009918B9" w:rsidRDefault="008C1325" w14:paraId="4DA75427" w14:textId="77777777">
            <w:pPr>
              <w:jc w:val="right"/>
              <w:rPr>
                <w:rFonts w:cstheme="minorHAnsi"/>
              </w:rPr>
            </w:pPr>
            <w:r w:rsidRPr="00EE083E">
              <w:rPr>
                <w:rFonts w:cstheme="minorHAnsi"/>
              </w:rPr>
              <w:t>375</w:t>
            </w:r>
          </w:p>
        </w:tc>
      </w:tr>
      <w:tr w:rsidR="008C1325" w:rsidTr="009E7793" w14:paraId="458D6991" w14:textId="77777777">
        <w:trPr>
          <w:cantSplit/>
          <w:trHeight w:val="403"/>
          <w:jc w:val="center"/>
        </w:trPr>
        <w:tc>
          <w:tcPr>
            <w:tcW w:w="2004" w:type="dxa"/>
            <w:tcBorders>
              <w:top w:val="single" w:color="auto" w:sz="6" w:space="0"/>
              <w:left w:val="single" w:color="auto" w:sz="6" w:space="0"/>
              <w:bottom w:val="double" w:color="auto" w:sz="4" w:space="0"/>
              <w:right w:val="nil"/>
            </w:tcBorders>
            <w:vAlign w:val="bottom"/>
          </w:tcPr>
          <w:p w:rsidRPr="00EE083E" w:rsidR="008C1325" w:rsidP="009918B9" w:rsidRDefault="008C1325" w14:paraId="63330D35" w14:textId="77777777">
            <w:pPr>
              <w:jc w:val="center"/>
              <w:rPr>
                <w:rFonts w:cstheme="minorHAnsi"/>
                <w:b/>
                <w:bCs/>
              </w:rPr>
            </w:pPr>
            <w:r w:rsidRPr="00EE083E">
              <w:rPr>
                <w:rFonts w:cstheme="minorHAnsi"/>
                <w:b/>
                <w:bCs/>
              </w:rPr>
              <w:t>Program Data</w:t>
            </w:r>
          </w:p>
        </w:tc>
        <w:tc>
          <w:tcPr>
            <w:tcW w:w="1440" w:type="dxa"/>
            <w:tcBorders>
              <w:top w:val="single" w:color="auto" w:sz="6" w:space="0"/>
              <w:left w:val="single" w:color="auto" w:sz="6" w:space="0"/>
              <w:bottom w:val="double" w:color="auto" w:sz="4" w:space="0"/>
              <w:right w:val="nil"/>
            </w:tcBorders>
            <w:shd w:val="clear" w:color="auto" w:fill="auto"/>
            <w:vAlign w:val="bottom"/>
          </w:tcPr>
          <w:p w:rsidRPr="00EE083E" w:rsidR="008C1325" w:rsidP="009918B9" w:rsidRDefault="008C1325" w14:paraId="388EA8A9" w14:textId="77777777">
            <w:pPr>
              <w:jc w:val="right"/>
              <w:rPr>
                <w:rFonts w:cstheme="minorHAnsi"/>
              </w:rPr>
            </w:pPr>
            <w:r w:rsidRPr="00EE083E">
              <w:rPr>
                <w:rFonts w:cstheme="minorHAnsi"/>
              </w:rPr>
              <w:t>15</w:t>
            </w:r>
          </w:p>
        </w:tc>
        <w:tc>
          <w:tcPr>
            <w:tcW w:w="1710" w:type="dxa"/>
            <w:tcBorders>
              <w:top w:val="single" w:color="auto" w:sz="6" w:space="0"/>
              <w:left w:val="single" w:color="auto" w:sz="6" w:space="0"/>
              <w:bottom w:val="double" w:color="auto" w:sz="4" w:space="0"/>
              <w:right w:val="nil"/>
            </w:tcBorders>
            <w:shd w:val="clear" w:color="auto" w:fill="auto"/>
            <w:vAlign w:val="bottom"/>
          </w:tcPr>
          <w:p w:rsidRPr="00EE083E" w:rsidR="008C1325" w:rsidP="009918B9" w:rsidRDefault="008C1325" w14:paraId="53E91F47" w14:textId="77777777">
            <w:pPr>
              <w:jc w:val="right"/>
              <w:rPr>
                <w:rFonts w:cstheme="minorHAnsi"/>
              </w:rPr>
            </w:pPr>
            <w:r w:rsidRPr="00EE083E">
              <w:rPr>
                <w:rFonts w:cstheme="minorHAnsi"/>
              </w:rPr>
              <w:t>1</w:t>
            </w:r>
          </w:p>
        </w:tc>
        <w:tc>
          <w:tcPr>
            <w:tcW w:w="1350" w:type="dxa"/>
            <w:tcBorders>
              <w:top w:val="single" w:color="auto" w:sz="6" w:space="0"/>
              <w:left w:val="single" w:color="auto" w:sz="6" w:space="0"/>
              <w:bottom w:val="double" w:color="auto" w:sz="4" w:space="0"/>
              <w:right w:val="nil"/>
            </w:tcBorders>
            <w:shd w:val="clear" w:color="auto" w:fill="auto"/>
            <w:vAlign w:val="bottom"/>
          </w:tcPr>
          <w:p w:rsidRPr="00EE083E" w:rsidR="008C1325" w:rsidP="009918B9" w:rsidRDefault="008C1325" w14:paraId="3161D65D" w14:textId="77777777">
            <w:pPr>
              <w:jc w:val="right"/>
              <w:rPr>
                <w:rFonts w:cstheme="minorHAnsi"/>
              </w:rPr>
            </w:pPr>
            <w:r w:rsidRPr="00EE083E">
              <w:rPr>
                <w:rFonts w:cstheme="minorHAnsi"/>
              </w:rPr>
              <w:t>15</w:t>
            </w:r>
          </w:p>
        </w:tc>
        <w:tc>
          <w:tcPr>
            <w:tcW w:w="2070" w:type="dxa"/>
            <w:tcBorders>
              <w:top w:val="single" w:color="auto" w:sz="6" w:space="0"/>
              <w:left w:val="single" w:color="auto" w:sz="6" w:space="0"/>
              <w:bottom w:val="double" w:color="auto" w:sz="4" w:space="0"/>
              <w:right w:val="nil"/>
            </w:tcBorders>
            <w:shd w:val="clear" w:color="auto" w:fill="auto"/>
            <w:vAlign w:val="bottom"/>
          </w:tcPr>
          <w:p w:rsidRPr="00EE083E" w:rsidR="008C1325" w:rsidP="009918B9" w:rsidRDefault="0009771C" w14:paraId="11697306" w14:textId="7D105F8D">
            <w:pPr>
              <w:jc w:val="right"/>
              <w:rPr>
                <w:rFonts w:cstheme="minorHAnsi"/>
              </w:rPr>
            </w:pPr>
            <w:r>
              <w:rPr>
                <w:rFonts w:cstheme="minorHAnsi"/>
              </w:rPr>
              <w:t>10</w:t>
            </w:r>
            <w:r w:rsidRPr="00EE083E" w:rsidR="00D34D74">
              <w:rPr>
                <w:rFonts w:cstheme="minorHAnsi"/>
              </w:rPr>
              <w:t>.00</w:t>
            </w:r>
          </w:p>
        </w:tc>
        <w:tc>
          <w:tcPr>
            <w:tcW w:w="1408" w:type="dxa"/>
            <w:tcBorders>
              <w:top w:val="single" w:color="auto" w:sz="6" w:space="0"/>
              <w:left w:val="single" w:color="auto" w:sz="6" w:space="0"/>
              <w:bottom w:val="double" w:color="auto" w:sz="4" w:space="0"/>
              <w:right w:val="single" w:color="auto" w:sz="6" w:space="0"/>
            </w:tcBorders>
            <w:shd w:val="clear" w:color="auto" w:fill="auto"/>
            <w:vAlign w:val="bottom"/>
          </w:tcPr>
          <w:p w:rsidRPr="00EE083E" w:rsidR="008C1325" w:rsidP="009918B9" w:rsidRDefault="0070695C" w14:paraId="156E5A5D" w14:textId="635F6130">
            <w:pPr>
              <w:jc w:val="right"/>
              <w:rPr>
                <w:rFonts w:cstheme="minorHAnsi"/>
              </w:rPr>
            </w:pPr>
            <w:r>
              <w:rPr>
                <w:rFonts w:cstheme="minorHAnsi"/>
              </w:rPr>
              <w:t>150</w:t>
            </w:r>
          </w:p>
        </w:tc>
      </w:tr>
      <w:tr w:rsidRPr="00886911" w:rsidR="008C1325" w:rsidTr="009E7793" w14:paraId="013C3745" w14:textId="77777777">
        <w:trPr>
          <w:cantSplit/>
          <w:trHeight w:val="403"/>
          <w:jc w:val="center"/>
        </w:trPr>
        <w:tc>
          <w:tcPr>
            <w:tcW w:w="2004" w:type="dxa"/>
            <w:tcBorders>
              <w:top w:val="double" w:color="auto" w:sz="4" w:space="0"/>
              <w:left w:val="single" w:color="auto" w:sz="6" w:space="0"/>
              <w:bottom w:val="single" w:color="auto" w:sz="4" w:space="0"/>
              <w:right w:val="nil"/>
            </w:tcBorders>
            <w:vAlign w:val="bottom"/>
          </w:tcPr>
          <w:p w:rsidRPr="00EE083E" w:rsidR="008C1325" w:rsidP="009918B9" w:rsidRDefault="008C1325" w14:paraId="5D17B9F7" w14:textId="77777777">
            <w:pPr>
              <w:jc w:val="center"/>
              <w:rPr>
                <w:rFonts w:cstheme="minorHAnsi"/>
                <w:b/>
                <w:bCs/>
              </w:rPr>
            </w:pPr>
            <w:r w:rsidRPr="00EE083E">
              <w:rPr>
                <w:rFonts w:cstheme="minorHAnsi"/>
                <w:b/>
                <w:bCs/>
              </w:rPr>
              <w:t>Total</w:t>
            </w:r>
          </w:p>
        </w:tc>
        <w:tc>
          <w:tcPr>
            <w:tcW w:w="1440" w:type="dxa"/>
            <w:tcBorders>
              <w:top w:val="double" w:color="auto" w:sz="4" w:space="0"/>
              <w:left w:val="single" w:color="auto" w:sz="6" w:space="0"/>
              <w:bottom w:val="single" w:color="auto" w:sz="4" w:space="0"/>
              <w:right w:val="nil"/>
            </w:tcBorders>
            <w:vAlign w:val="bottom"/>
          </w:tcPr>
          <w:p w:rsidRPr="00EE083E" w:rsidR="008C1325" w:rsidP="009918B9" w:rsidRDefault="008C1325" w14:paraId="72460DD9" w14:textId="77777777">
            <w:pPr>
              <w:jc w:val="right"/>
              <w:rPr>
                <w:rFonts w:cstheme="minorHAnsi"/>
                <w:bCs/>
              </w:rPr>
            </w:pPr>
            <w:r w:rsidRPr="00EE083E">
              <w:rPr>
                <w:rFonts w:cstheme="minorHAnsi"/>
                <w:bCs/>
              </w:rPr>
              <w:t>815</w:t>
            </w:r>
          </w:p>
        </w:tc>
        <w:tc>
          <w:tcPr>
            <w:tcW w:w="1710" w:type="dxa"/>
            <w:tcBorders>
              <w:top w:val="double" w:color="auto" w:sz="4" w:space="0"/>
              <w:left w:val="single" w:color="auto" w:sz="6" w:space="0"/>
              <w:bottom w:val="single" w:color="auto" w:sz="4" w:space="0"/>
              <w:right w:val="nil"/>
            </w:tcBorders>
            <w:vAlign w:val="bottom"/>
          </w:tcPr>
          <w:p w:rsidRPr="00EE083E" w:rsidR="008C1325" w:rsidP="009918B9" w:rsidRDefault="008C1325" w14:paraId="048E24DD" w14:textId="77777777">
            <w:pPr>
              <w:jc w:val="right"/>
              <w:rPr>
                <w:rFonts w:cstheme="minorHAnsi"/>
                <w:bCs/>
              </w:rPr>
            </w:pPr>
          </w:p>
        </w:tc>
        <w:tc>
          <w:tcPr>
            <w:tcW w:w="1350" w:type="dxa"/>
            <w:tcBorders>
              <w:top w:val="double" w:color="auto" w:sz="4" w:space="0"/>
              <w:left w:val="single" w:color="auto" w:sz="6" w:space="0"/>
              <w:bottom w:val="single" w:color="auto" w:sz="4" w:space="0"/>
              <w:right w:val="nil"/>
            </w:tcBorders>
            <w:vAlign w:val="bottom"/>
          </w:tcPr>
          <w:p w:rsidRPr="00EE083E" w:rsidR="008C1325" w:rsidP="009918B9" w:rsidRDefault="008C1325" w14:paraId="5C28DC78" w14:textId="77777777">
            <w:pPr>
              <w:jc w:val="right"/>
              <w:rPr>
                <w:rFonts w:cstheme="minorHAnsi"/>
                <w:bCs/>
              </w:rPr>
            </w:pPr>
            <w:r w:rsidRPr="00EE083E">
              <w:rPr>
                <w:rFonts w:cstheme="minorHAnsi"/>
                <w:bCs/>
              </w:rPr>
              <w:t>815</w:t>
            </w:r>
          </w:p>
        </w:tc>
        <w:tc>
          <w:tcPr>
            <w:tcW w:w="2070" w:type="dxa"/>
            <w:tcBorders>
              <w:top w:val="double" w:color="auto" w:sz="4" w:space="0"/>
              <w:left w:val="single" w:color="auto" w:sz="6" w:space="0"/>
              <w:bottom w:val="single" w:color="auto" w:sz="4" w:space="0"/>
              <w:right w:val="nil"/>
            </w:tcBorders>
            <w:vAlign w:val="bottom"/>
          </w:tcPr>
          <w:p w:rsidRPr="00EE083E" w:rsidR="008C1325" w:rsidP="009918B9" w:rsidRDefault="008C1325" w14:paraId="269ECB8D" w14:textId="77777777">
            <w:pPr>
              <w:jc w:val="right"/>
              <w:rPr>
                <w:rFonts w:cstheme="minorHAnsi"/>
                <w:bCs/>
              </w:rPr>
            </w:pPr>
          </w:p>
        </w:tc>
        <w:tc>
          <w:tcPr>
            <w:tcW w:w="1408" w:type="dxa"/>
            <w:tcBorders>
              <w:top w:val="double" w:color="auto" w:sz="4" w:space="0"/>
              <w:left w:val="single" w:color="auto" w:sz="6" w:space="0"/>
              <w:bottom w:val="single" w:color="auto" w:sz="4" w:space="0"/>
              <w:right w:val="single" w:color="auto" w:sz="6" w:space="0"/>
            </w:tcBorders>
            <w:vAlign w:val="bottom"/>
          </w:tcPr>
          <w:p w:rsidRPr="00EE083E" w:rsidR="008C1325" w:rsidP="009918B9" w:rsidRDefault="00AA640A" w14:paraId="34F39F8A" w14:textId="6222115C">
            <w:pPr>
              <w:jc w:val="right"/>
              <w:rPr>
                <w:rFonts w:cstheme="minorHAnsi"/>
                <w:bCs/>
              </w:rPr>
            </w:pPr>
            <w:r>
              <w:rPr>
                <w:rFonts w:cstheme="minorHAnsi"/>
                <w:bCs/>
              </w:rPr>
              <w:t>1095</w:t>
            </w:r>
          </w:p>
        </w:tc>
      </w:tr>
      <w:tr w:rsidRPr="00886911" w:rsidR="00F575E2" w:rsidTr="009E7793" w14:paraId="3C8F9F7F" w14:textId="77777777">
        <w:trPr>
          <w:cantSplit/>
          <w:trHeight w:val="403"/>
          <w:jc w:val="center"/>
        </w:trPr>
        <w:tc>
          <w:tcPr>
            <w:tcW w:w="9982" w:type="dxa"/>
            <w:gridSpan w:val="6"/>
            <w:tcBorders>
              <w:top w:val="single" w:color="auto" w:sz="4" w:space="0"/>
            </w:tcBorders>
            <w:vAlign w:val="bottom"/>
          </w:tcPr>
          <w:p w:rsidRPr="00EE083E" w:rsidR="00F575E2" w:rsidP="00F575E2" w:rsidRDefault="00F575E2" w14:paraId="51BF8CF6" w14:textId="5FF633DF">
            <w:pPr>
              <w:rPr>
                <w:rFonts w:cstheme="minorHAnsi"/>
                <w:bCs/>
                <w:sz w:val="20"/>
                <w:szCs w:val="20"/>
              </w:rPr>
            </w:pPr>
            <w:r w:rsidRPr="00EE083E">
              <w:rPr>
                <w:rFonts w:cstheme="minorHAnsi"/>
                <w:sz w:val="20"/>
                <w:szCs w:val="20"/>
                <w:vertAlign w:val="superscript"/>
              </w:rPr>
              <w:t xml:space="preserve">1 </w:t>
            </w:r>
            <w:r w:rsidRPr="00EE083E">
              <w:rPr>
                <w:rFonts w:cstheme="minorHAnsi"/>
                <w:sz w:val="20"/>
                <w:szCs w:val="20"/>
              </w:rPr>
              <w:t>There may be variation in the number of study participants and home visiting programs in each community (e.g., some selected communities may have fewer home visitors). The total burden hours presented here provide information assuming the maximum number of respondents in each community.</w:t>
            </w:r>
          </w:p>
        </w:tc>
      </w:tr>
    </w:tbl>
    <w:p w:rsidRPr="005A677E" w:rsidR="00F7411B" w:rsidP="00F7411B" w:rsidRDefault="00F7411B" w14:paraId="2086C375" w14:textId="69F0A61A">
      <w:pPr>
        <w:pStyle w:val="Heading3"/>
      </w:pPr>
      <w:bookmarkStart w:name="_Toc106197206" w:id="33"/>
      <w:r w:rsidRPr="00B0565E">
        <w:t>A.12.2</w:t>
      </w:r>
      <w:r w:rsidRPr="00B0565E">
        <w:tab/>
        <w:t>Estimated Annualized Cost to Respondents</w:t>
      </w:r>
      <w:bookmarkEnd w:id="31"/>
      <w:bookmarkEnd w:id="32"/>
      <w:bookmarkEnd w:id="33"/>
    </w:p>
    <w:p w:rsidRPr="00D90737" w:rsidR="00695658" w:rsidP="00D90737" w:rsidRDefault="00F7411B" w14:paraId="3382C74B" w14:textId="0E71F79E">
      <w:pPr>
        <w:pStyle w:val="BodyText1"/>
        <w:spacing w:line="259" w:lineRule="auto"/>
        <w:rPr>
          <w:sz w:val="22"/>
        </w:rPr>
      </w:pPr>
      <w:r w:rsidRPr="00D90737">
        <w:rPr>
          <w:sz w:val="22"/>
        </w:rPr>
        <w:t xml:space="preserve">The estimated total cost to respondents is approximately </w:t>
      </w:r>
      <w:r w:rsidRPr="00F00B2F">
        <w:rPr>
          <w:sz w:val="22"/>
        </w:rPr>
        <w:t>$</w:t>
      </w:r>
      <w:r w:rsidRPr="00F00B2F" w:rsidR="00DC6BB8">
        <w:rPr>
          <w:rFonts w:ascii="Calibri" w:hAnsi="Calibri" w:cs="Calibri"/>
          <w:color w:val="000000"/>
          <w:sz w:val="22"/>
        </w:rPr>
        <w:t>50,046.40</w:t>
      </w:r>
      <w:r w:rsidRPr="00D90737">
        <w:rPr>
          <w:sz w:val="22"/>
        </w:rPr>
        <w:t xml:space="preserve"> (</w:t>
      </w:r>
      <w:r w:rsidRPr="00D90737" w:rsidR="00955A43">
        <w:rPr>
          <w:sz w:val="22"/>
        </w:rPr>
        <w:t xml:space="preserve">as shown in Table </w:t>
      </w:r>
      <w:r w:rsidR="005D7B9F">
        <w:rPr>
          <w:sz w:val="22"/>
        </w:rPr>
        <w:t>4</w:t>
      </w:r>
      <w:r w:rsidRPr="00D90737">
        <w:rPr>
          <w:sz w:val="22"/>
        </w:rPr>
        <w:t xml:space="preserve">). </w:t>
      </w:r>
      <w:r w:rsidRPr="00AA1227" w:rsidR="00AA1227">
        <w:rPr>
          <w:sz w:val="22"/>
        </w:rPr>
        <w:t>There may be variation in the number of</w:t>
      </w:r>
      <w:r w:rsidR="00AA1227">
        <w:rPr>
          <w:sz w:val="22"/>
        </w:rPr>
        <w:t xml:space="preserve"> respondents</w:t>
      </w:r>
      <w:r w:rsidRPr="00AA1227" w:rsidR="00AA1227">
        <w:rPr>
          <w:sz w:val="22"/>
        </w:rPr>
        <w:t xml:space="preserve"> in each community (e.g., some selected communities may have fewer home visitors). The total </w:t>
      </w:r>
      <w:r w:rsidR="00AA1227">
        <w:rPr>
          <w:sz w:val="22"/>
        </w:rPr>
        <w:t>respondent cost</w:t>
      </w:r>
      <w:r w:rsidRPr="00AA1227" w:rsidR="00AA1227">
        <w:rPr>
          <w:sz w:val="22"/>
        </w:rPr>
        <w:t xml:space="preserve"> presented here assum</w:t>
      </w:r>
      <w:r w:rsidR="00AA1227">
        <w:rPr>
          <w:sz w:val="22"/>
        </w:rPr>
        <w:t>es</w:t>
      </w:r>
      <w:r w:rsidRPr="00AA1227" w:rsidR="00AA1227">
        <w:rPr>
          <w:sz w:val="22"/>
        </w:rPr>
        <w:t xml:space="preserve"> the maximum number of respondents in each community.</w:t>
      </w:r>
    </w:p>
    <w:p w:rsidR="00F7411B" w:rsidP="00D90737" w:rsidRDefault="00BF6DA2" w14:paraId="6D052ABB" w14:textId="24F3AF37">
      <w:pPr>
        <w:pStyle w:val="BodyText1"/>
        <w:spacing w:line="259" w:lineRule="auto"/>
        <w:rPr>
          <w:rFonts w:cstheme="minorHAnsi"/>
          <w:color w:val="333333"/>
          <w:sz w:val="22"/>
          <w:shd w:val="clear" w:color="auto" w:fill="FFFFFF"/>
        </w:rPr>
      </w:pPr>
      <w:r w:rsidRPr="00D90737">
        <w:rPr>
          <w:sz w:val="22"/>
        </w:rPr>
        <w:t>For the Community Interview Protocol, t</w:t>
      </w:r>
      <w:r w:rsidRPr="00D90737" w:rsidR="00F7411B">
        <w:rPr>
          <w:sz w:val="22"/>
        </w:rPr>
        <w:t>h</w:t>
      </w:r>
      <w:r w:rsidRPr="00D90737">
        <w:rPr>
          <w:sz w:val="22"/>
        </w:rPr>
        <w:t>e</w:t>
      </w:r>
      <w:r w:rsidRPr="00D90737" w:rsidR="00F7411B">
        <w:rPr>
          <w:sz w:val="22"/>
        </w:rPr>
        <w:t xml:space="preserve"> cost to respondents is based on the average wage of social and community service manager</w:t>
      </w:r>
      <w:r w:rsidRPr="00D90737" w:rsidR="00335318">
        <w:rPr>
          <w:sz w:val="22"/>
        </w:rPr>
        <w:t>s</w:t>
      </w:r>
      <w:r w:rsidRPr="00D90737" w:rsidR="00F7411B">
        <w:rPr>
          <w:sz w:val="22"/>
        </w:rPr>
        <w:t xml:space="preserve"> from the 20</w:t>
      </w:r>
      <w:r w:rsidRPr="00D90737" w:rsidR="00BE0A2D">
        <w:rPr>
          <w:sz w:val="22"/>
        </w:rPr>
        <w:t>21</w:t>
      </w:r>
      <w:r w:rsidRPr="00D90737" w:rsidR="00F7411B">
        <w:rPr>
          <w:sz w:val="22"/>
        </w:rPr>
        <w:t xml:space="preserve"> </w:t>
      </w:r>
      <w:r w:rsidRPr="00D90737" w:rsidR="009211AF">
        <w:rPr>
          <w:sz w:val="22"/>
        </w:rPr>
        <w:t xml:space="preserve">U.S. </w:t>
      </w:r>
      <w:r w:rsidRPr="00D90737" w:rsidR="00F7411B">
        <w:rPr>
          <w:sz w:val="22"/>
        </w:rPr>
        <w:t xml:space="preserve">Bureau of Labor Statistics </w:t>
      </w:r>
      <w:r w:rsidRPr="00D90737" w:rsidR="00E87A21">
        <w:rPr>
          <w:sz w:val="22"/>
        </w:rPr>
        <w:t>Occupational</w:t>
      </w:r>
      <w:r w:rsidRPr="00D90737" w:rsidR="00AB2D8C">
        <w:rPr>
          <w:sz w:val="22"/>
        </w:rPr>
        <w:t xml:space="preserve"> Employment and Wage Statistics.</w:t>
      </w:r>
      <w:r w:rsidRPr="00D90737" w:rsidR="00AB2D8C">
        <w:rPr>
          <w:rStyle w:val="EndnoteReference"/>
          <w:sz w:val="22"/>
        </w:rPr>
        <w:endnoteReference w:id="9"/>
      </w:r>
      <w:r w:rsidRPr="00D90737" w:rsidR="00F7411B">
        <w:rPr>
          <w:sz w:val="22"/>
        </w:rPr>
        <w:t xml:space="preserve">  </w:t>
      </w:r>
      <w:r w:rsidRPr="00D90737" w:rsidR="00DE0142">
        <w:rPr>
          <w:sz w:val="22"/>
        </w:rPr>
        <w:t xml:space="preserve">This </w:t>
      </w:r>
      <w:r w:rsidRPr="00D90737" w:rsidR="003C00D5">
        <w:rPr>
          <w:sz w:val="22"/>
        </w:rPr>
        <w:t xml:space="preserve">wage category was used because it </w:t>
      </w:r>
      <w:r w:rsidRPr="00D90737" w:rsidR="00D90737">
        <w:rPr>
          <w:sz w:val="22"/>
        </w:rPr>
        <w:t xml:space="preserve">includes those who </w:t>
      </w:r>
      <w:r w:rsidR="00D90737">
        <w:rPr>
          <w:sz w:val="22"/>
        </w:rPr>
        <w:t>“</w:t>
      </w:r>
      <w:r w:rsidR="00D90737">
        <w:rPr>
          <w:rFonts w:cstheme="minorHAnsi"/>
          <w:color w:val="333333"/>
          <w:sz w:val="22"/>
          <w:shd w:val="clear" w:color="auto" w:fill="FFFFFF"/>
        </w:rPr>
        <w:t>p</w:t>
      </w:r>
      <w:r w:rsidRPr="00D90737" w:rsidR="00B14806">
        <w:rPr>
          <w:rFonts w:cstheme="minorHAnsi"/>
          <w:color w:val="333333"/>
          <w:sz w:val="22"/>
          <w:shd w:val="clear" w:color="auto" w:fill="FFFFFF"/>
        </w:rPr>
        <w:t>lan, direct, or coordinate the activities of a social service program or community outreach organization.</w:t>
      </w:r>
      <w:r w:rsidR="00006AFB">
        <w:rPr>
          <w:rFonts w:cstheme="minorHAnsi"/>
          <w:color w:val="333333"/>
          <w:sz w:val="22"/>
          <w:shd w:val="clear" w:color="auto" w:fill="FFFFFF"/>
        </w:rPr>
        <w:t xml:space="preserve">” This category </w:t>
      </w:r>
      <w:r w:rsidR="007A12FB">
        <w:rPr>
          <w:rFonts w:cstheme="minorHAnsi"/>
          <w:color w:val="333333"/>
          <w:sz w:val="22"/>
          <w:shd w:val="clear" w:color="auto" w:fill="FFFFFF"/>
        </w:rPr>
        <w:t xml:space="preserve">includes individual who are managers in </w:t>
      </w:r>
      <w:r w:rsidR="009A5FF4">
        <w:rPr>
          <w:rFonts w:cstheme="minorHAnsi"/>
          <w:color w:val="333333"/>
          <w:sz w:val="22"/>
          <w:shd w:val="clear" w:color="auto" w:fill="FFFFFF"/>
        </w:rPr>
        <w:t>individual and family services, local governments, state governments,</w:t>
      </w:r>
      <w:r w:rsidR="00C05E26">
        <w:rPr>
          <w:rFonts w:cstheme="minorHAnsi"/>
          <w:color w:val="333333"/>
          <w:sz w:val="22"/>
          <w:shd w:val="clear" w:color="auto" w:fill="FFFFFF"/>
        </w:rPr>
        <w:t xml:space="preserve"> and other</w:t>
      </w:r>
      <w:r w:rsidR="008D06EC">
        <w:rPr>
          <w:rFonts w:cstheme="minorHAnsi"/>
          <w:color w:val="333333"/>
          <w:sz w:val="22"/>
          <w:shd w:val="clear" w:color="auto" w:fill="FFFFFF"/>
        </w:rPr>
        <w:t xml:space="preserve"> relevant organizations. This category broadly reflects the types of respondents who will complete this interview. </w:t>
      </w:r>
      <w:r w:rsidR="009A5FF4">
        <w:rPr>
          <w:rFonts w:cstheme="minorHAnsi"/>
          <w:color w:val="333333"/>
          <w:sz w:val="22"/>
          <w:shd w:val="clear" w:color="auto" w:fill="FFFFFF"/>
        </w:rPr>
        <w:t xml:space="preserve"> </w:t>
      </w:r>
    </w:p>
    <w:p w:rsidR="009E2426" w:rsidP="00D90737" w:rsidRDefault="00FD0977" w14:paraId="74E49D78" w14:textId="58CB8DCD">
      <w:pPr>
        <w:pStyle w:val="BodyText1"/>
        <w:spacing w:line="259" w:lineRule="auto"/>
        <w:rPr>
          <w:sz w:val="22"/>
        </w:rPr>
      </w:pPr>
      <w:r>
        <w:rPr>
          <w:rFonts w:cstheme="minorHAnsi"/>
          <w:sz w:val="22"/>
        </w:rPr>
        <w:t xml:space="preserve">For </w:t>
      </w:r>
      <w:r w:rsidR="00AA1227">
        <w:rPr>
          <w:rFonts w:cstheme="minorHAnsi"/>
          <w:sz w:val="22"/>
        </w:rPr>
        <w:t>the Family and Community Focus Group guide, the cost to respondents is base</w:t>
      </w:r>
      <w:r w:rsidR="00DB2E42">
        <w:rPr>
          <w:rFonts w:cstheme="minorHAnsi"/>
          <w:sz w:val="22"/>
        </w:rPr>
        <w:t xml:space="preserve">d on </w:t>
      </w:r>
      <w:r w:rsidR="00B16205">
        <w:rPr>
          <w:rFonts w:cstheme="minorHAnsi"/>
          <w:sz w:val="22"/>
        </w:rPr>
        <w:t>two types of respondents: families and community</w:t>
      </w:r>
      <w:r w:rsidR="00414E5A">
        <w:rPr>
          <w:rFonts w:cstheme="minorHAnsi"/>
          <w:sz w:val="22"/>
        </w:rPr>
        <w:t xml:space="preserve"> service</w:t>
      </w:r>
      <w:r w:rsidR="00B16205">
        <w:rPr>
          <w:rFonts w:cstheme="minorHAnsi"/>
          <w:sz w:val="22"/>
        </w:rPr>
        <w:t xml:space="preserve"> providers (including home visitors). Based on the planned </w:t>
      </w:r>
      <w:r w:rsidR="005B2598">
        <w:rPr>
          <w:rFonts w:cstheme="minorHAnsi"/>
          <w:sz w:val="22"/>
        </w:rPr>
        <w:t xml:space="preserve">data collection, a maximum of </w:t>
      </w:r>
      <w:r w:rsidR="00094F1E">
        <w:rPr>
          <w:rFonts w:cstheme="minorHAnsi"/>
          <w:sz w:val="22"/>
        </w:rPr>
        <w:t>160 respondents will be families</w:t>
      </w:r>
      <w:r w:rsidR="00885F41">
        <w:rPr>
          <w:rFonts w:cstheme="minorHAnsi"/>
          <w:sz w:val="22"/>
        </w:rPr>
        <w:t xml:space="preserve"> and 80 will be community </w:t>
      </w:r>
      <w:r w:rsidR="00414E5A">
        <w:rPr>
          <w:rFonts w:cstheme="minorHAnsi"/>
          <w:sz w:val="22"/>
        </w:rPr>
        <w:t xml:space="preserve">service </w:t>
      </w:r>
      <w:r w:rsidR="00885F41">
        <w:rPr>
          <w:rFonts w:cstheme="minorHAnsi"/>
          <w:sz w:val="22"/>
        </w:rPr>
        <w:t xml:space="preserve">providers. For families, the cost to respondents is based on the </w:t>
      </w:r>
      <w:r w:rsidR="00BC7195">
        <w:rPr>
          <w:rFonts w:cstheme="minorHAnsi"/>
          <w:sz w:val="22"/>
        </w:rPr>
        <w:t>median hourly</w:t>
      </w:r>
      <w:r w:rsidR="00885F41">
        <w:rPr>
          <w:rFonts w:cstheme="minorHAnsi"/>
          <w:sz w:val="22"/>
        </w:rPr>
        <w:t xml:space="preserve"> wage of women ages </w:t>
      </w:r>
      <w:r w:rsidR="00F365B9">
        <w:rPr>
          <w:rFonts w:cstheme="minorHAnsi"/>
          <w:sz w:val="22"/>
        </w:rPr>
        <w:t xml:space="preserve">16 and over from the </w:t>
      </w:r>
      <w:r w:rsidR="00BC7195">
        <w:rPr>
          <w:rFonts w:cstheme="minorHAnsi"/>
          <w:sz w:val="22"/>
        </w:rPr>
        <w:t>20</w:t>
      </w:r>
      <w:r w:rsidR="000A23D3">
        <w:rPr>
          <w:rFonts w:cstheme="minorHAnsi"/>
          <w:sz w:val="22"/>
        </w:rPr>
        <w:t>19</w:t>
      </w:r>
      <w:r w:rsidR="00BC7195">
        <w:rPr>
          <w:rFonts w:cstheme="minorHAnsi"/>
          <w:sz w:val="22"/>
        </w:rPr>
        <w:t xml:space="preserve"> U.S. Bureau of Labor</w:t>
      </w:r>
      <w:r w:rsidR="000A23D3">
        <w:rPr>
          <w:rFonts w:cstheme="minorHAnsi"/>
          <w:sz w:val="22"/>
        </w:rPr>
        <w:t xml:space="preserve"> </w:t>
      </w:r>
      <w:r w:rsidR="003F28C3">
        <w:rPr>
          <w:rFonts w:cstheme="minorHAnsi"/>
          <w:sz w:val="22"/>
        </w:rPr>
        <w:t>Current Population Survey</w:t>
      </w:r>
      <w:r w:rsidR="00BC7195">
        <w:rPr>
          <w:rFonts w:cstheme="minorHAnsi"/>
          <w:sz w:val="22"/>
        </w:rPr>
        <w:t>.</w:t>
      </w:r>
      <w:r w:rsidR="00413C3F">
        <w:rPr>
          <w:rStyle w:val="EndnoteReference"/>
          <w:rFonts w:cstheme="minorHAnsi"/>
          <w:sz w:val="22"/>
        </w:rPr>
        <w:endnoteReference w:id="10"/>
      </w:r>
      <w:r w:rsidR="003F28C3">
        <w:rPr>
          <w:rFonts w:cstheme="minorHAnsi"/>
          <w:sz w:val="22"/>
        </w:rPr>
        <w:t xml:space="preserve"> This wage category was used because </w:t>
      </w:r>
      <w:r w:rsidR="00B25566">
        <w:rPr>
          <w:rFonts w:cstheme="minorHAnsi"/>
          <w:sz w:val="22"/>
        </w:rPr>
        <w:t>it is anticipated that the majority of family participants will be women over age 16</w:t>
      </w:r>
      <w:r w:rsidR="00665BFB">
        <w:rPr>
          <w:rFonts w:cstheme="minorHAnsi"/>
          <w:sz w:val="22"/>
        </w:rPr>
        <w:t xml:space="preserve"> and there is no pre-determination of occupation. For community providers (including home visitors), the cost to respondents is based </w:t>
      </w:r>
      <w:r w:rsidR="007B5E3D">
        <w:rPr>
          <w:rFonts w:cstheme="minorHAnsi"/>
          <w:sz w:val="22"/>
        </w:rPr>
        <w:t xml:space="preserve">on the average wage of </w:t>
      </w:r>
      <w:r w:rsidR="00E32043">
        <w:rPr>
          <w:rFonts w:cstheme="minorHAnsi"/>
          <w:sz w:val="22"/>
        </w:rPr>
        <w:t xml:space="preserve">community and social service occupations from the </w:t>
      </w:r>
      <w:r w:rsidRPr="00D90737" w:rsidR="00E32043">
        <w:rPr>
          <w:sz w:val="22"/>
        </w:rPr>
        <w:lastRenderedPageBreak/>
        <w:t>2021 U.S. Bureau of Labor Statistics Occupational Employment and Wage Statistic</w:t>
      </w:r>
      <w:r w:rsidR="00E32043">
        <w:rPr>
          <w:sz w:val="22"/>
        </w:rPr>
        <w:t>s.</w:t>
      </w:r>
      <w:r w:rsidR="00E32043">
        <w:rPr>
          <w:rStyle w:val="EndnoteReference"/>
          <w:sz w:val="22"/>
        </w:rPr>
        <w:endnoteReference w:id="11"/>
      </w:r>
      <w:r w:rsidR="00D26DF1">
        <w:rPr>
          <w:sz w:val="22"/>
        </w:rPr>
        <w:t xml:space="preserve"> This wage category was used because it includes a range of providers (e.g., health education specialists, counselors, social workers) and broadly reflects the types of respondents who will participate in this focus group. </w:t>
      </w:r>
    </w:p>
    <w:p w:rsidR="004A1F0D" w:rsidP="004A1F0D" w:rsidRDefault="001F37D9" w14:paraId="6C7816BD" w14:textId="2031CDFF">
      <w:pPr>
        <w:pStyle w:val="BodyText1"/>
        <w:spacing w:line="259" w:lineRule="auto"/>
        <w:rPr>
          <w:sz w:val="22"/>
        </w:rPr>
      </w:pPr>
      <w:r>
        <w:rPr>
          <w:sz w:val="22"/>
        </w:rPr>
        <w:t xml:space="preserve">For the </w:t>
      </w:r>
      <w:r w:rsidRPr="00B616FB" w:rsidR="00B616FB">
        <w:rPr>
          <w:sz w:val="22"/>
        </w:rPr>
        <w:t>Community and Home Visitor Survey Instrument</w:t>
      </w:r>
      <w:r w:rsidR="004A1F0D">
        <w:rPr>
          <w:sz w:val="22"/>
        </w:rPr>
        <w:t>, anticipated respondents include home visitors and community service providers. T</w:t>
      </w:r>
      <w:r w:rsidR="004A1F0D">
        <w:rPr>
          <w:rFonts w:cstheme="minorHAnsi"/>
          <w:sz w:val="22"/>
        </w:rPr>
        <w:t xml:space="preserve">he cost to respondents is based on the average wage of community and social service occupations from the </w:t>
      </w:r>
      <w:r w:rsidRPr="00D90737" w:rsidR="004A1F0D">
        <w:rPr>
          <w:sz w:val="22"/>
        </w:rPr>
        <w:t>2021 U.S. Bureau of Labor Statistics Occupational Employment and Wage Statistic</w:t>
      </w:r>
      <w:r w:rsidR="004A1F0D">
        <w:rPr>
          <w:sz w:val="22"/>
        </w:rPr>
        <w:t>s.</w:t>
      </w:r>
      <w:r w:rsidR="004A1F0D">
        <w:rPr>
          <w:rStyle w:val="EndnoteReference"/>
          <w:sz w:val="22"/>
        </w:rPr>
        <w:endnoteReference w:id="12"/>
      </w:r>
      <w:r w:rsidR="004A1F0D">
        <w:rPr>
          <w:sz w:val="22"/>
        </w:rPr>
        <w:t xml:space="preserve"> This wage category was used because it includes a range of providers (e.g., health education specialists, counselors, social workers) and broadly reflects the types of respondents who will participate in this focus group. </w:t>
      </w:r>
    </w:p>
    <w:p w:rsidRPr="00A664FE" w:rsidR="001F37D9" w:rsidP="00A664FE" w:rsidRDefault="00E44801" w14:paraId="16B8D6DF" w14:textId="13894047">
      <w:pPr>
        <w:pStyle w:val="BodyText1"/>
        <w:spacing w:line="259" w:lineRule="auto"/>
        <w:rPr>
          <w:sz w:val="22"/>
        </w:rPr>
      </w:pPr>
      <w:r>
        <w:rPr>
          <w:sz w:val="22"/>
        </w:rPr>
        <w:t xml:space="preserve">For the Program Data collection, the </w:t>
      </w:r>
      <w:r>
        <w:rPr>
          <w:rFonts w:cstheme="minorHAnsi"/>
          <w:sz w:val="22"/>
        </w:rPr>
        <w:t xml:space="preserve">cost to respondents is based on the average wage of </w:t>
      </w:r>
      <w:r w:rsidR="00190E6E">
        <w:rPr>
          <w:rFonts w:cstheme="minorHAnsi"/>
          <w:sz w:val="22"/>
        </w:rPr>
        <w:t>o</w:t>
      </w:r>
      <w:r w:rsidRPr="00190E6E" w:rsidR="00190E6E">
        <w:rPr>
          <w:rFonts w:cstheme="minorHAnsi"/>
          <w:sz w:val="22"/>
        </w:rPr>
        <w:t xml:space="preserve">ffice and </w:t>
      </w:r>
      <w:r w:rsidR="00190E6E">
        <w:rPr>
          <w:rFonts w:cstheme="minorHAnsi"/>
          <w:sz w:val="22"/>
        </w:rPr>
        <w:t>a</w:t>
      </w:r>
      <w:r w:rsidRPr="00190E6E" w:rsidR="00190E6E">
        <w:rPr>
          <w:rFonts w:cstheme="minorHAnsi"/>
          <w:sz w:val="22"/>
        </w:rPr>
        <w:t xml:space="preserve">dministrative </w:t>
      </w:r>
      <w:r w:rsidR="00190E6E">
        <w:rPr>
          <w:rFonts w:cstheme="minorHAnsi"/>
          <w:sz w:val="22"/>
        </w:rPr>
        <w:t>s</w:t>
      </w:r>
      <w:r w:rsidRPr="00190E6E" w:rsidR="00190E6E">
        <w:rPr>
          <w:rFonts w:cstheme="minorHAnsi"/>
          <w:sz w:val="22"/>
        </w:rPr>
        <w:t xml:space="preserve">upport </w:t>
      </w:r>
      <w:r w:rsidR="00190E6E">
        <w:rPr>
          <w:rFonts w:cstheme="minorHAnsi"/>
          <w:sz w:val="22"/>
        </w:rPr>
        <w:t>w</w:t>
      </w:r>
      <w:r w:rsidRPr="00190E6E" w:rsidR="00190E6E">
        <w:rPr>
          <w:rFonts w:cstheme="minorHAnsi"/>
          <w:sz w:val="22"/>
        </w:rPr>
        <w:t xml:space="preserve">orkers, </w:t>
      </w:r>
      <w:r w:rsidR="00190E6E">
        <w:rPr>
          <w:rFonts w:cstheme="minorHAnsi"/>
          <w:sz w:val="22"/>
        </w:rPr>
        <w:t>o</w:t>
      </w:r>
      <w:r w:rsidRPr="00190E6E" w:rsidR="00190E6E">
        <w:rPr>
          <w:rFonts w:cstheme="minorHAnsi"/>
          <w:sz w:val="22"/>
        </w:rPr>
        <w:t>ther</w:t>
      </w:r>
      <w:r>
        <w:rPr>
          <w:rFonts w:cstheme="minorHAnsi"/>
          <w:sz w:val="22"/>
        </w:rPr>
        <w:t xml:space="preserve"> from the </w:t>
      </w:r>
      <w:r w:rsidRPr="00D90737">
        <w:rPr>
          <w:sz w:val="22"/>
        </w:rPr>
        <w:t>2021 U.S. Bureau of Labor Statistics Occupational Employment and Wage Statistic</w:t>
      </w:r>
      <w:r>
        <w:rPr>
          <w:sz w:val="22"/>
        </w:rPr>
        <w:t>s</w:t>
      </w:r>
      <w:r w:rsidR="00A664FE">
        <w:rPr>
          <w:sz w:val="22"/>
        </w:rPr>
        <w:t>.</w:t>
      </w:r>
      <w:r w:rsidR="00A664FE">
        <w:rPr>
          <w:rStyle w:val="EndnoteReference"/>
          <w:sz w:val="22"/>
        </w:rPr>
        <w:endnoteReference w:id="13"/>
      </w:r>
      <w:r w:rsidR="00A664FE">
        <w:rPr>
          <w:sz w:val="22"/>
        </w:rPr>
        <w:t xml:space="preserve"> This wage category was used because it </w:t>
      </w:r>
      <w:r w:rsidR="00921DCA">
        <w:rPr>
          <w:sz w:val="22"/>
        </w:rPr>
        <w:t xml:space="preserve">includes </w:t>
      </w:r>
      <w:r w:rsidR="00620DCC">
        <w:rPr>
          <w:sz w:val="22"/>
        </w:rPr>
        <w:t xml:space="preserve">administrative workers such as data entry or data intake staff which reflects the anticipated respondents who will enter </w:t>
      </w:r>
      <w:r w:rsidR="007C4BD1">
        <w:rPr>
          <w:sz w:val="22"/>
        </w:rPr>
        <w:t xml:space="preserve">the </w:t>
      </w:r>
      <w:r w:rsidR="00620DCC">
        <w:rPr>
          <w:sz w:val="22"/>
        </w:rPr>
        <w:t>program data.</w:t>
      </w:r>
    </w:p>
    <w:p w:rsidRPr="00D90737" w:rsidR="0042309C" w:rsidP="00D90737" w:rsidRDefault="0042309C" w14:paraId="50FCC145" w14:textId="0B8F49CA">
      <w:pPr>
        <w:pStyle w:val="BodyText1"/>
        <w:spacing w:line="259" w:lineRule="auto"/>
        <w:rPr>
          <w:sz w:val="22"/>
        </w:rPr>
      </w:pPr>
      <w:r w:rsidRPr="00D90737">
        <w:rPr>
          <w:sz w:val="22"/>
        </w:rPr>
        <w:t>For all forms, the average hourly wage was multiplied by 2 to account for the costs of fringe benefits and overhead.</w:t>
      </w:r>
    </w:p>
    <w:p w:rsidRPr="001F5127" w:rsidR="00F7411B" w:rsidP="00F7411B" w:rsidRDefault="00420D9D" w14:paraId="7A452FDB" w14:textId="560686E3">
      <w:pPr>
        <w:pStyle w:val="FigureTitle"/>
        <w:rPr>
          <w:rFonts w:asciiTheme="minorHAnsi" w:hAnsiTheme="minorHAnsi" w:cstheme="minorHAnsi"/>
          <w:sz w:val="22"/>
          <w:szCs w:val="22"/>
          <w:vertAlign w:val="superscript"/>
        </w:rPr>
      </w:pPr>
      <w:bookmarkStart w:name="_Toc179173311" w:id="34"/>
      <w:bookmarkStart w:name="_Toc275433792" w:id="35"/>
      <w:bookmarkStart w:name="_Toc307224725" w:id="36"/>
      <w:r w:rsidRPr="001F5127">
        <w:rPr>
          <w:rFonts w:asciiTheme="minorHAnsi" w:hAnsiTheme="minorHAnsi" w:cstheme="minorHAnsi"/>
          <w:sz w:val="22"/>
          <w:szCs w:val="22"/>
        </w:rPr>
        <w:t xml:space="preserve">Table </w:t>
      </w:r>
      <w:r w:rsidRPr="001F5127" w:rsidR="005D7B9F">
        <w:rPr>
          <w:rFonts w:asciiTheme="minorHAnsi" w:hAnsiTheme="minorHAnsi" w:cstheme="minorHAnsi"/>
          <w:sz w:val="22"/>
          <w:szCs w:val="22"/>
        </w:rPr>
        <w:t>4</w:t>
      </w:r>
      <w:r w:rsidRPr="001F5127" w:rsidR="00F7411B">
        <w:rPr>
          <w:rFonts w:asciiTheme="minorHAnsi" w:hAnsiTheme="minorHAnsi" w:cstheme="minorHAnsi"/>
          <w:sz w:val="22"/>
          <w:szCs w:val="22"/>
        </w:rPr>
        <w:t>.</w:t>
      </w:r>
      <w:r w:rsidR="001F5127">
        <w:rPr>
          <w:rFonts w:asciiTheme="minorHAnsi" w:hAnsiTheme="minorHAnsi" w:cstheme="minorHAnsi"/>
          <w:sz w:val="22"/>
          <w:szCs w:val="22"/>
        </w:rPr>
        <w:t xml:space="preserve"> </w:t>
      </w:r>
      <w:r w:rsidRPr="001F5127" w:rsidR="00F7411B">
        <w:rPr>
          <w:rFonts w:asciiTheme="minorHAnsi" w:hAnsiTheme="minorHAnsi" w:cstheme="minorHAnsi"/>
          <w:sz w:val="22"/>
          <w:szCs w:val="22"/>
        </w:rPr>
        <w:t>Estimated Annualized Cost to Respondents</w:t>
      </w:r>
      <w:bookmarkEnd w:id="34"/>
      <w:bookmarkEnd w:id="35"/>
      <w:bookmarkEnd w:id="36"/>
      <w:r w:rsidRPr="001F5127" w:rsidR="00835E2C">
        <w:rPr>
          <w:rFonts w:asciiTheme="minorHAnsi" w:hAnsiTheme="minorHAnsi" w:cstheme="minorHAnsi"/>
          <w:sz w:val="22"/>
          <w:szCs w:val="22"/>
          <w:vertAlign w:val="superscript"/>
        </w:rPr>
        <w:t>1</w:t>
      </w:r>
    </w:p>
    <w:tbl>
      <w:tblPr>
        <w:tblW w:w="10344" w:type="dxa"/>
        <w:jc w:val="center"/>
        <w:tblLayout w:type="fixed"/>
        <w:tblCellMar>
          <w:left w:w="100" w:type="dxa"/>
          <w:right w:w="100" w:type="dxa"/>
        </w:tblCellMar>
        <w:tblLook w:val="0000" w:firstRow="0" w:lastRow="0" w:firstColumn="0" w:lastColumn="0" w:noHBand="0" w:noVBand="0"/>
      </w:tblPr>
      <w:tblGrid>
        <w:gridCol w:w="2004"/>
        <w:gridCol w:w="2308"/>
        <w:gridCol w:w="1440"/>
        <w:gridCol w:w="900"/>
        <w:gridCol w:w="2250"/>
        <w:gridCol w:w="1442"/>
      </w:tblGrid>
      <w:tr w:rsidRPr="00EE083E" w:rsidR="008317D6" w:rsidTr="001F5127" w14:paraId="71A02FA4" w14:textId="77777777">
        <w:trPr>
          <w:cantSplit/>
          <w:trHeight w:val="403"/>
          <w:tblHeader/>
          <w:jc w:val="center"/>
        </w:trPr>
        <w:tc>
          <w:tcPr>
            <w:tcW w:w="2004" w:type="dxa"/>
            <w:tcBorders>
              <w:top w:val="single" w:color="auto" w:sz="6" w:space="0"/>
              <w:left w:val="single" w:color="auto" w:sz="6" w:space="0"/>
              <w:bottom w:val="double" w:color="auto" w:sz="4" w:space="0"/>
              <w:right w:val="nil"/>
            </w:tcBorders>
            <w:vAlign w:val="bottom"/>
          </w:tcPr>
          <w:p w:rsidRPr="00EE083E" w:rsidR="008317D6" w:rsidP="001F5127" w:rsidRDefault="008317D6" w14:paraId="0DC1302B" w14:textId="77777777">
            <w:pPr>
              <w:rPr>
                <w:rFonts w:cstheme="minorHAnsi"/>
                <w:b/>
              </w:rPr>
            </w:pPr>
            <w:r w:rsidRPr="00EE083E">
              <w:rPr>
                <w:rFonts w:cstheme="minorHAnsi"/>
                <w:b/>
              </w:rPr>
              <w:t>Form Name</w:t>
            </w:r>
          </w:p>
        </w:tc>
        <w:tc>
          <w:tcPr>
            <w:tcW w:w="2308" w:type="dxa"/>
            <w:tcBorders>
              <w:top w:val="single" w:color="auto" w:sz="6" w:space="0"/>
              <w:left w:val="single" w:color="auto" w:sz="6" w:space="0"/>
              <w:bottom w:val="double" w:color="auto" w:sz="4" w:space="0"/>
              <w:right w:val="nil"/>
            </w:tcBorders>
          </w:tcPr>
          <w:p w:rsidRPr="00835E2C" w:rsidR="008317D6" w:rsidP="008317D6" w:rsidRDefault="008317D6" w14:paraId="4761AB20" w14:textId="15C95F55">
            <w:pPr>
              <w:jc w:val="center"/>
              <w:rPr>
                <w:rFonts w:cstheme="minorHAnsi"/>
                <w:b/>
                <w:highlight w:val="yellow"/>
              </w:rPr>
            </w:pPr>
            <w:r w:rsidRPr="007C4BD1">
              <w:rPr>
                <w:rFonts w:ascii="Calibri" w:hAnsi="Calibri" w:cs="Calibri"/>
                <w:b/>
                <w:bCs/>
                <w:color w:val="000000"/>
              </w:rPr>
              <w:t>Type of Respondent</w:t>
            </w:r>
            <w:r w:rsidRPr="007C4BD1" w:rsidR="00E44801">
              <w:rPr>
                <w:rFonts w:ascii="Calibri" w:hAnsi="Calibri" w:cs="Calibri"/>
                <w:b/>
                <w:bCs/>
                <w:color w:val="000000"/>
              </w:rPr>
              <w:t xml:space="preserve"> Category</w:t>
            </w:r>
          </w:p>
        </w:tc>
        <w:tc>
          <w:tcPr>
            <w:tcW w:w="1440" w:type="dxa"/>
            <w:tcBorders>
              <w:top w:val="single" w:color="auto" w:sz="6" w:space="0"/>
              <w:left w:val="single" w:color="auto" w:sz="6" w:space="0"/>
              <w:bottom w:val="double" w:color="auto" w:sz="4" w:space="0"/>
              <w:right w:val="nil"/>
            </w:tcBorders>
          </w:tcPr>
          <w:p w:rsidRPr="00EE083E" w:rsidR="008317D6" w:rsidP="008317D6" w:rsidRDefault="008317D6" w14:paraId="08EECBBC" w14:textId="34D51CE4">
            <w:pPr>
              <w:jc w:val="center"/>
              <w:rPr>
                <w:rFonts w:cstheme="minorHAnsi"/>
                <w:b/>
              </w:rPr>
            </w:pPr>
            <w:r>
              <w:rPr>
                <w:rFonts w:ascii="Calibri" w:hAnsi="Calibri" w:cs="Calibri"/>
                <w:b/>
                <w:bCs/>
                <w:color w:val="000000"/>
              </w:rPr>
              <w:t>Number of Respondents</w:t>
            </w:r>
          </w:p>
        </w:tc>
        <w:tc>
          <w:tcPr>
            <w:tcW w:w="900" w:type="dxa"/>
            <w:tcBorders>
              <w:top w:val="single" w:color="auto" w:sz="6" w:space="0"/>
              <w:left w:val="single" w:color="auto" w:sz="6" w:space="0"/>
              <w:bottom w:val="double" w:color="auto" w:sz="4" w:space="0"/>
              <w:right w:val="nil"/>
            </w:tcBorders>
          </w:tcPr>
          <w:p w:rsidRPr="00EE083E" w:rsidR="008317D6" w:rsidP="008317D6" w:rsidRDefault="008317D6" w14:paraId="4C0AAE5B" w14:textId="29F48BC1">
            <w:pPr>
              <w:jc w:val="center"/>
              <w:rPr>
                <w:rFonts w:cstheme="minorHAnsi"/>
                <w:b/>
              </w:rPr>
            </w:pPr>
            <w:r>
              <w:rPr>
                <w:rFonts w:ascii="Calibri" w:hAnsi="Calibri" w:cs="Calibri"/>
                <w:b/>
                <w:bCs/>
                <w:color w:val="000000"/>
              </w:rPr>
              <w:t>Total Burden</w:t>
            </w:r>
          </w:p>
        </w:tc>
        <w:tc>
          <w:tcPr>
            <w:tcW w:w="2250" w:type="dxa"/>
            <w:tcBorders>
              <w:top w:val="single" w:color="auto" w:sz="6" w:space="0"/>
              <w:left w:val="single" w:color="auto" w:sz="6" w:space="0"/>
              <w:bottom w:val="double" w:color="auto" w:sz="4" w:space="0"/>
              <w:right w:val="nil"/>
            </w:tcBorders>
          </w:tcPr>
          <w:p w:rsidR="008317D6" w:rsidP="009918B9" w:rsidRDefault="008317D6" w14:paraId="235C8BF3" w14:textId="77777777">
            <w:pPr>
              <w:contextualSpacing/>
              <w:jc w:val="center"/>
              <w:rPr>
                <w:rFonts w:ascii="Calibri" w:hAnsi="Calibri" w:cs="Calibri"/>
                <w:b/>
                <w:bCs/>
                <w:color w:val="000000"/>
              </w:rPr>
            </w:pPr>
            <w:r>
              <w:rPr>
                <w:rFonts w:ascii="Calibri" w:hAnsi="Calibri" w:cs="Calibri"/>
                <w:b/>
                <w:bCs/>
                <w:color w:val="000000"/>
              </w:rPr>
              <w:t>Average Hourly Wage</w:t>
            </w:r>
          </w:p>
          <w:p w:rsidRPr="00866039" w:rsidR="00866039" w:rsidP="00866039" w:rsidRDefault="00866039" w14:paraId="50CFC8B3" w14:textId="64D65053">
            <w:pPr>
              <w:spacing w:line="240" w:lineRule="auto"/>
              <w:jc w:val="center"/>
              <w:rPr>
                <w:rFonts w:cstheme="minorHAnsi"/>
              </w:rPr>
            </w:pPr>
            <w:r w:rsidRPr="00866039">
              <w:rPr>
                <w:rFonts w:ascii="Calibri" w:hAnsi="Calibri" w:cs="Calibri"/>
                <w:color w:val="000000"/>
              </w:rPr>
              <w:t>(Multiplied by 2</w:t>
            </w:r>
            <w:r w:rsidR="003F5880">
              <w:rPr>
                <w:rFonts w:ascii="Calibri" w:hAnsi="Calibri" w:cs="Calibri"/>
                <w:color w:val="000000"/>
              </w:rPr>
              <w:t xml:space="preserve"> </w:t>
            </w:r>
            <w:r w:rsidR="009918B9">
              <w:rPr>
                <w:rFonts w:ascii="Calibri" w:hAnsi="Calibri" w:cs="Calibri"/>
                <w:color w:val="000000"/>
              </w:rPr>
              <w:t>for total respondent cost</w:t>
            </w:r>
            <w:r w:rsidRPr="00866039">
              <w:rPr>
                <w:rFonts w:ascii="Calibri" w:hAnsi="Calibri" w:cs="Calibri"/>
                <w:color w:val="000000"/>
              </w:rPr>
              <w:t>)</w:t>
            </w:r>
          </w:p>
        </w:tc>
        <w:tc>
          <w:tcPr>
            <w:tcW w:w="1442" w:type="dxa"/>
            <w:tcBorders>
              <w:top w:val="single" w:color="auto" w:sz="6" w:space="0"/>
              <w:left w:val="single" w:color="auto" w:sz="6" w:space="0"/>
              <w:bottom w:val="double" w:color="auto" w:sz="4" w:space="0"/>
              <w:right w:val="single" w:color="auto" w:sz="6" w:space="0"/>
            </w:tcBorders>
          </w:tcPr>
          <w:p w:rsidRPr="00EE083E" w:rsidR="008317D6" w:rsidP="008317D6" w:rsidRDefault="008317D6" w14:paraId="4E536D98" w14:textId="3EA4C7B8">
            <w:pPr>
              <w:jc w:val="center"/>
              <w:rPr>
                <w:rFonts w:cstheme="minorHAnsi"/>
                <w:b/>
              </w:rPr>
            </w:pPr>
            <w:r>
              <w:rPr>
                <w:rFonts w:ascii="Calibri" w:hAnsi="Calibri" w:cs="Calibri"/>
                <w:b/>
                <w:bCs/>
                <w:color w:val="000000"/>
              </w:rPr>
              <w:t>Total Respondent Cost ($)</w:t>
            </w:r>
          </w:p>
        </w:tc>
      </w:tr>
      <w:tr w:rsidRPr="00EE083E" w:rsidR="00362F31" w:rsidTr="001F5127" w14:paraId="01A95A20" w14:textId="77777777">
        <w:trPr>
          <w:cantSplit/>
          <w:trHeight w:val="403"/>
          <w:jc w:val="center"/>
        </w:trPr>
        <w:tc>
          <w:tcPr>
            <w:tcW w:w="2004" w:type="dxa"/>
            <w:tcBorders>
              <w:top w:val="double" w:color="auto" w:sz="4" w:space="0"/>
              <w:left w:val="single" w:color="auto" w:sz="6" w:space="0"/>
              <w:bottom w:val="nil"/>
              <w:right w:val="nil"/>
            </w:tcBorders>
            <w:vAlign w:val="bottom"/>
          </w:tcPr>
          <w:p w:rsidRPr="00EE083E" w:rsidR="00362F31" w:rsidP="00362F31" w:rsidRDefault="00362F31" w14:paraId="29509519" w14:textId="77777777">
            <w:pPr>
              <w:jc w:val="center"/>
              <w:rPr>
                <w:rFonts w:cstheme="minorHAnsi"/>
                <w:b/>
                <w:bCs/>
              </w:rPr>
            </w:pPr>
            <w:r w:rsidRPr="00EE083E">
              <w:rPr>
                <w:rFonts w:cstheme="minorHAnsi"/>
                <w:b/>
                <w:bCs/>
              </w:rPr>
              <w:t xml:space="preserve">Community Interview Protocol   </w:t>
            </w:r>
          </w:p>
        </w:tc>
        <w:tc>
          <w:tcPr>
            <w:tcW w:w="2308" w:type="dxa"/>
            <w:tcBorders>
              <w:top w:val="double" w:color="auto" w:sz="4" w:space="0"/>
              <w:left w:val="single" w:color="auto" w:sz="6" w:space="0"/>
              <w:bottom w:val="single" w:color="auto" w:sz="6" w:space="0"/>
              <w:right w:val="nil"/>
            </w:tcBorders>
            <w:shd w:val="clear" w:color="auto" w:fill="auto"/>
            <w:vAlign w:val="bottom"/>
          </w:tcPr>
          <w:p w:rsidRPr="00EE083E" w:rsidR="00362F31" w:rsidP="00835E2C" w:rsidRDefault="00835E2C" w14:paraId="1374B6ED" w14:textId="659C6087">
            <w:pPr>
              <w:rPr>
                <w:rFonts w:cstheme="minorHAnsi"/>
              </w:rPr>
            </w:pPr>
            <w:r>
              <w:rPr>
                <w:rFonts w:cstheme="minorHAnsi"/>
              </w:rPr>
              <w:t>Social and Community Service Managers</w:t>
            </w:r>
          </w:p>
        </w:tc>
        <w:tc>
          <w:tcPr>
            <w:tcW w:w="1440" w:type="dxa"/>
            <w:tcBorders>
              <w:top w:val="double" w:color="auto" w:sz="4" w:space="0"/>
              <w:left w:val="single" w:color="auto" w:sz="6" w:space="0"/>
              <w:bottom w:val="single" w:color="auto" w:sz="6" w:space="0"/>
              <w:right w:val="nil"/>
            </w:tcBorders>
            <w:shd w:val="clear" w:color="auto" w:fill="auto"/>
            <w:vAlign w:val="bottom"/>
          </w:tcPr>
          <w:p w:rsidRPr="00EE083E" w:rsidR="00362F31" w:rsidP="00362F31" w:rsidRDefault="00362F31" w14:paraId="7F9A6993" w14:textId="02F675AA">
            <w:pPr>
              <w:jc w:val="right"/>
              <w:rPr>
                <w:rFonts w:cstheme="minorHAnsi"/>
              </w:rPr>
            </w:pPr>
            <w:r>
              <w:rPr>
                <w:rFonts w:ascii="Calibri" w:hAnsi="Calibri" w:cs="Calibri"/>
                <w:color w:val="000000"/>
              </w:rPr>
              <w:t>60</w:t>
            </w:r>
          </w:p>
        </w:tc>
        <w:tc>
          <w:tcPr>
            <w:tcW w:w="900" w:type="dxa"/>
            <w:tcBorders>
              <w:top w:val="double" w:color="auto" w:sz="4" w:space="0"/>
              <w:left w:val="single" w:color="auto" w:sz="6" w:space="0"/>
              <w:bottom w:val="single" w:color="auto" w:sz="6" w:space="0"/>
              <w:right w:val="nil"/>
            </w:tcBorders>
            <w:shd w:val="clear" w:color="auto" w:fill="auto"/>
            <w:vAlign w:val="bottom"/>
          </w:tcPr>
          <w:p w:rsidRPr="00EE083E" w:rsidR="00362F31" w:rsidP="00362F31" w:rsidRDefault="00362F31" w14:paraId="61D1378B" w14:textId="34D2CD7E">
            <w:pPr>
              <w:jc w:val="right"/>
              <w:rPr>
                <w:rFonts w:cstheme="minorHAnsi"/>
              </w:rPr>
            </w:pPr>
            <w:r>
              <w:rPr>
                <w:rFonts w:ascii="Calibri" w:hAnsi="Calibri" w:cs="Calibri"/>
                <w:color w:val="000000"/>
              </w:rPr>
              <w:t>90</w:t>
            </w:r>
          </w:p>
        </w:tc>
        <w:tc>
          <w:tcPr>
            <w:tcW w:w="2250" w:type="dxa"/>
            <w:tcBorders>
              <w:top w:val="double" w:color="auto" w:sz="4" w:space="0"/>
              <w:left w:val="single" w:color="auto" w:sz="6" w:space="0"/>
              <w:bottom w:val="single" w:color="auto" w:sz="6" w:space="0"/>
              <w:right w:val="nil"/>
            </w:tcBorders>
            <w:shd w:val="clear" w:color="auto" w:fill="auto"/>
            <w:vAlign w:val="bottom"/>
          </w:tcPr>
          <w:p w:rsidRPr="00EE083E" w:rsidR="00362F31" w:rsidP="00362F31" w:rsidRDefault="00E04E73" w14:paraId="324CB52D" w14:textId="0666EE6D">
            <w:pPr>
              <w:jc w:val="right"/>
              <w:rPr>
                <w:rFonts w:cstheme="minorHAnsi"/>
              </w:rPr>
            </w:pPr>
            <w:r>
              <w:rPr>
                <w:rFonts w:ascii="Calibri" w:hAnsi="Calibri" w:cs="Calibri"/>
                <w:color w:val="000000"/>
              </w:rPr>
              <w:t>$</w:t>
            </w:r>
            <w:r w:rsidR="00866039">
              <w:rPr>
                <w:rFonts w:ascii="Calibri" w:hAnsi="Calibri" w:cs="Calibri"/>
                <w:color w:val="000000"/>
              </w:rPr>
              <w:t>36.92</w:t>
            </w:r>
          </w:p>
        </w:tc>
        <w:tc>
          <w:tcPr>
            <w:tcW w:w="1442" w:type="dxa"/>
            <w:tcBorders>
              <w:top w:val="double" w:color="auto" w:sz="4" w:space="0"/>
              <w:left w:val="single" w:color="auto" w:sz="6" w:space="0"/>
              <w:bottom w:val="single" w:color="auto" w:sz="6" w:space="0"/>
              <w:right w:val="single" w:color="auto" w:sz="6" w:space="0"/>
            </w:tcBorders>
            <w:shd w:val="clear" w:color="auto" w:fill="auto"/>
            <w:vAlign w:val="bottom"/>
          </w:tcPr>
          <w:p w:rsidRPr="00EE083E" w:rsidR="00362F31" w:rsidP="00362F31" w:rsidRDefault="00E04E73" w14:paraId="43CF457B" w14:textId="6196C565">
            <w:pPr>
              <w:jc w:val="right"/>
              <w:rPr>
                <w:rFonts w:cstheme="minorHAnsi"/>
              </w:rPr>
            </w:pPr>
            <w:r>
              <w:rPr>
                <w:rFonts w:ascii="Calibri" w:hAnsi="Calibri" w:cs="Calibri"/>
                <w:color w:val="000000"/>
              </w:rPr>
              <w:t>$</w:t>
            </w:r>
            <w:r w:rsidR="00362F31">
              <w:rPr>
                <w:rFonts w:ascii="Calibri" w:hAnsi="Calibri" w:cs="Calibri"/>
                <w:color w:val="000000"/>
              </w:rPr>
              <w:t>6645.6</w:t>
            </w:r>
            <w:r>
              <w:rPr>
                <w:rFonts w:ascii="Calibri" w:hAnsi="Calibri" w:cs="Calibri"/>
                <w:color w:val="000000"/>
              </w:rPr>
              <w:t>0</w:t>
            </w:r>
          </w:p>
        </w:tc>
      </w:tr>
      <w:tr w:rsidRPr="00EE083E" w:rsidR="00D314F4" w:rsidTr="001F5127" w14:paraId="4712FE3D" w14:textId="77777777">
        <w:trPr>
          <w:cantSplit/>
          <w:trHeight w:val="403"/>
          <w:jc w:val="center"/>
        </w:trPr>
        <w:tc>
          <w:tcPr>
            <w:tcW w:w="2004" w:type="dxa"/>
            <w:tcBorders>
              <w:top w:val="single" w:color="auto" w:sz="6" w:space="0"/>
              <w:left w:val="single" w:color="auto" w:sz="6" w:space="0"/>
              <w:bottom w:val="nil"/>
              <w:right w:val="nil"/>
            </w:tcBorders>
            <w:vAlign w:val="bottom"/>
          </w:tcPr>
          <w:p w:rsidRPr="00EE083E" w:rsidR="00D314F4" w:rsidP="009918B9" w:rsidRDefault="00D314F4" w14:paraId="58F33A51" w14:textId="77777777">
            <w:pPr>
              <w:jc w:val="center"/>
              <w:rPr>
                <w:rFonts w:cstheme="minorHAnsi"/>
                <w:b/>
                <w:bCs/>
              </w:rPr>
            </w:pPr>
            <w:r w:rsidRPr="00EE083E">
              <w:rPr>
                <w:rFonts w:cstheme="minorHAnsi"/>
                <w:b/>
                <w:bCs/>
              </w:rPr>
              <w:t xml:space="preserve">Family and Community Focus Group Guide  </w:t>
            </w:r>
          </w:p>
        </w:tc>
        <w:tc>
          <w:tcPr>
            <w:tcW w:w="2308" w:type="dxa"/>
            <w:tcBorders>
              <w:top w:val="single" w:color="auto" w:sz="6" w:space="0"/>
              <w:left w:val="single" w:color="auto" w:sz="6" w:space="0"/>
              <w:bottom w:val="single" w:color="auto" w:sz="6" w:space="0"/>
            </w:tcBorders>
            <w:shd w:val="clear" w:color="auto" w:fill="auto"/>
            <w:vAlign w:val="bottom"/>
          </w:tcPr>
          <w:p w:rsidRPr="00EE083E" w:rsidR="00D314F4" w:rsidP="009918B9" w:rsidRDefault="00D314F4" w14:paraId="06111437" w14:textId="13E057C4">
            <w:pPr>
              <w:jc w:val="right"/>
              <w:rPr>
                <w:rFonts w:cstheme="minorHAnsi"/>
              </w:rPr>
            </w:pPr>
          </w:p>
        </w:tc>
        <w:tc>
          <w:tcPr>
            <w:tcW w:w="1440" w:type="dxa"/>
            <w:tcBorders>
              <w:top w:val="single" w:color="auto" w:sz="6" w:space="0"/>
              <w:bottom w:val="single" w:color="auto" w:sz="6" w:space="0"/>
            </w:tcBorders>
            <w:shd w:val="clear" w:color="auto" w:fill="auto"/>
            <w:vAlign w:val="bottom"/>
          </w:tcPr>
          <w:p w:rsidRPr="00EE083E" w:rsidR="00D314F4" w:rsidP="009918B9" w:rsidRDefault="00D314F4" w14:paraId="5841384D" w14:textId="6D95BE45">
            <w:pPr>
              <w:jc w:val="right"/>
              <w:rPr>
                <w:rFonts w:cstheme="minorHAnsi"/>
              </w:rPr>
            </w:pPr>
          </w:p>
        </w:tc>
        <w:tc>
          <w:tcPr>
            <w:tcW w:w="900" w:type="dxa"/>
            <w:tcBorders>
              <w:top w:val="single" w:color="auto" w:sz="6" w:space="0"/>
              <w:bottom w:val="single" w:color="auto" w:sz="6" w:space="0"/>
            </w:tcBorders>
            <w:shd w:val="clear" w:color="auto" w:fill="auto"/>
            <w:vAlign w:val="bottom"/>
          </w:tcPr>
          <w:p w:rsidRPr="00EE083E" w:rsidR="00D314F4" w:rsidP="009918B9" w:rsidRDefault="00D314F4" w14:paraId="5919D643" w14:textId="4984253F">
            <w:pPr>
              <w:jc w:val="right"/>
              <w:rPr>
                <w:rFonts w:cstheme="minorHAnsi"/>
              </w:rPr>
            </w:pPr>
          </w:p>
        </w:tc>
        <w:tc>
          <w:tcPr>
            <w:tcW w:w="2250" w:type="dxa"/>
            <w:tcBorders>
              <w:top w:val="single" w:color="auto" w:sz="6" w:space="0"/>
              <w:bottom w:val="single" w:color="auto" w:sz="6" w:space="0"/>
            </w:tcBorders>
            <w:shd w:val="clear" w:color="auto" w:fill="auto"/>
            <w:vAlign w:val="bottom"/>
          </w:tcPr>
          <w:p w:rsidRPr="00EE083E" w:rsidR="00D314F4" w:rsidP="009918B9" w:rsidRDefault="00D314F4" w14:paraId="4F3D9E95" w14:textId="17198807">
            <w:pPr>
              <w:jc w:val="right"/>
              <w:rPr>
                <w:rFonts w:cstheme="minorHAnsi"/>
              </w:rPr>
            </w:pPr>
          </w:p>
        </w:tc>
        <w:tc>
          <w:tcPr>
            <w:tcW w:w="1442" w:type="dxa"/>
            <w:tcBorders>
              <w:top w:val="single" w:color="auto" w:sz="6" w:space="0"/>
              <w:bottom w:val="single" w:color="auto" w:sz="6" w:space="0"/>
              <w:right w:val="single" w:color="auto" w:sz="6" w:space="0"/>
            </w:tcBorders>
            <w:shd w:val="clear" w:color="auto" w:fill="auto"/>
            <w:vAlign w:val="bottom"/>
          </w:tcPr>
          <w:p w:rsidRPr="00EE083E" w:rsidR="00D314F4" w:rsidP="009918B9" w:rsidRDefault="00D314F4" w14:paraId="09F99698" w14:textId="629C0931">
            <w:pPr>
              <w:jc w:val="right"/>
              <w:rPr>
                <w:rFonts w:cstheme="minorHAnsi"/>
              </w:rPr>
            </w:pPr>
          </w:p>
        </w:tc>
      </w:tr>
      <w:tr w:rsidRPr="00EE083E" w:rsidR="00C614B0" w:rsidTr="001F5127" w14:paraId="598CB2A7" w14:textId="77777777">
        <w:trPr>
          <w:cantSplit/>
          <w:trHeight w:val="403"/>
          <w:jc w:val="center"/>
        </w:trPr>
        <w:tc>
          <w:tcPr>
            <w:tcW w:w="2004" w:type="dxa"/>
            <w:tcBorders>
              <w:top w:val="single" w:color="auto" w:sz="6" w:space="0"/>
              <w:left w:val="single" w:color="auto" w:sz="6" w:space="0"/>
              <w:bottom w:val="nil"/>
              <w:right w:val="nil"/>
            </w:tcBorders>
            <w:vAlign w:val="bottom"/>
          </w:tcPr>
          <w:p w:rsidRPr="00572E9C" w:rsidR="00C614B0" w:rsidP="00C614B0" w:rsidRDefault="00572E9C" w14:paraId="140B66CE" w14:textId="4399A315">
            <w:pPr>
              <w:jc w:val="center"/>
              <w:rPr>
                <w:rFonts w:cstheme="minorHAnsi"/>
              </w:rPr>
            </w:pPr>
            <w:r>
              <w:rPr>
                <w:rFonts w:cstheme="minorHAnsi"/>
              </w:rPr>
              <w:t>Family</w:t>
            </w:r>
          </w:p>
        </w:tc>
        <w:tc>
          <w:tcPr>
            <w:tcW w:w="2308" w:type="dxa"/>
            <w:tcBorders>
              <w:top w:val="single" w:color="auto" w:sz="6" w:space="0"/>
              <w:left w:val="single" w:color="auto" w:sz="6" w:space="0"/>
              <w:bottom w:val="single" w:color="auto" w:sz="6" w:space="0"/>
              <w:right w:val="nil"/>
            </w:tcBorders>
            <w:shd w:val="clear" w:color="auto" w:fill="auto"/>
            <w:vAlign w:val="bottom"/>
          </w:tcPr>
          <w:p w:rsidRPr="00EE083E" w:rsidR="00C614B0" w:rsidP="00E44801" w:rsidRDefault="00E44801" w14:paraId="1473B645" w14:textId="4DFB3BE6">
            <w:pPr>
              <w:rPr>
                <w:rFonts w:cstheme="minorHAnsi"/>
              </w:rPr>
            </w:pPr>
            <w:r>
              <w:rPr>
                <w:rFonts w:cstheme="minorHAnsi"/>
              </w:rPr>
              <w:t>Employed Women Age 16 and over</w:t>
            </w:r>
          </w:p>
        </w:tc>
        <w:tc>
          <w:tcPr>
            <w:tcW w:w="1440" w:type="dxa"/>
            <w:tcBorders>
              <w:top w:val="single" w:color="auto" w:sz="6" w:space="0"/>
              <w:left w:val="single" w:color="auto" w:sz="6" w:space="0"/>
              <w:bottom w:val="single" w:color="auto" w:sz="6" w:space="0"/>
              <w:right w:val="nil"/>
            </w:tcBorders>
            <w:shd w:val="clear" w:color="auto" w:fill="auto"/>
            <w:vAlign w:val="bottom"/>
          </w:tcPr>
          <w:p w:rsidRPr="00E04E73" w:rsidR="00C614B0" w:rsidP="00C614B0" w:rsidRDefault="00C614B0" w14:paraId="362428D8" w14:textId="0AF4396D">
            <w:pPr>
              <w:jc w:val="right"/>
              <w:rPr>
                <w:rFonts w:cstheme="minorHAnsi"/>
              </w:rPr>
            </w:pPr>
            <w:r w:rsidRPr="00E04E73">
              <w:rPr>
                <w:rFonts w:ascii="Calibri" w:hAnsi="Calibri" w:cs="Calibri"/>
                <w:color w:val="000000"/>
              </w:rPr>
              <w:t>160</w:t>
            </w:r>
          </w:p>
        </w:tc>
        <w:tc>
          <w:tcPr>
            <w:tcW w:w="900" w:type="dxa"/>
            <w:tcBorders>
              <w:top w:val="single" w:color="auto" w:sz="6" w:space="0"/>
              <w:left w:val="single" w:color="auto" w:sz="6" w:space="0"/>
              <w:bottom w:val="single" w:color="auto" w:sz="6" w:space="0"/>
              <w:right w:val="nil"/>
            </w:tcBorders>
            <w:shd w:val="clear" w:color="auto" w:fill="auto"/>
            <w:vAlign w:val="bottom"/>
          </w:tcPr>
          <w:p w:rsidRPr="00E04E73" w:rsidR="00C614B0" w:rsidP="00C614B0" w:rsidRDefault="00C614B0" w14:paraId="243FADA7" w14:textId="564BCAF6">
            <w:pPr>
              <w:jc w:val="right"/>
              <w:rPr>
                <w:rFonts w:cstheme="minorHAnsi"/>
              </w:rPr>
            </w:pPr>
            <w:r w:rsidRPr="00E04E73">
              <w:rPr>
                <w:rFonts w:ascii="Calibri" w:hAnsi="Calibri" w:cs="Calibri"/>
                <w:color w:val="000000"/>
              </w:rPr>
              <w:t>320</w:t>
            </w:r>
          </w:p>
        </w:tc>
        <w:tc>
          <w:tcPr>
            <w:tcW w:w="2250" w:type="dxa"/>
            <w:tcBorders>
              <w:top w:val="single" w:color="auto" w:sz="6" w:space="0"/>
              <w:left w:val="single" w:color="auto" w:sz="6" w:space="0"/>
              <w:bottom w:val="single" w:color="auto" w:sz="6" w:space="0"/>
              <w:right w:val="nil"/>
            </w:tcBorders>
            <w:shd w:val="clear" w:color="auto" w:fill="auto"/>
            <w:vAlign w:val="bottom"/>
          </w:tcPr>
          <w:p w:rsidRPr="00E04E73" w:rsidR="00C614B0" w:rsidP="00C614B0" w:rsidRDefault="00E04E73" w14:paraId="39F5A893" w14:textId="3361E14E">
            <w:pPr>
              <w:jc w:val="right"/>
              <w:rPr>
                <w:rFonts w:cstheme="minorHAnsi"/>
              </w:rPr>
            </w:pPr>
            <w:r w:rsidRPr="00E04E73">
              <w:rPr>
                <w:rFonts w:ascii="Calibri" w:hAnsi="Calibri" w:cs="Calibri"/>
                <w:color w:val="000000"/>
              </w:rPr>
              <w:t>$</w:t>
            </w:r>
            <w:r w:rsidR="00866039">
              <w:rPr>
                <w:rFonts w:ascii="Calibri" w:hAnsi="Calibri" w:cs="Calibri"/>
                <w:color w:val="000000"/>
              </w:rPr>
              <w:t>14.85</w:t>
            </w:r>
          </w:p>
        </w:tc>
        <w:tc>
          <w:tcPr>
            <w:tcW w:w="1442" w:type="dxa"/>
            <w:tcBorders>
              <w:top w:val="single" w:color="auto" w:sz="6" w:space="0"/>
              <w:left w:val="single" w:color="auto" w:sz="6" w:space="0"/>
              <w:bottom w:val="single" w:color="auto" w:sz="6" w:space="0"/>
              <w:right w:val="single" w:color="auto" w:sz="6" w:space="0"/>
            </w:tcBorders>
            <w:shd w:val="clear" w:color="auto" w:fill="auto"/>
            <w:vAlign w:val="bottom"/>
          </w:tcPr>
          <w:p w:rsidRPr="00E04E73" w:rsidR="00C614B0" w:rsidP="00C614B0" w:rsidRDefault="00E04E73" w14:paraId="2050DF21" w14:textId="6DA32E24">
            <w:pPr>
              <w:jc w:val="right"/>
              <w:rPr>
                <w:rFonts w:cstheme="minorHAnsi"/>
              </w:rPr>
            </w:pPr>
            <w:r w:rsidRPr="00E04E73">
              <w:rPr>
                <w:rFonts w:ascii="Calibri" w:hAnsi="Calibri" w:cs="Calibri"/>
                <w:color w:val="000000"/>
              </w:rPr>
              <w:t>$</w:t>
            </w:r>
            <w:r w:rsidRPr="00E04E73" w:rsidR="00C614B0">
              <w:rPr>
                <w:rFonts w:ascii="Calibri" w:hAnsi="Calibri" w:cs="Calibri"/>
                <w:color w:val="000000"/>
              </w:rPr>
              <w:t>9504</w:t>
            </w:r>
            <w:r>
              <w:rPr>
                <w:rFonts w:ascii="Calibri" w:hAnsi="Calibri" w:cs="Calibri"/>
                <w:color w:val="000000"/>
              </w:rPr>
              <w:t>.00</w:t>
            </w:r>
          </w:p>
        </w:tc>
      </w:tr>
      <w:tr w:rsidRPr="00EE083E" w:rsidR="00C614B0" w:rsidTr="001F5127" w14:paraId="7E57B156" w14:textId="77777777">
        <w:trPr>
          <w:cantSplit/>
          <w:trHeight w:val="403"/>
          <w:jc w:val="center"/>
        </w:trPr>
        <w:tc>
          <w:tcPr>
            <w:tcW w:w="2004" w:type="dxa"/>
            <w:tcBorders>
              <w:top w:val="single" w:color="auto" w:sz="6" w:space="0"/>
              <w:left w:val="single" w:color="auto" w:sz="6" w:space="0"/>
              <w:bottom w:val="nil"/>
              <w:right w:val="nil"/>
            </w:tcBorders>
            <w:vAlign w:val="bottom"/>
          </w:tcPr>
          <w:p w:rsidRPr="00572E9C" w:rsidR="00C614B0" w:rsidP="00C614B0" w:rsidRDefault="00572E9C" w14:paraId="2B3BF10D" w14:textId="45BCCFF0">
            <w:pPr>
              <w:jc w:val="center"/>
              <w:rPr>
                <w:rFonts w:cstheme="minorHAnsi"/>
              </w:rPr>
            </w:pPr>
            <w:r>
              <w:rPr>
                <w:rFonts w:cstheme="minorHAnsi"/>
              </w:rPr>
              <w:t>Community Provider</w:t>
            </w:r>
          </w:p>
        </w:tc>
        <w:tc>
          <w:tcPr>
            <w:tcW w:w="2308" w:type="dxa"/>
            <w:tcBorders>
              <w:top w:val="single" w:color="auto" w:sz="6" w:space="0"/>
              <w:left w:val="single" w:color="auto" w:sz="6" w:space="0"/>
              <w:bottom w:val="single" w:color="auto" w:sz="6" w:space="0"/>
              <w:right w:val="nil"/>
            </w:tcBorders>
            <w:shd w:val="clear" w:color="auto" w:fill="auto"/>
            <w:vAlign w:val="bottom"/>
          </w:tcPr>
          <w:p w:rsidRPr="00EE083E" w:rsidR="00C614B0" w:rsidP="00E44801" w:rsidRDefault="00E44801" w14:paraId="359B4987" w14:textId="6FE77D08">
            <w:pPr>
              <w:rPr>
                <w:rFonts w:cstheme="minorHAnsi"/>
              </w:rPr>
            </w:pPr>
            <w:r>
              <w:rPr>
                <w:rFonts w:cstheme="minorHAnsi"/>
              </w:rPr>
              <w:t>Community and Social Service Occupations</w:t>
            </w:r>
          </w:p>
        </w:tc>
        <w:tc>
          <w:tcPr>
            <w:tcW w:w="1440" w:type="dxa"/>
            <w:tcBorders>
              <w:top w:val="single" w:color="auto" w:sz="6" w:space="0"/>
              <w:left w:val="single" w:color="auto" w:sz="6" w:space="0"/>
              <w:bottom w:val="single" w:color="auto" w:sz="6" w:space="0"/>
              <w:right w:val="nil"/>
            </w:tcBorders>
            <w:shd w:val="clear" w:color="auto" w:fill="auto"/>
            <w:vAlign w:val="bottom"/>
          </w:tcPr>
          <w:p w:rsidRPr="00E04E73" w:rsidR="00C614B0" w:rsidP="00C614B0" w:rsidRDefault="00C614B0" w14:paraId="216096AA" w14:textId="7715ACD8">
            <w:pPr>
              <w:jc w:val="right"/>
              <w:rPr>
                <w:rFonts w:cstheme="minorHAnsi"/>
              </w:rPr>
            </w:pPr>
            <w:r w:rsidRPr="00E04E73">
              <w:rPr>
                <w:rFonts w:ascii="Calibri" w:hAnsi="Calibri" w:cs="Calibri"/>
                <w:color w:val="000000"/>
              </w:rPr>
              <w:t>80</w:t>
            </w:r>
          </w:p>
        </w:tc>
        <w:tc>
          <w:tcPr>
            <w:tcW w:w="900" w:type="dxa"/>
            <w:tcBorders>
              <w:top w:val="single" w:color="auto" w:sz="6" w:space="0"/>
              <w:left w:val="single" w:color="auto" w:sz="6" w:space="0"/>
              <w:bottom w:val="single" w:color="auto" w:sz="6" w:space="0"/>
              <w:right w:val="nil"/>
            </w:tcBorders>
            <w:shd w:val="clear" w:color="auto" w:fill="auto"/>
            <w:vAlign w:val="bottom"/>
          </w:tcPr>
          <w:p w:rsidRPr="00E04E73" w:rsidR="00C614B0" w:rsidP="00C614B0" w:rsidRDefault="00C614B0" w14:paraId="1180AA56" w14:textId="1594D4AE">
            <w:pPr>
              <w:jc w:val="right"/>
              <w:rPr>
                <w:rFonts w:cstheme="minorHAnsi"/>
              </w:rPr>
            </w:pPr>
            <w:r w:rsidRPr="00E04E73">
              <w:rPr>
                <w:rFonts w:ascii="Calibri" w:hAnsi="Calibri" w:cs="Calibri"/>
                <w:color w:val="000000"/>
              </w:rPr>
              <w:t>160</w:t>
            </w:r>
          </w:p>
        </w:tc>
        <w:tc>
          <w:tcPr>
            <w:tcW w:w="2250" w:type="dxa"/>
            <w:tcBorders>
              <w:top w:val="single" w:color="auto" w:sz="6" w:space="0"/>
              <w:left w:val="single" w:color="auto" w:sz="6" w:space="0"/>
              <w:bottom w:val="single" w:color="auto" w:sz="6" w:space="0"/>
              <w:right w:val="nil"/>
            </w:tcBorders>
            <w:shd w:val="clear" w:color="auto" w:fill="auto"/>
            <w:vAlign w:val="bottom"/>
          </w:tcPr>
          <w:p w:rsidRPr="00E04E73" w:rsidR="00C614B0" w:rsidP="00C614B0" w:rsidRDefault="00E04E73" w14:paraId="10137006" w14:textId="05B1D04E">
            <w:pPr>
              <w:jc w:val="right"/>
              <w:rPr>
                <w:rFonts w:cstheme="minorHAnsi"/>
              </w:rPr>
            </w:pPr>
            <w:r w:rsidRPr="00E04E73">
              <w:rPr>
                <w:rFonts w:ascii="Calibri" w:hAnsi="Calibri" w:cs="Calibri"/>
                <w:color w:val="000000"/>
              </w:rPr>
              <w:t>$</w:t>
            </w:r>
            <w:r w:rsidR="00866039">
              <w:rPr>
                <w:rFonts w:ascii="Calibri" w:hAnsi="Calibri" w:cs="Calibri"/>
                <w:color w:val="000000"/>
              </w:rPr>
              <w:t>25.94</w:t>
            </w:r>
          </w:p>
        </w:tc>
        <w:tc>
          <w:tcPr>
            <w:tcW w:w="1442" w:type="dxa"/>
            <w:tcBorders>
              <w:top w:val="single" w:color="auto" w:sz="6" w:space="0"/>
              <w:left w:val="single" w:color="auto" w:sz="6" w:space="0"/>
              <w:bottom w:val="single" w:color="auto" w:sz="6" w:space="0"/>
              <w:right w:val="single" w:color="auto" w:sz="6" w:space="0"/>
            </w:tcBorders>
            <w:shd w:val="clear" w:color="auto" w:fill="auto"/>
            <w:vAlign w:val="bottom"/>
          </w:tcPr>
          <w:p w:rsidRPr="00E04E73" w:rsidR="00C614B0" w:rsidP="00C614B0" w:rsidRDefault="00E04E73" w14:paraId="54BD544B" w14:textId="282DFCF0">
            <w:pPr>
              <w:jc w:val="right"/>
              <w:rPr>
                <w:rFonts w:cstheme="minorHAnsi"/>
              </w:rPr>
            </w:pPr>
            <w:r w:rsidRPr="00E04E73">
              <w:rPr>
                <w:rFonts w:ascii="Calibri" w:hAnsi="Calibri" w:cs="Calibri"/>
                <w:color w:val="000000"/>
              </w:rPr>
              <w:t>$</w:t>
            </w:r>
            <w:r w:rsidRPr="00E04E73" w:rsidR="00C614B0">
              <w:rPr>
                <w:rFonts w:ascii="Calibri" w:hAnsi="Calibri" w:cs="Calibri"/>
                <w:color w:val="000000"/>
              </w:rPr>
              <w:t>8300.8</w:t>
            </w:r>
            <w:r>
              <w:rPr>
                <w:rFonts w:ascii="Calibri" w:hAnsi="Calibri" w:cs="Calibri"/>
                <w:color w:val="000000"/>
              </w:rPr>
              <w:t>0</w:t>
            </w:r>
          </w:p>
        </w:tc>
      </w:tr>
      <w:tr w:rsidRPr="00EE083E" w:rsidR="00B044C3" w:rsidTr="001F5127" w14:paraId="16C57E52" w14:textId="77777777">
        <w:trPr>
          <w:cantSplit/>
          <w:trHeight w:val="403"/>
          <w:jc w:val="center"/>
        </w:trPr>
        <w:tc>
          <w:tcPr>
            <w:tcW w:w="2004" w:type="dxa"/>
            <w:tcBorders>
              <w:top w:val="single" w:color="auto" w:sz="6" w:space="0"/>
              <w:left w:val="single" w:color="auto" w:sz="6" w:space="0"/>
              <w:bottom w:val="nil"/>
              <w:right w:val="nil"/>
            </w:tcBorders>
            <w:vAlign w:val="bottom"/>
          </w:tcPr>
          <w:p w:rsidRPr="00EE083E" w:rsidR="00B044C3" w:rsidP="00B044C3" w:rsidRDefault="00B044C3" w14:paraId="3EB04CC4" w14:textId="77777777">
            <w:pPr>
              <w:jc w:val="center"/>
              <w:rPr>
                <w:rFonts w:cstheme="minorHAnsi"/>
                <w:b/>
                <w:bCs/>
              </w:rPr>
            </w:pPr>
            <w:r w:rsidRPr="00EE083E">
              <w:rPr>
                <w:rFonts w:cstheme="minorHAnsi"/>
                <w:b/>
                <w:bCs/>
              </w:rPr>
              <w:t>Community and Home Visitor Survey Instrument</w:t>
            </w:r>
          </w:p>
        </w:tc>
        <w:tc>
          <w:tcPr>
            <w:tcW w:w="2308" w:type="dxa"/>
            <w:tcBorders>
              <w:top w:val="single" w:color="auto" w:sz="6" w:space="0"/>
              <w:left w:val="single" w:color="auto" w:sz="6" w:space="0"/>
              <w:bottom w:val="single" w:color="auto" w:sz="6" w:space="0"/>
              <w:right w:val="nil"/>
            </w:tcBorders>
            <w:shd w:val="clear" w:color="auto" w:fill="auto"/>
            <w:vAlign w:val="bottom"/>
          </w:tcPr>
          <w:p w:rsidRPr="00EE083E" w:rsidR="00B044C3" w:rsidP="00190E6E" w:rsidRDefault="00E44801" w14:paraId="0C7DD68B" w14:textId="7FA3397C">
            <w:pPr>
              <w:rPr>
                <w:rFonts w:cstheme="minorHAnsi"/>
              </w:rPr>
            </w:pPr>
            <w:r>
              <w:rPr>
                <w:rFonts w:cstheme="minorHAnsi"/>
              </w:rPr>
              <w:t>Community and Social Service Occupations</w:t>
            </w:r>
          </w:p>
        </w:tc>
        <w:tc>
          <w:tcPr>
            <w:tcW w:w="1440" w:type="dxa"/>
            <w:tcBorders>
              <w:top w:val="single" w:color="auto" w:sz="6" w:space="0"/>
              <w:left w:val="single" w:color="auto" w:sz="6" w:space="0"/>
              <w:bottom w:val="single" w:color="auto" w:sz="6" w:space="0"/>
              <w:right w:val="nil"/>
            </w:tcBorders>
            <w:shd w:val="clear" w:color="auto" w:fill="auto"/>
            <w:vAlign w:val="bottom"/>
          </w:tcPr>
          <w:p w:rsidRPr="00EE083E" w:rsidR="00B044C3" w:rsidP="00B044C3" w:rsidRDefault="00B044C3" w14:paraId="529C5615" w14:textId="14F7384A">
            <w:pPr>
              <w:jc w:val="right"/>
              <w:rPr>
                <w:rFonts w:cstheme="minorHAnsi"/>
              </w:rPr>
            </w:pPr>
            <w:r>
              <w:rPr>
                <w:rFonts w:ascii="Calibri" w:hAnsi="Calibri" w:cs="Calibri"/>
                <w:color w:val="000000"/>
              </w:rPr>
              <w:t>500</w:t>
            </w:r>
          </w:p>
        </w:tc>
        <w:tc>
          <w:tcPr>
            <w:tcW w:w="900" w:type="dxa"/>
            <w:tcBorders>
              <w:top w:val="single" w:color="auto" w:sz="6" w:space="0"/>
              <w:left w:val="single" w:color="auto" w:sz="6" w:space="0"/>
              <w:bottom w:val="single" w:color="auto" w:sz="6" w:space="0"/>
              <w:right w:val="nil"/>
            </w:tcBorders>
            <w:shd w:val="clear" w:color="auto" w:fill="auto"/>
            <w:vAlign w:val="bottom"/>
          </w:tcPr>
          <w:p w:rsidRPr="00EE083E" w:rsidR="00B044C3" w:rsidP="00B044C3" w:rsidRDefault="00B044C3" w14:paraId="529F3753" w14:textId="3FAEF841">
            <w:pPr>
              <w:jc w:val="right"/>
              <w:rPr>
                <w:rFonts w:cstheme="minorHAnsi"/>
              </w:rPr>
            </w:pPr>
            <w:r>
              <w:rPr>
                <w:rFonts w:ascii="Calibri" w:hAnsi="Calibri" w:cs="Calibri"/>
                <w:color w:val="000000"/>
              </w:rPr>
              <w:t>375</w:t>
            </w:r>
          </w:p>
        </w:tc>
        <w:tc>
          <w:tcPr>
            <w:tcW w:w="2250" w:type="dxa"/>
            <w:tcBorders>
              <w:top w:val="single" w:color="auto" w:sz="6" w:space="0"/>
              <w:left w:val="single" w:color="auto" w:sz="6" w:space="0"/>
              <w:bottom w:val="single" w:color="auto" w:sz="6" w:space="0"/>
              <w:right w:val="nil"/>
            </w:tcBorders>
            <w:shd w:val="clear" w:color="auto" w:fill="auto"/>
            <w:vAlign w:val="bottom"/>
          </w:tcPr>
          <w:p w:rsidRPr="00EE083E" w:rsidR="00B044C3" w:rsidP="00B044C3" w:rsidRDefault="00E04E73" w14:paraId="411A40DF" w14:textId="2CA72DA5">
            <w:pPr>
              <w:jc w:val="right"/>
              <w:rPr>
                <w:rFonts w:cstheme="minorHAnsi"/>
              </w:rPr>
            </w:pPr>
            <w:r>
              <w:rPr>
                <w:rFonts w:ascii="Calibri" w:hAnsi="Calibri" w:cs="Calibri"/>
                <w:color w:val="000000"/>
              </w:rPr>
              <w:t>$</w:t>
            </w:r>
            <w:r w:rsidR="00866039">
              <w:rPr>
                <w:rFonts w:ascii="Calibri" w:hAnsi="Calibri" w:cs="Calibri"/>
                <w:color w:val="000000"/>
              </w:rPr>
              <w:t>25.94</w:t>
            </w:r>
          </w:p>
        </w:tc>
        <w:tc>
          <w:tcPr>
            <w:tcW w:w="1442" w:type="dxa"/>
            <w:tcBorders>
              <w:top w:val="single" w:color="auto" w:sz="6" w:space="0"/>
              <w:left w:val="single" w:color="auto" w:sz="6" w:space="0"/>
              <w:bottom w:val="single" w:color="auto" w:sz="6" w:space="0"/>
              <w:right w:val="single" w:color="auto" w:sz="6" w:space="0"/>
            </w:tcBorders>
            <w:shd w:val="clear" w:color="auto" w:fill="auto"/>
            <w:vAlign w:val="bottom"/>
          </w:tcPr>
          <w:p w:rsidRPr="00EE083E" w:rsidR="00B044C3" w:rsidP="00B044C3" w:rsidRDefault="00E04E73" w14:paraId="27377D0F" w14:textId="258DF5AB">
            <w:pPr>
              <w:jc w:val="right"/>
              <w:rPr>
                <w:rFonts w:cstheme="minorHAnsi"/>
              </w:rPr>
            </w:pPr>
            <w:r>
              <w:rPr>
                <w:rFonts w:ascii="Calibri" w:hAnsi="Calibri" w:cs="Calibri"/>
                <w:color w:val="000000"/>
              </w:rPr>
              <w:t>$</w:t>
            </w:r>
            <w:r w:rsidR="00B044C3">
              <w:rPr>
                <w:rFonts w:ascii="Calibri" w:hAnsi="Calibri" w:cs="Calibri"/>
                <w:color w:val="000000"/>
              </w:rPr>
              <w:t>19455</w:t>
            </w:r>
            <w:r>
              <w:rPr>
                <w:rFonts w:ascii="Calibri" w:hAnsi="Calibri" w:cs="Calibri"/>
                <w:color w:val="000000"/>
              </w:rPr>
              <w:t>.00</w:t>
            </w:r>
          </w:p>
        </w:tc>
      </w:tr>
      <w:tr w:rsidRPr="00EE083E" w:rsidR="00B044C3" w:rsidTr="001F5127" w14:paraId="2019E68E" w14:textId="77777777">
        <w:trPr>
          <w:cantSplit/>
          <w:trHeight w:val="403"/>
          <w:jc w:val="center"/>
        </w:trPr>
        <w:tc>
          <w:tcPr>
            <w:tcW w:w="2004" w:type="dxa"/>
            <w:tcBorders>
              <w:top w:val="single" w:color="auto" w:sz="6" w:space="0"/>
              <w:left w:val="single" w:color="auto" w:sz="6" w:space="0"/>
              <w:bottom w:val="double" w:color="auto" w:sz="4" w:space="0"/>
              <w:right w:val="nil"/>
            </w:tcBorders>
            <w:vAlign w:val="bottom"/>
          </w:tcPr>
          <w:p w:rsidRPr="00EE083E" w:rsidR="00B044C3" w:rsidP="00B044C3" w:rsidRDefault="00B044C3" w14:paraId="318BC969" w14:textId="77777777">
            <w:pPr>
              <w:jc w:val="center"/>
              <w:rPr>
                <w:rFonts w:cstheme="minorHAnsi"/>
                <w:b/>
                <w:bCs/>
              </w:rPr>
            </w:pPr>
            <w:r w:rsidRPr="00EE083E">
              <w:rPr>
                <w:rFonts w:cstheme="minorHAnsi"/>
                <w:b/>
                <w:bCs/>
              </w:rPr>
              <w:t>Program Data</w:t>
            </w:r>
          </w:p>
        </w:tc>
        <w:tc>
          <w:tcPr>
            <w:tcW w:w="2308" w:type="dxa"/>
            <w:tcBorders>
              <w:top w:val="single" w:color="auto" w:sz="6" w:space="0"/>
              <w:left w:val="single" w:color="auto" w:sz="6" w:space="0"/>
              <w:bottom w:val="double" w:color="auto" w:sz="4" w:space="0"/>
              <w:right w:val="nil"/>
            </w:tcBorders>
            <w:shd w:val="clear" w:color="auto" w:fill="auto"/>
            <w:vAlign w:val="bottom"/>
          </w:tcPr>
          <w:p w:rsidRPr="00EE083E" w:rsidR="00B044C3" w:rsidP="00190E6E" w:rsidRDefault="00190E6E" w14:paraId="5ABA8EC5" w14:textId="42F60095">
            <w:pPr>
              <w:rPr>
                <w:rFonts w:cstheme="minorHAnsi"/>
              </w:rPr>
            </w:pPr>
            <w:r>
              <w:rPr>
                <w:rFonts w:cstheme="minorHAnsi"/>
              </w:rPr>
              <w:t>O</w:t>
            </w:r>
            <w:r w:rsidRPr="00190E6E">
              <w:rPr>
                <w:rFonts w:cstheme="minorHAnsi"/>
              </w:rPr>
              <w:t xml:space="preserve">ffice and </w:t>
            </w:r>
            <w:r>
              <w:rPr>
                <w:rFonts w:cstheme="minorHAnsi"/>
              </w:rPr>
              <w:t>A</w:t>
            </w:r>
            <w:r w:rsidRPr="00190E6E">
              <w:rPr>
                <w:rFonts w:cstheme="minorHAnsi"/>
              </w:rPr>
              <w:t xml:space="preserve">dministrative </w:t>
            </w:r>
            <w:r>
              <w:rPr>
                <w:rFonts w:cstheme="minorHAnsi"/>
              </w:rPr>
              <w:t>S</w:t>
            </w:r>
            <w:r w:rsidRPr="00190E6E">
              <w:rPr>
                <w:rFonts w:cstheme="minorHAnsi"/>
              </w:rPr>
              <w:t xml:space="preserve">upport </w:t>
            </w:r>
            <w:r>
              <w:rPr>
                <w:rFonts w:cstheme="minorHAnsi"/>
              </w:rPr>
              <w:t>W</w:t>
            </w:r>
            <w:r w:rsidRPr="00190E6E">
              <w:rPr>
                <w:rFonts w:cstheme="minorHAnsi"/>
              </w:rPr>
              <w:t xml:space="preserve">orkers, </w:t>
            </w:r>
            <w:r>
              <w:rPr>
                <w:rFonts w:cstheme="minorHAnsi"/>
              </w:rPr>
              <w:t>o</w:t>
            </w:r>
            <w:r w:rsidRPr="00190E6E">
              <w:rPr>
                <w:rFonts w:cstheme="minorHAnsi"/>
              </w:rPr>
              <w:t>ther</w:t>
            </w:r>
          </w:p>
        </w:tc>
        <w:tc>
          <w:tcPr>
            <w:tcW w:w="1440" w:type="dxa"/>
            <w:tcBorders>
              <w:top w:val="single" w:color="auto" w:sz="6" w:space="0"/>
              <w:left w:val="single" w:color="auto" w:sz="6" w:space="0"/>
              <w:bottom w:val="double" w:color="auto" w:sz="4" w:space="0"/>
              <w:right w:val="nil"/>
            </w:tcBorders>
            <w:shd w:val="clear" w:color="auto" w:fill="auto"/>
            <w:vAlign w:val="bottom"/>
          </w:tcPr>
          <w:p w:rsidRPr="00EE083E" w:rsidR="00B044C3" w:rsidP="00B044C3" w:rsidRDefault="00B044C3" w14:paraId="4203FC4D" w14:textId="4190C002">
            <w:pPr>
              <w:jc w:val="right"/>
              <w:rPr>
                <w:rFonts w:cstheme="minorHAnsi"/>
              </w:rPr>
            </w:pPr>
            <w:r>
              <w:rPr>
                <w:rFonts w:ascii="Calibri" w:hAnsi="Calibri" w:cs="Calibri"/>
                <w:color w:val="000000"/>
              </w:rPr>
              <w:t>15</w:t>
            </w:r>
          </w:p>
        </w:tc>
        <w:tc>
          <w:tcPr>
            <w:tcW w:w="900" w:type="dxa"/>
            <w:tcBorders>
              <w:top w:val="single" w:color="auto" w:sz="6" w:space="0"/>
              <w:left w:val="single" w:color="auto" w:sz="6" w:space="0"/>
              <w:bottom w:val="double" w:color="auto" w:sz="4" w:space="0"/>
              <w:right w:val="nil"/>
            </w:tcBorders>
            <w:shd w:val="clear" w:color="auto" w:fill="auto"/>
            <w:vAlign w:val="bottom"/>
          </w:tcPr>
          <w:p w:rsidRPr="00EE083E" w:rsidR="00B044C3" w:rsidP="00B044C3" w:rsidRDefault="00EB0C9D" w14:paraId="2DF2DC8E" w14:textId="58E8839F">
            <w:pPr>
              <w:jc w:val="right"/>
              <w:rPr>
                <w:rFonts w:cstheme="minorHAnsi"/>
              </w:rPr>
            </w:pPr>
            <w:r>
              <w:rPr>
                <w:rFonts w:ascii="Calibri" w:hAnsi="Calibri" w:cs="Calibri"/>
                <w:color w:val="000000"/>
              </w:rPr>
              <w:t>150</w:t>
            </w:r>
          </w:p>
        </w:tc>
        <w:tc>
          <w:tcPr>
            <w:tcW w:w="2250" w:type="dxa"/>
            <w:tcBorders>
              <w:top w:val="single" w:color="auto" w:sz="6" w:space="0"/>
              <w:left w:val="single" w:color="auto" w:sz="6" w:space="0"/>
              <w:bottom w:val="double" w:color="auto" w:sz="4" w:space="0"/>
              <w:right w:val="nil"/>
            </w:tcBorders>
            <w:shd w:val="clear" w:color="auto" w:fill="auto"/>
            <w:vAlign w:val="bottom"/>
          </w:tcPr>
          <w:p w:rsidRPr="00EE083E" w:rsidR="00B044C3" w:rsidP="00B044C3" w:rsidRDefault="00E04E73" w14:paraId="59041178" w14:textId="1CB14D6D">
            <w:pPr>
              <w:jc w:val="right"/>
              <w:rPr>
                <w:rFonts w:cstheme="minorHAnsi"/>
              </w:rPr>
            </w:pPr>
            <w:r>
              <w:rPr>
                <w:rFonts w:ascii="Calibri" w:hAnsi="Calibri" w:cs="Calibri"/>
                <w:color w:val="000000"/>
              </w:rPr>
              <w:t>$</w:t>
            </w:r>
            <w:r w:rsidR="00866039">
              <w:rPr>
                <w:rFonts w:ascii="Calibri" w:hAnsi="Calibri" w:cs="Calibri"/>
                <w:color w:val="000000"/>
              </w:rPr>
              <w:t>20.47</w:t>
            </w:r>
          </w:p>
        </w:tc>
        <w:tc>
          <w:tcPr>
            <w:tcW w:w="1442" w:type="dxa"/>
            <w:tcBorders>
              <w:top w:val="single" w:color="auto" w:sz="6" w:space="0"/>
              <w:left w:val="single" w:color="auto" w:sz="6" w:space="0"/>
              <w:bottom w:val="double" w:color="auto" w:sz="4" w:space="0"/>
              <w:right w:val="single" w:color="auto" w:sz="6" w:space="0"/>
            </w:tcBorders>
            <w:shd w:val="clear" w:color="auto" w:fill="auto"/>
            <w:vAlign w:val="bottom"/>
          </w:tcPr>
          <w:p w:rsidRPr="00EE083E" w:rsidR="00B044C3" w:rsidP="00B044C3" w:rsidRDefault="00E04E73" w14:paraId="0C1F194A" w14:textId="7F74481F">
            <w:pPr>
              <w:jc w:val="right"/>
              <w:rPr>
                <w:rFonts w:cstheme="minorHAnsi"/>
              </w:rPr>
            </w:pPr>
            <w:r>
              <w:rPr>
                <w:rFonts w:ascii="Calibri" w:hAnsi="Calibri" w:cs="Calibri"/>
                <w:color w:val="000000"/>
              </w:rPr>
              <w:t>$</w:t>
            </w:r>
            <w:r w:rsidR="00E71536">
              <w:rPr>
                <w:rFonts w:ascii="Calibri" w:hAnsi="Calibri" w:cs="Calibri"/>
                <w:color w:val="000000"/>
              </w:rPr>
              <w:t>6141.00</w:t>
            </w:r>
          </w:p>
        </w:tc>
      </w:tr>
      <w:tr w:rsidRPr="00EE083E" w:rsidR="00D314F4" w:rsidTr="001F5127" w14:paraId="07E37C51" w14:textId="77777777">
        <w:trPr>
          <w:cantSplit/>
          <w:trHeight w:val="384"/>
          <w:jc w:val="center"/>
        </w:trPr>
        <w:tc>
          <w:tcPr>
            <w:tcW w:w="2004" w:type="dxa"/>
            <w:tcBorders>
              <w:top w:val="double" w:color="auto" w:sz="4" w:space="0"/>
              <w:left w:val="single" w:color="auto" w:sz="6" w:space="0"/>
              <w:bottom w:val="single" w:color="auto" w:sz="2" w:space="0"/>
              <w:right w:val="nil"/>
            </w:tcBorders>
            <w:vAlign w:val="bottom"/>
          </w:tcPr>
          <w:p w:rsidRPr="00EE083E" w:rsidR="00D314F4" w:rsidP="009918B9" w:rsidRDefault="00D314F4" w14:paraId="1CAE91AE" w14:textId="77777777">
            <w:pPr>
              <w:jc w:val="center"/>
              <w:rPr>
                <w:rFonts w:cstheme="minorHAnsi"/>
                <w:b/>
                <w:bCs/>
              </w:rPr>
            </w:pPr>
            <w:r w:rsidRPr="00EE083E">
              <w:rPr>
                <w:rFonts w:cstheme="minorHAnsi"/>
                <w:b/>
                <w:bCs/>
              </w:rPr>
              <w:t>Total</w:t>
            </w:r>
          </w:p>
        </w:tc>
        <w:tc>
          <w:tcPr>
            <w:tcW w:w="2308" w:type="dxa"/>
            <w:tcBorders>
              <w:top w:val="double" w:color="auto" w:sz="4" w:space="0"/>
              <w:left w:val="single" w:color="auto" w:sz="6" w:space="0"/>
              <w:bottom w:val="single" w:color="auto" w:sz="2" w:space="0"/>
              <w:right w:val="nil"/>
            </w:tcBorders>
            <w:vAlign w:val="bottom"/>
          </w:tcPr>
          <w:p w:rsidRPr="00EE083E" w:rsidR="00D314F4" w:rsidP="009918B9" w:rsidRDefault="00D314F4" w14:paraId="70178D9C" w14:textId="666AB14F">
            <w:pPr>
              <w:jc w:val="right"/>
              <w:rPr>
                <w:rFonts w:cstheme="minorHAnsi"/>
                <w:bCs/>
              </w:rPr>
            </w:pPr>
          </w:p>
        </w:tc>
        <w:tc>
          <w:tcPr>
            <w:tcW w:w="1440" w:type="dxa"/>
            <w:tcBorders>
              <w:top w:val="double" w:color="auto" w:sz="4" w:space="0"/>
              <w:left w:val="single" w:color="auto" w:sz="6" w:space="0"/>
              <w:bottom w:val="single" w:color="auto" w:sz="2" w:space="0"/>
              <w:right w:val="nil"/>
            </w:tcBorders>
            <w:vAlign w:val="bottom"/>
          </w:tcPr>
          <w:p w:rsidRPr="00EE083E" w:rsidR="00D314F4" w:rsidP="009918B9" w:rsidRDefault="00D314F4" w14:paraId="52A08BDD" w14:textId="77777777">
            <w:pPr>
              <w:jc w:val="right"/>
              <w:rPr>
                <w:rFonts w:cstheme="minorHAnsi"/>
                <w:bCs/>
              </w:rPr>
            </w:pPr>
          </w:p>
        </w:tc>
        <w:tc>
          <w:tcPr>
            <w:tcW w:w="900" w:type="dxa"/>
            <w:tcBorders>
              <w:top w:val="double" w:color="auto" w:sz="4" w:space="0"/>
              <w:left w:val="single" w:color="auto" w:sz="6" w:space="0"/>
              <w:bottom w:val="single" w:color="auto" w:sz="2" w:space="0"/>
              <w:right w:val="nil"/>
            </w:tcBorders>
            <w:vAlign w:val="bottom"/>
          </w:tcPr>
          <w:p w:rsidRPr="00EE083E" w:rsidR="00D314F4" w:rsidP="009918B9" w:rsidRDefault="000C1B6F" w14:paraId="7422703A" w14:textId="7B579034">
            <w:pPr>
              <w:jc w:val="right"/>
              <w:rPr>
                <w:rFonts w:cstheme="minorHAnsi"/>
                <w:bCs/>
              </w:rPr>
            </w:pPr>
            <w:r>
              <w:rPr>
                <w:rFonts w:cstheme="minorHAnsi"/>
                <w:bCs/>
              </w:rPr>
              <w:t>1095</w:t>
            </w:r>
          </w:p>
        </w:tc>
        <w:tc>
          <w:tcPr>
            <w:tcW w:w="2250" w:type="dxa"/>
            <w:tcBorders>
              <w:top w:val="double" w:color="auto" w:sz="4" w:space="0"/>
              <w:left w:val="single" w:color="auto" w:sz="6" w:space="0"/>
              <w:bottom w:val="single" w:color="auto" w:sz="2" w:space="0"/>
              <w:right w:val="nil"/>
            </w:tcBorders>
            <w:vAlign w:val="bottom"/>
          </w:tcPr>
          <w:p w:rsidRPr="00EE083E" w:rsidR="00D314F4" w:rsidP="009918B9" w:rsidRDefault="00D314F4" w14:paraId="68386431" w14:textId="77777777">
            <w:pPr>
              <w:jc w:val="right"/>
              <w:rPr>
                <w:rFonts w:cstheme="minorHAnsi"/>
                <w:bCs/>
              </w:rPr>
            </w:pPr>
          </w:p>
        </w:tc>
        <w:tc>
          <w:tcPr>
            <w:tcW w:w="1442" w:type="dxa"/>
            <w:tcBorders>
              <w:top w:val="double" w:color="auto" w:sz="4" w:space="0"/>
              <w:left w:val="single" w:color="auto" w:sz="6" w:space="0"/>
              <w:bottom w:val="single" w:color="auto" w:sz="2" w:space="0"/>
              <w:right w:val="single" w:color="auto" w:sz="6" w:space="0"/>
            </w:tcBorders>
            <w:vAlign w:val="bottom"/>
          </w:tcPr>
          <w:p w:rsidRPr="0042788E" w:rsidR="00D314F4" w:rsidP="009918B9" w:rsidRDefault="00E04E73" w14:paraId="5668A735" w14:textId="7DD62708">
            <w:pPr>
              <w:jc w:val="right"/>
              <w:rPr>
                <w:rFonts w:ascii="Calibri" w:hAnsi="Calibri" w:cs="Calibri"/>
                <w:color w:val="000000"/>
              </w:rPr>
            </w:pPr>
            <w:r>
              <w:rPr>
                <w:rFonts w:ascii="Calibri" w:hAnsi="Calibri" w:cs="Calibri"/>
                <w:color w:val="000000"/>
              </w:rPr>
              <w:t>$</w:t>
            </w:r>
            <w:r w:rsidR="00BE202D">
              <w:rPr>
                <w:rFonts w:ascii="Calibri" w:hAnsi="Calibri" w:cs="Calibri"/>
                <w:color w:val="000000"/>
              </w:rPr>
              <w:t>50</w:t>
            </w:r>
            <w:r w:rsidR="00ED5ED7">
              <w:rPr>
                <w:rFonts w:ascii="Calibri" w:hAnsi="Calibri" w:cs="Calibri"/>
                <w:color w:val="000000"/>
              </w:rPr>
              <w:t>046</w:t>
            </w:r>
            <w:r w:rsidR="00455EB7">
              <w:rPr>
                <w:rFonts w:ascii="Calibri" w:hAnsi="Calibri" w:cs="Calibri"/>
                <w:color w:val="000000"/>
              </w:rPr>
              <w:t>.</w:t>
            </w:r>
            <w:r w:rsidR="00ED5ED7">
              <w:rPr>
                <w:rFonts w:ascii="Calibri" w:hAnsi="Calibri" w:cs="Calibri"/>
                <w:color w:val="000000"/>
              </w:rPr>
              <w:t>4</w:t>
            </w:r>
            <w:r w:rsidR="0058500A">
              <w:rPr>
                <w:rFonts w:ascii="Calibri" w:hAnsi="Calibri" w:cs="Calibri"/>
                <w:color w:val="000000"/>
              </w:rPr>
              <w:t>0</w:t>
            </w:r>
          </w:p>
        </w:tc>
      </w:tr>
    </w:tbl>
    <w:p w:rsidR="00F7411B" w:rsidP="00835E2C" w:rsidRDefault="00835E2C" w14:paraId="19EC62B2" w14:textId="4273907E">
      <w:pPr>
        <w:pStyle w:val="exhibitsource"/>
        <w:spacing w:after="0"/>
        <w:rPr>
          <w:rFonts w:asciiTheme="minorHAnsi" w:hAnsiTheme="minorHAnsi" w:cstheme="minorHAnsi"/>
          <w:szCs w:val="20"/>
        </w:rPr>
      </w:pPr>
      <w:r w:rsidRPr="00835E2C">
        <w:rPr>
          <w:rFonts w:asciiTheme="minorHAnsi" w:hAnsiTheme="minorHAnsi" w:cstheme="minorHAnsi"/>
          <w:szCs w:val="20"/>
          <w:vertAlign w:val="superscript"/>
        </w:rPr>
        <w:lastRenderedPageBreak/>
        <w:t xml:space="preserve">1 </w:t>
      </w:r>
      <w:r w:rsidRPr="00835E2C">
        <w:rPr>
          <w:rFonts w:asciiTheme="minorHAnsi" w:hAnsiTheme="minorHAnsi" w:cstheme="minorHAnsi"/>
          <w:szCs w:val="20"/>
        </w:rPr>
        <w:t>There may be variation in the number of study participants and home visiting programs in each community (e.g., some selected communities may have fewer home visitors). The total burden hours presented here provide information assuming the maximum number of respondents in each community.</w:t>
      </w:r>
    </w:p>
    <w:p w:rsidRPr="00835E2C" w:rsidR="00835E2C" w:rsidP="00835E2C" w:rsidRDefault="00835E2C" w14:paraId="0A9FD3C0" w14:textId="77777777">
      <w:pPr>
        <w:pStyle w:val="exhibitsource"/>
        <w:spacing w:after="0"/>
        <w:rPr>
          <w:rFonts w:asciiTheme="minorHAnsi" w:hAnsiTheme="minorHAnsi" w:cstheme="minorHAnsi"/>
        </w:rPr>
      </w:pPr>
    </w:p>
    <w:p w:rsidRPr="0035484B" w:rsidR="00F7411B" w:rsidP="00F7411B" w:rsidRDefault="00F7411B" w14:paraId="1C9315A4" w14:textId="73C212E1">
      <w:pPr>
        <w:pStyle w:val="Heading2"/>
      </w:pPr>
      <w:bookmarkStart w:name="_Toc457313790" w:id="37"/>
      <w:bookmarkStart w:name="_Toc106197207" w:id="38"/>
      <w:r w:rsidRPr="0035484B">
        <w:t>A.13</w:t>
      </w:r>
      <w:r w:rsidR="00AE4CB2">
        <w:t xml:space="preserve"> </w:t>
      </w:r>
      <w:r w:rsidRPr="0035484B">
        <w:t>Estimates of Other Total Annual Cost Burden to Respondents or Record Keepers</w:t>
      </w:r>
      <w:bookmarkEnd w:id="37"/>
      <w:bookmarkEnd w:id="38"/>
    </w:p>
    <w:p w:rsidR="00F7411B" w:rsidP="00F7411B" w:rsidRDefault="001056C0" w14:paraId="311B919D" w14:textId="181D639C">
      <w:r>
        <w:t xml:space="preserve">The project team will provide an honorarium to LIAs participating in the project in recognition of the administrative burden associated with their participation in the project. </w:t>
      </w:r>
      <w:r w:rsidR="00E62FC7">
        <w:t>The honoraria will be $</w:t>
      </w:r>
      <w:r w:rsidR="002056A3">
        <w:t>8</w:t>
      </w:r>
      <w:r w:rsidR="00E62FC7">
        <w:t>00 per LIA and is less than the anticipated cost of staff time needed to complete</w:t>
      </w:r>
      <w:r w:rsidR="006575BF">
        <w:t xml:space="preserve"> the program data collection tool</w:t>
      </w:r>
      <w:r w:rsidR="00193CB7">
        <w:t xml:space="preserve"> and </w:t>
      </w:r>
      <w:r w:rsidR="002056A3">
        <w:t xml:space="preserve">support </w:t>
      </w:r>
      <w:r w:rsidR="00193CB7">
        <w:t>participant recruitment.</w:t>
      </w:r>
      <w:r w:rsidR="00E62FC7">
        <w:t xml:space="preserve"> </w:t>
      </w:r>
      <w:r w:rsidR="00CA1037">
        <w:t xml:space="preserve">There are no other total annual cost burdens to respondents or record keepers resulting from the collection of information. </w:t>
      </w:r>
    </w:p>
    <w:p w:rsidRPr="00457EF5" w:rsidR="000B629D" w:rsidP="000B629D" w:rsidRDefault="000B629D" w14:paraId="7550ADBC" w14:textId="411D7226">
      <w:pPr>
        <w:pStyle w:val="Heading2"/>
      </w:pPr>
      <w:bookmarkStart w:name="_Toc88033480" w:id="39"/>
      <w:bookmarkStart w:name="_Toc457313791" w:id="40"/>
      <w:bookmarkStart w:name="_Toc106197208" w:id="41"/>
      <w:r w:rsidRPr="0035484B">
        <w:t>A.14</w:t>
      </w:r>
      <w:bookmarkEnd w:id="39"/>
      <w:r w:rsidR="00AE4CB2">
        <w:t xml:space="preserve"> </w:t>
      </w:r>
      <w:r w:rsidRPr="004533EC">
        <w:t>Annualized Cost to the Federal Government</w:t>
      </w:r>
      <w:bookmarkEnd w:id="40"/>
      <w:bookmarkEnd w:id="41"/>
    </w:p>
    <w:p w:rsidR="00CF43C0" w:rsidP="00AE4CB2" w:rsidRDefault="00A232EA" w14:paraId="41D3B26F" w14:textId="134C1B66">
      <w:pPr>
        <w:pStyle w:val="BodyText1"/>
        <w:spacing w:after="0" w:line="259" w:lineRule="auto"/>
        <w:ind w:firstLine="0"/>
        <w:rPr>
          <w:sz w:val="22"/>
        </w:rPr>
      </w:pPr>
      <w:r w:rsidRPr="00B80483">
        <w:rPr>
          <w:color w:val="000000"/>
          <w:sz w:val="22"/>
        </w:rPr>
        <w:t xml:space="preserve">HRSA is funding this information collection. The estimated cost for activities covered in this submission is </w:t>
      </w:r>
      <w:r w:rsidRPr="00B80483">
        <w:rPr>
          <w:bCs/>
          <w:sz w:val="22"/>
        </w:rPr>
        <w:t>$</w:t>
      </w:r>
      <w:r w:rsidR="0027253C">
        <w:rPr>
          <w:bCs/>
          <w:sz w:val="22"/>
        </w:rPr>
        <w:t>490,269</w:t>
      </w:r>
      <w:r w:rsidRPr="00B80483">
        <w:rPr>
          <w:sz w:val="22"/>
        </w:rPr>
        <w:t>. This includes designing data collection instruments</w:t>
      </w:r>
      <w:r w:rsidRPr="00B80483" w:rsidR="00BE2AEA">
        <w:rPr>
          <w:sz w:val="22"/>
        </w:rPr>
        <w:t xml:space="preserve">, </w:t>
      </w:r>
      <w:r w:rsidRPr="00B80483">
        <w:rPr>
          <w:sz w:val="22"/>
        </w:rPr>
        <w:t>collecting all data</w:t>
      </w:r>
      <w:r w:rsidRPr="00B80483" w:rsidR="00BE2AEA">
        <w:rPr>
          <w:sz w:val="22"/>
        </w:rPr>
        <w:t xml:space="preserve"> and analyzing data</w:t>
      </w:r>
      <w:r w:rsidRPr="00B80483">
        <w:rPr>
          <w:sz w:val="22"/>
        </w:rPr>
        <w:t>.</w:t>
      </w:r>
      <w:r w:rsidRPr="00B80483" w:rsidR="00BE2AEA">
        <w:rPr>
          <w:sz w:val="22"/>
        </w:rPr>
        <w:t xml:space="preserve"> </w:t>
      </w:r>
    </w:p>
    <w:p w:rsidR="00237E13" w:rsidP="00AE4CB2" w:rsidRDefault="00237E13" w14:paraId="735F0CC7" w14:textId="77777777">
      <w:pPr>
        <w:pStyle w:val="BodyText1"/>
        <w:spacing w:after="0" w:line="259" w:lineRule="auto"/>
        <w:ind w:firstLine="0"/>
        <w:rPr>
          <w:sz w:val="22"/>
        </w:rPr>
      </w:pPr>
    </w:p>
    <w:p w:rsidR="00CF43C0" w:rsidP="00AE4CB2" w:rsidRDefault="00CF43C0" w14:paraId="1883B319" w14:textId="4FDD09EF">
      <w:pPr>
        <w:pStyle w:val="BodyText1"/>
        <w:spacing w:after="0" w:line="259" w:lineRule="auto"/>
        <w:ind w:firstLine="0"/>
        <w:rPr>
          <w:sz w:val="22"/>
        </w:rPr>
      </w:pPr>
      <w:r>
        <w:rPr>
          <w:sz w:val="22"/>
        </w:rPr>
        <w:t xml:space="preserve">In addition, costs to the federal government include the cost of federal staff time for project oversight and development.  </w:t>
      </w:r>
      <w:r w:rsidR="005F7CC6">
        <w:rPr>
          <w:sz w:val="22"/>
        </w:rPr>
        <w:t>This includes approximately 10% of a federal program analyst at Grade 15, Step 3 ($75.89 per hour for 208 hours) for a total cost of $15,785.12.</w:t>
      </w:r>
    </w:p>
    <w:p w:rsidRPr="00B80483" w:rsidR="00237E13" w:rsidP="00AE4CB2" w:rsidRDefault="00237E13" w14:paraId="6191470F" w14:textId="77777777">
      <w:pPr>
        <w:pStyle w:val="BodyText1"/>
        <w:spacing w:after="0" w:line="259" w:lineRule="auto"/>
        <w:ind w:firstLine="0"/>
        <w:rPr>
          <w:sz w:val="22"/>
        </w:rPr>
      </w:pPr>
    </w:p>
    <w:p w:rsidRPr="005C43A1" w:rsidR="000B629D" w:rsidP="000B629D" w:rsidRDefault="000B629D" w14:paraId="6D260919" w14:textId="5C33C48C">
      <w:pPr>
        <w:pStyle w:val="Heading2"/>
      </w:pPr>
      <w:bookmarkStart w:name="_Toc88033481" w:id="42"/>
      <w:bookmarkStart w:name="_Toc457313792" w:id="43"/>
      <w:bookmarkStart w:name="_Toc106197209" w:id="44"/>
      <w:r w:rsidRPr="005C43A1">
        <w:t>A.15</w:t>
      </w:r>
      <w:bookmarkEnd w:id="42"/>
      <w:r w:rsidR="00AE4CB2">
        <w:t xml:space="preserve"> </w:t>
      </w:r>
      <w:r w:rsidRPr="005C43A1">
        <w:t>Explanation for Program Changes or Adjustments</w:t>
      </w:r>
      <w:bookmarkEnd w:id="43"/>
      <w:bookmarkEnd w:id="44"/>
    </w:p>
    <w:p w:rsidRPr="00B80483" w:rsidR="000B629D" w:rsidP="00AE4CB2" w:rsidRDefault="000B629D" w14:paraId="6737FE10" w14:textId="0C6C9D85">
      <w:pPr>
        <w:pStyle w:val="BodyText1"/>
        <w:ind w:firstLine="0"/>
        <w:rPr>
          <w:sz w:val="22"/>
          <w:szCs w:val="20"/>
        </w:rPr>
      </w:pPr>
      <w:r w:rsidRPr="00B80483">
        <w:rPr>
          <w:sz w:val="22"/>
          <w:szCs w:val="20"/>
        </w:rPr>
        <w:t>This is a new data collection requirement</w:t>
      </w:r>
      <w:r w:rsidRPr="00B80483" w:rsidR="00ED222F">
        <w:rPr>
          <w:sz w:val="22"/>
          <w:szCs w:val="20"/>
        </w:rPr>
        <w:t xml:space="preserve"> and no changes have been made.</w:t>
      </w:r>
    </w:p>
    <w:p w:rsidRPr="005C43A1" w:rsidR="000B629D" w:rsidP="000B629D" w:rsidRDefault="000B629D" w14:paraId="6A1AA0EC" w14:textId="50C4869C">
      <w:pPr>
        <w:pStyle w:val="Heading2"/>
      </w:pPr>
      <w:bookmarkStart w:name="_Toc88033482" w:id="45"/>
      <w:bookmarkStart w:name="_Toc457313793" w:id="46"/>
      <w:bookmarkStart w:name="_Toc106197210" w:id="47"/>
      <w:r w:rsidRPr="005C43A1">
        <w:t>A.16</w:t>
      </w:r>
      <w:bookmarkEnd w:id="45"/>
      <w:r w:rsidR="00AE4CB2">
        <w:t xml:space="preserve"> </w:t>
      </w:r>
      <w:r w:rsidRPr="005C43A1">
        <w:t>Plans for Tabulation and Publication and Project Time Schedule</w:t>
      </w:r>
      <w:bookmarkEnd w:id="46"/>
      <w:bookmarkEnd w:id="47"/>
    </w:p>
    <w:p w:rsidR="00793DAC" w:rsidP="00AE4CB2" w:rsidRDefault="002E62D4" w14:paraId="4D16474E" w14:textId="6E357ECE">
      <w:r>
        <w:t xml:space="preserve">Table </w:t>
      </w:r>
      <w:r w:rsidR="005D7B9F">
        <w:t xml:space="preserve">5 </w:t>
      </w:r>
      <w:r>
        <w:t>provides</w:t>
      </w:r>
      <w:r w:rsidR="00D27A4A">
        <w:t xml:space="preserve"> the estimated time schedule for the information collection, </w:t>
      </w:r>
      <w:r w:rsidR="000E5EFC">
        <w:t xml:space="preserve">data analysis, and </w:t>
      </w:r>
      <w:r w:rsidR="00793DAC">
        <w:t>publication.</w:t>
      </w:r>
      <w:r>
        <w:t xml:space="preserve"> </w:t>
      </w:r>
      <w:r w:rsidR="00EC1C3B">
        <w:t>The planned analyses do not include any complex analytical techniques. For this information collection, planned analyses include</w:t>
      </w:r>
      <w:r w:rsidRPr="00EC1C3B" w:rsidR="00EC1C3B">
        <w:t xml:space="preserve"> descriptive statistics that summarize findings (e.g., percentage, mean, median, range, or standard deviation)</w:t>
      </w:r>
      <w:r w:rsidR="00EC1C3B">
        <w:t xml:space="preserve">, </w:t>
      </w:r>
      <w:r w:rsidRPr="00C14302" w:rsidR="00C14302">
        <w:t>thematic coding using a priori themes based on the topics included in the interview and focus group</w:t>
      </w:r>
      <w:r w:rsidR="00C14302">
        <w:t xml:space="preserve"> protocols</w:t>
      </w:r>
      <w:r w:rsidRPr="00C14302" w:rsidR="00C14302">
        <w:t>, with additional themes generated based on the data</w:t>
      </w:r>
      <w:r w:rsidR="00C14302">
        <w:t xml:space="preserve">, and </w:t>
      </w:r>
      <w:r w:rsidRPr="00B80483" w:rsidR="00B80483">
        <w:t>social network analysis of the community service provider surveys to examine the structures and patterns among service providers within each community</w:t>
      </w:r>
      <w:r w:rsidR="00B80483">
        <w:t>.</w:t>
      </w:r>
    </w:p>
    <w:p w:rsidR="000B629D" w:rsidP="00F7411B" w:rsidRDefault="006B24A4" w14:paraId="6187EDE3" w14:textId="17330AF6">
      <w:r>
        <w:t xml:space="preserve">Findings from the planned analyses will be presented in </w:t>
      </w:r>
      <w:r w:rsidR="00FE21CE">
        <w:t>two</w:t>
      </w:r>
      <w:r>
        <w:t xml:space="preserve"> briefs and </w:t>
      </w:r>
      <w:r w:rsidR="00FE21CE">
        <w:t>five</w:t>
      </w:r>
      <w:r w:rsidR="00130918">
        <w:t xml:space="preserve"> community profiles. </w:t>
      </w:r>
      <w:r w:rsidR="00FE21CE">
        <w:t xml:space="preserve"> The two briefs will include analysis of data gathered from this information collection and secondary data analysis of existing sources. These products will be applicable for a broad audience, including MIECHV awardees, home visiting and other community program administrators, technical assistance providers, and policymakers, and will be widely disseminated.</w:t>
      </w:r>
    </w:p>
    <w:p w:rsidR="00190E9A" w:rsidP="00F7411B" w:rsidRDefault="00466992" w14:paraId="5F7FC9AA" w14:textId="685D194F">
      <w:r>
        <w:t>The community profiles will summarize the results of the case study analysis for each of the five selected communities</w:t>
      </w:r>
      <w:r w:rsidR="00793DAC">
        <w:t xml:space="preserve"> and will include analysis of data gathered from this information collection along with secondary data analysis </w:t>
      </w:r>
      <w:r w:rsidR="00FE21CE">
        <w:t>of existing</w:t>
      </w:r>
      <w:r w:rsidR="00793DAC">
        <w:t xml:space="preserve"> sources</w:t>
      </w:r>
      <w:r>
        <w:t>.</w:t>
      </w:r>
      <w:r w:rsidR="00190E9A">
        <w:t xml:space="preserve"> The profiles will highlight </w:t>
      </w:r>
      <w:r w:rsidRPr="0009712B" w:rsidR="00190E9A">
        <w:t>the disproportionality of COVID-19 in the community compared to U.S.</w:t>
      </w:r>
      <w:r w:rsidR="00190E9A">
        <w:t xml:space="preserve">, </w:t>
      </w:r>
      <w:r w:rsidR="006A338B">
        <w:t xml:space="preserve">the </w:t>
      </w:r>
      <w:r w:rsidRPr="0009712B" w:rsidR="00190E9A">
        <w:t>existing health inequities in the community</w:t>
      </w:r>
      <w:r w:rsidR="001A6A44">
        <w:t xml:space="preserve">, </w:t>
      </w:r>
      <w:r w:rsidR="006A338B">
        <w:t>a</w:t>
      </w:r>
      <w:r w:rsidR="00190E9A">
        <w:t>n understanding</w:t>
      </w:r>
      <w:r w:rsidRPr="0009712B" w:rsidR="00190E9A">
        <w:t xml:space="preserve"> of coordination and collaboration among community service providers comprising local systems of care including home visiting programs</w:t>
      </w:r>
      <w:r w:rsidR="00190E9A">
        <w:t xml:space="preserve">, </w:t>
      </w:r>
      <w:r w:rsidR="006A338B">
        <w:t>and a p</w:t>
      </w:r>
      <w:r w:rsidRPr="0009712B" w:rsidR="00190E9A">
        <w:t>resentation of families’ stories that inform how home visiting programs can continue to adapt and respond to COVID-19</w:t>
      </w:r>
      <w:r w:rsidR="00190E9A">
        <w:t xml:space="preserve"> and how home visiting can support families in times of crisis</w:t>
      </w:r>
      <w:r w:rsidR="006A338B">
        <w:t>.</w:t>
      </w:r>
      <w:r w:rsidR="00190E9A">
        <w:t xml:space="preserve"> </w:t>
      </w:r>
    </w:p>
    <w:p w:rsidRPr="00EE083E" w:rsidR="000B629D" w:rsidP="000B629D" w:rsidRDefault="00955A43" w14:paraId="5DB5D83F" w14:textId="399DEADE">
      <w:pPr>
        <w:pStyle w:val="FigureTitle"/>
        <w:rPr>
          <w:rFonts w:asciiTheme="minorHAnsi" w:hAnsiTheme="minorHAnsi" w:cstheme="minorHAnsi"/>
          <w:sz w:val="22"/>
          <w:szCs w:val="22"/>
        </w:rPr>
      </w:pPr>
      <w:bookmarkStart w:name="_Toc275433795" w:id="48"/>
      <w:bookmarkStart w:name="_Toc307224728" w:id="49"/>
      <w:r>
        <w:rPr>
          <w:rFonts w:asciiTheme="minorHAnsi" w:hAnsiTheme="minorHAnsi" w:cstheme="minorHAnsi"/>
          <w:sz w:val="22"/>
          <w:szCs w:val="22"/>
        </w:rPr>
        <w:lastRenderedPageBreak/>
        <w:t xml:space="preserve">Table </w:t>
      </w:r>
      <w:r w:rsidR="005D7B9F">
        <w:rPr>
          <w:rFonts w:asciiTheme="minorHAnsi" w:hAnsiTheme="minorHAnsi" w:cstheme="minorHAnsi"/>
          <w:sz w:val="22"/>
          <w:szCs w:val="22"/>
        </w:rPr>
        <w:t>5</w:t>
      </w:r>
      <w:r w:rsidRPr="00EE083E" w:rsidR="000B629D">
        <w:rPr>
          <w:rFonts w:asciiTheme="minorHAnsi" w:hAnsiTheme="minorHAnsi" w:cstheme="minorHAnsi"/>
          <w:sz w:val="22"/>
          <w:szCs w:val="22"/>
        </w:rPr>
        <w:t>.</w:t>
      </w:r>
      <w:r w:rsidR="001F5127">
        <w:rPr>
          <w:rFonts w:asciiTheme="minorHAnsi" w:hAnsiTheme="minorHAnsi" w:cstheme="minorHAnsi"/>
          <w:sz w:val="22"/>
          <w:szCs w:val="22"/>
        </w:rPr>
        <w:t xml:space="preserve"> </w:t>
      </w:r>
      <w:r w:rsidRPr="00EE083E" w:rsidR="000B629D">
        <w:rPr>
          <w:rFonts w:asciiTheme="minorHAnsi" w:hAnsiTheme="minorHAnsi" w:cstheme="minorHAnsi"/>
          <w:sz w:val="22"/>
          <w:szCs w:val="22"/>
        </w:rPr>
        <w:t>Estimated Time Schedule for Project Activities</w:t>
      </w:r>
      <w:bookmarkEnd w:id="48"/>
      <w:bookmarkEnd w:id="49"/>
    </w:p>
    <w:tbl>
      <w:tblPr>
        <w:tblW w:w="9360" w:type="dxa"/>
        <w:tblInd w:w="86" w:type="dxa"/>
        <w:tblBorders>
          <w:top w:val="single" w:color="auto" w:sz="12" w:space="0"/>
          <w:bottom w:val="single" w:color="auto" w:sz="12" w:space="0"/>
        </w:tblBorders>
        <w:tblLayout w:type="fixed"/>
        <w:tblCellMar>
          <w:left w:w="115" w:type="dxa"/>
          <w:right w:w="115" w:type="dxa"/>
        </w:tblCellMar>
        <w:tblLook w:val="01E0" w:firstRow="1" w:lastRow="1" w:firstColumn="1" w:lastColumn="1" w:noHBand="0" w:noVBand="0"/>
      </w:tblPr>
      <w:tblGrid>
        <w:gridCol w:w="2254"/>
        <w:gridCol w:w="7106"/>
      </w:tblGrid>
      <w:tr w:rsidRPr="00EE083E" w:rsidR="000B629D" w:rsidTr="00EE083E" w14:paraId="04715EC6" w14:textId="77777777">
        <w:trPr>
          <w:cantSplit/>
        </w:trPr>
        <w:tc>
          <w:tcPr>
            <w:tcW w:w="2254" w:type="dxa"/>
            <w:tcBorders>
              <w:top w:val="single" w:color="auto" w:sz="12" w:space="0"/>
              <w:bottom w:val="single" w:color="auto" w:sz="6" w:space="0"/>
              <w:right w:val="single" w:color="auto" w:sz="2" w:space="0"/>
            </w:tcBorders>
            <w:vAlign w:val="bottom"/>
          </w:tcPr>
          <w:p w:rsidRPr="00EE083E" w:rsidR="000B629D" w:rsidP="009918B9" w:rsidRDefault="000B629D" w14:paraId="2435D8C2" w14:textId="77777777">
            <w:pPr>
              <w:keepNext/>
              <w:spacing w:before="60" w:after="60"/>
              <w:rPr>
                <w:rFonts w:cstheme="minorHAnsi"/>
                <w:b/>
              </w:rPr>
            </w:pPr>
            <w:r w:rsidRPr="00EE083E">
              <w:rPr>
                <w:rFonts w:cstheme="minorHAnsi"/>
                <w:b/>
              </w:rPr>
              <w:t>Activity</w:t>
            </w:r>
          </w:p>
        </w:tc>
        <w:tc>
          <w:tcPr>
            <w:tcW w:w="7106" w:type="dxa"/>
            <w:tcBorders>
              <w:top w:val="single" w:color="auto" w:sz="12" w:space="0"/>
              <w:left w:val="single" w:color="auto" w:sz="2" w:space="0"/>
              <w:bottom w:val="single" w:color="auto" w:sz="6" w:space="0"/>
            </w:tcBorders>
            <w:vAlign w:val="bottom"/>
          </w:tcPr>
          <w:p w:rsidRPr="00EE083E" w:rsidR="000B629D" w:rsidP="009918B9" w:rsidRDefault="000B629D" w14:paraId="40C94538" w14:textId="77777777">
            <w:pPr>
              <w:keepNext/>
              <w:spacing w:before="60" w:after="60"/>
              <w:rPr>
                <w:rFonts w:cstheme="minorHAnsi"/>
                <w:b/>
              </w:rPr>
            </w:pPr>
            <w:r w:rsidRPr="00EE083E">
              <w:rPr>
                <w:rFonts w:cstheme="minorHAnsi"/>
                <w:b/>
              </w:rPr>
              <w:t>Expected Timeline</w:t>
            </w:r>
          </w:p>
        </w:tc>
      </w:tr>
      <w:tr w:rsidRPr="00EE083E" w:rsidR="000B629D" w:rsidTr="00EE083E" w14:paraId="32C0981D" w14:textId="77777777">
        <w:trPr>
          <w:cantSplit/>
        </w:trPr>
        <w:tc>
          <w:tcPr>
            <w:tcW w:w="2254" w:type="dxa"/>
            <w:tcBorders>
              <w:right w:val="single" w:color="auto" w:sz="2" w:space="0"/>
            </w:tcBorders>
          </w:tcPr>
          <w:p w:rsidRPr="00EE083E" w:rsidR="000B629D" w:rsidP="009918B9" w:rsidRDefault="000B629D" w14:paraId="6A91484C" w14:textId="77777777">
            <w:pPr>
              <w:keepNext/>
              <w:spacing w:before="60" w:after="60"/>
              <w:rPr>
                <w:rFonts w:cstheme="minorHAnsi"/>
              </w:rPr>
            </w:pPr>
            <w:r w:rsidRPr="00EE083E">
              <w:rPr>
                <w:rFonts w:cstheme="minorHAnsi"/>
              </w:rPr>
              <w:t>Data collection</w:t>
            </w:r>
          </w:p>
        </w:tc>
        <w:tc>
          <w:tcPr>
            <w:tcW w:w="7106" w:type="dxa"/>
            <w:tcBorders>
              <w:left w:val="single" w:color="auto" w:sz="2" w:space="0"/>
            </w:tcBorders>
          </w:tcPr>
          <w:p w:rsidRPr="00EE083E" w:rsidR="000B629D" w:rsidP="009918B9" w:rsidRDefault="00575542" w14:paraId="628F691E" w14:textId="77E76851">
            <w:pPr>
              <w:keepNext/>
              <w:spacing w:before="60" w:after="60"/>
              <w:rPr>
                <w:rFonts w:cstheme="minorHAnsi"/>
              </w:rPr>
            </w:pPr>
            <w:r w:rsidRPr="00EE083E">
              <w:rPr>
                <w:rFonts w:cstheme="minorHAnsi"/>
              </w:rPr>
              <w:t xml:space="preserve">Between </w:t>
            </w:r>
            <w:r w:rsidR="00D31E4B">
              <w:rPr>
                <w:rFonts w:cstheme="minorHAnsi"/>
              </w:rPr>
              <w:t>September</w:t>
            </w:r>
            <w:r w:rsidRPr="00EE083E" w:rsidR="00E5553B">
              <w:rPr>
                <w:rFonts w:cstheme="minorHAnsi"/>
              </w:rPr>
              <w:t xml:space="preserve"> 2022-February 2023</w:t>
            </w:r>
            <w:r w:rsidRPr="00EE083E" w:rsidR="000B629D">
              <w:rPr>
                <w:rFonts w:cstheme="minorHAnsi"/>
              </w:rPr>
              <w:t xml:space="preserve"> </w:t>
            </w:r>
            <w:r w:rsidRPr="00EE083E">
              <w:rPr>
                <w:rFonts w:cstheme="minorHAnsi"/>
              </w:rPr>
              <w:t>data collection will occur in each community</w:t>
            </w:r>
            <w:r w:rsidRPr="00EE083E" w:rsidR="00AD06BD">
              <w:rPr>
                <w:rFonts w:cstheme="minorHAnsi"/>
              </w:rPr>
              <w:t>. Timeline may vary for individual community.</w:t>
            </w:r>
            <w:r w:rsidRPr="00EE083E" w:rsidR="000B629D">
              <w:rPr>
                <w:rFonts w:cstheme="minorHAnsi"/>
              </w:rPr>
              <w:t xml:space="preserve"> </w:t>
            </w:r>
          </w:p>
        </w:tc>
      </w:tr>
      <w:tr w:rsidRPr="00EE083E" w:rsidR="000B629D" w:rsidTr="00EE083E" w14:paraId="3DE09FAA" w14:textId="77777777">
        <w:trPr>
          <w:cantSplit/>
        </w:trPr>
        <w:tc>
          <w:tcPr>
            <w:tcW w:w="2254" w:type="dxa"/>
            <w:tcBorders>
              <w:right w:val="single" w:color="auto" w:sz="2" w:space="0"/>
            </w:tcBorders>
          </w:tcPr>
          <w:p w:rsidRPr="00EE083E" w:rsidR="000B629D" w:rsidP="009918B9" w:rsidRDefault="0058015C" w14:paraId="21985FD0" w14:textId="1F3AC6AA">
            <w:pPr>
              <w:keepNext/>
              <w:spacing w:before="60" w:after="60"/>
              <w:rPr>
                <w:rFonts w:cstheme="minorHAnsi"/>
              </w:rPr>
            </w:pPr>
            <w:r w:rsidRPr="00EE083E">
              <w:rPr>
                <w:rFonts w:cstheme="minorHAnsi"/>
              </w:rPr>
              <w:t>Analysis</w:t>
            </w:r>
            <w:r w:rsidRPr="00EE083E" w:rsidR="000B629D">
              <w:rPr>
                <w:rFonts w:cstheme="minorHAnsi"/>
              </w:rPr>
              <w:t xml:space="preserve"> </w:t>
            </w:r>
          </w:p>
        </w:tc>
        <w:tc>
          <w:tcPr>
            <w:tcW w:w="7106" w:type="dxa"/>
            <w:tcBorders>
              <w:left w:val="single" w:color="auto" w:sz="2" w:space="0"/>
            </w:tcBorders>
          </w:tcPr>
          <w:p w:rsidRPr="00EE083E" w:rsidR="000B629D" w:rsidP="009918B9" w:rsidRDefault="00AD06BD" w14:paraId="6DA068C8" w14:textId="1D17C66B">
            <w:pPr>
              <w:keepNext/>
              <w:spacing w:before="60" w:after="60"/>
              <w:rPr>
                <w:rFonts w:cstheme="minorHAnsi"/>
              </w:rPr>
            </w:pPr>
            <w:r w:rsidRPr="00EE083E">
              <w:rPr>
                <w:rFonts w:cstheme="minorHAnsi"/>
              </w:rPr>
              <w:t>Beginning in January 2023, information will b</w:t>
            </w:r>
            <w:r w:rsidRPr="00EE083E" w:rsidR="0058015C">
              <w:rPr>
                <w:rFonts w:cstheme="minorHAnsi"/>
              </w:rPr>
              <w:t>e</w:t>
            </w:r>
            <w:r w:rsidRPr="00EE083E" w:rsidR="009B75B2">
              <w:rPr>
                <w:rFonts w:cstheme="minorHAnsi"/>
              </w:rPr>
              <w:t xml:space="preserve"> analyzed.</w:t>
            </w:r>
            <w:r w:rsidRPr="00EE083E" w:rsidR="000B629D">
              <w:rPr>
                <w:rFonts w:cstheme="minorHAnsi"/>
              </w:rPr>
              <w:t xml:space="preserve"> </w:t>
            </w:r>
          </w:p>
        </w:tc>
      </w:tr>
      <w:tr w:rsidRPr="00EE083E" w:rsidR="009B75B2" w:rsidTr="00EE083E" w14:paraId="1AB44A38" w14:textId="77777777">
        <w:trPr>
          <w:cantSplit/>
        </w:trPr>
        <w:tc>
          <w:tcPr>
            <w:tcW w:w="2254" w:type="dxa"/>
            <w:tcBorders>
              <w:bottom w:val="single" w:color="auto" w:sz="12" w:space="0"/>
              <w:right w:val="single" w:color="auto" w:sz="2" w:space="0"/>
            </w:tcBorders>
          </w:tcPr>
          <w:p w:rsidRPr="00EE083E" w:rsidR="009B75B2" w:rsidP="009918B9" w:rsidRDefault="009B75B2" w14:paraId="2D7787B7" w14:textId="5B951D47">
            <w:pPr>
              <w:keepNext/>
              <w:spacing w:before="60" w:after="60"/>
              <w:rPr>
                <w:rFonts w:cstheme="minorHAnsi"/>
              </w:rPr>
            </w:pPr>
            <w:r w:rsidRPr="00EE083E">
              <w:rPr>
                <w:rFonts w:cstheme="minorHAnsi"/>
              </w:rPr>
              <w:t>Publication</w:t>
            </w:r>
          </w:p>
        </w:tc>
        <w:tc>
          <w:tcPr>
            <w:tcW w:w="7106" w:type="dxa"/>
            <w:tcBorders>
              <w:left w:val="single" w:color="auto" w:sz="2" w:space="0"/>
            </w:tcBorders>
          </w:tcPr>
          <w:p w:rsidRPr="00EE083E" w:rsidR="009B75B2" w:rsidP="009918B9" w:rsidRDefault="009B75B2" w14:paraId="5D9E3DC3" w14:textId="7BD8CF42">
            <w:pPr>
              <w:keepNext/>
              <w:spacing w:before="60" w:after="60"/>
              <w:rPr>
                <w:rFonts w:cstheme="minorHAnsi"/>
              </w:rPr>
            </w:pPr>
            <w:r w:rsidRPr="00EE083E">
              <w:rPr>
                <w:rFonts w:cstheme="minorHAnsi"/>
              </w:rPr>
              <w:t>By June 2023, findings from this analysis will be presented in publications (</w:t>
            </w:r>
            <w:r w:rsidR="009A6058">
              <w:rPr>
                <w:rFonts w:cstheme="minorHAnsi"/>
              </w:rPr>
              <w:t>briefs</w:t>
            </w:r>
            <w:r w:rsidRPr="00EE083E">
              <w:rPr>
                <w:rFonts w:cstheme="minorHAnsi"/>
              </w:rPr>
              <w:t>) and other public facing products (community profiles).</w:t>
            </w:r>
          </w:p>
        </w:tc>
      </w:tr>
    </w:tbl>
    <w:p w:rsidR="00AE4CB2" w:rsidP="000B629D" w:rsidRDefault="00AE4CB2" w14:paraId="58B71F8A" w14:textId="77777777">
      <w:pPr>
        <w:pStyle w:val="Heading2"/>
      </w:pPr>
      <w:bookmarkStart w:name="_Toc457313796" w:id="50"/>
    </w:p>
    <w:p w:rsidRPr="005C43A1" w:rsidR="000B629D" w:rsidP="000B629D" w:rsidRDefault="000B629D" w14:paraId="6D5A22E2" w14:textId="21C9E085">
      <w:pPr>
        <w:pStyle w:val="Heading2"/>
      </w:pPr>
      <w:bookmarkStart w:name="_Toc106197211" w:id="51"/>
      <w:r w:rsidRPr="005C43A1">
        <w:t>A.17</w:t>
      </w:r>
      <w:bookmarkStart w:name="_Toc88033484" w:id="52"/>
      <w:r w:rsidR="00AE4CB2">
        <w:t xml:space="preserve"> </w:t>
      </w:r>
      <w:r w:rsidRPr="005C43A1">
        <w:t>Reason(s) Display of OMB Expiration Date Is Inappropriate</w:t>
      </w:r>
      <w:bookmarkEnd w:id="50"/>
      <w:bookmarkEnd w:id="51"/>
    </w:p>
    <w:p w:rsidRPr="00B80483" w:rsidR="000B629D" w:rsidP="00AE4CB2" w:rsidRDefault="000B629D" w14:paraId="35F9280C" w14:textId="100C3F4A">
      <w:pPr>
        <w:pStyle w:val="BodyText1"/>
        <w:spacing w:line="259" w:lineRule="auto"/>
        <w:ind w:firstLine="0"/>
        <w:rPr>
          <w:sz w:val="22"/>
          <w:szCs w:val="20"/>
        </w:rPr>
      </w:pPr>
      <w:r w:rsidRPr="00B80483">
        <w:rPr>
          <w:sz w:val="22"/>
          <w:szCs w:val="20"/>
        </w:rPr>
        <w:t xml:space="preserve">No request for an exemption from displaying the expiration date for OMB approval is being sought. The OMB number and expiration date will be displayed on every page of </w:t>
      </w:r>
      <w:r w:rsidRPr="00B80483" w:rsidR="009E6EBF">
        <w:rPr>
          <w:sz w:val="22"/>
          <w:szCs w:val="20"/>
        </w:rPr>
        <w:t>the data collection protocols</w:t>
      </w:r>
      <w:r w:rsidRPr="00B80483">
        <w:rPr>
          <w:sz w:val="22"/>
          <w:szCs w:val="20"/>
        </w:rPr>
        <w:t>.</w:t>
      </w:r>
    </w:p>
    <w:p w:rsidRPr="005C43A1" w:rsidR="000B629D" w:rsidP="000B629D" w:rsidRDefault="000B629D" w14:paraId="32821639" w14:textId="627E1AC2">
      <w:pPr>
        <w:pStyle w:val="Heading2"/>
      </w:pPr>
      <w:bookmarkStart w:name="_Toc457313797" w:id="53"/>
      <w:bookmarkStart w:name="_Toc106197212" w:id="54"/>
      <w:r w:rsidRPr="005C43A1">
        <w:t>A.18</w:t>
      </w:r>
      <w:bookmarkEnd w:id="52"/>
      <w:r w:rsidR="00AE4CB2">
        <w:t xml:space="preserve"> </w:t>
      </w:r>
      <w:r w:rsidRPr="005C43A1">
        <w:t>Exceptions to Certification for Paperwork Reduction Act Submissions</w:t>
      </w:r>
      <w:bookmarkEnd w:id="53"/>
      <w:bookmarkEnd w:id="54"/>
    </w:p>
    <w:p w:rsidRPr="00AB70D2" w:rsidR="00A508C9" w:rsidP="00AB70D2" w:rsidRDefault="000B629D" w14:paraId="5BC88EF6" w14:textId="13F9CBE8">
      <w:pPr>
        <w:pStyle w:val="BodyText1"/>
        <w:ind w:firstLine="0"/>
        <w:rPr>
          <w:sz w:val="22"/>
          <w:szCs w:val="20"/>
        </w:rPr>
      </w:pPr>
      <w:r w:rsidRPr="00237E13">
        <w:rPr>
          <w:sz w:val="22"/>
        </w:rPr>
        <w:t>There are no exceptions to the certification</w:t>
      </w:r>
      <w:r w:rsidRPr="00237E13" w:rsidR="0059652D">
        <w:rPr>
          <w:sz w:val="22"/>
        </w:rPr>
        <w:t xml:space="preserve"> statement</w:t>
      </w:r>
      <w:r w:rsidRPr="00237E13">
        <w:rPr>
          <w:sz w:val="22"/>
        </w:rPr>
        <w:t>.</w:t>
      </w:r>
      <w:r w:rsidRPr="00AE4CB2" w:rsidDel="00C15D06">
        <w:rPr>
          <w:sz w:val="22"/>
          <w:szCs w:val="20"/>
        </w:rPr>
        <w:t xml:space="preserve"> </w:t>
      </w:r>
    </w:p>
    <w:p w:rsidR="00A508C9" w:rsidP="00A508C9" w:rsidRDefault="00F13AAE" w14:paraId="1293E8F7" w14:textId="6C0BFED8">
      <w:pPr>
        <w:pStyle w:val="Heading1"/>
      </w:pPr>
      <w:bookmarkStart w:name="_Toc106197213" w:id="55"/>
      <w:r>
        <w:t>B</w:t>
      </w:r>
      <w:r w:rsidR="00A508C9">
        <w:t xml:space="preserve">. </w:t>
      </w:r>
      <w:r>
        <w:t>Collections of Information Employing Statistical Methods</w:t>
      </w:r>
      <w:bookmarkEnd w:id="55"/>
    </w:p>
    <w:p w:rsidR="00A508C9" w:rsidP="005000E5" w:rsidRDefault="000030FF" w14:paraId="77E4761B" w14:textId="7F5D0C47">
      <w:pPr>
        <w:pStyle w:val="Heading2"/>
      </w:pPr>
      <w:bookmarkStart w:name="_Toc106197214" w:id="56"/>
      <w:r>
        <w:t>B</w:t>
      </w:r>
      <w:r w:rsidR="00A508C9">
        <w:t xml:space="preserve">.1 </w:t>
      </w:r>
      <w:r>
        <w:t>Sampling</w:t>
      </w:r>
      <w:bookmarkEnd w:id="56"/>
    </w:p>
    <w:p w:rsidR="00E65751" w:rsidP="000265A1" w:rsidRDefault="000265A1" w14:paraId="053AF2D2" w14:textId="6DA58852">
      <w:pPr>
        <w:rPr>
          <w:szCs w:val="20"/>
        </w:rPr>
      </w:pPr>
      <w:r w:rsidRPr="0084602D">
        <w:rPr>
          <w:szCs w:val="20"/>
        </w:rPr>
        <w:t>In 2020,</w:t>
      </w:r>
      <w:r>
        <w:rPr>
          <w:szCs w:val="20"/>
        </w:rPr>
        <w:t xml:space="preserve"> the</w:t>
      </w:r>
      <w:r w:rsidRPr="0084602D">
        <w:rPr>
          <w:szCs w:val="20"/>
        </w:rPr>
        <w:t xml:space="preserve"> MIECHV </w:t>
      </w:r>
      <w:r>
        <w:rPr>
          <w:szCs w:val="20"/>
        </w:rPr>
        <w:t xml:space="preserve">Program </w:t>
      </w:r>
      <w:r w:rsidRPr="0084602D">
        <w:rPr>
          <w:szCs w:val="20"/>
        </w:rPr>
        <w:t>reached 32 percent of all U.S. counties, including 41 percent of all urban counties and 27 percent of all rural counties (51% of counties served were rural).</w:t>
      </w:r>
      <w:r>
        <w:rPr>
          <w:rStyle w:val="EndnoteReference"/>
        </w:rPr>
        <w:endnoteReference w:id="14"/>
      </w:r>
      <w:r>
        <w:rPr>
          <w:szCs w:val="20"/>
        </w:rPr>
        <w:t xml:space="preserve">  </w:t>
      </w:r>
      <w:r w:rsidRPr="00481407">
        <w:rPr>
          <w:szCs w:val="20"/>
        </w:rPr>
        <w:t>Although MIECHV awardees generally designate geographic service area</w:t>
      </w:r>
      <w:r w:rsidR="00073E68">
        <w:rPr>
          <w:szCs w:val="20"/>
        </w:rPr>
        <w:t>s</w:t>
      </w:r>
      <w:r w:rsidRPr="00481407">
        <w:rPr>
          <w:szCs w:val="20"/>
        </w:rPr>
        <w:t xml:space="preserve"> at the county level, some awardees are focused on serving </w:t>
      </w:r>
      <w:r>
        <w:rPr>
          <w:szCs w:val="20"/>
        </w:rPr>
        <w:t>t</w:t>
      </w:r>
      <w:r w:rsidRPr="00481407">
        <w:rPr>
          <w:szCs w:val="20"/>
        </w:rPr>
        <w:t>ribal communities</w:t>
      </w:r>
      <w:r>
        <w:rPr>
          <w:szCs w:val="20"/>
        </w:rPr>
        <w:t xml:space="preserve"> (in addition to the Tribal MIECHV grantees that are awarded </w:t>
      </w:r>
      <w:r w:rsidR="00073E68">
        <w:rPr>
          <w:szCs w:val="20"/>
        </w:rPr>
        <w:t xml:space="preserve">directly </w:t>
      </w:r>
      <w:r>
        <w:rPr>
          <w:szCs w:val="20"/>
        </w:rPr>
        <w:t xml:space="preserve">to tribal communities). </w:t>
      </w:r>
      <w:r w:rsidR="00E65751">
        <w:rPr>
          <w:szCs w:val="20"/>
        </w:rPr>
        <w:t xml:space="preserve">For this project, communities in 5 counties with MIECHV-funded home visiting programs will be </w:t>
      </w:r>
      <w:r w:rsidR="00693D6F">
        <w:rPr>
          <w:szCs w:val="20"/>
        </w:rPr>
        <w:t>selected to participate in case studies</w:t>
      </w:r>
      <w:r w:rsidR="00E65751">
        <w:rPr>
          <w:szCs w:val="20"/>
        </w:rPr>
        <w:t>.</w:t>
      </w:r>
    </w:p>
    <w:p w:rsidRPr="00061EFE" w:rsidR="004A28B7" w:rsidP="00061EFE" w:rsidRDefault="005D7DF5" w14:paraId="7BF0C947" w14:textId="1647B0AD">
      <w:pPr>
        <w:rPr>
          <w:szCs w:val="20"/>
        </w:rPr>
      </w:pPr>
      <w:r>
        <w:t>To i</w:t>
      </w:r>
      <w:r w:rsidR="003213EC">
        <w:t>nform the selection of c</w:t>
      </w:r>
      <w:r w:rsidR="00B369A1">
        <w:t xml:space="preserve">ounties </w:t>
      </w:r>
      <w:r w:rsidR="000265A1">
        <w:t>for case study locations</w:t>
      </w:r>
      <w:r w:rsidR="003213EC">
        <w:t xml:space="preserve">, the project team will </w:t>
      </w:r>
      <w:r w:rsidR="00A54054">
        <w:t xml:space="preserve">rely on several analyses of secondary data sources. </w:t>
      </w:r>
      <w:r w:rsidR="0044395E">
        <w:rPr>
          <w:rFonts w:eastAsia="Lato" w:cs="Lato"/>
          <w:color w:val="000000" w:themeColor="text1"/>
        </w:rPr>
        <w:t xml:space="preserve">First, </w:t>
      </w:r>
      <w:r w:rsidR="00A54054">
        <w:rPr>
          <w:rFonts w:eastAsia="Lato" w:cs="Lato"/>
          <w:color w:val="000000" w:themeColor="text1"/>
        </w:rPr>
        <w:t>the team</w:t>
      </w:r>
      <w:r w:rsidR="0044395E">
        <w:rPr>
          <w:rFonts w:eastAsia="Lato" w:cs="Lato"/>
          <w:color w:val="000000" w:themeColor="text1"/>
        </w:rPr>
        <w:t xml:space="preserve"> will conduct </w:t>
      </w:r>
      <w:r w:rsidRPr="771B8270" w:rsidR="0044395E">
        <w:rPr>
          <w:rFonts w:eastAsia="Lato" w:cs="Lato"/>
          <w:color w:val="000000" w:themeColor="text1"/>
        </w:rPr>
        <w:t>a temporal analysis of COVID-19 cases, deaths, hospitalization rates, and vaccination rates</w:t>
      </w:r>
      <w:r w:rsidR="0044395E">
        <w:rPr>
          <w:rFonts w:eastAsia="Lato" w:cs="Lato"/>
          <w:color w:val="000000" w:themeColor="text1"/>
        </w:rPr>
        <w:t xml:space="preserve"> to help</w:t>
      </w:r>
      <w:r w:rsidRPr="771B8270" w:rsidR="0044395E">
        <w:rPr>
          <w:rFonts w:eastAsia="Lato" w:cs="Lato"/>
          <w:color w:val="000000" w:themeColor="text1"/>
        </w:rPr>
        <w:t xml:space="preserve"> </w:t>
      </w:r>
      <w:r w:rsidR="0044395E">
        <w:rPr>
          <w:rFonts w:eastAsia="Lato" w:cs="Lato"/>
          <w:color w:val="000000" w:themeColor="text1"/>
        </w:rPr>
        <w:t>determine</w:t>
      </w:r>
      <w:r w:rsidRPr="771B8270" w:rsidR="0044395E">
        <w:rPr>
          <w:rFonts w:eastAsia="Lato" w:cs="Lato"/>
          <w:color w:val="000000" w:themeColor="text1"/>
        </w:rPr>
        <w:t xml:space="preserve"> how COVID-19 has impacted </w:t>
      </w:r>
      <w:r w:rsidR="0044395E">
        <w:rPr>
          <w:rFonts w:eastAsia="Lato" w:cs="Lato"/>
          <w:color w:val="000000" w:themeColor="text1"/>
        </w:rPr>
        <w:t>counties</w:t>
      </w:r>
      <w:r w:rsidRPr="771B8270" w:rsidR="0044395E">
        <w:rPr>
          <w:rFonts w:eastAsia="Lato" w:cs="Lato"/>
          <w:color w:val="000000" w:themeColor="text1"/>
        </w:rPr>
        <w:t xml:space="preserve"> over time. </w:t>
      </w:r>
      <w:r w:rsidR="0044395E">
        <w:rPr>
          <w:rFonts w:eastAsia="Lato" w:cs="Lato"/>
          <w:color w:val="000000" w:themeColor="text1"/>
        </w:rPr>
        <w:t>Second</w:t>
      </w:r>
      <w:r w:rsidRPr="771B8270" w:rsidR="0044395E">
        <w:rPr>
          <w:rFonts w:eastAsia="Lato" w:cs="Lato"/>
          <w:color w:val="000000" w:themeColor="text1"/>
        </w:rPr>
        <w:t xml:space="preserve">, </w:t>
      </w:r>
      <w:r w:rsidR="00A54054">
        <w:rPr>
          <w:rFonts w:eastAsia="Lato" w:cs="Lato"/>
          <w:color w:val="000000" w:themeColor="text1"/>
        </w:rPr>
        <w:t>the team</w:t>
      </w:r>
      <w:r w:rsidR="0044395E">
        <w:rPr>
          <w:rFonts w:eastAsia="Lato" w:cs="Lato"/>
          <w:color w:val="000000" w:themeColor="text1"/>
        </w:rPr>
        <w:t xml:space="preserve"> will create </w:t>
      </w:r>
      <w:r w:rsidR="00A54054">
        <w:rPr>
          <w:rFonts w:eastAsia="Lato" w:cs="Lato"/>
          <w:color w:val="000000" w:themeColor="text1"/>
        </w:rPr>
        <w:t xml:space="preserve">the </w:t>
      </w:r>
      <w:r w:rsidR="00A54054">
        <w:t>County Response Index to Support Equity in Home Visiting (County RISE-HV)</w:t>
      </w:r>
      <w:r w:rsidR="007D5FA7">
        <w:t>. The County RISE-HV</w:t>
      </w:r>
      <w:r w:rsidR="0044395E">
        <w:rPr>
          <w:rFonts w:eastAsia="Lato" w:cs="Lato"/>
          <w:color w:val="000000" w:themeColor="text1"/>
        </w:rPr>
        <w:t xml:space="preserve"> </w:t>
      </w:r>
      <w:r w:rsidR="00864767">
        <w:rPr>
          <w:rFonts w:eastAsia="Lato" w:cs="Lato"/>
          <w:color w:val="000000" w:themeColor="text1"/>
        </w:rPr>
        <w:t>Index</w:t>
      </w:r>
      <w:r w:rsidR="0044395E">
        <w:rPr>
          <w:rFonts w:eastAsia="Lato" w:cs="Lato"/>
          <w:color w:val="000000" w:themeColor="text1"/>
        </w:rPr>
        <w:t xml:space="preserve"> will include</w:t>
      </w:r>
      <w:r w:rsidRPr="771B8270" w:rsidR="0044395E">
        <w:rPr>
          <w:rFonts w:eastAsia="Lato" w:cs="Lato"/>
          <w:color w:val="000000" w:themeColor="text1"/>
        </w:rPr>
        <w:t xml:space="preserve"> </w:t>
      </w:r>
      <w:r w:rsidRPr="00A54054" w:rsidR="0044395E">
        <w:rPr>
          <w:rFonts w:eastAsia="Lato" w:cs="Lato"/>
          <w:bCs/>
          <w:color w:val="000000" w:themeColor="text1"/>
        </w:rPr>
        <w:t xml:space="preserve">social determinants of health </w:t>
      </w:r>
      <w:r w:rsidR="0044395E">
        <w:rPr>
          <w:rFonts w:eastAsia="Lato" w:cs="Lato"/>
          <w:color w:val="000000" w:themeColor="text1"/>
        </w:rPr>
        <w:t>indicators</w:t>
      </w:r>
      <w:r w:rsidRPr="771B8270" w:rsidR="0044395E">
        <w:rPr>
          <w:rFonts w:eastAsia="Lato" w:cs="Lato"/>
          <w:color w:val="000000" w:themeColor="text1"/>
        </w:rPr>
        <w:t xml:space="preserve"> </w:t>
      </w:r>
      <w:r w:rsidR="0044395E">
        <w:rPr>
          <w:szCs w:val="20"/>
        </w:rPr>
        <w:t>that were present in counties before the COVID-19 pandemic</w:t>
      </w:r>
      <w:r w:rsidR="00A54054">
        <w:rPr>
          <w:szCs w:val="20"/>
        </w:rPr>
        <w:t xml:space="preserve">, </w:t>
      </w:r>
      <w:r w:rsidR="00A54054">
        <w:t>with particular attention to those most relevant to home visiting-related outcomes</w:t>
      </w:r>
      <w:r w:rsidR="007D5FA7">
        <w:t>,</w:t>
      </w:r>
      <w:r w:rsidR="00A54054">
        <w:t xml:space="preserve"> which</w:t>
      </w:r>
      <w:r w:rsidR="0044395E">
        <w:rPr>
          <w:rFonts w:eastAsia="Lato" w:cs="Lato"/>
          <w:color w:val="000000" w:themeColor="text1"/>
        </w:rPr>
        <w:t xml:space="preserve"> can help elucidate how well counties were prepared to respond to </w:t>
      </w:r>
      <w:r w:rsidR="00073E68">
        <w:rPr>
          <w:rFonts w:eastAsia="Lato" w:cs="Lato"/>
          <w:color w:val="000000" w:themeColor="text1"/>
        </w:rPr>
        <w:t xml:space="preserve">the COVID-19 </w:t>
      </w:r>
      <w:r w:rsidR="0044395E">
        <w:rPr>
          <w:rFonts w:eastAsia="Lato" w:cs="Lato"/>
          <w:color w:val="000000" w:themeColor="text1"/>
        </w:rPr>
        <w:t>public health emergency</w:t>
      </w:r>
      <w:r w:rsidRPr="771B8270" w:rsidR="0044395E">
        <w:rPr>
          <w:rFonts w:eastAsia="Lato" w:cs="Lato"/>
          <w:color w:val="000000" w:themeColor="text1"/>
        </w:rPr>
        <w:t xml:space="preserve">. </w:t>
      </w:r>
    </w:p>
    <w:p w:rsidR="000030FF" w:rsidP="00031927" w:rsidRDefault="00264A91" w14:paraId="5DAADD8A" w14:textId="1870ABDA">
      <w:pPr>
        <w:spacing w:after="240"/>
      </w:pPr>
      <w:r>
        <w:t xml:space="preserve">Finally, the team </w:t>
      </w:r>
      <w:r w:rsidR="00031927">
        <w:t xml:space="preserve">will generate a list of counties with MIECHV-funded programs that will be used to identify case study locations. This list will include multiple “profiles” of counties with MIECHV-funded programs based on the identified temporal patterns, </w:t>
      </w:r>
      <w:r w:rsidR="00073E68">
        <w:t xml:space="preserve">County RISE-HV </w:t>
      </w:r>
      <w:r w:rsidR="00031927">
        <w:t xml:space="preserve">index scores, and demographic data. Profiles will enable </w:t>
      </w:r>
      <w:r>
        <w:t>the team</w:t>
      </w:r>
      <w:r w:rsidR="00031927">
        <w:t xml:space="preserve"> to group counties with similar characteristics and to differentiate groups of counties with different characteristics from one another. Counties with tribal communities will be integrated into these profiles (but designated in some way so that they can be easily identified). Within each profile, </w:t>
      </w:r>
      <w:r w:rsidR="004A28B7">
        <w:t xml:space="preserve">the team </w:t>
      </w:r>
      <w:r w:rsidRPr="00E63776" w:rsidR="004A28B7">
        <w:t xml:space="preserve">will order counties by their </w:t>
      </w:r>
      <w:r w:rsidR="00685865">
        <w:t xml:space="preserve">County </w:t>
      </w:r>
      <w:r w:rsidRPr="00E63776" w:rsidR="004A28B7">
        <w:t>RISE-HV scores, starting with the most vulnerable counties</w:t>
      </w:r>
      <w:r w:rsidR="004A28B7">
        <w:t xml:space="preserve"> (represented by a “low” score on the County RISE</w:t>
      </w:r>
      <w:r w:rsidR="00685865">
        <w:t>-HV</w:t>
      </w:r>
      <w:r w:rsidR="004A28B7">
        <w:t>)</w:t>
      </w:r>
      <w:r w:rsidRPr="00E63776" w:rsidR="004A28B7">
        <w:t>.</w:t>
      </w:r>
      <w:r w:rsidR="004A28B7">
        <w:t xml:space="preserve"> </w:t>
      </w:r>
      <w:r w:rsidR="008F54CF">
        <w:t>The team</w:t>
      </w:r>
      <w:r w:rsidR="004A28B7">
        <w:t xml:space="preserve"> will then utilize the </w:t>
      </w:r>
      <w:r w:rsidR="004A28B7">
        <w:lastRenderedPageBreak/>
        <w:t xml:space="preserve">County </w:t>
      </w:r>
      <w:r w:rsidRPr="004C2320" w:rsidR="004A28B7">
        <w:t>RISE-HV</w:t>
      </w:r>
      <w:r w:rsidR="004A28B7">
        <w:t xml:space="preserve"> data to identify </w:t>
      </w:r>
      <w:r w:rsidR="00AC6D75">
        <w:t>approximately</w:t>
      </w:r>
      <w:r w:rsidR="004A28B7">
        <w:t xml:space="preserve"> 10 counties that are or have been COVID-19 hot spots, have existing MIECHV-funded programs, and have a range of characteristics that represent a diversity of settings and experiences. Information about these counties will include rates of COVID-19 cases, deaths, hospitalizations, and vaccinations indicating disproportionality compared to other counties as well as by race/ethnicity, number of MIECHV-funded programs, and select settings and experiences (e.g., population size, socioeconomic status). </w:t>
      </w:r>
    </w:p>
    <w:p w:rsidR="008C7897" w:rsidP="009B36CF" w:rsidRDefault="00120820" w14:paraId="3E63FA82" w14:textId="7146D28C">
      <w:pPr>
        <w:spacing w:after="240"/>
      </w:pPr>
      <w:r>
        <w:t xml:space="preserve">As </w:t>
      </w:r>
      <w:r w:rsidR="00E65751">
        <w:t>the team</w:t>
      </w:r>
      <w:r>
        <w:t xml:space="preserve"> identif</w:t>
      </w:r>
      <w:r w:rsidR="00E65751">
        <w:t>ies</w:t>
      </w:r>
      <w:r>
        <w:t xml:space="preserve"> and narrow</w:t>
      </w:r>
      <w:r w:rsidR="00E65751">
        <w:t>s</w:t>
      </w:r>
      <w:r>
        <w:t xml:space="preserve"> </w:t>
      </w:r>
      <w:r w:rsidR="00E65751">
        <w:t>the</w:t>
      </w:r>
      <w:r>
        <w:t xml:space="preserve"> list of counties down to 5 to 10 potential locations, </w:t>
      </w:r>
      <w:r w:rsidR="00EA2289">
        <w:t xml:space="preserve">priority </w:t>
      </w:r>
      <w:r>
        <w:t xml:space="preserve">will </w:t>
      </w:r>
      <w:r w:rsidR="00EA2289">
        <w:t>be given to selecting</w:t>
      </w:r>
      <w:r>
        <w:t xml:space="preserve"> a mix of urban and rural counties, racial and ethnic disparity rates, diversity of home visiting program sizes and any other considerations HRSA has for the case study locations (e.g., length of MIECHV funding, types of home visiting models used). This means, for example, </w:t>
      </w:r>
      <w:r w:rsidR="00EA2289">
        <w:t>the team</w:t>
      </w:r>
      <w:r>
        <w:t xml:space="preserve"> would not select five urban case study locations or five case study locations that have similar population sizes. The team will also ensure that at least one case study location with programs funded by the Tribal Home Visiting Program is included in the case studies. </w:t>
      </w:r>
      <w:r w:rsidR="00EA2289">
        <w:t xml:space="preserve">It is important to </w:t>
      </w:r>
      <w:r>
        <w:t xml:space="preserve">recognize that the number of MIECHV programs and sites varies by state and county—in some parts of the nation, like Vermont, a single home visiting model is used in every county, whereas other counties like Los Angeles County, California, have multiple MIECHV programs, sites, and home visiting model types within the same county. If counties that fall in the latter category make our top 10 county list, </w:t>
      </w:r>
      <w:r w:rsidR="00EA2289">
        <w:t>the team</w:t>
      </w:r>
      <w:r>
        <w:t xml:space="preserve"> foresee</w:t>
      </w:r>
      <w:r w:rsidR="00EA2289">
        <w:t>s</w:t>
      </w:r>
      <w:r>
        <w:t xml:space="preserve"> focusing in on a smaller geographic region within the county (e.g., definite sections of a city that are cohesive and identified as separate communities, like a district or a neighborhood) as the case study location. </w:t>
      </w:r>
    </w:p>
    <w:p w:rsidRPr="00741E26" w:rsidR="009B36CF" w:rsidP="009B36CF" w:rsidRDefault="00120820" w14:paraId="0E43E21D" w14:textId="658E97FF">
      <w:pPr>
        <w:spacing w:after="240"/>
      </w:pPr>
      <w:r>
        <w:t>Once</w:t>
      </w:r>
      <w:r w:rsidR="00B5390F">
        <w:t xml:space="preserve"> </w:t>
      </w:r>
      <w:r w:rsidR="007A2E57">
        <w:t>the</w:t>
      </w:r>
      <w:r>
        <w:t xml:space="preserve"> potential case study locations are identified, t</w:t>
      </w:r>
      <w:r w:rsidRPr="00B056E0">
        <w:t xml:space="preserve">he team will </w:t>
      </w:r>
      <w:r w:rsidR="00C32976">
        <w:t xml:space="preserve">meet with </w:t>
      </w:r>
      <w:r>
        <w:t>the</w:t>
      </w:r>
      <w:r w:rsidRPr="00B056E0">
        <w:t xml:space="preserve"> MIECHV</w:t>
      </w:r>
      <w:r>
        <w:t xml:space="preserve"> </w:t>
      </w:r>
      <w:r w:rsidR="0013787A">
        <w:t xml:space="preserve">Project Director </w:t>
      </w:r>
      <w:r>
        <w:t>(both state and Tribal) for</w:t>
      </w:r>
      <w:r w:rsidRPr="00B056E0">
        <w:t xml:space="preserve"> the identified </w:t>
      </w:r>
      <w:r>
        <w:t>case study location’s</w:t>
      </w:r>
      <w:r w:rsidRPr="00B056E0">
        <w:t xml:space="preserve"> state</w:t>
      </w:r>
      <w:r>
        <w:t xml:space="preserve"> and let them know </w:t>
      </w:r>
      <w:r w:rsidDel="00B02185">
        <w:t>we</w:t>
      </w:r>
      <w:r w:rsidDel="004A6082">
        <w:t xml:space="preserve"> want to invite</w:t>
      </w:r>
      <w:r>
        <w:t xml:space="preserve"> a community in their state</w:t>
      </w:r>
      <w:r w:rsidR="00E601F1">
        <w:t xml:space="preserve"> </w:t>
      </w:r>
      <w:r>
        <w:t>to participate in a case study</w:t>
      </w:r>
      <w:r w:rsidRPr="00B056E0">
        <w:t>.</w:t>
      </w:r>
      <w:r>
        <w:t xml:space="preserve"> If interested, the team will meet with the </w:t>
      </w:r>
      <w:r w:rsidR="0013787A">
        <w:t>Project Director</w:t>
      </w:r>
      <w:r w:rsidR="001865EF">
        <w:t>,</w:t>
      </w:r>
      <w:r>
        <w:t xml:space="preserve"> </w:t>
      </w:r>
      <w:r w:rsidR="00E204C5">
        <w:t>LIAs</w:t>
      </w:r>
      <w:r w:rsidR="001865EF">
        <w:t>,</w:t>
      </w:r>
      <w:r w:rsidRPr="00B056E0">
        <w:t xml:space="preserve"> and local leaders</w:t>
      </w:r>
      <w:r>
        <w:t>, to</w:t>
      </w:r>
      <w:r w:rsidRPr="00B056E0">
        <w:t xml:space="preserve"> </w:t>
      </w:r>
      <w:r w:rsidR="00644294">
        <w:t>learn more about</w:t>
      </w:r>
      <w:r w:rsidRPr="00B056E0">
        <w:t xml:space="preserve"> participat</w:t>
      </w:r>
      <w:r w:rsidR="00644294">
        <w:t>ing</w:t>
      </w:r>
      <w:r w:rsidRPr="00B056E0">
        <w:t xml:space="preserve"> in the activities.</w:t>
      </w:r>
      <w:r>
        <w:t xml:space="preserve"> </w:t>
      </w:r>
      <w:r w:rsidR="00A00CE6">
        <w:t>The team</w:t>
      </w:r>
      <w:r>
        <w:t xml:space="preserve"> will share recruitment materials to engage with local community and home visiting program leaders</w:t>
      </w:r>
      <w:r w:rsidR="00A00CE6">
        <w:t xml:space="preserve"> </w:t>
      </w:r>
      <w:r w:rsidR="00644294">
        <w:t>and</w:t>
      </w:r>
      <w:r w:rsidR="00622818">
        <w:t xml:space="preserve"> explain the </w:t>
      </w:r>
      <w:r w:rsidR="00523CF3">
        <w:t xml:space="preserve">project and </w:t>
      </w:r>
      <w:r w:rsidR="0052650D">
        <w:t>ask about</w:t>
      </w:r>
      <w:r w:rsidR="00523CF3">
        <w:t xml:space="preserve"> their interest in participating.</w:t>
      </w:r>
      <w:r w:rsidR="00694398">
        <w:t xml:space="preserve"> Participation is not required.</w:t>
      </w:r>
      <w:r>
        <w:t xml:space="preserve"> </w:t>
      </w:r>
    </w:p>
    <w:p w:rsidR="000030FF" w:rsidP="000030FF" w:rsidRDefault="009B36CF" w14:paraId="67BE52DF" w14:textId="6B4969FA">
      <w:r>
        <w:t>I</w:t>
      </w:r>
      <w:r w:rsidRPr="00060286">
        <w:t>f a community does not wish to participate,</w:t>
      </w:r>
      <w:r>
        <w:t xml:space="preserve"> </w:t>
      </w:r>
      <w:r w:rsidRPr="00060286">
        <w:t>or additional information is uncovered that would not</w:t>
      </w:r>
      <w:r>
        <w:t xml:space="preserve"> </w:t>
      </w:r>
      <w:r w:rsidRPr="00060286">
        <w:t>make them a good fit for this work due to feasibility (e.g.,</w:t>
      </w:r>
      <w:r>
        <w:t xml:space="preserve"> </w:t>
      </w:r>
      <w:r w:rsidRPr="00060286">
        <w:t>ongoing research conflicting with the project timeline,</w:t>
      </w:r>
      <w:r>
        <w:t xml:space="preserve"> </w:t>
      </w:r>
      <w:r w:rsidRPr="00060286">
        <w:t xml:space="preserve">complications with staff availability to participate due to COVID-19-related deployment or furloughs), the project team </w:t>
      </w:r>
      <w:r>
        <w:t>will</w:t>
      </w:r>
      <w:r w:rsidRPr="00060286">
        <w:t xml:space="preserve"> select a replacement </w:t>
      </w:r>
      <w:r>
        <w:t>case study location</w:t>
      </w:r>
      <w:r w:rsidRPr="00060286">
        <w:t>.</w:t>
      </w:r>
      <w:r>
        <w:t xml:space="preserve"> </w:t>
      </w:r>
      <w:r w:rsidR="006304A3">
        <w:t>The team</w:t>
      </w:r>
      <w:r>
        <w:t xml:space="preserve"> assume</w:t>
      </w:r>
      <w:r w:rsidR="006304A3">
        <w:t>s</w:t>
      </w:r>
      <w:r>
        <w:t xml:space="preserve"> that the sequence of the recruitment steps will generally be the same as those outlined above for each case study location. However, there may be variation by location in terms of the number of meetings, participants engaged during recruitment, amount of follow-up, timeline to go through the recruitment process, and approval of case study location by HRSA and the state or Tribal MIECHV awardee. </w:t>
      </w:r>
      <w:r w:rsidR="00523CF3">
        <w:t>A total of 5 case study locations will be selected for participation.</w:t>
      </w:r>
    </w:p>
    <w:p w:rsidR="0087719A" w:rsidP="002370E7" w:rsidRDefault="000030FF" w14:paraId="735A34D4" w14:textId="21E1CE27">
      <w:pPr>
        <w:pStyle w:val="Heading2"/>
      </w:pPr>
      <w:bookmarkStart w:name="_Toc106197215" w:id="59"/>
      <w:r>
        <w:t>B.2</w:t>
      </w:r>
      <w:r w:rsidR="00D31E4B">
        <w:t xml:space="preserve"> </w:t>
      </w:r>
      <w:r w:rsidR="0087719A">
        <w:t xml:space="preserve">Procedures for </w:t>
      </w:r>
      <w:r w:rsidR="00EC62CC">
        <w:t>C</w:t>
      </w:r>
      <w:r w:rsidR="0087719A">
        <w:t xml:space="preserve">ollection of </w:t>
      </w:r>
      <w:r w:rsidR="00EC62CC">
        <w:t>I</w:t>
      </w:r>
      <w:r w:rsidR="0087719A">
        <w:t>nformation</w:t>
      </w:r>
      <w:bookmarkEnd w:id="59"/>
      <w:r w:rsidR="0087719A">
        <w:t xml:space="preserve"> </w:t>
      </w:r>
    </w:p>
    <w:p w:rsidR="006E697A" w:rsidP="0087719A" w:rsidRDefault="003A0B6C" w14:paraId="733F348F" w14:textId="7162A7EB">
      <w:r>
        <w:t>All data collection activities are completely voluntary. Th</w:t>
      </w:r>
      <w:r w:rsidR="00E33918">
        <w:t>is is a descriptive study and there</w:t>
      </w:r>
      <w:r w:rsidR="00191708">
        <w:t xml:space="preserve"> is</w:t>
      </w:r>
      <w:r w:rsidR="00E33918">
        <w:t xml:space="preserve"> no required or pre-specified sample size</w:t>
      </w:r>
      <w:r w:rsidR="00F36A7C">
        <w:t xml:space="preserve"> needed</w:t>
      </w:r>
      <w:r w:rsidR="00E33918">
        <w:t xml:space="preserve">. </w:t>
      </w:r>
      <w:r w:rsidR="00191708">
        <w:t>T</w:t>
      </w:r>
      <w:r w:rsidRPr="00191708" w:rsidR="00191708">
        <w:t xml:space="preserve">here </w:t>
      </w:r>
      <w:r w:rsidR="00191708">
        <w:t>will likely</w:t>
      </w:r>
      <w:r w:rsidRPr="00191708" w:rsidR="00191708">
        <w:t xml:space="preserve"> be variation in the number of</w:t>
      </w:r>
      <w:r w:rsidR="00D00C93">
        <w:t xml:space="preserve"> </w:t>
      </w:r>
      <w:r w:rsidRPr="00191708" w:rsidR="00191708">
        <w:t>home visiting programs</w:t>
      </w:r>
      <w:r w:rsidR="00191708">
        <w:t xml:space="preserve"> and</w:t>
      </w:r>
      <w:r w:rsidRPr="00191708" w:rsidR="00191708">
        <w:t xml:space="preserve"> study participants in each community (e.g., some selected communities may have fewer home visitors).</w:t>
      </w:r>
      <w:r w:rsidR="005A4BAF">
        <w:t xml:space="preserve"> </w:t>
      </w:r>
      <w:r w:rsidR="008523B5">
        <w:t>Therefore, t</w:t>
      </w:r>
      <w:r w:rsidR="005A4BAF">
        <w:t xml:space="preserve">he anticipated sample size for each data collection </w:t>
      </w:r>
      <w:r w:rsidR="003C3A79">
        <w:t>activity</w:t>
      </w:r>
      <w:r w:rsidR="008523B5">
        <w:t xml:space="preserve"> will vary.</w:t>
      </w:r>
    </w:p>
    <w:p w:rsidR="006E697A" w:rsidP="0087719A" w:rsidRDefault="006E697A" w14:paraId="006EA7A6" w14:textId="6ED3A6F5">
      <w:r>
        <w:t>For the community interview protocol,</w:t>
      </w:r>
      <w:r w:rsidR="00C33FA7">
        <w:t xml:space="preserve"> </w:t>
      </w:r>
      <w:r w:rsidR="00C33FA7">
        <w:rPr>
          <w:bCs/>
        </w:rPr>
        <w:t xml:space="preserve">the first interview for each case study will be with the MIECHV awardee state or Tribal lead or their designee. The study team will already have been in touch with this </w:t>
      </w:r>
      <w:r w:rsidR="00C33FA7">
        <w:rPr>
          <w:bCs/>
        </w:rPr>
        <w:lastRenderedPageBreak/>
        <w:t>person as part of the case study selection process. The team will use these initial interviews to generate a list of additional key informants who should also be interviewed. In collaboration with the MIECHV lead</w:t>
      </w:r>
      <w:r w:rsidR="00C86A21">
        <w:rPr>
          <w:bCs/>
        </w:rPr>
        <w:t xml:space="preserve"> and LIA staff</w:t>
      </w:r>
      <w:r w:rsidR="00C33FA7">
        <w:rPr>
          <w:bCs/>
        </w:rPr>
        <w:t xml:space="preserve">, the study team will identify the best way to reach out to these informants (e.g., if an email should be sent by the MIECHV lead directly or by the study team). </w:t>
      </w:r>
      <w:r>
        <w:rPr>
          <w:bCs/>
        </w:rPr>
        <w:t>MIECHV leads participating in key informant interviews may also support the identification of potential participants for focus groups</w:t>
      </w:r>
      <w:r w:rsidR="00C33FA7">
        <w:rPr>
          <w:bCs/>
        </w:rPr>
        <w:t>.</w:t>
      </w:r>
    </w:p>
    <w:p w:rsidR="000B4FCB" w:rsidP="0087719A" w:rsidRDefault="000B4FCB" w14:paraId="7F3D77FC" w14:textId="0876EF98">
      <w:r>
        <w:t>For all</w:t>
      </w:r>
      <w:r w:rsidR="006E697A">
        <w:t xml:space="preserve"> other</w:t>
      </w:r>
      <w:r>
        <w:t xml:space="preserve"> data collection</w:t>
      </w:r>
      <w:r w:rsidR="003C3A79">
        <w:t xml:space="preserve"> activities</w:t>
      </w:r>
      <w:r>
        <w:t xml:space="preserve">, </w:t>
      </w:r>
      <w:r w:rsidR="00D00C93">
        <w:rPr>
          <w:bCs/>
        </w:rPr>
        <w:t>t</w:t>
      </w:r>
      <w:r>
        <w:rPr>
          <w:bCs/>
        </w:rPr>
        <w:t>he MIECHV-funded home visiting program</w:t>
      </w:r>
      <w:r w:rsidR="00B535F6">
        <w:rPr>
          <w:bCs/>
        </w:rPr>
        <w:t>(s)</w:t>
      </w:r>
      <w:r>
        <w:rPr>
          <w:bCs/>
        </w:rPr>
        <w:t xml:space="preserve"> in each community will be our main source of recruitment. Once the home visiting programs have been identified, the research team will work closely with program staff to identify families and staff who may be interested in participating in the study. </w:t>
      </w:r>
      <w:r w:rsidR="00A742F4">
        <w:rPr>
          <w:bCs/>
        </w:rPr>
        <w:t xml:space="preserve">Families enrolled in home visiting </w:t>
      </w:r>
      <w:r w:rsidR="00A742F4">
        <w:t xml:space="preserve">would be eligible to participate in focus groups if they had been enrolled for at least 6 months and therefore had an established relationship with their home visitor and familiarity with the program and services provided. </w:t>
      </w:r>
      <w:r>
        <w:rPr>
          <w:bCs/>
        </w:rPr>
        <w:t>Once eligible participants have been identified, they will be informed about the study via flyers (printed and digital) and word-of-mouth from agency staff.</w:t>
      </w:r>
    </w:p>
    <w:p w:rsidR="00426E2C" w:rsidP="002370E7" w:rsidRDefault="00426E2C" w14:paraId="5B2D4436" w14:textId="3F557918">
      <w:pPr>
        <w:pStyle w:val="Heading2"/>
      </w:pPr>
      <w:bookmarkStart w:name="_Toc106197216" w:id="60"/>
      <w:r>
        <w:t xml:space="preserve">B3. Methods to </w:t>
      </w:r>
      <w:r w:rsidR="00EC62CC">
        <w:t>M</w:t>
      </w:r>
      <w:r>
        <w:t xml:space="preserve">aximize </w:t>
      </w:r>
      <w:r w:rsidR="00EC62CC">
        <w:t>R</w:t>
      </w:r>
      <w:r>
        <w:t xml:space="preserve">esponse </w:t>
      </w:r>
      <w:r w:rsidR="00EC62CC">
        <w:t>R</w:t>
      </w:r>
      <w:r>
        <w:t>ates</w:t>
      </w:r>
      <w:bookmarkEnd w:id="60"/>
      <w:r>
        <w:t xml:space="preserve"> </w:t>
      </w:r>
    </w:p>
    <w:p w:rsidR="00837E2D" w:rsidP="00837E2D" w:rsidRDefault="00F84158" w14:paraId="5AFFD943" w14:textId="77777777">
      <w:pPr>
        <w:rPr>
          <w:bCs/>
        </w:rPr>
      </w:pPr>
      <w:r>
        <w:t xml:space="preserve">All data collection activities are completely voluntary. To maximize response rates, </w:t>
      </w:r>
      <w:r w:rsidR="00F36A7C">
        <w:t xml:space="preserve">all staff will </w:t>
      </w:r>
      <w:r w:rsidR="004A3401">
        <w:t xml:space="preserve">be </w:t>
      </w:r>
      <w:r w:rsidR="00844F8E">
        <w:t xml:space="preserve">trained </w:t>
      </w:r>
      <w:r w:rsidR="00215D3D">
        <w:t>on the data collection procedures</w:t>
      </w:r>
      <w:r w:rsidR="008B0DEA">
        <w:t xml:space="preserve"> and procedures and on </w:t>
      </w:r>
      <w:r w:rsidR="00423A04">
        <w:t xml:space="preserve">principles of respondent cooperation. </w:t>
      </w:r>
      <w:r w:rsidR="001C39ED">
        <w:t xml:space="preserve">Other ways the research team plans to maximize response rates </w:t>
      </w:r>
      <w:r w:rsidR="00D447C6">
        <w:t xml:space="preserve">include having designed instruments with questions that are easy to answer and have been pre-tested by </w:t>
      </w:r>
      <w:r w:rsidR="0027124A">
        <w:t xml:space="preserve">appropriate participants for each respective protocol. At the time of data collection, all staff will ensure the confidentiality of responses as appropriate, provide detailed information about </w:t>
      </w:r>
      <w:r w:rsidR="00837E2D">
        <w:t xml:space="preserve">the study, provide an overview to the importance of the study for advancing home visiting’s role in addressing health equity, and provide information about receiving an incentive for participation. </w:t>
      </w:r>
      <w:r w:rsidR="00837E2D">
        <w:rPr>
          <w:bCs/>
        </w:rPr>
        <w:t>In addition, every effort will be made to establish a supportive and respectful relationship with participants, and participants will be reminded that they are free to refrain from answering questions or excuse themselves from participating at any time.</w:t>
      </w:r>
    </w:p>
    <w:p w:rsidR="00FB6F52" w:rsidP="00426E2C" w:rsidRDefault="00837E2D" w14:paraId="59FD89FC" w14:textId="6C35BB00">
      <w:r>
        <w:rPr>
          <w:bCs/>
        </w:rPr>
        <w:t xml:space="preserve">For web-based data collection, email reminders will be sent at two time points to encourage survey completion. </w:t>
      </w:r>
      <w:r w:rsidR="00B55738">
        <w:rPr>
          <w:bCs/>
        </w:rPr>
        <w:t>For in-person data collection, email or text reminders will be sent to remind participants of the appropriate data and time of their focus group or interview.</w:t>
      </w:r>
    </w:p>
    <w:p w:rsidR="00FB6F52" w:rsidP="002370E7" w:rsidRDefault="00FB6F52" w14:paraId="0A9940AF" w14:textId="11F40662">
      <w:pPr>
        <w:pStyle w:val="Heading2"/>
      </w:pPr>
      <w:bookmarkStart w:name="_Toc106197217" w:id="61"/>
      <w:r>
        <w:t xml:space="preserve">B4. Pre-testing </w:t>
      </w:r>
      <w:r w:rsidR="00B1347A">
        <w:t xml:space="preserve">of </w:t>
      </w:r>
      <w:r w:rsidR="00EC62CC">
        <w:t>P</w:t>
      </w:r>
      <w:r w:rsidR="00B1347A">
        <w:t xml:space="preserve">rocedures and </w:t>
      </w:r>
      <w:r w:rsidR="00EC62CC">
        <w:t>M</w:t>
      </w:r>
      <w:r w:rsidR="00B1347A">
        <w:t>ethods</w:t>
      </w:r>
      <w:bookmarkEnd w:id="61"/>
    </w:p>
    <w:p w:rsidR="00FB6F52" w:rsidP="00FB6F52" w:rsidRDefault="00971E73" w14:paraId="0D0DC11F" w14:textId="0C5F1B72">
      <w:r>
        <w:t xml:space="preserve">All of the </w:t>
      </w:r>
      <w:r w:rsidR="00642071">
        <w:t>data collection protocols have been pre-tested</w:t>
      </w:r>
      <w:r w:rsidR="004C15AD">
        <w:t xml:space="preserve"> with the appropriate participants for each respective protocol</w:t>
      </w:r>
      <w:r w:rsidR="00642071">
        <w:t xml:space="preserve">. </w:t>
      </w:r>
      <w:r w:rsidR="001335CF">
        <w:t>No approval was needed for pre-test</w:t>
      </w:r>
      <w:r w:rsidR="000E6808">
        <w:t>ing because e</w:t>
      </w:r>
      <w:r w:rsidR="00FB6F52">
        <w:t xml:space="preserve">ach </w:t>
      </w:r>
      <w:r w:rsidR="00642071">
        <w:t>protocol</w:t>
      </w:r>
      <w:r w:rsidR="00FB6F52">
        <w:t xml:space="preserve"> was conducted with 9 or fewer </w:t>
      </w:r>
      <w:r w:rsidR="00FA02B3">
        <w:t>families,</w:t>
      </w:r>
      <w:r w:rsidR="001335CF">
        <w:t xml:space="preserve"> community leaders,</w:t>
      </w:r>
      <w:r w:rsidR="00FA02B3">
        <w:t xml:space="preserve"> community service providers,</w:t>
      </w:r>
      <w:r w:rsidR="001335CF">
        <w:t xml:space="preserve"> or</w:t>
      </w:r>
      <w:r w:rsidR="00FB6F52">
        <w:t xml:space="preserve"> home visiting staff. </w:t>
      </w:r>
      <w:r w:rsidR="00EF12A4">
        <w:t>T</w:t>
      </w:r>
      <w:r w:rsidR="004B2100">
        <w:t xml:space="preserve">he purpose of </w:t>
      </w:r>
      <w:r w:rsidR="00D50FD0">
        <w:t>pre-testing protocols was to</w:t>
      </w:r>
      <w:r w:rsidR="00586E32">
        <w:t xml:space="preserve"> gather feedb</w:t>
      </w:r>
      <w:r w:rsidR="00544C17">
        <w:t xml:space="preserve">ack from participants </w:t>
      </w:r>
      <w:r w:rsidR="00554A7D">
        <w:t xml:space="preserve">on </w:t>
      </w:r>
      <w:r w:rsidR="008443F2">
        <w:t xml:space="preserve">questions (e.g., </w:t>
      </w:r>
      <w:r w:rsidR="002D0F3D">
        <w:t xml:space="preserve">ease of understanding each </w:t>
      </w:r>
      <w:r w:rsidR="008443F2">
        <w:t>question</w:t>
      </w:r>
      <w:r w:rsidR="00611E9A">
        <w:t xml:space="preserve">) and test out the flow of </w:t>
      </w:r>
      <w:r w:rsidR="001349C5">
        <w:t>the protocols</w:t>
      </w:r>
      <w:r w:rsidR="00611E9A">
        <w:t xml:space="preserve">. </w:t>
      </w:r>
      <w:r w:rsidR="00ED1E81">
        <w:t>F</w:t>
      </w:r>
      <w:r w:rsidR="00611E9A">
        <w:t>eedback</w:t>
      </w:r>
      <w:r w:rsidR="00ED1E81">
        <w:t xml:space="preserve"> from participants </w:t>
      </w:r>
      <w:r w:rsidR="006B10B3">
        <w:t xml:space="preserve">was used to </w:t>
      </w:r>
      <w:r w:rsidR="00621E44">
        <w:t xml:space="preserve">revise questions that were unclear or difficult to answer, add clarification around questions and terminology used, and </w:t>
      </w:r>
      <w:r w:rsidR="007E277C">
        <w:t xml:space="preserve">cut questions to ensure </w:t>
      </w:r>
      <w:r w:rsidR="00A87586">
        <w:t xml:space="preserve">the estimated burden was not </w:t>
      </w:r>
      <w:r w:rsidR="00FB7779">
        <w:t>exceeded.</w:t>
      </w:r>
      <w:r w:rsidR="00C7330E">
        <w:t xml:space="preserve"> Additionally, </w:t>
      </w:r>
      <w:r w:rsidR="008E0E74">
        <w:t xml:space="preserve">pre-testing the survey in an online platform </w:t>
      </w:r>
      <w:r w:rsidR="00B21D91">
        <w:t xml:space="preserve">allowed for </w:t>
      </w:r>
      <w:r w:rsidR="00BB7AB7">
        <w:t>testing of skip logic</w:t>
      </w:r>
      <w:r w:rsidR="008D0E01">
        <w:t>.</w:t>
      </w:r>
      <w:r w:rsidR="003721AF">
        <w:t xml:space="preserve"> Table 6 provides an overview of the revisions made for each data collection form. </w:t>
      </w:r>
    </w:p>
    <w:p w:rsidRPr="003721AF" w:rsidR="00985E36" w:rsidP="003721AF" w:rsidRDefault="003721AF" w14:paraId="579BB822" w14:textId="7884F344">
      <w:pPr>
        <w:pStyle w:val="FigureTitle"/>
        <w:rPr>
          <w:rFonts w:asciiTheme="minorHAnsi" w:hAnsiTheme="minorHAnsi" w:cstheme="minorHAnsi"/>
          <w:sz w:val="22"/>
          <w:szCs w:val="22"/>
        </w:rPr>
      </w:pPr>
      <w:r>
        <w:rPr>
          <w:rFonts w:asciiTheme="minorHAnsi" w:hAnsiTheme="minorHAnsi" w:cstheme="minorHAnsi"/>
          <w:sz w:val="22"/>
          <w:szCs w:val="22"/>
        </w:rPr>
        <w:lastRenderedPageBreak/>
        <w:t>Table 6</w:t>
      </w:r>
      <w:r w:rsidRPr="00EE083E">
        <w:rPr>
          <w:rFonts w:asciiTheme="minorHAnsi" w:hAnsiTheme="minorHAnsi" w:cstheme="minorHAnsi"/>
          <w:sz w:val="22"/>
          <w:szCs w:val="22"/>
        </w:rPr>
        <w:t>.</w:t>
      </w:r>
      <w:r>
        <w:rPr>
          <w:rFonts w:asciiTheme="minorHAnsi" w:hAnsiTheme="minorHAnsi" w:cstheme="minorHAnsi"/>
          <w:sz w:val="22"/>
          <w:szCs w:val="22"/>
        </w:rPr>
        <w:t xml:space="preserve"> Data Collection Protocol Revisions</w:t>
      </w:r>
    </w:p>
    <w:tbl>
      <w:tblPr>
        <w:tblW w:w="5000" w:type="pct"/>
        <w:tblCellMar>
          <w:left w:w="100" w:type="dxa"/>
          <w:right w:w="100" w:type="dxa"/>
        </w:tblCellMar>
        <w:tblLook w:val="0000" w:firstRow="0" w:lastRow="0" w:firstColumn="0" w:lastColumn="0" w:noHBand="0" w:noVBand="0"/>
      </w:tblPr>
      <w:tblGrid>
        <w:gridCol w:w="2289"/>
        <w:gridCol w:w="3530"/>
        <w:gridCol w:w="3530"/>
      </w:tblGrid>
      <w:tr w:rsidRPr="00EE083E" w:rsidR="00C10482" w:rsidTr="00A45F15" w14:paraId="3B7A645E" w14:textId="77777777">
        <w:trPr>
          <w:cantSplit/>
          <w:trHeight w:val="403"/>
          <w:tblHeader/>
        </w:trPr>
        <w:tc>
          <w:tcPr>
            <w:tcW w:w="1224" w:type="pct"/>
            <w:tcBorders>
              <w:top w:val="single" w:color="auto" w:sz="6" w:space="0"/>
              <w:left w:val="single" w:color="auto" w:sz="6" w:space="0"/>
              <w:bottom w:val="double" w:color="auto" w:sz="4" w:space="0"/>
              <w:right w:val="nil"/>
            </w:tcBorders>
          </w:tcPr>
          <w:p w:rsidRPr="003721AF" w:rsidR="00C10482" w:rsidP="00136FEA" w:rsidRDefault="00C10482" w14:paraId="294CE17F" w14:textId="77777777">
            <w:pPr>
              <w:jc w:val="center"/>
              <w:rPr>
                <w:rFonts w:cstheme="minorHAnsi"/>
                <w:b/>
              </w:rPr>
            </w:pPr>
            <w:r w:rsidRPr="003721AF">
              <w:rPr>
                <w:rFonts w:cstheme="minorHAnsi"/>
                <w:b/>
              </w:rPr>
              <w:t>Form Name</w:t>
            </w:r>
          </w:p>
        </w:tc>
        <w:tc>
          <w:tcPr>
            <w:tcW w:w="1888" w:type="pct"/>
            <w:tcBorders>
              <w:top w:val="single" w:color="auto" w:sz="6" w:space="0"/>
              <w:left w:val="single" w:color="auto" w:sz="6" w:space="0"/>
              <w:bottom w:val="double" w:color="auto" w:sz="4" w:space="0"/>
              <w:right w:val="nil"/>
            </w:tcBorders>
          </w:tcPr>
          <w:p w:rsidRPr="003721AF" w:rsidR="00C10482" w:rsidP="00136FEA" w:rsidRDefault="001107DE" w14:paraId="05739E28" w14:textId="2FFBA76D">
            <w:pPr>
              <w:jc w:val="center"/>
              <w:rPr>
                <w:rFonts w:cstheme="minorHAnsi"/>
                <w:b/>
              </w:rPr>
            </w:pPr>
            <w:r w:rsidRPr="003721AF">
              <w:rPr>
                <w:rFonts w:cstheme="minorHAnsi"/>
                <w:b/>
              </w:rPr>
              <w:t>Revisions Resulting from Pre-testing</w:t>
            </w:r>
          </w:p>
        </w:tc>
        <w:tc>
          <w:tcPr>
            <w:tcW w:w="1888" w:type="pct"/>
            <w:tcBorders>
              <w:top w:val="single" w:color="auto" w:sz="6" w:space="0"/>
              <w:left w:val="single" w:color="auto" w:sz="6" w:space="0"/>
              <w:bottom w:val="double" w:color="auto" w:sz="4" w:space="0"/>
              <w:right w:val="single" w:color="auto" w:sz="2" w:space="0"/>
            </w:tcBorders>
          </w:tcPr>
          <w:p w:rsidRPr="003721AF" w:rsidR="00C10482" w:rsidP="00136FEA" w:rsidRDefault="00BA3794" w14:paraId="3F870FEA" w14:textId="444CDAD4">
            <w:pPr>
              <w:jc w:val="center"/>
              <w:rPr>
                <w:rFonts w:cstheme="minorHAnsi"/>
                <w:b/>
              </w:rPr>
            </w:pPr>
            <w:r w:rsidRPr="003721AF">
              <w:rPr>
                <w:rFonts w:cstheme="minorHAnsi"/>
                <w:b/>
              </w:rPr>
              <w:t>Revisions Resulting from Public Comment</w:t>
            </w:r>
          </w:p>
        </w:tc>
      </w:tr>
      <w:tr w:rsidRPr="00EE083E" w:rsidR="00BA3794" w:rsidTr="00E067F7" w14:paraId="2B466CF6" w14:textId="77777777">
        <w:trPr>
          <w:cantSplit/>
          <w:trHeight w:val="403"/>
        </w:trPr>
        <w:tc>
          <w:tcPr>
            <w:tcW w:w="1224" w:type="pct"/>
            <w:tcBorders>
              <w:top w:val="double" w:color="auto" w:sz="4" w:space="0"/>
              <w:left w:val="single" w:color="auto" w:sz="6" w:space="0"/>
              <w:bottom w:val="nil"/>
              <w:right w:val="nil"/>
            </w:tcBorders>
          </w:tcPr>
          <w:p w:rsidRPr="00EE083E" w:rsidR="00BA3794" w:rsidP="00BA3794" w:rsidRDefault="00BA3794" w14:paraId="61693440" w14:textId="76202A0F">
            <w:pPr>
              <w:jc w:val="center"/>
              <w:rPr>
                <w:rFonts w:cstheme="minorHAnsi"/>
                <w:b/>
                <w:bCs/>
              </w:rPr>
            </w:pPr>
            <w:r w:rsidRPr="00EE083E">
              <w:rPr>
                <w:rFonts w:cstheme="minorHAnsi"/>
                <w:b/>
                <w:bCs/>
              </w:rPr>
              <w:t xml:space="preserve">Community Interview Protocol   </w:t>
            </w:r>
          </w:p>
        </w:tc>
        <w:tc>
          <w:tcPr>
            <w:tcW w:w="1888" w:type="pct"/>
            <w:tcBorders>
              <w:top w:val="double" w:color="auto" w:sz="4" w:space="0"/>
              <w:left w:val="single" w:color="auto" w:sz="6" w:space="0"/>
              <w:bottom w:val="single" w:color="auto" w:sz="6" w:space="0"/>
              <w:right w:val="nil"/>
            </w:tcBorders>
            <w:shd w:val="clear" w:color="auto" w:fill="auto"/>
            <w:vAlign w:val="bottom"/>
          </w:tcPr>
          <w:p w:rsidR="009D291D" w:rsidP="00BA3794" w:rsidRDefault="00140673" w14:paraId="206F25C3" w14:textId="3C9FA232">
            <w:pPr>
              <w:rPr>
                <w:rFonts w:cstheme="minorHAnsi"/>
              </w:rPr>
            </w:pPr>
            <w:r>
              <w:rPr>
                <w:rFonts w:cstheme="minorHAnsi"/>
              </w:rPr>
              <w:t>Cut questions from ‘Home visiting response to COVID-19’ due to participant burden and due to over</w:t>
            </w:r>
            <w:r w:rsidR="00904DC1">
              <w:rPr>
                <w:rFonts w:cstheme="minorHAnsi"/>
              </w:rPr>
              <w:t>lap in community focus group guide and survey instrument.</w:t>
            </w:r>
          </w:p>
          <w:p w:rsidRPr="00EE083E" w:rsidR="00BA3794" w:rsidP="00BA3794" w:rsidRDefault="00871D12" w14:paraId="1C066DBE" w14:textId="5A4DAC10">
            <w:pPr>
              <w:rPr>
                <w:rFonts w:cstheme="minorHAnsi"/>
              </w:rPr>
            </w:pPr>
            <w:r>
              <w:rPr>
                <w:rFonts w:cstheme="minorHAnsi"/>
              </w:rPr>
              <w:t xml:space="preserve">Reduced </w:t>
            </w:r>
            <w:r w:rsidR="00197FFD">
              <w:rPr>
                <w:rFonts w:cstheme="minorHAnsi"/>
              </w:rPr>
              <w:t xml:space="preserve">questions </w:t>
            </w:r>
            <w:r w:rsidR="00FD0727">
              <w:rPr>
                <w:rFonts w:cstheme="minorHAnsi"/>
              </w:rPr>
              <w:t>in ‘Community strengths and challenges’ to reduce participant burden.</w:t>
            </w:r>
          </w:p>
        </w:tc>
        <w:tc>
          <w:tcPr>
            <w:tcW w:w="1888" w:type="pct"/>
            <w:tcBorders>
              <w:top w:val="double" w:color="auto" w:sz="4" w:space="0"/>
              <w:left w:val="single" w:color="auto" w:sz="6" w:space="0"/>
              <w:bottom w:val="single" w:color="auto" w:sz="6" w:space="0"/>
              <w:right w:val="single" w:color="auto" w:sz="2" w:space="0"/>
            </w:tcBorders>
            <w:shd w:val="clear" w:color="auto" w:fill="auto"/>
            <w:vAlign w:val="center"/>
          </w:tcPr>
          <w:p w:rsidRPr="00EE083E" w:rsidR="00BA3794" w:rsidP="003721AF" w:rsidRDefault="006D5421" w14:paraId="3DACDA7B" w14:textId="126980B9">
            <w:pPr>
              <w:rPr>
                <w:rFonts w:cstheme="minorHAnsi"/>
              </w:rPr>
            </w:pPr>
            <w:r>
              <w:rPr>
                <w:rFonts w:cstheme="minorHAnsi"/>
              </w:rPr>
              <w:t>Reduced</w:t>
            </w:r>
            <w:r w:rsidR="005C3C1E">
              <w:rPr>
                <w:rFonts w:cstheme="minorHAnsi"/>
              </w:rPr>
              <w:t xml:space="preserve"> </w:t>
            </w:r>
            <w:r w:rsidR="00D90F16">
              <w:rPr>
                <w:rFonts w:cstheme="minorHAnsi"/>
              </w:rPr>
              <w:t xml:space="preserve">questions about participants’ </w:t>
            </w:r>
            <w:r>
              <w:rPr>
                <w:rFonts w:cstheme="minorHAnsi"/>
              </w:rPr>
              <w:t>familiarity with state and community-level policies and their impact on families.</w:t>
            </w:r>
          </w:p>
        </w:tc>
      </w:tr>
      <w:tr w:rsidRPr="00EE083E" w:rsidR="0099378C" w:rsidTr="00E067F7" w14:paraId="0FE92816" w14:textId="77777777">
        <w:trPr>
          <w:cantSplit/>
          <w:trHeight w:val="403"/>
        </w:trPr>
        <w:tc>
          <w:tcPr>
            <w:tcW w:w="1224" w:type="pct"/>
            <w:tcBorders>
              <w:top w:val="double" w:color="auto" w:sz="4" w:space="0"/>
              <w:left w:val="single" w:color="auto" w:sz="6" w:space="0"/>
              <w:bottom w:val="nil"/>
              <w:right w:val="nil"/>
            </w:tcBorders>
          </w:tcPr>
          <w:p w:rsidRPr="00EE083E" w:rsidR="0099378C" w:rsidP="00BA3794" w:rsidRDefault="0099378C" w14:paraId="38608F1E" w14:textId="5C1B1A9E">
            <w:pPr>
              <w:jc w:val="center"/>
              <w:rPr>
                <w:rFonts w:cstheme="minorHAnsi"/>
                <w:b/>
                <w:bCs/>
              </w:rPr>
            </w:pPr>
            <w:r w:rsidRPr="00EE083E">
              <w:rPr>
                <w:rFonts w:cstheme="minorHAnsi"/>
                <w:b/>
                <w:bCs/>
              </w:rPr>
              <w:t xml:space="preserve">Family and Community Focus Group Guide  </w:t>
            </w:r>
          </w:p>
        </w:tc>
        <w:tc>
          <w:tcPr>
            <w:tcW w:w="3776" w:type="pct"/>
            <w:gridSpan w:val="2"/>
            <w:tcBorders>
              <w:top w:val="double" w:color="auto" w:sz="4" w:space="0"/>
              <w:left w:val="single" w:color="auto" w:sz="6" w:space="0"/>
              <w:bottom w:val="single" w:color="auto" w:sz="6" w:space="0"/>
              <w:right w:val="single" w:color="auto" w:sz="2" w:space="0"/>
            </w:tcBorders>
            <w:shd w:val="clear" w:color="auto" w:fill="auto"/>
            <w:vAlign w:val="bottom"/>
          </w:tcPr>
          <w:p w:rsidR="0099378C" w:rsidP="004A029F" w:rsidRDefault="0099378C" w14:paraId="43117603" w14:textId="77777777">
            <w:pPr>
              <w:jc w:val="center"/>
              <w:rPr>
                <w:rFonts w:cstheme="minorHAnsi"/>
              </w:rPr>
            </w:pPr>
          </w:p>
        </w:tc>
      </w:tr>
      <w:tr w:rsidRPr="00EE083E" w:rsidR="00BA3794" w:rsidTr="00E067F7" w14:paraId="4C5C7CFE" w14:textId="77777777">
        <w:trPr>
          <w:cantSplit/>
          <w:trHeight w:val="403"/>
        </w:trPr>
        <w:tc>
          <w:tcPr>
            <w:tcW w:w="1224" w:type="pct"/>
            <w:tcBorders>
              <w:top w:val="single" w:color="auto" w:sz="6" w:space="0"/>
              <w:left w:val="single" w:color="auto" w:sz="6" w:space="0"/>
              <w:bottom w:val="single" w:color="auto" w:sz="6" w:space="0"/>
              <w:right w:val="nil"/>
            </w:tcBorders>
          </w:tcPr>
          <w:p w:rsidRPr="0099378C" w:rsidR="00BA3794" w:rsidP="00BA3794" w:rsidRDefault="00BA3794" w14:paraId="47CEEFC2" w14:textId="70B2B818">
            <w:pPr>
              <w:jc w:val="center"/>
              <w:rPr>
                <w:rFonts w:cstheme="minorHAnsi"/>
              </w:rPr>
            </w:pPr>
            <w:r w:rsidRPr="0099378C">
              <w:rPr>
                <w:rFonts w:cstheme="minorHAnsi"/>
              </w:rPr>
              <w:t xml:space="preserve">Family Focus Group Guide  </w:t>
            </w:r>
          </w:p>
        </w:tc>
        <w:tc>
          <w:tcPr>
            <w:tcW w:w="1888" w:type="pct"/>
            <w:tcBorders>
              <w:top w:val="single" w:color="auto" w:sz="6" w:space="0"/>
              <w:left w:val="single" w:color="auto" w:sz="6" w:space="0"/>
              <w:bottom w:val="single" w:color="auto" w:sz="6" w:space="0"/>
              <w:right w:val="nil"/>
            </w:tcBorders>
            <w:shd w:val="clear" w:color="auto" w:fill="auto"/>
            <w:vAlign w:val="bottom"/>
          </w:tcPr>
          <w:p w:rsidR="004E5C71" w:rsidP="004E5C71" w:rsidRDefault="00956B92" w14:paraId="4EE46BD8" w14:textId="37B7696D">
            <w:pPr>
              <w:rPr>
                <w:rFonts w:cstheme="minorHAnsi"/>
              </w:rPr>
            </w:pPr>
            <w:r>
              <w:rPr>
                <w:rFonts w:cstheme="minorHAnsi"/>
              </w:rPr>
              <w:t>Added disclaimer</w:t>
            </w:r>
            <w:r w:rsidR="00E650E2">
              <w:rPr>
                <w:rFonts w:cstheme="minorHAnsi"/>
              </w:rPr>
              <w:t xml:space="preserve">s </w:t>
            </w:r>
            <w:r w:rsidR="00B65F0C">
              <w:rPr>
                <w:rFonts w:cstheme="minorHAnsi"/>
              </w:rPr>
              <w:t xml:space="preserve">to ensure participant comfort </w:t>
            </w:r>
            <w:r w:rsidR="00A176E7">
              <w:rPr>
                <w:rFonts w:cstheme="minorHAnsi"/>
              </w:rPr>
              <w:t>in answering sensitive questions (e.g., around COVID-19 vaccinations).</w:t>
            </w:r>
          </w:p>
          <w:p w:rsidR="0045483C" w:rsidP="004E5C71" w:rsidRDefault="0045483C" w14:paraId="05EF0D52" w14:textId="77777777">
            <w:pPr>
              <w:rPr>
                <w:rFonts w:cstheme="minorHAnsi"/>
              </w:rPr>
            </w:pPr>
            <w:r>
              <w:rPr>
                <w:rFonts w:cstheme="minorHAnsi"/>
              </w:rPr>
              <w:t>Added clarification around terminology (e.g., structural racism).</w:t>
            </w:r>
          </w:p>
          <w:p w:rsidR="009D39CB" w:rsidP="004E5C71" w:rsidRDefault="009D39CB" w14:paraId="0829CC1D" w14:textId="77777777">
            <w:pPr>
              <w:rPr>
                <w:rFonts w:cstheme="minorHAnsi"/>
              </w:rPr>
            </w:pPr>
            <w:r>
              <w:rPr>
                <w:rFonts w:cstheme="minorHAnsi"/>
              </w:rPr>
              <w:t>Cut questions around enrollment</w:t>
            </w:r>
            <w:r w:rsidR="00941236">
              <w:rPr>
                <w:rFonts w:cstheme="minorHAnsi"/>
              </w:rPr>
              <w:t xml:space="preserve"> </w:t>
            </w:r>
            <w:r w:rsidR="00FB258A">
              <w:rPr>
                <w:rFonts w:cstheme="minorHAnsi"/>
              </w:rPr>
              <w:t>to reduce participant burden</w:t>
            </w:r>
            <w:r w:rsidR="00AD00DF">
              <w:rPr>
                <w:rFonts w:cstheme="minorHAnsi"/>
              </w:rPr>
              <w:t>.</w:t>
            </w:r>
          </w:p>
          <w:p w:rsidRPr="00EE083E" w:rsidR="00BA3794" w:rsidP="00BA3794" w:rsidRDefault="00FA65C2" w14:paraId="2DC39B85" w14:textId="7643B448">
            <w:pPr>
              <w:rPr>
                <w:rFonts w:cstheme="minorHAnsi"/>
              </w:rPr>
            </w:pPr>
            <w:r>
              <w:rPr>
                <w:rFonts w:cstheme="minorHAnsi"/>
              </w:rPr>
              <w:t xml:space="preserve">Revised </w:t>
            </w:r>
            <w:r w:rsidR="006F05BE">
              <w:rPr>
                <w:rFonts w:cstheme="minorHAnsi"/>
              </w:rPr>
              <w:t>‘</w:t>
            </w:r>
            <w:r w:rsidR="00DD48F9">
              <w:rPr>
                <w:rFonts w:cstheme="minorHAnsi"/>
              </w:rPr>
              <w:t>Family</w:t>
            </w:r>
            <w:r>
              <w:rPr>
                <w:rFonts w:cstheme="minorHAnsi"/>
              </w:rPr>
              <w:t xml:space="preserve"> </w:t>
            </w:r>
            <w:r w:rsidR="006F05BE">
              <w:rPr>
                <w:rFonts w:cstheme="minorHAnsi"/>
              </w:rPr>
              <w:t>network</w:t>
            </w:r>
            <w:r>
              <w:rPr>
                <w:rFonts w:cstheme="minorHAnsi"/>
              </w:rPr>
              <w:t xml:space="preserve"> mapping activity</w:t>
            </w:r>
            <w:r w:rsidR="006F05BE">
              <w:rPr>
                <w:rFonts w:cstheme="minorHAnsi"/>
              </w:rPr>
              <w:t>’</w:t>
            </w:r>
            <w:r>
              <w:rPr>
                <w:rFonts w:cstheme="minorHAnsi"/>
              </w:rPr>
              <w:t xml:space="preserve"> to reduce participant burden.</w:t>
            </w:r>
          </w:p>
        </w:tc>
        <w:tc>
          <w:tcPr>
            <w:tcW w:w="1888" w:type="pct"/>
            <w:tcBorders>
              <w:top w:val="single" w:color="auto" w:sz="6" w:space="0"/>
              <w:left w:val="single" w:color="auto" w:sz="6" w:space="0"/>
              <w:bottom w:val="single" w:color="auto" w:sz="6" w:space="0"/>
              <w:right w:val="single" w:color="auto" w:sz="2" w:space="0"/>
            </w:tcBorders>
            <w:shd w:val="clear" w:color="auto" w:fill="auto"/>
            <w:vAlign w:val="center"/>
          </w:tcPr>
          <w:p w:rsidRPr="00EE083E" w:rsidR="00BA3794" w:rsidP="003721AF" w:rsidRDefault="00D12967" w14:paraId="4431FA4F" w14:textId="112A4CB4">
            <w:pPr>
              <w:rPr>
                <w:rFonts w:cstheme="minorHAnsi"/>
              </w:rPr>
            </w:pPr>
            <w:r>
              <w:rPr>
                <w:rFonts w:cstheme="minorHAnsi"/>
              </w:rPr>
              <w:t>Reduced overall length of guide to reduce participant burden.</w:t>
            </w:r>
          </w:p>
        </w:tc>
      </w:tr>
      <w:tr w:rsidRPr="00EE083E" w:rsidR="00827DCD" w:rsidTr="00E067F7" w14:paraId="0CA15C2D" w14:textId="77777777">
        <w:trPr>
          <w:cantSplit/>
          <w:trHeight w:val="403"/>
        </w:trPr>
        <w:tc>
          <w:tcPr>
            <w:tcW w:w="1224" w:type="pct"/>
            <w:tcBorders>
              <w:top w:val="single" w:color="auto" w:sz="6" w:space="0"/>
              <w:left w:val="single" w:color="auto" w:sz="6" w:space="0"/>
              <w:bottom w:val="single" w:color="auto" w:sz="6" w:space="0"/>
              <w:right w:val="nil"/>
            </w:tcBorders>
          </w:tcPr>
          <w:p w:rsidRPr="0099378C" w:rsidR="00827DCD" w:rsidP="004E5C71" w:rsidRDefault="00827DCD" w14:paraId="65997AA8" w14:textId="4F079382">
            <w:pPr>
              <w:jc w:val="center"/>
              <w:rPr>
                <w:rFonts w:cstheme="minorHAnsi"/>
              </w:rPr>
            </w:pPr>
            <w:r w:rsidRPr="0099378C">
              <w:rPr>
                <w:rFonts w:cstheme="minorHAnsi"/>
              </w:rPr>
              <w:t xml:space="preserve">Community Focus Group Guide  </w:t>
            </w:r>
          </w:p>
        </w:tc>
        <w:tc>
          <w:tcPr>
            <w:tcW w:w="1888" w:type="pct"/>
            <w:tcBorders>
              <w:top w:val="single" w:color="auto" w:sz="6" w:space="0"/>
              <w:left w:val="single" w:color="auto" w:sz="6" w:space="0"/>
              <w:bottom w:val="single" w:color="auto" w:sz="6" w:space="0"/>
              <w:right w:val="nil"/>
            </w:tcBorders>
            <w:shd w:val="clear" w:color="auto" w:fill="auto"/>
            <w:vAlign w:val="bottom"/>
          </w:tcPr>
          <w:p w:rsidR="00F10FCA" w:rsidP="00F10FCA" w:rsidRDefault="00F10FCA" w14:paraId="781A73B6" w14:textId="77777777">
            <w:pPr>
              <w:rPr>
                <w:rFonts w:cstheme="minorHAnsi"/>
              </w:rPr>
            </w:pPr>
            <w:r>
              <w:rPr>
                <w:rFonts w:cstheme="minorHAnsi"/>
              </w:rPr>
              <w:t>Cut questions from ‘Experiences during COVID-19’ to reduce participant burden and due to overlap with the survey instrument.</w:t>
            </w:r>
          </w:p>
          <w:p w:rsidR="00827DCD" w:rsidP="004E5C71" w:rsidRDefault="00F10FCA" w14:paraId="4C0361A3" w14:textId="47230573">
            <w:pPr>
              <w:rPr>
                <w:rFonts w:cstheme="minorHAnsi"/>
              </w:rPr>
            </w:pPr>
            <w:r>
              <w:rPr>
                <w:rFonts w:cstheme="minorHAnsi"/>
              </w:rPr>
              <w:t xml:space="preserve">Revised </w:t>
            </w:r>
            <w:r w:rsidR="006F05BE">
              <w:rPr>
                <w:rFonts w:cstheme="minorHAnsi"/>
              </w:rPr>
              <w:t xml:space="preserve">‘Provider </w:t>
            </w:r>
            <w:r>
              <w:rPr>
                <w:rFonts w:cstheme="minorHAnsi"/>
              </w:rPr>
              <w:t>systems mapping activity</w:t>
            </w:r>
            <w:r w:rsidR="006F05BE">
              <w:rPr>
                <w:rFonts w:cstheme="minorHAnsi"/>
              </w:rPr>
              <w:t>’</w:t>
            </w:r>
            <w:r>
              <w:rPr>
                <w:rFonts w:cstheme="minorHAnsi"/>
              </w:rPr>
              <w:t xml:space="preserve"> to reduce participant burden.</w:t>
            </w:r>
          </w:p>
        </w:tc>
        <w:tc>
          <w:tcPr>
            <w:tcW w:w="1888" w:type="pct"/>
            <w:tcBorders>
              <w:top w:val="single" w:color="auto" w:sz="6" w:space="0"/>
              <w:left w:val="single" w:color="auto" w:sz="6" w:space="0"/>
              <w:bottom w:val="single" w:color="auto" w:sz="6" w:space="0"/>
              <w:right w:val="single" w:color="auto" w:sz="2" w:space="0"/>
            </w:tcBorders>
            <w:shd w:val="clear" w:color="auto" w:fill="auto"/>
            <w:vAlign w:val="center"/>
          </w:tcPr>
          <w:p w:rsidR="00827DCD" w:rsidP="003721AF" w:rsidRDefault="00BE276A" w14:paraId="38C5858E" w14:textId="43FE8BAE">
            <w:pPr>
              <w:rPr>
                <w:rFonts w:cstheme="minorHAnsi"/>
              </w:rPr>
            </w:pPr>
            <w:r>
              <w:rPr>
                <w:rFonts w:cstheme="minorHAnsi"/>
              </w:rPr>
              <w:t>Reduced overall length of guide to reduce participant burden.</w:t>
            </w:r>
          </w:p>
        </w:tc>
      </w:tr>
      <w:tr w:rsidRPr="00EE083E" w:rsidR="00BA3794" w:rsidTr="00E067F7" w14:paraId="79FD7631" w14:textId="77777777">
        <w:trPr>
          <w:cantSplit/>
          <w:trHeight w:val="403"/>
        </w:trPr>
        <w:tc>
          <w:tcPr>
            <w:tcW w:w="1224" w:type="pct"/>
            <w:tcBorders>
              <w:top w:val="single" w:color="auto" w:sz="6" w:space="0"/>
              <w:left w:val="single" w:color="auto" w:sz="6" w:space="0"/>
              <w:bottom w:val="single" w:color="auto" w:sz="6" w:space="0"/>
              <w:right w:val="nil"/>
            </w:tcBorders>
          </w:tcPr>
          <w:p w:rsidRPr="00EE083E" w:rsidR="00BA3794" w:rsidP="00BA3794" w:rsidRDefault="00BA3794" w14:paraId="222AA382" w14:textId="17AA4466">
            <w:pPr>
              <w:jc w:val="center"/>
              <w:rPr>
                <w:rFonts w:cstheme="minorHAnsi"/>
                <w:b/>
                <w:bCs/>
              </w:rPr>
            </w:pPr>
            <w:r w:rsidRPr="00EE083E">
              <w:rPr>
                <w:rFonts w:cstheme="minorHAnsi"/>
                <w:b/>
                <w:bCs/>
              </w:rPr>
              <w:lastRenderedPageBreak/>
              <w:t>Community and Home Visitor Survey Instrument</w:t>
            </w:r>
          </w:p>
        </w:tc>
        <w:tc>
          <w:tcPr>
            <w:tcW w:w="1888" w:type="pct"/>
            <w:tcBorders>
              <w:top w:val="single" w:color="auto" w:sz="6" w:space="0"/>
              <w:left w:val="single" w:color="auto" w:sz="6" w:space="0"/>
              <w:bottom w:val="single" w:color="auto" w:sz="6" w:space="0"/>
              <w:right w:val="nil"/>
            </w:tcBorders>
            <w:shd w:val="clear" w:color="auto" w:fill="auto"/>
            <w:vAlign w:val="bottom"/>
          </w:tcPr>
          <w:p w:rsidR="004E5C71" w:rsidP="004E5C71" w:rsidRDefault="0058318B" w14:paraId="33F4CB13" w14:textId="77777777">
            <w:pPr>
              <w:rPr>
                <w:szCs w:val="20"/>
              </w:rPr>
            </w:pPr>
            <w:r>
              <w:rPr>
                <w:szCs w:val="20"/>
              </w:rPr>
              <w:t xml:space="preserve">Added </w:t>
            </w:r>
            <w:r w:rsidR="002523BA">
              <w:rPr>
                <w:szCs w:val="20"/>
              </w:rPr>
              <w:t>additional response options</w:t>
            </w:r>
            <w:r w:rsidR="009C7F3E">
              <w:rPr>
                <w:szCs w:val="20"/>
              </w:rPr>
              <w:t xml:space="preserve"> </w:t>
            </w:r>
            <w:r w:rsidR="009A4E97">
              <w:rPr>
                <w:szCs w:val="20"/>
              </w:rPr>
              <w:t>to better understand range of</w:t>
            </w:r>
            <w:r w:rsidR="00670CBF">
              <w:rPr>
                <w:szCs w:val="20"/>
              </w:rPr>
              <w:t xml:space="preserve"> </w:t>
            </w:r>
            <w:r w:rsidR="009A4E97">
              <w:rPr>
                <w:szCs w:val="20"/>
              </w:rPr>
              <w:t>experiences.</w:t>
            </w:r>
            <w:r w:rsidR="00CA2757">
              <w:rPr>
                <w:szCs w:val="20"/>
              </w:rPr>
              <w:t xml:space="preserve"> Added </w:t>
            </w:r>
            <w:r w:rsidR="00DE7C2F">
              <w:rPr>
                <w:szCs w:val="20"/>
              </w:rPr>
              <w:t xml:space="preserve">additional open-ended question at the end of the survey for participants to elaborate on </w:t>
            </w:r>
            <w:r w:rsidR="00B3279A">
              <w:rPr>
                <w:szCs w:val="20"/>
              </w:rPr>
              <w:t>survey items.</w:t>
            </w:r>
          </w:p>
          <w:p w:rsidR="00D20934" w:rsidP="004E5C71" w:rsidRDefault="00D20934" w14:paraId="22E7F12B" w14:textId="131B2DE9">
            <w:pPr>
              <w:rPr>
                <w:szCs w:val="20"/>
              </w:rPr>
            </w:pPr>
            <w:r>
              <w:rPr>
                <w:szCs w:val="20"/>
              </w:rPr>
              <w:t>Revised items</w:t>
            </w:r>
            <w:r w:rsidR="001B0B55">
              <w:rPr>
                <w:szCs w:val="20"/>
              </w:rPr>
              <w:t xml:space="preserve"> and instructions</w:t>
            </w:r>
            <w:r>
              <w:rPr>
                <w:szCs w:val="20"/>
              </w:rPr>
              <w:t xml:space="preserve"> for clarity across survey.</w:t>
            </w:r>
          </w:p>
          <w:p w:rsidR="005152F9" w:rsidP="004E5C71" w:rsidRDefault="005152F9" w14:paraId="44FF7D1A" w14:textId="630EC874">
            <w:pPr>
              <w:rPr>
                <w:szCs w:val="20"/>
              </w:rPr>
            </w:pPr>
            <w:r>
              <w:rPr>
                <w:szCs w:val="20"/>
              </w:rPr>
              <w:t xml:space="preserve">Added item </w:t>
            </w:r>
            <w:r w:rsidR="00E61974">
              <w:rPr>
                <w:szCs w:val="20"/>
              </w:rPr>
              <w:t>about referral practices</w:t>
            </w:r>
            <w:r w:rsidR="00AC5649">
              <w:rPr>
                <w:szCs w:val="20"/>
              </w:rPr>
              <w:t xml:space="preserve"> that was removed from Community Interview Protocol.</w:t>
            </w:r>
          </w:p>
          <w:p w:rsidRPr="00800904" w:rsidR="00BA3794" w:rsidP="00BA3794" w:rsidRDefault="008D2BCB" w14:paraId="58CF7835" w14:textId="506F6EE7">
            <w:pPr>
              <w:rPr>
                <w:szCs w:val="20"/>
              </w:rPr>
            </w:pPr>
            <w:r>
              <w:rPr>
                <w:szCs w:val="20"/>
              </w:rPr>
              <w:t xml:space="preserve">Cut questions from ‘Organizational Collaboration’ </w:t>
            </w:r>
            <w:r w:rsidR="00712613">
              <w:rPr>
                <w:szCs w:val="20"/>
              </w:rPr>
              <w:t>to reduce participant burden.</w:t>
            </w:r>
          </w:p>
        </w:tc>
        <w:tc>
          <w:tcPr>
            <w:tcW w:w="1888" w:type="pct"/>
            <w:tcBorders>
              <w:top w:val="single" w:color="auto" w:sz="6" w:space="0"/>
              <w:left w:val="single" w:color="auto" w:sz="6" w:space="0"/>
              <w:bottom w:val="single" w:color="auto" w:sz="6" w:space="0"/>
              <w:right w:val="single" w:color="auto" w:sz="2" w:space="0"/>
            </w:tcBorders>
            <w:shd w:val="clear" w:color="auto" w:fill="auto"/>
            <w:vAlign w:val="center"/>
          </w:tcPr>
          <w:p w:rsidR="00B66E12" w:rsidP="003721AF" w:rsidRDefault="009D36D0" w14:paraId="59E27880" w14:textId="77777777">
            <w:pPr>
              <w:rPr>
                <w:szCs w:val="20"/>
              </w:rPr>
            </w:pPr>
            <w:r>
              <w:rPr>
                <w:szCs w:val="20"/>
              </w:rPr>
              <w:t xml:space="preserve">Added response options </w:t>
            </w:r>
            <w:r w:rsidR="00207526">
              <w:rPr>
                <w:szCs w:val="20"/>
              </w:rPr>
              <w:t>to question</w:t>
            </w:r>
            <w:r w:rsidR="00F87FF5">
              <w:rPr>
                <w:szCs w:val="20"/>
              </w:rPr>
              <w:t>s</w:t>
            </w:r>
            <w:r w:rsidR="00B66E12">
              <w:rPr>
                <w:szCs w:val="20"/>
              </w:rPr>
              <w:t>.</w:t>
            </w:r>
          </w:p>
          <w:p w:rsidRPr="00800904" w:rsidR="00BA3794" w:rsidP="003721AF" w:rsidRDefault="00415E02" w14:paraId="2A437C1F" w14:textId="3FC3AD9D">
            <w:pPr>
              <w:rPr>
                <w:szCs w:val="20"/>
              </w:rPr>
            </w:pPr>
            <w:r>
              <w:rPr>
                <w:szCs w:val="20"/>
              </w:rPr>
              <w:t xml:space="preserve">Revised wording on </w:t>
            </w:r>
            <w:r w:rsidR="00291CE9">
              <w:rPr>
                <w:szCs w:val="20"/>
              </w:rPr>
              <w:t>questions to ensure clarity.</w:t>
            </w:r>
            <w:r w:rsidR="00864867">
              <w:rPr>
                <w:szCs w:val="20"/>
              </w:rPr>
              <w:t xml:space="preserve"> Ensured consistent terminology used across survey.</w:t>
            </w:r>
          </w:p>
        </w:tc>
      </w:tr>
      <w:tr w:rsidRPr="00EE083E" w:rsidR="00BA3794" w:rsidTr="00E067F7" w14:paraId="1443F42B" w14:textId="77777777">
        <w:trPr>
          <w:cantSplit/>
          <w:trHeight w:val="403"/>
        </w:trPr>
        <w:tc>
          <w:tcPr>
            <w:tcW w:w="1224" w:type="pct"/>
            <w:tcBorders>
              <w:top w:val="single" w:color="auto" w:sz="6" w:space="0"/>
              <w:left w:val="single" w:color="auto" w:sz="6" w:space="0"/>
              <w:bottom w:val="single" w:color="auto" w:sz="6" w:space="0"/>
              <w:right w:val="nil"/>
            </w:tcBorders>
          </w:tcPr>
          <w:p w:rsidRPr="00EE083E" w:rsidR="00BA3794" w:rsidP="00BA3794" w:rsidRDefault="00BA3794" w14:paraId="5723E708" w14:textId="7A0EBF5D">
            <w:pPr>
              <w:jc w:val="center"/>
              <w:rPr>
                <w:rFonts w:cstheme="minorHAnsi"/>
                <w:b/>
                <w:bCs/>
              </w:rPr>
            </w:pPr>
            <w:r w:rsidRPr="00EE083E">
              <w:rPr>
                <w:rFonts w:cstheme="minorHAnsi"/>
                <w:b/>
                <w:bCs/>
              </w:rPr>
              <w:t>Program Data</w:t>
            </w:r>
          </w:p>
        </w:tc>
        <w:tc>
          <w:tcPr>
            <w:tcW w:w="1888" w:type="pct"/>
            <w:tcBorders>
              <w:top w:val="single" w:color="auto" w:sz="6" w:space="0"/>
              <w:left w:val="single" w:color="auto" w:sz="6" w:space="0"/>
              <w:bottom w:val="single" w:color="auto" w:sz="6" w:space="0"/>
              <w:right w:val="nil"/>
            </w:tcBorders>
            <w:shd w:val="clear" w:color="auto" w:fill="auto"/>
            <w:vAlign w:val="bottom"/>
          </w:tcPr>
          <w:p w:rsidRPr="00D424D3" w:rsidR="00A14A32" w:rsidP="00BA3794" w:rsidRDefault="004F678D" w14:paraId="4549A224" w14:textId="109FF2FF">
            <w:pPr>
              <w:rPr>
                <w:szCs w:val="20"/>
                <w:vertAlign w:val="superscript"/>
              </w:rPr>
            </w:pPr>
            <w:r>
              <w:rPr>
                <w:szCs w:val="20"/>
              </w:rPr>
              <w:t xml:space="preserve">Revised </w:t>
            </w:r>
            <w:r w:rsidR="00A14A32">
              <w:rPr>
                <w:szCs w:val="20"/>
              </w:rPr>
              <w:t>to include terminology included in HRSA Form 1 data collection.</w:t>
            </w:r>
            <w:r w:rsidR="00D424D3">
              <w:rPr>
                <w:szCs w:val="20"/>
                <w:vertAlign w:val="superscript"/>
              </w:rPr>
              <w:t>1</w:t>
            </w:r>
          </w:p>
          <w:p w:rsidR="00EF36B1" w:rsidP="00BA3794" w:rsidRDefault="00EF36B1" w14:paraId="13ADB689" w14:textId="2ECCC2E2">
            <w:pPr>
              <w:rPr>
                <w:szCs w:val="20"/>
              </w:rPr>
            </w:pPr>
            <w:r>
              <w:rPr>
                <w:szCs w:val="20"/>
              </w:rPr>
              <w:t xml:space="preserve">Added questions to </w:t>
            </w:r>
            <w:r w:rsidR="00300F0F">
              <w:rPr>
                <w:szCs w:val="20"/>
              </w:rPr>
              <w:t>clarify each program’s existing data categories.</w:t>
            </w:r>
          </w:p>
          <w:p w:rsidRPr="00800904" w:rsidR="004F678D" w:rsidP="00BA3794" w:rsidRDefault="004F678D" w14:paraId="1763139F" w14:textId="56DE3999">
            <w:pPr>
              <w:rPr>
                <w:szCs w:val="20"/>
              </w:rPr>
            </w:pPr>
            <w:r>
              <w:rPr>
                <w:szCs w:val="20"/>
              </w:rPr>
              <w:t xml:space="preserve">Increased estimated burden </w:t>
            </w:r>
            <w:r w:rsidR="007B1AC7">
              <w:rPr>
                <w:szCs w:val="20"/>
              </w:rPr>
              <w:t>for completion.</w:t>
            </w:r>
          </w:p>
        </w:tc>
        <w:tc>
          <w:tcPr>
            <w:tcW w:w="1888" w:type="pct"/>
            <w:tcBorders>
              <w:top w:val="single" w:color="auto" w:sz="6" w:space="0"/>
              <w:left w:val="single" w:color="auto" w:sz="6" w:space="0"/>
              <w:bottom w:val="single" w:color="auto" w:sz="6" w:space="0"/>
              <w:right w:val="single" w:color="auto" w:sz="2" w:space="0"/>
            </w:tcBorders>
            <w:shd w:val="clear" w:color="auto" w:fill="auto"/>
            <w:vAlign w:val="bottom"/>
          </w:tcPr>
          <w:p w:rsidR="004F678D" w:rsidP="003721AF" w:rsidRDefault="004F678D" w14:paraId="0E309AC0" w14:textId="77777777">
            <w:pPr>
              <w:rPr>
                <w:szCs w:val="20"/>
              </w:rPr>
            </w:pPr>
            <w:r>
              <w:rPr>
                <w:szCs w:val="20"/>
              </w:rPr>
              <w:t>Added response options to questions.</w:t>
            </w:r>
          </w:p>
          <w:p w:rsidR="00BA3794" w:rsidP="003721AF" w:rsidRDefault="004F678D" w14:paraId="5BBA9E1C" w14:textId="77777777">
            <w:pPr>
              <w:rPr>
                <w:szCs w:val="20"/>
              </w:rPr>
            </w:pPr>
            <w:r>
              <w:rPr>
                <w:szCs w:val="20"/>
              </w:rPr>
              <w:t>Revised wording on questions to ensure clarity.</w:t>
            </w:r>
          </w:p>
          <w:p w:rsidRPr="00800904" w:rsidR="00A14A32" w:rsidP="003721AF" w:rsidRDefault="00A14A32" w14:paraId="4EF47BF3" w14:textId="37605022">
            <w:pPr>
              <w:rPr>
                <w:szCs w:val="20"/>
              </w:rPr>
            </w:pPr>
            <w:r>
              <w:rPr>
                <w:szCs w:val="20"/>
              </w:rPr>
              <w:t>Clarified tim</w:t>
            </w:r>
            <w:r w:rsidR="00EF36B1">
              <w:rPr>
                <w:szCs w:val="20"/>
              </w:rPr>
              <w:t>eframe for reporting period.</w:t>
            </w:r>
          </w:p>
        </w:tc>
      </w:tr>
      <w:tr w:rsidRPr="00EE083E" w:rsidR="00D424D3" w:rsidTr="00E067F7" w14:paraId="6DDFF178" w14:textId="77777777">
        <w:trPr>
          <w:cantSplit/>
          <w:trHeight w:val="403"/>
        </w:trPr>
        <w:tc>
          <w:tcPr>
            <w:tcW w:w="5000" w:type="pct"/>
            <w:gridSpan w:val="3"/>
            <w:tcBorders>
              <w:top w:val="single" w:color="auto" w:sz="6" w:space="0"/>
            </w:tcBorders>
            <w:vAlign w:val="bottom"/>
          </w:tcPr>
          <w:p w:rsidRPr="00D424D3" w:rsidR="00D424D3" w:rsidP="003721AF" w:rsidRDefault="00D424D3" w14:paraId="54C03C8E" w14:textId="7E226FD6">
            <w:pPr>
              <w:rPr>
                <w:szCs w:val="20"/>
              </w:rPr>
            </w:pPr>
            <w:r w:rsidRPr="00D424D3">
              <w:rPr>
                <w:sz w:val="20"/>
                <w:szCs w:val="18"/>
                <w:vertAlign w:val="superscript"/>
              </w:rPr>
              <w:t xml:space="preserve">1 </w:t>
            </w:r>
            <w:r w:rsidRPr="00D424D3">
              <w:rPr>
                <w:sz w:val="20"/>
                <w:szCs w:val="18"/>
              </w:rPr>
              <w:t>Form 1</w:t>
            </w:r>
            <w:r w:rsidR="002A722A">
              <w:rPr>
                <w:sz w:val="20"/>
                <w:szCs w:val="18"/>
              </w:rPr>
              <w:t xml:space="preserve"> is an annual </w:t>
            </w:r>
            <w:r w:rsidRPr="002A722A" w:rsidR="002A722A">
              <w:rPr>
                <w:sz w:val="20"/>
                <w:szCs w:val="18"/>
              </w:rPr>
              <w:t>MIECHV performance reporting form</w:t>
            </w:r>
            <w:r w:rsidR="002A722A">
              <w:rPr>
                <w:sz w:val="20"/>
                <w:szCs w:val="18"/>
              </w:rPr>
              <w:t xml:space="preserve"> that collects information from awardees about</w:t>
            </w:r>
            <w:r w:rsidRPr="002A722A" w:rsidR="002A722A">
              <w:rPr>
                <w:sz w:val="20"/>
                <w:szCs w:val="18"/>
              </w:rPr>
              <w:t xml:space="preserve"> </w:t>
            </w:r>
            <w:r w:rsidR="00B576C0">
              <w:rPr>
                <w:sz w:val="20"/>
                <w:szCs w:val="18"/>
              </w:rPr>
              <w:t>participant demographics,</w:t>
            </w:r>
            <w:r w:rsidR="00143FC3">
              <w:rPr>
                <w:sz w:val="20"/>
                <w:szCs w:val="18"/>
              </w:rPr>
              <w:t xml:space="preserve"> home visiting</w:t>
            </w:r>
            <w:r w:rsidR="00B576C0">
              <w:rPr>
                <w:sz w:val="20"/>
                <w:szCs w:val="18"/>
              </w:rPr>
              <w:t xml:space="preserve"> service utilization, and clinical indicators such as </w:t>
            </w:r>
            <w:r w:rsidR="00D76A76">
              <w:rPr>
                <w:sz w:val="20"/>
                <w:szCs w:val="18"/>
              </w:rPr>
              <w:t>health insurance coverage and usual source of health care.</w:t>
            </w:r>
            <w:r>
              <w:rPr>
                <w:sz w:val="20"/>
                <w:szCs w:val="18"/>
              </w:rPr>
              <w:t xml:space="preserve"> </w:t>
            </w:r>
            <w:r w:rsidR="00DE554F">
              <w:rPr>
                <w:sz w:val="20"/>
                <w:szCs w:val="18"/>
              </w:rPr>
              <w:t xml:space="preserve"> Form 1 can be accessed here:</w:t>
            </w:r>
            <w:r w:rsidR="00DE554F">
              <w:t xml:space="preserve"> </w:t>
            </w:r>
            <w:r w:rsidRPr="00DE554F" w:rsidR="00DE554F">
              <w:rPr>
                <w:sz w:val="20"/>
                <w:szCs w:val="18"/>
              </w:rPr>
              <w:t>https://mchb.hrsa.gov/sites/default/files/mchb/programs-impact/form-1-demographic-performance.pdf</w:t>
            </w:r>
          </w:p>
        </w:tc>
      </w:tr>
    </w:tbl>
    <w:p w:rsidR="00985E36" w:rsidP="002370E7" w:rsidRDefault="00985E36" w14:paraId="7BB05CAC" w14:textId="3D72809E">
      <w:pPr>
        <w:pStyle w:val="Heading2"/>
      </w:pPr>
      <w:bookmarkStart w:name="_Toc106197218" w:id="62"/>
      <w:r>
        <w:t xml:space="preserve">B5. Consultants on </w:t>
      </w:r>
      <w:r w:rsidR="00EC62CC">
        <w:t>S</w:t>
      </w:r>
      <w:r>
        <w:t xml:space="preserve">tatistical </w:t>
      </w:r>
      <w:r w:rsidR="00EC62CC">
        <w:t>A</w:t>
      </w:r>
      <w:r>
        <w:t xml:space="preserve">spects of the </w:t>
      </w:r>
      <w:r w:rsidR="00EC62CC">
        <w:t>D</w:t>
      </w:r>
      <w:r>
        <w:t>esign</w:t>
      </w:r>
      <w:bookmarkEnd w:id="62"/>
    </w:p>
    <w:p w:rsidR="00985E36" w:rsidP="00985E36" w:rsidRDefault="00985E36" w14:paraId="2B9B8300" w14:textId="2A90A775">
      <w:r>
        <w:t xml:space="preserve">There </w:t>
      </w:r>
      <w:r w:rsidR="00332AFA">
        <w:t>were</w:t>
      </w:r>
      <w:r>
        <w:t xml:space="preserve"> no </w:t>
      </w:r>
      <w:r w:rsidR="00332AFA">
        <w:t xml:space="preserve">individuals </w:t>
      </w:r>
      <w:r>
        <w:t>consult</w:t>
      </w:r>
      <w:r w:rsidR="00332AFA">
        <w:t>ed</w:t>
      </w:r>
      <w:r>
        <w:t xml:space="preserve"> on the statistical aspects of </w:t>
      </w:r>
      <w:r w:rsidR="00332AFA">
        <w:t>the design</w:t>
      </w:r>
      <w:r>
        <w:t xml:space="preserve">. </w:t>
      </w:r>
      <w:r w:rsidR="00332AFA">
        <w:t xml:space="preserve">The project </w:t>
      </w:r>
      <w:r w:rsidR="00DB2425">
        <w:t xml:space="preserve">received feedback on the study design from </w:t>
      </w:r>
      <w:r w:rsidR="00C0107A">
        <w:t xml:space="preserve">three project consultants and a community advisory board. </w:t>
      </w:r>
      <w:r w:rsidR="00ED77A3">
        <w:t>Project consultants include Dr. Bita Aman</w:t>
      </w:r>
      <w:r w:rsidR="00924668">
        <w:t>i</w:t>
      </w:r>
      <w:r w:rsidR="00ED77A3">
        <w:t>, Ms. Karen Howard, and Ms. Deborah Stark. Collectively, th</w:t>
      </w:r>
      <w:r w:rsidR="00684E7D">
        <w:t>e consultants</w:t>
      </w:r>
      <w:r w:rsidR="00ED77A3">
        <w:t xml:space="preserve"> </w:t>
      </w:r>
      <w:r w:rsidR="00684E7D">
        <w:t>bring</w:t>
      </w:r>
      <w:r w:rsidR="00ED77A3">
        <w:t xml:space="preserve"> expertise </w:t>
      </w:r>
      <w:r w:rsidR="007E2CDB">
        <w:t xml:space="preserve">related to </w:t>
      </w:r>
      <w:r w:rsidR="004C0B6E">
        <w:t>family voice and engagement</w:t>
      </w:r>
      <w:r w:rsidRPr="007E2CDB" w:rsidR="007E2CDB">
        <w:t>,</w:t>
      </w:r>
      <w:r w:rsidR="00D93F62">
        <w:t xml:space="preserve"> epidemiology,</w:t>
      </w:r>
      <w:r w:rsidRPr="007E2CDB" w:rsidR="007E2CDB">
        <w:t xml:space="preserve"> racial and ethnic disparities and equity among home visiting program populations and policies, and racial disparities exacerbated by the COVID-19 pandemic</w:t>
      </w:r>
      <w:r w:rsidR="001860D1">
        <w:t>.</w:t>
      </w:r>
      <w:r w:rsidR="004C0B6E">
        <w:t xml:space="preserve"> The community advisory board includes </w:t>
      </w:r>
      <w:r w:rsidRPr="004C0B6E" w:rsidR="004C0B6E">
        <w:t xml:space="preserve">families </w:t>
      </w:r>
      <w:r w:rsidR="004C0B6E">
        <w:t>participating in home visiting,</w:t>
      </w:r>
      <w:r w:rsidR="00E324DD">
        <w:t xml:space="preserve"> </w:t>
      </w:r>
      <w:r w:rsidRPr="004C0B6E" w:rsidR="004C0B6E">
        <w:t xml:space="preserve">community </w:t>
      </w:r>
      <w:r w:rsidR="004C0B6E">
        <w:t>leaders</w:t>
      </w:r>
      <w:r w:rsidRPr="004C0B6E" w:rsidR="004C0B6E">
        <w:t xml:space="preserve">, experts in public health, epidemiology, and social determinants of health, home visiting </w:t>
      </w:r>
      <w:r w:rsidR="00E324DD">
        <w:t>model developers, and home visiting program administrators and staff.</w:t>
      </w:r>
      <w:r w:rsidR="00684E7D">
        <w:t xml:space="preserve"> </w:t>
      </w:r>
      <w:r w:rsidR="00740545">
        <w:t xml:space="preserve">The board brings a diverse range of experience and expertise </w:t>
      </w:r>
      <w:r w:rsidR="006727A9">
        <w:t xml:space="preserve">in the areas of home visiting, public health, </w:t>
      </w:r>
      <w:r w:rsidR="008F222E">
        <w:t xml:space="preserve">health </w:t>
      </w:r>
      <w:r w:rsidR="006727A9">
        <w:t xml:space="preserve">equity, and </w:t>
      </w:r>
      <w:r w:rsidR="00467964">
        <w:t>COVID-19.</w:t>
      </w:r>
      <w:r w:rsidR="006727A9">
        <w:t xml:space="preserve"> </w:t>
      </w:r>
    </w:p>
    <w:p w:rsidR="00985E36" w:rsidP="00FB6F52" w:rsidRDefault="00077135" w14:paraId="233604C0" w14:textId="3B6E5897">
      <w:r>
        <w:lastRenderedPageBreak/>
        <w:t>HRSA has contracted with Child Trends, a leading research firm specializing in early childhood, to conduct this project. Child Trends is responsible for the collection and analysis of all information described in this Information Collection Request.</w:t>
      </w:r>
    </w:p>
    <w:p w:rsidRPr="000030FF" w:rsidR="008D183E" w:rsidP="00FB6F52" w:rsidRDefault="008D183E" w14:paraId="536C05BF" w14:textId="554F882A"/>
    <w:sectPr w:rsidRPr="000030FF" w:rsidR="008D183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10147" w14:textId="77777777" w:rsidR="00A94B5D" w:rsidRDefault="00A94B5D" w:rsidP="00B81478">
      <w:pPr>
        <w:spacing w:after="0" w:line="240" w:lineRule="auto"/>
      </w:pPr>
      <w:r>
        <w:separator/>
      </w:r>
    </w:p>
  </w:endnote>
  <w:endnote w:type="continuationSeparator" w:id="0">
    <w:p w14:paraId="6226D571" w14:textId="77777777" w:rsidR="00A94B5D" w:rsidRDefault="00A94B5D" w:rsidP="00B81478">
      <w:pPr>
        <w:spacing w:after="0" w:line="240" w:lineRule="auto"/>
      </w:pPr>
      <w:r>
        <w:continuationSeparator/>
      </w:r>
    </w:p>
  </w:endnote>
  <w:endnote w:type="continuationNotice" w:id="1">
    <w:p w14:paraId="0A2F21D2" w14:textId="77777777" w:rsidR="00A94B5D" w:rsidRDefault="00A94B5D">
      <w:pPr>
        <w:spacing w:after="0" w:line="240" w:lineRule="auto"/>
      </w:pPr>
    </w:p>
  </w:endnote>
  <w:endnote w:id="2">
    <w:p w14:paraId="2FE894A5" w14:textId="2F2308DC" w:rsidR="0025181D" w:rsidRPr="00C658D6" w:rsidRDefault="0025181D" w:rsidP="00B81478">
      <w:pPr>
        <w:pStyle w:val="EndnoteText"/>
      </w:pPr>
      <w:r w:rsidRPr="00C658D6">
        <w:rPr>
          <w:rStyle w:val="EndnoteReference"/>
        </w:rPr>
        <w:endnoteRef/>
      </w:r>
      <w:r w:rsidRPr="00C658D6">
        <w:t xml:space="preserve"> U.S. Department of Health &amp; Human Services, Administration for Children &amp; Families, Health Resources &amp; Services Administration (HRSA) Maternal &amp; Child Health. (2021). </w:t>
      </w:r>
      <w:r w:rsidRPr="00A77C73">
        <w:rPr>
          <w:i/>
          <w:iCs/>
        </w:rPr>
        <w:t xml:space="preserve">The Maternal, Infant, and Early Childhood Home Visiting Program </w:t>
      </w:r>
      <w:r w:rsidRPr="00A77C73">
        <w:t xml:space="preserve">[Program brief]. </w:t>
      </w:r>
      <w:hyperlink r:id="rId1" w:history="1">
        <w:r w:rsidRPr="00C658D6">
          <w:rPr>
            <w:rStyle w:val="Hyperlink"/>
          </w:rPr>
          <w:t>https://mchb.hrsa.gov/sites/default/files/mchb/MaternalChildHealthInitiatives/HomeVisiting/pdf/programbrief.pdf</w:t>
        </w:r>
      </w:hyperlink>
      <w:r w:rsidRPr="00C658D6">
        <w:t xml:space="preserve"> </w:t>
      </w:r>
    </w:p>
  </w:endnote>
  <w:endnote w:id="3">
    <w:p w14:paraId="089B4427" w14:textId="227CF72C" w:rsidR="0025181D" w:rsidRPr="00A77C73" w:rsidRDefault="0025181D" w:rsidP="00B81478">
      <w:pPr>
        <w:pStyle w:val="EndnoteText"/>
      </w:pPr>
      <w:r w:rsidRPr="00C658D6">
        <w:rPr>
          <w:rStyle w:val="EndnoteReference"/>
        </w:rPr>
        <w:endnoteRef/>
      </w:r>
      <w:r w:rsidRPr="00C658D6">
        <w:t xml:space="preserve"> U.S. Department of Health &amp; Human Services, Administration for Children &amp; Families, HRSA Maternal &amp; Child Health. (n.d.). </w:t>
      </w:r>
      <w:r w:rsidRPr="00A77C73">
        <w:rPr>
          <w:i/>
          <w:iCs/>
        </w:rPr>
        <w:t xml:space="preserve">Home Visiting. </w:t>
      </w:r>
      <w:hyperlink r:id="rId2" w:history="1">
        <w:r w:rsidRPr="00C658D6">
          <w:rPr>
            <w:rStyle w:val="Hyperlink"/>
          </w:rPr>
          <w:t>https://mchb.hrsa.gov/maternal-child-health-</w:t>
        </w:r>
        <w:r w:rsidRPr="00A77C73">
          <w:rPr>
            <w:rStyle w:val="Hyperlink"/>
          </w:rPr>
          <w:t>initiatives/home-visiting-overview</w:t>
        </w:r>
      </w:hyperlink>
      <w:r w:rsidRPr="00C658D6">
        <w:t xml:space="preserve"> </w:t>
      </w:r>
      <w:r w:rsidRPr="00C658D6">
        <w:rPr>
          <w:i/>
          <w:iCs/>
        </w:rPr>
        <w:t xml:space="preserve"> </w:t>
      </w:r>
    </w:p>
  </w:endnote>
  <w:endnote w:id="4">
    <w:p w14:paraId="3540A120" w14:textId="77777777" w:rsidR="00A95F07" w:rsidRDefault="00A95F07" w:rsidP="00A95F07">
      <w:pPr>
        <w:pStyle w:val="EndnoteText"/>
      </w:pPr>
      <w:r>
        <w:rPr>
          <w:rStyle w:val="EndnoteReference"/>
        </w:rPr>
        <w:endnoteRef/>
      </w:r>
      <w:r>
        <w:t xml:space="preserve"> </w:t>
      </w:r>
      <w:r w:rsidRPr="004A61AB">
        <w:t xml:space="preserve">David, M. C., &amp; Ware, R. S. (2014). Meta-analysis of randomized controlled trials supports the use of incentives for inducing response to electronic health surveys. </w:t>
      </w:r>
      <w:r w:rsidRPr="004A61AB">
        <w:rPr>
          <w:i/>
          <w:iCs/>
        </w:rPr>
        <w:t>Journal of Clinical Epidemiology</w:t>
      </w:r>
      <w:r w:rsidRPr="004A61AB">
        <w:t>, 67(11), 1210-1221.</w:t>
      </w:r>
    </w:p>
  </w:endnote>
  <w:endnote w:id="5">
    <w:p w14:paraId="4803DA6D" w14:textId="4832EA06" w:rsidR="00C414A2" w:rsidRDefault="00C012E3">
      <w:pPr>
        <w:pStyle w:val="EndnoteText"/>
      </w:pPr>
      <w:r>
        <w:rPr>
          <w:rStyle w:val="EndnoteReference"/>
        </w:rPr>
        <w:endnoteRef/>
      </w:r>
      <w:r>
        <w:t xml:space="preserve"> </w:t>
      </w:r>
      <w:r w:rsidR="00E96540" w:rsidRPr="00E96540">
        <w:t xml:space="preserve">Crowne, S.S., Hegseth, D., Ekyalongo, Y., Cohen, R.C., Bultinck, E., Haas, M., Anderson, S., &amp; Carter, M. (2021). </w:t>
      </w:r>
      <w:r w:rsidR="00E96540" w:rsidRPr="00E96540">
        <w:rPr>
          <w:i/>
          <w:iCs/>
        </w:rPr>
        <w:t>Findings from the First 5 California Home Visiting Workforce Study.</w:t>
      </w:r>
      <w:r w:rsidR="00E96540" w:rsidRPr="00E96540">
        <w:t xml:space="preserve"> Bethesda, MD: Child Trends.</w:t>
      </w:r>
      <w:r w:rsidR="00C414A2">
        <w:t xml:space="preserve"> </w:t>
      </w:r>
      <w:hyperlink r:id="rId3" w:history="1">
        <w:r w:rsidR="00C414A2" w:rsidRPr="00CC69D7">
          <w:rPr>
            <w:rStyle w:val="Hyperlink"/>
          </w:rPr>
          <w:t>https://www.childtrends.org/publications/findings-from-the-first-5-california-home-visiting-workforce-study</w:t>
        </w:r>
      </w:hyperlink>
    </w:p>
  </w:endnote>
  <w:endnote w:id="6">
    <w:p w14:paraId="432B5C4F" w14:textId="765784A1" w:rsidR="00E96540" w:rsidRDefault="00E96540">
      <w:pPr>
        <w:pStyle w:val="EndnoteText"/>
      </w:pPr>
      <w:r>
        <w:rPr>
          <w:rStyle w:val="EndnoteReference"/>
        </w:rPr>
        <w:endnoteRef/>
      </w:r>
      <w:r>
        <w:t xml:space="preserve"> </w:t>
      </w:r>
      <w:r w:rsidR="00DD039B" w:rsidRPr="00DD039B">
        <w:t xml:space="preserve">Swigonski, N. L., James, B., Wynns, W., &amp; Casavan, K. (2021). Physical, mental, and financial stress impacts of COVID-19 on early childhood educators. </w:t>
      </w:r>
      <w:r w:rsidR="00DD039B" w:rsidRPr="00DD039B">
        <w:rPr>
          <w:i/>
          <w:iCs/>
        </w:rPr>
        <w:t>Early Childhood Education Journal</w:t>
      </w:r>
      <w:r w:rsidR="00DD039B" w:rsidRPr="00DD039B">
        <w:t>, 49(5), 799-806.</w:t>
      </w:r>
    </w:p>
  </w:endnote>
  <w:endnote w:id="7">
    <w:p w14:paraId="55AD30E5" w14:textId="62B2011C" w:rsidR="00A675FD" w:rsidRDefault="00A675FD">
      <w:pPr>
        <w:pStyle w:val="EndnoteText"/>
      </w:pPr>
      <w:r>
        <w:rPr>
          <w:rStyle w:val="EndnoteReference"/>
        </w:rPr>
        <w:endnoteRef/>
      </w:r>
      <w:r>
        <w:t xml:space="preserve"> </w:t>
      </w:r>
      <w:r w:rsidR="00343E7A" w:rsidRPr="00343E7A">
        <w:t>McFarlane, E., Burrell, L., Fuddy, L., Tandon, S. D., Derauf, C., Leaf, P., &amp; Duggan, A. (2010). Association of visitors’ and mothers’ attachment style with family engagement.</w:t>
      </w:r>
      <w:r w:rsidR="00343E7A" w:rsidRPr="009262A0">
        <w:rPr>
          <w:i/>
          <w:iCs/>
        </w:rPr>
        <w:t xml:space="preserve"> Journal of Community Psychology</w:t>
      </w:r>
      <w:r w:rsidR="00343E7A" w:rsidRPr="00343E7A">
        <w:t>, 38, 541–556.</w:t>
      </w:r>
    </w:p>
  </w:endnote>
  <w:endnote w:id="8">
    <w:p w14:paraId="581EC996" w14:textId="5728F27F" w:rsidR="00A675FD" w:rsidRDefault="00A675FD">
      <w:pPr>
        <w:pStyle w:val="EndnoteText"/>
      </w:pPr>
      <w:r>
        <w:rPr>
          <w:rStyle w:val="EndnoteReference"/>
        </w:rPr>
        <w:endnoteRef/>
      </w:r>
      <w:r>
        <w:t xml:space="preserve"> </w:t>
      </w:r>
      <w:r w:rsidRPr="00A675FD">
        <w:t xml:space="preserve">West, A. L., Berlin, L. J., &amp; Harden, B. J. (2018). Occupational stress and well-being among Early Head Start home visitors: A mixed methods study. </w:t>
      </w:r>
      <w:r w:rsidRPr="00A675FD">
        <w:rPr>
          <w:i/>
          <w:iCs/>
        </w:rPr>
        <w:t>Early Childhood Research Quarterly</w:t>
      </w:r>
      <w:r w:rsidRPr="00A675FD">
        <w:t>, 44, 288-303.</w:t>
      </w:r>
    </w:p>
  </w:endnote>
  <w:endnote w:id="9">
    <w:p w14:paraId="5531B7B1" w14:textId="63AA18A6" w:rsidR="0025181D" w:rsidRDefault="0025181D">
      <w:pPr>
        <w:pStyle w:val="EndnoteText"/>
      </w:pPr>
      <w:r>
        <w:rPr>
          <w:rStyle w:val="EndnoteReference"/>
        </w:rPr>
        <w:endnoteRef/>
      </w:r>
      <w:r>
        <w:t xml:space="preserve"> </w:t>
      </w:r>
      <w:r w:rsidRPr="00AB2D8C">
        <w:t>https://www.bls.gov/oes/current/oes119151.htm</w:t>
      </w:r>
    </w:p>
  </w:endnote>
  <w:endnote w:id="10">
    <w:p w14:paraId="5C27D2D2" w14:textId="6949A7DC" w:rsidR="0025181D" w:rsidRDefault="0025181D">
      <w:pPr>
        <w:pStyle w:val="EndnoteText"/>
      </w:pPr>
      <w:r>
        <w:rPr>
          <w:rStyle w:val="EndnoteReference"/>
        </w:rPr>
        <w:endnoteRef/>
      </w:r>
      <w:r>
        <w:t xml:space="preserve"> </w:t>
      </w:r>
      <w:r w:rsidRPr="00413C3F">
        <w:t>https://www.bls.gov/opub/reports/womens-earnings/2019/pdf/home.pdf</w:t>
      </w:r>
    </w:p>
  </w:endnote>
  <w:endnote w:id="11">
    <w:p w14:paraId="4FD99E50" w14:textId="2F092648" w:rsidR="0025181D" w:rsidRDefault="0025181D">
      <w:pPr>
        <w:pStyle w:val="EndnoteText"/>
      </w:pPr>
      <w:r>
        <w:rPr>
          <w:rStyle w:val="EndnoteReference"/>
        </w:rPr>
        <w:endnoteRef/>
      </w:r>
      <w:r>
        <w:t xml:space="preserve"> </w:t>
      </w:r>
      <w:r w:rsidRPr="008F6F82">
        <w:t>https://www.bls.gov/oes/current/oes210000.htm</w:t>
      </w:r>
    </w:p>
  </w:endnote>
  <w:endnote w:id="12">
    <w:p w14:paraId="5762A5ED" w14:textId="77777777" w:rsidR="0025181D" w:rsidRDefault="0025181D" w:rsidP="004A1F0D">
      <w:pPr>
        <w:pStyle w:val="EndnoteText"/>
      </w:pPr>
      <w:r>
        <w:rPr>
          <w:rStyle w:val="EndnoteReference"/>
        </w:rPr>
        <w:endnoteRef/>
      </w:r>
      <w:r>
        <w:t xml:space="preserve"> </w:t>
      </w:r>
      <w:r w:rsidRPr="008F6F82">
        <w:t>https://www.bls.gov/oes/current/oes210000.htm</w:t>
      </w:r>
    </w:p>
  </w:endnote>
  <w:endnote w:id="13">
    <w:p w14:paraId="58D57A2A" w14:textId="4109960E" w:rsidR="0025181D" w:rsidRPr="008D183E" w:rsidRDefault="0025181D" w:rsidP="00BF517B">
      <w:pPr>
        <w:spacing w:after="0" w:line="240" w:lineRule="auto"/>
        <w:rPr>
          <w:rFonts w:ascii="Calibri" w:eastAsia="Times New Roman" w:hAnsi="Calibri" w:cs="Calibri"/>
          <w:color w:val="000000"/>
        </w:rPr>
      </w:pPr>
      <w:r>
        <w:rPr>
          <w:rStyle w:val="EndnoteReference"/>
        </w:rPr>
        <w:endnoteRef/>
      </w:r>
      <w:r>
        <w:t xml:space="preserve"> </w:t>
      </w:r>
      <w:r w:rsidRPr="00A664FE">
        <w:rPr>
          <w:rFonts w:ascii="Calibri" w:eastAsia="Times New Roman" w:hAnsi="Calibri" w:cs="Calibri"/>
          <w:color w:val="000000"/>
        </w:rPr>
        <w:t>https://www.bls.gov/oes/current/oes439199.htm</w:t>
      </w:r>
    </w:p>
  </w:endnote>
  <w:endnote w:id="14">
    <w:p w14:paraId="244704AF" w14:textId="6E085F2C" w:rsidR="0025181D" w:rsidRDefault="0025181D" w:rsidP="000265A1">
      <w:pPr>
        <w:pStyle w:val="EndnoteText"/>
        <w:rPr>
          <w:rStyle w:val="Hyperlink"/>
        </w:rPr>
      </w:pPr>
      <w:r>
        <w:rPr>
          <w:rStyle w:val="EndnoteReference"/>
        </w:rPr>
        <w:endnoteRef/>
      </w:r>
      <w:r>
        <w:t xml:space="preserve"> </w:t>
      </w:r>
      <w:r w:rsidR="00C414A2" w:rsidRPr="00C658D6">
        <w:t xml:space="preserve">U.S. Department of Health &amp; Human Services, Administration for Children &amp; Families, Health Resources &amp; Services Administration (HRSA) Maternal &amp; Child Health. (2021). </w:t>
      </w:r>
      <w:r w:rsidR="00C414A2" w:rsidRPr="00A77C73">
        <w:rPr>
          <w:i/>
          <w:iCs/>
        </w:rPr>
        <w:t xml:space="preserve">The Maternal, Infant, and Early Childhood Home Visiting Program </w:t>
      </w:r>
      <w:r w:rsidR="00C414A2" w:rsidRPr="00A77C73">
        <w:t xml:space="preserve">[Program brief]. </w:t>
      </w:r>
      <w:hyperlink r:id="rId4" w:history="1">
        <w:r w:rsidRPr="009D79DE">
          <w:rPr>
            <w:rStyle w:val="Hyperlink"/>
          </w:rPr>
          <w:t>https://mchb</w:t>
        </w:r>
        <w:bookmarkStart w:id="57" w:name="_Hlt92980040"/>
        <w:bookmarkStart w:id="58" w:name="_Hlt92980041"/>
        <w:bookmarkEnd w:id="57"/>
        <w:bookmarkEnd w:id="58"/>
        <w:r w:rsidRPr="009D79DE">
          <w:rPr>
            <w:rStyle w:val="Hyperlink"/>
          </w:rPr>
          <w:t>.hrsa.go</w:t>
        </w:r>
        <w:r w:rsidRPr="00AD0B3F">
          <w:rPr>
            <w:rStyle w:val="Hyperlink"/>
          </w:rPr>
          <w:t>v/sites/default/files/mchb/MaternalChildHealthInitiatives/HomeVisiting/pdf/programbrief.pdf</w:t>
        </w:r>
      </w:hyperlink>
    </w:p>
    <w:p w14:paraId="6FC5671D" w14:textId="77777777" w:rsidR="0025181D" w:rsidRDefault="0025181D" w:rsidP="000265A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o">
    <w:altName w:val="Segoe UI"/>
    <w:charset w:val="00"/>
    <w:family w:val="swiss"/>
    <w:pitch w:val="variable"/>
    <w:sig w:usb0="A00000AF" w:usb1="5000604B" w:usb2="00000000" w:usb3="00000000" w:csb0="00000093"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013510"/>
      <w:docPartObj>
        <w:docPartGallery w:val="Page Numbers (Bottom of Page)"/>
        <w:docPartUnique/>
      </w:docPartObj>
    </w:sdtPr>
    <w:sdtEndPr>
      <w:rPr>
        <w:noProof/>
      </w:rPr>
    </w:sdtEndPr>
    <w:sdtContent>
      <w:p w14:paraId="35AA9590" w14:textId="6D624D45" w:rsidR="0025181D" w:rsidRDefault="0025181D">
        <w:pPr>
          <w:pStyle w:val="Footer"/>
          <w:jc w:val="right"/>
        </w:pPr>
        <w:r>
          <w:fldChar w:fldCharType="begin"/>
        </w:r>
        <w:r>
          <w:instrText xml:space="preserve"> PAGE   \* MERGEFORMAT </w:instrText>
        </w:r>
        <w:r>
          <w:fldChar w:fldCharType="separate"/>
        </w:r>
        <w:r w:rsidR="00E83574">
          <w:rPr>
            <w:noProof/>
          </w:rPr>
          <w:t>14</w:t>
        </w:r>
        <w:r>
          <w:rPr>
            <w:noProof/>
          </w:rPr>
          <w:fldChar w:fldCharType="end"/>
        </w:r>
      </w:p>
    </w:sdtContent>
  </w:sdt>
  <w:p w14:paraId="73B13B85" w14:textId="77777777" w:rsidR="0025181D" w:rsidRDefault="00251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25478" w14:textId="77777777" w:rsidR="00A94B5D" w:rsidRDefault="00A94B5D" w:rsidP="00B81478">
      <w:pPr>
        <w:spacing w:after="0" w:line="240" w:lineRule="auto"/>
      </w:pPr>
      <w:r>
        <w:separator/>
      </w:r>
    </w:p>
  </w:footnote>
  <w:footnote w:type="continuationSeparator" w:id="0">
    <w:p w14:paraId="610B4383" w14:textId="77777777" w:rsidR="00A94B5D" w:rsidRDefault="00A94B5D" w:rsidP="00B81478">
      <w:pPr>
        <w:spacing w:after="0" w:line="240" w:lineRule="auto"/>
      </w:pPr>
      <w:r>
        <w:continuationSeparator/>
      </w:r>
    </w:p>
  </w:footnote>
  <w:footnote w:type="continuationNotice" w:id="1">
    <w:p w14:paraId="4801B18E" w14:textId="77777777" w:rsidR="00A94B5D" w:rsidRDefault="00A94B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C35D4"/>
    <w:multiLevelType w:val="hybridMultilevel"/>
    <w:tmpl w:val="424828DC"/>
    <w:lvl w:ilvl="0" w:tplc="83AC07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513D4"/>
    <w:multiLevelType w:val="hybridMultilevel"/>
    <w:tmpl w:val="BC6051E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2" w15:restartNumberingAfterBreak="0">
    <w:nsid w:val="24D71195"/>
    <w:multiLevelType w:val="hybridMultilevel"/>
    <w:tmpl w:val="78A8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55B1C"/>
    <w:multiLevelType w:val="hybridMultilevel"/>
    <w:tmpl w:val="587E7512"/>
    <w:lvl w:ilvl="0" w:tplc="9064DC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51559"/>
    <w:multiLevelType w:val="hybridMultilevel"/>
    <w:tmpl w:val="793441DA"/>
    <w:lvl w:ilvl="0" w:tplc="DF820D54">
      <w:numFmt w:val="bullet"/>
      <w:lvlText w:val=""/>
      <w:lvlJc w:val="left"/>
      <w:pPr>
        <w:ind w:left="780" w:hanging="360"/>
      </w:pPr>
      <w:rPr>
        <w:rFonts w:ascii="Symbol" w:hAnsi="Symbol" w:cs="Times New Roman" w:hint="default"/>
        <w:color w:val="007CC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701A57D0"/>
    <w:multiLevelType w:val="hybridMultilevel"/>
    <w:tmpl w:val="90301E34"/>
    <w:lvl w:ilvl="0" w:tplc="7BD28E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59D"/>
    <w:rsid w:val="00001B88"/>
    <w:rsid w:val="000022C6"/>
    <w:rsid w:val="000022E0"/>
    <w:rsid w:val="000030FF"/>
    <w:rsid w:val="0000350C"/>
    <w:rsid w:val="00006AFB"/>
    <w:rsid w:val="000070C5"/>
    <w:rsid w:val="000070CA"/>
    <w:rsid w:val="00010518"/>
    <w:rsid w:val="00011157"/>
    <w:rsid w:val="000120E9"/>
    <w:rsid w:val="000131C1"/>
    <w:rsid w:val="000137AF"/>
    <w:rsid w:val="0001423C"/>
    <w:rsid w:val="00014F78"/>
    <w:rsid w:val="000158FF"/>
    <w:rsid w:val="0001591B"/>
    <w:rsid w:val="000265A1"/>
    <w:rsid w:val="000304E5"/>
    <w:rsid w:val="00031927"/>
    <w:rsid w:val="000325D6"/>
    <w:rsid w:val="000359CD"/>
    <w:rsid w:val="00035F74"/>
    <w:rsid w:val="00040FBF"/>
    <w:rsid w:val="00041B5E"/>
    <w:rsid w:val="00046D97"/>
    <w:rsid w:val="00047A39"/>
    <w:rsid w:val="000573B1"/>
    <w:rsid w:val="000615B0"/>
    <w:rsid w:val="00061EFE"/>
    <w:rsid w:val="0006307D"/>
    <w:rsid w:val="00063346"/>
    <w:rsid w:val="0006373C"/>
    <w:rsid w:val="0006566F"/>
    <w:rsid w:val="00070411"/>
    <w:rsid w:val="00073E68"/>
    <w:rsid w:val="00076BF5"/>
    <w:rsid w:val="00077135"/>
    <w:rsid w:val="00081772"/>
    <w:rsid w:val="00081829"/>
    <w:rsid w:val="00082EBA"/>
    <w:rsid w:val="00090785"/>
    <w:rsid w:val="00094F1E"/>
    <w:rsid w:val="00096D40"/>
    <w:rsid w:val="0009771C"/>
    <w:rsid w:val="000A23D3"/>
    <w:rsid w:val="000A394F"/>
    <w:rsid w:val="000A4078"/>
    <w:rsid w:val="000A4ABB"/>
    <w:rsid w:val="000B1A6C"/>
    <w:rsid w:val="000B43AE"/>
    <w:rsid w:val="000B4FCB"/>
    <w:rsid w:val="000B629D"/>
    <w:rsid w:val="000C1B6F"/>
    <w:rsid w:val="000C5FF2"/>
    <w:rsid w:val="000D4D4A"/>
    <w:rsid w:val="000D59FF"/>
    <w:rsid w:val="000D769D"/>
    <w:rsid w:val="000E2325"/>
    <w:rsid w:val="000E2B85"/>
    <w:rsid w:val="000E5EFC"/>
    <w:rsid w:val="000E5FB4"/>
    <w:rsid w:val="000E6808"/>
    <w:rsid w:val="000F0F84"/>
    <w:rsid w:val="000F15B0"/>
    <w:rsid w:val="000F208F"/>
    <w:rsid w:val="000F7342"/>
    <w:rsid w:val="00100B81"/>
    <w:rsid w:val="001056C0"/>
    <w:rsid w:val="0010701C"/>
    <w:rsid w:val="001107DE"/>
    <w:rsid w:val="0011086E"/>
    <w:rsid w:val="00112025"/>
    <w:rsid w:val="00112AD6"/>
    <w:rsid w:val="00113FAF"/>
    <w:rsid w:val="0011752C"/>
    <w:rsid w:val="00120820"/>
    <w:rsid w:val="00121125"/>
    <w:rsid w:val="001223CE"/>
    <w:rsid w:val="00130918"/>
    <w:rsid w:val="001335CF"/>
    <w:rsid w:val="001349C5"/>
    <w:rsid w:val="00136FEA"/>
    <w:rsid w:val="0013787A"/>
    <w:rsid w:val="001400AE"/>
    <w:rsid w:val="00140673"/>
    <w:rsid w:val="00142BEC"/>
    <w:rsid w:val="00143263"/>
    <w:rsid w:val="001438D7"/>
    <w:rsid w:val="00143FC3"/>
    <w:rsid w:val="001454EC"/>
    <w:rsid w:val="001459EA"/>
    <w:rsid w:val="00145F9D"/>
    <w:rsid w:val="0015059D"/>
    <w:rsid w:val="0015524A"/>
    <w:rsid w:val="001638ED"/>
    <w:rsid w:val="00166922"/>
    <w:rsid w:val="00166A44"/>
    <w:rsid w:val="00170178"/>
    <w:rsid w:val="00173FF6"/>
    <w:rsid w:val="001766BC"/>
    <w:rsid w:val="0018002A"/>
    <w:rsid w:val="001810C1"/>
    <w:rsid w:val="001812B1"/>
    <w:rsid w:val="00181FA9"/>
    <w:rsid w:val="0018225D"/>
    <w:rsid w:val="0018307C"/>
    <w:rsid w:val="00184517"/>
    <w:rsid w:val="00184814"/>
    <w:rsid w:val="001860D1"/>
    <w:rsid w:val="001865EF"/>
    <w:rsid w:val="00186781"/>
    <w:rsid w:val="00186E5F"/>
    <w:rsid w:val="001903A4"/>
    <w:rsid w:val="00190E6E"/>
    <w:rsid w:val="00190E9A"/>
    <w:rsid w:val="00191620"/>
    <w:rsid w:val="00191708"/>
    <w:rsid w:val="00192A78"/>
    <w:rsid w:val="00193CB7"/>
    <w:rsid w:val="0019453B"/>
    <w:rsid w:val="0019489E"/>
    <w:rsid w:val="00195048"/>
    <w:rsid w:val="00196B3F"/>
    <w:rsid w:val="00197FFD"/>
    <w:rsid w:val="001A1303"/>
    <w:rsid w:val="001A48F2"/>
    <w:rsid w:val="001A6A44"/>
    <w:rsid w:val="001B0B55"/>
    <w:rsid w:val="001B0B69"/>
    <w:rsid w:val="001B390F"/>
    <w:rsid w:val="001B672C"/>
    <w:rsid w:val="001C1304"/>
    <w:rsid w:val="001C39ED"/>
    <w:rsid w:val="001C475A"/>
    <w:rsid w:val="001C7A23"/>
    <w:rsid w:val="001D1773"/>
    <w:rsid w:val="001D527A"/>
    <w:rsid w:val="001E0BDD"/>
    <w:rsid w:val="001E1B89"/>
    <w:rsid w:val="001E28B8"/>
    <w:rsid w:val="001E69B6"/>
    <w:rsid w:val="001E7080"/>
    <w:rsid w:val="001F01AE"/>
    <w:rsid w:val="001F37D9"/>
    <w:rsid w:val="001F381C"/>
    <w:rsid w:val="001F3E1C"/>
    <w:rsid w:val="001F4089"/>
    <w:rsid w:val="001F4B35"/>
    <w:rsid w:val="001F5127"/>
    <w:rsid w:val="001F60B1"/>
    <w:rsid w:val="001F799D"/>
    <w:rsid w:val="001F7C41"/>
    <w:rsid w:val="00204D3C"/>
    <w:rsid w:val="002056A3"/>
    <w:rsid w:val="002059A2"/>
    <w:rsid w:val="00207526"/>
    <w:rsid w:val="00210597"/>
    <w:rsid w:val="00213C12"/>
    <w:rsid w:val="00214455"/>
    <w:rsid w:val="00215D3D"/>
    <w:rsid w:val="0021630A"/>
    <w:rsid w:val="00221759"/>
    <w:rsid w:val="00223F22"/>
    <w:rsid w:val="002241C8"/>
    <w:rsid w:val="00224676"/>
    <w:rsid w:val="00225FB5"/>
    <w:rsid w:val="002351C3"/>
    <w:rsid w:val="00235C15"/>
    <w:rsid w:val="002370E7"/>
    <w:rsid w:val="00237E13"/>
    <w:rsid w:val="00240527"/>
    <w:rsid w:val="00240F59"/>
    <w:rsid w:val="00241290"/>
    <w:rsid w:val="002412B2"/>
    <w:rsid w:val="0024152E"/>
    <w:rsid w:val="00242450"/>
    <w:rsid w:val="00242691"/>
    <w:rsid w:val="00246109"/>
    <w:rsid w:val="002468E8"/>
    <w:rsid w:val="0025181D"/>
    <w:rsid w:val="002523BA"/>
    <w:rsid w:val="0025383F"/>
    <w:rsid w:val="00253A89"/>
    <w:rsid w:val="0025409E"/>
    <w:rsid w:val="0025415F"/>
    <w:rsid w:val="002569B1"/>
    <w:rsid w:val="00260754"/>
    <w:rsid w:val="0026222F"/>
    <w:rsid w:val="002627B8"/>
    <w:rsid w:val="00262F9C"/>
    <w:rsid w:val="00264A91"/>
    <w:rsid w:val="00267D82"/>
    <w:rsid w:val="00271168"/>
    <w:rsid w:val="0027124A"/>
    <w:rsid w:val="0027253C"/>
    <w:rsid w:val="002732F2"/>
    <w:rsid w:val="00275897"/>
    <w:rsid w:val="0027692E"/>
    <w:rsid w:val="00281456"/>
    <w:rsid w:val="0028200C"/>
    <w:rsid w:val="00286EC2"/>
    <w:rsid w:val="00287D97"/>
    <w:rsid w:val="00290748"/>
    <w:rsid w:val="00290BF6"/>
    <w:rsid w:val="00291440"/>
    <w:rsid w:val="00291CE9"/>
    <w:rsid w:val="00292F4D"/>
    <w:rsid w:val="0029314D"/>
    <w:rsid w:val="00297E25"/>
    <w:rsid w:val="002A1B37"/>
    <w:rsid w:val="002A6C2C"/>
    <w:rsid w:val="002A722A"/>
    <w:rsid w:val="002A756D"/>
    <w:rsid w:val="002B1C4F"/>
    <w:rsid w:val="002B2FA4"/>
    <w:rsid w:val="002C23F3"/>
    <w:rsid w:val="002C5FBD"/>
    <w:rsid w:val="002D0F3D"/>
    <w:rsid w:val="002D19DB"/>
    <w:rsid w:val="002D2BFF"/>
    <w:rsid w:val="002D3664"/>
    <w:rsid w:val="002D3F23"/>
    <w:rsid w:val="002D3F6B"/>
    <w:rsid w:val="002E193E"/>
    <w:rsid w:val="002E2D87"/>
    <w:rsid w:val="002E44D7"/>
    <w:rsid w:val="002E62D4"/>
    <w:rsid w:val="002E72AC"/>
    <w:rsid w:val="002E72C3"/>
    <w:rsid w:val="002F1353"/>
    <w:rsid w:val="002F136F"/>
    <w:rsid w:val="002F15F2"/>
    <w:rsid w:val="002F1756"/>
    <w:rsid w:val="002F1B3F"/>
    <w:rsid w:val="002F4156"/>
    <w:rsid w:val="002F4C04"/>
    <w:rsid w:val="002F4CDB"/>
    <w:rsid w:val="002F5DA4"/>
    <w:rsid w:val="002F69CF"/>
    <w:rsid w:val="003004F2"/>
    <w:rsid w:val="00300F0F"/>
    <w:rsid w:val="003054A5"/>
    <w:rsid w:val="003054CF"/>
    <w:rsid w:val="00306705"/>
    <w:rsid w:val="00310C8B"/>
    <w:rsid w:val="003110DC"/>
    <w:rsid w:val="00312B3E"/>
    <w:rsid w:val="00315A29"/>
    <w:rsid w:val="00317338"/>
    <w:rsid w:val="0032055F"/>
    <w:rsid w:val="00321340"/>
    <w:rsid w:val="003213EC"/>
    <w:rsid w:val="003261AF"/>
    <w:rsid w:val="003268C5"/>
    <w:rsid w:val="00327567"/>
    <w:rsid w:val="00330309"/>
    <w:rsid w:val="00330B91"/>
    <w:rsid w:val="00332AFA"/>
    <w:rsid w:val="00335318"/>
    <w:rsid w:val="003366AB"/>
    <w:rsid w:val="00336B3B"/>
    <w:rsid w:val="00341D03"/>
    <w:rsid w:val="00343E7A"/>
    <w:rsid w:val="00345667"/>
    <w:rsid w:val="003456E0"/>
    <w:rsid w:val="00345DCE"/>
    <w:rsid w:val="0034629D"/>
    <w:rsid w:val="00346799"/>
    <w:rsid w:val="00347E30"/>
    <w:rsid w:val="003506CA"/>
    <w:rsid w:val="0035168A"/>
    <w:rsid w:val="00353B3C"/>
    <w:rsid w:val="00355D57"/>
    <w:rsid w:val="00355E1E"/>
    <w:rsid w:val="003564BB"/>
    <w:rsid w:val="00360836"/>
    <w:rsid w:val="00361C1F"/>
    <w:rsid w:val="00362F31"/>
    <w:rsid w:val="00363960"/>
    <w:rsid w:val="003641E8"/>
    <w:rsid w:val="00364925"/>
    <w:rsid w:val="0036519C"/>
    <w:rsid w:val="0037081A"/>
    <w:rsid w:val="00371316"/>
    <w:rsid w:val="003721AF"/>
    <w:rsid w:val="00372326"/>
    <w:rsid w:val="00373655"/>
    <w:rsid w:val="0037416E"/>
    <w:rsid w:val="0038031D"/>
    <w:rsid w:val="0038054E"/>
    <w:rsid w:val="0038146B"/>
    <w:rsid w:val="003846D0"/>
    <w:rsid w:val="00387A41"/>
    <w:rsid w:val="00392BF6"/>
    <w:rsid w:val="00394ED9"/>
    <w:rsid w:val="003A0B6C"/>
    <w:rsid w:val="003A2923"/>
    <w:rsid w:val="003A5C66"/>
    <w:rsid w:val="003B0831"/>
    <w:rsid w:val="003B3402"/>
    <w:rsid w:val="003B7D43"/>
    <w:rsid w:val="003C00D5"/>
    <w:rsid w:val="003C2A25"/>
    <w:rsid w:val="003C3A79"/>
    <w:rsid w:val="003D05B2"/>
    <w:rsid w:val="003D0DAC"/>
    <w:rsid w:val="003D0DB8"/>
    <w:rsid w:val="003D15A9"/>
    <w:rsid w:val="003D3C35"/>
    <w:rsid w:val="003D5FAD"/>
    <w:rsid w:val="003D6A24"/>
    <w:rsid w:val="003E05A7"/>
    <w:rsid w:val="003E25A6"/>
    <w:rsid w:val="003E714F"/>
    <w:rsid w:val="003F1A80"/>
    <w:rsid w:val="003F28C3"/>
    <w:rsid w:val="003F4E83"/>
    <w:rsid w:val="003F5880"/>
    <w:rsid w:val="003F58E1"/>
    <w:rsid w:val="003F5DCD"/>
    <w:rsid w:val="00400A4D"/>
    <w:rsid w:val="004011C3"/>
    <w:rsid w:val="00401C41"/>
    <w:rsid w:val="00404A4B"/>
    <w:rsid w:val="004113C4"/>
    <w:rsid w:val="00413C3F"/>
    <w:rsid w:val="00414E5A"/>
    <w:rsid w:val="00415E02"/>
    <w:rsid w:val="00420D9D"/>
    <w:rsid w:val="00421963"/>
    <w:rsid w:val="004225E1"/>
    <w:rsid w:val="004229EB"/>
    <w:rsid w:val="0042309C"/>
    <w:rsid w:val="00423A04"/>
    <w:rsid w:val="00426CAE"/>
    <w:rsid w:val="00426E2C"/>
    <w:rsid w:val="0042755D"/>
    <w:rsid w:val="0042788E"/>
    <w:rsid w:val="00427CB5"/>
    <w:rsid w:val="00436F25"/>
    <w:rsid w:val="00440381"/>
    <w:rsid w:val="00440592"/>
    <w:rsid w:val="004414B1"/>
    <w:rsid w:val="004429F1"/>
    <w:rsid w:val="00442CB6"/>
    <w:rsid w:val="0044395E"/>
    <w:rsid w:val="00443BAE"/>
    <w:rsid w:val="00446421"/>
    <w:rsid w:val="00447F66"/>
    <w:rsid w:val="00453D5D"/>
    <w:rsid w:val="0045483C"/>
    <w:rsid w:val="004548EF"/>
    <w:rsid w:val="00455EB7"/>
    <w:rsid w:val="00466992"/>
    <w:rsid w:val="00467964"/>
    <w:rsid w:val="00467A97"/>
    <w:rsid w:val="00470074"/>
    <w:rsid w:val="004719A0"/>
    <w:rsid w:val="00476FEF"/>
    <w:rsid w:val="00477601"/>
    <w:rsid w:val="004865BA"/>
    <w:rsid w:val="00486784"/>
    <w:rsid w:val="004915FB"/>
    <w:rsid w:val="00491E58"/>
    <w:rsid w:val="00493E45"/>
    <w:rsid w:val="00493EA6"/>
    <w:rsid w:val="00497BC2"/>
    <w:rsid w:val="004A0252"/>
    <w:rsid w:val="004A029F"/>
    <w:rsid w:val="004A1F0D"/>
    <w:rsid w:val="004A28B7"/>
    <w:rsid w:val="004A3401"/>
    <w:rsid w:val="004A3430"/>
    <w:rsid w:val="004A6082"/>
    <w:rsid w:val="004A61AB"/>
    <w:rsid w:val="004A77B2"/>
    <w:rsid w:val="004B1CA5"/>
    <w:rsid w:val="004B1D8F"/>
    <w:rsid w:val="004B2100"/>
    <w:rsid w:val="004B4402"/>
    <w:rsid w:val="004C0B6E"/>
    <w:rsid w:val="004C15AD"/>
    <w:rsid w:val="004C4EA6"/>
    <w:rsid w:val="004D2AE6"/>
    <w:rsid w:val="004D43E3"/>
    <w:rsid w:val="004D521C"/>
    <w:rsid w:val="004D539D"/>
    <w:rsid w:val="004E2DEA"/>
    <w:rsid w:val="004E4199"/>
    <w:rsid w:val="004E5C71"/>
    <w:rsid w:val="004E70A5"/>
    <w:rsid w:val="004E78DF"/>
    <w:rsid w:val="004F678D"/>
    <w:rsid w:val="005000E5"/>
    <w:rsid w:val="005055FA"/>
    <w:rsid w:val="00506AA3"/>
    <w:rsid w:val="00506AB0"/>
    <w:rsid w:val="00506DA1"/>
    <w:rsid w:val="00510892"/>
    <w:rsid w:val="00511338"/>
    <w:rsid w:val="005117BF"/>
    <w:rsid w:val="005118F2"/>
    <w:rsid w:val="0051370E"/>
    <w:rsid w:val="005152F9"/>
    <w:rsid w:val="005159EF"/>
    <w:rsid w:val="00515CE9"/>
    <w:rsid w:val="00521786"/>
    <w:rsid w:val="0052228C"/>
    <w:rsid w:val="005238A3"/>
    <w:rsid w:val="00523CF3"/>
    <w:rsid w:val="00524A77"/>
    <w:rsid w:val="0052650D"/>
    <w:rsid w:val="00530D2C"/>
    <w:rsid w:val="00535FDE"/>
    <w:rsid w:val="00536475"/>
    <w:rsid w:val="00540D5D"/>
    <w:rsid w:val="0054263F"/>
    <w:rsid w:val="005427B9"/>
    <w:rsid w:val="00542CB0"/>
    <w:rsid w:val="00543F7C"/>
    <w:rsid w:val="005443C8"/>
    <w:rsid w:val="00544B67"/>
    <w:rsid w:val="00544C17"/>
    <w:rsid w:val="00546655"/>
    <w:rsid w:val="005470FA"/>
    <w:rsid w:val="0055061A"/>
    <w:rsid w:val="00551FF7"/>
    <w:rsid w:val="00552972"/>
    <w:rsid w:val="00552A46"/>
    <w:rsid w:val="00554A7D"/>
    <w:rsid w:val="005624E6"/>
    <w:rsid w:val="005635FF"/>
    <w:rsid w:val="005709FE"/>
    <w:rsid w:val="005714B5"/>
    <w:rsid w:val="005724D4"/>
    <w:rsid w:val="00572E9C"/>
    <w:rsid w:val="0057438A"/>
    <w:rsid w:val="0057484A"/>
    <w:rsid w:val="00575542"/>
    <w:rsid w:val="00577E08"/>
    <w:rsid w:val="0058015C"/>
    <w:rsid w:val="00581406"/>
    <w:rsid w:val="0058318B"/>
    <w:rsid w:val="00584003"/>
    <w:rsid w:val="0058500A"/>
    <w:rsid w:val="00586E32"/>
    <w:rsid w:val="00586EDB"/>
    <w:rsid w:val="00587091"/>
    <w:rsid w:val="00587205"/>
    <w:rsid w:val="00587AE4"/>
    <w:rsid w:val="00590349"/>
    <w:rsid w:val="00590B7F"/>
    <w:rsid w:val="00591B9C"/>
    <w:rsid w:val="00592511"/>
    <w:rsid w:val="00593FAA"/>
    <w:rsid w:val="00594CC2"/>
    <w:rsid w:val="0059652D"/>
    <w:rsid w:val="005978DA"/>
    <w:rsid w:val="005A03CA"/>
    <w:rsid w:val="005A181D"/>
    <w:rsid w:val="005A337B"/>
    <w:rsid w:val="005A385E"/>
    <w:rsid w:val="005A4BAF"/>
    <w:rsid w:val="005A5878"/>
    <w:rsid w:val="005B2598"/>
    <w:rsid w:val="005B3173"/>
    <w:rsid w:val="005B42E0"/>
    <w:rsid w:val="005B6911"/>
    <w:rsid w:val="005C0ECD"/>
    <w:rsid w:val="005C3C1E"/>
    <w:rsid w:val="005C400F"/>
    <w:rsid w:val="005C4F5A"/>
    <w:rsid w:val="005C75CB"/>
    <w:rsid w:val="005D132D"/>
    <w:rsid w:val="005D33BF"/>
    <w:rsid w:val="005D58F7"/>
    <w:rsid w:val="005D6C2C"/>
    <w:rsid w:val="005D7B9F"/>
    <w:rsid w:val="005D7DF5"/>
    <w:rsid w:val="005E073A"/>
    <w:rsid w:val="005E0C1F"/>
    <w:rsid w:val="005E2AAA"/>
    <w:rsid w:val="005E3140"/>
    <w:rsid w:val="005E39A2"/>
    <w:rsid w:val="005F49AD"/>
    <w:rsid w:val="005F599F"/>
    <w:rsid w:val="005F5CFF"/>
    <w:rsid w:val="005F6EF8"/>
    <w:rsid w:val="005F7CC6"/>
    <w:rsid w:val="00600E06"/>
    <w:rsid w:val="00604F13"/>
    <w:rsid w:val="00611E9A"/>
    <w:rsid w:val="006155A1"/>
    <w:rsid w:val="00615A26"/>
    <w:rsid w:val="006179C1"/>
    <w:rsid w:val="006207E7"/>
    <w:rsid w:val="00620DCC"/>
    <w:rsid w:val="00621A7A"/>
    <w:rsid w:val="00621E44"/>
    <w:rsid w:val="0062276C"/>
    <w:rsid w:val="00622818"/>
    <w:rsid w:val="0062289D"/>
    <w:rsid w:val="006237D3"/>
    <w:rsid w:val="0062414F"/>
    <w:rsid w:val="00625A31"/>
    <w:rsid w:val="00627C45"/>
    <w:rsid w:val="006304A3"/>
    <w:rsid w:val="0063191C"/>
    <w:rsid w:val="00633BB4"/>
    <w:rsid w:val="00633BC0"/>
    <w:rsid w:val="00640A86"/>
    <w:rsid w:val="00642071"/>
    <w:rsid w:val="00643D89"/>
    <w:rsid w:val="00644294"/>
    <w:rsid w:val="00651A90"/>
    <w:rsid w:val="00653FE0"/>
    <w:rsid w:val="0065431B"/>
    <w:rsid w:val="00654F45"/>
    <w:rsid w:val="0065534E"/>
    <w:rsid w:val="006568AE"/>
    <w:rsid w:val="00656D06"/>
    <w:rsid w:val="006575BF"/>
    <w:rsid w:val="006638A6"/>
    <w:rsid w:val="00663C26"/>
    <w:rsid w:val="00665BFB"/>
    <w:rsid w:val="00665F0A"/>
    <w:rsid w:val="00666D37"/>
    <w:rsid w:val="006674C8"/>
    <w:rsid w:val="00670CBF"/>
    <w:rsid w:val="00671998"/>
    <w:rsid w:val="006727A9"/>
    <w:rsid w:val="006727E0"/>
    <w:rsid w:val="00672EE1"/>
    <w:rsid w:val="0067610C"/>
    <w:rsid w:val="00680B9F"/>
    <w:rsid w:val="0068141B"/>
    <w:rsid w:val="00684E7D"/>
    <w:rsid w:val="00685865"/>
    <w:rsid w:val="0068630C"/>
    <w:rsid w:val="00686CB4"/>
    <w:rsid w:val="00690905"/>
    <w:rsid w:val="00691318"/>
    <w:rsid w:val="00691F10"/>
    <w:rsid w:val="00693468"/>
    <w:rsid w:val="00693D6F"/>
    <w:rsid w:val="00694398"/>
    <w:rsid w:val="00695293"/>
    <w:rsid w:val="00695658"/>
    <w:rsid w:val="006A0187"/>
    <w:rsid w:val="006A338B"/>
    <w:rsid w:val="006A5B07"/>
    <w:rsid w:val="006A64A8"/>
    <w:rsid w:val="006B10B3"/>
    <w:rsid w:val="006B24A4"/>
    <w:rsid w:val="006B3540"/>
    <w:rsid w:val="006C0C55"/>
    <w:rsid w:val="006C70B1"/>
    <w:rsid w:val="006C7463"/>
    <w:rsid w:val="006C7C27"/>
    <w:rsid w:val="006D2761"/>
    <w:rsid w:val="006D35C5"/>
    <w:rsid w:val="006D5421"/>
    <w:rsid w:val="006E1B2A"/>
    <w:rsid w:val="006E4FA8"/>
    <w:rsid w:val="006E697A"/>
    <w:rsid w:val="006F05BE"/>
    <w:rsid w:val="006F2A14"/>
    <w:rsid w:val="006F349F"/>
    <w:rsid w:val="006F3CAA"/>
    <w:rsid w:val="006F48F6"/>
    <w:rsid w:val="006F543B"/>
    <w:rsid w:val="006F5D5D"/>
    <w:rsid w:val="006F7702"/>
    <w:rsid w:val="006F7964"/>
    <w:rsid w:val="00700964"/>
    <w:rsid w:val="0070130D"/>
    <w:rsid w:val="0070172A"/>
    <w:rsid w:val="007019B0"/>
    <w:rsid w:val="0070695C"/>
    <w:rsid w:val="007120B5"/>
    <w:rsid w:val="00712613"/>
    <w:rsid w:val="00713267"/>
    <w:rsid w:val="00716277"/>
    <w:rsid w:val="007179D1"/>
    <w:rsid w:val="00722674"/>
    <w:rsid w:val="007302A6"/>
    <w:rsid w:val="00735A0C"/>
    <w:rsid w:val="00737BD1"/>
    <w:rsid w:val="00740545"/>
    <w:rsid w:val="00741E26"/>
    <w:rsid w:val="0074203E"/>
    <w:rsid w:val="00747A2F"/>
    <w:rsid w:val="007510BC"/>
    <w:rsid w:val="0075197C"/>
    <w:rsid w:val="00753C7F"/>
    <w:rsid w:val="00754A63"/>
    <w:rsid w:val="00754C96"/>
    <w:rsid w:val="007614F6"/>
    <w:rsid w:val="0076692D"/>
    <w:rsid w:val="00771C81"/>
    <w:rsid w:val="007722E5"/>
    <w:rsid w:val="00775543"/>
    <w:rsid w:val="00781798"/>
    <w:rsid w:val="00782BF7"/>
    <w:rsid w:val="00786C15"/>
    <w:rsid w:val="0079151F"/>
    <w:rsid w:val="00792DA3"/>
    <w:rsid w:val="00793DAC"/>
    <w:rsid w:val="007977B0"/>
    <w:rsid w:val="007A0685"/>
    <w:rsid w:val="007A12FB"/>
    <w:rsid w:val="007A245C"/>
    <w:rsid w:val="007A2E57"/>
    <w:rsid w:val="007A3875"/>
    <w:rsid w:val="007A71FF"/>
    <w:rsid w:val="007A796F"/>
    <w:rsid w:val="007B10B9"/>
    <w:rsid w:val="007B1AC7"/>
    <w:rsid w:val="007B43BB"/>
    <w:rsid w:val="007B5E3D"/>
    <w:rsid w:val="007C096C"/>
    <w:rsid w:val="007C185F"/>
    <w:rsid w:val="007C4BD1"/>
    <w:rsid w:val="007C5767"/>
    <w:rsid w:val="007C6C06"/>
    <w:rsid w:val="007D2567"/>
    <w:rsid w:val="007D334C"/>
    <w:rsid w:val="007D48F2"/>
    <w:rsid w:val="007D4B23"/>
    <w:rsid w:val="007D52F1"/>
    <w:rsid w:val="007D5FA7"/>
    <w:rsid w:val="007D63B9"/>
    <w:rsid w:val="007E1A3F"/>
    <w:rsid w:val="007E277C"/>
    <w:rsid w:val="007E2CDB"/>
    <w:rsid w:val="007E426C"/>
    <w:rsid w:val="007E5517"/>
    <w:rsid w:val="007E56A0"/>
    <w:rsid w:val="007E5827"/>
    <w:rsid w:val="007E7C12"/>
    <w:rsid w:val="007F1DC0"/>
    <w:rsid w:val="007F1EEF"/>
    <w:rsid w:val="007F2861"/>
    <w:rsid w:val="007F5733"/>
    <w:rsid w:val="00804BED"/>
    <w:rsid w:val="008070E2"/>
    <w:rsid w:val="0080720D"/>
    <w:rsid w:val="008079B1"/>
    <w:rsid w:val="008147A5"/>
    <w:rsid w:val="00814A03"/>
    <w:rsid w:val="00815625"/>
    <w:rsid w:val="00815E72"/>
    <w:rsid w:val="008239A7"/>
    <w:rsid w:val="00825705"/>
    <w:rsid w:val="008265E7"/>
    <w:rsid w:val="00827DCD"/>
    <w:rsid w:val="0083058B"/>
    <w:rsid w:val="008317D6"/>
    <w:rsid w:val="00832E4D"/>
    <w:rsid w:val="00834F88"/>
    <w:rsid w:val="008358D4"/>
    <w:rsid w:val="008358D5"/>
    <w:rsid w:val="00835E2C"/>
    <w:rsid w:val="00835EEC"/>
    <w:rsid w:val="00836A18"/>
    <w:rsid w:val="00837E2D"/>
    <w:rsid w:val="0084063A"/>
    <w:rsid w:val="00843278"/>
    <w:rsid w:val="008442E8"/>
    <w:rsid w:val="008443F2"/>
    <w:rsid w:val="00844F8E"/>
    <w:rsid w:val="00845256"/>
    <w:rsid w:val="008478B3"/>
    <w:rsid w:val="00850AA2"/>
    <w:rsid w:val="00852090"/>
    <w:rsid w:val="008520F4"/>
    <w:rsid w:val="008523B5"/>
    <w:rsid w:val="008549BA"/>
    <w:rsid w:val="008644B1"/>
    <w:rsid w:val="00864767"/>
    <w:rsid w:val="00864867"/>
    <w:rsid w:val="008651FF"/>
    <w:rsid w:val="00866039"/>
    <w:rsid w:val="00866A35"/>
    <w:rsid w:val="008709F4"/>
    <w:rsid w:val="00871D12"/>
    <w:rsid w:val="0087719A"/>
    <w:rsid w:val="00881E5C"/>
    <w:rsid w:val="008820CD"/>
    <w:rsid w:val="00885607"/>
    <w:rsid w:val="00885F41"/>
    <w:rsid w:val="0088636C"/>
    <w:rsid w:val="00887BA4"/>
    <w:rsid w:val="00893BB6"/>
    <w:rsid w:val="00895035"/>
    <w:rsid w:val="008954C6"/>
    <w:rsid w:val="00896880"/>
    <w:rsid w:val="008A0876"/>
    <w:rsid w:val="008A2279"/>
    <w:rsid w:val="008A2D23"/>
    <w:rsid w:val="008A307F"/>
    <w:rsid w:val="008B0DEA"/>
    <w:rsid w:val="008B18D0"/>
    <w:rsid w:val="008B42CA"/>
    <w:rsid w:val="008B48A4"/>
    <w:rsid w:val="008B66AB"/>
    <w:rsid w:val="008C1325"/>
    <w:rsid w:val="008C2944"/>
    <w:rsid w:val="008C7897"/>
    <w:rsid w:val="008D04DD"/>
    <w:rsid w:val="008D06EC"/>
    <w:rsid w:val="008D0E01"/>
    <w:rsid w:val="008D183E"/>
    <w:rsid w:val="008D242D"/>
    <w:rsid w:val="008D2BCB"/>
    <w:rsid w:val="008D3800"/>
    <w:rsid w:val="008D61AE"/>
    <w:rsid w:val="008D6990"/>
    <w:rsid w:val="008D6B82"/>
    <w:rsid w:val="008E0E74"/>
    <w:rsid w:val="008E0E84"/>
    <w:rsid w:val="008E1E6F"/>
    <w:rsid w:val="008E2F75"/>
    <w:rsid w:val="008E3B83"/>
    <w:rsid w:val="008E430A"/>
    <w:rsid w:val="008E4AB6"/>
    <w:rsid w:val="008E5FCF"/>
    <w:rsid w:val="008F0CF2"/>
    <w:rsid w:val="008F149B"/>
    <w:rsid w:val="008F1752"/>
    <w:rsid w:val="008F1C1E"/>
    <w:rsid w:val="008F1DD8"/>
    <w:rsid w:val="008F222E"/>
    <w:rsid w:val="008F366B"/>
    <w:rsid w:val="008F54CF"/>
    <w:rsid w:val="008F6F82"/>
    <w:rsid w:val="008F7551"/>
    <w:rsid w:val="009025B0"/>
    <w:rsid w:val="00904DC1"/>
    <w:rsid w:val="00907D53"/>
    <w:rsid w:val="00910170"/>
    <w:rsid w:val="009125F9"/>
    <w:rsid w:val="00913ACB"/>
    <w:rsid w:val="00915AB9"/>
    <w:rsid w:val="009166F7"/>
    <w:rsid w:val="00916DF6"/>
    <w:rsid w:val="00917446"/>
    <w:rsid w:val="009211AF"/>
    <w:rsid w:val="00921DCA"/>
    <w:rsid w:val="00924668"/>
    <w:rsid w:val="00925DD1"/>
    <w:rsid w:val="009262A0"/>
    <w:rsid w:val="00926A2E"/>
    <w:rsid w:val="00927164"/>
    <w:rsid w:val="00927BD9"/>
    <w:rsid w:val="00931ADB"/>
    <w:rsid w:val="00932339"/>
    <w:rsid w:val="00932AA7"/>
    <w:rsid w:val="00933619"/>
    <w:rsid w:val="009407D6"/>
    <w:rsid w:val="00941236"/>
    <w:rsid w:val="009434BB"/>
    <w:rsid w:val="0094519B"/>
    <w:rsid w:val="009451A2"/>
    <w:rsid w:val="00947AEB"/>
    <w:rsid w:val="00955655"/>
    <w:rsid w:val="009557C3"/>
    <w:rsid w:val="00955A43"/>
    <w:rsid w:val="00956B92"/>
    <w:rsid w:val="0096084F"/>
    <w:rsid w:val="00962A95"/>
    <w:rsid w:val="009637AB"/>
    <w:rsid w:val="00965C73"/>
    <w:rsid w:val="00965E11"/>
    <w:rsid w:val="00966B98"/>
    <w:rsid w:val="0097168F"/>
    <w:rsid w:val="00971E73"/>
    <w:rsid w:val="00974164"/>
    <w:rsid w:val="009779E9"/>
    <w:rsid w:val="009814C8"/>
    <w:rsid w:val="00982E57"/>
    <w:rsid w:val="009848D0"/>
    <w:rsid w:val="009855C6"/>
    <w:rsid w:val="00985E36"/>
    <w:rsid w:val="00991368"/>
    <w:rsid w:val="0099159A"/>
    <w:rsid w:val="009918B9"/>
    <w:rsid w:val="0099361B"/>
    <w:rsid w:val="0099378C"/>
    <w:rsid w:val="0099381E"/>
    <w:rsid w:val="00993A4F"/>
    <w:rsid w:val="009943E4"/>
    <w:rsid w:val="009A4E97"/>
    <w:rsid w:val="009A5FF4"/>
    <w:rsid w:val="009A6058"/>
    <w:rsid w:val="009B102F"/>
    <w:rsid w:val="009B36CF"/>
    <w:rsid w:val="009B44B2"/>
    <w:rsid w:val="009B65E5"/>
    <w:rsid w:val="009B67A9"/>
    <w:rsid w:val="009B75B2"/>
    <w:rsid w:val="009C13A1"/>
    <w:rsid w:val="009C3AE0"/>
    <w:rsid w:val="009C7500"/>
    <w:rsid w:val="009C793B"/>
    <w:rsid w:val="009C7F3E"/>
    <w:rsid w:val="009D291D"/>
    <w:rsid w:val="009D3132"/>
    <w:rsid w:val="009D3225"/>
    <w:rsid w:val="009D3569"/>
    <w:rsid w:val="009D3597"/>
    <w:rsid w:val="009D36D0"/>
    <w:rsid w:val="009D36ED"/>
    <w:rsid w:val="009D39CB"/>
    <w:rsid w:val="009D47D9"/>
    <w:rsid w:val="009D4D3F"/>
    <w:rsid w:val="009E1C61"/>
    <w:rsid w:val="009E2426"/>
    <w:rsid w:val="009E6EBF"/>
    <w:rsid w:val="009E7793"/>
    <w:rsid w:val="009F2CD9"/>
    <w:rsid w:val="009F3043"/>
    <w:rsid w:val="009F4B53"/>
    <w:rsid w:val="009F5343"/>
    <w:rsid w:val="009F5513"/>
    <w:rsid w:val="009F5C9D"/>
    <w:rsid w:val="009F711E"/>
    <w:rsid w:val="00A00CE6"/>
    <w:rsid w:val="00A03A6F"/>
    <w:rsid w:val="00A067EA"/>
    <w:rsid w:val="00A132D2"/>
    <w:rsid w:val="00A13F20"/>
    <w:rsid w:val="00A14A32"/>
    <w:rsid w:val="00A14DE4"/>
    <w:rsid w:val="00A15D60"/>
    <w:rsid w:val="00A174DD"/>
    <w:rsid w:val="00A176E7"/>
    <w:rsid w:val="00A232EA"/>
    <w:rsid w:val="00A24F07"/>
    <w:rsid w:val="00A27915"/>
    <w:rsid w:val="00A3753F"/>
    <w:rsid w:val="00A376BF"/>
    <w:rsid w:val="00A379CE"/>
    <w:rsid w:val="00A45F15"/>
    <w:rsid w:val="00A473E9"/>
    <w:rsid w:val="00A508C9"/>
    <w:rsid w:val="00A52DAB"/>
    <w:rsid w:val="00A54054"/>
    <w:rsid w:val="00A5746D"/>
    <w:rsid w:val="00A61EBF"/>
    <w:rsid w:val="00A664FE"/>
    <w:rsid w:val="00A668DE"/>
    <w:rsid w:val="00A675FD"/>
    <w:rsid w:val="00A742F4"/>
    <w:rsid w:val="00A814E9"/>
    <w:rsid w:val="00A865C8"/>
    <w:rsid w:val="00A87586"/>
    <w:rsid w:val="00A91459"/>
    <w:rsid w:val="00A91490"/>
    <w:rsid w:val="00A94B5D"/>
    <w:rsid w:val="00A95F07"/>
    <w:rsid w:val="00A9670D"/>
    <w:rsid w:val="00AA0CA2"/>
    <w:rsid w:val="00AA1227"/>
    <w:rsid w:val="00AA1FD8"/>
    <w:rsid w:val="00AA2D7A"/>
    <w:rsid w:val="00AA3460"/>
    <w:rsid w:val="00AA640A"/>
    <w:rsid w:val="00AB2D8C"/>
    <w:rsid w:val="00AB32DC"/>
    <w:rsid w:val="00AB3F4E"/>
    <w:rsid w:val="00AB70D2"/>
    <w:rsid w:val="00AC24D4"/>
    <w:rsid w:val="00AC4B5A"/>
    <w:rsid w:val="00AC5649"/>
    <w:rsid w:val="00AC6D75"/>
    <w:rsid w:val="00AC7776"/>
    <w:rsid w:val="00AD00DF"/>
    <w:rsid w:val="00AD06BD"/>
    <w:rsid w:val="00AD1C46"/>
    <w:rsid w:val="00AD66E6"/>
    <w:rsid w:val="00AD6D7C"/>
    <w:rsid w:val="00AE0B71"/>
    <w:rsid w:val="00AE1CA3"/>
    <w:rsid w:val="00AE4231"/>
    <w:rsid w:val="00AE4CB2"/>
    <w:rsid w:val="00AE661C"/>
    <w:rsid w:val="00AF4822"/>
    <w:rsid w:val="00AF792E"/>
    <w:rsid w:val="00B02185"/>
    <w:rsid w:val="00B03850"/>
    <w:rsid w:val="00B044C3"/>
    <w:rsid w:val="00B05CD1"/>
    <w:rsid w:val="00B076C4"/>
    <w:rsid w:val="00B116C0"/>
    <w:rsid w:val="00B11BBC"/>
    <w:rsid w:val="00B1347A"/>
    <w:rsid w:val="00B14806"/>
    <w:rsid w:val="00B14820"/>
    <w:rsid w:val="00B16205"/>
    <w:rsid w:val="00B17447"/>
    <w:rsid w:val="00B21D91"/>
    <w:rsid w:val="00B2201C"/>
    <w:rsid w:val="00B2275C"/>
    <w:rsid w:val="00B22E74"/>
    <w:rsid w:val="00B23EF4"/>
    <w:rsid w:val="00B25566"/>
    <w:rsid w:val="00B2696E"/>
    <w:rsid w:val="00B3130C"/>
    <w:rsid w:val="00B32066"/>
    <w:rsid w:val="00B325F5"/>
    <w:rsid w:val="00B3279A"/>
    <w:rsid w:val="00B3393F"/>
    <w:rsid w:val="00B33B16"/>
    <w:rsid w:val="00B35FC9"/>
    <w:rsid w:val="00B369A1"/>
    <w:rsid w:val="00B3726D"/>
    <w:rsid w:val="00B377A1"/>
    <w:rsid w:val="00B44AFA"/>
    <w:rsid w:val="00B5252F"/>
    <w:rsid w:val="00B535F6"/>
    <w:rsid w:val="00B5390F"/>
    <w:rsid w:val="00B55738"/>
    <w:rsid w:val="00B576C0"/>
    <w:rsid w:val="00B6155B"/>
    <w:rsid w:val="00B616FB"/>
    <w:rsid w:val="00B65F0C"/>
    <w:rsid w:val="00B6631D"/>
    <w:rsid w:val="00B66AB9"/>
    <w:rsid w:val="00B66E12"/>
    <w:rsid w:val="00B73827"/>
    <w:rsid w:val="00B7389F"/>
    <w:rsid w:val="00B74BDD"/>
    <w:rsid w:val="00B75E3A"/>
    <w:rsid w:val="00B77AB5"/>
    <w:rsid w:val="00B77C9A"/>
    <w:rsid w:val="00B80483"/>
    <w:rsid w:val="00B81478"/>
    <w:rsid w:val="00B82860"/>
    <w:rsid w:val="00B84333"/>
    <w:rsid w:val="00B85CCD"/>
    <w:rsid w:val="00B86A47"/>
    <w:rsid w:val="00B86E3A"/>
    <w:rsid w:val="00B87AB5"/>
    <w:rsid w:val="00B901CE"/>
    <w:rsid w:val="00B90771"/>
    <w:rsid w:val="00B91B64"/>
    <w:rsid w:val="00B91E5C"/>
    <w:rsid w:val="00B946E2"/>
    <w:rsid w:val="00B967A7"/>
    <w:rsid w:val="00BA0E11"/>
    <w:rsid w:val="00BA3794"/>
    <w:rsid w:val="00BA3863"/>
    <w:rsid w:val="00BA48FA"/>
    <w:rsid w:val="00BA5C54"/>
    <w:rsid w:val="00BB0420"/>
    <w:rsid w:val="00BB0564"/>
    <w:rsid w:val="00BB09A6"/>
    <w:rsid w:val="00BB104C"/>
    <w:rsid w:val="00BB2358"/>
    <w:rsid w:val="00BB27A2"/>
    <w:rsid w:val="00BB3315"/>
    <w:rsid w:val="00BB3B32"/>
    <w:rsid w:val="00BB48C9"/>
    <w:rsid w:val="00BB4CEF"/>
    <w:rsid w:val="00BB4E31"/>
    <w:rsid w:val="00BB4F0B"/>
    <w:rsid w:val="00BB5AC7"/>
    <w:rsid w:val="00BB7478"/>
    <w:rsid w:val="00BB7AB7"/>
    <w:rsid w:val="00BC19AB"/>
    <w:rsid w:val="00BC1B72"/>
    <w:rsid w:val="00BC248E"/>
    <w:rsid w:val="00BC7195"/>
    <w:rsid w:val="00BD0AB1"/>
    <w:rsid w:val="00BD2BA5"/>
    <w:rsid w:val="00BD448B"/>
    <w:rsid w:val="00BD4BFA"/>
    <w:rsid w:val="00BE0A2D"/>
    <w:rsid w:val="00BE0EFC"/>
    <w:rsid w:val="00BE202D"/>
    <w:rsid w:val="00BE276A"/>
    <w:rsid w:val="00BE2AEA"/>
    <w:rsid w:val="00BE6240"/>
    <w:rsid w:val="00BE7141"/>
    <w:rsid w:val="00BF2694"/>
    <w:rsid w:val="00BF2D1A"/>
    <w:rsid w:val="00BF300C"/>
    <w:rsid w:val="00BF3783"/>
    <w:rsid w:val="00BF517B"/>
    <w:rsid w:val="00BF6DA2"/>
    <w:rsid w:val="00BF6E7F"/>
    <w:rsid w:val="00BF7848"/>
    <w:rsid w:val="00C00FEC"/>
    <w:rsid w:val="00C0107A"/>
    <w:rsid w:val="00C012E3"/>
    <w:rsid w:val="00C0330D"/>
    <w:rsid w:val="00C04FB9"/>
    <w:rsid w:val="00C05745"/>
    <w:rsid w:val="00C05E26"/>
    <w:rsid w:val="00C06EBF"/>
    <w:rsid w:val="00C079DC"/>
    <w:rsid w:val="00C1011A"/>
    <w:rsid w:val="00C1036B"/>
    <w:rsid w:val="00C10482"/>
    <w:rsid w:val="00C118C8"/>
    <w:rsid w:val="00C1297B"/>
    <w:rsid w:val="00C13841"/>
    <w:rsid w:val="00C14302"/>
    <w:rsid w:val="00C1490A"/>
    <w:rsid w:val="00C20551"/>
    <w:rsid w:val="00C219AA"/>
    <w:rsid w:val="00C23ACD"/>
    <w:rsid w:val="00C26646"/>
    <w:rsid w:val="00C27654"/>
    <w:rsid w:val="00C2788B"/>
    <w:rsid w:val="00C307EA"/>
    <w:rsid w:val="00C32976"/>
    <w:rsid w:val="00C32AC6"/>
    <w:rsid w:val="00C33FA7"/>
    <w:rsid w:val="00C35432"/>
    <w:rsid w:val="00C366AA"/>
    <w:rsid w:val="00C403ED"/>
    <w:rsid w:val="00C414A2"/>
    <w:rsid w:val="00C4186B"/>
    <w:rsid w:val="00C42AFF"/>
    <w:rsid w:val="00C42CA1"/>
    <w:rsid w:val="00C43496"/>
    <w:rsid w:val="00C43D13"/>
    <w:rsid w:val="00C51D9B"/>
    <w:rsid w:val="00C55C6C"/>
    <w:rsid w:val="00C560B8"/>
    <w:rsid w:val="00C561C1"/>
    <w:rsid w:val="00C56A18"/>
    <w:rsid w:val="00C60EE9"/>
    <w:rsid w:val="00C614B0"/>
    <w:rsid w:val="00C71071"/>
    <w:rsid w:val="00C71B70"/>
    <w:rsid w:val="00C71BA8"/>
    <w:rsid w:val="00C7330E"/>
    <w:rsid w:val="00C804BC"/>
    <w:rsid w:val="00C85A66"/>
    <w:rsid w:val="00C86A21"/>
    <w:rsid w:val="00C873B5"/>
    <w:rsid w:val="00C941DB"/>
    <w:rsid w:val="00C9729B"/>
    <w:rsid w:val="00C9793E"/>
    <w:rsid w:val="00CA00DD"/>
    <w:rsid w:val="00CA1037"/>
    <w:rsid w:val="00CA1055"/>
    <w:rsid w:val="00CA1E34"/>
    <w:rsid w:val="00CA2757"/>
    <w:rsid w:val="00CA3FB0"/>
    <w:rsid w:val="00CA45AE"/>
    <w:rsid w:val="00CA6CEE"/>
    <w:rsid w:val="00CB0CC6"/>
    <w:rsid w:val="00CB25E5"/>
    <w:rsid w:val="00CB5B5A"/>
    <w:rsid w:val="00CB73DD"/>
    <w:rsid w:val="00CC107C"/>
    <w:rsid w:val="00CC1C05"/>
    <w:rsid w:val="00CC1EDC"/>
    <w:rsid w:val="00CC2E06"/>
    <w:rsid w:val="00CC7884"/>
    <w:rsid w:val="00CD1F26"/>
    <w:rsid w:val="00CD32AD"/>
    <w:rsid w:val="00CD3F58"/>
    <w:rsid w:val="00CD5EBC"/>
    <w:rsid w:val="00CE2722"/>
    <w:rsid w:val="00CF3A31"/>
    <w:rsid w:val="00CF43C0"/>
    <w:rsid w:val="00CF44C1"/>
    <w:rsid w:val="00CF5283"/>
    <w:rsid w:val="00D00C93"/>
    <w:rsid w:val="00D04B65"/>
    <w:rsid w:val="00D10E0B"/>
    <w:rsid w:val="00D12967"/>
    <w:rsid w:val="00D130FD"/>
    <w:rsid w:val="00D1354D"/>
    <w:rsid w:val="00D14F37"/>
    <w:rsid w:val="00D17267"/>
    <w:rsid w:val="00D20600"/>
    <w:rsid w:val="00D2092C"/>
    <w:rsid w:val="00D20934"/>
    <w:rsid w:val="00D246F6"/>
    <w:rsid w:val="00D26A70"/>
    <w:rsid w:val="00D26DF1"/>
    <w:rsid w:val="00D273CD"/>
    <w:rsid w:val="00D27A4A"/>
    <w:rsid w:val="00D27B84"/>
    <w:rsid w:val="00D314F4"/>
    <w:rsid w:val="00D31E4B"/>
    <w:rsid w:val="00D3301B"/>
    <w:rsid w:val="00D34D74"/>
    <w:rsid w:val="00D357A0"/>
    <w:rsid w:val="00D35D73"/>
    <w:rsid w:val="00D413D5"/>
    <w:rsid w:val="00D424D3"/>
    <w:rsid w:val="00D43093"/>
    <w:rsid w:val="00D447C6"/>
    <w:rsid w:val="00D44A23"/>
    <w:rsid w:val="00D44CC0"/>
    <w:rsid w:val="00D462C3"/>
    <w:rsid w:val="00D47003"/>
    <w:rsid w:val="00D50FD0"/>
    <w:rsid w:val="00D53428"/>
    <w:rsid w:val="00D55005"/>
    <w:rsid w:val="00D60911"/>
    <w:rsid w:val="00D61FCC"/>
    <w:rsid w:val="00D63F17"/>
    <w:rsid w:val="00D69695"/>
    <w:rsid w:val="00D70696"/>
    <w:rsid w:val="00D72F16"/>
    <w:rsid w:val="00D76A76"/>
    <w:rsid w:val="00D77966"/>
    <w:rsid w:val="00D80BD5"/>
    <w:rsid w:val="00D82F87"/>
    <w:rsid w:val="00D90737"/>
    <w:rsid w:val="00D90F16"/>
    <w:rsid w:val="00D92E2D"/>
    <w:rsid w:val="00D93F62"/>
    <w:rsid w:val="00D9505D"/>
    <w:rsid w:val="00D9570A"/>
    <w:rsid w:val="00D972B9"/>
    <w:rsid w:val="00DA009F"/>
    <w:rsid w:val="00DA2747"/>
    <w:rsid w:val="00DA2A6F"/>
    <w:rsid w:val="00DA475A"/>
    <w:rsid w:val="00DB1C7A"/>
    <w:rsid w:val="00DB22C6"/>
    <w:rsid w:val="00DB2425"/>
    <w:rsid w:val="00DB2E42"/>
    <w:rsid w:val="00DB3314"/>
    <w:rsid w:val="00DB7076"/>
    <w:rsid w:val="00DC6BB8"/>
    <w:rsid w:val="00DD039B"/>
    <w:rsid w:val="00DD0B22"/>
    <w:rsid w:val="00DD0C08"/>
    <w:rsid w:val="00DD1193"/>
    <w:rsid w:val="00DD4884"/>
    <w:rsid w:val="00DD48F9"/>
    <w:rsid w:val="00DD5A2E"/>
    <w:rsid w:val="00DE0142"/>
    <w:rsid w:val="00DE03B7"/>
    <w:rsid w:val="00DE2B49"/>
    <w:rsid w:val="00DE554F"/>
    <w:rsid w:val="00DE67B7"/>
    <w:rsid w:val="00DE714F"/>
    <w:rsid w:val="00DE7C2F"/>
    <w:rsid w:val="00DF37FA"/>
    <w:rsid w:val="00DF638E"/>
    <w:rsid w:val="00DF65FD"/>
    <w:rsid w:val="00DF7EB3"/>
    <w:rsid w:val="00E008DD"/>
    <w:rsid w:val="00E01C7E"/>
    <w:rsid w:val="00E03580"/>
    <w:rsid w:val="00E04DCB"/>
    <w:rsid w:val="00E04E73"/>
    <w:rsid w:val="00E05EA9"/>
    <w:rsid w:val="00E062F3"/>
    <w:rsid w:val="00E067F7"/>
    <w:rsid w:val="00E07FE2"/>
    <w:rsid w:val="00E10561"/>
    <w:rsid w:val="00E10C00"/>
    <w:rsid w:val="00E10D96"/>
    <w:rsid w:val="00E11277"/>
    <w:rsid w:val="00E1451D"/>
    <w:rsid w:val="00E14931"/>
    <w:rsid w:val="00E204C5"/>
    <w:rsid w:val="00E25CD9"/>
    <w:rsid w:val="00E26471"/>
    <w:rsid w:val="00E26CFC"/>
    <w:rsid w:val="00E277A8"/>
    <w:rsid w:val="00E30495"/>
    <w:rsid w:val="00E312E5"/>
    <w:rsid w:val="00E32043"/>
    <w:rsid w:val="00E324DD"/>
    <w:rsid w:val="00E33918"/>
    <w:rsid w:val="00E34E01"/>
    <w:rsid w:val="00E3586D"/>
    <w:rsid w:val="00E36755"/>
    <w:rsid w:val="00E37972"/>
    <w:rsid w:val="00E40B43"/>
    <w:rsid w:val="00E42CD6"/>
    <w:rsid w:val="00E44801"/>
    <w:rsid w:val="00E4681C"/>
    <w:rsid w:val="00E50424"/>
    <w:rsid w:val="00E5417A"/>
    <w:rsid w:val="00E54AB8"/>
    <w:rsid w:val="00E54FA7"/>
    <w:rsid w:val="00E5553B"/>
    <w:rsid w:val="00E60158"/>
    <w:rsid w:val="00E601F1"/>
    <w:rsid w:val="00E60910"/>
    <w:rsid w:val="00E61847"/>
    <w:rsid w:val="00E61974"/>
    <w:rsid w:val="00E627A6"/>
    <w:rsid w:val="00E62FC7"/>
    <w:rsid w:val="00E650E2"/>
    <w:rsid w:val="00E65751"/>
    <w:rsid w:val="00E70CEC"/>
    <w:rsid w:val="00E71536"/>
    <w:rsid w:val="00E71C1A"/>
    <w:rsid w:val="00E71FBF"/>
    <w:rsid w:val="00E77D48"/>
    <w:rsid w:val="00E804CF"/>
    <w:rsid w:val="00E80C2B"/>
    <w:rsid w:val="00E817B4"/>
    <w:rsid w:val="00E82413"/>
    <w:rsid w:val="00E82BF4"/>
    <w:rsid w:val="00E83574"/>
    <w:rsid w:val="00E83D12"/>
    <w:rsid w:val="00E86A8E"/>
    <w:rsid w:val="00E87072"/>
    <w:rsid w:val="00E877C7"/>
    <w:rsid w:val="00E87A21"/>
    <w:rsid w:val="00E909DD"/>
    <w:rsid w:val="00E93848"/>
    <w:rsid w:val="00E9444D"/>
    <w:rsid w:val="00E95A42"/>
    <w:rsid w:val="00E96540"/>
    <w:rsid w:val="00EA2289"/>
    <w:rsid w:val="00EB0C9D"/>
    <w:rsid w:val="00EB4332"/>
    <w:rsid w:val="00EB4BA3"/>
    <w:rsid w:val="00EB4C93"/>
    <w:rsid w:val="00EB6303"/>
    <w:rsid w:val="00EC164D"/>
    <w:rsid w:val="00EC1C3B"/>
    <w:rsid w:val="00EC62CC"/>
    <w:rsid w:val="00EC6A52"/>
    <w:rsid w:val="00ED1E81"/>
    <w:rsid w:val="00ED1F1B"/>
    <w:rsid w:val="00ED222F"/>
    <w:rsid w:val="00ED2E7D"/>
    <w:rsid w:val="00ED2F80"/>
    <w:rsid w:val="00ED42F1"/>
    <w:rsid w:val="00ED4454"/>
    <w:rsid w:val="00ED53DD"/>
    <w:rsid w:val="00ED5ED7"/>
    <w:rsid w:val="00ED6CD0"/>
    <w:rsid w:val="00ED77A3"/>
    <w:rsid w:val="00EE083E"/>
    <w:rsid w:val="00EE12C9"/>
    <w:rsid w:val="00EE2625"/>
    <w:rsid w:val="00EE29F4"/>
    <w:rsid w:val="00EE42E0"/>
    <w:rsid w:val="00EE5157"/>
    <w:rsid w:val="00EE7C18"/>
    <w:rsid w:val="00EF12A4"/>
    <w:rsid w:val="00EF36B1"/>
    <w:rsid w:val="00EF47EE"/>
    <w:rsid w:val="00EF5BD7"/>
    <w:rsid w:val="00EF7516"/>
    <w:rsid w:val="00EF756E"/>
    <w:rsid w:val="00F00B2F"/>
    <w:rsid w:val="00F01A1B"/>
    <w:rsid w:val="00F02AB5"/>
    <w:rsid w:val="00F0593C"/>
    <w:rsid w:val="00F06E97"/>
    <w:rsid w:val="00F10FCA"/>
    <w:rsid w:val="00F11C77"/>
    <w:rsid w:val="00F13AAE"/>
    <w:rsid w:val="00F158F9"/>
    <w:rsid w:val="00F1731F"/>
    <w:rsid w:val="00F20E2D"/>
    <w:rsid w:val="00F247E6"/>
    <w:rsid w:val="00F25633"/>
    <w:rsid w:val="00F26A81"/>
    <w:rsid w:val="00F30AB0"/>
    <w:rsid w:val="00F313E4"/>
    <w:rsid w:val="00F32089"/>
    <w:rsid w:val="00F365B9"/>
    <w:rsid w:val="00F36A7C"/>
    <w:rsid w:val="00F37CAB"/>
    <w:rsid w:val="00F40DC3"/>
    <w:rsid w:val="00F41495"/>
    <w:rsid w:val="00F45D98"/>
    <w:rsid w:val="00F51770"/>
    <w:rsid w:val="00F524A8"/>
    <w:rsid w:val="00F52C70"/>
    <w:rsid w:val="00F52FF6"/>
    <w:rsid w:val="00F5439F"/>
    <w:rsid w:val="00F575E2"/>
    <w:rsid w:val="00F62BFC"/>
    <w:rsid w:val="00F646A7"/>
    <w:rsid w:val="00F6658C"/>
    <w:rsid w:val="00F70F39"/>
    <w:rsid w:val="00F71F3E"/>
    <w:rsid w:val="00F723F7"/>
    <w:rsid w:val="00F7411B"/>
    <w:rsid w:val="00F745F4"/>
    <w:rsid w:val="00F74FF2"/>
    <w:rsid w:val="00F82D61"/>
    <w:rsid w:val="00F84158"/>
    <w:rsid w:val="00F87FF5"/>
    <w:rsid w:val="00F908B8"/>
    <w:rsid w:val="00F91822"/>
    <w:rsid w:val="00F93C0F"/>
    <w:rsid w:val="00F93FD9"/>
    <w:rsid w:val="00F96940"/>
    <w:rsid w:val="00FA02B3"/>
    <w:rsid w:val="00FA178B"/>
    <w:rsid w:val="00FA2A70"/>
    <w:rsid w:val="00FA4ADE"/>
    <w:rsid w:val="00FA65C2"/>
    <w:rsid w:val="00FB01A8"/>
    <w:rsid w:val="00FB23BF"/>
    <w:rsid w:val="00FB258A"/>
    <w:rsid w:val="00FB33AC"/>
    <w:rsid w:val="00FB4E8A"/>
    <w:rsid w:val="00FB6222"/>
    <w:rsid w:val="00FB6F52"/>
    <w:rsid w:val="00FB7779"/>
    <w:rsid w:val="00FC2A45"/>
    <w:rsid w:val="00FC4F7F"/>
    <w:rsid w:val="00FC54FB"/>
    <w:rsid w:val="00FD0727"/>
    <w:rsid w:val="00FD0977"/>
    <w:rsid w:val="00FD2706"/>
    <w:rsid w:val="00FD2D7B"/>
    <w:rsid w:val="00FD32CF"/>
    <w:rsid w:val="00FD5489"/>
    <w:rsid w:val="00FD63EC"/>
    <w:rsid w:val="00FE21CE"/>
    <w:rsid w:val="00FE69F8"/>
    <w:rsid w:val="00FE6E67"/>
    <w:rsid w:val="00FF28BA"/>
    <w:rsid w:val="01030E39"/>
    <w:rsid w:val="02145810"/>
    <w:rsid w:val="039642B7"/>
    <w:rsid w:val="03F355F4"/>
    <w:rsid w:val="0438ABBF"/>
    <w:rsid w:val="048CC894"/>
    <w:rsid w:val="04FFF44D"/>
    <w:rsid w:val="055F56D2"/>
    <w:rsid w:val="0576F01A"/>
    <w:rsid w:val="05A1BCB6"/>
    <w:rsid w:val="06DC4063"/>
    <w:rsid w:val="07762134"/>
    <w:rsid w:val="09BEBB7C"/>
    <w:rsid w:val="0A0FB407"/>
    <w:rsid w:val="0AD66EE0"/>
    <w:rsid w:val="0B3ACC2E"/>
    <w:rsid w:val="0D22C432"/>
    <w:rsid w:val="0F5EBCAB"/>
    <w:rsid w:val="11344263"/>
    <w:rsid w:val="12EFD109"/>
    <w:rsid w:val="13EF2DAE"/>
    <w:rsid w:val="142FE0CC"/>
    <w:rsid w:val="1454E234"/>
    <w:rsid w:val="15078495"/>
    <w:rsid w:val="15C6862E"/>
    <w:rsid w:val="15F351DA"/>
    <w:rsid w:val="165FA503"/>
    <w:rsid w:val="16620706"/>
    <w:rsid w:val="17A48AF7"/>
    <w:rsid w:val="18ECEC19"/>
    <w:rsid w:val="1A5E7187"/>
    <w:rsid w:val="1AF06170"/>
    <w:rsid w:val="1B0F3707"/>
    <w:rsid w:val="1B5078E8"/>
    <w:rsid w:val="1B520F31"/>
    <w:rsid w:val="1BA4B792"/>
    <w:rsid w:val="1D5C63E0"/>
    <w:rsid w:val="1DA26F82"/>
    <w:rsid w:val="1E84F300"/>
    <w:rsid w:val="1F6D25BF"/>
    <w:rsid w:val="20C40220"/>
    <w:rsid w:val="2326F64A"/>
    <w:rsid w:val="240065A3"/>
    <w:rsid w:val="244E56B2"/>
    <w:rsid w:val="248A346A"/>
    <w:rsid w:val="24B29C32"/>
    <w:rsid w:val="27E6ED1C"/>
    <w:rsid w:val="2AE90232"/>
    <w:rsid w:val="311B1226"/>
    <w:rsid w:val="31B5753C"/>
    <w:rsid w:val="3242EC58"/>
    <w:rsid w:val="327A10D2"/>
    <w:rsid w:val="34337809"/>
    <w:rsid w:val="34728A59"/>
    <w:rsid w:val="348A2201"/>
    <w:rsid w:val="34AC6005"/>
    <w:rsid w:val="35470749"/>
    <w:rsid w:val="37F76981"/>
    <w:rsid w:val="3829B2E9"/>
    <w:rsid w:val="386826B9"/>
    <w:rsid w:val="3919247D"/>
    <w:rsid w:val="3A654E38"/>
    <w:rsid w:val="3B0E5062"/>
    <w:rsid w:val="3BDA580A"/>
    <w:rsid w:val="3C1177A6"/>
    <w:rsid w:val="3C7EF93C"/>
    <w:rsid w:val="3D2F2266"/>
    <w:rsid w:val="3DF3ED44"/>
    <w:rsid w:val="3F569E51"/>
    <w:rsid w:val="3FA55FB2"/>
    <w:rsid w:val="404F401C"/>
    <w:rsid w:val="40D60720"/>
    <w:rsid w:val="40E282E7"/>
    <w:rsid w:val="4434BC59"/>
    <w:rsid w:val="4537FF43"/>
    <w:rsid w:val="45538078"/>
    <w:rsid w:val="4573E3EF"/>
    <w:rsid w:val="45B4EAD5"/>
    <w:rsid w:val="45D5A831"/>
    <w:rsid w:val="4776C73B"/>
    <w:rsid w:val="48C8835B"/>
    <w:rsid w:val="49299055"/>
    <w:rsid w:val="49E64271"/>
    <w:rsid w:val="4A430467"/>
    <w:rsid w:val="4CC1BD86"/>
    <w:rsid w:val="4D4990EB"/>
    <w:rsid w:val="4DED1019"/>
    <w:rsid w:val="4F5DBBDA"/>
    <w:rsid w:val="501B3A0C"/>
    <w:rsid w:val="5038C3AC"/>
    <w:rsid w:val="506B8989"/>
    <w:rsid w:val="50904988"/>
    <w:rsid w:val="50C6B2F5"/>
    <w:rsid w:val="516C0B0F"/>
    <w:rsid w:val="520086CC"/>
    <w:rsid w:val="528EF515"/>
    <w:rsid w:val="52D74EDC"/>
    <w:rsid w:val="539D96A6"/>
    <w:rsid w:val="53D326D5"/>
    <w:rsid w:val="53FF0BF6"/>
    <w:rsid w:val="5404E88F"/>
    <w:rsid w:val="546EF836"/>
    <w:rsid w:val="568B9127"/>
    <w:rsid w:val="5733EEB1"/>
    <w:rsid w:val="57D371E1"/>
    <w:rsid w:val="57DE38FC"/>
    <w:rsid w:val="586601D1"/>
    <w:rsid w:val="59D0A2A7"/>
    <w:rsid w:val="59D5E74C"/>
    <w:rsid w:val="5AE2917E"/>
    <w:rsid w:val="5B3BBAB8"/>
    <w:rsid w:val="5B720DB2"/>
    <w:rsid w:val="5F45016F"/>
    <w:rsid w:val="5F75A2E5"/>
    <w:rsid w:val="61225C06"/>
    <w:rsid w:val="620C680F"/>
    <w:rsid w:val="62122F6B"/>
    <w:rsid w:val="62A54554"/>
    <w:rsid w:val="630143F1"/>
    <w:rsid w:val="6350786F"/>
    <w:rsid w:val="636E1163"/>
    <w:rsid w:val="656C989C"/>
    <w:rsid w:val="66721752"/>
    <w:rsid w:val="678AEF35"/>
    <w:rsid w:val="68FA598C"/>
    <w:rsid w:val="6B601591"/>
    <w:rsid w:val="6B8EA99A"/>
    <w:rsid w:val="6EDF3EE1"/>
    <w:rsid w:val="6FEE8FC5"/>
    <w:rsid w:val="6FFDB1E9"/>
    <w:rsid w:val="701D6A42"/>
    <w:rsid w:val="71836507"/>
    <w:rsid w:val="71B26389"/>
    <w:rsid w:val="71B895F1"/>
    <w:rsid w:val="728B41CD"/>
    <w:rsid w:val="72C06837"/>
    <w:rsid w:val="72F35A7B"/>
    <w:rsid w:val="7353E37A"/>
    <w:rsid w:val="7367F43C"/>
    <w:rsid w:val="73B54964"/>
    <w:rsid w:val="73CB405E"/>
    <w:rsid w:val="74932026"/>
    <w:rsid w:val="7578C75F"/>
    <w:rsid w:val="76265859"/>
    <w:rsid w:val="77C13CD8"/>
    <w:rsid w:val="785F4439"/>
    <w:rsid w:val="792F13B0"/>
    <w:rsid w:val="79E122D3"/>
    <w:rsid w:val="7ADAEA02"/>
    <w:rsid w:val="7B7650B3"/>
    <w:rsid w:val="7BC31DD0"/>
    <w:rsid w:val="7BD8759F"/>
    <w:rsid w:val="7C225D26"/>
    <w:rsid w:val="7D6EDD38"/>
    <w:rsid w:val="7E8A11DE"/>
    <w:rsid w:val="7EF2D1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FABD"/>
  <w15:chartTrackingRefBased/>
  <w15:docId w15:val="{5B872D9F-626F-43DC-A19E-26C7D0B1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50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05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41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B6F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59D"/>
    <w:pPr>
      <w:ind w:left="720"/>
      <w:contextualSpacing/>
    </w:pPr>
  </w:style>
  <w:style w:type="character" w:customStyle="1" w:styleId="Heading1Char">
    <w:name w:val="Heading 1 Char"/>
    <w:basedOn w:val="DefaultParagraphFont"/>
    <w:link w:val="Heading1"/>
    <w:uiPriority w:val="9"/>
    <w:rsid w:val="001505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059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5059D"/>
    <w:pPr>
      <w:outlineLvl w:val="9"/>
    </w:pPr>
  </w:style>
  <w:style w:type="paragraph" w:styleId="TOC1">
    <w:name w:val="toc 1"/>
    <w:basedOn w:val="Normal"/>
    <w:next w:val="Normal"/>
    <w:autoRedefine/>
    <w:uiPriority w:val="39"/>
    <w:unhideWhenUsed/>
    <w:rsid w:val="0015059D"/>
    <w:pPr>
      <w:spacing w:after="100"/>
    </w:pPr>
  </w:style>
  <w:style w:type="paragraph" w:styleId="TOC2">
    <w:name w:val="toc 2"/>
    <w:basedOn w:val="Normal"/>
    <w:next w:val="Normal"/>
    <w:autoRedefine/>
    <w:uiPriority w:val="39"/>
    <w:unhideWhenUsed/>
    <w:rsid w:val="0015059D"/>
    <w:pPr>
      <w:spacing w:after="100"/>
      <w:ind w:left="220"/>
    </w:pPr>
  </w:style>
  <w:style w:type="character" w:styleId="Hyperlink">
    <w:name w:val="Hyperlink"/>
    <w:basedOn w:val="DefaultParagraphFont"/>
    <w:uiPriority w:val="99"/>
    <w:unhideWhenUsed/>
    <w:rsid w:val="0015059D"/>
    <w:rPr>
      <w:color w:val="0563C1" w:themeColor="hyperlink"/>
      <w:u w:val="single"/>
    </w:rPr>
  </w:style>
  <w:style w:type="character" w:customStyle="1" w:styleId="bodytextChar">
    <w:name w:val="body text Char"/>
    <w:basedOn w:val="DefaultParagraphFont"/>
    <w:link w:val="BodyText1"/>
    <w:rsid w:val="00F7411B"/>
    <w:rPr>
      <w:sz w:val="24"/>
    </w:rPr>
  </w:style>
  <w:style w:type="paragraph" w:customStyle="1" w:styleId="BodyText1">
    <w:name w:val="Body Text1"/>
    <w:basedOn w:val="Normal"/>
    <w:link w:val="bodytextChar"/>
    <w:rsid w:val="00F7411B"/>
    <w:pPr>
      <w:spacing w:after="120" w:line="360" w:lineRule="auto"/>
      <w:ind w:firstLine="720"/>
    </w:pPr>
    <w:rPr>
      <w:sz w:val="24"/>
    </w:rPr>
  </w:style>
  <w:style w:type="character" w:customStyle="1" w:styleId="Heading3Char">
    <w:name w:val="Heading 3 Char"/>
    <w:basedOn w:val="DefaultParagraphFont"/>
    <w:link w:val="Heading3"/>
    <w:uiPriority w:val="9"/>
    <w:rsid w:val="00F7411B"/>
    <w:rPr>
      <w:rFonts w:asciiTheme="majorHAnsi" w:eastAsiaTheme="majorEastAsia" w:hAnsiTheme="majorHAnsi" w:cstheme="majorBidi"/>
      <w:color w:val="1F3763" w:themeColor="accent1" w:themeShade="7F"/>
      <w:sz w:val="24"/>
      <w:szCs w:val="24"/>
    </w:rPr>
  </w:style>
  <w:style w:type="paragraph" w:customStyle="1" w:styleId="exhibitsource">
    <w:name w:val="exhibit source"/>
    <w:basedOn w:val="Normal"/>
    <w:rsid w:val="00F7411B"/>
    <w:pPr>
      <w:spacing w:after="120" w:line="240" w:lineRule="auto"/>
    </w:pPr>
    <w:rPr>
      <w:rFonts w:ascii="Times New Roman" w:eastAsia="Times New Roman" w:hAnsi="Times New Roman" w:cs="Times New Roman"/>
      <w:sz w:val="20"/>
    </w:rPr>
  </w:style>
  <w:style w:type="paragraph" w:customStyle="1" w:styleId="FigureTitle">
    <w:name w:val="Figure Title"/>
    <w:basedOn w:val="Normal"/>
    <w:rsid w:val="00F7411B"/>
    <w:pPr>
      <w:keepNext/>
      <w:keepLines/>
      <w:spacing w:after="0" w:line="480" w:lineRule="auto"/>
    </w:pPr>
    <w:rPr>
      <w:rFonts w:ascii="Times New Roman" w:eastAsia="Times New Roman" w:hAnsi="Times New Roman" w:cs="Times New Roman"/>
      <w:b/>
      <w:sz w:val="24"/>
      <w:szCs w:val="20"/>
    </w:rPr>
  </w:style>
  <w:style w:type="paragraph" w:customStyle="1" w:styleId="Heading3NoTOC">
    <w:name w:val="Heading 3 NoTOC"/>
    <w:basedOn w:val="Heading3"/>
    <w:qFormat/>
    <w:rsid w:val="000B629D"/>
    <w:pPr>
      <w:keepLines w:val="0"/>
      <w:spacing w:before="240" w:after="120" w:line="240" w:lineRule="auto"/>
      <w:ind w:left="720" w:hanging="720"/>
    </w:pPr>
    <w:rPr>
      <w:rFonts w:ascii="Times New Roman" w:eastAsia="Times New Roman" w:hAnsi="Times New Roman" w:cs="Arial"/>
      <w:b/>
      <w:bCs/>
      <w:i/>
      <w:iCs/>
      <w:color w:val="auto"/>
      <w:szCs w:val="22"/>
      <w:lang w:val="en-CA"/>
    </w:rPr>
  </w:style>
  <w:style w:type="table" w:styleId="TableGridLight">
    <w:name w:val="Grid Table Light"/>
    <w:basedOn w:val="TableNormal"/>
    <w:uiPriority w:val="40"/>
    <w:rsid w:val="000B629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BB4F0B"/>
    <w:pPr>
      <w:spacing w:after="100"/>
      <w:ind w:left="440"/>
    </w:pPr>
  </w:style>
  <w:style w:type="paragraph" w:styleId="EndnoteText">
    <w:name w:val="endnote text"/>
    <w:basedOn w:val="Normal"/>
    <w:link w:val="EndnoteTextChar"/>
    <w:uiPriority w:val="99"/>
    <w:unhideWhenUsed/>
    <w:rsid w:val="00B81478"/>
    <w:pPr>
      <w:spacing w:after="0" w:line="240" w:lineRule="auto"/>
    </w:pPr>
    <w:rPr>
      <w:rFonts w:ascii="Lato" w:eastAsiaTheme="minorEastAsia" w:hAnsi="Lato"/>
      <w:sz w:val="20"/>
      <w:szCs w:val="20"/>
    </w:rPr>
  </w:style>
  <w:style w:type="character" w:customStyle="1" w:styleId="EndnoteTextChar">
    <w:name w:val="Endnote Text Char"/>
    <w:basedOn w:val="DefaultParagraphFont"/>
    <w:link w:val="EndnoteText"/>
    <w:uiPriority w:val="99"/>
    <w:rsid w:val="00B81478"/>
    <w:rPr>
      <w:rFonts w:ascii="Lato" w:eastAsiaTheme="minorEastAsia" w:hAnsi="Lato"/>
      <w:sz w:val="20"/>
      <w:szCs w:val="20"/>
    </w:rPr>
  </w:style>
  <w:style w:type="character" w:styleId="EndnoteReference">
    <w:name w:val="endnote reference"/>
    <w:basedOn w:val="DefaultParagraphFont"/>
    <w:uiPriority w:val="99"/>
    <w:unhideWhenUsed/>
    <w:rsid w:val="00B81478"/>
    <w:rPr>
      <w:vertAlign w:val="superscript"/>
    </w:rPr>
  </w:style>
  <w:style w:type="character" w:styleId="CommentReference">
    <w:name w:val="annotation reference"/>
    <w:basedOn w:val="DefaultParagraphFont"/>
    <w:uiPriority w:val="99"/>
    <w:semiHidden/>
    <w:unhideWhenUsed/>
    <w:rsid w:val="00EB4BA3"/>
    <w:rPr>
      <w:sz w:val="16"/>
      <w:szCs w:val="16"/>
    </w:rPr>
  </w:style>
  <w:style w:type="paragraph" w:styleId="CommentText">
    <w:name w:val="annotation text"/>
    <w:basedOn w:val="Normal"/>
    <w:link w:val="CommentTextChar"/>
    <w:uiPriority w:val="99"/>
    <w:semiHidden/>
    <w:unhideWhenUsed/>
    <w:rsid w:val="00EB4BA3"/>
    <w:pPr>
      <w:spacing w:line="240" w:lineRule="auto"/>
    </w:pPr>
    <w:rPr>
      <w:sz w:val="20"/>
      <w:szCs w:val="20"/>
    </w:rPr>
  </w:style>
  <w:style w:type="character" w:customStyle="1" w:styleId="CommentTextChar">
    <w:name w:val="Comment Text Char"/>
    <w:basedOn w:val="DefaultParagraphFont"/>
    <w:link w:val="CommentText"/>
    <w:uiPriority w:val="99"/>
    <w:semiHidden/>
    <w:rsid w:val="00EB4BA3"/>
    <w:rPr>
      <w:sz w:val="20"/>
      <w:szCs w:val="20"/>
    </w:rPr>
  </w:style>
  <w:style w:type="paragraph" w:styleId="CommentSubject">
    <w:name w:val="annotation subject"/>
    <w:basedOn w:val="CommentText"/>
    <w:next w:val="CommentText"/>
    <w:link w:val="CommentSubjectChar"/>
    <w:uiPriority w:val="99"/>
    <w:semiHidden/>
    <w:unhideWhenUsed/>
    <w:rsid w:val="00EB4BA3"/>
    <w:rPr>
      <w:b/>
      <w:bCs/>
    </w:rPr>
  </w:style>
  <w:style w:type="character" w:customStyle="1" w:styleId="CommentSubjectChar">
    <w:name w:val="Comment Subject Char"/>
    <w:basedOn w:val="CommentTextChar"/>
    <w:link w:val="CommentSubject"/>
    <w:uiPriority w:val="99"/>
    <w:semiHidden/>
    <w:rsid w:val="00EB4BA3"/>
    <w:rPr>
      <w:b/>
      <w:bCs/>
      <w:sz w:val="20"/>
      <w:szCs w:val="20"/>
    </w:rPr>
  </w:style>
  <w:style w:type="paragraph" w:styleId="Header">
    <w:name w:val="header"/>
    <w:basedOn w:val="Normal"/>
    <w:link w:val="HeaderChar"/>
    <w:uiPriority w:val="99"/>
    <w:unhideWhenUsed/>
    <w:rsid w:val="00A17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4DD"/>
  </w:style>
  <w:style w:type="paragraph" w:styleId="Footer">
    <w:name w:val="footer"/>
    <w:basedOn w:val="Normal"/>
    <w:link w:val="FooterChar"/>
    <w:uiPriority w:val="99"/>
    <w:unhideWhenUsed/>
    <w:rsid w:val="00A17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4DD"/>
  </w:style>
  <w:style w:type="table" w:styleId="TableGrid">
    <w:name w:val="Table Grid"/>
    <w:basedOn w:val="TableNormal"/>
    <w:uiPriority w:val="39"/>
    <w:rsid w:val="0084063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55005"/>
  </w:style>
  <w:style w:type="character" w:customStyle="1" w:styleId="eop">
    <w:name w:val="eop"/>
    <w:basedOn w:val="DefaultParagraphFont"/>
    <w:rsid w:val="007E426C"/>
  </w:style>
  <w:style w:type="paragraph" w:styleId="FootnoteText">
    <w:name w:val="footnote text"/>
    <w:basedOn w:val="Normal"/>
    <w:link w:val="FootnoteTextChar"/>
    <w:uiPriority w:val="99"/>
    <w:unhideWhenUsed/>
    <w:rsid w:val="00BC7195"/>
    <w:pPr>
      <w:spacing w:after="0" w:line="240" w:lineRule="auto"/>
    </w:pPr>
    <w:rPr>
      <w:sz w:val="20"/>
      <w:szCs w:val="20"/>
    </w:rPr>
  </w:style>
  <w:style w:type="character" w:customStyle="1" w:styleId="FootnoteTextChar">
    <w:name w:val="Footnote Text Char"/>
    <w:basedOn w:val="DefaultParagraphFont"/>
    <w:link w:val="FootnoteText"/>
    <w:uiPriority w:val="99"/>
    <w:rsid w:val="00BC7195"/>
    <w:rPr>
      <w:sz w:val="20"/>
      <w:szCs w:val="20"/>
    </w:rPr>
  </w:style>
  <w:style w:type="character" w:styleId="FootnoteReference">
    <w:name w:val="footnote reference"/>
    <w:basedOn w:val="DefaultParagraphFont"/>
    <w:uiPriority w:val="99"/>
    <w:semiHidden/>
    <w:unhideWhenUsed/>
    <w:rsid w:val="00BC7195"/>
    <w:rPr>
      <w:vertAlign w:val="superscript"/>
    </w:rPr>
  </w:style>
  <w:style w:type="character" w:customStyle="1" w:styleId="Heading4Char">
    <w:name w:val="Heading 4 Char"/>
    <w:basedOn w:val="DefaultParagraphFont"/>
    <w:link w:val="Heading4"/>
    <w:uiPriority w:val="9"/>
    <w:semiHidden/>
    <w:rsid w:val="00FB6F52"/>
    <w:rPr>
      <w:rFonts w:asciiTheme="majorHAnsi" w:eastAsiaTheme="majorEastAsia" w:hAnsiTheme="majorHAnsi" w:cstheme="majorBidi"/>
      <w:i/>
      <w:iCs/>
      <w:color w:val="2F5496" w:themeColor="accent1" w:themeShade="BF"/>
    </w:rPr>
  </w:style>
  <w:style w:type="paragraph" w:customStyle="1" w:styleId="BulletBlack">
    <w:name w:val="Bullet_Black"/>
    <w:basedOn w:val="Normal"/>
    <w:qFormat/>
    <w:rsid w:val="008709F4"/>
    <w:pPr>
      <w:numPr>
        <w:numId w:val="4"/>
      </w:numPr>
      <w:tabs>
        <w:tab w:val="left" w:pos="360"/>
      </w:tabs>
      <w:spacing w:after="120" w:line="240" w:lineRule="auto"/>
      <w:ind w:right="360"/>
      <w:jc w:val="both"/>
    </w:pPr>
    <w:rPr>
      <w:rFonts w:ascii="Garamond" w:eastAsia="Times New Roman" w:hAnsi="Garamond" w:cs="Times New Roman"/>
      <w:sz w:val="24"/>
      <w:szCs w:val="24"/>
    </w:rPr>
  </w:style>
  <w:style w:type="character" w:customStyle="1" w:styleId="UnresolvedMention1">
    <w:name w:val="Unresolved Mention1"/>
    <w:basedOn w:val="DefaultParagraphFont"/>
    <w:uiPriority w:val="99"/>
    <w:unhideWhenUsed/>
    <w:rsid w:val="002F15F2"/>
    <w:rPr>
      <w:color w:val="605E5C"/>
      <w:shd w:val="clear" w:color="auto" w:fill="E1DFDD"/>
    </w:rPr>
  </w:style>
  <w:style w:type="character" w:customStyle="1" w:styleId="Mention1">
    <w:name w:val="Mention1"/>
    <w:basedOn w:val="DefaultParagraphFont"/>
    <w:uiPriority w:val="99"/>
    <w:unhideWhenUsed/>
    <w:rsid w:val="002F15F2"/>
    <w:rPr>
      <w:color w:val="2B579A"/>
      <w:shd w:val="clear" w:color="auto" w:fill="E1DFDD"/>
    </w:rPr>
  </w:style>
  <w:style w:type="paragraph" w:customStyle="1" w:styleId="Default">
    <w:name w:val="Default"/>
    <w:rsid w:val="00E83D1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D527A"/>
    <w:pPr>
      <w:spacing w:after="0" w:line="240" w:lineRule="auto"/>
    </w:pPr>
  </w:style>
  <w:style w:type="character" w:styleId="FollowedHyperlink">
    <w:name w:val="FollowedHyperlink"/>
    <w:basedOn w:val="DefaultParagraphFont"/>
    <w:uiPriority w:val="99"/>
    <w:semiHidden/>
    <w:unhideWhenUsed/>
    <w:rsid w:val="009637AB"/>
    <w:rPr>
      <w:color w:val="954F72" w:themeColor="followedHyperlink"/>
      <w:u w:val="single"/>
    </w:rPr>
  </w:style>
  <w:style w:type="paragraph" w:styleId="BalloonText">
    <w:name w:val="Balloon Text"/>
    <w:basedOn w:val="Normal"/>
    <w:link w:val="BalloonTextChar"/>
    <w:uiPriority w:val="99"/>
    <w:semiHidden/>
    <w:unhideWhenUsed/>
    <w:rsid w:val="00E60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158"/>
    <w:rPr>
      <w:rFonts w:ascii="Segoe UI" w:hAnsi="Segoe UI" w:cs="Segoe UI"/>
      <w:sz w:val="18"/>
      <w:szCs w:val="18"/>
    </w:rPr>
  </w:style>
  <w:style w:type="character" w:customStyle="1" w:styleId="UnresolvedMention2">
    <w:name w:val="Unresolved Mention2"/>
    <w:basedOn w:val="DefaultParagraphFont"/>
    <w:uiPriority w:val="99"/>
    <w:unhideWhenUsed/>
    <w:rsid w:val="00166A44"/>
    <w:rPr>
      <w:color w:val="605E5C"/>
      <w:shd w:val="clear" w:color="auto" w:fill="E1DFDD"/>
    </w:rPr>
  </w:style>
  <w:style w:type="character" w:customStyle="1" w:styleId="Mention2">
    <w:name w:val="Mention2"/>
    <w:basedOn w:val="DefaultParagraphFont"/>
    <w:uiPriority w:val="99"/>
    <w:unhideWhenUsed/>
    <w:rsid w:val="00166A44"/>
    <w:rPr>
      <w:color w:val="2B579A"/>
      <w:shd w:val="clear" w:color="auto" w:fill="E1DFDD"/>
    </w:rPr>
  </w:style>
  <w:style w:type="character" w:customStyle="1" w:styleId="UnresolvedMention">
    <w:name w:val="Unresolved Mention"/>
    <w:basedOn w:val="DefaultParagraphFont"/>
    <w:uiPriority w:val="99"/>
    <w:semiHidden/>
    <w:unhideWhenUsed/>
    <w:rsid w:val="00C41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9565">
      <w:bodyDiv w:val="1"/>
      <w:marLeft w:val="0"/>
      <w:marRight w:val="0"/>
      <w:marTop w:val="0"/>
      <w:marBottom w:val="0"/>
      <w:divBdr>
        <w:top w:val="none" w:sz="0" w:space="0" w:color="auto"/>
        <w:left w:val="none" w:sz="0" w:space="0" w:color="auto"/>
        <w:bottom w:val="none" w:sz="0" w:space="0" w:color="auto"/>
        <w:right w:val="none" w:sz="0" w:space="0" w:color="auto"/>
      </w:divBdr>
    </w:div>
    <w:div w:id="63526725">
      <w:bodyDiv w:val="1"/>
      <w:marLeft w:val="0"/>
      <w:marRight w:val="0"/>
      <w:marTop w:val="0"/>
      <w:marBottom w:val="0"/>
      <w:divBdr>
        <w:top w:val="none" w:sz="0" w:space="0" w:color="auto"/>
        <w:left w:val="none" w:sz="0" w:space="0" w:color="auto"/>
        <w:bottom w:val="none" w:sz="0" w:space="0" w:color="auto"/>
        <w:right w:val="none" w:sz="0" w:space="0" w:color="auto"/>
      </w:divBdr>
    </w:div>
    <w:div w:id="598493023">
      <w:bodyDiv w:val="1"/>
      <w:marLeft w:val="0"/>
      <w:marRight w:val="0"/>
      <w:marTop w:val="0"/>
      <w:marBottom w:val="0"/>
      <w:divBdr>
        <w:top w:val="none" w:sz="0" w:space="0" w:color="auto"/>
        <w:left w:val="none" w:sz="0" w:space="0" w:color="auto"/>
        <w:bottom w:val="none" w:sz="0" w:space="0" w:color="auto"/>
        <w:right w:val="none" w:sz="0" w:space="0" w:color="auto"/>
      </w:divBdr>
    </w:div>
    <w:div w:id="636760899">
      <w:bodyDiv w:val="1"/>
      <w:marLeft w:val="0"/>
      <w:marRight w:val="0"/>
      <w:marTop w:val="0"/>
      <w:marBottom w:val="0"/>
      <w:divBdr>
        <w:top w:val="none" w:sz="0" w:space="0" w:color="auto"/>
        <w:left w:val="none" w:sz="0" w:space="0" w:color="auto"/>
        <w:bottom w:val="none" w:sz="0" w:space="0" w:color="auto"/>
        <w:right w:val="none" w:sz="0" w:space="0" w:color="auto"/>
      </w:divBdr>
    </w:div>
    <w:div w:id="688684235">
      <w:bodyDiv w:val="1"/>
      <w:marLeft w:val="0"/>
      <w:marRight w:val="0"/>
      <w:marTop w:val="0"/>
      <w:marBottom w:val="0"/>
      <w:divBdr>
        <w:top w:val="none" w:sz="0" w:space="0" w:color="auto"/>
        <w:left w:val="none" w:sz="0" w:space="0" w:color="auto"/>
        <w:bottom w:val="none" w:sz="0" w:space="0" w:color="auto"/>
        <w:right w:val="none" w:sz="0" w:space="0" w:color="auto"/>
      </w:divBdr>
    </w:div>
    <w:div w:id="780339605">
      <w:bodyDiv w:val="1"/>
      <w:marLeft w:val="0"/>
      <w:marRight w:val="0"/>
      <w:marTop w:val="0"/>
      <w:marBottom w:val="0"/>
      <w:divBdr>
        <w:top w:val="none" w:sz="0" w:space="0" w:color="auto"/>
        <w:left w:val="none" w:sz="0" w:space="0" w:color="auto"/>
        <w:bottom w:val="none" w:sz="0" w:space="0" w:color="auto"/>
        <w:right w:val="none" w:sz="0" w:space="0" w:color="auto"/>
      </w:divBdr>
    </w:div>
    <w:div w:id="842086444">
      <w:bodyDiv w:val="1"/>
      <w:marLeft w:val="0"/>
      <w:marRight w:val="0"/>
      <w:marTop w:val="0"/>
      <w:marBottom w:val="0"/>
      <w:divBdr>
        <w:top w:val="none" w:sz="0" w:space="0" w:color="auto"/>
        <w:left w:val="none" w:sz="0" w:space="0" w:color="auto"/>
        <w:bottom w:val="none" w:sz="0" w:space="0" w:color="auto"/>
        <w:right w:val="none" w:sz="0" w:space="0" w:color="auto"/>
      </w:divBdr>
    </w:div>
    <w:div w:id="944271015">
      <w:bodyDiv w:val="1"/>
      <w:marLeft w:val="0"/>
      <w:marRight w:val="0"/>
      <w:marTop w:val="0"/>
      <w:marBottom w:val="0"/>
      <w:divBdr>
        <w:top w:val="none" w:sz="0" w:space="0" w:color="auto"/>
        <w:left w:val="none" w:sz="0" w:space="0" w:color="auto"/>
        <w:bottom w:val="none" w:sz="0" w:space="0" w:color="auto"/>
        <w:right w:val="none" w:sz="0" w:space="0" w:color="auto"/>
      </w:divBdr>
    </w:div>
    <w:div w:id="1208027550">
      <w:bodyDiv w:val="1"/>
      <w:marLeft w:val="0"/>
      <w:marRight w:val="0"/>
      <w:marTop w:val="0"/>
      <w:marBottom w:val="0"/>
      <w:divBdr>
        <w:top w:val="none" w:sz="0" w:space="0" w:color="auto"/>
        <w:left w:val="none" w:sz="0" w:space="0" w:color="auto"/>
        <w:bottom w:val="none" w:sz="0" w:space="0" w:color="auto"/>
        <w:right w:val="none" w:sz="0" w:space="0" w:color="auto"/>
      </w:divBdr>
    </w:div>
    <w:div w:id="1258438343">
      <w:bodyDiv w:val="1"/>
      <w:marLeft w:val="0"/>
      <w:marRight w:val="0"/>
      <w:marTop w:val="0"/>
      <w:marBottom w:val="0"/>
      <w:divBdr>
        <w:top w:val="none" w:sz="0" w:space="0" w:color="auto"/>
        <w:left w:val="none" w:sz="0" w:space="0" w:color="auto"/>
        <w:bottom w:val="none" w:sz="0" w:space="0" w:color="auto"/>
        <w:right w:val="none" w:sz="0" w:space="0" w:color="auto"/>
      </w:divBdr>
    </w:div>
    <w:div w:id="1353923294">
      <w:bodyDiv w:val="1"/>
      <w:marLeft w:val="0"/>
      <w:marRight w:val="0"/>
      <w:marTop w:val="0"/>
      <w:marBottom w:val="0"/>
      <w:divBdr>
        <w:top w:val="none" w:sz="0" w:space="0" w:color="auto"/>
        <w:left w:val="none" w:sz="0" w:space="0" w:color="auto"/>
        <w:bottom w:val="none" w:sz="0" w:space="0" w:color="auto"/>
        <w:right w:val="none" w:sz="0" w:space="0" w:color="auto"/>
      </w:divBdr>
    </w:div>
    <w:div w:id="1548681753">
      <w:bodyDiv w:val="1"/>
      <w:marLeft w:val="0"/>
      <w:marRight w:val="0"/>
      <w:marTop w:val="0"/>
      <w:marBottom w:val="0"/>
      <w:divBdr>
        <w:top w:val="none" w:sz="0" w:space="0" w:color="auto"/>
        <w:left w:val="none" w:sz="0" w:space="0" w:color="auto"/>
        <w:bottom w:val="none" w:sz="0" w:space="0" w:color="auto"/>
        <w:right w:val="none" w:sz="0" w:space="0" w:color="auto"/>
      </w:divBdr>
    </w:div>
    <w:div w:id="1606575009">
      <w:bodyDiv w:val="1"/>
      <w:marLeft w:val="0"/>
      <w:marRight w:val="0"/>
      <w:marTop w:val="0"/>
      <w:marBottom w:val="0"/>
      <w:divBdr>
        <w:top w:val="none" w:sz="0" w:space="0" w:color="auto"/>
        <w:left w:val="none" w:sz="0" w:space="0" w:color="auto"/>
        <w:bottom w:val="none" w:sz="0" w:space="0" w:color="auto"/>
        <w:right w:val="none" w:sz="0" w:space="0" w:color="auto"/>
      </w:divBdr>
    </w:div>
    <w:div w:id="203360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3" Type="http://schemas.openxmlformats.org/officeDocument/2006/relationships/hyperlink" Target="https://www.childtrends.org/publications/findings-from-the-first-5-california-home-visiting-workforce-study" TargetMode="External"/><Relationship Id="rId2" Type="http://schemas.openxmlformats.org/officeDocument/2006/relationships/hyperlink" Target="https://mchb.hrsa.gov/maternal-child-health-initiatives/home-visiting-overview" TargetMode="External"/><Relationship Id="rId1" Type="http://schemas.openxmlformats.org/officeDocument/2006/relationships/hyperlink" Target="https://mchb.hrsa.gov/sites/default/files/mchb/MaternalChildHealthInitiatives/HomeVisiting/pdf/programbrief.pdf" TargetMode="External"/><Relationship Id="rId4" Type="http://schemas.openxmlformats.org/officeDocument/2006/relationships/hyperlink" Target="https://mchb.hrsa.gov/sites/default/files/mchb/MaternalChildHealthInitiatives/HomeVisiting/pdf/programbrie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0E3D17968164CB244C999B9D18AED" ma:contentTypeVersion="11" ma:contentTypeDescription="Create a new document." ma:contentTypeScope="" ma:versionID="231314b10bf2d96044caee436754921b">
  <xsd:schema xmlns:xsd="http://www.w3.org/2001/XMLSchema" xmlns:xs="http://www.w3.org/2001/XMLSchema" xmlns:p="http://schemas.microsoft.com/office/2006/metadata/properties" xmlns:ns3="e8fdbaa9-90ef-4665-8032-4d47bf58b641" xmlns:ns4="142dc0aa-5e57-43b1-b2f1-4bb7a92aeba4" targetNamespace="http://schemas.microsoft.com/office/2006/metadata/properties" ma:root="true" ma:fieldsID="c22d56b454dfcddfe4c875b41ae72963" ns3:_="" ns4:_="">
    <xsd:import namespace="e8fdbaa9-90ef-4665-8032-4d47bf58b641"/>
    <xsd:import namespace="142dc0aa-5e57-43b1-b2f1-4bb7a92aeb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dbaa9-90ef-4665-8032-4d47bf58b6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dc0aa-5e57-43b1-b2f1-4bb7a92aeb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45273-B160-46D7-92C3-08D3008C0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dbaa9-90ef-4665-8032-4d47bf58b641"/>
    <ds:schemaRef ds:uri="142dc0aa-5e57-43b1-b2f1-4bb7a92ae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709435-72AF-44AE-A79B-A114DAC5CA31}">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142dc0aa-5e57-43b1-b2f1-4bb7a92aeba4"/>
    <ds:schemaRef ds:uri="e8fdbaa9-90ef-4665-8032-4d47bf58b641"/>
    <ds:schemaRef ds:uri="http://www.w3.org/XML/1998/namespace"/>
  </ds:schemaRefs>
</ds:datastoreItem>
</file>

<file path=customXml/itemProps3.xml><?xml version="1.0" encoding="utf-8"?>
<ds:datastoreItem xmlns:ds="http://schemas.openxmlformats.org/officeDocument/2006/customXml" ds:itemID="{6E4427F7-5A0A-4392-8154-5657422D5A88}">
  <ds:schemaRefs>
    <ds:schemaRef ds:uri="http://schemas.microsoft.com/sharepoint/v3/contenttype/forms"/>
  </ds:schemaRefs>
</ds:datastoreItem>
</file>

<file path=customXml/itemProps4.xml><?xml version="1.0" encoding="utf-8"?>
<ds:datastoreItem xmlns:ds="http://schemas.openxmlformats.org/officeDocument/2006/customXml" ds:itemID="{AB285130-4EE8-4F9E-98D7-F9BD0DD9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7602</Words>
  <Characters>43333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Crowne</dc:creator>
  <cp:keywords/>
  <dc:description/>
  <cp:lastModifiedBy>Roland, Joella (HRSA)</cp:lastModifiedBy>
  <cp:revision>3</cp:revision>
  <dcterms:created xsi:type="dcterms:W3CDTF">2022-06-29T16:54:00Z</dcterms:created>
  <dcterms:modified xsi:type="dcterms:W3CDTF">2022-07-15T19:14:00Z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0x010100CA40E3D17968164CB244C999B9D18AED</vt:lpwstr>
  </property>
  <property fmtid="{D5CDD505-2E9C-101B-9397-08002B2CF9AE}" pid="3" name="_dlc_DocIdItemGuid">
    <vt:lpwstr>ffbd0477-a1a2-461e-a819-b64a4283299e</vt:lpwstr>
  </property>
</Properties>
</file>