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5450" w:rsidP="00835450" w:rsidRDefault="00835450" w14:paraId="4423B8A0" w14:textId="6406F5DE">
      <w:pPr>
        <w:keepLines/>
        <w:widowControl/>
        <w:rPr>
          <w:b/>
          <w:bCs/>
        </w:rPr>
      </w:pPr>
      <w:r>
        <w:rPr>
          <w:b/>
          <w:bCs/>
        </w:rPr>
        <w:t>Attachment 7. Assurance of Confidentiality</w:t>
      </w:r>
    </w:p>
    <w:p w:rsidR="00835450" w:rsidP="00835450" w:rsidRDefault="00835450" w14:paraId="7A132DA5" w14:textId="77777777">
      <w:pPr>
        <w:keepLines/>
        <w:widowControl/>
        <w:rPr>
          <w:b/>
          <w:bCs/>
        </w:rPr>
      </w:pPr>
    </w:p>
    <w:p w:rsidRPr="0056794D" w:rsidR="002A7FDC" w:rsidP="002A7FDC" w:rsidRDefault="002A7FDC" w14:paraId="4EB417E2" w14:textId="3ED9C9E9">
      <w:pPr>
        <w:keepLines/>
        <w:widowControl/>
        <w:jc w:val="center"/>
        <w:rPr>
          <w:b/>
          <w:bCs/>
        </w:rPr>
      </w:pPr>
      <w:r w:rsidRPr="0056794D">
        <w:rPr>
          <w:b/>
          <w:bCs/>
        </w:rPr>
        <w:t xml:space="preserve">ASSURANCE OF CONFIDENTIALITY </w:t>
      </w:r>
    </w:p>
    <w:p w:rsidRPr="0056794D" w:rsidR="002A7FDC" w:rsidP="002A7FDC" w:rsidRDefault="002A7FDC" w14:paraId="6E0528E4" w14:textId="77777777">
      <w:pPr>
        <w:jc w:val="center"/>
        <w:rPr>
          <w:b/>
          <w:bCs/>
        </w:rPr>
      </w:pPr>
      <w:r w:rsidRPr="0056794D">
        <w:rPr>
          <w:b/>
          <w:bCs/>
        </w:rPr>
        <w:t>THE NATIONAL FIREFIGHTER REGISTRY (NFR) DATA</w:t>
      </w:r>
    </w:p>
    <w:p w:rsidRPr="0056794D" w:rsidR="002A7FDC" w:rsidP="002A7FDC" w:rsidRDefault="002A7FDC" w14:paraId="56FEB354" w14:textId="77777777">
      <w:pPr>
        <w:jc w:val="center"/>
        <w:rPr>
          <w:b/>
          <w:bCs/>
        </w:rPr>
      </w:pPr>
      <w:r w:rsidRPr="0056794D">
        <w:rPr>
          <w:b/>
          <w:bCs/>
        </w:rPr>
        <w:t>FIELD RESEARCH BRANCH (FRB)</w:t>
      </w:r>
    </w:p>
    <w:p w:rsidRPr="0056794D" w:rsidR="002A7FDC" w:rsidP="002A7FDC" w:rsidRDefault="002A7FDC" w14:paraId="04328B24" w14:textId="77777777">
      <w:pPr>
        <w:jc w:val="center"/>
        <w:rPr>
          <w:b/>
          <w:bCs/>
        </w:rPr>
      </w:pPr>
      <w:r w:rsidRPr="0056794D">
        <w:rPr>
          <w:b/>
          <w:bCs/>
        </w:rPr>
        <w:t>DIVISION OF FIELD STUDIES AND ENGINEERING (DFSE)</w:t>
      </w:r>
    </w:p>
    <w:p w:rsidRPr="0056794D" w:rsidR="002A7FDC" w:rsidP="002A7FDC" w:rsidRDefault="002A7FDC" w14:paraId="22108D97" w14:textId="77777777">
      <w:pPr>
        <w:jc w:val="center"/>
        <w:rPr>
          <w:b/>
          <w:bCs/>
        </w:rPr>
      </w:pPr>
      <w:r w:rsidRPr="0056794D">
        <w:rPr>
          <w:b/>
          <w:bCs/>
        </w:rPr>
        <w:t xml:space="preserve">NATIONAL INSTITUTE FOR OCCUPATIONAL SAFETY AND HEALTH (NIOSH) </w:t>
      </w:r>
    </w:p>
    <w:p w:rsidRPr="0056794D" w:rsidR="002A7FDC" w:rsidP="002A7FDC" w:rsidRDefault="002A7FDC" w14:paraId="7014A575" w14:textId="77777777">
      <w:pPr>
        <w:tabs>
          <w:tab w:val="left" w:pos="-1440"/>
        </w:tabs>
        <w:jc w:val="center"/>
        <w:rPr>
          <w:b/>
          <w:bCs/>
        </w:rPr>
      </w:pPr>
      <w:r w:rsidRPr="0056794D">
        <w:rPr>
          <w:b/>
          <w:bCs/>
        </w:rPr>
        <w:t>CENTERS FOR DISEASE CONTROL AND PREVENTION (CDC)</w:t>
      </w:r>
    </w:p>
    <w:p w:rsidRPr="0056794D" w:rsidR="002A7FDC" w:rsidP="002A7FDC" w:rsidRDefault="002A7FDC" w14:paraId="631C5DE8" w14:textId="16236928">
      <w:pPr>
        <w:tabs>
          <w:tab w:val="center" w:pos="4680"/>
        </w:tabs>
        <w:jc w:val="center"/>
        <w:rPr>
          <w:b/>
          <w:bCs/>
        </w:rPr>
      </w:pPr>
      <w:r w:rsidRPr="0056794D">
        <w:rPr>
          <w:b/>
          <w:bCs/>
        </w:rPr>
        <w:t>202</w:t>
      </w:r>
      <w:r w:rsidR="008F206F">
        <w:rPr>
          <w:b/>
          <w:bCs/>
        </w:rPr>
        <w:t>2</w:t>
      </w:r>
    </w:p>
    <w:p w:rsidRPr="0056794D" w:rsidR="002A7FDC" w:rsidP="002A7FDC" w:rsidRDefault="002A7FDC" w14:paraId="524B7668" w14:textId="77777777">
      <w:pPr>
        <w:tabs>
          <w:tab w:val="center" w:pos="4680"/>
        </w:tabs>
        <w:jc w:val="center"/>
        <w:rPr>
          <w:b/>
          <w:bCs/>
        </w:rPr>
      </w:pPr>
      <w:r w:rsidRPr="0056794D">
        <w:rPr>
          <w:b/>
          <w:bCs/>
        </w:rPr>
        <w:t xml:space="preserve">(UNDER REVIEW BY THE CDC PRIVACY AND CONFIDENTIALITY UNIT) </w:t>
      </w:r>
    </w:p>
    <w:p w:rsidRPr="0056794D" w:rsidR="00CA5C66" w:rsidP="002A7FDC" w:rsidRDefault="00CA5C66" w14:paraId="1A26AA0D" w14:textId="5856826C"/>
    <w:p w:rsidRPr="0056794D" w:rsidR="00CA5C66" w:rsidP="00CA5C66" w:rsidRDefault="00CA5C66" w14:paraId="59A3C390" w14:textId="6C378416">
      <w:r w:rsidRPr="0056794D">
        <w:t xml:space="preserve">*The Assurance of Confidentiality was </w:t>
      </w:r>
      <w:r w:rsidRPr="0056794D">
        <w:rPr>
          <w:b/>
          <w:bCs/>
        </w:rPr>
        <w:t>cleared by DFSE</w:t>
      </w:r>
      <w:r w:rsidRPr="0056794D">
        <w:t xml:space="preserve"> on 7/27/2020</w:t>
      </w:r>
      <w:r w:rsidR="008F206F">
        <w:t xml:space="preserve"> and is under final review by PCU as of 6/28/2022.</w:t>
      </w:r>
    </w:p>
    <w:p w:rsidRPr="0056794D" w:rsidR="00CA5C66" w:rsidP="00CA5C66" w:rsidRDefault="00CA5C66" w14:paraId="7A9258A1" w14:textId="28D33F86">
      <w:pPr>
        <w:tabs>
          <w:tab w:val="left" w:pos="-1440"/>
        </w:tabs>
      </w:pPr>
    </w:p>
    <w:p w:rsidRPr="00315EEE" w:rsidR="008F206F" w:rsidP="008F206F" w:rsidRDefault="008F206F" w14:paraId="636668EE" w14:textId="5C9FD568">
      <w:pPr>
        <w:rPr>
          <w:rFonts w:asciiTheme="minorHAnsi" w:hAnsiTheme="minorHAnsi" w:cstheme="minorBidi"/>
          <w:b/>
          <w:bCs/>
        </w:rPr>
      </w:pPr>
    </w:p>
    <w:p w:rsidRPr="00616CCB" w:rsidR="008F206F" w:rsidP="008F206F" w:rsidRDefault="008F206F" w14:paraId="6AD45464" w14:textId="77777777">
      <w:pPr>
        <w:tabs>
          <w:tab w:val="left" w:pos="-1440"/>
        </w:tabs>
        <w:jc w:val="center"/>
        <w:rPr>
          <w:rFonts w:asciiTheme="minorHAnsi" w:hAnsiTheme="minorHAnsi" w:cstheme="minorHAnsi"/>
          <w:b/>
          <w:bCs/>
          <w:sz w:val="22"/>
          <w:szCs w:val="22"/>
        </w:rPr>
      </w:pPr>
      <w:r w:rsidRPr="00616CCB">
        <w:rPr>
          <w:rFonts w:asciiTheme="minorHAnsi" w:hAnsiTheme="minorHAnsi" w:cstheme="minorHAnsi"/>
          <w:b/>
          <w:bCs/>
          <w:sz w:val="22"/>
          <w:szCs w:val="22"/>
        </w:rPr>
        <w:t xml:space="preserve"> </w:t>
      </w:r>
    </w:p>
    <w:p w:rsidRPr="00616CCB" w:rsidR="008F206F" w:rsidP="008F206F" w:rsidRDefault="008F206F" w14:paraId="6EB669AD" w14:textId="77777777">
      <w:pPr>
        <w:tabs>
          <w:tab w:val="left" w:pos="-1440"/>
        </w:tabs>
        <w:rPr>
          <w:rFonts w:asciiTheme="minorHAnsi" w:hAnsiTheme="minorHAnsi" w:cstheme="minorHAnsi"/>
          <w:sz w:val="20"/>
          <w:szCs w:val="20"/>
        </w:rPr>
      </w:pPr>
    </w:p>
    <w:p w:rsidR="008F206F" w:rsidP="008F206F" w:rsidRDefault="008F206F" w14:paraId="6700FAAC" w14:textId="77777777">
      <w:pPr>
        <w:tabs>
          <w:tab w:val="left" w:pos="-1440"/>
        </w:tabs>
        <w:rPr>
          <w:rFonts w:asciiTheme="minorHAnsi" w:hAnsiTheme="minorHAnsi" w:cstheme="minorHAnsi"/>
          <w:sz w:val="22"/>
          <w:szCs w:val="22"/>
        </w:rPr>
      </w:pPr>
      <w:r w:rsidRPr="00F60694">
        <w:rPr>
          <w:rFonts w:asciiTheme="minorHAnsi" w:hAnsiTheme="minorHAnsi" w:cstheme="minorHAnsi"/>
          <w:sz w:val="22"/>
          <w:szCs w:val="22"/>
        </w:rPr>
        <w:t xml:space="preserve">The Secretary of Health and Human Services (HHS) delegated authority to the National Institute for Occupational Safety and Health (NIOSH) of the Centers for Disease Control and Prevention (CDC) to collect </w:t>
      </w:r>
      <w:r w:rsidRPr="0006641B">
        <w:rPr>
          <w:rFonts w:asciiTheme="minorHAnsi" w:hAnsiTheme="minorHAnsi" w:cstheme="minorHAnsi"/>
          <w:sz w:val="22"/>
          <w:szCs w:val="22"/>
        </w:rPr>
        <w:t xml:space="preserve">health and occupational information for the purpose of </w:t>
      </w:r>
      <w:r w:rsidRPr="00780AAC">
        <w:rPr>
          <w:rFonts w:asciiTheme="minorHAnsi" w:hAnsiTheme="minorHAnsi" w:cstheme="minorHAnsi"/>
          <w:sz w:val="22"/>
          <w:szCs w:val="22"/>
        </w:rPr>
        <w:t>monitoring and evaluating the cancer incidence among firefighters in the United States and its territories as outlined in the Firefighter Cancer Registry Act of 2018.</w:t>
      </w:r>
      <w:r w:rsidRPr="00DF7909">
        <w:rPr>
          <w:rFonts w:asciiTheme="minorHAnsi" w:hAnsiTheme="minorHAnsi" w:cstheme="minorHAnsi"/>
          <w:sz w:val="22"/>
          <w:szCs w:val="22"/>
        </w:rPr>
        <w:t xml:space="preserve"> </w:t>
      </w:r>
      <w:r>
        <w:rPr>
          <w:rFonts w:asciiTheme="minorHAnsi" w:hAnsiTheme="minorHAnsi" w:cstheme="minorHAnsi"/>
          <w:sz w:val="22"/>
          <w:szCs w:val="22"/>
        </w:rPr>
        <w:t xml:space="preserve">The </w:t>
      </w:r>
      <w:r w:rsidRPr="00780AAC">
        <w:rPr>
          <w:rFonts w:asciiTheme="minorHAnsi" w:hAnsiTheme="minorHAnsi" w:cstheme="minorHAnsi"/>
          <w:sz w:val="22"/>
          <w:szCs w:val="22"/>
        </w:rPr>
        <w:t xml:space="preserve">National Firefighter Registry (NFR) data will be used by scientists within CDC/NIOSH to </w:t>
      </w:r>
      <w:r w:rsidRPr="0006641B">
        <w:rPr>
          <w:rFonts w:asciiTheme="minorHAnsi" w:hAnsiTheme="minorHAnsi" w:cstheme="minorHAnsi"/>
          <w:sz w:val="22"/>
          <w:szCs w:val="22"/>
        </w:rPr>
        <w:t>monitor cancer incidence among firefighters and evaluate relationship</w:t>
      </w:r>
      <w:r>
        <w:rPr>
          <w:rFonts w:asciiTheme="minorHAnsi" w:hAnsiTheme="minorHAnsi" w:cstheme="minorHAnsi"/>
          <w:sz w:val="22"/>
          <w:szCs w:val="22"/>
        </w:rPr>
        <w:t>s</w:t>
      </w:r>
      <w:r w:rsidRPr="0006641B">
        <w:rPr>
          <w:rFonts w:asciiTheme="minorHAnsi" w:hAnsiTheme="minorHAnsi" w:cstheme="minorHAnsi"/>
          <w:sz w:val="22"/>
          <w:szCs w:val="22"/>
        </w:rPr>
        <w:t xml:space="preserve"> between occupational </w:t>
      </w:r>
      <w:r w:rsidRPr="0006641B" w:rsidDel="00F22867">
        <w:rPr>
          <w:rFonts w:asciiTheme="minorHAnsi" w:hAnsiTheme="minorHAnsi" w:cstheme="minorHAnsi"/>
          <w:sz w:val="22"/>
          <w:szCs w:val="22"/>
        </w:rPr>
        <w:t xml:space="preserve">and other </w:t>
      </w:r>
      <w:r>
        <w:rPr>
          <w:rFonts w:asciiTheme="minorHAnsi" w:hAnsiTheme="minorHAnsi" w:cstheme="minorHAnsi"/>
          <w:sz w:val="22"/>
          <w:szCs w:val="22"/>
        </w:rPr>
        <w:t xml:space="preserve">characteristics </w:t>
      </w:r>
      <w:r w:rsidRPr="0006641B">
        <w:rPr>
          <w:rFonts w:asciiTheme="minorHAnsi" w:hAnsiTheme="minorHAnsi" w:cstheme="minorHAnsi"/>
          <w:sz w:val="22"/>
          <w:szCs w:val="22"/>
        </w:rPr>
        <w:t>and cancer</w:t>
      </w:r>
      <w:r>
        <w:rPr>
          <w:rFonts w:asciiTheme="minorHAnsi" w:hAnsiTheme="minorHAnsi" w:cstheme="minorHAnsi"/>
          <w:sz w:val="22"/>
          <w:szCs w:val="22"/>
        </w:rPr>
        <w:t xml:space="preserve">. </w:t>
      </w:r>
      <w:r w:rsidRPr="0006641B">
        <w:rPr>
          <w:rFonts w:asciiTheme="minorHAnsi" w:hAnsiTheme="minorHAnsi" w:cstheme="minorHAnsi"/>
          <w:sz w:val="22"/>
          <w:szCs w:val="22"/>
        </w:rPr>
        <w:t>The data</w:t>
      </w:r>
      <w:r>
        <w:rPr>
          <w:rFonts w:asciiTheme="minorHAnsi" w:hAnsiTheme="minorHAnsi" w:cstheme="minorHAnsi"/>
          <w:sz w:val="22"/>
          <w:szCs w:val="22"/>
        </w:rPr>
        <w:t xml:space="preserve"> </w:t>
      </w:r>
      <w:r w:rsidRPr="0006641B">
        <w:rPr>
          <w:rFonts w:asciiTheme="minorHAnsi" w:hAnsiTheme="minorHAnsi" w:cstheme="minorHAnsi"/>
          <w:sz w:val="22"/>
          <w:szCs w:val="22"/>
        </w:rPr>
        <w:t xml:space="preserve">can also be analyzed </w:t>
      </w:r>
      <w:r>
        <w:rPr>
          <w:rFonts w:asciiTheme="minorHAnsi" w:hAnsiTheme="minorHAnsi" w:cstheme="minorHAnsi"/>
          <w:sz w:val="22"/>
          <w:szCs w:val="22"/>
        </w:rPr>
        <w:t xml:space="preserve">by CDC/NIOSH scientists </w:t>
      </w:r>
      <w:r w:rsidRPr="0006641B">
        <w:rPr>
          <w:rFonts w:asciiTheme="minorHAnsi" w:hAnsiTheme="minorHAnsi" w:cstheme="minorHAnsi"/>
          <w:sz w:val="22"/>
          <w:szCs w:val="22"/>
        </w:rPr>
        <w:t xml:space="preserve">for other </w:t>
      </w:r>
      <w:r>
        <w:rPr>
          <w:rFonts w:asciiTheme="minorHAnsi" w:hAnsiTheme="minorHAnsi" w:cstheme="minorHAnsi"/>
          <w:sz w:val="22"/>
          <w:szCs w:val="22"/>
        </w:rPr>
        <w:t xml:space="preserve">public health </w:t>
      </w:r>
      <w:r w:rsidRPr="0006641B">
        <w:rPr>
          <w:rFonts w:asciiTheme="minorHAnsi" w:hAnsiTheme="minorHAnsi" w:cstheme="minorHAnsi"/>
          <w:sz w:val="22"/>
          <w:szCs w:val="22"/>
        </w:rPr>
        <w:t>purposes</w:t>
      </w:r>
      <w:r>
        <w:rPr>
          <w:rFonts w:asciiTheme="minorHAnsi" w:hAnsiTheme="minorHAnsi" w:cstheme="minorHAnsi"/>
          <w:sz w:val="22"/>
          <w:szCs w:val="22"/>
        </w:rPr>
        <w:t>. Data will be provided in a de-identified format for sharing with the public including external researchers,</w:t>
      </w:r>
      <w:r w:rsidRPr="000F0FEC">
        <w:rPr>
          <w:rFonts w:asciiTheme="minorHAnsi" w:hAnsiTheme="minorHAnsi" w:cstheme="minorHAnsi"/>
          <w:sz w:val="22"/>
          <w:szCs w:val="22"/>
        </w:rPr>
        <w:t xml:space="preserve"> </w:t>
      </w:r>
      <w:r>
        <w:rPr>
          <w:rFonts w:asciiTheme="minorHAnsi" w:hAnsiTheme="minorHAnsi" w:cstheme="minorHAnsi"/>
          <w:sz w:val="22"/>
          <w:szCs w:val="22"/>
        </w:rPr>
        <w:t>as appropriate.</w:t>
      </w:r>
      <w:r w:rsidRPr="0006641B" w:rsidDel="00F22867">
        <w:rPr>
          <w:rFonts w:asciiTheme="minorHAnsi" w:hAnsiTheme="minorHAnsi" w:cstheme="minorHAnsi"/>
          <w:sz w:val="22"/>
          <w:szCs w:val="22"/>
        </w:rPr>
        <w:t xml:space="preserve"> </w:t>
      </w:r>
    </w:p>
    <w:p w:rsidR="008F206F" w:rsidP="008F206F" w:rsidRDefault="008F206F" w14:paraId="2B9D76D2" w14:textId="77777777">
      <w:pPr>
        <w:rPr>
          <w:rFonts w:asciiTheme="minorHAnsi" w:hAnsiTheme="minorHAnsi" w:cstheme="minorHAnsi"/>
          <w:sz w:val="22"/>
          <w:szCs w:val="22"/>
        </w:rPr>
      </w:pPr>
    </w:p>
    <w:p w:rsidRPr="00D247B2" w:rsidR="008F206F" w:rsidP="008F206F" w:rsidRDefault="008F206F" w14:paraId="52E42410" w14:textId="77777777">
      <w:pPr>
        <w:rPr>
          <w:rFonts w:asciiTheme="minorHAnsi" w:hAnsiTheme="minorHAnsi" w:cstheme="minorHAnsi"/>
          <w:sz w:val="22"/>
          <w:szCs w:val="22"/>
        </w:rPr>
      </w:pPr>
      <w:r w:rsidRPr="00D247B2">
        <w:rPr>
          <w:rFonts w:asciiTheme="minorHAnsi" w:hAnsiTheme="minorHAnsi" w:cstheme="minorHAnsi"/>
          <w:sz w:val="22"/>
          <w:szCs w:val="22"/>
        </w:rPr>
        <w:t xml:space="preserve">The Division of Field Studies and Engineering (DFSE), National Institute for Occupational Safety and Health (NIOSH) has </w:t>
      </w:r>
      <w:r>
        <w:rPr>
          <w:rFonts w:asciiTheme="minorHAnsi" w:hAnsiTheme="minorHAnsi" w:cstheme="minorHAnsi"/>
          <w:sz w:val="22"/>
          <w:szCs w:val="22"/>
        </w:rPr>
        <w:t>received</w:t>
      </w:r>
      <w:r w:rsidRPr="00D247B2">
        <w:rPr>
          <w:rFonts w:asciiTheme="minorHAnsi" w:hAnsiTheme="minorHAnsi" w:cstheme="minorHAnsi"/>
          <w:sz w:val="22"/>
          <w:szCs w:val="22"/>
        </w:rPr>
        <w:t xml:space="preserve"> a 308(d) Assurance of Confidentiality for National Firefighter Registry (NFR) data in order to protect the sensitive nature of these records which include direct (social security number (SSN), date of birth (DOB), and first and last name) and indirect (</w:t>
      </w:r>
      <w:r w:rsidRPr="00D247B2">
        <w:rPr>
          <w:rFonts w:asciiTheme="minorHAnsi" w:hAnsiTheme="minorHAnsi" w:cstheme="minorHAnsi"/>
          <w:color w:val="000000"/>
          <w:sz w:val="22"/>
          <w:szCs w:val="22"/>
        </w:rPr>
        <w:t xml:space="preserve">sex, age, race/ethnicity, marital status, employer (name of fire department), </w:t>
      </w:r>
      <w:r w:rsidRPr="00D247B2">
        <w:rPr>
          <w:rFonts w:asciiTheme="minorHAnsi" w:hAnsiTheme="minorHAnsi" w:cstheme="minorHAnsi"/>
          <w:sz w:val="22"/>
          <w:szCs w:val="22"/>
        </w:rPr>
        <w:t xml:space="preserve">employee ID, current and past job titles (e.g., firefighter, company officer, fire chief, etc.), and hire date) identifiers obtained through an enrollment questionnaire. The NFR team will also use firefighters’ direct identifiers to link with population-based (e.g., state) cancer registries, the National Death Index (NDI), and other information databases for the purposes of determining cancer </w:t>
      </w:r>
      <w:r>
        <w:rPr>
          <w:rFonts w:asciiTheme="minorHAnsi" w:hAnsiTheme="minorHAnsi" w:cstheme="minorHAnsi"/>
          <w:sz w:val="22"/>
          <w:szCs w:val="22"/>
        </w:rPr>
        <w:t xml:space="preserve">and health </w:t>
      </w:r>
      <w:r w:rsidRPr="00D247B2">
        <w:rPr>
          <w:rFonts w:asciiTheme="minorHAnsi" w:hAnsiTheme="minorHAnsi" w:cstheme="minorHAnsi"/>
          <w:sz w:val="22"/>
          <w:szCs w:val="22"/>
        </w:rPr>
        <w:t xml:space="preserve">status, cancer diagnosis information, vital status, </w:t>
      </w:r>
      <w:r>
        <w:rPr>
          <w:rFonts w:asciiTheme="minorHAnsi" w:hAnsiTheme="minorHAnsi" w:cstheme="minorHAnsi"/>
          <w:sz w:val="22"/>
          <w:szCs w:val="22"/>
        </w:rPr>
        <w:t xml:space="preserve">and </w:t>
      </w:r>
      <w:r w:rsidRPr="00D247B2">
        <w:rPr>
          <w:rFonts w:asciiTheme="minorHAnsi" w:hAnsiTheme="minorHAnsi" w:cstheme="minorHAnsi"/>
          <w:sz w:val="22"/>
          <w:szCs w:val="22"/>
        </w:rPr>
        <w:t>cause of death</w:t>
      </w:r>
      <w:r>
        <w:rPr>
          <w:rFonts w:asciiTheme="minorHAnsi" w:hAnsiTheme="minorHAnsi" w:cstheme="minorHAnsi"/>
          <w:sz w:val="22"/>
          <w:szCs w:val="22"/>
        </w:rPr>
        <w:t>.</w:t>
      </w:r>
      <w:r w:rsidRPr="00D247B2">
        <w:rPr>
          <w:rFonts w:asciiTheme="minorHAnsi" w:hAnsiTheme="minorHAnsi" w:cstheme="minorHAnsi"/>
          <w:sz w:val="22"/>
          <w:szCs w:val="22"/>
        </w:rPr>
        <w:t xml:space="preserve"> </w:t>
      </w:r>
      <w:r>
        <w:rPr>
          <w:rFonts w:asciiTheme="minorHAnsi" w:hAnsiTheme="minorHAnsi" w:cstheme="minorHAnsi"/>
          <w:sz w:val="22"/>
          <w:szCs w:val="22"/>
        </w:rPr>
        <w:t>CDC/</w:t>
      </w:r>
      <w:r w:rsidRPr="00D247B2">
        <w:rPr>
          <w:rFonts w:asciiTheme="minorHAnsi" w:hAnsiTheme="minorHAnsi" w:cstheme="minorHAnsi"/>
          <w:sz w:val="22"/>
          <w:szCs w:val="22"/>
        </w:rPr>
        <w:t xml:space="preserve">NIOSH will also request roster information from </w:t>
      </w:r>
      <w:r>
        <w:rPr>
          <w:rFonts w:asciiTheme="minorHAnsi" w:hAnsiTheme="minorHAnsi" w:cstheme="minorHAnsi"/>
          <w:sz w:val="22"/>
          <w:szCs w:val="22"/>
        </w:rPr>
        <w:t>fire</w:t>
      </w:r>
      <w:r w:rsidRPr="00D247B2">
        <w:rPr>
          <w:rFonts w:asciiTheme="minorHAnsi" w:hAnsiTheme="minorHAnsi" w:cstheme="minorHAnsi"/>
          <w:sz w:val="22"/>
          <w:szCs w:val="22"/>
        </w:rPr>
        <w:t xml:space="preserve"> departments </w:t>
      </w:r>
      <w:r>
        <w:rPr>
          <w:rFonts w:asciiTheme="minorHAnsi" w:hAnsiTheme="minorHAnsi" w:cstheme="minorHAnsi"/>
          <w:sz w:val="22"/>
          <w:szCs w:val="22"/>
        </w:rPr>
        <w:t xml:space="preserve">and state agencies </w:t>
      </w:r>
      <w:r w:rsidRPr="00D247B2">
        <w:rPr>
          <w:rFonts w:asciiTheme="minorHAnsi" w:hAnsiTheme="minorHAnsi" w:cstheme="minorHAnsi"/>
          <w:sz w:val="22"/>
          <w:szCs w:val="22"/>
        </w:rPr>
        <w:t>to provide NIOSH with a list of individuals to be contacted to participate in the NFR</w:t>
      </w:r>
      <w:r>
        <w:rPr>
          <w:rFonts w:asciiTheme="minorHAnsi" w:hAnsiTheme="minorHAnsi" w:cstheme="minorHAnsi"/>
          <w:sz w:val="22"/>
          <w:szCs w:val="22"/>
        </w:rPr>
        <w:t xml:space="preserve"> and for tracking participation</w:t>
      </w:r>
      <w:r w:rsidRPr="00D247B2">
        <w:rPr>
          <w:rFonts w:asciiTheme="minorHAnsi" w:hAnsiTheme="minorHAnsi" w:cstheme="minorHAnsi"/>
          <w:sz w:val="22"/>
          <w:szCs w:val="22"/>
        </w:rPr>
        <w:t xml:space="preserve">. </w:t>
      </w:r>
      <w:r>
        <w:rPr>
          <w:rFonts w:asciiTheme="minorHAnsi" w:hAnsiTheme="minorHAnsi" w:cstheme="minorHAnsi"/>
          <w:sz w:val="22"/>
          <w:szCs w:val="22"/>
        </w:rPr>
        <w:t>T</w:t>
      </w:r>
      <w:r w:rsidRPr="00D247B2">
        <w:rPr>
          <w:rFonts w:asciiTheme="minorHAnsi" w:hAnsiTheme="minorHAnsi" w:cstheme="minorHAnsi"/>
          <w:sz w:val="22"/>
          <w:szCs w:val="22"/>
        </w:rPr>
        <w:t xml:space="preserve">he NFR team </w:t>
      </w:r>
      <w:r>
        <w:rPr>
          <w:rFonts w:asciiTheme="minorHAnsi" w:hAnsiTheme="minorHAnsi" w:cstheme="minorHAnsi"/>
          <w:sz w:val="22"/>
          <w:szCs w:val="22"/>
        </w:rPr>
        <w:t>could</w:t>
      </w:r>
      <w:r w:rsidRPr="00D247B2">
        <w:rPr>
          <w:rFonts w:asciiTheme="minorHAnsi" w:hAnsiTheme="minorHAnsi" w:cstheme="minorHAnsi"/>
          <w:sz w:val="22"/>
          <w:szCs w:val="22"/>
        </w:rPr>
        <w:t xml:space="preserve"> </w:t>
      </w:r>
      <w:r>
        <w:rPr>
          <w:rFonts w:asciiTheme="minorHAnsi" w:hAnsiTheme="minorHAnsi" w:cstheme="minorHAnsi"/>
          <w:sz w:val="22"/>
          <w:szCs w:val="22"/>
        </w:rPr>
        <w:t xml:space="preserve">also </w:t>
      </w:r>
      <w:r w:rsidRPr="00D247B2">
        <w:rPr>
          <w:rFonts w:asciiTheme="minorHAnsi" w:hAnsiTheme="minorHAnsi" w:cstheme="minorHAnsi"/>
          <w:sz w:val="22"/>
          <w:szCs w:val="22"/>
        </w:rPr>
        <w:t>collect incident and employment records from fire departments</w:t>
      </w:r>
      <w:r>
        <w:rPr>
          <w:rFonts w:asciiTheme="minorHAnsi" w:hAnsiTheme="minorHAnsi" w:cstheme="minorHAnsi"/>
          <w:sz w:val="22"/>
          <w:szCs w:val="22"/>
        </w:rPr>
        <w:t xml:space="preserve"> or agencies that maintain these records</w:t>
      </w:r>
      <w:r w:rsidRPr="00D247B2">
        <w:rPr>
          <w:rFonts w:asciiTheme="minorHAnsi" w:hAnsiTheme="minorHAnsi" w:cstheme="minorHAnsi"/>
          <w:sz w:val="22"/>
          <w:szCs w:val="22"/>
        </w:rPr>
        <w:t xml:space="preserve"> </w:t>
      </w:r>
      <w:r>
        <w:rPr>
          <w:rFonts w:asciiTheme="minorHAnsi" w:hAnsiTheme="minorHAnsi" w:cstheme="minorHAnsi"/>
          <w:sz w:val="22"/>
          <w:szCs w:val="22"/>
        </w:rPr>
        <w:t>for firefighters who consent to participate in the NFR. Lastly, participating firefighters can also request that exposure tracking software programs release their exposure tracking data</w:t>
      </w:r>
      <w:r w:rsidRPr="00D247B2">
        <w:rPr>
          <w:rFonts w:asciiTheme="minorHAnsi" w:hAnsiTheme="minorHAnsi" w:cstheme="minorHAnsi"/>
          <w:sz w:val="22"/>
          <w:szCs w:val="22"/>
        </w:rPr>
        <w:t xml:space="preserve"> </w:t>
      </w:r>
      <w:r>
        <w:rPr>
          <w:rFonts w:asciiTheme="minorHAnsi" w:hAnsiTheme="minorHAnsi" w:cstheme="minorHAnsi"/>
          <w:sz w:val="22"/>
          <w:szCs w:val="22"/>
        </w:rPr>
        <w:t xml:space="preserve">for inclusion in NFR analyses </w:t>
      </w:r>
      <w:r w:rsidRPr="00D247B2">
        <w:rPr>
          <w:rFonts w:asciiTheme="minorHAnsi" w:hAnsiTheme="minorHAnsi" w:cstheme="minorHAnsi"/>
          <w:sz w:val="22"/>
          <w:szCs w:val="22"/>
        </w:rPr>
        <w:t xml:space="preserve">to better understand firefighters’ exposure profile. </w:t>
      </w:r>
    </w:p>
    <w:p w:rsidRPr="00F60694" w:rsidR="008F206F" w:rsidP="008F206F" w:rsidRDefault="008F206F" w14:paraId="1548687C" w14:textId="77777777">
      <w:pPr>
        <w:rPr>
          <w:rFonts w:asciiTheme="minorHAnsi" w:hAnsiTheme="minorHAnsi" w:cstheme="minorHAnsi"/>
          <w:sz w:val="22"/>
          <w:szCs w:val="22"/>
        </w:rPr>
      </w:pPr>
    </w:p>
    <w:p w:rsidR="008F206F" w:rsidP="008F206F" w:rsidRDefault="008F206F" w14:paraId="15DD1B64" w14:textId="77777777">
      <w:pPr>
        <w:widowControl/>
        <w:autoSpaceDE/>
        <w:autoSpaceDN/>
        <w:adjustRightInd/>
        <w:rPr>
          <w:rFonts w:asciiTheme="minorHAnsi" w:hAnsiTheme="minorHAnsi" w:cstheme="minorHAnsi"/>
          <w:sz w:val="22"/>
          <w:szCs w:val="22"/>
        </w:rPr>
      </w:pPr>
      <w:r w:rsidRPr="00296158">
        <w:rPr>
          <w:rFonts w:asciiTheme="minorHAnsi" w:hAnsiTheme="minorHAnsi" w:cstheme="minorHAnsi"/>
          <w:sz w:val="22"/>
          <w:szCs w:val="22"/>
        </w:rPr>
        <w:t xml:space="preserve">Given that this data collection may </w:t>
      </w:r>
      <w:r>
        <w:rPr>
          <w:rFonts w:asciiTheme="minorHAnsi" w:hAnsiTheme="minorHAnsi" w:cstheme="minorHAnsi"/>
          <w:sz w:val="22"/>
          <w:szCs w:val="22"/>
        </w:rPr>
        <w:t>include</w:t>
      </w:r>
      <w:r w:rsidRPr="00296158">
        <w:rPr>
          <w:rFonts w:asciiTheme="minorHAnsi" w:hAnsiTheme="minorHAnsi" w:cstheme="minorHAnsi"/>
          <w:sz w:val="22"/>
          <w:szCs w:val="22"/>
        </w:rPr>
        <w:t xml:space="preserve"> sensitive information that is identifiable or potentially identifiable for individuals</w:t>
      </w:r>
      <w:r w:rsidRPr="009E1184">
        <w:rPr>
          <w:rFonts w:asciiTheme="minorHAnsi" w:hAnsiTheme="minorHAnsi" w:cstheme="minorHAnsi"/>
          <w:sz w:val="22"/>
          <w:szCs w:val="22"/>
        </w:rPr>
        <w:t>, NIOSH</w:t>
      </w:r>
      <w:r>
        <w:rPr>
          <w:rFonts w:asciiTheme="minorHAnsi" w:hAnsiTheme="minorHAnsi" w:cstheme="minorHAnsi"/>
          <w:sz w:val="22"/>
          <w:szCs w:val="22"/>
        </w:rPr>
        <w:t xml:space="preserve"> has requested and received authorization </w:t>
      </w:r>
      <w:r w:rsidRPr="00F60694">
        <w:rPr>
          <w:rFonts w:asciiTheme="minorHAnsi" w:hAnsiTheme="minorHAnsi" w:cstheme="minorHAnsi"/>
          <w:sz w:val="22"/>
          <w:szCs w:val="22"/>
        </w:rPr>
        <w:t>under Section 308(d) of the Public Health Service Act, (42 U.S.C. 242 m (d)) to assur</w:t>
      </w:r>
      <w:r>
        <w:rPr>
          <w:rFonts w:asciiTheme="minorHAnsi" w:hAnsiTheme="minorHAnsi" w:cstheme="minorHAnsi"/>
          <w:sz w:val="22"/>
          <w:szCs w:val="22"/>
        </w:rPr>
        <w:t>e</w:t>
      </w:r>
      <w:r w:rsidRPr="00F60694">
        <w:rPr>
          <w:rFonts w:asciiTheme="minorHAnsi" w:hAnsiTheme="minorHAnsi" w:cstheme="minorHAnsi"/>
          <w:sz w:val="22"/>
          <w:szCs w:val="22"/>
        </w:rPr>
        <w:t xml:space="preserve"> </w:t>
      </w:r>
      <w:r>
        <w:rPr>
          <w:rFonts w:asciiTheme="minorHAnsi" w:hAnsiTheme="minorHAnsi" w:cstheme="minorHAnsi"/>
          <w:sz w:val="22"/>
          <w:szCs w:val="22"/>
        </w:rPr>
        <w:t>the</w:t>
      </w:r>
      <w:r w:rsidRPr="00F60694">
        <w:rPr>
          <w:rFonts w:asciiTheme="minorHAnsi" w:hAnsiTheme="minorHAnsi" w:cstheme="minorHAnsi"/>
          <w:sz w:val="22"/>
          <w:szCs w:val="22"/>
        </w:rPr>
        <w:t xml:space="preserve"> confidentiality </w:t>
      </w:r>
      <w:r>
        <w:rPr>
          <w:rFonts w:asciiTheme="minorHAnsi" w:hAnsiTheme="minorHAnsi" w:cstheme="minorHAnsi"/>
          <w:sz w:val="22"/>
          <w:szCs w:val="22"/>
        </w:rPr>
        <w:t>of</w:t>
      </w:r>
      <w:r w:rsidRPr="00F60694">
        <w:rPr>
          <w:rFonts w:asciiTheme="minorHAnsi" w:hAnsiTheme="minorHAnsi" w:cstheme="minorHAnsi"/>
          <w:sz w:val="22"/>
          <w:szCs w:val="22"/>
        </w:rPr>
        <w:t xml:space="preserve"> NFR data </w:t>
      </w:r>
      <w:r>
        <w:rPr>
          <w:rFonts w:asciiTheme="minorHAnsi" w:hAnsiTheme="minorHAnsi" w:cstheme="minorHAnsi"/>
          <w:sz w:val="22"/>
          <w:szCs w:val="22"/>
        </w:rPr>
        <w:t xml:space="preserve">by protecting: identifiable data </w:t>
      </w:r>
      <w:r w:rsidRPr="00F60694">
        <w:rPr>
          <w:rFonts w:asciiTheme="minorHAnsi" w:hAnsiTheme="minorHAnsi" w:cstheme="minorHAnsi"/>
          <w:sz w:val="22"/>
          <w:szCs w:val="22"/>
        </w:rPr>
        <w:t>obtained from individual firefighters</w:t>
      </w:r>
      <w:r>
        <w:rPr>
          <w:rFonts w:asciiTheme="minorHAnsi" w:hAnsiTheme="minorHAnsi" w:cstheme="minorHAnsi"/>
          <w:sz w:val="22"/>
          <w:szCs w:val="22"/>
        </w:rPr>
        <w:t xml:space="preserve"> participating in the NFR; firefighters’ identifiable information provided by other institutions (e.g., fire departments, population-based cancer registries, exposure tracking programs); and the identities of fire departments in order to maximize participation from fire departments that are helping with recruitment or providing information to the NFR for consenting firefighters. </w:t>
      </w:r>
    </w:p>
    <w:p w:rsidR="008F206F" w:rsidP="008F206F" w:rsidRDefault="008F206F" w14:paraId="5E708399" w14:textId="77777777">
      <w:pPr>
        <w:widowControl/>
        <w:autoSpaceDE/>
        <w:autoSpaceDN/>
        <w:adjustRightInd/>
        <w:rPr>
          <w:rFonts w:asciiTheme="minorHAnsi" w:hAnsiTheme="minorHAnsi" w:cstheme="minorHAnsi"/>
          <w:sz w:val="22"/>
          <w:szCs w:val="22"/>
        </w:rPr>
      </w:pPr>
    </w:p>
    <w:p w:rsidRPr="00E401DB" w:rsidR="008F206F" w:rsidP="008F206F" w:rsidRDefault="008F206F" w14:paraId="1D756E3C" w14:textId="77777777">
      <w:pPr>
        <w:widowControl/>
        <w:autoSpaceDE/>
        <w:autoSpaceDN/>
        <w:adjustRightInd/>
        <w:rPr>
          <w:rFonts w:asciiTheme="minorHAnsi" w:hAnsiTheme="minorHAnsi" w:cstheme="minorHAnsi"/>
          <w:color w:val="000000"/>
          <w:sz w:val="22"/>
          <w:szCs w:val="22"/>
          <w:u w:val="single"/>
        </w:rPr>
      </w:pPr>
      <w:r>
        <w:rPr>
          <w:rFonts w:asciiTheme="minorHAnsi" w:hAnsiTheme="minorHAnsi" w:cstheme="minorHAnsi"/>
          <w:sz w:val="22"/>
          <w:szCs w:val="22"/>
        </w:rPr>
        <w:lastRenderedPageBreak/>
        <w:t>I</w:t>
      </w:r>
      <w:r w:rsidRPr="00F60694">
        <w:rPr>
          <w:rFonts w:asciiTheme="minorHAnsi" w:hAnsiTheme="minorHAnsi" w:cstheme="minorHAnsi"/>
          <w:sz w:val="22"/>
          <w:szCs w:val="22"/>
        </w:rPr>
        <w:t xml:space="preserve">dentifiable information collected will be kept confidential and, aside from </w:t>
      </w:r>
      <w:r>
        <w:rPr>
          <w:rFonts w:asciiTheme="minorHAnsi" w:hAnsiTheme="minorHAnsi" w:cstheme="minorHAnsi"/>
          <w:sz w:val="22"/>
          <w:szCs w:val="22"/>
        </w:rPr>
        <w:t>CDC/</w:t>
      </w:r>
      <w:r w:rsidRPr="00F60694">
        <w:rPr>
          <w:rFonts w:asciiTheme="minorHAnsi" w:hAnsiTheme="minorHAnsi" w:cstheme="minorHAnsi"/>
          <w:sz w:val="22"/>
          <w:szCs w:val="22"/>
        </w:rPr>
        <w:t xml:space="preserve">NIOSH or other </w:t>
      </w:r>
      <w:r>
        <w:rPr>
          <w:rFonts w:asciiTheme="minorHAnsi" w:hAnsiTheme="minorHAnsi" w:cstheme="minorHAnsi"/>
          <w:sz w:val="22"/>
          <w:szCs w:val="22"/>
        </w:rPr>
        <w:t>f</w:t>
      </w:r>
      <w:r w:rsidRPr="00F60694">
        <w:rPr>
          <w:rFonts w:asciiTheme="minorHAnsi" w:hAnsiTheme="minorHAnsi" w:cstheme="minorHAnsi"/>
          <w:sz w:val="22"/>
          <w:szCs w:val="22"/>
        </w:rPr>
        <w:t xml:space="preserve">ederal employees assigned to the project, government contractors, visiting scientists, </w:t>
      </w:r>
      <w:r>
        <w:rPr>
          <w:rFonts w:asciiTheme="minorHAnsi" w:hAnsiTheme="minorHAnsi" w:cstheme="minorHAnsi"/>
          <w:sz w:val="22"/>
          <w:szCs w:val="22"/>
        </w:rPr>
        <w:t xml:space="preserve">cooperative agreement partners, </w:t>
      </w:r>
      <w:r w:rsidRPr="00F60694">
        <w:rPr>
          <w:rFonts w:asciiTheme="minorHAnsi" w:hAnsiTheme="minorHAnsi" w:cstheme="minorHAnsi"/>
          <w:sz w:val="22"/>
          <w:szCs w:val="22"/>
        </w:rPr>
        <w:t xml:space="preserve">guest researchers, and fellows and trainees, </w:t>
      </w:r>
      <w:r>
        <w:rPr>
          <w:rFonts w:asciiTheme="minorHAnsi" w:hAnsiTheme="minorHAnsi" w:cstheme="minorHAnsi"/>
          <w:sz w:val="22"/>
          <w:szCs w:val="22"/>
        </w:rPr>
        <w:t>third parties will be restricted from accessing this data</w:t>
      </w:r>
      <w:r w:rsidRPr="00F60694">
        <w:rPr>
          <w:rFonts w:asciiTheme="minorHAnsi" w:hAnsiTheme="minorHAnsi" w:cstheme="minorHAnsi"/>
          <w:sz w:val="22"/>
          <w:szCs w:val="22"/>
        </w:rPr>
        <w:t>.</w:t>
      </w:r>
      <w:r>
        <w:rPr>
          <w:rFonts w:asciiTheme="minorHAnsi" w:hAnsiTheme="minorHAnsi" w:cstheme="minorHAnsi"/>
          <w:sz w:val="22"/>
          <w:szCs w:val="22"/>
        </w:rPr>
        <w:t xml:space="preserve"> These</w:t>
      </w:r>
      <w:r w:rsidRPr="00F60694">
        <w:rPr>
          <w:rFonts w:asciiTheme="minorHAnsi" w:hAnsiTheme="minorHAnsi" w:cstheme="minorHAnsi"/>
          <w:sz w:val="22"/>
          <w:szCs w:val="22"/>
        </w:rPr>
        <w:t xml:space="preserve"> individuals who handle the </w:t>
      </w:r>
      <w:r>
        <w:rPr>
          <w:rFonts w:asciiTheme="minorHAnsi" w:hAnsiTheme="minorHAnsi" w:cstheme="minorHAnsi"/>
          <w:sz w:val="22"/>
          <w:szCs w:val="22"/>
        </w:rPr>
        <w:t xml:space="preserve">identifiable </w:t>
      </w:r>
      <w:r w:rsidRPr="00F60694">
        <w:rPr>
          <w:rFonts w:asciiTheme="minorHAnsi" w:hAnsiTheme="minorHAnsi" w:cstheme="minorHAnsi"/>
          <w:sz w:val="22"/>
          <w:szCs w:val="22"/>
        </w:rPr>
        <w:t xml:space="preserve">information will be required to </w:t>
      </w:r>
      <w:r w:rsidRPr="00F60694">
        <w:rPr>
          <w:rFonts w:asciiTheme="minorHAnsi" w:hAnsiTheme="minorHAnsi" w:cstheme="minorHAnsi"/>
          <w:color w:val="000000"/>
          <w:sz w:val="22"/>
          <w:szCs w:val="22"/>
        </w:rPr>
        <w:t xml:space="preserve">adhere to a security and confidentiality protocol, participate in annual security training, and sign a </w:t>
      </w:r>
      <w:r w:rsidRPr="00F60694">
        <w:rPr>
          <w:rFonts w:asciiTheme="minorHAnsi" w:hAnsiTheme="minorHAnsi" w:cstheme="minorHAnsi"/>
          <w:iCs/>
          <w:color w:val="000000"/>
          <w:sz w:val="22"/>
          <w:szCs w:val="22"/>
        </w:rPr>
        <w:t>308(d) Nondisclosure Agreement and 308(d) Confidentiality Pledge</w:t>
      </w:r>
      <w:r>
        <w:rPr>
          <w:rFonts w:asciiTheme="minorHAnsi" w:hAnsiTheme="minorHAnsi" w:cstheme="minorHAnsi"/>
          <w:iCs/>
          <w:color w:val="000000"/>
          <w:sz w:val="22"/>
          <w:szCs w:val="22"/>
        </w:rPr>
        <w:t>.</w:t>
      </w:r>
      <w:r w:rsidRPr="00F60694">
        <w:rPr>
          <w:rFonts w:asciiTheme="minorHAnsi" w:hAnsiTheme="minorHAnsi" w:cstheme="minorHAnsi"/>
          <w:sz w:val="22"/>
          <w:szCs w:val="22"/>
        </w:rPr>
        <w:t xml:space="preserve"> </w:t>
      </w:r>
      <w:r>
        <w:rPr>
          <w:rFonts w:asciiTheme="minorHAnsi" w:hAnsiTheme="minorHAnsi" w:cstheme="minorHAnsi"/>
          <w:sz w:val="22"/>
          <w:szCs w:val="22"/>
        </w:rPr>
        <w:t>Institutions that house c</w:t>
      </w:r>
      <w:r w:rsidRPr="0000392F">
        <w:rPr>
          <w:rFonts w:asciiTheme="minorHAnsi" w:hAnsiTheme="minorHAnsi" w:cstheme="minorHAnsi"/>
          <w:sz w:val="22"/>
          <w:szCs w:val="22"/>
        </w:rPr>
        <w:t xml:space="preserve">ancer registries </w:t>
      </w:r>
      <w:r>
        <w:rPr>
          <w:rFonts w:asciiTheme="minorHAnsi" w:hAnsiTheme="minorHAnsi" w:cstheme="minorHAnsi"/>
          <w:sz w:val="22"/>
          <w:szCs w:val="22"/>
        </w:rPr>
        <w:t xml:space="preserve">and other information databases </w:t>
      </w:r>
      <w:r w:rsidRPr="0000392F">
        <w:rPr>
          <w:rFonts w:asciiTheme="minorHAnsi" w:hAnsiTheme="minorHAnsi" w:cstheme="minorHAnsi"/>
          <w:sz w:val="22"/>
          <w:szCs w:val="22"/>
        </w:rPr>
        <w:t xml:space="preserve">will </w:t>
      </w:r>
      <w:r>
        <w:rPr>
          <w:rFonts w:asciiTheme="minorHAnsi" w:hAnsiTheme="minorHAnsi" w:cstheme="minorHAnsi"/>
          <w:sz w:val="22"/>
          <w:szCs w:val="22"/>
        </w:rPr>
        <w:t>be given access to select identifiable data</w:t>
      </w:r>
      <w:r w:rsidRPr="0000392F">
        <w:rPr>
          <w:rFonts w:asciiTheme="minorHAnsi" w:hAnsiTheme="minorHAnsi" w:cstheme="minorHAnsi"/>
          <w:sz w:val="22"/>
          <w:szCs w:val="22"/>
        </w:rPr>
        <w:t xml:space="preserve"> for data linkage purposes (i.e., so </w:t>
      </w:r>
      <w:r>
        <w:rPr>
          <w:rFonts w:asciiTheme="minorHAnsi" w:hAnsiTheme="minorHAnsi" w:cstheme="minorHAnsi"/>
          <w:sz w:val="22"/>
          <w:szCs w:val="22"/>
        </w:rPr>
        <w:t>CDC/NIOSH can acquire</w:t>
      </w:r>
      <w:r w:rsidRPr="0000392F">
        <w:rPr>
          <w:rFonts w:asciiTheme="minorHAnsi" w:hAnsiTheme="minorHAnsi" w:cstheme="minorHAnsi"/>
          <w:sz w:val="22"/>
          <w:szCs w:val="22"/>
        </w:rPr>
        <w:t xml:space="preserve"> cancer diagnosis</w:t>
      </w:r>
      <w:r>
        <w:rPr>
          <w:rFonts w:asciiTheme="minorHAnsi" w:hAnsiTheme="minorHAnsi" w:cstheme="minorHAnsi"/>
          <w:sz w:val="22"/>
          <w:szCs w:val="22"/>
        </w:rPr>
        <w:t>, health, and vital status</w:t>
      </w:r>
      <w:r w:rsidRPr="0000392F">
        <w:rPr>
          <w:rFonts w:asciiTheme="minorHAnsi" w:hAnsiTheme="minorHAnsi" w:cstheme="minorHAnsi"/>
          <w:sz w:val="22"/>
          <w:szCs w:val="22"/>
        </w:rPr>
        <w:t xml:space="preserve"> records). </w:t>
      </w:r>
      <w:r>
        <w:rPr>
          <w:rFonts w:asciiTheme="minorHAnsi" w:hAnsiTheme="minorHAnsi" w:cstheme="minorHAnsi"/>
          <w:sz w:val="22"/>
          <w:szCs w:val="22"/>
        </w:rPr>
        <w:t>Those institutions</w:t>
      </w:r>
      <w:r w:rsidRPr="0000392F">
        <w:rPr>
          <w:rFonts w:asciiTheme="minorHAnsi" w:hAnsiTheme="minorHAnsi" w:cstheme="minorHAnsi"/>
          <w:sz w:val="22"/>
          <w:szCs w:val="22"/>
        </w:rPr>
        <w:t xml:space="preserve"> will not be using NFR data for public health purposes, nor will they receive any data beyond those needed for making successful data linkages for sharing with CDC/NIOSH.</w:t>
      </w:r>
      <w:r w:rsidRPr="00F60694">
        <w:rPr>
          <w:rFonts w:asciiTheme="minorHAnsi" w:hAnsiTheme="minorHAnsi" w:cstheme="minorHAnsi"/>
          <w:color w:val="000000"/>
          <w:sz w:val="22"/>
          <w:szCs w:val="22"/>
        </w:rPr>
        <w:t xml:space="preserve">. </w:t>
      </w:r>
      <w:r>
        <w:rPr>
          <w:rFonts w:ascii="Calibri" w:hAnsi="Calibri" w:cs="Calibri"/>
          <w:sz w:val="22"/>
          <w:szCs w:val="22"/>
        </w:rPr>
        <w:t xml:space="preserve">De-identified </w:t>
      </w:r>
      <w:r>
        <w:rPr>
          <w:rFonts w:ascii="Calibri" w:hAnsi="Calibri" w:eastAsia="Calibri" w:cs="Calibri"/>
          <w:sz w:val="22"/>
          <w:szCs w:val="22"/>
        </w:rPr>
        <w:t>NFR data will only be accessible to external researchers through a Research Data Center (RDC). </w:t>
      </w:r>
      <w:r w:rsidRPr="00F60694">
        <w:rPr>
          <w:rFonts w:ascii="Calibri" w:hAnsi="Calibri" w:eastAsia="Calibri" w:cs="Calibri"/>
          <w:sz w:val="22"/>
          <w:szCs w:val="22"/>
        </w:rPr>
        <w:t xml:space="preserve">All requests for </w:t>
      </w:r>
      <w:r>
        <w:rPr>
          <w:rFonts w:ascii="Calibri" w:hAnsi="Calibri" w:eastAsia="Calibri" w:cs="Calibri"/>
          <w:sz w:val="22"/>
          <w:szCs w:val="22"/>
        </w:rPr>
        <w:t xml:space="preserve">de-identified </w:t>
      </w:r>
      <w:r w:rsidRPr="00F60694">
        <w:rPr>
          <w:rFonts w:ascii="Calibri" w:hAnsi="Calibri" w:eastAsia="Calibri" w:cs="Calibri"/>
          <w:sz w:val="22"/>
          <w:szCs w:val="22"/>
        </w:rPr>
        <w:t xml:space="preserve">NFR data files </w:t>
      </w:r>
      <w:r>
        <w:rPr>
          <w:rFonts w:ascii="Calibri" w:hAnsi="Calibri" w:eastAsia="Calibri" w:cs="Calibri"/>
          <w:sz w:val="22"/>
          <w:szCs w:val="22"/>
        </w:rPr>
        <w:t xml:space="preserve">from outside parties </w:t>
      </w:r>
      <w:r w:rsidRPr="00F60694">
        <w:rPr>
          <w:rFonts w:ascii="Calibri" w:hAnsi="Calibri" w:eastAsia="Calibri" w:cs="Calibri"/>
          <w:sz w:val="22"/>
          <w:szCs w:val="22"/>
        </w:rPr>
        <w:t>must be made through a proposal to the RDC</w:t>
      </w:r>
      <w:r>
        <w:rPr>
          <w:rFonts w:ascii="Calibri" w:hAnsi="Calibri" w:eastAsia="Calibri" w:cs="Calibri"/>
          <w:sz w:val="22"/>
          <w:szCs w:val="22"/>
        </w:rPr>
        <w:t xml:space="preserve"> as outlined in </w:t>
      </w:r>
      <w:r w:rsidRPr="00E401DB">
        <w:rPr>
          <w:rFonts w:ascii="Calibri" w:hAnsi="Calibri" w:eastAsia="Calibri" w:cs="Calibri"/>
          <w:sz w:val="22"/>
          <w:szCs w:val="22"/>
          <w:u w:val="single"/>
        </w:rPr>
        <w:t xml:space="preserve">Section D. Confidentiality Security Statement. </w:t>
      </w:r>
    </w:p>
    <w:p w:rsidR="008F206F" w:rsidP="008F206F" w:rsidRDefault="008F206F" w14:paraId="3D12AB9E" w14:textId="77777777">
      <w:pPr>
        <w:widowControl/>
        <w:autoSpaceDE/>
        <w:autoSpaceDN/>
        <w:adjustRightInd/>
        <w:rPr>
          <w:rFonts w:asciiTheme="minorHAnsi" w:hAnsiTheme="minorHAnsi" w:cstheme="minorHAnsi"/>
          <w:color w:val="000000"/>
          <w:sz w:val="22"/>
          <w:szCs w:val="22"/>
        </w:rPr>
      </w:pPr>
    </w:p>
    <w:p w:rsidRPr="00296158" w:rsidR="008F206F" w:rsidP="008F206F" w:rsidRDefault="008F206F" w14:paraId="104EB29B" w14:textId="77777777">
      <w:pPr>
        <w:spacing w:line="233" w:lineRule="auto"/>
        <w:ind w:right="-1"/>
        <w:rPr>
          <w:rFonts w:asciiTheme="minorHAnsi" w:hAnsiTheme="minorHAnsi" w:cstheme="minorHAnsi"/>
          <w:sz w:val="22"/>
          <w:szCs w:val="22"/>
        </w:rPr>
      </w:pPr>
      <w:r w:rsidRPr="00296158">
        <w:rPr>
          <w:rFonts w:asciiTheme="minorHAnsi" w:hAnsiTheme="minorHAnsi" w:cstheme="minorHAnsi"/>
          <w:bCs/>
          <w:iCs/>
          <w:sz w:val="22"/>
          <w:szCs w:val="22"/>
        </w:rPr>
        <w:t>The voluntarily provided information collected by CDC/NIOSH as part of this activity that would permit identification of individuals or institutions (firefighters and fire departments) is collected and maintained under Sections 304 and 306 of the Public Health Service (PHS) Act (42 U</w:t>
      </w:r>
      <w:r>
        <w:rPr>
          <w:rFonts w:asciiTheme="minorHAnsi" w:hAnsiTheme="minorHAnsi" w:cstheme="minorHAnsi"/>
          <w:bCs/>
          <w:iCs/>
          <w:sz w:val="22"/>
          <w:szCs w:val="22"/>
        </w:rPr>
        <w:t>.</w:t>
      </w:r>
      <w:r w:rsidRPr="00296158">
        <w:rPr>
          <w:rFonts w:asciiTheme="minorHAnsi" w:hAnsiTheme="minorHAnsi" w:cstheme="minorHAnsi"/>
          <w:bCs/>
          <w:iCs/>
          <w:sz w:val="22"/>
          <w:szCs w:val="22"/>
        </w:rPr>
        <w:t>S</w:t>
      </w:r>
      <w:r>
        <w:rPr>
          <w:rFonts w:asciiTheme="minorHAnsi" w:hAnsiTheme="minorHAnsi" w:cstheme="minorHAnsi"/>
          <w:bCs/>
          <w:iCs/>
          <w:sz w:val="22"/>
          <w:szCs w:val="22"/>
        </w:rPr>
        <w:t>.</w:t>
      </w:r>
      <w:r w:rsidRPr="00296158">
        <w:rPr>
          <w:rFonts w:asciiTheme="minorHAnsi" w:hAnsiTheme="minorHAnsi" w:cstheme="minorHAnsi"/>
          <w:bCs/>
          <w:iCs/>
          <w:sz w:val="22"/>
          <w:szCs w:val="22"/>
        </w:rPr>
        <w:t>C</w:t>
      </w:r>
      <w:r>
        <w:rPr>
          <w:rFonts w:asciiTheme="minorHAnsi" w:hAnsiTheme="minorHAnsi" w:cstheme="minorHAnsi"/>
          <w:bCs/>
          <w:iCs/>
          <w:sz w:val="22"/>
          <w:szCs w:val="22"/>
        </w:rPr>
        <w:t>.</w:t>
      </w:r>
      <w:r w:rsidRPr="00296158">
        <w:rPr>
          <w:rFonts w:asciiTheme="minorHAnsi" w:hAnsiTheme="minorHAnsi" w:cstheme="minorHAnsi"/>
          <w:bCs/>
          <w:iCs/>
          <w:sz w:val="22"/>
          <w:szCs w:val="22"/>
        </w:rPr>
        <w:t xml:space="preserve"> </w:t>
      </w:r>
      <w:r>
        <w:rPr>
          <w:rFonts w:asciiTheme="minorHAnsi" w:hAnsiTheme="minorHAnsi" w:cstheme="minorHAnsi"/>
          <w:bCs/>
          <w:iCs/>
          <w:sz w:val="22"/>
          <w:szCs w:val="22"/>
        </w:rPr>
        <w:t xml:space="preserve">Sections </w:t>
      </w:r>
      <w:r w:rsidRPr="00296158">
        <w:rPr>
          <w:rFonts w:asciiTheme="minorHAnsi" w:hAnsiTheme="minorHAnsi" w:cstheme="minorHAnsi"/>
          <w:bCs/>
          <w:iCs/>
          <w:sz w:val="22"/>
          <w:szCs w:val="22"/>
        </w:rPr>
        <w:t>242b, 242k) with an assurance that it will be held in strict confidence in accordance with Section 308(d) of the PHS Act (42 U</w:t>
      </w:r>
      <w:r>
        <w:rPr>
          <w:rFonts w:asciiTheme="minorHAnsi" w:hAnsiTheme="minorHAnsi" w:cstheme="minorHAnsi"/>
          <w:bCs/>
          <w:iCs/>
          <w:sz w:val="22"/>
          <w:szCs w:val="22"/>
        </w:rPr>
        <w:t>.</w:t>
      </w:r>
      <w:r w:rsidRPr="00296158">
        <w:rPr>
          <w:rFonts w:asciiTheme="minorHAnsi" w:hAnsiTheme="minorHAnsi" w:cstheme="minorHAnsi"/>
          <w:bCs/>
          <w:iCs/>
          <w:sz w:val="22"/>
          <w:szCs w:val="22"/>
        </w:rPr>
        <w:t>S</w:t>
      </w:r>
      <w:r>
        <w:rPr>
          <w:rFonts w:asciiTheme="minorHAnsi" w:hAnsiTheme="minorHAnsi" w:cstheme="minorHAnsi"/>
          <w:bCs/>
          <w:iCs/>
          <w:sz w:val="22"/>
          <w:szCs w:val="22"/>
        </w:rPr>
        <w:t>.</w:t>
      </w:r>
      <w:r w:rsidRPr="00296158">
        <w:rPr>
          <w:rFonts w:asciiTheme="minorHAnsi" w:hAnsiTheme="minorHAnsi" w:cstheme="minorHAnsi"/>
          <w:bCs/>
          <w:iCs/>
          <w:sz w:val="22"/>
          <w:szCs w:val="22"/>
        </w:rPr>
        <w:t>C</w:t>
      </w:r>
      <w:r>
        <w:rPr>
          <w:rFonts w:asciiTheme="minorHAnsi" w:hAnsiTheme="minorHAnsi" w:cstheme="minorHAnsi"/>
          <w:bCs/>
          <w:iCs/>
          <w:sz w:val="22"/>
          <w:szCs w:val="22"/>
        </w:rPr>
        <w:t>.</w:t>
      </w:r>
      <w:r w:rsidRPr="00296158">
        <w:rPr>
          <w:rFonts w:asciiTheme="minorHAnsi" w:hAnsiTheme="minorHAnsi" w:cstheme="minorHAnsi"/>
          <w:bCs/>
          <w:iCs/>
          <w:sz w:val="22"/>
          <w:szCs w:val="22"/>
        </w:rPr>
        <w:t xml:space="preserve"> </w:t>
      </w:r>
      <w:r>
        <w:rPr>
          <w:rFonts w:asciiTheme="minorHAnsi" w:hAnsiTheme="minorHAnsi" w:cstheme="minorHAnsi"/>
          <w:bCs/>
          <w:iCs/>
          <w:sz w:val="22"/>
          <w:szCs w:val="22"/>
        </w:rPr>
        <w:t xml:space="preserve">Section </w:t>
      </w:r>
      <w:r w:rsidRPr="00296158">
        <w:rPr>
          <w:rFonts w:asciiTheme="minorHAnsi" w:hAnsiTheme="minorHAnsi" w:cstheme="minorHAnsi"/>
          <w:bCs/>
          <w:iCs/>
          <w:sz w:val="22"/>
          <w:szCs w:val="22"/>
        </w:rPr>
        <w:t xml:space="preserve">242m(d)). </w:t>
      </w:r>
      <w:r w:rsidRPr="00296158">
        <w:rPr>
          <w:rFonts w:asciiTheme="minorHAnsi" w:hAnsiTheme="minorHAnsi" w:cstheme="minorHAnsi"/>
          <w:sz w:val="22"/>
          <w:szCs w:val="22"/>
        </w:rPr>
        <w:t xml:space="preserve">Such data will be used only for the purposes stated in this Assurance, and it will not otherwise be disclosed or released without the consent of the </w:t>
      </w:r>
      <w:r>
        <w:rPr>
          <w:rFonts w:asciiTheme="minorHAnsi" w:hAnsiTheme="minorHAnsi" w:cstheme="minorHAnsi"/>
          <w:sz w:val="22"/>
          <w:szCs w:val="22"/>
        </w:rPr>
        <w:t>firefighters who provided information to the NFR and parties who were</w:t>
      </w:r>
      <w:r w:rsidRPr="00296158">
        <w:rPr>
          <w:rFonts w:asciiTheme="minorHAnsi" w:hAnsiTheme="minorHAnsi" w:cstheme="minorHAnsi"/>
          <w:sz w:val="22"/>
          <w:szCs w:val="22"/>
        </w:rPr>
        <w:t xml:space="preserve"> given this Assurance.  </w:t>
      </w:r>
    </w:p>
    <w:p w:rsidRPr="00296158" w:rsidR="008F206F" w:rsidP="008F206F" w:rsidRDefault="008F206F" w14:paraId="36268E7F" w14:textId="77777777">
      <w:pPr>
        <w:spacing w:line="233" w:lineRule="auto"/>
        <w:ind w:right="-1"/>
        <w:rPr>
          <w:rFonts w:asciiTheme="minorHAnsi" w:hAnsiTheme="minorHAnsi" w:cstheme="minorHAnsi"/>
          <w:sz w:val="22"/>
          <w:szCs w:val="22"/>
        </w:rPr>
      </w:pPr>
    </w:p>
    <w:p w:rsidRPr="00296158" w:rsidR="008F206F" w:rsidP="008F206F" w:rsidRDefault="008F206F" w14:paraId="00355BBB" w14:textId="77777777">
      <w:pPr>
        <w:spacing w:line="233" w:lineRule="auto"/>
        <w:ind w:right="-1"/>
        <w:rPr>
          <w:rFonts w:asciiTheme="minorHAnsi" w:hAnsiTheme="minorHAnsi" w:cstheme="minorHAnsi"/>
          <w:sz w:val="22"/>
          <w:szCs w:val="22"/>
        </w:rPr>
      </w:pPr>
      <w:r w:rsidRPr="00296158">
        <w:rPr>
          <w:rFonts w:asciiTheme="minorHAnsi" w:hAnsiTheme="minorHAnsi" w:cstheme="minorHAnsi"/>
          <w:sz w:val="22"/>
          <w:szCs w:val="22"/>
        </w:rPr>
        <w:t xml:space="preserve">No information collected through the activities outlined in this Assurance that could be used to identify any individual on whom a record is maintained, either directly or indirectly, will be made available to anyone as set out in this Assurance. In particular, such information will not be disclosed </w:t>
      </w:r>
      <w:proofErr w:type="gramStart"/>
      <w:r w:rsidRPr="00296158">
        <w:rPr>
          <w:rFonts w:asciiTheme="minorHAnsi" w:hAnsiTheme="minorHAnsi" w:cstheme="minorHAnsi"/>
          <w:sz w:val="22"/>
          <w:szCs w:val="22"/>
        </w:rPr>
        <w:t>to</w:t>
      </w:r>
      <w:r>
        <w:rPr>
          <w:rFonts w:asciiTheme="minorHAnsi" w:hAnsiTheme="minorHAnsi" w:cstheme="minorHAnsi"/>
          <w:sz w:val="22"/>
          <w:szCs w:val="22"/>
        </w:rPr>
        <w:t>:</w:t>
      </w:r>
      <w:proofErr w:type="gramEnd"/>
      <w:r w:rsidRPr="00296158">
        <w:rPr>
          <w:rFonts w:asciiTheme="minorHAnsi" w:hAnsiTheme="minorHAnsi" w:cstheme="minorHAnsi"/>
          <w:sz w:val="22"/>
          <w:szCs w:val="22"/>
        </w:rPr>
        <w:t xml:space="preserve"> the public; family members; parties involved in civil, criminal, or administrative litigation, or for commercial purposes; to agencies of the federal, state, local tribal, or territorial government including Congress, unless as described herein. This protection lasts forever, even after death. </w:t>
      </w:r>
    </w:p>
    <w:p w:rsidRPr="0056794D" w:rsidR="00CA5C66" w:rsidP="002A7FDC" w:rsidRDefault="00CA5C66" w14:paraId="09D650F0" w14:textId="77777777"/>
    <w:sectPr w:rsidRPr="0056794D" w:rsidR="00CA5C66" w:rsidSect="00D26908">
      <w:headerReference w:type="even" r:id="rId6"/>
      <w:headerReference w:type="default" r:id="rId7"/>
      <w:footerReference w:type="even" r:id="rId8"/>
      <w:footerReference w:type="default" r:id="rId9"/>
      <w:headerReference w:type="first" r:id="rId10"/>
      <w:footerReference w:type="firs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67E6E" w14:textId="77777777" w:rsidR="00A23E37" w:rsidRDefault="00A23E37" w:rsidP="00A23E37">
      <w:r>
        <w:separator/>
      </w:r>
    </w:p>
  </w:endnote>
  <w:endnote w:type="continuationSeparator" w:id="0">
    <w:p w14:paraId="35E886C8" w14:textId="77777777" w:rsidR="00A23E37" w:rsidRDefault="00A23E37" w:rsidP="00A2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A34E" w14:textId="77777777" w:rsidR="00A23E37" w:rsidRDefault="00A23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0B48" w14:textId="77777777" w:rsidR="00A23E37" w:rsidRDefault="00A23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AAF8F" w14:textId="77777777" w:rsidR="00A23E37" w:rsidRDefault="00A23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85EAE" w14:textId="77777777" w:rsidR="00A23E37" w:rsidRDefault="00A23E37" w:rsidP="00A23E37">
      <w:r>
        <w:separator/>
      </w:r>
    </w:p>
  </w:footnote>
  <w:footnote w:type="continuationSeparator" w:id="0">
    <w:p w14:paraId="08F5324B" w14:textId="77777777" w:rsidR="00A23E37" w:rsidRDefault="00A23E37" w:rsidP="00A2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26B65" w14:textId="77777777" w:rsidR="00A23E37" w:rsidRDefault="00A23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115469"/>
      <w:docPartObj>
        <w:docPartGallery w:val="Watermarks"/>
        <w:docPartUnique/>
      </w:docPartObj>
    </w:sdtPr>
    <w:sdtEndPr/>
    <w:sdtContent>
      <w:p w14:paraId="55585A81" w14:textId="77777777" w:rsidR="00A23E37" w:rsidRDefault="008F206F">
        <w:pPr>
          <w:pStyle w:val="Header"/>
        </w:pPr>
        <w:r>
          <w:rPr>
            <w:noProof/>
          </w:rPr>
          <w:pict w14:anchorId="12E72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DA08" w14:textId="77777777" w:rsidR="00A23E37" w:rsidRDefault="00A23E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E37"/>
    <w:rsid w:val="00007F01"/>
    <w:rsid w:val="002A7FDC"/>
    <w:rsid w:val="0056794D"/>
    <w:rsid w:val="00835450"/>
    <w:rsid w:val="008F206F"/>
    <w:rsid w:val="0098143F"/>
    <w:rsid w:val="00A22FF4"/>
    <w:rsid w:val="00A23E37"/>
    <w:rsid w:val="00CA5C66"/>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92E1DC"/>
  <w15:chartTrackingRefBased/>
  <w15:docId w15:val="{0D24F137-691B-4A58-86CC-F06C8ABE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E3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E37"/>
    <w:pPr>
      <w:tabs>
        <w:tab w:val="center" w:pos="4680"/>
        <w:tab w:val="right" w:pos="9360"/>
      </w:tabs>
    </w:pPr>
  </w:style>
  <w:style w:type="character" w:customStyle="1" w:styleId="HeaderChar">
    <w:name w:val="Header Char"/>
    <w:basedOn w:val="DefaultParagraphFont"/>
    <w:link w:val="Header"/>
    <w:uiPriority w:val="99"/>
    <w:rsid w:val="00A23E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23E37"/>
    <w:pPr>
      <w:tabs>
        <w:tab w:val="center" w:pos="4680"/>
        <w:tab w:val="right" w:pos="9360"/>
      </w:tabs>
    </w:pPr>
  </w:style>
  <w:style w:type="character" w:customStyle="1" w:styleId="FooterChar">
    <w:name w:val="Footer Char"/>
    <w:basedOn w:val="DefaultParagraphFont"/>
    <w:link w:val="Footer"/>
    <w:uiPriority w:val="99"/>
    <w:rsid w:val="00A23E3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A5C66"/>
    <w:rPr>
      <w:sz w:val="16"/>
      <w:szCs w:val="16"/>
    </w:rPr>
  </w:style>
  <w:style w:type="paragraph" w:styleId="CommentText">
    <w:name w:val="annotation text"/>
    <w:basedOn w:val="Normal"/>
    <w:link w:val="CommentTextChar"/>
    <w:uiPriority w:val="99"/>
    <w:unhideWhenUsed/>
    <w:rsid w:val="00CA5C66"/>
    <w:pPr>
      <w:widowControl/>
      <w:autoSpaceDE/>
      <w:autoSpaceDN/>
      <w:adjustRightInd/>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A5C66"/>
    <w:rPr>
      <w:sz w:val="20"/>
      <w:szCs w:val="20"/>
    </w:rPr>
  </w:style>
  <w:style w:type="paragraph" w:styleId="BalloonText">
    <w:name w:val="Balloon Text"/>
    <w:basedOn w:val="Normal"/>
    <w:link w:val="BalloonTextChar"/>
    <w:uiPriority w:val="99"/>
    <w:semiHidden/>
    <w:unhideWhenUsed/>
    <w:rsid w:val="00CA5C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C6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5294</Characters>
  <Application>Microsoft Office Word</Application>
  <DocSecurity>0</DocSecurity>
  <Lines>44</Lines>
  <Paragraphs>12</Paragraphs>
  <ScaleCrop>false</ScaleCrop>
  <Company>Centers for Disease Control and Prevention</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Mayer, Alexander (CDC/NIOSH/DFSE/FRB)</dc:creator>
  <cp:keywords/>
  <dc:description/>
  <cp:lastModifiedBy>Mayer, Alexander (CDC/NIOSH/DFSE/FRB)</cp:lastModifiedBy>
  <cp:revision>2</cp:revision>
  <dcterms:created xsi:type="dcterms:W3CDTF">2022-06-28T18:51:00Z</dcterms:created>
  <dcterms:modified xsi:type="dcterms:W3CDTF">2022-06-28T18:51:00Z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2022-06-28T18:51:32Z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84ee9dd0-1b79-4b01-8ad5-97adb5b1a11d</vt:lpwstr>
  </property>
  <property fmtid="{D5CDD505-2E9C-101B-9397-08002B2CF9AE}" pid="8" name="MSIP_Label_8af03ff0-41c5-4c41-b55e-fabb8fae94be_ContentBits">
    <vt:lpwstr>0</vt:lpwstr>
  </property>
</Properties>
</file>