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A5C4D" w:rsidR="002E29B6" w:rsidP="002E29B6" w:rsidRDefault="002E29B6" w14:paraId="6DD86B56" w14:textId="77777777">
      <w:pPr>
        <w:jc w:val="center"/>
        <w:rPr>
          <w:b/>
          <w:sz w:val="28"/>
          <w:szCs w:val="28"/>
        </w:rPr>
      </w:pPr>
      <w:r w:rsidRPr="001A5C4D">
        <w:rPr>
          <w:b/>
          <w:sz w:val="28"/>
          <w:szCs w:val="28"/>
        </w:rPr>
        <w:t xml:space="preserve">Aggregate Reports for Tuberculosis Program Evaluation </w:t>
      </w:r>
    </w:p>
    <w:p w:rsidR="007B116B" w:rsidP="002E29B6" w:rsidRDefault="007B116B" w14:paraId="229ABD47" w14:textId="65DE65A7">
      <w:pPr>
        <w:jc w:val="center"/>
      </w:pPr>
      <w:r>
        <w:t xml:space="preserve">OMB Control Number: </w:t>
      </w:r>
      <w:r w:rsidR="002E29B6">
        <w:t>0920-0457</w:t>
      </w:r>
      <w:r w:rsidR="001A5C4D">
        <w:t xml:space="preserve"> </w:t>
      </w:r>
      <w:r>
        <w:t>Exp</w:t>
      </w:r>
      <w:r w:rsidR="001A5C4D">
        <w:t>.</w:t>
      </w:r>
      <w:r>
        <w:t xml:space="preserve"> </w:t>
      </w:r>
      <w:r w:rsidR="005121D9">
        <w:t>12</w:t>
      </w:r>
      <w:r w:rsidR="00DF7EB6">
        <w:t>/</w:t>
      </w:r>
      <w:r w:rsidR="005121D9">
        <w:t>31</w:t>
      </w:r>
      <w:r w:rsidR="00DF7EB6">
        <w:t>/20</w:t>
      </w:r>
      <w:r w:rsidR="00441857">
        <w:t>2</w:t>
      </w:r>
      <w:r w:rsidR="005121D9">
        <w:t>2</w:t>
      </w:r>
    </w:p>
    <w:p w:rsidR="001A5C4D" w:rsidP="002E29B6" w:rsidRDefault="001A5C4D" w14:paraId="255C0A29" w14:textId="77777777">
      <w:pPr>
        <w:jc w:val="center"/>
      </w:pPr>
    </w:p>
    <w:p w:rsidR="001A5C4D" w:rsidP="002E29B6" w:rsidRDefault="001A5C4D" w14:paraId="56FE97AB" w14:textId="77777777">
      <w:pPr>
        <w:jc w:val="center"/>
      </w:pPr>
    </w:p>
    <w:p w:rsidR="002E29B6" w:rsidP="002E29B6" w:rsidRDefault="002E29B6" w14:paraId="000D4D9F" w14:textId="77777777">
      <w:pPr>
        <w:jc w:val="center"/>
      </w:pPr>
    </w:p>
    <w:p w:rsidR="008F7093" w:rsidP="008F7093" w:rsidRDefault="008F7093" w14:paraId="19677FB7" w14:textId="77777777"/>
    <w:p w:rsidR="000C10CC" w:rsidP="008F7093" w:rsidRDefault="008F7093" w14:paraId="329B56BD" w14:textId="77777777">
      <w:pPr>
        <w:jc w:val="center"/>
        <w:rPr>
          <w:b/>
        </w:rPr>
      </w:pPr>
      <w:r w:rsidRPr="00CA164C">
        <w:rPr>
          <w:b/>
        </w:rPr>
        <w:t xml:space="preserve">Supporting </w:t>
      </w:r>
      <w:r w:rsidRPr="00CA164C" w:rsidR="00443001">
        <w:rPr>
          <w:b/>
        </w:rPr>
        <w:t>Statement</w:t>
      </w:r>
      <w:r w:rsidR="00443001">
        <w:rPr>
          <w:b/>
        </w:rPr>
        <w:t xml:space="preserve"> </w:t>
      </w:r>
      <w:r w:rsidR="00E272AE">
        <w:rPr>
          <w:b/>
        </w:rPr>
        <w:t>B</w:t>
      </w:r>
    </w:p>
    <w:p w:rsidRPr="00CA164C" w:rsidR="008F7093" w:rsidP="008F7093" w:rsidRDefault="00E272AE" w14:paraId="0C5B6E31" w14:textId="77777777">
      <w:pPr>
        <w:jc w:val="center"/>
        <w:rPr>
          <w:b/>
        </w:rPr>
      </w:pPr>
      <w:r>
        <w:rPr>
          <w:b/>
        </w:rPr>
        <w:t xml:space="preserve"> </w:t>
      </w:r>
    </w:p>
    <w:p w:rsidR="008F7093" w:rsidP="008F7093" w:rsidRDefault="008F7093" w14:paraId="2A9F13C9" w14:textId="77777777"/>
    <w:p w:rsidR="00DF7EB6" w:rsidP="00DF7EB6" w:rsidRDefault="00DF7EB6" w14:paraId="33C6D286" w14:textId="77777777"/>
    <w:p w:rsidR="00DF7EB6" w:rsidP="00DF7EB6" w:rsidRDefault="00DF7EB6" w14:paraId="6D87239C" w14:textId="77777777">
      <w:pPr>
        <w:jc w:val="center"/>
        <w:rPr>
          <w:lang w:bidi="te-IN"/>
        </w:rPr>
      </w:pPr>
    </w:p>
    <w:p w:rsidR="00DF7EB6" w:rsidP="00DF7EB6" w:rsidRDefault="00DF7EB6" w14:paraId="746E1C11" w14:textId="77777777">
      <w:pPr>
        <w:jc w:val="center"/>
        <w:rPr>
          <w:lang w:bidi="te-IN"/>
        </w:rPr>
      </w:pPr>
    </w:p>
    <w:p w:rsidR="00DF7EB6" w:rsidP="00DF7EB6" w:rsidRDefault="00DF7EB6" w14:paraId="3F37B6E1" w14:textId="77777777">
      <w:pPr>
        <w:jc w:val="center"/>
        <w:rPr>
          <w:lang w:bidi="te-IN"/>
        </w:rPr>
      </w:pPr>
    </w:p>
    <w:p w:rsidR="00DF7EB6" w:rsidP="00DF7EB6" w:rsidRDefault="00302F5D" w14:paraId="576FB592" w14:textId="525478F4">
      <w:pPr>
        <w:jc w:val="center"/>
        <w:rPr>
          <w:lang w:bidi="te-IN"/>
        </w:rPr>
      </w:pPr>
      <w:r>
        <w:rPr>
          <w:lang w:bidi="te-IN"/>
        </w:rPr>
        <w:t>February 3, 2022</w:t>
      </w:r>
    </w:p>
    <w:p w:rsidR="00DF7EB6" w:rsidP="00DF7EB6" w:rsidRDefault="00DF7EB6" w14:paraId="73958817" w14:textId="77777777">
      <w:pPr>
        <w:jc w:val="center"/>
        <w:rPr>
          <w:lang w:bidi="te-IN"/>
        </w:rPr>
      </w:pPr>
    </w:p>
    <w:p w:rsidR="00DF7EB6" w:rsidP="00DF7EB6" w:rsidRDefault="00DF7EB6" w14:paraId="4A92C354" w14:textId="77777777">
      <w:pPr>
        <w:jc w:val="center"/>
        <w:rPr>
          <w:lang w:bidi="te-IN"/>
        </w:rPr>
      </w:pPr>
    </w:p>
    <w:p w:rsidR="00DF7EB6" w:rsidP="00DF7EB6" w:rsidRDefault="00DF7EB6" w14:paraId="7B5C59C9" w14:textId="77777777">
      <w:pPr>
        <w:jc w:val="center"/>
        <w:rPr>
          <w:lang w:bidi="te-IN"/>
        </w:rPr>
      </w:pPr>
      <w:r>
        <w:rPr>
          <w:lang w:bidi="te-IN"/>
        </w:rPr>
        <w:t>Contact</w:t>
      </w:r>
    </w:p>
    <w:p w:rsidR="00DF7EB6" w:rsidP="00DF7EB6" w:rsidRDefault="00DF7EB6" w14:paraId="20ED5FEB" w14:textId="77777777">
      <w:pPr>
        <w:jc w:val="center"/>
        <w:rPr>
          <w:lang w:bidi="te-IN"/>
        </w:rPr>
      </w:pPr>
    </w:p>
    <w:p w:rsidRPr="000D207F" w:rsidR="00DF7EB6" w:rsidP="00DF7EB6" w:rsidRDefault="003805E7" w14:paraId="160FCA43" w14:textId="59A67AB6">
      <w:pPr>
        <w:jc w:val="center"/>
        <w:rPr>
          <w:lang w:bidi="te-IN"/>
        </w:rPr>
      </w:pPr>
      <w:r>
        <w:rPr>
          <w:lang w:bidi="te-IN"/>
        </w:rPr>
        <w:t>Tempest Hill</w:t>
      </w:r>
      <w:r w:rsidR="00302F5D">
        <w:rPr>
          <w:lang w:bidi="te-IN"/>
        </w:rPr>
        <w:t xml:space="preserve"> </w:t>
      </w:r>
      <w:r w:rsidRPr="000D207F" w:rsidR="00DF7EB6">
        <w:rPr>
          <w:lang w:bidi="te-IN"/>
        </w:rPr>
        <w:t>Health Scientist,</w:t>
      </w:r>
    </w:p>
    <w:p w:rsidRPr="000D207F" w:rsidR="00DF7EB6" w:rsidP="00DF7EB6" w:rsidRDefault="00DF7EB6" w14:paraId="76CF21C3" w14:textId="77777777">
      <w:pPr>
        <w:jc w:val="center"/>
        <w:rPr>
          <w:lang w:bidi="te-IN"/>
        </w:rPr>
      </w:pPr>
      <w:r w:rsidRPr="000D207F">
        <w:rPr>
          <w:lang w:bidi="te-IN"/>
        </w:rPr>
        <w:t>Division of TB Elimination</w:t>
      </w:r>
    </w:p>
    <w:p w:rsidRPr="000D207F" w:rsidR="00DF7EB6" w:rsidP="00DF7EB6" w:rsidRDefault="00DF7EB6" w14:paraId="034F233D" w14:textId="77777777">
      <w:pPr>
        <w:jc w:val="center"/>
        <w:rPr>
          <w:lang w:bidi="te-IN"/>
        </w:rPr>
      </w:pPr>
      <w:r w:rsidRPr="000D207F">
        <w:rPr>
          <w:lang w:bidi="te-IN"/>
        </w:rPr>
        <w:t>Centers for Disease Control and Prevention</w:t>
      </w:r>
    </w:p>
    <w:p w:rsidRPr="000D207F" w:rsidR="00DF7EB6" w:rsidP="00DF7EB6" w:rsidRDefault="00DF7EB6" w14:paraId="0E079622" w14:textId="77777777">
      <w:pPr>
        <w:jc w:val="center"/>
        <w:rPr>
          <w:lang w:bidi="te-IN"/>
        </w:rPr>
      </w:pPr>
    </w:p>
    <w:p w:rsidRPr="000D207F" w:rsidR="00DF7EB6" w:rsidP="00DF7EB6" w:rsidRDefault="00DF7EB6" w14:paraId="541747F5" w14:textId="185E42CB">
      <w:pPr>
        <w:jc w:val="center"/>
        <w:rPr>
          <w:lang w:val="fr-FR" w:bidi="te-IN"/>
        </w:rPr>
      </w:pPr>
      <w:r w:rsidRPr="000D207F">
        <w:rPr>
          <w:lang w:val="fr-FR" w:bidi="te-IN"/>
        </w:rPr>
        <w:t xml:space="preserve">phone: </w:t>
      </w:r>
      <w:r w:rsidR="00302F5D">
        <w:rPr>
          <w:lang w:val="fr-FR" w:bidi="te-IN"/>
        </w:rPr>
        <w:t>404.498.2236</w:t>
      </w:r>
    </w:p>
    <w:p w:rsidRPr="000D207F" w:rsidR="00DF7EB6" w:rsidP="00DF7EB6" w:rsidRDefault="00DF7EB6" w14:paraId="055D295C" w14:textId="404B6992">
      <w:pPr>
        <w:jc w:val="center"/>
        <w:rPr>
          <w:lang w:val="fr-FR" w:bidi="te-IN"/>
        </w:rPr>
      </w:pPr>
      <w:r w:rsidRPr="000D207F">
        <w:rPr>
          <w:lang w:val="fr-FR" w:bidi="te-IN"/>
        </w:rPr>
        <w:t xml:space="preserve">email: </w:t>
      </w:r>
      <w:r w:rsidR="003805E7">
        <w:rPr>
          <w:lang w:val="fr-FR" w:bidi="te-IN"/>
        </w:rPr>
        <w:t>mno8</w:t>
      </w:r>
      <w:r w:rsidRPr="000D207F">
        <w:rPr>
          <w:lang w:val="fr-FR" w:bidi="te-IN"/>
        </w:rPr>
        <w:t>@cdc.gov</w:t>
      </w:r>
    </w:p>
    <w:p w:rsidRPr="000D207F" w:rsidR="00DF7EB6" w:rsidP="00DF7EB6" w:rsidRDefault="00DF7EB6" w14:paraId="6208741A" w14:textId="77777777">
      <w:pPr>
        <w:rPr>
          <w:lang w:val="fr-FR"/>
        </w:rPr>
      </w:pPr>
    </w:p>
    <w:p w:rsidRPr="00E02104" w:rsidR="008F7093" w:rsidP="008F7093" w:rsidRDefault="00DF7EB6" w14:paraId="795B06CC" w14:textId="77777777">
      <w:pPr>
        <w:rPr>
          <w:b/>
        </w:rPr>
      </w:pPr>
      <w:r>
        <w:rPr>
          <w:b/>
          <w:lang w:val="fr-FR"/>
        </w:rPr>
        <w:br w:type="page"/>
      </w:r>
      <w:r w:rsidRPr="00E02104" w:rsidR="008F7093">
        <w:rPr>
          <w:b/>
        </w:rPr>
        <w:lastRenderedPageBreak/>
        <w:t>Table of Contents</w:t>
      </w:r>
    </w:p>
    <w:p w:rsidR="008F7093" w:rsidP="008F7093" w:rsidRDefault="008F7093" w14:paraId="3420BBE4" w14:textId="77777777">
      <w:pPr>
        <w:rPr>
          <w:b/>
        </w:rPr>
      </w:pPr>
    </w:p>
    <w:p w:rsidRPr="009D2910" w:rsidR="009D2910" w:rsidP="009D2910" w:rsidRDefault="009D2910" w14:paraId="66D4F65D" w14:textId="77777777">
      <w:pPr>
        <w:rPr>
          <w:b/>
        </w:rPr>
      </w:pPr>
    </w:p>
    <w:p w:rsidRPr="009D2910" w:rsidR="009D2910" w:rsidP="009D2910" w:rsidRDefault="009D2910" w14:paraId="12FC3424" w14:textId="77777777">
      <w:r w:rsidRPr="009D2910">
        <w:t>Section B Justification</w:t>
      </w:r>
      <w:r w:rsidRPr="009D2910">
        <w:tab/>
      </w:r>
    </w:p>
    <w:p w:rsidRPr="009D2910" w:rsidR="009D2910" w:rsidP="009D2910" w:rsidRDefault="009D2910" w14:paraId="70690132" w14:textId="77777777">
      <w:pPr>
        <w:rPr>
          <w:bCs/>
        </w:rPr>
      </w:pPr>
    </w:p>
    <w:p w:rsidRPr="009D2910" w:rsidR="009D2910" w:rsidP="009D2910" w:rsidRDefault="009D2910" w14:paraId="075FDD3E" w14:textId="77777777">
      <w:r w:rsidRPr="009D2910">
        <w:t>1 Respondent Universe and Sampling Method</w:t>
      </w:r>
    </w:p>
    <w:p w:rsidRPr="009D2910" w:rsidR="009D2910" w:rsidP="009D2910" w:rsidRDefault="009D2910" w14:paraId="2B0E86F2" w14:textId="77777777">
      <w:r w:rsidRPr="009D2910">
        <w:t>2 Procedures for the Collection of Information</w:t>
      </w:r>
    </w:p>
    <w:p w:rsidRPr="009D2910" w:rsidR="009D2910" w:rsidP="009D2910" w:rsidRDefault="009D2910" w14:paraId="474E40AA" w14:textId="10F472ED">
      <w:r w:rsidRPr="009D2910">
        <w:t>3 Methods to Maximize Response Rates and Deal with No</w:t>
      </w:r>
      <w:r w:rsidR="00AD00B6">
        <w:t xml:space="preserve"> R</w:t>
      </w:r>
      <w:r w:rsidRPr="009D2910">
        <w:t>esponse</w:t>
      </w:r>
    </w:p>
    <w:p w:rsidRPr="009D2910" w:rsidR="009D2910" w:rsidP="009D2910" w:rsidRDefault="009D2910" w14:paraId="2B48984A" w14:textId="77777777">
      <w:r w:rsidRPr="009D2910">
        <w:t>4 Tests of Procedures or Methods to be Undertaken</w:t>
      </w:r>
    </w:p>
    <w:p w:rsidRPr="009D2910" w:rsidR="009D2910" w:rsidP="009D2910" w:rsidRDefault="009D2910" w14:paraId="792B7B7C" w14:textId="77777777">
      <w:r w:rsidRPr="009D2910">
        <w:t>5 Individuals Consulted on Statistical Aspects and Individuals Collecting and/or Analyzing Data</w:t>
      </w:r>
    </w:p>
    <w:p w:rsidR="008F7093" w:rsidP="008F7093" w:rsidRDefault="008F7093" w14:paraId="142D3976" w14:textId="77777777"/>
    <w:p w:rsidR="008F7093" w:rsidP="008F7093" w:rsidRDefault="008F7093" w14:paraId="26022F9F" w14:textId="77777777"/>
    <w:p w:rsidRPr="00C378C0" w:rsidR="00296D33" w:rsidP="009D2910" w:rsidRDefault="00296D33" w14:paraId="4091F204" w14:textId="41F80FF9">
      <w:pPr>
        <w:rPr>
          <w:b/>
          <w:bCs/>
        </w:rPr>
      </w:pPr>
    </w:p>
    <w:p w:rsidRPr="009D2910" w:rsidR="00C378C0" w:rsidP="009D2910" w:rsidRDefault="009D2910" w14:paraId="6DACDF28" w14:textId="77777777">
      <w:pPr>
        <w:tabs>
          <w:tab w:val="left" w:pos="-1080"/>
          <w:tab w:val="left" w:pos="-720"/>
          <w:tab w:val="left" w:pos="0"/>
          <w:tab w:val="left" w:pos="720"/>
          <w:tab w:val="left" w:pos="1440"/>
          <w:tab w:val="left" w:pos="2160"/>
          <w:tab w:val="left" w:pos="2880"/>
          <w:tab w:val="left" w:pos="3600"/>
          <w:tab w:val="left" w:pos="4320"/>
          <w:tab w:val="right" w:leader="dot" w:pos="9360"/>
        </w:tabs>
        <w:spacing w:after="120"/>
        <w:rPr>
          <w:b/>
          <w:bCs/>
        </w:rPr>
      </w:pPr>
      <w:r w:rsidRPr="009D2910">
        <w:rPr>
          <w:b/>
        </w:rPr>
        <w:t>Justification</w:t>
      </w:r>
      <w:r w:rsidRPr="009D2910" w:rsidR="00C378C0">
        <w:rPr>
          <w:b/>
          <w:u w:val="single"/>
        </w:rPr>
        <w:t xml:space="preserve"> </w:t>
      </w:r>
    </w:p>
    <w:p w:rsidRPr="00C378C0" w:rsidR="00296D33" w:rsidP="00C378C0" w:rsidRDefault="00C378C0" w14:paraId="1BFA01E3" w14:textId="54E92036">
      <w:pPr>
        <w:tabs>
          <w:tab w:val="left" w:pos="-1080"/>
          <w:tab w:val="left" w:pos="-720"/>
          <w:tab w:val="left" w:pos="0"/>
          <w:tab w:val="left" w:pos="720"/>
          <w:tab w:val="left" w:pos="1440"/>
          <w:tab w:val="left" w:pos="2160"/>
          <w:tab w:val="left" w:pos="2880"/>
          <w:tab w:val="left" w:pos="3600"/>
          <w:tab w:val="left" w:pos="4320"/>
          <w:tab w:val="right" w:leader="dot" w:pos="9360"/>
        </w:tabs>
        <w:spacing w:after="120"/>
        <w:rPr>
          <w:bCs/>
        </w:rPr>
      </w:pPr>
      <w:r w:rsidRPr="00C378C0">
        <w:rPr>
          <w:bCs/>
        </w:rPr>
        <w:t xml:space="preserve">The data accumulation is intermittent, it represents continuous public health practice throughout the United States, and the reporting is annual and recurrent. </w:t>
      </w:r>
      <w:r>
        <w:rPr>
          <w:bCs/>
        </w:rPr>
        <w:t xml:space="preserve"> </w:t>
      </w:r>
      <w:r w:rsidRPr="00C378C0">
        <w:rPr>
          <w:bCs/>
        </w:rPr>
        <w:t xml:space="preserve">No analytical methods beyond simple tabulation and trend description are applied to the results of the reports. The indices that are used for program evaluation are </w:t>
      </w:r>
      <w:r w:rsidRPr="00402BD2">
        <w:rPr>
          <w:bCs/>
        </w:rPr>
        <w:t>unadjusted.</w:t>
      </w:r>
      <w:r w:rsidRPr="00402BD2" w:rsidR="00AD00B6">
        <w:rPr>
          <w:bCs/>
        </w:rPr>
        <w:t xml:space="preserve"> There are no changes in the study design or methods from what w</w:t>
      </w:r>
      <w:r w:rsidR="00D73D90">
        <w:rPr>
          <w:bCs/>
        </w:rPr>
        <w:t>as done in previous study years</w:t>
      </w:r>
      <w:r w:rsidR="00302F5D">
        <w:rPr>
          <w:bCs/>
        </w:rPr>
        <w:t>.</w:t>
      </w:r>
      <w:r w:rsidR="00D73D90">
        <w:rPr>
          <w:bCs/>
        </w:rPr>
        <w:t xml:space="preserve"> </w:t>
      </w:r>
    </w:p>
    <w:p w:rsidR="006D037D" w:rsidP="00296D33" w:rsidRDefault="006D037D" w14:paraId="61271AC9" w14:textId="77777777">
      <w:pPr>
        <w:tabs>
          <w:tab w:val="left" w:pos="-1080"/>
          <w:tab w:val="left" w:pos="-720"/>
          <w:tab w:val="left" w:pos="0"/>
          <w:tab w:val="left" w:pos="720"/>
          <w:tab w:val="left" w:pos="1440"/>
          <w:tab w:val="left" w:pos="2160"/>
          <w:tab w:val="left" w:pos="2880"/>
          <w:tab w:val="left" w:pos="3600"/>
          <w:tab w:val="left" w:pos="4320"/>
          <w:tab w:val="right" w:leader="dot" w:pos="9360"/>
        </w:tabs>
        <w:spacing w:after="120"/>
        <w:rPr>
          <w:b/>
        </w:rPr>
      </w:pPr>
    </w:p>
    <w:p w:rsidRPr="00296D33" w:rsidR="00296D33" w:rsidP="00296D33" w:rsidRDefault="00296D33" w14:paraId="343B6923" w14:textId="77777777">
      <w:pPr>
        <w:tabs>
          <w:tab w:val="left" w:pos="-1080"/>
          <w:tab w:val="left" w:pos="-720"/>
          <w:tab w:val="left" w:pos="0"/>
          <w:tab w:val="left" w:pos="720"/>
          <w:tab w:val="left" w:pos="1440"/>
          <w:tab w:val="left" w:pos="2160"/>
          <w:tab w:val="left" w:pos="2880"/>
          <w:tab w:val="left" w:pos="3600"/>
          <w:tab w:val="left" w:pos="4320"/>
          <w:tab w:val="right" w:leader="dot" w:pos="9360"/>
        </w:tabs>
        <w:spacing w:after="120"/>
      </w:pPr>
      <w:r w:rsidRPr="00296D33">
        <w:rPr>
          <w:b/>
        </w:rPr>
        <w:t>1.</w:t>
      </w:r>
      <w:r w:rsidRPr="00296D33">
        <w:t xml:space="preserve"> </w:t>
      </w:r>
      <w:r w:rsidRPr="00296D33">
        <w:rPr>
          <w:b/>
        </w:rPr>
        <w:t>Respondent Universe and Sampling Methods</w:t>
      </w:r>
      <w:r w:rsidRPr="00296D33">
        <w:t xml:space="preserve"> </w:t>
      </w:r>
    </w:p>
    <w:p w:rsidRPr="00296D33" w:rsidR="00296D33" w:rsidP="00296D33" w:rsidRDefault="00296D33" w14:paraId="663D2E91" w14:textId="6D1E5368">
      <w:pPr>
        <w:tabs>
          <w:tab w:val="left" w:pos="-1080"/>
          <w:tab w:val="left" w:pos="-720"/>
          <w:tab w:val="left" w:pos="0"/>
          <w:tab w:val="left" w:pos="270"/>
          <w:tab w:val="left" w:pos="720"/>
          <w:tab w:val="left" w:pos="1440"/>
          <w:tab w:val="left" w:pos="2160"/>
          <w:tab w:val="left" w:pos="2880"/>
          <w:tab w:val="left" w:pos="3600"/>
          <w:tab w:val="left" w:pos="4320"/>
          <w:tab w:val="right" w:leader="dot" w:pos="9360"/>
        </w:tabs>
        <w:spacing w:after="120"/>
      </w:pPr>
      <w:r w:rsidRPr="00296D33">
        <w:t xml:space="preserve">The “Aggregate Reports for Tuberculosis Program Evaluation” </w:t>
      </w:r>
      <w:r w:rsidR="00A40108">
        <w:t xml:space="preserve">(ARPE) </w:t>
      </w:r>
      <w:r w:rsidRPr="00296D33">
        <w:t xml:space="preserve">measure the extent, the efficiency, and the yield of </w:t>
      </w:r>
      <w:r w:rsidR="00690515">
        <w:t>tuberculosis (</w:t>
      </w:r>
      <w:r w:rsidRPr="00296D33">
        <w:t>TB</w:t>
      </w:r>
      <w:r w:rsidR="00690515">
        <w:t>)</w:t>
      </w:r>
      <w:r w:rsidRPr="00296D33">
        <w:t xml:space="preserve"> control activities.  </w:t>
      </w:r>
      <w:r w:rsidR="00690515">
        <w:t>R</w:t>
      </w:r>
      <w:r w:rsidRPr="00296D33">
        <w:t>espondents for the reports</w:t>
      </w:r>
      <w:r w:rsidR="00690515">
        <w:t xml:space="preserve"> are the </w:t>
      </w:r>
      <w:r w:rsidRPr="00296D33" w:rsidR="00690515">
        <w:t>6</w:t>
      </w:r>
      <w:r w:rsidR="00690515">
        <w:t>7</w:t>
      </w:r>
      <w:r w:rsidRPr="00296D33" w:rsidR="00690515">
        <w:t xml:space="preserve"> federal cooperative agreement sites</w:t>
      </w:r>
      <w:r w:rsidR="00690515">
        <w:t xml:space="preserve"> that perform TB control activities in the United States</w:t>
      </w:r>
      <w:r w:rsidRPr="00296D33">
        <w:t xml:space="preserve">. </w:t>
      </w:r>
      <w:r w:rsidRPr="00296D33" w:rsidR="000D4C2E">
        <w:t xml:space="preserve">In </w:t>
      </w:r>
      <w:r w:rsidRPr="00296D33" w:rsidR="00E7060F">
        <w:t>201</w:t>
      </w:r>
      <w:r w:rsidR="00441857">
        <w:t>8</w:t>
      </w:r>
      <w:r w:rsidRPr="00296D33" w:rsidR="000D4C2E">
        <w:t xml:space="preserve">, </w:t>
      </w:r>
      <w:r w:rsidR="00B25FE6">
        <w:t>98</w:t>
      </w:r>
      <w:r w:rsidRPr="00296D33" w:rsidR="000D4C2E">
        <w:t xml:space="preserve">% of respondents submitted reports. </w:t>
      </w:r>
      <w:r w:rsidRPr="00296D33">
        <w:t xml:space="preserve">No sampling, stratification, or estimation procedures are used in this data collection. The data are entirely in an aggregate format. </w:t>
      </w:r>
      <w:r w:rsidR="00690515">
        <w:t xml:space="preserve">The </w:t>
      </w:r>
      <w:r w:rsidRPr="00296D33" w:rsidR="00690515">
        <w:t xml:space="preserve">data are left unadjusted </w:t>
      </w:r>
      <w:r w:rsidR="00690515">
        <w:t>f</w:t>
      </w:r>
      <w:r w:rsidRPr="00296D33">
        <w:t>or summing the U.S. national tuberculosis program statistics</w:t>
      </w:r>
      <w:r w:rsidR="00690515">
        <w:t>.</w:t>
      </w:r>
    </w:p>
    <w:p w:rsidR="00B25FE6" w:rsidP="00296D33" w:rsidRDefault="00B25FE6" w14:paraId="0E847154" w14:textId="77777777">
      <w:pPr>
        <w:tabs>
          <w:tab w:val="left" w:pos="-1080"/>
          <w:tab w:val="left" w:pos="-720"/>
          <w:tab w:val="left" w:pos="0"/>
          <w:tab w:val="left" w:pos="720"/>
          <w:tab w:val="left" w:pos="1440"/>
          <w:tab w:val="left" w:pos="2160"/>
          <w:tab w:val="left" w:pos="2880"/>
          <w:tab w:val="left" w:pos="3600"/>
          <w:tab w:val="left" w:pos="4320"/>
          <w:tab w:val="right" w:leader="dot" w:pos="9360"/>
        </w:tabs>
        <w:spacing w:after="120"/>
      </w:pPr>
    </w:p>
    <w:p w:rsidRPr="00296D33" w:rsidR="00296D33" w:rsidP="00296D33" w:rsidRDefault="00296D33" w14:paraId="5E4AFD3B" w14:textId="29326CCB">
      <w:pPr>
        <w:tabs>
          <w:tab w:val="left" w:pos="-1080"/>
          <w:tab w:val="left" w:pos="-720"/>
          <w:tab w:val="left" w:pos="0"/>
          <w:tab w:val="left" w:pos="720"/>
          <w:tab w:val="left" w:pos="1440"/>
          <w:tab w:val="left" w:pos="2160"/>
          <w:tab w:val="left" w:pos="2880"/>
          <w:tab w:val="left" w:pos="3600"/>
          <w:tab w:val="left" w:pos="4320"/>
          <w:tab w:val="right" w:leader="dot" w:pos="9360"/>
        </w:tabs>
        <w:spacing w:after="120"/>
        <w:rPr>
          <w:b/>
        </w:rPr>
      </w:pPr>
      <w:r w:rsidRPr="00296D33">
        <w:rPr>
          <w:b/>
        </w:rPr>
        <w:t>2</w:t>
      </w:r>
      <w:r w:rsidRPr="00296D33">
        <w:t xml:space="preserve">. </w:t>
      </w:r>
      <w:r w:rsidRPr="00296D33">
        <w:rPr>
          <w:b/>
        </w:rPr>
        <w:t>Procedures for the Collection of Information</w:t>
      </w:r>
    </w:p>
    <w:p w:rsidRPr="00296D33" w:rsidR="00296D33" w:rsidP="00296D33" w:rsidRDefault="00296D33" w14:paraId="572F6FD4" w14:textId="62B6FF1A">
      <w:pPr>
        <w:spacing w:after="120"/>
      </w:pPr>
      <w:r w:rsidRPr="00296D33">
        <w:t xml:space="preserve">The source data for </w:t>
      </w:r>
      <w:r w:rsidR="00A40108">
        <w:t>ARPE</w:t>
      </w:r>
      <w:r w:rsidRPr="00296D33">
        <w:t xml:space="preserve"> are gathered annually as part of standard public health practice for </w:t>
      </w:r>
      <w:r w:rsidR="00690515">
        <w:t xml:space="preserve">TB </w:t>
      </w:r>
      <w:r w:rsidRPr="00296D33">
        <w:t xml:space="preserve">control under the authority of state and local health departments. Although health departments may collect identifiable information for local </w:t>
      </w:r>
      <w:r w:rsidR="00690515">
        <w:t xml:space="preserve">TB </w:t>
      </w:r>
      <w:r w:rsidRPr="00296D33">
        <w:t>control purposes, consistent with state and local laws, this information is retained at those level</w:t>
      </w:r>
      <w:r w:rsidR="009257FD">
        <w:t>s</w:t>
      </w:r>
      <w:r w:rsidRPr="00296D33">
        <w:t xml:space="preserve">, and health departments do not transmit person-level data or identifiable data to CDC. Administrative controls to ensure data quality include a training manual and user guide for information collection. The data associated with this OMB clearance are submitted to CDC only in an aggregate format (refer to Supporting Statement A, Section 10). The aggregate data are not stratified by age, sex, or specific medical conditions except for </w:t>
      </w:r>
      <w:r w:rsidR="00690515">
        <w:t>TB</w:t>
      </w:r>
      <w:r w:rsidR="00FD3F11">
        <w:t>, diagnostic tests used, treatment regimen prescribed</w:t>
      </w:r>
      <w:r w:rsidR="00690515">
        <w:t xml:space="preserve">; </w:t>
      </w:r>
      <w:r w:rsidRPr="00296D33">
        <w:t>therefore</w:t>
      </w:r>
      <w:r w:rsidR="00D018E6">
        <w:t>,</w:t>
      </w:r>
      <w:r w:rsidRPr="00296D33">
        <w:t xml:space="preserve"> the accidental identification of any patient counted in the reports is extremely unlikely. Data aggregation varies by site, with computerized methods becoming the norm at </w:t>
      </w:r>
      <w:r w:rsidR="00AD00B6">
        <w:t>most</w:t>
      </w:r>
      <w:r w:rsidRPr="00296D33" w:rsidR="00AD00B6">
        <w:t xml:space="preserve"> </w:t>
      </w:r>
      <w:r w:rsidRPr="00296D33">
        <w:t xml:space="preserve">jurisdictions. </w:t>
      </w:r>
    </w:p>
    <w:p w:rsidRPr="00296D33" w:rsidR="00296D33" w:rsidP="00296D33" w:rsidRDefault="00296D33" w14:paraId="51E1F440" w14:textId="48424A4D">
      <w:pPr>
        <w:spacing w:after="120"/>
      </w:pPr>
      <w:r w:rsidRPr="00296D33">
        <w:t xml:space="preserve">The respondents submit data to CDC using the format outlined in </w:t>
      </w:r>
      <w:r w:rsidR="00A40108">
        <w:t>ARPE</w:t>
      </w:r>
      <w:r w:rsidRPr="00296D33">
        <w:t xml:space="preserve"> (see Attachment 3a -Follow-up and Treatment of Contacts to Tuberculosis Cases and Attachment 3b-Targeted Testing and Treatment for Latent Tuberc</w:t>
      </w:r>
      <w:r w:rsidR="006E0CB1">
        <w:t>ulosis Infection).  Respondents submit</w:t>
      </w:r>
      <w:r w:rsidRPr="00296D33">
        <w:t xml:space="preserve"> their aggregated data annually to CDC by </w:t>
      </w:r>
      <w:r w:rsidRPr="00296D33">
        <w:lastRenderedPageBreak/>
        <w:t xml:space="preserve">encrypted computer transmission in </w:t>
      </w:r>
      <w:r w:rsidR="00FB0F6A">
        <w:t xml:space="preserve">the </w:t>
      </w:r>
      <w:r w:rsidRPr="00FB0F6A" w:rsidR="00FB0F6A">
        <w:t>National Tuberculosis Indicators Project (NTIP)</w:t>
      </w:r>
      <w:r w:rsidRPr="00296D33">
        <w:t>. All data which are submitted electronically through NTIP are encrypted and fil</w:t>
      </w:r>
      <w:r w:rsidR="006E0CB1">
        <w:t>es are password protected. R</w:t>
      </w:r>
      <w:r w:rsidRPr="00296D33">
        <w:t>eports</w:t>
      </w:r>
      <w:r w:rsidR="006E0CB1">
        <w:t xml:space="preserve"> submitted to </w:t>
      </w:r>
      <w:r w:rsidRPr="00296D33">
        <w:t xml:space="preserve">CDC office where the data are collected, </w:t>
      </w:r>
      <w:r w:rsidR="006E0CB1">
        <w:t xml:space="preserve">are protected </w:t>
      </w:r>
      <w:r w:rsidRPr="00296D33">
        <w:t xml:space="preserve">under the privacy-statement cover sheet of the submitting agency as guided by state or local law. Any printed records from specific jurisdictions are kept in a locked file cabinet. </w:t>
      </w:r>
    </w:p>
    <w:p w:rsidR="00296D33" w:rsidP="00296D33" w:rsidRDefault="00296D33" w14:paraId="64642C17" w14:textId="6BCC497D">
      <w:pPr>
        <w:spacing w:after="120"/>
      </w:pPr>
      <w:r w:rsidRPr="00296D33">
        <w:t>CDC publishes the national data and shares the national summaries with the respondents routinely</w:t>
      </w:r>
      <w:r w:rsidR="00ED35A3">
        <w:t>.</w:t>
      </w:r>
      <w:r w:rsidRPr="00296D33">
        <w:t xml:space="preserve"> </w:t>
      </w:r>
    </w:p>
    <w:p w:rsidRPr="00296D33" w:rsidR="00864085" w:rsidP="00296D33" w:rsidRDefault="00864085" w14:paraId="172C3DEB" w14:textId="77777777">
      <w:pPr>
        <w:spacing w:after="120"/>
      </w:pPr>
    </w:p>
    <w:p w:rsidRPr="00296D33" w:rsidR="00296D33" w:rsidP="00296D33" w:rsidRDefault="00296D33" w14:paraId="7995135D" w14:textId="77777777">
      <w:pPr>
        <w:tabs>
          <w:tab w:val="left" w:pos="-1080"/>
          <w:tab w:val="left" w:pos="-720"/>
          <w:tab w:val="left" w:pos="0"/>
          <w:tab w:val="left" w:pos="720"/>
          <w:tab w:val="left" w:pos="1440"/>
          <w:tab w:val="left" w:pos="2160"/>
          <w:tab w:val="left" w:pos="2880"/>
          <w:tab w:val="left" w:pos="3600"/>
          <w:tab w:val="left" w:pos="4320"/>
          <w:tab w:val="right" w:leader="dot" w:pos="9360"/>
        </w:tabs>
        <w:spacing w:after="120"/>
        <w:rPr>
          <w:b/>
        </w:rPr>
      </w:pPr>
      <w:r w:rsidRPr="00296D33">
        <w:rPr>
          <w:b/>
        </w:rPr>
        <w:t>3.</w:t>
      </w:r>
      <w:r w:rsidRPr="00296D33">
        <w:t xml:space="preserve"> </w:t>
      </w:r>
      <w:r w:rsidRPr="00296D33">
        <w:rPr>
          <w:b/>
        </w:rPr>
        <w:t>Methods to Maximize Response Rates and Deal with Nonresponse</w:t>
      </w:r>
    </w:p>
    <w:p w:rsidRPr="00296D33" w:rsidR="00296D33" w:rsidP="00296D33" w:rsidRDefault="00296D33" w14:paraId="6714CB4C" w14:textId="688BC081">
      <w:pPr>
        <w:tabs>
          <w:tab w:val="left" w:pos="-1080"/>
          <w:tab w:val="left" w:pos="-720"/>
          <w:tab w:val="left" w:pos="0"/>
          <w:tab w:val="left" w:pos="270"/>
          <w:tab w:val="left" w:pos="720"/>
          <w:tab w:val="left" w:pos="1440"/>
          <w:tab w:val="left" w:pos="2160"/>
          <w:tab w:val="left" w:pos="2880"/>
          <w:tab w:val="left" w:pos="3600"/>
          <w:tab w:val="left" w:pos="4320"/>
          <w:tab w:val="right" w:leader="dot" w:pos="9360"/>
        </w:tabs>
        <w:spacing w:after="120"/>
      </w:pPr>
      <w:r w:rsidRPr="00296D33">
        <w:t xml:space="preserve">CDC </w:t>
      </w:r>
      <w:r w:rsidR="00690515">
        <w:t>TB</w:t>
      </w:r>
      <w:r w:rsidRPr="00296D33" w:rsidR="00690515">
        <w:t xml:space="preserve"> </w:t>
      </w:r>
      <w:r w:rsidRPr="00296D33">
        <w:t xml:space="preserve">program consultants routinely work with the respondents in all types of data reporting. When reports to CDC are delayed, the CDC </w:t>
      </w:r>
      <w:r w:rsidR="00690515">
        <w:t>TB</w:t>
      </w:r>
      <w:r w:rsidRPr="00296D33" w:rsidR="00690515">
        <w:t xml:space="preserve"> </w:t>
      </w:r>
      <w:r w:rsidRPr="00296D33">
        <w:t xml:space="preserve">program consultants contact and meet with the respondents to determine the programmatic needs and to assist in the reporting process. Respondents who are unable to submit reports by the designated submission deadline for data analysis will be excluded from the national aggregate report. </w:t>
      </w:r>
    </w:p>
    <w:p w:rsidR="006D037D" w:rsidP="00296D33" w:rsidRDefault="006D037D" w14:paraId="23C80DD5" w14:textId="77777777">
      <w:pPr>
        <w:tabs>
          <w:tab w:val="left" w:pos="-1080"/>
          <w:tab w:val="left" w:pos="-720"/>
          <w:tab w:val="left" w:pos="0"/>
          <w:tab w:val="left" w:pos="630"/>
          <w:tab w:val="left" w:pos="720"/>
          <w:tab w:val="left" w:pos="1440"/>
          <w:tab w:val="left" w:pos="2160"/>
          <w:tab w:val="left" w:pos="2880"/>
          <w:tab w:val="left" w:pos="3600"/>
          <w:tab w:val="left" w:pos="4320"/>
          <w:tab w:val="right" w:leader="dot" w:pos="9360"/>
        </w:tabs>
        <w:spacing w:after="120"/>
        <w:rPr>
          <w:b/>
        </w:rPr>
      </w:pPr>
    </w:p>
    <w:p w:rsidRPr="00296D33" w:rsidR="00296D33" w:rsidP="00296D33" w:rsidRDefault="00296D33" w14:paraId="4CC77B72" w14:textId="77777777">
      <w:pPr>
        <w:tabs>
          <w:tab w:val="left" w:pos="-1080"/>
          <w:tab w:val="left" w:pos="-720"/>
          <w:tab w:val="left" w:pos="0"/>
          <w:tab w:val="left" w:pos="630"/>
          <w:tab w:val="left" w:pos="720"/>
          <w:tab w:val="left" w:pos="1440"/>
          <w:tab w:val="left" w:pos="2160"/>
          <w:tab w:val="left" w:pos="2880"/>
          <w:tab w:val="left" w:pos="3600"/>
          <w:tab w:val="left" w:pos="4320"/>
          <w:tab w:val="right" w:leader="dot" w:pos="9360"/>
        </w:tabs>
        <w:spacing w:after="120"/>
        <w:rPr>
          <w:b/>
        </w:rPr>
      </w:pPr>
      <w:r w:rsidRPr="00296D33">
        <w:rPr>
          <w:b/>
        </w:rPr>
        <w:t>4.</w:t>
      </w:r>
      <w:r w:rsidRPr="00296D33">
        <w:t xml:space="preserve"> </w:t>
      </w:r>
      <w:r w:rsidRPr="00296D33">
        <w:rPr>
          <w:b/>
        </w:rPr>
        <w:t>Tests of Procedures or Methods to be Undertaken</w:t>
      </w:r>
    </w:p>
    <w:p w:rsidR="00296D33" w:rsidP="00296D33" w:rsidRDefault="00296D33" w14:paraId="1BD7A0CE" w14:textId="4634D349">
      <w:pPr>
        <w:tabs>
          <w:tab w:val="left" w:pos="-1080"/>
          <w:tab w:val="left" w:pos="-720"/>
          <w:tab w:val="left" w:pos="0"/>
          <w:tab w:val="left" w:pos="270"/>
          <w:tab w:val="left" w:pos="630"/>
          <w:tab w:val="left" w:pos="720"/>
          <w:tab w:val="left" w:pos="1440"/>
          <w:tab w:val="left" w:pos="2160"/>
          <w:tab w:val="left" w:pos="2880"/>
          <w:tab w:val="left" w:pos="3600"/>
          <w:tab w:val="left" w:pos="4320"/>
          <w:tab w:val="right" w:leader="dot" w:pos="9360"/>
        </w:tabs>
        <w:spacing w:after="120"/>
      </w:pPr>
      <w:r w:rsidRPr="00296D33">
        <w:t xml:space="preserve">CDC tested </w:t>
      </w:r>
      <w:r w:rsidR="00A40108">
        <w:t>ARPE</w:t>
      </w:r>
      <w:r w:rsidRPr="00296D33">
        <w:t xml:space="preserve"> (OMB Control 0920-0457) as part of the design and implementation strategy in 1999 by visiting four state and local health departments and entering sample data.</w:t>
      </w:r>
      <w:bookmarkStart w:name="List_of_Attachments" w:id="0"/>
      <w:bookmarkEnd w:id="0"/>
      <w:r w:rsidRPr="00296D33">
        <w:t xml:space="preserve"> </w:t>
      </w:r>
      <w:r w:rsidR="00A306E3">
        <w:t>The c</w:t>
      </w:r>
      <w:r w:rsidR="00FD3F11">
        <w:t>omputer system (i.e., NTIP) w</w:t>
      </w:r>
      <w:r w:rsidR="00A306E3">
        <w:t>as</w:t>
      </w:r>
      <w:r w:rsidR="00FD3F11">
        <w:t xml:space="preserve"> tested in </w:t>
      </w:r>
      <w:r w:rsidRPr="00296D33">
        <w:t>2010 for the completion of automated report transmission.</w:t>
      </w:r>
    </w:p>
    <w:p w:rsidRPr="00296D33" w:rsidR="00FD3F11" w:rsidP="00296D33" w:rsidRDefault="00FD3F11" w14:paraId="2B7DBAD8" w14:textId="77777777">
      <w:pPr>
        <w:tabs>
          <w:tab w:val="left" w:pos="-1080"/>
          <w:tab w:val="left" w:pos="-720"/>
          <w:tab w:val="left" w:pos="0"/>
          <w:tab w:val="left" w:pos="270"/>
          <w:tab w:val="left" w:pos="630"/>
          <w:tab w:val="left" w:pos="720"/>
          <w:tab w:val="left" w:pos="1440"/>
          <w:tab w:val="left" w:pos="2160"/>
          <w:tab w:val="left" w:pos="2880"/>
          <w:tab w:val="left" w:pos="3600"/>
          <w:tab w:val="left" w:pos="4320"/>
          <w:tab w:val="right" w:leader="dot" w:pos="9360"/>
        </w:tabs>
        <w:spacing w:after="120"/>
      </w:pPr>
    </w:p>
    <w:p w:rsidRPr="00296D33" w:rsidR="00296D33" w:rsidP="00296D33" w:rsidRDefault="00296D33" w14:paraId="3A40B0E4" w14:textId="77777777">
      <w:pPr>
        <w:tabs>
          <w:tab w:val="left" w:pos="-1080"/>
          <w:tab w:val="left" w:pos="-720"/>
          <w:tab w:val="left" w:pos="0"/>
          <w:tab w:val="left" w:pos="630"/>
          <w:tab w:val="left" w:pos="720"/>
          <w:tab w:val="left" w:pos="1440"/>
          <w:tab w:val="left" w:pos="2160"/>
          <w:tab w:val="left" w:pos="2880"/>
          <w:tab w:val="left" w:pos="3600"/>
          <w:tab w:val="left" w:pos="4320"/>
          <w:tab w:val="right" w:leader="dot" w:pos="9360"/>
        </w:tabs>
        <w:spacing w:after="120"/>
        <w:rPr>
          <w:b/>
        </w:rPr>
      </w:pPr>
      <w:r w:rsidRPr="00296D33">
        <w:rPr>
          <w:b/>
        </w:rPr>
        <w:t>5.</w:t>
      </w:r>
      <w:r w:rsidRPr="00296D33">
        <w:t xml:space="preserve"> </w:t>
      </w:r>
      <w:r w:rsidRPr="00296D33">
        <w:rPr>
          <w:b/>
        </w:rPr>
        <w:t xml:space="preserve">Individuals Consulted on Statistical Aspects and Individuals Collecting and/or Analyzing Data </w:t>
      </w:r>
    </w:p>
    <w:p w:rsidR="004C0B2A" w:rsidP="00296D33" w:rsidRDefault="00296D33" w14:paraId="652D0477" w14:textId="7B941DAD">
      <w:pPr>
        <w:tabs>
          <w:tab w:val="left" w:pos="0"/>
          <w:tab w:val="left" w:pos="720"/>
        </w:tabs>
        <w:spacing w:after="120"/>
      </w:pPr>
      <w:r w:rsidRPr="00296D33">
        <w:t xml:space="preserve">Consultation on statistical aspects is not applicable. The public health officials who tested the trial reports (see item #4, directly above) were experts in </w:t>
      </w:r>
      <w:r w:rsidR="00FB0F6A">
        <w:t>TB</w:t>
      </w:r>
      <w:r w:rsidRPr="00296D33" w:rsidR="00FB0F6A">
        <w:t xml:space="preserve"> </w:t>
      </w:r>
      <w:r w:rsidRPr="00296D33">
        <w:t xml:space="preserve">control, and they were consulted on the data collection methods in 1999. In 2009, </w:t>
      </w:r>
      <w:r w:rsidRPr="00875B5A">
        <w:t>TB control officials from New York State, Colorado, Tennessee, Texas, and California rev</w:t>
      </w:r>
      <w:r w:rsidRPr="00296D33">
        <w:t xml:space="preserve">iewed the indicators that are in </w:t>
      </w:r>
      <w:r w:rsidR="00A40108">
        <w:t>ARPE</w:t>
      </w:r>
      <w:r w:rsidRPr="00296D33">
        <w:t xml:space="preserve"> and recommended their inclusion in </w:t>
      </w:r>
      <w:r w:rsidR="00FB0F6A">
        <w:t>NTIP</w:t>
      </w:r>
      <w:r w:rsidRPr="00296D33">
        <w:t>.</w:t>
      </w:r>
      <w:r w:rsidR="00875B5A">
        <w:t xml:space="preserve"> </w:t>
      </w:r>
      <w:r w:rsidR="004C0B2A">
        <w:t xml:space="preserve">In 2017, ACET recommended collection of </w:t>
      </w:r>
      <w:proofErr w:type="gramStart"/>
      <w:r w:rsidR="004C0B2A">
        <w:t>nativity</w:t>
      </w:r>
      <w:proofErr w:type="gramEnd"/>
      <w:r w:rsidR="004C0B2A">
        <w:t xml:space="preserve">, diagnostic tests used, and drug regimen prescribed to allow for increased usability of the data to assess the </w:t>
      </w:r>
      <w:r w:rsidR="001128D6">
        <w:t>adoption</w:t>
      </w:r>
      <w:r w:rsidR="004C0B2A">
        <w:t xml:space="preserve"> of new science and technology (i.e., </w:t>
      </w:r>
      <w:r w:rsidR="001128D6">
        <w:t xml:space="preserve">adoption of a </w:t>
      </w:r>
      <w:r w:rsidR="004C0B2A">
        <w:t xml:space="preserve">better diagnostic test for detecting TB and </w:t>
      </w:r>
      <w:r w:rsidR="001128D6">
        <w:t xml:space="preserve">a </w:t>
      </w:r>
      <w:r w:rsidR="004C0B2A">
        <w:t xml:space="preserve">shorter course treatment regimen). </w:t>
      </w:r>
    </w:p>
    <w:p w:rsidRPr="00296D33" w:rsidR="00296D33" w:rsidP="00296D33" w:rsidRDefault="00875B5A" w14:paraId="5ECEDB31" w14:textId="25DFB1BF">
      <w:pPr>
        <w:tabs>
          <w:tab w:val="left" w:pos="0"/>
          <w:tab w:val="left" w:pos="720"/>
        </w:tabs>
        <w:spacing w:after="120"/>
      </w:pPr>
      <w:r>
        <w:t xml:space="preserve">CDC will collect and analyze the </w:t>
      </w:r>
      <w:r w:rsidR="00ED35A3">
        <w:t xml:space="preserve">aggregate </w:t>
      </w:r>
      <w:r w:rsidR="00001A26">
        <w:t>data from the 67</w:t>
      </w:r>
      <w:r>
        <w:t xml:space="preserve"> reporting T</w:t>
      </w:r>
      <w:r w:rsidR="00001A26">
        <w:t>B control jurisdictions.  The 67</w:t>
      </w:r>
      <w:r>
        <w:t xml:space="preserve"> reporting TB control jurisdictions </w:t>
      </w:r>
      <w:r w:rsidRPr="00875B5A">
        <w:t xml:space="preserve">may collect </w:t>
      </w:r>
      <w:r>
        <w:t xml:space="preserve">and analyze </w:t>
      </w:r>
      <w:r w:rsidRPr="00875B5A">
        <w:t xml:space="preserve">identifiable information for local </w:t>
      </w:r>
      <w:r w:rsidR="00A40108">
        <w:t>TB</w:t>
      </w:r>
      <w:r w:rsidRPr="00875B5A" w:rsidR="00A40108">
        <w:t xml:space="preserve"> </w:t>
      </w:r>
      <w:r w:rsidRPr="00875B5A">
        <w:t>control purposes, consistent with state and local laws</w:t>
      </w:r>
      <w:r w:rsidR="00A40108">
        <w:t>;</w:t>
      </w:r>
      <w:r w:rsidRPr="00875B5A">
        <w:t xml:space="preserve"> </w:t>
      </w:r>
      <w:r>
        <w:t xml:space="preserve">however, </w:t>
      </w:r>
      <w:r w:rsidRPr="00875B5A">
        <w:t xml:space="preserve">this information is retained at those levels, and health departments do not transmit person-level data or identifiable data to CDC. </w:t>
      </w:r>
      <w:r>
        <w:t>The</w:t>
      </w:r>
      <w:r w:rsidR="00A40108">
        <w:t>se</w:t>
      </w:r>
      <w:r>
        <w:t xml:space="preserve"> data </w:t>
      </w:r>
      <w:r w:rsidR="00A40108">
        <w:t xml:space="preserve">are </w:t>
      </w:r>
      <w:r>
        <w:t xml:space="preserve">submitted to CDC in aggregate form. </w:t>
      </w:r>
    </w:p>
    <w:p w:rsidR="00296D33" w:rsidP="00156FEB" w:rsidRDefault="00156FEB" w14:paraId="7E05434E" w14:textId="4E47FB4C">
      <w:r w:rsidRPr="009257FD">
        <w:t>In July 2018, in response to ACET’s recommendation</w:t>
      </w:r>
      <w:r w:rsidR="009257FD">
        <w:t>s</w:t>
      </w:r>
      <w:r w:rsidRPr="009257FD">
        <w:t xml:space="preserve"> to include nativity, diagnostic tests and drug regimen to the </w:t>
      </w:r>
      <w:r w:rsidR="009257FD">
        <w:t xml:space="preserve">ARPE </w:t>
      </w:r>
      <w:r w:rsidRPr="009257FD">
        <w:t>data collection</w:t>
      </w:r>
      <w:r w:rsidR="009257FD">
        <w:t>,</w:t>
      </w:r>
      <w:r w:rsidRPr="009257FD">
        <w:t xml:space="preserve"> CDC reached out </w:t>
      </w:r>
      <w:r w:rsidR="009257FD">
        <w:t xml:space="preserve">to </w:t>
      </w:r>
      <w:r w:rsidRPr="009257FD">
        <w:t>the National Tuberculosis Controllers’ Association (NTCA) for feedback. NTCA surveyed and conduct</w:t>
      </w:r>
      <w:r w:rsidR="009257FD">
        <w:t>ed</w:t>
      </w:r>
      <w:r w:rsidRPr="009257FD">
        <w:t xml:space="preserve"> </w:t>
      </w:r>
      <w:r w:rsidR="009257FD">
        <w:t xml:space="preserve">an </w:t>
      </w:r>
      <w:r w:rsidRPr="009257FD">
        <w:t xml:space="preserve">in-person focus group with members in the 67 jurisdictions to assess uses of data and the feasibility and burden associated with collecting these recommended data elements. </w:t>
      </w:r>
      <w:r w:rsidR="009257FD">
        <w:t>According to NTCA,</w:t>
      </w:r>
      <w:r w:rsidRPr="009257FD">
        <w:t xml:space="preserve"> 76%</w:t>
      </w:r>
      <w:r w:rsidR="009257FD">
        <w:t xml:space="preserve"> of</w:t>
      </w:r>
      <w:r w:rsidRPr="009257FD">
        <w:t xml:space="preserve"> respondents reported </w:t>
      </w:r>
      <w:r w:rsidR="009257FD">
        <w:t xml:space="preserve">that </w:t>
      </w:r>
      <w:r w:rsidRPr="009257FD">
        <w:t xml:space="preserve">ARPE data are useful to their programs. While 43% of the respondents recommended no changes to the current form, most programs reported little or no challenges </w:t>
      </w:r>
      <w:proofErr w:type="gramStart"/>
      <w:r w:rsidRPr="009257FD">
        <w:t>with regard to</w:t>
      </w:r>
      <w:proofErr w:type="gramEnd"/>
      <w:r w:rsidRPr="009257FD">
        <w:t xml:space="preserve"> their ability to collect and report the recommended data elements. More specifically, 59% of respondents reported little or no </w:t>
      </w:r>
      <w:r w:rsidRPr="009257FD">
        <w:lastRenderedPageBreak/>
        <w:t>difficulties in their capability to collect and report nativity; 77% of respondents reported little or no difficulties in collecting and reporting diagnostic tests used; and 73% of respondents reported little or no difficulties in collecting and reporting drug regimen used.</w:t>
      </w:r>
      <w:r>
        <w:t xml:space="preserve"> </w:t>
      </w:r>
    </w:p>
    <w:p w:rsidR="009F3D95" w:rsidP="00156FEB" w:rsidRDefault="009F3D95" w14:paraId="3A805EF6" w14:textId="69C7E0BA"/>
    <w:p w:rsidR="009F3D95" w:rsidP="00156FEB" w:rsidRDefault="009F3D95" w14:paraId="340525D9" w14:textId="668CF165">
      <w:r>
        <w:br/>
      </w:r>
    </w:p>
    <w:p w:rsidRPr="00156FEB" w:rsidR="009F3D95" w:rsidP="00156FEB" w:rsidRDefault="009F3D95" w14:paraId="5F6EB384" w14:textId="77777777"/>
    <w:sectPr w:rsidRPr="00156FEB" w:rsidR="009F3D95" w:rsidSect="00D62179">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964FC" w14:textId="77777777" w:rsidR="005B700D" w:rsidRDefault="005B700D" w:rsidP="00A0465C">
      <w:r>
        <w:separator/>
      </w:r>
    </w:p>
  </w:endnote>
  <w:endnote w:type="continuationSeparator" w:id="0">
    <w:p w14:paraId="2F9F4C6F" w14:textId="77777777" w:rsidR="005B700D" w:rsidRDefault="005B700D" w:rsidP="00A04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6CBB2" w14:textId="77777777" w:rsidR="00302F5D" w:rsidRDefault="00302F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6E06C" w14:textId="6979FAFE" w:rsidR="00DF7EB6" w:rsidRDefault="00DF7EB6">
    <w:pPr>
      <w:pStyle w:val="Footer"/>
      <w:jc w:val="center"/>
    </w:pPr>
    <w:r>
      <w:fldChar w:fldCharType="begin"/>
    </w:r>
    <w:r>
      <w:instrText xml:space="preserve"> PAGE   \* MERGEFORMAT </w:instrText>
    </w:r>
    <w:r>
      <w:fldChar w:fldCharType="separate"/>
    </w:r>
    <w:r w:rsidR="00E57762">
      <w:rPr>
        <w:noProof/>
      </w:rPr>
      <w:t>2</w:t>
    </w:r>
    <w:r>
      <w:rPr>
        <w:noProof/>
      </w:rPr>
      <w:fldChar w:fldCharType="end"/>
    </w:r>
  </w:p>
  <w:p w14:paraId="2C1C5418" w14:textId="77777777" w:rsidR="00DF7EB6" w:rsidRDefault="00DF7E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51F74" w14:textId="77777777" w:rsidR="00302F5D" w:rsidRDefault="00302F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1DEA1" w14:textId="77777777" w:rsidR="005B700D" w:rsidRDefault="005B700D" w:rsidP="00A0465C">
      <w:r>
        <w:separator/>
      </w:r>
    </w:p>
  </w:footnote>
  <w:footnote w:type="continuationSeparator" w:id="0">
    <w:p w14:paraId="5E74EED7" w14:textId="77777777" w:rsidR="005B700D" w:rsidRDefault="005B700D" w:rsidP="00A046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06A1B" w14:textId="77777777" w:rsidR="00302F5D" w:rsidRDefault="00302F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5013B" w14:textId="77777777" w:rsidR="00302F5D" w:rsidRDefault="00302F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338A1" w14:textId="77777777" w:rsidR="00302F5D" w:rsidRDefault="00302F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C739DE"/>
    <w:multiLevelType w:val="hybridMultilevel"/>
    <w:tmpl w:val="A9E402EE"/>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797901"/>
    <w:multiLevelType w:val="hybridMultilevel"/>
    <w:tmpl w:val="3B7EA7BE"/>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FD32AB"/>
    <w:multiLevelType w:val="hybridMultilevel"/>
    <w:tmpl w:val="A09AC8D8"/>
    <w:lvl w:ilvl="0" w:tplc="00F0777E">
      <w:start w:val="1"/>
      <w:numFmt w:val="upp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54562A"/>
    <w:multiLevelType w:val="hybridMultilevel"/>
    <w:tmpl w:val="7A521BB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3DF4DE9"/>
    <w:multiLevelType w:val="hybridMultilevel"/>
    <w:tmpl w:val="A92458FC"/>
    <w:lvl w:ilvl="0" w:tplc="1EEA4AA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877C4D"/>
    <w:multiLevelType w:val="hybridMultilevel"/>
    <w:tmpl w:val="4C9ED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sDQwMbI0NTA3NTEytjRW0lEKTi0uzszPAykwrwUAd2Yq/SwAAAA="/>
  </w:docVars>
  <w:rsids>
    <w:rsidRoot w:val="008F7093"/>
    <w:rsid w:val="00001576"/>
    <w:rsid w:val="00001A26"/>
    <w:rsid w:val="000053AE"/>
    <w:rsid w:val="00014A6E"/>
    <w:rsid w:val="00031002"/>
    <w:rsid w:val="0004467E"/>
    <w:rsid w:val="00044710"/>
    <w:rsid w:val="00051B44"/>
    <w:rsid w:val="0005489B"/>
    <w:rsid w:val="000716A1"/>
    <w:rsid w:val="000B1152"/>
    <w:rsid w:val="000C10CC"/>
    <w:rsid w:val="000C30F8"/>
    <w:rsid w:val="000D4C2E"/>
    <w:rsid w:val="000E09E3"/>
    <w:rsid w:val="00111F6F"/>
    <w:rsid w:val="001128D6"/>
    <w:rsid w:val="00114947"/>
    <w:rsid w:val="00143948"/>
    <w:rsid w:val="00154F0B"/>
    <w:rsid w:val="00156FEB"/>
    <w:rsid w:val="0018359D"/>
    <w:rsid w:val="00192A36"/>
    <w:rsid w:val="001A1E8E"/>
    <w:rsid w:val="001A2039"/>
    <w:rsid w:val="001A5C4D"/>
    <w:rsid w:val="001B6881"/>
    <w:rsid w:val="001C597A"/>
    <w:rsid w:val="001C7B5B"/>
    <w:rsid w:val="00200C5D"/>
    <w:rsid w:val="002017DD"/>
    <w:rsid w:val="0020265A"/>
    <w:rsid w:val="00236A2B"/>
    <w:rsid w:val="002470EF"/>
    <w:rsid w:val="00247418"/>
    <w:rsid w:val="0027485F"/>
    <w:rsid w:val="00296D33"/>
    <w:rsid w:val="002A6ABF"/>
    <w:rsid w:val="002B0014"/>
    <w:rsid w:val="002D1FD9"/>
    <w:rsid w:val="002E29B6"/>
    <w:rsid w:val="00302F5D"/>
    <w:rsid w:val="003215CD"/>
    <w:rsid w:val="00341295"/>
    <w:rsid w:val="00342D60"/>
    <w:rsid w:val="003457BC"/>
    <w:rsid w:val="003805E7"/>
    <w:rsid w:val="00387095"/>
    <w:rsid w:val="003945EE"/>
    <w:rsid w:val="003A622A"/>
    <w:rsid w:val="003B2070"/>
    <w:rsid w:val="003D3A7C"/>
    <w:rsid w:val="003D4653"/>
    <w:rsid w:val="00402BD2"/>
    <w:rsid w:val="00441857"/>
    <w:rsid w:val="00443001"/>
    <w:rsid w:val="00457113"/>
    <w:rsid w:val="00466408"/>
    <w:rsid w:val="00471F98"/>
    <w:rsid w:val="004C0B2A"/>
    <w:rsid w:val="004C762C"/>
    <w:rsid w:val="004D67F8"/>
    <w:rsid w:val="005041EB"/>
    <w:rsid w:val="005121D9"/>
    <w:rsid w:val="0052251A"/>
    <w:rsid w:val="00532801"/>
    <w:rsid w:val="00533E7B"/>
    <w:rsid w:val="00566E93"/>
    <w:rsid w:val="0057526F"/>
    <w:rsid w:val="0058358E"/>
    <w:rsid w:val="005A0C99"/>
    <w:rsid w:val="005A2C81"/>
    <w:rsid w:val="005B700D"/>
    <w:rsid w:val="005D105D"/>
    <w:rsid w:val="005E58D7"/>
    <w:rsid w:val="00637678"/>
    <w:rsid w:val="00643E5C"/>
    <w:rsid w:val="00651CF4"/>
    <w:rsid w:val="00652BFC"/>
    <w:rsid w:val="006841DA"/>
    <w:rsid w:val="00687212"/>
    <w:rsid w:val="00690515"/>
    <w:rsid w:val="006A712F"/>
    <w:rsid w:val="006C1DD1"/>
    <w:rsid w:val="006D037D"/>
    <w:rsid w:val="006E0CB1"/>
    <w:rsid w:val="006E6C52"/>
    <w:rsid w:val="006F1298"/>
    <w:rsid w:val="006F3286"/>
    <w:rsid w:val="007020EB"/>
    <w:rsid w:val="007138B0"/>
    <w:rsid w:val="007204DC"/>
    <w:rsid w:val="0072256F"/>
    <w:rsid w:val="00726879"/>
    <w:rsid w:val="00742A30"/>
    <w:rsid w:val="0075200E"/>
    <w:rsid w:val="007562E6"/>
    <w:rsid w:val="00784E20"/>
    <w:rsid w:val="00787946"/>
    <w:rsid w:val="00795C70"/>
    <w:rsid w:val="007B116B"/>
    <w:rsid w:val="007B6AC6"/>
    <w:rsid w:val="007D1904"/>
    <w:rsid w:val="007E5F63"/>
    <w:rsid w:val="007F204D"/>
    <w:rsid w:val="00812A2C"/>
    <w:rsid w:val="008356F4"/>
    <w:rsid w:val="00840A81"/>
    <w:rsid w:val="00841BDB"/>
    <w:rsid w:val="00864085"/>
    <w:rsid w:val="00872D93"/>
    <w:rsid w:val="00875B5A"/>
    <w:rsid w:val="008843F8"/>
    <w:rsid w:val="008873E6"/>
    <w:rsid w:val="008A1722"/>
    <w:rsid w:val="008B0CD1"/>
    <w:rsid w:val="008B4AD9"/>
    <w:rsid w:val="008F7093"/>
    <w:rsid w:val="008F7F0D"/>
    <w:rsid w:val="00903184"/>
    <w:rsid w:val="0090401B"/>
    <w:rsid w:val="00915763"/>
    <w:rsid w:val="009257FD"/>
    <w:rsid w:val="00930137"/>
    <w:rsid w:val="009807E0"/>
    <w:rsid w:val="009A36D5"/>
    <w:rsid w:val="009B45EA"/>
    <w:rsid w:val="009D111C"/>
    <w:rsid w:val="009D2910"/>
    <w:rsid w:val="009D5168"/>
    <w:rsid w:val="009F3D95"/>
    <w:rsid w:val="00A0465C"/>
    <w:rsid w:val="00A146D5"/>
    <w:rsid w:val="00A27C7C"/>
    <w:rsid w:val="00A306E3"/>
    <w:rsid w:val="00A374F8"/>
    <w:rsid w:val="00A40108"/>
    <w:rsid w:val="00A41145"/>
    <w:rsid w:val="00A41881"/>
    <w:rsid w:val="00AB3DD3"/>
    <w:rsid w:val="00AC53F9"/>
    <w:rsid w:val="00AD00B6"/>
    <w:rsid w:val="00B11D11"/>
    <w:rsid w:val="00B25FE6"/>
    <w:rsid w:val="00B33DBD"/>
    <w:rsid w:val="00B407C2"/>
    <w:rsid w:val="00B462CE"/>
    <w:rsid w:val="00B61D8F"/>
    <w:rsid w:val="00B70A4A"/>
    <w:rsid w:val="00B7319B"/>
    <w:rsid w:val="00BA4539"/>
    <w:rsid w:val="00BA5C5E"/>
    <w:rsid w:val="00BA5CE9"/>
    <w:rsid w:val="00BB3B5C"/>
    <w:rsid w:val="00BE5CA3"/>
    <w:rsid w:val="00BF2B57"/>
    <w:rsid w:val="00BF50A3"/>
    <w:rsid w:val="00C378C0"/>
    <w:rsid w:val="00C57899"/>
    <w:rsid w:val="00C6666F"/>
    <w:rsid w:val="00CC133C"/>
    <w:rsid w:val="00CD0CED"/>
    <w:rsid w:val="00D018E6"/>
    <w:rsid w:val="00D2241B"/>
    <w:rsid w:val="00D3320C"/>
    <w:rsid w:val="00D37130"/>
    <w:rsid w:val="00D62179"/>
    <w:rsid w:val="00D73D90"/>
    <w:rsid w:val="00D83A85"/>
    <w:rsid w:val="00D90079"/>
    <w:rsid w:val="00DA01F5"/>
    <w:rsid w:val="00DD5FC1"/>
    <w:rsid w:val="00DF7EB6"/>
    <w:rsid w:val="00E0362B"/>
    <w:rsid w:val="00E26D8D"/>
    <w:rsid w:val="00E272AE"/>
    <w:rsid w:val="00E33D43"/>
    <w:rsid w:val="00E35911"/>
    <w:rsid w:val="00E411DA"/>
    <w:rsid w:val="00E51C21"/>
    <w:rsid w:val="00E57762"/>
    <w:rsid w:val="00E7060F"/>
    <w:rsid w:val="00E82EE7"/>
    <w:rsid w:val="00E85755"/>
    <w:rsid w:val="00E94919"/>
    <w:rsid w:val="00EB4E14"/>
    <w:rsid w:val="00EC0893"/>
    <w:rsid w:val="00ED35A3"/>
    <w:rsid w:val="00EE0D87"/>
    <w:rsid w:val="00F02654"/>
    <w:rsid w:val="00F15726"/>
    <w:rsid w:val="00F35464"/>
    <w:rsid w:val="00F565D9"/>
    <w:rsid w:val="00F56C36"/>
    <w:rsid w:val="00F819FE"/>
    <w:rsid w:val="00F8468D"/>
    <w:rsid w:val="00F9154D"/>
    <w:rsid w:val="00FB0F6A"/>
    <w:rsid w:val="00FD3F11"/>
    <w:rsid w:val="00FD7CCF"/>
    <w:rsid w:val="00FE2495"/>
    <w:rsid w:val="00FF0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C258FDB"/>
  <w15:docId w15:val="{8E56A7C8-8A70-4787-8D52-681B2649C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7093"/>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F7093"/>
    <w:rPr>
      <w:color w:val="0000FF"/>
      <w:u w:val="single"/>
    </w:rPr>
  </w:style>
  <w:style w:type="table" w:styleId="TableGrid">
    <w:name w:val="Table Grid"/>
    <w:basedOn w:val="TableNormal"/>
    <w:rsid w:val="008F709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E33D43"/>
    <w:rPr>
      <w:sz w:val="16"/>
      <w:szCs w:val="16"/>
    </w:rPr>
  </w:style>
  <w:style w:type="paragraph" w:styleId="CommentText">
    <w:name w:val="annotation text"/>
    <w:basedOn w:val="Normal"/>
    <w:link w:val="CommentTextChar"/>
    <w:rsid w:val="00E33D43"/>
    <w:rPr>
      <w:sz w:val="20"/>
      <w:szCs w:val="20"/>
    </w:rPr>
  </w:style>
  <w:style w:type="character" w:customStyle="1" w:styleId="CommentTextChar">
    <w:name w:val="Comment Text Char"/>
    <w:basedOn w:val="DefaultParagraphFont"/>
    <w:link w:val="CommentText"/>
    <w:rsid w:val="00E33D43"/>
  </w:style>
  <w:style w:type="paragraph" w:styleId="CommentSubject">
    <w:name w:val="annotation subject"/>
    <w:basedOn w:val="CommentText"/>
    <w:next w:val="CommentText"/>
    <w:link w:val="CommentSubjectChar"/>
    <w:rsid w:val="00E33D43"/>
    <w:rPr>
      <w:b/>
      <w:bCs/>
    </w:rPr>
  </w:style>
  <w:style w:type="character" w:customStyle="1" w:styleId="CommentSubjectChar">
    <w:name w:val="Comment Subject Char"/>
    <w:link w:val="CommentSubject"/>
    <w:rsid w:val="00E33D43"/>
    <w:rPr>
      <w:b/>
      <w:bCs/>
    </w:rPr>
  </w:style>
  <w:style w:type="paragraph" w:styleId="BalloonText">
    <w:name w:val="Balloon Text"/>
    <w:basedOn w:val="Normal"/>
    <w:link w:val="BalloonTextChar"/>
    <w:rsid w:val="00E33D43"/>
    <w:rPr>
      <w:rFonts w:ascii="Tahoma" w:hAnsi="Tahoma" w:cs="Tahoma"/>
      <w:sz w:val="16"/>
      <w:szCs w:val="16"/>
    </w:rPr>
  </w:style>
  <w:style w:type="character" w:customStyle="1" w:styleId="BalloonTextChar">
    <w:name w:val="Balloon Text Char"/>
    <w:link w:val="BalloonText"/>
    <w:rsid w:val="00E33D43"/>
    <w:rPr>
      <w:rFonts w:ascii="Tahoma" w:hAnsi="Tahoma" w:cs="Tahoma"/>
      <w:sz w:val="16"/>
      <w:szCs w:val="16"/>
    </w:rPr>
  </w:style>
  <w:style w:type="paragraph" w:styleId="ListParagraph">
    <w:name w:val="List Paragraph"/>
    <w:basedOn w:val="Normal"/>
    <w:uiPriority w:val="34"/>
    <w:qFormat/>
    <w:rsid w:val="00A41881"/>
    <w:pPr>
      <w:ind w:left="720"/>
    </w:pPr>
  </w:style>
  <w:style w:type="paragraph" w:styleId="Header">
    <w:name w:val="header"/>
    <w:basedOn w:val="Normal"/>
    <w:link w:val="HeaderChar"/>
    <w:rsid w:val="00A0465C"/>
    <w:pPr>
      <w:tabs>
        <w:tab w:val="center" w:pos="4680"/>
        <w:tab w:val="right" w:pos="9360"/>
      </w:tabs>
    </w:pPr>
  </w:style>
  <w:style w:type="character" w:customStyle="1" w:styleId="HeaderChar">
    <w:name w:val="Header Char"/>
    <w:link w:val="Header"/>
    <w:rsid w:val="00A0465C"/>
    <w:rPr>
      <w:sz w:val="24"/>
      <w:szCs w:val="24"/>
    </w:rPr>
  </w:style>
  <w:style w:type="paragraph" w:styleId="Footer">
    <w:name w:val="footer"/>
    <w:basedOn w:val="Normal"/>
    <w:link w:val="FooterChar"/>
    <w:uiPriority w:val="99"/>
    <w:rsid w:val="00A0465C"/>
    <w:pPr>
      <w:tabs>
        <w:tab w:val="center" w:pos="4680"/>
        <w:tab w:val="right" w:pos="9360"/>
      </w:tabs>
    </w:pPr>
  </w:style>
  <w:style w:type="character" w:customStyle="1" w:styleId="FooterChar">
    <w:name w:val="Footer Char"/>
    <w:link w:val="Footer"/>
    <w:uiPriority w:val="99"/>
    <w:rsid w:val="00A0465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7897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259602-0EEB-49D3-AC1A-96C0313B3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1007</Words>
  <Characters>5790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Request for OMB Review and Extension</vt:lpstr>
    </vt:vector>
  </TitlesOfParts>
  <Company>ITSO</Company>
  <LinksUpToDate>false</LinksUpToDate>
  <CharactersWithSpaces>6784</CharactersWithSpaces>
  <SharedDoc>false</SharedDoc>
  <HLinks>
    <vt:vector size="24" baseType="variant">
      <vt:variant>
        <vt:i4>3670113</vt:i4>
      </vt:variant>
      <vt:variant>
        <vt:i4>9</vt:i4>
      </vt:variant>
      <vt:variant>
        <vt:i4>0</vt:i4>
      </vt:variant>
      <vt:variant>
        <vt:i4>5</vt:i4>
      </vt:variant>
      <vt:variant>
        <vt:lpwstr>http://www.opm.gov/</vt:lpwstr>
      </vt:variant>
      <vt:variant>
        <vt:lpwstr/>
      </vt:variant>
      <vt:variant>
        <vt:i4>3276926</vt:i4>
      </vt:variant>
      <vt:variant>
        <vt:i4>6</vt:i4>
      </vt:variant>
      <vt:variant>
        <vt:i4>0</vt:i4>
      </vt:variant>
      <vt:variant>
        <vt:i4>5</vt:i4>
      </vt:variant>
      <vt:variant>
        <vt:lpwstr>http://www.dol.gov/</vt:lpwstr>
      </vt:variant>
      <vt:variant>
        <vt:lpwstr/>
      </vt:variant>
      <vt:variant>
        <vt:i4>5570619</vt:i4>
      </vt:variant>
      <vt:variant>
        <vt:i4>3</vt:i4>
      </vt:variant>
      <vt:variant>
        <vt:i4>0</vt:i4>
      </vt:variant>
      <vt:variant>
        <vt:i4>5</vt:i4>
      </vt:variant>
      <vt:variant>
        <vt:lpwstr>http://www.cdc.gov/nchstp/tb/pubs/PDF/ARPEs_manual.pdf</vt:lpwstr>
      </vt:variant>
      <vt:variant>
        <vt:lpwstr/>
      </vt:variant>
      <vt:variant>
        <vt:i4>3211350</vt:i4>
      </vt:variant>
      <vt:variant>
        <vt:i4>0</vt:i4>
      </vt:variant>
      <vt:variant>
        <vt:i4>0</vt:i4>
      </vt:variant>
      <vt:variant>
        <vt:i4>5</vt:i4>
      </vt:variant>
      <vt:variant>
        <vt:lpwstr>http://www.cdc.gov/tb/publications/PDF/ARPEs_manualsm1.pdf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OMB Review and Extension</dc:title>
  <dc:creator>ftn6</dc:creator>
  <cp:lastModifiedBy>Hill, Tempest (CDC/DDID/NCHHSTP/DTE)</cp:lastModifiedBy>
  <cp:revision>4</cp:revision>
  <dcterms:created xsi:type="dcterms:W3CDTF">2022-02-03T17:56:00Z</dcterms:created>
  <dcterms:modified xsi:type="dcterms:W3CDTF">2022-04-12T19:28:00Z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2022-02-03T17:56:35Z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2078a7f3-9cd1-45f9-95ae-45f067c6879a</vt:lpwstr>
  </property>
  <property fmtid="{D5CDD505-2E9C-101B-9397-08002B2CF9AE}" pid="8" name="MSIP_Label_7b94a7b8-f06c-4dfe-bdcc-9b548fd58c31_ContentBits">
    <vt:lpwstr>0</vt:lpwstr>
  </property>
</Properties>
</file>