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4567" w:rsidR="00820398" w:rsidP="00C64567" w:rsidRDefault="00820398" w14:paraId="25670E2E" w14:textId="3B46CAB4">
      <w:pPr>
        <w:tabs>
          <w:tab w:val="center" w:pos="4680"/>
        </w:tabs>
        <w:autoSpaceDE w:val="0"/>
        <w:autoSpaceDN w:val="0"/>
        <w:adjustRightInd w:val="0"/>
        <w:spacing w:line="276" w:lineRule="auto"/>
        <w:rPr>
          <w:noProof/>
        </w:rPr>
      </w:pPr>
      <w:r w:rsidRPr="00C64567">
        <w:rPr>
          <w:noProof/>
        </w:rPr>
        <w:tab/>
      </w:r>
      <w:r w:rsidRPr="00C64567">
        <w:t xml:space="preserve">Submission Date: </w:t>
      </w:r>
      <w:r w:rsidRPr="00C64567" w:rsidR="00641C67">
        <w:t>0</w:t>
      </w:r>
      <w:r w:rsidRPr="00C64567" w:rsidR="008B3A38">
        <w:t>7</w:t>
      </w:r>
      <w:r w:rsidRPr="00C64567" w:rsidR="008C235E">
        <w:t>/</w:t>
      </w:r>
      <w:r w:rsidRPr="00C64567" w:rsidR="00271479">
        <w:t>2</w:t>
      </w:r>
      <w:r w:rsidRPr="00C64567" w:rsidR="00557512">
        <w:t>9</w:t>
      </w:r>
      <w:r w:rsidRPr="00C64567" w:rsidR="00BE1A48">
        <w:t>/</w:t>
      </w:r>
      <w:r w:rsidRPr="00C64567" w:rsidR="00641C67">
        <w:t>202</w:t>
      </w:r>
      <w:r w:rsidRPr="00C64567" w:rsidR="008B3A38">
        <w:t>2</w:t>
      </w:r>
    </w:p>
    <w:p w:rsidRPr="00C64567" w:rsidR="00DC57CC" w:rsidP="00557512" w:rsidRDefault="00DC57CC" w14:paraId="7D97BF6B" w14:textId="77777777"/>
    <w:p w:rsidRPr="00C64567" w:rsidR="00557512" w:rsidP="00557512" w:rsidRDefault="00820398" w14:paraId="0E774F9D" w14:textId="77777777">
      <w:pPr>
        <w:pStyle w:val="NormalWeb"/>
        <w:shd w:val="clear" w:color="auto" w:fill="FFFFFF"/>
        <w:spacing w:before="0" w:beforeAutospacing="0" w:after="0" w:afterAutospacing="0"/>
        <w:rPr>
          <w:bCs/>
        </w:rPr>
      </w:pPr>
      <w:r w:rsidRPr="00C64567">
        <w:rPr>
          <w:bCs/>
        </w:rPr>
        <w:t>CDC requests approval for a non-substantive change to OMB Control No. 0920-</w:t>
      </w:r>
      <w:r w:rsidRPr="00C64567" w:rsidR="008B3A38">
        <w:rPr>
          <w:bCs/>
        </w:rPr>
        <w:t>0</w:t>
      </w:r>
      <w:r w:rsidRPr="00C64567" w:rsidR="00557512">
        <w:rPr>
          <w:bCs/>
        </w:rPr>
        <w:t>0009</w:t>
      </w:r>
      <w:r w:rsidRPr="00C64567" w:rsidR="00BE21AD">
        <w:rPr>
          <w:bCs/>
        </w:rPr>
        <w:t>:</w:t>
      </w:r>
      <w:r w:rsidRPr="00C64567">
        <w:rPr>
          <w:bCs/>
        </w:rPr>
        <w:t xml:space="preserve"> </w:t>
      </w:r>
    </w:p>
    <w:p w:rsidRPr="00C64567" w:rsidR="00C23834" w:rsidP="00C23834" w:rsidRDefault="00557512" w14:paraId="7701E053" w14:textId="3F0CAB72">
      <w:pPr>
        <w:spacing w:line="276" w:lineRule="auto"/>
        <w:rPr>
          <w:color w:val="000000"/>
        </w:rPr>
      </w:pPr>
      <w:r w:rsidRPr="00C64567">
        <w:rPr>
          <w:bCs/>
          <w:color w:val="000000"/>
        </w:rPr>
        <w:t>National Disease Surveillance Program - I. Case Reports</w:t>
      </w:r>
      <w:r w:rsidRPr="00C64567" w:rsidR="00C23834">
        <w:rPr>
          <w:bCs/>
          <w:color w:val="000000"/>
        </w:rPr>
        <w:t xml:space="preserve">.  </w:t>
      </w:r>
    </w:p>
    <w:p w:rsidRPr="00C64567" w:rsidR="00820398" w:rsidP="00C23834" w:rsidRDefault="00C23834" w14:paraId="41975B5D" w14:textId="08A2F987">
      <w:pPr>
        <w:pStyle w:val="NormalWeb"/>
        <w:shd w:val="clear" w:color="auto" w:fill="FFFFFF"/>
        <w:spacing w:before="0" w:beforeAutospacing="0" w:after="225" w:afterAutospacing="0" w:line="300" w:lineRule="atLeast"/>
      </w:pPr>
      <w:r w:rsidRPr="00C64567">
        <w:rPr>
          <w:color w:val="000000"/>
        </w:rPr>
        <w:t xml:space="preserve">The current </w:t>
      </w:r>
      <w:r w:rsidRPr="00C64567">
        <w:rPr>
          <w:color w:val="000000"/>
        </w:rPr>
        <w:t xml:space="preserve">ICR covers surveillance activities for </w:t>
      </w:r>
      <w:r w:rsidRPr="00C64567">
        <w:rPr>
          <w:color w:val="000000"/>
        </w:rPr>
        <w:t>C</w:t>
      </w:r>
      <w:r w:rsidRPr="00C64567">
        <w:rPr>
          <w:color w:val="000000"/>
        </w:rPr>
        <w:t>reutzfeldt-Jakob Disease (CJD)</w:t>
      </w:r>
      <w:r w:rsidRPr="00C64567">
        <w:rPr>
          <w:color w:val="000000"/>
        </w:rPr>
        <w:t xml:space="preserve">, </w:t>
      </w:r>
      <w:r w:rsidRPr="00C64567">
        <w:rPr>
          <w:color w:val="000000"/>
        </w:rPr>
        <w:t>Reye Syndrome</w:t>
      </w:r>
      <w:r w:rsidRPr="00C64567">
        <w:rPr>
          <w:color w:val="333333"/>
        </w:rPr>
        <w:t xml:space="preserve">, </w:t>
      </w:r>
      <w:r w:rsidRPr="00C64567">
        <w:rPr>
          <w:color w:val="000000"/>
        </w:rPr>
        <w:t>Kawasaki syndrome</w:t>
      </w:r>
      <w:r w:rsidRPr="00C64567">
        <w:rPr>
          <w:color w:val="333333"/>
        </w:rPr>
        <w:t xml:space="preserve"> and </w:t>
      </w:r>
      <w:r w:rsidRPr="00C64567">
        <w:rPr>
          <w:color w:val="000000"/>
        </w:rPr>
        <w:t>Acute Flaccid Myelitis</w:t>
      </w:r>
      <w:r w:rsidR="00C64567">
        <w:rPr>
          <w:color w:val="000000"/>
        </w:rPr>
        <w:t xml:space="preserve"> (AFM)</w:t>
      </w:r>
      <w:r w:rsidRPr="00C64567">
        <w:rPr>
          <w:color w:val="000000"/>
        </w:rPr>
        <w:t xml:space="preserve">. </w:t>
      </w:r>
      <w:r w:rsidRPr="00C64567">
        <w:rPr>
          <w:bCs/>
          <w:color w:val="000000"/>
        </w:rPr>
        <w:t xml:space="preserve">CDC is requesting a non-substantive change request for the </w:t>
      </w:r>
      <w:r w:rsidRPr="00C64567">
        <w:rPr>
          <w:color w:val="000000"/>
        </w:rPr>
        <w:t xml:space="preserve">Acute Flaccid Myelitis </w:t>
      </w:r>
      <w:r w:rsidRPr="00C64567" w:rsidR="00C64567">
        <w:rPr>
          <w:color w:val="000000"/>
        </w:rPr>
        <w:t>P</w:t>
      </w:r>
      <w:r w:rsidRPr="00C64567">
        <w:rPr>
          <w:color w:val="000000"/>
        </w:rPr>
        <w:t xml:space="preserve">atient </w:t>
      </w:r>
      <w:r w:rsidRPr="00C64567" w:rsidR="00C64567">
        <w:rPr>
          <w:color w:val="000000"/>
        </w:rPr>
        <w:t>S</w:t>
      </w:r>
      <w:r w:rsidRPr="00C64567">
        <w:rPr>
          <w:color w:val="000000"/>
        </w:rPr>
        <w:t xml:space="preserve">ummary </w:t>
      </w:r>
      <w:r w:rsidRPr="00C64567" w:rsidR="00C64567">
        <w:rPr>
          <w:color w:val="000000"/>
        </w:rPr>
        <w:t>F</w:t>
      </w:r>
      <w:r w:rsidRPr="00C64567">
        <w:rPr>
          <w:color w:val="000000"/>
        </w:rPr>
        <w:t>orm</w:t>
      </w:r>
      <w:r w:rsidRPr="00C64567">
        <w:rPr>
          <w:color w:val="000000"/>
        </w:rPr>
        <w:t xml:space="preserve"> only</w:t>
      </w:r>
      <w:r w:rsidRPr="00C64567">
        <w:rPr>
          <w:color w:val="000000"/>
        </w:rPr>
        <w:t>.</w:t>
      </w:r>
      <w:r w:rsidRPr="00C64567">
        <w:rPr>
          <w:color w:val="000000"/>
        </w:rPr>
        <w:t xml:space="preserve">  </w:t>
      </w:r>
      <w:r w:rsidRPr="00C64567">
        <w:t xml:space="preserve">The overall changes to the form are minimal, therefore the estimates of annualized burden hours </w:t>
      </w:r>
      <w:r w:rsidRPr="00C64567">
        <w:rPr>
          <w:bCs/>
        </w:rPr>
        <w:t>remain the same.</w:t>
      </w:r>
      <w:r w:rsidRPr="00C64567">
        <w:rPr>
          <w:b/>
        </w:rPr>
        <w:t xml:space="preserve"> </w:t>
      </w:r>
      <w:r w:rsidRPr="00C64567">
        <w:t xml:space="preserve"> </w:t>
      </w:r>
    </w:p>
    <w:p w:rsidRPr="00C64567" w:rsidR="008C235E" w:rsidP="00820398" w:rsidRDefault="008C235E" w14:paraId="25CEB123" w14:textId="719645B1">
      <w:pPr>
        <w:autoSpaceDE w:val="0"/>
        <w:autoSpaceDN w:val="0"/>
        <w:adjustRightInd w:val="0"/>
        <w:spacing w:line="276" w:lineRule="auto"/>
        <w:rPr>
          <w:b/>
          <w:i/>
          <w:iCs/>
        </w:rPr>
      </w:pPr>
      <w:r w:rsidRPr="00C64567">
        <w:rPr>
          <w:b/>
          <w:i/>
          <w:iCs/>
        </w:rPr>
        <w:t>Justificatio</w:t>
      </w:r>
      <w:r w:rsidRPr="00C64567" w:rsidR="00C23834">
        <w:rPr>
          <w:b/>
          <w:i/>
          <w:iCs/>
        </w:rPr>
        <w:t>n</w:t>
      </w:r>
      <w:r w:rsidRPr="00C64567">
        <w:rPr>
          <w:b/>
          <w:i/>
          <w:iCs/>
        </w:rPr>
        <w:t xml:space="preserve"> for changes: </w:t>
      </w:r>
    </w:p>
    <w:p w:rsidRPr="00C64567" w:rsidR="00C23834" w:rsidP="00C23834" w:rsidRDefault="00C23834" w14:paraId="62C92FC8" w14:textId="77777777">
      <w:r w:rsidRPr="00C64567">
        <w:t>The enteroviruses responsible for acute flaccid myelitis (AFM) are different from poliovirus but are within the same virus family (</w:t>
      </w:r>
      <w:r w:rsidRPr="00C64567">
        <w:rPr>
          <w:i/>
          <w:iCs/>
        </w:rPr>
        <w:t>Picornaviridae</w:t>
      </w:r>
      <w:r w:rsidRPr="00C64567">
        <w:t xml:space="preserve">). Both AFM and polio can cause acute flaccid weakness that appears clinically similar and initially hard to distinguish without the additional data such as travel and polio vaccination history and testing of clinical specimens. </w:t>
      </w:r>
    </w:p>
    <w:p w:rsidRPr="00C64567" w:rsidR="00C23834" w:rsidP="00C23834" w:rsidRDefault="00C23834" w14:paraId="5B3AEA97" w14:textId="77777777">
      <w:pPr>
        <w:ind w:left="720"/>
      </w:pPr>
    </w:p>
    <w:p w:rsidRPr="00C64567" w:rsidR="00C23834" w:rsidP="00C23834" w:rsidRDefault="00C23834" w14:paraId="7E468203" w14:textId="2D599FA8">
      <w:r w:rsidRPr="00C64567">
        <w:t xml:space="preserve">Wild poliovirus was eliminated in the United States in 1979, and the last imported case occurred in 1993; however with disruptions and temporary suspension of many routine vaccination programs worldwide during the COVID-19 pandemic, ongoing challenges to public health and health care infrastructure, and international travel restrictions lifted, polio remains a threat in other parts of the world and an increased vigilance for possible cases of polio and rapid detection of polio into the US is critical. </w:t>
      </w:r>
    </w:p>
    <w:p w:rsidRPr="00C64567" w:rsidR="00C23834" w:rsidP="00C23834" w:rsidRDefault="00C23834" w14:paraId="71F6A127" w14:textId="77777777">
      <w:pPr>
        <w:ind w:left="720"/>
      </w:pPr>
    </w:p>
    <w:p w:rsidRPr="00C64567" w:rsidR="00C23834" w:rsidP="00C23834" w:rsidRDefault="00C23834" w14:paraId="1D913CF2" w14:textId="4F6A11D0">
      <w:r w:rsidRPr="00C64567">
        <w:t xml:space="preserve">On July 21, 2022 NYS Health Department confirmed a case of polio in an unvaccinated individual.  This case was initially reported through the national AFM surveillance system which </w:t>
      </w:r>
      <w:r w:rsidR="00C64567">
        <w:t>underscores</w:t>
      </w:r>
      <w:r w:rsidRPr="00C64567">
        <w:t xml:space="preserve"> the importance of collecting travel history and polio vaccination history in any suspected AFM case.</w:t>
      </w:r>
    </w:p>
    <w:p w:rsidRPr="00C64567" w:rsidR="00C23834" w:rsidP="00820398" w:rsidRDefault="00C23834" w14:paraId="190381BC" w14:textId="2A236D25">
      <w:pPr>
        <w:autoSpaceDE w:val="0"/>
        <w:autoSpaceDN w:val="0"/>
        <w:adjustRightInd w:val="0"/>
        <w:spacing w:line="276" w:lineRule="auto"/>
        <w:rPr>
          <w:b/>
          <w:i/>
          <w:iCs/>
        </w:rPr>
      </w:pPr>
    </w:p>
    <w:p w:rsidRPr="00C64567" w:rsidR="00C64567" w:rsidP="00C64567" w:rsidRDefault="00C64567" w14:paraId="471D16DA" w14:textId="77777777">
      <w:pPr>
        <w:pStyle w:val="xxmsonormal"/>
        <w:rPr>
          <w:rFonts w:ascii="Times New Roman" w:hAnsi="Times New Roman" w:cs="Times New Roman"/>
          <w:sz w:val="24"/>
          <w:szCs w:val="24"/>
        </w:rPr>
      </w:pPr>
      <w:r w:rsidRPr="00C64567">
        <w:rPr>
          <w:rStyle w:val="Strong"/>
          <w:rFonts w:ascii="Times New Roman" w:hAnsi="Times New Roman" w:cs="Times New Roman"/>
          <w:b w:val="0"/>
          <w:bCs w:val="0"/>
          <w:color w:val="000000"/>
          <w:sz w:val="24"/>
          <w:szCs w:val="24"/>
        </w:rPr>
        <w:t>Paralytic polio</w:t>
      </w:r>
      <w:r w:rsidRPr="00C64567">
        <w:rPr>
          <w:rStyle w:val="Strong"/>
          <w:rFonts w:ascii="Times New Roman" w:hAnsi="Times New Roman" w:cs="Times New Roman"/>
          <w:color w:val="000000"/>
          <w:sz w:val="24"/>
          <w:szCs w:val="24"/>
        </w:rPr>
        <w:t> </w:t>
      </w:r>
      <w:r w:rsidRPr="00C64567">
        <w:rPr>
          <w:rFonts w:ascii="Times New Roman" w:hAnsi="Times New Roman" w:cs="Times New Roman"/>
          <w:color w:val="000000"/>
          <w:sz w:val="24"/>
          <w:szCs w:val="24"/>
        </w:rPr>
        <w:t>has been classified as </w:t>
      </w:r>
      <w:r w:rsidRPr="00C64567">
        <w:rPr>
          <w:rStyle w:val="Strong"/>
          <w:rFonts w:ascii="Times New Roman" w:hAnsi="Times New Roman" w:cs="Times New Roman"/>
          <w:b w:val="0"/>
          <w:bCs w:val="0"/>
          <w:color w:val="000000"/>
          <w:sz w:val="24"/>
          <w:szCs w:val="24"/>
        </w:rPr>
        <w:t>“Immediately notifiable, Extremely Urgent,”</w:t>
      </w:r>
      <w:r w:rsidRPr="00C64567">
        <w:rPr>
          <w:rFonts w:ascii="Times New Roman" w:hAnsi="Times New Roman" w:cs="Times New Roman"/>
          <w:color w:val="000000"/>
          <w:sz w:val="24"/>
          <w:szCs w:val="24"/>
        </w:rPr>
        <w:t> which requires that local and state health departments contact CDC </w:t>
      </w:r>
      <w:r w:rsidRPr="00C64567">
        <w:rPr>
          <w:rStyle w:val="Strong"/>
          <w:rFonts w:ascii="Times New Roman" w:hAnsi="Times New Roman" w:cs="Times New Roman"/>
          <w:b w:val="0"/>
          <w:bCs w:val="0"/>
          <w:color w:val="000000"/>
          <w:sz w:val="24"/>
          <w:szCs w:val="24"/>
        </w:rPr>
        <w:t>within 4 hours</w:t>
      </w:r>
      <w:r w:rsidRPr="00C64567">
        <w:rPr>
          <w:rFonts w:ascii="Times New Roman" w:hAnsi="Times New Roman" w:cs="Times New Roman"/>
          <w:color w:val="000000"/>
          <w:sz w:val="24"/>
          <w:szCs w:val="24"/>
        </w:rPr>
        <w:t>.</w:t>
      </w:r>
    </w:p>
    <w:p w:rsidRPr="00C64567" w:rsidR="00C64567" w:rsidP="00C64567" w:rsidRDefault="00C64567" w14:paraId="42027DDD" w14:textId="77777777">
      <w:pPr>
        <w:pStyle w:val="NormalWeb"/>
        <w:shd w:val="clear" w:color="auto" w:fill="FFFFFF"/>
        <w:spacing w:before="0" w:beforeAutospacing="0"/>
        <w:rPr>
          <w:color w:val="000000"/>
        </w:rPr>
      </w:pPr>
      <w:r w:rsidRPr="00C64567">
        <w:rPr>
          <w:rStyle w:val="Strong"/>
          <w:b w:val="0"/>
          <w:bCs w:val="0"/>
          <w:color w:val="000000"/>
        </w:rPr>
        <w:t>Non-paralytic polio</w:t>
      </w:r>
      <w:r w:rsidRPr="00C64567">
        <w:rPr>
          <w:color w:val="000000"/>
        </w:rPr>
        <w:t> has been classified as </w:t>
      </w:r>
      <w:r w:rsidRPr="00C64567">
        <w:rPr>
          <w:rStyle w:val="Strong"/>
          <w:b w:val="0"/>
          <w:bCs w:val="0"/>
          <w:color w:val="000000"/>
        </w:rPr>
        <w:t>“Immediately notifiable, Urgent,”</w:t>
      </w:r>
      <w:r w:rsidRPr="00C64567">
        <w:rPr>
          <w:b/>
          <w:bCs/>
          <w:color w:val="000000"/>
        </w:rPr>
        <w:t> </w:t>
      </w:r>
      <w:r w:rsidRPr="00C64567">
        <w:rPr>
          <w:color w:val="000000"/>
        </w:rPr>
        <w:t>which requires that local and state health departments contact CDC </w:t>
      </w:r>
      <w:r w:rsidRPr="00C64567">
        <w:rPr>
          <w:rStyle w:val="Strong"/>
          <w:b w:val="0"/>
          <w:bCs w:val="0"/>
          <w:color w:val="000000"/>
        </w:rPr>
        <w:t>within 24 hours</w:t>
      </w:r>
      <w:r w:rsidRPr="00C64567">
        <w:rPr>
          <w:color w:val="000000"/>
        </w:rPr>
        <w:t>.</w:t>
      </w:r>
    </w:p>
    <w:p w:rsidRPr="00C64567" w:rsidR="009B7741" w:rsidP="009B7741" w:rsidRDefault="00BE1A48" w14:paraId="65F7BF32" w14:textId="14728D3F">
      <w:pPr>
        <w:spacing w:line="276" w:lineRule="auto"/>
        <w:rPr>
          <w:b/>
          <w:bCs/>
          <w:i/>
        </w:rPr>
      </w:pPr>
      <w:r w:rsidRPr="00C64567">
        <w:rPr>
          <w:b/>
          <w:bCs/>
          <w:i/>
        </w:rPr>
        <w:t>Burden:</w:t>
      </w:r>
    </w:p>
    <w:p w:rsidRPr="00C64567" w:rsidR="007D7FFA" w:rsidP="009B7741" w:rsidRDefault="00557512" w14:paraId="1C0AE879" w14:textId="63E2DCDC">
      <w:pPr>
        <w:spacing w:line="276" w:lineRule="auto"/>
      </w:pPr>
      <w:r w:rsidRPr="00C64567">
        <w:t>The overall</w:t>
      </w:r>
      <w:r w:rsidRPr="00C64567" w:rsidR="0058305E">
        <w:t xml:space="preserve"> changes to the form </w:t>
      </w:r>
      <w:r w:rsidRPr="00C64567">
        <w:t>are</w:t>
      </w:r>
      <w:r w:rsidRPr="00C64567" w:rsidR="0058305E">
        <w:t xml:space="preserve"> minimal, </w:t>
      </w:r>
      <w:r w:rsidRPr="00C64567">
        <w:t xml:space="preserve">therefore </w:t>
      </w:r>
      <w:r w:rsidRPr="00C64567" w:rsidR="0058305E">
        <w:t>the e</w:t>
      </w:r>
      <w:r w:rsidRPr="00C64567" w:rsidR="00BE1A48">
        <w:t>stimates of annualized burden hours for th</w:t>
      </w:r>
      <w:r w:rsidRPr="00C64567" w:rsidR="00D3542D">
        <w:t>is</w:t>
      </w:r>
      <w:r w:rsidRPr="00C64567" w:rsidR="00BE1A48">
        <w:t xml:space="preserve"> change request will </w:t>
      </w:r>
      <w:r w:rsidRPr="00C64567" w:rsidR="00C23834">
        <w:rPr>
          <w:bCs/>
        </w:rPr>
        <w:t>remain</w:t>
      </w:r>
      <w:r w:rsidRPr="00C64567" w:rsidR="00BE1A48">
        <w:rPr>
          <w:bCs/>
        </w:rPr>
        <w:t xml:space="preserve"> the same</w:t>
      </w:r>
      <w:r w:rsidRPr="00C64567" w:rsidR="00C23834">
        <w:rPr>
          <w:bCs/>
        </w:rPr>
        <w:t xml:space="preserve"> as the current OMB approval.</w:t>
      </w:r>
      <w:r w:rsidRPr="00C64567" w:rsidR="00C23834">
        <w:rPr>
          <w:b/>
        </w:rPr>
        <w:t xml:space="preserve"> </w:t>
      </w:r>
      <w:r w:rsidRPr="00C64567" w:rsidR="00BE1A48">
        <w:t xml:space="preserve"> </w:t>
      </w:r>
    </w:p>
    <w:p w:rsidRPr="00C64567" w:rsidR="007D7FFA" w:rsidP="007D7FFA" w:rsidRDefault="007D7FFA" w14:paraId="063C4FF4" w14:textId="77777777"/>
    <w:p w:rsidRPr="00C64567" w:rsidR="009B7741" w:rsidP="009B7741" w:rsidRDefault="009B7741" w14:paraId="4E963474" w14:textId="6F4B6AA2">
      <w:pPr>
        <w:spacing w:line="276" w:lineRule="auto"/>
      </w:pPr>
      <w:r w:rsidRPr="00C64567">
        <w:t xml:space="preserve">The burden estimate for the </w:t>
      </w:r>
      <w:r w:rsidRPr="00C23834" w:rsidR="00C64567">
        <w:rPr>
          <w:color w:val="000000"/>
        </w:rPr>
        <w:t>Acute Flaccid Myelitis</w:t>
      </w:r>
      <w:r w:rsidRPr="00C64567" w:rsidR="00C64567">
        <w:rPr>
          <w:color w:val="000000"/>
        </w:rPr>
        <w:t xml:space="preserve"> (AFM) Patient Summary Form</w:t>
      </w:r>
      <w:r w:rsidRPr="00C64567" w:rsidR="00C64567">
        <w:t xml:space="preserve"> </w:t>
      </w:r>
      <w:r w:rsidRPr="00C64567">
        <w:t xml:space="preserve">included in OMB Control No. </w:t>
      </w:r>
      <w:r w:rsidRPr="00C64567" w:rsidR="00945451">
        <w:t>0920-</w:t>
      </w:r>
      <w:r w:rsidRPr="00C64567" w:rsidR="00557512">
        <w:t>0009</w:t>
      </w:r>
      <w:r w:rsidRPr="00C64567" w:rsidR="00945451">
        <w:t xml:space="preserve"> </w:t>
      </w:r>
      <w:r w:rsidRPr="00C64567">
        <w:t>is</w:t>
      </w:r>
      <w:r w:rsidRPr="00C64567" w:rsidR="00557512">
        <w:t xml:space="preserve"> </w:t>
      </w:r>
      <w:r w:rsidRPr="00C64567" w:rsidR="00C64567">
        <w:t xml:space="preserve">80 </w:t>
      </w:r>
      <w:r w:rsidRPr="00C64567" w:rsidR="00557512">
        <w:t>hours</w:t>
      </w:r>
      <w:r w:rsidRPr="00C64567">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3"/>
        <w:gridCol w:w="1684"/>
        <w:gridCol w:w="1585"/>
        <w:gridCol w:w="1577"/>
        <w:gridCol w:w="1557"/>
        <w:gridCol w:w="1535"/>
      </w:tblGrid>
      <w:tr w:rsidRPr="00C64567" w:rsidR="00945451" w:rsidTr="00C64567" w14:paraId="2112BACE" w14:textId="77777777">
        <w:trPr>
          <w:trHeight w:val="962"/>
        </w:trPr>
        <w:tc>
          <w:tcPr>
            <w:tcW w:w="1638" w:type="dxa"/>
            <w:tcBorders>
              <w:top w:val="single" w:color="auto" w:sz="4" w:space="0"/>
              <w:left w:val="single" w:color="auto" w:sz="4" w:space="0"/>
              <w:bottom w:val="single" w:color="auto" w:sz="4" w:space="0"/>
              <w:right w:val="single" w:color="auto" w:sz="4" w:space="0"/>
            </w:tcBorders>
            <w:vAlign w:val="center"/>
            <w:hideMark/>
          </w:tcPr>
          <w:p w:rsidRPr="00C64567" w:rsidR="00945451" w:rsidP="00A314DE" w:rsidRDefault="00945451" w14:paraId="1632521D" w14:textId="77777777">
            <w:pPr>
              <w:jc w:val="center"/>
              <w:outlineLvl w:val="0"/>
              <w:rPr>
                <w:b/>
                <w:sz w:val="23"/>
                <w:szCs w:val="23"/>
              </w:rPr>
            </w:pPr>
            <w:bookmarkStart w:name="_Toc455558083" w:id="0"/>
            <w:r w:rsidRPr="00C64567">
              <w:rPr>
                <w:b/>
                <w:sz w:val="23"/>
                <w:szCs w:val="23"/>
              </w:rPr>
              <w:t>Type of Respondent</w:t>
            </w:r>
            <w:bookmarkEnd w:id="0"/>
            <w:r w:rsidRPr="00C64567">
              <w:rPr>
                <w:b/>
                <w:sz w:val="23"/>
                <w:szCs w:val="23"/>
              </w:rPr>
              <w:t>s</w:t>
            </w:r>
          </w:p>
        </w:tc>
        <w:tc>
          <w:tcPr>
            <w:tcW w:w="1684" w:type="dxa"/>
            <w:tcBorders>
              <w:top w:val="single" w:color="auto" w:sz="4" w:space="0"/>
              <w:left w:val="single" w:color="auto" w:sz="4" w:space="0"/>
              <w:bottom w:val="single" w:color="auto" w:sz="4" w:space="0"/>
              <w:right w:val="single" w:color="auto" w:sz="4" w:space="0"/>
            </w:tcBorders>
            <w:vAlign w:val="center"/>
            <w:hideMark/>
          </w:tcPr>
          <w:p w:rsidRPr="00C64567" w:rsidR="00945451" w:rsidP="00A314DE" w:rsidRDefault="00945451" w14:paraId="2384E3BA" w14:textId="77777777">
            <w:pPr>
              <w:jc w:val="center"/>
              <w:outlineLvl w:val="0"/>
              <w:rPr>
                <w:b/>
                <w:sz w:val="23"/>
                <w:szCs w:val="23"/>
              </w:rPr>
            </w:pPr>
            <w:bookmarkStart w:name="_Toc455558084" w:id="1"/>
            <w:r w:rsidRPr="00C64567">
              <w:rPr>
                <w:b/>
                <w:sz w:val="23"/>
                <w:szCs w:val="23"/>
              </w:rPr>
              <w:t>Form</w:t>
            </w:r>
            <w:bookmarkStart w:name="_Toc455558085" w:id="2"/>
            <w:bookmarkEnd w:id="1"/>
            <w:r w:rsidRPr="00C64567">
              <w:rPr>
                <w:b/>
                <w:sz w:val="23"/>
                <w:szCs w:val="23"/>
              </w:rPr>
              <w:t xml:space="preserve"> Name</w:t>
            </w:r>
            <w:bookmarkEnd w:id="2"/>
          </w:p>
        </w:tc>
        <w:tc>
          <w:tcPr>
            <w:tcW w:w="1585" w:type="dxa"/>
            <w:tcBorders>
              <w:top w:val="single" w:color="auto" w:sz="4" w:space="0"/>
              <w:left w:val="single" w:color="auto" w:sz="4" w:space="0"/>
              <w:bottom w:val="single" w:color="auto" w:sz="4" w:space="0"/>
              <w:right w:val="single" w:color="auto" w:sz="4" w:space="0"/>
            </w:tcBorders>
            <w:vAlign w:val="center"/>
            <w:hideMark/>
          </w:tcPr>
          <w:p w:rsidRPr="00C64567" w:rsidR="00945451" w:rsidP="00A314DE" w:rsidRDefault="00945451" w14:paraId="3C210B18" w14:textId="77777777">
            <w:pPr>
              <w:jc w:val="center"/>
              <w:outlineLvl w:val="0"/>
              <w:rPr>
                <w:b/>
                <w:sz w:val="23"/>
                <w:szCs w:val="23"/>
              </w:rPr>
            </w:pPr>
            <w:bookmarkStart w:name="_Toc455558086" w:id="3"/>
            <w:r w:rsidRPr="00C64567">
              <w:rPr>
                <w:b/>
                <w:sz w:val="23"/>
                <w:szCs w:val="23"/>
              </w:rPr>
              <w:t>No. of Respondents</w:t>
            </w:r>
            <w:bookmarkEnd w:id="3"/>
          </w:p>
        </w:tc>
        <w:tc>
          <w:tcPr>
            <w:tcW w:w="1577" w:type="dxa"/>
            <w:tcBorders>
              <w:top w:val="single" w:color="auto" w:sz="4" w:space="0"/>
              <w:left w:val="single" w:color="auto" w:sz="4" w:space="0"/>
              <w:bottom w:val="single" w:color="auto" w:sz="4" w:space="0"/>
              <w:right w:val="single" w:color="auto" w:sz="4" w:space="0"/>
            </w:tcBorders>
            <w:vAlign w:val="center"/>
            <w:hideMark/>
          </w:tcPr>
          <w:p w:rsidRPr="00C64567" w:rsidR="00945451" w:rsidP="00A314DE" w:rsidRDefault="00945451" w14:paraId="5AB37E38" w14:textId="77777777">
            <w:pPr>
              <w:jc w:val="center"/>
              <w:outlineLvl w:val="0"/>
              <w:rPr>
                <w:b/>
                <w:sz w:val="23"/>
                <w:szCs w:val="23"/>
              </w:rPr>
            </w:pPr>
            <w:bookmarkStart w:name="_Toc455558087" w:id="4"/>
            <w:r w:rsidRPr="00C64567">
              <w:rPr>
                <w:b/>
                <w:sz w:val="23"/>
                <w:szCs w:val="23"/>
              </w:rPr>
              <w:t xml:space="preserve">No. </w:t>
            </w:r>
            <w:bookmarkStart w:name="_Toc455558088" w:id="5"/>
            <w:bookmarkEnd w:id="4"/>
            <w:r w:rsidRPr="00C64567">
              <w:rPr>
                <w:b/>
                <w:sz w:val="23"/>
                <w:szCs w:val="23"/>
              </w:rPr>
              <w:t>of Responses per Respondent</w:t>
            </w:r>
            <w:bookmarkEnd w:id="5"/>
          </w:p>
        </w:tc>
        <w:tc>
          <w:tcPr>
            <w:tcW w:w="1557" w:type="dxa"/>
            <w:tcBorders>
              <w:top w:val="single" w:color="auto" w:sz="4" w:space="0"/>
              <w:left w:val="single" w:color="auto" w:sz="4" w:space="0"/>
              <w:bottom w:val="single" w:color="auto" w:sz="4" w:space="0"/>
              <w:right w:val="single" w:color="auto" w:sz="4" w:space="0"/>
            </w:tcBorders>
            <w:vAlign w:val="center"/>
            <w:hideMark/>
          </w:tcPr>
          <w:p w:rsidRPr="00C64567" w:rsidR="00945451" w:rsidP="00A314DE" w:rsidRDefault="00945451" w14:paraId="32FE16C4" w14:textId="77777777">
            <w:pPr>
              <w:jc w:val="center"/>
              <w:outlineLvl w:val="0"/>
              <w:rPr>
                <w:b/>
                <w:sz w:val="23"/>
                <w:szCs w:val="23"/>
              </w:rPr>
            </w:pPr>
            <w:bookmarkStart w:name="_Toc455558089" w:id="6"/>
            <w:r w:rsidRPr="00C64567">
              <w:rPr>
                <w:b/>
                <w:sz w:val="23"/>
                <w:szCs w:val="23"/>
              </w:rPr>
              <w:t>Avg. Burden per Response</w:t>
            </w:r>
            <w:bookmarkEnd w:id="6"/>
          </w:p>
          <w:p w:rsidRPr="00C64567" w:rsidR="00945451" w:rsidP="00A314DE" w:rsidRDefault="00945451" w14:paraId="58BC30AC" w14:textId="77777777">
            <w:pPr>
              <w:jc w:val="center"/>
              <w:outlineLvl w:val="0"/>
              <w:rPr>
                <w:b/>
                <w:sz w:val="23"/>
                <w:szCs w:val="23"/>
              </w:rPr>
            </w:pPr>
            <w:bookmarkStart w:name="_Toc455558090" w:id="7"/>
            <w:r w:rsidRPr="00C64567">
              <w:rPr>
                <w:b/>
                <w:sz w:val="23"/>
                <w:szCs w:val="23"/>
              </w:rPr>
              <w:t>(Hours)</w:t>
            </w:r>
            <w:bookmarkEnd w:id="7"/>
          </w:p>
        </w:tc>
        <w:tc>
          <w:tcPr>
            <w:tcW w:w="1535" w:type="dxa"/>
            <w:tcBorders>
              <w:top w:val="single" w:color="auto" w:sz="4" w:space="0"/>
              <w:left w:val="single" w:color="auto" w:sz="4" w:space="0"/>
              <w:bottom w:val="single" w:color="auto" w:sz="4" w:space="0"/>
              <w:right w:val="single" w:color="auto" w:sz="4" w:space="0"/>
            </w:tcBorders>
            <w:vAlign w:val="center"/>
            <w:hideMark/>
          </w:tcPr>
          <w:p w:rsidRPr="00C64567" w:rsidR="00945451" w:rsidP="00A314DE" w:rsidRDefault="00945451" w14:paraId="46A41DA9" w14:textId="77777777">
            <w:pPr>
              <w:jc w:val="center"/>
              <w:outlineLvl w:val="0"/>
              <w:rPr>
                <w:b/>
                <w:sz w:val="23"/>
                <w:szCs w:val="23"/>
              </w:rPr>
            </w:pPr>
            <w:bookmarkStart w:name="_Toc455558091" w:id="8"/>
            <w:r w:rsidRPr="00C64567">
              <w:rPr>
                <w:b/>
                <w:sz w:val="23"/>
                <w:szCs w:val="23"/>
              </w:rPr>
              <w:t>Total Burden (Hours</w:t>
            </w:r>
            <w:bookmarkEnd w:id="8"/>
            <w:r w:rsidRPr="00C64567">
              <w:rPr>
                <w:b/>
                <w:sz w:val="23"/>
                <w:szCs w:val="23"/>
              </w:rPr>
              <w:t>)</w:t>
            </w:r>
          </w:p>
        </w:tc>
      </w:tr>
      <w:tr w:rsidRPr="00C64567" w:rsidR="00945451" w:rsidTr="00A314DE" w14:paraId="5C92B0C2" w14:textId="77777777">
        <w:tc>
          <w:tcPr>
            <w:tcW w:w="1638" w:type="dxa"/>
            <w:tcBorders>
              <w:left w:val="single" w:color="auto" w:sz="4" w:space="0"/>
              <w:bottom w:val="single" w:color="auto" w:sz="4" w:space="0"/>
              <w:right w:val="single" w:color="auto" w:sz="4" w:space="0"/>
            </w:tcBorders>
            <w:hideMark/>
          </w:tcPr>
          <w:p w:rsidRPr="00C64567" w:rsidR="00945451" w:rsidP="00A314DE" w:rsidRDefault="00C23834" w14:paraId="7190C1E6" w14:textId="6AEB29B3">
            <w:pPr>
              <w:outlineLvl w:val="0"/>
            </w:pPr>
            <w:r w:rsidRPr="00C64567">
              <w:rPr>
                <w:color w:val="000000"/>
                <w:shd w:val="clear" w:color="auto" w:fill="FFFFFF"/>
              </w:rPr>
              <w:t>Epidemiologist</w:t>
            </w:r>
          </w:p>
        </w:tc>
        <w:tc>
          <w:tcPr>
            <w:tcW w:w="1684" w:type="dxa"/>
            <w:tcBorders>
              <w:top w:val="single" w:color="auto" w:sz="4" w:space="0"/>
              <w:left w:val="single" w:color="auto" w:sz="4" w:space="0"/>
              <w:bottom w:val="single" w:color="auto" w:sz="4" w:space="0"/>
              <w:right w:val="single" w:color="auto" w:sz="4" w:space="0"/>
            </w:tcBorders>
            <w:hideMark/>
          </w:tcPr>
          <w:p w:rsidRPr="00C64567" w:rsidR="00945451" w:rsidP="00A314DE" w:rsidRDefault="00C23834" w14:paraId="596B88EB" w14:textId="0D6873BE">
            <w:pPr>
              <w:jc w:val="center"/>
              <w:outlineLvl w:val="0"/>
            </w:pPr>
            <w:r w:rsidRPr="00C23834">
              <w:rPr>
                <w:color w:val="000000"/>
              </w:rPr>
              <w:t>Acute Flaccid Myelitis</w:t>
            </w:r>
            <w:r w:rsidRPr="00C64567">
              <w:rPr>
                <w:color w:val="000000"/>
              </w:rPr>
              <w:t xml:space="preserve"> </w:t>
            </w:r>
            <w:r w:rsidRPr="00C64567" w:rsidR="00C64567">
              <w:rPr>
                <w:color w:val="000000"/>
              </w:rPr>
              <w:t xml:space="preserve">(AFM) </w:t>
            </w:r>
            <w:r w:rsidRPr="00C64567">
              <w:rPr>
                <w:color w:val="000000"/>
              </w:rPr>
              <w:t>Patient Summary Form</w:t>
            </w:r>
          </w:p>
        </w:tc>
        <w:tc>
          <w:tcPr>
            <w:tcW w:w="1585" w:type="dxa"/>
            <w:tcBorders>
              <w:top w:val="single" w:color="auto" w:sz="4" w:space="0"/>
              <w:left w:val="single" w:color="auto" w:sz="4" w:space="0"/>
              <w:bottom w:val="single" w:color="auto" w:sz="4" w:space="0"/>
              <w:right w:val="single" w:color="auto" w:sz="4" w:space="0"/>
            </w:tcBorders>
            <w:hideMark/>
          </w:tcPr>
          <w:p w:rsidRPr="00C64567" w:rsidR="00945451" w:rsidP="00C23834" w:rsidRDefault="00C23834" w14:paraId="0D707CA9" w14:textId="61306067">
            <w:pPr>
              <w:outlineLvl w:val="0"/>
            </w:pPr>
            <w:r w:rsidRPr="00C64567">
              <w:t>100</w:t>
            </w:r>
          </w:p>
        </w:tc>
        <w:tc>
          <w:tcPr>
            <w:tcW w:w="1577" w:type="dxa"/>
            <w:tcBorders>
              <w:top w:val="single" w:color="auto" w:sz="4" w:space="0"/>
              <w:left w:val="single" w:color="auto" w:sz="4" w:space="0"/>
              <w:bottom w:val="single" w:color="auto" w:sz="4" w:space="0"/>
              <w:right w:val="single" w:color="auto" w:sz="4" w:space="0"/>
            </w:tcBorders>
            <w:hideMark/>
          </w:tcPr>
          <w:p w:rsidRPr="00C64567" w:rsidR="00945451" w:rsidP="00A314DE" w:rsidRDefault="00C23834" w14:paraId="2F6B1857" w14:textId="28A43FC6">
            <w:pPr>
              <w:jc w:val="center"/>
              <w:outlineLvl w:val="0"/>
            </w:pPr>
            <w:r w:rsidRPr="00C64567">
              <w:t>4</w:t>
            </w:r>
          </w:p>
        </w:tc>
        <w:tc>
          <w:tcPr>
            <w:tcW w:w="1557" w:type="dxa"/>
            <w:tcBorders>
              <w:top w:val="single" w:color="auto" w:sz="4" w:space="0"/>
              <w:left w:val="single" w:color="auto" w:sz="4" w:space="0"/>
              <w:bottom w:val="single" w:color="auto" w:sz="4" w:space="0"/>
              <w:right w:val="single" w:color="auto" w:sz="4" w:space="0"/>
            </w:tcBorders>
            <w:hideMark/>
          </w:tcPr>
          <w:p w:rsidRPr="00C64567" w:rsidR="00945451" w:rsidP="00A314DE" w:rsidRDefault="00C23834" w14:paraId="3A919D3E" w14:textId="00145D6A">
            <w:pPr>
              <w:jc w:val="center"/>
              <w:outlineLvl w:val="0"/>
            </w:pPr>
            <w:r w:rsidRPr="00C64567">
              <w:t>12/60</w:t>
            </w:r>
          </w:p>
        </w:tc>
        <w:tc>
          <w:tcPr>
            <w:tcW w:w="1535" w:type="dxa"/>
            <w:tcBorders>
              <w:top w:val="single" w:color="auto" w:sz="4" w:space="0"/>
              <w:left w:val="single" w:color="auto" w:sz="4" w:space="0"/>
              <w:bottom w:val="single" w:color="auto" w:sz="4" w:space="0"/>
              <w:right w:val="single" w:color="auto" w:sz="4" w:space="0"/>
            </w:tcBorders>
            <w:hideMark/>
          </w:tcPr>
          <w:p w:rsidRPr="00C64567" w:rsidR="00945451" w:rsidP="00A314DE" w:rsidRDefault="00C23834" w14:paraId="7F4A32FB" w14:textId="10C1CFA6">
            <w:pPr>
              <w:jc w:val="right"/>
              <w:outlineLvl w:val="0"/>
            </w:pPr>
            <w:r w:rsidRPr="00C64567">
              <w:t>80</w:t>
            </w:r>
          </w:p>
        </w:tc>
      </w:tr>
      <w:tr w:rsidRPr="00C64567" w:rsidR="00945451" w:rsidTr="00A314DE" w14:paraId="2D1D0528" w14:textId="77777777">
        <w:tc>
          <w:tcPr>
            <w:tcW w:w="1638" w:type="dxa"/>
            <w:tcBorders>
              <w:top w:val="single" w:color="auto" w:sz="4" w:space="0"/>
              <w:left w:val="single" w:color="auto" w:sz="4" w:space="0"/>
              <w:bottom w:val="single" w:color="auto" w:sz="4" w:space="0"/>
              <w:right w:val="nil"/>
            </w:tcBorders>
            <w:hideMark/>
          </w:tcPr>
          <w:p w:rsidRPr="00C64567" w:rsidR="00945451" w:rsidP="00A314DE" w:rsidRDefault="00945451" w14:paraId="0293D9C6" w14:textId="77777777">
            <w:pPr>
              <w:outlineLvl w:val="0"/>
              <w:rPr>
                <w:b/>
              </w:rPr>
            </w:pPr>
            <w:bookmarkStart w:name="_Toc455558104" w:id="9"/>
            <w:r w:rsidRPr="00C64567">
              <w:rPr>
                <w:b/>
              </w:rPr>
              <w:t>Total</w:t>
            </w:r>
            <w:bookmarkEnd w:id="9"/>
            <w:r w:rsidRPr="00C64567">
              <w:rPr>
                <w:b/>
              </w:rPr>
              <w:t xml:space="preserve"> (Hours)</w:t>
            </w:r>
          </w:p>
        </w:tc>
        <w:tc>
          <w:tcPr>
            <w:tcW w:w="1684" w:type="dxa"/>
            <w:tcBorders>
              <w:top w:val="single" w:color="auto" w:sz="4" w:space="0"/>
              <w:left w:val="nil"/>
              <w:bottom w:val="single" w:color="auto" w:sz="4" w:space="0"/>
              <w:right w:val="nil"/>
            </w:tcBorders>
          </w:tcPr>
          <w:p w:rsidRPr="00C64567" w:rsidR="00945451" w:rsidP="00A314DE" w:rsidRDefault="00945451" w14:paraId="7D16257E" w14:textId="77777777">
            <w:pPr>
              <w:jc w:val="center"/>
              <w:outlineLvl w:val="0"/>
            </w:pPr>
          </w:p>
        </w:tc>
        <w:tc>
          <w:tcPr>
            <w:tcW w:w="1585" w:type="dxa"/>
            <w:tcBorders>
              <w:top w:val="single" w:color="auto" w:sz="4" w:space="0"/>
              <w:left w:val="nil"/>
              <w:bottom w:val="single" w:color="auto" w:sz="4" w:space="0"/>
              <w:right w:val="nil"/>
            </w:tcBorders>
          </w:tcPr>
          <w:p w:rsidRPr="00C64567" w:rsidR="00945451" w:rsidP="00A314DE" w:rsidRDefault="00945451" w14:paraId="55A94531" w14:textId="77777777">
            <w:pPr>
              <w:jc w:val="center"/>
              <w:outlineLvl w:val="0"/>
            </w:pPr>
          </w:p>
        </w:tc>
        <w:tc>
          <w:tcPr>
            <w:tcW w:w="1577" w:type="dxa"/>
            <w:tcBorders>
              <w:top w:val="single" w:color="auto" w:sz="4" w:space="0"/>
              <w:left w:val="nil"/>
              <w:bottom w:val="single" w:color="auto" w:sz="4" w:space="0"/>
              <w:right w:val="nil"/>
            </w:tcBorders>
          </w:tcPr>
          <w:p w:rsidRPr="00C64567" w:rsidR="00945451" w:rsidP="00A314DE" w:rsidRDefault="00945451" w14:paraId="59D0414A" w14:textId="77777777">
            <w:pPr>
              <w:jc w:val="center"/>
              <w:outlineLvl w:val="0"/>
            </w:pPr>
          </w:p>
        </w:tc>
        <w:tc>
          <w:tcPr>
            <w:tcW w:w="1557" w:type="dxa"/>
            <w:tcBorders>
              <w:top w:val="single" w:color="auto" w:sz="4" w:space="0"/>
              <w:left w:val="nil"/>
              <w:bottom w:val="single" w:color="auto" w:sz="4" w:space="0"/>
              <w:right w:val="nil"/>
            </w:tcBorders>
            <w:hideMark/>
          </w:tcPr>
          <w:p w:rsidRPr="00C64567" w:rsidR="00945451" w:rsidP="00A314DE" w:rsidRDefault="00945451" w14:paraId="2565A194" w14:textId="77777777">
            <w:pPr>
              <w:jc w:val="center"/>
              <w:outlineLvl w:val="0"/>
            </w:pPr>
          </w:p>
        </w:tc>
        <w:tc>
          <w:tcPr>
            <w:tcW w:w="1535" w:type="dxa"/>
            <w:tcBorders>
              <w:top w:val="single" w:color="auto" w:sz="4" w:space="0"/>
              <w:left w:val="nil"/>
              <w:bottom w:val="single" w:color="auto" w:sz="4" w:space="0"/>
              <w:right w:val="single" w:color="auto" w:sz="4" w:space="0"/>
            </w:tcBorders>
            <w:hideMark/>
          </w:tcPr>
          <w:p w:rsidRPr="00C64567" w:rsidR="00945451" w:rsidP="00A314DE" w:rsidRDefault="00C23834" w14:paraId="46F4819B" w14:textId="5CB0E9CC">
            <w:pPr>
              <w:jc w:val="right"/>
              <w:outlineLvl w:val="0"/>
              <w:rPr>
                <w:b/>
              </w:rPr>
            </w:pPr>
            <w:r w:rsidRPr="00C64567">
              <w:rPr>
                <w:b/>
              </w:rPr>
              <w:t>80</w:t>
            </w:r>
          </w:p>
        </w:tc>
      </w:tr>
    </w:tbl>
    <w:p w:rsidRPr="00C64567" w:rsidR="00BE1A48" w:rsidP="009B7741" w:rsidRDefault="00BE1A48" w14:paraId="75003708" w14:textId="77777777">
      <w:pPr>
        <w:spacing w:line="276" w:lineRule="auto"/>
        <w:rPr>
          <w:u w:val="single"/>
        </w:rPr>
      </w:pPr>
    </w:p>
    <w:p w:rsidRPr="00C64567" w:rsidR="003C7BFF" w:rsidP="00557512" w:rsidRDefault="00557512" w14:paraId="4369BF2F" w14:textId="77777777">
      <w:pPr>
        <w:rPr>
          <w:b/>
          <w:bCs/>
          <w:i/>
        </w:rPr>
      </w:pPr>
      <w:r w:rsidRPr="00C64567">
        <w:rPr>
          <w:b/>
          <w:bCs/>
          <w:i/>
        </w:rPr>
        <w:t>De</w:t>
      </w:r>
      <w:r w:rsidRPr="00C64567" w:rsidR="003C7BFF">
        <w:rPr>
          <w:b/>
          <w:bCs/>
          <w:i/>
        </w:rPr>
        <w:t>scription of Changes to forms that do not pose burden</w:t>
      </w:r>
      <w:r w:rsidRPr="00C64567" w:rsidR="00B713A3">
        <w:rPr>
          <w:b/>
          <w:bCs/>
          <w:i/>
        </w:rPr>
        <w:t xml:space="preserve"> to the public</w:t>
      </w:r>
    </w:p>
    <w:p w:rsidRPr="00C64567" w:rsidR="00C23834" w:rsidP="00557512" w:rsidRDefault="00C23834" w14:paraId="6662ACA5" w14:textId="77777777">
      <w:pPr>
        <w:rPr>
          <w:b/>
          <w:bCs/>
          <w:i/>
        </w:rPr>
      </w:pPr>
    </w:p>
    <w:p w:rsidRPr="00C64567" w:rsidR="00C23834" w:rsidP="00C23834" w:rsidRDefault="00C23834" w14:paraId="544A271C" w14:textId="380F1812">
      <w:pPr>
        <w:pStyle w:val="ListParagraph"/>
        <w:numPr>
          <w:ilvl w:val="0"/>
          <w:numId w:val="42"/>
        </w:numPr>
        <w:spacing w:line="276" w:lineRule="auto"/>
        <w:contextualSpacing w:val="0"/>
      </w:pPr>
      <w:r w:rsidRPr="00C64567">
        <w:t>New questions ha</w:t>
      </w:r>
      <w:r w:rsidRPr="00C64567">
        <w:t>ve</w:t>
      </w:r>
      <w:r w:rsidRPr="00C64567">
        <w:t xml:space="preserve"> been added (Question 28 and 28a) to collect information on patient travel history 30 days before the onset of limb weakness. </w:t>
      </w:r>
    </w:p>
    <w:p w:rsidRPr="00C64567" w:rsidR="00C23834" w:rsidP="00C23834" w:rsidRDefault="00C23834" w14:paraId="3BCB43AD" w14:textId="77777777">
      <w:pPr>
        <w:pStyle w:val="ListParagraph"/>
        <w:numPr>
          <w:ilvl w:val="0"/>
          <w:numId w:val="42"/>
        </w:numPr>
        <w:spacing w:line="276" w:lineRule="auto"/>
        <w:contextualSpacing w:val="0"/>
      </w:pPr>
      <w:r w:rsidRPr="00C64567">
        <w:t xml:space="preserve">New questions have been added (questions 29, 29a, 29b, and 29c) to collect information on patient polio vaccination history including the number of doses. </w:t>
      </w:r>
    </w:p>
    <w:p w:rsidRPr="00C64567" w:rsidR="00C23834" w:rsidP="00C23834" w:rsidRDefault="00C23834" w14:paraId="7FF009E7" w14:textId="77777777">
      <w:pPr>
        <w:pStyle w:val="ListParagraph"/>
        <w:numPr>
          <w:ilvl w:val="0"/>
          <w:numId w:val="42"/>
        </w:numPr>
        <w:spacing w:line="276" w:lineRule="auto"/>
        <w:contextualSpacing w:val="0"/>
      </w:pPr>
      <w:r w:rsidRPr="00C64567">
        <w:t>Original questions 28-43 have been renumbered to reflect the addition of new questions (questions: 28, 28a, 29, 29a, 29b, and 29c)</w:t>
      </w:r>
    </w:p>
    <w:p w:rsidRPr="00C64567" w:rsidR="00C23834" w:rsidP="00C23834" w:rsidRDefault="00C23834" w14:paraId="36B8DCC1" w14:textId="0996C87C">
      <w:pPr>
        <w:pStyle w:val="ListParagraph"/>
        <w:numPr>
          <w:ilvl w:val="0"/>
          <w:numId w:val="42"/>
        </w:numPr>
        <w:spacing w:line="276" w:lineRule="auto"/>
        <w:contextualSpacing w:val="0"/>
      </w:pPr>
      <w:r w:rsidRPr="00C64567">
        <w:t>The instruction for Acute Flaccid Myelitis outcome follow</w:t>
      </w:r>
      <w:r w:rsidRPr="00C64567">
        <w:t>-</w:t>
      </w:r>
      <w:r w:rsidRPr="00C64567">
        <w:t>up for 6 months and 12 months have been deleted. The follow</w:t>
      </w:r>
      <w:r w:rsidRPr="00C64567">
        <w:t>-</w:t>
      </w:r>
      <w:r w:rsidRPr="00C64567">
        <w:t xml:space="preserve">up form will only need to be completed at 60 days.   </w:t>
      </w:r>
    </w:p>
    <w:p w:rsidRPr="00C64567" w:rsidR="00C23834" w:rsidP="00C23834" w:rsidRDefault="00C23834" w14:paraId="6CF99913" w14:textId="77777777">
      <w:pPr>
        <w:pStyle w:val="ListParagraph"/>
        <w:numPr>
          <w:ilvl w:val="0"/>
          <w:numId w:val="42"/>
        </w:numPr>
        <w:spacing w:line="276" w:lineRule="auto"/>
        <w:contextualSpacing w:val="0"/>
      </w:pPr>
      <w:r w:rsidRPr="00C64567">
        <w:t>The websites for “CSTE’s Revision to the Standardized Case Definition, Case Classification, and Public Health Reporting for Acute Flaccid Myelitis” has been updated with the correct web link.</w:t>
      </w:r>
    </w:p>
    <w:p w:rsidRPr="00C64567" w:rsidR="00C23834" w:rsidP="00557512" w:rsidRDefault="00C23834" w14:paraId="5ADC1D24" w14:textId="4AD84883">
      <w:pPr>
        <w:rPr>
          <w:b/>
          <w:bCs/>
          <w:i/>
        </w:rPr>
        <w:sectPr w:rsidRPr="00C64567" w:rsidR="00C23834" w:rsidSect="003C7BFF">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pPr>
    </w:p>
    <w:p w:rsidRPr="00C64567" w:rsidR="003C7BFF" w:rsidP="00557512" w:rsidRDefault="003C7BFF" w14:paraId="0119EE6B" w14:textId="77777777">
      <w:pPr>
        <w:rPr>
          <w:i/>
        </w:rPr>
      </w:pPr>
    </w:p>
    <w:sectPr w:rsidRPr="00C64567" w:rsidR="003C7BFF" w:rsidSect="003C7BFF">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B89A" w14:textId="77777777" w:rsidR="0025410E" w:rsidRDefault="0025410E" w:rsidP="008B5D54">
      <w:r>
        <w:separator/>
      </w:r>
    </w:p>
  </w:endnote>
  <w:endnote w:type="continuationSeparator" w:id="0">
    <w:p w14:paraId="07904BC8" w14:textId="77777777" w:rsidR="0025410E" w:rsidRDefault="0025410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72C7" w14:textId="77777777" w:rsidR="00C64567" w:rsidRDefault="00C6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E815" w14:textId="77777777" w:rsidR="00C64567" w:rsidRDefault="00C64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F860" w14:textId="77777777" w:rsidR="00C64567" w:rsidRDefault="00C6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2A27" w14:textId="77777777" w:rsidR="0025410E" w:rsidRDefault="0025410E" w:rsidP="008B5D54">
      <w:r>
        <w:separator/>
      </w:r>
    </w:p>
  </w:footnote>
  <w:footnote w:type="continuationSeparator" w:id="0">
    <w:p w14:paraId="47A42204" w14:textId="77777777" w:rsidR="0025410E" w:rsidRDefault="0025410E"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D0EA" w14:textId="77777777" w:rsidR="00C64567" w:rsidRDefault="00C64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7977" w14:textId="6C53EC9F" w:rsidR="008B5D54" w:rsidRPr="00820398" w:rsidRDefault="00820398" w:rsidP="00557512">
    <w:pPr>
      <w:jc w:val="center"/>
    </w:pPr>
    <w:r w:rsidRPr="00820398">
      <w:t>Non-Substantive Change Request to OMB Control Number 0920-</w:t>
    </w:r>
    <w:r w:rsidR="00557512">
      <w:t>0009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9C59" w14:textId="77777777" w:rsidR="00C64567" w:rsidRDefault="00C64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D71"/>
    <w:multiLevelType w:val="hybridMultilevel"/>
    <w:tmpl w:val="D53ACF22"/>
    <w:lvl w:ilvl="0" w:tplc="C0749B7A">
      <w:start w:val="1"/>
      <w:numFmt w:val="decimal"/>
      <w:lvlText w:val="%1)"/>
      <w:lvlJc w:val="right"/>
      <w:pPr>
        <w:ind w:left="720" w:hanging="360"/>
      </w:pPr>
      <w:rPr>
        <w:rFonts w:ascii="Times New Roman" w:eastAsia="Times New Roman" w:hAnsi="Times New Roman" w:cs="Times New Roman"/>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0068"/>
    <w:multiLevelType w:val="hybridMultilevel"/>
    <w:tmpl w:val="E5BC0E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3392D"/>
    <w:multiLevelType w:val="hybridMultilevel"/>
    <w:tmpl w:val="F6722BA2"/>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43DA"/>
    <w:multiLevelType w:val="hybridMultilevel"/>
    <w:tmpl w:val="F6D4D6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71ACB"/>
    <w:multiLevelType w:val="hybridMultilevel"/>
    <w:tmpl w:val="D4D8FDF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65361"/>
    <w:multiLevelType w:val="hybridMultilevel"/>
    <w:tmpl w:val="39E2004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015DF"/>
    <w:multiLevelType w:val="hybridMultilevel"/>
    <w:tmpl w:val="D5BC04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1E45"/>
    <w:multiLevelType w:val="hybridMultilevel"/>
    <w:tmpl w:val="F6D4D6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F51C3"/>
    <w:multiLevelType w:val="hybridMultilevel"/>
    <w:tmpl w:val="5970B1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E80446E"/>
    <w:multiLevelType w:val="hybridMultilevel"/>
    <w:tmpl w:val="5B98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63C92"/>
    <w:multiLevelType w:val="hybridMultilevel"/>
    <w:tmpl w:val="B6A08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A580E"/>
    <w:multiLevelType w:val="hybridMultilevel"/>
    <w:tmpl w:val="5582F41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0534BC"/>
    <w:multiLevelType w:val="hybridMultilevel"/>
    <w:tmpl w:val="50C29746"/>
    <w:lvl w:ilvl="0" w:tplc="19202E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7F14C7"/>
    <w:multiLevelType w:val="hybridMultilevel"/>
    <w:tmpl w:val="3A6C98F0"/>
    <w:lvl w:ilvl="0" w:tplc="BA04B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E14106"/>
    <w:multiLevelType w:val="hybridMultilevel"/>
    <w:tmpl w:val="5CF6B2A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4A0B8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3A760C1B"/>
    <w:multiLevelType w:val="hybridMultilevel"/>
    <w:tmpl w:val="DBF25FDE"/>
    <w:lvl w:ilvl="0" w:tplc="09E2A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943653"/>
    <w:multiLevelType w:val="hybridMultilevel"/>
    <w:tmpl w:val="A2BCB53A"/>
    <w:lvl w:ilvl="0" w:tplc="F668B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A127D"/>
    <w:multiLevelType w:val="hybridMultilevel"/>
    <w:tmpl w:val="1FEC2B2C"/>
    <w:lvl w:ilvl="0" w:tplc="DBF4A1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5249E"/>
    <w:multiLevelType w:val="hybridMultilevel"/>
    <w:tmpl w:val="76C28768"/>
    <w:lvl w:ilvl="0" w:tplc="1B282E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13450F"/>
    <w:multiLevelType w:val="hybridMultilevel"/>
    <w:tmpl w:val="B8FC1ED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AE4B25"/>
    <w:multiLevelType w:val="multilevel"/>
    <w:tmpl w:val="185E4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245AA9"/>
    <w:multiLevelType w:val="hybridMultilevel"/>
    <w:tmpl w:val="FB685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06456"/>
    <w:multiLevelType w:val="hybridMultilevel"/>
    <w:tmpl w:val="F126E4B8"/>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84C74"/>
    <w:multiLevelType w:val="hybridMultilevel"/>
    <w:tmpl w:val="5F10537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43C53"/>
    <w:multiLevelType w:val="hybridMultilevel"/>
    <w:tmpl w:val="92BC9D0C"/>
    <w:lvl w:ilvl="0" w:tplc="295C0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A568D9"/>
    <w:multiLevelType w:val="hybridMultilevel"/>
    <w:tmpl w:val="1108B72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C03B10"/>
    <w:multiLevelType w:val="hybridMultilevel"/>
    <w:tmpl w:val="E5BC0E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66078"/>
    <w:multiLevelType w:val="hybridMultilevel"/>
    <w:tmpl w:val="459846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A641B"/>
    <w:multiLevelType w:val="hybridMultilevel"/>
    <w:tmpl w:val="B34AC85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E0A91"/>
    <w:multiLevelType w:val="hybridMultilevel"/>
    <w:tmpl w:val="54AA7F92"/>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2560CB"/>
    <w:multiLevelType w:val="hybridMultilevel"/>
    <w:tmpl w:val="1B2016D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C9690E"/>
    <w:multiLevelType w:val="hybridMultilevel"/>
    <w:tmpl w:val="DBF25FDE"/>
    <w:lvl w:ilvl="0" w:tplc="09E2A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025B87"/>
    <w:multiLevelType w:val="hybridMultilevel"/>
    <w:tmpl w:val="54AA7F92"/>
    <w:lvl w:ilvl="0" w:tplc="3C3C37C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4C4509"/>
    <w:multiLevelType w:val="hybridMultilevel"/>
    <w:tmpl w:val="EA043516"/>
    <w:lvl w:ilvl="0" w:tplc="DD6E6B7E">
      <w:start w:val="1"/>
      <w:numFmt w:val="decimal"/>
      <w:lvlText w:val="%1."/>
      <w:lvlJc w:val="left"/>
      <w:pPr>
        <w:ind w:left="360" w:hanging="360"/>
      </w:pPr>
      <w:rPr>
        <w:rFonts w:hint="default"/>
        <w:i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EE3546"/>
    <w:multiLevelType w:val="hybridMultilevel"/>
    <w:tmpl w:val="A6DE22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60399"/>
    <w:multiLevelType w:val="hybridMultilevel"/>
    <w:tmpl w:val="837A7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4416D"/>
    <w:multiLevelType w:val="multilevel"/>
    <w:tmpl w:val="475C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0"/>
  </w:num>
  <w:num w:numId="3">
    <w:abstractNumId w:val="19"/>
  </w:num>
  <w:num w:numId="4">
    <w:abstractNumId w:val="1"/>
  </w:num>
  <w:num w:numId="5">
    <w:abstractNumId w:val="31"/>
  </w:num>
  <w:num w:numId="6">
    <w:abstractNumId w:val="33"/>
  </w:num>
  <w:num w:numId="7">
    <w:abstractNumId w:val="6"/>
  </w:num>
  <w:num w:numId="8">
    <w:abstractNumId w:val="23"/>
  </w:num>
  <w:num w:numId="9">
    <w:abstractNumId w:val="16"/>
  </w:num>
  <w:num w:numId="10">
    <w:abstractNumId w:val="32"/>
  </w:num>
  <w:num w:numId="11">
    <w:abstractNumId w:val="11"/>
  </w:num>
  <w:num w:numId="12">
    <w:abstractNumId w:val="3"/>
  </w:num>
  <w:num w:numId="13">
    <w:abstractNumId w:val="26"/>
  </w:num>
  <w:num w:numId="14">
    <w:abstractNumId w:val="29"/>
  </w:num>
  <w:num w:numId="15">
    <w:abstractNumId w:val="30"/>
  </w:num>
  <w:num w:numId="16">
    <w:abstractNumId w:val="25"/>
  </w:num>
  <w:num w:numId="17">
    <w:abstractNumId w:val="2"/>
  </w:num>
  <w:num w:numId="18">
    <w:abstractNumId w:val="4"/>
  </w:num>
  <w:num w:numId="19">
    <w:abstractNumId w:val="8"/>
  </w:num>
  <w:num w:numId="20">
    <w:abstractNumId w:val="12"/>
  </w:num>
  <w:num w:numId="21">
    <w:abstractNumId w:val="10"/>
  </w:num>
  <w:num w:numId="22">
    <w:abstractNumId w:val="18"/>
  </w:num>
  <w:num w:numId="23">
    <w:abstractNumId w:val="40"/>
  </w:num>
  <w:num w:numId="24">
    <w:abstractNumId w:val="17"/>
  </w:num>
  <w:num w:numId="25">
    <w:abstractNumId w:val="28"/>
  </w:num>
  <w:num w:numId="26">
    <w:abstractNumId w:val="35"/>
  </w:num>
  <w:num w:numId="27">
    <w:abstractNumId w:val="15"/>
  </w:num>
  <w:num w:numId="28">
    <w:abstractNumId w:val="13"/>
  </w:num>
  <w:num w:numId="29">
    <w:abstractNumId w:val="14"/>
  </w:num>
  <w:num w:numId="30">
    <w:abstractNumId w:val="22"/>
  </w:num>
  <w:num w:numId="31">
    <w:abstractNumId w:val="21"/>
  </w:num>
  <w:num w:numId="32">
    <w:abstractNumId w:val="36"/>
  </w:num>
  <w:num w:numId="33">
    <w:abstractNumId w:val="38"/>
  </w:num>
  <w:num w:numId="34">
    <w:abstractNumId w:val="39"/>
  </w:num>
  <w:num w:numId="35">
    <w:abstractNumId w:val="37"/>
  </w:num>
  <w:num w:numId="36">
    <w:abstractNumId w:val="27"/>
  </w:num>
  <w:num w:numId="37">
    <w:abstractNumId w:val="5"/>
  </w:num>
  <w:num w:numId="38">
    <w:abstractNumId w:val="34"/>
  </w:num>
  <w:num w:numId="39">
    <w:abstractNumId w:val="7"/>
  </w:num>
  <w:num w:numId="40">
    <w:abstractNumId w:val="41"/>
  </w:num>
  <w:num w:numId="41">
    <w:abstractNumId w:val="24"/>
  </w:num>
  <w:num w:numId="4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98"/>
    <w:rsid w:val="000113B0"/>
    <w:rsid w:val="0001291D"/>
    <w:rsid w:val="00026444"/>
    <w:rsid w:val="00036CF6"/>
    <w:rsid w:val="00066468"/>
    <w:rsid w:val="00094843"/>
    <w:rsid w:val="000E2065"/>
    <w:rsid w:val="00107053"/>
    <w:rsid w:val="001248EF"/>
    <w:rsid w:val="0016108D"/>
    <w:rsid w:val="0017294D"/>
    <w:rsid w:val="001923F5"/>
    <w:rsid w:val="001B12E8"/>
    <w:rsid w:val="001E105F"/>
    <w:rsid w:val="001F354E"/>
    <w:rsid w:val="001F58E8"/>
    <w:rsid w:val="00221890"/>
    <w:rsid w:val="0024728F"/>
    <w:rsid w:val="00250AB1"/>
    <w:rsid w:val="0025410E"/>
    <w:rsid w:val="00271479"/>
    <w:rsid w:val="002A5BB5"/>
    <w:rsid w:val="002C78C3"/>
    <w:rsid w:val="003528F8"/>
    <w:rsid w:val="003A2858"/>
    <w:rsid w:val="003A575A"/>
    <w:rsid w:val="003C680E"/>
    <w:rsid w:val="003C7BFF"/>
    <w:rsid w:val="003F7B36"/>
    <w:rsid w:val="00464C2F"/>
    <w:rsid w:val="00493853"/>
    <w:rsid w:val="004D1279"/>
    <w:rsid w:val="004E3664"/>
    <w:rsid w:val="00502FBC"/>
    <w:rsid w:val="00541BA4"/>
    <w:rsid w:val="00557512"/>
    <w:rsid w:val="0057288B"/>
    <w:rsid w:val="00582201"/>
    <w:rsid w:val="0058305E"/>
    <w:rsid w:val="00620518"/>
    <w:rsid w:val="00632007"/>
    <w:rsid w:val="00636F64"/>
    <w:rsid w:val="00641C67"/>
    <w:rsid w:val="00685EF9"/>
    <w:rsid w:val="006945EF"/>
    <w:rsid w:val="0069794D"/>
    <w:rsid w:val="006C6578"/>
    <w:rsid w:val="006E264E"/>
    <w:rsid w:val="006F5FEA"/>
    <w:rsid w:val="0070738B"/>
    <w:rsid w:val="00767B6E"/>
    <w:rsid w:val="0078150D"/>
    <w:rsid w:val="007946DF"/>
    <w:rsid w:val="007C4000"/>
    <w:rsid w:val="007D7FFA"/>
    <w:rsid w:val="007F7097"/>
    <w:rsid w:val="00802596"/>
    <w:rsid w:val="00820398"/>
    <w:rsid w:val="008B3A38"/>
    <w:rsid w:val="008B3B77"/>
    <w:rsid w:val="008B5D54"/>
    <w:rsid w:val="008B72A2"/>
    <w:rsid w:val="008C235E"/>
    <w:rsid w:val="00901D3A"/>
    <w:rsid w:val="00914F62"/>
    <w:rsid w:val="00945451"/>
    <w:rsid w:val="00996D54"/>
    <w:rsid w:val="009A2A15"/>
    <w:rsid w:val="009B7741"/>
    <w:rsid w:val="009C3E4B"/>
    <w:rsid w:val="009F4533"/>
    <w:rsid w:val="009F7E13"/>
    <w:rsid w:val="00A046B3"/>
    <w:rsid w:val="00A10143"/>
    <w:rsid w:val="00A40A64"/>
    <w:rsid w:val="00A53DF0"/>
    <w:rsid w:val="00A57D6D"/>
    <w:rsid w:val="00A67EE6"/>
    <w:rsid w:val="00A90273"/>
    <w:rsid w:val="00AA425E"/>
    <w:rsid w:val="00AB3E56"/>
    <w:rsid w:val="00AE31E5"/>
    <w:rsid w:val="00B32783"/>
    <w:rsid w:val="00B435A9"/>
    <w:rsid w:val="00B44840"/>
    <w:rsid w:val="00B53A5F"/>
    <w:rsid w:val="00B55735"/>
    <w:rsid w:val="00B608AC"/>
    <w:rsid w:val="00B713A3"/>
    <w:rsid w:val="00BB4139"/>
    <w:rsid w:val="00BC1804"/>
    <w:rsid w:val="00BD3726"/>
    <w:rsid w:val="00BE1A48"/>
    <w:rsid w:val="00BE21AD"/>
    <w:rsid w:val="00C23834"/>
    <w:rsid w:val="00C4589B"/>
    <w:rsid w:val="00C51486"/>
    <w:rsid w:val="00C64567"/>
    <w:rsid w:val="00CA318C"/>
    <w:rsid w:val="00D001FB"/>
    <w:rsid w:val="00D33173"/>
    <w:rsid w:val="00D3542D"/>
    <w:rsid w:val="00D44313"/>
    <w:rsid w:val="00D74FC2"/>
    <w:rsid w:val="00DA085F"/>
    <w:rsid w:val="00DC57CC"/>
    <w:rsid w:val="00DD6B30"/>
    <w:rsid w:val="00E01383"/>
    <w:rsid w:val="00E16E5F"/>
    <w:rsid w:val="00E35D46"/>
    <w:rsid w:val="00E70F44"/>
    <w:rsid w:val="00E71B12"/>
    <w:rsid w:val="00E758B1"/>
    <w:rsid w:val="00E86194"/>
    <w:rsid w:val="00EA0FD3"/>
    <w:rsid w:val="00EB11DC"/>
    <w:rsid w:val="00EB7FEF"/>
    <w:rsid w:val="00F359CB"/>
    <w:rsid w:val="00F366E3"/>
    <w:rsid w:val="00F51139"/>
    <w:rsid w:val="00FC2AF3"/>
    <w:rsid w:val="00FD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F303"/>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3B77"/>
    <w:pPr>
      <w:keepNext/>
      <w:numPr>
        <w:numId w:val="9"/>
      </w:numPr>
      <w:outlineLvl w:val="0"/>
    </w:pPr>
    <w:rPr>
      <w:rFonts w:ascii="Arial" w:hAnsi="Arial"/>
      <w:b/>
      <w:sz w:val="22"/>
      <w:szCs w:val="20"/>
    </w:rPr>
  </w:style>
  <w:style w:type="paragraph" w:styleId="Heading2">
    <w:name w:val="heading 2"/>
    <w:basedOn w:val="Normal"/>
    <w:next w:val="Normal"/>
    <w:link w:val="Heading2Char"/>
    <w:qFormat/>
    <w:rsid w:val="008B3B77"/>
    <w:pPr>
      <w:keepNext/>
      <w:numPr>
        <w:ilvl w:val="1"/>
        <w:numId w:val="9"/>
      </w:numPr>
      <w:tabs>
        <w:tab w:val="left" w:pos="-450"/>
      </w:tabs>
      <w:spacing w:line="360" w:lineRule="auto"/>
      <w:ind w:right="-108"/>
      <w:outlineLvl w:val="1"/>
    </w:pPr>
    <w:rPr>
      <w:rFonts w:ascii="Arial" w:hAnsi="Arial"/>
      <w:b/>
      <w:bCs/>
      <w:sz w:val="14"/>
      <w:szCs w:val="20"/>
    </w:rPr>
  </w:style>
  <w:style w:type="paragraph" w:styleId="Heading3">
    <w:name w:val="heading 3"/>
    <w:basedOn w:val="Normal"/>
    <w:next w:val="Normal"/>
    <w:link w:val="Heading3Char"/>
    <w:qFormat/>
    <w:rsid w:val="008B3B77"/>
    <w:pPr>
      <w:keepNext/>
      <w:numPr>
        <w:ilvl w:val="2"/>
        <w:numId w:val="9"/>
      </w:numPr>
      <w:jc w:val="center"/>
      <w:outlineLvl w:val="2"/>
    </w:pPr>
    <w:rPr>
      <w:rFonts w:ascii="Arial" w:hAnsi="Arial" w:cs="Arial"/>
      <w:b/>
      <w:bCs/>
      <w:sz w:val="28"/>
      <w:szCs w:val="20"/>
    </w:rPr>
  </w:style>
  <w:style w:type="paragraph" w:styleId="Heading4">
    <w:name w:val="heading 4"/>
    <w:basedOn w:val="Normal"/>
    <w:next w:val="Normal"/>
    <w:link w:val="Heading4Char"/>
    <w:qFormat/>
    <w:rsid w:val="008B3B77"/>
    <w:pPr>
      <w:keepNext/>
      <w:numPr>
        <w:ilvl w:val="3"/>
        <w:numId w:val="9"/>
      </w:numPr>
      <w:jc w:val="center"/>
      <w:outlineLvl w:val="3"/>
    </w:pPr>
    <w:rPr>
      <w:rFonts w:ascii="Arial" w:hAnsi="Arial" w:cs="Arial"/>
      <w:b/>
      <w:bCs/>
      <w:sz w:val="32"/>
      <w:szCs w:val="20"/>
    </w:rPr>
  </w:style>
  <w:style w:type="paragraph" w:styleId="Heading5">
    <w:name w:val="heading 5"/>
    <w:basedOn w:val="Normal"/>
    <w:next w:val="Normal"/>
    <w:link w:val="Heading5Char"/>
    <w:uiPriority w:val="9"/>
    <w:semiHidden/>
    <w:unhideWhenUsed/>
    <w:qFormat/>
    <w:rsid w:val="008B3B77"/>
    <w:pPr>
      <w:keepNext/>
      <w:keepLines/>
      <w:numPr>
        <w:ilvl w:val="4"/>
        <w:numId w:val="9"/>
      </w:numPr>
      <w:spacing w:before="200"/>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8B3B77"/>
    <w:pPr>
      <w:keepNext/>
      <w:keepLines/>
      <w:numPr>
        <w:ilvl w:val="5"/>
        <w:numId w:val="9"/>
      </w:numPr>
      <w:spacing w:before="2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8B3B77"/>
    <w:pPr>
      <w:keepNext/>
      <w:keepLines/>
      <w:numPr>
        <w:ilvl w:val="6"/>
        <w:numId w:val="9"/>
      </w:numPr>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8B3B7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3B77"/>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6468"/>
    <w:rPr>
      <w:sz w:val="16"/>
      <w:szCs w:val="16"/>
    </w:rPr>
  </w:style>
  <w:style w:type="paragraph" w:styleId="CommentText">
    <w:name w:val="annotation text"/>
    <w:basedOn w:val="Normal"/>
    <w:link w:val="CommentTextChar"/>
    <w:uiPriority w:val="99"/>
    <w:semiHidden/>
    <w:unhideWhenUsed/>
    <w:rsid w:val="00066468"/>
    <w:rPr>
      <w:sz w:val="20"/>
      <w:szCs w:val="20"/>
    </w:rPr>
  </w:style>
  <w:style w:type="character" w:customStyle="1" w:styleId="CommentTextChar">
    <w:name w:val="Comment Text Char"/>
    <w:basedOn w:val="DefaultParagraphFont"/>
    <w:link w:val="CommentText"/>
    <w:uiPriority w:val="99"/>
    <w:semiHidden/>
    <w:rsid w:val="00066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6468"/>
    <w:rPr>
      <w:b/>
      <w:bCs/>
    </w:rPr>
  </w:style>
  <w:style w:type="character" w:customStyle="1" w:styleId="CommentSubjectChar">
    <w:name w:val="Comment Subject Char"/>
    <w:basedOn w:val="CommentTextChar"/>
    <w:link w:val="CommentSubject"/>
    <w:uiPriority w:val="99"/>
    <w:semiHidden/>
    <w:rsid w:val="00066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66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468"/>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8B3B7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3B77"/>
    <w:rPr>
      <w:rFonts w:ascii="Arial" w:eastAsia="Times New Roman" w:hAnsi="Arial" w:cs="Times New Roman"/>
      <w:b/>
      <w:szCs w:val="20"/>
    </w:rPr>
  </w:style>
  <w:style w:type="character" w:customStyle="1" w:styleId="Heading2Char">
    <w:name w:val="Heading 2 Char"/>
    <w:basedOn w:val="DefaultParagraphFont"/>
    <w:link w:val="Heading2"/>
    <w:rsid w:val="008B3B77"/>
    <w:rPr>
      <w:rFonts w:ascii="Arial" w:eastAsia="Times New Roman" w:hAnsi="Arial" w:cs="Times New Roman"/>
      <w:b/>
      <w:bCs/>
      <w:sz w:val="14"/>
      <w:szCs w:val="20"/>
    </w:rPr>
  </w:style>
  <w:style w:type="character" w:customStyle="1" w:styleId="Heading3Char">
    <w:name w:val="Heading 3 Char"/>
    <w:basedOn w:val="DefaultParagraphFont"/>
    <w:link w:val="Heading3"/>
    <w:rsid w:val="008B3B77"/>
    <w:rPr>
      <w:rFonts w:ascii="Arial" w:eastAsia="Times New Roman" w:hAnsi="Arial" w:cs="Arial"/>
      <w:b/>
      <w:bCs/>
      <w:sz w:val="28"/>
      <w:szCs w:val="20"/>
    </w:rPr>
  </w:style>
  <w:style w:type="character" w:customStyle="1" w:styleId="Heading4Char">
    <w:name w:val="Heading 4 Char"/>
    <w:basedOn w:val="DefaultParagraphFont"/>
    <w:link w:val="Heading4"/>
    <w:rsid w:val="008B3B77"/>
    <w:rPr>
      <w:rFonts w:ascii="Arial" w:eastAsia="Times New Roman" w:hAnsi="Arial" w:cs="Arial"/>
      <w:b/>
      <w:bCs/>
      <w:sz w:val="32"/>
      <w:szCs w:val="20"/>
    </w:rPr>
  </w:style>
  <w:style w:type="character" w:customStyle="1" w:styleId="Heading5Char">
    <w:name w:val="Heading 5 Char"/>
    <w:basedOn w:val="DefaultParagraphFont"/>
    <w:link w:val="Heading5"/>
    <w:uiPriority w:val="9"/>
    <w:semiHidden/>
    <w:rsid w:val="008B3B77"/>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8B3B77"/>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8B3B7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B3B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3B77"/>
    <w:rPr>
      <w:rFonts w:asciiTheme="majorHAnsi" w:eastAsiaTheme="majorEastAsia" w:hAnsiTheme="majorHAnsi" w:cstheme="majorBidi"/>
      <w:i/>
      <w:iCs/>
      <w:color w:val="404040" w:themeColor="text1" w:themeTint="BF"/>
      <w:sz w:val="20"/>
      <w:szCs w:val="20"/>
    </w:rPr>
  </w:style>
  <w:style w:type="paragraph" w:styleId="NoSpacing">
    <w:name w:val="No Spacing"/>
    <w:qFormat/>
    <w:rsid w:val="00767B6E"/>
    <w:pPr>
      <w:spacing w:after="0" w:line="240" w:lineRule="auto"/>
    </w:pPr>
    <w:rPr>
      <w:rFonts w:ascii="Times New Roman" w:hAnsi="Times New Roman" w:cs="Times New Roman"/>
      <w:sz w:val="24"/>
      <w:szCs w:val="24"/>
    </w:rPr>
  </w:style>
  <w:style w:type="character" w:styleId="Hyperlink">
    <w:name w:val="Hyperlink"/>
    <w:rsid w:val="00767B6E"/>
    <w:rPr>
      <w:color w:val="0000FF"/>
      <w:u w:val="single"/>
    </w:rPr>
  </w:style>
  <w:style w:type="table" w:customStyle="1" w:styleId="TableGrid2">
    <w:name w:val="Table Grid2"/>
    <w:basedOn w:val="TableNormal"/>
    <w:next w:val="TableGrid"/>
    <w:rsid w:val="009454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1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1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1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6C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007"/>
    <w:pPr>
      <w:autoSpaceDE w:val="0"/>
      <w:autoSpaceDN w:val="0"/>
      <w:adjustRightInd w:val="0"/>
      <w:spacing w:after="0" w:line="240" w:lineRule="auto"/>
    </w:pPr>
    <w:rPr>
      <w:rFonts w:ascii="Arial" w:hAnsi="Arial" w:cs="Arial"/>
      <w:color w:val="000000"/>
      <w:sz w:val="24"/>
      <w:szCs w:val="24"/>
    </w:rPr>
  </w:style>
  <w:style w:type="table" w:styleId="MediumList1">
    <w:name w:val="Medium List 1"/>
    <w:basedOn w:val="TableNormal"/>
    <w:uiPriority w:val="65"/>
    <w:rsid w:val="00FD349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unhideWhenUsed/>
    <w:rsid w:val="00557512"/>
    <w:pPr>
      <w:spacing w:before="100" w:beforeAutospacing="1" w:after="100" w:afterAutospacing="1"/>
    </w:pPr>
  </w:style>
  <w:style w:type="paragraph" w:customStyle="1" w:styleId="xxmsonormal">
    <w:name w:val="x_xmsonormal"/>
    <w:basedOn w:val="Normal"/>
    <w:uiPriority w:val="99"/>
    <w:semiHidden/>
    <w:rsid w:val="00C64567"/>
    <w:rPr>
      <w:rFonts w:ascii="Calibri" w:eastAsiaTheme="minorHAnsi" w:hAnsi="Calibri" w:cs="Calibri"/>
      <w:sz w:val="22"/>
      <w:szCs w:val="22"/>
    </w:rPr>
  </w:style>
  <w:style w:type="character" w:styleId="Strong">
    <w:name w:val="Strong"/>
    <w:basedOn w:val="DefaultParagraphFont"/>
    <w:uiPriority w:val="22"/>
    <w:qFormat/>
    <w:rsid w:val="00C64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716">
      <w:bodyDiv w:val="1"/>
      <w:marLeft w:val="0"/>
      <w:marRight w:val="0"/>
      <w:marTop w:val="0"/>
      <w:marBottom w:val="0"/>
      <w:divBdr>
        <w:top w:val="none" w:sz="0" w:space="0" w:color="auto"/>
        <w:left w:val="none" w:sz="0" w:space="0" w:color="auto"/>
        <w:bottom w:val="none" w:sz="0" w:space="0" w:color="auto"/>
        <w:right w:val="none" w:sz="0" w:space="0" w:color="auto"/>
      </w:divBdr>
    </w:div>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494029025">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712312356">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196313814">
      <w:bodyDiv w:val="1"/>
      <w:marLeft w:val="0"/>
      <w:marRight w:val="0"/>
      <w:marTop w:val="0"/>
      <w:marBottom w:val="0"/>
      <w:divBdr>
        <w:top w:val="none" w:sz="0" w:space="0" w:color="auto"/>
        <w:left w:val="none" w:sz="0" w:space="0" w:color="auto"/>
        <w:bottom w:val="none" w:sz="0" w:space="0" w:color="auto"/>
        <w:right w:val="none" w:sz="0" w:space="0" w:color="auto"/>
      </w:divBdr>
    </w:div>
    <w:div w:id="1332677843">
      <w:bodyDiv w:val="1"/>
      <w:marLeft w:val="0"/>
      <w:marRight w:val="0"/>
      <w:marTop w:val="0"/>
      <w:marBottom w:val="0"/>
      <w:divBdr>
        <w:top w:val="none" w:sz="0" w:space="0" w:color="auto"/>
        <w:left w:val="none" w:sz="0" w:space="0" w:color="auto"/>
        <w:bottom w:val="none" w:sz="0" w:space="0" w:color="auto"/>
        <w:right w:val="none" w:sz="0" w:space="0" w:color="auto"/>
      </w:divBdr>
    </w:div>
    <w:div w:id="1597669343">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 w:id="21465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PFY6PPX2AYTS-421255892-16</_dlc_DocId>
    <_dlc_DocIdUrl xmlns="81daf041-c113-401c-bf82-107f5d396711">
      <Url>https://esp.cdc.gov/sites/ncezid/OD/policy/PRA/_layouts/15/DocIdRedir.aspx?ID=PFY6PPX2AYTS-421255892-16</Url>
      <Description>PFY6PPX2AYTS-421255892-16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7E03F4-7F28-4167-849B-B69CCC46FDB2}">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3.xml><?xml version="1.0" encoding="utf-8"?>
<ds:datastoreItem xmlns:ds="http://schemas.openxmlformats.org/officeDocument/2006/customXml" ds:itemID="{0A4C6ACB-F2E4-4DF2-AF2C-19A0D5B4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3726B-CDD7-4777-93B6-91AFE2974626}">
  <ds:schemaRefs>
    <ds:schemaRef ds:uri="http://schemas.openxmlformats.org/officeDocument/2006/bibliography"/>
  </ds:schemaRefs>
</ds:datastoreItem>
</file>

<file path=customXml/itemProps5.xml><?xml version="1.0" encoding="utf-8"?>
<ds:datastoreItem xmlns:ds="http://schemas.openxmlformats.org/officeDocument/2006/customXml" ds:itemID="{56BC3B3F-B282-4F6F-ADE7-80F6307D4C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522</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Hynes, Ansley (CDC/DDID/NCIRD/OD)</cp:lastModifiedBy>
  <cp:revision>2</cp:revision>
  <dcterms:created xsi:type="dcterms:W3CDTF">2022-07-29T17:25:00Z</dcterms:created>
  <dcterms:modified xsi:type="dcterms:W3CDTF">2022-07-29T17:25:00Z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e6925a89-974f-42ca-bebc-87710365619b</vt:lpwstr>
  </property>
  <property fmtid="{D5CDD505-2E9C-101B-9397-08002B2CF9AE}" pid="4" name="MSIP_Label_7b94a7b8-f06c-4dfe-bdcc-9b548fd58c31_Enabled">
    <vt:lpwstr>true</vt:lpwstr>
  </property>
  <property fmtid="{D5CDD505-2E9C-101B-9397-08002B2CF9AE}" pid="5" name="MSIP_Label_7b94a7b8-f06c-4dfe-bdcc-9b548fd58c31_SetDate">
    <vt:lpwstr>2022-07-07T16:20:09Z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e446dfe7-5c08-47bc-971f-71b334017bc1</vt:lpwstr>
  </property>
  <property fmtid="{D5CDD505-2E9C-101B-9397-08002B2CF9AE}" pid="10" name="MSIP_Label_7b94a7b8-f06c-4dfe-bdcc-9b548fd58c31_ContentBits">
    <vt:lpwstr>0</vt:lpwstr>
  </property>
</Properties>
</file>