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1141393971"/>
        <w:docPartObj>
          <w:docPartGallery w:val="Cover Pages"/>
          <w:docPartUnique/>
        </w:docPartObj>
      </w:sdtPr>
      <w:sdtEndPr/>
      <w:sdtContent>
        <w:p w:rsidRPr="002B6DB5" w:rsidR="00FE6EA5" w:rsidP="00F023CD" w:rsidRDefault="00FE6EA5" w14:paraId="13B77232" w14:textId="77777777">
          <w:pPr>
            <w:rPr>
              <w:rFonts w:cstheme="minorHAnsi"/>
            </w:rPr>
          </w:pPr>
        </w:p>
        <w:p w:rsidRPr="002B6DB5" w:rsidR="00195414" w:rsidP="00F023CD" w:rsidRDefault="00784A9A" w14:paraId="7FA49A23" w14:textId="77777777">
          <w:pPr>
            <w:rPr>
              <w:rFonts w:cstheme="minorHAnsi"/>
            </w:rPr>
          </w:pPr>
        </w:p>
      </w:sdtContent>
    </w:sdt>
    <w:p w:rsidRPr="002B6DB5" w:rsidR="00E35DD1" w:rsidP="00F023CD" w:rsidRDefault="00E35DD1" w14:paraId="68BA36D6" w14:textId="77777777">
      <w:pPr>
        <w:ind w:left="2880" w:firstLine="720"/>
        <w:rPr>
          <w:rFonts w:eastAsia="Times New Roman" w:cstheme="minorHAnsi"/>
        </w:rPr>
      </w:pPr>
      <w:r w:rsidRPr="002B6DB5">
        <w:rPr>
          <w:rFonts w:cstheme="minorHAnsi"/>
        </w:rPr>
        <w:t xml:space="preserve">Supporting </w:t>
      </w:r>
      <w:proofErr w:type="gramStart"/>
      <w:r w:rsidRPr="002B6DB5">
        <w:rPr>
          <w:rFonts w:cstheme="minorHAnsi"/>
        </w:rPr>
        <w:t>Statement</w:t>
      </w:r>
      <w:proofErr w:type="gramEnd"/>
      <w:r w:rsidRPr="002B6DB5">
        <w:rPr>
          <w:rFonts w:cstheme="minorHAnsi"/>
        </w:rPr>
        <w:t xml:space="preserve"> A for</w:t>
      </w:r>
    </w:p>
    <w:p w:rsidRPr="002B6DB5" w:rsidR="00E35DD1" w:rsidP="00F023CD" w:rsidRDefault="00E35DD1" w14:paraId="4AD68EFA" w14:textId="77777777">
      <w:pPr>
        <w:pStyle w:val="P1-StandPara"/>
        <w:tabs>
          <w:tab w:val="left" w:pos="720"/>
          <w:tab w:val="right" w:leader="dot" w:pos="9504"/>
        </w:tabs>
        <w:spacing w:before="120" w:after="120"/>
        <w:ind w:firstLine="0"/>
        <w:rPr>
          <w:rFonts w:asciiTheme="minorHAnsi" w:hAnsiTheme="minorHAnsi" w:cstheme="minorHAnsi"/>
          <w:szCs w:val="22"/>
        </w:rPr>
      </w:pPr>
      <w:r w:rsidRPr="002B6DB5">
        <w:rPr>
          <w:rFonts w:asciiTheme="minorHAnsi" w:hAnsiTheme="minorHAnsi" w:cstheme="minorHAnsi"/>
          <w:szCs w:val="22"/>
        </w:rPr>
        <w:t xml:space="preserve">                    </w:t>
      </w:r>
    </w:p>
    <w:p w:rsidRPr="002B6DB5" w:rsidR="00E35DD1" w:rsidP="00F023CD" w:rsidRDefault="00654CE6" w14:paraId="2437E17E" w14:textId="0E38B819">
      <w:pPr>
        <w:pStyle w:val="P1-StandPara"/>
        <w:tabs>
          <w:tab w:val="left" w:pos="720"/>
          <w:tab w:val="right" w:leader="dot" w:pos="9504"/>
        </w:tabs>
        <w:spacing w:before="120" w:after="120"/>
        <w:ind w:firstLine="0"/>
        <w:jc w:val="center"/>
        <w:rPr>
          <w:rFonts w:asciiTheme="minorHAnsi" w:hAnsiTheme="minorHAnsi" w:cstheme="minorHAnsi"/>
          <w:szCs w:val="22"/>
        </w:rPr>
      </w:pPr>
      <w:r w:rsidRPr="002B6DB5">
        <w:rPr>
          <w:rFonts w:asciiTheme="minorHAnsi" w:hAnsiTheme="minorHAnsi" w:cstheme="minorHAnsi"/>
          <w:szCs w:val="22"/>
        </w:rPr>
        <w:t>National Institutes of Health Workplace Civility and Equity Survey (OD)</w:t>
      </w:r>
    </w:p>
    <w:p w:rsidRPr="002B6DB5" w:rsidR="00976490" w:rsidP="00F023CD" w:rsidRDefault="00FF30CE" w14:paraId="0ED25BFE" w14:textId="5D7E06B4">
      <w:pPr>
        <w:pStyle w:val="P1-StandPara"/>
        <w:tabs>
          <w:tab w:val="left" w:pos="720"/>
          <w:tab w:val="right" w:leader="dot" w:pos="9504"/>
        </w:tabs>
        <w:spacing w:before="120" w:after="120"/>
        <w:ind w:firstLine="0"/>
        <w:jc w:val="center"/>
        <w:rPr>
          <w:rFonts w:asciiTheme="minorHAnsi" w:hAnsiTheme="minorHAnsi" w:cstheme="minorHAnsi"/>
          <w:szCs w:val="22"/>
        </w:rPr>
      </w:pPr>
      <w:r w:rsidRPr="002B6DB5">
        <w:rPr>
          <w:rFonts w:asciiTheme="minorHAnsi" w:hAnsiTheme="minorHAnsi" w:cstheme="minorHAnsi"/>
          <w:szCs w:val="22"/>
        </w:rPr>
        <w:t xml:space="preserve">OMB# </w:t>
      </w:r>
      <w:r w:rsidRPr="002B6DB5" w:rsidR="00F342D4">
        <w:rPr>
          <w:rFonts w:asciiTheme="minorHAnsi" w:hAnsiTheme="minorHAnsi" w:cstheme="minorHAnsi"/>
          <w:szCs w:val="22"/>
        </w:rPr>
        <w:t xml:space="preserve">0925-XXXX </w:t>
      </w:r>
      <w:r w:rsidRPr="002B6DB5">
        <w:rPr>
          <w:rFonts w:asciiTheme="minorHAnsi" w:hAnsiTheme="minorHAnsi" w:cstheme="minorHAnsi"/>
          <w:szCs w:val="22"/>
        </w:rPr>
        <w:t xml:space="preserve">and expiration date </w:t>
      </w:r>
      <w:r w:rsidRPr="002B6DB5" w:rsidR="00F342D4">
        <w:rPr>
          <w:rFonts w:asciiTheme="minorHAnsi" w:hAnsiTheme="minorHAnsi" w:cstheme="minorHAnsi"/>
          <w:szCs w:val="22"/>
        </w:rPr>
        <w:t>XX/XX/XXXX</w:t>
      </w:r>
    </w:p>
    <w:p w:rsidRPr="002B6DB5" w:rsidR="00E35DD1" w:rsidP="00F023CD" w:rsidRDefault="00E35DD1" w14:paraId="371FE21C" w14:textId="77777777">
      <w:pPr>
        <w:pStyle w:val="P1-StandPara"/>
        <w:tabs>
          <w:tab w:val="left" w:pos="720"/>
          <w:tab w:val="right" w:leader="dot" w:pos="9504"/>
        </w:tabs>
        <w:spacing w:before="120" w:after="120"/>
        <w:ind w:firstLine="0"/>
        <w:rPr>
          <w:rFonts w:asciiTheme="minorHAnsi" w:hAnsiTheme="minorHAnsi" w:cstheme="minorHAnsi"/>
          <w:szCs w:val="22"/>
        </w:rPr>
      </w:pPr>
    </w:p>
    <w:p w:rsidRPr="002B6DB5" w:rsidR="00024899" w:rsidP="00F023CD" w:rsidRDefault="00E35DD1" w14:paraId="680B9135" w14:textId="77777777">
      <w:pPr>
        <w:pStyle w:val="P1-StandPara"/>
        <w:tabs>
          <w:tab w:val="left" w:pos="720"/>
          <w:tab w:val="right" w:leader="dot" w:pos="9504"/>
        </w:tabs>
        <w:spacing w:before="120" w:after="120"/>
        <w:ind w:firstLine="0"/>
        <w:rPr>
          <w:rFonts w:asciiTheme="minorHAnsi" w:hAnsiTheme="minorHAnsi" w:cstheme="minorHAnsi"/>
          <w:szCs w:val="22"/>
        </w:rPr>
      </w:pPr>
      <w:r w:rsidRPr="002B6DB5">
        <w:rPr>
          <w:rFonts w:asciiTheme="minorHAnsi" w:hAnsiTheme="minorHAnsi" w:cstheme="minorHAnsi"/>
          <w:szCs w:val="22"/>
        </w:rPr>
        <w:t xml:space="preserve">                    </w:t>
      </w:r>
    </w:p>
    <w:p w:rsidRPr="002B6DB5" w:rsidR="00E35DD1" w:rsidP="00F023CD" w:rsidRDefault="00E35DD1" w14:paraId="1ECE92EB" w14:textId="4E3F2BD6">
      <w:pPr>
        <w:pStyle w:val="P1-StandPara"/>
        <w:tabs>
          <w:tab w:val="left" w:pos="720"/>
          <w:tab w:val="right" w:leader="dot" w:pos="9504"/>
        </w:tabs>
        <w:spacing w:before="120" w:after="120"/>
        <w:ind w:firstLine="0"/>
        <w:rPr>
          <w:rFonts w:asciiTheme="minorHAnsi" w:hAnsiTheme="minorHAnsi" w:cstheme="minorHAnsi"/>
          <w:szCs w:val="22"/>
        </w:rPr>
      </w:pPr>
      <w:r w:rsidRPr="002B6DB5">
        <w:rPr>
          <w:rFonts w:asciiTheme="minorHAnsi" w:hAnsiTheme="minorHAnsi" w:cstheme="minorHAnsi"/>
          <w:szCs w:val="22"/>
        </w:rPr>
        <w:t>Date</w:t>
      </w:r>
      <w:r w:rsidRPr="002B6DB5" w:rsidR="00BE76A7">
        <w:rPr>
          <w:rFonts w:asciiTheme="minorHAnsi" w:hAnsiTheme="minorHAnsi" w:cstheme="minorHAnsi"/>
          <w:szCs w:val="22"/>
        </w:rPr>
        <w:t xml:space="preserve">: </w:t>
      </w:r>
      <w:r w:rsidR="006100A4">
        <w:rPr>
          <w:rFonts w:asciiTheme="minorHAnsi" w:hAnsiTheme="minorHAnsi" w:cstheme="minorHAnsi"/>
          <w:szCs w:val="22"/>
        </w:rPr>
        <w:t>6/27/2022</w:t>
      </w:r>
    </w:p>
    <w:p w:rsidRPr="002B6DB5" w:rsidR="00FF30CE" w:rsidP="00F023CD" w:rsidRDefault="00FF30CE" w14:paraId="72879FE9"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2B6DB5">
        <w:rPr>
          <w:rFonts w:asciiTheme="minorHAnsi" w:hAnsiTheme="minorHAnsi" w:cstheme="minorHAnsi"/>
          <w:szCs w:val="22"/>
        </w:rPr>
        <w:t>Check off which applies:</w:t>
      </w:r>
    </w:p>
    <w:p w:rsidRPr="002B6DB5" w:rsidR="00FF30CE" w:rsidP="00F023CD" w:rsidRDefault="00FF30CE" w14:paraId="580EAAC6" w14:textId="2BA54810">
      <w:pPr>
        <w:pStyle w:val="ListParagraph"/>
        <w:numPr>
          <w:ilvl w:val="0"/>
          <w:numId w:val="12"/>
        </w:numPr>
        <w:spacing w:after="0" w:line="240" w:lineRule="auto"/>
        <w:ind w:left="720"/>
        <w:rPr>
          <w:rFonts w:cstheme="minorHAnsi"/>
        </w:rPr>
      </w:pPr>
      <w:r w:rsidRPr="002B6DB5">
        <w:rPr>
          <w:rFonts w:cstheme="minorHAnsi"/>
        </w:rPr>
        <w:t xml:space="preserve">New </w:t>
      </w:r>
    </w:p>
    <w:p w:rsidRPr="002B6DB5" w:rsidR="00FF30CE" w:rsidP="00F023CD" w:rsidRDefault="00FF30CE" w14:paraId="45BA54F5" w14:textId="77777777">
      <w:pPr>
        <w:numPr>
          <w:ilvl w:val="0"/>
          <w:numId w:val="11"/>
        </w:numPr>
        <w:spacing w:after="0" w:line="240" w:lineRule="auto"/>
        <w:rPr>
          <w:rFonts w:cstheme="minorHAnsi"/>
        </w:rPr>
      </w:pPr>
      <w:r w:rsidRPr="002B6DB5">
        <w:rPr>
          <w:rFonts w:cstheme="minorHAnsi"/>
        </w:rPr>
        <w:t>Revision</w:t>
      </w:r>
      <w:r w:rsidRPr="002B6DB5">
        <w:rPr>
          <w:rFonts w:cstheme="minorHAnsi"/>
        </w:rPr>
        <w:tab/>
      </w:r>
      <w:r w:rsidRPr="002B6DB5">
        <w:rPr>
          <w:rFonts w:cstheme="minorHAnsi"/>
        </w:rPr>
        <w:tab/>
      </w:r>
      <w:r w:rsidRPr="002B6DB5">
        <w:rPr>
          <w:rFonts w:cstheme="minorHAnsi"/>
        </w:rPr>
        <w:tab/>
      </w:r>
    </w:p>
    <w:p w:rsidRPr="002B6DB5" w:rsidR="00FF30CE" w:rsidP="00F023CD" w:rsidRDefault="00FF30CE" w14:paraId="185A0B7B" w14:textId="77777777">
      <w:pPr>
        <w:numPr>
          <w:ilvl w:val="0"/>
          <w:numId w:val="11"/>
        </w:numPr>
        <w:spacing w:after="0" w:line="240" w:lineRule="auto"/>
        <w:rPr>
          <w:rFonts w:cstheme="minorHAnsi"/>
        </w:rPr>
      </w:pPr>
      <w:r w:rsidRPr="002B6DB5">
        <w:rPr>
          <w:rFonts w:cstheme="minorHAnsi"/>
        </w:rPr>
        <w:t>Reinstatement with Change</w:t>
      </w:r>
    </w:p>
    <w:p w:rsidRPr="002B6DB5" w:rsidR="00FF30CE" w:rsidP="00F023CD" w:rsidRDefault="00FF30CE" w14:paraId="5177244E" w14:textId="77777777">
      <w:pPr>
        <w:numPr>
          <w:ilvl w:val="0"/>
          <w:numId w:val="11"/>
        </w:numPr>
        <w:spacing w:after="0" w:line="240" w:lineRule="auto"/>
        <w:rPr>
          <w:rFonts w:cstheme="minorHAnsi"/>
        </w:rPr>
      </w:pPr>
      <w:r w:rsidRPr="002B6DB5">
        <w:rPr>
          <w:rFonts w:cstheme="minorHAnsi"/>
        </w:rPr>
        <w:t>Reinstatement without Change</w:t>
      </w:r>
    </w:p>
    <w:p w:rsidRPr="002B6DB5" w:rsidR="00FF30CE" w:rsidP="00F023CD" w:rsidRDefault="00FF30CE" w14:paraId="62B8AE22" w14:textId="77777777">
      <w:pPr>
        <w:numPr>
          <w:ilvl w:val="0"/>
          <w:numId w:val="11"/>
        </w:numPr>
        <w:spacing w:after="0" w:line="240" w:lineRule="auto"/>
        <w:rPr>
          <w:rFonts w:cstheme="minorHAnsi"/>
        </w:rPr>
      </w:pPr>
      <w:r w:rsidRPr="002B6DB5">
        <w:rPr>
          <w:rFonts w:cstheme="minorHAnsi"/>
        </w:rPr>
        <w:t>Extension</w:t>
      </w:r>
    </w:p>
    <w:p w:rsidRPr="002B6DB5" w:rsidR="00FF30CE" w:rsidP="00F023CD" w:rsidRDefault="00FF30CE" w14:paraId="61FD3A79" w14:textId="77777777">
      <w:pPr>
        <w:numPr>
          <w:ilvl w:val="0"/>
          <w:numId w:val="11"/>
        </w:numPr>
        <w:spacing w:after="0" w:line="240" w:lineRule="auto"/>
        <w:rPr>
          <w:rFonts w:cstheme="minorHAnsi"/>
        </w:rPr>
      </w:pPr>
      <w:r w:rsidRPr="002B6DB5">
        <w:rPr>
          <w:rFonts w:cstheme="minorHAnsi"/>
        </w:rPr>
        <w:t>Emergency</w:t>
      </w:r>
    </w:p>
    <w:p w:rsidRPr="002B6DB5" w:rsidR="00FF30CE" w:rsidP="00F023CD" w:rsidRDefault="00FF30CE" w14:paraId="4AB911EB" w14:textId="77777777">
      <w:pPr>
        <w:numPr>
          <w:ilvl w:val="0"/>
          <w:numId w:val="11"/>
        </w:numPr>
        <w:spacing w:after="0" w:line="240" w:lineRule="auto"/>
        <w:rPr>
          <w:rFonts w:cstheme="minorHAnsi"/>
        </w:rPr>
      </w:pPr>
      <w:r w:rsidRPr="002B6DB5">
        <w:rPr>
          <w:rFonts w:cstheme="minorHAnsi"/>
        </w:rPr>
        <w:t>Existing</w:t>
      </w:r>
    </w:p>
    <w:p w:rsidRPr="002B6DB5" w:rsidR="00E35DD1" w:rsidP="00F023CD" w:rsidRDefault="00E35DD1" w14:paraId="75E71417" w14:textId="1FC53C24">
      <w:pPr>
        <w:pStyle w:val="P1-StandPara"/>
        <w:tabs>
          <w:tab w:val="left" w:pos="720"/>
          <w:tab w:val="right" w:leader="dot" w:pos="9504"/>
        </w:tabs>
        <w:spacing w:before="120" w:after="120"/>
        <w:rPr>
          <w:rFonts w:asciiTheme="minorHAnsi" w:hAnsiTheme="minorHAnsi" w:cstheme="minorHAnsi"/>
          <w:szCs w:val="22"/>
        </w:rPr>
      </w:pPr>
      <w:r w:rsidRPr="002B6DB5">
        <w:rPr>
          <w:rFonts w:asciiTheme="minorHAnsi" w:hAnsiTheme="minorHAnsi" w:cstheme="minorHAnsi"/>
          <w:szCs w:val="22"/>
        </w:rPr>
        <w:t xml:space="preserve">                        </w:t>
      </w:r>
    </w:p>
    <w:p w:rsidRPr="002B6DB5" w:rsidR="00E35DD1" w:rsidP="00F023CD" w:rsidRDefault="00E35DD1" w14:paraId="76887CBB" w14:textId="77777777">
      <w:pPr>
        <w:pStyle w:val="P1-StandPara"/>
        <w:tabs>
          <w:tab w:val="left" w:pos="720"/>
          <w:tab w:val="right" w:leader="dot" w:pos="9504"/>
        </w:tabs>
        <w:spacing w:before="120" w:after="120"/>
        <w:rPr>
          <w:rFonts w:asciiTheme="minorHAnsi" w:hAnsiTheme="minorHAnsi" w:cstheme="minorHAnsi"/>
          <w:szCs w:val="22"/>
        </w:rPr>
      </w:pPr>
    </w:p>
    <w:p w:rsidRPr="002B6DB5" w:rsidR="00E35DD1" w:rsidP="00F023CD" w:rsidRDefault="00BE76A7" w14:paraId="6D261043"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2B6DB5">
        <w:rPr>
          <w:rFonts w:asciiTheme="minorHAnsi" w:hAnsiTheme="minorHAnsi" w:cstheme="minorHAnsi"/>
          <w:szCs w:val="22"/>
        </w:rPr>
        <w:t>Fed</w:t>
      </w:r>
      <w:r w:rsidRPr="002B6DB5" w:rsidR="00B96691">
        <w:rPr>
          <w:rFonts w:asciiTheme="minorHAnsi" w:hAnsiTheme="minorHAnsi" w:cstheme="minorHAnsi"/>
          <w:szCs w:val="22"/>
        </w:rPr>
        <w:t>eral Government Employee Information</w:t>
      </w:r>
      <w:r w:rsidRPr="002B6DB5">
        <w:rPr>
          <w:rFonts w:asciiTheme="minorHAnsi" w:hAnsiTheme="minorHAnsi" w:cstheme="minorHAnsi"/>
          <w:szCs w:val="22"/>
        </w:rPr>
        <w:t>:</w:t>
      </w:r>
    </w:p>
    <w:p w:rsidRPr="002B6DB5" w:rsidR="00E35DD1" w:rsidP="00F023CD" w:rsidRDefault="00E35DD1" w14:paraId="684ABDC4" w14:textId="68AD0E73">
      <w:pPr>
        <w:pStyle w:val="P1-StandPara"/>
        <w:tabs>
          <w:tab w:val="left" w:pos="720"/>
          <w:tab w:val="right" w:leader="dot" w:pos="9504"/>
        </w:tabs>
        <w:spacing w:before="120" w:line="240" w:lineRule="auto"/>
        <w:ind w:firstLine="0"/>
        <w:rPr>
          <w:rFonts w:asciiTheme="minorHAnsi" w:hAnsiTheme="minorHAnsi" w:cstheme="minorHAnsi"/>
          <w:szCs w:val="22"/>
        </w:rPr>
      </w:pPr>
      <w:r w:rsidRPr="002B6DB5">
        <w:rPr>
          <w:rFonts w:asciiTheme="minorHAnsi" w:hAnsiTheme="minorHAnsi" w:cstheme="minorHAnsi"/>
          <w:szCs w:val="22"/>
        </w:rPr>
        <w:t>Name:</w:t>
      </w:r>
      <w:r w:rsidRPr="002B6DB5" w:rsidR="004E12AA">
        <w:rPr>
          <w:rFonts w:asciiTheme="minorHAnsi" w:hAnsiTheme="minorHAnsi" w:cstheme="minorHAnsi"/>
          <w:szCs w:val="22"/>
        </w:rPr>
        <w:t xml:space="preserve"> Bell Cooper</w:t>
      </w:r>
    </w:p>
    <w:p w:rsidRPr="002B6DB5" w:rsidR="00E35DD1" w:rsidP="00F023CD" w:rsidRDefault="00E35DD1" w14:paraId="165F09E8" w14:textId="3E24BE4C">
      <w:pPr>
        <w:pStyle w:val="P1-StandPara"/>
        <w:tabs>
          <w:tab w:val="left" w:pos="720"/>
          <w:tab w:val="right" w:leader="dot" w:pos="9504"/>
        </w:tabs>
        <w:spacing w:before="120" w:line="240" w:lineRule="auto"/>
        <w:ind w:firstLine="0"/>
        <w:rPr>
          <w:rFonts w:asciiTheme="minorHAnsi" w:hAnsiTheme="minorHAnsi" w:cstheme="minorHAnsi"/>
          <w:szCs w:val="22"/>
        </w:rPr>
      </w:pPr>
      <w:r w:rsidRPr="002B6DB5">
        <w:rPr>
          <w:rFonts w:asciiTheme="minorHAnsi" w:hAnsiTheme="minorHAnsi" w:cstheme="minorHAnsi"/>
          <w:szCs w:val="22"/>
        </w:rPr>
        <w:t>Address:</w:t>
      </w:r>
      <w:r w:rsidRPr="002B6DB5" w:rsidR="004E12AA">
        <w:rPr>
          <w:rFonts w:asciiTheme="minorHAnsi" w:hAnsiTheme="minorHAnsi" w:cstheme="minorHAnsi"/>
          <w:szCs w:val="22"/>
        </w:rPr>
        <w:t xml:space="preserve"> 45 Center Drive, Suite 1AF08, Rockville, MD 20892</w:t>
      </w:r>
    </w:p>
    <w:p w:rsidRPr="002B6DB5" w:rsidR="00E35DD1" w:rsidP="00F023CD" w:rsidRDefault="00E35DD1" w14:paraId="570BCCDE" w14:textId="112F040B">
      <w:pPr>
        <w:pStyle w:val="P1-StandPara"/>
        <w:tabs>
          <w:tab w:val="left" w:pos="720"/>
          <w:tab w:val="right" w:leader="dot" w:pos="9504"/>
        </w:tabs>
        <w:spacing w:before="120" w:line="240" w:lineRule="auto"/>
        <w:ind w:firstLine="0"/>
        <w:rPr>
          <w:rFonts w:asciiTheme="minorHAnsi" w:hAnsiTheme="minorHAnsi" w:cstheme="minorHAnsi"/>
          <w:szCs w:val="22"/>
        </w:rPr>
      </w:pPr>
      <w:r w:rsidRPr="002B6DB5">
        <w:rPr>
          <w:rFonts w:asciiTheme="minorHAnsi" w:hAnsiTheme="minorHAnsi" w:cstheme="minorHAnsi"/>
          <w:szCs w:val="22"/>
        </w:rPr>
        <w:t>Telephone:</w:t>
      </w:r>
      <w:r w:rsidRPr="002B6DB5" w:rsidR="004E12AA">
        <w:rPr>
          <w:rFonts w:asciiTheme="minorHAnsi" w:hAnsiTheme="minorHAnsi" w:cstheme="minorHAnsi"/>
          <w:szCs w:val="22"/>
        </w:rPr>
        <w:t xml:space="preserve"> 301-827-4125</w:t>
      </w:r>
    </w:p>
    <w:p w:rsidRPr="002B6DB5" w:rsidR="00E35DD1" w:rsidP="00F023CD" w:rsidRDefault="00E35DD1" w14:paraId="7ABF3457"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2B6DB5">
        <w:rPr>
          <w:rFonts w:asciiTheme="minorHAnsi" w:hAnsiTheme="minorHAnsi" w:cstheme="minorHAnsi"/>
          <w:szCs w:val="22"/>
        </w:rPr>
        <w:t>Fax:</w:t>
      </w:r>
    </w:p>
    <w:p w:rsidRPr="002B6DB5" w:rsidR="00E35DD1" w:rsidP="00F023CD" w:rsidRDefault="00E35DD1" w14:paraId="1447E9B1" w14:textId="12FFFB37">
      <w:pPr>
        <w:pStyle w:val="P1-StandPara"/>
        <w:tabs>
          <w:tab w:val="left" w:pos="720"/>
          <w:tab w:val="right" w:leader="dot" w:pos="9504"/>
        </w:tabs>
        <w:spacing w:before="120" w:line="240" w:lineRule="auto"/>
        <w:ind w:firstLine="0"/>
        <w:rPr>
          <w:rFonts w:asciiTheme="minorHAnsi" w:hAnsiTheme="minorHAnsi" w:cstheme="minorHAnsi"/>
          <w:szCs w:val="22"/>
        </w:rPr>
      </w:pPr>
      <w:r w:rsidRPr="002B6DB5">
        <w:rPr>
          <w:rFonts w:asciiTheme="minorHAnsi" w:hAnsiTheme="minorHAnsi" w:cstheme="minorHAnsi"/>
          <w:szCs w:val="22"/>
        </w:rPr>
        <w:t>Email:</w:t>
      </w:r>
      <w:r w:rsidRPr="002B6DB5" w:rsidR="004E12AA">
        <w:rPr>
          <w:rFonts w:asciiTheme="minorHAnsi" w:hAnsiTheme="minorHAnsi" w:cstheme="minorHAnsi"/>
          <w:szCs w:val="22"/>
        </w:rPr>
        <w:t xml:space="preserve"> bell.cooper@nih.gov</w:t>
      </w:r>
    </w:p>
    <w:p w:rsidR="0010356A" w:rsidP="00F023CD" w:rsidRDefault="0010356A" w14:paraId="57315B56" w14:textId="6EE986A5">
      <w:pPr>
        <w:pStyle w:val="P1-StandPara"/>
        <w:tabs>
          <w:tab w:val="left" w:pos="720"/>
          <w:tab w:val="right" w:leader="dot" w:pos="9504"/>
        </w:tabs>
        <w:spacing w:before="120" w:after="120"/>
        <w:rPr>
          <w:rFonts w:asciiTheme="minorHAnsi" w:hAnsiTheme="minorHAnsi" w:cstheme="minorHAnsi"/>
          <w:b/>
          <w:szCs w:val="22"/>
          <w:u w:val="single"/>
        </w:rPr>
      </w:pPr>
    </w:p>
    <w:p w:rsidRPr="002B6DB5" w:rsidR="00A80939" w:rsidP="00F023CD" w:rsidRDefault="00A80939" w14:paraId="0FDF6048" w14:textId="77777777">
      <w:pPr>
        <w:pStyle w:val="P1-StandPara"/>
        <w:tabs>
          <w:tab w:val="left" w:pos="720"/>
          <w:tab w:val="right" w:leader="dot" w:pos="9504"/>
        </w:tabs>
        <w:spacing w:before="120" w:after="120"/>
        <w:rPr>
          <w:rFonts w:asciiTheme="minorHAnsi" w:hAnsiTheme="minorHAnsi" w:cstheme="minorHAnsi"/>
          <w:b/>
          <w:szCs w:val="22"/>
          <w:u w:val="single"/>
        </w:rPr>
      </w:pPr>
    </w:p>
    <w:p w:rsidRPr="002B6DB5" w:rsidR="00E35DD1" w:rsidP="00F023CD" w:rsidRDefault="00E35DD1" w14:paraId="245B699E" w14:textId="52105247">
      <w:pPr>
        <w:pStyle w:val="P1-StandPara"/>
        <w:tabs>
          <w:tab w:val="left" w:pos="720"/>
          <w:tab w:val="right" w:leader="dot" w:pos="9504"/>
        </w:tabs>
        <w:spacing w:before="120" w:after="120"/>
        <w:rPr>
          <w:rFonts w:asciiTheme="minorHAnsi" w:hAnsiTheme="minorHAnsi" w:cstheme="minorHAnsi"/>
          <w:b/>
          <w:szCs w:val="22"/>
          <w:u w:val="single"/>
        </w:rPr>
      </w:pPr>
      <w:r w:rsidRPr="002B6DB5">
        <w:rPr>
          <w:rFonts w:asciiTheme="minorHAnsi" w:hAnsiTheme="minorHAnsi" w:cstheme="minorHAnsi"/>
          <w:b/>
          <w:szCs w:val="22"/>
          <w:u w:val="single"/>
        </w:rPr>
        <w:lastRenderedPageBreak/>
        <w:t>Table of contents</w:t>
      </w:r>
    </w:p>
    <w:p w:rsidRPr="002B6DB5" w:rsidR="00E35DD1" w:rsidP="00F023CD" w:rsidRDefault="00E35DD1" w14:paraId="61EF9CBA" w14:textId="18795893">
      <w:pPr>
        <w:pStyle w:val="P1-StandPara"/>
        <w:tabs>
          <w:tab w:val="left" w:pos="720"/>
        </w:tabs>
        <w:ind w:firstLine="0"/>
        <w:rPr>
          <w:rFonts w:asciiTheme="minorHAnsi" w:hAnsiTheme="minorHAnsi" w:cstheme="minorHAnsi"/>
          <w:szCs w:val="22"/>
        </w:rPr>
      </w:pPr>
      <w:r w:rsidRPr="002B6DB5">
        <w:rPr>
          <w:rFonts w:asciiTheme="minorHAnsi" w:hAnsiTheme="minorHAnsi" w:cstheme="minorHAnsi"/>
          <w:szCs w:val="22"/>
        </w:rPr>
        <w:fldChar w:fldCharType="begin"/>
      </w:r>
      <w:r w:rsidRPr="002B6DB5">
        <w:rPr>
          <w:rFonts w:asciiTheme="minorHAnsi" w:hAnsiTheme="minorHAnsi" w:cstheme="minorHAnsi"/>
          <w:szCs w:val="22"/>
        </w:rPr>
        <w:instrText xml:space="preserve"> TOC \o "1-2" \u </w:instrText>
      </w:r>
      <w:r w:rsidRPr="002B6DB5">
        <w:rPr>
          <w:rFonts w:asciiTheme="minorHAnsi" w:hAnsiTheme="minorHAnsi" w:cstheme="minorHAnsi"/>
          <w:szCs w:val="22"/>
        </w:rPr>
        <w:fldChar w:fldCharType="separate"/>
      </w:r>
      <w:r w:rsidRPr="002B6DB5">
        <w:rPr>
          <w:rFonts w:asciiTheme="minorHAnsi" w:hAnsiTheme="minorHAnsi" w:cstheme="minorHAnsi"/>
          <w:szCs w:val="22"/>
        </w:rPr>
        <w:t>A.</w:t>
      </w:r>
      <w:r w:rsidRPr="002B6DB5">
        <w:rPr>
          <w:rFonts w:asciiTheme="minorHAnsi" w:hAnsiTheme="minorHAnsi" w:cstheme="minorHAnsi"/>
          <w:szCs w:val="22"/>
        </w:rPr>
        <w:tab/>
      </w:r>
      <w:r w:rsidRPr="002B6DB5" w:rsidR="00641209">
        <w:rPr>
          <w:rFonts w:asciiTheme="minorHAnsi" w:hAnsiTheme="minorHAnsi" w:cstheme="minorHAnsi"/>
          <w:szCs w:val="22"/>
        </w:rPr>
        <w:t>ABSTRACT</w:t>
      </w:r>
      <w:r w:rsidRPr="002B6DB5">
        <w:rPr>
          <w:rFonts w:asciiTheme="minorHAnsi" w:hAnsiTheme="minorHAnsi" w:cstheme="minorHAnsi"/>
          <w:szCs w:val="22"/>
        </w:rPr>
        <w:tab/>
      </w:r>
    </w:p>
    <w:p w:rsidRPr="002B6DB5" w:rsidR="00E35DD1" w:rsidP="00F023CD" w:rsidRDefault="00E35DD1" w14:paraId="405C6C9A" w14:textId="009758CE">
      <w:pPr>
        <w:pStyle w:val="P1-StandPara"/>
        <w:ind w:firstLine="0"/>
        <w:rPr>
          <w:rFonts w:asciiTheme="minorHAnsi" w:hAnsiTheme="minorHAnsi" w:cstheme="minorHAnsi"/>
          <w:szCs w:val="22"/>
        </w:rPr>
      </w:pPr>
      <w:r w:rsidRPr="002B6DB5">
        <w:rPr>
          <w:rFonts w:asciiTheme="minorHAnsi" w:hAnsiTheme="minorHAnsi" w:cstheme="minorHAnsi"/>
          <w:szCs w:val="22"/>
        </w:rPr>
        <w:t>A.1</w:t>
      </w:r>
      <w:r w:rsidRPr="002B6DB5">
        <w:rPr>
          <w:rFonts w:asciiTheme="minorHAnsi" w:hAnsiTheme="minorHAnsi" w:cstheme="minorHAnsi"/>
          <w:szCs w:val="22"/>
        </w:rPr>
        <w:tab/>
        <w:t>Circumstances Making the Collection of Information Necessary</w:t>
      </w:r>
      <w:r w:rsidRPr="002B6DB5">
        <w:rPr>
          <w:rFonts w:asciiTheme="minorHAnsi" w:hAnsiTheme="minorHAnsi" w:cstheme="minorHAnsi"/>
          <w:szCs w:val="22"/>
        </w:rPr>
        <w:tab/>
      </w:r>
    </w:p>
    <w:p w:rsidRPr="002B6DB5" w:rsidR="00E35DD1" w:rsidP="00F023CD" w:rsidRDefault="00E35DD1" w14:paraId="34BF3267"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A.2.</w:t>
      </w:r>
      <w:r w:rsidRPr="002B6DB5">
        <w:rPr>
          <w:rFonts w:asciiTheme="minorHAnsi" w:hAnsiTheme="minorHAnsi" w:cstheme="minorHAnsi"/>
          <w:szCs w:val="22"/>
        </w:rPr>
        <w:tab/>
        <w:t>Purpose and Use of the Information COLLECTION</w:t>
      </w:r>
      <w:r w:rsidRPr="002B6DB5">
        <w:rPr>
          <w:rFonts w:asciiTheme="minorHAnsi" w:hAnsiTheme="minorHAnsi" w:cstheme="minorHAnsi"/>
          <w:szCs w:val="22"/>
        </w:rPr>
        <w:tab/>
      </w:r>
    </w:p>
    <w:p w:rsidRPr="002B6DB5" w:rsidR="00E35DD1" w:rsidP="00F023CD" w:rsidRDefault="00E35DD1" w14:paraId="25FD66D2"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A.3</w:t>
      </w:r>
      <w:r w:rsidRPr="002B6DB5">
        <w:rPr>
          <w:rFonts w:asciiTheme="minorHAnsi" w:hAnsiTheme="minorHAnsi" w:cstheme="minorHAnsi"/>
          <w:szCs w:val="22"/>
        </w:rPr>
        <w:tab/>
        <w:t>Use of Information Technology and Burden Reduction</w:t>
      </w:r>
      <w:r w:rsidRPr="002B6DB5">
        <w:rPr>
          <w:rFonts w:asciiTheme="minorHAnsi" w:hAnsiTheme="minorHAnsi" w:cstheme="minorHAnsi"/>
          <w:szCs w:val="22"/>
        </w:rPr>
        <w:tab/>
      </w:r>
    </w:p>
    <w:p w:rsidRPr="002B6DB5" w:rsidR="00E35DD1" w:rsidP="00F023CD" w:rsidRDefault="00E35DD1" w14:paraId="055E521F"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A.4</w:t>
      </w:r>
      <w:r w:rsidRPr="002B6DB5">
        <w:rPr>
          <w:rFonts w:asciiTheme="minorHAnsi" w:hAnsiTheme="minorHAnsi" w:cstheme="minorHAnsi"/>
          <w:szCs w:val="22"/>
        </w:rPr>
        <w:tab/>
        <w:t>Efforts to Identify Duplication and Use of Similar Information</w:t>
      </w:r>
      <w:r w:rsidRPr="002B6DB5">
        <w:rPr>
          <w:rFonts w:asciiTheme="minorHAnsi" w:hAnsiTheme="minorHAnsi" w:cstheme="minorHAnsi"/>
          <w:szCs w:val="22"/>
        </w:rPr>
        <w:tab/>
      </w:r>
    </w:p>
    <w:p w:rsidRPr="002B6DB5" w:rsidR="00E35DD1" w:rsidP="00F023CD" w:rsidRDefault="00E35DD1" w14:paraId="0E811BD9"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A.5</w:t>
      </w:r>
      <w:r w:rsidRPr="002B6DB5">
        <w:rPr>
          <w:rFonts w:asciiTheme="minorHAnsi" w:hAnsiTheme="minorHAnsi" w:cstheme="minorHAnsi"/>
          <w:szCs w:val="22"/>
        </w:rPr>
        <w:tab/>
        <w:t>Impact on Small Businesses or Other Small Entities</w:t>
      </w:r>
      <w:r w:rsidRPr="002B6DB5">
        <w:rPr>
          <w:rFonts w:asciiTheme="minorHAnsi" w:hAnsiTheme="minorHAnsi" w:cstheme="minorHAnsi"/>
          <w:szCs w:val="22"/>
        </w:rPr>
        <w:tab/>
      </w:r>
    </w:p>
    <w:p w:rsidRPr="002B6DB5" w:rsidR="00E35DD1" w:rsidP="00F023CD" w:rsidRDefault="00E35DD1" w14:paraId="0A160A3C"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A.6</w:t>
      </w:r>
      <w:r w:rsidRPr="002B6DB5">
        <w:rPr>
          <w:rFonts w:asciiTheme="minorHAnsi" w:hAnsiTheme="minorHAnsi" w:cstheme="minorHAnsi"/>
          <w:szCs w:val="22"/>
        </w:rPr>
        <w:tab/>
        <w:t>Consequences of Collecting the Information Less Frequently</w:t>
      </w:r>
      <w:r w:rsidRPr="002B6DB5">
        <w:rPr>
          <w:rFonts w:asciiTheme="minorHAnsi" w:hAnsiTheme="minorHAnsi" w:cstheme="minorHAnsi"/>
          <w:szCs w:val="22"/>
        </w:rPr>
        <w:tab/>
      </w:r>
    </w:p>
    <w:p w:rsidRPr="002B6DB5" w:rsidR="00E35DD1" w:rsidP="00F023CD" w:rsidRDefault="00E35DD1" w14:paraId="0A934E55"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A.7</w:t>
      </w:r>
      <w:r w:rsidRPr="002B6DB5">
        <w:rPr>
          <w:rFonts w:asciiTheme="minorHAnsi" w:hAnsiTheme="minorHAnsi" w:cstheme="minorHAnsi"/>
          <w:szCs w:val="22"/>
        </w:rPr>
        <w:tab/>
        <w:t>Special Circumstances Relating to the Guidelines of 5 CFR 1320.5</w:t>
      </w:r>
      <w:r w:rsidRPr="002B6DB5">
        <w:rPr>
          <w:rFonts w:asciiTheme="minorHAnsi" w:hAnsiTheme="minorHAnsi" w:cstheme="minorHAnsi"/>
          <w:szCs w:val="22"/>
        </w:rPr>
        <w:tab/>
      </w:r>
    </w:p>
    <w:p w:rsidRPr="002B6DB5" w:rsidR="00E35DD1" w:rsidP="00F023CD" w:rsidRDefault="00E35DD1" w14:paraId="5030BEA3"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A.8</w:t>
      </w:r>
      <w:r w:rsidRPr="002B6DB5">
        <w:rPr>
          <w:rFonts w:asciiTheme="minorHAnsi" w:hAnsiTheme="minorHAnsi" w:cstheme="minorHAnsi"/>
          <w:szCs w:val="22"/>
        </w:rPr>
        <w:tab/>
        <w:t>Comments in Response to the Federal Register Notice and Efforts to Consult Outside Agency</w:t>
      </w:r>
      <w:r w:rsidRPr="002B6DB5">
        <w:rPr>
          <w:rFonts w:asciiTheme="minorHAnsi" w:hAnsiTheme="minorHAnsi" w:cstheme="minorHAnsi"/>
          <w:szCs w:val="22"/>
        </w:rPr>
        <w:tab/>
      </w:r>
    </w:p>
    <w:p w:rsidRPr="002B6DB5" w:rsidR="00E35DD1" w:rsidP="00F023CD" w:rsidRDefault="00E35DD1" w14:paraId="790E500C"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A.9</w:t>
      </w:r>
      <w:r w:rsidRPr="002B6DB5">
        <w:rPr>
          <w:rFonts w:asciiTheme="minorHAnsi" w:hAnsiTheme="minorHAnsi" w:cstheme="minorHAnsi"/>
          <w:szCs w:val="22"/>
        </w:rPr>
        <w:tab/>
        <w:t>Explanation of Any Payment of Gift to Respondents</w:t>
      </w:r>
      <w:r w:rsidRPr="002B6DB5">
        <w:rPr>
          <w:rFonts w:asciiTheme="minorHAnsi" w:hAnsiTheme="minorHAnsi" w:cstheme="minorHAnsi"/>
          <w:szCs w:val="22"/>
        </w:rPr>
        <w:tab/>
      </w:r>
    </w:p>
    <w:p w:rsidRPr="002B6DB5" w:rsidR="00E35DD1" w:rsidP="00F023CD" w:rsidRDefault="00E35DD1" w14:paraId="3521DE96"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A.10</w:t>
      </w:r>
      <w:r w:rsidRPr="002B6DB5">
        <w:rPr>
          <w:rFonts w:asciiTheme="minorHAnsi" w:hAnsiTheme="minorHAnsi" w:cstheme="minorHAnsi"/>
          <w:szCs w:val="22"/>
        </w:rPr>
        <w:tab/>
        <w:t>Assurance of Confidentiality Provided to Respondents</w:t>
      </w:r>
      <w:r w:rsidRPr="002B6DB5">
        <w:rPr>
          <w:rFonts w:asciiTheme="minorHAnsi" w:hAnsiTheme="minorHAnsi" w:cstheme="minorHAnsi"/>
          <w:szCs w:val="22"/>
        </w:rPr>
        <w:tab/>
      </w:r>
    </w:p>
    <w:p w:rsidRPr="002B6DB5" w:rsidR="00E35DD1" w:rsidP="00F023CD" w:rsidRDefault="00E35DD1" w14:paraId="6F64EEA4"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A.11</w:t>
      </w:r>
      <w:r w:rsidRPr="002B6DB5">
        <w:rPr>
          <w:rFonts w:asciiTheme="minorHAnsi" w:hAnsiTheme="minorHAnsi" w:cstheme="minorHAnsi"/>
          <w:szCs w:val="22"/>
        </w:rPr>
        <w:tab/>
        <w:t>Justification for Sensitive Questions</w:t>
      </w:r>
      <w:r w:rsidRPr="002B6DB5">
        <w:rPr>
          <w:rFonts w:asciiTheme="minorHAnsi" w:hAnsiTheme="minorHAnsi" w:cstheme="minorHAnsi"/>
          <w:szCs w:val="22"/>
        </w:rPr>
        <w:tab/>
      </w:r>
    </w:p>
    <w:p w:rsidRPr="002B6DB5" w:rsidR="00E35DD1" w:rsidP="00F023CD" w:rsidRDefault="00E35DD1" w14:paraId="0E23F4BB"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A.12</w:t>
      </w:r>
      <w:r w:rsidRPr="002B6DB5">
        <w:rPr>
          <w:rFonts w:asciiTheme="minorHAnsi" w:hAnsiTheme="minorHAnsi" w:cstheme="minorHAnsi"/>
          <w:szCs w:val="22"/>
        </w:rPr>
        <w:tab/>
        <w:t>Estimates of Hour Burden Including Annualized Hourly Costs</w:t>
      </w:r>
      <w:r w:rsidRPr="002B6DB5">
        <w:rPr>
          <w:rFonts w:asciiTheme="minorHAnsi" w:hAnsiTheme="minorHAnsi" w:cstheme="minorHAnsi"/>
          <w:szCs w:val="22"/>
        </w:rPr>
        <w:tab/>
      </w:r>
    </w:p>
    <w:p w:rsidRPr="002B6DB5" w:rsidR="00E35DD1" w:rsidP="00F023CD" w:rsidRDefault="00E35DD1" w14:paraId="147053D2"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A.13</w:t>
      </w:r>
      <w:r w:rsidRPr="002B6DB5">
        <w:rPr>
          <w:rFonts w:asciiTheme="minorHAnsi" w:hAnsiTheme="minorHAnsi" w:cstheme="minorHAnsi"/>
          <w:szCs w:val="22"/>
        </w:rPr>
        <w:tab/>
        <w:t>Estimate of Other Total Annual Cost Burden to Respondents or Record  keepers</w:t>
      </w:r>
      <w:r w:rsidRPr="002B6DB5">
        <w:rPr>
          <w:rFonts w:asciiTheme="minorHAnsi" w:hAnsiTheme="minorHAnsi" w:cstheme="minorHAnsi"/>
          <w:szCs w:val="22"/>
        </w:rPr>
        <w:tab/>
      </w:r>
    </w:p>
    <w:p w:rsidRPr="002B6DB5" w:rsidR="00E35DD1" w:rsidP="00F023CD" w:rsidRDefault="00E35DD1" w14:paraId="344C675F"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A.14</w:t>
      </w:r>
      <w:r w:rsidRPr="002B6DB5">
        <w:rPr>
          <w:rFonts w:asciiTheme="minorHAnsi" w:hAnsiTheme="minorHAnsi" w:cstheme="minorHAnsi"/>
          <w:szCs w:val="22"/>
        </w:rPr>
        <w:tab/>
        <w:t>Annualized Cost to the Federal Government</w:t>
      </w:r>
      <w:r w:rsidRPr="002B6DB5">
        <w:rPr>
          <w:rFonts w:asciiTheme="minorHAnsi" w:hAnsiTheme="minorHAnsi" w:cstheme="minorHAnsi"/>
          <w:szCs w:val="22"/>
        </w:rPr>
        <w:tab/>
      </w:r>
    </w:p>
    <w:p w:rsidRPr="002B6DB5" w:rsidR="00E35DD1" w:rsidP="00F023CD" w:rsidRDefault="00E35DD1" w14:paraId="7226774F"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A.15</w:t>
      </w:r>
      <w:r w:rsidRPr="002B6DB5">
        <w:rPr>
          <w:rFonts w:asciiTheme="minorHAnsi" w:hAnsiTheme="minorHAnsi" w:cstheme="minorHAnsi"/>
          <w:szCs w:val="22"/>
        </w:rPr>
        <w:tab/>
        <w:t>Explanation for Program Changes or Adjustments</w:t>
      </w:r>
      <w:r w:rsidRPr="002B6DB5">
        <w:rPr>
          <w:rFonts w:asciiTheme="minorHAnsi" w:hAnsiTheme="minorHAnsi" w:cstheme="minorHAnsi"/>
          <w:szCs w:val="22"/>
        </w:rPr>
        <w:tab/>
      </w:r>
    </w:p>
    <w:p w:rsidRPr="002B6DB5" w:rsidR="00E35DD1" w:rsidP="00F023CD" w:rsidRDefault="00E35DD1" w14:paraId="48BBFCB2"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A.16</w:t>
      </w:r>
      <w:r w:rsidRPr="002B6DB5">
        <w:rPr>
          <w:rFonts w:asciiTheme="minorHAnsi" w:hAnsiTheme="minorHAnsi" w:cstheme="minorHAnsi"/>
          <w:szCs w:val="22"/>
        </w:rPr>
        <w:tab/>
        <w:t>Plans for Tabulation and Publication and Project Time Schedule</w:t>
      </w:r>
      <w:r w:rsidRPr="002B6DB5">
        <w:rPr>
          <w:rFonts w:asciiTheme="minorHAnsi" w:hAnsiTheme="minorHAnsi" w:cstheme="minorHAnsi"/>
          <w:szCs w:val="22"/>
        </w:rPr>
        <w:tab/>
      </w:r>
    </w:p>
    <w:p w:rsidRPr="002B6DB5" w:rsidR="00E35DD1" w:rsidP="00F023CD" w:rsidRDefault="00E35DD1" w14:paraId="6EDA2130"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A.17</w:t>
      </w:r>
      <w:r w:rsidRPr="002B6DB5">
        <w:rPr>
          <w:rFonts w:asciiTheme="minorHAnsi" w:hAnsiTheme="minorHAnsi" w:cstheme="minorHAnsi"/>
          <w:szCs w:val="22"/>
        </w:rPr>
        <w:tab/>
        <w:t>Reason(s) Display of OMB Expiration Date is Inappropriate</w:t>
      </w:r>
      <w:r w:rsidRPr="002B6DB5">
        <w:rPr>
          <w:rFonts w:asciiTheme="minorHAnsi" w:hAnsiTheme="minorHAnsi" w:cstheme="minorHAnsi"/>
          <w:szCs w:val="22"/>
        </w:rPr>
        <w:tab/>
      </w:r>
    </w:p>
    <w:p w:rsidRPr="002B6DB5" w:rsidR="00E35DD1" w:rsidP="00F023CD" w:rsidRDefault="00E35DD1" w14:paraId="41381730" w14:textId="77777777">
      <w:pPr>
        <w:pStyle w:val="P1-StandPara"/>
        <w:ind w:firstLine="0"/>
        <w:rPr>
          <w:rFonts w:asciiTheme="minorHAnsi" w:hAnsiTheme="minorHAnsi" w:cstheme="minorHAnsi"/>
          <w:szCs w:val="22"/>
        </w:rPr>
      </w:pPr>
      <w:r w:rsidRPr="002B6DB5">
        <w:rPr>
          <w:rFonts w:asciiTheme="minorHAnsi" w:hAnsiTheme="minorHAnsi" w:cstheme="minorHAnsi"/>
          <w:szCs w:val="22"/>
        </w:rPr>
        <w:t>A.18</w:t>
      </w:r>
      <w:r w:rsidRPr="002B6DB5">
        <w:rPr>
          <w:rFonts w:asciiTheme="minorHAnsi" w:hAnsiTheme="minorHAnsi" w:cstheme="minorHAnsi"/>
          <w:szCs w:val="22"/>
        </w:rPr>
        <w:tab/>
        <w:t>Exceptions to Certification for Paperwork Reduction Act Submissions</w:t>
      </w:r>
      <w:r w:rsidRPr="002B6DB5">
        <w:rPr>
          <w:rFonts w:asciiTheme="minorHAnsi" w:hAnsiTheme="minorHAnsi" w:cstheme="minorHAnsi"/>
          <w:szCs w:val="22"/>
        </w:rPr>
        <w:tab/>
      </w:r>
    </w:p>
    <w:p w:rsidRPr="002B6DB5" w:rsidR="006A45F9" w:rsidP="00F023CD" w:rsidRDefault="00103C23" w14:paraId="1FDE63E2" w14:textId="488D38C4">
      <w:pPr>
        <w:pStyle w:val="P1-StandPara"/>
        <w:ind w:firstLine="0"/>
        <w:rPr>
          <w:rFonts w:asciiTheme="minorHAnsi" w:hAnsiTheme="minorHAnsi" w:cstheme="minorHAnsi"/>
          <w:b/>
          <w:i/>
          <w:szCs w:val="22"/>
        </w:rPr>
      </w:pPr>
      <w:r w:rsidRPr="002B6DB5">
        <w:rPr>
          <w:rFonts w:asciiTheme="minorHAnsi" w:hAnsiTheme="minorHAnsi" w:cstheme="minorHAnsi"/>
          <w:b/>
          <w:i/>
          <w:szCs w:val="22"/>
        </w:rPr>
        <w:br w:type="column"/>
      </w:r>
      <w:r w:rsidRPr="002B6DB5" w:rsidR="006A45F9">
        <w:rPr>
          <w:rFonts w:asciiTheme="minorHAnsi" w:hAnsiTheme="minorHAnsi" w:cstheme="minorHAnsi"/>
          <w:b/>
          <w:i/>
          <w:szCs w:val="22"/>
        </w:rPr>
        <w:lastRenderedPageBreak/>
        <w:t>Attachments (save file names to match what is being referenced: (ex: x.baseline; y.screener)</w:t>
      </w:r>
    </w:p>
    <w:p w:rsidRPr="000E59E3" w:rsidR="00E35DD1" w:rsidP="007A48D8" w:rsidRDefault="00E35DD1" w14:paraId="31AA879B" w14:textId="63936072">
      <w:pPr>
        <w:pStyle w:val="P1-StandPara"/>
        <w:numPr>
          <w:ilvl w:val="0"/>
          <w:numId w:val="14"/>
        </w:numPr>
        <w:tabs>
          <w:tab w:val="left" w:pos="720"/>
          <w:tab w:val="right" w:leader="dot" w:pos="9504"/>
        </w:tabs>
        <w:spacing w:before="120" w:after="120"/>
        <w:rPr>
          <w:rFonts w:asciiTheme="minorHAnsi" w:hAnsiTheme="minorHAnsi" w:cstheme="minorHAnsi"/>
          <w:szCs w:val="22"/>
        </w:rPr>
      </w:pPr>
      <w:r w:rsidRPr="002B6DB5">
        <w:rPr>
          <w:rFonts w:asciiTheme="minorHAnsi" w:hAnsiTheme="minorHAnsi" w:cstheme="minorHAnsi"/>
          <w:szCs w:val="22"/>
        </w:rPr>
        <w:fldChar w:fldCharType="end"/>
      </w:r>
      <w:r w:rsidR="000E59E3">
        <w:rPr>
          <w:rFonts w:asciiTheme="minorHAnsi" w:hAnsiTheme="minorHAnsi" w:cstheme="minorHAnsi"/>
          <w:szCs w:val="22"/>
        </w:rPr>
        <w:t>Survey with Display Logic Instructions – “</w:t>
      </w:r>
      <w:r w:rsidRPr="000E59E3" w:rsidR="009C207F">
        <w:rPr>
          <w:rFonts w:asciiTheme="minorHAnsi" w:hAnsiTheme="minorHAnsi" w:cstheme="minorHAnsi"/>
          <w:szCs w:val="22"/>
        </w:rPr>
        <w:t xml:space="preserve">NIH Workplace Civility and Equity Survey </w:t>
      </w:r>
      <w:proofErr w:type="gramStart"/>
      <w:r w:rsidRPr="000E59E3" w:rsidR="000E59E3">
        <w:rPr>
          <w:rFonts w:asciiTheme="minorHAnsi" w:hAnsiTheme="minorHAnsi" w:cstheme="minorHAnsi"/>
          <w:szCs w:val="22"/>
        </w:rPr>
        <w:t>With</w:t>
      </w:r>
      <w:proofErr w:type="gramEnd"/>
      <w:r w:rsidRPr="000E59E3" w:rsidR="000E59E3">
        <w:rPr>
          <w:rFonts w:asciiTheme="minorHAnsi" w:hAnsiTheme="minorHAnsi" w:cstheme="minorHAnsi"/>
          <w:szCs w:val="22"/>
        </w:rPr>
        <w:t xml:space="preserve"> Display Logic.pdf</w:t>
      </w:r>
      <w:r w:rsidR="000E59E3">
        <w:rPr>
          <w:rFonts w:asciiTheme="minorHAnsi" w:hAnsiTheme="minorHAnsi" w:cstheme="minorHAnsi"/>
          <w:szCs w:val="22"/>
        </w:rPr>
        <w:t>”</w:t>
      </w:r>
    </w:p>
    <w:p w:rsidR="009B3DA0" w:rsidP="007A48D8" w:rsidRDefault="009B3DA0" w14:paraId="4884F21B" w14:textId="6DDFF425">
      <w:pPr>
        <w:pStyle w:val="P1-StandPara"/>
        <w:numPr>
          <w:ilvl w:val="0"/>
          <w:numId w:val="14"/>
        </w:numPr>
        <w:tabs>
          <w:tab w:val="left" w:pos="720"/>
          <w:tab w:val="right" w:leader="dot" w:pos="9504"/>
        </w:tabs>
        <w:spacing w:before="120" w:after="120"/>
        <w:rPr>
          <w:rFonts w:asciiTheme="minorHAnsi" w:hAnsiTheme="minorHAnsi" w:cstheme="minorHAnsi"/>
          <w:szCs w:val="22"/>
        </w:rPr>
      </w:pPr>
      <w:r>
        <w:rPr>
          <w:rFonts w:asciiTheme="minorHAnsi" w:hAnsiTheme="minorHAnsi" w:cstheme="minorHAnsi"/>
          <w:szCs w:val="22"/>
        </w:rPr>
        <w:t>Survey Screenshots – “</w:t>
      </w:r>
      <w:r w:rsidRPr="009B3DA0">
        <w:rPr>
          <w:rFonts w:asciiTheme="minorHAnsi" w:hAnsiTheme="minorHAnsi" w:cstheme="minorHAnsi"/>
          <w:szCs w:val="22"/>
        </w:rPr>
        <w:t>NIH Workplace Civility and Equity Survey</w:t>
      </w:r>
      <w:r w:rsidR="00A80939">
        <w:rPr>
          <w:rFonts w:asciiTheme="minorHAnsi" w:hAnsiTheme="minorHAnsi" w:cstheme="minorHAnsi"/>
          <w:szCs w:val="22"/>
        </w:rPr>
        <w:t xml:space="preserve"> </w:t>
      </w:r>
      <w:r w:rsidRPr="009B3DA0">
        <w:rPr>
          <w:rFonts w:asciiTheme="minorHAnsi" w:hAnsiTheme="minorHAnsi" w:cstheme="minorHAnsi"/>
          <w:szCs w:val="22"/>
        </w:rPr>
        <w:t>Screenshots</w:t>
      </w:r>
      <w:r w:rsidR="00A1688E">
        <w:rPr>
          <w:rFonts w:asciiTheme="minorHAnsi" w:hAnsiTheme="minorHAnsi" w:cstheme="minorHAnsi"/>
          <w:szCs w:val="22"/>
        </w:rPr>
        <w:t xml:space="preserve"> 6-15-2022</w:t>
      </w:r>
      <w:r w:rsidRPr="009B3DA0">
        <w:rPr>
          <w:rFonts w:asciiTheme="minorHAnsi" w:hAnsiTheme="minorHAnsi" w:cstheme="minorHAnsi"/>
          <w:szCs w:val="22"/>
        </w:rPr>
        <w:t xml:space="preserve"> .pdf</w:t>
      </w:r>
      <w:r>
        <w:rPr>
          <w:rFonts w:asciiTheme="minorHAnsi" w:hAnsiTheme="minorHAnsi" w:cstheme="minorHAnsi"/>
          <w:szCs w:val="22"/>
        </w:rPr>
        <w:t>”</w:t>
      </w:r>
    </w:p>
    <w:p w:rsidR="00A11F5B" w:rsidP="007A48D8" w:rsidRDefault="00A11F5B" w14:paraId="211F72ED" w14:textId="25A4048B">
      <w:pPr>
        <w:pStyle w:val="P1-StandPara"/>
        <w:numPr>
          <w:ilvl w:val="0"/>
          <w:numId w:val="14"/>
        </w:numPr>
        <w:tabs>
          <w:tab w:val="left" w:pos="720"/>
          <w:tab w:val="right" w:leader="dot" w:pos="9504"/>
        </w:tabs>
        <w:spacing w:before="120" w:after="120"/>
        <w:rPr>
          <w:rFonts w:asciiTheme="minorHAnsi" w:hAnsiTheme="minorHAnsi" w:cstheme="minorHAnsi"/>
          <w:szCs w:val="22"/>
        </w:rPr>
      </w:pPr>
      <w:r>
        <w:rPr>
          <w:rFonts w:asciiTheme="minorHAnsi" w:hAnsiTheme="minorHAnsi" w:cstheme="minorHAnsi"/>
          <w:szCs w:val="22"/>
        </w:rPr>
        <w:t xml:space="preserve">Privacy Impact Assessment - </w:t>
      </w:r>
      <w:r w:rsidRPr="00A11F5B">
        <w:rPr>
          <w:rFonts w:asciiTheme="minorHAnsi" w:hAnsiTheme="minorHAnsi" w:cstheme="minorHAnsi"/>
          <w:szCs w:val="22"/>
        </w:rPr>
        <w:t>“HHS PIA_PTA_TPWA Climate Survey 4-5-22.pdf”</w:t>
      </w:r>
    </w:p>
    <w:p w:rsidRPr="00687BE9" w:rsidR="00A11F5B" w:rsidP="007A48D8" w:rsidRDefault="00A11F5B" w14:paraId="4288FD52" w14:textId="319ADB88">
      <w:pPr>
        <w:pStyle w:val="P1-StandPara"/>
        <w:numPr>
          <w:ilvl w:val="0"/>
          <w:numId w:val="14"/>
        </w:numPr>
        <w:tabs>
          <w:tab w:val="left" w:pos="720"/>
          <w:tab w:val="right" w:leader="dot" w:pos="9504"/>
        </w:tabs>
        <w:spacing w:before="120" w:after="120"/>
        <w:rPr>
          <w:rFonts w:asciiTheme="minorHAnsi" w:hAnsiTheme="minorHAnsi" w:cstheme="minorHAnsi"/>
          <w:szCs w:val="22"/>
        </w:rPr>
      </w:pPr>
      <w:r w:rsidRPr="00687BE9">
        <w:rPr>
          <w:rFonts w:asciiTheme="minorHAnsi" w:hAnsiTheme="minorHAnsi" w:cstheme="minorHAnsi"/>
          <w:szCs w:val="22"/>
        </w:rPr>
        <w:t>Privacy Act Memo – “NIH Workplace CES Privacy Act Memo.pdf”</w:t>
      </w:r>
    </w:p>
    <w:p w:rsidRPr="00687BE9" w:rsidR="004D06E1" w:rsidP="007A48D8" w:rsidRDefault="004D06E1" w14:paraId="1CE4B02C" w14:textId="77482443">
      <w:pPr>
        <w:pStyle w:val="P1-StandPara"/>
        <w:numPr>
          <w:ilvl w:val="0"/>
          <w:numId w:val="14"/>
        </w:numPr>
        <w:tabs>
          <w:tab w:val="left" w:pos="720"/>
          <w:tab w:val="right" w:leader="dot" w:pos="9504"/>
        </w:tabs>
        <w:spacing w:before="120" w:after="120"/>
        <w:rPr>
          <w:rFonts w:asciiTheme="minorHAnsi" w:hAnsiTheme="minorHAnsi" w:cstheme="minorHAnsi"/>
          <w:szCs w:val="22"/>
        </w:rPr>
      </w:pPr>
      <w:r w:rsidRPr="00687BE9">
        <w:rPr>
          <w:rFonts w:asciiTheme="minorHAnsi" w:hAnsiTheme="minorHAnsi" w:cstheme="minorHAnsi"/>
          <w:szCs w:val="22"/>
        </w:rPr>
        <w:t>Invitation</w:t>
      </w:r>
      <w:r w:rsidRPr="00687BE9" w:rsidR="00E6307D">
        <w:rPr>
          <w:rFonts w:asciiTheme="minorHAnsi" w:hAnsiTheme="minorHAnsi" w:cstheme="minorHAnsi"/>
          <w:szCs w:val="22"/>
        </w:rPr>
        <w:t xml:space="preserve"> and Reminder</w:t>
      </w:r>
      <w:r w:rsidRPr="00687BE9">
        <w:rPr>
          <w:rFonts w:asciiTheme="minorHAnsi" w:hAnsiTheme="minorHAnsi" w:cstheme="minorHAnsi"/>
          <w:szCs w:val="22"/>
        </w:rPr>
        <w:t xml:space="preserve"> Email</w:t>
      </w:r>
      <w:r w:rsidRPr="00687BE9" w:rsidR="00E6307D">
        <w:rPr>
          <w:rFonts w:asciiTheme="minorHAnsi" w:hAnsiTheme="minorHAnsi" w:cstheme="minorHAnsi"/>
          <w:szCs w:val="22"/>
        </w:rPr>
        <w:t>s</w:t>
      </w:r>
      <w:r w:rsidRPr="00687BE9">
        <w:rPr>
          <w:rFonts w:asciiTheme="minorHAnsi" w:hAnsiTheme="minorHAnsi" w:cstheme="minorHAnsi"/>
          <w:szCs w:val="22"/>
        </w:rPr>
        <w:t xml:space="preserve"> </w:t>
      </w:r>
      <w:r w:rsidRPr="00687BE9" w:rsidR="00465451">
        <w:rPr>
          <w:rFonts w:asciiTheme="minorHAnsi" w:hAnsiTheme="minorHAnsi" w:cstheme="minorHAnsi"/>
          <w:szCs w:val="22"/>
        </w:rPr>
        <w:t>–</w:t>
      </w:r>
      <w:r w:rsidRPr="00687BE9">
        <w:rPr>
          <w:rFonts w:asciiTheme="minorHAnsi" w:hAnsiTheme="minorHAnsi" w:cstheme="minorHAnsi"/>
          <w:szCs w:val="22"/>
        </w:rPr>
        <w:t xml:space="preserve"> </w:t>
      </w:r>
      <w:r w:rsidRPr="00687BE9" w:rsidR="00687BE9">
        <w:rPr>
          <w:rFonts w:asciiTheme="minorHAnsi" w:hAnsiTheme="minorHAnsi" w:cstheme="minorHAnsi"/>
          <w:szCs w:val="22"/>
        </w:rPr>
        <w:t>“Workplace CES Email Communications.docx”</w:t>
      </w:r>
    </w:p>
    <w:p w:rsidRPr="00687BE9" w:rsidR="00465451" w:rsidP="007A48D8" w:rsidRDefault="00465451" w14:paraId="4323454F" w14:textId="0F3BCBFA">
      <w:pPr>
        <w:pStyle w:val="P1-StandPara"/>
        <w:numPr>
          <w:ilvl w:val="0"/>
          <w:numId w:val="14"/>
        </w:numPr>
        <w:tabs>
          <w:tab w:val="left" w:pos="720"/>
          <w:tab w:val="right" w:leader="dot" w:pos="9504"/>
        </w:tabs>
        <w:spacing w:before="120" w:after="120"/>
        <w:rPr>
          <w:rFonts w:asciiTheme="minorHAnsi" w:hAnsiTheme="minorHAnsi" w:cstheme="minorHAnsi"/>
          <w:szCs w:val="22"/>
        </w:rPr>
      </w:pPr>
      <w:r w:rsidRPr="00687BE9">
        <w:rPr>
          <w:rFonts w:asciiTheme="minorHAnsi" w:hAnsiTheme="minorHAnsi" w:cstheme="minorHAnsi"/>
          <w:szCs w:val="22"/>
        </w:rPr>
        <w:t xml:space="preserve">60-day FRN Comment Log </w:t>
      </w:r>
      <w:r w:rsidRPr="00687BE9" w:rsidR="009E6365">
        <w:rPr>
          <w:rFonts w:asciiTheme="minorHAnsi" w:hAnsiTheme="minorHAnsi" w:cstheme="minorHAnsi"/>
          <w:szCs w:val="22"/>
        </w:rPr>
        <w:t>–</w:t>
      </w:r>
      <w:r w:rsidRPr="00687BE9">
        <w:rPr>
          <w:rFonts w:asciiTheme="minorHAnsi" w:hAnsiTheme="minorHAnsi" w:cstheme="minorHAnsi"/>
          <w:szCs w:val="22"/>
        </w:rPr>
        <w:t xml:space="preserve"> </w:t>
      </w:r>
      <w:r w:rsidRPr="00687BE9" w:rsidR="009E6365">
        <w:rPr>
          <w:rFonts w:asciiTheme="minorHAnsi" w:hAnsiTheme="minorHAnsi" w:cstheme="minorHAnsi"/>
          <w:szCs w:val="22"/>
        </w:rPr>
        <w:t>“60 Day Comment Tracking Log.doc”</w:t>
      </w:r>
    </w:p>
    <w:p w:rsidR="009E6365" w:rsidP="009E6365" w:rsidRDefault="009E6365" w14:paraId="442AA177" w14:textId="328119A3">
      <w:pPr>
        <w:pStyle w:val="P1-StandPara"/>
        <w:tabs>
          <w:tab w:val="left" w:pos="720"/>
          <w:tab w:val="right" w:leader="dot" w:pos="9504"/>
        </w:tabs>
        <w:spacing w:before="120" w:after="120"/>
        <w:rPr>
          <w:rFonts w:asciiTheme="minorHAnsi" w:hAnsiTheme="minorHAnsi" w:cstheme="minorHAnsi"/>
          <w:szCs w:val="22"/>
        </w:rPr>
      </w:pPr>
    </w:p>
    <w:p w:rsidRPr="002B6DB5" w:rsidR="009E6365" w:rsidP="009E6365" w:rsidRDefault="009E6365" w14:paraId="1DC16007" w14:textId="77777777">
      <w:pPr>
        <w:pStyle w:val="P1-StandPara"/>
        <w:tabs>
          <w:tab w:val="left" w:pos="720"/>
          <w:tab w:val="right" w:leader="dot" w:pos="9504"/>
        </w:tabs>
        <w:spacing w:before="120" w:after="120"/>
        <w:rPr>
          <w:rFonts w:asciiTheme="minorHAnsi" w:hAnsiTheme="minorHAnsi" w:cstheme="minorHAnsi"/>
          <w:szCs w:val="22"/>
        </w:rPr>
      </w:pPr>
    </w:p>
    <w:p w:rsidRPr="002B6DB5" w:rsidR="009C207F" w:rsidP="00F023CD" w:rsidRDefault="009C207F" w14:paraId="707AC5F3" w14:textId="77777777">
      <w:pPr>
        <w:pStyle w:val="P1-StandPara"/>
        <w:tabs>
          <w:tab w:val="left" w:pos="720"/>
          <w:tab w:val="right" w:leader="dot" w:pos="9504"/>
        </w:tabs>
        <w:spacing w:before="120" w:after="120"/>
        <w:rPr>
          <w:rFonts w:asciiTheme="minorHAnsi" w:hAnsiTheme="minorHAnsi" w:cstheme="minorHAnsi"/>
          <w:szCs w:val="22"/>
        </w:rPr>
      </w:pPr>
    </w:p>
    <w:p w:rsidRPr="002B6DB5" w:rsidR="00976490" w:rsidP="00F023CD" w:rsidRDefault="00976490" w14:paraId="6C67AC7F"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2B6DB5" w:rsidR="006A45F9" w:rsidP="00F023CD" w:rsidRDefault="009C207F" w14:paraId="605173DA" w14:textId="3E9E7780">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2B6DB5">
        <w:rPr>
          <w:rFonts w:asciiTheme="minorHAnsi" w:hAnsiTheme="minorHAnsi" w:cstheme="minorHAnsi"/>
          <w:b/>
          <w:szCs w:val="22"/>
        </w:rPr>
        <w:br w:type="column"/>
      </w:r>
      <w:r w:rsidRPr="002B6DB5" w:rsidR="006A45F9">
        <w:rPr>
          <w:rFonts w:asciiTheme="minorHAnsi" w:hAnsiTheme="minorHAnsi" w:cstheme="minorHAnsi"/>
          <w:b/>
          <w:szCs w:val="22"/>
        </w:rPr>
        <w:lastRenderedPageBreak/>
        <w:t xml:space="preserve">A. </w:t>
      </w:r>
      <w:r w:rsidRPr="002B6DB5" w:rsidR="00BE76A7">
        <w:rPr>
          <w:rFonts w:asciiTheme="minorHAnsi" w:hAnsiTheme="minorHAnsi" w:cstheme="minorHAnsi"/>
          <w:b/>
          <w:szCs w:val="22"/>
        </w:rPr>
        <w:t>Justification</w:t>
      </w:r>
    </w:p>
    <w:p w:rsidRPr="003218F9" w:rsidR="00694754" w:rsidP="00F023CD" w:rsidRDefault="00E17075" w14:paraId="5130A1E3" w14:textId="139D2E51">
      <w:pPr>
        <w:spacing w:line="240" w:lineRule="auto"/>
        <w:rPr>
          <w:rFonts w:cstheme="minorHAnsi"/>
        </w:rPr>
      </w:pPr>
      <w:bookmarkStart w:name="_Hlk88132181" w:id="0"/>
      <w:r w:rsidRPr="003218F9">
        <w:rPr>
          <w:rFonts w:cstheme="minorHAnsi"/>
        </w:rPr>
        <w:t xml:space="preserve">All NIH </w:t>
      </w:r>
      <w:r w:rsidRPr="003218F9" w:rsidR="00F342D4">
        <w:rPr>
          <w:rFonts w:cstheme="minorHAnsi"/>
        </w:rPr>
        <w:t xml:space="preserve">staff </w:t>
      </w:r>
      <w:r w:rsidRPr="003218F9" w:rsidR="00972137">
        <w:rPr>
          <w:rFonts w:cstheme="minorHAnsi"/>
        </w:rPr>
        <w:t xml:space="preserve">(federal and non-federal) </w:t>
      </w:r>
      <w:r w:rsidRPr="003218F9">
        <w:rPr>
          <w:rFonts w:cstheme="minorHAnsi"/>
        </w:rPr>
        <w:t xml:space="preserve">will be invited to respond to the NIH Civility and Equity Survey. </w:t>
      </w:r>
      <w:r w:rsidRPr="003218F9" w:rsidR="00694754">
        <w:rPr>
          <w:rFonts w:cstheme="minorHAnsi"/>
        </w:rPr>
        <w:t>The purpose of this survey is to assess the workplace climate and evaluate the prevalence of harassment and discrimination at the National Institutes of Health (NIH). Specifically, the results of this survey will facilitate a data driven analysis of the types of harassment and/or discrimination that may be occurring or is perceived to be occurring, by its workers. To this end, where applicable, NIH will leverage these findings to identify areas within NIH that require further investigation, thereby providing opportunities for targeted prevention or mitigation strategies.</w:t>
      </w:r>
    </w:p>
    <w:bookmarkEnd w:id="0"/>
    <w:p w:rsidRPr="002B6DB5" w:rsidR="00976490" w:rsidP="00F023CD" w:rsidRDefault="00976490" w14:paraId="4FF2901B" w14:textId="77777777">
      <w:pPr>
        <w:pStyle w:val="P1-StandPara"/>
        <w:tabs>
          <w:tab w:val="left" w:pos="720"/>
          <w:tab w:val="right" w:leader="dot" w:pos="9504"/>
        </w:tabs>
        <w:spacing w:before="120" w:after="120"/>
        <w:ind w:firstLine="0"/>
        <w:rPr>
          <w:rFonts w:asciiTheme="minorHAnsi" w:hAnsiTheme="minorHAnsi" w:cstheme="minorHAnsi"/>
          <w:b/>
          <w:szCs w:val="22"/>
        </w:rPr>
      </w:pPr>
    </w:p>
    <w:p w:rsidRPr="002B6DB5" w:rsidR="000F3043" w:rsidP="00F023CD" w:rsidRDefault="000F3043" w14:paraId="278F4695" w14:textId="77777777">
      <w:pPr>
        <w:pStyle w:val="P1-StandPara"/>
        <w:tabs>
          <w:tab w:val="left" w:pos="720"/>
          <w:tab w:val="right" w:leader="dot" w:pos="9504"/>
        </w:tabs>
        <w:spacing w:before="120" w:after="120"/>
        <w:ind w:firstLine="0"/>
        <w:rPr>
          <w:rFonts w:asciiTheme="minorHAnsi" w:hAnsiTheme="minorHAnsi" w:cstheme="minorHAnsi"/>
          <w:b/>
          <w:szCs w:val="22"/>
        </w:rPr>
      </w:pPr>
      <w:r w:rsidRPr="002B6DB5">
        <w:rPr>
          <w:rFonts w:asciiTheme="minorHAnsi" w:hAnsiTheme="minorHAnsi" w:cstheme="minorHAnsi"/>
          <w:b/>
          <w:szCs w:val="22"/>
        </w:rPr>
        <w:t>A.1</w:t>
      </w:r>
      <w:r w:rsidRPr="002B6DB5">
        <w:rPr>
          <w:rFonts w:asciiTheme="minorHAnsi" w:hAnsiTheme="minorHAnsi" w:cstheme="minorHAnsi"/>
          <w:b/>
          <w:szCs w:val="22"/>
        </w:rPr>
        <w:tab/>
        <w:t>Circumstances Making the Collection of Information Necessary</w:t>
      </w:r>
    </w:p>
    <w:p w:rsidRPr="002B6DB5" w:rsidR="00125B53" w:rsidP="00F023CD" w:rsidRDefault="00F342D4" w14:paraId="02A06CCD" w14:textId="1D55C287">
      <w:pPr>
        <w:rPr>
          <w:rFonts w:cstheme="minorHAnsi"/>
        </w:rPr>
      </w:pPr>
      <w:r w:rsidRPr="002B6DB5">
        <w:rPr>
          <w:rFonts w:cstheme="minorHAnsi"/>
        </w:rPr>
        <w:t>Executive Order 13985</w:t>
      </w:r>
      <w:r w:rsidR="003942E7">
        <w:rPr>
          <w:rFonts w:cstheme="minorHAnsi"/>
        </w:rPr>
        <w:t>, “</w:t>
      </w:r>
      <w:r w:rsidRPr="003942E7" w:rsidR="003942E7">
        <w:rPr>
          <w:rFonts w:cstheme="minorHAnsi"/>
        </w:rPr>
        <w:t xml:space="preserve">Executive Order </w:t>
      </w:r>
      <w:r w:rsidRPr="003942E7" w:rsidR="00AB5FBA">
        <w:rPr>
          <w:rFonts w:cstheme="minorHAnsi"/>
        </w:rPr>
        <w:t>on</w:t>
      </w:r>
      <w:r w:rsidRPr="003942E7" w:rsidR="003942E7">
        <w:rPr>
          <w:rFonts w:cstheme="minorHAnsi"/>
        </w:rPr>
        <w:t xml:space="preserve"> Advancing Racial Equity and Support for Underserved Communities Through the Federal Government</w:t>
      </w:r>
      <w:r w:rsidR="003942E7">
        <w:rPr>
          <w:rFonts w:cstheme="minorHAnsi"/>
        </w:rPr>
        <w:t>”</w:t>
      </w:r>
      <w:r w:rsidRPr="002B6DB5" w:rsidR="008F4B59">
        <w:rPr>
          <w:rFonts w:cstheme="minorHAnsi"/>
        </w:rPr>
        <w:t xml:space="preserve"> is intended to strengthen the federal workforce by promoting diversity, equity, inclusion, and accessibility.</w:t>
      </w:r>
      <w:r w:rsidRPr="002B6DB5">
        <w:rPr>
          <w:rFonts w:cstheme="minorHAnsi"/>
        </w:rPr>
        <w:t xml:space="preserve"> </w:t>
      </w:r>
      <w:r w:rsidRPr="002B6DB5" w:rsidR="008F4B59">
        <w:rPr>
          <w:rFonts w:cstheme="minorHAnsi"/>
        </w:rPr>
        <w:t>In accordance with this Executive Order</w:t>
      </w:r>
      <w:r w:rsidRPr="002B6DB5" w:rsidR="00625C6D">
        <w:rPr>
          <w:rFonts w:cstheme="minorHAnsi"/>
        </w:rPr>
        <w:t xml:space="preserve"> and laws enforced by the US Equal Employment Opportunity Commission</w:t>
      </w:r>
      <w:r w:rsidRPr="002B6DB5" w:rsidR="008F4B59">
        <w:rPr>
          <w:rFonts w:cstheme="minorHAnsi"/>
        </w:rPr>
        <w:t>, t</w:t>
      </w:r>
      <w:r w:rsidRPr="002B6DB5">
        <w:rPr>
          <w:rFonts w:cstheme="minorHAnsi"/>
        </w:rPr>
        <w:t>he purpose of the information collection is to support Diversity, Equity, Inclusion, and Accessibility initiatives across NIH</w:t>
      </w:r>
      <w:r w:rsidRPr="002B6DB5" w:rsidR="008F4B59">
        <w:rPr>
          <w:rFonts w:cstheme="minorHAnsi"/>
        </w:rPr>
        <w:t>.</w:t>
      </w:r>
      <w:r w:rsidRPr="002B6DB5" w:rsidR="00625C6D">
        <w:rPr>
          <w:rFonts w:cstheme="minorHAnsi"/>
        </w:rPr>
        <w:t xml:space="preserve"> </w:t>
      </w:r>
    </w:p>
    <w:p w:rsidR="008F4B59" w:rsidP="00F023CD" w:rsidRDefault="008F4B59" w14:paraId="0D17E6F9" w14:textId="5DC2242D">
      <w:pPr>
        <w:rPr>
          <w:rFonts w:cstheme="minorHAnsi"/>
        </w:rPr>
      </w:pPr>
      <w:r w:rsidRPr="002B6DB5">
        <w:rPr>
          <w:rFonts w:cstheme="minorHAnsi"/>
        </w:rPr>
        <w:t xml:space="preserve">The information collection is further supported by the NIH Policy Manual chapter 1311 in its goal of maintaining a work environment that is free of harassment and other inappropriate conduct. </w:t>
      </w:r>
    </w:p>
    <w:p w:rsidRPr="002B6DB5" w:rsidR="00081A7E" w:rsidP="00F023CD" w:rsidRDefault="00081A7E" w14:paraId="7BF2B2C7" w14:textId="77777777">
      <w:pPr>
        <w:rPr>
          <w:rFonts w:cstheme="minorHAnsi"/>
        </w:rPr>
      </w:pPr>
    </w:p>
    <w:p w:rsidRPr="002B6DB5" w:rsidR="000F3043" w:rsidP="00F023CD" w:rsidRDefault="000F3043" w14:paraId="6713C5AA" w14:textId="77777777">
      <w:pPr>
        <w:pStyle w:val="Heading2"/>
        <w:spacing w:line="480" w:lineRule="auto"/>
        <w:rPr>
          <w:rFonts w:asciiTheme="minorHAnsi" w:hAnsiTheme="minorHAnsi" w:cstheme="minorHAnsi"/>
          <w:b/>
          <w:color w:val="auto"/>
          <w:sz w:val="22"/>
          <w:szCs w:val="22"/>
        </w:rPr>
      </w:pPr>
      <w:bookmarkStart w:name="_Toc443881743" w:id="1"/>
      <w:bookmarkStart w:name="_Toc451592232" w:id="2"/>
      <w:bookmarkStart w:name="_Toc5610273" w:id="3"/>
      <w:bookmarkStart w:name="_Toc99178779" w:id="4"/>
      <w:r w:rsidRPr="002B6DB5">
        <w:rPr>
          <w:rFonts w:asciiTheme="minorHAnsi" w:hAnsiTheme="minorHAnsi" w:cstheme="minorHAnsi"/>
          <w:b/>
          <w:color w:val="auto"/>
          <w:sz w:val="22"/>
          <w:szCs w:val="22"/>
        </w:rPr>
        <w:t>A.2    Purpose and Use of the Information</w:t>
      </w:r>
      <w:bookmarkEnd w:id="1"/>
      <w:bookmarkEnd w:id="2"/>
      <w:bookmarkEnd w:id="3"/>
      <w:bookmarkEnd w:id="4"/>
      <w:r w:rsidRPr="002B6DB5">
        <w:rPr>
          <w:rFonts w:asciiTheme="minorHAnsi" w:hAnsiTheme="minorHAnsi" w:cstheme="minorHAnsi"/>
          <w:b/>
          <w:color w:val="auto"/>
          <w:sz w:val="22"/>
          <w:szCs w:val="22"/>
        </w:rPr>
        <w:t xml:space="preserve"> Collection</w:t>
      </w:r>
    </w:p>
    <w:p w:rsidRPr="002B6DB5" w:rsidR="00EC6748" w:rsidP="00F023CD" w:rsidRDefault="00197B5B" w14:paraId="103A6613" w14:textId="047D38FB">
      <w:pPr>
        <w:rPr>
          <w:rFonts w:cstheme="minorHAnsi"/>
          <w:color w:val="000000" w:themeColor="text1"/>
        </w:rPr>
      </w:pPr>
      <w:r w:rsidRPr="002B6DB5">
        <w:rPr>
          <w:rFonts w:cstheme="minorHAnsi"/>
          <w:color w:val="000000" w:themeColor="text1"/>
        </w:rPr>
        <w:t>The information collection program has been funded with approval by the NIH Principal Deputy Director.</w:t>
      </w:r>
      <w:r w:rsidRPr="002B6DB5" w:rsidR="002612CC">
        <w:rPr>
          <w:rFonts w:cstheme="minorHAnsi"/>
          <w:color w:val="000000" w:themeColor="text1"/>
        </w:rPr>
        <w:t xml:space="preserve"> </w:t>
      </w:r>
      <w:r w:rsidRPr="002B6DB5" w:rsidR="00EC6748">
        <w:rPr>
          <w:rFonts w:cstheme="minorHAnsi"/>
          <w:color w:val="000000" w:themeColor="text1"/>
        </w:rPr>
        <w:t xml:space="preserve">The information collected in the survey will be used to examine areas within NIH where there may be </w:t>
      </w:r>
      <w:r w:rsidRPr="002B6DB5" w:rsidR="00C835B4">
        <w:rPr>
          <w:rFonts w:cstheme="minorHAnsi"/>
          <w:color w:val="000000" w:themeColor="text1"/>
        </w:rPr>
        <w:t xml:space="preserve">organizational concentration </w:t>
      </w:r>
      <w:r w:rsidRPr="002B6DB5" w:rsidR="00EC6748">
        <w:rPr>
          <w:rFonts w:cstheme="minorHAnsi"/>
          <w:color w:val="000000" w:themeColor="text1"/>
        </w:rPr>
        <w:t>of discrimination or harassment. The results of the survey will be used by th</w:t>
      </w:r>
      <w:r w:rsidRPr="002B6DB5" w:rsidR="00541A94">
        <w:rPr>
          <w:rFonts w:cstheme="minorHAnsi"/>
          <w:color w:val="000000" w:themeColor="text1"/>
        </w:rPr>
        <w:t>ree primary stakeholders: the</w:t>
      </w:r>
      <w:r w:rsidRPr="002B6DB5" w:rsidR="00EC6748">
        <w:rPr>
          <w:rFonts w:cstheme="minorHAnsi"/>
          <w:color w:val="000000" w:themeColor="text1"/>
        </w:rPr>
        <w:t xml:space="preserve"> NIH Civil Branch, the NIH Office of Equity, Diversity and Inclusion, and </w:t>
      </w:r>
      <w:r w:rsidRPr="002B6DB5" w:rsidR="002612CC">
        <w:rPr>
          <w:rFonts w:cstheme="minorHAnsi"/>
          <w:color w:val="000000" w:themeColor="text1"/>
        </w:rPr>
        <w:t xml:space="preserve">NIH’s </w:t>
      </w:r>
      <w:r w:rsidRPr="002B6DB5" w:rsidR="00EC6748">
        <w:rPr>
          <w:rFonts w:cstheme="minorHAnsi"/>
          <w:color w:val="000000" w:themeColor="text1"/>
        </w:rPr>
        <w:t>UNITE committe</w:t>
      </w:r>
      <w:r w:rsidRPr="002B6DB5">
        <w:rPr>
          <w:rFonts w:cstheme="minorHAnsi"/>
          <w:color w:val="000000" w:themeColor="text1"/>
        </w:rPr>
        <w:t>e.</w:t>
      </w:r>
      <w:r w:rsidRPr="002B6DB5" w:rsidR="00610177">
        <w:rPr>
          <w:rFonts w:cstheme="minorHAnsi"/>
          <w:color w:val="000000" w:themeColor="text1"/>
        </w:rPr>
        <w:t xml:space="preserve"> </w:t>
      </w:r>
      <w:r w:rsidRPr="002B6DB5" w:rsidR="00541A94">
        <w:rPr>
          <w:rFonts w:cstheme="minorHAnsi"/>
          <w:color w:val="000000" w:themeColor="text1"/>
        </w:rPr>
        <w:t xml:space="preserve">The government contractor, </w:t>
      </w:r>
      <w:proofErr w:type="spellStart"/>
      <w:r w:rsidRPr="002B6DB5" w:rsidR="00541A94">
        <w:rPr>
          <w:rFonts w:cstheme="minorHAnsi"/>
          <w:color w:val="000000" w:themeColor="text1"/>
        </w:rPr>
        <w:t>Westat</w:t>
      </w:r>
      <w:proofErr w:type="spellEnd"/>
      <w:r w:rsidRPr="002B6DB5" w:rsidR="00541A94">
        <w:rPr>
          <w:rFonts w:cstheme="minorHAnsi"/>
          <w:color w:val="000000" w:themeColor="text1"/>
        </w:rPr>
        <w:t xml:space="preserve">, will administer the survey and provide aggregate </w:t>
      </w:r>
      <w:r w:rsidRPr="002B6DB5" w:rsidR="002612CC">
        <w:rPr>
          <w:rFonts w:cstheme="minorHAnsi"/>
          <w:color w:val="000000" w:themeColor="text1"/>
        </w:rPr>
        <w:t xml:space="preserve">results </w:t>
      </w:r>
      <w:r w:rsidRPr="002B6DB5" w:rsidR="00541A94">
        <w:rPr>
          <w:rFonts w:cstheme="minorHAnsi"/>
          <w:color w:val="000000" w:themeColor="text1"/>
        </w:rPr>
        <w:t xml:space="preserve">to the Workforce Support and Development Division (WSDD). WSDD will facilitate analysis and reporting to provide to the stakeholders. </w:t>
      </w:r>
      <w:r w:rsidRPr="002B6DB5" w:rsidR="00234BF2">
        <w:rPr>
          <w:rFonts w:cstheme="minorHAnsi"/>
          <w:color w:val="000000" w:themeColor="text1"/>
        </w:rPr>
        <w:t xml:space="preserve">The term of clearance is </w:t>
      </w:r>
      <w:r w:rsidRPr="002B6DB5" w:rsidR="003808B4">
        <w:rPr>
          <w:rFonts w:cstheme="minorHAnsi"/>
          <w:color w:val="000000" w:themeColor="text1"/>
        </w:rPr>
        <w:t xml:space="preserve">3 years. </w:t>
      </w:r>
    </w:p>
    <w:p w:rsidRPr="002B6DB5" w:rsidR="00610177" w:rsidP="00F023CD" w:rsidRDefault="00610177" w14:paraId="0FBC6E33" w14:textId="3B3BEA9F">
      <w:pPr>
        <w:rPr>
          <w:rFonts w:cstheme="minorHAnsi"/>
          <w:color w:val="000000" w:themeColor="text1"/>
        </w:rPr>
      </w:pPr>
      <w:r w:rsidRPr="002B6DB5">
        <w:rPr>
          <w:rFonts w:cstheme="minorHAnsi"/>
          <w:color w:val="000000" w:themeColor="text1"/>
        </w:rPr>
        <w:t xml:space="preserve">NIH </w:t>
      </w:r>
      <w:r w:rsidRPr="002B6DB5" w:rsidR="006C5FC7">
        <w:rPr>
          <w:rFonts w:cstheme="minorHAnsi"/>
          <w:color w:val="000000" w:themeColor="text1"/>
        </w:rPr>
        <w:t xml:space="preserve">staff </w:t>
      </w:r>
      <w:r w:rsidRPr="002B6DB5">
        <w:rPr>
          <w:rFonts w:cstheme="minorHAnsi"/>
          <w:color w:val="000000" w:themeColor="text1"/>
        </w:rPr>
        <w:t xml:space="preserve">are </w:t>
      </w:r>
      <w:r w:rsidRPr="002B6DB5" w:rsidR="00275E20">
        <w:rPr>
          <w:rFonts w:cstheme="minorHAnsi"/>
          <w:color w:val="000000" w:themeColor="text1"/>
        </w:rPr>
        <w:t xml:space="preserve">provided guidance and training on how </w:t>
      </w:r>
      <w:r w:rsidRPr="002B6DB5">
        <w:rPr>
          <w:rFonts w:cstheme="minorHAnsi"/>
          <w:color w:val="000000" w:themeColor="text1"/>
        </w:rPr>
        <w:t xml:space="preserve">to report instances of harassment or inappropriate conduct to the NIH Civil </w:t>
      </w:r>
      <w:r w:rsidR="00FF3F59">
        <w:rPr>
          <w:rFonts w:cstheme="minorHAnsi"/>
          <w:color w:val="000000" w:themeColor="text1"/>
        </w:rPr>
        <w:t>B</w:t>
      </w:r>
      <w:r w:rsidRPr="002B6DB5">
        <w:rPr>
          <w:rFonts w:cstheme="minorHAnsi"/>
          <w:color w:val="000000" w:themeColor="text1"/>
        </w:rPr>
        <w:t>ranch and instances of discrimination to the NIH Office of Equity, Diver</w:t>
      </w:r>
      <w:r w:rsidRPr="002B6DB5" w:rsidR="00E17075">
        <w:rPr>
          <w:rFonts w:cstheme="minorHAnsi"/>
          <w:color w:val="000000" w:themeColor="text1"/>
        </w:rPr>
        <w:t>s</w:t>
      </w:r>
      <w:r w:rsidRPr="002B6DB5">
        <w:rPr>
          <w:rFonts w:cstheme="minorHAnsi"/>
          <w:color w:val="000000" w:themeColor="text1"/>
        </w:rPr>
        <w:t>ity, and Inclusion. However, it is important to</w:t>
      </w:r>
      <w:r w:rsidRPr="002B6DB5" w:rsidR="006F63CE">
        <w:rPr>
          <w:rFonts w:cstheme="minorHAnsi"/>
          <w:color w:val="000000" w:themeColor="text1"/>
        </w:rPr>
        <w:t xml:space="preserve"> continually</w:t>
      </w:r>
      <w:r w:rsidRPr="002B6DB5">
        <w:rPr>
          <w:rFonts w:cstheme="minorHAnsi"/>
          <w:color w:val="000000" w:themeColor="text1"/>
        </w:rPr>
        <w:t xml:space="preserve"> examine the effectiveness and awareness of the reporting process so that these organizations may best assist NIH employees in instances of harassment/misconduct and discrimination. The results of the survey will allow the organizations </w:t>
      </w:r>
      <w:r w:rsidRPr="002B6DB5" w:rsidR="006F63CE">
        <w:rPr>
          <w:rFonts w:cstheme="minorHAnsi"/>
          <w:color w:val="000000" w:themeColor="text1"/>
        </w:rPr>
        <w:t xml:space="preserve">above </w:t>
      </w:r>
      <w:r w:rsidRPr="002B6DB5">
        <w:rPr>
          <w:rFonts w:cstheme="minorHAnsi"/>
          <w:color w:val="000000" w:themeColor="text1"/>
        </w:rPr>
        <w:t xml:space="preserve">to examine a few areas of inquiry. First, they may examine awareness and </w:t>
      </w:r>
      <w:r w:rsidRPr="002B6DB5" w:rsidR="006C5FC7">
        <w:rPr>
          <w:rFonts w:cstheme="minorHAnsi"/>
          <w:color w:val="000000" w:themeColor="text1"/>
        </w:rPr>
        <w:t xml:space="preserve">NIH staffs’ </w:t>
      </w:r>
      <w:r w:rsidRPr="002B6DB5">
        <w:rPr>
          <w:rFonts w:cstheme="minorHAnsi"/>
          <w:color w:val="000000" w:themeColor="text1"/>
        </w:rPr>
        <w:t>perceptions of the reporting process. This will allow them to observe and improve any gaps or inefficiencies in the reporting process</w:t>
      </w:r>
      <w:r w:rsidRPr="002B6DB5" w:rsidR="006F63CE">
        <w:rPr>
          <w:rFonts w:cstheme="minorHAnsi"/>
          <w:color w:val="000000" w:themeColor="text1"/>
        </w:rPr>
        <w:t xml:space="preserve"> and to implement additional training opportunities for processes that have low awareness</w:t>
      </w:r>
      <w:r w:rsidRPr="002B6DB5">
        <w:rPr>
          <w:rFonts w:cstheme="minorHAnsi"/>
          <w:color w:val="000000" w:themeColor="text1"/>
        </w:rPr>
        <w:t>. Second, they</w:t>
      </w:r>
      <w:r w:rsidRPr="002B6DB5" w:rsidR="002739C1">
        <w:rPr>
          <w:rFonts w:cstheme="minorHAnsi"/>
          <w:color w:val="000000" w:themeColor="text1"/>
        </w:rPr>
        <w:t xml:space="preserve"> may examine areas within NIH where there may be increased instances of harassment/inappropriate conduct or discrimination. This includes</w:t>
      </w:r>
      <w:r w:rsidRPr="002B6DB5" w:rsidR="002612CC">
        <w:rPr>
          <w:rFonts w:cstheme="minorHAnsi"/>
          <w:color w:val="000000" w:themeColor="text1"/>
        </w:rPr>
        <w:t xml:space="preserve"> organizational or functional</w:t>
      </w:r>
      <w:r w:rsidRPr="002B6DB5" w:rsidR="002739C1">
        <w:rPr>
          <w:rFonts w:cstheme="minorHAnsi"/>
          <w:color w:val="000000" w:themeColor="text1"/>
        </w:rPr>
        <w:t xml:space="preserve"> areas where </w:t>
      </w:r>
      <w:r w:rsidRPr="002B6DB5" w:rsidR="006C5FC7">
        <w:rPr>
          <w:rFonts w:cstheme="minorHAnsi"/>
          <w:color w:val="000000" w:themeColor="text1"/>
        </w:rPr>
        <w:t xml:space="preserve">staff </w:t>
      </w:r>
      <w:r w:rsidRPr="002B6DB5" w:rsidR="002739C1">
        <w:rPr>
          <w:rFonts w:cstheme="minorHAnsi"/>
          <w:color w:val="000000" w:themeColor="text1"/>
        </w:rPr>
        <w:t xml:space="preserve">may be experiencing adverse events but not going through the official reporting process. This will allow these organizations to open inquiries into the areas of concern at NIH. It will also allow them to gain an understanding of why </w:t>
      </w:r>
      <w:r w:rsidRPr="002B6DB5" w:rsidR="006C5FC7">
        <w:rPr>
          <w:rFonts w:cstheme="minorHAnsi"/>
          <w:color w:val="000000" w:themeColor="text1"/>
        </w:rPr>
        <w:t xml:space="preserve">staff </w:t>
      </w:r>
      <w:r w:rsidRPr="002B6DB5" w:rsidR="002739C1">
        <w:rPr>
          <w:rFonts w:cstheme="minorHAnsi"/>
          <w:color w:val="000000" w:themeColor="text1"/>
        </w:rPr>
        <w:t>do not officially report adverse events</w:t>
      </w:r>
      <w:r w:rsidRPr="002B6DB5" w:rsidR="00E17075">
        <w:rPr>
          <w:rFonts w:cstheme="minorHAnsi"/>
          <w:color w:val="000000" w:themeColor="text1"/>
        </w:rPr>
        <w:t xml:space="preserve">, which could inform interventional strategies to encourage reporting. </w:t>
      </w:r>
      <w:r w:rsidRPr="002B6DB5" w:rsidR="003F6D2C">
        <w:rPr>
          <w:rFonts w:cstheme="minorHAnsi"/>
          <w:color w:val="000000" w:themeColor="text1"/>
        </w:rPr>
        <w:t xml:space="preserve">Working with Civil and </w:t>
      </w:r>
      <w:r w:rsidRPr="002B6DB5" w:rsidR="003F6D2C">
        <w:rPr>
          <w:rFonts w:cstheme="minorHAnsi"/>
          <w:color w:val="000000" w:themeColor="text1"/>
        </w:rPr>
        <w:lastRenderedPageBreak/>
        <w:t>EDI, NIH ICs will be able to leverage results from the survey to develop and implement more effective strategies to improve the workplace climate and reduce instances of incivility and inequity</w:t>
      </w:r>
      <w:r w:rsidR="00494916">
        <w:rPr>
          <w:rFonts w:cstheme="minorHAnsi"/>
          <w:color w:val="000000" w:themeColor="text1"/>
        </w:rPr>
        <w:t xml:space="preserve"> – see </w:t>
      </w:r>
      <w:r w:rsidR="00784A9A">
        <w:rPr>
          <w:rFonts w:cstheme="minorHAnsi"/>
          <w:color w:val="000000" w:themeColor="text1"/>
        </w:rPr>
        <w:t>(</w:t>
      </w:r>
      <w:r w:rsidR="00494916">
        <w:rPr>
          <w:rFonts w:cstheme="minorHAnsi"/>
          <w:color w:val="000000" w:themeColor="text1"/>
        </w:rPr>
        <w:t>attachments</w:t>
      </w:r>
      <w:r w:rsidR="00784A9A">
        <w:rPr>
          <w:rFonts w:cstheme="minorHAnsi"/>
          <w:color w:val="000000" w:themeColor="text1"/>
        </w:rPr>
        <w:t xml:space="preserve"> #</w:t>
      </w:r>
      <w:r w:rsidR="00494916">
        <w:rPr>
          <w:rFonts w:cstheme="minorHAnsi"/>
          <w:color w:val="000000" w:themeColor="text1"/>
        </w:rPr>
        <w:t xml:space="preserve">1, </w:t>
      </w:r>
      <w:r w:rsidR="00784A9A">
        <w:rPr>
          <w:rFonts w:cstheme="minorHAnsi"/>
          <w:color w:val="000000" w:themeColor="text1"/>
        </w:rPr>
        <w:t>#</w:t>
      </w:r>
      <w:r w:rsidR="00494916">
        <w:rPr>
          <w:rFonts w:cstheme="minorHAnsi"/>
          <w:color w:val="000000" w:themeColor="text1"/>
        </w:rPr>
        <w:t>2</w:t>
      </w:r>
      <w:r w:rsidR="00784A9A">
        <w:rPr>
          <w:rFonts w:cstheme="minorHAnsi"/>
          <w:color w:val="000000" w:themeColor="text1"/>
        </w:rPr>
        <w:t>)</w:t>
      </w:r>
      <w:r w:rsidR="00494916">
        <w:rPr>
          <w:rFonts w:cstheme="minorHAnsi"/>
          <w:color w:val="000000" w:themeColor="text1"/>
        </w:rPr>
        <w:t>.</w:t>
      </w:r>
    </w:p>
    <w:p w:rsidRPr="002B6DB5" w:rsidR="000C1B43" w:rsidP="00F023CD" w:rsidRDefault="000C1B43" w14:paraId="490F506B" w14:textId="30885D02">
      <w:pPr>
        <w:rPr>
          <w:rFonts w:cstheme="minorHAnsi"/>
          <w:color w:val="000000" w:themeColor="text1"/>
        </w:rPr>
      </w:pPr>
      <w:r w:rsidRPr="002B6DB5">
        <w:rPr>
          <w:rFonts w:cstheme="minorHAnsi"/>
          <w:color w:val="000000" w:themeColor="text1"/>
        </w:rPr>
        <w:t xml:space="preserve">NIH established the UNITE initiative to identify and address structural racism within </w:t>
      </w:r>
      <w:r w:rsidRPr="002B6DB5" w:rsidR="00D22E14">
        <w:rPr>
          <w:rFonts w:cstheme="minorHAnsi"/>
          <w:color w:val="000000" w:themeColor="text1"/>
        </w:rPr>
        <w:t>t</w:t>
      </w:r>
      <w:r w:rsidRPr="002B6DB5">
        <w:rPr>
          <w:rFonts w:cstheme="minorHAnsi"/>
          <w:color w:val="000000" w:themeColor="text1"/>
        </w:rPr>
        <w:t xml:space="preserve">he NIH-supported and greater scientific community. </w:t>
      </w:r>
      <w:r w:rsidRPr="002B6DB5" w:rsidR="002612CC">
        <w:rPr>
          <w:rFonts w:cstheme="minorHAnsi"/>
          <w:color w:val="000000" w:themeColor="text1"/>
        </w:rPr>
        <w:t>R</w:t>
      </w:r>
      <w:r w:rsidRPr="002B6DB5" w:rsidR="00D22E14">
        <w:rPr>
          <w:rFonts w:cstheme="minorHAnsi"/>
          <w:color w:val="000000" w:themeColor="text1"/>
        </w:rPr>
        <w:t>esults</w:t>
      </w:r>
      <w:r w:rsidRPr="002B6DB5" w:rsidR="002612CC">
        <w:rPr>
          <w:rFonts w:cstheme="minorHAnsi"/>
          <w:color w:val="000000" w:themeColor="text1"/>
        </w:rPr>
        <w:t xml:space="preserve"> from survey questions focused on structural racism</w:t>
      </w:r>
      <w:r w:rsidRPr="002B6DB5" w:rsidR="00D22E14">
        <w:rPr>
          <w:rFonts w:cstheme="minorHAnsi"/>
          <w:color w:val="000000" w:themeColor="text1"/>
        </w:rPr>
        <w:t xml:space="preserve"> will support the UNITE goal to establish an equitable and civil culture and to reduce barriers to racial equity at NIH. Specifically, the UNITE committee will use the results of the survey to examine intersectional instances of discrimination and harassment. </w:t>
      </w:r>
      <w:r w:rsidRPr="002B6DB5" w:rsidR="0090640B">
        <w:rPr>
          <w:rFonts w:cstheme="minorHAnsi"/>
          <w:color w:val="000000" w:themeColor="text1"/>
        </w:rPr>
        <w:t>The results will inform strategies for tackling the problem of racism and discrimination in science and to promote diversity and inclusion across NIH</w:t>
      </w:r>
      <w:r w:rsidR="00494916">
        <w:rPr>
          <w:rFonts w:cstheme="minorHAnsi"/>
          <w:color w:val="000000" w:themeColor="text1"/>
        </w:rPr>
        <w:t xml:space="preserve"> – see attachments #1, #2.</w:t>
      </w:r>
    </w:p>
    <w:p w:rsidRPr="002B6DB5" w:rsidR="00610177" w:rsidP="00F023CD" w:rsidRDefault="00610177" w14:paraId="25BB08CB" w14:textId="77777777">
      <w:pPr>
        <w:rPr>
          <w:rFonts w:cstheme="minorHAnsi"/>
          <w:color w:val="000000" w:themeColor="text1"/>
        </w:rPr>
      </w:pPr>
    </w:p>
    <w:p w:rsidRPr="002B6DB5" w:rsidR="00A00CF8" w:rsidP="00F023CD" w:rsidRDefault="00A00CF8" w14:paraId="771476A4" w14:textId="77777777">
      <w:pPr>
        <w:rPr>
          <w:rFonts w:cstheme="minorHAnsi"/>
          <w:b/>
          <w:color w:val="000000" w:themeColor="text1"/>
        </w:rPr>
      </w:pPr>
      <w:r w:rsidRPr="002B6DB5">
        <w:rPr>
          <w:rFonts w:cstheme="minorHAnsi"/>
          <w:b/>
          <w:color w:val="000000" w:themeColor="text1"/>
        </w:rPr>
        <w:t>A.3     Use of Information Technology and Burden Reduction</w:t>
      </w:r>
    </w:p>
    <w:p w:rsidRPr="002B6DB5" w:rsidR="00E66C53" w:rsidP="00F023CD" w:rsidRDefault="00E66C53" w14:paraId="4DDFB1AF" w14:textId="06773E24">
      <w:pPr>
        <w:rPr>
          <w:rFonts w:cstheme="minorHAnsi"/>
          <w:color w:val="000000" w:themeColor="text1"/>
        </w:rPr>
      </w:pPr>
      <w:r w:rsidRPr="002B6DB5">
        <w:rPr>
          <w:rFonts w:cstheme="minorHAnsi"/>
          <w:color w:val="000000" w:themeColor="text1"/>
        </w:rPr>
        <w:t xml:space="preserve">The survey will be emailed to all NIH employees, </w:t>
      </w:r>
      <w:r w:rsidRPr="002B6DB5" w:rsidR="00395B45">
        <w:rPr>
          <w:rFonts w:cstheme="minorHAnsi"/>
          <w:color w:val="000000" w:themeColor="text1"/>
        </w:rPr>
        <w:t>trainees</w:t>
      </w:r>
      <w:r w:rsidRPr="002B6DB5">
        <w:rPr>
          <w:rFonts w:cstheme="minorHAnsi"/>
          <w:color w:val="000000" w:themeColor="text1"/>
        </w:rPr>
        <w:t>, contractors</w:t>
      </w:r>
      <w:r w:rsidRPr="002B6DB5" w:rsidR="00395B45">
        <w:rPr>
          <w:rFonts w:cstheme="minorHAnsi"/>
          <w:color w:val="000000" w:themeColor="text1"/>
        </w:rPr>
        <w:t>, volunteers, and other staff</w:t>
      </w:r>
      <w:r w:rsidRPr="002B6DB5">
        <w:rPr>
          <w:rFonts w:cstheme="minorHAnsi"/>
          <w:color w:val="000000" w:themeColor="text1"/>
        </w:rPr>
        <w:t xml:space="preserve"> Each individual will receive a unique link for their responses that they can use and return to at any time. The survey will be administered through Qualtrics, an online survey platform.</w:t>
      </w:r>
      <w:r w:rsidRPr="002B6DB5" w:rsidR="00541A94">
        <w:rPr>
          <w:rFonts w:cstheme="minorHAnsi"/>
          <w:color w:val="000000" w:themeColor="text1"/>
        </w:rPr>
        <w:t xml:space="preserve"> Programming will allow responses to be saved as the respondent moves through each item on the survey and for respondents to go back to earlier questions. Respondents will be able to save their responses and resume the survey </w:t>
      </w:r>
      <w:proofErr w:type="gramStart"/>
      <w:r w:rsidRPr="002B6DB5" w:rsidR="00541A94">
        <w:rPr>
          <w:rFonts w:cstheme="minorHAnsi"/>
          <w:color w:val="000000" w:themeColor="text1"/>
        </w:rPr>
        <w:t>at a later time</w:t>
      </w:r>
      <w:proofErr w:type="gramEnd"/>
      <w:r w:rsidRPr="002B6DB5" w:rsidR="00541A94">
        <w:rPr>
          <w:rFonts w:cstheme="minorHAnsi"/>
          <w:color w:val="000000" w:themeColor="text1"/>
        </w:rPr>
        <w:t xml:space="preserve"> whether they elect to finish later or if a hard break-off occurs (i.e., the survey was left open and timed-out or the respondent accidentally closed the browser window). The web survey will include a progress bar, contact information for the helpdesk, and links to additional resources. The survey will be Section 508 compliant and have a responsive design allowing it to be completed on a mobile device. </w:t>
      </w:r>
      <w:r w:rsidRPr="002B6DB5">
        <w:rPr>
          <w:rFonts w:cstheme="minorHAnsi"/>
          <w:color w:val="000000" w:themeColor="text1"/>
        </w:rPr>
        <w:t xml:space="preserve"> The online method is used to reduce respondent burden and for ease of recording and storing responses. </w:t>
      </w:r>
      <w:r w:rsidRPr="002B6DB5" w:rsidR="00541A94">
        <w:rPr>
          <w:rFonts w:cstheme="minorHAnsi"/>
          <w:color w:val="000000" w:themeColor="text1"/>
        </w:rPr>
        <w:t xml:space="preserve">Qualtrics is a FedRAMP certified </w:t>
      </w:r>
      <w:r w:rsidRPr="002B6DB5" w:rsidR="00F72D06">
        <w:rPr>
          <w:rFonts w:cstheme="minorHAnsi"/>
          <w:color w:val="000000" w:themeColor="text1"/>
        </w:rPr>
        <w:t>software</w:t>
      </w:r>
      <w:r w:rsidRPr="002B6DB5" w:rsidR="00541A94">
        <w:rPr>
          <w:rFonts w:cstheme="minorHAnsi"/>
          <w:color w:val="000000" w:themeColor="text1"/>
        </w:rPr>
        <w:t xml:space="preserve">. </w:t>
      </w:r>
      <w:r w:rsidRPr="002B6DB5" w:rsidR="003808B4">
        <w:rPr>
          <w:rFonts w:cstheme="minorHAnsi"/>
          <w:color w:val="000000" w:themeColor="text1"/>
        </w:rPr>
        <w:t xml:space="preserve">Our team was instructed to include a PIA for this project; the PIA is </w:t>
      </w:r>
      <w:r w:rsidR="00A11F5B">
        <w:rPr>
          <w:rFonts w:cstheme="minorHAnsi"/>
          <w:color w:val="000000" w:themeColor="text1"/>
        </w:rPr>
        <w:t xml:space="preserve">attached – </w:t>
      </w:r>
      <w:r w:rsidR="00FE7049">
        <w:rPr>
          <w:rFonts w:cstheme="minorHAnsi"/>
          <w:color w:val="000000" w:themeColor="text1"/>
        </w:rPr>
        <w:t>see attachment #</w:t>
      </w:r>
      <w:r w:rsidR="00FF3F59">
        <w:rPr>
          <w:rFonts w:cstheme="minorHAnsi"/>
          <w:color w:val="000000" w:themeColor="text1"/>
        </w:rPr>
        <w:t>3</w:t>
      </w:r>
      <w:r w:rsidR="00FE7049">
        <w:rPr>
          <w:rFonts w:cstheme="minorHAnsi"/>
          <w:color w:val="000000" w:themeColor="text1"/>
        </w:rPr>
        <w:t>.</w:t>
      </w:r>
    </w:p>
    <w:p w:rsidRPr="002B6DB5" w:rsidR="00685B30" w:rsidP="00F023CD" w:rsidRDefault="00685B30" w14:paraId="2634512F" w14:textId="77777777">
      <w:pPr>
        <w:pStyle w:val="Heading2"/>
        <w:spacing w:line="480" w:lineRule="auto"/>
        <w:ind w:left="720" w:hanging="720"/>
        <w:rPr>
          <w:rFonts w:asciiTheme="minorHAnsi" w:hAnsiTheme="minorHAnsi" w:cstheme="minorHAnsi"/>
          <w:b/>
          <w:color w:val="auto"/>
          <w:sz w:val="22"/>
          <w:szCs w:val="22"/>
        </w:rPr>
      </w:pPr>
      <w:bookmarkStart w:name="_Toc443881745" w:id="5"/>
      <w:bookmarkStart w:name="_Toc451592234" w:id="6"/>
      <w:bookmarkStart w:name="_Toc5610275" w:id="7"/>
      <w:bookmarkStart w:name="_Toc99178781" w:id="8"/>
      <w:r w:rsidRPr="002B6DB5">
        <w:rPr>
          <w:rFonts w:asciiTheme="minorHAnsi" w:hAnsiTheme="minorHAnsi" w:cstheme="minorHAnsi"/>
          <w:b/>
          <w:color w:val="auto"/>
          <w:sz w:val="22"/>
          <w:szCs w:val="22"/>
        </w:rPr>
        <w:t>A.4</w:t>
      </w:r>
      <w:r w:rsidRPr="002B6DB5">
        <w:rPr>
          <w:rFonts w:asciiTheme="minorHAnsi" w:hAnsiTheme="minorHAnsi" w:cstheme="minorHAnsi"/>
          <w:b/>
          <w:color w:val="auto"/>
          <w:sz w:val="22"/>
          <w:szCs w:val="22"/>
        </w:rPr>
        <w:tab/>
        <w:t>Efforts to Identify Duplication and Use of Similar Information</w:t>
      </w:r>
      <w:bookmarkEnd w:id="5"/>
      <w:bookmarkEnd w:id="6"/>
      <w:bookmarkEnd w:id="7"/>
      <w:bookmarkEnd w:id="8"/>
    </w:p>
    <w:p w:rsidRPr="002B6DB5" w:rsidR="003F6D2C" w:rsidP="00F023CD" w:rsidRDefault="00541A94" w14:paraId="78424F5F" w14:textId="77777777">
      <w:pPr>
        <w:rPr>
          <w:rFonts w:cstheme="minorHAnsi"/>
        </w:rPr>
      </w:pPr>
      <w:r w:rsidRPr="002B6DB5">
        <w:rPr>
          <w:rFonts w:cstheme="minorHAnsi"/>
        </w:rPr>
        <w:t>Duplication is mitigated by providing unique survey links to individual employees. It is technically possible for employees to take the survey more than once if they use a separate browser or device. However, duplication will be monitored and identified by the survey administrator. Duplicate responses will be removed prior to analyses</w:t>
      </w:r>
      <w:r w:rsidRPr="002B6DB5" w:rsidR="003F6D2C">
        <w:rPr>
          <w:rFonts w:cstheme="minorHAnsi"/>
        </w:rPr>
        <w:t>.</w:t>
      </w:r>
    </w:p>
    <w:p w:rsidRPr="002B6DB5" w:rsidR="00541A94" w:rsidP="00F023CD" w:rsidRDefault="003F6D2C" w14:paraId="66BCF3AC" w14:textId="4E6C4F3C">
      <w:pPr>
        <w:rPr>
          <w:rFonts w:cstheme="minorHAnsi"/>
        </w:rPr>
      </w:pPr>
      <w:r w:rsidRPr="002B6DB5">
        <w:rPr>
          <w:rFonts w:cstheme="minorHAnsi"/>
        </w:rPr>
        <w:t>The survey differs from other NIH-wide information collection forms, such as the Federal Employee Viewpoint Survey.</w:t>
      </w:r>
      <w:r w:rsidRPr="002B6DB5" w:rsidR="009E02B9">
        <w:rPr>
          <w:rFonts w:cstheme="minorHAnsi"/>
        </w:rPr>
        <w:t xml:space="preserve"> The survey team developed the questions with the content of other federal surveys in mind.</w:t>
      </w:r>
      <w:r w:rsidRPr="002B6DB5">
        <w:rPr>
          <w:rFonts w:cstheme="minorHAnsi"/>
        </w:rPr>
        <w:t xml:space="preserve"> Any overlapping information requested in this survey is specifically intended for </w:t>
      </w:r>
      <w:r w:rsidRPr="002B6DB5" w:rsidR="0009546E">
        <w:rPr>
          <w:rFonts w:cstheme="minorHAnsi"/>
        </w:rPr>
        <w:t>comparative purposes, such as to assess a different point in time</w:t>
      </w:r>
      <w:r w:rsidRPr="002B6DB5">
        <w:rPr>
          <w:rFonts w:cstheme="minorHAnsi"/>
        </w:rPr>
        <w:t xml:space="preserve">. The Workforce Support and Development Division </w:t>
      </w:r>
      <w:r w:rsidRPr="002B6DB5" w:rsidR="004A359A">
        <w:rPr>
          <w:rFonts w:cstheme="minorHAnsi"/>
        </w:rPr>
        <w:t xml:space="preserve">(WSDD) </w:t>
      </w:r>
      <w:r w:rsidRPr="002B6DB5">
        <w:rPr>
          <w:rFonts w:cstheme="minorHAnsi"/>
        </w:rPr>
        <w:t xml:space="preserve">at NIH point of contact for all survey development efforts involving NIH staff. Therefore, </w:t>
      </w:r>
      <w:r w:rsidRPr="002B6DB5" w:rsidR="004A359A">
        <w:rPr>
          <w:rFonts w:cstheme="minorHAnsi"/>
        </w:rPr>
        <w:t xml:space="preserve">WSDD will monitor and recommend adjustments to any information collection efforts that may </w:t>
      </w:r>
      <w:r w:rsidRPr="002B6DB5" w:rsidR="009E02B9">
        <w:rPr>
          <w:rFonts w:cstheme="minorHAnsi"/>
        </w:rPr>
        <w:t>contain future duplication risk.</w:t>
      </w:r>
    </w:p>
    <w:p w:rsidRPr="002B6DB5" w:rsidR="00685B30" w:rsidP="00F023CD" w:rsidRDefault="00685B30" w14:paraId="2E534297" w14:textId="77777777">
      <w:pPr>
        <w:pStyle w:val="Heading2"/>
        <w:spacing w:line="480" w:lineRule="auto"/>
        <w:ind w:left="720" w:hanging="720"/>
        <w:rPr>
          <w:rFonts w:asciiTheme="minorHAnsi" w:hAnsiTheme="minorHAnsi" w:cstheme="minorHAnsi"/>
          <w:b/>
          <w:color w:val="auto"/>
          <w:sz w:val="22"/>
          <w:szCs w:val="22"/>
        </w:rPr>
      </w:pPr>
      <w:bookmarkStart w:name="_Toc443881746" w:id="9"/>
      <w:bookmarkStart w:name="_Toc451592235" w:id="10"/>
      <w:bookmarkStart w:name="_Toc5610276" w:id="11"/>
      <w:bookmarkStart w:name="_Toc99178782" w:id="12"/>
      <w:r w:rsidRPr="002B6DB5">
        <w:rPr>
          <w:rFonts w:asciiTheme="minorHAnsi" w:hAnsiTheme="minorHAnsi" w:cstheme="minorHAnsi"/>
          <w:b/>
          <w:color w:val="auto"/>
          <w:sz w:val="22"/>
          <w:szCs w:val="22"/>
        </w:rPr>
        <w:t>A.5</w:t>
      </w:r>
      <w:r w:rsidRPr="002B6DB5">
        <w:rPr>
          <w:rFonts w:asciiTheme="minorHAnsi" w:hAnsiTheme="minorHAnsi" w:cstheme="minorHAnsi"/>
          <w:b/>
          <w:color w:val="auto"/>
          <w:sz w:val="22"/>
          <w:szCs w:val="22"/>
        </w:rPr>
        <w:tab/>
        <w:t>Impact on Small Businesses or Other Small Entities</w:t>
      </w:r>
      <w:bookmarkEnd w:id="9"/>
      <w:bookmarkEnd w:id="10"/>
      <w:bookmarkEnd w:id="11"/>
      <w:bookmarkEnd w:id="12"/>
    </w:p>
    <w:p w:rsidRPr="002B6DB5" w:rsidR="004C74AC" w:rsidP="00F023CD" w:rsidRDefault="004C74AC" w14:paraId="42451752" w14:textId="6F9C843F">
      <w:pPr>
        <w:pStyle w:val="P1-StandPara"/>
        <w:spacing w:line="240" w:lineRule="auto"/>
        <w:ind w:firstLine="0"/>
        <w:rPr>
          <w:rFonts w:asciiTheme="minorHAnsi" w:hAnsiTheme="minorHAnsi" w:cstheme="minorHAnsi"/>
        </w:rPr>
      </w:pPr>
    </w:p>
    <w:p w:rsidRPr="002B6DB5" w:rsidR="004C74AC" w:rsidP="00F023CD" w:rsidRDefault="004C74AC" w14:paraId="628A4E75" w14:textId="52FBD40C">
      <w:pPr>
        <w:pStyle w:val="P1-StandPara"/>
        <w:spacing w:line="240" w:lineRule="auto"/>
        <w:ind w:firstLine="0"/>
        <w:rPr>
          <w:rFonts w:asciiTheme="minorHAnsi" w:hAnsiTheme="minorHAnsi" w:cstheme="minorHAnsi"/>
        </w:rPr>
      </w:pPr>
      <w:r w:rsidRPr="002B6DB5">
        <w:rPr>
          <w:rFonts w:asciiTheme="minorHAnsi" w:hAnsiTheme="minorHAnsi" w:cstheme="minorHAnsi"/>
        </w:rPr>
        <w:t xml:space="preserve">There are no foreseen impacts to small businesses or other small entities. </w:t>
      </w:r>
    </w:p>
    <w:p w:rsidRPr="002B6DB5" w:rsidR="004C74AC" w:rsidP="00F023CD" w:rsidRDefault="004C74AC" w14:paraId="2202AAF3" w14:textId="77777777">
      <w:pPr>
        <w:pStyle w:val="P1-StandPara"/>
        <w:spacing w:line="240" w:lineRule="auto"/>
        <w:ind w:firstLine="0"/>
        <w:rPr>
          <w:rFonts w:asciiTheme="minorHAnsi" w:hAnsiTheme="minorHAnsi" w:cstheme="minorHAnsi"/>
        </w:rPr>
      </w:pPr>
    </w:p>
    <w:p w:rsidRPr="002B6DB5" w:rsidR="00685B30" w:rsidP="00F023CD" w:rsidRDefault="00685B30" w14:paraId="4DCCFE87" w14:textId="77777777">
      <w:pPr>
        <w:pStyle w:val="Heading2"/>
        <w:spacing w:line="480" w:lineRule="auto"/>
        <w:ind w:left="720" w:hanging="720"/>
        <w:rPr>
          <w:rFonts w:asciiTheme="minorHAnsi" w:hAnsiTheme="minorHAnsi" w:cstheme="minorHAnsi"/>
          <w:b/>
          <w:color w:val="auto"/>
          <w:sz w:val="22"/>
          <w:szCs w:val="22"/>
        </w:rPr>
      </w:pPr>
      <w:bookmarkStart w:name="_Toc443881747" w:id="13"/>
      <w:bookmarkStart w:name="_Toc451592236" w:id="14"/>
      <w:bookmarkStart w:name="_Toc5610277" w:id="15"/>
      <w:bookmarkStart w:name="_Toc99178783" w:id="16"/>
      <w:r w:rsidRPr="002B6DB5">
        <w:rPr>
          <w:rFonts w:asciiTheme="minorHAnsi" w:hAnsiTheme="minorHAnsi" w:cstheme="minorHAnsi"/>
          <w:b/>
          <w:color w:val="auto"/>
          <w:sz w:val="22"/>
          <w:szCs w:val="22"/>
        </w:rPr>
        <w:lastRenderedPageBreak/>
        <w:t>A.6</w:t>
      </w:r>
      <w:r w:rsidRPr="002B6DB5">
        <w:rPr>
          <w:rFonts w:asciiTheme="minorHAnsi" w:hAnsiTheme="minorHAnsi" w:cstheme="minorHAnsi"/>
          <w:b/>
          <w:color w:val="auto"/>
          <w:sz w:val="22"/>
          <w:szCs w:val="22"/>
        </w:rPr>
        <w:tab/>
        <w:t>Consequences of Collecting the Information Less Frequently</w:t>
      </w:r>
      <w:bookmarkEnd w:id="13"/>
      <w:bookmarkEnd w:id="14"/>
      <w:bookmarkEnd w:id="15"/>
      <w:bookmarkEnd w:id="16"/>
    </w:p>
    <w:p w:rsidRPr="002B6DB5" w:rsidR="004C74AC" w:rsidP="00F023CD" w:rsidRDefault="004C74AC" w14:paraId="28AB455C" w14:textId="565F82A4">
      <w:pPr>
        <w:rPr>
          <w:rFonts w:cstheme="minorHAnsi"/>
        </w:rPr>
      </w:pPr>
      <w:r w:rsidRPr="002B6DB5">
        <w:rPr>
          <w:rFonts w:cstheme="minorHAnsi"/>
        </w:rPr>
        <w:t xml:space="preserve">If the information is not collected, </w:t>
      </w:r>
      <w:r w:rsidRPr="002B6DB5" w:rsidR="001B5851">
        <w:rPr>
          <w:rFonts w:cstheme="minorHAnsi"/>
        </w:rPr>
        <w:t xml:space="preserve">or collected less frequently, </w:t>
      </w:r>
      <w:r w:rsidRPr="002B6DB5">
        <w:rPr>
          <w:rFonts w:cstheme="minorHAnsi"/>
        </w:rPr>
        <w:t xml:space="preserve">NIH </w:t>
      </w:r>
      <w:r w:rsidRPr="002B6DB5" w:rsidR="00423524">
        <w:rPr>
          <w:rFonts w:cstheme="minorHAnsi"/>
        </w:rPr>
        <w:t xml:space="preserve">may miss critical insights as to where hot spots, or problem areas in the organization exist. Some </w:t>
      </w:r>
      <w:r w:rsidRPr="002B6DB5" w:rsidR="006C5FC7">
        <w:rPr>
          <w:rFonts w:cstheme="minorHAnsi"/>
        </w:rPr>
        <w:t>staff</w:t>
      </w:r>
      <w:r w:rsidRPr="002B6DB5" w:rsidR="00423524">
        <w:rPr>
          <w:rFonts w:cstheme="minorHAnsi"/>
        </w:rPr>
        <w:t xml:space="preserve"> may be less likely to come forward and report instances like microaggressions or acts of discrimination. The survey affords an anonymous, low burden method to self-report workplace experiences and assess conditions at the local level. Without the survey, Civil and EDI may not be aware of organizational risk areas that benefit from further investigation and possible mediation. This would reduce ability to act </w:t>
      </w:r>
      <w:r w:rsidRPr="002B6DB5" w:rsidR="00A80939">
        <w:rPr>
          <w:rFonts w:cstheme="minorHAnsi"/>
        </w:rPr>
        <w:t>proactively or</w:t>
      </w:r>
      <w:r w:rsidRPr="002B6DB5" w:rsidR="00423524">
        <w:rPr>
          <w:rFonts w:cstheme="minorHAnsi"/>
        </w:rPr>
        <w:t xml:space="preserve"> mitigat</w:t>
      </w:r>
      <w:r w:rsidRPr="002B6DB5" w:rsidR="001B5851">
        <w:rPr>
          <w:rFonts w:cstheme="minorHAnsi"/>
        </w:rPr>
        <w:t>e</w:t>
      </w:r>
      <w:r w:rsidRPr="002B6DB5" w:rsidR="00423524">
        <w:rPr>
          <w:rFonts w:cstheme="minorHAnsi"/>
        </w:rPr>
        <w:t xml:space="preserve"> situations that may not otherwise be reported. </w:t>
      </w:r>
    </w:p>
    <w:p w:rsidRPr="002B6DB5" w:rsidR="00685B30" w:rsidP="00F023CD" w:rsidRDefault="00E67B10" w14:paraId="50FA46DF" w14:textId="77777777">
      <w:pPr>
        <w:pStyle w:val="Heading2"/>
        <w:spacing w:line="480" w:lineRule="auto"/>
        <w:rPr>
          <w:rFonts w:asciiTheme="minorHAnsi" w:hAnsiTheme="minorHAnsi" w:cstheme="minorHAnsi"/>
          <w:b/>
          <w:color w:val="auto"/>
          <w:sz w:val="22"/>
          <w:szCs w:val="22"/>
        </w:rPr>
      </w:pPr>
      <w:bookmarkStart w:name="_Toc443881748" w:id="17"/>
      <w:bookmarkStart w:name="_Toc451592237" w:id="18"/>
      <w:bookmarkStart w:name="_Toc5610278" w:id="19"/>
      <w:bookmarkStart w:name="_Toc99178784" w:id="20"/>
      <w:r w:rsidRPr="002B6DB5">
        <w:rPr>
          <w:rFonts w:asciiTheme="minorHAnsi" w:hAnsiTheme="minorHAnsi" w:cstheme="minorHAnsi"/>
          <w:b/>
          <w:color w:val="auto"/>
          <w:sz w:val="22"/>
          <w:szCs w:val="22"/>
        </w:rPr>
        <w:t>A.7</w:t>
      </w:r>
      <w:r w:rsidRPr="002B6DB5">
        <w:rPr>
          <w:rFonts w:asciiTheme="minorHAnsi" w:hAnsiTheme="minorHAnsi" w:cstheme="minorHAnsi"/>
          <w:b/>
          <w:color w:val="auto"/>
          <w:sz w:val="22"/>
          <w:szCs w:val="22"/>
        </w:rPr>
        <w:tab/>
      </w:r>
      <w:r w:rsidRPr="002B6DB5" w:rsidR="00685B30">
        <w:rPr>
          <w:rFonts w:asciiTheme="minorHAnsi" w:hAnsiTheme="minorHAnsi" w:cstheme="minorHAnsi"/>
          <w:b/>
          <w:color w:val="auto"/>
          <w:sz w:val="22"/>
          <w:szCs w:val="22"/>
        </w:rPr>
        <w:t xml:space="preserve">Special Circumstances Relating to the Guidelines of 5 </w:t>
      </w:r>
      <w:smartTag w:uri="urn:schemas-microsoft-com:office:smarttags" w:element="stockticker">
        <w:r w:rsidR="00685B30" w:rsidRPr="002B6DB5">
          <w:rPr>
            <w:rFonts w:asciiTheme="minorHAnsi" w:hAnsiTheme="minorHAnsi" w:cstheme="minorHAnsi"/>
            <w:b/>
            <w:color w:val="auto"/>
            <w:sz w:val="22"/>
            <w:szCs w:val="22"/>
          </w:rPr>
          <w:t>CFR</w:t>
        </w:r>
      </w:smartTag>
      <w:r w:rsidRPr="002B6DB5" w:rsidR="00685B30">
        <w:rPr>
          <w:rFonts w:asciiTheme="minorHAnsi" w:hAnsiTheme="minorHAnsi" w:cstheme="minorHAnsi"/>
          <w:b/>
          <w:color w:val="auto"/>
          <w:sz w:val="22"/>
          <w:szCs w:val="22"/>
        </w:rPr>
        <w:t xml:space="preserve"> 1320.5</w:t>
      </w:r>
      <w:bookmarkEnd w:id="17"/>
      <w:bookmarkEnd w:id="18"/>
      <w:bookmarkEnd w:id="19"/>
      <w:bookmarkEnd w:id="20"/>
    </w:p>
    <w:p w:rsidRPr="002B6DB5" w:rsidR="004C74AC" w:rsidP="00F023CD" w:rsidRDefault="004C74AC" w14:paraId="06E2BB32" w14:textId="6B879404">
      <w:pPr>
        <w:pStyle w:val="a"/>
        <w:tabs>
          <w:tab w:val="left" w:pos="720"/>
        </w:tabs>
        <w:rPr>
          <w:rFonts w:asciiTheme="minorHAnsi" w:hAnsiTheme="minorHAnsi" w:cstheme="minorHAnsi"/>
          <w:sz w:val="22"/>
          <w:szCs w:val="22"/>
        </w:rPr>
      </w:pPr>
      <w:r w:rsidRPr="002B6DB5">
        <w:rPr>
          <w:rFonts w:asciiTheme="minorHAnsi" w:hAnsiTheme="minorHAnsi" w:cstheme="minorHAnsi"/>
          <w:sz w:val="22"/>
          <w:szCs w:val="22"/>
        </w:rPr>
        <w:br/>
      </w:r>
      <w:r w:rsidR="00FA6172">
        <w:rPr>
          <w:rFonts w:asciiTheme="minorHAnsi" w:hAnsiTheme="minorHAnsi" w:cstheme="minorHAnsi"/>
          <w:sz w:val="22"/>
          <w:szCs w:val="22"/>
        </w:rPr>
        <w:t xml:space="preserve">Not applicable. </w:t>
      </w:r>
    </w:p>
    <w:p w:rsidRPr="002B6DB5" w:rsidR="00685B30" w:rsidP="00F023CD" w:rsidRDefault="00685B30" w14:paraId="635EB124" w14:textId="77777777">
      <w:pPr>
        <w:pStyle w:val="P1-StandPara"/>
        <w:spacing w:line="240" w:lineRule="auto"/>
        <w:ind w:firstLine="0"/>
        <w:rPr>
          <w:rFonts w:asciiTheme="minorHAnsi" w:hAnsiTheme="minorHAnsi" w:cstheme="minorHAnsi"/>
          <w:szCs w:val="22"/>
        </w:rPr>
      </w:pPr>
    </w:p>
    <w:p w:rsidRPr="002B6DB5" w:rsidR="0036208F" w:rsidP="00F023CD" w:rsidRDefault="00685B30" w14:paraId="42BE9D3A" w14:textId="77777777">
      <w:pPr>
        <w:pStyle w:val="Heading2"/>
        <w:ind w:left="720" w:hanging="720"/>
        <w:rPr>
          <w:rFonts w:asciiTheme="minorHAnsi" w:hAnsiTheme="minorHAnsi" w:cstheme="minorHAnsi"/>
          <w:b/>
          <w:color w:val="auto"/>
          <w:sz w:val="22"/>
          <w:szCs w:val="22"/>
        </w:rPr>
      </w:pPr>
      <w:bookmarkStart w:name="_Toc443881749" w:id="21"/>
      <w:bookmarkStart w:name="_Toc451592238" w:id="22"/>
      <w:bookmarkStart w:name="_Toc5610279" w:id="23"/>
      <w:bookmarkStart w:name="_Toc99178785" w:id="24"/>
      <w:r w:rsidRPr="002B6DB5">
        <w:rPr>
          <w:rFonts w:asciiTheme="minorHAnsi" w:hAnsiTheme="minorHAnsi" w:cstheme="minorHAnsi"/>
          <w:b/>
          <w:color w:val="auto"/>
          <w:sz w:val="22"/>
          <w:szCs w:val="22"/>
        </w:rPr>
        <w:t>A.8</w:t>
      </w:r>
      <w:r w:rsidRPr="002B6DB5" w:rsidR="0036208F">
        <w:rPr>
          <w:rFonts w:asciiTheme="minorHAnsi" w:hAnsiTheme="minorHAnsi" w:cstheme="minorHAnsi"/>
          <w:b/>
          <w:color w:val="auto"/>
          <w:sz w:val="22"/>
          <w:szCs w:val="22"/>
        </w:rPr>
        <w:t>.1</w:t>
      </w:r>
      <w:r w:rsidRPr="002B6DB5">
        <w:rPr>
          <w:rFonts w:asciiTheme="minorHAnsi" w:hAnsiTheme="minorHAnsi" w:cstheme="minorHAnsi"/>
          <w:b/>
          <w:color w:val="auto"/>
          <w:sz w:val="22"/>
          <w:szCs w:val="22"/>
        </w:rPr>
        <w:tab/>
        <w:t xml:space="preserve">Comments in Response to the Federal Register Notice </w:t>
      </w:r>
    </w:p>
    <w:p w:rsidRPr="002B6DB5" w:rsidR="0036208F" w:rsidP="00F023CD" w:rsidRDefault="0036208F" w14:paraId="25A28A2C" w14:textId="77777777">
      <w:pPr>
        <w:pStyle w:val="Heading2"/>
        <w:ind w:left="720" w:hanging="720"/>
        <w:rPr>
          <w:rFonts w:asciiTheme="minorHAnsi" w:hAnsiTheme="minorHAnsi" w:cstheme="minorHAnsi"/>
          <w:szCs w:val="22"/>
        </w:rPr>
      </w:pPr>
    </w:p>
    <w:bookmarkEnd w:id="21"/>
    <w:bookmarkEnd w:id="22"/>
    <w:bookmarkEnd w:id="23"/>
    <w:bookmarkEnd w:id="24"/>
    <w:p w:rsidR="004C74AC" w:rsidP="00FF3F59" w:rsidRDefault="00083AB4" w14:paraId="107BAC33" w14:textId="539B3B3D">
      <w:pPr>
        <w:spacing w:after="0" w:line="240" w:lineRule="auto"/>
      </w:pPr>
      <w:r w:rsidRPr="00411AB9">
        <w:rPr>
          <w:rFonts w:cstheme="minorHAnsi"/>
        </w:rPr>
        <w:t xml:space="preserve">In accordance with 5 CFR 1320.8(d), </w:t>
      </w:r>
      <w:r>
        <w:rPr>
          <w:rFonts w:cstheme="minorHAnsi"/>
        </w:rPr>
        <w:t xml:space="preserve">on </w:t>
      </w:r>
      <w:r w:rsidR="00084F87">
        <w:rPr>
          <w:rFonts w:cstheme="minorHAnsi"/>
        </w:rPr>
        <w:t>April 27</w:t>
      </w:r>
      <w:r>
        <w:rPr>
          <w:rFonts w:cstheme="minorHAnsi"/>
        </w:rPr>
        <w:t>, 2022</w:t>
      </w:r>
      <w:r w:rsidRPr="00411AB9">
        <w:rPr>
          <w:rFonts w:cstheme="minorHAnsi"/>
        </w:rPr>
        <w:t xml:space="preserve">, a 60-day notice for public comment was published in the </w:t>
      </w:r>
      <w:r w:rsidRPr="00411AB9">
        <w:rPr>
          <w:rFonts w:cstheme="minorHAnsi"/>
          <w:i/>
        </w:rPr>
        <w:t>Federal Register</w:t>
      </w:r>
      <w:r w:rsidRPr="00411AB9">
        <w:rPr>
          <w:rFonts w:cstheme="minorHAnsi"/>
        </w:rPr>
        <w:t xml:space="preserve"> </w:t>
      </w:r>
      <w:r>
        <w:rPr>
          <w:rFonts w:cstheme="minorHAnsi"/>
        </w:rPr>
        <w:t xml:space="preserve">87 </w:t>
      </w:r>
      <w:r w:rsidR="00BC5811">
        <w:rPr>
          <w:rFonts w:cstheme="minorHAnsi"/>
        </w:rPr>
        <w:t>page 25030</w:t>
      </w:r>
      <w:r>
        <w:rPr>
          <w:rFonts w:cstheme="minorHAnsi"/>
        </w:rPr>
        <w:t xml:space="preserve"> </w:t>
      </w:r>
      <w:r w:rsidRPr="00411AB9">
        <w:rPr>
          <w:rFonts w:cstheme="minorHAnsi"/>
        </w:rPr>
        <w:t>(</w:t>
      </w:r>
      <w:r>
        <w:rPr>
          <w:rFonts w:cstheme="minorHAnsi"/>
        </w:rPr>
        <w:t xml:space="preserve">87 FR </w:t>
      </w:r>
      <w:r w:rsidR="00B33480">
        <w:rPr>
          <w:rFonts w:cstheme="minorHAnsi"/>
        </w:rPr>
        <w:t>25030</w:t>
      </w:r>
      <w:r w:rsidRPr="00411AB9">
        <w:rPr>
          <w:rFonts w:cstheme="minorHAnsi"/>
        </w:rPr>
        <w:t xml:space="preserve">). </w:t>
      </w:r>
      <w:r w:rsidR="00B33480">
        <w:rPr>
          <w:rFonts w:cstheme="minorHAnsi"/>
        </w:rPr>
        <w:t>P</w:t>
      </w:r>
      <w:r>
        <w:rPr>
          <w:rFonts w:cstheme="minorHAnsi"/>
        </w:rPr>
        <w:t xml:space="preserve">ublic comment </w:t>
      </w:r>
      <w:r w:rsidR="00B33480">
        <w:rPr>
          <w:rFonts w:cstheme="minorHAnsi"/>
        </w:rPr>
        <w:t>was</w:t>
      </w:r>
      <w:r>
        <w:rPr>
          <w:rFonts w:cstheme="minorHAnsi"/>
        </w:rPr>
        <w:t xml:space="preserve"> received</w:t>
      </w:r>
      <w:r w:rsidR="00FF3F59">
        <w:rPr>
          <w:rFonts w:cstheme="minorHAnsi"/>
        </w:rPr>
        <w:t xml:space="preserve"> – </w:t>
      </w:r>
      <w:r w:rsidR="00465451">
        <w:t>see attachment #</w:t>
      </w:r>
      <w:r w:rsidR="00FF3F59">
        <w:t>6</w:t>
      </w:r>
      <w:r w:rsidR="00465451">
        <w:t xml:space="preserve">. </w:t>
      </w:r>
    </w:p>
    <w:p w:rsidRPr="002B6DB5" w:rsidR="00FF3F59" w:rsidP="00FF3F59" w:rsidRDefault="00FF3F59" w14:paraId="3196F203" w14:textId="77777777">
      <w:pPr>
        <w:spacing w:after="0" w:line="240" w:lineRule="auto"/>
        <w:rPr>
          <w:rFonts w:cstheme="minorHAnsi"/>
        </w:rPr>
      </w:pPr>
    </w:p>
    <w:p w:rsidRPr="002B6DB5" w:rsidR="0036208F" w:rsidP="00F023CD" w:rsidRDefault="0036208F" w14:paraId="51C2EE07" w14:textId="77777777">
      <w:pPr>
        <w:pStyle w:val="Heading2"/>
        <w:ind w:left="720" w:hanging="720"/>
        <w:rPr>
          <w:rFonts w:asciiTheme="minorHAnsi" w:hAnsiTheme="minorHAnsi" w:cstheme="minorHAnsi"/>
          <w:b/>
          <w:color w:val="auto"/>
          <w:sz w:val="22"/>
          <w:szCs w:val="22"/>
        </w:rPr>
      </w:pPr>
      <w:r w:rsidRPr="002B6DB5">
        <w:rPr>
          <w:rFonts w:asciiTheme="minorHAnsi" w:hAnsiTheme="minorHAnsi" w:cstheme="minorHAnsi"/>
          <w:b/>
          <w:color w:val="auto"/>
          <w:sz w:val="22"/>
          <w:szCs w:val="22"/>
        </w:rPr>
        <w:t>A.8.2</w:t>
      </w:r>
      <w:r w:rsidRPr="002B6DB5">
        <w:rPr>
          <w:rFonts w:asciiTheme="minorHAnsi" w:hAnsiTheme="minorHAnsi" w:cstheme="minorHAnsi"/>
          <w:b/>
          <w:color w:val="auto"/>
          <w:sz w:val="22"/>
          <w:szCs w:val="22"/>
        </w:rPr>
        <w:tab/>
        <w:t>Efforts to Consult Outside Agency</w:t>
      </w:r>
    </w:p>
    <w:p w:rsidRPr="002B6DB5" w:rsidR="0036208F" w:rsidP="00F023CD" w:rsidRDefault="0036208F" w14:paraId="3E326CCB" w14:textId="77777777">
      <w:pPr>
        <w:rPr>
          <w:rFonts w:cstheme="minorHAnsi"/>
        </w:rPr>
      </w:pPr>
    </w:p>
    <w:p w:rsidRPr="002B6DB5" w:rsidR="00A15256" w:rsidP="00F023CD" w:rsidRDefault="00A15256" w14:paraId="2B4893C3" w14:textId="021A5DDA">
      <w:pPr>
        <w:rPr>
          <w:rFonts w:cstheme="minorHAnsi"/>
        </w:rPr>
      </w:pPr>
      <w:r w:rsidRPr="002B6DB5">
        <w:rPr>
          <w:rFonts w:cstheme="minorHAnsi"/>
        </w:rPr>
        <w:t xml:space="preserve">Not applicable, as the survey is not intended for recipients outside of NIH. </w:t>
      </w:r>
    </w:p>
    <w:p w:rsidRPr="002B6DB5" w:rsidR="00685B30" w:rsidP="00F023CD" w:rsidRDefault="00685B30" w14:paraId="06EE05E1" w14:textId="77777777">
      <w:pPr>
        <w:pStyle w:val="P1-StandPara"/>
        <w:ind w:firstLine="0"/>
        <w:rPr>
          <w:rFonts w:asciiTheme="minorHAnsi" w:hAnsiTheme="minorHAnsi" w:cstheme="minorHAnsi"/>
          <w:b/>
          <w:szCs w:val="22"/>
        </w:rPr>
      </w:pPr>
      <w:r w:rsidRPr="002B6DB5">
        <w:rPr>
          <w:rFonts w:asciiTheme="minorHAnsi" w:hAnsiTheme="minorHAnsi" w:cstheme="minorHAnsi"/>
          <w:b/>
          <w:szCs w:val="22"/>
        </w:rPr>
        <w:t>A.9</w:t>
      </w:r>
      <w:r w:rsidRPr="002B6DB5">
        <w:rPr>
          <w:rFonts w:asciiTheme="minorHAnsi" w:hAnsiTheme="minorHAnsi" w:cstheme="minorHAnsi"/>
          <w:b/>
          <w:szCs w:val="22"/>
        </w:rPr>
        <w:tab/>
        <w:t>Explanation of Any Payment of Gift to Respondents</w:t>
      </w:r>
    </w:p>
    <w:p w:rsidRPr="002B6DB5" w:rsidR="00A15256" w:rsidP="00F023CD" w:rsidRDefault="00A15256" w14:paraId="4E520585" w14:textId="57A252C2">
      <w:pPr>
        <w:rPr>
          <w:rFonts w:cstheme="minorHAnsi"/>
        </w:rPr>
      </w:pPr>
      <w:r w:rsidRPr="002B6DB5">
        <w:rPr>
          <w:rFonts w:cstheme="minorHAnsi"/>
        </w:rPr>
        <w:t xml:space="preserve">Not applicable. </w:t>
      </w:r>
    </w:p>
    <w:p w:rsidRPr="002B6DB5" w:rsidR="00685B30" w:rsidP="00F023CD" w:rsidRDefault="00685B30" w14:paraId="43756684" w14:textId="77777777">
      <w:pPr>
        <w:pStyle w:val="P1-StandPara"/>
        <w:ind w:firstLine="0"/>
        <w:rPr>
          <w:rFonts w:asciiTheme="minorHAnsi" w:hAnsiTheme="minorHAnsi" w:cstheme="minorHAnsi"/>
          <w:b/>
          <w:szCs w:val="22"/>
        </w:rPr>
      </w:pPr>
      <w:r w:rsidRPr="002B6DB5">
        <w:rPr>
          <w:rFonts w:asciiTheme="minorHAnsi" w:hAnsiTheme="minorHAnsi" w:cstheme="minorHAnsi"/>
          <w:b/>
          <w:szCs w:val="22"/>
        </w:rPr>
        <w:t>A.10</w:t>
      </w:r>
      <w:r w:rsidRPr="002B6DB5">
        <w:rPr>
          <w:rFonts w:asciiTheme="minorHAnsi" w:hAnsiTheme="minorHAnsi" w:cstheme="minorHAnsi"/>
          <w:b/>
          <w:szCs w:val="22"/>
        </w:rPr>
        <w:tab/>
        <w:t>Assurance of Confidentiality Provided to Respondents</w:t>
      </w:r>
    </w:p>
    <w:p w:rsidRPr="002B6DB5" w:rsidR="00F5038C" w:rsidP="00F023CD" w:rsidRDefault="00F5038C" w14:paraId="017B119F" w14:textId="695FA939">
      <w:pPr>
        <w:pStyle w:val="P1-StandPara"/>
        <w:spacing w:line="240" w:lineRule="auto"/>
        <w:ind w:firstLine="0"/>
        <w:rPr>
          <w:rFonts w:asciiTheme="minorHAnsi" w:hAnsiTheme="minorHAnsi" w:cstheme="minorHAnsi"/>
          <w:szCs w:val="22"/>
        </w:rPr>
      </w:pPr>
    </w:p>
    <w:p w:rsidRPr="003218F9" w:rsidR="00386C0B" w:rsidP="00F023CD" w:rsidRDefault="00F5038C" w14:paraId="0F5DED8A" w14:textId="7945C907">
      <w:pPr>
        <w:pStyle w:val="Default"/>
        <w:rPr>
          <w:rFonts w:asciiTheme="minorHAnsi" w:hAnsiTheme="minorHAnsi" w:cstheme="minorHAnsi"/>
          <w:sz w:val="22"/>
          <w:szCs w:val="22"/>
        </w:rPr>
      </w:pPr>
      <w:r w:rsidRPr="003218F9">
        <w:rPr>
          <w:rFonts w:asciiTheme="minorHAnsi" w:hAnsiTheme="minorHAnsi" w:cstheme="minorHAnsi"/>
          <w:sz w:val="22"/>
          <w:szCs w:val="22"/>
        </w:rPr>
        <w:t xml:space="preserve">The survey will be administered by a contractor, </w:t>
      </w:r>
      <w:proofErr w:type="spellStart"/>
      <w:r w:rsidRPr="003218F9">
        <w:rPr>
          <w:rFonts w:asciiTheme="minorHAnsi" w:hAnsiTheme="minorHAnsi" w:cstheme="minorHAnsi"/>
          <w:sz w:val="22"/>
          <w:szCs w:val="22"/>
        </w:rPr>
        <w:t>Westat</w:t>
      </w:r>
      <w:proofErr w:type="spellEnd"/>
      <w:r w:rsidRPr="003218F9">
        <w:rPr>
          <w:rFonts w:asciiTheme="minorHAnsi" w:hAnsiTheme="minorHAnsi" w:cstheme="minorHAnsi"/>
          <w:sz w:val="22"/>
          <w:szCs w:val="22"/>
        </w:rPr>
        <w:t xml:space="preserve">, under procured services by NIH. </w:t>
      </w:r>
      <w:proofErr w:type="spellStart"/>
      <w:r w:rsidRPr="003218F9">
        <w:rPr>
          <w:rFonts w:asciiTheme="minorHAnsi" w:hAnsiTheme="minorHAnsi" w:cstheme="minorHAnsi"/>
          <w:sz w:val="22"/>
          <w:szCs w:val="22"/>
        </w:rPr>
        <w:t>Westat</w:t>
      </w:r>
      <w:proofErr w:type="spellEnd"/>
      <w:r w:rsidRPr="003218F9">
        <w:rPr>
          <w:rFonts w:asciiTheme="minorHAnsi" w:hAnsiTheme="minorHAnsi" w:cstheme="minorHAnsi"/>
          <w:sz w:val="22"/>
          <w:szCs w:val="22"/>
        </w:rPr>
        <w:t xml:space="preserve"> will maintain the survey, hosted in Qualtrics, a </w:t>
      </w:r>
      <w:proofErr w:type="spellStart"/>
      <w:r w:rsidRPr="003218F9">
        <w:rPr>
          <w:rFonts w:asciiTheme="minorHAnsi" w:hAnsiTheme="minorHAnsi" w:cstheme="minorHAnsi"/>
          <w:sz w:val="22"/>
          <w:szCs w:val="22"/>
        </w:rPr>
        <w:t>FedRamp</w:t>
      </w:r>
      <w:proofErr w:type="spellEnd"/>
      <w:r w:rsidRPr="003218F9">
        <w:rPr>
          <w:rFonts w:asciiTheme="minorHAnsi" w:hAnsiTheme="minorHAnsi" w:cstheme="minorHAnsi"/>
          <w:sz w:val="22"/>
          <w:szCs w:val="22"/>
        </w:rPr>
        <w:t xml:space="preserve"> certified tool, and will ensure proper encryption of data. Raw data will not be shared with any NIH staff, though it is owned by NIH (per contract agreement). Data will be collected using unique links, which are tied to employee ID and organizational code, but no additional PII is collected or disseminated. Reports will be provided by </w:t>
      </w:r>
      <w:proofErr w:type="spellStart"/>
      <w:r w:rsidRPr="003218F9">
        <w:rPr>
          <w:rFonts w:asciiTheme="minorHAnsi" w:hAnsiTheme="minorHAnsi" w:cstheme="minorHAnsi"/>
          <w:sz w:val="22"/>
          <w:szCs w:val="22"/>
        </w:rPr>
        <w:t>Westat</w:t>
      </w:r>
      <w:proofErr w:type="spellEnd"/>
      <w:r w:rsidRPr="003218F9">
        <w:rPr>
          <w:rFonts w:asciiTheme="minorHAnsi" w:hAnsiTheme="minorHAnsi" w:cstheme="minorHAnsi"/>
          <w:sz w:val="22"/>
          <w:szCs w:val="22"/>
        </w:rPr>
        <w:t xml:space="preserve"> to NIH </w:t>
      </w:r>
      <w:r w:rsidRPr="003218F9" w:rsidR="004713A0">
        <w:rPr>
          <w:rFonts w:asciiTheme="minorHAnsi" w:hAnsiTheme="minorHAnsi" w:cstheme="minorHAnsi"/>
          <w:sz w:val="22"/>
          <w:szCs w:val="22"/>
        </w:rPr>
        <w:t xml:space="preserve">in aggregated format (no row data) with suppression rules applied. </w:t>
      </w:r>
      <w:r w:rsidRPr="003218F9" w:rsidR="00386C0B">
        <w:rPr>
          <w:rFonts w:asciiTheme="minorHAnsi" w:hAnsiTheme="minorHAnsi" w:cstheme="minorHAnsi"/>
          <w:sz w:val="22"/>
          <w:szCs w:val="22"/>
        </w:rPr>
        <w:t>The system of records notice (SORN) referenced for this system is SORN 09-25-0156</w:t>
      </w:r>
      <w:r w:rsidRPr="003218F9" w:rsidR="00104FC0">
        <w:rPr>
          <w:rFonts w:asciiTheme="minorHAnsi" w:hAnsiTheme="minorHAnsi" w:cstheme="minorHAnsi"/>
          <w:sz w:val="22"/>
          <w:szCs w:val="22"/>
        </w:rPr>
        <w:t>, “Records of Participants in Programs and Respondents in Surveys Used to Evaluate Programs of the Public Health Service”</w:t>
      </w:r>
      <w:r w:rsidRPr="003218F9" w:rsidR="00FF3F59">
        <w:rPr>
          <w:rFonts w:asciiTheme="minorHAnsi" w:hAnsiTheme="minorHAnsi" w:cstheme="minorHAnsi"/>
          <w:sz w:val="22"/>
          <w:szCs w:val="22"/>
        </w:rPr>
        <w:t xml:space="preserve"> – see attachment #4.</w:t>
      </w:r>
    </w:p>
    <w:p w:rsidRPr="002B6DB5" w:rsidR="00F5038C" w:rsidP="00F023CD" w:rsidRDefault="00F5038C" w14:paraId="15EBDB38" w14:textId="216E7870">
      <w:pPr>
        <w:pStyle w:val="P1-StandPara"/>
        <w:spacing w:line="240" w:lineRule="auto"/>
        <w:ind w:firstLine="0"/>
        <w:rPr>
          <w:rFonts w:asciiTheme="minorHAnsi" w:hAnsiTheme="minorHAnsi" w:cstheme="minorHAnsi"/>
          <w:szCs w:val="22"/>
        </w:rPr>
      </w:pPr>
    </w:p>
    <w:p w:rsidRPr="002B6DB5" w:rsidR="00E35DD1" w:rsidP="00F023CD" w:rsidRDefault="00E35DD1" w14:paraId="63CCC42F" w14:textId="77777777">
      <w:pPr>
        <w:pStyle w:val="P1-StandPara"/>
        <w:spacing w:line="240" w:lineRule="auto"/>
        <w:ind w:firstLine="0"/>
        <w:rPr>
          <w:rFonts w:asciiTheme="minorHAnsi" w:hAnsiTheme="minorHAnsi" w:cstheme="minorHAnsi"/>
          <w:szCs w:val="22"/>
        </w:rPr>
      </w:pPr>
    </w:p>
    <w:p w:rsidRPr="002B6DB5" w:rsidR="00685B30" w:rsidP="00F023CD" w:rsidRDefault="00685B30" w14:paraId="418F3B61" w14:textId="77777777">
      <w:pPr>
        <w:pStyle w:val="P1-StandPara"/>
        <w:ind w:firstLine="0"/>
        <w:rPr>
          <w:rFonts w:asciiTheme="minorHAnsi" w:hAnsiTheme="minorHAnsi" w:cstheme="minorHAnsi"/>
          <w:b/>
          <w:szCs w:val="22"/>
        </w:rPr>
      </w:pPr>
      <w:r w:rsidRPr="002B6DB5">
        <w:rPr>
          <w:rFonts w:asciiTheme="minorHAnsi" w:hAnsiTheme="minorHAnsi" w:cstheme="minorHAnsi"/>
          <w:b/>
          <w:szCs w:val="22"/>
        </w:rPr>
        <w:t>A.11</w:t>
      </w:r>
      <w:r w:rsidRPr="002B6DB5">
        <w:rPr>
          <w:rFonts w:asciiTheme="minorHAnsi" w:hAnsiTheme="minorHAnsi" w:cstheme="minorHAnsi"/>
          <w:b/>
          <w:szCs w:val="22"/>
        </w:rPr>
        <w:tab/>
        <w:t>Justification for Sensitive Questions</w:t>
      </w:r>
    </w:p>
    <w:p w:rsidRPr="002B6DB5" w:rsidR="00685B30" w:rsidP="00F023CD" w:rsidRDefault="00685B30" w14:paraId="43B0244E" w14:textId="77777777">
      <w:pPr>
        <w:pStyle w:val="P1-StandPara"/>
        <w:spacing w:line="240" w:lineRule="auto"/>
        <w:ind w:firstLine="0"/>
        <w:rPr>
          <w:rFonts w:asciiTheme="minorHAnsi" w:hAnsiTheme="minorHAnsi" w:cstheme="minorHAnsi"/>
          <w:szCs w:val="22"/>
        </w:rPr>
      </w:pPr>
    </w:p>
    <w:p w:rsidRPr="002B6DB5" w:rsidR="00527F02" w:rsidP="00F023CD" w:rsidRDefault="00527F02" w14:paraId="012A5566" w14:textId="30017BA9">
      <w:pPr>
        <w:pStyle w:val="P1-StandPara"/>
        <w:spacing w:line="240" w:lineRule="auto"/>
        <w:ind w:firstLine="0"/>
        <w:rPr>
          <w:rFonts w:asciiTheme="minorHAnsi" w:hAnsiTheme="minorHAnsi" w:cstheme="minorHAnsi"/>
          <w:szCs w:val="22"/>
        </w:rPr>
      </w:pPr>
      <w:r w:rsidRPr="002B6DB5">
        <w:rPr>
          <w:rFonts w:asciiTheme="minorHAnsi" w:hAnsiTheme="minorHAnsi" w:cstheme="minorHAnsi"/>
          <w:szCs w:val="22"/>
        </w:rPr>
        <w:t xml:space="preserve">The consequences of workplace discrimination and harassment are severe, both for individuals and for the NIH and the larger scientific community as a whole. Collecting information about the demographic categories of NIH staff is essential for NIH to adequately support DEIA initiatives and promote a civil environment. It will allow us to equitably examine the workplace climate for NIH staff. The information will </w:t>
      </w:r>
      <w:r w:rsidRPr="002B6DB5">
        <w:rPr>
          <w:rFonts w:asciiTheme="minorHAnsi" w:hAnsiTheme="minorHAnsi" w:cstheme="minorHAnsi"/>
          <w:szCs w:val="22"/>
        </w:rPr>
        <w:lastRenderedPageBreak/>
        <w:t xml:space="preserve">be analyzed at the aggregate level. The results will be used to target areas where harassment and discrimination are occurring and to open areas of further inquiry. All sensitive demographic questions are voluntary. Respondents are notified of the </w:t>
      </w:r>
      <w:r w:rsidR="00EA1462">
        <w:rPr>
          <w:rFonts w:asciiTheme="minorHAnsi" w:hAnsiTheme="minorHAnsi" w:cstheme="minorHAnsi"/>
          <w:szCs w:val="22"/>
        </w:rPr>
        <w:t>anonymity</w:t>
      </w:r>
      <w:r w:rsidRPr="002B6DB5">
        <w:rPr>
          <w:rFonts w:asciiTheme="minorHAnsi" w:hAnsiTheme="minorHAnsi" w:cstheme="minorHAnsi"/>
          <w:szCs w:val="22"/>
        </w:rPr>
        <w:t xml:space="preserve"> of their responses on the landing page of the survey.</w:t>
      </w:r>
      <w:r w:rsidR="00E6307D">
        <w:rPr>
          <w:rFonts w:asciiTheme="minorHAnsi" w:hAnsiTheme="minorHAnsi" w:cstheme="minorHAnsi"/>
          <w:szCs w:val="22"/>
        </w:rPr>
        <w:t xml:space="preserve"> Though voluntary, these questions are being asked as a means to assess which demographic groups </w:t>
      </w:r>
      <w:r w:rsidR="00CB3A86">
        <w:rPr>
          <w:rFonts w:asciiTheme="minorHAnsi" w:hAnsiTheme="minorHAnsi" w:cstheme="minorHAnsi"/>
          <w:szCs w:val="22"/>
        </w:rPr>
        <w:t>may be most impacted by harassment or discrimination in the NIH workforce, thereby</w:t>
      </w:r>
      <w:r w:rsidRPr="002B6DB5">
        <w:rPr>
          <w:rFonts w:asciiTheme="minorHAnsi" w:hAnsiTheme="minorHAnsi" w:cstheme="minorHAnsi"/>
          <w:szCs w:val="22"/>
        </w:rPr>
        <w:t xml:space="preserve"> </w:t>
      </w:r>
      <w:r w:rsidR="00CB3A86">
        <w:rPr>
          <w:rFonts w:asciiTheme="minorHAnsi" w:hAnsiTheme="minorHAnsi" w:cstheme="minorHAnsi"/>
          <w:szCs w:val="22"/>
        </w:rPr>
        <w:t xml:space="preserve">allowing organizations to tailor their prevention and mitigation strategies to address such issues. </w:t>
      </w:r>
      <w:r w:rsidRPr="002B6DB5">
        <w:rPr>
          <w:rFonts w:asciiTheme="minorHAnsi" w:hAnsiTheme="minorHAnsi" w:cstheme="minorHAnsi"/>
          <w:szCs w:val="22"/>
        </w:rPr>
        <w:t>Respondents will also be notified of the purpose of the survey and the maintenance of the data in the email communications to all NIH staff.</w:t>
      </w:r>
      <w:r w:rsidRPr="002B6DB5" w:rsidR="005453E9">
        <w:rPr>
          <w:rFonts w:asciiTheme="minorHAnsi" w:hAnsiTheme="minorHAnsi" w:cstheme="minorHAnsi"/>
          <w:szCs w:val="22"/>
        </w:rPr>
        <w:t xml:space="preserve"> The following statement is displayed on each page with demographic questions: </w:t>
      </w:r>
      <w:r w:rsidRPr="002B6DB5">
        <w:rPr>
          <w:rFonts w:asciiTheme="minorHAnsi" w:hAnsiTheme="minorHAnsi" w:cstheme="minorHAnsi"/>
          <w:szCs w:val="22"/>
        </w:rPr>
        <w:t xml:space="preserve"> </w:t>
      </w:r>
    </w:p>
    <w:p w:rsidRPr="00F936D0" w:rsidR="00EA1462" w:rsidP="00EA1462" w:rsidRDefault="00EA1462" w14:paraId="593E4F53" w14:textId="77777777">
      <w:pPr>
        <w:shd w:val="clear" w:color="auto" w:fill="FFFFFF"/>
        <w:rPr>
          <w:rFonts w:eastAsia="Times New Roman"/>
        </w:rPr>
      </w:pPr>
      <w:r w:rsidRPr="002B6DB5">
        <w:rPr>
          <w:rFonts w:cstheme="minorHAnsi"/>
        </w:rPr>
        <w:t>“</w:t>
      </w:r>
      <w:r>
        <w:rPr>
          <w:rFonts w:eastAsia="Times New Roman"/>
          <w:iCs/>
          <w:color w:val="000000"/>
        </w:rPr>
        <w:t xml:space="preserve">NIH is committed to promoting a workplace characterized by diversity and inclusion. Given that policy, we are soliciting responses to the following items. Your responses are </w:t>
      </w:r>
      <w:r>
        <w:rPr>
          <w:rFonts w:eastAsia="Times New Roman"/>
          <w:iCs/>
          <w:color w:val="000000"/>
          <w:u w:val="single"/>
        </w:rPr>
        <w:t>optional</w:t>
      </w:r>
      <w:r>
        <w:rPr>
          <w:rFonts w:eastAsia="Times New Roman"/>
          <w:iCs/>
          <w:color w:val="000000"/>
        </w:rPr>
        <w:t xml:space="preserve"> and </w:t>
      </w:r>
      <w:r>
        <w:rPr>
          <w:rFonts w:cstheme="minorHAnsi"/>
        </w:rPr>
        <w:t xml:space="preserve">will be given an anonymous code that will prevent them from being linked to your name, email address or other personal information. Any responses provided </w:t>
      </w:r>
      <w:r>
        <w:rPr>
          <w:rFonts w:eastAsia="Times New Roman"/>
          <w:iCs/>
          <w:color w:val="000000"/>
        </w:rPr>
        <w:t>will be used to enhance NIH’s understanding of the diversity of its workforce.”</w:t>
      </w:r>
    </w:p>
    <w:p w:rsidRPr="002B6DB5" w:rsidR="00104FC0" w:rsidP="00F023CD" w:rsidRDefault="00104FC0" w14:paraId="6D53A430" w14:textId="38DCC3D5">
      <w:pPr>
        <w:pStyle w:val="P1-StandPara"/>
        <w:spacing w:line="240" w:lineRule="auto"/>
        <w:ind w:firstLine="0"/>
        <w:rPr>
          <w:rFonts w:asciiTheme="minorHAnsi" w:hAnsiTheme="minorHAnsi" w:cstheme="minorHAnsi"/>
          <w:szCs w:val="22"/>
        </w:rPr>
      </w:pPr>
      <w:r>
        <w:rPr>
          <w:rFonts w:asciiTheme="minorHAnsi" w:hAnsiTheme="minorHAnsi" w:cstheme="minorHAnsi"/>
          <w:szCs w:val="22"/>
        </w:rPr>
        <w:t>Demographic questions regarding sex, gender, and sexual orientation were developed in consultation with the NIH Office of Equity, Diversity, and Inclusion</w:t>
      </w:r>
      <w:r w:rsidR="000A2C3B">
        <w:rPr>
          <w:rFonts w:asciiTheme="minorHAnsi" w:hAnsiTheme="minorHAnsi" w:cstheme="minorHAnsi"/>
          <w:szCs w:val="22"/>
        </w:rPr>
        <w:t xml:space="preserve"> and </w:t>
      </w:r>
      <w:r>
        <w:rPr>
          <w:rFonts w:asciiTheme="minorHAnsi" w:hAnsiTheme="minorHAnsi" w:cstheme="minorHAnsi"/>
          <w:szCs w:val="22"/>
        </w:rPr>
        <w:t xml:space="preserve">the NIH Civil Program, and </w:t>
      </w:r>
      <w:r w:rsidR="000A2C3B">
        <w:rPr>
          <w:rFonts w:asciiTheme="minorHAnsi" w:hAnsiTheme="minorHAnsi" w:cstheme="minorHAnsi"/>
          <w:szCs w:val="22"/>
        </w:rPr>
        <w:t xml:space="preserve">in alignment with the two-question structure </w:t>
      </w:r>
      <w:r w:rsidR="00E6307D">
        <w:rPr>
          <w:rFonts w:asciiTheme="minorHAnsi" w:hAnsiTheme="minorHAnsi" w:cstheme="minorHAnsi"/>
          <w:szCs w:val="22"/>
        </w:rPr>
        <w:t>as</w:t>
      </w:r>
      <w:r w:rsidR="000A2C3B">
        <w:rPr>
          <w:rFonts w:asciiTheme="minorHAnsi" w:hAnsiTheme="minorHAnsi" w:cstheme="minorHAnsi"/>
          <w:szCs w:val="22"/>
        </w:rPr>
        <w:t xml:space="preserve"> recommended by the </w:t>
      </w:r>
      <w:r w:rsidRPr="000A2C3B" w:rsidR="000A2C3B">
        <w:rPr>
          <w:rFonts w:asciiTheme="minorHAnsi" w:hAnsiTheme="minorHAnsi" w:cstheme="minorHAnsi"/>
          <w:szCs w:val="22"/>
        </w:rPr>
        <w:t>NIH Sexual &amp; Gender Minority Research Office (SGMRO)</w:t>
      </w:r>
      <w:r w:rsidR="000A2C3B">
        <w:rPr>
          <w:rFonts w:asciiTheme="minorHAnsi" w:hAnsiTheme="minorHAnsi" w:cstheme="minorHAnsi"/>
          <w:szCs w:val="22"/>
        </w:rPr>
        <w:t xml:space="preserve">. Questions were designed based on evidence-based best practices on how to best collect data regarding sex, gender identity, and sexual orientation to promote </w:t>
      </w:r>
      <w:r w:rsidRPr="006A6ACA" w:rsidR="000A2C3B">
        <w:rPr>
          <w:rFonts w:asciiTheme="minorHAnsi" w:hAnsiTheme="minorHAnsi" w:cstheme="minorHAnsi"/>
          <w:szCs w:val="22"/>
        </w:rPr>
        <w:t xml:space="preserve">inclusivity. </w:t>
      </w:r>
      <w:r w:rsidRPr="006A6ACA" w:rsidR="00465451">
        <w:rPr>
          <w:rFonts w:asciiTheme="minorHAnsi" w:hAnsiTheme="minorHAnsi" w:cstheme="minorHAnsi"/>
          <w:szCs w:val="22"/>
        </w:rPr>
        <w:t>With these survey results, EDI will be able to assess</w:t>
      </w:r>
      <w:r w:rsidRPr="006A6ACA" w:rsidR="009E6365">
        <w:rPr>
          <w:rFonts w:asciiTheme="minorHAnsi" w:hAnsiTheme="minorHAnsi" w:cstheme="minorHAnsi"/>
          <w:szCs w:val="22"/>
        </w:rPr>
        <w:t xml:space="preserve"> differential impact of harassment and discrimination on various demographic and intersectional groups. These results will contribute to EDI’s larger goal of cultivating a culture of inclusion and diversity of talent.</w:t>
      </w:r>
      <w:r w:rsidR="009E6365">
        <w:rPr>
          <w:rFonts w:asciiTheme="minorHAnsi" w:hAnsiTheme="minorHAnsi" w:cstheme="minorHAnsi"/>
          <w:szCs w:val="22"/>
        </w:rPr>
        <w:t xml:space="preserve"> </w:t>
      </w:r>
    </w:p>
    <w:p w:rsidR="00EA1462" w:rsidP="00F023CD" w:rsidRDefault="00EA1462" w14:paraId="6F41D03A" w14:textId="77777777">
      <w:pPr>
        <w:pStyle w:val="P1-StandPara"/>
        <w:spacing w:line="240" w:lineRule="auto"/>
        <w:ind w:firstLine="0"/>
        <w:rPr>
          <w:rFonts w:asciiTheme="minorHAnsi" w:hAnsiTheme="minorHAnsi" w:cstheme="minorHAnsi"/>
          <w:szCs w:val="22"/>
        </w:rPr>
      </w:pPr>
    </w:p>
    <w:p w:rsidRPr="002B6DB5" w:rsidR="000F7200" w:rsidP="00F023CD" w:rsidRDefault="000F7200" w14:paraId="66B84A3B" w14:textId="7D70E659">
      <w:pPr>
        <w:pStyle w:val="P1-StandPara"/>
        <w:spacing w:line="240" w:lineRule="auto"/>
        <w:ind w:firstLine="0"/>
        <w:rPr>
          <w:rFonts w:asciiTheme="minorHAnsi" w:hAnsiTheme="minorHAnsi" w:cstheme="minorHAnsi"/>
          <w:szCs w:val="22"/>
        </w:rPr>
      </w:pPr>
      <w:r w:rsidRPr="002B6DB5">
        <w:rPr>
          <w:rFonts w:asciiTheme="minorHAnsi" w:hAnsiTheme="minorHAnsi" w:cstheme="minorHAnsi"/>
          <w:szCs w:val="22"/>
        </w:rPr>
        <w:t xml:space="preserve">All NIH staff will be sent an invitation email to take part in the survey. The contents of the email are </w:t>
      </w:r>
      <w:r w:rsidR="004D06E1">
        <w:rPr>
          <w:rFonts w:asciiTheme="minorHAnsi" w:hAnsiTheme="minorHAnsi" w:cstheme="minorHAnsi"/>
          <w:szCs w:val="22"/>
        </w:rPr>
        <w:t xml:space="preserve">attached – see </w:t>
      </w:r>
      <w:r w:rsidRPr="009E6365" w:rsidR="004D06E1">
        <w:rPr>
          <w:rFonts w:asciiTheme="minorHAnsi" w:hAnsiTheme="minorHAnsi" w:cstheme="minorHAnsi"/>
          <w:szCs w:val="22"/>
        </w:rPr>
        <w:t>attachment #</w:t>
      </w:r>
      <w:r w:rsidR="00EA1462">
        <w:rPr>
          <w:rFonts w:asciiTheme="minorHAnsi" w:hAnsiTheme="minorHAnsi" w:cstheme="minorHAnsi"/>
          <w:szCs w:val="22"/>
        </w:rPr>
        <w:t>5</w:t>
      </w:r>
      <w:r w:rsidRPr="009E6365" w:rsidR="004D06E1">
        <w:rPr>
          <w:rFonts w:asciiTheme="minorHAnsi" w:hAnsiTheme="minorHAnsi" w:cstheme="minorHAnsi"/>
          <w:szCs w:val="22"/>
        </w:rPr>
        <w:t>.</w:t>
      </w:r>
      <w:r w:rsidR="004D06E1">
        <w:rPr>
          <w:rFonts w:asciiTheme="minorHAnsi" w:hAnsiTheme="minorHAnsi" w:cstheme="minorHAnsi"/>
          <w:szCs w:val="22"/>
        </w:rPr>
        <w:t xml:space="preserve"> </w:t>
      </w:r>
    </w:p>
    <w:p w:rsidRPr="002B6DB5" w:rsidR="00527F02" w:rsidP="00F023CD" w:rsidRDefault="00527F02" w14:paraId="627202BC" w14:textId="77777777">
      <w:pPr>
        <w:pStyle w:val="P1-StandPara"/>
        <w:spacing w:line="240" w:lineRule="auto"/>
        <w:ind w:firstLine="0"/>
        <w:rPr>
          <w:rFonts w:asciiTheme="minorHAnsi" w:hAnsiTheme="minorHAnsi" w:cstheme="minorHAnsi"/>
          <w:szCs w:val="22"/>
        </w:rPr>
      </w:pPr>
    </w:p>
    <w:p w:rsidRPr="002B6DB5" w:rsidR="00685B30" w:rsidP="00F023CD" w:rsidRDefault="00685B30" w14:paraId="2470C97A" w14:textId="77777777">
      <w:pPr>
        <w:rPr>
          <w:rFonts w:cstheme="minorHAnsi"/>
          <w:b/>
        </w:rPr>
      </w:pPr>
      <w:r w:rsidRPr="002B6DB5">
        <w:rPr>
          <w:rFonts w:cstheme="minorHAnsi"/>
          <w:b/>
        </w:rPr>
        <w:t>A.12</w:t>
      </w:r>
      <w:r w:rsidRPr="002B6DB5" w:rsidR="00BF491C">
        <w:rPr>
          <w:rFonts w:cstheme="minorHAnsi"/>
          <w:b/>
        </w:rPr>
        <w:t>.1</w:t>
      </w:r>
      <w:r w:rsidRPr="002B6DB5">
        <w:rPr>
          <w:rFonts w:cstheme="minorHAnsi"/>
          <w:b/>
        </w:rPr>
        <w:tab/>
        <w:t>Estimates of Hour Burden Including Annualized Hourly Costs</w:t>
      </w:r>
    </w:p>
    <w:p w:rsidRPr="002B6DB5" w:rsidR="00C24877" w:rsidP="00F023CD" w:rsidRDefault="00C76FE2" w14:paraId="69E5DE25" w14:textId="0A302659">
      <w:pPr>
        <w:jc w:val="center"/>
        <w:rPr>
          <w:rFonts w:cstheme="minorHAnsi"/>
        </w:rPr>
      </w:pPr>
      <w:r w:rsidRPr="002B6DB5">
        <w:rPr>
          <w:rFonts w:cstheme="minorHAnsi"/>
        </w:rPr>
        <w:t>Table 12-1 Estimated Annualized Burden Hours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1710"/>
        <w:gridCol w:w="1525"/>
        <w:gridCol w:w="1535"/>
        <w:gridCol w:w="1710"/>
        <w:gridCol w:w="1980"/>
      </w:tblGrid>
      <w:tr w:rsidRPr="002B6DB5" w:rsidR="00F403A3" w:rsidTr="00A80939" w14:paraId="5FE74EE0" w14:textId="77777777">
        <w:trPr>
          <w:cantSplit/>
          <w:trHeight w:val="403"/>
          <w:jc w:val="center"/>
        </w:trPr>
        <w:tc>
          <w:tcPr>
            <w:tcW w:w="1710" w:type="dxa"/>
          </w:tcPr>
          <w:p w:rsidRPr="002B6DB5" w:rsidR="00F403A3" w:rsidP="00F023CD" w:rsidRDefault="00F403A3" w14:paraId="4D8C3119" w14:textId="77777777">
            <w:pPr>
              <w:rPr>
                <w:rFonts w:cstheme="minorHAnsi"/>
                <w:sz w:val="24"/>
                <w:szCs w:val="24"/>
              </w:rPr>
            </w:pPr>
            <w:bookmarkStart w:name="_Hlk97811409" w:id="25"/>
            <w:r w:rsidRPr="002B6DB5">
              <w:rPr>
                <w:rFonts w:cstheme="minorHAnsi"/>
                <w:sz w:val="24"/>
                <w:szCs w:val="24"/>
              </w:rPr>
              <w:t>Type of Respondent</w:t>
            </w:r>
          </w:p>
        </w:tc>
        <w:tc>
          <w:tcPr>
            <w:tcW w:w="1525" w:type="dxa"/>
          </w:tcPr>
          <w:p w:rsidRPr="002B6DB5" w:rsidR="00F403A3" w:rsidP="00F023CD" w:rsidRDefault="00F403A3" w14:paraId="16446A6B" w14:textId="77777777">
            <w:pPr>
              <w:rPr>
                <w:rFonts w:cstheme="minorHAnsi"/>
                <w:sz w:val="24"/>
                <w:szCs w:val="24"/>
              </w:rPr>
            </w:pPr>
            <w:r w:rsidRPr="002B6DB5">
              <w:rPr>
                <w:rFonts w:cstheme="minorHAnsi"/>
                <w:sz w:val="24"/>
                <w:szCs w:val="24"/>
              </w:rPr>
              <w:t>Number of Respondents</w:t>
            </w:r>
          </w:p>
        </w:tc>
        <w:tc>
          <w:tcPr>
            <w:tcW w:w="1535" w:type="dxa"/>
          </w:tcPr>
          <w:p w:rsidRPr="002B6DB5" w:rsidR="00F403A3" w:rsidP="00F023CD" w:rsidRDefault="00F403A3" w14:paraId="59B358A5" w14:textId="77777777">
            <w:pPr>
              <w:rPr>
                <w:rFonts w:cstheme="minorHAnsi"/>
                <w:sz w:val="24"/>
                <w:szCs w:val="24"/>
              </w:rPr>
            </w:pPr>
            <w:r w:rsidRPr="002B6DB5">
              <w:rPr>
                <w:rFonts w:cstheme="minorHAnsi"/>
                <w:sz w:val="24"/>
                <w:szCs w:val="24"/>
              </w:rPr>
              <w:t>Number of Responses per Respondent</w:t>
            </w:r>
          </w:p>
        </w:tc>
        <w:tc>
          <w:tcPr>
            <w:tcW w:w="1710" w:type="dxa"/>
          </w:tcPr>
          <w:p w:rsidRPr="002B6DB5" w:rsidR="00F403A3" w:rsidP="00F023CD" w:rsidRDefault="00F403A3" w14:paraId="505CA09C" w14:textId="77777777">
            <w:pPr>
              <w:rPr>
                <w:rFonts w:cstheme="minorHAnsi"/>
                <w:sz w:val="24"/>
                <w:szCs w:val="24"/>
              </w:rPr>
            </w:pPr>
            <w:r w:rsidRPr="002B6DB5">
              <w:rPr>
                <w:rFonts w:cstheme="minorHAnsi"/>
                <w:sz w:val="24"/>
                <w:szCs w:val="24"/>
              </w:rPr>
              <w:t xml:space="preserve">Average Time  Per Response </w:t>
            </w:r>
          </w:p>
          <w:p w:rsidRPr="002B6DB5" w:rsidR="00F403A3" w:rsidP="00F023CD" w:rsidRDefault="00F403A3" w14:paraId="0C8A6561" w14:textId="77777777">
            <w:pPr>
              <w:rPr>
                <w:rFonts w:cstheme="minorHAnsi"/>
                <w:sz w:val="24"/>
                <w:szCs w:val="24"/>
              </w:rPr>
            </w:pPr>
            <w:r w:rsidRPr="002B6DB5">
              <w:rPr>
                <w:rFonts w:cstheme="minorHAnsi"/>
                <w:sz w:val="24"/>
                <w:szCs w:val="24"/>
              </w:rPr>
              <w:t xml:space="preserve">( in hours) </w:t>
            </w:r>
          </w:p>
        </w:tc>
        <w:tc>
          <w:tcPr>
            <w:tcW w:w="1980" w:type="dxa"/>
          </w:tcPr>
          <w:p w:rsidRPr="002B6DB5" w:rsidR="00F403A3" w:rsidP="00F023CD" w:rsidRDefault="00F403A3" w14:paraId="345FF283" w14:textId="77777777">
            <w:pPr>
              <w:rPr>
                <w:rFonts w:cstheme="minorHAnsi"/>
                <w:sz w:val="24"/>
                <w:szCs w:val="24"/>
              </w:rPr>
            </w:pPr>
            <w:r w:rsidRPr="002B6DB5">
              <w:rPr>
                <w:rFonts w:cstheme="minorHAnsi"/>
                <w:sz w:val="24"/>
                <w:szCs w:val="24"/>
              </w:rPr>
              <w:t xml:space="preserve">Total Annual  Burden Hour </w:t>
            </w:r>
          </w:p>
        </w:tc>
      </w:tr>
      <w:tr w:rsidRPr="002B6DB5" w:rsidR="00F403A3" w:rsidTr="00A80939" w14:paraId="2E956193" w14:textId="77777777">
        <w:trPr>
          <w:cantSplit/>
          <w:trHeight w:val="403"/>
          <w:jc w:val="center"/>
        </w:trPr>
        <w:tc>
          <w:tcPr>
            <w:tcW w:w="1710" w:type="dxa"/>
          </w:tcPr>
          <w:p w:rsidRPr="002B6DB5" w:rsidR="00F403A3" w:rsidP="00F023CD" w:rsidRDefault="00F403A3" w14:paraId="47C9C58F" w14:textId="77777777">
            <w:pPr>
              <w:rPr>
                <w:rFonts w:cstheme="minorHAnsi"/>
                <w:sz w:val="24"/>
                <w:szCs w:val="24"/>
              </w:rPr>
            </w:pPr>
            <w:r w:rsidRPr="002B6DB5">
              <w:rPr>
                <w:rFonts w:cstheme="minorHAnsi"/>
                <w:sz w:val="24"/>
                <w:szCs w:val="24"/>
              </w:rPr>
              <w:t>NIH Staff</w:t>
            </w:r>
          </w:p>
        </w:tc>
        <w:tc>
          <w:tcPr>
            <w:tcW w:w="1525" w:type="dxa"/>
          </w:tcPr>
          <w:p w:rsidRPr="002B6DB5" w:rsidR="00F403A3" w:rsidP="00F023CD" w:rsidRDefault="00C835B4" w14:paraId="22ACE527" w14:textId="0C530244">
            <w:pPr>
              <w:jc w:val="center"/>
              <w:rPr>
                <w:rFonts w:cstheme="minorHAnsi"/>
                <w:sz w:val="24"/>
                <w:szCs w:val="24"/>
              </w:rPr>
            </w:pPr>
            <w:r w:rsidRPr="002B6DB5">
              <w:rPr>
                <w:rFonts w:cstheme="minorHAnsi"/>
                <w:sz w:val="24"/>
                <w:szCs w:val="24"/>
              </w:rPr>
              <w:t>31,517</w:t>
            </w:r>
          </w:p>
        </w:tc>
        <w:tc>
          <w:tcPr>
            <w:tcW w:w="1535" w:type="dxa"/>
          </w:tcPr>
          <w:p w:rsidRPr="002B6DB5" w:rsidR="00F403A3" w:rsidP="00F023CD" w:rsidRDefault="00F403A3" w14:paraId="5DDFD9B7" w14:textId="77777777">
            <w:pPr>
              <w:jc w:val="center"/>
              <w:rPr>
                <w:rFonts w:cstheme="minorHAnsi"/>
                <w:sz w:val="24"/>
                <w:szCs w:val="24"/>
              </w:rPr>
            </w:pPr>
            <w:r w:rsidRPr="002B6DB5">
              <w:rPr>
                <w:rFonts w:cstheme="minorHAnsi"/>
                <w:sz w:val="24"/>
                <w:szCs w:val="24"/>
              </w:rPr>
              <w:t>1</w:t>
            </w:r>
          </w:p>
        </w:tc>
        <w:tc>
          <w:tcPr>
            <w:tcW w:w="1710" w:type="dxa"/>
          </w:tcPr>
          <w:p w:rsidRPr="002B6DB5" w:rsidR="00F403A3" w:rsidP="00F023CD" w:rsidRDefault="00C76BB1" w14:paraId="6FB0256F" w14:textId="3A3C5813">
            <w:pPr>
              <w:jc w:val="center"/>
              <w:rPr>
                <w:rFonts w:cstheme="minorHAnsi"/>
                <w:sz w:val="24"/>
                <w:szCs w:val="24"/>
              </w:rPr>
            </w:pPr>
            <w:r>
              <w:rPr>
                <w:rFonts w:cstheme="minorHAnsi"/>
                <w:sz w:val="24"/>
                <w:szCs w:val="24"/>
              </w:rPr>
              <w:t>15</w:t>
            </w:r>
            <w:r w:rsidRPr="002B6DB5" w:rsidR="00F403A3">
              <w:rPr>
                <w:rFonts w:cstheme="minorHAnsi"/>
                <w:sz w:val="24"/>
                <w:szCs w:val="24"/>
              </w:rPr>
              <w:t>/60</w:t>
            </w:r>
          </w:p>
        </w:tc>
        <w:tc>
          <w:tcPr>
            <w:tcW w:w="1980" w:type="dxa"/>
          </w:tcPr>
          <w:p w:rsidRPr="002B6DB5" w:rsidR="00F403A3" w:rsidP="00F023CD" w:rsidRDefault="00C76BB1" w14:paraId="5398F900" w14:textId="6B2234AC">
            <w:pPr>
              <w:jc w:val="center"/>
              <w:rPr>
                <w:rFonts w:cstheme="minorHAnsi"/>
                <w:sz w:val="24"/>
                <w:szCs w:val="24"/>
              </w:rPr>
            </w:pPr>
            <w:r>
              <w:rPr>
                <w:rFonts w:cstheme="minorHAnsi"/>
                <w:sz w:val="24"/>
                <w:szCs w:val="24"/>
              </w:rPr>
              <w:t>7,879</w:t>
            </w:r>
          </w:p>
        </w:tc>
      </w:tr>
      <w:tr w:rsidRPr="002B6DB5" w:rsidR="00F403A3" w:rsidTr="00A80939" w14:paraId="046D11DC" w14:textId="77777777">
        <w:trPr>
          <w:cantSplit/>
          <w:trHeight w:val="403"/>
          <w:jc w:val="center"/>
        </w:trPr>
        <w:tc>
          <w:tcPr>
            <w:tcW w:w="1710" w:type="dxa"/>
          </w:tcPr>
          <w:p w:rsidRPr="002B6DB5" w:rsidR="00F403A3" w:rsidP="00F023CD" w:rsidRDefault="00F403A3" w14:paraId="33CCFF72" w14:textId="77777777">
            <w:pPr>
              <w:rPr>
                <w:rFonts w:cstheme="minorHAnsi"/>
                <w:sz w:val="24"/>
                <w:szCs w:val="24"/>
              </w:rPr>
            </w:pPr>
            <w:r w:rsidRPr="002B6DB5">
              <w:rPr>
                <w:rFonts w:cstheme="minorHAnsi"/>
                <w:sz w:val="24"/>
                <w:szCs w:val="24"/>
              </w:rPr>
              <w:t>TOTAL</w:t>
            </w:r>
          </w:p>
        </w:tc>
        <w:tc>
          <w:tcPr>
            <w:tcW w:w="1525" w:type="dxa"/>
          </w:tcPr>
          <w:p w:rsidRPr="002B6DB5" w:rsidR="00F403A3" w:rsidP="00F023CD" w:rsidRDefault="00F403A3" w14:paraId="5A709759" w14:textId="2923A8B1">
            <w:pPr>
              <w:jc w:val="center"/>
              <w:rPr>
                <w:rFonts w:cstheme="minorHAnsi"/>
                <w:sz w:val="24"/>
                <w:szCs w:val="24"/>
              </w:rPr>
            </w:pPr>
          </w:p>
        </w:tc>
        <w:tc>
          <w:tcPr>
            <w:tcW w:w="1535" w:type="dxa"/>
          </w:tcPr>
          <w:p w:rsidRPr="002B6DB5" w:rsidR="00F403A3" w:rsidP="00F023CD" w:rsidRDefault="00C835B4" w14:paraId="2C6B107E" w14:textId="6C0AAB36">
            <w:pPr>
              <w:jc w:val="center"/>
              <w:rPr>
                <w:rFonts w:cstheme="minorHAnsi"/>
                <w:sz w:val="24"/>
                <w:szCs w:val="24"/>
              </w:rPr>
            </w:pPr>
            <w:r w:rsidRPr="002B6DB5">
              <w:rPr>
                <w:rFonts w:cstheme="minorHAnsi"/>
                <w:sz w:val="24"/>
                <w:szCs w:val="24"/>
              </w:rPr>
              <w:t>31</w:t>
            </w:r>
            <w:r w:rsidR="00CB3A86">
              <w:rPr>
                <w:rFonts w:cstheme="minorHAnsi"/>
                <w:sz w:val="24"/>
                <w:szCs w:val="24"/>
              </w:rPr>
              <w:t>,</w:t>
            </w:r>
            <w:r w:rsidRPr="002B6DB5">
              <w:rPr>
                <w:rFonts w:cstheme="minorHAnsi"/>
                <w:sz w:val="24"/>
                <w:szCs w:val="24"/>
              </w:rPr>
              <w:t>517</w:t>
            </w:r>
          </w:p>
        </w:tc>
        <w:tc>
          <w:tcPr>
            <w:tcW w:w="1710" w:type="dxa"/>
          </w:tcPr>
          <w:p w:rsidRPr="002B6DB5" w:rsidR="00F403A3" w:rsidP="00F023CD" w:rsidRDefault="00F403A3" w14:paraId="22647F7A" w14:textId="77777777">
            <w:pPr>
              <w:jc w:val="center"/>
              <w:rPr>
                <w:rFonts w:cstheme="minorHAnsi"/>
                <w:sz w:val="24"/>
                <w:szCs w:val="24"/>
              </w:rPr>
            </w:pPr>
          </w:p>
        </w:tc>
        <w:tc>
          <w:tcPr>
            <w:tcW w:w="1980" w:type="dxa"/>
          </w:tcPr>
          <w:p w:rsidRPr="002B6DB5" w:rsidR="00F403A3" w:rsidP="00F023CD" w:rsidRDefault="00C76BB1" w14:paraId="047B2CA9" w14:textId="4A328F58">
            <w:pPr>
              <w:jc w:val="center"/>
              <w:rPr>
                <w:rFonts w:cstheme="minorHAnsi"/>
                <w:sz w:val="24"/>
                <w:szCs w:val="24"/>
              </w:rPr>
            </w:pPr>
            <w:r>
              <w:rPr>
                <w:rFonts w:cstheme="minorHAnsi"/>
                <w:sz w:val="24"/>
                <w:szCs w:val="24"/>
              </w:rPr>
              <w:t>7,879</w:t>
            </w:r>
          </w:p>
        </w:tc>
      </w:tr>
    </w:tbl>
    <w:bookmarkEnd w:id="25"/>
    <w:p w:rsidRPr="002B6DB5" w:rsidR="00442B5B" w:rsidP="00F023CD" w:rsidRDefault="00C24877" w14:paraId="444AFD27" w14:textId="18A66434">
      <w:pPr>
        <w:tabs>
          <w:tab w:val="left" w:pos="2141"/>
        </w:tabs>
        <w:spacing w:after="0"/>
        <w:rPr>
          <w:rFonts w:cstheme="minorHAnsi"/>
        </w:rPr>
      </w:pPr>
      <w:r w:rsidRPr="002B6DB5">
        <w:rPr>
          <w:rFonts w:cstheme="minorHAnsi"/>
        </w:rPr>
        <w:tab/>
      </w:r>
    </w:p>
    <w:p w:rsidRPr="002B6DB5" w:rsidR="00442B5B" w:rsidP="00F023CD" w:rsidRDefault="00442B5B" w14:paraId="58AD7647" w14:textId="77777777">
      <w:pPr>
        <w:rPr>
          <w:rFonts w:cstheme="minorHAnsi"/>
        </w:rPr>
      </w:pPr>
    </w:p>
    <w:p w:rsidRPr="002B6DB5" w:rsidR="005C4013" w:rsidP="002B6DB5" w:rsidRDefault="00CF36BD" w14:paraId="60DF5284" w14:textId="7614CEC7">
      <w:pPr>
        <w:rPr>
          <w:rFonts w:cstheme="minorHAnsi"/>
        </w:rPr>
      </w:pPr>
      <w:r w:rsidRPr="002B6DB5">
        <w:rPr>
          <w:rFonts w:cstheme="minorHAnsi"/>
        </w:rPr>
        <w:tab/>
      </w:r>
      <w:r w:rsidRPr="002B6DB5" w:rsidR="00F403A3">
        <w:rPr>
          <w:rFonts w:cstheme="minorHAnsi"/>
        </w:rPr>
        <w:t xml:space="preserve">The </w:t>
      </w:r>
      <w:r w:rsidRPr="002B6DB5" w:rsidR="00C835B4">
        <w:rPr>
          <w:rFonts w:cstheme="minorHAnsi"/>
        </w:rPr>
        <w:t>Average Time per Response</w:t>
      </w:r>
      <w:r w:rsidRPr="002B6DB5" w:rsidR="00F403A3">
        <w:rPr>
          <w:rFonts w:cstheme="minorHAnsi"/>
        </w:rPr>
        <w:t xml:space="preserve"> was estimated using a </w:t>
      </w:r>
      <w:r w:rsidRPr="002B6DB5" w:rsidR="00C835B4">
        <w:rPr>
          <w:rFonts w:cstheme="minorHAnsi"/>
        </w:rPr>
        <w:t>the Qualtrics survey platform average estimate of response time</w:t>
      </w:r>
      <w:r w:rsidRPr="002B6DB5" w:rsidR="00F403A3">
        <w:rPr>
          <w:rFonts w:cstheme="minorHAnsi"/>
        </w:rPr>
        <w:t xml:space="preserve">. The number of respondents was estimated based on a </w:t>
      </w:r>
      <w:r w:rsidRPr="002B6DB5" w:rsidR="00C835B4">
        <w:rPr>
          <w:rFonts w:cstheme="minorHAnsi"/>
        </w:rPr>
        <w:t>65</w:t>
      </w:r>
      <w:r w:rsidRPr="002B6DB5" w:rsidR="00F403A3">
        <w:rPr>
          <w:rFonts w:cstheme="minorHAnsi"/>
        </w:rPr>
        <w:t xml:space="preserve">% response rate out of all NIH staff. </w:t>
      </w:r>
      <w:r w:rsidRPr="002B6DB5">
        <w:rPr>
          <w:rFonts w:cstheme="minorHAnsi"/>
        </w:rPr>
        <w:tab/>
      </w:r>
      <w:r w:rsidRPr="002B6DB5">
        <w:rPr>
          <w:rFonts w:cstheme="minorHAnsi"/>
        </w:rPr>
        <w:tab/>
        <w:t xml:space="preserve">                         </w:t>
      </w:r>
    </w:p>
    <w:p w:rsidRPr="002B6DB5" w:rsidR="005C4013" w:rsidP="00F023CD" w:rsidRDefault="005C4013" w14:paraId="5851B577" w14:textId="77777777">
      <w:pPr>
        <w:spacing w:after="0" w:line="240" w:lineRule="auto"/>
        <w:rPr>
          <w:rFonts w:eastAsia="Times New Roman" w:cstheme="minorHAnsi"/>
          <w:b/>
          <w:smallCaps/>
          <w:color w:val="000000" w:themeColor="text1"/>
        </w:rPr>
      </w:pPr>
    </w:p>
    <w:p w:rsidRPr="002B6DB5" w:rsidR="005C4013" w:rsidP="00F023CD" w:rsidRDefault="005C4013" w14:paraId="7152178A" w14:textId="77777777">
      <w:pPr>
        <w:spacing w:after="0" w:line="240" w:lineRule="auto"/>
        <w:rPr>
          <w:rFonts w:eastAsia="Times New Roman" w:cstheme="minorHAnsi"/>
          <w:b/>
          <w:smallCaps/>
          <w:color w:val="000000" w:themeColor="text1"/>
        </w:rPr>
      </w:pPr>
    </w:p>
    <w:p w:rsidR="005C4013" w:rsidP="00F023CD" w:rsidRDefault="005C4013" w14:paraId="4D789855" w14:textId="771EB823">
      <w:pPr>
        <w:spacing w:after="0" w:line="240" w:lineRule="auto"/>
        <w:rPr>
          <w:rFonts w:eastAsia="Times New Roman" w:cstheme="minorHAnsi"/>
          <w:b/>
          <w:smallCaps/>
          <w:color w:val="000000" w:themeColor="text1"/>
        </w:rPr>
      </w:pPr>
    </w:p>
    <w:p w:rsidR="00A80939" w:rsidP="00F023CD" w:rsidRDefault="00A80939" w14:paraId="708AFFB0" w14:textId="0A5D7119">
      <w:pPr>
        <w:spacing w:after="0" w:line="240" w:lineRule="auto"/>
        <w:rPr>
          <w:rFonts w:eastAsia="Times New Roman" w:cstheme="minorHAnsi"/>
          <w:b/>
          <w:smallCaps/>
          <w:color w:val="000000" w:themeColor="text1"/>
        </w:rPr>
      </w:pPr>
    </w:p>
    <w:p w:rsidR="00A80939" w:rsidP="00F023CD" w:rsidRDefault="00A80939" w14:paraId="3DC87F42" w14:textId="4FC6E323">
      <w:pPr>
        <w:spacing w:after="0" w:line="240" w:lineRule="auto"/>
        <w:rPr>
          <w:rFonts w:eastAsia="Times New Roman" w:cstheme="minorHAnsi"/>
          <w:b/>
          <w:smallCaps/>
          <w:color w:val="000000" w:themeColor="text1"/>
        </w:rPr>
      </w:pPr>
    </w:p>
    <w:p w:rsidRPr="002B6DB5" w:rsidR="00A80939" w:rsidP="00F023CD" w:rsidRDefault="00A80939" w14:paraId="1C049F97" w14:textId="77777777">
      <w:pPr>
        <w:spacing w:after="0" w:line="240" w:lineRule="auto"/>
        <w:rPr>
          <w:rFonts w:eastAsia="Times New Roman" w:cstheme="minorHAnsi"/>
          <w:b/>
          <w:smallCaps/>
          <w:color w:val="000000" w:themeColor="text1"/>
        </w:rPr>
      </w:pPr>
    </w:p>
    <w:p w:rsidRPr="002B6DB5" w:rsidR="00EE245F" w:rsidP="00F023CD" w:rsidRDefault="005C4013" w14:paraId="4CC3EA16" w14:textId="5F6AACB4">
      <w:pPr>
        <w:spacing w:after="0" w:line="240" w:lineRule="auto"/>
        <w:rPr>
          <w:rFonts w:eastAsia="Times New Roman" w:cstheme="minorHAnsi"/>
          <w:b/>
          <w:smallCaps/>
          <w:color w:val="000000" w:themeColor="text1"/>
        </w:rPr>
      </w:pPr>
      <w:r w:rsidRPr="002B6DB5">
        <w:rPr>
          <w:rFonts w:eastAsia="Times New Roman" w:cstheme="minorHAnsi"/>
          <w:b/>
          <w:smallCaps/>
          <w:color w:val="000000" w:themeColor="text1"/>
        </w:rPr>
        <w:t xml:space="preserve">A.12-2   </w:t>
      </w:r>
      <w:r w:rsidRPr="002B6DB5" w:rsidR="00BF491C">
        <w:rPr>
          <w:rFonts w:eastAsia="Times New Roman" w:cstheme="minorHAnsi"/>
          <w:b/>
          <w:smallCaps/>
          <w:color w:val="000000" w:themeColor="text1"/>
        </w:rPr>
        <w:t>Annual Cost to respondent</w:t>
      </w:r>
    </w:p>
    <w:p w:rsidRPr="002B6DB5" w:rsidR="00EE245F" w:rsidP="00F023CD" w:rsidRDefault="00EE245F" w14:paraId="12F83F36" w14:textId="77777777">
      <w:pPr>
        <w:spacing w:after="0" w:line="240" w:lineRule="auto"/>
        <w:rPr>
          <w:rFonts w:eastAsia="Times New Roman" w:cstheme="minorHAnsi"/>
          <w:smallCaps/>
          <w:color w:val="000000" w:themeColor="text1"/>
        </w:rPr>
      </w:pPr>
    </w:p>
    <w:p w:rsidRPr="002B6DB5" w:rsidR="002C5D4F" w:rsidP="00F023CD" w:rsidRDefault="00CF36BD" w14:paraId="36D02200" w14:textId="7625BACF">
      <w:pPr>
        <w:rPr>
          <w:rFonts w:cstheme="minorHAnsi"/>
        </w:rPr>
      </w:pPr>
      <w:r w:rsidRPr="002B6DB5">
        <w:rPr>
          <w:rFonts w:cstheme="minorHAnsi"/>
        </w:rPr>
        <w:tab/>
        <w:t xml:space="preserve">     </w:t>
      </w:r>
      <w:r w:rsidRPr="002B6DB5">
        <w:rPr>
          <w:rFonts w:cstheme="minorHAnsi"/>
        </w:rPr>
        <w:tab/>
      </w:r>
    </w:p>
    <w:p w:rsidRPr="002B6DB5" w:rsidR="00CF36BD" w:rsidP="00F023CD" w:rsidRDefault="00B93C77" w14:paraId="69B52A05" w14:textId="77777777">
      <w:pPr>
        <w:ind w:left="1440" w:firstLine="720"/>
        <w:rPr>
          <w:rFonts w:cstheme="minorHAnsi"/>
        </w:rPr>
      </w:pPr>
      <w:r w:rsidRPr="002B6DB5">
        <w:rPr>
          <w:rFonts w:cstheme="minorHAnsi"/>
        </w:rPr>
        <w:t>Table 12-2 Annualized Cost to Respondents</w:t>
      </w:r>
    </w:p>
    <w:p w:rsidRPr="002B6DB5" w:rsidR="00B93C77" w:rsidP="00F023CD" w:rsidRDefault="00B93C77" w14:paraId="661A01B8" w14:textId="77777777">
      <w:pPr>
        <w:spacing w:after="0" w:line="240" w:lineRule="auto"/>
        <w:rPr>
          <w:rFonts w:eastAsia="Times New Roman" w:cstheme="minorHAnsi"/>
        </w:rPr>
      </w:pPr>
    </w:p>
    <w:p w:rsidRPr="002B6DB5" w:rsidR="002C5D4F" w:rsidP="00F023CD" w:rsidRDefault="002C5D4F" w14:paraId="0EC0CC02" w14:textId="77777777">
      <w:pPr>
        <w:spacing w:after="0" w:line="240" w:lineRule="auto"/>
        <w:rPr>
          <w:rFonts w:eastAsia="Times New Roman" w:cstheme="minorHAnsi"/>
          <w:sz w:val="24"/>
          <w:szCs w:val="24"/>
        </w:rPr>
      </w:pP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2121"/>
      </w:tblGrid>
      <w:tr w:rsidRPr="002B6DB5" w:rsidR="002C5D4F" w:rsidTr="002C5D4F" w14:paraId="624A29FC"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2B6DB5" w:rsidR="002C5D4F" w:rsidP="00F023CD" w:rsidRDefault="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2B6DB5">
              <w:rPr>
                <w:rFonts w:eastAsia="Times New Roman" w:cstheme="minorHAnsi"/>
                <w:sz w:val="24"/>
                <w:szCs w:val="24"/>
              </w:rPr>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2B6DB5" w:rsidR="002C5D4F" w:rsidP="00F023CD" w:rsidRDefault="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2B6DB5">
              <w:rPr>
                <w:rFonts w:eastAsia="Times New Roman" w:cstheme="minorHAnsi"/>
                <w:sz w:val="24"/>
                <w:szCs w:val="24"/>
              </w:rPr>
              <w:t>Total Annual Burden Hours</w:t>
            </w:r>
          </w:p>
        </w:tc>
        <w:tc>
          <w:tcPr>
            <w:tcW w:w="2306" w:type="dxa"/>
            <w:tcBorders>
              <w:top w:val="single" w:color="auto" w:sz="4" w:space="0"/>
              <w:left w:val="single" w:color="auto" w:sz="4" w:space="0"/>
              <w:bottom w:val="single" w:color="auto" w:sz="4" w:space="0"/>
              <w:right w:val="single" w:color="auto" w:sz="4" w:space="0"/>
            </w:tcBorders>
            <w:hideMark/>
          </w:tcPr>
          <w:p w:rsidRPr="002B6DB5" w:rsidR="002C5D4F" w:rsidP="00F023CD" w:rsidRDefault="002C5D4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2B6DB5">
              <w:rPr>
                <w:rFonts w:eastAsia="Times New Roman" w:cstheme="minorHAnsi"/>
                <w:sz w:val="24"/>
                <w:szCs w:val="24"/>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2B6DB5" w:rsidR="002C5D4F" w:rsidP="00F023CD" w:rsidRDefault="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2B6DB5">
              <w:rPr>
                <w:rFonts w:eastAsia="Times New Roman" w:cstheme="minorHAnsi"/>
                <w:sz w:val="24"/>
                <w:szCs w:val="24"/>
              </w:rPr>
              <w:t>Respondent Cost</w:t>
            </w:r>
          </w:p>
        </w:tc>
      </w:tr>
      <w:tr w:rsidRPr="002B6DB5" w:rsidR="002C5D4F" w:rsidTr="002C5D4F" w14:paraId="0701C53B"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2B6DB5" w:rsidR="002C5D4F" w:rsidP="00F023CD" w:rsidRDefault="002C5D4F" w14:paraId="523999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p w:rsidRPr="002B6DB5" w:rsidR="002C5D4F" w:rsidP="00F023CD" w:rsidRDefault="00BB466C" w14:paraId="06B5BA53" w14:textId="496F8E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2B6DB5">
              <w:rPr>
                <w:rFonts w:eastAsia="Times New Roman" w:cstheme="minorHAnsi"/>
                <w:sz w:val="24"/>
                <w:szCs w:val="24"/>
              </w:rPr>
              <w:t>NIH Staff</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2B6DB5" w:rsidR="002C5D4F" w:rsidP="00F023CD" w:rsidRDefault="00C76BB1" w14:paraId="04B9C25F" w14:textId="55DE42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Pr>
                <w:rFonts w:eastAsia="Times New Roman" w:cstheme="minorHAnsi"/>
                <w:sz w:val="24"/>
                <w:szCs w:val="24"/>
              </w:rPr>
              <w:t>7879</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2B6DB5" w:rsidR="002C5D4F" w:rsidP="00F023CD" w:rsidRDefault="00A90D04" w14:paraId="65625D2C" w14:textId="6FAF83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Pr>
                <w:rFonts w:eastAsia="Times New Roman" w:cstheme="minorHAnsi"/>
                <w:sz w:val="24"/>
                <w:szCs w:val="24"/>
              </w:rPr>
              <w:t>28.01</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2B6DB5" w:rsidR="002C5D4F" w:rsidP="00F023CD" w:rsidRDefault="002C5D4F" w14:paraId="099D56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p w:rsidRPr="002B6DB5" w:rsidR="002C5D4F" w:rsidP="00F023CD" w:rsidRDefault="002C5D4F" w14:paraId="7413D236" w14:textId="3B430A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2B6DB5">
              <w:rPr>
                <w:rFonts w:eastAsia="Times New Roman" w:cstheme="minorHAnsi"/>
                <w:sz w:val="24"/>
                <w:szCs w:val="24"/>
              </w:rPr>
              <w:t>$</w:t>
            </w:r>
            <w:r w:rsidR="00A90D04">
              <w:rPr>
                <w:rFonts w:eastAsia="Times New Roman" w:cstheme="minorHAnsi"/>
                <w:sz w:val="24"/>
                <w:szCs w:val="24"/>
              </w:rPr>
              <w:t>220,690.79</w:t>
            </w:r>
          </w:p>
          <w:p w:rsidRPr="002B6DB5" w:rsidR="002C5D4F" w:rsidP="00F023CD" w:rsidRDefault="002C5D4F" w14:paraId="37746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tc>
      </w:tr>
      <w:tr w:rsidRPr="002B6DB5" w:rsidR="002C5D4F" w:rsidTr="00B96691" w14:paraId="2C91A97B"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2B6DB5" w:rsidR="002C5D4F" w:rsidP="00F023CD" w:rsidRDefault="002C5D4F"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2B6DB5">
              <w:rPr>
                <w:rFonts w:eastAsia="Times New Roman" w:cstheme="minorHAnsi"/>
                <w:b/>
                <w:sz w:val="24"/>
                <w:szCs w:val="24"/>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2B6DB5" w:rsidR="002C5D4F" w:rsidP="00F023CD" w:rsidRDefault="002C5D4F" w14:paraId="74804500" w14:textId="786B30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tc>
        <w:tc>
          <w:tcPr>
            <w:tcW w:w="2306" w:type="dxa"/>
            <w:tcBorders>
              <w:top w:val="single" w:color="auto" w:sz="4" w:space="0"/>
              <w:left w:val="single" w:color="auto" w:sz="4" w:space="0"/>
              <w:bottom w:val="single" w:color="auto" w:sz="4" w:space="0"/>
              <w:right w:val="single" w:color="auto" w:sz="4" w:space="0"/>
            </w:tcBorders>
            <w:shd w:val="pct25" w:color="auto" w:fill="auto"/>
            <w:vAlign w:val="center"/>
          </w:tcPr>
          <w:p w:rsidRPr="002B6DB5" w:rsidR="002C5D4F" w:rsidP="00F023CD" w:rsidRDefault="002C5D4F" w14:paraId="77E40D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color w:val="FF0000"/>
                <w:sz w:val="24"/>
                <w:szCs w:val="24"/>
              </w:rPr>
            </w:pPr>
          </w:p>
        </w:tc>
        <w:tc>
          <w:tcPr>
            <w:tcW w:w="2121" w:type="dxa"/>
            <w:tcBorders>
              <w:top w:val="single" w:color="auto" w:sz="4" w:space="0"/>
              <w:left w:val="single" w:color="auto" w:sz="4" w:space="0"/>
              <w:bottom w:val="single" w:color="auto" w:sz="4" w:space="0"/>
              <w:right w:val="single" w:color="auto" w:sz="4" w:space="0"/>
            </w:tcBorders>
            <w:vAlign w:val="center"/>
          </w:tcPr>
          <w:p w:rsidRPr="002B6DB5" w:rsidR="002C5D4F" w:rsidP="00F023CD" w:rsidRDefault="00C76BB1" w14:paraId="02F92F21" w14:textId="15EFD7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Pr>
                <w:rFonts w:eastAsia="Times New Roman" w:cstheme="minorHAnsi"/>
                <w:sz w:val="24"/>
                <w:szCs w:val="24"/>
              </w:rPr>
              <w:t>$</w:t>
            </w:r>
            <w:r w:rsidR="00A90D04">
              <w:rPr>
                <w:rFonts w:eastAsia="Times New Roman" w:cstheme="minorHAnsi"/>
                <w:sz w:val="24"/>
                <w:szCs w:val="24"/>
              </w:rPr>
              <w:t>220,690.79</w:t>
            </w:r>
          </w:p>
        </w:tc>
      </w:tr>
    </w:tbl>
    <w:p w:rsidRPr="00A90D04" w:rsidR="00BB466C" w:rsidP="00F023CD" w:rsidRDefault="00BB466C" w14:paraId="172B1B49" w14:textId="1BED8BEC">
      <w:pPr>
        <w:spacing w:after="0" w:line="240" w:lineRule="auto"/>
        <w:rPr>
          <w:rFonts w:eastAsia="Times New Roman" w:cstheme="minorHAnsi"/>
          <w:sz w:val="18"/>
          <w:szCs w:val="18"/>
        </w:rPr>
      </w:pPr>
      <w:r w:rsidRPr="002B6DB5">
        <w:rPr>
          <w:rFonts w:eastAsia="Times New Roman" w:cstheme="minorHAnsi"/>
          <w:sz w:val="18"/>
          <w:szCs w:val="18"/>
        </w:rPr>
        <w:t xml:space="preserve">*Bureau of Labor Statistics: The hourly </w:t>
      </w:r>
      <w:r w:rsidRPr="007A48D8">
        <w:rPr>
          <w:rFonts w:eastAsia="Times New Roman" w:cstheme="minorHAnsi"/>
          <w:sz w:val="18"/>
          <w:szCs w:val="18"/>
        </w:rPr>
        <w:t>rate</w:t>
      </w:r>
      <w:r w:rsidRPr="007A48D8">
        <w:rPr>
          <w:rFonts w:eastAsia="Times New Roman" w:cstheme="minorHAnsi"/>
          <w:sz w:val="14"/>
          <w:szCs w:val="14"/>
        </w:rPr>
        <w:t xml:space="preserve"> </w:t>
      </w:r>
      <w:r w:rsidRPr="002B6DB5">
        <w:rPr>
          <w:rFonts w:eastAsia="Times New Roman" w:cstheme="minorHAnsi"/>
          <w:sz w:val="18"/>
          <w:szCs w:val="18"/>
        </w:rPr>
        <w:t xml:space="preserve">for </w:t>
      </w:r>
      <w:r w:rsidRPr="002B6DB5" w:rsidR="00A90D04">
        <w:rPr>
          <w:rFonts w:eastAsia="Times New Roman" w:cstheme="minorHAnsi"/>
          <w:sz w:val="18"/>
          <w:szCs w:val="18"/>
        </w:rPr>
        <w:t>All occupations</w:t>
      </w:r>
      <w:r w:rsidRPr="002B6DB5">
        <w:rPr>
          <w:rFonts w:eastAsia="Times New Roman" w:cstheme="minorHAnsi"/>
          <w:sz w:val="18"/>
          <w:szCs w:val="18"/>
        </w:rPr>
        <w:t xml:space="preserve"> was obtained from </w:t>
      </w:r>
      <w:hyperlink w:history="1" w:anchor="19-0000" r:id="rId9">
        <w:r w:rsidRPr="00A90D04" w:rsidR="00A90D04">
          <w:rPr>
            <w:rStyle w:val="Hyperlink"/>
            <w:sz w:val="18"/>
            <w:szCs w:val="18"/>
          </w:rPr>
          <w:t>May 2021 National Occupational Employment and Wage Estimates (bls.gov)</w:t>
        </w:r>
      </w:hyperlink>
      <w:r w:rsidRPr="00A90D04">
        <w:rPr>
          <w:rFonts w:cstheme="minorHAnsi"/>
          <w:sz w:val="18"/>
          <w:szCs w:val="18"/>
        </w:rPr>
        <w:t xml:space="preserve"> </w:t>
      </w:r>
      <w:r w:rsidRPr="00A90D04">
        <w:rPr>
          <w:rStyle w:val="Hyperlink"/>
          <w:rFonts w:cstheme="minorHAnsi"/>
          <w:color w:val="auto"/>
          <w:sz w:val="18"/>
          <w:szCs w:val="18"/>
          <w:u w:val="none"/>
        </w:rPr>
        <w:t>and was used for this calculation.</w:t>
      </w:r>
      <w:r w:rsidRPr="00A90D04">
        <w:rPr>
          <w:rStyle w:val="Hyperlink"/>
          <w:rFonts w:cstheme="minorHAnsi"/>
          <w:color w:val="auto"/>
          <w:sz w:val="18"/>
          <w:szCs w:val="18"/>
        </w:rPr>
        <w:t xml:space="preserve"> </w:t>
      </w:r>
    </w:p>
    <w:p w:rsidRPr="00A90D04" w:rsidR="002C5D4F" w:rsidP="00F023CD" w:rsidRDefault="002C5D4F" w14:paraId="72B42BD2" w14:textId="77777777">
      <w:pPr>
        <w:spacing w:after="0" w:line="240" w:lineRule="auto"/>
        <w:rPr>
          <w:rFonts w:eastAsia="Times New Roman" w:cstheme="minorHAnsi"/>
          <w:sz w:val="18"/>
          <w:szCs w:val="18"/>
        </w:rPr>
      </w:pPr>
    </w:p>
    <w:p w:rsidRPr="002B6DB5" w:rsidR="002C5D4F" w:rsidP="00F023CD" w:rsidRDefault="002C5D4F" w14:paraId="3C3DAF3E" w14:textId="77777777">
      <w:pPr>
        <w:spacing w:after="0" w:line="240" w:lineRule="auto"/>
        <w:rPr>
          <w:rFonts w:eastAsia="Times New Roman" w:cstheme="minorHAnsi"/>
          <w:sz w:val="16"/>
          <w:szCs w:val="16"/>
        </w:rPr>
      </w:pPr>
    </w:p>
    <w:p w:rsidRPr="002B6DB5" w:rsidR="00B93C77" w:rsidP="00F023CD" w:rsidRDefault="00B93C77" w14:paraId="2578B318" w14:textId="77777777">
      <w:pPr>
        <w:spacing w:after="0" w:line="240" w:lineRule="auto"/>
        <w:rPr>
          <w:rFonts w:eastAsia="Times New Roman" w:cstheme="minorHAnsi"/>
          <w:sz w:val="16"/>
          <w:szCs w:val="16"/>
        </w:rPr>
      </w:pPr>
    </w:p>
    <w:p w:rsidRPr="002B6DB5" w:rsidR="00B93C77" w:rsidP="00F023CD" w:rsidRDefault="00B93C77" w14:paraId="227B63D5" w14:textId="77777777">
      <w:pPr>
        <w:spacing w:after="0" w:line="240" w:lineRule="auto"/>
        <w:rPr>
          <w:rFonts w:eastAsia="Times New Roman" w:cstheme="minorHAnsi"/>
        </w:rPr>
      </w:pPr>
    </w:p>
    <w:p w:rsidRPr="002B6DB5" w:rsidR="00FF72FC" w:rsidP="00F023CD" w:rsidRDefault="00FF72FC" w14:paraId="72B19A1F" w14:textId="77777777">
      <w:pPr>
        <w:rPr>
          <w:rFonts w:cstheme="minorHAnsi"/>
          <w:b/>
        </w:rPr>
      </w:pPr>
      <w:r w:rsidRPr="002B6DB5">
        <w:rPr>
          <w:rFonts w:cstheme="minorHAnsi"/>
          <w:b/>
        </w:rPr>
        <w:t>A.13</w:t>
      </w:r>
      <w:r w:rsidRPr="002B6DB5">
        <w:rPr>
          <w:rFonts w:cstheme="minorHAnsi"/>
          <w:b/>
        </w:rPr>
        <w:tab/>
        <w:t>Estimate of Other Total Annual Cost Burden to Respondents or Record Keepers</w:t>
      </w:r>
    </w:p>
    <w:p w:rsidR="00CC0557" w:rsidP="00F023CD" w:rsidRDefault="00CC0557" w14:paraId="4B3943BD" w14:textId="2E4004D8">
      <w:pPr>
        <w:rPr>
          <w:rFonts w:cstheme="minorHAnsi"/>
        </w:rPr>
      </w:pPr>
      <w:r w:rsidRPr="002B6DB5">
        <w:rPr>
          <w:rFonts w:cstheme="minorHAnsi"/>
        </w:rPr>
        <w:t>N/A</w:t>
      </w:r>
    </w:p>
    <w:p w:rsidRPr="002B6DB5" w:rsidR="00A80939" w:rsidP="00F023CD" w:rsidRDefault="00A80939" w14:paraId="69068C76" w14:textId="77777777">
      <w:pPr>
        <w:rPr>
          <w:rFonts w:cstheme="minorHAnsi"/>
        </w:rPr>
      </w:pPr>
    </w:p>
    <w:p w:rsidRPr="002B6DB5" w:rsidR="00FF72FC" w:rsidP="00F023CD" w:rsidRDefault="00FF72FC" w14:paraId="5439FC4E" w14:textId="77777777">
      <w:pPr>
        <w:pStyle w:val="Heading2"/>
        <w:tabs>
          <w:tab w:val="left" w:pos="720"/>
        </w:tabs>
        <w:spacing w:line="480" w:lineRule="auto"/>
        <w:rPr>
          <w:rFonts w:asciiTheme="minorHAnsi" w:hAnsiTheme="minorHAnsi" w:cstheme="minorHAnsi"/>
          <w:b/>
          <w:color w:val="auto"/>
          <w:sz w:val="22"/>
          <w:szCs w:val="22"/>
        </w:rPr>
      </w:pPr>
      <w:r w:rsidRPr="002B6DB5">
        <w:rPr>
          <w:rFonts w:asciiTheme="minorHAnsi" w:hAnsiTheme="minorHAnsi" w:cstheme="minorHAnsi"/>
          <w:b/>
          <w:color w:val="auto"/>
          <w:sz w:val="22"/>
          <w:szCs w:val="22"/>
        </w:rPr>
        <w:t>A.14</w:t>
      </w:r>
      <w:r w:rsidRPr="002B6DB5">
        <w:rPr>
          <w:rFonts w:asciiTheme="minorHAnsi" w:hAnsiTheme="minorHAnsi" w:cstheme="minorHAnsi"/>
          <w:b/>
          <w:color w:val="auto"/>
          <w:sz w:val="22"/>
          <w:szCs w:val="22"/>
        </w:rPr>
        <w:tab/>
        <w:t xml:space="preserve">Annualized Cost to the Federal Government  </w:t>
      </w:r>
    </w:p>
    <w:p w:rsidRPr="002B6DB5" w:rsidR="0037291F" w:rsidP="00F023CD" w:rsidRDefault="0037291F" w14:paraId="0DBBBAA0" w14:textId="77777777">
      <w:pPr>
        <w:widowControl w:val="0"/>
        <w:adjustRightInd w:val="0"/>
        <w:snapToGrid w:val="0"/>
        <w:spacing w:after="0" w:line="240" w:lineRule="auto"/>
        <w:jc w:val="center"/>
        <w:rPr>
          <w:rFonts w:eastAsia="Times New Roman" w:cstheme="minorHAnsi"/>
          <w:color w:val="0000FF"/>
          <w:sz w:val="24"/>
          <w:szCs w:val="24"/>
        </w:rPr>
      </w:pPr>
    </w:p>
    <w:tbl>
      <w:tblPr>
        <w:tblW w:w="9478" w:type="dxa"/>
        <w:jc w:val="center"/>
        <w:tblCellMar>
          <w:left w:w="0" w:type="dxa"/>
          <w:right w:w="0" w:type="dxa"/>
        </w:tblCellMar>
        <w:tblLook w:val="04A0" w:firstRow="1" w:lastRow="0" w:firstColumn="1" w:lastColumn="0" w:noHBand="0" w:noVBand="1"/>
      </w:tblPr>
      <w:tblGrid>
        <w:gridCol w:w="2502"/>
        <w:gridCol w:w="1096"/>
        <w:gridCol w:w="1153"/>
        <w:gridCol w:w="1248"/>
        <w:gridCol w:w="1059"/>
        <w:gridCol w:w="2420"/>
      </w:tblGrid>
      <w:tr w:rsidRPr="002B6DB5" w:rsidR="0037291F" w:rsidTr="005B2F24" w14:paraId="50454038" w14:textId="77777777">
        <w:trPr>
          <w:trHeight w:val="762"/>
          <w:jc w:val="center"/>
        </w:trPr>
        <w:tc>
          <w:tcPr>
            <w:tcW w:w="2502"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2B6DB5" w:rsidR="0037291F" w:rsidP="00F023CD" w:rsidRDefault="0037291F" w14:paraId="75F33ACD" w14:textId="77777777">
            <w:pPr>
              <w:spacing w:after="0" w:line="240" w:lineRule="auto"/>
              <w:jc w:val="center"/>
              <w:rPr>
                <w:rFonts w:eastAsia="Calibri" w:cstheme="minorHAnsi"/>
                <w:b/>
                <w:bCs/>
                <w:color w:val="000000"/>
              </w:rPr>
            </w:pPr>
            <w:r w:rsidRPr="002B6DB5">
              <w:rPr>
                <w:rFonts w:eastAsia="Times New Roman" w:cstheme="minorHAnsi"/>
                <w:i/>
                <w:sz w:val="24"/>
                <w:szCs w:val="24"/>
              </w:rPr>
              <w:t xml:space="preserve"> </w:t>
            </w:r>
            <w:r w:rsidRPr="002B6DB5" w:rsidR="00195414">
              <w:rPr>
                <w:rFonts w:eastAsia="Times New Roman" w:cstheme="minorHAnsi"/>
                <w:b/>
                <w:bCs/>
                <w:color w:val="000000"/>
              </w:rPr>
              <w:t>Cost Descriptions</w:t>
            </w:r>
          </w:p>
        </w:tc>
        <w:tc>
          <w:tcPr>
            <w:tcW w:w="1096" w:type="dxa"/>
            <w:tcBorders>
              <w:top w:val="single" w:color="auto" w:sz="8" w:space="0"/>
              <w:left w:val="nil"/>
              <w:bottom w:val="single" w:color="auto" w:sz="8" w:space="0"/>
              <w:right w:val="single" w:color="auto" w:sz="8" w:space="0"/>
            </w:tcBorders>
            <w:shd w:val="clear" w:color="auto" w:fill="auto"/>
            <w:vAlign w:val="bottom"/>
          </w:tcPr>
          <w:p w:rsidRPr="002B6DB5" w:rsidR="0037291F" w:rsidP="00F023CD" w:rsidRDefault="0037291F" w14:paraId="0F23D0E6" w14:textId="77777777">
            <w:pPr>
              <w:spacing w:after="0" w:line="240" w:lineRule="auto"/>
              <w:jc w:val="center"/>
              <w:rPr>
                <w:rFonts w:eastAsia="Calibri" w:cstheme="minorHAnsi"/>
                <w:b/>
                <w:bCs/>
                <w:color w:val="1F497D"/>
              </w:rPr>
            </w:pPr>
          </w:p>
          <w:p w:rsidRPr="002B6DB5" w:rsidR="0037291F" w:rsidP="00F023CD" w:rsidRDefault="0037291F" w14:paraId="6C11B5EF" w14:textId="77777777">
            <w:pPr>
              <w:spacing w:after="0" w:line="240" w:lineRule="auto"/>
              <w:jc w:val="center"/>
              <w:rPr>
                <w:rFonts w:eastAsia="Calibri" w:cstheme="minorHAnsi"/>
                <w:b/>
                <w:bCs/>
                <w:color w:val="000000"/>
              </w:rPr>
            </w:pPr>
            <w:r w:rsidRPr="002B6DB5">
              <w:rPr>
                <w:rFonts w:eastAsia="Times New Roman" w:cstheme="minorHAnsi"/>
                <w:b/>
                <w:bCs/>
                <w:color w:val="000000"/>
              </w:rPr>
              <w:t>Grade/Step</w:t>
            </w:r>
          </w:p>
        </w:tc>
        <w:tc>
          <w:tcPr>
            <w:tcW w:w="11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2B6DB5" w:rsidR="0037291F" w:rsidP="00F023CD" w:rsidRDefault="0037291F" w14:paraId="7E7D7C5E" w14:textId="77777777">
            <w:pPr>
              <w:spacing w:after="0" w:line="240" w:lineRule="auto"/>
              <w:jc w:val="center"/>
              <w:rPr>
                <w:rFonts w:eastAsia="Calibri" w:cstheme="minorHAnsi"/>
                <w:b/>
                <w:bCs/>
              </w:rPr>
            </w:pPr>
            <w:r w:rsidRPr="002B6DB5">
              <w:rPr>
                <w:rFonts w:eastAsia="Times New Roman" w:cstheme="minorHAnsi"/>
                <w:b/>
                <w:bCs/>
              </w:rPr>
              <w:t>Salary</w:t>
            </w:r>
          </w:p>
        </w:tc>
        <w:tc>
          <w:tcPr>
            <w:tcW w:w="12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2B6DB5" w:rsidR="0037291F" w:rsidP="00F023CD" w:rsidRDefault="0037291F" w14:paraId="2F192DBE" w14:textId="77777777">
            <w:pPr>
              <w:spacing w:after="0" w:line="240" w:lineRule="auto"/>
              <w:jc w:val="center"/>
              <w:rPr>
                <w:rFonts w:eastAsia="Calibri" w:cstheme="minorHAnsi"/>
                <w:b/>
                <w:bCs/>
              </w:rPr>
            </w:pPr>
            <w:r w:rsidRPr="002B6DB5">
              <w:rPr>
                <w:rFonts w:eastAsia="Times New Roman" w:cstheme="minorHAnsi"/>
                <w:b/>
                <w:bCs/>
              </w:rPr>
              <w:t>% of Effort</w:t>
            </w:r>
          </w:p>
        </w:tc>
        <w:tc>
          <w:tcPr>
            <w:tcW w:w="1059" w:type="dxa"/>
            <w:tcBorders>
              <w:top w:val="single" w:color="auto" w:sz="8" w:space="0"/>
              <w:left w:val="nil"/>
              <w:bottom w:val="single" w:color="auto" w:sz="8" w:space="0"/>
              <w:right w:val="single" w:color="auto" w:sz="8" w:space="0"/>
            </w:tcBorders>
            <w:shd w:val="clear" w:color="auto" w:fill="auto"/>
          </w:tcPr>
          <w:p w:rsidRPr="002B6DB5" w:rsidR="0037291F" w:rsidP="00F023CD" w:rsidRDefault="0037291F" w14:paraId="73FC94C8" w14:textId="77777777">
            <w:pPr>
              <w:spacing w:after="0" w:line="240" w:lineRule="auto"/>
              <w:jc w:val="center"/>
              <w:rPr>
                <w:rFonts w:eastAsia="Times New Roman" w:cstheme="minorHAnsi"/>
                <w:b/>
                <w:bCs/>
              </w:rPr>
            </w:pPr>
            <w:r w:rsidRPr="002B6DB5">
              <w:rPr>
                <w:rFonts w:eastAsia="Times New Roman" w:cstheme="minorHAnsi"/>
                <w:b/>
                <w:bCs/>
              </w:rPr>
              <w:t>Fringe (if applicable)</w:t>
            </w:r>
          </w:p>
        </w:tc>
        <w:tc>
          <w:tcPr>
            <w:tcW w:w="2420" w:type="dxa"/>
            <w:tcBorders>
              <w:top w:val="single" w:color="auto" w:sz="8" w:space="0"/>
              <w:left w:val="nil"/>
              <w:bottom w:val="single" w:color="auto" w:sz="8" w:space="0"/>
              <w:right w:val="single" w:color="auto" w:sz="8" w:space="0"/>
            </w:tcBorders>
            <w:shd w:val="clear" w:color="auto" w:fill="auto"/>
          </w:tcPr>
          <w:p w:rsidRPr="002B6DB5" w:rsidR="0037291F" w:rsidP="00F023CD" w:rsidRDefault="0037291F" w14:paraId="3BE4B6CA" w14:textId="77777777">
            <w:pPr>
              <w:spacing w:after="0" w:line="240" w:lineRule="auto"/>
              <w:jc w:val="center"/>
              <w:rPr>
                <w:rFonts w:eastAsia="Times New Roman" w:cstheme="minorHAnsi"/>
                <w:b/>
                <w:bCs/>
              </w:rPr>
            </w:pPr>
            <w:r w:rsidRPr="002B6DB5">
              <w:rPr>
                <w:rFonts w:eastAsia="Times New Roman" w:cstheme="minorHAnsi"/>
                <w:b/>
                <w:bCs/>
              </w:rPr>
              <w:t>Total Cost to Gov’t</w:t>
            </w:r>
          </w:p>
        </w:tc>
      </w:tr>
      <w:tr w:rsidRPr="002B6DB5" w:rsidR="0037291F" w:rsidTr="005B2F24" w14:paraId="4575CF15"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6DB5" w:rsidR="0037291F" w:rsidP="00F023CD" w:rsidRDefault="0037291F" w14:paraId="0BBD8036" w14:textId="77777777">
            <w:pPr>
              <w:spacing w:after="0" w:line="240" w:lineRule="auto"/>
              <w:rPr>
                <w:rFonts w:eastAsia="Calibri" w:cstheme="minorHAnsi"/>
                <w:b/>
                <w:color w:val="000000"/>
              </w:rPr>
            </w:pPr>
            <w:r w:rsidRPr="002B6DB5">
              <w:rPr>
                <w:rFonts w:eastAsia="Calibri" w:cstheme="minorHAnsi"/>
                <w:b/>
                <w:color w:val="000000"/>
              </w:rPr>
              <w:t>Federal Oversight</w:t>
            </w:r>
          </w:p>
        </w:tc>
        <w:tc>
          <w:tcPr>
            <w:tcW w:w="1096" w:type="dxa"/>
            <w:tcBorders>
              <w:top w:val="nil"/>
              <w:left w:val="nil"/>
              <w:bottom w:val="single" w:color="auto" w:sz="8" w:space="0"/>
              <w:right w:val="single" w:color="auto" w:sz="8" w:space="0"/>
            </w:tcBorders>
          </w:tcPr>
          <w:p w:rsidRPr="002B6DB5" w:rsidR="0037291F" w:rsidP="00F023CD" w:rsidRDefault="0037291F" w14:paraId="7FEC3F40" w14:textId="77777777">
            <w:pPr>
              <w:spacing w:after="0" w:line="240" w:lineRule="auto"/>
              <w:jc w:val="right"/>
              <w:rPr>
                <w:rFonts w:eastAsia="Calibri" w:cstheme="minorHAnsi"/>
                <w:color w:val="000000"/>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37291F" w:rsidP="00F023CD" w:rsidRDefault="0037291F" w14:paraId="25437DD3" w14:textId="77777777">
            <w:pPr>
              <w:spacing w:after="0" w:line="240" w:lineRule="auto"/>
              <w:rPr>
                <w:rFonts w:eastAsia="Times New Roman" w:cstheme="minorHAnsi"/>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37291F" w:rsidP="00F023CD" w:rsidRDefault="0037291F" w14:paraId="293EDFFF" w14:textId="77777777">
            <w:pPr>
              <w:spacing w:after="0" w:line="240" w:lineRule="auto"/>
              <w:rPr>
                <w:rFonts w:eastAsia="Times New Roman" w:cstheme="minorHAnsi"/>
              </w:rPr>
            </w:pPr>
          </w:p>
        </w:tc>
        <w:tc>
          <w:tcPr>
            <w:tcW w:w="1059" w:type="dxa"/>
            <w:tcBorders>
              <w:top w:val="nil"/>
              <w:left w:val="nil"/>
              <w:bottom w:val="single" w:color="auto" w:sz="8" w:space="0"/>
              <w:right w:val="single" w:color="auto" w:sz="8" w:space="0"/>
            </w:tcBorders>
            <w:shd w:val="clear" w:color="auto" w:fill="BFBFBF" w:themeFill="background1" w:themeFillShade="BF"/>
          </w:tcPr>
          <w:p w:rsidRPr="002B6DB5" w:rsidR="0037291F" w:rsidP="00F023CD" w:rsidRDefault="0037291F" w14:paraId="6C23F308" w14:textId="77777777">
            <w:pPr>
              <w:spacing w:after="0" w:line="240" w:lineRule="auto"/>
              <w:rPr>
                <w:rFonts w:eastAsia="Times New Roman" w:cstheme="minorHAnsi"/>
              </w:rPr>
            </w:pPr>
          </w:p>
        </w:tc>
        <w:tc>
          <w:tcPr>
            <w:tcW w:w="2420" w:type="dxa"/>
            <w:tcBorders>
              <w:top w:val="nil"/>
              <w:left w:val="nil"/>
              <w:bottom w:val="single" w:color="auto" w:sz="8" w:space="0"/>
              <w:right w:val="single" w:color="auto" w:sz="8" w:space="0"/>
            </w:tcBorders>
          </w:tcPr>
          <w:p w:rsidRPr="002B6DB5" w:rsidR="0037291F" w:rsidP="00F023CD" w:rsidRDefault="0037291F" w14:paraId="3A2F58FE" w14:textId="77777777">
            <w:pPr>
              <w:spacing w:after="0" w:line="240" w:lineRule="auto"/>
              <w:rPr>
                <w:rFonts w:eastAsia="Times New Roman" w:cstheme="minorHAnsi"/>
              </w:rPr>
            </w:pPr>
          </w:p>
        </w:tc>
      </w:tr>
      <w:tr w:rsidRPr="002B6DB5" w:rsidR="005B2F24" w:rsidTr="0010356A" w14:paraId="27551A65"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5396250E" w14:textId="2E1CF8C7">
            <w:pPr>
              <w:spacing w:after="0" w:line="240" w:lineRule="auto"/>
              <w:rPr>
                <w:rFonts w:eastAsia="Calibri" w:cstheme="minorHAnsi"/>
              </w:rPr>
            </w:pPr>
            <w:r w:rsidRPr="002B6DB5">
              <w:rPr>
                <w:rFonts w:eastAsia="Calibri" w:cstheme="minorHAnsi"/>
              </w:rPr>
              <w:t>Program Manager</w:t>
            </w:r>
          </w:p>
        </w:tc>
        <w:tc>
          <w:tcPr>
            <w:tcW w:w="1096" w:type="dxa"/>
            <w:tcBorders>
              <w:top w:val="nil"/>
              <w:left w:val="nil"/>
              <w:bottom w:val="single" w:color="auto" w:sz="8" w:space="0"/>
              <w:right w:val="single" w:color="auto" w:sz="8" w:space="0"/>
            </w:tcBorders>
          </w:tcPr>
          <w:p w:rsidRPr="002B6DB5" w:rsidR="005B2F24" w:rsidP="00F023CD" w:rsidRDefault="005B2F24" w14:paraId="42186E6A" w14:textId="765AAD17">
            <w:pPr>
              <w:spacing w:after="0" w:line="240" w:lineRule="auto"/>
              <w:rPr>
                <w:rFonts w:eastAsia="Calibri" w:cstheme="minorHAnsi"/>
              </w:rPr>
            </w:pPr>
            <w:r w:rsidRPr="002B6DB5">
              <w:rPr>
                <w:rFonts w:eastAsia="Calibri" w:cstheme="minorHAnsi"/>
              </w:rPr>
              <w:t>13/7</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3E50BAAA" w14:textId="406688D4">
            <w:pPr>
              <w:spacing w:after="0" w:line="240" w:lineRule="auto"/>
              <w:rPr>
                <w:rFonts w:eastAsia="Calibri" w:cstheme="minorHAnsi"/>
              </w:rPr>
            </w:pPr>
            <w:r w:rsidRPr="002B6DB5">
              <w:rPr>
                <w:rFonts w:eastAsia="Calibri" w:cstheme="minorHAnsi"/>
              </w:rPr>
              <w:t>117,339</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7B2D0D" w14:paraId="3A15E3A6" w14:textId="32136E4E">
            <w:pPr>
              <w:spacing w:after="0" w:line="240" w:lineRule="auto"/>
              <w:rPr>
                <w:rFonts w:eastAsia="Calibri" w:cstheme="minorHAnsi"/>
              </w:rPr>
            </w:pPr>
            <w:r w:rsidRPr="002B6DB5">
              <w:rPr>
                <w:rFonts w:eastAsia="Calibri" w:cstheme="minorHAnsi"/>
              </w:rPr>
              <w:t>8</w:t>
            </w:r>
            <w:r w:rsidRPr="002B6DB5" w:rsidR="005B2F24">
              <w:rPr>
                <w:rFonts w:eastAsia="Calibri" w:cstheme="minorHAnsi"/>
              </w:rPr>
              <w:t>5%</w:t>
            </w:r>
          </w:p>
        </w:tc>
        <w:tc>
          <w:tcPr>
            <w:tcW w:w="1059" w:type="dxa"/>
            <w:tcBorders>
              <w:top w:val="nil"/>
              <w:left w:val="nil"/>
              <w:bottom w:val="single" w:color="auto" w:sz="8" w:space="0"/>
              <w:right w:val="single" w:color="auto" w:sz="8" w:space="0"/>
            </w:tcBorders>
            <w:shd w:val="clear" w:color="auto" w:fill="BFBFBF" w:themeFill="background1" w:themeFillShade="BF"/>
          </w:tcPr>
          <w:p w:rsidRPr="002B6DB5" w:rsidR="005B2F24" w:rsidP="00F023CD" w:rsidRDefault="005B2F24" w14:paraId="74CB339D" w14:textId="77777777">
            <w:pPr>
              <w:spacing w:after="0" w:line="240" w:lineRule="auto"/>
              <w:rPr>
                <w:rFonts w:eastAsia="Times New Roman" w:cstheme="minorHAnsi"/>
              </w:rPr>
            </w:pPr>
          </w:p>
        </w:tc>
        <w:tc>
          <w:tcPr>
            <w:tcW w:w="2420" w:type="dxa"/>
            <w:tcBorders>
              <w:top w:val="nil"/>
              <w:left w:val="nil"/>
              <w:bottom w:val="single" w:color="auto" w:sz="8" w:space="0"/>
              <w:right w:val="single" w:color="auto" w:sz="8" w:space="0"/>
            </w:tcBorders>
            <w:vAlign w:val="bottom"/>
          </w:tcPr>
          <w:p w:rsidRPr="002B6DB5" w:rsidR="005B2F24" w:rsidP="00F023CD" w:rsidRDefault="005B2F24" w14:paraId="328805D9" w14:textId="633D9EA5">
            <w:pPr>
              <w:spacing w:after="0" w:line="240" w:lineRule="auto"/>
              <w:rPr>
                <w:rFonts w:eastAsia="Times New Roman" w:cstheme="minorHAnsi"/>
              </w:rPr>
            </w:pPr>
            <w:r w:rsidRPr="002B6DB5">
              <w:rPr>
                <w:rFonts w:cstheme="minorHAnsi"/>
                <w:color w:val="000000"/>
              </w:rPr>
              <w:t>$111,472.10</w:t>
            </w:r>
          </w:p>
        </w:tc>
      </w:tr>
      <w:tr w:rsidRPr="002B6DB5" w:rsidR="005B2F24" w:rsidTr="0010356A" w14:paraId="7A3F545A"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06E24FE3" w14:textId="7220C69F">
            <w:pPr>
              <w:spacing w:after="0" w:line="240" w:lineRule="auto"/>
              <w:rPr>
                <w:rFonts w:eastAsia="Calibri" w:cstheme="minorHAnsi"/>
              </w:rPr>
            </w:pPr>
            <w:r w:rsidRPr="002B6DB5">
              <w:rPr>
                <w:rFonts w:eastAsia="Calibri" w:cstheme="minorHAnsi"/>
              </w:rPr>
              <w:t>Analytics Lead</w:t>
            </w:r>
          </w:p>
        </w:tc>
        <w:tc>
          <w:tcPr>
            <w:tcW w:w="1096" w:type="dxa"/>
            <w:tcBorders>
              <w:top w:val="nil"/>
              <w:left w:val="nil"/>
              <w:bottom w:val="single" w:color="auto" w:sz="8" w:space="0"/>
              <w:right w:val="single" w:color="auto" w:sz="8" w:space="0"/>
            </w:tcBorders>
          </w:tcPr>
          <w:p w:rsidRPr="002B6DB5" w:rsidR="005B2F24" w:rsidP="00F023CD" w:rsidRDefault="005B2F24" w14:paraId="331F7DF9" w14:textId="061EB11D">
            <w:pPr>
              <w:spacing w:after="0" w:line="240" w:lineRule="auto"/>
              <w:rPr>
                <w:rFonts w:eastAsia="Calibri" w:cstheme="minorHAnsi"/>
              </w:rPr>
            </w:pPr>
            <w:r w:rsidRPr="002B6DB5">
              <w:rPr>
                <w:rFonts w:eastAsia="Calibri" w:cstheme="minorHAnsi"/>
              </w:rPr>
              <w:t>13/3</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5A30905F" w14:textId="471D15BB">
            <w:pPr>
              <w:spacing w:after="0" w:line="240" w:lineRule="auto"/>
              <w:jc w:val="both"/>
              <w:rPr>
                <w:rFonts w:eastAsia="Calibri" w:cstheme="minorHAnsi"/>
              </w:rPr>
            </w:pPr>
            <w:r w:rsidRPr="002B6DB5">
              <w:rPr>
                <w:rFonts w:eastAsia="Calibri" w:cstheme="minorHAnsi"/>
              </w:rPr>
              <w:t>107,248</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141F8154" w14:textId="07B26C96">
            <w:pPr>
              <w:spacing w:after="0" w:line="240" w:lineRule="auto"/>
              <w:rPr>
                <w:rFonts w:eastAsia="Calibri" w:cstheme="minorHAnsi"/>
              </w:rPr>
            </w:pPr>
            <w:r w:rsidRPr="002B6DB5">
              <w:rPr>
                <w:rFonts w:eastAsia="Calibri" w:cstheme="minorHAnsi"/>
              </w:rPr>
              <w:t>50%</w:t>
            </w:r>
          </w:p>
        </w:tc>
        <w:tc>
          <w:tcPr>
            <w:tcW w:w="1059" w:type="dxa"/>
            <w:tcBorders>
              <w:top w:val="nil"/>
              <w:left w:val="nil"/>
              <w:bottom w:val="single" w:color="auto" w:sz="8" w:space="0"/>
              <w:right w:val="single" w:color="auto" w:sz="8" w:space="0"/>
            </w:tcBorders>
            <w:shd w:val="clear" w:color="auto" w:fill="BFBFBF" w:themeFill="background1" w:themeFillShade="BF"/>
          </w:tcPr>
          <w:p w:rsidRPr="002B6DB5" w:rsidR="005B2F24" w:rsidP="00F023CD" w:rsidRDefault="005B2F24" w14:paraId="17B12DD0" w14:textId="77777777">
            <w:pPr>
              <w:spacing w:after="0" w:line="240" w:lineRule="auto"/>
              <w:rPr>
                <w:rFonts w:eastAsia="Times New Roman" w:cstheme="minorHAnsi"/>
              </w:rPr>
            </w:pPr>
          </w:p>
        </w:tc>
        <w:tc>
          <w:tcPr>
            <w:tcW w:w="2420" w:type="dxa"/>
            <w:tcBorders>
              <w:top w:val="nil"/>
              <w:left w:val="nil"/>
              <w:bottom w:val="single" w:color="auto" w:sz="8" w:space="0"/>
              <w:right w:val="single" w:color="auto" w:sz="8" w:space="0"/>
            </w:tcBorders>
            <w:vAlign w:val="bottom"/>
          </w:tcPr>
          <w:p w:rsidRPr="002B6DB5" w:rsidR="005B2F24" w:rsidP="00F023CD" w:rsidRDefault="005B2F24" w14:paraId="0337442E" w14:textId="47C81E42">
            <w:pPr>
              <w:spacing w:after="0" w:line="240" w:lineRule="auto"/>
              <w:rPr>
                <w:rFonts w:eastAsia="Times New Roman" w:cstheme="minorHAnsi"/>
              </w:rPr>
            </w:pPr>
            <w:r w:rsidRPr="002B6DB5">
              <w:rPr>
                <w:rFonts w:cstheme="minorHAnsi"/>
                <w:color w:val="000000"/>
              </w:rPr>
              <w:t>$53,624.00</w:t>
            </w:r>
          </w:p>
        </w:tc>
      </w:tr>
      <w:tr w:rsidRPr="002B6DB5" w:rsidR="005B2F24" w:rsidTr="0010356A" w14:paraId="79F31A3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6A93F103" w14:textId="20FB6DAC">
            <w:pPr>
              <w:spacing w:after="0" w:line="240" w:lineRule="auto"/>
              <w:rPr>
                <w:rFonts w:eastAsia="Calibri" w:cstheme="minorHAnsi"/>
              </w:rPr>
            </w:pPr>
            <w:r w:rsidRPr="002B6DB5">
              <w:rPr>
                <w:rFonts w:eastAsia="Calibri" w:cstheme="minorHAnsi"/>
              </w:rPr>
              <w:t>Section Chief</w:t>
            </w:r>
          </w:p>
        </w:tc>
        <w:tc>
          <w:tcPr>
            <w:tcW w:w="1096" w:type="dxa"/>
            <w:tcBorders>
              <w:top w:val="nil"/>
              <w:left w:val="nil"/>
              <w:bottom w:val="single" w:color="auto" w:sz="8" w:space="0"/>
              <w:right w:val="single" w:color="auto" w:sz="8" w:space="0"/>
            </w:tcBorders>
          </w:tcPr>
          <w:p w:rsidRPr="002B6DB5" w:rsidR="005B2F24" w:rsidP="00F023CD" w:rsidRDefault="005B2F24" w14:paraId="4891FBA5" w14:textId="5CAE9BF5">
            <w:pPr>
              <w:spacing w:after="0" w:line="240" w:lineRule="auto"/>
              <w:rPr>
                <w:rFonts w:eastAsia="Calibri" w:cstheme="minorHAnsi"/>
              </w:rPr>
            </w:pPr>
            <w:r w:rsidRPr="002B6DB5">
              <w:rPr>
                <w:rFonts w:eastAsia="Calibri" w:cstheme="minorHAnsi"/>
              </w:rPr>
              <w:t>14/7</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236FD6F0" w14:textId="0504B7F6">
            <w:pPr>
              <w:spacing w:after="0" w:line="240" w:lineRule="auto"/>
              <w:rPr>
                <w:rFonts w:eastAsia="Calibri" w:cstheme="minorHAnsi"/>
              </w:rPr>
            </w:pPr>
            <w:r w:rsidRPr="002B6DB5">
              <w:rPr>
                <w:rFonts w:eastAsia="Calibri" w:cstheme="minorHAnsi"/>
              </w:rPr>
              <w:t>151,479</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1495818B" w14:textId="07648E47">
            <w:pPr>
              <w:spacing w:after="0" w:line="240" w:lineRule="auto"/>
              <w:rPr>
                <w:rFonts w:eastAsia="Calibri" w:cstheme="minorHAnsi"/>
              </w:rPr>
            </w:pPr>
            <w:r w:rsidRPr="002B6DB5">
              <w:rPr>
                <w:rFonts w:eastAsia="Calibri" w:cstheme="minorHAnsi"/>
              </w:rPr>
              <w:t>25%</w:t>
            </w:r>
          </w:p>
        </w:tc>
        <w:tc>
          <w:tcPr>
            <w:tcW w:w="1059" w:type="dxa"/>
            <w:tcBorders>
              <w:top w:val="nil"/>
              <w:left w:val="nil"/>
              <w:bottom w:val="single" w:color="auto" w:sz="8" w:space="0"/>
              <w:right w:val="single" w:color="auto" w:sz="8" w:space="0"/>
            </w:tcBorders>
            <w:shd w:val="clear" w:color="auto" w:fill="BFBFBF" w:themeFill="background1" w:themeFillShade="BF"/>
          </w:tcPr>
          <w:p w:rsidRPr="002B6DB5" w:rsidR="005B2F24" w:rsidP="00F023CD" w:rsidRDefault="005B2F24" w14:paraId="4697687E" w14:textId="77777777">
            <w:pPr>
              <w:spacing w:after="0" w:line="240" w:lineRule="auto"/>
              <w:rPr>
                <w:rFonts w:eastAsia="Times New Roman" w:cstheme="minorHAnsi"/>
              </w:rPr>
            </w:pPr>
          </w:p>
        </w:tc>
        <w:tc>
          <w:tcPr>
            <w:tcW w:w="2420" w:type="dxa"/>
            <w:tcBorders>
              <w:top w:val="nil"/>
              <w:left w:val="nil"/>
              <w:bottom w:val="single" w:color="auto" w:sz="8" w:space="0"/>
              <w:right w:val="single" w:color="auto" w:sz="8" w:space="0"/>
            </w:tcBorders>
            <w:vAlign w:val="bottom"/>
          </w:tcPr>
          <w:p w:rsidRPr="002B6DB5" w:rsidR="005B2F24" w:rsidP="00F023CD" w:rsidRDefault="005B2F24" w14:paraId="3990900D" w14:textId="4AE17EBE">
            <w:pPr>
              <w:spacing w:after="0" w:line="240" w:lineRule="auto"/>
              <w:rPr>
                <w:rFonts w:eastAsia="Times New Roman" w:cstheme="minorHAnsi"/>
              </w:rPr>
            </w:pPr>
            <w:r w:rsidRPr="002B6DB5">
              <w:rPr>
                <w:rFonts w:cstheme="minorHAnsi"/>
                <w:color w:val="000000"/>
              </w:rPr>
              <w:t>$37,869.75</w:t>
            </w:r>
          </w:p>
        </w:tc>
      </w:tr>
      <w:tr w:rsidRPr="002B6DB5" w:rsidR="005B2F24" w:rsidTr="0010356A" w14:paraId="0B722A53"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4CF55141" w14:textId="10407258">
            <w:pPr>
              <w:spacing w:after="0" w:line="240" w:lineRule="auto"/>
              <w:rPr>
                <w:rFonts w:eastAsia="Calibri" w:cstheme="minorHAnsi"/>
              </w:rPr>
            </w:pPr>
            <w:r w:rsidRPr="002B6DB5">
              <w:rPr>
                <w:rFonts w:eastAsia="Calibri" w:cstheme="minorHAnsi"/>
              </w:rPr>
              <w:t>Branch Chief</w:t>
            </w:r>
          </w:p>
        </w:tc>
        <w:tc>
          <w:tcPr>
            <w:tcW w:w="1096" w:type="dxa"/>
            <w:tcBorders>
              <w:top w:val="nil"/>
              <w:left w:val="nil"/>
              <w:bottom w:val="single" w:color="auto" w:sz="8" w:space="0"/>
              <w:right w:val="single" w:color="auto" w:sz="8" w:space="0"/>
            </w:tcBorders>
          </w:tcPr>
          <w:p w:rsidRPr="002B6DB5" w:rsidR="005B2F24" w:rsidP="00F023CD" w:rsidRDefault="005B2F24" w14:paraId="7A3B0CD7" w14:textId="223B4A36">
            <w:pPr>
              <w:spacing w:after="0" w:line="240" w:lineRule="auto"/>
              <w:rPr>
                <w:rFonts w:eastAsia="Calibri" w:cstheme="minorHAnsi"/>
              </w:rPr>
            </w:pPr>
            <w:r w:rsidRPr="002B6DB5">
              <w:rPr>
                <w:rFonts w:eastAsia="Calibri" w:cstheme="minorHAnsi"/>
              </w:rPr>
              <w:t>14/7</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46689954" w14:textId="055DF631">
            <w:pPr>
              <w:spacing w:after="0" w:line="240" w:lineRule="auto"/>
              <w:rPr>
                <w:rFonts w:eastAsia="Calibri" w:cstheme="minorHAnsi"/>
              </w:rPr>
            </w:pPr>
            <w:r w:rsidRPr="002B6DB5">
              <w:rPr>
                <w:rFonts w:eastAsia="Calibri" w:cstheme="minorHAnsi"/>
              </w:rPr>
              <w:t>134,953</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35CF03DB" w14:textId="73EF8F23">
            <w:pPr>
              <w:spacing w:after="0" w:line="240" w:lineRule="auto"/>
              <w:rPr>
                <w:rFonts w:eastAsia="Calibri" w:cstheme="minorHAnsi"/>
              </w:rPr>
            </w:pPr>
            <w:r w:rsidRPr="002B6DB5">
              <w:rPr>
                <w:rFonts w:eastAsia="Calibri" w:cstheme="minorHAnsi"/>
              </w:rPr>
              <w:t>10%</w:t>
            </w:r>
          </w:p>
        </w:tc>
        <w:tc>
          <w:tcPr>
            <w:tcW w:w="1059" w:type="dxa"/>
            <w:tcBorders>
              <w:top w:val="nil"/>
              <w:left w:val="nil"/>
              <w:bottom w:val="single" w:color="auto" w:sz="8" w:space="0"/>
              <w:right w:val="single" w:color="auto" w:sz="8" w:space="0"/>
            </w:tcBorders>
            <w:shd w:val="clear" w:color="auto" w:fill="BFBFBF" w:themeFill="background1" w:themeFillShade="BF"/>
          </w:tcPr>
          <w:p w:rsidRPr="002B6DB5" w:rsidR="005B2F24" w:rsidP="00F023CD" w:rsidRDefault="005B2F24" w14:paraId="61D3C851" w14:textId="77777777">
            <w:pPr>
              <w:spacing w:after="0" w:line="240" w:lineRule="auto"/>
              <w:rPr>
                <w:rFonts w:eastAsia="Times New Roman" w:cstheme="minorHAnsi"/>
              </w:rPr>
            </w:pPr>
          </w:p>
        </w:tc>
        <w:tc>
          <w:tcPr>
            <w:tcW w:w="2420" w:type="dxa"/>
            <w:tcBorders>
              <w:top w:val="nil"/>
              <w:left w:val="nil"/>
              <w:bottom w:val="single" w:color="auto" w:sz="8" w:space="0"/>
              <w:right w:val="single" w:color="auto" w:sz="8" w:space="0"/>
            </w:tcBorders>
            <w:vAlign w:val="bottom"/>
          </w:tcPr>
          <w:p w:rsidRPr="002B6DB5" w:rsidR="005B2F24" w:rsidP="00F023CD" w:rsidRDefault="005B2F24" w14:paraId="14B8AA83" w14:textId="098B950B">
            <w:pPr>
              <w:spacing w:after="0" w:line="240" w:lineRule="auto"/>
              <w:rPr>
                <w:rFonts w:eastAsia="Times New Roman" w:cstheme="minorHAnsi"/>
              </w:rPr>
            </w:pPr>
            <w:r w:rsidRPr="002B6DB5">
              <w:rPr>
                <w:rFonts w:cstheme="minorHAnsi"/>
                <w:color w:val="000000"/>
              </w:rPr>
              <w:t>$13,495.30</w:t>
            </w:r>
          </w:p>
        </w:tc>
      </w:tr>
      <w:tr w:rsidRPr="002B6DB5" w:rsidR="005B2F24" w:rsidTr="0010356A" w14:paraId="264FF2A4"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1E252424" w14:textId="4D36D2C1">
            <w:pPr>
              <w:spacing w:after="0" w:line="240" w:lineRule="auto"/>
              <w:rPr>
                <w:rFonts w:eastAsia="Calibri" w:cstheme="minorHAnsi"/>
              </w:rPr>
            </w:pPr>
            <w:r w:rsidRPr="002B6DB5">
              <w:rPr>
                <w:rFonts w:eastAsia="Calibri" w:cstheme="minorHAnsi"/>
              </w:rPr>
              <w:t>Division Director</w:t>
            </w:r>
          </w:p>
        </w:tc>
        <w:tc>
          <w:tcPr>
            <w:tcW w:w="1096" w:type="dxa"/>
            <w:tcBorders>
              <w:top w:val="nil"/>
              <w:left w:val="nil"/>
              <w:bottom w:val="single" w:color="auto" w:sz="8" w:space="0"/>
              <w:right w:val="single" w:color="auto" w:sz="8" w:space="0"/>
            </w:tcBorders>
          </w:tcPr>
          <w:p w:rsidRPr="002B6DB5" w:rsidR="005B2F24" w:rsidP="00F023CD" w:rsidRDefault="005B2F24" w14:paraId="11E84BA7" w14:textId="33B99E8F">
            <w:pPr>
              <w:spacing w:after="0" w:line="240" w:lineRule="auto"/>
              <w:rPr>
                <w:rFonts w:eastAsia="Calibri" w:cstheme="minorHAnsi"/>
              </w:rPr>
            </w:pPr>
            <w:r w:rsidRPr="002B6DB5">
              <w:rPr>
                <w:rFonts w:eastAsia="Calibri" w:cstheme="minorHAnsi"/>
              </w:rPr>
              <w:t>15/8</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17AAFF97" w14:textId="77B5A86E">
            <w:pPr>
              <w:spacing w:after="0" w:line="240" w:lineRule="auto"/>
              <w:rPr>
                <w:rFonts w:eastAsia="Calibri" w:cstheme="minorHAnsi"/>
              </w:rPr>
            </w:pPr>
            <w:r w:rsidRPr="002B6DB5">
              <w:rPr>
                <w:rFonts w:eastAsia="Calibri" w:cstheme="minorHAnsi"/>
              </w:rPr>
              <w:t>176,300</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5B2F24" w:rsidP="00F023CD" w:rsidRDefault="005B2F24" w14:paraId="161C06FE" w14:textId="74AAEA0F">
            <w:pPr>
              <w:spacing w:after="0" w:line="240" w:lineRule="auto"/>
              <w:rPr>
                <w:rFonts w:eastAsia="Calibri" w:cstheme="minorHAnsi"/>
              </w:rPr>
            </w:pPr>
            <w:r w:rsidRPr="002B6DB5">
              <w:rPr>
                <w:rFonts w:eastAsia="Calibri" w:cstheme="minorHAnsi"/>
              </w:rPr>
              <w:t>5%</w:t>
            </w:r>
          </w:p>
        </w:tc>
        <w:tc>
          <w:tcPr>
            <w:tcW w:w="1059" w:type="dxa"/>
            <w:tcBorders>
              <w:top w:val="nil"/>
              <w:left w:val="nil"/>
              <w:bottom w:val="single" w:color="auto" w:sz="8" w:space="0"/>
              <w:right w:val="single" w:color="auto" w:sz="8" w:space="0"/>
            </w:tcBorders>
            <w:shd w:val="clear" w:color="auto" w:fill="BFBFBF" w:themeFill="background1" w:themeFillShade="BF"/>
          </w:tcPr>
          <w:p w:rsidRPr="002B6DB5" w:rsidR="005B2F24" w:rsidP="00F023CD" w:rsidRDefault="005B2F24" w14:paraId="4C450E85" w14:textId="77777777">
            <w:pPr>
              <w:spacing w:after="0" w:line="240" w:lineRule="auto"/>
              <w:rPr>
                <w:rFonts w:eastAsia="Times New Roman" w:cstheme="minorHAnsi"/>
              </w:rPr>
            </w:pPr>
          </w:p>
        </w:tc>
        <w:tc>
          <w:tcPr>
            <w:tcW w:w="2420" w:type="dxa"/>
            <w:tcBorders>
              <w:top w:val="nil"/>
              <w:left w:val="nil"/>
              <w:bottom w:val="single" w:color="auto" w:sz="8" w:space="0"/>
              <w:right w:val="single" w:color="auto" w:sz="8" w:space="0"/>
            </w:tcBorders>
            <w:vAlign w:val="bottom"/>
          </w:tcPr>
          <w:p w:rsidRPr="002B6DB5" w:rsidR="005B2F24" w:rsidP="00F023CD" w:rsidRDefault="005B2F24" w14:paraId="104AF2C4" w14:textId="04E969C6">
            <w:pPr>
              <w:spacing w:after="0" w:line="240" w:lineRule="auto"/>
              <w:rPr>
                <w:rFonts w:eastAsia="Times New Roman" w:cstheme="minorHAnsi"/>
              </w:rPr>
            </w:pPr>
            <w:r w:rsidRPr="002B6DB5">
              <w:rPr>
                <w:rFonts w:cstheme="minorHAnsi"/>
                <w:color w:val="000000"/>
              </w:rPr>
              <w:t>$8,815.00</w:t>
            </w:r>
          </w:p>
        </w:tc>
      </w:tr>
      <w:tr w:rsidRPr="002B6DB5" w:rsidR="00C835B4" w:rsidTr="005B2F24" w14:paraId="12937352"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6DB5" w:rsidR="00C835B4" w:rsidP="00F023CD" w:rsidRDefault="00C835B4" w14:paraId="6C96EF79" w14:textId="4CDE7B98">
            <w:pPr>
              <w:spacing w:after="0" w:line="240" w:lineRule="auto"/>
              <w:rPr>
                <w:rFonts w:eastAsia="Calibri" w:cstheme="minorHAnsi"/>
              </w:rPr>
            </w:pPr>
          </w:p>
        </w:tc>
        <w:tc>
          <w:tcPr>
            <w:tcW w:w="1096" w:type="dxa"/>
            <w:tcBorders>
              <w:top w:val="nil"/>
              <w:left w:val="nil"/>
              <w:bottom w:val="single" w:color="auto" w:sz="8" w:space="0"/>
              <w:right w:val="single" w:color="auto" w:sz="8" w:space="0"/>
            </w:tcBorders>
          </w:tcPr>
          <w:p w:rsidRPr="002B6DB5" w:rsidR="00C835B4" w:rsidP="00F023CD" w:rsidRDefault="00C835B4" w14:paraId="756DDF34" w14:textId="77777777">
            <w:pPr>
              <w:spacing w:after="0" w:line="240" w:lineRule="auto"/>
              <w:rPr>
                <w:rFonts w:eastAsia="Calibri" w:cstheme="minorHAnsi"/>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C835B4" w:rsidP="00F023CD" w:rsidRDefault="00C835B4" w14:paraId="1318BD9D" w14:textId="77777777">
            <w:pPr>
              <w:spacing w:after="0" w:line="240" w:lineRule="auto"/>
              <w:rPr>
                <w:rFonts w:eastAsia="Calibri" w:cstheme="minorHAnsi"/>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C835B4" w:rsidP="00F023CD" w:rsidRDefault="00C835B4" w14:paraId="372EDCEB" w14:textId="77777777">
            <w:pPr>
              <w:spacing w:after="0" w:line="240" w:lineRule="auto"/>
              <w:rPr>
                <w:rFonts w:eastAsia="Calibri" w:cstheme="minorHAnsi"/>
              </w:rPr>
            </w:pPr>
          </w:p>
        </w:tc>
        <w:tc>
          <w:tcPr>
            <w:tcW w:w="1059" w:type="dxa"/>
            <w:tcBorders>
              <w:top w:val="nil"/>
              <w:left w:val="nil"/>
              <w:bottom w:val="single" w:color="auto" w:sz="8" w:space="0"/>
              <w:right w:val="single" w:color="auto" w:sz="8" w:space="0"/>
            </w:tcBorders>
            <w:shd w:val="clear" w:color="auto" w:fill="BFBFBF" w:themeFill="background1" w:themeFillShade="BF"/>
          </w:tcPr>
          <w:p w:rsidRPr="002B6DB5" w:rsidR="00C835B4" w:rsidP="00F023CD" w:rsidRDefault="00C835B4" w14:paraId="1BDDF5A5" w14:textId="77777777">
            <w:pPr>
              <w:spacing w:after="0" w:line="240" w:lineRule="auto"/>
              <w:rPr>
                <w:rFonts w:eastAsia="Times New Roman" w:cstheme="minorHAnsi"/>
              </w:rPr>
            </w:pPr>
          </w:p>
        </w:tc>
        <w:tc>
          <w:tcPr>
            <w:tcW w:w="2420" w:type="dxa"/>
            <w:tcBorders>
              <w:top w:val="nil"/>
              <w:left w:val="nil"/>
              <w:bottom w:val="single" w:color="auto" w:sz="8" w:space="0"/>
              <w:right w:val="single" w:color="auto" w:sz="8" w:space="0"/>
            </w:tcBorders>
          </w:tcPr>
          <w:p w:rsidRPr="002B6DB5" w:rsidR="00C835B4" w:rsidP="00F023CD" w:rsidRDefault="00C835B4" w14:paraId="2D257F5A" w14:textId="77777777">
            <w:pPr>
              <w:spacing w:after="0" w:line="240" w:lineRule="auto"/>
              <w:rPr>
                <w:rFonts w:eastAsia="Times New Roman" w:cstheme="minorHAnsi"/>
              </w:rPr>
            </w:pPr>
          </w:p>
        </w:tc>
      </w:tr>
      <w:tr w:rsidRPr="002B6DB5" w:rsidR="0037291F" w:rsidTr="005B2F24" w14:paraId="70D5FED2"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6DB5" w:rsidR="0037291F" w:rsidP="00F023CD" w:rsidRDefault="0037291F" w14:paraId="7E4275FD" w14:textId="77777777">
            <w:pPr>
              <w:spacing w:after="0" w:line="240" w:lineRule="auto"/>
              <w:rPr>
                <w:rFonts w:eastAsia="Calibri" w:cstheme="minorHAnsi"/>
                <w:b/>
              </w:rPr>
            </w:pPr>
            <w:r w:rsidRPr="002B6DB5">
              <w:rPr>
                <w:rFonts w:eastAsia="Calibri" w:cstheme="minorHAnsi"/>
                <w:b/>
              </w:rPr>
              <w:t>Contractor Cost</w:t>
            </w:r>
          </w:p>
        </w:tc>
        <w:tc>
          <w:tcPr>
            <w:tcW w:w="1096" w:type="dxa"/>
            <w:tcBorders>
              <w:top w:val="nil"/>
              <w:left w:val="nil"/>
              <w:bottom w:val="single" w:color="auto" w:sz="8" w:space="0"/>
              <w:right w:val="single" w:color="auto" w:sz="8" w:space="0"/>
            </w:tcBorders>
            <w:shd w:val="clear" w:color="auto" w:fill="BFBFBF" w:themeFill="background1" w:themeFillShade="BF"/>
          </w:tcPr>
          <w:p w:rsidRPr="002B6DB5" w:rsidR="0037291F" w:rsidP="00F023CD" w:rsidRDefault="0037291F" w14:paraId="56B57766" w14:textId="77777777">
            <w:pPr>
              <w:spacing w:after="0" w:line="240" w:lineRule="auto"/>
              <w:rPr>
                <w:rFonts w:eastAsia="Calibri" w:cstheme="minorHAnsi"/>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37291F" w:rsidP="00F023CD" w:rsidRDefault="0037291F" w14:paraId="0AB27413" w14:textId="77777777">
            <w:pPr>
              <w:spacing w:after="0" w:line="240" w:lineRule="auto"/>
              <w:rPr>
                <w:rFonts w:eastAsia="Calibri" w:cstheme="minorHAnsi"/>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37291F" w:rsidP="00F023CD" w:rsidRDefault="0037291F" w14:paraId="7B1BC594" w14:textId="77777777">
            <w:pPr>
              <w:spacing w:after="0" w:line="240" w:lineRule="auto"/>
              <w:rPr>
                <w:rFonts w:eastAsia="Calibri" w:cstheme="minorHAnsi"/>
              </w:rPr>
            </w:pPr>
          </w:p>
        </w:tc>
        <w:tc>
          <w:tcPr>
            <w:tcW w:w="1059" w:type="dxa"/>
            <w:tcBorders>
              <w:top w:val="nil"/>
              <w:left w:val="nil"/>
              <w:bottom w:val="single" w:color="auto" w:sz="8" w:space="0"/>
              <w:right w:val="single" w:color="auto" w:sz="8" w:space="0"/>
            </w:tcBorders>
          </w:tcPr>
          <w:p w:rsidRPr="002B6DB5" w:rsidR="0037291F" w:rsidP="00F023CD" w:rsidRDefault="0037291F" w14:paraId="7377C64F" w14:textId="77777777">
            <w:pPr>
              <w:spacing w:after="0" w:line="240" w:lineRule="auto"/>
              <w:rPr>
                <w:rFonts w:eastAsia="Times New Roman" w:cstheme="minorHAnsi"/>
              </w:rPr>
            </w:pPr>
          </w:p>
        </w:tc>
        <w:tc>
          <w:tcPr>
            <w:tcW w:w="2420" w:type="dxa"/>
            <w:tcBorders>
              <w:top w:val="nil"/>
              <w:left w:val="nil"/>
              <w:bottom w:val="single" w:color="auto" w:sz="8" w:space="0"/>
              <w:right w:val="single" w:color="auto" w:sz="8" w:space="0"/>
            </w:tcBorders>
          </w:tcPr>
          <w:p w:rsidRPr="002B6DB5" w:rsidR="0037291F" w:rsidP="00F023CD" w:rsidRDefault="00D36F72" w14:paraId="54FFB52A" w14:textId="57076846">
            <w:pPr>
              <w:spacing w:after="0" w:line="240" w:lineRule="auto"/>
              <w:rPr>
                <w:rFonts w:eastAsia="Times New Roman" w:cstheme="minorHAnsi"/>
              </w:rPr>
            </w:pPr>
            <w:r w:rsidRPr="002B6DB5">
              <w:rPr>
                <w:rFonts w:eastAsia="Calibri" w:cstheme="minorHAnsi"/>
              </w:rPr>
              <w:t>$465,547</w:t>
            </w:r>
          </w:p>
        </w:tc>
      </w:tr>
      <w:tr w:rsidRPr="002B6DB5" w:rsidR="0037291F" w:rsidTr="005B2F24" w14:paraId="6D32B8B1"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6DB5" w:rsidR="0037291F" w:rsidP="00F023CD" w:rsidRDefault="0037291F" w14:paraId="5C9DB413" w14:textId="77777777">
            <w:pPr>
              <w:spacing w:after="0" w:line="240" w:lineRule="auto"/>
              <w:rPr>
                <w:rFonts w:eastAsia="Calibri" w:cstheme="minorHAnsi"/>
              </w:rPr>
            </w:pPr>
          </w:p>
        </w:tc>
        <w:tc>
          <w:tcPr>
            <w:tcW w:w="1096" w:type="dxa"/>
            <w:tcBorders>
              <w:top w:val="nil"/>
              <w:left w:val="nil"/>
              <w:bottom w:val="single" w:color="auto" w:sz="8" w:space="0"/>
              <w:right w:val="single" w:color="auto" w:sz="8" w:space="0"/>
            </w:tcBorders>
          </w:tcPr>
          <w:p w:rsidRPr="002B6DB5" w:rsidR="0037291F" w:rsidP="00F023CD" w:rsidRDefault="0037291F" w14:paraId="29122B6C" w14:textId="77777777">
            <w:pPr>
              <w:spacing w:after="0" w:line="240" w:lineRule="auto"/>
              <w:rPr>
                <w:rFonts w:eastAsia="Calibri" w:cstheme="minorHAnsi"/>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37291F" w:rsidP="00F023CD" w:rsidRDefault="0037291F" w14:paraId="3918A501" w14:textId="77777777">
            <w:pPr>
              <w:spacing w:after="0" w:line="240" w:lineRule="auto"/>
              <w:rPr>
                <w:rFonts w:eastAsia="Calibri" w:cstheme="minorHAnsi"/>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6DB5" w:rsidR="0037291F" w:rsidP="00F023CD" w:rsidRDefault="0037291F" w14:paraId="017ED7E1" w14:textId="77777777">
            <w:pPr>
              <w:spacing w:after="0" w:line="240" w:lineRule="auto"/>
              <w:rPr>
                <w:rFonts w:eastAsia="Calibri" w:cstheme="minorHAnsi"/>
              </w:rPr>
            </w:pPr>
          </w:p>
        </w:tc>
        <w:tc>
          <w:tcPr>
            <w:tcW w:w="1059" w:type="dxa"/>
            <w:tcBorders>
              <w:top w:val="nil"/>
              <w:left w:val="nil"/>
              <w:bottom w:val="single" w:color="auto" w:sz="8" w:space="0"/>
              <w:right w:val="single" w:color="auto" w:sz="8" w:space="0"/>
            </w:tcBorders>
          </w:tcPr>
          <w:p w:rsidRPr="002B6DB5" w:rsidR="0037291F" w:rsidP="00F023CD" w:rsidRDefault="0037291F" w14:paraId="7A2C9545" w14:textId="77777777">
            <w:pPr>
              <w:spacing w:after="0" w:line="240" w:lineRule="auto"/>
              <w:rPr>
                <w:rFonts w:eastAsia="Times New Roman" w:cstheme="minorHAnsi"/>
              </w:rPr>
            </w:pPr>
          </w:p>
        </w:tc>
        <w:tc>
          <w:tcPr>
            <w:tcW w:w="2420" w:type="dxa"/>
            <w:tcBorders>
              <w:top w:val="nil"/>
              <w:left w:val="nil"/>
              <w:bottom w:val="single" w:color="auto" w:sz="8" w:space="0"/>
              <w:right w:val="single" w:color="auto" w:sz="8" w:space="0"/>
            </w:tcBorders>
          </w:tcPr>
          <w:p w:rsidRPr="002B6DB5" w:rsidR="0037291F" w:rsidP="00F023CD" w:rsidRDefault="0037291F" w14:paraId="1B6783A9" w14:textId="77777777">
            <w:pPr>
              <w:spacing w:after="0" w:line="240" w:lineRule="auto"/>
              <w:rPr>
                <w:rFonts w:eastAsia="Times New Roman" w:cstheme="minorHAnsi"/>
              </w:rPr>
            </w:pPr>
          </w:p>
        </w:tc>
      </w:tr>
      <w:tr w:rsidRPr="002B6DB5" w:rsidR="0037291F" w:rsidTr="005B2F24" w14:paraId="0C3AC42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6DB5" w:rsidR="0037291F" w:rsidP="00F023CD" w:rsidRDefault="0037291F" w14:paraId="4DE45762" w14:textId="77777777">
            <w:pPr>
              <w:spacing w:after="0" w:line="240" w:lineRule="auto"/>
              <w:rPr>
                <w:rFonts w:eastAsia="Calibri" w:cstheme="minorHAnsi"/>
              </w:rPr>
            </w:pPr>
            <w:r w:rsidRPr="002B6DB5">
              <w:rPr>
                <w:rFonts w:eastAsia="Calibri" w:cstheme="minorHAnsi"/>
              </w:rPr>
              <w:t xml:space="preserve">Travel </w:t>
            </w:r>
          </w:p>
        </w:tc>
        <w:tc>
          <w:tcPr>
            <w:tcW w:w="1096" w:type="dxa"/>
            <w:tcBorders>
              <w:top w:val="nil"/>
              <w:left w:val="nil"/>
              <w:bottom w:val="single" w:color="auto" w:sz="8" w:space="0"/>
              <w:right w:val="single" w:color="auto" w:sz="8" w:space="0"/>
            </w:tcBorders>
            <w:shd w:val="clear" w:color="auto" w:fill="BFBFBF" w:themeFill="background1" w:themeFillShade="BF"/>
          </w:tcPr>
          <w:p w:rsidRPr="002B6DB5" w:rsidR="0037291F" w:rsidP="00F023CD" w:rsidRDefault="0037291F" w14:paraId="4BF938D2" w14:textId="77777777">
            <w:pPr>
              <w:spacing w:after="0" w:line="240" w:lineRule="auto"/>
              <w:rPr>
                <w:rFonts w:eastAsia="Calibri" w:cstheme="minorHAnsi"/>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B6DB5" w:rsidR="0037291F" w:rsidP="00F023CD" w:rsidRDefault="0037291F" w14:paraId="3305B18C" w14:textId="77777777">
            <w:pPr>
              <w:spacing w:after="0" w:line="240" w:lineRule="auto"/>
              <w:rPr>
                <w:rFonts w:eastAsia="Calibri" w:cstheme="minorHAnsi"/>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B6DB5" w:rsidR="0037291F" w:rsidP="00F023CD" w:rsidRDefault="0037291F" w14:paraId="7C7918DA" w14:textId="77777777">
            <w:pPr>
              <w:spacing w:after="0" w:line="240" w:lineRule="auto"/>
              <w:rPr>
                <w:rFonts w:eastAsia="Calibri" w:cstheme="minorHAnsi"/>
              </w:rPr>
            </w:pPr>
          </w:p>
        </w:tc>
        <w:tc>
          <w:tcPr>
            <w:tcW w:w="1059" w:type="dxa"/>
            <w:tcBorders>
              <w:top w:val="nil"/>
              <w:left w:val="nil"/>
              <w:bottom w:val="single" w:color="auto" w:sz="8" w:space="0"/>
              <w:right w:val="single" w:color="auto" w:sz="8" w:space="0"/>
            </w:tcBorders>
            <w:shd w:val="clear" w:color="auto" w:fill="BFBFBF" w:themeFill="background1" w:themeFillShade="BF"/>
          </w:tcPr>
          <w:p w:rsidRPr="002B6DB5" w:rsidR="0037291F" w:rsidP="00F023CD" w:rsidRDefault="0037291F" w14:paraId="4CBB70F6" w14:textId="77777777">
            <w:pPr>
              <w:spacing w:after="0" w:line="240" w:lineRule="auto"/>
              <w:rPr>
                <w:rFonts w:eastAsia="Times New Roman" w:cstheme="minorHAnsi"/>
              </w:rPr>
            </w:pPr>
          </w:p>
        </w:tc>
        <w:tc>
          <w:tcPr>
            <w:tcW w:w="2420" w:type="dxa"/>
            <w:tcBorders>
              <w:top w:val="nil"/>
              <w:left w:val="nil"/>
              <w:bottom w:val="single" w:color="auto" w:sz="8" w:space="0"/>
              <w:right w:val="single" w:color="auto" w:sz="8" w:space="0"/>
            </w:tcBorders>
          </w:tcPr>
          <w:p w:rsidRPr="002B6DB5" w:rsidR="0037291F" w:rsidP="00F023CD" w:rsidRDefault="0037291F" w14:paraId="4DE95A51" w14:textId="77777777">
            <w:pPr>
              <w:spacing w:after="0" w:line="240" w:lineRule="auto"/>
              <w:rPr>
                <w:rFonts w:eastAsia="Times New Roman" w:cstheme="minorHAnsi"/>
              </w:rPr>
            </w:pPr>
          </w:p>
        </w:tc>
      </w:tr>
      <w:tr w:rsidRPr="002B6DB5" w:rsidR="0037291F" w:rsidTr="005B2F24" w14:paraId="4AEBFF88"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6DB5" w:rsidR="0037291F" w:rsidP="00F023CD" w:rsidRDefault="0037291F" w14:paraId="4584914B" w14:textId="77777777">
            <w:pPr>
              <w:spacing w:after="0" w:line="240" w:lineRule="auto"/>
              <w:rPr>
                <w:rFonts w:eastAsia="Calibri" w:cstheme="minorHAnsi"/>
                <w:color w:val="1F497D"/>
              </w:rPr>
            </w:pPr>
            <w:r w:rsidRPr="002B6DB5">
              <w:rPr>
                <w:rFonts w:eastAsia="Calibri" w:cstheme="minorHAnsi"/>
                <w:color w:val="000000"/>
              </w:rPr>
              <w:t>Other Cost</w:t>
            </w:r>
          </w:p>
        </w:tc>
        <w:tc>
          <w:tcPr>
            <w:tcW w:w="1096" w:type="dxa"/>
            <w:tcBorders>
              <w:top w:val="nil"/>
              <w:left w:val="nil"/>
              <w:bottom w:val="single" w:color="auto" w:sz="8" w:space="0"/>
              <w:right w:val="single" w:color="auto" w:sz="8" w:space="0"/>
            </w:tcBorders>
            <w:shd w:val="clear" w:color="auto" w:fill="BFBFBF" w:themeFill="background1" w:themeFillShade="BF"/>
          </w:tcPr>
          <w:p w:rsidRPr="002B6DB5" w:rsidR="0037291F" w:rsidP="00F023CD" w:rsidRDefault="0037291F" w14:paraId="09C6C4C3" w14:textId="77777777">
            <w:pPr>
              <w:spacing w:after="0" w:line="240" w:lineRule="auto"/>
              <w:rPr>
                <w:rFonts w:eastAsia="Calibri" w:cstheme="minorHAnsi"/>
                <w:color w:val="000000"/>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B6DB5" w:rsidR="0037291F" w:rsidP="00F023CD" w:rsidRDefault="0037291F" w14:paraId="29773080" w14:textId="77777777">
            <w:pPr>
              <w:spacing w:after="0" w:line="240" w:lineRule="auto"/>
              <w:rPr>
                <w:rFonts w:eastAsia="Calibri" w:cstheme="minorHAnsi"/>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B6DB5" w:rsidR="0037291F" w:rsidP="00F023CD" w:rsidRDefault="0037291F" w14:paraId="5C8C7929" w14:textId="77777777">
            <w:pPr>
              <w:spacing w:after="0" w:line="240" w:lineRule="auto"/>
              <w:rPr>
                <w:rFonts w:eastAsia="Calibri" w:cstheme="minorHAnsi"/>
              </w:rPr>
            </w:pPr>
          </w:p>
        </w:tc>
        <w:tc>
          <w:tcPr>
            <w:tcW w:w="1059" w:type="dxa"/>
            <w:tcBorders>
              <w:top w:val="nil"/>
              <w:left w:val="nil"/>
              <w:bottom w:val="single" w:color="auto" w:sz="8" w:space="0"/>
              <w:right w:val="single" w:color="auto" w:sz="8" w:space="0"/>
            </w:tcBorders>
            <w:shd w:val="clear" w:color="auto" w:fill="BFBFBF" w:themeFill="background1" w:themeFillShade="BF"/>
          </w:tcPr>
          <w:p w:rsidRPr="002B6DB5" w:rsidR="0037291F" w:rsidP="00F023CD" w:rsidRDefault="0037291F" w14:paraId="141111DC" w14:textId="77777777">
            <w:pPr>
              <w:spacing w:after="0" w:line="240" w:lineRule="auto"/>
              <w:rPr>
                <w:rFonts w:eastAsia="Calibri" w:cstheme="minorHAnsi"/>
              </w:rPr>
            </w:pPr>
          </w:p>
        </w:tc>
        <w:tc>
          <w:tcPr>
            <w:tcW w:w="2420" w:type="dxa"/>
            <w:tcBorders>
              <w:top w:val="nil"/>
              <w:left w:val="nil"/>
              <w:bottom w:val="single" w:color="auto" w:sz="8" w:space="0"/>
              <w:right w:val="single" w:color="auto" w:sz="8" w:space="0"/>
            </w:tcBorders>
          </w:tcPr>
          <w:p w:rsidRPr="002B6DB5" w:rsidR="0037291F" w:rsidP="00F023CD" w:rsidRDefault="0037291F" w14:paraId="6DE6D0FA" w14:textId="034A5E11">
            <w:pPr>
              <w:spacing w:after="0" w:line="240" w:lineRule="auto"/>
              <w:rPr>
                <w:rFonts w:eastAsia="Calibri" w:cstheme="minorHAnsi"/>
              </w:rPr>
            </w:pPr>
          </w:p>
        </w:tc>
      </w:tr>
      <w:tr w:rsidRPr="002B6DB5" w:rsidR="0037291F" w:rsidTr="005B2F24" w14:paraId="776CCEBD"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B6DB5" w:rsidR="0037291F" w:rsidP="00F023CD" w:rsidRDefault="0037291F" w14:paraId="5AB6CFDC" w14:textId="77777777">
            <w:pPr>
              <w:spacing w:after="0" w:line="240" w:lineRule="auto"/>
              <w:rPr>
                <w:rFonts w:eastAsia="Calibri" w:cstheme="minorHAnsi"/>
                <w:bCs/>
                <w:color w:val="000000"/>
              </w:rPr>
            </w:pPr>
          </w:p>
        </w:tc>
        <w:tc>
          <w:tcPr>
            <w:tcW w:w="1096" w:type="dxa"/>
            <w:tcBorders>
              <w:top w:val="nil"/>
              <w:left w:val="nil"/>
              <w:bottom w:val="single" w:color="auto" w:sz="8" w:space="0"/>
              <w:right w:val="single" w:color="auto" w:sz="8" w:space="0"/>
            </w:tcBorders>
            <w:shd w:val="clear" w:color="auto" w:fill="BFBFBF" w:themeFill="background1" w:themeFillShade="BF"/>
          </w:tcPr>
          <w:p w:rsidRPr="002B6DB5" w:rsidR="0037291F" w:rsidP="00F023CD" w:rsidRDefault="0037291F" w14:paraId="32510164" w14:textId="77777777">
            <w:pPr>
              <w:spacing w:after="0" w:line="240" w:lineRule="auto"/>
              <w:rPr>
                <w:rFonts w:eastAsia="Calibri" w:cstheme="minorHAnsi"/>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2B6DB5" w:rsidR="0037291F" w:rsidP="00F023CD" w:rsidRDefault="0037291F" w14:paraId="68AF2454" w14:textId="77777777">
            <w:pPr>
              <w:spacing w:after="0" w:line="240" w:lineRule="auto"/>
              <w:rPr>
                <w:rFonts w:eastAsia="Times New Roman" w:cstheme="minorHAnsi"/>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B6DB5" w:rsidR="0037291F" w:rsidP="00F023CD" w:rsidRDefault="0037291F" w14:paraId="2211A3E7" w14:textId="77777777">
            <w:pPr>
              <w:spacing w:after="0" w:line="240" w:lineRule="auto"/>
              <w:rPr>
                <w:rFonts w:eastAsia="Calibri" w:cstheme="minorHAnsi"/>
                <w:b/>
              </w:rPr>
            </w:pPr>
          </w:p>
        </w:tc>
        <w:tc>
          <w:tcPr>
            <w:tcW w:w="1059" w:type="dxa"/>
            <w:tcBorders>
              <w:top w:val="nil"/>
              <w:left w:val="nil"/>
              <w:bottom w:val="single" w:color="auto" w:sz="8" w:space="0"/>
              <w:right w:val="single" w:color="auto" w:sz="8" w:space="0"/>
            </w:tcBorders>
            <w:shd w:val="clear" w:color="auto" w:fill="BFBFBF" w:themeFill="background1" w:themeFillShade="BF"/>
          </w:tcPr>
          <w:p w:rsidRPr="002B6DB5" w:rsidR="0037291F" w:rsidP="00F023CD" w:rsidRDefault="0037291F" w14:paraId="19C99249" w14:textId="77777777">
            <w:pPr>
              <w:spacing w:after="0" w:line="240" w:lineRule="auto"/>
              <w:rPr>
                <w:rFonts w:eastAsia="Times New Roman" w:cstheme="minorHAnsi"/>
                <w:b/>
              </w:rPr>
            </w:pPr>
          </w:p>
        </w:tc>
        <w:tc>
          <w:tcPr>
            <w:tcW w:w="2420" w:type="dxa"/>
            <w:tcBorders>
              <w:top w:val="nil"/>
              <w:left w:val="nil"/>
              <w:bottom w:val="single" w:color="auto" w:sz="8" w:space="0"/>
              <w:right w:val="single" w:color="auto" w:sz="8" w:space="0"/>
            </w:tcBorders>
          </w:tcPr>
          <w:p w:rsidRPr="002B6DB5" w:rsidR="0037291F" w:rsidP="00F023CD" w:rsidRDefault="0037291F" w14:paraId="64FDCB4A" w14:textId="77777777">
            <w:pPr>
              <w:spacing w:after="0" w:line="240" w:lineRule="auto"/>
              <w:rPr>
                <w:rFonts w:eastAsia="Times New Roman" w:cstheme="minorHAnsi"/>
                <w:b/>
              </w:rPr>
            </w:pPr>
          </w:p>
        </w:tc>
      </w:tr>
      <w:tr w:rsidRPr="002B6DB5" w:rsidR="0037291F" w:rsidTr="005B2F24" w14:paraId="7F34BEA2"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B6DB5" w:rsidR="0037291F" w:rsidP="00F023CD" w:rsidRDefault="00296BEC" w14:paraId="24442857" w14:textId="77777777">
            <w:pPr>
              <w:spacing w:after="0" w:line="240" w:lineRule="auto"/>
              <w:rPr>
                <w:rFonts w:eastAsia="Times New Roman" w:cstheme="minorHAnsi"/>
                <w:b/>
                <w:sz w:val="20"/>
                <w:szCs w:val="20"/>
              </w:rPr>
            </w:pPr>
            <w:r w:rsidRPr="002B6DB5">
              <w:rPr>
                <w:rFonts w:eastAsia="Times New Roman" w:cstheme="minorHAnsi"/>
                <w:b/>
                <w:sz w:val="20"/>
                <w:szCs w:val="20"/>
              </w:rPr>
              <w:t>Total</w:t>
            </w:r>
          </w:p>
        </w:tc>
        <w:tc>
          <w:tcPr>
            <w:tcW w:w="1096" w:type="dxa"/>
            <w:tcBorders>
              <w:top w:val="nil"/>
              <w:left w:val="nil"/>
              <w:bottom w:val="single" w:color="auto" w:sz="8" w:space="0"/>
              <w:right w:val="single" w:color="auto" w:sz="8" w:space="0"/>
            </w:tcBorders>
          </w:tcPr>
          <w:p w:rsidRPr="002B6DB5" w:rsidR="0037291F" w:rsidP="00F023CD" w:rsidRDefault="0037291F" w14:paraId="65CC58DC" w14:textId="77777777">
            <w:pPr>
              <w:spacing w:after="0" w:line="240" w:lineRule="auto"/>
              <w:rPr>
                <w:rFonts w:eastAsia="Calibri" w:cstheme="minorHAnsi"/>
                <w:sz w:val="24"/>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B6DB5" w:rsidR="0037291F" w:rsidP="00F023CD" w:rsidRDefault="0037291F" w14:paraId="6B79E628" w14:textId="77777777">
            <w:pPr>
              <w:spacing w:after="0" w:line="240" w:lineRule="auto"/>
              <w:rPr>
                <w:rFonts w:eastAsia="Times New Roman" w:cstheme="minorHAnsi"/>
                <w:sz w:val="20"/>
                <w:szCs w:val="20"/>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B6DB5" w:rsidR="0037291F" w:rsidP="00F023CD" w:rsidRDefault="0037291F" w14:paraId="3E7F7E7F" w14:textId="77777777">
            <w:pPr>
              <w:spacing w:after="0" w:line="240" w:lineRule="auto"/>
              <w:rPr>
                <w:rFonts w:eastAsia="Times New Roman" w:cstheme="minorHAnsi"/>
                <w:sz w:val="20"/>
                <w:szCs w:val="20"/>
              </w:rPr>
            </w:pPr>
          </w:p>
        </w:tc>
        <w:tc>
          <w:tcPr>
            <w:tcW w:w="1059" w:type="dxa"/>
            <w:tcBorders>
              <w:top w:val="nil"/>
              <w:left w:val="nil"/>
              <w:bottom w:val="single" w:color="auto" w:sz="8" w:space="0"/>
              <w:right w:val="single" w:color="auto" w:sz="8" w:space="0"/>
            </w:tcBorders>
          </w:tcPr>
          <w:p w:rsidRPr="002B6DB5" w:rsidR="0037291F" w:rsidP="00F023CD" w:rsidRDefault="0037291F" w14:paraId="3C24B29E" w14:textId="77777777">
            <w:pPr>
              <w:spacing w:after="0" w:line="240" w:lineRule="auto"/>
              <w:rPr>
                <w:rFonts w:eastAsia="Times New Roman" w:cstheme="minorHAnsi"/>
                <w:sz w:val="20"/>
                <w:szCs w:val="20"/>
              </w:rPr>
            </w:pPr>
          </w:p>
        </w:tc>
        <w:tc>
          <w:tcPr>
            <w:tcW w:w="2420" w:type="dxa"/>
            <w:tcBorders>
              <w:top w:val="nil"/>
              <w:left w:val="nil"/>
              <w:bottom w:val="single" w:color="auto" w:sz="8" w:space="0"/>
              <w:right w:val="single" w:color="auto" w:sz="8" w:space="0"/>
            </w:tcBorders>
          </w:tcPr>
          <w:p w:rsidRPr="002B6DB5" w:rsidR="0037291F" w:rsidP="00F023CD" w:rsidRDefault="00607544" w14:paraId="66E52120" w14:textId="0A0A0BFB">
            <w:pPr>
              <w:spacing w:after="0" w:line="240" w:lineRule="auto"/>
              <w:rPr>
                <w:rFonts w:eastAsia="Times New Roman" w:cstheme="minorHAnsi"/>
              </w:rPr>
            </w:pPr>
            <w:r w:rsidRPr="002B6DB5">
              <w:rPr>
                <w:rFonts w:eastAsia="Times New Roman" w:cstheme="minorHAnsi"/>
              </w:rPr>
              <w:t>$690,823.15</w:t>
            </w:r>
          </w:p>
        </w:tc>
      </w:tr>
    </w:tbl>
    <w:p w:rsidRPr="002B6DB5" w:rsidR="006B624F" w:rsidP="00F023CD" w:rsidRDefault="009747F4" w14:paraId="27799FEF" w14:textId="7A1EA463">
      <w:pPr>
        <w:rPr>
          <w:rStyle w:val="Hyperlink"/>
          <w:rFonts w:cstheme="minorHAnsi"/>
        </w:rPr>
      </w:pPr>
      <w:r w:rsidRPr="002B6DB5">
        <w:rPr>
          <w:rFonts w:cstheme="minorHAnsi"/>
        </w:rPr>
        <w:t>*</w:t>
      </w:r>
      <w:proofErr w:type="gramStart"/>
      <w:r w:rsidRPr="002B6DB5">
        <w:rPr>
          <w:rFonts w:cstheme="minorHAnsi"/>
          <w:sz w:val="18"/>
          <w:szCs w:val="18"/>
        </w:rPr>
        <w:t>the</w:t>
      </w:r>
      <w:proofErr w:type="gramEnd"/>
      <w:r w:rsidRPr="002B6DB5">
        <w:rPr>
          <w:rFonts w:cstheme="minorHAnsi"/>
        </w:rPr>
        <w:t xml:space="preserve"> </w:t>
      </w:r>
      <w:r w:rsidRPr="002B6DB5">
        <w:rPr>
          <w:rFonts w:cstheme="minorHAnsi"/>
          <w:sz w:val="18"/>
          <w:szCs w:val="18"/>
        </w:rPr>
        <w:t>Salary in table above is cited from</w:t>
      </w:r>
      <w:r w:rsidRPr="002B6DB5">
        <w:rPr>
          <w:rFonts w:cstheme="minorHAnsi"/>
        </w:rPr>
        <w:t xml:space="preserve"> </w:t>
      </w:r>
      <w:hyperlink w:history="1" r:id="rId10">
        <w:r w:rsidRPr="009505D3" w:rsidR="00EA1462">
          <w:rPr>
            <w:rStyle w:val="Hyperlink"/>
          </w:rPr>
          <w:t>https://www.opm.gov/policy-data-oversight/pay-leave/salaries-wages/2022/general-schedule/</w:t>
        </w:r>
      </w:hyperlink>
      <w:r w:rsidR="00EA1462">
        <w:t xml:space="preserve"> </w:t>
      </w:r>
    </w:p>
    <w:p w:rsidRPr="002B6DB5" w:rsidR="002B3B80" w:rsidP="00F023CD" w:rsidRDefault="002B3B80" w14:paraId="26B7BCA9" w14:textId="18E99092">
      <w:pPr>
        <w:rPr>
          <w:rFonts w:cstheme="minorHAnsi"/>
        </w:rPr>
      </w:pPr>
      <w:r w:rsidRPr="002B6DB5">
        <w:rPr>
          <w:rStyle w:val="Hyperlink"/>
          <w:rFonts w:cstheme="minorHAnsi"/>
          <w:color w:val="auto"/>
          <w:u w:val="none"/>
        </w:rPr>
        <w:lastRenderedPageBreak/>
        <w:t xml:space="preserve">The NIH </w:t>
      </w:r>
      <w:r w:rsidRPr="002B6DB5" w:rsidR="00A6462F">
        <w:rPr>
          <w:rStyle w:val="Hyperlink"/>
          <w:rFonts w:cstheme="minorHAnsi"/>
          <w:color w:val="auto"/>
          <w:u w:val="none"/>
        </w:rPr>
        <w:t xml:space="preserve">Workplace </w:t>
      </w:r>
      <w:r w:rsidRPr="002B6DB5">
        <w:rPr>
          <w:rStyle w:val="Hyperlink"/>
          <w:rFonts w:cstheme="minorHAnsi"/>
          <w:color w:val="auto"/>
          <w:u w:val="none"/>
        </w:rPr>
        <w:t xml:space="preserve">Civility and Equity Survey is information collection is a program-wide effort. The percentages above are estimated for the first year of effort. Future iterations of the survey are expected to have slightly lower percentages of workload. </w:t>
      </w:r>
    </w:p>
    <w:p w:rsidRPr="002B6DB5" w:rsidR="0037291F" w:rsidP="00F023CD" w:rsidRDefault="0037291F" w14:paraId="134E7E5A" w14:textId="77777777">
      <w:pPr>
        <w:rPr>
          <w:rFonts w:cstheme="minorHAnsi"/>
        </w:rPr>
      </w:pPr>
    </w:p>
    <w:p w:rsidRPr="002B6DB5" w:rsidR="00FF72FC" w:rsidP="00F023CD" w:rsidRDefault="00FF72FC" w14:paraId="4551EBE8" w14:textId="77777777">
      <w:pPr>
        <w:rPr>
          <w:rFonts w:cstheme="minorHAnsi"/>
          <w:b/>
        </w:rPr>
      </w:pPr>
      <w:r w:rsidRPr="002B6DB5">
        <w:rPr>
          <w:rFonts w:cstheme="minorHAnsi"/>
          <w:b/>
        </w:rPr>
        <w:t>A.15</w:t>
      </w:r>
      <w:r w:rsidRPr="002B6DB5">
        <w:rPr>
          <w:rFonts w:cstheme="minorHAnsi"/>
          <w:b/>
        </w:rPr>
        <w:tab/>
        <w:t>Explanation for Program Changes or Adjustments</w:t>
      </w:r>
    </w:p>
    <w:p w:rsidRPr="002B6DB5" w:rsidR="00EA48A6" w:rsidP="00F023CD" w:rsidRDefault="00EA48A6" w14:paraId="264876B0" w14:textId="51A3034D">
      <w:pPr>
        <w:rPr>
          <w:rFonts w:cstheme="minorHAnsi"/>
        </w:rPr>
      </w:pPr>
      <w:r w:rsidRPr="002B6DB5">
        <w:rPr>
          <w:rFonts w:cstheme="minorHAnsi"/>
        </w:rPr>
        <w:t xml:space="preserve">This is a new information collection request. </w:t>
      </w:r>
    </w:p>
    <w:p w:rsidRPr="002B6DB5" w:rsidR="00FF72FC" w:rsidP="00F023CD" w:rsidRDefault="00FF72FC" w14:paraId="4912A666" w14:textId="77777777">
      <w:pPr>
        <w:pStyle w:val="Heading2"/>
        <w:tabs>
          <w:tab w:val="left" w:pos="720"/>
        </w:tabs>
        <w:spacing w:line="480" w:lineRule="auto"/>
        <w:rPr>
          <w:rFonts w:asciiTheme="minorHAnsi" w:hAnsiTheme="minorHAnsi" w:cstheme="minorHAnsi"/>
          <w:b/>
          <w:color w:val="auto"/>
          <w:sz w:val="22"/>
          <w:szCs w:val="22"/>
        </w:rPr>
      </w:pPr>
      <w:bookmarkStart w:name="_Toc443881759" w:id="26"/>
      <w:bookmarkStart w:name="_Toc451592246" w:id="27"/>
      <w:bookmarkStart w:name="_Toc5610287" w:id="28"/>
      <w:bookmarkStart w:name="_Toc99178793" w:id="29"/>
      <w:r w:rsidRPr="002B6DB5">
        <w:rPr>
          <w:rFonts w:asciiTheme="minorHAnsi" w:hAnsiTheme="minorHAnsi" w:cstheme="minorHAnsi"/>
          <w:b/>
          <w:color w:val="auto"/>
          <w:sz w:val="22"/>
          <w:szCs w:val="22"/>
        </w:rPr>
        <w:t>A.16</w:t>
      </w:r>
      <w:r w:rsidRPr="002B6DB5">
        <w:rPr>
          <w:rFonts w:asciiTheme="minorHAnsi" w:hAnsiTheme="minorHAnsi" w:cstheme="minorHAnsi"/>
          <w:b/>
          <w:color w:val="auto"/>
          <w:sz w:val="22"/>
          <w:szCs w:val="22"/>
        </w:rPr>
        <w:tab/>
        <w:t>Plans for Tabulation and Publication and Project Time Schedule</w:t>
      </w:r>
      <w:bookmarkEnd w:id="26"/>
      <w:bookmarkEnd w:id="27"/>
      <w:bookmarkEnd w:id="28"/>
      <w:bookmarkEnd w:id="29"/>
    </w:p>
    <w:p w:rsidRPr="002B6DB5" w:rsidR="00FF72FC" w:rsidP="00F023CD" w:rsidRDefault="00FF72FC" w14:paraId="6B867EAE" w14:textId="3475AA8C">
      <w:pPr>
        <w:rPr>
          <w:rFonts w:cstheme="minorHAnsi"/>
          <w:color w:val="8DB3E2" w:themeColor="text2" w:themeTint="66"/>
        </w:rPr>
      </w:pPr>
    </w:p>
    <w:tbl>
      <w:tblPr>
        <w:tblW w:w="5000" w:type="pct"/>
        <w:jc w:val="center"/>
        <w:tblCellMar>
          <w:left w:w="120" w:type="dxa"/>
          <w:right w:w="120" w:type="dxa"/>
        </w:tblCellMar>
        <w:tblLook w:val="0000" w:firstRow="0" w:lastRow="0" w:firstColumn="0" w:lastColumn="0" w:noHBand="0" w:noVBand="0"/>
      </w:tblPr>
      <w:tblGrid>
        <w:gridCol w:w="4131"/>
        <w:gridCol w:w="5507"/>
      </w:tblGrid>
      <w:tr w:rsidRPr="002B6DB5" w:rsidR="00FF72FC" w:rsidTr="00767C53" w14:paraId="1F9EBD20" w14:textId="77777777">
        <w:trPr>
          <w:cantSplit/>
          <w:trHeight w:val="403"/>
          <w:jc w:val="center"/>
        </w:trPr>
        <w:tc>
          <w:tcPr>
            <w:tcW w:w="5000" w:type="pct"/>
            <w:gridSpan w:val="2"/>
            <w:tcBorders>
              <w:top w:val="single" w:color="auto" w:sz="4" w:space="0"/>
              <w:left w:val="single" w:color="auto" w:sz="4" w:space="0"/>
              <w:right w:val="single" w:color="auto" w:sz="4" w:space="0"/>
            </w:tcBorders>
            <w:shd w:val="pct20" w:color="auto" w:fill="FFFFFF"/>
          </w:tcPr>
          <w:p w:rsidRPr="002B6DB5" w:rsidR="00FF72FC" w:rsidP="00F023CD" w:rsidRDefault="00FF72FC" w14:paraId="21B6BB12" w14:textId="77777777">
            <w:pPr>
              <w:spacing w:after="0" w:line="240" w:lineRule="auto"/>
              <w:jc w:val="center"/>
              <w:rPr>
                <w:rFonts w:eastAsia="Times New Roman" w:cstheme="minorHAnsi"/>
                <w:color w:val="000000" w:themeColor="text1"/>
              </w:rPr>
            </w:pPr>
          </w:p>
          <w:p w:rsidRPr="002B6DB5" w:rsidR="00FF72FC" w:rsidP="00F023CD" w:rsidRDefault="00FF72FC" w14:paraId="7A335DB4" w14:textId="77777777">
            <w:pPr>
              <w:spacing w:after="0" w:line="240" w:lineRule="auto"/>
              <w:jc w:val="center"/>
              <w:rPr>
                <w:rFonts w:eastAsia="Times New Roman" w:cstheme="minorHAnsi"/>
                <w:color w:val="000000" w:themeColor="text1"/>
              </w:rPr>
            </w:pPr>
            <w:r w:rsidRPr="002B6DB5">
              <w:rPr>
                <w:rFonts w:eastAsia="Times New Roman" w:cstheme="minorHAnsi"/>
                <w:color w:val="000000" w:themeColor="text1"/>
              </w:rPr>
              <w:t>A.16 - 1  Project Time Schedule</w:t>
            </w:r>
          </w:p>
        </w:tc>
      </w:tr>
      <w:tr w:rsidRPr="002B6DB5" w:rsidR="00FF72FC" w:rsidTr="00767C53" w14:paraId="6B5FBD8C" w14:textId="77777777">
        <w:trPr>
          <w:cantSplit/>
          <w:trHeight w:val="403"/>
          <w:jc w:val="center"/>
        </w:trPr>
        <w:tc>
          <w:tcPr>
            <w:tcW w:w="2143" w:type="pct"/>
            <w:tcBorders>
              <w:top w:val="single" w:color="auto" w:sz="6" w:space="0"/>
              <w:left w:val="single" w:color="auto" w:sz="4" w:space="0"/>
            </w:tcBorders>
            <w:shd w:val="pct5" w:color="auto" w:fill="FFFFFF"/>
          </w:tcPr>
          <w:p w:rsidRPr="002B6DB5" w:rsidR="00FF72FC" w:rsidP="00F023CD" w:rsidRDefault="00FF72FC" w14:paraId="27CA3C7C" w14:textId="77777777">
            <w:pPr>
              <w:spacing w:after="0" w:line="240" w:lineRule="auto"/>
              <w:rPr>
                <w:rFonts w:eastAsia="Times New Roman" w:cstheme="minorHAnsi"/>
                <w:color w:val="000000" w:themeColor="text1"/>
              </w:rPr>
            </w:pPr>
            <w:r w:rsidRPr="002B6DB5">
              <w:rPr>
                <w:rFonts w:eastAsia="Times New Roman" w:cstheme="minorHAnsi"/>
                <w:color w:val="000000" w:themeColor="text1"/>
              </w:rPr>
              <w:tab/>
              <w:t>Activity</w:t>
            </w:r>
          </w:p>
        </w:tc>
        <w:tc>
          <w:tcPr>
            <w:tcW w:w="2857" w:type="pct"/>
            <w:tcBorders>
              <w:top w:val="single" w:color="auto" w:sz="6" w:space="0"/>
              <w:left w:val="single" w:color="auto" w:sz="6" w:space="0"/>
              <w:right w:val="single" w:color="auto" w:sz="4" w:space="0"/>
            </w:tcBorders>
            <w:shd w:val="pct5" w:color="auto" w:fill="FFFFFF"/>
          </w:tcPr>
          <w:p w:rsidRPr="002B6DB5" w:rsidR="00FF72FC" w:rsidP="00F023CD" w:rsidRDefault="00FF72FC" w14:paraId="147F1BF2" w14:textId="77777777">
            <w:pPr>
              <w:spacing w:after="0" w:line="240" w:lineRule="auto"/>
              <w:rPr>
                <w:rFonts w:eastAsia="Times New Roman" w:cstheme="minorHAnsi"/>
                <w:color w:val="000000" w:themeColor="text1"/>
              </w:rPr>
            </w:pPr>
            <w:r w:rsidRPr="002B6DB5">
              <w:rPr>
                <w:rFonts w:eastAsia="Times New Roman" w:cstheme="minorHAnsi"/>
                <w:color w:val="000000" w:themeColor="text1"/>
              </w:rPr>
              <w:tab/>
              <w:t>Time Schedule</w:t>
            </w:r>
          </w:p>
        </w:tc>
      </w:tr>
      <w:tr w:rsidRPr="002B6DB5" w:rsidR="00FF72FC" w:rsidTr="00767C53" w14:paraId="714943A0" w14:textId="77777777">
        <w:trPr>
          <w:cantSplit/>
          <w:trHeight w:val="403"/>
          <w:jc w:val="center"/>
        </w:trPr>
        <w:tc>
          <w:tcPr>
            <w:tcW w:w="2143" w:type="pct"/>
            <w:tcBorders>
              <w:top w:val="single" w:color="auto" w:sz="6" w:space="0"/>
              <w:left w:val="single" w:color="auto" w:sz="4" w:space="0"/>
            </w:tcBorders>
            <w:shd w:val="clear" w:color="auto" w:fill="FFFFFF"/>
          </w:tcPr>
          <w:p w:rsidRPr="002B6DB5" w:rsidR="00FF72FC" w:rsidP="00F023CD" w:rsidRDefault="00B15190" w14:paraId="52F78B42" w14:textId="5C7F3410">
            <w:pPr>
              <w:spacing w:after="0" w:line="240" w:lineRule="auto"/>
              <w:rPr>
                <w:rFonts w:eastAsia="Times New Roman" w:cstheme="minorHAnsi"/>
                <w:color w:val="000000" w:themeColor="text1"/>
              </w:rPr>
            </w:pPr>
            <w:r w:rsidRPr="002B6DB5">
              <w:rPr>
                <w:rFonts w:eastAsia="Times New Roman" w:cstheme="minorHAnsi"/>
                <w:color w:val="000000" w:themeColor="text1"/>
              </w:rPr>
              <w:t>Survey launch</w:t>
            </w:r>
          </w:p>
        </w:tc>
        <w:tc>
          <w:tcPr>
            <w:tcW w:w="2857" w:type="pct"/>
            <w:tcBorders>
              <w:top w:val="single" w:color="auto" w:sz="6" w:space="0"/>
              <w:left w:val="single" w:color="auto" w:sz="6" w:space="0"/>
              <w:right w:val="single" w:color="auto" w:sz="4" w:space="0"/>
            </w:tcBorders>
            <w:shd w:val="clear" w:color="auto" w:fill="FFFFFF"/>
          </w:tcPr>
          <w:p w:rsidRPr="002B6DB5" w:rsidR="00FF72FC" w:rsidP="00F023CD" w:rsidRDefault="00FF72FC" w14:paraId="7DA6564A" w14:textId="77777777">
            <w:pPr>
              <w:spacing w:after="0" w:line="240" w:lineRule="auto"/>
              <w:rPr>
                <w:rFonts w:eastAsia="Times New Roman" w:cstheme="minorHAnsi"/>
                <w:color w:val="000000" w:themeColor="text1"/>
              </w:rPr>
            </w:pPr>
            <w:r w:rsidRPr="002B6DB5">
              <w:rPr>
                <w:rFonts w:eastAsia="Times New Roman" w:cstheme="minorHAnsi"/>
                <w:color w:val="000000" w:themeColor="text1"/>
              </w:rPr>
              <w:t>1 - 2 months after OMB approval</w:t>
            </w:r>
          </w:p>
        </w:tc>
      </w:tr>
      <w:tr w:rsidRPr="002B6DB5" w:rsidR="00FF72FC" w:rsidTr="00767C53" w14:paraId="5C51C970" w14:textId="77777777">
        <w:trPr>
          <w:cantSplit/>
          <w:trHeight w:val="403"/>
          <w:jc w:val="center"/>
        </w:trPr>
        <w:tc>
          <w:tcPr>
            <w:tcW w:w="2143" w:type="pct"/>
            <w:tcBorders>
              <w:top w:val="single" w:color="auto" w:sz="6" w:space="0"/>
              <w:left w:val="single" w:color="auto" w:sz="4" w:space="0"/>
            </w:tcBorders>
            <w:shd w:val="clear" w:color="auto" w:fill="FFFFFF"/>
          </w:tcPr>
          <w:p w:rsidRPr="002B6DB5" w:rsidR="00FF72FC" w:rsidP="00F023CD" w:rsidRDefault="004D0427" w14:paraId="22B43CF3" w14:textId="16FD2F45">
            <w:pPr>
              <w:spacing w:after="0" w:line="240" w:lineRule="auto"/>
              <w:rPr>
                <w:rFonts w:eastAsia="Times New Roman" w:cstheme="minorHAnsi"/>
                <w:color w:val="000000" w:themeColor="text1"/>
              </w:rPr>
            </w:pPr>
            <w:r w:rsidRPr="002B6DB5">
              <w:rPr>
                <w:rFonts w:eastAsia="Times New Roman" w:cstheme="minorHAnsi"/>
                <w:color w:val="000000" w:themeColor="text1"/>
              </w:rPr>
              <w:t>Initial Analyses</w:t>
            </w:r>
          </w:p>
        </w:tc>
        <w:tc>
          <w:tcPr>
            <w:tcW w:w="2857" w:type="pct"/>
            <w:tcBorders>
              <w:top w:val="single" w:color="auto" w:sz="6" w:space="0"/>
              <w:left w:val="single" w:color="auto" w:sz="6" w:space="0"/>
              <w:right w:val="single" w:color="auto" w:sz="4" w:space="0"/>
            </w:tcBorders>
            <w:shd w:val="clear" w:color="auto" w:fill="FFFFFF"/>
          </w:tcPr>
          <w:p w:rsidRPr="002B6DB5" w:rsidR="00FF72FC" w:rsidP="00F023CD" w:rsidRDefault="004D0427" w14:paraId="7792F870" w14:textId="6722F30C">
            <w:pPr>
              <w:spacing w:after="0" w:line="240" w:lineRule="auto"/>
              <w:rPr>
                <w:rFonts w:eastAsia="Times New Roman" w:cstheme="minorHAnsi"/>
                <w:color w:val="000000" w:themeColor="text1"/>
              </w:rPr>
            </w:pPr>
            <w:r w:rsidRPr="002B6DB5">
              <w:rPr>
                <w:rFonts w:eastAsia="Times New Roman" w:cstheme="minorHAnsi"/>
                <w:color w:val="000000" w:themeColor="text1"/>
              </w:rPr>
              <w:t>4</w:t>
            </w:r>
            <w:r w:rsidRPr="002B6DB5" w:rsidR="00FF72FC">
              <w:rPr>
                <w:rFonts w:eastAsia="Times New Roman" w:cstheme="minorHAnsi"/>
                <w:color w:val="000000" w:themeColor="text1"/>
              </w:rPr>
              <w:t xml:space="preserve"> - </w:t>
            </w:r>
            <w:r w:rsidRPr="002B6DB5">
              <w:rPr>
                <w:rFonts w:eastAsia="Times New Roman" w:cstheme="minorHAnsi"/>
                <w:color w:val="000000" w:themeColor="text1"/>
              </w:rPr>
              <w:t>6</w:t>
            </w:r>
            <w:r w:rsidRPr="002B6DB5" w:rsidR="00FF72FC">
              <w:rPr>
                <w:rFonts w:eastAsia="Times New Roman" w:cstheme="minorHAnsi"/>
                <w:color w:val="000000" w:themeColor="text1"/>
              </w:rPr>
              <w:t xml:space="preserve"> months after OMB approval</w:t>
            </w:r>
          </w:p>
        </w:tc>
      </w:tr>
      <w:tr w:rsidRPr="002B6DB5" w:rsidR="00FF72FC" w:rsidTr="00767C53" w14:paraId="7BA3845E" w14:textId="77777777">
        <w:trPr>
          <w:cantSplit/>
          <w:trHeight w:val="403"/>
          <w:jc w:val="center"/>
        </w:trPr>
        <w:tc>
          <w:tcPr>
            <w:tcW w:w="2143" w:type="pct"/>
            <w:tcBorders>
              <w:top w:val="single" w:color="auto" w:sz="6" w:space="0"/>
              <w:left w:val="single" w:color="auto" w:sz="4" w:space="0"/>
            </w:tcBorders>
            <w:shd w:val="clear" w:color="auto" w:fill="FFFFFF"/>
          </w:tcPr>
          <w:p w:rsidRPr="002B6DB5" w:rsidR="00FF72FC" w:rsidP="00F023CD" w:rsidRDefault="004D0427" w14:paraId="48A9A521" w14:textId="42D2F54A">
            <w:pPr>
              <w:spacing w:after="0" w:line="240" w:lineRule="auto"/>
              <w:rPr>
                <w:rFonts w:eastAsia="Times New Roman" w:cstheme="minorHAnsi"/>
                <w:color w:val="000000" w:themeColor="text1"/>
              </w:rPr>
            </w:pPr>
            <w:r w:rsidRPr="002B6DB5">
              <w:rPr>
                <w:rFonts w:eastAsia="Times New Roman" w:cstheme="minorHAnsi"/>
                <w:color w:val="000000" w:themeColor="text1"/>
              </w:rPr>
              <w:t>Aggregate Reporting</w:t>
            </w:r>
            <w:r w:rsidRPr="002B6DB5" w:rsidR="002F34CC">
              <w:rPr>
                <w:rFonts w:eastAsia="Times New Roman" w:cstheme="minorHAnsi"/>
                <w:color w:val="000000" w:themeColor="text1"/>
              </w:rPr>
              <w:t xml:space="preserve"> for dissemination to organizational POCs</w:t>
            </w:r>
          </w:p>
        </w:tc>
        <w:tc>
          <w:tcPr>
            <w:tcW w:w="2857" w:type="pct"/>
            <w:tcBorders>
              <w:top w:val="single" w:color="auto" w:sz="6" w:space="0"/>
              <w:left w:val="single" w:color="auto" w:sz="6" w:space="0"/>
              <w:right w:val="single" w:color="auto" w:sz="4" w:space="0"/>
            </w:tcBorders>
            <w:shd w:val="clear" w:color="auto" w:fill="FFFFFF"/>
          </w:tcPr>
          <w:p w:rsidRPr="002B6DB5" w:rsidR="00FF72FC" w:rsidP="00F023CD" w:rsidRDefault="004D0427" w14:paraId="2F30BBDB" w14:textId="04511D1D">
            <w:pPr>
              <w:spacing w:after="0" w:line="240" w:lineRule="auto"/>
              <w:rPr>
                <w:rFonts w:eastAsia="Times New Roman" w:cstheme="minorHAnsi"/>
                <w:color w:val="000000" w:themeColor="text1"/>
              </w:rPr>
            </w:pPr>
            <w:r w:rsidRPr="002B6DB5">
              <w:rPr>
                <w:rFonts w:eastAsia="Times New Roman" w:cstheme="minorHAnsi"/>
                <w:color w:val="000000" w:themeColor="text1"/>
              </w:rPr>
              <w:t xml:space="preserve">5 </w:t>
            </w:r>
            <w:r w:rsidRPr="002B6DB5" w:rsidR="00FF72FC">
              <w:rPr>
                <w:rFonts w:eastAsia="Times New Roman" w:cstheme="minorHAnsi"/>
                <w:color w:val="000000" w:themeColor="text1"/>
              </w:rPr>
              <w:t xml:space="preserve">- </w:t>
            </w:r>
            <w:r w:rsidRPr="002B6DB5">
              <w:rPr>
                <w:rFonts w:eastAsia="Times New Roman" w:cstheme="minorHAnsi"/>
                <w:color w:val="000000" w:themeColor="text1"/>
              </w:rPr>
              <w:t xml:space="preserve">7 </w:t>
            </w:r>
            <w:r w:rsidRPr="002B6DB5" w:rsidR="00FF72FC">
              <w:rPr>
                <w:rFonts w:eastAsia="Times New Roman" w:cstheme="minorHAnsi"/>
                <w:color w:val="000000" w:themeColor="text1"/>
              </w:rPr>
              <w:t>months after OMB approval</w:t>
            </w:r>
          </w:p>
        </w:tc>
      </w:tr>
      <w:tr w:rsidRPr="002B6DB5" w:rsidR="00FF72FC" w:rsidTr="00767C53" w14:paraId="516CD3FA" w14:textId="77777777">
        <w:trPr>
          <w:cantSplit/>
          <w:trHeight w:val="403"/>
          <w:jc w:val="center"/>
        </w:trPr>
        <w:tc>
          <w:tcPr>
            <w:tcW w:w="2143" w:type="pct"/>
            <w:tcBorders>
              <w:top w:val="single" w:color="auto" w:sz="6" w:space="0"/>
              <w:left w:val="single" w:color="auto" w:sz="4" w:space="0"/>
            </w:tcBorders>
            <w:shd w:val="clear" w:color="auto" w:fill="FFFFFF"/>
          </w:tcPr>
          <w:p w:rsidRPr="002B6DB5" w:rsidR="00FF72FC" w:rsidP="00F023CD" w:rsidRDefault="00FF72FC" w14:paraId="4B19F2BF" w14:textId="36D68B7F">
            <w:pPr>
              <w:spacing w:after="0" w:line="240" w:lineRule="auto"/>
              <w:rPr>
                <w:rFonts w:eastAsia="Times New Roman" w:cstheme="minorHAnsi"/>
                <w:color w:val="000000" w:themeColor="text1"/>
              </w:rPr>
            </w:pPr>
          </w:p>
        </w:tc>
        <w:tc>
          <w:tcPr>
            <w:tcW w:w="2857" w:type="pct"/>
            <w:tcBorders>
              <w:top w:val="single" w:color="auto" w:sz="6" w:space="0"/>
              <w:left w:val="single" w:color="auto" w:sz="6" w:space="0"/>
              <w:right w:val="single" w:color="auto" w:sz="4" w:space="0"/>
            </w:tcBorders>
            <w:shd w:val="clear" w:color="auto" w:fill="FFFFFF"/>
          </w:tcPr>
          <w:p w:rsidRPr="002B6DB5" w:rsidR="00FF72FC" w:rsidP="00F023CD" w:rsidRDefault="00FF72FC" w14:paraId="3D82791B" w14:textId="57A13B1D">
            <w:pPr>
              <w:spacing w:after="0" w:line="240" w:lineRule="auto"/>
              <w:rPr>
                <w:rFonts w:eastAsia="Times New Roman" w:cstheme="minorHAnsi"/>
                <w:color w:val="000000" w:themeColor="text1"/>
              </w:rPr>
            </w:pPr>
          </w:p>
        </w:tc>
      </w:tr>
      <w:tr w:rsidRPr="002B6DB5" w:rsidR="00FF72FC" w:rsidTr="00767C53" w14:paraId="51694ECC" w14:textId="77777777">
        <w:trPr>
          <w:cantSplit/>
          <w:trHeight w:val="403"/>
          <w:jc w:val="center"/>
        </w:trPr>
        <w:tc>
          <w:tcPr>
            <w:tcW w:w="2143" w:type="pct"/>
            <w:tcBorders>
              <w:top w:val="single" w:color="auto" w:sz="6" w:space="0"/>
              <w:left w:val="single" w:color="auto" w:sz="4" w:space="0"/>
            </w:tcBorders>
            <w:shd w:val="clear" w:color="auto" w:fill="FFFFFF"/>
          </w:tcPr>
          <w:p w:rsidRPr="002B6DB5" w:rsidR="00FF72FC" w:rsidP="00F023CD" w:rsidRDefault="00FF72FC" w14:paraId="570D0F7C" w14:textId="5F65B2E8">
            <w:pPr>
              <w:spacing w:after="0" w:line="240" w:lineRule="auto"/>
              <w:rPr>
                <w:rFonts w:eastAsia="Times New Roman" w:cstheme="minorHAnsi"/>
                <w:color w:val="000000" w:themeColor="text1"/>
              </w:rPr>
            </w:pPr>
          </w:p>
        </w:tc>
        <w:tc>
          <w:tcPr>
            <w:tcW w:w="2857" w:type="pct"/>
            <w:tcBorders>
              <w:top w:val="single" w:color="auto" w:sz="6" w:space="0"/>
              <w:left w:val="single" w:color="auto" w:sz="6" w:space="0"/>
              <w:right w:val="single" w:color="auto" w:sz="4" w:space="0"/>
            </w:tcBorders>
            <w:shd w:val="clear" w:color="auto" w:fill="FFFFFF"/>
          </w:tcPr>
          <w:p w:rsidRPr="002B6DB5" w:rsidR="00FF72FC" w:rsidP="00F023CD" w:rsidRDefault="00FF72FC" w14:paraId="2B17F6F1" w14:textId="5B8D5349">
            <w:pPr>
              <w:spacing w:after="0" w:line="240" w:lineRule="auto"/>
              <w:rPr>
                <w:rFonts w:eastAsia="Times New Roman" w:cstheme="minorHAnsi"/>
                <w:color w:val="000000" w:themeColor="text1"/>
              </w:rPr>
            </w:pPr>
          </w:p>
        </w:tc>
      </w:tr>
      <w:tr w:rsidRPr="002B6DB5" w:rsidR="00FF72FC" w:rsidTr="00767C53" w14:paraId="272274B6" w14:textId="77777777">
        <w:trPr>
          <w:cantSplit/>
          <w:trHeight w:val="403"/>
          <w:jc w:val="center"/>
        </w:trPr>
        <w:tc>
          <w:tcPr>
            <w:tcW w:w="2143" w:type="pct"/>
            <w:tcBorders>
              <w:top w:val="single" w:color="auto" w:sz="6" w:space="0"/>
              <w:left w:val="single" w:color="auto" w:sz="4" w:space="0"/>
              <w:bottom w:val="single" w:color="auto" w:sz="4" w:space="0"/>
            </w:tcBorders>
            <w:shd w:val="clear" w:color="auto" w:fill="FFFFFF"/>
          </w:tcPr>
          <w:p w:rsidRPr="002B6DB5" w:rsidR="00FF72FC" w:rsidP="00F023CD" w:rsidRDefault="004D0427" w14:paraId="5000BA61" w14:textId="57C0EBAA">
            <w:pPr>
              <w:spacing w:after="0" w:line="240" w:lineRule="auto"/>
              <w:rPr>
                <w:rFonts w:eastAsia="Times New Roman" w:cstheme="minorHAnsi"/>
                <w:color w:val="000000" w:themeColor="text1"/>
              </w:rPr>
            </w:pPr>
            <w:r w:rsidRPr="002B6DB5">
              <w:rPr>
                <w:rFonts w:eastAsia="Times New Roman" w:cstheme="minorHAnsi"/>
                <w:color w:val="000000" w:themeColor="text1"/>
              </w:rPr>
              <w:t>Final Report</w:t>
            </w:r>
          </w:p>
        </w:tc>
        <w:tc>
          <w:tcPr>
            <w:tcW w:w="2857" w:type="pct"/>
            <w:tcBorders>
              <w:top w:val="single" w:color="auto" w:sz="6" w:space="0"/>
              <w:left w:val="single" w:color="auto" w:sz="6" w:space="0"/>
              <w:bottom w:val="single" w:color="auto" w:sz="4" w:space="0"/>
              <w:right w:val="single" w:color="auto" w:sz="4" w:space="0"/>
            </w:tcBorders>
            <w:shd w:val="clear" w:color="auto" w:fill="FFFFFF"/>
          </w:tcPr>
          <w:p w:rsidRPr="002B6DB5" w:rsidR="00FF72FC" w:rsidP="00F023CD" w:rsidRDefault="004D0427" w14:paraId="46FB0603" w14:textId="1F1DB1ED">
            <w:pPr>
              <w:spacing w:after="0" w:line="240" w:lineRule="auto"/>
              <w:rPr>
                <w:rFonts w:eastAsia="Times New Roman" w:cstheme="minorHAnsi"/>
                <w:color w:val="000000" w:themeColor="text1"/>
              </w:rPr>
            </w:pPr>
            <w:r w:rsidRPr="002B6DB5">
              <w:rPr>
                <w:rFonts w:eastAsia="Times New Roman" w:cstheme="minorHAnsi"/>
                <w:color w:val="000000" w:themeColor="text1"/>
              </w:rPr>
              <w:t xml:space="preserve">6 - 8 </w:t>
            </w:r>
            <w:r w:rsidRPr="002B6DB5" w:rsidR="00FF72FC">
              <w:rPr>
                <w:rFonts w:eastAsia="Times New Roman" w:cstheme="minorHAnsi"/>
                <w:color w:val="000000" w:themeColor="text1"/>
              </w:rPr>
              <w:t>months after OMB approval</w:t>
            </w:r>
          </w:p>
        </w:tc>
      </w:tr>
    </w:tbl>
    <w:p w:rsidRPr="002B6DB5" w:rsidR="00FF72FC" w:rsidP="00F023CD" w:rsidRDefault="00FF72FC" w14:paraId="6FE438DD" w14:textId="77777777">
      <w:pPr>
        <w:rPr>
          <w:rFonts w:cstheme="minorHAnsi"/>
        </w:rPr>
      </w:pPr>
    </w:p>
    <w:p w:rsidRPr="002B6DB5" w:rsidR="00FF72FC" w:rsidP="00F023CD" w:rsidRDefault="00FF72FC" w14:paraId="216672D1" w14:textId="77777777">
      <w:pPr>
        <w:rPr>
          <w:rFonts w:cstheme="minorHAnsi"/>
          <w:b/>
        </w:rPr>
      </w:pPr>
      <w:r w:rsidRPr="002B6DB5">
        <w:rPr>
          <w:rFonts w:cstheme="minorHAnsi"/>
          <w:b/>
        </w:rPr>
        <w:t>A.17</w:t>
      </w:r>
      <w:r w:rsidRPr="002B6DB5">
        <w:rPr>
          <w:rFonts w:cstheme="minorHAnsi"/>
          <w:b/>
        </w:rPr>
        <w:tab/>
        <w:t>Reason(s) Display of OMB Expiration Date is Inappropriate</w:t>
      </w:r>
    </w:p>
    <w:p w:rsidRPr="002B6DB5" w:rsidR="007F4D5D" w:rsidP="00F023CD" w:rsidRDefault="00CC0557" w14:paraId="3B0AF563" w14:textId="2E7B70AB">
      <w:pPr>
        <w:rPr>
          <w:rFonts w:cstheme="minorHAnsi"/>
        </w:rPr>
      </w:pPr>
      <w:r w:rsidRPr="002B6DB5">
        <w:rPr>
          <w:rFonts w:cstheme="minorHAnsi"/>
        </w:rPr>
        <w:t xml:space="preserve">The OMB control number will be displayed along with the expiration date. </w:t>
      </w:r>
    </w:p>
    <w:p w:rsidRPr="002B6DB5" w:rsidR="0057480E" w:rsidP="00F023CD" w:rsidRDefault="00FF72FC" w14:paraId="7190591D" w14:textId="77777777">
      <w:pPr>
        <w:rPr>
          <w:rFonts w:cstheme="minorHAnsi"/>
          <w:b/>
        </w:rPr>
      </w:pPr>
      <w:r w:rsidRPr="002B6DB5">
        <w:rPr>
          <w:rFonts w:cstheme="minorHAnsi"/>
          <w:b/>
        </w:rPr>
        <w:t>A.18</w:t>
      </w:r>
      <w:r w:rsidRPr="002B6DB5">
        <w:rPr>
          <w:rFonts w:cstheme="minorHAnsi"/>
          <w:b/>
        </w:rPr>
        <w:tab/>
        <w:t>Exceptions to Certification for Paperwork Reduction Act Submissions</w:t>
      </w:r>
    </w:p>
    <w:p w:rsidRPr="002B6DB5" w:rsidR="00FF72FC" w:rsidP="00F023CD" w:rsidRDefault="005F4A54" w14:paraId="49B7AE09" w14:textId="77777777">
      <w:pPr>
        <w:rPr>
          <w:rFonts w:cstheme="minorHAnsi"/>
        </w:rPr>
      </w:pPr>
      <w:r w:rsidRPr="002B6DB5">
        <w:rPr>
          <w:rFonts w:cstheme="minorHAnsi"/>
        </w:rPr>
        <w:t xml:space="preserve"> None</w:t>
      </w:r>
    </w:p>
    <w:sectPr w:rsidRPr="002B6DB5" w:rsidR="00FF72FC" w:rsidSect="00FE6EA5">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AAC9" w14:textId="77777777" w:rsidR="00E61A80" w:rsidRDefault="00E61A80">
      <w:pPr>
        <w:spacing w:after="0" w:line="240" w:lineRule="auto"/>
      </w:pPr>
      <w:r>
        <w:separator/>
      </w:r>
    </w:p>
  </w:endnote>
  <w:endnote w:type="continuationSeparator" w:id="0">
    <w:p w14:paraId="188607A0" w14:textId="77777777" w:rsidR="00E61A80" w:rsidRDefault="00E61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784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2C7C" w14:textId="5418AB8E"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14:paraId="64873CE1" w14:textId="77777777" w:rsidR="00D23882" w:rsidRDefault="00784A9A" w:rsidP="004A70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69D7" w14:textId="77777777" w:rsidR="00536C12" w:rsidRDefault="0053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0DEA" w14:textId="77777777" w:rsidR="00E61A80" w:rsidRDefault="00E61A80">
      <w:pPr>
        <w:spacing w:after="0" w:line="240" w:lineRule="auto"/>
      </w:pPr>
      <w:r>
        <w:separator/>
      </w:r>
    </w:p>
  </w:footnote>
  <w:footnote w:type="continuationSeparator" w:id="0">
    <w:p w14:paraId="6FF940D4" w14:textId="77777777" w:rsidR="00E61A80" w:rsidRDefault="00E61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D5A6" w14:textId="77777777" w:rsidR="00536C12" w:rsidRDefault="00536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6FAA" w14:textId="14B7AF2D" w:rsidR="00536C12" w:rsidRDefault="00536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B41C" w14:textId="4F8145CE" w:rsidR="00536C12" w:rsidRDefault="00536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E097E"/>
    <w:multiLevelType w:val="hybridMultilevel"/>
    <w:tmpl w:val="946EB2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8090B"/>
    <w:multiLevelType w:val="hybridMultilevel"/>
    <w:tmpl w:val="127468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E12886"/>
    <w:multiLevelType w:val="hybridMultilevel"/>
    <w:tmpl w:val="9FCCE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9"/>
  </w:num>
  <w:num w:numId="4">
    <w:abstractNumId w:val="0"/>
  </w:num>
  <w:num w:numId="5">
    <w:abstractNumId w:val="4"/>
  </w:num>
  <w:num w:numId="6">
    <w:abstractNumId w:val="3"/>
  </w:num>
  <w:num w:numId="7">
    <w:abstractNumId w:val="5"/>
  </w:num>
  <w:num w:numId="8">
    <w:abstractNumId w:val="7"/>
  </w:num>
  <w:num w:numId="9">
    <w:abstractNumId w:val="6"/>
  </w:num>
  <w:num w:numId="10">
    <w:abstractNumId w:val="10"/>
  </w:num>
  <w:num w:numId="11">
    <w:abstractNumId w:val="1"/>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24899"/>
    <w:rsid w:val="00031190"/>
    <w:rsid w:val="00081A7E"/>
    <w:rsid w:val="00083AB4"/>
    <w:rsid w:val="00084F87"/>
    <w:rsid w:val="0009546E"/>
    <w:rsid w:val="00095C92"/>
    <w:rsid w:val="000A2C3B"/>
    <w:rsid w:val="000C1B43"/>
    <w:rsid w:val="000E59E3"/>
    <w:rsid w:val="000F0679"/>
    <w:rsid w:val="000F3043"/>
    <w:rsid w:val="000F7200"/>
    <w:rsid w:val="0010356A"/>
    <w:rsid w:val="00103C23"/>
    <w:rsid w:val="00104FC0"/>
    <w:rsid w:val="00114539"/>
    <w:rsid w:val="00125B53"/>
    <w:rsid w:val="00170EC9"/>
    <w:rsid w:val="00190C83"/>
    <w:rsid w:val="00195414"/>
    <w:rsid w:val="00197B5B"/>
    <w:rsid w:val="001B5851"/>
    <w:rsid w:val="001D62F7"/>
    <w:rsid w:val="00221280"/>
    <w:rsid w:val="00234BF2"/>
    <w:rsid w:val="00255F7C"/>
    <w:rsid w:val="002612CC"/>
    <w:rsid w:val="002670CD"/>
    <w:rsid w:val="002739C1"/>
    <w:rsid w:val="00275E20"/>
    <w:rsid w:val="002770FA"/>
    <w:rsid w:val="00291B8C"/>
    <w:rsid w:val="00296BEC"/>
    <w:rsid w:val="002B3B80"/>
    <w:rsid w:val="002B6DB5"/>
    <w:rsid w:val="002C5D4F"/>
    <w:rsid w:val="002F34CC"/>
    <w:rsid w:val="002F4317"/>
    <w:rsid w:val="00312856"/>
    <w:rsid w:val="003218F9"/>
    <w:rsid w:val="0036208F"/>
    <w:rsid w:val="0037291F"/>
    <w:rsid w:val="003808B4"/>
    <w:rsid w:val="00386C0B"/>
    <w:rsid w:val="003942E7"/>
    <w:rsid w:val="00395B45"/>
    <w:rsid w:val="003F0C6A"/>
    <w:rsid w:val="003F6D2C"/>
    <w:rsid w:val="00423524"/>
    <w:rsid w:val="0042451B"/>
    <w:rsid w:val="00442AB0"/>
    <w:rsid w:val="00442B5B"/>
    <w:rsid w:val="00465451"/>
    <w:rsid w:val="004713A0"/>
    <w:rsid w:val="004716CF"/>
    <w:rsid w:val="004720C7"/>
    <w:rsid w:val="00494916"/>
    <w:rsid w:val="00497B81"/>
    <w:rsid w:val="004A359A"/>
    <w:rsid w:val="004C4B9F"/>
    <w:rsid w:val="004C74AC"/>
    <w:rsid w:val="004D0427"/>
    <w:rsid w:val="004D06E1"/>
    <w:rsid w:val="004E12AA"/>
    <w:rsid w:val="005150E7"/>
    <w:rsid w:val="00527F02"/>
    <w:rsid w:val="00536C12"/>
    <w:rsid w:val="00541A94"/>
    <w:rsid w:val="005453E9"/>
    <w:rsid w:val="0057480E"/>
    <w:rsid w:val="005B2F24"/>
    <w:rsid w:val="005C4013"/>
    <w:rsid w:val="005D1E4B"/>
    <w:rsid w:val="005D561F"/>
    <w:rsid w:val="005D71BF"/>
    <w:rsid w:val="005F4A54"/>
    <w:rsid w:val="006036AC"/>
    <w:rsid w:val="00607544"/>
    <w:rsid w:val="006100A4"/>
    <w:rsid w:val="00610177"/>
    <w:rsid w:val="00625C6D"/>
    <w:rsid w:val="00641209"/>
    <w:rsid w:val="00644341"/>
    <w:rsid w:val="00654CE6"/>
    <w:rsid w:val="00681F63"/>
    <w:rsid w:val="00685B30"/>
    <w:rsid w:val="00687BE9"/>
    <w:rsid w:val="00694754"/>
    <w:rsid w:val="006A45F9"/>
    <w:rsid w:val="006A6ACA"/>
    <w:rsid w:val="006B624F"/>
    <w:rsid w:val="006C5FC7"/>
    <w:rsid w:val="006D407B"/>
    <w:rsid w:val="006F63CE"/>
    <w:rsid w:val="00700D24"/>
    <w:rsid w:val="00703A8B"/>
    <w:rsid w:val="007063F8"/>
    <w:rsid w:val="00714BFA"/>
    <w:rsid w:val="00717158"/>
    <w:rsid w:val="00756DDA"/>
    <w:rsid w:val="00767C53"/>
    <w:rsid w:val="00784A9A"/>
    <w:rsid w:val="007A0CA3"/>
    <w:rsid w:val="007A48D8"/>
    <w:rsid w:val="007B2D0D"/>
    <w:rsid w:val="007D06B4"/>
    <w:rsid w:val="007D11BF"/>
    <w:rsid w:val="007D402F"/>
    <w:rsid w:val="007F4D5D"/>
    <w:rsid w:val="00805A1B"/>
    <w:rsid w:val="008125E0"/>
    <w:rsid w:val="008359FA"/>
    <w:rsid w:val="00845DEE"/>
    <w:rsid w:val="00855DCE"/>
    <w:rsid w:val="0086248B"/>
    <w:rsid w:val="00894FF4"/>
    <w:rsid w:val="008C0040"/>
    <w:rsid w:val="008D5344"/>
    <w:rsid w:val="008F4B59"/>
    <w:rsid w:val="0090640B"/>
    <w:rsid w:val="00941822"/>
    <w:rsid w:val="00972137"/>
    <w:rsid w:val="009747F4"/>
    <w:rsid w:val="00976490"/>
    <w:rsid w:val="009B3DA0"/>
    <w:rsid w:val="009C207F"/>
    <w:rsid w:val="009C3E9D"/>
    <w:rsid w:val="009E02B9"/>
    <w:rsid w:val="009E6365"/>
    <w:rsid w:val="00A00CF8"/>
    <w:rsid w:val="00A11F5B"/>
    <w:rsid w:val="00A15256"/>
    <w:rsid w:val="00A1688E"/>
    <w:rsid w:val="00A6350F"/>
    <w:rsid w:val="00A6462F"/>
    <w:rsid w:val="00A80939"/>
    <w:rsid w:val="00A90D04"/>
    <w:rsid w:val="00AB5FBA"/>
    <w:rsid w:val="00AB736C"/>
    <w:rsid w:val="00AF1AC9"/>
    <w:rsid w:val="00B00EB3"/>
    <w:rsid w:val="00B03736"/>
    <w:rsid w:val="00B15190"/>
    <w:rsid w:val="00B2767E"/>
    <w:rsid w:val="00B31022"/>
    <w:rsid w:val="00B33480"/>
    <w:rsid w:val="00B65A68"/>
    <w:rsid w:val="00B70C76"/>
    <w:rsid w:val="00B93C77"/>
    <w:rsid w:val="00B96691"/>
    <w:rsid w:val="00BB466C"/>
    <w:rsid w:val="00BC2D16"/>
    <w:rsid w:val="00BC5811"/>
    <w:rsid w:val="00BE5EFA"/>
    <w:rsid w:val="00BE76A7"/>
    <w:rsid w:val="00BF491C"/>
    <w:rsid w:val="00C02C97"/>
    <w:rsid w:val="00C114D1"/>
    <w:rsid w:val="00C24877"/>
    <w:rsid w:val="00C40F61"/>
    <w:rsid w:val="00C4161B"/>
    <w:rsid w:val="00C76797"/>
    <w:rsid w:val="00C76BB1"/>
    <w:rsid w:val="00C76FE2"/>
    <w:rsid w:val="00C813FC"/>
    <w:rsid w:val="00C835B4"/>
    <w:rsid w:val="00CB3A86"/>
    <w:rsid w:val="00CC0557"/>
    <w:rsid w:val="00CD0BC3"/>
    <w:rsid w:val="00CF36BD"/>
    <w:rsid w:val="00D22E14"/>
    <w:rsid w:val="00D34BE5"/>
    <w:rsid w:val="00D36F72"/>
    <w:rsid w:val="00D7280E"/>
    <w:rsid w:val="00DA0ACF"/>
    <w:rsid w:val="00DB1217"/>
    <w:rsid w:val="00DC5855"/>
    <w:rsid w:val="00DD0241"/>
    <w:rsid w:val="00DE5570"/>
    <w:rsid w:val="00E03967"/>
    <w:rsid w:val="00E162D1"/>
    <w:rsid w:val="00E17075"/>
    <w:rsid w:val="00E21C89"/>
    <w:rsid w:val="00E21F7F"/>
    <w:rsid w:val="00E30D5D"/>
    <w:rsid w:val="00E35DD1"/>
    <w:rsid w:val="00E4387B"/>
    <w:rsid w:val="00E56374"/>
    <w:rsid w:val="00E61A80"/>
    <w:rsid w:val="00E6307D"/>
    <w:rsid w:val="00E66C53"/>
    <w:rsid w:val="00E67B10"/>
    <w:rsid w:val="00E72390"/>
    <w:rsid w:val="00EA1462"/>
    <w:rsid w:val="00EA37D2"/>
    <w:rsid w:val="00EA48A6"/>
    <w:rsid w:val="00EB7E3E"/>
    <w:rsid w:val="00EC6748"/>
    <w:rsid w:val="00EE245F"/>
    <w:rsid w:val="00EE5A75"/>
    <w:rsid w:val="00F023CD"/>
    <w:rsid w:val="00F32E6C"/>
    <w:rsid w:val="00F33485"/>
    <w:rsid w:val="00F342D4"/>
    <w:rsid w:val="00F403A3"/>
    <w:rsid w:val="00F5038C"/>
    <w:rsid w:val="00F72D06"/>
    <w:rsid w:val="00FA05C7"/>
    <w:rsid w:val="00FA6172"/>
    <w:rsid w:val="00FB346E"/>
    <w:rsid w:val="00FB4146"/>
    <w:rsid w:val="00FE6EA5"/>
    <w:rsid w:val="00FE7049"/>
    <w:rsid w:val="00FF30CE"/>
    <w:rsid w:val="00FF3F59"/>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customStyle="1" w:styleId="Default">
    <w:name w:val="Default"/>
    <w:rsid w:val="00386C0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TOC2">
    <w:name w:val="toc 2"/>
    <w:basedOn w:val="Normal"/>
    <w:next w:val="Normal"/>
    <w:autoRedefine/>
    <w:uiPriority w:val="39"/>
    <w:unhideWhenUsed/>
    <w:rsid w:val="0042451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4385">
      <w:bodyDiv w:val="1"/>
      <w:marLeft w:val="0"/>
      <w:marRight w:val="0"/>
      <w:marTop w:val="0"/>
      <w:marBottom w:val="0"/>
      <w:divBdr>
        <w:top w:val="none" w:sz="0" w:space="0" w:color="auto"/>
        <w:left w:val="none" w:sz="0" w:space="0" w:color="auto"/>
        <w:bottom w:val="none" w:sz="0" w:space="0" w:color="auto"/>
        <w:right w:val="none" w:sz="0" w:space="0" w:color="auto"/>
      </w:divBdr>
    </w:div>
    <w:div w:id="340546360">
      <w:bodyDiv w:val="1"/>
      <w:marLeft w:val="0"/>
      <w:marRight w:val="0"/>
      <w:marTop w:val="0"/>
      <w:marBottom w:val="0"/>
      <w:divBdr>
        <w:top w:val="none" w:sz="0" w:space="0" w:color="auto"/>
        <w:left w:val="none" w:sz="0" w:space="0" w:color="auto"/>
        <w:bottom w:val="none" w:sz="0" w:space="0" w:color="auto"/>
        <w:right w:val="none" w:sz="0" w:space="0" w:color="auto"/>
      </w:divBdr>
    </w:div>
    <w:div w:id="469788405">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opm.gov/policy-data-oversight/pay-leave/salaries-wages/2022/general-schedule/" TargetMode="External"/><Relationship Id="rId4" Type="http://schemas.openxmlformats.org/officeDocument/2006/relationships/styles" Target="styles.xml"/><Relationship Id="rId9" Type="http://schemas.openxmlformats.org/officeDocument/2006/relationships/hyperlink" Target="https://www.bls.gov/oes/2021/may/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EFB192-91BA-4359-8182-E2D6C03B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Abdelmouti, Tawanda (NIH/OD) [E]</cp:lastModifiedBy>
  <cp:revision>2</cp:revision>
  <cp:lastPrinted>2022-03-17T19:03:00Z</cp:lastPrinted>
  <dcterms:created xsi:type="dcterms:W3CDTF">2022-07-05T20:00:00Z</dcterms:created>
  <dcterms:modified xsi:type="dcterms:W3CDTF">2022-07-05T20:00:00Z</dcterms:modified>
</cp:coreProperties>
</file>