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D416D0" w:rsidR="000B3996" w:rsidP="000B3996" w:rsidRDefault="000B3996" w14:paraId="2F68FA6A" w14:textId="77777777">
      <w:pPr>
        <w:pStyle w:val="ReportCover-Title"/>
        <w:jc w:val="center"/>
        <w:rPr>
          <w:rFonts w:asciiTheme="minorHAnsi" w:hAnsiTheme="minorHAnsi" w:cstheme="minorHAnsi"/>
          <w:color w:val="auto"/>
          <w:sz w:val="32"/>
          <w:szCs w:val="32"/>
        </w:rPr>
      </w:pPr>
      <w:r w:rsidRPr="00F72D1A">
        <w:rPr>
          <w:rFonts w:asciiTheme="minorHAnsi" w:hAnsiTheme="minorHAnsi" w:cstheme="minorHAnsi"/>
          <w:color w:val="auto"/>
          <w:sz w:val="32"/>
          <w:szCs w:val="32"/>
        </w:rPr>
        <w:t>National and Tribal Evaluation of the 2nd Generation of the Health Profession Opportunity Grants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4DA6CE0D">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30208">
        <w:rPr>
          <w:rFonts w:asciiTheme="minorHAnsi" w:hAnsiTheme="minorHAnsi" w:cstheme="minorHAnsi"/>
          <w:color w:val="auto"/>
          <w:sz w:val="32"/>
          <w:szCs w:val="32"/>
        </w:rPr>
        <w:t>0462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254501" w14:paraId="10D3ADE5" w14:textId="2D113921">
      <w:pPr>
        <w:pStyle w:val="ReportCover-Date"/>
        <w:spacing w:after="0"/>
        <w:jc w:val="center"/>
        <w:rPr>
          <w:rFonts w:asciiTheme="minorHAnsi" w:hAnsiTheme="minorHAnsi" w:cstheme="minorHAnsi"/>
          <w:color w:val="auto"/>
        </w:rPr>
      </w:pPr>
      <w:r w:rsidRPr="00D83DC7">
        <w:rPr>
          <w:rFonts w:asciiTheme="minorHAnsi" w:hAnsiTheme="minorHAnsi" w:cstheme="minorHAnsi"/>
          <w:color w:val="auto"/>
        </w:rPr>
        <w:t xml:space="preserve"> </w:t>
      </w:r>
      <w:r w:rsidR="00D02028">
        <w:rPr>
          <w:rFonts w:asciiTheme="minorHAnsi" w:hAnsiTheme="minorHAnsi" w:cstheme="minorHAnsi"/>
          <w:color w:val="auto"/>
        </w:rPr>
        <w:t xml:space="preserve">June </w:t>
      </w:r>
      <w:r w:rsidR="006C14FB">
        <w:rPr>
          <w:rFonts w:asciiTheme="minorHAnsi" w:hAnsiTheme="minorHAnsi" w:cstheme="minorHAnsi"/>
          <w:color w:val="auto"/>
        </w:rPr>
        <w:t>2022</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28077A" w:rsidR="00A42C71" w:rsidP="00A42C71" w:rsidRDefault="00A42C71" w14:paraId="6F908824" w14:textId="77777777">
      <w:pPr>
        <w:spacing w:after="0" w:line="240" w:lineRule="auto"/>
        <w:jc w:val="center"/>
        <w:rPr>
          <w:rFonts w:cstheme="minorHAnsi"/>
        </w:rPr>
      </w:pPr>
    </w:p>
    <w:p w:rsidRPr="00F72D1A" w:rsidR="000B3996" w:rsidP="00A3520C" w:rsidRDefault="000B3996" w14:paraId="39BFBFD8" w14:textId="77777777">
      <w:pPr>
        <w:pStyle w:val="CoverText-Address"/>
        <w:tabs>
          <w:tab w:val="clear" w:pos="1800"/>
          <w:tab w:val="clear" w:pos="6660"/>
          <w:tab w:val="left" w:pos="1620"/>
          <w:tab w:val="left" w:pos="6030"/>
          <w:tab w:val="left" w:pos="6300"/>
        </w:tabs>
        <w:ind w:left="0" w:right="0"/>
        <w:jc w:val="center"/>
        <w:rPr>
          <w:b/>
          <w:color w:val="auto"/>
        </w:rPr>
      </w:pPr>
      <w:r w:rsidRPr="00F72D1A">
        <w:rPr>
          <w:rFonts w:cs="Arial"/>
          <w:color w:val="auto"/>
        </w:rPr>
        <w:t>Project Officers:</w:t>
      </w:r>
      <w:r w:rsidRPr="00F72D1A">
        <w:rPr>
          <w:b/>
          <w:color w:val="auto"/>
        </w:rPr>
        <w:t xml:space="preserve"> </w:t>
      </w:r>
    </w:p>
    <w:p w:rsidR="00AB7D2B" w:rsidP="00AB7D2B" w:rsidRDefault="00AB7D2B" w14:paraId="4B1892F7" w14:textId="77777777">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000B3996" w:rsidP="00A3520C" w:rsidRDefault="000B3996" w14:paraId="62211E4F" w14:textId="77777777">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Pr="001A59B6" w:rsidR="00A42C71" w:rsidP="00A42C71" w:rsidRDefault="00A42C71" w14:paraId="6CB062A1" w14:textId="77777777">
      <w:pPr>
        <w:spacing w:after="0" w:line="240" w:lineRule="auto"/>
        <w:jc w:val="center"/>
        <w:rPr>
          <w:rFonts w:cstheme="minorHAnsi"/>
          <w:b/>
        </w:rPr>
      </w:pPr>
    </w:p>
    <w:p w:rsidR="00117ECC" w:rsidP="00A42C71" w:rsidRDefault="00117ECC" w14:paraId="5069FF3A" w14:textId="77777777">
      <w:pPr>
        <w:spacing w:after="0"/>
        <w:jc w:val="center"/>
        <w:rPr>
          <w:rFonts w:cstheme="minorHAnsi"/>
          <w:b/>
          <w:sz w:val="32"/>
          <w:szCs w:val="32"/>
        </w:rPr>
      </w:pPr>
    </w:p>
    <w:p w:rsidR="00117ECC" w:rsidP="00A42C71" w:rsidRDefault="00117ECC" w14:paraId="4D1D113C" w14:textId="77777777">
      <w:pPr>
        <w:spacing w:after="0"/>
        <w:jc w:val="center"/>
        <w:rPr>
          <w:rFonts w:cstheme="minorHAnsi"/>
          <w:b/>
          <w:sz w:val="32"/>
          <w:szCs w:val="32"/>
        </w:rPr>
      </w:pPr>
    </w:p>
    <w:p w:rsidRPr="001A59B6" w:rsidR="00A42C71" w:rsidP="00A42C71" w:rsidRDefault="00A42C71" w14:paraId="45C49EBE" w14:textId="0D7142D1">
      <w:pPr>
        <w:spacing w:after="0"/>
        <w:jc w:val="center"/>
        <w:rPr>
          <w:rFonts w:cstheme="minorHAnsi"/>
          <w:b/>
          <w:sz w:val="32"/>
          <w:szCs w:val="32"/>
        </w:rPr>
      </w:pPr>
      <w:r w:rsidRPr="001A59B6">
        <w:rPr>
          <w:rFonts w:cstheme="minorHAnsi"/>
          <w:b/>
          <w:sz w:val="32"/>
          <w:szCs w:val="32"/>
        </w:rPr>
        <w:lastRenderedPageBreak/>
        <w:t>Part B</w:t>
      </w:r>
    </w:p>
    <w:p w:rsidRPr="001A59B6" w:rsidR="00A42C71" w:rsidP="00887F7C"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887F7C" w:rsidRDefault="00A42C71" w14:paraId="1F1E2135" w14:textId="77777777">
      <w:pPr>
        <w:spacing w:after="60" w:line="240" w:lineRule="auto"/>
        <w:rPr>
          <w:rFonts w:cstheme="minorHAnsi"/>
          <w:i/>
        </w:rPr>
      </w:pPr>
      <w:r w:rsidRPr="001A59B6">
        <w:rPr>
          <w:rFonts w:cstheme="minorHAnsi"/>
          <w:i/>
        </w:rPr>
        <w:t>Study Objectives</w:t>
      </w:r>
    </w:p>
    <w:p w:rsidR="001A75C5" w:rsidP="00803009" w:rsidRDefault="00641298" w14:paraId="7FFFEBB8" w14:textId="55061B4F">
      <w:pPr>
        <w:autoSpaceDE w:val="0"/>
        <w:autoSpaceDN w:val="0"/>
        <w:adjustRightInd w:val="0"/>
        <w:spacing w:after="240" w:line="240" w:lineRule="auto"/>
      </w:pPr>
      <w:bookmarkStart w:name="_Hlk69908657" w:id="0"/>
      <w:r>
        <w:t xml:space="preserve">As </w:t>
      </w:r>
      <w:r w:rsidR="0020155E">
        <w:t xml:space="preserve">described further </w:t>
      </w:r>
      <w:r>
        <w:t xml:space="preserve">in Supporting Statement A, </w:t>
      </w:r>
      <w:r w:rsidR="00012673">
        <w:t>the U.S. Department of Health and Human Services (HHS), Administration for Children and Families (</w:t>
      </w:r>
      <w:r>
        <w:t>ACF</w:t>
      </w:r>
      <w:r w:rsidR="00012673">
        <w:t>)</w:t>
      </w:r>
      <w:r>
        <w:t xml:space="preserve"> awarded grants to 32 organizations to administer the second generation of </w:t>
      </w:r>
      <w:r w:rsidR="00A946CE">
        <w:t xml:space="preserve">the </w:t>
      </w:r>
      <w:r>
        <w:t>Health Profession Opportunity Grants (HPOG 2.0)</w:t>
      </w:r>
      <w:r w:rsidR="00A946CE">
        <w:t xml:space="preserve"> Program</w:t>
      </w:r>
      <w:r>
        <w:t>.</w:t>
      </w:r>
      <w:bookmarkEnd w:id="0"/>
      <w:r>
        <w:t xml:space="preserve"> The </w:t>
      </w:r>
      <w:r w:rsidR="007428EC">
        <w:t>Program</w:t>
      </w:r>
      <w:r w:rsidR="00CD4900">
        <w:t>, which ended enrollment in September 2021,</w:t>
      </w:r>
      <w:r w:rsidR="007428EC">
        <w:t xml:space="preserve"> </w:t>
      </w:r>
      <w:r>
        <w:t>provide</w:t>
      </w:r>
      <w:r w:rsidR="00CD4900">
        <w:t>d</w:t>
      </w:r>
      <w:r>
        <w:t xml:space="preserve"> healthcare occupational training for Temporary Assistance for Needy Families (TANF) recipients and other low-income people. OMB has approved various data collection activities in support of the HPOG 2</w:t>
      </w:r>
      <w:r w:rsidR="007428EC">
        <w:t>.0</w:t>
      </w:r>
      <w:r>
        <w:t xml:space="preserve"> National and Tribal Evaluations under OMB #0970-0462 (see </w:t>
      </w:r>
      <w:r w:rsidR="00E31B4F">
        <w:t xml:space="preserve">Supporting </w:t>
      </w:r>
      <w:r w:rsidR="009A0F77">
        <w:t>Statement</w:t>
      </w:r>
      <w:r w:rsidR="00E31B4F">
        <w:t xml:space="preserve"> A, </w:t>
      </w:r>
      <w:r w:rsidR="00227928">
        <w:t>Study Design</w:t>
      </w:r>
      <w:r>
        <w:t xml:space="preserve"> </w:t>
      </w:r>
      <w:r w:rsidR="00276D60">
        <w:t xml:space="preserve">for a summary of the previous approvals.) </w:t>
      </w:r>
    </w:p>
    <w:p w:rsidR="00647156" w:rsidP="00F72D1A" w:rsidRDefault="004A148C" w14:paraId="362DAED7" w14:textId="466E6012">
      <w:pPr>
        <w:spacing w:after="240" w:line="240" w:lineRule="auto"/>
      </w:pPr>
      <w:r>
        <w:t xml:space="preserve">As noted in </w:t>
      </w:r>
      <w:r w:rsidR="00647156">
        <w:t xml:space="preserve">Supporting Statement </w:t>
      </w:r>
      <w:r>
        <w:t xml:space="preserve">A, </w:t>
      </w:r>
      <w:r w:rsidRPr="002F0AD9" w:rsidR="00FC19F0">
        <w:rPr>
          <w:rFonts w:cstheme="minorHAnsi"/>
        </w:rPr>
        <w:t xml:space="preserve">ACF </w:t>
      </w:r>
      <w:r w:rsidRPr="002F0AD9" w:rsidR="00647156">
        <w:rPr>
          <w:rFonts w:cstheme="minorHAnsi"/>
        </w:rPr>
        <w:t xml:space="preserve">is </w:t>
      </w:r>
      <w:r w:rsidRPr="002F0AD9" w:rsidR="00CD4900">
        <w:rPr>
          <w:rFonts w:cstheme="minorHAnsi"/>
        </w:rPr>
        <w:t>preparing to</w:t>
      </w:r>
      <w:r w:rsidRPr="002F0AD9" w:rsidR="00647156">
        <w:rPr>
          <w:rFonts w:cstheme="minorHAnsi"/>
        </w:rPr>
        <w:t xml:space="preserve"> </w:t>
      </w:r>
      <w:r w:rsidRPr="002F0AD9" w:rsidR="00FC19F0">
        <w:rPr>
          <w:rFonts w:cstheme="minorHAnsi"/>
        </w:rPr>
        <w:t xml:space="preserve">conduct the HPOG 2.0 </w:t>
      </w:r>
      <w:r w:rsidRPr="002F0AD9" w:rsidR="00A24335">
        <w:rPr>
          <w:rFonts w:cstheme="minorHAnsi"/>
        </w:rPr>
        <w:t xml:space="preserve">Long-Term Survey </w:t>
      </w:r>
      <w:r w:rsidRPr="002F0AD9" w:rsidR="00585177">
        <w:rPr>
          <w:rFonts w:cstheme="minorHAnsi"/>
        </w:rPr>
        <w:t>(LTS)</w:t>
      </w:r>
      <w:r w:rsidRPr="002F0AD9" w:rsidR="00CD4900">
        <w:rPr>
          <w:rFonts w:cstheme="minorHAnsi"/>
        </w:rPr>
        <w:t xml:space="preserve">—the </w:t>
      </w:r>
      <w:r w:rsidRPr="002F0AD9" w:rsidR="00FC19F0">
        <w:rPr>
          <w:rFonts w:cstheme="minorHAnsi"/>
        </w:rPr>
        <w:t>focus of this information request</w:t>
      </w:r>
      <w:r w:rsidRPr="002F0AD9" w:rsidR="003055FA">
        <w:rPr>
          <w:rFonts w:cstheme="minorHAnsi"/>
        </w:rPr>
        <w:t xml:space="preserve">. </w:t>
      </w:r>
      <w:r w:rsidRPr="002F0AD9" w:rsidR="00FC19F0">
        <w:rPr>
          <w:rFonts w:cstheme="minorHAnsi"/>
        </w:rPr>
        <w:t>The goal of</w:t>
      </w:r>
      <w:r w:rsidRPr="001F1419" w:rsidR="0006302D">
        <w:rPr>
          <w:rFonts w:cstheme="minorHAnsi"/>
        </w:rPr>
        <w:t xml:space="preserve"> conducting</w:t>
      </w:r>
      <w:r w:rsidRPr="00CF4A11" w:rsidR="00FC19F0">
        <w:rPr>
          <w:rFonts w:cstheme="minorHAnsi"/>
        </w:rPr>
        <w:t xml:space="preserve"> the </w:t>
      </w:r>
      <w:r w:rsidRPr="00984D32" w:rsidR="001123FC">
        <w:rPr>
          <w:rFonts w:cstheme="minorHAnsi"/>
        </w:rPr>
        <w:t>LTS</w:t>
      </w:r>
      <w:r w:rsidRPr="00F72D1A">
        <w:rPr>
          <w:rFonts w:cstheme="minorHAnsi"/>
        </w:rPr>
        <w:t xml:space="preserve"> (</w:t>
      </w:r>
      <w:r w:rsidRPr="00F72D1A" w:rsidR="00CC558A">
        <w:rPr>
          <w:rFonts w:cstheme="minorHAnsi"/>
        </w:rPr>
        <w:t>approximately</w:t>
      </w:r>
      <w:r w:rsidRPr="00F72D1A" w:rsidR="009E21D2">
        <w:rPr>
          <w:rFonts w:cstheme="minorHAnsi"/>
        </w:rPr>
        <w:t xml:space="preserve"> </w:t>
      </w:r>
      <w:r w:rsidRPr="00F72D1A">
        <w:rPr>
          <w:rFonts w:cstheme="minorHAnsi"/>
        </w:rPr>
        <w:t>five and a half years after random</w:t>
      </w:r>
      <w:r w:rsidRPr="00F72D1A" w:rsidR="00B7325C">
        <w:rPr>
          <w:rFonts w:cstheme="minorHAnsi"/>
        </w:rPr>
        <w:t xml:space="preserve"> </w:t>
      </w:r>
      <w:r w:rsidRPr="00F72D1A" w:rsidR="00CC558A">
        <w:rPr>
          <w:rFonts w:cstheme="minorHAnsi"/>
        </w:rPr>
        <w:t>assignment</w:t>
      </w:r>
      <w:r w:rsidRPr="00F72D1A">
        <w:rPr>
          <w:rFonts w:cstheme="minorHAnsi"/>
        </w:rPr>
        <w:t xml:space="preserve">) with the same cohort of participants selected for the </w:t>
      </w:r>
      <w:r w:rsidRPr="00F72D1A" w:rsidR="00587E4A">
        <w:rPr>
          <w:rFonts w:cstheme="minorHAnsi"/>
        </w:rPr>
        <w:t>Intermediate</w:t>
      </w:r>
      <w:r w:rsidRPr="00F72D1A" w:rsidR="00026E03">
        <w:rPr>
          <w:rFonts w:cstheme="minorHAnsi"/>
        </w:rPr>
        <w:t>-</w:t>
      </w:r>
      <w:r w:rsidRPr="00F72D1A" w:rsidR="00A24335">
        <w:rPr>
          <w:rFonts w:cstheme="minorHAnsi"/>
        </w:rPr>
        <w:t>T</w:t>
      </w:r>
      <w:r w:rsidRPr="00F72D1A" w:rsidR="00026E03">
        <w:rPr>
          <w:rFonts w:cstheme="minorHAnsi"/>
        </w:rPr>
        <w:t>erm</w:t>
      </w:r>
      <w:r w:rsidRPr="00F72D1A" w:rsidR="00587E4A">
        <w:rPr>
          <w:rFonts w:cstheme="minorHAnsi"/>
        </w:rPr>
        <w:t xml:space="preserve"> Follow-up Survey (ITS)</w:t>
      </w:r>
      <w:r w:rsidRPr="00F72D1A" w:rsidR="00FC19F0">
        <w:rPr>
          <w:rFonts w:cstheme="minorHAnsi"/>
        </w:rPr>
        <w:t xml:space="preserve"> </w:t>
      </w:r>
      <w:r w:rsidRPr="00F72D1A" w:rsidR="00B04724">
        <w:rPr>
          <w:rFonts w:cstheme="minorHAnsi"/>
        </w:rPr>
        <w:t>is to measure the outcomes of interest over the longer-term</w:t>
      </w:r>
      <w:r w:rsidRPr="00F72D1A">
        <w:rPr>
          <w:rFonts w:cstheme="minorHAnsi"/>
        </w:rPr>
        <w:t xml:space="preserve">. </w:t>
      </w:r>
      <w:r w:rsidRPr="00F72D1A" w:rsidR="005872C3">
        <w:rPr>
          <w:rFonts w:cstheme="minorHAnsi"/>
        </w:rPr>
        <w:t>The</w:t>
      </w:r>
      <w:r w:rsidRPr="00F72D1A">
        <w:rPr>
          <w:rFonts w:cstheme="minorHAnsi"/>
        </w:rPr>
        <w:t xml:space="preserve"> procedures for collecting contact updates from the participants selected for the </w:t>
      </w:r>
      <w:r w:rsidRPr="00F72D1A" w:rsidR="001123FC">
        <w:rPr>
          <w:rFonts w:cstheme="minorHAnsi"/>
        </w:rPr>
        <w:t>LTS</w:t>
      </w:r>
      <w:r w:rsidRPr="00F72D1A">
        <w:rPr>
          <w:rFonts w:cstheme="minorHAnsi"/>
        </w:rPr>
        <w:t xml:space="preserve"> </w:t>
      </w:r>
      <w:r w:rsidRPr="00F72D1A" w:rsidR="005872C3">
        <w:rPr>
          <w:rFonts w:cstheme="minorHAnsi"/>
        </w:rPr>
        <w:t>have already been</w:t>
      </w:r>
      <w:r w:rsidRPr="00F72D1A">
        <w:rPr>
          <w:rFonts w:cstheme="minorHAnsi"/>
        </w:rPr>
        <w:t xml:space="preserve"> approved </w:t>
      </w:r>
      <w:r w:rsidRPr="00F72D1A" w:rsidR="00585177">
        <w:rPr>
          <w:rFonts w:cstheme="minorHAnsi"/>
        </w:rPr>
        <w:t>under this OMB #0970-0462</w:t>
      </w:r>
      <w:r w:rsidRPr="00F72D1A" w:rsidR="005561B3">
        <w:rPr>
          <w:rFonts w:cstheme="minorHAnsi"/>
        </w:rPr>
        <w:t xml:space="preserve"> </w:t>
      </w:r>
      <w:r w:rsidRPr="00F72D1A" w:rsidR="005872C3">
        <w:rPr>
          <w:rFonts w:cstheme="minorHAnsi"/>
        </w:rPr>
        <w:t>(</w:t>
      </w:r>
      <w:r w:rsidRPr="00F72D1A">
        <w:rPr>
          <w:rFonts w:cstheme="minorHAnsi"/>
        </w:rPr>
        <w:t>Instrument 5b</w:t>
      </w:r>
      <w:r w:rsidRPr="00F72D1A" w:rsidR="0006302D">
        <w:rPr>
          <w:rFonts w:cstheme="minorHAnsi"/>
        </w:rPr>
        <w:t>/Instrument 5b-Phone Version in July 2021</w:t>
      </w:r>
      <w:r w:rsidRPr="00F72D1A" w:rsidR="005872C3">
        <w:rPr>
          <w:rFonts w:cstheme="minorHAnsi"/>
        </w:rPr>
        <w:t>)</w:t>
      </w:r>
      <w:r w:rsidRPr="00F72D1A" w:rsidR="001A75C5">
        <w:rPr>
          <w:rFonts w:cstheme="minorHAnsi"/>
        </w:rPr>
        <w:t xml:space="preserve">. </w:t>
      </w:r>
      <w:r w:rsidR="00026E03">
        <w:t xml:space="preserve">This </w:t>
      </w:r>
      <w:r w:rsidRPr="002F0AD9" w:rsidR="00995791">
        <w:rPr>
          <w:rFonts w:cstheme="minorHAnsi"/>
        </w:rPr>
        <w:t xml:space="preserve">request </w:t>
      </w:r>
      <w:r w:rsidRPr="00063E03" w:rsidR="00995791">
        <w:rPr>
          <w:rFonts w:cstheme="minorHAnsi"/>
        </w:rPr>
        <w:t xml:space="preserve">seeks approval </w:t>
      </w:r>
      <w:r w:rsidRPr="00063E03" w:rsidR="003E7DDE">
        <w:rPr>
          <w:rFonts w:cstheme="minorHAnsi"/>
        </w:rPr>
        <w:t xml:space="preserve">to continue use of the contact updates and </w:t>
      </w:r>
      <w:r w:rsidRPr="00063E03" w:rsidR="002F0AD9">
        <w:rPr>
          <w:rFonts w:cstheme="minorHAnsi"/>
        </w:rPr>
        <w:t>to begin use the LTS (</w:t>
      </w:r>
      <w:r w:rsidRPr="00063E03" w:rsidR="00322D3C">
        <w:rPr>
          <w:rFonts w:cstheme="minorHAnsi"/>
        </w:rPr>
        <w:t>Instrument 21 and 21a)</w:t>
      </w:r>
      <w:r w:rsidRPr="00063E03" w:rsidR="00995791">
        <w:rPr>
          <w:rFonts w:cstheme="minorHAnsi"/>
        </w:rPr>
        <w:t xml:space="preserve"> and supporting materials.</w:t>
      </w:r>
      <w:r w:rsidRPr="00063E03" w:rsidR="0028077A">
        <w:rPr>
          <w:rFonts w:cstheme="minorHAnsi"/>
        </w:rPr>
        <w:t xml:space="preserve"> We are also finishing data collection using </w:t>
      </w:r>
      <w:r w:rsidRPr="00063E03" w:rsidR="002F0AD9">
        <w:rPr>
          <w:rFonts w:cstheme="minorHAnsi"/>
        </w:rPr>
        <w:t xml:space="preserve">the </w:t>
      </w:r>
      <w:r w:rsidR="002F0AD9">
        <w:rPr>
          <w:rFonts w:cstheme="minorHAnsi"/>
        </w:rPr>
        <w:t>previously approved</w:t>
      </w:r>
      <w:r w:rsidRPr="002F0AD9" w:rsidR="002F0AD9">
        <w:rPr>
          <w:rFonts w:cstheme="minorHAnsi"/>
        </w:rPr>
        <w:t xml:space="preserve"> COVID-19 Cohort Short-Term Follow-up Survey</w:t>
      </w:r>
      <w:r w:rsidR="0028077A">
        <w:rPr>
          <w:rFonts w:cstheme="minorHAnsi"/>
        </w:rPr>
        <w:t>.</w:t>
      </w:r>
      <w:r w:rsidR="002F0AD9">
        <w:rPr>
          <w:rFonts w:cstheme="minorHAnsi"/>
        </w:rPr>
        <w:t xml:space="preserve"> All other previously approved data collection is complete. </w:t>
      </w:r>
      <w:r w:rsidR="0028077A">
        <w:rPr>
          <w:rFonts w:cstheme="minorHAnsi"/>
        </w:rPr>
        <w:t xml:space="preserve"> </w:t>
      </w:r>
    </w:p>
    <w:p w:rsidRPr="001A59B6" w:rsidR="00A42C71" w:rsidP="0065523A"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1A345A" w:rsidP="00A24335" w:rsidRDefault="009B6BF6" w14:paraId="3E100995" w14:textId="5DED114A">
      <w:pPr>
        <w:autoSpaceDE w:val="0"/>
        <w:autoSpaceDN w:val="0"/>
        <w:adjustRightInd w:val="0"/>
        <w:spacing w:after="240" w:line="240" w:lineRule="auto"/>
        <w:rPr>
          <w:rFonts w:eastAsia="Times New Roman" w:cstheme="minorHAnsi"/>
          <w:color w:val="000000"/>
        </w:rPr>
      </w:pPr>
      <w:r w:rsidRPr="007733D5">
        <w:t xml:space="preserve">This randomized study is intended to produce </w:t>
      </w:r>
      <w:r w:rsidRPr="007733D5" w:rsidR="00D83DC7">
        <w:t>internally</w:t>
      </w:r>
      <w:r w:rsidR="00D83DC7">
        <w:t xml:space="preserve"> valid</w:t>
      </w:r>
      <w:r w:rsidRPr="007733D5">
        <w:t xml:space="preserve"> estimates of the intervention’s causal impact, not to promote statistical generalization to other sites or service populations</w:t>
      </w:r>
      <w:r w:rsidR="00EB2412">
        <w:t xml:space="preserve">. </w:t>
      </w:r>
    </w:p>
    <w:p w:rsidRPr="001A59B6" w:rsidR="00A42C71" w:rsidP="0065523A" w:rsidRDefault="00A42C71" w14:paraId="02CD8588" w14:textId="77777777">
      <w:pPr>
        <w:keepNext/>
        <w:autoSpaceDE w:val="0"/>
        <w:autoSpaceDN w:val="0"/>
        <w:adjustRightInd w:val="0"/>
        <w:spacing w:after="60" w:line="240" w:lineRule="auto"/>
        <w:rPr>
          <w:rFonts w:eastAsia="Times New Roman" w:cstheme="minorHAnsi"/>
          <w:color w:val="000000"/>
        </w:rPr>
      </w:pPr>
      <w:bookmarkStart w:name="_Hlk91068408" w:id="1"/>
      <w:r w:rsidRPr="001A59B6">
        <w:rPr>
          <w:rFonts w:eastAsia="Times New Roman" w:cstheme="minorHAnsi"/>
          <w:i/>
          <w:color w:val="000000"/>
        </w:rPr>
        <w:t xml:space="preserve">Appropriateness of Study Design and Methods for Planned Uses </w:t>
      </w:r>
    </w:p>
    <w:p w:rsidR="006E7B5F" w:rsidP="006E7B5F" w:rsidRDefault="006F6343" w14:paraId="1E608DFF" w14:textId="6F893C6A">
      <w:pPr>
        <w:pStyle w:val="CommentText"/>
        <w:spacing w:after="0"/>
        <w:rPr>
          <w:rFonts w:cstheme="minorHAnsi"/>
          <w:sz w:val="22"/>
          <w:szCs w:val="22"/>
        </w:rPr>
      </w:pPr>
      <w:bookmarkStart w:name="_Hlk66868084" w:id="2"/>
      <w:bookmarkEnd w:id="1"/>
      <w:r w:rsidRPr="006F6343">
        <w:rPr>
          <w:sz w:val="22"/>
          <w:szCs w:val="22"/>
        </w:rPr>
        <w:t xml:space="preserve">The HPOG 2.0 </w:t>
      </w:r>
      <w:r w:rsidR="00783E5B">
        <w:rPr>
          <w:sz w:val="22"/>
          <w:szCs w:val="22"/>
        </w:rPr>
        <w:t>LTS</w:t>
      </w:r>
      <w:r w:rsidRPr="006F6343">
        <w:rPr>
          <w:sz w:val="22"/>
          <w:szCs w:val="22"/>
        </w:rPr>
        <w:t xml:space="preserve"> will provide insights into the long</w:t>
      </w:r>
      <w:r w:rsidR="00766A82">
        <w:rPr>
          <w:sz w:val="22"/>
          <w:szCs w:val="22"/>
        </w:rPr>
        <w:t>er</w:t>
      </w:r>
      <w:r w:rsidRPr="006F6343">
        <w:rPr>
          <w:sz w:val="22"/>
          <w:szCs w:val="22"/>
        </w:rPr>
        <w:t>-term impacts of HPOG 2.0 for outcomes that are not captured in administrative records, such as details about educational experiences, characteristics of employment</w:t>
      </w:r>
      <w:r w:rsidR="0072362B">
        <w:rPr>
          <w:sz w:val="22"/>
          <w:szCs w:val="22"/>
        </w:rPr>
        <w:t xml:space="preserve"> (including employment in and earnings from healthcare, a crucial outcome for this study)</w:t>
      </w:r>
      <w:r w:rsidRPr="006F6343">
        <w:rPr>
          <w:sz w:val="22"/>
          <w:szCs w:val="22"/>
        </w:rPr>
        <w:t>, self-employment</w:t>
      </w:r>
      <w:r w:rsidR="00026E03">
        <w:rPr>
          <w:sz w:val="22"/>
          <w:szCs w:val="22"/>
        </w:rPr>
        <w:t>,</w:t>
      </w:r>
      <w:r w:rsidRPr="006F6343">
        <w:rPr>
          <w:sz w:val="22"/>
          <w:szCs w:val="22"/>
        </w:rPr>
        <w:t xml:space="preserve"> and earnings from jobs not covered in administrative data, receipt of public assistance, physical and mental well-being, and child outcomes</w:t>
      </w:r>
      <w:r>
        <w:rPr>
          <w:sz w:val="22"/>
          <w:szCs w:val="22"/>
        </w:rPr>
        <w:t>. Through this survey, OPRE can</w:t>
      </w:r>
      <w:r w:rsidRPr="006F6343">
        <w:rPr>
          <w:sz w:val="22"/>
          <w:szCs w:val="22"/>
        </w:rPr>
        <w:t xml:space="preserve"> address important unanswered questions for policymakers and practitioners</w:t>
      </w:r>
      <w:r w:rsidR="008A274F">
        <w:rPr>
          <w:sz w:val="22"/>
          <w:szCs w:val="22"/>
        </w:rPr>
        <w:t xml:space="preserve"> about the effects of </w:t>
      </w:r>
      <w:r w:rsidR="00A24335">
        <w:rPr>
          <w:sz w:val="22"/>
          <w:szCs w:val="22"/>
        </w:rPr>
        <w:t xml:space="preserve">the </w:t>
      </w:r>
      <w:r w:rsidR="008A274F">
        <w:rPr>
          <w:sz w:val="22"/>
          <w:szCs w:val="22"/>
        </w:rPr>
        <w:t xml:space="preserve">HPOG 2.0 </w:t>
      </w:r>
      <w:r w:rsidR="0074427B">
        <w:rPr>
          <w:sz w:val="22"/>
          <w:szCs w:val="22"/>
        </w:rPr>
        <w:t>P</w:t>
      </w:r>
      <w:r w:rsidR="008A274F">
        <w:rPr>
          <w:sz w:val="22"/>
          <w:szCs w:val="22"/>
        </w:rPr>
        <w:t xml:space="preserve">rogram on outcomes and impacts of study participants </w:t>
      </w:r>
      <w:r w:rsidR="00995791">
        <w:rPr>
          <w:sz w:val="22"/>
          <w:szCs w:val="22"/>
        </w:rPr>
        <w:t>about five and a half years</w:t>
      </w:r>
      <w:r w:rsidR="008A274F">
        <w:rPr>
          <w:sz w:val="22"/>
          <w:szCs w:val="22"/>
        </w:rPr>
        <w:t xml:space="preserve"> after enrollment. The results are not expected to be representative of the general population</w:t>
      </w:r>
      <w:r w:rsidRPr="006F6343">
        <w:rPr>
          <w:sz w:val="22"/>
          <w:szCs w:val="22"/>
        </w:rPr>
        <w:t>.</w:t>
      </w:r>
      <w:r w:rsidR="004C1D17">
        <w:rPr>
          <w:sz w:val="22"/>
          <w:szCs w:val="22"/>
        </w:rPr>
        <w:t xml:space="preserve"> </w:t>
      </w:r>
      <w:bookmarkEnd w:id="2"/>
      <w:r w:rsidRPr="001A59B6" w:rsidR="006E7B5F">
        <w:rPr>
          <w:rFonts w:cstheme="minorHAnsi"/>
          <w:sz w:val="22"/>
          <w:szCs w:val="22"/>
        </w:rPr>
        <w:t>As noted in Supporting Statement A, this information is not intended to be used as the principal basis for public policy decisions and is not expected to meet the threshold of influential or highly influential scientific information</w:t>
      </w:r>
      <w:r w:rsidR="004C1D17">
        <w:rPr>
          <w:rFonts w:cstheme="minorHAnsi"/>
          <w:sz w:val="22"/>
          <w:szCs w:val="22"/>
        </w:rPr>
        <w:t>.</w:t>
      </w:r>
    </w:p>
    <w:p w:rsidRPr="001A59B6" w:rsidR="001A345A" w:rsidP="00227928" w:rsidRDefault="001A345A" w14:paraId="2BAD7600" w14:textId="77777777">
      <w:pPr>
        <w:pStyle w:val="CommentText"/>
        <w:spacing w:after="0"/>
        <w:rPr>
          <w:rFonts w:cstheme="minorHAnsi"/>
          <w:b/>
          <w:i/>
          <w:strike/>
          <w:sz w:val="22"/>
          <w:szCs w:val="22"/>
        </w:rPr>
      </w:pPr>
    </w:p>
    <w:p w:rsidRPr="001A59B6" w:rsidR="00A42C71" w:rsidP="0065523A" w:rsidRDefault="00A42C71"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232A9D" w:rsidRDefault="00A42C71" w14:paraId="4C77B3BD" w14:textId="77777777">
      <w:pPr>
        <w:autoSpaceDE w:val="0"/>
        <w:autoSpaceDN w:val="0"/>
        <w:adjustRightInd w:val="0"/>
        <w:spacing w:after="60" w:line="240" w:lineRule="auto"/>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Pr="008B2F67" w:rsidR="008B2F67" w:rsidP="00232A9D" w:rsidRDefault="00490368" w14:paraId="352CEB80" w14:textId="7B31F55F">
      <w:pPr>
        <w:spacing w:after="240" w:line="240" w:lineRule="auto"/>
        <w:rPr>
          <w:rFonts w:cstheme="minorHAnsi"/>
        </w:rPr>
      </w:pPr>
      <w:r w:rsidRPr="00E33B70">
        <w:rPr>
          <w:rFonts w:cstheme="minorHAnsi"/>
        </w:rPr>
        <w:t>Grantees began enrolling participants in 2016 and continue</w:t>
      </w:r>
      <w:r w:rsidR="008B2F67">
        <w:rPr>
          <w:rFonts w:cstheme="minorHAnsi"/>
        </w:rPr>
        <w:t>d</w:t>
      </w:r>
      <w:r w:rsidRPr="00E33B70">
        <w:rPr>
          <w:rFonts w:cstheme="minorHAnsi"/>
        </w:rPr>
        <w:t xml:space="preserve"> through </w:t>
      </w:r>
      <w:r>
        <w:rPr>
          <w:rFonts w:cstheme="minorHAnsi"/>
        </w:rPr>
        <w:t xml:space="preserve">the end of the grant period in </w:t>
      </w:r>
      <w:r w:rsidRPr="00E33B70">
        <w:rPr>
          <w:rFonts w:cstheme="minorHAnsi"/>
        </w:rPr>
        <w:t>September 2021</w:t>
      </w:r>
      <w:r w:rsidR="008B2F67">
        <w:rPr>
          <w:rFonts w:cstheme="minorHAnsi"/>
        </w:rPr>
        <w:t>.</w:t>
      </w:r>
      <w:r w:rsidRPr="00444049" w:rsidR="00444049">
        <w:rPr>
          <w:rFonts w:cstheme="minorHAnsi"/>
        </w:rPr>
        <w:t xml:space="preserve"> </w:t>
      </w:r>
      <w:r w:rsidR="00444049">
        <w:rPr>
          <w:rFonts w:cstheme="minorHAnsi"/>
        </w:rPr>
        <w:t>Overall</w:t>
      </w:r>
      <w:r w:rsidRPr="00E33B70" w:rsidR="00444049">
        <w:rPr>
          <w:rFonts w:cstheme="minorHAnsi"/>
        </w:rPr>
        <w:t xml:space="preserve">, the 32 grantees enrolled </w:t>
      </w:r>
      <w:r w:rsidR="0072362B">
        <w:rPr>
          <w:rFonts w:cstheme="minorHAnsi"/>
        </w:rPr>
        <w:t>more than</w:t>
      </w:r>
      <w:r w:rsidRPr="00E33B70" w:rsidR="00444049">
        <w:rPr>
          <w:rFonts w:cstheme="minorHAnsi"/>
        </w:rPr>
        <w:t xml:space="preserve"> 5</w:t>
      </w:r>
      <w:r w:rsidR="00444049">
        <w:rPr>
          <w:rFonts w:cstheme="minorHAnsi"/>
        </w:rPr>
        <w:t>6</w:t>
      </w:r>
      <w:r w:rsidRPr="00E33B70" w:rsidR="00444049">
        <w:rPr>
          <w:rFonts w:cstheme="minorHAnsi"/>
        </w:rPr>
        <w:t xml:space="preserve">,000 </w:t>
      </w:r>
      <w:r w:rsidR="00444049">
        <w:rPr>
          <w:rFonts w:cstheme="minorHAnsi"/>
        </w:rPr>
        <w:t xml:space="preserve">study </w:t>
      </w:r>
      <w:r w:rsidRPr="00E33B70" w:rsidR="00444049">
        <w:rPr>
          <w:rFonts w:cstheme="minorHAnsi"/>
        </w:rPr>
        <w:t>participants</w:t>
      </w:r>
      <w:bookmarkStart w:name="_Hlk91052284" w:id="3"/>
      <w:r w:rsidR="005D468F">
        <w:rPr>
          <w:rFonts w:cstheme="minorHAnsi"/>
        </w:rPr>
        <w:t>. T</w:t>
      </w:r>
      <w:r w:rsidR="00284287">
        <w:rPr>
          <w:rFonts w:cstheme="minorHAnsi"/>
        </w:rPr>
        <w:t>he</w:t>
      </w:r>
      <w:r w:rsidR="004F4529">
        <w:rPr>
          <w:rFonts w:cstheme="minorHAnsi"/>
        </w:rPr>
        <w:t xml:space="preserve"> </w:t>
      </w:r>
      <w:r w:rsidR="00284287">
        <w:rPr>
          <w:rFonts w:cstheme="minorHAnsi"/>
        </w:rPr>
        <w:t xml:space="preserve">27 non-tribal grantees, the focus of this information collection, </w:t>
      </w:r>
      <w:r w:rsidRPr="008B2F67" w:rsidR="008B2F67">
        <w:rPr>
          <w:rFonts w:cstheme="minorHAnsi"/>
        </w:rPr>
        <w:t>randomly assign</w:t>
      </w:r>
      <w:r w:rsidR="008B2F67">
        <w:rPr>
          <w:rFonts w:cstheme="minorHAnsi"/>
        </w:rPr>
        <w:t>ed</w:t>
      </w:r>
      <w:r w:rsidRPr="008B2F67" w:rsidR="008B2F67">
        <w:rPr>
          <w:rFonts w:cstheme="minorHAnsi"/>
        </w:rPr>
        <w:t xml:space="preserve"> more than 52,000 study participants </w:t>
      </w:r>
      <w:r w:rsidR="008B2F67">
        <w:rPr>
          <w:rFonts w:cstheme="minorHAnsi"/>
        </w:rPr>
        <w:t>and</w:t>
      </w:r>
      <w:r w:rsidRPr="008B2F67" w:rsidR="008B2F67">
        <w:rPr>
          <w:rFonts w:cstheme="minorHAnsi"/>
        </w:rPr>
        <w:t xml:space="preserve"> enroll</w:t>
      </w:r>
      <w:r w:rsidR="008B2F67">
        <w:rPr>
          <w:rFonts w:cstheme="minorHAnsi"/>
        </w:rPr>
        <w:t>ed</w:t>
      </w:r>
      <w:r w:rsidRPr="008B2F67" w:rsidR="008B2F67">
        <w:rPr>
          <w:rFonts w:cstheme="minorHAnsi"/>
        </w:rPr>
        <w:t xml:space="preserve"> an additional 3,000 participants who were not subject to random assignment.</w:t>
      </w:r>
      <w:bookmarkEnd w:id="3"/>
    </w:p>
    <w:p w:rsidR="00E262DE" w:rsidP="00232A9D" w:rsidRDefault="00F0585F" w14:paraId="3DCC67A2" w14:textId="19674D9E">
      <w:pPr>
        <w:spacing w:after="240" w:line="240" w:lineRule="auto"/>
      </w:pPr>
      <w:r>
        <w:lastRenderedPageBreak/>
        <w:t xml:space="preserve">The target population for the </w:t>
      </w:r>
      <w:r w:rsidR="00E138FB">
        <w:t>LTS</w:t>
      </w:r>
      <w:r>
        <w:t xml:space="preserve"> is the universe of applicants to the non-</w:t>
      </w:r>
      <w:r w:rsidR="002B1473">
        <w:t>T</w:t>
      </w:r>
      <w:r>
        <w:t xml:space="preserve">ribal HPOG 2.0 programs who were randomly assigned between </w:t>
      </w:r>
      <w:r w:rsidR="002B1473">
        <w:t xml:space="preserve">September </w:t>
      </w:r>
      <w:r w:rsidR="00345119">
        <w:t>2017 and January 2018. T</w:t>
      </w:r>
      <w:r w:rsidR="002B1473">
        <w:t>his is the same sample as the</w:t>
      </w:r>
      <w:r w:rsidRPr="002B1473" w:rsidR="002B1473">
        <w:t xml:space="preserve"> </w:t>
      </w:r>
      <w:r w:rsidR="00FB33E1">
        <w:t>ITS and</w:t>
      </w:r>
      <w:r w:rsidR="002B1473">
        <w:t xml:space="preserve"> </w:t>
      </w:r>
      <w:r w:rsidR="00995791">
        <w:t xml:space="preserve">represents </w:t>
      </w:r>
      <w:r w:rsidR="002B1473">
        <w:t xml:space="preserve">a subset of the </w:t>
      </w:r>
      <w:r w:rsidR="00937CDE">
        <w:t>Short-Term Follow-Up Survey (STS)</w:t>
      </w:r>
      <w:r w:rsidR="002B1473">
        <w:t xml:space="preserve"> sample.</w:t>
      </w:r>
      <w:r w:rsidRPr="00345119" w:rsidR="002B1473">
        <w:rPr>
          <w:rFonts w:asciiTheme="minorBidi" w:hAnsiTheme="minorBidi"/>
        </w:rPr>
        <w:t xml:space="preserve"> </w:t>
      </w:r>
    </w:p>
    <w:p w:rsidRPr="001A59B6" w:rsidR="00A42C71" w:rsidP="00232A9D" w:rsidRDefault="00A42C71" w14:paraId="242D83A5" w14:textId="11775D52">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 xml:space="preserve">Sampling </w:t>
      </w:r>
    </w:p>
    <w:p w:rsidR="00396466" w:rsidP="00F72D1A" w:rsidRDefault="00396466" w14:paraId="7421854E" w14:textId="7BE90E11">
      <w:pPr>
        <w:spacing w:after="240" w:line="240" w:lineRule="auto"/>
      </w:pPr>
      <w:r>
        <w:t xml:space="preserve">The evaluation team selected 13,118 study participants—all of the participants enrolled between March 2017 and February 2018—for inclusion in the </w:t>
      </w:r>
      <w:r w:rsidR="00995791">
        <w:t>STS</w:t>
      </w:r>
      <w:r>
        <w:t xml:space="preserve"> sample (previously approved under this OMB </w:t>
      </w:r>
      <w:r w:rsidR="00EE3DD8">
        <w:t>c</w:t>
      </w:r>
      <w:r>
        <w:t xml:space="preserve">ontrol </w:t>
      </w:r>
      <w:r w:rsidR="00EE3DD8">
        <w:t>n</w:t>
      </w:r>
      <w:r>
        <w:t>umber in June 2018). A subset—</w:t>
      </w:r>
      <w:r w:rsidR="007168ED">
        <w:t>4,946</w:t>
      </w:r>
      <w:r>
        <w:t xml:space="preserve">—of those participants, was selected for the </w:t>
      </w:r>
      <w:r w:rsidR="00995791">
        <w:t>ITS</w:t>
      </w:r>
      <w:r>
        <w:t xml:space="preserve"> sample</w:t>
      </w:r>
      <w:r w:rsidR="005D468F">
        <w:t>—t</w:t>
      </w:r>
      <w:r>
        <w:t>hose enrolled between September 2017 and January 2018</w:t>
      </w:r>
      <w:r w:rsidR="007168ED">
        <w:t xml:space="preserve">. The ITS information collection request describing the sample selection and </w:t>
      </w:r>
      <w:r w:rsidR="008D68DD">
        <w:t xml:space="preserve">the survey </w:t>
      </w:r>
      <w:r w:rsidR="007168ED">
        <w:t>instrument</w:t>
      </w:r>
      <w:r w:rsidR="00165D36">
        <w:t xml:space="preserve"> was </w:t>
      </w:r>
      <w:r w:rsidR="005D468F">
        <w:t>previously approved in July 2019, with revisions approved in June 2020</w:t>
      </w:r>
      <w:r w:rsidR="000033BC">
        <w:t xml:space="preserve">. </w:t>
      </w:r>
      <w:r w:rsidRPr="002B1473" w:rsidR="008F18B3">
        <w:t xml:space="preserve">This </w:t>
      </w:r>
      <w:r w:rsidR="008F18B3">
        <w:t>LTS</w:t>
      </w:r>
      <w:r w:rsidR="00165D36">
        <w:t xml:space="preserve">, the third follow-up survey effort with the ITS sample, </w:t>
      </w:r>
      <w:r w:rsidRPr="002B1473" w:rsidR="008F18B3">
        <w:t xml:space="preserve">will </w:t>
      </w:r>
      <w:r w:rsidR="008F18B3">
        <w:t>provide</w:t>
      </w:r>
      <w:r w:rsidRPr="002B1473" w:rsidR="008F18B3">
        <w:t xml:space="preserve"> </w:t>
      </w:r>
      <w:r w:rsidR="000517FF">
        <w:t xml:space="preserve">data to measure outcomes and impacts at </w:t>
      </w:r>
      <w:r w:rsidR="0060550B">
        <w:t>a third point</w:t>
      </w:r>
      <w:r w:rsidR="000517FF">
        <w:t xml:space="preserve"> in time after enrollment</w:t>
      </w:r>
      <w:r w:rsidRPr="002B1473" w:rsidR="008F18B3">
        <w:t xml:space="preserve">. Prior to data collection, study members identified as deceased through </w:t>
      </w:r>
      <w:r w:rsidR="00F84666">
        <w:t xml:space="preserve">attempts to update their contact information or prior survey </w:t>
      </w:r>
      <w:r w:rsidRPr="002B1473" w:rsidR="008F18B3">
        <w:t>effort</w:t>
      </w:r>
      <w:r w:rsidR="005D468F">
        <w:t>s</w:t>
      </w:r>
      <w:r w:rsidRPr="002B1473" w:rsidR="008F18B3">
        <w:t xml:space="preserve"> </w:t>
      </w:r>
      <w:r w:rsidR="008F18B3">
        <w:t>will be</w:t>
      </w:r>
      <w:r w:rsidRPr="002B1473" w:rsidR="008F18B3">
        <w:t xml:space="preserve"> excluded from the </w:t>
      </w:r>
      <w:r w:rsidR="00F84666">
        <w:t xml:space="preserve">LTS </w:t>
      </w:r>
      <w:r w:rsidRPr="002B1473" w:rsidR="008F18B3">
        <w:t xml:space="preserve">survey sample. We </w:t>
      </w:r>
      <w:r w:rsidR="008F18B3">
        <w:t xml:space="preserve">will also exclude </w:t>
      </w:r>
      <w:r w:rsidRPr="002B1473" w:rsidR="008F18B3">
        <w:t xml:space="preserve">those who asked not to be contacted for future surveys. After removing those study members, the beginning survey sample for </w:t>
      </w:r>
      <w:r w:rsidR="007E73DA">
        <w:t>the</w:t>
      </w:r>
      <w:r w:rsidR="000B36EC">
        <w:t xml:space="preserve"> </w:t>
      </w:r>
      <w:r w:rsidR="00F84666">
        <w:t>LTS</w:t>
      </w:r>
      <w:r w:rsidRPr="002B1473" w:rsidR="008F18B3">
        <w:t xml:space="preserve"> is </w:t>
      </w:r>
      <w:r w:rsidR="008F18B3">
        <w:t>expected to be about</w:t>
      </w:r>
      <w:r w:rsidRPr="002B1473" w:rsidR="008F18B3">
        <w:t xml:space="preserve"> </w:t>
      </w:r>
      <w:r w:rsidR="008F18B3">
        <w:t>4,938</w:t>
      </w:r>
      <w:r w:rsidRPr="002B1473" w:rsidR="00C33425">
        <w:t xml:space="preserve">. </w:t>
      </w:r>
      <w:r w:rsidR="00752C38">
        <w:t>(Please see</w:t>
      </w:r>
      <w:r w:rsidR="006D7F8F">
        <w:t xml:space="preserve"> Attachment AG, which includes</w:t>
      </w:r>
      <w:r w:rsidR="00752C38">
        <w:t xml:space="preserve"> </w:t>
      </w:r>
      <w:r w:rsidR="006D7F8F">
        <w:t xml:space="preserve">Section B1 from </w:t>
      </w:r>
      <w:r w:rsidR="00752C38">
        <w:t>Supporting Statement B, previously approved in July 2019, with updates approved in June 2020</w:t>
      </w:r>
      <w:r w:rsidR="000B36EC">
        <w:t>,</w:t>
      </w:r>
      <w:r w:rsidR="00F84666">
        <w:t xml:space="preserve"> for more detail on sample selection</w:t>
      </w:r>
      <w:r w:rsidR="00C60735">
        <w:t>.</w:t>
      </w:r>
      <w:r w:rsidR="00752C38">
        <w:t>)</w:t>
      </w:r>
      <w:r w:rsidR="00B67B8A">
        <w:t xml:space="preserve"> </w:t>
      </w:r>
    </w:p>
    <w:p w:rsidRPr="006D7F8F" w:rsidR="00396466" w:rsidP="00C410B3" w:rsidRDefault="00396466" w14:paraId="52DA361D" w14:textId="77777777">
      <w:pPr>
        <w:spacing w:after="60" w:line="240" w:lineRule="auto"/>
        <w:rPr>
          <w:b/>
        </w:rPr>
      </w:pPr>
      <w:r w:rsidRPr="006D7F8F">
        <w:rPr>
          <w:b/>
        </w:rPr>
        <w:t>Sampling Plan for Study of Impacts on Child Outcomes</w:t>
      </w:r>
    </w:p>
    <w:p w:rsidRPr="00AA745D" w:rsidR="00AA745D" w:rsidP="006D7F8F" w:rsidRDefault="00CF0C91" w14:paraId="6B052360" w14:textId="76CD7087">
      <w:pPr>
        <w:pStyle w:val="CommentText"/>
        <w:spacing w:after="240"/>
        <w:rPr>
          <w:sz w:val="22"/>
          <w:szCs w:val="22"/>
        </w:rPr>
      </w:pPr>
      <w:r w:rsidRPr="00AA745D">
        <w:rPr>
          <w:rFonts w:cstheme="minorHAnsi"/>
          <w:sz w:val="22"/>
          <w:szCs w:val="22"/>
        </w:rPr>
        <w:t>Th</w:t>
      </w:r>
      <w:r w:rsidR="00860834">
        <w:rPr>
          <w:rFonts w:cstheme="minorHAnsi"/>
          <w:sz w:val="22"/>
          <w:szCs w:val="22"/>
        </w:rPr>
        <w:t>e HPOG 2.0</w:t>
      </w:r>
      <w:r w:rsidR="00C15BFA">
        <w:rPr>
          <w:rFonts w:cstheme="minorHAnsi"/>
          <w:sz w:val="22"/>
          <w:szCs w:val="22"/>
        </w:rPr>
        <w:t xml:space="preserve"> </w:t>
      </w:r>
      <w:r w:rsidR="00205401">
        <w:rPr>
          <w:rFonts w:cstheme="minorHAnsi"/>
          <w:sz w:val="22"/>
          <w:szCs w:val="22"/>
        </w:rPr>
        <w:t>LTS</w:t>
      </w:r>
      <w:r w:rsidRPr="00AA745D" w:rsidR="00396466">
        <w:rPr>
          <w:rFonts w:cstheme="minorHAnsi"/>
          <w:sz w:val="22"/>
          <w:szCs w:val="22"/>
        </w:rPr>
        <w:t xml:space="preserve"> will </w:t>
      </w:r>
      <w:r w:rsidR="00C15BFA">
        <w:rPr>
          <w:rFonts w:cstheme="minorHAnsi"/>
          <w:sz w:val="22"/>
          <w:szCs w:val="22"/>
        </w:rPr>
        <w:t xml:space="preserve">include a new </w:t>
      </w:r>
      <w:r w:rsidRPr="00AA745D" w:rsidR="00396466">
        <w:rPr>
          <w:rFonts w:cstheme="minorHAnsi"/>
          <w:sz w:val="22"/>
          <w:szCs w:val="22"/>
        </w:rPr>
        <w:t xml:space="preserve">child module to assess program impacts on participants’ children. </w:t>
      </w:r>
      <w:r w:rsidR="00BF3427">
        <w:rPr>
          <w:rFonts w:cstheme="minorHAnsi"/>
          <w:sz w:val="22"/>
          <w:szCs w:val="22"/>
        </w:rPr>
        <w:t xml:space="preserve">The survey will ask each </w:t>
      </w:r>
      <w:r w:rsidR="00165D36">
        <w:rPr>
          <w:sz w:val="22"/>
          <w:szCs w:val="22"/>
        </w:rPr>
        <w:t xml:space="preserve">parent to </w:t>
      </w:r>
      <w:r w:rsidR="00AB7195">
        <w:rPr>
          <w:sz w:val="22"/>
          <w:szCs w:val="22"/>
        </w:rPr>
        <w:t>answer questions about one</w:t>
      </w:r>
      <w:r w:rsidRPr="00AA745D" w:rsidR="00AB7195">
        <w:rPr>
          <w:sz w:val="22"/>
          <w:szCs w:val="22"/>
        </w:rPr>
        <w:t xml:space="preserve"> </w:t>
      </w:r>
      <w:r w:rsidRPr="00AA745D" w:rsidR="00AA745D">
        <w:rPr>
          <w:sz w:val="22"/>
          <w:szCs w:val="22"/>
        </w:rPr>
        <w:t>child</w:t>
      </w:r>
      <w:r w:rsidR="004D66B4">
        <w:rPr>
          <w:sz w:val="22"/>
          <w:szCs w:val="22"/>
        </w:rPr>
        <w:t xml:space="preserve"> (even if there is more than one eligible child in the household)</w:t>
      </w:r>
      <w:r w:rsidR="00AB7195">
        <w:rPr>
          <w:sz w:val="22"/>
          <w:szCs w:val="22"/>
        </w:rPr>
        <w:t xml:space="preserve">. That child should be </w:t>
      </w:r>
      <w:r w:rsidR="00DB2AB8">
        <w:rPr>
          <w:sz w:val="22"/>
          <w:szCs w:val="22"/>
        </w:rPr>
        <w:t xml:space="preserve">someone who was </w:t>
      </w:r>
      <w:r w:rsidR="00AB7195">
        <w:rPr>
          <w:sz w:val="22"/>
          <w:szCs w:val="22"/>
        </w:rPr>
        <w:t>included in the household roster</w:t>
      </w:r>
      <w:r w:rsidRPr="00AA745D" w:rsidR="00AA745D">
        <w:rPr>
          <w:sz w:val="22"/>
          <w:szCs w:val="22"/>
        </w:rPr>
        <w:t xml:space="preserve"> at </w:t>
      </w:r>
      <w:r w:rsidR="00F322F4">
        <w:rPr>
          <w:sz w:val="22"/>
          <w:szCs w:val="22"/>
        </w:rPr>
        <w:t>enrollment and</w:t>
      </w:r>
      <w:r w:rsidR="00DB2AB8">
        <w:rPr>
          <w:sz w:val="22"/>
          <w:szCs w:val="22"/>
        </w:rPr>
        <w:t xml:space="preserve"> will be</w:t>
      </w:r>
      <w:r w:rsidRPr="00AA745D" w:rsidR="00AA745D">
        <w:rPr>
          <w:sz w:val="22"/>
          <w:szCs w:val="22"/>
        </w:rPr>
        <w:t xml:space="preserve"> between </w:t>
      </w:r>
      <w:r w:rsidR="00C15BFA">
        <w:rPr>
          <w:sz w:val="22"/>
          <w:szCs w:val="22"/>
        </w:rPr>
        <w:t>6</w:t>
      </w:r>
      <w:r w:rsidRPr="00AA745D" w:rsidR="00AA745D">
        <w:rPr>
          <w:sz w:val="22"/>
          <w:szCs w:val="22"/>
        </w:rPr>
        <w:t xml:space="preserve"> and </w:t>
      </w:r>
      <w:r w:rsidR="00C15BFA">
        <w:rPr>
          <w:sz w:val="22"/>
          <w:szCs w:val="22"/>
        </w:rPr>
        <w:t>24</w:t>
      </w:r>
      <w:r w:rsidRPr="00AA745D" w:rsidR="00AA745D">
        <w:rPr>
          <w:sz w:val="22"/>
          <w:szCs w:val="22"/>
        </w:rPr>
        <w:t xml:space="preserve"> years </w:t>
      </w:r>
      <w:r w:rsidR="00C15BFA">
        <w:rPr>
          <w:sz w:val="22"/>
          <w:szCs w:val="22"/>
        </w:rPr>
        <w:t xml:space="preserve">of age </w:t>
      </w:r>
      <w:r w:rsidRPr="00AA745D" w:rsidR="00AA745D">
        <w:rPr>
          <w:sz w:val="22"/>
          <w:szCs w:val="22"/>
        </w:rPr>
        <w:t>as of the</w:t>
      </w:r>
      <w:r w:rsidR="005D2421">
        <w:rPr>
          <w:sz w:val="22"/>
          <w:szCs w:val="22"/>
        </w:rPr>
        <w:t xml:space="preserve"> start of the </w:t>
      </w:r>
      <w:r w:rsidR="00205401">
        <w:rPr>
          <w:sz w:val="22"/>
          <w:szCs w:val="22"/>
        </w:rPr>
        <w:t>LTS</w:t>
      </w:r>
      <w:r w:rsidR="005D2421">
        <w:rPr>
          <w:sz w:val="22"/>
          <w:szCs w:val="22"/>
        </w:rPr>
        <w:t xml:space="preserve"> data collection period</w:t>
      </w:r>
      <w:r w:rsidR="00AC7E5C">
        <w:rPr>
          <w:sz w:val="22"/>
          <w:szCs w:val="22"/>
        </w:rPr>
        <w:t>.</w:t>
      </w:r>
      <w:r w:rsidRPr="00AA745D" w:rsidR="00AA745D">
        <w:rPr>
          <w:sz w:val="22"/>
          <w:szCs w:val="22"/>
        </w:rPr>
        <w:t xml:space="preserve"> </w:t>
      </w:r>
      <w:r w:rsidR="0070307F">
        <w:rPr>
          <w:sz w:val="22"/>
          <w:szCs w:val="22"/>
        </w:rPr>
        <w:t>Below</w:t>
      </w:r>
      <w:r w:rsidR="00F05DF5">
        <w:rPr>
          <w:sz w:val="22"/>
          <w:szCs w:val="22"/>
        </w:rPr>
        <w:t>, we discuss how</w:t>
      </w:r>
      <w:r w:rsidRPr="00AA745D" w:rsidR="00AA745D">
        <w:rPr>
          <w:sz w:val="22"/>
          <w:szCs w:val="22"/>
        </w:rPr>
        <w:t xml:space="preserve"> we will select the focal child </w:t>
      </w:r>
      <w:r w:rsidR="00F05DF5">
        <w:rPr>
          <w:sz w:val="22"/>
          <w:szCs w:val="22"/>
        </w:rPr>
        <w:t>w</w:t>
      </w:r>
      <w:r w:rsidRPr="00AA745D" w:rsidR="00F05DF5">
        <w:rPr>
          <w:sz w:val="22"/>
          <w:szCs w:val="22"/>
        </w:rPr>
        <w:t>hen there is more than one such child</w:t>
      </w:r>
      <w:r w:rsidRPr="00D87640" w:rsidR="00AA745D">
        <w:rPr>
          <w:sz w:val="22"/>
          <w:szCs w:val="22"/>
        </w:rPr>
        <w:t>.</w:t>
      </w:r>
    </w:p>
    <w:p w:rsidRPr="00866E39" w:rsidR="00162EE3" w:rsidP="00162EE3" w:rsidRDefault="00D87640" w14:paraId="073B3D3A" w14:textId="19E73149">
      <w:pPr>
        <w:pStyle w:val="Bullets"/>
        <w:numPr>
          <w:ilvl w:val="0"/>
          <w:numId w:val="0"/>
        </w:numPr>
        <w:spacing w:line="240" w:lineRule="auto"/>
        <w:rPr>
          <w:rFonts w:asciiTheme="minorHAnsi" w:hAnsiTheme="minorHAnsi" w:cstheme="minorHAnsi"/>
        </w:rPr>
      </w:pPr>
      <w:r w:rsidRPr="00000027">
        <w:rPr>
          <w:rFonts w:asciiTheme="minorHAnsi" w:hAnsiTheme="minorHAnsi" w:cstheme="minorHAnsi"/>
        </w:rPr>
        <w:t>Using</w:t>
      </w:r>
      <w:r w:rsidRPr="00D87640">
        <w:rPr>
          <w:rFonts w:asciiTheme="minorHAnsi" w:hAnsiTheme="minorHAnsi" w:cstheme="minorHAnsi"/>
        </w:rPr>
        <w:t xml:space="preserve"> </w:t>
      </w:r>
      <w:r w:rsidRPr="00D87640" w:rsidR="00F84666">
        <w:rPr>
          <w:rFonts w:asciiTheme="minorHAnsi" w:hAnsiTheme="minorHAnsi" w:cstheme="minorHAnsi"/>
        </w:rPr>
        <w:t>the dates of birth collected for each child in the household at baseline</w:t>
      </w:r>
      <w:r w:rsidRPr="00D87640" w:rsidR="00AC7E5C">
        <w:rPr>
          <w:rFonts w:asciiTheme="minorHAnsi" w:hAnsiTheme="minorHAnsi" w:cstheme="minorHAnsi"/>
        </w:rPr>
        <w:t>, we will</w:t>
      </w:r>
      <w:r w:rsidRPr="00D87640" w:rsidR="009D7157">
        <w:rPr>
          <w:rFonts w:asciiTheme="minorHAnsi" w:hAnsiTheme="minorHAnsi" w:cstheme="minorHAnsi"/>
        </w:rPr>
        <w:t xml:space="preserve"> </w:t>
      </w:r>
      <w:r w:rsidRPr="00D87640" w:rsidR="00F84666">
        <w:rPr>
          <w:rFonts w:asciiTheme="minorHAnsi" w:hAnsiTheme="minorHAnsi" w:cstheme="minorHAnsi"/>
        </w:rPr>
        <w:t xml:space="preserve">assign </w:t>
      </w:r>
      <w:r w:rsidRPr="00D87640" w:rsidR="00AC7E5C">
        <w:rPr>
          <w:rFonts w:asciiTheme="minorHAnsi" w:hAnsiTheme="minorHAnsi" w:cstheme="minorHAnsi"/>
        </w:rPr>
        <w:t>children</w:t>
      </w:r>
      <w:r w:rsidRPr="00D87640" w:rsidR="00F84666">
        <w:rPr>
          <w:rFonts w:asciiTheme="minorHAnsi" w:hAnsiTheme="minorHAnsi" w:cstheme="minorHAnsi"/>
        </w:rPr>
        <w:t xml:space="preserve"> to one of three age categories </w:t>
      </w:r>
      <w:r w:rsidR="005D2421">
        <w:rPr>
          <w:rFonts w:asciiTheme="minorHAnsi" w:hAnsiTheme="minorHAnsi" w:cstheme="minorHAnsi"/>
        </w:rPr>
        <w:t xml:space="preserve">based on age </w:t>
      </w:r>
      <w:r w:rsidRPr="00D87640" w:rsidR="00F84666">
        <w:rPr>
          <w:rFonts w:asciiTheme="minorHAnsi" w:hAnsiTheme="minorHAnsi" w:cstheme="minorHAnsi"/>
        </w:rPr>
        <w:t xml:space="preserve">at </w:t>
      </w:r>
      <w:r w:rsidR="00B80876">
        <w:rPr>
          <w:rFonts w:asciiTheme="minorHAnsi" w:hAnsiTheme="minorHAnsi" w:cstheme="minorHAnsi"/>
        </w:rPr>
        <w:t xml:space="preserve">the start of the </w:t>
      </w:r>
      <w:r w:rsidR="000517FF">
        <w:rPr>
          <w:rFonts w:asciiTheme="minorHAnsi" w:hAnsiTheme="minorHAnsi" w:cstheme="minorHAnsi"/>
        </w:rPr>
        <w:t xml:space="preserve">LTS </w:t>
      </w:r>
      <w:r w:rsidR="00B80876">
        <w:rPr>
          <w:rFonts w:asciiTheme="minorHAnsi" w:hAnsiTheme="minorHAnsi" w:cstheme="minorHAnsi"/>
        </w:rPr>
        <w:t>data collection period</w:t>
      </w:r>
      <w:r w:rsidR="001C1DF0">
        <w:rPr>
          <w:rFonts w:asciiTheme="minorHAnsi" w:hAnsiTheme="minorHAnsi" w:cstheme="minorHAnsi"/>
        </w:rPr>
        <w:t xml:space="preserve">: (1) </w:t>
      </w:r>
      <w:r w:rsidR="00F84666">
        <w:rPr>
          <w:rFonts w:asciiTheme="minorHAnsi" w:hAnsiTheme="minorHAnsi" w:cstheme="minorHAnsi"/>
        </w:rPr>
        <w:t>c</w:t>
      </w:r>
      <w:r w:rsidRPr="003C02EB" w:rsidR="00F84666">
        <w:rPr>
          <w:rFonts w:asciiTheme="minorHAnsi" w:hAnsiTheme="minorHAnsi" w:cstheme="minorHAnsi"/>
        </w:rPr>
        <w:t xml:space="preserve">hildren in kindergarten through grade 5; </w:t>
      </w:r>
      <w:r w:rsidR="001C1DF0">
        <w:rPr>
          <w:rFonts w:asciiTheme="minorHAnsi" w:hAnsiTheme="minorHAnsi" w:cstheme="minorHAnsi"/>
        </w:rPr>
        <w:t xml:space="preserve">(2) </w:t>
      </w:r>
      <w:r w:rsidRPr="003C02EB" w:rsidR="00F84666">
        <w:rPr>
          <w:rFonts w:asciiTheme="minorHAnsi" w:hAnsiTheme="minorHAnsi" w:cstheme="minorHAnsi"/>
        </w:rPr>
        <w:t>children in grades 6 through 12</w:t>
      </w:r>
      <w:r w:rsidR="002C1B04">
        <w:rPr>
          <w:rFonts w:asciiTheme="minorHAnsi" w:hAnsiTheme="minorHAnsi" w:cstheme="minorHAnsi"/>
        </w:rPr>
        <w:t>;</w:t>
      </w:r>
      <w:r w:rsidRPr="003C02EB" w:rsidR="00F84666">
        <w:rPr>
          <w:rFonts w:asciiTheme="minorHAnsi" w:hAnsiTheme="minorHAnsi" w:cstheme="minorHAnsi"/>
        </w:rPr>
        <w:t xml:space="preserve"> and </w:t>
      </w:r>
      <w:r w:rsidR="001C1DF0">
        <w:rPr>
          <w:rFonts w:asciiTheme="minorHAnsi" w:hAnsiTheme="minorHAnsi" w:cstheme="minorHAnsi"/>
        </w:rPr>
        <w:t xml:space="preserve">(3) </w:t>
      </w:r>
      <w:r w:rsidRPr="003C02EB" w:rsidR="00F84666">
        <w:rPr>
          <w:rFonts w:asciiTheme="minorHAnsi" w:hAnsiTheme="minorHAnsi" w:cstheme="minorHAnsi"/>
        </w:rPr>
        <w:t xml:space="preserve">children </w:t>
      </w:r>
      <w:r w:rsidR="006E5CA4">
        <w:rPr>
          <w:rFonts w:asciiTheme="minorHAnsi" w:hAnsiTheme="minorHAnsi" w:cstheme="minorHAnsi"/>
        </w:rPr>
        <w:t>who</w:t>
      </w:r>
      <w:r w:rsidRPr="003C02EB" w:rsidR="006E5CA4">
        <w:rPr>
          <w:rFonts w:asciiTheme="minorHAnsi" w:hAnsiTheme="minorHAnsi" w:cstheme="minorHAnsi"/>
        </w:rPr>
        <w:t xml:space="preserve"> </w:t>
      </w:r>
      <w:r w:rsidRPr="003C02EB" w:rsidR="00F84666">
        <w:rPr>
          <w:rFonts w:asciiTheme="minorHAnsi" w:hAnsiTheme="minorHAnsi" w:cstheme="minorHAnsi"/>
        </w:rPr>
        <w:t xml:space="preserve">have aged into </w:t>
      </w:r>
      <w:r w:rsidR="008B006C">
        <w:rPr>
          <w:rFonts w:asciiTheme="minorHAnsi" w:hAnsiTheme="minorHAnsi" w:cstheme="minorHAnsi"/>
        </w:rPr>
        <w:t xml:space="preserve">young </w:t>
      </w:r>
      <w:r w:rsidRPr="003C02EB" w:rsidR="00F84666">
        <w:rPr>
          <w:rFonts w:asciiTheme="minorHAnsi" w:hAnsiTheme="minorHAnsi" w:cstheme="minorHAnsi"/>
        </w:rPr>
        <w:t>adulthood (18-24 years of age)</w:t>
      </w:r>
      <w:r w:rsidR="00F84666">
        <w:rPr>
          <w:rFonts w:asciiTheme="minorHAnsi" w:hAnsiTheme="minorHAnsi" w:cstheme="minorHAnsi"/>
        </w:rPr>
        <w:t xml:space="preserve">. </w:t>
      </w:r>
      <w:r w:rsidR="00530787">
        <w:rPr>
          <w:rFonts w:asciiTheme="minorHAnsi" w:hAnsiTheme="minorHAnsi" w:cstheme="minorHAnsi"/>
        </w:rPr>
        <w:t xml:space="preserve">Based on </w:t>
      </w:r>
      <w:r w:rsidR="00777F23">
        <w:rPr>
          <w:rFonts w:asciiTheme="minorHAnsi" w:hAnsiTheme="minorHAnsi" w:cstheme="minorHAnsi"/>
        </w:rPr>
        <w:t xml:space="preserve">baseline household rosters, Exhibit B-1 shows </w:t>
      </w:r>
      <w:r w:rsidRPr="00866E39" w:rsidR="00162EE3">
        <w:rPr>
          <w:rFonts w:asciiTheme="minorHAnsi" w:hAnsiTheme="minorHAnsi" w:cstheme="minorHAnsi"/>
        </w:rPr>
        <w:t xml:space="preserve">counts of children by age </w:t>
      </w:r>
      <w:r w:rsidR="00BE01B4">
        <w:rPr>
          <w:rFonts w:asciiTheme="minorHAnsi" w:hAnsiTheme="minorHAnsi" w:cstheme="minorHAnsi"/>
        </w:rPr>
        <w:t>group in the LTS sample</w:t>
      </w:r>
      <w:r w:rsidRPr="00866E39" w:rsidR="00162EE3">
        <w:rPr>
          <w:rFonts w:asciiTheme="minorHAnsi" w:hAnsiTheme="minorHAnsi" w:cstheme="minorHAnsi"/>
        </w:rPr>
        <w:t>.</w:t>
      </w:r>
    </w:p>
    <w:p w:rsidRPr="00A94ECC" w:rsidR="00162EE3" w:rsidP="00162EE3" w:rsidRDefault="00162EE3" w14:paraId="06A89531" w14:textId="148443B6">
      <w:pPr>
        <w:pStyle w:val="Bullets"/>
        <w:numPr>
          <w:ilvl w:val="0"/>
          <w:numId w:val="0"/>
        </w:numPr>
        <w:spacing w:line="240" w:lineRule="auto"/>
        <w:rPr>
          <w:rFonts w:asciiTheme="minorHAnsi" w:hAnsiTheme="minorHAnsi" w:cstheme="minorHAnsi"/>
          <w:b/>
          <w:bCs/>
        </w:rPr>
      </w:pPr>
      <w:r w:rsidRPr="00A94ECC">
        <w:rPr>
          <w:rFonts w:asciiTheme="minorHAnsi" w:hAnsiTheme="minorHAnsi" w:cstheme="minorHAnsi"/>
          <w:b/>
          <w:bCs/>
        </w:rPr>
        <w:t>Exhibit B</w:t>
      </w:r>
      <w:r w:rsidR="009618FD">
        <w:rPr>
          <w:rFonts w:asciiTheme="minorHAnsi" w:hAnsiTheme="minorHAnsi" w:cstheme="minorHAnsi"/>
          <w:b/>
          <w:bCs/>
        </w:rPr>
        <w:t>-</w:t>
      </w:r>
      <w:r w:rsidRPr="00A94ECC">
        <w:rPr>
          <w:rFonts w:asciiTheme="minorHAnsi" w:hAnsiTheme="minorHAnsi" w:cstheme="minorHAnsi"/>
          <w:b/>
          <w:bCs/>
        </w:rPr>
        <w:t>1</w:t>
      </w:r>
      <w:r w:rsidRPr="00A94ECC">
        <w:rPr>
          <w:rFonts w:asciiTheme="minorHAnsi" w:hAnsiTheme="minorHAnsi" w:cstheme="minorHAnsi"/>
          <w:b/>
          <w:bCs/>
        </w:rPr>
        <w:tab/>
        <w:t>Child Sample Size by Age Group</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Pr="00BE01B4" w:rsidR="00162EE3" w:rsidTr="00B5650E" w14:paraId="694B2AAB" w14:textId="77777777">
        <w:tc>
          <w:tcPr>
            <w:tcW w:w="1870" w:type="dxa"/>
          </w:tcPr>
          <w:p w:rsidRPr="00BE01B4" w:rsidR="00162EE3" w:rsidP="0056206A" w:rsidRDefault="00162EE3" w14:paraId="0C703858" w14:textId="77777777">
            <w:pPr>
              <w:pStyle w:val="Bullets"/>
              <w:numPr>
                <w:ilvl w:val="0"/>
                <w:numId w:val="0"/>
              </w:numPr>
              <w:spacing w:after="0" w:line="240" w:lineRule="auto"/>
              <w:rPr>
                <w:rFonts w:asciiTheme="minorHAnsi" w:hAnsiTheme="minorHAnsi" w:cstheme="minorHAnsi"/>
              </w:rPr>
            </w:pPr>
          </w:p>
        </w:tc>
        <w:tc>
          <w:tcPr>
            <w:tcW w:w="1870" w:type="dxa"/>
          </w:tcPr>
          <w:p w:rsidRPr="00BE01B4" w:rsidR="00162EE3" w:rsidP="0056206A" w:rsidRDefault="00162EE3" w14:paraId="482E3CA5" w14:textId="46A9636A">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 xml:space="preserve">Age </w:t>
            </w:r>
            <w:r w:rsidRPr="00BE01B4" w:rsidR="00BE01B4">
              <w:rPr>
                <w:rFonts w:asciiTheme="minorHAnsi" w:hAnsiTheme="minorHAnsi" w:cstheme="minorHAnsi"/>
              </w:rPr>
              <w:t>group</w:t>
            </w:r>
            <w:r w:rsidRPr="00BE01B4">
              <w:rPr>
                <w:rFonts w:asciiTheme="minorHAnsi" w:hAnsiTheme="minorHAnsi" w:cstheme="minorHAnsi"/>
              </w:rPr>
              <w:t xml:space="preserve"> 1</w:t>
            </w:r>
            <w:r w:rsidRPr="00BE01B4" w:rsidR="00BE01B4">
              <w:rPr>
                <w:rFonts w:asciiTheme="minorHAnsi" w:hAnsiTheme="minorHAnsi" w:cstheme="minorHAnsi"/>
              </w:rPr>
              <w:t xml:space="preserve">: </w:t>
            </w:r>
            <w:r w:rsidRPr="00BE01B4">
              <w:rPr>
                <w:rFonts w:asciiTheme="minorHAnsi" w:hAnsiTheme="minorHAnsi" w:cstheme="minorHAnsi"/>
              </w:rPr>
              <w:t>Kindergarten through Grade 5</w:t>
            </w:r>
          </w:p>
        </w:tc>
        <w:tc>
          <w:tcPr>
            <w:tcW w:w="1870" w:type="dxa"/>
          </w:tcPr>
          <w:p w:rsidRPr="00BE01B4" w:rsidR="00162EE3" w:rsidP="0056206A" w:rsidRDefault="00162EE3" w14:paraId="30D95405" w14:textId="5211D08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 xml:space="preserve">Age </w:t>
            </w:r>
            <w:r w:rsidRPr="00BE01B4" w:rsidR="00BE01B4">
              <w:rPr>
                <w:rFonts w:asciiTheme="minorHAnsi" w:hAnsiTheme="minorHAnsi" w:cstheme="minorHAnsi"/>
              </w:rPr>
              <w:t>group</w:t>
            </w:r>
            <w:r w:rsidRPr="00BE01B4">
              <w:rPr>
                <w:rFonts w:asciiTheme="minorHAnsi" w:hAnsiTheme="minorHAnsi" w:cstheme="minorHAnsi"/>
              </w:rPr>
              <w:t xml:space="preserve"> 2: Grades 6 through 12</w:t>
            </w:r>
          </w:p>
        </w:tc>
        <w:tc>
          <w:tcPr>
            <w:tcW w:w="1870" w:type="dxa"/>
          </w:tcPr>
          <w:p w:rsidRPr="00BE01B4" w:rsidR="00162EE3" w:rsidP="0056206A" w:rsidRDefault="00162EE3" w14:paraId="1C7901A2" w14:textId="07E89019">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 xml:space="preserve">Age </w:t>
            </w:r>
            <w:r w:rsidRPr="00BE01B4" w:rsidR="00BE01B4">
              <w:rPr>
                <w:rFonts w:asciiTheme="minorHAnsi" w:hAnsiTheme="minorHAnsi" w:cstheme="minorHAnsi"/>
              </w:rPr>
              <w:t>group</w:t>
            </w:r>
            <w:r w:rsidRPr="00BE01B4">
              <w:rPr>
                <w:rFonts w:asciiTheme="minorHAnsi" w:hAnsiTheme="minorHAnsi" w:cstheme="minorHAnsi"/>
              </w:rPr>
              <w:t xml:space="preserve"> 3: Aged into Adulthood (18-24 years of age)</w:t>
            </w:r>
          </w:p>
        </w:tc>
        <w:tc>
          <w:tcPr>
            <w:tcW w:w="1870" w:type="dxa"/>
          </w:tcPr>
          <w:p w:rsidRPr="00BE01B4" w:rsidR="00162EE3" w:rsidP="0056206A" w:rsidRDefault="00162EE3" w14:paraId="69407812" w14:textId="7777777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Total</w:t>
            </w:r>
          </w:p>
        </w:tc>
      </w:tr>
      <w:tr w:rsidRPr="00BE01B4" w:rsidR="00162EE3" w:rsidTr="00B5650E" w14:paraId="16EC72B2" w14:textId="77777777">
        <w:tc>
          <w:tcPr>
            <w:tcW w:w="1870" w:type="dxa"/>
          </w:tcPr>
          <w:p w:rsidRPr="00BE01B4" w:rsidR="00162EE3" w:rsidP="0056206A" w:rsidRDefault="00162EE3" w14:paraId="03B0E40D" w14:textId="7777777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N</w:t>
            </w:r>
          </w:p>
        </w:tc>
        <w:tc>
          <w:tcPr>
            <w:tcW w:w="1870" w:type="dxa"/>
          </w:tcPr>
          <w:p w:rsidRPr="00BE01B4" w:rsidR="00162EE3" w:rsidP="0056206A" w:rsidRDefault="00162EE3" w14:paraId="342978DA"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2,550</w:t>
            </w:r>
          </w:p>
        </w:tc>
        <w:tc>
          <w:tcPr>
            <w:tcW w:w="1870" w:type="dxa"/>
          </w:tcPr>
          <w:p w:rsidRPr="00BE01B4" w:rsidR="00162EE3" w:rsidP="0056206A" w:rsidRDefault="00162EE3" w14:paraId="360E0A87"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2,115</w:t>
            </w:r>
          </w:p>
        </w:tc>
        <w:tc>
          <w:tcPr>
            <w:tcW w:w="1870" w:type="dxa"/>
          </w:tcPr>
          <w:p w:rsidRPr="00BE01B4" w:rsidR="00162EE3" w:rsidP="0056206A" w:rsidRDefault="00162EE3" w14:paraId="53B6B3E2"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1,033</w:t>
            </w:r>
          </w:p>
        </w:tc>
        <w:tc>
          <w:tcPr>
            <w:tcW w:w="1870" w:type="dxa"/>
          </w:tcPr>
          <w:p w:rsidRPr="00BE01B4" w:rsidR="00162EE3" w:rsidP="0056206A" w:rsidRDefault="00162EE3" w14:paraId="231FD2F3"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fldChar w:fldCharType="begin"/>
            </w:r>
            <w:r w:rsidRPr="00BE01B4">
              <w:rPr>
                <w:rFonts w:asciiTheme="minorHAnsi" w:hAnsiTheme="minorHAnsi" w:cstheme="minorHAnsi"/>
              </w:rPr>
              <w:instrText xml:space="preserve"> =SUM(LEFT) </w:instrText>
            </w:r>
            <w:r w:rsidRPr="00BE01B4">
              <w:rPr>
                <w:rFonts w:asciiTheme="minorHAnsi" w:hAnsiTheme="minorHAnsi" w:cstheme="minorHAnsi"/>
              </w:rPr>
              <w:fldChar w:fldCharType="separate"/>
            </w:r>
            <w:r w:rsidRPr="00BE01B4">
              <w:rPr>
                <w:rFonts w:asciiTheme="minorHAnsi" w:hAnsiTheme="minorHAnsi" w:cstheme="minorHAnsi"/>
                <w:noProof/>
              </w:rPr>
              <w:t>5,698</w:t>
            </w:r>
            <w:r w:rsidRPr="00BE01B4">
              <w:rPr>
                <w:rFonts w:asciiTheme="minorHAnsi" w:hAnsiTheme="minorHAnsi" w:cstheme="minorHAnsi"/>
              </w:rPr>
              <w:fldChar w:fldCharType="end"/>
            </w:r>
          </w:p>
        </w:tc>
      </w:tr>
      <w:tr w:rsidRPr="00BE01B4" w:rsidR="00162EE3" w:rsidTr="00B5650E" w14:paraId="3EE0444C" w14:textId="77777777">
        <w:tc>
          <w:tcPr>
            <w:tcW w:w="1870" w:type="dxa"/>
          </w:tcPr>
          <w:p w:rsidRPr="00BE01B4" w:rsidR="00162EE3" w:rsidP="0056206A" w:rsidRDefault="00162EE3" w14:paraId="07F8D5E8" w14:textId="7777777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Expected (n)</w:t>
            </w:r>
          </w:p>
        </w:tc>
        <w:tc>
          <w:tcPr>
            <w:tcW w:w="1870" w:type="dxa"/>
          </w:tcPr>
          <w:p w:rsidRPr="00BE01B4" w:rsidR="00162EE3" w:rsidP="0056206A" w:rsidRDefault="00162EE3" w14:paraId="7032E471"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1,398</w:t>
            </w:r>
          </w:p>
        </w:tc>
        <w:tc>
          <w:tcPr>
            <w:tcW w:w="1870" w:type="dxa"/>
          </w:tcPr>
          <w:p w:rsidRPr="00BE01B4" w:rsidR="00162EE3" w:rsidP="0056206A" w:rsidRDefault="00162EE3" w14:paraId="6B72C7F9"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929</w:t>
            </w:r>
          </w:p>
        </w:tc>
        <w:tc>
          <w:tcPr>
            <w:tcW w:w="1870" w:type="dxa"/>
          </w:tcPr>
          <w:p w:rsidRPr="00BE01B4" w:rsidR="00162EE3" w:rsidP="0056206A" w:rsidRDefault="00162EE3" w14:paraId="2D6E7E4A"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705</w:t>
            </w:r>
          </w:p>
        </w:tc>
        <w:tc>
          <w:tcPr>
            <w:tcW w:w="1870" w:type="dxa"/>
          </w:tcPr>
          <w:p w:rsidRPr="00BE01B4" w:rsidR="00162EE3" w:rsidP="0056206A" w:rsidRDefault="00162EE3" w14:paraId="02EFA6D7"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fldChar w:fldCharType="begin"/>
            </w:r>
            <w:r w:rsidRPr="00BE01B4">
              <w:rPr>
                <w:rFonts w:asciiTheme="minorHAnsi" w:hAnsiTheme="minorHAnsi" w:cstheme="minorHAnsi"/>
              </w:rPr>
              <w:instrText xml:space="preserve"> =SUM(ABOVE) </w:instrText>
            </w:r>
            <w:r w:rsidRPr="00BE01B4">
              <w:rPr>
                <w:rFonts w:asciiTheme="minorHAnsi" w:hAnsiTheme="minorHAnsi" w:cstheme="minorHAnsi"/>
              </w:rPr>
              <w:fldChar w:fldCharType="separate"/>
            </w:r>
            <w:r w:rsidRPr="00BE01B4">
              <w:rPr>
                <w:rFonts w:asciiTheme="minorHAnsi" w:hAnsiTheme="minorHAnsi" w:cstheme="minorHAnsi"/>
                <w:noProof/>
              </w:rPr>
              <w:t>5,698</w:t>
            </w:r>
            <w:r w:rsidRPr="00BE01B4">
              <w:rPr>
                <w:rFonts w:asciiTheme="minorHAnsi" w:hAnsiTheme="minorHAnsi" w:cstheme="minorHAnsi"/>
              </w:rPr>
              <w:fldChar w:fldCharType="end"/>
            </w:r>
          </w:p>
        </w:tc>
      </w:tr>
      <w:tr w:rsidRPr="00BE01B4" w:rsidR="00162EE3" w:rsidTr="00B5650E" w14:paraId="5864542A" w14:textId="77777777">
        <w:tc>
          <w:tcPr>
            <w:tcW w:w="1870" w:type="dxa"/>
          </w:tcPr>
          <w:p w:rsidRPr="00BE01B4" w:rsidR="00162EE3" w:rsidP="0056206A" w:rsidRDefault="00162EE3" w14:paraId="3CA8E84F" w14:textId="7777777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Design Effect</w:t>
            </w:r>
          </w:p>
        </w:tc>
        <w:tc>
          <w:tcPr>
            <w:tcW w:w="1870" w:type="dxa"/>
          </w:tcPr>
          <w:p w:rsidRPr="00BE01B4" w:rsidR="00162EE3" w:rsidP="0056206A" w:rsidRDefault="00162EE3" w14:paraId="36E5013B"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1.43</w:t>
            </w:r>
          </w:p>
        </w:tc>
        <w:tc>
          <w:tcPr>
            <w:tcW w:w="1870" w:type="dxa"/>
          </w:tcPr>
          <w:p w:rsidRPr="00BE01B4" w:rsidR="00162EE3" w:rsidP="0056206A" w:rsidRDefault="00162EE3" w14:paraId="0A6D08CE"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1.32</w:t>
            </w:r>
          </w:p>
        </w:tc>
        <w:tc>
          <w:tcPr>
            <w:tcW w:w="1870" w:type="dxa"/>
          </w:tcPr>
          <w:p w:rsidRPr="00BE01B4" w:rsidR="00162EE3" w:rsidP="0056206A" w:rsidRDefault="00162EE3" w14:paraId="13F78E8C"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1.34</w:t>
            </w:r>
          </w:p>
        </w:tc>
        <w:tc>
          <w:tcPr>
            <w:tcW w:w="1870" w:type="dxa"/>
          </w:tcPr>
          <w:p w:rsidRPr="00BE01B4" w:rsidR="00162EE3" w:rsidP="0056206A" w:rsidRDefault="00162EE3" w14:paraId="1B243DD2" w14:textId="77777777">
            <w:pPr>
              <w:pStyle w:val="Bullets"/>
              <w:numPr>
                <w:ilvl w:val="0"/>
                <w:numId w:val="0"/>
              </w:numPr>
              <w:spacing w:after="0" w:line="240" w:lineRule="auto"/>
              <w:ind w:right="487"/>
              <w:jc w:val="right"/>
              <w:rPr>
                <w:rFonts w:asciiTheme="minorHAnsi" w:hAnsiTheme="minorHAnsi" w:cstheme="minorHAnsi"/>
              </w:rPr>
            </w:pPr>
          </w:p>
        </w:tc>
      </w:tr>
      <w:tr w:rsidRPr="00BE01B4" w:rsidR="00162EE3" w:rsidTr="00B5650E" w14:paraId="33AC8E27" w14:textId="77777777">
        <w:tc>
          <w:tcPr>
            <w:tcW w:w="1870" w:type="dxa"/>
          </w:tcPr>
          <w:p w:rsidRPr="00BE01B4" w:rsidR="00162EE3" w:rsidP="0056206A" w:rsidRDefault="00162EE3" w14:paraId="1BFDB5E9" w14:textId="77777777">
            <w:pPr>
              <w:pStyle w:val="Bullets"/>
              <w:numPr>
                <w:ilvl w:val="0"/>
                <w:numId w:val="0"/>
              </w:numPr>
              <w:spacing w:after="0" w:line="240" w:lineRule="auto"/>
              <w:rPr>
                <w:rFonts w:asciiTheme="minorHAnsi" w:hAnsiTheme="minorHAnsi" w:cstheme="minorHAnsi"/>
              </w:rPr>
            </w:pPr>
            <w:r w:rsidRPr="00BE01B4">
              <w:rPr>
                <w:rFonts w:asciiTheme="minorHAnsi" w:hAnsiTheme="minorHAnsi" w:cstheme="minorHAnsi"/>
              </w:rPr>
              <w:t>Effective (n)</w:t>
            </w:r>
          </w:p>
        </w:tc>
        <w:tc>
          <w:tcPr>
            <w:tcW w:w="1870" w:type="dxa"/>
          </w:tcPr>
          <w:p w:rsidRPr="00BE01B4" w:rsidR="00162EE3" w:rsidP="0056206A" w:rsidRDefault="00162EE3" w14:paraId="6F387FA3"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975</w:t>
            </w:r>
          </w:p>
        </w:tc>
        <w:tc>
          <w:tcPr>
            <w:tcW w:w="1870" w:type="dxa"/>
          </w:tcPr>
          <w:p w:rsidRPr="00BE01B4" w:rsidR="00162EE3" w:rsidP="0056206A" w:rsidRDefault="00162EE3" w14:paraId="658581CE"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705</w:t>
            </w:r>
          </w:p>
        </w:tc>
        <w:tc>
          <w:tcPr>
            <w:tcW w:w="1870" w:type="dxa"/>
          </w:tcPr>
          <w:p w:rsidRPr="00BE01B4" w:rsidR="00162EE3" w:rsidP="0056206A" w:rsidRDefault="00162EE3" w14:paraId="4DD1A3C3"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t>449</w:t>
            </w:r>
          </w:p>
        </w:tc>
        <w:tc>
          <w:tcPr>
            <w:tcW w:w="1870" w:type="dxa"/>
          </w:tcPr>
          <w:p w:rsidRPr="00BE01B4" w:rsidR="00162EE3" w:rsidP="0056206A" w:rsidRDefault="00162EE3" w14:paraId="7E844734" w14:textId="77777777">
            <w:pPr>
              <w:pStyle w:val="Bullets"/>
              <w:numPr>
                <w:ilvl w:val="0"/>
                <w:numId w:val="0"/>
              </w:numPr>
              <w:spacing w:after="0" w:line="240" w:lineRule="auto"/>
              <w:ind w:right="487"/>
              <w:jc w:val="right"/>
              <w:rPr>
                <w:rFonts w:asciiTheme="minorHAnsi" w:hAnsiTheme="minorHAnsi" w:cstheme="minorHAnsi"/>
              </w:rPr>
            </w:pPr>
            <w:r w:rsidRPr="00BE01B4">
              <w:rPr>
                <w:rFonts w:asciiTheme="minorHAnsi" w:hAnsiTheme="minorHAnsi" w:cstheme="minorHAnsi"/>
              </w:rPr>
              <w:fldChar w:fldCharType="begin"/>
            </w:r>
            <w:r w:rsidRPr="00BE01B4">
              <w:rPr>
                <w:rFonts w:asciiTheme="minorHAnsi" w:hAnsiTheme="minorHAnsi" w:cstheme="minorHAnsi"/>
              </w:rPr>
              <w:instrText xml:space="preserve"> =SUM(LEFT) </w:instrText>
            </w:r>
            <w:r w:rsidRPr="00BE01B4">
              <w:rPr>
                <w:rFonts w:asciiTheme="minorHAnsi" w:hAnsiTheme="minorHAnsi" w:cstheme="minorHAnsi"/>
              </w:rPr>
              <w:fldChar w:fldCharType="separate"/>
            </w:r>
            <w:r w:rsidRPr="00BE01B4">
              <w:rPr>
                <w:rFonts w:asciiTheme="minorHAnsi" w:hAnsiTheme="minorHAnsi" w:cstheme="minorHAnsi"/>
                <w:noProof/>
              </w:rPr>
              <w:t>2,129</w:t>
            </w:r>
            <w:r w:rsidRPr="00BE01B4">
              <w:rPr>
                <w:rFonts w:asciiTheme="minorHAnsi" w:hAnsiTheme="minorHAnsi" w:cstheme="minorHAnsi"/>
              </w:rPr>
              <w:fldChar w:fldCharType="end"/>
            </w:r>
          </w:p>
        </w:tc>
      </w:tr>
    </w:tbl>
    <w:p w:rsidR="00162EE3" w:rsidP="006D7F8F" w:rsidRDefault="00162EE3" w14:paraId="7DD6362C" w14:textId="77777777">
      <w:pPr>
        <w:pStyle w:val="Bullets"/>
        <w:numPr>
          <w:ilvl w:val="0"/>
          <w:numId w:val="0"/>
        </w:numPr>
        <w:spacing w:after="0" w:line="240" w:lineRule="auto"/>
        <w:rPr>
          <w:rFonts w:asciiTheme="minorHAnsi" w:hAnsiTheme="minorHAnsi" w:cstheme="minorHAnsi"/>
          <w:color w:val="FF0000"/>
        </w:rPr>
      </w:pPr>
    </w:p>
    <w:p w:rsidRPr="00D337E1" w:rsidR="00AC7E5C" w:rsidP="00162EE3" w:rsidRDefault="00B43073" w14:paraId="02C98270" w14:textId="310C50C4">
      <w:pPr>
        <w:pStyle w:val="Bullets"/>
        <w:numPr>
          <w:ilvl w:val="0"/>
          <w:numId w:val="0"/>
        </w:numPr>
        <w:spacing w:line="240" w:lineRule="auto"/>
        <w:rPr>
          <w:rFonts w:asciiTheme="minorHAnsi" w:hAnsiTheme="minorHAnsi" w:cstheme="minorHAnsi"/>
          <w:szCs w:val="22"/>
        </w:rPr>
      </w:pPr>
      <w:r w:rsidRPr="00BE01B4">
        <w:rPr>
          <w:rFonts w:asciiTheme="minorHAnsi" w:hAnsiTheme="minorHAnsi" w:cstheme="minorHAnsi"/>
          <w:color w:val="242424"/>
          <w:szCs w:val="22"/>
          <w:shd w:val="clear" w:color="auto" w:fill="FFFFFF"/>
        </w:rPr>
        <w:t xml:space="preserve">The row labelled “N” </w:t>
      </w:r>
      <w:r w:rsidR="00BE01B4">
        <w:rPr>
          <w:rFonts w:asciiTheme="minorHAnsi" w:hAnsiTheme="minorHAnsi" w:cstheme="minorHAnsi"/>
          <w:color w:val="242424"/>
          <w:szCs w:val="22"/>
          <w:shd w:val="clear" w:color="auto" w:fill="FFFFFF"/>
        </w:rPr>
        <w:t>provides</w:t>
      </w:r>
      <w:r w:rsidRPr="00BE01B4">
        <w:rPr>
          <w:rFonts w:asciiTheme="minorHAnsi" w:hAnsiTheme="minorHAnsi" w:cstheme="minorHAnsi"/>
          <w:color w:val="242424"/>
          <w:szCs w:val="22"/>
          <w:shd w:val="clear" w:color="auto" w:fill="FFFFFF"/>
        </w:rPr>
        <w:t xml:space="preserve"> the total number of children reported by study members. The row labelled “Expected (n)” </w:t>
      </w:r>
      <w:r w:rsidR="00BE01B4">
        <w:rPr>
          <w:rFonts w:asciiTheme="minorHAnsi" w:hAnsiTheme="minorHAnsi" w:cstheme="minorHAnsi"/>
          <w:color w:val="242424"/>
          <w:szCs w:val="22"/>
          <w:shd w:val="clear" w:color="auto" w:fill="FFFFFF"/>
        </w:rPr>
        <w:t>provides</w:t>
      </w:r>
      <w:r w:rsidRPr="00BE01B4">
        <w:rPr>
          <w:rFonts w:asciiTheme="minorHAnsi" w:hAnsiTheme="minorHAnsi" w:cstheme="minorHAnsi"/>
          <w:color w:val="242424"/>
          <w:szCs w:val="22"/>
          <w:shd w:val="clear" w:color="auto" w:fill="FFFFFF"/>
        </w:rPr>
        <w:t xml:space="preserve"> the number that we project will be selected by the procedure described immediately below. The third row shows the design effect we expect to incur due </w:t>
      </w:r>
      <w:r w:rsidR="00045930">
        <w:rPr>
          <w:rFonts w:asciiTheme="minorHAnsi" w:hAnsiTheme="minorHAnsi" w:cstheme="minorHAnsi"/>
          <w:color w:val="242424"/>
          <w:szCs w:val="22"/>
          <w:shd w:val="clear" w:color="auto" w:fill="FFFFFF"/>
        </w:rPr>
        <w:t xml:space="preserve">to </w:t>
      </w:r>
      <w:r w:rsidRPr="00BE01B4">
        <w:rPr>
          <w:rFonts w:asciiTheme="minorHAnsi" w:hAnsiTheme="minorHAnsi" w:cstheme="minorHAnsi"/>
          <w:color w:val="242424"/>
          <w:szCs w:val="22"/>
          <w:shd w:val="clear" w:color="auto" w:fill="FFFFFF"/>
        </w:rPr>
        <w:t xml:space="preserve">the variation in weights. (For a given sample size, the design effect is a measure of the loss of precision due to not using simple random sampling.) Finally, the row labelled “Effective (n)” </w:t>
      </w:r>
      <w:r w:rsidR="00BE01B4">
        <w:rPr>
          <w:rFonts w:asciiTheme="minorHAnsi" w:hAnsiTheme="minorHAnsi" w:cstheme="minorHAnsi"/>
          <w:color w:val="242424"/>
          <w:szCs w:val="22"/>
          <w:shd w:val="clear" w:color="auto" w:fill="FFFFFF"/>
        </w:rPr>
        <w:t>provides</w:t>
      </w:r>
      <w:r w:rsidRPr="00BE01B4">
        <w:rPr>
          <w:rFonts w:asciiTheme="minorHAnsi" w:hAnsiTheme="minorHAnsi" w:cstheme="minorHAnsi"/>
          <w:color w:val="242424"/>
          <w:szCs w:val="22"/>
          <w:shd w:val="clear" w:color="auto" w:fill="FFFFFF"/>
        </w:rPr>
        <w:t xml:space="preserve"> the sample size </w:t>
      </w:r>
      <w:r w:rsidR="00BE01B4">
        <w:rPr>
          <w:rFonts w:asciiTheme="minorHAnsi" w:hAnsiTheme="minorHAnsi" w:cstheme="minorHAnsi"/>
          <w:color w:val="242424"/>
          <w:szCs w:val="22"/>
          <w:shd w:val="clear" w:color="auto" w:fill="FFFFFF"/>
        </w:rPr>
        <w:t xml:space="preserve">that would </w:t>
      </w:r>
      <w:r w:rsidRPr="00BE01B4">
        <w:rPr>
          <w:rFonts w:asciiTheme="minorHAnsi" w:hAnsiTheme="minorHAnsi" w:cstheme="minorHAnsi"/>
          <w:color w:val="242424"/>
          <w:szCs w:val="22"/>
          <w:shd w:val="clear" w:color="auto" w:fill="FFFFFF"/>
        </w:rPr>
        <w:t>yield the same precision if the study had used simple random sampling</w:t>
      </w:r>
      <w:r w:rsidRPr="00BE01B4" w:rsidR="00162EE3">
        <w:rPr>
          <w:rFonts w:asciiTheme="minorHAnsi" w:hAnsiTheme="minorHAnsi" w:cstheme="minorHAnsi"/>
          <w:color w:val="242424"/>
          <w:szCs w:val="22"/>
          <w:shd w:val="clear" w:color="auto" w:fill="FFFFFF"/>
        </w:rPr>
        <w:t>.</w:t>
      </w:r>
      <w:r w:rsidRPr="00D337E1" w:rsidR="001B14BC">
        <w:rPr>
          <w:rFonts w:asciiTheme="minorHAnsi" w:hAnsiTheme="minorHAnsi" w:cstheme="minorHAnsi"/>
          <w:szCs w:val="22"/>
        </w:rPr>
        <w:t xml:space="preserve"> </w:t>
      </w:r>
    </w:p>
    <w:p w:rsidR="00AC7E5C" w:rsidP="006D7F8F" w:rsidRDefault="00B243B2" w14:paraId="74ADEE5C" w14:textId="3E0D52A6">
      <w:pPr>
        <w:pStyle w:val="Bullets"/>
        <w:numPr>
          <w:ilvl w:val="0"/>
          <w:numId w:val="0"/>
        </w:numPr>
        <w:spacing w:after="240" w:line="240" w:lineRule="auto"/>
        <w:rPr>
          <w:rFonts w:asciiTheme="minorHAnsi" w:hAnsiTheme="minorHAnsi" w:cstheme="minorBidi"/>
        </w:rPr>
      </w:pPr>
      <w:r>
        <w:rPr>
          <w:rFonts w:asciiTheme="minorHAnsi" w:hAnsiTheme="minorHAnsi" w:cstheme="minorHAnsi"/>
        </w:rPr>
        <w:lastRenderedPageBreak/>
        <w:t xml:space="preserve">The sampling procedure will involve 60 strata, defined by the number of children in each of the three age ranges of interest. Selection will proceed in two phases. In the first phase, one age </w:t>
      </w:r>
      <w:r w:rsidR="00BE01B4">
        <w:rPr>
          <w:rFonts w:asciiTheme="minorHAnsi" w:hAnsiTheme="minorHAnsi" w:cstheme="minorHAnsi"/>
        </w:rPr>
        <w:t>group</w:t>
      </w:r>
      <w:r>
        <w:rPr>
          <w:rFonts w:asciiTheme="minorHAnsi" w:hAnsiTheme="minorHAnsi" w:cstheme="minorHAnsi"/>
        </w:rPr>
        <w:t xml:space="preserve"> will be selected. In the second phase, one of the children in the selected age </w:t>
      </w:r>
      <w:r w:rsidR="00BE01B4">
        <w:rPr>
          <w:rFonts w:asciiTheme="minorHAnsi" w:hAnsiTheme="minorHAnsi" w:cstheme="minorHAnsi"/>
        </w:rPr>
        <w:t>group</w:t>
      </w:r>
      <w:r>
        <w:rPr>
          <w:rFonts w:asciiTheme="minorHAnsi" w:hAnsiTheme="minorHAnsi" w:cstheme="minorHAnsi"/>
        </w:rPr>
        <w:t xml:space="preserve"> will be randomly selected. The first-phase sampling rates will be optimized to yield the largest effective sample size for the smallest age </w:t>
      </w:r>
      <w:r w:rsidR="00BE01B4">
        <w:rPr>
          <w:rFonts w:asciiTheme="minorHAnsi" w:hAnsiTheme="minorHAnsi" w:cstheme="minorHAnsi"/>
        </w:rPr>
        <w:t>group</w:t>
      </w:r>
      <w:r>
        <w:rPr>
          <w:rFonts w:asciiTheme="minorHAnsi" w:hAnsiTheme="minorHAnsi" w:cstheme="minorHAnsi"/>
        </w:rPr>
        <w:t xml:space="preserve"> (adult children) </w:t>
      </w:r>
      <w:r>
        <w:rPr>
          <w:rFonts w:asciiTheme="minorHAnsi" w:hAnsiTheme="minorHAnsi" w:cstheme="minorBidi"/>
        </w:rPr>
        <w:t>subject to the constraints</w:t>
      </w:r>
      <w:r w:rsidRPr="386A99F4">
        <w:rPr>
          <w:rFonts w:asciiTheme="minorHAnsi" w:hAnsiTheme="minorHAnsi" w:cstheme="minorBidi"/>
        </w:rPr>
        <w:t xml:space="preserve"> that every child has a positive probability of selection</w:t>
      </w:r>
      <w:r>
        <w:rPr>
          <w:rFonts w:asciiTheme="minorHAnsi" w:hAnsiTheme="minorHAnsi" w:cstheme="minorBidi"/>
        </w:rPr>
        <w:t xml:space="preserve"> and that at least one child be selected from every household with at least one eligible child</w:t>
      </w:r>
      <w:r w:rsidRPr="386A99F4">
        <w:rPr>
          <w:rFonts w:asciiTheme="minorHAnsi" w:hAnsiTheme="minorHAnsi" w:cstheme="minorBidi"/>
        </w:rPr>
        <w:t>.</w:t>
      </w:r>
      <w:r>
        <w:rPr>
          <w:rFonts w:asciiTheme="minorHAnsi" w:hAnsiTheme="minorHAnsi" w:cstheme="minorBidi"/>
        </w:rPr>
        <w:t xml:space="preserve"> (A positive probability of selection for each child is required to create weights such that the sample represents all children.)</w:t>
      </w:r>
      <w:r w:rsidR="0067009C">
        <w:rPr>
          <w:rFonts w:asciiTheme="minorHAnsi" w:hAnsiTheme="minorHAnsi" w:cstheme="minorBidi"/>
        </w:rPr>
        <w:t xml:space="preserve"> </w:t>
      </w:r>
      <w:r w:rsidR="004B2ACC">
        <w:rPr>
          <w:rFonts w:asciiTheme="minorHAnsi" w:hAnsiTheme="minorHAnsi" w:cstheme="minorBidi"/>
        </w:rPr>
        <w:t xml:space="preserve">As shown in Exhibit B-1, this </w:t>
      </w:r>
      <w:r w:rsidR="00B740AE">
        <w:rPr>
          <w:rFonts w:asciiTheme="minorHAnsi" w:hAnsiTheme="minorHAnsi" w:cstheme="minorBidi"/>
        </w:rPr>
        <w:t>procedure yields large, but not equal</w:t>
      </w:r>
      <w:r w:rsidR="002D0995">
        <w:rPr>
          <w:rFonts w:asciiTheme="minorHAnsi" w:hAnsiTheme="minorHAnsi" w:cstheme="minorBidi"/>
        </w:rPr>
        <w:t>,</w:t>
      </w:r>
      <w:r w:rsidR="00B740AE">
        <w:rPr>
          <w:rFonts w:asciiTheme="minorHAnsi" w:hAnsiTheme="minorHAnsi" w:cstheme="minorBidi"/>
        </w:rPr>
        <w:t xml:space="preserve"> samples in each group: </w:t>
      </w:r>
      <w:r w:rsidR="002826BD">
        <w:rPr>
          <w:rFonts w:asciiTheme="minorHAnsi" w:hAnsiTheme="minorHAnsi" w:cstheme="minorBidi"/>
        </w:rPr>
        <w:t xml:space="preserve">1,398 in the youngest group, 929 in the middle group, and </w:t>
      </w:r>
      <w:r w:rsidR="004326BE">
        <w:rPr>
          <w:rFonts w:asciiTheme="minorHAnsi" w:hAnsiTheme="minorHAnsi" w:cstheme="minorBidi"/>
        </w:rPr>
        <w:t xml:space="preserve">705 in the oldest group. </w:t>
      </w:r>
      <w:r w:rsidR="0046528A">
        <w:rPr>
          <w:rFonts w:asciiTheme="minorHAnsi" w:hAnsiTheme="minorHAnsi" w:cstheme="minorBidi"/>
        </w:rPr>
        <w:t xml:space="preserve">Although </w:t>
      </w:r>
      <w:r w:rsidR="00E8524B">
        <w:rPr>
          <w:rFonts w:asciiTheme="minorHAnsi" w:hAnsiTheme="minorHAnsi" w:cstheme="minorBidi"/>
        </w:rPr>
        <w:t xml:space="preserve">we would have preferred </w:t>
      </w:r>
      <w:r w:rsidR="00E57B0A">
        <w:rPr>
          <w:rFonts w:asciiTheme="minorHAnsi" w:hAnsiTheme="minorHAnsi" w:cstheme="minorBidi"/>
        </w:rPr>
        <w:t>equal sample sizes for the</w:t>
      </w:r>
      <w:r w:rsidR="00C0270D">
        <w:rPr>
          <w:rFonts w:asciiTheme="minorHAnsi" w:hAnsiTheme="minorHAnsi" w:cstheme="minorBidi"/>
        </w:rPr>
        <w:t xml:space="preserve"> </w:t>
      </w:r>
      <w:r w:rsidRPr="386A99F4" w:rsidR="00FA36AC">
        <w:rPr>
          <w:rFonts w:asciiTheme="minorHAnsi" w:hAnsiTheme="minorHAnsi" w:cstheme="minorBidi"/>
        </w:rPr>
        <w:t>three</w:t>
      </w:r>
      <w:r w:rsidRPr="386A99F4" w:rsidR="00DD65BB">
        <w:rPr>
          <w:rFonts w:asciiTheme="minorHAnsi" w:hAnsiTheme="minorHAnsi" w:cstheme="minorBidi"/>
        </w:rPr>
        <w:t xml:space="preserve"> </w:t>
      </w:r>
      <w:r w:rsidR="00991ECD">
        <w:rPr>
          <w:rFonts w:asciiTheme="minorHAnsi" w:hAnsiTheme="minorHAnsi" w:cstheme="minorBidi"/>
        </w:rPr>
        <w:t xml:space="preserve">age </w:t>
      </w:r>
      <w:r w:rsidRPr="386A99F4" w:rsidR="00AC7E5C">
        <w:rPr>
          <w:rFonts w:asciiTheme="minorHAnsi" w:hAnsiTheme="minorHAnsi" w:cstheme="minorBidi"/>
        </w:rPr>
        <w:t>group</w:t>
      </w:r>
      <w:r w:rsidRPr="386A99F4" w:rsidR="00DD65BB">
        <w:rPr>
          <w:rFonts w:asciiTheme="minorHAnsi" w:hAnsiTheme="minorHAnsi" w:cstheme="minorBidi"/>
        </w:rPr>
        <w:t>s</w:t>
      </w:r>
      <w:r w:rsidRPr="386A99F4" w:rsidR="00AC7E5C">
        <w:rPr>
          <w:rFonts w:asciiTheme="minorHAnsi" w:hAnsiTheme="minorHAnsi" w:cstheme="minorBidi"/>
        </w:rPr>
        <w:t xml:space="preserve">, </w:t>
      </w:r>
      <w:r w:rsidR="00DD712E">
        <w:rPr>
          <w:rFonts w:asciiTheme="minorHAnsi" w:hAnsiTheme="minorHAnsi" w:cstheme="minorBidi"/>
        </w:rPr>
        <w:t>this was not possible given the distribution of children across study members.</w:t>
      </w:r>
    </w:p>
    <w:p w:rsidR="00075F48" w:rsidP="000216B2" w:rsidRDefault="00396466" w14:paraId="5DE64F3B" w14:textId="4FAE1997">
      <w:pPr>
        <w:pStyle w:val="Bullets"/>
        <w:numPr>
          <w:ilvl w:val="0"/>
          <w:numId w:val="0"/>
        </w:numPr>
        <w:spacing w:after="240" w:line="240" w:lineRule="auto"/>
      </w:pPr>
      <w:r w:rsidRPr="00CA03B0">
        <w:rPr>
          <w:rFonts w:asciiTheme="minorHAnsi" w:hAnsiTheme="minorHAnsi" w:cstheme="minorHAnsi"/>
        </w:rPr>
        <w:t>Sampling weights will be used to account for the differential sampling ratios for some child age categories in some household configurations</w:t>
      </w:r>
      <w:r w:rsidRPr="00CA03B0" w:rsidR="001B14BC">
        <w:rPr>
          <w:rFonts w:asciiTheme="minorHAnsi" w:hAnsiTheme="minorHAnsi" w:cstheme="minorHAnsi"/>
        </w:rPr>
        <w:t xml:space="preserve">. </w:t>
      </w:r>
      <w:r w:rsidRPr="00CA03B0">
        <w:rPr>
          <w:rFonts w:asciiTheme="minorHAnsi" w:hAnsiTheme="minorHAnsi" w:cstheme="minorHAnsi"/>
        </w:rPr>
        <w:t xml:space="preserve">By applying the sampling weights, the sample for estimating program impacts on children will represent the distribution of child ages across study households. </w:t>
      </w:r>
    </w:p>
    <w:p w:rsidR="007856FF" w:rsidP="000216B2" w:rsidRDefault="00075F48" w14:paraId="406D33DE" w14:textId="4EAEA677">
      <w:pPr>
        <w:pStyle w:val="ListParagraph"/>
        <w:keepNext/>
        <w:spacing w:after="60" w:line="240" w:lineRule="auto"/>
        <w:ind w:left="0"/>
        <w:contextualSpacing w:val="0"/>
      </w:pPr>
      <w:r w:rsidRPr="00075F48">
        <w:rPr>
          <w:rFonts w:cstheme="minorHAnsi"/>
          <w:bCs/>
          <w:i/>
          <w:iCs/>
        </w:rPr>
        <w:t>Minimum Detectable Effect</w:t>
      </w:r>
      <w:r>
        <w:rPr>
          <w:rFonts w:cstheme="minorHAnsi"/>
          <w:bCs/>
          <w:i/>
          <w:iCs/>
        </w:rPr>
        <w:t>s</w:t>
      </w:r>
    </w:p>
    <w:p w:rsidRPr="00C0799F" w:rsidR="00B676DB" w:rsidP="006D7F8F" w:rsidRDefault="00B676DB" w14:paraId="4ADE3563" w14:textId="4D621447">
      <w:pPr>
        <w:pStyle w:val="ListParagraph"/>
        <w:keepNext/>
        <w:spacing w:after="240" w:line="240" w:lineRule="auto"/>
        <w:ind w:left="0"/>
      </w:pPr>
      <w:r>
        <w:t xml:space="preserve">The sampling plan determines the expected sample size, which informs calculations of statistical power and minimum detectable effects (MDEs). </w:t>
      </w:r>
      <w:r w:rsidR="00E32A86">
        <w:t>This</w:t>
      </w:r>
      <w:r>
        <w:t xml:space="preserve"> MDE</w:t>
      </w:r>
      <w:r w:rsidRPr="00C0799F">
        <w:t xml:space="preserve"> is the smallest true impact that the study will have an 80 percent probability of detecting when the test</w:t>
      </w:r>
      <w:r>
        <w:t xml:space="preserve"> is</w:t>
      </w:r>
      <w:r w:rsidRPr="00C0799F">
        <w:t xml:space="preserve"> for the hypothesis of “no impact”</w:t>
      </w:r>
      <w:r>
        <w:t xml:space="preserve"> and</w:t>
      </w:r>
      <w:r w:rsidRPr="00C0799F">
        <w:t xml:space="preserve"> has just a </w:t>
      </w:r>
      <w:r w:rsidR="00FA36AC">
        <w:t>five</w:t>
      </w:r>
      <w:r w:rsidRPr="00C0799F">
        <w:t xml:space="preserve"> percent chance of finding an impact if the true impact is zero.</w:t>
      </w:r>
      <w:r>
        <w:t xml:space="preserve"> </w:t>
      </w:r>
      <w:r w:rsidRPr="00C0799F">
        <w:t xml:space="preserve">The research team has estimated the </w:t>
      </w:r>
      <w:r>
        <w:t>MDEs under the proposed sampling plan</w:t>
      </w:r>
      <w:r w:rsidR="00C33425">
        <w:t xml:space="preserve">. </w:t>
      </w:r>
    </w:p>
    <w:p w:rsidR="00B676DB" w:rsidP="006D7F8F" w:rsidRDefault="00B676DB" w14:paraId="49B2E6B0" w14:textId="201BC341">
      <w:pPr>
        <w:spacing w:after="240" w:line="240" w:lineRule="auto"/>
        <w:rPr>
          <w:rFonts w:cstheme="minorHAnsi"/>
        </w:rPr>
      </w:pPr>
      <w:r>
        <w:rPr>
          <w:rFonts w:cstheme="minorHAnsi"/>
        </w:rPr>
        <w:t xml:space="preserve">Exhibit </w:t>
      </w:r>
      <w:r w:rsidR="003C02EB">
        <w:rPr>
          <w:rFonts w:cstheme="minorHAnsi"/>
        </w:rPr>
        <w:t>B-</w:t>
      </w:r>
      <w:r w:rsidR="00C13A8A">
        <w:rPr>
          <w:rFonts w:cstheme="minorHAnsi"/>
        </w:rPr>
        <w:t>2</w:t>
      </w:r>
      <w:r>
        <w:rPr>
          <w:rFonts w:cstheme="minorHAnsi"/>
        </w:rPr>
        <w:t xml:space="preserve"> reports MDEs for a number of outcomes that will be measured with the </w:t>
      </w:r>
      <w:r w:rsidR="00783E5B">
        <w:rPr>
          <w:rFonts w:cstheme="minorHAnsi"/>
        </w:rPr>
        <w:t>LTS</w:t>
      </w:r>
      <w:r>
        <w:rPr>
          <w:rFonts w:cstheme="minorHAnsi"/>
        </w:rPr>
        <w:t xml:space="preserve">. </w:t>
      </w:r>
      <w:r w:rsidR="00D47ED8">
        <w:rPr>
          <w:rFonts w:cstheme="minorHAnsi"/>
        </w:rPr>
        <w:t xml:space="preserve">Although the confirmatory and secondary outcomes for the </w:t>
      </w:r>
      <w:r w:rsidR="00C444BF">
        <w:rPr>
          <w:rFonts w:cstheme="minorHAnsi"/>
        </w:rPr>
        <w:t xml:space="preserve">Long-Term Impact Report have not been defined yet, </w:t>
      </w:r>
      <w:r w:rsidR="00DD712E">
        <w:rPr>
          <w:rFonts w:cstheme="minorHAnsi"/>
        </w:rPr>
        <w:t xml:space="preserve">the </w:t>
      </w:r>
      <w:r>
        <w:rPr>
          <w:rFonts w:cstheme="minorHAnsi"/>
        </w:rPr>
        <w:t xml:space="preserve">outcomes </w:t>
      </w:r>
      <w:r w:rsidR="00DD712E">
        <w:rPr>
          <w:rFonts w:cstheme="minorHAnsi"/>
        </w:rPr>
        <w:t xml:space="preserve">shown in Exhibit B-2 </w:t>
      </w:r>
      <w:r>
        <w:rPr>
          <w:rFonts w:cstheme="minorHAnsi"/>
        </w:rPr>
        <w:t xml:space="preserve">include all confirmatory or secondary outcome measures from the </w:t>
      </w:r>
      <w:r w:rsidR="00657C92">
        <w:rPr>
          <w:rFonts w:cstheme="minorHAnsi"/>
        </w:rPr>
        <w:t>I</w:t>
      </w:r>
      <w:r w:rsidR="000216B2">
        <w:rPr>
          <w:rFonts w:cstheme="minorHAnsi"/>
        </w:rPr>
        <w:t>n</w:t>
      </w:r>
      <w:r w:rsidR="00657C92">
        <w:rPr>
          <w:rFonts w:cstheme="minorHAnsi"/>
        </w:rPr>
        <w:t>termediate-Term Impact Report</w:t>
      </w:r>
      <w:r w:rsidDel="00657C92" w:rsidR="00657C92">
        <w:rPr>
          <w:rFonts w:cstheme="minorHAnsi"/>
        </w:rPr>
        <w:t xml:space="preserve"> </w:t>
      </w:r>
      <w:r w:rsidR="00DD712E">
        <w:rPr>
          <w:rFonts w:cstheme="minorHAnsi"/>
        </w:rPr>
        <w:t xml:space="preserve">except for </w:t>
      </w:r>
      <w:r>
        <w:rPr>
          <w:rFonts w:cstheme="minorHAnsi"/>
        </w:rPr>
        <w:t xml:space="preserve">earnings (which use administrative data) and training duration (which cannot be measured with the </w:t>
      </w:r>
      <w:r w:rsidR="00783E5B">
        <w:rPr>
          <w:rFonts w:cstheme="minorHAnsi"/>
        </w:rPr>
        <w:t>LTS</w:t>
      </w:r>
      <w:r>
        <w:rPr>
          <w:rFonts w:cstheme="minorHAnsi"/>
        </w:rPr>
        <w:t xml:space="preserve"> instrument). To estimate MDEs for these outcomes, the team used</w:t>
      </w:r>
      <w:r w:rsidRPr="0005112C">
        <w:rPr>
          <w:rFonts w:cstheme="minorHAnsi"/>
        </w:rPr>
        <w:t xml:space="preserve"> </w:t>
      </w:r>
      <w:r w:rsidRPr="00EC0DC4" w:rsidR="007856FF">
        <w:rPr>
          <w:rFonts w:cstheme="minorHAnsi"/>
        </w:rPr>
        <w:t>estimated</w:t>
      </w:r>
      <w:r w:rsidRPr="0005112C">
        <w:rPr>
          <w:rFonts w:cstheme="minorHAnsi"/>
        </w:rPr>
        <w:t xml:space="preserve"> standard errors on impacts estimated for the same outcomes from the ITS.</w:t>
      </w:r>
      <w:r>
        <w:rPr>
          <w:rFonts w:cstheme="minorHAnsi"/>
        </w:rPr>
        <w:t xml:space="preserve"> These estimates are appropriate under the assumption that standard errors for these outcomes as measured in the LTS will not differ substantially (e.g., due to a different sample size or difference in the variance of the outcome).</w:t>
      </w:r>
      <w:r w:rsidR="00A9604F">
        <w:rPr>
          <w:rStyle w:val="FootnoteReference"/>
          <w:rFonts w:cstheme="minorHAnsi"/>
        </w:rPr>
        <w:footnoteReference w:id="2"/>
      </w:r>
      <w:r>
        <w:rPr>
          <w:rFonts w:cstheme="minorHAnsi"/>
        </w:rPr>
        <w:t xml:space="preserve"> </w:t>
      </w:r>
    </w:p>
    <w:p w:rsidR="00B676DB" w:rsidP="006D7F8F" w:rsidRDefault="00B676DB" w14:paraId="6F48D1F7" w14:textId="588D4A0A">
      <w:pPr>
        <w:spacing w:after="240" w:line="240" w:lineRule="auto"/>
        <w:rPr>
          <w:rFonts w:cstheme="minorHAnsi"/>
        </w:rPr>
      </w:pPr>
      <w:r>
        <w:rPr>
          <w:rFonts w:cstheme="minorHAnsi"/>
        </w:rPr>
        <w:t>Exhibit</w:t>
      </w:r>
      <w:r w:rsidR="003C02EB">
        <w:rPr>
          <w:rFonts w:cstheme="minorHAnsi"/>
        </w:rPr>
        <w:t xml:space="preserve"> B</w:t>
      </w:r>
      <w:r w:rsidR="003C02EB">
        <w:rPr>
          <w:rFonts w:cstheme="minorHAnsi"/>
          <w:b/>
          <w:bCs/>
        </w:rPr>
        <w:t>-</w:t>
      </w:r>
      <w:r w:rsidR="00066D19">
        <w:rPr>
          <w:rFonts w:cstheme="minorHAnsi"/>
        </w:rPr>
        <w:t>2</w:t>
      </w:r>
      <w:r>
        <w:rPr>
          <w:rFonts w:cstheme="minorHAnsi"/>
        </w:rPr>
        <w:t xml:space="preserve"> also includes one new measure not included in the </w:t>
      </w:r>
      <w:r w:rsidR="0015372A">
        <w:rPr>
          <w:rFonts w:cstheme="minorHAnsi"/>
        </w:rPr>
        <w:t>I</w:t>
      </w:r>
      <w:r w:rsidR="000216B2">
        <w:rPr>
          <w:rFonts w:cstheme="minorHAnsi"/>
        </w:rPr>
        <w:t>n</w:t>
      </w:r>
      <w:r w:rsidR="0015372A">
        <w:rPr>
          <w:rFonts w:cstheme="minorHAnsi"/>
        </w:rPr>
        <w:t>termediate-Term Impact Report</w:t>
      </w:r>
      <w:r>
        <w:rPr>
          <w:rFonts w:cstheme="minorHAnsi"/>
        </w:rPr>
        <w:t>: “c</w:t>
      </w:r>
      <w:r w:rsidRPr="007A6D42">
        <w:rPr>
          <w:rFonts w:cstheme="minorHAnsi"/>
        </w:rPr>
        <w:t xml:space="preserve">urrent healthcare employment in a job that pays $20 or more </w:t>
      </w:r>
      <w:r w:rsidRPr="00075F48" w:rsidR="00AC7E5C">
        <w:rPr>
          <w:rFonts w:cstheme="minorHAnsi"/>
        </w:rPr>
        <w:t>per hour</w:t>
      </w:r>
      <w:r w:rsidR="00AC7E5C">
        <w:rPr>
          <w:rFonts w:cstheme="minorHAnsi"/>
        </w:rPr>
        <w:t xml:space="preserve"> </w:t>
      </w:r>
      <w:r w:rsidRPr="007A6D42">
        <w:rPr>
          <w:rFonts w:cstheme="minorHAnsi"/>
        </w:rPr>
        <w:t>as of survey interview</w:t>
      </w:r>
      <w:r>
        <w:rPr>
          <w:rFonts w:cstheme="minorHAnsi"/>
        </w:rPr>
        <w:t>.” To estimate the MDE for this outcome the team assumed the same size sample of respondents to the LTS as for the ITS, other parameters as observed in analysis of ITS outcomes</w:t>
      </w:r>
      <w:r w:rsidR="00AE65EE">
        <w:rPr>
          <w:rFonts w:cstheme="minorHAnsi"/>
        </w:rPr>
        <w:t>,</w:t>
      </w:r>
      <w:r>
        <w:rPr>
          <w:rStyle w:val="FootnoteReference"/>
          <w:rFonts w:cstheme="minorHAnsi"/>
        </w:rPr>
        <w:footnoteReference w:id="3"/>
      </w:r>
      <w:r>
        <w:rPr>
          <w:rFonts w:cstheme="minorHAnsi"/>
        </w:rPr>
        <w:t xml:space="preserve"> and a control group mean of 0.25.</w:t>
      </w:r>
      <w:r>
        <w:rPr>
          <w:rStyle w:val="FootnoteReference"/>
          <w:rFonts w:cstheme="minorHAnsi"/>
        </w:rPr>
        <w:footnoteReference w:id="4"/>
      </w:r>
    </w:p>
    <w:p w:rsidRPr="00AD0A89" w:rsidR="00AD1CF4" w:rsidP="000D06A4" w:rsidRDefault="00AD1CF4" w14:paraId="670A6DF3" w14:textId="3F5E49EF">
      <w:pPr>
        <w:pStyle w:val="ListParagraph"/>
        <w:keepNext/>
        <w:spacing w:line="240" w:lineRule="auto"/>
        <w:ind w:left="0"/>
        <w:rPr>
          <w:rFonts w:cstheme="minorHAnsi"/>
        </w:rPr>
      </w:pPr>
      <w:bookmarkStart w:name="_Hlk93991270" w:id="4"/>
      <w:r>
        <w:rPr>
          <w:rFonts w:cstheme="minorHAnsi"/>
        </w:rPr>
        <w:t xml:space="preserve">These MDEs are sufficient to detect likely impacts of policy relevance in some domains. For instance, impacts on outcomes in the educational progress domain </w:t>
      </w:r>
      <w:r w:rsidR="0015372A">
        <w:rPr>
          <w:rFonts w:cstheme="minorHAnsi"/>
        </w:rPr>
        <w:t xml:space="preserve">at the point of </w:t>
      </w:r>
      <w:r w:rsidR="001B0AD2">
        <w:rPr>
          <w:rFonts w:cstheme="minorHAnsi"/>
        </w:rPr>
        <w:t>STS</w:t>
      </w:r>
      <w:r w:rsidR="0015372A">
        <w:rPr>
          <w:rFonts w:cstheme="minorHAnsi"/>
        </w:rPr>
        <w:t xml:space="preserve"> </w:t>
      </w:r>
      <w:r>
        <w:rPr>
          <w:rFonts w:cstheme="minorHAnsi"/>
        </w:rPr>
        <w:t>were substantially larger than those reported in Exhibit B-</w:t>
      </w:r>
      <w:r w:rsidR="00A557C4">
        <w:rPr>
          <w:rFonts w:cstheme="minorHAnsi"/>
        </w:rPr>
        <w:t>2</w:t>
      </w:r>
      <w:r>
        <w:rPr>
          <w:rFonts w:cstheme="minorHAnsi"/>
        </w:rPr>
        <w:t>. However, as was the case with the ITS,</w:t>
      </w:r>
      <w:r w:rsidRPr="004607C4">
        <w:rPr>
          <w:rFonts w:cstheme="minorHAnsi"/>
        </w:rPr>
        <w:t xml:space="preserve"> </w:t>
      </w:r>
      <w:r>
        <w:rPr>
          <w:rFonts w:cstheme="minorHAnsi"/>
        </w:rPr>
        <w:t xml:space="preserve">these </w:t>
      </w:r>
      <w:r w:rsidRPr="004607C4">
        <w:rPr>
          <w:rFonts w:cstheme="minorHAnsi"/>
        </w:rPr>
        <w:t>MD</w:t>
      </w:r>
      <w:r>
        <w:rPr>
          <w:rFonts w:cstheme="minorHAnsi"/>
        </w:rPr>
        <w:t>E</w:t>
      </w:r>
      <w:r w:rsidRPr="004607C4">
        <w:rPr>
          <w:rFonts w:cstheme="minorHAnsi"/>
        </w:rPr>
        <w:t xml:space="preserve">s are considerably </w:t>
      </w:r>
      <w:r w:rsidRPr="004607C4">
        <w:rPr>
          <w:rFonts w:cstheme="minorHAnsi"/>
        </w:rPr>
        <w:lastRenderedPageBreak/>
        <w:t xml:space="preserve">larger than those </w:t>
      </w:r>
      <w:r w:rsidR="00DC659A">
        <w:rPr>
          <w:rFonts w:cstheme="minorHAnsi"/>
        </w:rPr>
        <w:t>used for the analysis of short-term impacts</w:t>
      </w:r>
      <w:r w:rsidRPr="004607C4">
        <w:rPr>
          <w:rFonts w:cstheme="minorHAnsi"/>
        </w:rPr>
        <w:t xml:space="preserve">. </w:t>
      </w:r>
      <w:bookmarkEnd w:id="4"/>
      <w:r w:rsidR="009E4AAB">
        <w:rPr>
          <w:rFonts w:cstheme="minorHAnsi"/>
        </w:rPr>
        <w:t>(This is because the sample sizes for the ITS and LTS are much smaller than those for the STS.)</w:t>
      </w:r>
    </w:p>
    <w:p w:rsidR="00B676DB" w:rsidP="00B676DB" w:rsidRDefault="00B676DB" w14:paraId="57ABDD60" w14:textId="77777777">
      <w:pPr>
        <w:pStyle w:val="ListParagraph"/>
        <w:keepNext/>
        <w:ind w:left="0"/>
        <w:rPr>
          <w:rFonts w:cstheme="minorHAnsi"/>
          <w:b/>
        </w:rPr>
      </w:pPr>
    </w:p>
    <w:p w:rsidR="00B676DB" w:rsidP="00232A9D" w:rsidRDefault="00B676DB" w14:paraId="77589466" w14:textId="5556C3A4">
      <w:pPr>
        <w:pStyle w:val="ListParagraph"/>
        <w:keepNext/>
        <w:spacing w:after="60"/>
        <w:ind w:left="0"/>
        <w:contextualSpacing w:val="0"/>
        <w:rPr>
          <w:rFonts w:cstheme="minorHAnsi"/>
          <w:b/>
        </w:rPr>
      </w:pPr>
      <w:r>
        <w:rPr>
          <w:rFonts w:cstheme="minorHAnsi"/>
          <w:b/>
        </w:rPr>
        <w:t>Exhibit</w:t>
      </w:r>
      <w:r w:rsidR="003C02EB">
        <w:rPr>
          <w:rFonts w:cstheme="minorHAnsi"/>
          <w:b/>
        </w:rPr>
        <w:t xml:space="preserve"> B-</w:t>
      </w:r>
      <w:r w:rsidR="00A557C4">
        <w:rPr>
          <w:rFonts w:cstheme="minorHAnsi"/>
          <w:b/>
        </w:rPr>
        <w:t>2</w:t>
      </w:r>
      <w:r>
        <w:rPr>
          <w:rFonts w:cstheme="minorHAnsi"/>
          <w:b/>
        </w:rPr>
        <w:t xml:space="preserve">: Minimum Detectable Effects for Key Outcomes using the </w:t>
      </w:r>
      <w:r w:rsidR="00A24335">
        <w:rPr>
          <w:rFonts w:cstheme="minorHAnsi"/>
          <w:b/>
        </w:rPr>
        <w:t xml:space="preserve">Long-Term Survey </w:t>
      </w:r>
    </w:p>
    <w:tbl>
      <w:tblPr>
        <w:tblStyle w:val="HPOG2"/>
        <w:tblW w:w="0" w:type="auto"/>
        <w:tblLook w:val="06A0" w:firstRow="1" w:lastRow="0" w:firstColumn="1" w:lastColumn="0" w:noHBand="1" w:noVBand="1"/>
      </w:tblPr>
      <w:tblGrid>
        <w:gridCol w:w="7830"/>
        <w:gridCol w:w="1520"/>
      </w:tblGrid>
      <w:tr w:rsidRPr="00A51DC3" w:rsidR="003C081A" w:rsidTr="00C33425" w14:paraId="628AD50F" w14:textId="7777777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7830" w:type="dxa"/>
            <w:shd w:val="clear" w:color="auto" w:fill="auto"/>
          </w:tcPr>
          <w:p w:rsidRPr="00A51DC3" w:rsidR="003C081A" w:rsidP="00410F2E" w:rsidRDefault="003C081A" w14:paraId="1D6A683A" w14:textId="77777777">
            <w:pPr>
              <w:pStyle w:val="ListParagraph"/>
              <w:keepNext/>
              <w:ind w:left="0"/>
              <w:rPr>
                <w:rFonts w:cstheme="minorHAnsi"/>
                <w:bCs/>
              </w:rPr>
            </w:pPr>
            <w:r w:rsidRPr="00A51DC3">
              <w:rPr>
                <w:rFonts w:cstheme="minorHAnsi"/>
                <w:bCs/>
              </w:rPr>
              <w:t>Outcome of interest (measure)</w:t>
            </w:r>
          </w:p>
        </w:tc>
        <w:tc>
          <w:tcPr>
            <w:tcW w:w="1520" w:type="dxa"/>
            <w:shd w:val="clear" w:color="auto" w:fill="auto"/>
          </w:tcPr>
          <w:p w:rsidRPr="00A51DC3" w:rsidR="003C081A" w:rsidP="00410F2E" w:rsidRDefault="003C081A" w14:paraId="162D4A5F" w14:textId="77777777">
            <w:pPr>
              <w:pStyle w:val="ListParagraph"/>
              <w:keepNext/>
              <w:ind w:left="0"/>
              <w:jc w:val="center"/>
              <w:cnfStyle w:val="100000000000" w:firstRow="1" w:lastRow="0" w:firstColumn="0" w:lastColumn="0" w:oddVBand="0" w:evenVBand="0" w:oddHBand="0" w:evenHBand="0" w:firstRowFirstColumn="0" w:firstRowLastColumn="0" w:lastRowFirstColumn="0" w:lastRowLastColumn="0"/>
              <w:rPr>
                <w:rFonts w:cstheme="minorHAnsi"/>
                <w:bCs/>
              </w:rPr>
            </w:pPr>
            <w:r w:rsidRPr="00A51DC3">
              <w:rPr>
                <w:rFonts w:cstheme="minorHAnsi"/>
                <w:bCs/>
              </w:rPr>
              <w:t>Associated MDE (p.p.)</w:t>
            </w:r>
          </w:p>
        </w:tc>
      </w:tr>
      <w:tr w:rsidR="003C081A" w:rsidTr="00410F2E" w14:paraId="2DB0D5DC" w14:textId="77777777">
        <w:tc>
          <w:tcPr>
            <w:tcW w:w="7830" w:type="dxa"/>
            <w:vAlign w:val="center"/>
          </w:tcPr>
          <w:p w:rsidRPr="004607C4" w:rsidR="003C081A" w:rsidP="00410F2E" w:rsidRDefault="003C081A" w14:paraId="031C8349" w14:textId="77777777">
            <w:pPr>
              <w:pStyle w:val="ListParagraph"/>
              <w:keepNext/>
              <w:ind w:left="0"/>
              <w:rPr>
                <w:rFonts w:cs="Arial"/>
                <w:i/>
                <w:iCs/>
                <w:color w:val="000000"/>
              </w:rPr>
            </w:pPr>
            <w:r>
              <w:rPr>
                <w:rFonts w:cs="Arial"/>
                <w:i/>
                <w:iCs/>
                <w:color w:val="000000"/>
              </w:rPr>
              <w:t>Educational Progress</w:t>
            </w:r>
          </w:p>
        </w:tc>
        <w:tc>
          <w:tcPr>
            <w:tcW w:w="1520" w:type="dxa"/>
          </w:tcPr>
          <w:p w:rsidRPr="00A51DC3" w:rsidR="003C081A" w:rsidP="00410F2E" w:rsidRDefault="003C081A" w14:paraId="77E52B08" w14:textId="77777777">
            <w:pPr>
              <w:pStyle w:val="ListParagraph"/>
              <w:keepNext/>
              <w:ind w:left="0"/>
              <w:jc w:val="center"/>
              <w:rPr>
                <w:rFonts w:cstheme="minorHAnsi"/>
                <w:bCs/>
              </w:rPr>
            </w:pPr>
          </w:p>
        </w:tc>
      </w:tr>
      <w:tr w:rsidR="003C081A" w:rsidTr="00410F2E" w14:paraId="3F33DCDF" w14:textId="77777777">
        <w:tc>
          <w:tcPr>
            <w:tcW w:w="7830" w:type="dxa"/>
            <w:vAlign w:val="center"/>
          </w:tcPr>
          <w:p w:rsidR="003C081A" w:rsidP="00341C5E" w:rsidRDefault="003C081A" w14:paraId="74091E61" w14:textId="04DCF06F">
            <w:pPr>
              <w:pStyle w:val="ListParagraph"/>
              <w:keepNext/>
              <w:ind w:left="339" w:hanging="180"/>
              <w:rPr>
                <w:rFonts w:cstheme="minorHAnsi"/>
                <w:b/>
              </w:rPr>
            </w:pPr>
            <w:r>
              <w:rPr>
                <w:rFonts w:cs="Arial"/>
                <w:color w:val="000000"/>
              </w:rPr>
              <w:t xml:space="preserve">Completed any training within </w:t>
            </w:r>
            <w:r w:rsidR="00465CFF">
              <w:rPr>
                <w:rFonts w:cs="Arial"/>
                <w:color w:val="000000"/>
              </w:rPr>
              <w:t xml:space="preserve">66 </w:t>
            </w:r>
            <w:r>
              <w:rPr>
                <w:rFonts w:cs="Arial"/>
                <w:color w:val="000000"/>
              </w:rPr>
              <w:t>months of randomization (</w:t>
            </w:r>
            <w:r>
              <w:rPr>
                <w:rFonts w:cs="Arial"/>
                <w:i/>
                <w:iCs/>
                <w:color w:val="000000"/>
              </w:rPr>
              <w:t>program completion</w:t>
            </w:r>
            <w:r>
              <w:rPr>
                <w:rFonts w:cs="Arial"/>
                <w:color w:val="000000"/>
              </w:rPr>
              <w:t xml:space="preserve"> is defined as having earned any new credential since randomization)</w:t>
            </w:r>
          </w:p>
        </w:tc>
        <w:tc>
          <w:tcPr>
            <w:tcW w:w="1520" w:type="dxa"/>
          </w:tcPr>
          <w:p w:rsidRPr="00A51DC3" w:rsidR="003C081A" w:rsidP="00410F2E" w:rsidRDefault="003C081A" w14:paraId="1CDF57B1" w14:textId="77777777">
            <w:pPr>
              <w:pStyle w:val="ListParagraph"/>
              <w:keepNext/>
              <w:ind w:left="0"/>
              <w:jc w:val="center"/>
              <w:rPr>
                <w:rFonts w:cstheme="minorHAnsi"/>
                <w:bCs/>
              </w:rPr>
            </w:pPr>
            <w:r w:rsidRPr="00A51DC3">
              <w:rPr>
                <w:rFonts w:cstheme="minorHAnsi"/>
                <w:bCs/>
              </w:rPr>
              <w:t>5.5</w:t>
            </w:r>
          </w:p>
        </w:tc>
      </w:tr>
      <w:tr w:rsidR="003C081A" w:rsidTr="001D36B1" w14:paraId="28A2B163" w14:textId="77777777">
        <w:tc>
          <w:tcPr>
            <w:tcW w:w="0" w:type="dxa"/>
            <w:tcBorders>
              <w:bottom w:val="nil"/>
            </w:tcBorders>
            <w:vAlign w:val="center"/>
          </w:tcPr>
          <w:p w:rsidR="003C081A" w:rsidP="00341C5E" w:rsidRDefault="003C081A" w14:paraId="43AD19FF" w14:textId="3AC551A1">
            <w:pPr>
              <w:pStyle w:val="ListParagraph"/>
              <w:keepNext/>
              <w:ind w:left="159"/>
              <w:rPr>
                <w:rFonts w:cstheme="minorHAnsi"/>
                <w:b/>
              </w:rPr>
            </w:pPr>
            <w:r>
              <w:rPr>
                <w:rFonts w:cs="Arial"/>
                <w:color w:val="000000"/>
              </w:rPr>
              <w:t xml:space="preserve">Completed training by earning a credential or still in training </w:t>
            </w:r>
            <w:r w:rsidR="005012F3">
              <w:rPr>
                <w:rFonts w:cs="Arial"/>
                <w:color w:val="000000"/>
              </w:rPr>
              <w:t>6</w:t>
            </w:r>
            <w:r>
              <w:rPr>
                <w:rFonts w:cs="Arial"/>
                <w:color w:val="000000"/>
              </w:rPr>
              <w:t>6 months after randomization</w:t>
            </w:r>
          </w:p>
        </w:tc>
        <w:tc>
          <w:tcPr>
            <w:tcW w:w="0" w:type="dxa"/>
            <w:tcBorders>
              <w:bottom w:val="nil"/>
            </w:tcBorders>
          </w:tcPr>
          <w:p w:rsidRPr="00A51DC3" w:rsidR="003C081A" w:rsidP="00410F2E" w:rsidRDefault="003C081A" w14:paraId="62CB344F" w14:textId="77777777">
            <w:pPr>
              <w:pStyle w:val="ListParagraph"/>
              <w:keepNext/>
              <w:ind w:left="0"/>
              <w:jc w:val="center"/>
              <w:rPr>
                <w:rFonts w:cstheme="minorHAnsi"/>
                <w:bCs/>
              </w:rPr>
            </w:pPr>
            <w:r w:rsidRPr="00A51DC3">
              <w:rPr>
                <w:rFonts w:cstheme="minorHAnsi"/>
                <w:bCs/>
              </w:rPr>
              <w:t>5.2</w:t>
            </w:r>
          </w:p>
        </w:tc>
      </w:tr>
      <w:tr w:rsidR="003C081A" w:rsidTr="001D36B1" w14:paraId="00E8905D" w14:textId="77777777">
        <w:tc>
          <w:tcPr>
            <w:tcW w:w="0" w:type="dxa"/>
            <w:tcBorders>
              <w:top w:val="nil"/>
              <w:bottom w:val="single" w:color="auto" w:sz="4" w:space="0"/>
            </w:tcBorders>
            <w:vAlign w:val="center"/>
          </w:tcPr>
          <w:p w:rsidR="003C081A" w:rsidP="00341C5E" w:rsidRDefault="003C081A" w14:paraId="047BF205" w14:textId="77777777">
            <w:pPr>
              <w:pStyle w:val="ListParagraph"/>
              <w:keepNext/>
              <w:ind w:left="339" w:hanging="180"/>
              <w:rPr>
                <w:rFonts w:cstheme="minorHAnsi"/>
                <w:b/>
              </w:rPr>
            </w:pPr>
            <w:r>
              <w:rPr>
                <w:rFonts w:cs="Arial"/>
                <w:color w:val="000000"/>
              </w:rPr>
              <w:t>Earned an exam-based professional, state, or industry certification or license as of 36 months after randomization</w:t>
            </w:r>
          </w:p>
        </w:tc>
        <w:tc>
          <w:tcPr>
            <w:tcW w:w="0" w:type="dxa"/>
            <w:tcBorders>
              <w:top w:val="nil"/>
              <w:bottom w:val="single" w:color="auto" w:sz="4" w:space="0"/>
            </w:tcBorders>
          </w:tcPr>
          <w:p w:rsidRPr="00A51DC3" w:rsidR="003C081A" w:rsidP="00410F2E" w:rsidRDefault="003C081A" w14:paraId="22004F22" w14:textId="77777777">
            <w:pPr>
              <w:pStyle w:val="ListParagraph"/>
              <w:keepNext/>
              <w:ind w:left="0"/>
              <w:jc w:val="center"/>
              <w:rPr>
                <w:rFonts w:cstheme="minorHAnsi"/>
                <w:bCs/>
              </w:rPr>
            </w:pPr>
            <w:r w:rsidRPr="00A51DC3">
              <w:rPr>
                <w:rFonts w:cstheme="minorHAnsi"/>
                <w:bCs/>
              </w:rPr>
              <w:t>4.2</w:t>
            </w:r>
          </w:p>
        </w:tc>
      </w:tr>
      <w:tr w:rsidR="003C081A" w:rsidTr="001D36B1" w14:paraId="7A4AB0CC" w14:textId="77777777">
        <w:tc>
          <w:tcPr>
            <w:tcW w:w="0" w:type="dxa"/>
            <w:tcBorders>
              <w:top w:val="single" w:color="auto" w:sz="4" w:space="0"/>
            </w:tcBorders>
            <w:vAlign w:val="center"/>
          </w:tcPr>
          <w:p w:rsidRPr="004607C4" w:rsidR="003C081A" w:rsidP="00410F2E" w:rsidRDefault="003C081A" w14:paraId="74F6FE6C" w14:textId="77777777">
            <w:pPr>
              <w:pStyle w:val="ListParagraph"/>
              <w:keepNext/>
              <w:ind w:left="0"/>
              <w:rPr>
                <w:rFonts w:cs="Arial"/>
                <w:i/>
                <w:iCs/>
                <w:color w:val="000000"/>
              </w:rPr>
            </w:pPr>
            <w:r>
              <w:rPr>
                <w:rFonts w:cs="Arial"/>
                <w:i/>
                <w:iCs/>
                <w:color w:val="000000"/>
              </w:rPr>
              <w:t>Labor Market</w:t>
            </w:r>
          </w:p>
        </w:tc>
        <w:tc>
          <w:tcPr>
            <w:tcW w:w="0" w:type="dxa"/>
            <w:tcBorders>
              <w:top w:val="single" w:color="auto" w:sz="4" w:space="0"/>
            </w:tcBorders>
          </w:tcPr>
          <w:p w:rsidRPr="00A51DC3" w:rsidR="003C081A" w:rsidP="00410F2E" w:rsidRDefault="003C081A" w14:paraId="428B6FBE" w14:textId="77777777">
            <w:pPr>
              <w:pStyle w:val="ListParagraph"/>
              <w:keepNext/>
              <w:ind w:left="0"/>
              <w:jc w:val="center"/>
              <w:rPr>
                <w:rFonts w:cstheme="minorHAnsi"/>
                <w:bCs/>
              </w:rPr>
            </w:pPr>
          </w:p>
        </w:tc>
      </w:tr>
      <w:tr w:rsidR="003C081A" w:rsidTr="00410F2E" w14:paraId="7DE3DE84" w14:textId="77777777">
        <w:tc>
          <w:tcPr>
            <w:tcW w:w="7830" w:type="dxa"/>
            <w:vAlign w:val="center"/>
          </w:tcPr>
          <w:p w:rsidR="003C081A" w:rsidP="00341C5E" w:rsidRDefault="003C081A" w14:paraId="1E6D8E14" w14:textId="77777777">
            <w:pPr>
              <w:pStyle w:val="ListParagraph"/>
              <w:keepNext/>
              <w:ind w:left="159"/>
              <w:rPr>
                <w:rFonts w:cstheme="minorHAnsi"/>
                <w:b/>
              </w:rPr>
            </w:pPr>
            <w:r>
              <w:rPr>
                <w:rFonts w:cs="Arial"/>
                <w:color w:val="000000"/>
              </w:rPr>
              <w:t>Employed at job that offers health insurance as of survey interview</w:t>
            </w:r>
          </w:p>
        </w:tc>
        <w:tc>
          <w:tcPr>
            <w:tcW w:w="1520" w:type="dxa"/>
          </w:tcPr>
          <w:p w:rsidRPr="00A51DC3" w:rsidR="003C081A" w:rsidP="00410F2E" w:rsidRDefault="003C081A" w14:paraId="6BF0546E" w14:textId="77777777">
            <w:pPr>
              <w:pStyle w:val="ListParagraph"/>
              <w:keepNext/>
              <w:ind w:left="0"/>
              <w:jc w:val="center"/>
              <w:rPr>
                <w:rFonts w:cstheme="minorHAnsi"/>
                <w:bCs/>
              </w:rPr>
            </w:pPr>
            <w:r w:rsidRPr="00A51DC3">
              <w:rPr>
                <w:rFonts w:cstheme="minorHAnsi"/>
                <w:bCs/>
              </w:rPr>
              <w:t>4.7</w:t>
            </w:r>
          </w:p>
        </w:tc>
      </w:tr>
      <w:tr w:rsidR="003C081A" w:rsidTr="00410F2E" w14:paraId="1A171508" w14:textId="77777777">
        <w:tc>
          <w:tcPr>
            <w:tcW w:w="7830" w:type="dxa"/>
            <w:vAlign w:val="center"/>
          </w:tcPr>
          <w:p w:rsidRPr="004607C4" w:rsidR="003C081A" w:rsidP="00410F2E" w:rsidRDefault="003C081A" w14:paraId="29DC7726" w14:textId="77777777">
            <w:pPr>
              <w:pStyle w:val="ListParagraph"/>
              <w:keepNext/>
              <w:ind w:left="0"/>
              <w:rPr>
                <w:rFonts w:cs="Arial"/>
                <w:i/>
                <w:iCs/>
                <w:color w:val="000000"/>
              </w:rPr>
            </w:pPr>
            <w:r>
              <w:rPr>
                <w:rFonts w:cs="Arial"/>
                <w:i/>
                <w:iCs/>
                <w:color w:val="000000"/>
              </w:rPr>
              <w:t>Healthcare Labor Supply</w:t>
            </w:r>
          </w:p>
        </w:tc>
        <w:tc>
          <w:tcPr>
            <w:tcW w:w="1520" w:type="dxa"/>
          </w:tcPr>
          <w:p w:rsidRPr="00A51DC3" w:rsidR="003C081A" w:rsidP="00410F2E" w:rsidRDefault="003C081A" w14:paraId="09D3B6C3" w14:textId="77777777">
            <w:pPr>
              <w:pStyle w:val="ListParagraph"/>
              <w:keepNext/>
              <w:ind w:left="0"/>
              <w:jc w:val="center"/>
              <w:rPr>
                <w:rFonts w:cstheme="minorHAnsi"/>
                <w:bCs/>
              </w:rPr>
            </w:pPr>
          </w:p>
        </w:tc>
      </w:tr>
      <w:tr w:rsidR="003C081A" w:rsidTr="001D36B1" w14:paraId="7D13842D" w14:textId="77777777">
        <w:tc>
          <w:tcPr>
            <w:tcW w:w="0" w:type="dxa"/>
            <w:tcBorders>
              <w:bottom w:val="nil"/>
            </w:tcBorders>
            <w:vAlign w:val="center"/>
          </w:tcPr>
          <w:p w:rsidR="003C081A" w:rsidP="00341C5E" w:rsidRDefault="003C081A" w14:paraId="028EA49C" w14:textId="77777777">
            <w:pPr>
              <w:pStyle w:val="ListParagraph"/>
              <w:keepNext/>
              <w:ind w:left="159"/>
              <w:rPr>
                <w:rFonts w:cstheme="minorHAnsi"/>
                <w:b/>
              </w:rPr>
            </w:pPr>
            <w:r>
              <w:rPr>
                <w:rFonts w:cs="Arial"/>
                <w:color w:val="000000"/>
              </w:rPr>
              <w:t>Current healthcare employment as of survey interview (“Is this occupation in the field of healthcare?”)</w:t>
            </w:r>
          </w:p>
        </w:tc>
        <w:tc>
          <w:tcPr>
            <w:tcW w:w="0" w:type="dxa"/>
            <w:tcBorders>
              <w:bottom w:val="nil"/>
            </w:tcBorders>
          </w:tcPr>
          <w:p w:rsidRPr="00A51DC3" w:rsidR="003C081A" w:rsidP="00410F2E" w:rsidRDefault="003C081A" w14:paraId="354D99D6" w14:textId="77777777">
            <w:pPr>
              <w:pStyle w:val="ListParagraph"/>
              <w:keepNext/>
              <w:ind w:left="0"/>
              <w:jc w:val="center"/>
              <w:rPr>
                <w:rFonts w:cstheme="minorHAnsi"/>
                <w:bCs/>
              </w:rPr>
            </w:pPr>
            <w:r w:rsidRPr="00A51DC3">
              <w:rPr>
                <w:rFonts w:cstheme="minorHAnsi"/>
                <w:bCs/>
              </w:rPr>
              <w:t>4.0</w:t>
            </w:r>
          </w:p>
        </w:tc>
      </w:tr>
      <w:tr w:rsidR="003C081A" w:rsidTr="001D36B1" w14:paraId="57950C9F" w14:textId="77777777">
        <w:tc>
          <w:tcPr>
            <w:tcW w:w="0" w:type="dxa"/>
            <w:tcBorders>
              <w:top w:val="nil"/>
              <w:bottom w:val="single" w:color="auto" w:sz="4" w:space="0"/>
            </w:tcBorders>
            <w:vAlign w:val="center"/>
          </w:tcPr>
          <w:p w:rsidR="003C081A" w:rsidP="00341C5E" w:rsidRDefault="003C081A" w14:paraId="70C2B698" w14:textId="77777777">
            <w:pPr>
              <w:pStyle w:val="ListParagraph"/>
              <w:keepNext/>
              <w:ind w:left="159"/>
              <w:rPr>
                <w:rFonts w:cs="Arial"/>
                <w:color w:val="000000"/>
              </w:rPr>
            </w:pPr>
            <w:r>
              <w:rPr>
                <w:rFonts w:cs="Arial"/>
                <w:color w:val="000000"/>
              </w:rPr>
              <w:t>Current healthcare employment in a job that pays $20 or more as of survey interview</w:t>
            </w:r>
          </w:p>
        </w:tc>
        <w:tc>
          <w:tcPr>
            <w:tcW w:w="0" w:type="dxa"/>
            <w:tcBorders>
              <w:top w:val="nil"/>
              <w:bottom w:val="single" w:color="auto" w:sz="4" w:space="0"/>
            </w:tcBorders>
          </w:tcPr>
          <w:p w:rsidRPr="00A51DC3" w:rsidR="003C081A" w:rsidP="00410F2E" w:rsidRDefault="003C081A" w14:paraId="78E3D5FC" w14:textId="77777777">
            <w:pPr>
              <w:pStyle w:val="ListParagraph"/>
              <w:keepNext/>
              <w:ind w:left="0"/>
              <w:jc w:val="center"/>
              <w:rPr>
                <w:rFonts w:cstheme="minorHAnsi"/>
                <w:bCs/>
              </w:rPr>
            </w:pPr>
            <w:r w:rsidRPr="00A51DC3">
              <w:rPr>
                <w:rFonts w:cstheme="minorHAnsi"/>
                <w:bCs/>
              </w:rPr>
              <w:t>4.2</w:t>
            </w:r>
          </w:p>
        </w:tc>
      </w:tr>
      <w:tr w:rsidR="003C081A" w:rsidTr="001D36B1" w14:paraId="23567BF4" w14:textId="77777777">
        <w:tc>
          <w:tcPr>
            <w:tcW w:w="0" w:type="dxa"/>
            <w:tcBorders>
              <w:top w:val="single" w:color="auto" w:sz="4" w:space="0"/>
            </w:tcBorders>
            <w:vAlign w:val="center"/>
          </w:tcPr>
          <w:p w:rsidR="003C081A" w:rsidP="00410F2E" w:rsidRDefault="003C081A" w14:paraId="0C121525" w14:textId="77777777">
            <w:pPr>
              <w:pStyle w:val="ListParagraph"/>
              <w:keepNext/>
              <w:ind w:left="0"/>
              <w:rPr>
                <w:rFonts w:cs="Arial"/>
                <w:i/>
                <w:iCs/>
                <w:color w:val="000000"/>
              </w:rPr>
            </w:pPr>
            <w:r>
              <w:rPr>
                <w:rFonts w:cs="Arial"/>
                <w:i/>
                <w:iCs/>
                <w:color w:val="000000"/>
              </w:rPr>
              <w:t>Career Progress</w:t>
            </w:r>
          </w:p>
        </w:tc>
        <w:tc>
          <w:tcPr>
            <w:tcW w:w="0" w:type="dxa"/>
            <w:tcBorders>
              <w:top w:val="single" w:color="auto" w:sz="4" w:space="0"/>
            </w:tcBorders>
          </w:tcPr>
          <w:p w:rsidRPr="00A51DC3" w:rsidR="003C081A" w:rsidP="00410F2E" w:rsidRDefault="003C081A" w14:paraId="2CC1D6B4" w14:textId="77777777">
            <w:pPr>
              <w:pStyle w:val="ListParagraph"/>
              <w:keepNext/>
              <w:ind w:left="0"/>
              <w:jc w:val="center"/>
              <w:rPr>
                <w:rFonts w:cstheme="minorHAnsi"/>
                <w:bCs/>
              </w:rPr>
            </w:pPr>
          </w:p>
        </w:tc>
      </w:tr>
      <w:tr w:rsidR="003C081A" w:rsidTr="00410F2E" w14:paraId="774C302A" w14:textId="77777777">
        <w:tc>
          <w:tcPr>
            <w:tcW w:w="7830" w:type="dxa"/>
            <w:vAlign w:val="center"/>
          </w:tcPr>
          <w:p w:rsidR="003C081A" w:rsidP="00341C5E" w:rsidRDefault="003C081A" w14:paraId="47DDFAD5" w14:textId="769E228F">
            <w:pPr>
              <w:pStyle w:val="ListParagraph"/>
              <w:keepNext/>
              <w:ind w:left="339" w:hanging="180"/>
              <w:rPr>
                <w:rFonts w:cstheme="minorHAnsi"/>
                <w:b/>
              </w:rPr>
            </w:pPr>
            <w:r>
              <w:rPr>
                <w:rFonts w:cs="Arial"/>
                <w:color w:val="000000"/>
              </w:rPr>
              <w:t>“</w:t>
            </w:r>
            <w:r w:rsidRPr="004607C4">
              <w:rPr>
                <w:rFonts w:cs="Arial"/>
                <w:color w:val="000000"/>
              </w:rPr>
              <w:t>Career connected</w:t>
            </w:r>
            <w:r w:rsidR="00CF2E26">
              <w:rPr>
                <w:rFonts w:cs="Arial"/>
                <w:color w:val="000000"/>
              </w:rPr>
              <w:t>,</w:t>
            </w:r>
            <w:r>
              <w:rPr>
                <w:rFonts w:cs="Arial"/>
                <w:color w:val="000000"/>
              </w:rPr>
              <w:t xml:space="preserve">” meaning either employed full-time, attending school full-time, or a mixture of part-time work and school at the same time at </w:t>
            </w:r>
            <w:r w:rsidR="005012F3">
              <w:rPr>
                <w:rFonts w:cs="Arial"/>
                <w:color w:val="000000"/>
              </w:rPr>
              <w:t>6</w:t>
            </w:r>
            <w:r>
              <w:rPr>
                <w:rFonts w:cs="Arial"/>
                <w:color w:val="000000"/>
              </w:rPr>
              <w:t>6 months after randomization</w:t>
            </w:r>
          </w:p>
        </w:tc>
        <w:tc>
          <w:tcPr>
            <w:tcW w:w="1520" w:type="dxa"/>
          </w:tcPr>
          <w:p w:rsidRPr="00A51DC3" w:rsidR="003C081A" w:rsidP="00410F2E" w:rsidRDefault="003C081A" w14:paraId="29ECAA40" w14:textId="77777777">
            <w:pPr>
              <w:pStyle w:val="ListParagraph"/>
              <w:keepNext/>
              <w:ind w:left="0"/>
              <w:jc w:val="center"/>
              <w:rPr>
                <w:rFonts w:cstheme="minorHAnsi"/>
                <w:bCs/>
              </w:rPr>
            </w:pPr>
            <w:r w:rsidRPr="00A51DC3">
              <w:rPr>
                <w:rFonts w:cstheme="minorHAnsi"/>
                <w:bCs/>
              </w:rPr>
              <w:t>5.7</w:t>
            </w:r>
          </w:p>
        </w:tc>
      </w:tr>
      <w:tr w:rsidR="003C081A" w:rsidTr="00410F2E" w14:paraId="61EBDB03" w14:textId="77777777">
        <w:tc>
          <w:tcPr>
            <w:tcW w:w="7830" w:type="dxa"/>
            <w:vAlign w:val="center"/>
          </w:tcPr>
          <w:p w:rsidR="003C081A" w:rsidP="00341C5E" w:rsidRDefault="003C081A" w14:paraId="40E0B012" w14:textId="77777777">
            <w:pPr>
              <w:pStyle w:val="ListParagraph"/>
              <w:keepNext/>
              <w:ind w:left="339" w:hanging="180"/>
              <w:rPr>
                <w:rFonts w:cstheme="minorHAnsi"/>
                <w:b/>
              </w:rPr>
            </w:pPr>
            <w:r>
              <w:rPr>
                <w:rFonts w:cs="Arial"/>
                <w:color w:val="000000"/>
              </w:rPr>
              <w:t>Subjective perception of progress towards long-range education and career goals</w:t>
            </w:r>
          </w:p>
        </w:tc>
        <w:tc>
          <w:tcPr>
            <w:tcW w:w="1520" w:type="dxa"/>
          </w:tcPr>
          <w:p w:rsidRPr="00A51DC3" w:rsidR="003C081A" w:rsidP="00410F2E" w:rsidRDefault="003C081A" w14:paraId="06CF8346" w14:textId="77777777">
            <w:pPr>
              <w:pStyle w:val="ListParagraph"/>
              <w:keepNext/>
              <w:ind w:left="0"/>
              <w:jc w:val="center"/>
              <w:rPr>
                <w:rFonts w:cstheme="minorHAnsi"/>
                <w:bCs/>
              </w:rPr>
            </w:pPr>
            <w:r w:rsidRPr="00A51DC3">
              <w:rPr>
                <w:rFonts w:cstheme="minorHAnsi"/>
                <w:bCs/>
              </w:rPr>
              <w:t>0.1</w:t>
            </w:r>
          </w:p>
        </w:tc>
      </w:tr>
      <w:tr w:rsidR="003C081A" w:rsidTr="00410F2E" w14:paraId="613146D6" w14:textId="77777777">
        <w:tc>
          <w:tcPr>
            <w:tcW w:w="7830" w:type="dxa"/>
            <w:vAlign w:val="center"/>
          </w:tcPr>
          <w:p w:rsidRPr="004607C4" w:rsidR="003C081A" w:rsidP="00410F2E" w:rsidRDefault="003C081A" w14:paraId="303DDFFA" w14:textId="77777777">
            <w:pPr>
              <w:pStyle w:val="ListParagraph"/>
              <w:keepNext/>
              <w:ind w:left="0"/>
              <w:rPr>
                <w:rFonts w:cs="Arial"/>
                <w:i/>
                <w:iCs/>
                <w:color w:val="000000"/>
              </w:rPr>
            </w:pPr>
            <w:r>
              <w:rPr>
                <w:rFonts w:cs="Arial"/>
                <w:i/>
                <w:iCs/>
                <w:color w:val="000000"/>
              </w:rPr>
              <w:t>Well-being</w:t>
            </w:r>
          </w:p>
        </w:tc>
        <w:tc>
          <w:tcPr>
            <w:tcW w:w="1520" w:type="dxa"/>
          </w:tcPr>
          <w:p w:rsidRPr="00A51DC3" w:rsidR="003C081A" w:rsidP="00410F2E" w:rsidRDefault="003C081A" w14:paraId="50C64426" w14:textId="77777777">
            <w:pPr>
              <w:pStyle w:val="ListParagraph"/>
              <w:keepNext/>
              <w:ind w:left="0"/>
              <w:jc w:val="center"/>
              <w:rPr>
                <w:rFonts w:cstheme="minorHAnsi"/>
                <w:bCs/>
              </w:rPr>
            </w:pPr>
          </w:p>
        </w:tc>
      </w:tr>
      <w:tr w:rsidR="003C081A" w:rsidTr="00410F2E" w14:paraId="2379754A" w14:textId="77777777">
        <w:tc>
          <w:tcPr>
            <w:tcW w:w="7830" w:type="dxa"/>
            <w:vAlign w:val="center"/>
          </w:tcPr>
          <w:p w:rsidR="003C081A" w:rsidP="00341C5E" w:rsidRDefault="003C081A" w14:paraId="3A776233" w14:textId="77777777">
            <w:pPr>
              <w:pStyle w:val="ListParagraph"/>
              <w:keepNext/>
              <w:ind w:left="159"/>
              <w:rPr>
                <w:rFonts w:cstheme="minorHAnsi"/>
                <w:b/>
              </w:rPr>
            </w:pPr>
            <w:r>
              <w:rPr>
                <w:rFonts w:cs="Arial"/>
                <w:color w:val="000000"/>
              </w:rPr>
              <w:t>Trouble making ends meet</w:t>
            </w:r>
          </w:p>
        </w:tc>
        <w:tc>
          <w:tcPr>
            <w:tcW w:w="1520" w:type="dxa"/>
          </w:tcPr>
          <w:p w:rsidRPr="00A51DC3" w:rsidR="003C081A" w:rsidP="00410F2E" w:rsidRDefault="003C081A" w14:paraId="10FF0BEE" w14:textId="77777777">
            <w:pPr>
              <w:pStyle w:val="ListParagraph"/>
              <w:keepNext/>
              <w:ind w:left="0"/>
              <w:jc w:val="center"/>
              <w:rPr>
                <w:rFonts w:cstheme="minorHAnsi"/>
                <w:bCs/>
              </w:rPr>
            </w:pPr>
            <w:r w:rsidRPr="00A51DC3">
              <w:rPr>
                <w:rFonts w:cstheme="minorHAnsi"/>
                <w:bCs/>
              </w:rPr>
              <w:t>3.7</w:t>
            </w:r>
          </w:p>
        </w:tc>
      </w:tr>
      <w:tr w:rsidR="003C081A" w:rsidTr="00410F2E" w14:paraId="61D95E2F" w14:textId="77777777">
        <w:tc>
          <w:tcPr>
            <w:tcW w:w="7830" w:type="dxa"/>
            <w:vAlign w:val="center"/>
          </w:tcPr>
          <w:p w:rsidR="003C081A" w:rsidP="00341C5E" w:rsidRDefault="003C081A" w14:paraId="05956AD5" w14:textId="77777777">
            <w:pPr>
              <w:pStyle w:val="ListParagraph"/>
              <w:keepNext/>
              <w:ind w:left="159"/>
              <w:rPr>
                <w:rFonts w:cstheme="minorHAnsi"/>
                <w:b/>
              </w:rPr>
            </w:pPr>
            <w:r>
              <w:rPr>
                <w:rFonts w:cs="Arial"/>
                <w:color w:val="000000"/>
              </w:rPr>
              <w:t>Receipt of TANF, SNAP, or Medicaid by anyone in household at survey interview</w:t>
            </w:r>
          </w:p>
        </w:tc>
        <w:tc>
          <w:tcPr>
            <w:tcW w:w="1520" w:type="dxa"/>
          </w:tcPr>
          <w:p w:rsidRPr="00A51DC3" w:rsidR="003C081A" w:rsidP="00410F2E" w:rsidRDefault="003C081A" w14:paraId="503023C7" w14:textId="77777777">
            <w:pPr>
              <w:pStyle w:val="ListParagraph"/>
              <w:keepNext/>
              <w:ind w:left="0"/>
              <w:jc w:val="center"/>
              <w:rPr>
                <w:rFonts w:cstheme="minorHAnsi"/>
                <w:bCs/>
              </w:rPr>
            </w:pPr>
            <w:r w:rsidRPr="00A51DC3">
              <w:rPr>
                <w:rFonts w:cstheme="minorHAnsi"/>
                <w:bCs/>
              </w:rPr>
              <w:t>3.5</w:t>
            </w:r>
          </w:p>
        </w:tc>
      </w:tr>
    </w:tbl>
    <w:p w:rsidR="00AD1CF4" w:rsidP="00AD1CF4" w:rsidRDefault="00AD1CF4" w14:paraId="4C008735" w14:textId="2D908AC5">
      <w:pPr>
        <w:pStyle w:val="ListParagraph"/>
        <w:spacing w:after="0" w:line="240" w:lineRule="auto"/>
        <w:ind w:left="0"/>
        <w:rPr>
          <w:rFonts w:cstheme="minorHAnsi"/>
          <w:sz w:val="16"/>
          <w:szCs w:val="16"/>
        </w:rPr>
      </w:pPr>
      <w:r w:rsidRPr="009F30B9">
        <w:rPr>
          <w:rFonts w:cstheme="minorHAnsi"/>
          <w:sz w:val="16"/>
          <w:szCs w:val="16"/>
        </w:rPr>
        <w:t xml:space="preserve">Notes: “Minimum detectable” defined as 80 percent power given a </w:t>
      </w:r>
      <w:r>
        <w:rPr>
          <w:rFonts w:cstheme="minorHAnsi"/>
          <w:sz w:val="16"/>
          <w:szCs w:val="16"/>
        </w:rPr>
        <w:t>one</w:t>
      </w:r>
      <w:r w:rsidRPr="009F30B9">
        <w:rPr>
          <w:rFonts w:cstheme="minorHAnsi"/>
          <w:sz w:val="16"/>
          <w:szCs w:val="16"/>
        </w:rPr>
        <w:t xml:space="preserve">-sided test at the 5 percent significance level. </w:t>
      </w:r>
      <w:r>
        <w:rPr>
          <w:rFonts w:cstheme="minorHAnsi"/>
          <w:sz w:val="16"/>
          <w:szCs w:val="16"/>
        </w:rPr>
        <w:t>Calculations use</w:t>
      </w:r>
      <w:r w:rsidRPr="007A6D42">
        <w:rPr>
          <w:rFonts w:cstheme="minorHAnsi"/>
          <w:sz w:val="16"/>
          <w:szCs w:val="16"/>
        </w:rPr>
        <w:t xml:space="preserve"> </w:t>
      </w:r>
      <w:r>
        <w:rPr>
          <w:rFonts w:cstheme="minorHAnsi"/>
          <w:sz w:val="16"/>
          <w:szCs w:val="16"/>
        </w:rPr>
        <w:t>preliminary estimates of actual</w:t>
      </w:r>
      <w:r w:rsidRPr="007A6D42">
        <w:rPr>
          <w:rFonts w:cstheme="minorHAnsi"/>
          <w:sz w:val="16"/>
          <w:szCs w:val="16"/>
        </w:rPr>
        <w:t xml:space="preserve"> standard errors on impacts estimated </w:t>
      </w:r>
      <w:r>
        <w:rPr>
          <w:rFonts w:cstheme="minorHAnsi"/>
          <w:sz w:val="16"/>
          <w:szCs w:val="16"/>
        </w:rPr>
        <w:t xml:space="preserve">for the same outcomes </w:t>
      </w:r>
      <w:r w:rsidRPr="007A6D42">
        <w:rPr>
          <w:rFonts w:cstheme="minorHAnsi"/>
          <w:sz w:val="16"/>
          <w:szCs w:val="16"/>
        </w:rPr>
        <w:t xml:space="preserve">from the </w:t>
      </w:r>
      <w:r>
        <w:rPr>
          <w:rFonts w:cstheme="minorHAnsi"/>
          <w:sz w:val="16"/>
          <w:szCs w:val="16"/>
        </w:rPr>
        <w:t>I</w:t>
      </w:r>
      <w:r w:rsidRPr="007A6D42">
        <w:rPr>
          <w:rFonts w:cstheme="minorHAnsi"/>
          <w:sz w:val="16"/>
          <w:szCs w:val="16"/>
        </w:rPr>
        <w:t xml:space="preserve">TS. They do not </w:t>
      </w:r>
      <w:r>
        <w:rPr>
          <w:rFonts w:cstheme="minorHAnsi"/>
          <w:sz w:val="16"/>
          <w:szCs w:val="16"/>
        </w:rPr>
        <w:t xml:space="preserve">adjust for potential changes to these estimates in the LTS, which might come from different sample sizes, </w:t>
      </w:r>
      <w:r w:rsidRPr="007A6D42">
        <w:rPr>
          <w:rFonts w:cstheme="minorHAnsi"/>
          <w:sz w:val="16"/>
          <w:szCs w:val="16"/>
        </w:rPr>
        <w:t xml:space="preserve">variance reductions due to calibration of the </w:t>
      </w:r>
      <w:r>
        <w:rPr>
          <w:rFonts w:cstheme="minorHAnsi"/>
          <w:sz w:val="16"/>
          <w:szCs w:val="16"/>
        </w:rPr>
        <w:t xml:space="preserve">LTS to the </w:t>
      </w:r>
      <w:r w:rsidRPr="007A6D42">
        <w:rPr>
          <w:rFonts w:cstheme="minorHAnsi"/>
          <w:sz w:val="16"/>
          <w:szCs w:val="16"/>
        </w:rPr>
        <w:t xml:space="preserve">ITS </w:t>
      </w:r>
      <w:r>
        <w:rPr>
          <w:rFonts w:cstheme="minorHAnsi"/>
          <w:sz w:val="16"/>
          <w:szCs w:val="16"/>
        </w:rPr>
        <w:t>and/or</w:t>
      </w:r>
      <w:r w:rsidRPr="007A6D42">
        <w:rPr>
          <w:rFonts w:cstheme="minorHAnsi"/>
          <w:sz w:val="16"/>
          <w:szCs w:val="16"/>
        </w:rPr>
        <w:t xml:space="preserve"> STS</w:t>
      </w:r>
      <w:r>
        <w:rPr>
          <w:rFonts w:cstheme="minorHAnsi"/>
          <w:sz w:val="16"/>
          <w:szCs w:val="16"/>
        </w:rPr>
        <w:t>, or</w:t>
      </w:r>
      <w:r w:rsidRPr="007A6D42">
        <w:rPr>
          <w:rFonts w:cstheme="minorHAnsi"/>
          <w:sz w:val="16"/>
          <w:szCs w:val="16"/>
        </w:rPr>
        <w:t xml:space="preserve"> loss of information associated with people who responded to the </w:t>
      </w:r>
      <w:r w:rsidR="004B1AFE">
        <w:rPr>
          <w:rFonts w:cstheme="minorHAnsi"/>
          <w:sz w:val="16"/>
          <w:szCs w:val="16"/>
        </w:rPr>
        <w:t>critical items instrument</w:t>
      </w:r>
      <w:r w:rsidRPr="007A6D42">
        <w:rPr>
          <w:rFonts w:cstheme="minorHAnsi"/>
          <w:sz w:val="16"/>
          <w:szCs w:val="16"/>
        </w:rPr>
        <w:t xml:space="preserve"> instead of the main survey instrument</w:t>
      </w:r>
      <w:r>
        <w:rPr>
          <w:rFonts w:cstheme="minorHAnsi"/>
          <w:sz w:val="16"/>
          <w:szCs w:val="16"/>
        </w:rPr>
        <w:t xml:space="preserve">. </w:t>
      </w:r>
      <w:r w:rsidRPr="007A6D42">
        <w:rPr>
          <w:rFonts w:cstheme="minorHAnsi"/>
          <w:sz w:val="16"/>
          <w:szCs w:val="16"/>
        </w:rPr>
        <w:t>Since the effects of these complexities on variances</w:t>
      </w:r>
      <w:r>
        <w:rPr>
          <w:rFonts w:cstheme="minorHAnsi"/>
          <w:sz w:val="16"/>
          <w:szCs w:val="16"/>
        </w:rPr>
        <w:t xml:space="preserve"> operate</w:t>
      </w:r>
      <w:r w:rsidRPr="007A6D42">
        <w:rPr>
          <w:rFonts w:cstheme="minorHAnsi"/>
          <w:sz w:val="16"/>
          <w:szCs w:val="16"/>
        </w:rPr>
        <w:t xml:space="preserve"> in opposite directions, the net effect on MD</w:t>
      </w:r>
      <w:r>
        <w:rPr>
          <w:rFonts w:cstheme="minorHAnsi"/>
          <w:sz w:val="16"/>
          <w:szCs w:val="16"/>
        </w:rPr>
        <w:t>E</w:t>
      </w:r>
      <w:r w:rsidRPr="007A6D42">
        <w:rPr>
          <w:rFonts w:cstheme="minorHAnsi"/>
          <w:sz w:val="16"/>
          <w:szCs w:val="16"/>
        </w:rPr>
        <w:t>s should be modest.</w:t>
      </w:r>
    </w:p>
    <w:p w:rsidR="001A345A" w:rsidP="004B1AFE" w:rsidRDefault="001A345A" w14:paraId="0ACB70E0" w14:textId="64DB0B1A">
      <w:pPr>
        <w:pStyle w:val="BodyText"/>
        <w:spacing w:line="240" w:lineRule="auto"/>
        <w:rPr>
          <w:rFonts w:cstheme="minorHAnsi"/>
        </w:rPr>
      </w:pPr>
    </w:p>
    <w:p w:rsidRPr="001A59B6" w:rsidR="00A42C71" w:rsidP="0065523A" w:rsidRDefault="00A42C71"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232A9D" w:rsidRDefault="00A42C71" w14:paraId="2E0B6BE8" w14:textId="10D93E05">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w:t>
      </w:r>
    </w:p>
    <w:p w:rsidR="004025CA" w:rsidP="00232A9D" w:rsidRDefault="004E0BC5" w14:paraId="29C41957" w14:textId="41B82C2E">
      <w:pPr>
        <w:autoSpaceDE w:val="0"/>
        <w:autoSpaceDN w:val="0"/>
        <w:adjustRightInd w:val="0"/>
        <w:spacing w:line="240" w:lineRule="auto"/>
      </w:pPr>
      <w:r>
        <w:rPr>
          <w:rFonts w:cstheme="minorHAnsi"/>
        </w:rPr>
        <w:t xml:space="preserve">In developing the </w:t>
      </w:r>
      <w:r w:rsidR="00DB44EF">
        <w:rPr>
          <w:rFonts w:cstheme="minorHAnsi"/>
        </w:rPr>
        <w:t xml:space="preserve">HPOG 2.0 </w:t>
      </w:r>
      <w:r w:rsidR="00783E5B">
        <w:rPr>
          <w:rFonts w:cstheme="minorHAnsi"/>
        </w:rPr>
        <w:t>LTS</w:t>
      </w:r>
      <w:r w:rsidRPr="00477391" w:rsidR="007F039F">
        <w:rPr>
          <w:rFonts w:cstheme="minorHAnsi"/>
        </w:rPr>
        <w:t xml:space="preserve"> (Instrument</w:t>
      </w:r>
      <w:r w:rsidR="00014385">
        <w:rPr>
          <w:rFonts w:cstheme="minorHAnsi"/>
        </w:rPr>
        <w:t>s</w:t>
      </w:r>
      <w:r w:rsidRPr="00477391" w:rsidR="007F039F">
        <w:rPr>
          <w:rFonts w:cstheme="minorHAnsi"/>
        </w:rPr>
        <w:t xml:space="preserve"> </w:t>
      </w:r>
      <w:r w:rsidR="00DB44EF">
        <w:rPr>
          <w:rFonts w:cstheme="minorHAnsi"/>
        </w:rPr>
        <w:t>21</w:t>
      </w:r>
      <w:r w:rsidR="00014385">
        <w:rPr>
          <w:rFonts w:cstheme="minorHAnsi"/>
        </w:rPr>
        <w:t xml:space="preserve"> </w:t>
      </w:r>
      <w:r w:rsidR="00DB44EF">
        <w:rPr>
          <w:rFonts w:cstheme="minorHAnsi"/>
        </w:rPr>
        <w:t>and 21a</w:t>
      </w:r>
      <w:r w:rsidRPr="00477391" w:rsidR="007F039F">
        <w:rPr>
          <w:rFonts w:cstheme="minorHAnsi"/>
        </w:rPr>
        <w:t xml:space="preserve">) </w:t>
      </w:r>
      <w:r>
        <w:t>the evaluation team included items used successfully in other surveys</w:t>
      </w:r>
      <w:r w:rsidR="0060607E">
        <w:t xml:space="preserve"> for similar interventions</w:t>
      </w:r>
      <w:r w:rsidR="00DE3D97">
        <w:t>. The most important source was earlier HPOG 2.0 surveys</w:t>
      </w:r>
      <w:r w:rsidRPr="00DE3D97" w:rsidR="00DE3D97">
        <w:t xml:space="preserve"> </w:t>
      </w:r>
      <w:r w:rsidR="00DE3D97">
        <w:t xml:space="preserve">previously approved under this OMB </w:t>
      </w:r>
      <w:r w:rsidR="00862D14">
        <w:t>c</w:t>
      </w:r>
      <w:r w:rsidR="00DE3D97">
        <w:t xml:space="preserve">ontrol </w:t>
      </w:r>
      <w:r w:rsidR="00862D14">
        <w:t>number</w:t>
      </w:r>
      <w:r w:rsidR="00DE3D97">
        <w:t xml:space="preserve">. Using similar items will allow exploration of how outcomes vary with time since random assignment. </w:t>
      </w:r>
      <w:r w:rsidR="00A01671">
        <w:t>O</w:t>
      </w:r>
      <w:r w:rsidR="00DE3D97">
        <w:t>ther important source</w:t>
      </w:r>
      <w:r w:rsidR="00A01671">
        <w:t>s</w:t>
      </w:r>
      <w:r w:rsidR="00DE3D97">
        <w:t xml:space="preserve"> w</w:t>
      </w:r>
      <w:r w:rsidR="00A01671">
        <w:t>ere</w:t>
      </w:r>
      <w:r w:rsidR="00DE3D97">
        <w:t xml:space="preserve"> the </w:t>
      </w:r>
      <w:r w:rsidR="00FB33E1">
        <w:t>long-term</w:t>
      </w:r>
      <w:r w:rsidR="00DE3D97">
        <w:t xml:space="preserve"> surveys </w:t>
      </w:r>
      <w:r w:rsidR="00A01671">
        <w:t>from</w:t>
      </w:r>
      <w:r w:rsidR="00787B83">
        <w:t xml:space="preserve"> </w:t>
      </w:r>
      <w:r w:rsidR="00DB44EF">
        <w:t>other Career Pathways studies (the first round of Health Profession Opportunity Grants (HPOG 1.0</w:t>
      </w:r>
      <w:r>
        <w:t>)</w:t>
      </w:r>
      <w:r w:rsidR="00DB44EF">
        <w:t xml:space="preserve"> OMB #0970-0394 and Pathways for Advancing Careers an</w:t>
      </w:r>
      <w:r w:rsidR="00862D14">
        <w:t>d</w:t>
      </w:r>
      <w:r w:rsidR="00DB44EF">
        <w:t xml:space="preserve"> Education (PACE) OMB #0970-0397)</w:t>
      </w:r>
      <w:r w:rsidR="00C33425">
        <w:t xml:space="preserve">. </w:t>
      </w:r>
      <w:r w:rsidR="00DE3D97">
        <w:t>These surveys provide insights into how questions need to change for longer follow-up and questions to add</w:t>
      </w:r>
      <w:r w:rsidR="00C33425">
        <w:t xml:space="preserve">. </w:t>
      </w:r>
      <w:r w:rsidR="001E29E9">
        <w:t xml:space="preserve">Drawing from these instruments ensured that many of the survey questions have been thoroughly tested on large groups of people with similar characteristics. </w:t>
      </w:r>
    </w:p>
    <w:p w:rsidR="00F740B0" w:rsidP="00232A9D" w:rsidRDefault="003621E2" w14:paraId="100C2CCE" w14:textId="2C69E483">
      <w:pPr>
        <w:autoSpaceDE w:val="0"/>
        <w:autoSpaceDN w:val="0"/>
        <w:adjustRightInd w:val="0"/>
        <w:spacing w:line="240" w:lineRule="auto"/>
      </w:pPr>
      <w:r>
        <w:t xml:space="preserve">The evaluation team added three </w:t>
      </w:r>
      <w:r w:rsidR="002160BD">
        <w:t xml:space="preserve">new modules to this survey: one on barriers to pursuing </w:t>
      </w:r>
      <w:r w:rsidR="008728A9">
        <w:t>longer</w:t>
      </w:r>
      <w:r w:rsidR="00DE3D97">
        <w:t xml:space="preserve"> </w:t>
      </w:r>
      <w:r w:rsidR="002160BD">
        <w:t>healthcare training</w:t>
      </w:r>
      <w:r w:rsidR="007D3540">
        <w:t>,</w:t>
      </w:r>
      <w:r w:rsidR="002160BD">
        <w:t xml:space="preserve"> </w:t>
      </w:r>
      <w:r w:rsidR="00F20B28">
        <w:t xml:space="preserve">one </w:t>
      </w:r>
      <w:r w:rsidR="002160BD">
        <w:t>on informal employment</w:t>
      </w:r>
      <w:r w:rsidR="0086670D">
        <w:t>,</w:t>
      </w:r>
      <w:r w:rsidRPr="00F20B28" w:rsidR="00F20B28">
        <w:t xml:space="preserve"> </w:t>
      </w:r>
      <w:r w:rsidR="00F20B28">
        <w:t>and the third on child outcomes</w:t>
      </w:r>
      <w:r w:rsidR="00E5569D">
        <w:t xml:space="preserve">. </w:t>
      </w:r>
    </w:p>
    <w:p w:rsidR="00F740B0" w:rsidP="00232A9D" w:rsidRDefault="00DE3D97" w14:paraId="0DD867D0" w14:textId="22619654">
      <w:pPr>
        <w:pStyle w:val="ListParagraph"/>
        <w:numPr>
          <w:ilvl w:val="0"/>
          <w:numId w:val="55"/>
        </w:numPr>
        <w:autoSpaceDE w:val="0"/>
        <w:autoSpaceDN w:val="0"/>
        <w:adjustRightInd w:val="0"/>
        <w:spacing w:after="120" w:line="240" w:lineRule="auto"/>
      </w:pPr>
      <w:r>
        <w:t>Earlier career pathways evaluations have conjectured a crucial role for longer trainings in achieving larger impacts on earnings</w:t>
      </w:r>
      <w:r w:rsidR="00463253">
        <w:t xml:space="preserve"> (Juras and Buron, 2021)</w:t>
      </w:r>
      <w:r>
        <w:t>.</w:t>
      </w:r>
      <w:r w:rsidR="00CD478B">
        <w:rPr>
          <w:rStyle w:val="FootnoteReference"/>
        </w:rPr>
        <w:footnoteReference w:id="5"/>
      </w:r>
      <w:r>
        <w:t xml:space="preserve"> </w:t>
      </w:r>
      <w:r w:rsidR="002A23AB">
        <w:t xml:space="preserve">The module on barriers to </w:t>
      </w:r>
      <w:r w:rsidR="002A23AB">
        <w:lastRenderedPageBreak/>
        <w:t>pursuing long</w:t>
      </w:r>
      <w:r w:rsidR="007F68D3">
        <w:t>er</w:t>
      </w:r>
      <w:r w:rsidR="002A23AB">
        <w:t xml:space="preserve"> healthcare </w:t>
      </w:r>
      <w:r w:rsidR="00AA40FD">
        <w:t>trainings</w:t>
      </w:r>
      <w:r w:rsidR="002A23AB">
        <w:t xml:space="preserve"> will allow us to understand some of the barriers that may prevent or delay successful completion of the </w:t>
      </w:r>
      <w:r w:rsidR="00E80BDA">
        <w:t>longer</w:t>
      </w:r>
      <w:r w:rsidR="00F740B0">
        <w:t xml:space="preserve"> </w:t>
      </w:r>
      <w:r w:rsidR="002A23AB">
        <w:t xml:space="preserve">credential trainings such as radiology technician, </w:t>
      </w:r>
      <w:r w:rsidR="00AA40FD">
        <w:t xml:space="preserve">Licensed Practical Nurse (LPN), Registered Nurse </w:t>
      </w:r>
      <w:r w:rsidR="00717DCD">
        <w:t>(RN)</w:t>
      </w:r>
      <w:r w:rsidR="002A23AB">
        <w:t xml:space="preserve">, </w:t>
      </w:r>
      <w:r w:rsidR="001B14BC">
        <w:t>etc.</w:t>
      </w:r>
      <w:r w:rsidR="002D0A15">
        <w:t>—</w:t>
      </w:r>
      <w:r w:rsidR="002A23AB">
        <w:t xml:space="preserve">the types of trainings that would lead to higher earnings in healthcare jobs. This battery of questions was newly developed for this module. The barriers included in the module were </w:t>
      </w:r>
      <w:r w:rsidR="005F32DB">
        <w:t>chosen</w:t>
      </w:r>
      <w:r w:rsidR="002A23AB">
        <w:t xml:space="preserve"> based on feedback received from grantees during the preview of the Short-Term Impact Report findings and the annual grantee meeting in 2019. The evaluation team also drew on feedback provided by participants as part of the in-depth participant </w:t>
      </w:r>
      <w:r w:rsidR="005E2179">
        <w:t>interviews</w:t>
      </w:r>
      <w:r w:rsidR="002A23AB">
        <w:t xml:space="preserve"> (Instrument #17, previously approved under this OMB #0970-0462).</w:t>
      </w:r>
    </w:p>
    <w:p w:rsidRPr="007D268F" w:rsidR="002160BD" w:rsidP="17642613" w:rsidRDefault="00F740B0" w14:paraId="56E289B0" w14:textId="30CF8B90">
      <w:pPr>
        <w:pStyle w:val="ListParagraph"/>
        <w:numPr>
          <w:ilvl w:val="0"/>
          <w:numId w:val="55"/>
        </w:numPr>
        <w:autoSpaceDE w:val="0"/>
        <w:autoSpaceDN w:val="0"/>
        <w:adjustRightInd w:val="0"/>
        <w:spacing w:after="120" w:line="240" w:lineRule="auto"/>
      </w:pPr>
      <w:r>
        <w:t xml:space="preserve">The </w:t>
      </w:r>
      <w:r w:rsidR="002B6182">
        <w:t xml:space="preserve">National Directory of New Hires </w:t>
      </w:r>
      <w:r w:rsidR="00F51EFB">
        <w:t>(</w:t>
      </w:r>
      <w:r>
        <w:t>NDNH</w:t>
      </w:r>
      <w:r w:rsidR="00F51EFB">
        <w:t>)</w:t>
      </w:r>
      <w:r>
        <w:t xml:space="preserve"> is the primary source of earnings data for the evaluation. NDNH data, however, </w:t>
      </w:r>
      <w:r w:rsidR="002B6182">
        <w:t>does not capture</w:t>
      </w:r>
      <w:r>
        <w:t xml:space="preserve"> informal employment and self-employment. Understanding levels and patterns of such employment are therefore crucial for interpreting NDNH-based results. </w:t>
      </w:r>
      <w:r w:rsidR="002160BD">
        <w:t>The module on informal employment will capture additional information on self-employment and informal job earnings</w:t>
      </w:r>
      <w:r w:rsidR="00FB70FC">
        <w:t xml:space="preserve">. </w:t>
      </w:r>
      <w:r>
        <w:t xml:space="preserve">In the US economy as a whole, </w:t>
      </w:r>
      <w:r w:rsidR="002160BD">
        <w:t>Nightingale and Wandner (2011</w:t>
      </w:r>
      <w:r w:rsidR="000C5AEC">
        <w:rPr>
          <w:rStyle w:val="FootnoteReference"/>
        </w:rPr>
        <w:footnoteReference w:id="6"/>
      </w:r>
      <w:r w:rsidR="002160BD">
        <w:t xml:space="preserve">) estimate that informal employment represents </w:t>
      </w:r>
      <w:r w:rsidR="002B6182">
        <w:t>five</w:t>
      </w:r>
      <w:r w:rsidR="002160BD">
        <w:t xml:space="preserve"> to 10 percent of GDP. </w:t>
      </w:r>
      <w:r w:rsidR="005E2179">
        <w:t>Bracha and Burke (2017)</w:t>
      </w:r>
      <w:r w:rsidR="00CD7F61">
        <w:rPr>
          <w:rStyle w:val="FootnoteReference"/>
        </w:rPr>
        <w:footnoteReference w:id="7"/>
      </w:r>
      <w:r w:rsidR="005E2179">
        <w:t xml:space="preserve"> estimate that about 20 percent of nonretired adults engage in informal employment. Abraham and Houseman (2019)</w:t>
      </w:r>
      <w:r w:rsidR="00CD7F61">
        <w:rPr>
          <w:rStyle w:val="FootnoteReference"/>
        </w:rPr>
        <w:footnoteReference w:id="8"/>
      </w:r>
      <w:r w:rsidR="005E2179">
        <w:t xml:space="preserve"> estimate a higher percentage</w:t>
      </w:r>
      <w:r w:rsidR="004623F7">
        <w:t>:</w:t>
      </w:r>
      <w:r w:rsidR="005E2179">
        <w:t xml:space="preserve"> 28 percent of the adult population engaging in informal work in any given month</w:t>
      </w:r>
      <w:r w:rsidR="00EE309C">
        <w:t>. They also estimate that</w:t>
      </w:r>
      <w:r w:rsidR="005E2179">
        <w:t xml:space="preserve"> this work is an important source of household incomes for 11 percent</w:t>
      </w:r>
      <w:r w:rsidR="00266304">
        <w:t xml:space="preserve"> of the adult population</w:t>
      </w:r>
      <w:r w:rsidR="005E2179">
        <w:t xml:space="preserve">. </w:t>
      </w:r>
      <w:r w:rsidR="003E3024">
        <w:t>Such informal</w:t>
      </w:r>
      <w:r w:rsidR="002160BD">
        <w:t xml:space="preserve"> employment may be particularly relevant for the study’s target population</w:t>
      </w:r>
      <w:r w:rsidR="006E1665">
        <w:t>.</w:t>
      </w:r>
      <w:r w:rsidR="002160BD">
        <w:t xml:space="preserve"> </w:t>
      </w:r>
      <w:r w:rsidR="006E1665">
        <w:t>F</w:t>
      </w:r>
      <w:r w:rsidR="002160BD">
        <w:t xml:space="preserve">or example, informal employment might be an important source of earnings for home health aides—a common occupation for HPOG program participants. It could also be </w:t>
      </w:r>
      <w:r w:rsidR="001022EE">
        <w:t>an</w:t>
      </w:r>
      <w:r w:rsidR="000D5DB5">
        <w:t xml:space="preserve"> </w:t>
      </w:r>
      <w:r w:rsidR="002160BD">
        <w:t xml:space="preserve">important </w:t>
      </w:r>
      <w:r w:rsidR="001022EE">
        <w:t>form of employment</w:t>
      </w:r>
      <w:r w:rsidR="000D5DB5">
        <w:t xml:space="preserve"> </w:t>
      </w:r>
      <w:r w:rsidR="002160BD">
        <w:t xml:space="preserve">for those in the HPOG control group. </w:t>
      </w:r>
      <w:r w:rsidR="0058475F">
        <w:t xml:space="preserve">The first seven questions in this </w:t>
      </w:r>
      <w:r w:rsidR="00921B03">
        <w:t>module</w:t>
      </w:r>
      <w:r w:rsidR="00332099">
        <w:t xml:space="preserve"> </w:t>
      </w:r>
      <w:r w:rsidR="0058475F">
        <w:t xml:space="preserve">are </w:t>
      </w:r>
      <w:r w:rsidRPr="17642613" w:rsidR="0058475F">
        <w:rPr>
          <w:rFonts w:ascii="Calibri" w:hAnsi="Calibri" w:eastAsia="Calibri" w:cs="Calibri"/>
        </w:rPr>
        <w:t>about work not reported in the employment history. They are based on the J</w:t>
      </w:r>
      <w:r w:rsidR="0058475F">
        <w:rPr>
          <w:rFonts w:ascii="Calibri" w:hAnsi="Calibri" w:eastAsia="Calibri" w:cs="Calibri"/>
        </w:rPr>
        <w:t xml:space="preserve">oint </w:t>
      </w:r>
      <w:r w:rsidRPr="17642613" w:rsidR="0058475F">
        <w:rPr>
          <w:rFonts w:ascii="Calibri" w:hAnsi="Calibri" w:eastAsia="Calibri" w:cs="Calibri"/>
        </w:rPr>
        <w:t>P</w:t>
      </w:r>
      <w:r w:rsidR="0058475F">
        <w:rPr>
          <w:rFonts w:ascii="Calibri" w:hAnsi="Calibri" w:eastAsia="Calibri" w:cs="Calibri"/>
        </w:rPr>
        <w:t xml:space="preserve">rogram in </w:t>
      </w:r>
      <w:r w:rsidRPr="17642613" w:rsidR="0058475F">
        <w:rPr>
          <w:rFonts w:ascii="Calibri" w:hAnsi="Calibri" w:eastAsia="Calibri" w:cs="Calibri"/>
        </w:rPr>
        <w:t>S</w:t>
      </w:r>
      <w:r w:rsidR="0058475F">
        <w:rPr>
          <w:rFonts w:ascii="Calibri" w:hAnsi="Calibri" w:eastAsia="Calibri" w:cs="Calibri"/>
        </w:rPr>
        <w:t xml:space="preserve">urvey </w:t>
      </w:r>
      <w:r w:rsidRPr="17642613" w:rsidR="0058475F">
        <w:rPr>
          <w:rFonts w:ascii="Calibri" w:hAnsi="Calibri" w:eastAsia="Calibri" w:cs="Calibri"/>
        </w:rPr>
        <w:t>M</w:t>
      </w:r>
      <w:r w:rsidR="0058475F">
        <w:rPr>
          <w:rFonts w:ascii="Calibri" w:hAnsi="Calibri" w:eastAsia="Calibri" w:cs="Calibri"/>
        </w:rPr>
        <w:t>ethodology</w:t>
      </w:r>
      <w:r w:rsidRPr="17642613" w:rsidR="0058475F">
        <w:rPr>
          <w:rFonts w:ascii="Calibri" w:hAnsi="Calibri" w:eastAsia="Calibri" w:cs="Calibri"/>
        </w:rPr>
        <w:t xml:space="preserve"> module by Abraham and Amaya.</w:t>
      </w:r>
      <w:r w:rsidR="0079518C">
        <w:rPr>
          <w:rStyle w:val="FootnoteReference"/>
          <w:rFonts w:ascii="Calibri" w:hAnsi="Calibri" w:eastAsia="Calibri" w:cs="Calibri"/>
        </w:rPr>
        <w:footnoteReference w:id="9"/>
      </w:r>
      <w:r w:rsidR="0058475F">
        <w:rPr>
          <w:rStyle w:val="FootnoteReference"/>
          <w:rFonts w:ascii="Calibri" w:hAnsi="Calibri" w:eastAsia="Calibri" w:cs="Calibri"/>
        </w:rPr>
        <w:footnoteReference w:id="10"/>
      </w:r>
      <w:r w:rsidRPr="17642613" w:rsidR="0058475F">
        <w:rPr>
          <w:rFonts w:ascii="Calibri" w:hAnsi="Calibri" w:eastAsia="Calibri" w:cs="Calibri"/>
        </w:rPr>
        <w:t xml:space="preserve"> Questions 8 and 9 are </w:t>
      </w:r>
      <w:r w:rsidR="0058475F">
        <w:rPr>
          <w:rFonts w:ascii="Calibri" w:hAnsi="Calibri" w:eastAsia="Calibri" w:cs="Calibri"/>
        </w:rPr>
        <w:t xml:space="preserve">intended to collect employee perceptions of how </w:t>
      </w:r>
      <w:r w:rsidRPr="17642613" w:rsidR="0058475F">
        <w:rPr>
          <w:rFonts w:ascii="Calibri" w:hAnsi="Calibri" w:eastAsia="Calibri" w:cs="Calibri"/>
        </w:rPr>
        <w:t xml:space="preserve">compliant their employers are with </w:t>
      </w:r>
      <w:r w:rsidR="00C91DB5">
        <w:t>requirements that employers pay employment taxes and with employee taxes (income tax withholding, Social Security payroll tax, and Medicare payroll tax</w:t>
      </w:r>
      <w:r w:rsidRPr="17642613" w:rsidR="0058475F">
        <w:rPr>
          <w:rFonts w:ascii="Calibri" w:hAnsi="Calibri" w:eastAsia="Calibri" w:cs="Calibri"/>
        </w:rPr>
        <w:t xml:space="preserve">. The study team did not find any good </w:t>
      </w:r>
      <w:r w:rsidR="0058475F">
        <w:rPr>
          <w:rFonts w:ascii="Calibri" w:hAnsi="Calibri" w:eastAsia="Calibri" w:cs="Calibri"/>
        </w:rPr>
        <w:t xml:space="preserve">models for </w:t>
      </w:r>
      <w:r w:rsidR="00CA131B">
        <w:rPr>
          <w:rFonts w:ascii="Calibri" w:hAnsi="Calibri" w:eastAsia="Calibri" w:cs="Calibri"/>
        </w:rPr>
        <w:t>measuring the concept of employee perceptions of employer compliance</w:t>
      </w:r>
      <w:r w:rsidR="0058475F">
        <w:rPr>
          <w:rFonts w:ascii="Calibri" w:hAnsi="Calibri" w:eastAsia="Calibri" w:cs="Calibri"/>
        </w:rPr>
        <w:t>. The team therefore</w:t>
      </w:r>
      <w:r w:rsidRPr="17642613" w:rsidR="0058475F">
        <w:rPr>
          <w:rFonts w:ascii="Calibri" w:hAnsi="Calibri" w:eastAsia="Calibri" w:cs="Calibri"/>
        </w:rPr>
        <w:t xml:space="preserve"> developed this </w:t>
      </w:r>
      <w:r w:rsidR="0058475F">
        <w:rPr>
          <w:rFonts w:ascii="Calibri" w:hAnsi="Calibri" w:eastAsia="Calibri" w:cs="Calibri"/>
        </w:rPr>
        <w:t xml:space="preserve">new </w:t>
      </w:r>
      <w:r w:rsidRPr="17642613" w:rsidR="0058475F">
        <w:rPr>
          <w:rFonts w:ascii="Calibri" w:hAnsi="Calibri" w:eastAsia="Calibri" w:cs="Calibri"/>
        </w:rPr>
        <w:t>module.</w:t>
      </w:r>
    </w:p>
    <w:p w:rsidR="00F20B28" w:rsidP="17642613" w:rsidRDefault="00AA678E" w14:paraId="2E5B9C0F" w14:textId="58BA0209">
      <w:pPr>
        <w:pStyle w:val="ListParagraph"/>
        <w:numPr>
          <w:ilvl w:val="0"/>
          <w:numId w:val="55"/>
        </w:numPr>
        <w:autoSpaceDE w:val="0"/>
        <w:autoSpaceDN w:val="0"/>
        <w:adjustRightInd w:val="0"/>
        <w:spacing w:after="120" w:line="240" w:lineRule="auto"/>
      </w:pPr>
      <w:r w:rsidRPr="00AA678E">
        <w:t>At five and a half years, enough time may have passed for benefits to flow down from the adult</w:t>
      </w:r>
      <w:r w:rsidR="00B4142B">
        <w:t xml:space="preserve"> study participant</w:t>
      </w:r>
      <w:r w:rsidRPr="00AA678E">
        <w:t xml:space="preserve"> to their children. The</w:t>
      </w:r>
      <w:r w:rsidR="00B4142B">
        <w:t xml:space="preserve"> child </w:t>
      </w:r>
      <w:r w:rsidRPr="00AA678E">
        <w:t xml:space="preserve">module </w:t>
      </w:r>
      <w:r w:rsidR="00B4142B">
        <w:t>covers</w:t>
      </w:r>
      <w:r w:rsidRPr="00AA678E">
        <w:t xml:space="preserve"> academic progress, educational attainment, time out of the home/supervision, family routines, educational goals, and if applicable, transition to adulthood for one selected focal child.</w:t>
      </w:r>
      <w:r w:rsidR="007D268F">
        <w:t xml:space="preserve"> The child module was drawn </w:t>
      </w:r>
      <w:r w:rsidR="007D268F">
        <w:lastRenderedPageBreak/>
        <w:t>from the long-term follow-up surveys for the previously approved PACE and HPOG 1.0 studies (OMB #0970-0397 and 0970-0394</w:t>
      </w:r>
      <w:r w:rsidR="009D66DE">
        <w:t>,</w:t>
      </w:r>
      <w:r w:rsidR="007D268F">
        <w:t xml:space="preserve"> respectively). </w:t>
      </w:r>
    </w:p>
    <w:p w:rsidR="001A72BB" w:rsidP="00072581" w:rsidRDefault="0011126F" w14:paraId="781BB634" w14:textId="6F975B74">
      <w:pPr>
        <w:autoSpaceDE w:val="0"/>
        <w:autoSpaceDN w:val="0"/>
        <w:adjustRightInd w:val="0"/>
        <w:spacing w:after="120" w:line="240" w:lineRule="auto"/>
      </w:pPr>
      <w:r>
        <w:t xml:space="preserve">In order to </w:t>
      </w:r>
      <w:r w:rsidR="00D449A4">
        <w:t>add</w:t>
      </w:r>
      <w:r>
        <w:t xml:space="preserve"> new modules</w:t>
      </w:r>
      <w:r w:rsidR="000D5DB5">
        <w:t xml:space="preserve"> </w:t>
      </w:r>
      <w:r w:rsidR="00D449A4">
        <w:t xml:space="preserve">without </w:t>
      </w:r>
      <w:r w:rsidR="008A6B54">
        <w:t xml:space="preserve">increasing </w:t>
      </w:r>
      <w:r w:rsidR="00D449A4">
        <w:t>the expected survey time,</w:t>
      </w:r>
      <w:r w:rsidR="00575323">
        <w:t xml:space="preserve"> </w:t>
      </w:r>
      <w:r w:rsidR="00414115">
        <w:t>relative to the ITS, the LTS drops</w:t>
      </w:r>
      <w:r w:rsidR="00575323">
        <w:t xml:space="preserve"> the f</w:t>
      </w:r>
      <w:r w:rsidRPr="00575323" w:rsidR="00575323">
        <w:t xml:space="preserve">ull education, </w:t>
      </w:r>
      <w:r w:rsidRPr="00575323" w:rsidR="00E8046F">
        <w:t>training</w:t>
      </w:r>
      <w:r w:rsidR="00D449A4">
        <w:t>,</w:t>
      </w:r>
      <w:r w:rsidRPr="00575323" w:rsidR="00575323">
        <w:t xml:space="preserve"> and employment history (Section A of the HPOG 2</w:t>
      </w:r>
      <w:r w:rsidR="00752838">
        <w:t>.</w:t>
      </w:r>
      <w:r w:rsidR="00D449A4">
        <w:t>0</w:t>
      </w:r>
      <w:r w:rsidR="00575323">
        <w:t xml:space="preserve"> ITS</w:t>
      </w:r>
      <w:r w:rsidRPr="00575323" w:rsidR="00575323">
        <w:t xml:space="preserve">) and </w:t>
      </w:r>
      <w:r w:rsidR="00D449A4">
        <w:t>s</w:t>
      </w:r>
      <w:r w:rsidRPr="00575323" w:rsidR="00575323">
        <w:t xml:space="preserve">chool details (Section B of the </w:t>
      </w:r>
      <w:r w:rsidR="00575323">
        <w:t>ITS</w:t>
      </w:r>
      <w:r w:rsidRPr="00575323" w:rsidR="00575323">
        <w:t>).</w:t>
      </w:r>
      <w:r w:rsidR="001A72BB">
        <w:t xml:space="preserve"> </w:t>
      </w:r>
      <w:r w:rsidR="002B12CC">
        <w:t>The LTS also drops</w:t>
      </w:r>
      <w:r w:rsidR="001A72BB">
        <w:t xml:space="preserve"> the</w:t>
      </w:r>
      <w:r w:rsidRPr="001A72BB" w:rsidR="001A72BB">
        <w:t xml:space="preserve"> </w:t>
      </w:r>
      <w:r w:rsidR="001A72BB">
        <w:t>l</w:t>
      </w:r>
      <w:r w:rsidRPr="001A72BB" w:rsidR="001A72BB">
        <w:t>iteracy and numeracy skills assessment (Section J of the</w:t>
      </w:r>
      <w:r w:rsidR="001A72BB">
        <w:t xml:space="preserve"> ITS) and the COVID-19 </w:t>
      </w:r>
      <w:r w:rsidR="00D449A4">
        <w:t>m</w:t>
      </w:r>
      <w:r w:rsidR="001A72BB">
        <w:t>odule (Section H of the ITS).</w:t>
      </w:r>
    </w:p>
    <w:p w:rsidR="00A42C71" w:rsidP="00232A9D" w:rsidRDefault="001E29E9" w14:paraId="724733CA" w14:textId="61AAF4CA">
      <w:pPr>
        <w:autoSpaceDE w:val="0"/>
        <w:autoSpaceDN w:val="0"/>
        <w:adjustRightInd w:val="0"/>
        <w:spacing w:after="0" w:line="240" w:lineRule="auto"/>
        <w:rPr>
          <w:rFonts w:cstheme="minorHAnsi"/>
        </w:rPr>
      </w:pPr>
      <w:r>
        <w:rPr>
          <w:rFonts w:eastAsia="Calibri"/>
        </w:rPr>
        <w:t xml:space="preserve">This submission </w:t>
      </w:r>
      <w:r w:rsidR="002A23AB">
        <w:rPr>
          <w:rFonts w:eastAsia="Calibri"/>
        </w:rPr>
        <w:t xml:space="preserve">also </w:t>
      </w:r>
      <w:r>
        <w:rPr>
          <w:rFonts w:eastAsia="Calibri"/>
        </w:rPr>
        <w:t xml:space="preserve">seeks approval for </w:t>
      </w:r>
      <w:r w:rsidR="004025CA">
        <w:rPr>
          <w:rFonts w:eastAsia="Calibri"/>
        </w:rPr>
        <w:t>a</w:t>
      </w:r>
      <w:r>
        <w:rPr>
          <w:rFonts w:eastAsia="Calibri"/>
        </w:rPr>
        <w:t xml:space="preserve"> </w:t>
      </w:r>
      <w:r w:rsidR="000A6B96">
        <w:rPr>
          <w:rFonts w:eastAsia="Calibri"/>
        </w:rPr>
        <w:t>critical item</w:t>
      </w:r>
      <w:r w:rsidR="00752838">
        <w:rPr>
          <w:rFonts w:eastAsia="Calibri"/>
        </w:rPr>
        <w:t>s</w:t>
      </w:r>
      <w:r w:rsidR="004025CA">
        <w:rPr>
          <w:rFonts w:eastAsia="Calibri"/>
        </w:rPr>
        <w:t xml:space="preserve"> only version of the </w:t>
      </w:r>
      <w:r w:rsidR="00783E5B">
        <w:rPr>
          <w:rFonts w:eastAsia="Calibri"/>
        </w:rPr>
        <w:t>LTS</w:t>
      </w:r>
      <w:r w:rsidR="001369CE">
        <w:rPr>
          <w:rFonts w:eastAsia="Calibri"/>
        </w:rPr>
        <w:t>, the HPOG 2.0 Long-</w:t>
      </w:r>
      <w:r w:rsidR="00216F65">
        <w:rPr>
          <w:rFonts w:eastAsia="Calibri"/>
        </w:rPr>
        <w:t>T</w:t>
      </w:r>
      <w:r w:rsidR="001369CE">
        <w:rPr>
          <w:rFonts w:eastAsia="Calibri"/>
        </w:rPr>
        <w:t>erm Survey Critical Items Instrument (LTS-CII), which</w:t>
      </w:r>
      <w:r w:rsidR="004025CA">
        <w:rPr>
          <w:rFonts w:eastAsia="Calibri"/>
        </w:rPr>
        <w:t xml:space="preserve"> is </w:t>
      </w:r>
      <w:r>
        <w:rPr>
          <w:rFonts w:eastAsia="Calibri"/>
        </w:rPr>
        <w:t xml:space="preserve">shorter in length (20 minutes as opposed to </w:t>
      </w:r>
      <w:r w:rsidR="00C7626C">
        <w:rPr>
          <w:rFonts w:eastAsia="Calibri"/>
        </w:rPr>
        <w:t>60</w:t>
      </w:r>
      <w:r>
        <w:rPr>
          <w:rFonts w:eastAsia="Calibri"/>
        </w:rPr>
        <w:t xml:space="preserve"> minutes). </w:t>
      </w:r>
      <w:r w:rsidR="004025CA">
        <w:rPr>
          <w:rFonts w:eastAsia="Calibri"/>
        </w:rPr>
        <w:t xml:space="preserve">This shorter version (Instrument 21a) </w:t>
      </w:r>
      <w:r>
        <w:rPr>
          <w:rFonts w:eastAsia="Calibri"/>
        </w:rPr>
        <w:t xml:space="preserve">is intended to serve as a tool to maximize response rates by offering participants that would likely become a final refusal the opportunity to complete a shorter version of the instrument. As noted </w:t>
      </w:r>
      <w:r w:rsidR="004025CA">
        <w:rPr>
          <w:rFonts w:eastAsia="Calibri"/>
        </w:rPr>
        <w:t xml:space="preserve">in Supporting Statement A and in Section B4, the use of the critical items only version of the HPOG 2.0 </w:t>
      </w:r>
      <w:r w:rsidR="00216F65">
        <w:rPr>
          <w:rFonts w:eastAsia="Calibri"/>
        </w:rPr>
        <w:t xml:space="preserve">ITS </w:t>
      </w:r>
      <w:r w:rsidR="004025CA">
        <w:rPr>
          <w:rFonts w:eastAsia="Calibri"/>
        </w:rPr>
        <w:t>helped improve the overall response rate for the key outcomes of interest and minimized the response rate differen</w:t>
      </w:r>
      <w:r w:rsidR="006D6745">
        <w:rPr>
          <w:rFonts w:eastAsia="Calibri"/>
        </w:rPr>
        <w:t>tial</w:t>
      </w:r>
      <w:r w:rsidR="004025CA">
        <w:rPr>
          <w:rFonts w:eastAsia="Calibri"/>
        </w:rPr>
        <w:t xml:space="preserve"> between treatment and control group members</w:t>
      </w:r>
      <w:r w:rsidR="00E5569D">
        <w:rPr>
          <w:rFonts w:eastAsia="Calibri"/>
        </w:rPr>
        <w:t>.</w:t>
      </w:r>
      <w:r w:rsidRPr="00361C31" w:rsidR="00232500">
        <w:rPr>
          <w:rFonts w:cstheme="minorHAnsi"/>
        </w:rPr>
        <w:t xml:space="preserve"> See S</w:t>
      </w:r>
      <w:r w:rsidR="00531F2F">
        <w:rPr>
          <w:rFonts w:cstheme="minorHAnsi"/>
        </w:rPr>
        <w:t>upporting Statement</w:t>
      </w:r>
      <w:r w:rsidRPr="00361C31" w:rsidR="00232500">
        <w:rPr>
          <w:rFonts w:cstheme="minorHAnsi"/>
        </w:rPr>
        <w:t xml:space="preserve"> A for more detail on the research questions and instrument content and Attachment </w:t>
      </w:r>
      <w:r w:rsidR="00822564">
        <w:rPr>
          <w:rFonts w:cstheme="minorHAnsi"/>
        </w:rPr>
        <w:t>AC-</w:t>
      </w:r>
      <w:r w:rsidR="001A72BB">
        <w:rPr>
          <w:rFonts w:cstheme="minorHAnsi"/>
        </w:rPr>
        <w:t xml:space="preserve">HPOG 2.0 </w:t>
      </w:r>
      <w:r w:rsidR="004025CA">
        <w:rPr>
          <w:rFonts w:cstheme="minorHAnsi"/>
        </w:rPr>
        <w:t>Long-</w:t>
      </w:r>
      <w:r w:rsidR="001A72BB">
        <w:rPr>
          <w:rFonts w:cstheme="minorHAnsi"/>
        </w:rPr>
        <w:t>T</w:t>
      </w:r>
      <w:r w:rsidR="0045025A">
        <w:rPr>
          <w:rFonts w:cstheme="minorHAnsi"/>
        </w:rPr>
        <w:t xml:space="preserve">erm </w:t>
      </w:r>
      <w:r w:rsidR="00116FBD">
        <w:rPr>
          <w:rFonts w:cstheme="minorHAnsi"/>
        </w:rPr>
        <w:t xml:space="preserve">Survey Sources </w:t>
      </w:r>
      <w:r w:rsidRPr="00361C31" w:rsidR="00232500">
        <w:rPr>
          <w:rFonts w:cstheme="minorHAnsi"/>
        </w:rPr>
        <w:t xml:space="preserve">for a listing of sources used for each question in the </w:t>
      </w:r>
      <w:r w:rsidR="001A72BB">
        <w:rPr>
          <w:rFonts w:cstheme="minorHAnsi"/>
        </w:rPr>
        <w:t>HPOG 2.0 LTS</w:t>
      </w:r>
      <w:r w:rsidRPr="00361C31" w:rsidR="00232500">
        <w:rPr>
          <w:rFonts w:cstheme="minorHAnsi"/>
        </w:rPr>
        <w:t xml:space="preserve">. </w:t>
      </w:r>
    </w:p>
    <w:p w:rsidR="00FF1CAB" w:rsidP="00232A9D" w:rsidRDefault="00FF1CAB" w14:paraId="0D606F13" w14:textId="77777777">
      <w:pPr>
        <w:autoSpaceDE w:val="0"/>
        <w:autoSpaceDN w:val="0"/>
        <w:adjustRightInd w:val="0"/>
        <w:spacing w:after="0" w:line="240" w:lineRule="auto"/>
        <w:rPr>
          <w:rFonts w:cstheme="minorHAnsi"/>
        </w:rPr>
      </w:pPr>
    </w:p>
    <w:p w:rsidRPr="001A59B6" w:rsidR="00A42C71" w:rsidP="00232A9D" w:rsidRDefault="00A42C71"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F1CAB" w:rsidP="00234AC4" w:rsidRDefault="00427684" w14:paraId="23D4A69F" w14:textId="05B4BD9E">
      <w:pPr>
        <w:spacing w:after="240" w:line="240" w:lineRule="auto"/>
      </w:pPr>
      <w:r w:rsidRPr="00B4031D">
        <w:t xml:space="preserve">The procedures for this survey build off those developed for the </w:t>
      </w:r>
      <w:r w:rsidR="00B4031D">
        <w:t>STS and ITS</w:t>
      </w:r>
      <w:r w:rsidRPr="00B4031D">
        <w:t xml:space="preserve"> efforts (</w:t>
      </w:r>
      <w:r w:rsidR="00B4031D">
        <w:t xml:space="preserve">Instrument 12 </w:t>
      </w:r>
      <w:r w:rsidRPr="00B4031D">
        <w:t xml:space="preserve">previously approved in June 2018 and </w:t>
      </w:r>
      <w:r w:rsidR="00B4031D">
        <w:t>Instrument</w:t>
      </w:r>
      <w:r w:rsidR="00C33425">
        <w:t>s</w:t>
      </w:r>
      <w:r w:rsidR="00B4031D">
        <w:t xml:space="preserve"> 18 </w:t>
      </w:r>
      <w:r w:rsidR="00C33425">
        <w:t xml:space="preserve">and 18a </w:t>
      </w:r>
      <w:r w:rsidR="00B4031D">
        <w:t xml:space="preserve">previously approved in July 2019, with updates in </w:t>
      </w:r>
      <w:r w:rsidRPr="00B4031D">
        <w:t>June 2020)</w:t>
      </w:r>
      <w:r w:rsidRPr="00B4031D" w:rsidR="001C5710">
        <w:t xml:space="preserve">. </w:t>
      </w:r>
      <w:r w:rsidR="009F335B">
        <w:t xml:space="preserve">The survey will be programmed and administered using Confirmit Computer Aided Personal Interviewing (CAPI) technology. Interviewers will use tablets equipped with the Confirmit software to conduct the surveys. </w:t>
      </w:r>
      <w:r w:rsidR="009F335B">
        <w:rPr>
          <w:rStyle w:val="CommentReference"/>
          <w:sz w:val="22"/>
        </w:rPr>
        <w:t xml:space="preserve">The evaluation </w:t>
      </w:r>
      <w:r w:rsidR="00C90E50">
        <w:rPr>
          <w:rStyle w:val="CommentReference"/>
          <w:sz w:val="22"/>
        </w:rPr>
        <w:t>c</w:t>
      </w:r>
      <w:r w:rsidR="009F335B">
        <w:rPr>
          <w:rStyle w:val="CommentReference"/>
          <w:sz w:val="22"/>
        </w:rPr>
        <w:t xml:space="preserve">ontractor will send an </w:t>
      </w:r>
      <w:r w:rsidR="009F335B">
        <w:t>advance letter to all participants selected for the LTS data collection effort</w:t>
      </w:r>
      <w:r w:rsidR="006E7513">
        <w:t>.</w:t>
      </w:r>
      <w:r w:rsidR="009F335B">
        <w:t xml:space="preserve"> Trained interviewers will attempt to locate and interview respondents first by telephone and then in-person.</w:t>
      </w:r>
      <w:r w:rsidR="00E8046F">
        <w:rPr>
          <w:rStyle w:val="FootnoteReference"/>
        </w:rPr>
        <w:footnoteReference w:id="11"/>
      </w:r>
      <w:r w:rsidR="009F335B">
        <w:t xml:space="preserve"> </w:t>
      </w:r>
      <w:r w:rsidR="004D392E">
        <w:t xml:space="preserve">See the section on “Interviewing” below for more detail on potential COVID-19 implications for in-person follow-up. </w:t>
      </w:r>
      <w:r w:rsidR="009F335B">
        <w:rPr>
          <w:rFonts w:cs="Calibri"/>
        </w:rPr>
        <w:t xml:space="preserve">The remainder of this section describes the planned data collection procedures in more detail. </w:t>
      </w:r>
      <w:r w:rsidRPr="00B4031D">
        <w:t>We first describe procedures for maintaining contact information for all survey sample members and then describe the procedures for data collection.</w:t>
      </w:r>
    </w:p>
    <w:p w:rsidR="00887F7C" w:rsidP="00887F7C" w:rsidRDefault="002C7442" w14:paraId="7F2EA324" w14:textId="77777777">
      <w:pPr>
        <w:spacing w:after="120" w:line="240" w:lineRule="auto"/>
        <w:rPr>
          <w:b/>
          <w:u w:val="single"/>
        </w:rPr>
      </w:pPr>
      <w:r w:rsidRPr="00571EEF">
        <w:rPr>
          <w:b/>
          <w:u w:val="single"/>
        </w:rPr>
        <w:t>Participant Contact Update Request Procedures</w:t>
      </w:r>
      <w:r w:rsidR="00887F7C">
        <w:rPr>
          <w:b/>
          <w:u w:val="single"/>
        </w:rPr>
        <w:t>.</w:t>
      </w:r>
    </w:p>
    <w:p w:rsidR="002C7442" w:rsidP="00AA2180" w:rsidRDefault="002C7442" w14:paraId="7993809C" w14:textId="2EF32011">
      <w:pPr>
        <w:spacing w:after="240" w:line="240" w:lineRule="auto"/>
      </w:pPr>
      <w:r>
        <w:t>The participant contact update form</w:t>
      </w:r>
      <w:r w:rsidR="008C2329">
        <w:t xml:space="preserve"> </w:t>
      </w:r>
      <w:r w:rsidR="00F85736">
        <w:t>(Instrument 5b</w:t>
      </w:r>
      <w:r w:rsidR="00074932">
        <w:t xml:space="preserve">, previously approved under this OMB </w:t>
      </w:r>
      <w:r w:rsidR="00234AC4">
        <w:t>c</w:t>
      </w:r>
      <w:r w:rsidR="00074932">
        <w:t xml:space="preserve">ontrol </w:t>
      </w:r>
      <w:r w:rsidR="00234AC4">
        <w:t>n</w:t>
      </w:r>
      <w:r w:rsidR="00074932">
        <w:t>umber</w:t>
      </w:r>
      <w:r w:rsidR="00F85736">
        <w:t xml:space="preserve">) </w:t>
      </w:r>
      <w:r w:rsidR="009D52F1">
        <w:t>is</w:t>
      </w:r>
      <w:r>
        <w:t xml:space="preserve"> self-administered</w:t>
      </w:r>
      <w:r w:rsidR="009D52F1">
        <w:t>.</w:t>
      </w:r>
      <w:r w:rsidR="009540B7">
        <w:rPr>
          <w:rStyle w:val="FootnoteReference"/>
        </w:rPr>
        <w:footnoteReference w:id="12"/>
      </w:r>
      <w:r w:rsidR="009D52F1">
        <w:t xml:space="preserve"> </w:t>
      </w:r>
      <w:r>
        <w:t xml:space="preserve">The form </w:t>
      </w:r>
      <w:r w:rsidR="009D52F1">
        <w:t>is</w:t>
      </w:r>
      <w:r>
        <w:t xml:space="preserve"> mailed to sample members quarterly, beginning three months after random assignment. Participants </w:t>
      </w:r>
      <w:r w:rsidR="009D52F1">
        <w:t>are</w:t>
      </w:r>
      <w:r>
        <w:t xml:space="preserve"> encouraged to </w:t>
      </w:r>
      <w:r w:rsidR="00B70437">
        <w:t xml:space="preserve">update their information </w:t>
      </w:r>
      <w:r>
        <w:t xml:space="preserve">by returning the form by mail, through a secure online portal, or they can update their contact information by </w:t>
      </w:r>
      <w:r w:rsidR="00B70437">
        <w:t>calling the evaluation contractor’s toll-free number</w:t>
      </w:r>
      <w:r>
        <w:t xml:space="preserve">. Participants can indicate that the information is </w:t>
      </w:r>
      <w:r w:rsidR="00796523">
        <w:t>correct,</w:t>
      </w:r>
      <w:r>
        <w:t xml:space="preserve"> or they can make any necessary changes </w:t>
      </w:r>
      <w:r w:rsidR="00687799">
        <w:t xml:space="preserve">to </w:t>
      </w:r>
      <w:r>
        <w:t xml:space="preserve">contact information. </w:t>
      </w:r>
      <w:r w:rsidR="000E65AB">
        <w:t xml:space="preserve">The contact update requests improve the quality of the contact information we have in our records by allowing participants to </w:t>
      </w:r>
      <w:r w:rsidR="00D304B0">
        <w:t xml:space="preserve">update address </w:t>
      </w:r>
      <w:r w:rsidR="00D304B0">
        <w:lastRenderedPageBreak/>
        <w:t>information,</w:t>
      </w:r>
      <w:r w:rsidR="00067B9F">
        <w:t xml:space="preserve"> </w:t>
      </w:r>
      <w:r w:rsidR="000E65AB">
        <w:t>add apartment numbers, correct zip codes</w:t>
      </w:r>
      <w:r w:rsidR="007D4FDF">
        <w:t xml:space="preserve">, update phone numbers—all of which helps to </w:t>
      </w:r>
      <w:r w:rsidR="000E65AB">
        <w:t xml:space="preserve">improve the accuracy of </w:t>
      </w:r>
      <w:r w:rsidR="007D4FDF">
        <w:t>outreach</w:t>
      </w:r>
      <w:r w:rsidR="000E65AB">
        <w:t xml:space="preserve"> efforts</w:t>
      </w:r>
      <w:r w:rsidR="007179FF">
        <w:t xml:space="preserve">. </w:t>
      </w:r>
    </w:p>
    <w:p w:rsidR="00514363" w:rsidP="00AA2180" w:rsidRDefault="009C4B12" w14:paraId="0AE04757" w14:textId="771CC3A8">
      <w:pPr>
        <w:spacing w:after="240" w:line="240" w:lineRule="auto"/>
      </w:pPr>
      <w:r>
        <w:rPr>
          <w:rFonts w:ascii="Calibri" w:hAnsi="Calibri" w:cs="Calibri"/>
        </w:rPr>
        <w:t xml:space="preserve">As approved in July 2021, </w:t>
      </w:r>
      <w:r w:rsidR="00234AC4">
        <w:rPr>
          <w:rFonts w:ascii="Calibri" w:hAnsi="Calibri" w:cs="Calibri"/>
        </w:rPr>
        <w:t>the</w:t>
      </w:r>
      <w:r w:rsidR="000B43A3">
        <w:rPr>
          <w:rFonts w:ascii="Calibri" w:hAnsi="Calibri" w:cs="Calibri"/>
        </w:rPr>
        <w:t xml:space="preserve"> </w:t>
      </w:r>
      <w:r>
        <w:rPr>
          <w:rFonts w:ascii="Calibri" w:hAnsi="Calibri" w:cs="Calibri"/>
        </w:rPr>
        <w:t>evaluation contractor will</w:t>
      </w:r>
      <w:r w:rsidR="00E87218">
        <w:rPr>
          <w:rFonts w:ascii="Calibri" w:hAnsi="Calibri" w:cs="Calibri"/>
        </w:rPr>
        <w:t xml:space="preserve"> substitute </w:t>
      </w:r>
      <w:r w:rsidRPr="00514363" w:rsidR="00514363">
        <w:t>one round of contact update</w:t>
      </w:r>
      <w:r w:rsidR="00B70437">
        <w:t xml:space="preserve"> mail requests </w:t>
      </w:r>
      <w:r w:rsidR="009952D6">
        <w:t>with</w:t>
      </w:r>
      <w:r w:rsidR="004C5C89">
        <w:t xml:space="preserve"> </w:t>
      </w:r>
      <w:r w:rsidR="00B70437">
        <w:t xml:space="preserve">conduct updates </w:t>
      </w:r>
      <w:r w:rsidRPr="00514363" w:rsidR="00514363">
        <w:t xml:space="preserve">by phone, </w:t>
      </w:r>
      <w:r>
        <w:t>instead</w:t>
      </w:r>
      <w:r w:rsidR="00514363">
        <w:t>.</w:t>
      </w:r>
      <w:r w:rsidRPr="0002341E" w:rsidR="00514363">
        <w:t xml:space="preserve"> </w:t>
      </w:r>
      <w:r w:rsidR="00E87218">
        <w:t>L</w:t>
      </w:r>
      <w:r w:rsidRPr="0002341E" w:rsidR="00514363">
        <w:t>ocal interviewers</w:t>
      </w:r>
      <w:r w:rsidR="00E87218">
        <w:t xml:space="preserve"> working under the evaluation contractor</w:t>
      </w:r>
      <w:r w:rsidRPr="0002341E" w:rsidR="00514363">
        <w:t xml:space="preserve"> will </w:t>
      </w:r>
      <w:r w:rsidR="001B6A57">
        <w:t>make</w:t>
      </w:r>
      <w:r w:rsidRPr="0002341E" w:rsidR="00514363">
        <w:t xml:space="preserve"> </w:t>
      </w:r>
      <w:r w:rsidR="001B6A57">
        <w:t xml:space="preserve">outbound calls to conduct </w:t>
      </w:r>
      <w:r w:rsidRPr="0002341E" w:rsidR="00514363">
        <w:t xml:space="preserve">a short check-in call with study participants </w:t>
      </w:r>
      <w:r w:rsidR="0065523A">
        <w:t>eight months</w:t>
      </w:r>
      <w:r w:rsidR="00514363">
        <w:t xml:space="preserve"> prior to the start of the </w:t>
      </w:r>
      <w:r w:rsidR="00783E5B">
        <w:t>LTS</w:t>
      </w:r>
      <w:r w:rsidR="0061006C">
        <w:t xml:space="preserve">. </w:t>
      </w:r>
      <w:r w:rsidRPr="0002341E" w:rsidR="00514363">
        <w:t xml:space="preserve">This call allows the interviewers to build upon their existing rapport with participants established during the </w:t>
      </w:r>
      <w:r w:rsidR="0065523A">
        <w:t>short-term and intermediate</w:t>
      </w:r>
      <w:r w:rsidR="005A2940">
        <w:t>-term</w:t>
      </w:r>
      <w:r w:rsidRPr="0002341E" w:rsidR="00514363">
        <w:t xml:space="preserve"> follow-up data collection efforts</w:t>
      </w:r>
      <w:r w:rsidR="0061006C">
        <w:t xml:space="preserve">. </w:t>
      </w:r>
      <w:r w:rsidRPr="0002341E" w:rsidR="00514363">
        <w:t>Interviewers will inform study participants about the next survey data collection effort and address any questions about the study</w:t>
      </w:r>
      <w:r w:rsidR="00E87218">
        <w:t>.</w:t>
      </w:r>
      <w:r w:rsidRPr="0002341E" w:rsidR="00514363">
        <w:t xml:space="preserve"> Interviewers </w:t>
      </w:r>
      <w:r w:rsidR="001623C1">
        <w:t>will</w:t>
      </w:r>
      <w:r w:rsidRPr="0002341E" w:rsidR="001623C1">
        <w:t xml:space="preserve"> </w:t>
      </w:r>
      <w:r w:rsidRPr="0002341E" w:rsidR="00514363">
        <w:t>conclude the call by collecting updated contact data</w:t>
      </w:r>
      <w:r w:rsidR="0061006C">
        <w:t xml:space="preserve">. </w:t>
      </w:r>
      <w:r w:rsidRPr="0002341E" w:rsidR="00514363">
        <w:t xml:space="preserve">All new contact information will be appended to the study database prior to the start of the </w:t>
      </w:r>
      <w:r w:rsidR="008257C1">
        <w:t>LTS</w:t>
      </w:r>
      <w:r w:rsidRPr="0002341E" w:rsidR="00514363">
        <w:t>.</w:t>
      </w:r>
      <w:r w:rsidR="00514363">
        <w:t xml:space="preserve"> (See </w:t>
      </w:r>
      <w:r w:rsidR="001623C1">
        <w:t xml:space="preserve">previously approved </w:t>
      </w:r>
      <w:r w:rsidR="00B70437">
        <w:t>Instrument 5b</w:t>
      </w:r>
      <w:r w:rsidRPr="002D1176" w:rsidR="002D1176">
        <w:t xml:space="preserve"> </w:t>
      </w:r>
      <w:r w:rsidR="002D1176">
        <w:t xml:space="preserve">HPOG 2.0 Contact Update </w:t>
      </w:r>
      <w:r w:rsidR="00B70437">
        <w:t>Phone Version, which includes</w:t>
      </w:r>
      <w:r w:rsidR="002D1176">
        <w:t xml:space="preserve"> </w:t>
      </w:r>
      <w:r w:rsidR="00514363">
        <w:t xml:space="preserve">the </w:t>
      </w:r>
      <w:r w:rsidR="002D1176">
        <w:t xml:space="preserve">script the evaluation contractor will use to make the outbound calls to collect the </w:t>
      </w:r>
      <w:r w:rsidR="00B70437">
        <w:t xml:space="preserve">updated contact </w:t>
      </w:r>
      <w:r w:rsidR="002D1176">
        <w:t>information</w:t>
      </w:r>
      <w:r w:rsidR="00514363">
        <w:t>.)</w:t>
      </w:r>
    </w:p>
    <w:p w:rsidR="00512966" w:rsidP="004510B5" w:rsidRDefault="00512966" w14:paraId="178193B6" w14:textId="7BE50F21">
      <w:pPr>
        <w:spacing w:after="240" w:line="240" w:lineRule="auto"/>
      </w:pPr>
      <w:r w:rsidRPr="00F1717F">
        <w:rPr>
          <w:b/>
          <w:bCs/>
          <w:i/>
          <w:iCs/>
        </w:rPr>
        <w:t>HPOG 2.0 Participant Newsletter</w:t>
      </w:r>
      <w:r>
        <w:rPr>
          <w:b/>
          <w:bCs/>
          <w:i/>
          <w:iCs/>
        </w:rPr>
        <w:t>.</w:t>
      </w:r>
      <w:r w:rsidRPr="00F1717F">
        <w:t xml:space="preserve"> </w:t>
      </w:r>
      <w:r w:rsidR="001623C1">
        <w:t xml:space="preserve">As approved under this OMB control number in July 2021, the evaluation contractor will also send participants in the </w:t>
      </w:r>
      <w:r w:rsidR="00783E5B">
        <w:t>LTS</w:t>
      </w:r>
      <w:r w:rsidR="001623C1">
        <w:t xml:space="preserve"> sample </w:t>
      </w:r>
      <w:r>
        <w:t xml:space="preserve">a participant newsletter. The HPOG 2.0 Participant Newsletter (Attachment AA) will remind participants that they are part of this study. </w:t>
      </w:r>
      <w:r w:rsidRPr="0020155E">
        <w:t>This newsletter will thank participants for their continued cooperation</w:t>
      </w:r>
      <w:r>
        <w:t xml:space="preserve"> and remind them of </w:t>
      </w:r>
      <w:r w:rsidRPr="0020155E">
        <w:t>the importance of their participation—even if they were assigned to the control group and did not participate in the program</w:t>
      </w:r>
      <w:r>
        <w:t xml:space="preserve">. </w:t>
      </w:r>
      <w:r w:rsidRPr="0020155E">
        <w:t xml:space="preserve">It will </w:t>
      </w:r>
      <w:r>
        <w:t xml:space="preserve">also </w:t>
      </w:r>
      <w:r w:rsidRPr="0020155E">
        <w:t xml:space="preserve">include </w:t>
      </w:r>
      <w:r>
        <w:t xml:space="preserve">a summary of key </w:t>
      </w:r>
      <w:r w:rsidRPr="0002341E">
        <w:t>HPOG</w:t>
      </w:r>
      <w:r>
        <w:t xml:space="preserve"> 2.0 i</w:t>
      </w:r>
      <w:r w:rsidRPr="0002341E">
        <w:t xml:space="preserve">mpact </w:t>
      </w:r>
      <w:r>
        <w:t xml:space="preserve">evaluation accomplishments since grants were awarded in 2015. </w:t>
      </w:r>
      <w:r w:rsidRPr="0020155E">
        <w:t>Finally, it will explain the remaining data collection activities and offer participants an opportunity to update their contact information via the online system or on paper</w:t>
      </w:r>
      <w:r>
        <w:t xml:space="preserve">. </w:t>
      </w:r>
      <w:r w:rsidRPr="0020155E">
        <w:t xml:space="preserve">This </w:t>
      </w:r>
      <w:r>
        <w:t xml:space="preserve">one-time </w:t>
      </w:r>
      <w:r w:rsidRPr="0020155E">
        <w:t xml:space="preserve">newsletter will be sent </w:t>
      </w:r>
      <w:r>
        <w:t>12 months</w:t>
      </w:r>
      <w:r w:rsidRPr="0020155E">
        <w:t xml:space="preserve"> prior to the release of the </w:t>
      </w:r>
      <w:r w:rsidR="00783E5B">
        <w:t>LTS</w:t>
      </w:r>
      <w:r w:rsidRPr="0020155E">
        <w:t xml:space="preserve">, </w:t>
      </w:r>
      <w:r>
        <w:t>along with</w:t>
      </w:r>
      <w:r w:rsidRPr="0020155E">
        <w:t xml:space="preserve"> the standard contact update </w:t>
      </w:r>
      <w:r>
        <w:t>request form</w:t>
      </w:r>
      <w:r w:rsidRPr="0020155E">
        <w:t xml:space="preserve"> that would </w:t>
      </w:r>
      <w:r>
        <w:t>go</w:t>
      </w:r>
      <w:r w:rsidRPr="0020155E">
        <w:t xml:space="preserve"> out at that time</w:t>
      </w:r>
      <w:r>
        <w:t xml:space="preserve">. </w:t>
      </w:r>
    </w:p>
    <w:p w:rsidRPr="00AB4474" w:rsidR="002C7442" w:rsidP="0065523A" w:rsidRDefault="00783E5B" w14:paraId="2AB9D6E9" w14:textId="2A10D121">
      <w:pPr>
        <w:spacing w:after="120" w:line="240" w:lineRule="auto"/>
        <w:rPr>
          <w:b/>
          <w:u w:val="single"/>
        </w:rPr>
      </w:pPr>
      <w:r>
        <w:rPr>
          <w:b/>
          <w:u w:val="single"/>
        </w:rPr>
        <w:t>LTS</w:t>
      </w:r>
      <w:r w:rsidRPr="00AB4474" w:rsidR="002C7442">
        <w:rPr>
          <w:b/>
          <w:u w:val="single"/>
        </w:rPr>
        <w:t xml:space="preserve"> Procedures</w:t>
      </w:r>
    </w:p>
    <w:p w:rsidR="002C7442" w:rsidP="00BD101E" w:rsidRDefault="002C7442" w14:paraId="795C3907" w14:textId="0A8B17F5">
      <w:pPr>
        <w:spacing w:after="240" w:line="240" w:lineRule="auto"/>
      </w:pPr>
      <w:r>
        <w:rPr>
          <w:b/>
          <w:i/>
        </w:rPr>
        <w:t>Interviewer Staffing</w:t>
      </w:r>
      <w:r w:rsidRPr="001920AC">
        <w:rPr>
          <w:b/>
          <w:i/>
        </w:rPr>
        <w:t>:</w:t>
      </w:r>
      <w:r>
        <w:t xml:space="preserve">  An experienced, trained staff of interviewers will conduct the </w:t>
      </w:r>
      <w:r w:rsidR="00783E5B">
        <w:t>LTS</w:t>
      </w:r>
      <w:r w:rsidR="00B04A2F">
        <w:t xml:space="preserve"> with participants</w:t>
      </w:r>
      <w:r>
        <w:t>.</w:t>
      </w:r>
      <w:r w:rsidR="00463480">
        <w:t xml:space="preserve"> T</w:t>
      </w:r>
      <w:r w:rsidRPr="0011475A" w:rsidR="00463480">
        <w:t xml:space="preserve">o the extent possible, the </w:t>
      </w:r>
      <w:r w:rsidR="00D304B0">
        <w:t xml:space="preserve">evaluation contractor </w:t>
      </w:r>
      <w:r w:rsidRPr="0011475A" w:rsidR="00463480">
        <w:t xml:space="preserve">will recruit interviewers who worked successfully on </w:t>
      </w:r>
      <w:r w:rsidR="00463480">
        <w:t xml:space="preserve">the HPOG 2.0 </w:t>
      </w:r>
      <w:r w:rsidR="001D267D">
        <w:t>STS, ITS,</w:t>
      </w:r>
      <w:r w:rsidR="001403CC">
        <w:t xml:space="preserve"> </w:t>
      </w:r>
      <w:r w:rsidR="002817E2">
        <w:t xml:space="preserve">and </w:t>
      </w:r>
      <w:r w:rsidR="001403CC">
        <w:t>COVID-19 Cohort STS</w:t>
      </w:r>
      <w:r w:rsidR="00463480">
        <w:t xml:space="preserve"> data collection efforts</w:t>
      </w:r>
      <w:r w:rsidR="00FB43FB">
        <w:t xml:space="preserve">. </w:t>
      </w:r>
      <w:r w:rsidR="009426CA">
        <w:t>T</w:t>
      </w:r>
      <w:r w:rsidRPr="00793D89" w:rsidR="002F2735">
        <w:t xml:space="preserve">hese </w:t>
      </w:r>
      <w:r w:rsidRPr="00793D89" w:rsidR="00463480">
        <w:t>interviewers</w:t>
      </w:r>
      <w:r w:rsidR="00463480">
        <w:t xml:space="preserve"> are familiar with HPOG 2.0 and career pathways model and study goals, and they have</w:t>
      </w:r>
      <w:r w:rsidRPr="00793D89" w:rsidR="00463480">
        <w:t xml:space="preserve"> valuable experience </w:t>
      </w:r>
      <w:r w:rsidR="00116FBD">
        <w:t>working with this study population</w:t>
      </w:r>
      <w:r w:rsidR="0061006C">
        <w:t xml:space="preserve">. </w:t>
      </w:r>
      <w:r w:rsidR="003023AD">
        <w:t xml:space="preserve">All interviewers </w:t>
      </w:r>
      <w:r w:rsidR="002F2735">
        <w:t xml:space="preserve">will participate in </w:t>
      </w:r>
      <w:r w:rsidR="00796523">
        <w:t>a training</w:t>
      </w:r>
      <w:r>
        <w:t xml:space="preserve"> </w:t>
      </w:r>
      <w:r w:rsidR="003023AD">
        <w:t xml:space="preserve">that </w:t>
      </w:r>
      <w:r>
        <w:t xml:space="preserve">includes didactic presentations, numerous hands-on practice exercises, and role-play interviews. The evaluator’s training materials </w:t>
      </w:r>
      <w:r w:rsidR="002B7FB6">
        <w:t xml:space="preserve">will </w:t>
      </w:r>
      <w:r w:rsidR="00116FBD">
        <w:t xml:space="preserve">build on those prepared for the </w:t>
      </w:r>
      <w:r w:rsidR="001403CC">
        <w:t xml:space="preserve">prior </w:t>
      </w:r>
      <w:r w:rsidR="002817E2">
        <w:t>HPOG 2.0</w:t>
      </w:r>
      <w:r w:rsidR="001403CC">
        <w:t xml:space="preserve"> s</w:t>
      </w:r>
      <w:r w:rsidR="00116FBD">
        <w:t>urveys</w:t>
      </w:r>
      <w:r>
        <w:t xml:space="preserve">. </w:t>
      </w:r>
    </w:p>
    <w:p w:rsidR="00571EEF" w:rsidP="00BD101E" w:rsidRDefault="002C7442" w14:paraId="1A776047" w14:textId="0AFF3376">
      <w:pPr>
        <w:pStyle w:val="BodyText"/>
        <w:spacing w:after="240" w:line="240" w:lineRule="auto"/>
      </w:pPr>
      <w:bookmarkStart w:name="_Ref414435647" w:id="5"/>
      <w:bookmarkStart w:name="_Toc480878623" w:id="6"/>
      <w:bookmarkStart w:name="_Toc480903474" w:id="7"/>
      <w:r w:rsidRPr="00C71FEC">
        <w:rPr>
          <w:b/>
          <w:i/>
        </w:rPr>
        <w:t>Advance Letter:</w:t>
      </w:r>
      <w:r w:rsidRPr="001920AC">
        <w:rPr>
          <w:b/>
        </w:rPr>
        <w:t xml:space="preserve">  </w:t>
      </w:r>
      <w:r w:rsidR="00463480">
        <w:t xml:space="preserve">The evaluation team will mail an advance letter to all participants in </w:t>
      </w:r>
      <w:r w:rsidR="002F2735">
        <w:t xml:space="preserve">the </w:t>
      </w:r>
      <w:r w:rsidR="00463480">
        <w:t xml:space="preserve">randomization cohort selected for inclusion in the </w:t>
      </w:r>
      <w:r w:rsidR="00783E5B">
        <w:t>LTS</w:t>
      </w:r>
      <w:r w:rsidR="00463480">
        <w:t xml:space="preserve">. The </w:t>
      </w:r>
      <w:r w:rsidRPr="00C71FEC">
        <w:t xml:space="preserve">advance letter </w:t>
      </w:r>
      <w:r w:rsidR="002F2735">
        <w:t xml:space="preserve">(Attachment </w:t>
      </w:r>
      <w:r w:rsidR="00FB43FB">
        <w:t>AB</w:t>
      </w:r>
      <w:r w:rsidR="002F2735">
        <w:t xml:space="preserve">) </w:t>
      </w:r>
      <w:r w:rsidRPr="00C71FEC">
        <w:t>will be mailed to</w:t>
      </w:r>
      <w:r>
        <w:t xml:space="preserve"> study </w:t>
      </w:r>
      <w:r w:rsidRPr="00C71FEC">
        <w:t>participants</w:t>
      </w:r>
      <w:r>
        <w:t xml:space="preserve"> selected to participate in the survey</w:t>
      </w:r>
      <w:r w:rsidRPr="00C71FEC">
        <w:t xml:space="preserve"> approximately one and a half weeks before </w:t>
      </w:r>
      <w:r>
        <w:t xml:space="preserve">interviewers begin data collection. </w:t>
      </w:r>
      <w:r w:rsidRPr="00C71FEC">
        <w:t xml:space="preserve">The advance letter </w:t>
      </w:r>
      <w:r w:rsidR="002F2735">
        <w:t>helps</w:t>
      </w:r>
      <w:r w:rsidRPr="00C71FEC">
        <w:t xml:space="preserve"> to alert </w:t>
      </w:r>
      <w:r w:rsidR="00BD1D50">
        <w:t xml:space="preserve">participants </w:t>
      </w:r>
      <w:r w:rsidRPr="00C71FEC">
        <w:t xml:space="preserve">to the upcoming </w:t>
      </w:r>
      <w:r w:rsidR="002F2735">
        <w:t xml:space="preserve">survey </w:t>
      </w:r>
      <w:r w:rsidRPr="00C71FEC" w:rsidR="00511611">
        <w:t>effort,</w:t>
      </w:r>
      <w:r w:rsidRPr="00C71FEC">
        <w:t xml:space="preserve"> so they are more prepared for the interviewer’s call</w:t>
      </w:r>
      <w:r w:rsidR="00CC5472">
        <w:t>.</w:t>
      </w:r>
      <w:r w:rsidR="0064374F">
        <w:t xml:space="preserve"> </w:t>
      </w:r>
      <w:r w:rsidR="00A77FA6">
        <w:t>The letter</w:t>
      </w:r>
      <w:r w:rsidRPr="001920AC" w:rsidR="00A77FA6">
        <w:t xml:space="preserve"> provides </w:t>
      </w:r>
      <w:r w:rsidR="00A77FA6">
        <w:t>each selected study participant</w:t>
      </w:r>
      <w:r w:rsidRPr="001920AC" w:rsidR="00A77FA6">
        <w:t xml:space="preserve"> with a toll-free number that </w:t>
      </w:r>
      <w:r w:rsidR="00A77FA6">
        <w:t>they</w:t>
      </w:r>
      <w:r w:rsidRPr="001920AC" w:rsidR="00A77FA6">
        <w:t xml:space="preserve"> </w:t>
      </w:r>
      <w:r w:rsidR="00A77FA6">
        <w:t>can</w:t>
      </w:r>
      <w:r w:rsidRPr="001920AC" w:rsidR="00A77FA6">
        <w:t xml:space="preserve"> call to set-up an interview</w:t>
      </w:r>
      <w:r w:rsidR="00A77FA6">
        <w:t xml:space="preserve">. </w:t>
      </w:r>
      <w:r w:rsidR="00BD1D50">
        <w:t xml:space="preserve">See </w:t>
      </w:r>
      <w:r w:rsidR="00681577">
        <w:t xml:space="preserve">the previously approved </w:t>
      </w:r>
      <w:r w:rsidR="00BD1D50">
        <w:t>Supporting Statement A</w:t>
      </w:r>
      <w:r w:rsidR="00681577">
        <w:t xml:space="preserve"> from</w:t>
      </w:r>
      <w:r w:rsidR="00BD1D50">
        <w:t xml:space="preserve"> June 2018 for more information on the use of </w:t>
      </w:r>
      <w:r w:rsidR="00555DD5">
        <w:t>the</w:t>
      </w:r>
      <w:r w:rsidR="00AF1902">
        <w:t xml:space="preserve"> </w:t>
      </w:r>
      <w:r w:rsidR="00BD1D50">
        <w:t xml:space="preserve">advance letter. </w:t>
      </w:r>
    </w:p>
    <w:p w:rsidR="002C7442" w:rsidP="00BD101E" w:rsidRDefault="002C7442" w14:paraId="01E5B986" w14:textId="6E9AFD38">
      <w:pPr>
        <w:pStyle w:val="BodyText"/>
        <w:spacing w:after="240" w:line="240" w:lineRule="auto"/>
      </w:pPr>
      <w:r w:rsidRPr="001920AC">
        <w:rPr>
          <w:b/>
          <w:i/>
        </w:rPr>
        <w:t xml:space="preserve">Email Reminder:  </w:t>
      </w:r>
      <w:r>
        <w:t>I</w:t>
      </w:r>
      <w:r w:rsidRPr="009F2413">
        <w:t xml:space="preserve">nterviewers </w:t>
      </w:r>
      <w:r>
        <w:t xml:space="preserve">will attempt to contact participants by telephone first. If initial phone attempts are unsuccessful, interviewers can </w:t>
      </w:r>
      <w:r w:rsidRPr="009F2413">
        <w:t>use their project-specific email accounts to</w:t>
      </w:r>
      <w:r w:rsidRPr="003640A0">
        <w:t xml:space="preserve"> introduce </w:t>
      </w:r>
      <w:r>
        <w:t xml:space="preserve">themselves </w:t>
      </w:r>
      <w:r w:rsidRPr="003640A0">
        <w:t xml:space="preserve">as the local </w:t>
      </w:r>
      <w:r>
        <w:t xml:space="preserve">data collection </w:t>
      </w:r>
      <w:r w:rsidRPr="003640A0">
        <w:t>staff</w:t>
      </w:r>
      <w:r>
        <w:t>, explain the study</w:t>
      </w:r>
      <w:r w:rsidR="00B628E2">
        <w:t>,</w:t>
      </w:r>
      <w:r>
        <w:t xml:space="preserve"> </w:t>
      </w:r>
      <w:r w:rsidRPr="003640A0">
        <w:t>and attempt to set up an interview</w:t>
      </w:r>
      <w:r>
        <w:t>. They send this email, along with the advance letter, about halfway through the time during which they are working the cases (</w:t>
      </w:r>
      <w:r w:rsidR="00CC5472">
        <w:t>s</w:t>
      </w:r>
      <w:r w:rsidRPr="00525E74">
        <w:t xml:space="preserve">ee Attachment </w:t>
      </w:r>
      <w:bookmarkStart w:name="_Hlk67671969" w:id="8"/>
      <w:r w:rsidR="00FB43FB">
        <w:t>A</w:t>
      </w:r>
      <w:r w:rsidR="00897160">
        <w:t>E</w:t>
      </w:r>
      <w:r w:rsidR="001403CC">
        <w:t xml:space="preserve"> </w:t>
      </w:r>
      <w:r w:rsidR="00897160">
        <w:rPr>
          <w:rFonts w:cstheme="minorHAnsi"/>
        </w:rPr>
        <w:t xml:space="preserve">HPOG 2.0 </w:t>
      </w:r>
      <w:r w:rsidR="00A24335">
        <w:rPr>
          <w:rFonts w:cstheme="minorHAnsi"/>
        </w:rPr>
        <w:t xml:space="preserve">Long-Term Survey </w:t>
      </w:r>
      <w:r w:rsidRPr="00AE3275" w:rsidR="00897160">
        <w:rPr>
          <w:rFonts w:cstheme="minorHAnsi"/>
        </w:rPr>
        <w:t>Email Reminder Text</w:t>
      </w:r>
      <w:bookmarkEnd w:id="8"/>
      <w:r>
        <w:t>)</w:t>
      </w:r>
      <w:r w:rsidR="00CC5472">
        <w:t>.</w:t>
      </w:r>
    </w:p>
    <w:p w:rsidRPr="00AB4474" w:rsidR="002C7442" w:rsidP="00BD101E" w:rsidRDefault="002C7442" w14:paraId="71F4F553" w14:textId="4B4CBE17">
      <w:pPr>
        <w:spacing w:after="240" w:line="240" w:lineRule="auto"/>
        <w:rPr>
          <w:rFonts w:cstheme="minorHAnsi"/>
        </w:rPr>
      </w:pPr>
      <w:bookmarkStart w:name="_Toc494352177" w:id="9"/>
      <w:r w:rsidRPr="00571EEF">
        <w:rPr>
          <w:rFonts w:cstheme="minorHAnsi"/>
          <w:b/>
          <w:i/>
        </w:rPr>
        <w:lastRenderedPageBreak/>
        <w:t>Interviewin</w:t>
      </w:r>
      <w:bookmarkEnd w:id="5"/>
      <w:bookmarkEnd w:id="6"/>
      <w:bookmarkEnd w:id="7"/>
      <w:bookmarkEnd w:id="9"/>
      <w:r w:rsidRPr="00571EEF">
        <w:rPr>
          <w:rFonts w:cstheme="minorHAnsi"/>
          <w:b/>
          <w:i/>
        </w:rPr>
        <w:t>g</w:t>
      </w:r>
      <w:r w:rsidRPr="00571EEF">
        <w:rPr>
          <w:rFonts w:cstheme="minorHAnsi"/>
          <w:i/>
        </w:rPr>
        <w:t xml:space="preserve">: </w:t>
      </w:r>
      <w:r w:rsidR="00AB4474">
        <w:rPr>
          <w:rFonts w:cstheme="minorHAnsi"/>
        </w:rPr>
        <w:t xml:space="preserve">The </w:t>
      </w:r>
      <w:r w:rsidR="00783E5B">
        <w:rPr>
          <w:rFonts w:cstheme="minorHAnsi"/>
        </w:rPr>
        <w:t>LTS</w:t>
      </w:r>
      <w:r w:rsidR="00AB4474">
        <w:rPr>
          <w:rFonts w:cstheme="minorHAnsi"/>
        </w:rPr>
        <w:t xml:space="preserve"> data collection</w:t>
      </w:r>
      <w:r w:rsidR="00F35D80">
        <w:rPr>
          <w:rFonts w:cstheme="minorHAnsi"/>
        </w:rPr>
        <w:t xml:space="preserve"> will</w:t>
      </w:r>
      <w:r w:rsidR="00AB4474">
        <w:rPr>
          <w:rFonts w:cstheme="minorHAnsi"/>
        </w:rPr>
        <w:t xml:space="preserve"> be mixed-mode phone with in-person follow-up</w:t>
      </w:r>
      <w:r w:rsidR="000301F6">
        <w:rPr>
          <w:rFonts w:cstheme="minorHAnsi"/>
        </w:rPr>
        <w:t>—if it is determined appropriate to resume face-to-face interviewing</w:t>
      </w:r>
      <w:r w:rsidR="00CE22BE">
        <w:rPr>
          <w:rFonts w:cstheme="minorHAnsi"/>
        </w:rPr>
        <w:t>. If COVID-19 pandemic restrictions are in place at the start of data collection</w:t>
      </w:r>
      <w:r w:rsidR="004D392E">
        <w:rPr>
          <w:rFonts w:cstheme="minorHAnsi"/>
        </w:rPr>
        <w:t xml:space="preserve"> in May 2023</w:t>
      </w:r>
      <w:r w:rsidR="00CE22BE">
        <w:rPr>
          <w:rFonts w:cstheme="minorHAnsi"/>
        </w:rPr>
        <w:t>, in-person follow-up efforts will be contingent upon local conditions and adherence to CDC guidelines</w:t>
      </w:r>
      <w:r w:rsidR="00AB4474">
        <w:rPr>
          <w:rFonts w:cstheme="minorHAnsi"/>
        </w:rPr>
        <w:t xml:space="preserve">. </w:t>
      </w:r>
      <w:r w:rsidRPr="004D392E" w:rsidR="004D392E">
        <w:rPr>
          <w:rFonts w:cstheme="minorHAnsi"/>
        </w:rPr>
        <w:t xml:space="preserve">If CDC guidance indicates that in-person data collection is too risky, interviewers will continue to work cases </w:t>
      </w:r>
      <w:r w:rsidR="00E8046F">
        <w:rPr>
          <w:rFonts w:cstheme="minorHAnsi"/>
        </w:rPr>
        <w:t xml:space="preserve">only </w:t>
      </w:r>
      <w:r w:rsidRPr="004D392E" w:rsidR="004D392E">
        <w:rPr>
          <w:rFonts w:cstheme="minorHAnsi"/>
        </w:rPr>
        <w:t xml:space="preserve">by telephone, as they did for the ITS. </w:t>
      </w:r>
      <w:r w:rsidRPr="00571EEF">
        <w:rPr>
          <w:rFonts w:cstheme="minorHAnsi"/>
        </w:rPr>
        <w:t>Data collection begins when interviewers attempt to reach the selected study participants by telephone</w:t>
      </w:r>
      <w:r w:rsidR="00BD1D50">
        <w:rPr>
          <w:rFonts w:cstheme="minorHAnsi"/>
        </w:rPr>
        <w:t xml:space="preserve">, using the full contact information history for the respondent </w:t>
      </w:r>
      <w:r w:rsidRPr="00571EEF">
        <w:rPr>
          <w:rFonts w:cstheme="minorHAnsi"/>
        </w:rPr>
        <w:t>and any alternate contacts (such as family or friends that study participants identified as people who will know how to reach them). After the interviewers exhaust all phone efforts, they will work non-completed cases in pers</w:t>
      </w:r>
      <w:r w:rsidRPr="00F537F4">
        <w:rPr>
          <w:rFonts w:cstheme="minorHAnsi"/>
        </w:rPr>
        <w:t>on</w:t>
      </w:r>
      <w:r w:rsidR="00E87218">
        <w:rPr>
          <w:rFonts w:cstheme="minorHAnsi"/>
        </w:rPr>
        <w:t xml:space="preserve"> (if feasible)</w:t>
      </w:r>
      <w:r w:rsidRPr="00F537F4">
        <w:rPr>
          <w:rFonts w:cstheme="minorHAnsi"/>
        </w:rPr>
        <w:t xml:space="preserve">. Interviewers may leave specially designed project flyers with family members or friends (see Attachment </w:t>
      </w:r>
      <w:r w:rsidR="00FB43FB">
        <w:rPr>
          <w:rFonts w:cstheme="minorHAnsi"/>
        </w:rPr>
        <w:t>A</w:t>
      </w:r>
      <w:r w:rsidR="00897160">
        <w:rPr>
          <w:rFonts w:cstheme="minorHAnsi"/>
        </w:rPr>
        <w:t>D</w:t>
      </w:r>
      <w:r w:rsidR="001B14BC">
        <w:rPr>
          <w:rFonts w:cstheme="minorHAnsi"/>
        </w:rPr>
        <w:t xml:space="preserve"> </w:t>
      </w:r>
      <w:r w:rsidR="00897160">
        <w:rPr>
          <w:rFonts w:cstheme="minorHAnsi"/>
        </w:rPr>
        <w:t>HPOG 2.0 Long-</w:t>
      </w:r>
      <w:r w:rsidR="00157743">
        <w:rPr>
          <w:rFonts w:cstheme="minorHAnsi"/>
        </w:rPr>
        <w:t>T</w:t>
      </w:r>
      <w:r w:rsidR="00897160">
        <w:rPr>
          <w:rFonts w:cstheme="minorHAnsi"/>
        </w:rPr>
        <w:t xml:space="preserve">erm Survey </w:t>
      </w:r>
      <w:r w:rsidR="001C341A">
        <w:rPr>
          <w:rFonts w:cstheme="minorHAnsi"/>
        </w:rPr>
        <w:t>Trying to Reach You</w:t>
      </w:r>
      <w:r w:rsidRPr="00AB4474" w:rsidR="001C341A">
        <w:rPr>
          <w:rFonts w:cstheme="minorHAnsi"/>
        </w:rPr>
        <w:t xml:space="preserve"> </w:t>
      </w:r>
      <w:r w:rsidR="00CC5472">
        <w:rPr>
          <w:rFonts w:cstheme="minorHAnsi"/>
        </w:rPr>
        <w:t>F</w:t>
      </w:r>
      <w:r w:rsidRPr="00AB4474">
        <w:rPr>
          <w:rFonts w:cstheme="minorHAnsi"/>
        </w:rPr>
        <w:t xml:space="preserve">lyer). </w:t>
      </w:r>
    </w:p>
    <w:p w:rsidR="00E45A11" w:rsidP="00E17539" w:rsidRDefault="00730E2A" w14:paraId="4DE5B51D" w14:textId="49F49C0D">
      <w:pPr>
        <w:spacing w:after="0" w:line="240" w:lineRule="auto"/>
      </w:pPr>
      <w:r>
        <w:rPr>
          <w:rFonts w:cstheme="minorHAnsi"/>
          <w:b/>
          <w:i/>
        </w:rPr>
        <w:t>Sample Release Schedule</w:t>
      </w:r>
      <w:r w:rsidRPr="00571EEF">
        <w:rPr>
          <w:rFonts w:cstheme="minorHAnsi"/>
          <w:i/>
        </w:rPr>
        <w:t>:</w:t>
      </w:r>
      <w:r w:rsidRPr="00BD1D50" w:rsidR="00BD1D50">
        <w:rPr>
          <w:rFonts w:cstheme="minorHAnsi"/>
        </w:rPr>
        <w:t xml:space="preserve"> </w:t>
      </w:r>
      <w:r w:rsidR="00E87052">
        <w:rPr>
          <w:rFonts w:cstheme="minorHAnsi"/>
        </w:rPr>
        <w:t>Pending OMB approval, w</w:t>
      </w:r>
      <w:r w:rsidR="00BD1D50">
        <w:rPr>
          <w:rFonts w:cstheme="minorHAnsi"/>
        </w:rPr>
        <w:t xml:space="preserve">e will </w:t>
      </w:r>
      <w:r w:rsidR="000301F6">
        <w:rPr>
          <w:rFonts w:cstheme="minorHAnsi"/>
        </w:rPr>
        <w:t>release the full sample in May 2023 and data collection will continue through December 2023.</w:t>
      </w:r>
      <w:r w:rsidRPr="00571EEF">
        <w:rPr>
          <w:rFonts w:cstheme="minorHAnsi"/>
          <w:i/>
        </w:rPr>
        <w:t xml:space="preserve"> </w:t>
      </w:r>
      <w:r w:rsidRPr="006C38C0" w:rsidR="003C44D3">
        <w:rPr>
          <w:rFonts w:cstheme="minorHAnsi"/>
          <w:iCs/>
        </w:rPr>
        <w:t xml:space="preserve">Although prior waves of survey data collection released sample for interviewing on a monthly basis, we propose </w:t>
      </w:r>
      <w:r w:rsidR="00580572">
        <w:rPr>
          <w:rFonts w:cstheme="minorHAnsi"/>
          <w:iCs/>
        </w:rPr>
        <w:t>a</w:t>
      </w:r>
      <w:r w:rsidRPr="006C38C0" w:rsidR="003C44D3">
        <w:rPr>
          <w:rFonts w:cstheme="minorHAnsi"/>
          <w:iCs/>
        </w:rPr>
        <w:t xml:space="preserve"> single release with a short six</w:t>
      </w:r>
      <w:r w:rsidR="00580572">
        <w:rPr>
          <w:rFonts w:cstheme="minorHAnsi"/>
          <w:iCs/>
        </w:rPr>
        <w:t>-</w:t>
      </w:r>
      <w:r w:rsidRPr="006C38C0" w:rsidR="003C44D3">
        <w:rPr>
          <w:rFonts w:cstheme="minorHAnsi"/>
          <w:iCs/>
        </w:rPr>
        <w:t xml:space="preserve">month data collection period for the LTS. This single release schedule </w:t>
      </w:r>
      <w:r w:rsidR="009430F2">
        <w:rPr>
          <w:rFonts w:cstheme="minorHAnsi"/>
          <w:iCs/>
        </w:rPr>
        <w:t xml:space="preserve">will </w:t>
      </w:r>
      <w:r w:rsidRPr="006C38C0" w:rsidR="003C44D3">
        <w:rPr>
          <w:rFonts w:cstheme="minorHAnsi"/>
          <w:iCs/>
        </w:rPr>
        <w:t xml:space="preserve">minimize costs to the </w:t>
      </w:r>
      <w:r w:rsidR="00157743">
        <w:rPr>
          <w:rFonts w:cstheme="minorHAnsi"/>
          <w:iCs/>
        </w:rPr>
        <w:t>f</w:t>
      </w:r>
      <w:r w:rsidRPr="006C38C0" w:rsidR="003C44D3">
        <w:rPr>
          <w:rFonts w:cstheme="minorHAnsi"/>
          <w:iCs/>
        </w:rPr>
        <w:t xml:space="preserve">ederal </w:t>
      </w:r>
      <w:r w:rsidR="00157743">
        <w:rPr>
          <w:rFonts w:cstheme="minorHAnsi"/>
          <w:iCs/>
        </w:rPr>
        <w:t>g</w:t>
      </w:r>
      <w:r w:rsidRPr="006C38C0" w:rsidR="003C44D3">
        <w:rPr>
          <w:rFonts w:cstheme="minorHAnsi"/>
          <w:iCs/>
        </w:rPr>
        <w:t xml:space="preserve">overnment. </w:t>
      </w:r>
      <w:r w:rsidR="00580572">
        <w:rPr>
          <w:rFonts w:cstheme="minorHAnsi"/>
          <w:iCs/>
        </w:rPr>
        <w:t>We used the higher</w:t>
      </w:r>
      <w:r w:rsidR="002B0531">
        <w:rPr>
          <w:rFonts w:cstheme="minorHAnsi"/>
          <w:iCs/>
        </w:rPr>
        <w:t>-</w:t>
      </w:r>
      <w:r w:rsidR="00580572">
        <w:rPr>
          <w:rFonts w:cstheme="minorHAnsi"/>
          <w:iCs/>
        </w:rPr>
        <w:t xml:space="preserve">cost staged release for the STS and the ITS because </w:t>
      </w:r>
      <w:r w:rsidR="00660873">
        <w:rPr>
          <w:rFonts w:cstheme="minorHAnsi"/>
          <w:iCs/>
        </w:rPr>
        <w:t xml:space="preserve">of concern about variable length of follow-up potentially confounding treatment impacts. At </w:t>
      </w:r>
      <w:r w:rsidR="00E17539">
        <w:rPr>
          <w:rFonts w:cstheme="minorHAnsi"/>
          <w:iCs/>
        </w:rPr>
        <w:t xml:space="preserve">five and </w:t>
      </w:r>
      <w:r w:rsidR="00157743">
        <w:rPr>
          <w:rFonts w:cstheme="minorHAnsi"/>
          <w:iCs/>
        </w:rPr>
        <w:t>a</w:t>
      </w:r>
      <w:r w:rsidR="00CD5B96">
        <w:rPr>
          <w:rFonts w:cstheme="minorHAnsi"/>
          <w:iCs/>
        </w:rPr>
        <w:t xml:space="preserve"> </w:t>
      </w:r>
      <w:r w:rsidR="00E17539">
        <w:rPr>
          <w:rFonts w:cstheme="minorHAnsi"/>
          <w:iCs/>
        </w:rPr>
        <w:t>half</w:t>
      </w:r>
      <w:r w:rsidR="00660873">
        <w:rPr>
          <w:rFonts w:cstheme="minorHAnsi"/>
          <w:iCs/>
        </w:rPr>
        <w:t xml:space="preserve"> years, we anticipate little variation in outcomes </w:t>
      </w:r>
      <w:r w:rsidR="00C90B1C">
        <w:rPr>
          <w:rFonts w:cstheme="minorHAnsi"/>
          <w:iCs/>
        </w:rPr>
        <w:t>will result from</w:t>
      </w:r>
      <w:r w:rsidR="00300DFE">
        <w:rPr>
          <w:rFonts w:cstheme="minorHAnsi"/>
          <w:iCs/>
        </w:rPr>
        <w:t xml:space="preserve"> </w:t>
      </w:r>
      <w:r w:rsidR="003941D1">
        <w:rPr>
          <w:rFonts w:cstheme="minorHAnsi"/>
          <w:iCs/>
        </w:rPr>
        <w:t xml:space="preserve">a few months difference in the </w:t>
      </w:r>
      <w:r w:rsidR="00660873">
        <w:rPr>
          <w:rFonts w:cstheme="minorHAnsi"/>
          <w:iCs/>
        </w:rPr>
        <w:t xml:space="preserve">length of follow-up, so our previous concern about the potential for this variance to confound treatment impacts is sharply reduced. </w:t>
      </w:r>
      <w:r w:rsidR="00E45A11">
        <w:t xml:space="preserve">As shown in </w:t>
      </w:r>
      <w:r w:rsidR="00725C47">
        <w:t>Exhibit</w:t>
      </w:r>
      <w:r w:rsidR="00E45A11">
        <w:t xml:space="preserve"> B-</w:t>
      </w:r>
      <w:r w:rsidR="008E6B96">
        <w:t>3</w:t>
      </w:r>
      <w:r w:rsidR="00E45A11">
        <w:t>, under this release schedule, p</w:t>
      </w:r>
      <w:r w:rsidRPr="005B1FEE" w:rsidR="00E45A11">
        <w:t xml:space="preserve">articipants </w:t>
      </w:r>
      <w:r w:rsidR="00E45A11">
        <w:t xml:space="preserve">will </w:t>
      </w:r>
      <w:r w:rsidRPr="005B1FEE" w:rsidR="00E45A11">
        <w:t xml:space="preserve">be interviewed as early as 64 months or as late as 74 months after randomization. </w:t>
      </w:r>
    </w:p>
    <w:p w:rsidRPr="005B1FEE" w:rsidR="00E17539" w:rsidP="003941D1" w:rsidRDefault="00E17539" w14:paraId="050F120A" w14:textId="77777777">
      <w:pPr>
        <w:spacing w:after="0" w:line="240" w:lineRule="auto"/>
      </w:pPr>
    </w:p>
    <w:p w:rsidRPr="009725B4" w:rsidR="00E45A11" w:rsidP="386A99F4" w:rsidRDefault="00E45A11" w14:paraId="0061EFC8" w14:textId="5BE9D9F9">
      <w:pPr>
        <w:pStyle w:val="Caption"/>
        <w:rPr>
          <w:rFonts w:asciiTheme="minorHAnsi" w:hAnsiTheme="minorHAnsi" w:cstheme="minorBidi"/>
        </w:rPr>
      </w:pPr>
      <w:bookmarkStart w:name="_Toc46821012" w:id="10"/>
      <w:r w:rsidRPr="386A99F4">
        <w:rPr>
          <w:rFonts w:asciiTheme="minorHAnsi" w:hAnsiTheme="minorHAnsi" w:cstheme="minorBidi"/>
        </w:rPr>
        <w:t>Exhibit B-</w:t>
      </w:r>
      <w:r w:rsidR="008E6B96">
        <w:rPr>
          <w:rFonts w:asciiTheme="minorHAnsi" w:hAnsiTheme="minorHAnsi" w:cstheme="minorBidi"/>
        </w:rPr>
        <w:t>3</w:t>
      </w:r>
      <w:r w:rsidRPr="386A99F4" w:rsidR="00914756">
        <w:rPr>
          <w:rFonts w:asciiTheme="minorHAnsi" w:hAnsiTheme="minorHAnsi" w:cstheme="minorBidi"/>
        </w:rPr>
        <w:t>:</w:t>
      </w:r>
      <w:r w:rsidRPr="386A99F4" w:rsidR="009725B4">
        <w:rPr>
          <w:rFonts w:asciiTheme="minorHAnsi" w:hAnsiTheme="minorHAnsi" w:cstheme="minorBidi"/>
        </w:rPr>
        <w:t xml:space="preserve"> </w:t>
      </w:r>
      <w:r w:rsidRPr="386A99F4">
        <w:rPr>
          <w:rFonts w:asciiTheme="minorHAnsi" w:hAnsiTheme="minorHAnsi" w:cstheme="minorBidi"/>
        </w:rPr>
        <w:t>Time Elapsed between Random</w:t>
      </w:r>
      <w:r w:rsidRPr="386A99F4" w:rsidR="00B6248D">
        <w:rPr>
          <w:rFonts w:asciiTheme="minorHAnsi" w:hAnsiTheme="minorHAnsi" w:cstheme="minorBidi"/>
        </w:rPr>
        <w:t xml:space="preserve"> Assignment</w:t>
      </w:r>
      <w:r w:rsidRPr="386A99F4">
        <w:rPr>
          <w:rFonts w:asciiTheme="minorHAnsi" w:hAnsiTheme="minorHAnsi" w:cstheme="minorBidi"/>
        </w:rPr>
        <w:t xml:space="preserve"> and Survey Completion</w:t>
      </w:r>
      <w:bookmarkEnd w:id="10"/>
    </w:p>
    <w:tbl>
      <w:tblPr>
        <w:tblStyle w:val="TableGrid"/>
        <w:tblW w:w="0" w:type="auto"/>
        <w:tblInd w:w="0" w:type="dxa"/>
        <w:tblLook w:val="04A0" w:firstRow="1" w:lastRow="0" w:firstColumn="1" w:lastColumn="0" w:noHBand="0" w:noVBand="1"/>
      </w:tblPr>
      <w:tblGrid>
        <w:gridCol w:w="2337"/>
        <w:gridCol w:w="2337"/>
        <w:gridCol w:w="2338"/>
        <w:gridCol w:w="2338"/>
      </w:tblGrid>
      <w:tr w:rsidRPr="00341C5E" w:rsidR="00E45A11" w:rsidTr="00C474FE" w14:paraId="39372588" w14:textId="77777777">
        <w:tc>
          <w:tcPr>
            <w:tcW w:w="2337" w:type="dxa"/>
            <w:vMerge w:val="restart"/>
            <w:shd w:val="clear" w:color="auto" w:fill="auto"/>
            <w:vAlign w:val="center"/>
          </w:tcPr>
          <w:p w:rsidRPr="00341C5E" w:rsidR="00E45A11" w:rsidP="00410F2E" w:rsidRDefault="00E45A11" w14:paraId="483881C1" w14:textId="77777777">
            <w:pPr>
              <w:pStyle w:val="TableColumnHeader"/>
              <w:rPr>
                <w:rFonts w:asciiTheme="minorHAnsi" w:hAnsiTheme="minorHAnsi" w:cstheme="minorHAnsi"/>
                <w:color w:val="auto"/>
              </w:rPr>
            </w:pPr>
            <w:r w:rsidRPr="00341C5E">
              <w:rPr>
                <w:rFonts w:asciiTheme="minorHAnsi" w:hAnsiTheme="minorHAnsi" w:cstheme="minorHAnsi"/>
                <w:color w:val="auto"/>
              </w:rPr>
              <w:t>Enrollment Cohort</w:t>
            </w:r>
          </w:p>
        </w:tc>
        <w:tc>
          <w:tcPr>
            <w:tcW w:w="2337" w:type="dxa"/>
            <w:vMerge w:val="restart"/>
            <w:shd w:val="clear" w:color="auto" w:fill="auto"/>
            <w:vAlign w:val="center"/>
          </w:tcPr>
          <w:p w:rsidRPr="00341C5E" w:rsidR="00E45A11" w:rsidP="00410F2E" w:rsidRDefault="00E45A11" w14:paraId="3AD6A880" w14:textId="23754A87">
            <w:pPr>
              <w:pStyle w:val="TableColumnHeader"/>
              <w:rPr>
                <w:rFonts w:asciiTheme="minorHAnsi" w:hAnsiTheme="minorHAnsi" w:cstheme="minorHAnsi"/>
                <w:color w:val="auto"/>
              </w:rPr>
            </w:pPr>
            <w:r w:rsidRPr="00341C5E">
              <w:rPr>
                <w:rFonts w:asciiTheme="minorHAnsi" w:hAnsiTheme="minorHAnsi" w:cstheme="minorHAnsi"/>
                <w:color w:val="auto"/>
              </w:rPr>
              <w:t>Months after Random</w:t>
            </w:r>
            <w:r w:rsidRPr="00341C5E" w:rsidR="00B6248D">
              <w:rPr>
                <w:rFonts w:asciiTheme="minorHAnsi" w:hAnsiTheme="minorHAnsi" w:cstheme="minorHAnsi"/>
                <w:color w:val="auto"/>
              </w:rPr>
              <w:t xml:space="preserve"> Assignment</w:t>
            </w:r>
            <w:r w:rsidRPr="00341C5E">
              <w:rPr>
                <w:rFonts w:asciiTheme="minorHAnsi" w:hAnsiTheme="minorHAnsi" w:cstheme="minorHAnsi"/>
                <w:color w:val="auto"/>
              </w:rPr>
              <w:t xml:space="preserve"> at Time of Release</w:t>
            </w:r>
          </w:p>
        </w:tc>
        <w:tc>
          <w:tcPr>
            <w:tcW w:w="4676" w:type="dxa"/>
            <w:gridSpan w:val="2"/>
            <w:shd w:val="clear" w:color="auto" w:fill="auto"/>
            <w:vAlign w:val="center"/>
          </w:tcPr>
          <w:p w:rsidRPr="00341C5E" w:rsidR="00E45A11" w:rsidP="00410F2E" w:rsidRDefault="00E45A11" w14:paraId="580B0121" w14:textId="53A03931">
            <w:pPr>
              <w:pStyle w:val="TableColumnHeader"/>
              <w:rPr>
                <w:rFonts w:asciiTheme="minorHAnsi" w:hAnsiTheme="minorHAnsi" w:cstheme="minorHAnsi"/>
                <w:color w:val="auto"/>
              </w:rPr>
            </w:pPr>
            <w:r w:rsidRPr="00341C5E">
              <w:rPr>
                <w:rFonts w:asciiTheme="minorHAnsi" w:hAnsiTheme="minorHAnsi" w:cstheme="minorHAnsi"/>
                <w:color w:val="auto"/>
              </w:rPr>
              <w:t>Number of Months Elapsed Between Random</w:t>
            </w:r>
            <w:r w:rsidRPr="00341C5E" w:rsidR="00B6248D">
              <w:rPr>
                <w:rFonts w:asciiTheme="minorHAnsi" w:hAnsiTheme="minorHAnsi" w:cstheme="minorHAnsi"/>
                <w:color w:val="auto"/>
              </w:rPr>
              <w:t xml:space="preserve"> Assignment</w:t>
            </w:r>
            <w:r w:rsidRPr="00341C5E">
              <w:rPr>
                <w:rFonts w:asciiTheme="minorHAnsi" w:hAnsiTheme="minorHAnsi" w:cstheme="minorHAnsi"/>
                <w:color w:val="auto"/>
              </w:rPr>
              <w:t xml:space="preserve"> and Date of Interview</w:t>
            </w:r>
          </w:p>
        </w:tc>
      </w:tr>
      <w:tr w:rsidRPr="00341C5E" w:rsidR="00E45A11" w:rsidTr="00C474FE" w14:paraId="79ECF162" w14:textId="77777777">
        <w:tc>
          <w:tcPr>
            <w:tcW w:w="2337" w:type="dxa"/>
            <w:vMerge/>
            <w:shd w:val="clear" w:color="auto" w:fill="auto"/>
            <w:vAlign w:val="center"/>
          </w:tcPr>
          <w:p w:rsidRPr="00341C5E" w:rsidR="00E45A11" w:rsidP="00410F2E" w:rsidRDefault="00E45A11" w14:paraId="13A7A461" w14:textId="77777777">
            <w:pPr>
              <w:pStyle w:val="TableColumnHeader"/>
              <w:rPr>
                <w:rFonts w:asciiTheme="minorHAnsi" w:hAnsiTheme="minorHAnsi" w:cstheme="minorHAnsi"/>
                <w:color w:val="auto"/>
              </w:rPr>
            </w:pPr>
          </w:p>
        </w:tc>
        <w:tc>
          <w:tcPr>
            <w:tcW w:w="2337" w:type="dxa"/>
            <w:vMerge/>
            <w:shd w:val="clear" w:color="auto" w:fill="auto"/>
            <w:vAlign w:val="center"/>
          </w:tcPr>
          <w:p w:rsidRPr="00341C5E" w:rsidR="00E45A11" w:rsidP="00410F2E" w:rsidRDefault="00E45A11" w14:paraId="2159EC24" w14:textId="77777777">
            <w:pPr>
              <w:pStyle w:val="TableColumnHeader"/>
              <w:rPr>
                <w:rFonts w:asciiTheme="minorHAnsi" w:hAnsiTheme="minorHAnsi" w:cstheme="minorHAnsi"/>
                <w:color w:val="auto"/>
              </w:rPr>
            </w:pPr>
          </w:p>
        </w:tc>
        <w:tc>
          <w:tcPr>
            <w:tcW w:w="2338" w:type="dxa"/>
            <w:shd w:val="clear" w:color="auto" w:fill="auto"/>
            <w:vAlign w:val="center"/>
          </w:tcPr>
          <w:p w:rsidRPr="00341C5E" w:rsidR="00E45A11" w:rsidP="00410F2E" w:rsidRDefault="00E45A11" w14:paraId="11C4DED2" w14:textId="77777777">
            <w:pPr>
              <w:pStyle w:val="TableTextBold"/>
              <w:jc w:val="center"/>
              <w:rPr>
                <w:rFonts w:asciiTheme="minorHAnsi" w:hAnsiTheme="minorHAnsi" w:cstheme="minorHAnsi"/>
                <w:bCs w:val="0"/>
              </w:rPr>
            </w:pPr>
            <w:r w:rsidRPr="00341C5E">
              <w:rPr>
                <w:rFonts w:asciiTheme="minorHAnsi" w:hAnsiTheme="minorHAnsi" w:cstheme="minorHAnsi"/>
                <w:bCs w:val="0"/>
              </w:rPr>
              <w:t>Minimum</w:t>
            </w:r>
          </w:p>
        </w:tc>
        <w:tc>
          <w:tcPr>
            <w:tcW w:w="2338" w:type="dxa"/>
            <w:shd w:val="clear" w:color="auto" w:fill="auto"/>
            <w:vAlign w:val="center"/>
          </w:tcPr>
          <w:p w:rsidRPr="00341C5E" w:rsidR="00E45A11" w:rsidP="00410F2E" w:rsidRDefault="00E45A11" w14:paraId="48A4EB8A" w14:textId="77777777">
            <w:pPr>
              <w:pStyle w:val="TableTextBold"/>
              <w:jc w:val="center"/>
              <w:rPr>
                <w:rFonts w:asciiTheme="minorHAnsi" w:hAnsiTheme="minorHAnsi" w:cstheme="minorHAnsi"/>
                <w:bCs w:val="0"/>
              </w:rPr>
            </w:pPr>
            <w:r w:rsidRPr="00341C5E">
              <w:rPr>
                <w:rFonts w:asciiTheme="minorHAnsi" w:hAnsiTheme="minorHAnsi" w:cstheme="minorHAnsi"/>
                <w:bCs w:val="0"/>
              </w:rPr>
              <w:t>Maximum</w:t>
            </w:r>
          </w:p>
        </w:tc>
      </w:tr>
      <w:tr w:rsidRPr="00341C5E" w:rsidR="00E45A11" w:rsidTr="00410F2E" w14:paraId="405D49B9" w14:textId="77777777">
        <w:tc>
          <w:tcPr>
            <w:tcW w:w="2337" w:type="dxa"/>
            <w:shd w:val="clear" w:color="auto" w:fill="auto"/>
            <w:vAlign w:val="center"/>
          </w:tcPr>
          <w:p w:rsidRPr="00341C5E" w:rsidR="00E45A11" w:rsidP="00410F2E" w:rsidRDefault="00E45A11" w14:paraId="11F53E28" w14:textId="77777777">
            <w:pPr>
              <w:pStyle w:val="TableText"/>
              <w:rPr>
                <w:rFonts w:asciiTheme="minorHAnsi" w:hAnsiTheme="minorHAnsi" w:cstheme="minorHAnsi"/>
              </w:rPr>
            </w:pPr>
            <w:r w:rsidRPr="00341C5E">
              <w:rPr>
                <w:rFonts w:asciiTheme="minorHAnsi" w:hAnsiTheme="minorHAnsi" w:cstheme="minorHAnsi"/>
              </w:rPr>
              <w:t>September 2017</w:t>
            </w:r>
          </w:p>
        </w:tc>
        <w:tc>
          <w:tcPr>
            <w:tcW w:w="2337" w:type="dxa"/>
            <w:shd w:val="clear" w:color="auto" w:fill="auto"/>
            <w:vAlign w:val="center"/>
          </w:tcPr>
          <w:p w:rsidRPr="00341C5E" w:rsidR="00E45A11" w:rsidP="00410F2E" w:rsidRDefault="00E45A11" w14:paraId="085E3A42" w14:textId="77777777">
            <w:pPr>
              <w:pStyle w:val="TableTextCentered"/>
              <w:rPr>
                <w:rFonts w:asciiTheme="minorHAnsi" w:hAnsiTheme="minorHAnsi" w:cstheme="minorHAnsi"/>
              </w:rPr>
            </w:pPr>
            <w:r w:rsidRPr="00341C5E">
              <w:rPr>
                <w:rFonts w:asciiTheme="minorHAnsi" w:hAnsiTheme="minorHAnsi" w:cstheme="minorHAnsi"/>
              </w:rPr>
              <w:t>68</w:t>
            </w:r>
          </w:p>
        </w:tc>
        <w:tc>
          <w:tcPr>
            <w:tcW w:w="2338" w:type="dxa"/>
            <w:shd w:val="clear" w:color="auto" w:fill="auto"/>
            <w:vAlign w:val="center"/>
          </w:tcPr>
          <w:p w:rsidRPr="00341C5E" w:rsidR="00E45A11" w:rsidP="00410F2E" w:rsidRDefault="00E45A11" w14:paraId="21EDB285" w14:textId="77777777">
            <w:pPr>
              <w:pStyle w:val="TableTextCentered"/>
              <w:rPr>
                <w:rFonts w:asciiTheme="minorHAnsi" w:hAnsiTheme="minorHAnsi" w:cstheme="minorHAnsi"/>
              </w:rPr>
            </w:pPr>
            <w:r w:rsidRPr="00341C5E">
              <w:rPr>
                <w:rFonts w:asciiTheme="minorHAnsi" w:hAnsiTheme="minorHAnsi" w:cstheme="minorHAnsi"/>
              </w:rPr>
              <w:t>68</w:t>
            </w:r>
          </w:p>
        </w:tc>
        <w:tc>
          <w:tcPr>
            <w:tcW w:w="2338" w:type="dxa"/>
            <w:shd w:val="clear" w:color="auto" w:fill="auto"/>
            <w:vAlign w:val="center"/>
          </w:tcPr>
          <w:p w:rsidRPr="00341C5E" w:rsidR="00E45A11" w:rsidP="00410F2E" w:rsidRDefault="00E45A11" w14:paraId="36E6692A" w14:textId="77777777">
            <w:pPr>
              <w:pStyle w:val="TableTextCentered"/>
              <w:rPr>
                <w:rFonts w:asciiTheme="minorHAnsi" w:hAnsiTheme="minorHAnsi" w:cstheme="minorHAnsi"/>
              </w:rPr>
            </w:pPr>
            <w:r w:rsidRPr="00341C5E">
              <w:rPr>
                <w:rFonts w:asciiTheme="minorHAnsi" w:hAnsiTheme="minorHAnsi" w:cstheme="minorHAnsi"/>
              </w:rPr>
              <w:t>74</w:t>
            </w:r>
          </w:p>
        </w:tc>
      </w:tr>
      <w:tr w:rsidRPr="00341C5E" w:rsidR="00E45A11" w:rsidTr="00410F2E" w14:paraId="42229B9E" w14:textId="77777777">
        <w:tc>
          <w:tcPr>
            <w:tcW w:w="2337" w:type="dxa"/>
            <w:shd w:val="clear" w:color="auto" w:fill="auto"/>
            <w:vAlign w:val="center"/>
          </w:tcPr>
          <w:p w:rsidRPr="00341C5E" w:rsidR="00E45A11" w:rsidP="00410F2E" w:rsidRDefault="00E45A11" w14:paraId="55E21366" w14:textId="77777777">
            <w:pPr>
              <w:pStyle w:val="TableText"/>
              <w:rPr>
                <w:rFonts w:asciiTheme="minorHAnsi" w:hAnsiTheme="minorHAnsi" w:cstheme="minorHAnsi"/>
              </w:rPr>
            </w:pPr>
            <w:r w:rsidRPr="00341C5E">
              <w:rPr>
                <w:rFonts w:asciiTheme="minorHAnsi" w:hAnsiTheme="minorHAnsi" w:cstheme="minorHAnsi"/>
              </w:rPr>
              <w:t>October 2017</w:t>
            </w:r>
          </w:p>
        </w:tc>
        <w:tc>
          <w:tcPr>
            <w:tcW w:w="2337" w:type="dxa"/>
            <w:shd w:val="clear" w:color="auto" w:fill="auto"/>
            <w:vAlign w:val="center"/>
          </w:tcPr>
          <w:p w:rsidRPr="00341C5E" w:rsidR="00E45A11" w:rsidP="00410F2E" w:rsidRDefault="00E45A11" w14:paraId="5D0F1E0C" w14:textId="77777777">
            <w:pPr>
              <w:pStyle w:val="TableTextCentered"/>
              <w:rPr>
                <w:rFonts w:asciiTheme="minorHAnsi" w:hAnsiTheme="minorHAnsi" w:cstheme="minorHAnsi"/>
              </w:rPr>
            </w:pPr>
            <w:r w:rsidRPr="00341C5E">
              <w:rPr>
                <w:rFonts w:asciiTheme="minorHAnsi" w:hAnsiTheme="minorHAnsi" w:cstheme="minorHAnsi"/>
              </w:rPr>
              <w:t>67</w:t>
            </w:r>
          </w:p>
        </w:tc>
        <w:tc>
          <w:tcPr>
            <w:tcW w:w="2338" w:type="dxa"/>
            <w:shd w:val="clear" w:color="auto" w:fill="auto"/>
            <w:vAlign w:val="center"/>
          </w:tcPr>
          <w:p w:rsidRPr="00341C5E" w:rsidR="00E45A11" w:rsidP="00410F2E" w:rsidRDefault="00E45A11" w14:paraId="2800A514" w14:textId="77777777">
            <w:pPr>
              <w:pStyle w:val="TableTextCentered"/>
              <w:rPr>
                <w:rFonts w:asciiTheme="minorHAnsi" w:hAnsiTheme="minorHAnsi" w:cstheme="minorHAnsi"/>
              </w:rPr>
            </w:pPr>
            <w:r w:rsidRPr="00341C5E">
              <w:rPr>
                <w:rFonts w:asciiTheme="minorHAnsi" w:hAnsiTheme="minorHAnsi" w:cstheme="minorHAnsi"/>
              </w:rPr>
              <w:t>67</w:t>
            </w:r>
          </w:p>
        </w:tc>
        <w:tc>
          <w:tcPr>
            <w:tcW w:w="2338" w:type="dxa"/>
            <w:shd w:val="clear" w:color="auto" w:fill="auto"/>
            <w:vAlign w:val="center"/>
          </w:tcPr>
          <w:p w:rsidRPr="00341C5E" w:rsidR="00E45A11" w:rsidP="00410F2E" w:rsidRDefault="00E45A11" w14:paraId="3BC9A743" w14:textId="77777777">
            <w:pPr>
              <w:pStyle w:val="TableTextCentered"/>
              <w:rPr>
                <w:rFonts w:asciiTheme="minorHAnsi" w:hAnsiTheme="minorHAnsi" w:cstheme="minorHAnsi"/>
              </w:rPr>
            </w:pPr>
            <w:r w:rsidRPr="00341C5E">
              <w:rPr>
                <w:rFonts w:asciiTheme="minorHAnsi" w:hAnsiTheme="minorHAnsi" w:cstheme="minorHAnsi"/>
              </w:rPr>
              <w:t>73</w:t>
            </w:r>
          </w:p>
        </w:tc>
      </w:tr>
      <w:tr w:rsidRPr="00341C5E" w:rsidR="00E45A11" w:rsidTr="00410F2E" w14:paraId="6A13B8AC" w14:textId="77777777">
        <w:tc>
          <w:tcPr>
            <w:tcW w:w="2337" w:type="dxa"/>
            <w:shd w:val="clear" w:color="auto" w:fill="auto"/>
            <w:vAlign w:val="center"/>
          </w:tcPr>
          <w:p w:rsidRPr="00341C5E" w:rsidR="00E45A11" w:rsidP="00410F2E" w:rsidRDefault="00E45A11" w14:paraId="44B8D3EA" w14:textId="77777777">
            <w:pPr>
              <w:pStyle w:val="TableText"/>
              <w:rPr>
                <w:rFonts w:asciiTheme="minorHAnsi" w:hAnsiTheme="minorHAnsi" w:cstheme="minorHAnsi"/>
              </w:rPr>
            </w:pPr>
            <w:r w:rsidRPr="00341C5E">
              <w:rPr>
                <w:rFonts w:asciiTheme="minorHAnsi" w:hAnsiTheme="minorHAnsi" w:cstheme="minorHAnsi"/>
              </w:rPr>
              <w:t>November 2017</w:t>
            </w:r>
          </w:p>
        </w:tc>
        <w:tc>
          <w:tcPr>
            <w:tcW w:w="2337" w:type="dxa"/>
            <w:shd w:val="clear" w:color="auto" w:fill="auto"/>
            <w:vAlign w:val="center"/>
          </w:tcPr>
          <w:p w:rsidRPr="00341C5E" w:rsidR="00E45A11" w:rsidP="00410F2E" w:rsidRDefault="00E45A11" w14:paraId="01A697D8" w14:textId="77777777">
            <w:pPr>
              <w:pStyle w:val="TableTextCentered"/>
              <w:rPr>
                <w:rFonts w:asciiTheme="minorHAnsi" w:hAnsiTheme="minorHAnsi" w:cstheme="minorHAnsi"/>
              </w:rPr>
            </w:pPr>
            <w:r w:rsidRPr="00341C5E">
              <w:rPr>
                <w:rFonts w:asciiTheme="minorHAnsi" w:hAnsiTheme="minorHAnsi" w:cstheme="minorHAnsi"/>
              </w:rPr>
              <w:t>66</w:t>
            </w:r>
          </w:p>
        </w:tc>
        <w:tc>
          <w:tcPr>
            <w:tcW w:w="2338" w:type="dxa"/>
            <w:shd w:val="clear" w:color="auto" w:fill="auto"/>
            <w:vAlign w:val="center"/>
          </w:tcPr>
          <w:p w:rsidRPr="00341C5E" w:rsidR="00E45A11" w:rsidP="00410F2E" w:rsidRDefault="00E45A11" w14:paraId="6F1BF928" w14:textId="77777777">
            <w:pPr>
              <w:pStyle w:val="TableTextCentered"/>
              <w:rPr>
                <w:rFonts w:asciiTheme="minorHAnsi" w:hAnsiTheme="minorHAnsi" w:cstheme="minorHAnsi"/>
              </w:rPr>
            </w:pPr>
            <w:r w:rsidRPr="00341C5E">
              <w:rPr>
                <w:rFonts w:asciiTheme="minorHAnsi" w:hAnsiTheme="minorHAnsi" w:cstheme="minorHAnsi"/>
              </w:rPr>
              <w:t>66</w:t>
            </w:r>
          </w:p>
        </w:tc>
        <w:tc>
          <w:tcPr>
            <w:tcW w:w="2338" w:type="dxa"/>
            <w:shd w:val="clear" w:color="auto" w:fill="auto"/>
            <w:vAlign w:val="center"/>
          </w:tcPr>
          <w:p w:rsidRPr="00341C5E" w:rsidR="00E45A11" w:rsidP="00410F2E" w:rsidRDefault="00E45A11" w14:paraId="1F325C82" w14:textId="77777777">
            <w:pPr>
              <w:pStyle w:val="TableTextCentered"/>
              <w:rPr>
                <w:rFonts w:asciiTheme="minorHAnsi" w:hAnsiTheme="minorHAnsi" w:cstheme="minorHAnsi"/>
              </w:rPr>
            </w:pPr>
            <w:r w:rsidRPr="00341C5E">
              <w:rPr>
                <w:rFonts w:asciiTheme="minorHAnsi" w:hAnsiTheme="minorHAnsi" w:cstheme="minorHAnsi"/>
              </w:rPr>
              <w:t>72</w:t>
            </w:r>
          </w:p>
        </w:tc>
      </w:tr>
      <w:tr w:rsidRPr="00341C5E" w:rsidR="00E45A11" w:rsidTr="00410F2E" w14:paraId="713EE838" w14:textId="77777777">
        <w:tc>
          <w:tcPr>
            <w:tcW w:w="2337" w:type="dxa"/>
            <w:shd w:val="clear" w:color="auto" w:fill="auto"/>
            <w:vAlign w:val="center"/>
          </w:tcPr>
          <w:p w:rsidRPr="00341C5E" w:rsidR="00E45A11" w:rsidP="00410F2E" w:rsidRDefault="00E45A11" w14:paraId="11A08956" w14:textId="77777777">
            <w:pPr>
              <w:pStyle w:val="TableText"/>
              <w:rPr>
                <w:rFonts w:asciiTheme="minorHAnsi" w:hAnsiTheme="minorHAnsi" w:cstheme="minorHAnsi"/>
              </w:rPr>
            </w:pPr>
            <w:r w:rsidRPr="00341C5E">
              <w:rPr>
                <w:rFonts w:asciiTheme="minorHAnsi" w:hAnsiTheme="minorHAnsi" w:cstheme="minorHAnsi"/>
              </w:rPr>
              <w:t>December 2017</w:t>
            </w:r>
          </w:p>
        </w:tc>
        <w:tc>
          <w:tcPr>
            <w:tcW w:w="2337" w:type="dxa"/>
            <w:shd w:val="clear" w:color="auto" w:fill="auto"/>
            <w:vAlign w:val="center"/>
          </w:tcPr>
          <w:p w:rsidRPr="00341C5E" w:rsidR="00E45A11" w:rsidP="00410F2E" w:rsidRDefault="00E45A11" w14:paraId="56C15C77" w14:textId="77777777">
            <w:pPr>
              <w:pStyle w:val="TableTextCentered"/>
              <w:rPr>
                <w:rFonts w:asciiTheme="minorHAnsi" w:hAnsiTheme="minorHAnsi" w:cstheme="minorHAnsi"/>
              </w:rPr>
            </w:pPr>
            <w:r w:rsidRPr="00341C5E">
              <w:rPr>
                <w:rFonts w:asciiTheme="minorHAnsi" w:hAnsiTheme="minorHAnsi" w:cstheme="minorHAnsi"/>
              </w:rPr>
              <w:t>65</w:t>
            </w:r>
          </w:p>
        </w:tc>
        <w:tc>
          <w:tcPr>
            <w:tcW w:w="2338" w:type="dxa"/>
            <w:shd w:val="clear" w:color="auto" w:fill="auto"/>
            <w:vAlign w:val="center"/>
          </w:tcPr>
          <w:p w:rsidRPr="00341C5E" w:rsidR="00E45A11" w:rsidP="00410F2E" w:rsidRDefault="00E45A11" w14:paraId="53053239" w14:textId="77777777">
            <w:pPr>
              <w:pStyle w:val="TableTextCentered"/>
              <w:rPr>
                <w:rFonts w:asciiTheme="minorHAnsi" w:hAnsiTheme="minorHAnsi" w:cstheme="minorHAnsi"/>
              </w:rPr>
            </w:pPr>
            <w:r w:rsidRPr="00341C5E">
              <w:rPr>
                <w:rFonts w:asciiTheme="minorHAnsi" w:hAnsiTheme="minorHAnsi" w:cstheme="minorHAnsi"/>
              </w:rPr>
              <w:t>65</w:t>
            </w:r>
          </w:p>
        </w:tc>
        <w:tc>
          <w:tcPr>
            <w:tcW w:w="2338" w:type="dxa"/>
            <w:shd w:val="clear" w:color="auto" w:fill="auto"/>
            <w:vAlign w:val="center"/>
          </w:tcPr>
          <w:p w:rsidRPr="00341C5E" w:rsidR="00E45A11" w:rsidP="00410F2E" w:rsidRDefault="00E45A11" w14:paraId="09648B41" w14:textId="77777777">
            <w:pPr>
              <w:pStyle w:val="TableTextCentered"/>
              <w:rPr>
                <w:rFonts w:asciiTheme="minorHAnsi" w:hAnsiTheme="minorHAnsi" w:cstheme="minorHAnsi"/>
              </w:rPr>
            </w:pPr>
            <w:r w:rsidRPr="00341C5E">
              <w:rPr>
                <w:rFonts w:asciiTheme="minorHAnsi" w:hAnsiTheme="minorHAnsi" w:cstheme="minorHAnsi"/>
              </w:rPr>
              <w:t>71</w:t>
            </w:r>
          </w:p>
        </w:tc>
      </w:tr>
      <w:tr w:rsidRPr="00341C5E" w:rsidR="00E45A11" w:rsidTr="00410F2E" w14:paraId="44EDFD53" w14:textId="77777777">
        <w:tc>
          <w:tcPr>
            <w:tcW w:w="2337" w:type="dxa"/>
            <w:shd w:val="clear" w:color="auto" w:fill="auto"/>
            <w:vAlign w:val="center"/>
          </w:tcPr>
          <w:p w:rsidRPr="00341C5E" w:rsidR="00E45A11" w:rsidP="00410F2E" w:rsidRDefault="00E45A11" w14:paraId="155FA19C" w14:textId="77777777">
            <w:pPr>
              <w:pStyle w:val="TableText"/>
              <w:rPr>
                <w:rFonts w:asciiTheme="minorHAnsi" w:hAnsiTheme="minorHAnsi" w:cstheme="minorHAnsi"/>
              </w:rPr>
            </w:pPr>
            <w:r w:rsidRPr="00341C5E">
              <w:rPr>
                <w:rFonts w:asciiTheme="minorHAnsi" w:hAnsiTheme="minorHAnsi" w:cstheme="minorHAnsi"/>
              </w:rPr>
              <w:t>January 2018</w:t>
            </w:r>
          </w:p>
        </w:tc>
        <w:tc>
          <w:tcPr>
            <w:tcW w:w="2337" w:type="dxa"/>
            <w:shd w:val="clear" w:color="auto" w:fill="auto"/>
            <w:vAlign w:val="center"/>
          </w:tcPr>
          <w:p w:rsidRPr="00341C5E" w:rsidR="00E45A11" w:rsidP="00410F2E" w:rsidRDefault="00E45A11" w14:paraId="10C79B7E" w14:textId="77777777">
            <w:pPr>
              <w:pStyle w:val="TableTextCentered"/>
              <w:rPr>
                <w:rFonts w:asciiTheme="minorHAnsi" w:hAnsiTheme="minorHAnsi" w:cstheme="minorHAnsi"/>
              </w:rPr>
            </w:pPr>
            <w:r w:rsidRPr="00341C5E">
              <w:rPr>
                <w:rFonts w:asciiTheme="minorHAnsi" w:hAnsiTheme="minorHAnsi" w:cstheme="minorHAnsi"/>
              </w:rPr>
              <w:t>64</w:t>
            </w:r>
          </w:p>
        </w:tc>
        <w:tc>
          <w:tcPr>
            <w:tcW w:w="2338" w:type="dxa"/>
            <w:shd w:val="clear" w:color="auto" w:fill="auto"/>
            <w:vAlign w:val="center"/>
          </w:tcPr>
          <w:p w:rsidRPr="00341C5E" w:rsidR="00E45A11" w:rsidP="00410F2E" w:rsidRDefault="00E45A11" w14:paraId="54A4DEA1" w14:textId="77777777">
            <w:pPr>
              <w:pStyle w:val="TableTextCentered"/>
              <w:rPr>
                <w:rFonts w:asciiTheme="minorHAnsi" w:hAnsiTheme="minorHAnsi" w:cstheme="minorHAnsi"/>
              </w:rPr>
            </w:pPr>
            <w:r w:rsidRPr="00341C5E">
              <w:rPr>
                <w:rFonts w:asciiTheme="minorHAnsi" w:hAnsiTheme="minorHAnsi" w:cstheme="minorHAnsi"/>
              </w:rPr>
              <w:t>64</w:t>
            </w:r>
          </w:p>
        </w:tc>
        <w:tc>
          <w:tcPr>
            <w:tcW w:w="2338" w:type="dxa"/>
            <w:shd w:val="clear" w:color="auto" w:fill="auto"/>
            <w:vAlign w:val="center"/>
          </w:tcPr>
          <w:p w:rsidRPr="00341C5E" w:rsidR="00E45A11" w:rsidP="00410F2E" w:rsidRDefault="00E45A11" w14:paraId="53FDA69F" w14:textId="77777777">
            <w:pPr>
              <w:pStyle w:val="TableTextCentered"/>
              <w:rPr>
                <w:rFonts w:asciiTheme="minorHAnsi" w:hAnsiTheme="minorHAnsi" w:cstheme="minorHAnsi"/>
              </w:rPr>
            </w:pPr>
            <w:r w:rsidRPr="00341C5E">
              <w:rPr>
                <w:rFonts w:asciiTheme="minorHAnsi" w:hAnsiTheme="minorHAnsi" w:cstheme="minorHAnsi"/>
              </w:rPr>
              <w:t>70</w:t>
            </w:r>
          </w:p>
        </w:tc>
      </w:tr>
    </w:tbl>
    <w:p w:rsidRPr="005B1FEE" w:rsidR="00E45A11" w:rsidP="00E45A11" w:rsidRDefault="00E45A11" w14:paraId="791C31A4" w14:textId="77777777">
      <w:pPr>
        <w:pStyle w:val="BodyTextSingleFlush"/>
        <w:rPr>
          <w:lang w:val="en-US"/>
        </w:rPr>
      </w:pPr>
    </w:p>
    <w:p w:rsidRPr="00AB4474" w:rsidR="00107DCA" w:rsidP="00BD101E" w:rsidRDefault="00107DCA" w14:paraId="791F4B85" w14:textId="77777777">
      <w:pPr>
        <w:spacing w:after="0" w:line="240" w:lineRule="auto"/>
        <w:rPr>
          <w:rFonts w:cstheme="minorHAnsi"/>
        </w:rPr>
      </w:pPr>
    </w:p>
    <w:p w:rsidRPr="001A59B6" w:rsidR="00A42C71" w:rsidP="0065523A" w:rsidRDefault="00A42C71"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DF41FF" w:rsidP="0022293A" w:rsidRDefault="00A357C6" w14:paraId="3A48DA93" w14:textId="3F05B6B2">
      <w:pPr>
        <w:pStyle w:val="BodyText"/>
        <w:spacing w:line="240" w:lineRule="auto"/>
      </w:pPr>
      <w:r>
        <w:t xml:space="preserve">The </w:t>
      </w:r>
      <w:r w:rsidR="00783E5B">
        <w:t>LTS</w:t>
      </w:r>
      <w:r>
        <w:t xml:space="preserve"> is expected to start in May 2023</w:t>
      </w:r>
      <w:r w:rsidR="00E5569D">
        <w:t xml:space="preserve">. </w:t>
      </w:r>
      <w:r>
        <w:t xml:space="preserve">At that point, the hope is that the </w:t>
      </w:r>
      <w:r w:rsidR="00902663">
        <w:t xml:space="preserve">COVID-19 </w:t>
      </w:r>
      <w:r w:rsidR="004D6DB1">
        <w:t xml:space="preserve">pandemic </w:t>
      </w:r>
      <w:r w:rsidR="00E3691F">
        <w:t xml:space="preserve">will have stabilized and the </w:t>
      </w:r>
      <w:r w:rsidR="00902663">
        <w:t>social distancing guidelines</w:t>
      </w:r>
      <w:r w:rsidR="00E3691F">
        <w:t xml:space="preserve"> will be lifted, allowing for a full </w:t>
      </w:r>
      <w:r w:rsidR="00B34068">
        <w:t xml:space="preserve">mixed-mode </w:t>
      </w:r>
      <w:r w:rsidR="000B7980">
        <w:t xml:space="preserve">phone with in-person follow-up </w:t>
      </w:r>
      <w:r w:rsidR="00E3691F">
        <w:t>interviewing effort</w:t>
      </w:r>
      <w:r w:rsidR="00E332F0">
        <w:t>.</w:t>
      </w:r>
      <w:r w:rsidR="00E3691F">
        <w:t xml:space="preserve"> </w:t>
      </w:r>
      <w:r w:rsidR="00BC7A54">
        <w:t>As such, we expect the data collection approach and</w:t>
      </w:r>
      <w:r w:rsidR="004F6ECD">
        <w:t xml:space="preserve"> t</w:t>
      </w:r>
      <w:r w:rsidR="00A67E56">
        <w:t>he methods used</w:t>
      </w:r>
      <w:r w:rsidR="004F6ECD">
        <w:t xml:space="preserve"> to maximize response rates</w:t>
      </w:r>
      <w:r w:rsidR="00A67E56">
        <w:t xml:space="preserve"> for the </w:t>
      </w:r>
      <w:r w:rsidR="00783E5B">
        <w:t>LTS</w:t>
      </w:r>
      <w:r w:rsidR="00D421A1">
        <w:t xml:space="preserve"> </w:t>
      </w:r>
      <w:r w:rsidR="00A67E56">
        <w:t xml:space="preserve">will be nearly identical to those approved for use in the </w:t>
      </w:r>
      <w:r w:rsidR="00D421A1">
        <w:t xml:space="preserve">HPOG 2.0 </w:t>
      </w:r>
      <w:r w:rsidR="006C38C0">
        <w:t xml:space="preserve">STS </w:t>
      </w:r>
      <w:r w:rsidR="00122230">
        <w:t>(Instrument 12)</w:t>
      </w:r>
      <w:r w:rsidR="008C31C7">
        <w:t xml:space="preserve"> and the ITS (phone with in-person follow-up)</w:t>
      </w:r>
      <w:r w:rsidR="009430F2">
        <w:t>.</w:t>
      </w:r>
      <w:r w:rsidR="00341C5E">
        <w:rPr>
          <w:rStyle w:val="FootnoteReference"/>
        </w:rPr>
        <w:footnoteReference w:id="13"/>
      </w:r>
      <w:r w:rsidRPr="00DF41FF" w:rsidR="00DF41FF">
        <w:t xml:space="preserve"> </w:t>
      </w:r>
      <w:r w:rsidR="00DF41FF">
        <w:t xml:space="preserve">Specifically, the evaluation team </w:t>
      </w:r>
      <w:r w:rsidRPr="008242A7" w:rsidR="00DF41FF">
        <w:t xml:space="preserve">will </w:t>
      </w:r>
      <w:r w:rsidR="00DF41FF">
        <w:t xml:space="preserve">use the following methods to maximize response to the </w:t>
      </w:r>
      <w:r w:rsidR="009D66DE">
        <w:t>LTS</w:t>
      </w:r>
      <w:r w:rsidR="00DF41FF">
        <w:t xml:space="preserve">: </w:t>
      </w:r>
    </w:p>
    <w:p w:rsidRPr="0022293A" w:rsidR="00DF41FF" w:rsidP="0022293A" w:rsidRDefault="00DF41FF" w14:paraId="17F60994" w14:textId="73DA90DA">
      <w:pPr>
        <w:pStyle w:val="Bullets"/>
        <w:spacing w:after="0" w:line="240" w:lineRule="auto"/>
        <w:ind w:left="720"/>
        <w:rPr>
          <w:rFonts w:asciiTheme="minorHAnsi" w:hAnsiTheme="minorHAnsi" w:cstheme="minorHAnsi"/>
        </w:rPr>
      </w:pPr>
      <w:proofErr w:type="gramStart"/>
      <w:r w:rsidRPr="0022293A">
        <w:rPr>
          <w:rFonts w:asciiTheme="minorHAnsi" w:hAnsiTheme="minorHAnsi" w:cstheme="minorHAnsi"/>
        </w:rPr>
        <w:t>Participant</w:t>
      </w:r>
      <w:proofErr w:type="gramEnd"/>
      <w:r w:rsidRPr="0022293A">
        <w:rPr>
          <w:rFonts w:asciiTheme="minorHAnsi" w:hAnsiTheme="minorHAnsi" w:cstheme="minorHAnsi"/>
        </w:rPr>
        <w:t xml:space="preserve"> contact updates and locating (as described above in Section B4);</w:t>
      </w:r>
    </w:p>
    <w:p w:rsidRPr="0022293A" w:rsidR="00DF41FF" w:rsidP="0022293A" w:rsidRDefault="00DF41FF" w14:paraId="54DA33E1" w14:textId="5EAFB4E3">
      <w:pPr>
        <w:pStyle w:val="Bullets"/>
        <w:spacing w:after="0" w:line="240" w:lineRule="auto"/>
        <w:ind w:left="720"/>
        <w:rPr>
          <w:rFonts w:asciiTheme="minorHAnsi" w:hAnsiTheme="minorHAnsi" w:cstheme="minorHAnsi"/>
        </w:rPr>
      </w:pPr>
      <w:r w:rsidRPr="0022293A">
        <w:rPr>
          <w:rFonts w:asciiTheme="minorHAnsi" w:hAnsiTheme="minorHAnsi" w:cstheme="minorHAnsi"/>
        </w:rPr>
        <w:t xml:space="preserve">Tokens of Appreciation (as described in Supporting Statement A, Section A9); and </w:t>
      </w:r>
    </w:p>
    <w:p w:rsidRPr="0022293A" w:rsidR="00DF41FF" w:rsidP="0022293A" w:rsidRDefault="00DF41FF" w14:paraId="27A9A1A8" w14:textId="3D07FED3">
      <w:pPr>
        <w:pStyle w:val="BulletsLast"/>
        <w:spacing w:line="240" w:lineRule="auto"/>
        <w:ind w:left="720"/>
        <w:rPr>
          <w:rFonts w:asciiTheme="minorHAnsi" w:hAnsiTheme="minorHAnsi" w:cstheme="minorHAnsi"/>
        </w:rPr>
      </w:pPr>
      <w:r w:rsidRPr="0022293A">
        <w:rPr>
          <w:rFonts w:asciiTheme="minorHAnsi" w:hAnsiTheme="minorHAnsi" w:cstheme="minorHAnsi"/>
        </w:rPr>
        <w:lastRenderedPageBreak/>
        <w:t>Sample control during the data collection period (as described in Attachment AH).</w:t>
      </w:r>
    </w:p>
    <w:p w:rsidR="00E0041D" w:rsidP="00107DCA" w:rsidRDefault="009430F2" w14:paraId="0DCE4147" w14:textId="6993E73B">
      <w:pPr>
        <w:pStyle w:val="BodyText"/>
        <w:spacing w:after="0" w:line="240" w:lineRule="auto"/>
      </w:pPr>
      <w:r>
        <w:t xml:space="preserve"> The ITS </w:t>
      </w:r>
      <w:r w:rsidR="008541B3">
        <w:t xml:space="preserve">introduced another </w:t>
      </w:r>
      <w:r w:rsidR="00C951A3">
        <w:t xml:space="preserve">data collection </w:t>
      </w:r>
      <w:r w:rsidR="00692ABD">
        <w:t>strategy</w:t>
      </w:r>
      <w:r w:rsidR="003850ED">
        <w:t xml:space="preserve"> to maximize</w:t>
      </w:r>
      <w:r w:rsidR="00424B6F">
        <w:t xml:space="preserve"> the</w:t>
      </w:r>
      <w:r w:rsidR="003850ED">
        <w:t xml:space="preserve"> response rate</w:t>
      </w:r>
      <w:r w:rsidR="00C951A3">
        <w:t xml:space="preserve">, the shorter critical items only version of the instrument. The LTS will also incorporate the </w:t>
      </w:r>
      <w:r w:rsidR="00910792">
        <w:t xml:space="preserve">critical items instrument (CII) </w:t>
      </w:r>
      <w:r w:rsidR="00C951A3">
        <w:t>approach to enhance overall response rates and reduce potential non-response for the most critical items of interest</w:t>
      </w:r>
      <w:r w:rsidR="00C33425">
        <w:t xml:space="preserve">. </w:t>
      </w:r>
    </w:p>
    <w:p w:rsidR="00071621" w:rsidP="00107DCA" w:rsidRDefault="00071621" w14:paraId="587CF0AC" w14:textId="77777777">
      <w:pPr>
        <w:pStyle w:val="BodyText"/>
        <w:spacing w:after="0" w:line="240" w:lineRule="auto"/>
      </w:pPr>
    </w:p>
    <w:p w:rsidR="00B36FB7" w:rsidP="00107DCA" w:rsidRDefault="002B7FB6" w14:paraId="5A78FB8B" w14:textId="05F81808">
      <w:pPr>
        <w:pStyle w:val="BodyText"/>
        <w:spacing w:after="0" w:line="240" w:lineRule="auto"/>
      </w:pPr>
      <w:r>
        <w:t xml:space="preserve">For the HPOG 2.0 </w:t>
      </w:r>
      <w:r w:rsidR="00900ED2">
        <w:t>STS</w:t>
      </w:r>
      <w:r>
        <w:t>, a</w:t>
      </w:r>
      <w:r w:rsidR="005F29FB">
        <w:t xml:space="preserve">fter excluding those </w:t>
      </w:r>
      <w:r w:rsidR="00B736BA">
        <w:t xml:space="preserve">participants who withdrew from the study or were </w:t>
      </w:r>
      <w:r w:rsidR="005F29FB">
        <w:t xml:space="preserve">ineligible </w:t>
      </w:r>
      <w:r w:rsidR="00B736BA">
        <w:t>to participate</w:t>
      </w:r>
      <w:r w:rsidR="005F29FB">
        <w:t>, t</w:t>
      </w:r>
      <w:r w:rsidR="008537D8">
        <w:t xml:space="preserve">he evaluation team completed an interview with </w:t>
      </w:r>
      <w:r w:rsidR="00B9376C">
        <w:t>9,620</w:t>
      </w:r>
      <w:r w:rsidR="008537D8">
        <w:t xml:space="preserve"> of the </w:t>
      </w:r>
      <w:r w:rsidR="00B9376C">
        <w:t>12,923</w:t>
      </w:r>
      <w:r w:rsidR="008537D8">
        <w:t xml:space="preserve"> participants eligible for the data </w:t>
      </w:r>
      <w:r w:rsidR="00511611">
        <w:t>collection:</w:t>
      </w:r>
      <w:r w:rsidR="00B9376C">
        <w:rPr>
          <w:rStyle w:val="FootnoteReference"/>
        </w:rPr>
        <w:footnoteReference w:id="14"/>
      </w:r>
      <w:r w:rsidR="008537D8">
        <w:t xml:space="preserve"> a 74.</w:t>
      </w:r>
      <w:r w:rsidR="00B9376C">
        <w:t>4</w:t>
      </w:r>
      <w:r w:rsidR="008537D8">
        <w:t xml:space="preserve"> percent </w:t>
      </w:r>
      <w:r w:rsidR="00B9376C">
        <w:t xml:space="preserve">response </w:t>
      </w:r>
      <w:r w:rsidR="008537D8">
        <w:t xml:space="preserve">rate. </w:t>
      </w:r>
      <w:r w:rsidR="00B90EF6">
        <w:t>It is common for the response rate to decrease between follow-up survey waves</w:t>
      </w:r>
      <w:r w:rsidR="00E5569D">
        <w:t xml:space="preserve">. </w:t>
      </w:r>
      <w:r w:rsidR="00047840">
        <w:t xml:space="preserve">With a response rate of 65.8 percent for the HPOG 2.0 ITS, the decrease in response rates between the STS and ITS was 8.6 percentage points. </w:t>
      </w:r>
      <w:r w:rsidR="00B90EF6">
        <w:t xml:space="preserve">The comparable </w:t>
      </w:r>
      <w:r w:rsidR="00221BE7">
        <w:t>c</w:t>
      </w:r>
      <w:r w:rsidR="00B90EF6">
        <w:t xml:space="preserve">areer </w:t>
      </w:r>
      <w:r w:rsidR="00221BE7">
        <w:t>p</w:t>
      </w:r>
      <w:r w:rsidR="00B90EF6">
        <w:t xml:space="preserve">athways </w:t>
      </w:r>
      <w:r w:rsidR="00221BE7">
        <w:t>s</w:t>
      </w:r>
      <w:r w:rsidR="00B90EF6">
        <w:t xml:space="preserve">tudies </w:t>
      </w:r>
      <w:r w:rsidRPr="005B1FEE" w:rsidR="00B90EF6">
        <w:t xml:space="preserve">PACE and HPOG 1.0 </w:t>
      </w:r>
      <w:r w:rsidR="00B90EF6">
        <w:t xml:space="preserve">had </w:t>
      </w:r>
      <w:r w:rsidRPr="005B1FEE" w:rsidR="00B90EF6">
        <w:t>3.7 and 3.1 percentage point decrease</w:t>
      </w:r>
      <w:r w:rsidR="00B90EF6">
        <w:t>s</w:t>
      </w:r>
      <w:r w:rsidRPr="005B1FEE" w:rsidR="00B90EF6">
        <w:t>, respectively, in response rates between the</w:t>
      </w:r>
      <w:r w:rsidR="006C38C0">
        <w:t>ir STS and ITS</w:t>
      </w:r>
      <w:r w:rsidR="00334F5E">
        <w:t xml:space="preserve"> data collection efforts. Th</w:t>
      </w:r>
      <w:r w:rsidR="009317D5">
        <w:t>e</w:t>
      </w:r>
      <w:r w:rsidR="00334F5E">
        <w:t xml:space="preserve"> </w:t>
      </w:r>
      <w:r w:rsidR="002211AD">
        <w:t xml:space="preserve">larger HPOG 2.0 </w:t>
      </w:r>
      <w:r w:rsidR="002766AE">
        <w:t>decrease between wave</w:t>
      </w:r>
      <w:r w:rsidR="00CC79E7">
        <w:t>s</w:t>
      </w:r>
      <w:r w:rsidR="002766AE">
        <w:t xml:space="preserve"> </w:t>
      </w:r>
      <w:r w:rsidR="002211AD">
        <w:t>was</w:t>
      </w:r>
      <w:r w:rsidR="0046666B">
        <w:t xml:space="preserve"> </w:t>
      </w:r>
      <w:r w:rsidR="009761BC">
        <w:t xml:space="preserve">likely due in large part to </w:t>
      </w:r>
      <w:r w:rsidR="00944155">
        <w:t>the inability to conduct data collection in-person</w:t>
      </w:r>
      <w:r w:rsidR="0046666B">
        <w:t xml:space="preserve"> for the ITS</w:t>
      </w:r>
      <w:r w:rsidR="00944155">
        <w:t xml:space="preserve"> due to COVID-19 pandemic social distancing guidelines</w:t>
      </w:r>
      <w:r w:rsidR="00E5569D">
        <w:t xml:space="preserve">. </w:t>
      </w:r>
    </w:p>
    <w:p w:rsidR="00B36FB7" w:rsidP="00107DCA" w:rsidRDefault="00B36FB7" w14:paraId="2D3FA60E" w14:textId="77777777">
      <w:pPr>
        <w:pStyle w:val="BodyText"/>
        <w:spacing w:after="0" w:line="240" w:lineRule="auto"/>
      </w:pPr>
    </w:p>
    <w:p w:rsidR="004850B1" w:rsidP="00107DCA" w:rsidRDefault="007A7331" w14:paraId="514DA1AB" w14:textId="647F77B9">
      <w:pPr>
        <w:pStyle w:val="BodyText"/>
        <w:spacing w:after="0" w:line="240" w:lineRule="auto"/>
      </w:pPr>
      <w:r>
        <w:t>Experience with</w:t>
      </w:r>
      <w:r w:rsidRPr="17642613" w:rsidR="386A99F4">
        <w:rPr>
          <w:rFonts w:ascii="Calibri" w:hAnsi="Calibri" w:eastAsia="Calibri" w:cs="Calibri"/>
        </w:rPr>
        <w:t xml:space="preserve"> the recently completed ITS data collection </w:t>
      </w:r>
      <w:r w:rsidR="00B36FB7">
        <w:rPr>
          <w:rFonts w:ascii="Calibri" w:hAnsi="Calibri" w:eastAsia="Calibri" w:cs="Calibri"/>
        </w:rPr>
        <w:t xml:space="preserve">also </w:t>
      </w:r>
      <w:r w:rsidRPr="17642613" w:rsidR="386A99F4">
        <w:rPr>
          <w:rFonts w:ascii="Calibri" w:hAnsi="Calibri" w:eastAsia="Calibri" w:cs="Calibri"/>
        </w:rPr>
        <w:t xml:space="preserve">showed that the </w:t>
      </w:r>
      <w:r w:rsidR="0075673A">
        <w:rPr>
          <w:rFonts w:ascii="Calibri" w:hAnsi="Calibri" w:eastAsia="Calibri" w:cs="Calibri"/>
        </w:rPr>
        <w:t>(much shorter)</w:t>
      </w:r>
      <w:r w:rsidRPr="17642613" w:rsidR="386A99F4">
        <w:rPr>
          <w:rFonts w:ascii="Calibri" w:hAnsi="Calibri" w:eastAsia="Calibri" w:cs="Calibri"/>
        </w:rPr>
        <w:t xml:space="preserve"> critical items instrument (Instrument 18a) increased the overall response rate </w:t>
      </w:r>
      <w:r w:rsidR="00204BE6">
        <w:rPr>
          <w:rFonts w:ascii="Calibri" w:hAnsi="Calibri" w:eastAsia="Calibri" w:cs="Calibri"/>
        </w:rPr>
        <w:t xml:space="preserve">(by </w:t>
      </w:r>
      <w:r w:rsidR="00644C97">
        <w:rPr>
          <w:rFonts w:ascii="Calibri" w:hAnsi="Calibri" w:eastAsia="Calibri" w:cs="Calibri"/>
        </w:rPr>
        <w:t>9.5</w:t>
      </w:r>
      <w:r w:rsidR="00204BE6">
        <w:rPr>
          <w:rFonts w:ascii="Calibri" w:hAnsi="Calibri" w:eastAsia="Calibri" w:cs="Calibri"/>
        </w:rPr>
        <w:t xml:space="preserve"> percentage points) </w:t>
      </w:r>
      <w:r w:rsidRPr="17642613" w:rsidR="386A99F4">
        <w:rPr>
          <w:rFonts w:ascii="Calibri" w:hAnsi="Calibri" w:eastAsia="Calibri" w:cs="Calibri"/>
        </w:rPr>
        <w:t>and reduced the response rate differential between treatment and control group members</w:t>
      </w:r>
      <w:r w:rsidR="00204BE6">
        <w:rPr>
          <w:rFonts w:ascii="Calibri" w:hAnsi="Calibri" w:eastAsia="Calibri" w:cs="Calibri"/>
        </w:rPr>
        <w:t xml:space="preserve"> (by </w:t>
      </w:r>
      <w:r w:rsidR="002D5E43">
        <w:rPr>
          <w:rFonts w:ascii="Calibri" w:hAnsi="Calibri" w:eastAsia="Calibri" w:cs="Calibri"/>
        </w:rPr>
        <w:t>2.4</w:t>
      </w:r>
      <w:r w:rsidR="00204BE6">
        <w:rPr>
          <w:rFonts w:ascii="Calibri" w:hAnsi="Calibri" w:eastAsia="Calibri" w:cs="Calibri"/>
        </w:rPr>
        <w:t xml:space="preserve"> percentage points)</w:t>
      </w:r>
      <w:r w:rsidRPr="17642613" w:rsidR="386A99F4">
        <w:rPr>
          <w:rFonts w:ascii="Calibri" w:hAnsi="Calibri" w:eastAsia="Calibri" w:cs="Calibri"/>
        </w:rPr>
        <w:t>. This information collection request includes a</w:t>
      </w:r>
      <w:r w:rsidR="00C10849">
        <w:rPr>
          <w:rFonts w:ascii="Calibri" w:hAnsi="Calibri" w:eastAsia="Calibri" w:cs="Calibri"/>
        </w:rPr>
        <w:t>n analogous CII</w:t>
      </w:r>
      <w:r w:rsidRPr="17642613" w:rsidR="386A99F4">
        <w:rPr>
          <w:rFonts w:ascii="Calibri" w:hAnsi="Calibri" w:eastAsia="Calibri" w:cs="Calibri"/>
        </w:rPr>
        <w:t xml:space="preserve"> version of the LTS (Instrument 21) that is significantly shorter and captures only the most critical outcomes</w:t>
      </w:r>
      <w:r w:rsidR="00B105FC">
        <w:rPr>
          <w:rFonts w:ascii="Calibri" w:hAnsi="Calibri" w:eastAsia="Calibri" w:cs="Calibri"/>
        </w:rPr>
        <w:t>, the LTS-CII (Instrument 21a)</w:t>
      </w:r>
      <w:r w:rsidRPr="17642613" w:rsidR="386A99F4">
        <w:rPr>
          <w:rFonts w:ascii="Calibri" w:hAnsi="Calibri" w:eastAsia="Calibri" w:cs="Calibri"/>
        </w:rPr>
        <w:t xml:space="preserve">. While the full survey requires 60 minutes, the shorter LTS-CII can be completed in just 20 minutes. </w:t>
      </w:r>
      <w:r w:rsidR="003F0E9F">
        <w:rPr>
          <w:rFonts w:ascii="Calibri" w:hAnsi="Calibri" w:eastAsia="Calibri" w:cs="Calibri"/>
        </w:rPr>
        <w:t xml:space="preserve">Balancing </w:t>
      </w:r>
      <w:r w:rsidR="005C07C1">
        <w:t xml:space="preserve">the time elapsed between the </w:t>
      </w:r>
      <w:r w:rsidR="00334F5E">
        <w:t>ITS and the</w:t>
      </w:r>
      <w:r w:rsidR="005C07C1">
        <w:t xml:space="preserve"> </w:t>
      </w:r>
      <w:r w:rsidR="00783E5B">
        <w:t>LTS</w:t>
      </w:r>
      <w:r w:rsidR="003F0E9F">
        <w:t xml:space="preserve"> and </w:t>
      </w:r>
      <w:r w:rsidR="003F0E9F">
        <w:rPr>
          <w:rFonts w:ascii="Calibri" w:hAnsi="Calibri" w:eastAsia="Calibri" w:cs="Calibri"/>
        </w:rPr>
        <w:t xml:space="preserve">the </w:t>
      </w:r>
      <w:r w:rsidR="009522AB">
        <w:rPr>
          <w:rFonts w:ascii="Calibri" w:hAnsi="Calibri" w:eastAsia="Calibri" w:cs="Calibri"/>
        </w:rPr>
        <w:t>expected</w:t>
      </w:r>
      <w:r w:rsidR="003F0E9F">
        <w:rPr>
          <w:rFonts w:ascii="Calibri" w:hAnsi="Calibri" w:eastAsia="Calibri" w:cs="Calibri"/>
        </w:rPr>
        <w:t xml:space="preserve"> reduction in response rates between waves</w:t>
      </w:r>
      <w:r w:rsidR="00AB2074">
        <w:t xml:space="preserve">, </w:t>
      </w:r>
      <w:r w:rsidR="00CA1B94">
        <w:t xml:space="preserve">with the expected increase in </w:t>
      </w:r>
      <w:r w:rsidR="00AB2074">
        <w:t>response rates if in-person follow-up activities are allowed, we</w:t>
      </w:r>
      <w:r w:rsidR="005C07C1">
        <w:t xml:space="preserve"> estimate that a 73 percent response </w:t>
      </w:r>
      <w:r w:rsidR="004850B1">
        <w:t xml:space="preserve">is feasible </w:t>
      </w:r>
      <w:r w:rsidR="00221BE7">
        <w:t>for the LTS</w:t>
      </w:r>
      <w:r w:rsidR="009522AB">
        <w:t xml:space="preserve">. </w:t>
      </w:r>
      <w:r w:rsidR="00A50DE6">
        <w:t xml:space="preserve">The projection is that the full LTS will yield a </w:t>
      </w:r>
      <w:r w:rsidR="00AB2074">
        <w:t>62 percent response rate and the remaini</w:t>
      </w:r>
      <w:r w:rsidR="00E71E36">
        <w:t>n</w:t>
      </w:r>
      <w:r w:rsidR="00AB2074">
        <w:t>g 11 percent</w:t>
      </w:r>
      <w:r w:rsidR="00A50DE6">
        <w:t xml:space="preserve"> will come</w:t>
      </w:r>
      <w:r w:rsidR="00AB2074">
        <w:t xml:space="preserve"> from the LTS-CII. </w:t>
      </w:r>
    </w:p>
    <w:p w:rsidR="00FF48BC" w:rsidP="00107DCA" w:rsidRDefault="00FF48BC" w14:paraId="3686D40B" w14:textId="116E538D">
      <w:pPr>
        <w:pStyle w:val="BodyText"/>
        <w:spacing w:after="0" w:line="240" w:lineRule="auto"/>
      </w:pPr>
    </w:p>
    <w:p w:rsidRPr="00EC0DC4" w:rsidR="00BD101E" w:rsidP="17642613" w:rsidRDefault="00BD101E" w14:paraId="38407914" w14:textId="4DA15D36">
      <w:pPr>
        <w:pStyle w:val="BodyText"/>
        <w:spacing w:after="0" w:line="240" w:lineRule="auto"/>
        <w:rPr>
          <w:rStyle w:val="normaltextrun"/>
          <w:color w:val="000000"/>
          <w:shd w:val="clear" w:color="auto" w:fill="FFFFFF"/>
        </w:rPr>
      </w:pPr>
      <w:r>
        <w:t xml:space="preserve">We plan </w:t>
      </w:r>
      <w:r w:rsidR="00C564C3">
        <w:t>to use</w:t>
      </w:r>
      <w:r>
        <w:t xml:space="preserve"> the same nonresponse analyses and adjustments as we used for the </w:t>
      </w:r>
      <w:r w:rsidR="00280DE5">
        <w:t>Intermediate</w:t>
      </w:r>
      <w:r w:rsidR="00A357C6">
        <w:t>-</w:t>
      </w:r>
      <w:r w:rsidR="00934E4C">
        <w:t>T</w:t>
      </w:r>
      <w:r w:rsidR="00A357C6">
        <w:t>erm</w:t>
      </w:r>
      <w:r w:rsidR="00C564C3">
        <w:t xml:space="preserve"> </w:t>
      </w:r>
      <w:r>
        <w:t>Impact Report</w:t>
      </w:r>
      <w:r w:rsidRPr="17642613">
        <w:t xml:space="preserve">. </w:t>
      </w:r>
      <w:r w:rsidRPr="17642613" w:rsidR="00F31E28">
        <w:rPr>
          <w:rStyle w:val="normaltextrun"/>
          <w:color w:val="000000"/>
          <w:shd w:val="clear" w:color="auto" w:fill="FFFFFF"/>
        </w:rPr>
        <w:t>For purposes of nonresponse adjustment weighting, the evaluation team will consider respondents to the LTS-</w:t>
      </w:r>
      <w:r w:rsidRPr="17642613" w:rsidR="00604A13">
        <w:rPr>
          <w:rStyle w:val="normaltextrun"/>
          <w:color w:val="000000"/>
          <w:shd w:val="clear" w:color="auto" w:fill="FFFFFF"/>
        </w:rPr>
        <w:t>CII</w:t>
      </w:r>
      <w:r w:rsidRPr="17642613" w:rsidR="00F31E28">
        <w:rPr>
          <w:rStyle w:val="normaltextrun"/>
          <w:color w:val="000000"/>
          <w:shd w:val="clear" w:color="auto" w:fill="FFFFFF"/>
        </w:rPr>
        <w:t xml:space="preserve"> as if they had responded to the full LTS. Since the LTS-CII respondents will have much less detailed information than respondents to the full </w:t>
      </w:r>
      <w:r w:rsidRPr="17642613" w:rsidR="00A03032">
        <w:rPr>
          <w:rStyle w:val="normaltextrun"/>
          <w:color w:val="000000"/>
          <w:shd w:val="clear" w:color="auto" w:fill="FFFFFF"/>
        </w:rPr>
        <w:t>L</w:t>
      </w:r>
      <w:r w:rsidRPr="17642613" w:rsidR="00F31E28">
        <w:rPr>
          <w:rStyle w:val="normaltextrun"/>
          <w:color w:val="000000"/>
          <w:shd w:val="clear" w:color="auto" w:fill="FFFFFF"/>
        </w:rPr>
        <w:t xml:space="preserve">TS, analysis will require imputation of most of the </w:t>
      </w:r>
      <w:r w:rsidRPr="17642613" w:rsidR="00FB33E1">
        <w:rPr>
          <w:rStyle w:val="normaltextrun"/>
          <w:color w:val="000000"/>
          <w:shd w:val="clear" w:color="auto" w:fill="FFFFFF"/>
        </w:rPr>
        <w:t>L</w:t>
      </w:r>
      <w:r w:rsidRPr="17642613" w:rsidR="00F31E28">
        <w:rPr>
          <w:rStyle w:val="normaltextrun"/>
          <w:color w:val="000000"/>
          <w:shd w:val="clear" w:color="auto" w:fill="FFFFFF"/>
        </w:rPr>
        <w:t>TS</w:t>
      </w:r>
      <w:r w:rsidRPr="17642613" w:rsidR="00FB33E1">
        <w:rPr>
          <w:rStyle w:val="normaltextrun"/>
          <w:color w:val="000000"/>
          <w:shd w:val="clear" w:color="auto" w:fill="FFFFFF"/>
        </w:rPr>
        <w:t xml:space="preserve"> for those who complete the LTS-CII.</w:t>
      </w:r>
      <w:r w:rsidRPr="17642613" w:rsidR="00F31E28">
        <w:rPr>
          <w:rStyle w:val="normaltextrun"/>
          <w:color w:val="000000"/>
          <w:shd w:val="clear" w:color="auto" w:fill="FFFFFF"/>
        </w:rPr>
        <w:t> </w:t>
      </w:r>
      <w:r w:rsidR="00F31E28">
        <w:rPr>
          <w:rStyle w:val="eop"/>
          <w:rFonts w:ascii="Arial" w:hAnsi="Arial" w:cs="Arial"/>
          <w:color w:val="000000"/>
          <w:shd w:val="clear" w:color="auto" w:fill="FFFFFF"/>
        </w:rPr>
        <w:t> </w:t>
      </w:r>
      <w:r w:rsidRPr="17642613" w:rsidR="00363255">
        <w:rPr>
          <w:rStyle w:val="normaltextrun"/>
        </w:rPr>
        <w:t>We developed procedures for this imputation as part of work preparing the I</w:t>
      </w:r>
      <w:r w:rsidRPr="17642613" w:rsidR="00FB147D">
        <w:rPr>
          <w:rStyle w:val="normaltextrun"/>
        </w:rPr>
        <w:t>ntermediate-</w:t>
      </w:r>
      <w:r w:rsidRPr="17642613" w:rsidR="00363255">
        <w:rPr>
          <w:rStyle w:val="normaltextrun"/>
        </w:rPr>
        <w:t>T</w:t>
      </w:r>
      <w:r w:rsidRPr="17642613" w:rsidR="00FB147D">
        <w:rPr>
          <w:rStyle w:val="normaltextrun"/>
        </w:rPr>
        <w:t xml:space="preserve">erm </w:t>
      </w:r>
      <w:r w:rsidRPr="17642613" w:rsidR="00363255">
        <w:rPr>
          <w:rStyle w:val="normaltextrun"/>
        </w:rPr>
        <w:t>I</w:t>
      </w:r>
      <w:r w:rsidRPr="17642613" w:rsidR="00FB147D">
        <w:rPr>
          <w:rStyle w:val="normaltextrun"/>
        </w:rPr>
        <w:t xml:space="preserve">mpact </w:t>
      </w:r>
      <w:r w:rsidRPr="17642613" w:rsidR="00363255">
        <w:rPr>
          <w:rStyle w:val="normaltextrun"/>
        </w:rPr>
        <w:t>R</w:t>
      </w:r>
      <w:r w:rsidRPr="17642613" w:rsidR="00FB147D">
        <w:rPr>
          <w:rStyle w:val="normaltextrun"/>
        </w:rPr>
        <w:t>ep</w:t>
      </w:r>
      <w:r w:rsidRPr="17642613" w:rsidR="00CB79A2">
        <w:rPr>
          <w:rStyle w:val="normaltextrun"/>
        </w:rPr>
        <w:t>o</w:t>
      </w:r>
      <w:r w:rsidRPr="17642613" w:rsidR="00FB147D">
        <w:rPr>
          <w:rStyle w:val="normaltextrun"/>
        </w:rPr>
        <w:t>rt</w:t>
      </w:r>
      <w:r w:rsidRPr="17642613" w:rsidR="00363255">
        <w:rPr>
          <w:rStyle w:val="normaltextrun"/>
        </w:rPr>
        <w:t xml:space="preserve">. Sensitivity analyses </w:t>
      </w:r>
      <w:r w:rsidR="00063096">
        <w:rPr>
          <w:rStyle w:val="normaltextrun"/>
        </w:rPr>
        <w:t xml:space="preserve">conducted in support of the Intermediate-Term Impact Report (documented in forthcoming appendices to that report) </w:t>
      </w:r>
      <w:r w:rsidRPr="17642613" w:rsidR="00363255">
        <w:rPr>
          <w:rStyle w:val="normaltextrun"/>
        </w:rPr>
        <w:t xml:space="preserve">indicate acceptable performance. In addition to the items in the CII, these procedures draw on administrative data to improve the quality of the imputations. We use </w:t>
      </w:r>
      <w:r w:rsidRPr="17642613" w:rsidR="00C72FEE">
        <w:rPr>
          <w:rStyle w:val="normaltextrun"/>
        </w:rPr>
        <w:t>National Student Clearinghouse (NSC)</w:t>
      </w:r>
      <w:r w:rsidRPr="17642613" w:rsidR="00363255">
        <w:rPr>
          <w:rStyle w:val="normaltextrun"/>
        </w:rPr>
        <w:t xml:space="preserve"> data to inform the imputation of education outcomes and NDNH to inform the imputation of labor market and well-being outcomes. We will apply </w:t>
      </w:r>
      <w:r w:rsidRPr="17642613" w:rsidR="00133A51">
        <w:rPr>
          <w:rStyle w:val="normaltextrun"/>
        </w:rPr>
        <w:t xml:space="preserve">the </w:t>
      </w:r>
      <w:r w:rsidRPr="17642613" w:rsidR="00363255">
        <w:rPr>
          <w:rStyle w:val="normaltextrun"/>
        </w:rPr>
        <w:t xml:space="preserve">same procedures for the </w:t>
      </w:r>
      <w:r w:rsidRPr="17642613" w:rsidR="00C72FEE">
        <w:rPr>
          <w:rStyle w:val="normaltextrun"/>
        </w:rPr>
        <w:t>Long-</w:t>
      </w:r>
      <w:r w:rsidRPr="17642613" w:rsidR="00506040">
        <w:rPr>
          <w:rStyle w:val="normaltextrun"/>
        </w:rPr>
        <w:t>T</w:t>
      </w:r>
      <w:r w:rsidRPr="17642613" w:rsidR="00C72FEE">
        <w:rPr>
          <w:rStyle w:val="normaltextrun"/>
        </w:rPr>
        <w:t>erm Impact Report</w:t>
      </w:r>
      <w:r w:rsidRPr="17642613" w:rsidR="00363255">
        <w:rPr>
          <w:rStyle w:val="normaltextrun"/>
        </w:rPr>
        <w:t xml:space="preserve">. </w:t>
      </w:r>
    </w:p>
    <w:p w:rsidR="00107DCA" w:rsidP="00BD101E" w:rsidRDefault="00107DCA" w14:paraId="434018D3" w14:textId="77777777">
      <w:pPr>
        <w:pStyle w:val="BodyText"/>
        <w:spacing w:after="0" w:line="240" w:lineRule="auto"/>
      </w:pPr>
    </w:p>
    <w:p w:rsidRPr="00C975D2" w:rsidR="00CA30D8" w:rsidP="0065523A" w:rsidRDefault="00A42C71" w14:paraId="149D1AF7" w14:textId="10DAE17E">
      <w:pPr>
        <w:spacing w:after="120" w:line="240" w:lineRule="auto"/>
        <w:rPr>
          <w:rFonts w:eastAsia="Times New Roman" w:cstheme="minorHAnsi"/>
        </w:rPr>
      </w:pPr>
      <w:r w:rsidRPr="001A59B6">
        <w:rPr>
          <w:rFonts w:eastAsia="Times New Roman" w:cstheme="minorHAnsi"/>
          <w:b/>
          <w:bCs/>
        </w:rPr>
        <w:t>B6</w:t>
      </w:r>
      <w:r w:rsidR="0061006C">
        <w:rPr>
          <w:rFonts w:eastAsia="Times New Roman" w:cstheme="minorHAnsi"/>
          <w:b/>
          <w:bCs/>
        </w:rPr>
        <w:t xml:space="preserve">. </w:t>
      </w:r>
      <w:r w:rsidR="0064374F">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5D54AD" w:rsidP="000F7963" w:rsidRDefault="008F72E9" w14:paraId="44920FFB" w14:textId="778A42F3">
      <w:pPr>
        <w:spacing w:after="240" w:line="240" w:lineRule="auto"/>
        <w:rPr>
          <w:rFonts w:eastAsia="Times New Roman" w:cstheme="minorHAnsi"/>
          <w:szCs w:val="20"/>
        </w:rPr>
      </w:pPr>
      <w:r>
        <w:rPr>
          <w:rFonts w:eastAsia="Times New Roman" w:cstheme="minorHAnsi"/>
          <w:szCs w:val="20"/>
        </w:rPr>
        <w:t xml:space="preserve">The evaluation </w:t>
      </w:r>
      <w:r w:rsidR="00334F5E">
        <w:rPr>
          <w:rFonts w:eastAsia="Times New Roman" w:cstheme="minorHAnsi"/>
          <w:szCs w:val="20"/>
        </w:rPr>
        <w:t xml:space="preserve">contractor </w:t>
      </w:r>
      <w:r>
        <w:rPr>
          <w:rFonts w:eastAsia="Times New Roman" w:cstheme="minorHAnsi"/>
          <w:szCs w:val="20"/>
        </w:rPr>
        <w:t xml:space="preserve">will estimate the impact of outcomes measured </w:t>
      </w:r>
      <w:r w:rsidR="00062500">
        <w:rPr>
          <w:rFonts w:eastAsia="Times New Roman" w:cstheme="minorHAnsi"/>
          <w:szCs w:val="20"/>
        </w:rPr>
        <w:t>for the</w:t>
      </w:r>
      <w:r>
        <w:rPr>
          <w:rFonts w:eastAsia="Times New Roman" w:cstheme="minorHAnsi"/>
          <w:szCs w:val="20"/>
        </w:rPr>
        <w:t xml:space="preserve"> </w:t>
      </w:r>
      <w:r w:rsidR="00783E5B">
        <w:rPr>
          <w:rFonts w:eastAsia="Times New Roman" w:cstheme="minorHAnsi"/>
          <w:szCs w:val="20"/>
        </w:rPr>
        <w:t>LTS</w:t>
      </w:r>
      <w:r w:rsidR="00AB2074">
        <w:rPr>
          <w:rFonts w:eastAsia="Times New Roman" w:cstheme="minorHAnsi"/>
          <w:szCs w:val="20"/>
        </w:rPr>
        <w:t xml:space="preserve"> sample</w:t>
      </w:r>
      <w:r w:rsidR="00FA0DC5">
        <w:rPr>
          <w:rFonts w:eastAsia="Times New Roman" w:cstheme="minorHAnsi"/>
          <w:szCs w:val="20"/>
        </w:rPr>
        <w:t xml:space="preserve"> </w:t>
      </w:r>
      <w:r>
        <w:rPr>
          <w:rFonts w:eastAsia="Times New Roman" w:cstheme="minorHAnsi"/>
          <w:szCs w:val="20"/>
        </w:rPr>
        <w:t xml:space="preserve">using similar methods to those used for </w:t>
      </w:r>
      <w:r w:rsidRPr="002A01F6" w:rsidR="00FC02D0">
        <w:rPr>
          <w:rFonts w:eastAsia="Times New Roman" w:cstheme="minorHAnsi"/>
          <w:szCs w:val="20"/>
        </w:rPr>
        <w:t xml:space="preserve">the HPOG 2.0 </w:t>
      </w:r>
      <w:r w:rsidR="00334F5E">
        <w:rPr>
          <w:rFonts w:eastAsia="Times New Roman" w:cstheme="minorHAnsi"/>
          <w:szCs w:val="20"/>
        </w:rPr>
        <w:t>STS and ITS sample</w:t>
      </w:r>
      <w:r w:rsidR="008A040A">
        <w:rPr>
          <w:rFonts w:eastAsia="Times New Roman" w:cstheme="minorHAnsi"/>
          <w:szCs w:val="20"/>
        </w:rPr>
        <w:t>s</w:t>
      </w:r>
      <w:r w:rsidR="00FA0DC5">
        <w:rPr>
          <w:rFonts w:eastAsia="Times New Roman" w:cstheme="minorHAnsi"/>
          <w:szCs w:val="20"/>
        </w:rPr>
        <w:t xml:space="preserve">. </w:t>
      </w:r>
      <w:r w:rsidR="005D54AD">
        <w:rPr>
          <w:rFonts w:eastAsia="Times New Roman" w:cstheme="minorHAnsi"/>
          <w:szCs w:val="20"/>
        </w:rPr>
        <w:t xml:space="preserve">Results of those analyses will be </w:t>
      </w:r>
      <w:r w:rsidR="005D54AD">
        <w:rPr>
          <w:rFonts w:eastAsia="Times New Roman" w:cstheme="minorHAnsi"/>
          <w:szCs w:val="20"/>
        </w:rPr>
        <w:lastRenderedPageBreak/>
        <w:t xml:space="preserve">disseminated using approaches similar to those planned for the </w:t>
      </w:r>
      <w:r w:rsidR="00FB147D">
        <w:rPr>
          <w:rFonts w:eastAsia="Times New Roman" w:cstheme="minorHAnsi"/>
          <w:szCs w:val="20"/>
        </w:rPr>
        <w:t>Intermediate-</w:t>
      </w:r>
      <w:r w:rsidR="00E16493">
        <w:rPr>
          <w:rFonts w:eastAsia="Times New Roman" w:cstheme="minorHAnsi"/>
          <w:szCs w:val="20"/>
        </w:rPr>
        <w:t>T</w:t>
      </w:r>
      <w:r w:rsidR="00FB147D">
        <w:rPr>
          <w:rFonts w:eastAsia="Times New Roman" w:cstheme="minorHAnsi"/>
          <w:szCs w:val="20"/>
        </w:rPr>
        <w:t>erm Impact Report</w:t>
      </w:r>
      <w:r w:rsidR="005D54AD">
        <w:rPr>
          <w:rFonts w:eastAsia="Times New Roman" w:cstheme="minorHAnsi"/>
          <w:szCs w:val="20"/>
        </w:rPr>
        <w:t xml:space="preserve">. Those approaches include a report (with an Overview and an Executive Summary), a technical appendix volume, and several Briefs. These primary products will be referenced on OPRE’s website, in regular emails on new findings, and through twitter and other new media. </w:t>
      </w:r>
    </w:p>
    <w:p w:rsidR="008F72E9" w:rsidP="009446A7" w:rsidRDefault="00E4329B" w14:paraId="3D24DB46" w14:textId="6B9370B0">
      <w:pPr>
        <w:spacing w:after="240" w:line="240" w:lineRule="auto"/>
        <w:rPr>
          <w:rFonts w:eastAsia="Times New Roman"/>
        </w:rPr>
      </w:pPr>
      <w:r w:rsidRPr="17642613">
        <w:rPr>
          <w:rFonts w:eastAsia="Times New Roman"/>
        </w:rPr>
        <w:t xml:space="preserve">ACF </w:t>
      </w:r>
      <w:r w:rsidRPr="17642613" w:rsidR="00B25EF5">
        <w:rPr>
          <w:rFonts w:eastAsia="Times New Roman"/>
        </w:rPr>
        <w:t xml:space="preserve">anticipates that </w:t>
      </w:r>
      <w:r w:rsidRPr="17642613" w:rsidR="00207106">
        <w:rPr>
          <w:rFonts w:eastAsia="Times New Roman"/>
        </w:rPr>
        <w:t xml:space="preserve">a </w:t>
      </w:r>
      <w:r w:rsidRPr="17642613" w:rsidR="00B25EF5">
        <w:rPr>
          <w:rFonts w:eastAsia="Times New Roman"/>
        </w:rPr>
        <w:t xml:space="preserve">wide </w:t>
      </w:r>
      <w:r w:rsidR="00CA068C">
        <w:rPr>
          <w:rFonts w:eastAsia="Times New Roman"/>
        </w:rPr>
        <w:t>range</w:t>
      </w:r>
      <w:r w:rsidRPr="17642613" w:rsidR="00B25EF5">
        <w:rPr>
          <w:rFonts w:eastAsia="Times New Roman"/>
        </w:rPr>
        <w:t xml:space="preserve"> of </w:t>
      </w:r>
      <w:r w:rsidRPr="17642613" w:rsidR="00B736BA">
        <w:rPr>
          <w:rFonts w:eastAsia="Times New Roman"/>
        </w:rPr>
        <w:t xml:space="preserve">policy makers and </w:t>
      </w:r>
      <w:r w:rsidRPr="17642613" w:rsidR="00B25EF5">
        <w:rPr>
          <w:rFonts w:eastAsia="Times New Roman"/>
        </w:rPr>
        <w:t xml:space="preserve">policy analysts will use these reports in deciding whether to continue funding programs such as HPOG and what guidance to include for grantees in </w:t>
      </w:r>
      <w:r w:rsidRPr="17642613" w:rsidR="00B736BA">
        <w:rPr>
          <w:rFonts w:eastAsia="Times New Roman"/>
        </w:rPr>
        <w:t xml:space="preserve">funding </w:t>
      </w:r>
      <w:r w:rsidRPr="17642613" w:rsidR="00B25EF5">
        <w:rPr>
          <w:rFonts w:eastAsia="Times New Roman"/>
        </w:rPr>
        <w:t xml:space="preserve">opportunity announcements. </w:t>
      </w:r>
      <w:r w:rsidR="00CE4AB6">
        <w:rPr>
          <w:rFonts w:eastAsia="Times New Roman"/>
        </w:rPr>
        <w:t xml:space="preserve">See </w:t>
      </w:r>
      <w:r w:rsidRPr="17642613" w:rsidR="00B25EF5">
        <w:rPr>
          <w:rFonts w:eastAsia="Times New Roman"/>
        </w:rPr>
        <w:t xml:space="preserve">the list of reports in the Data Use section of B7 below for more information on the evaluation design and analysis plans. </w:t>
      </w:r>
    </w:p>
    <w:p w:rsidR="00CA30D8" w:rsidP="17642613" w:rsidRDefault="00CA30D8" w14:paraId="10F28B01" w14:textId="357F451D">
      <w:pPr>
        <w:spacing w:after="0" w:line="240" w:lineRule="auto"/>
        <w:rPr>
          <w:rFonts w:eastAsia="Times New Roman"/>
        </w:rPr>
      </w:pPr>
      <w:r w:rsidRPr="17642613">
        <w:rPr>
          <w:rFonts w:eastAsia="Times New Roman"/>
        </w:rPr>
        <w:t xml:space="preserve">ACF will work with the evaluation </w:t>
      </w:r>
      <w:r w:rsidRPr="17642613" w:rsidR="00FA0DC5">
        <w:rPr>
          <w:rFonts w:eastAsia="Times New Roman"/>
        </w:rPr>
        <w:t xml:space="preserve">contractor </w:t>
      </w:r>
      <w:r w:rsidRPr="17642613">
        <w:rPr>
          <w:rFonts w:eastAsia="Times New Roman"/>
        </w:rPr>
        <w:t>to prepare data for archiving</w:t>
      </w:r>
      <w:r w:rsidRPr="17642613" w:rsidR="00FA0DC5">
        <w:rPr>
          <w:rFonts w:eastAsia="Times New Roman"/>
        </w:rPr>
        <w:t xml:space="preserve"> with copious documentation of </w:t>
      </w:r>
      <w:r w:rsidRPr="17642613" w:rsidR="004450BC">
        <w:rPr>
          <w:rFonts w:eastAsia="Times New Roman"/>
        </w:rPr>
        <w:t>data structures</w:t>
      </w:r>
      <w:r w:rsidRPr="17642613" w:rsidR="00FA0DC5">
        <w:rPr>
          <w:rFonts w:eastAsia="Times New Roman"/>
        </w:rPr>
        <w:t xml:space="preserve"> to try to maximize the chances that secondary analysts will be able to prepare high-quality </w:t>
      </w:r>
      <w:r w:rsidRPr="17642613" w:rsidR="004450BC">
        <w:rPr>
          <w:rFonts w:eastAsia="Times New Roman"/>
        </w:rPr>
        <w:t>reports and papers</w:t>
      </w:r>
      <w:r w:rsidRPr="17642613">
        <w:rPr>
          <w:rFonts w:eastAsia="Times New Roman"/>
        </w:rPr>
        <w:t xml:space="preserve">. </w:t>
      </w:r>
      <w:r w:rsidR="00020EE6">
        <w:rPr>
          <w:rFonts w:eastAsia="Times New Roman"/>
        </w:rPr>
        <w:t>Except for</w:t>
      </w:r>
      <w:r w:rsidR="006C43C6">
        <w:rPr>
          <w:rFonts w:eastAsia="Times New Roman"/>
        </w:rPr>
        <w:t xml:space="preserve"> some highly sensitive information (e.g., name, date of birth, contact information), all</w:t>
      </w:r>
      <w:r w:rsidRPr="17642613" w:rsidR="006C43C6">
        <w:rPr>
          <w:rFonts w:eastAsia="Times New Roman"/>
        </w:rPr>
        <w:t xml:space="preserve"> </w:t>
      </w:r>
      <w:r w:rsidRPr="17642613">
        <w:rPr>
          <w:rFonts w:eastAsia="Times New Roman"/>
        </w:rPr>
        <w:t xml:space="preserve">of the data and codebook documentation will be made available to secondary </w:t>
      </w:r>
      <w:r w:rsidRPr="17642613" w:rsidR="006C43C6">
        <w:rPr>
          <w:rFonts w:eastAsia="Times New Roman"/>
        </w:rPr>
        <w:t>researcher</w:t>
      </w:r>
      <w:r w:rsidR="006C43C6">
        <w:rPr>
          <w:rFonts w:eastAsia="Times New Roman"/>
        </w:rPr>
        <w:t>s</w:t>
      </w:r>
      <w:r w:rsidRPr="17642613" w:rsidDel="006C43C6" w:rsidR="006C43C6">
        <w:rPr>
          <w:rFonts w:eastAsia="Times New Roman"/>
        </w:rPr>
        <w:t xml:space="preserve"> </w:t>
      </w:r>
      <w:r w:rsidRPr="17642613">
        <w:rPr>
          <w:rFonts w:eastAsia="Times New Roman"/>
        </w:rPr>
        <w:t xml:space="preserve">through the Child and Family Data Archive, </w:t>
      </w:r>
      <w:r w:rsidRPr="00045930">
        <w:rPr>
          <w:rFonts w:eastAsia="Times New Roman"/>
        </w:rPr>
        <w:t xml:space="preserve">maintained by </w:t>
      </w:r>
      <w:r w:rsidRPr="00DF41FF">
        <w:rPr>
          <w:rFonts w:eastAsiaTheme="minorEastAsia"/>
        </w:rPr>
        <w:t xml:space="preserve">the </w:t>
      </w:r>
      <w:r w:rsidRPr="00DF41FF" w:rsidR="17642613">
        <w:rPr>
          <w:rFonts w:eastAsiaTheme="minorEastAsia"/>
          <w:sz w:val="21"/>
          <w:szCs w:val="21"/>
        </w:rPr>
        <w:t>Inter-university Consortium for Political and Social Research (ICPSR</w:t>
      </w:r>
      <w:r w:rsidRPr="00DF41FF" w:rsidR="17642613">
        <w:rPr>
          <w:rFonts w:ascii="Open Sans" w:hAnsi="Open Sans" w:eastAsia="Open Sans" w:cs="Open Sans"/>
          <w:sz w:val="21"/>
          <w:szCs w:val="21"/>
        </w:rPr>
        <w:t xml:space="preserve">). </w:t>
      </w:r>
      <w:r w:rsidRPr="00DF41FF" w:rsidR="17642613">
        <w:rPr>
          <w:rFonts w:eastAsiaTheme="minorEastAsia"/>
          <w:sz w:val="21"/>
          <w:szCs w:val="21"/>
        </w:rPr>
        <w:t>The archived data will be found here</w:t>
      </w:r>
      <w:r w:rsidR="00045930">
        <w:rPr>
          <w:rFonts w:eastAsiaTheme="minorEastAsia"/>
          <w:sz w:val="21"/>
          <w:szCs w:val="21"/>
        </w:rPr>
        <w:t>:</w:t>
      </w:r>
      <w:r w:rsidRPr="00DF41FF">
        <w:rPr>
          <w:rFonts w:eastAsiaTheme="minorEastAsia"/>
          <w:shd w:val="clear" w:color="auto" w:fill="E6E6E6"/>
        </w:rPr>
        <w:t xml:space="preserve"> </w:t>
      </w:r>
      <w:hyperlink w:history="1" r:id="rId11">
        <w:r w:rsidRPr="17642613" w:rsidR="17642613">
          <w:rPr>
            <w:rStyle w:val="Hyperlink"/>
            <w:rFonts w:eastAsia="Times New Roman"/>
          </w:rPr>
          <w:t>https://www.childandfamilydataarchive.org/cfda/pages/cfda/index.html;jsessionid=54A15AD4A666408D10A075699D55AE8E</w:t>
        </w:r>
      </w:hyperlink>
      <w:r w:rsidRPr="17642613" w:rsidR="17642613">
        <w:rPr>
          <w:rStyle w:val="Hyperlink"/>
          <w:rFonts w:eastAsia="Times New Roman"/>
        </w:rPr>
        <w:t xml:space="preserve">. </w:t>
      </w:r>
      <w:r w:rsidRPr="17642613" w:rsidR="004450BC">
        <w:rPr>
          <w:rFonts w:eastAsia="Times New Roman"/>
        </w:rPr>
        <w:t xml:space="preserve">The work of secondary analysts will also be made easier by the very detailed technical methods appendices that have been prepared for the </w:t>
      </w:r>
      <w:r w:rsidRPr="17642613" w:rsidR="00FB147D">
        <w:rPr>
          <w:rFonts w:eastAsia="Times New Roman"/>
        </w:rPr>
        <w:t>Short-</w:t>
      </w:r>
      <w:r w:rsidRPr="17642613" w:rsidR="00571F74">
        <w:rPr>
          <w:rFonts w:eastAsia="Times New Roman"/>
        </w:rPr>
        <w:t>T</w:t>
      </w:r>
      <w:r w:rsidRPr="17642613" w:rsidR="00FB147D">
        <w:rPr>
          <w:rFonts w:eastAsia="Times New Roman"/>
        </w:rPr>
        <w:t>erm Impact Report and those to be prepared for the Intermediate-</w:t>
      </w:r>
      <w:r w:rsidRPr="17642613" w:rsidR="00571F74">
        <w:rPr>
          <w:rFonts w:eastAsia="Times New Roman"/>
        </w:rPr>
        <w:t>T</w:t>
      </w:r>
      <w:r w:rsidRPr="17642613" w:rsidR="00FB147D">
        <w:rPr>
          <w:rFonts w:eastAsia="Times New Roman"/>
        </w:rPr>
        <w:t>erm Impact Report and Long-</w:t>
      </w:r>
      <w:r w:rsidRPr="17642613" w:rsidR="00571F74">
        <w:rPr>
          <w:rFonts w:eastAsia="Times New Roman"/>
        </w:rPr>
        <w:t>T</w:t>
      </w:r>
      <w:r w:rsidRPr="17642613" w:rsidR="00FB147D">
        <w:rPr>
          <w:rFonts w:eastAsia="Times New Roman"/>
        </w:rPr>
        <w:t>erm Impact Report</w:t>
      </w:r>
      <w:r w:rsidRPr="17642613" w:rsidR="004450BC">
        <w:rPr>
          <w:rFonts w:eastAsia="Times New Roman"/>
        </w:rPr>
        <w:t xml:space="preserve">. </w:t>
      </w:r>
    </w:p>
    <w:p w:rsidRPr="0084670F" w:rsidR="00207106" w:rsidP="00BD101E" w:rsidRDefault="00207106" w14:paraId="35928696" w14:textId="77777777">
      <w:pPr>
        <w:spacing w:after="0" w:line="240" w:lineRule="auto"/>
        <w:rPr>
          <w:rFonts w:eastAsia="Times New Roman" w:cstheme="minorHAnsi"/>
        </w:rPr>
      </w:pPr>
    </w:p>
    <w:p w:rsidRPr="001A59B6" w:rsidR="00A42C71" w:rsidP="00EC1E15" w:rsidRDefault="00A42C71" w14:paraId="5A639760" w14:textId="4C772DF0">
      <w:pPr>
        <w:tabs>
          <w:tab w:val="left" w:pos="720"/>
          <w:tab w:val="left" w:pos="810"/>
        </w:tabs>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sidR="0064374F">
        <w:rPr>
          <w:rFonts w:eastAsia="Times New Roman" w:cstheme="minorHAnsi"/>
          <w:b/>
          <w:bCs/>
          <w:color w:val="000000"/>
        </w:rPr>
        <w:t>.</w:t>
      </w:r>
      <w:r w:rsidR="00EC1E15">
        <w:rPr>
          <w:rFonts w:eastAsia="Times New Roman" w:cstheme="minorHAnsi"/>
          <w:color w:val="000000"/>
        </w:rPr>
        <w:tab/>
      </w:r>
      <w:r w:rsidRPr="001A59B6">
        <w:rPr>
          <w:rFonts w:eastAsia="Times New Roman" w:cstheme="minorHAnsi"/>
          <w:b/>
          <w:bCs/>
          <w:color w:val="000000"/>
        </w:rPr>
        <w:t>Data Handling and Analysis</w:t>
      </w:r>
    </w:p>
    <w:p w:rsidR="002A01F6" w:rsidP="00207106" w:rsidRDefault="00207106" w14:paraId="6E888C46" w14:textId="6F98D34F">
      <w:pPr>
        <w:spacing w:after="0" w:line="240" w:lineRule="auto"/>
        <w:rPr>
          <w:rFonts w:eastAsia="Times New Roman" w:cstheme="minorHAnsi"/>
        </w:rPr>
      </w:pPr>
      <w:r>
        <w:rPr>
          <w:rFonts w:eastAsia="Times New Roman" w:cstheme="minorHAnsi"/>
        </w:rPr>
        <w:t>T</w:t>
      </w:r>
      <w:r w:rsidRPr="0020155E" w:rsidR="00CA30D8">
        <w:rPr>
          <w:rFonts w:eastAsia="Times New Roman" w:cstheme="minorHAnsi"/>
        </w:rPr>
        <w:t xml:space="preserve">he </w:t>
      </w:r>
      <w:r w:rsidR="00783E5B">
        <w:rPr>
          <w:rFonts w:eastAsia="Times New Roman" w:cstheme="minorHAnsi"/>
        </w:rPr>
        <w:t>LTS</w:t>
      </w:r>
      <w:r w:rsidRPr="0020155E" w:rsidR="00CA30D8">
        <w:rPr>
          <w:rFonts w:eastAsia="Times New Roman" w:cstheme="minorHAnsi"/>
        </w:rPr>
        <w:t xml:space="preserve"> </w:t>
      </w:r>
      <w:r w:rsidR="00450217">
        <w:rPr>
          <w:rFonts w:eastAsia="Times New Roman" w:cstheme="minorHAnsi"/>
        </w:rPr>
        <w:t>will</w:t>
      </w:r>
      <w:r w:rsidR="00BB4AA2">
        <w:rPr>
          <w:rFonts w:eastAsia="Times New Roman" w:cstheme="minorHAnsi"/>
        </w:rPr>
        <w:t xml:space="preserve"> </w:t>
      </w:r>
      <w:r>
        <w:rPr>
          <w:rFonts w:eastAsia="Times New Roman" w:cstheme="minorHAnsi"/>
        </w:rPr>
        <w:t>be</w:t>
      </w:r>
      <w:r w:rsidRPr="0020155E" w:rsidR="00CA30D8">
        <w:rPr>
          <w:rFonts w:eastAsia="Times New Roman" w:cstheme="minorHAnsi"/>
        </w:rPr>
        <w:t xml:space="preserve"> an additional component under the HPOG 2.0 National Evaluation impact </w:t>
      </w:r>
      <w:r w:rsidR="004D6DB1">
        <w:rPr>
          <w:rFonts w:eastAsia="Times New Roman" w:cstheme="minorHAnsi"/>
        </w:rPr>
        <w:t>evaluation</w:t>
      </w:r>
      <w:r w:rsidRPr="0020155E" w:rsidR="00CA30D8">
        <w:rPr>
          <w:rFonts w:eastAsia="Times New Roman" w:cstheme="minorHAnsi"/>
        </w:rPr>
        <w:t xml:space="preserve">. Please refer to prior revisions of OMB #0970-0462 for additional details on the data handling and analysis for the previously approved HPOG 2.0 National Evaluation descriptive </w:t>
      </w:r>
      <w:r w:rsidR="004D6DB1">
        <w:rPr>
          <w:rFonts w:eastAsia="Times New Roman" w:cstheme="minorHAnsi"/>
        </w:rPr>
        <w:t>evaluation</w:t>
      </w:r>
      <w:r w:rsidRPr="0020155E" w:rsidR="00CA30D8">
        <w:rPr>
          <w:rFonts w:eastAsia="Times New Roman" w:cstheme="minorHAnsi"/>
        </w:rPr>
        <w:t xml:space="preserve">, cost-benefit </w:t>
      </w:r>
      <w:r w:rsidR="004D6DB1">
        <w:rPr>
          <w:rFonts w:eastAsia="Times New Roman" w:cstheme="minorHAnsi"/>
        </w:rPr>
        <w:t xml:space="preserve">analysis </w:t>
      </w:r>
      <w:r w:rsidRPr="0020155E" w:rsidR="00CA30D8">
        <w:rPr>
          <w:rFonts w:eastAsia="Times New Roman" w:cstheme="minorHAnsi"/>
        </w:rPr>
        <w:t xml:space="preserve">study, and </w:t>
      </w:r>
      <w:r w:rsidRPr="0020155E" w:rsidR="002A01F6">
        <w:rPr>
          <w:rFonts w:eastAsia="Times New Roman" w:cstheme="minorHAnsi"/>
        </w:rPr>
        <w:t xml:space="preserve">earlier impact </w:t>
      </w:r>
      <w:r w:rsidR="004D6DB1">
        <w:rPr>
          <w:rFonts w:eastAsia="Times New Roman" w:cstheme="minorHAnsi"/>
        </w:rPr>
        <w:t>evaluation</w:t>
      </w:r>
      <w:r w:rsidRPr="0020155E" w:rsidR="004D6DB1">
        <w:rPr>
          <w:rFonts w:eastAsia="Times New Roman" w:cstheme="minorHAnsi"/>
        </w:rPr>
        <w:t xml:space="preserve"> </w:t>
      </w:r>
      <w:r w:rsidRPr="0020155E" w:rsidR="002A01F6">
        <w:rPr>
          <w:rFonts w:eastAsia="Times New Roman" w:cstheme="minorHAnsi"/>
        </w:rPr>
        <w:t>survey efforts. Prior revisions also cover the HPOG 2.0 Tribal Evaluation.</w:t>
      </w:r>
    </w:p>
    <w:p w:rsidRPr="0020155E" w:rsidR="00207106" w:rsidP="00BD101E" w:rsidRDefault="00207106" w14:paraId="7F06376B" w14:textId="77777777">
      <w:pPr>
        <w:spacing w:after="0" w:line="240" w:lineRule="auto"/>
        <w:rPr>
          <w:rFonts w:eastAsia="Times New Roman" w:cstheme="minorHAnsi"/>
        </w:rPr>
      </w:pPr>
    </w:p>
    <w:p w:rsidRPr="001A59B6" w:rsidR="00A42C71" w:rsidP="0065523A" w:rsidRDefault="00A42C71" w14:paraId="39B31B50" w14:textId="42E055BF">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D81DE3" w:rsidP="00207106" w:rsidRDefault="006A0EA1" w14:paraId="4C2B6234" w14:textId="7F1A8290">
      <w:pPr>
        <w:spacing w:after="0" w:line="240" w:lineRule="auto"/>
      </w:pPr>
      <w:r w:rsidRPr="00FB6008">
        <w:t xml:space="preserve">To ensure data security and enhance data quality, the </w:t>
      </w:r>
      <w:r w:rsidR="00D81DE3">
        <w:t>trained interviewers</w:t>
      </w:r>
      <w:r w:rsidR="00E564A5">
        <w:t xml:space="preserve"> administering the </w:t>
      </w:r>
      <w:r w:rsidR="00783E5B">
        <w:t>LTS</w:t>
      </w:r>
      <w:r w:rsidR="00D81DE3">
        <w:t xml:space="preserve"> will collect data on tablets </w:t>
      </w:r>
      <w:r w:rsidRPr="00FB6008">
        <w:t xml:space="preserve">using </w:t>
      </w:r>
      <w:r w:rsidR="00D81DE3">
        <w:t xml:space="preserve">the Confirmit CAPI system. </w:t>
      </w:r>
      <w:r w:rsidRPr="00FB6008">
        <w:t xml:space="preserve">The Confirmit </w:t>
      </w:r>
      <w:r w:rsidRPr="00D05BED" w:rsidR="00F660B5">
        <w:t>CAPI interviewer console requires secure login-based interface and, all case level data files are stored and encrypted by the CAPI software that is installed on the devices. This includes survey data as well as PII associated with respondents and their secondary contacts</w:t>
      </w:r>
      <w:r w:rsidR="00F660B5">
        <w:t>.</w:t>
      </w:r>
      <w:r w:rsidRPr="00D05BED" w:rsidR="00F660B5">
        <w:t xml:space="preserve"> All survey data will be transmitted to Abt servers via a secure internet connection</w:t>
      </w:r>
      <w:r w:rsidR="00345C0B">
        <w:t>,</w:t>
      </w:r>
      <w:r w:rsidRPr="00D05BED" w:rsidR="00F660B5">
        <w:t xml:space="preserve"> and the CAPI system itself encrypts data flowing between interviewer consoles and the centralized server</w:t>
      </w:r>
      <w:r w:rsidRPr="00D05BED" w:rsidR="007179FF">
        <w:t xml:space="preserve">. </w:t>
      </w:r>
      <w:r w:rsidRPr="00D05BED" w:rsidR="00F660B5">
        <w:t xml:space="preserve">Datasets generated by the CAPI system will be stored in a restricted access folder </w:t>
      </w:r>
      <w:r w:rsidR="00F660B5">
        <w:t xml:space="preserve">on </w:t>
      </w:r>
      <w:r w:rsidRPr="008E3332" w:rsidR="00F660B5">
        <w:rPr>
          <w:rFonts w:cstheme="minorHAnsi"/>
        </w:rPr>
        <w:t>Abt Associates’ secure Analytical Computing Environment (ACE3), the FISMA moderate server, where most analyses will be conducted</w:t>
      </w:r>
      <w:r w:rsidR="00F660B5">
        <w:rPr>
          <w:rFonts w:cstheme="minorHAnsi"/>
        </w:rPr>
        <w:t>.</w:t>
      </w:r>
      <w:r w:rsidRPr="00D05BED" w:rsidR="00F660B5">
        <w:t xml:space="preserve"> Once Abt programmers are satisfied with the extraction of survey data from CAPI software into SAS, the SAS files will be transferred to Abt analysts. Data transfer between the survey system and the analysis system will be conducted through Abt’s secure online file transfer platform that utilizes FIPS 140-2 validated cryptographic modules. Only those project research staff with security approval will be granted access to the data. All analyses will take place within the secure ACE-3 computing environment at Abt Associates.</w:t>
      </w:r>
    </w:p>
    <w:p w:rsidR="00207106" w:rsidP="00BD101E" w:rsidRDefault="00207106" w14:paraId="1CD33CA8" w14:textId="77777777">
      <w:pPr>
        <w:spacing w:after="0" w:line="240" w:lineRule="auto"/>
        <w:rPr>
          <w:bdr w:val="none" w:color="auto" w:sz="0" w:space="0" w:frame="1"/>
        </w:rPr>
      </w:pPr>
    </w:p>
    <w:p w:rsidR="00DF3B73" w:rsidP="0065523A" w:rsidRDefault="00A42C71" w14:paraId="02FBBB8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AE24E4" w:rsidP="00DF41FF" w:rsidRDefault="00D966B8" w14:paraId="7C1058CF" w14:textId="3E756303">
      <w:pPr>
        <w:spacing w:after="0" w:line="240" w:lineRule="auto"/>
        <w:rPr>
          <w:rFonts w:cs="Arial"/>
        </w:rPr>
      </w:pPr>
      <w:r>
        <w:rPr>
          <w:rFonts w:cs="Arial"/>
        </w:rPr>
        <w:t xml:space="preserve">As mentioned under Section B6, a detailed analysis plan was prepared for the </w:t>
      </w:r>
      <w:r w:rsidR="00FB2A95">
        <w:rPr>
          <w:rFonts w:cs="Arial"/>
        </w:rPr>
        <w:t>Short-</w:t>
      </w:r>
      <w:r w:rsidR="004E37FB">
        <w:rPr>
          <w:rFonts w:cs="Arial"/>
        </w:rPr>
        <w:t>T</w:t>
      </w:r>
      <w:r w:rsidR="00FB2A95">
        <w:rPr>
          <w:rFonts w:cs="Arial"/>
        </w:rPr>
        <w:t>erm Impact Report</w:t>
      </w:r>
      <w:r w:rsidR="00AE24E4">
        <w:rPr>
          <w:rFonts w:cs="Arial"/>
        </w:rPr>
        <w:t xml:space="preserve"> </w:t>
      </w:r>
      <w:r>
        <w:rPr>
          <w:rFonts w:cs="Arial"/>
        </w:rPr>
        <w:t>(</w:t>
      </w:r>
      <w:r w:rsidRPr="00293C51" w:rsidR="00991099">
        <w:rPr>
          <w:rFonts w:cs="Arial"/>
        </w:rPr>
        <w:t>Judkins, Klerman</w:t>
      </w:r>
      <w:r w:rsidR="00882F33">
        <w:rPr>
          <w:rFonts w:cs="Arial"/>
        </w:rPr>
        <w:t>,</w:t>
      </w:r>
      <w:r w:rsidRPr="00293C51" w:rsidR="00991099">
        <w:rPr>
          <w:rFonts w:cs="Arial"/>
        </w:rPr>
        <w:t xml:space="preserve"> and Locke </w:t>
      </w:r>
      <w:r w:rsidR="00991099">
        <w:rPr>
          <w:rFonts w:cs="Arial"/>
        </w:rPr>
        <w:t>2020</w:t>
      </w:r>
      <w:r w:rsidRPr="00293C51" w:rsidR="00991099">
        <w:rPr>
          <w:rFonts w:cs="Arial"/>
        </w:rPr>
        <w:t>)</w:t>
      </w:r>
      <w:r w:rsidR="000F7963">
        <w:rPr>
          <w:rFonts w:cs="Arial"/>
        </w:rPr>
        <w:t xml:space="preserve"> and the </w:t>
      </w:r>
      <w:r w:rsidR="00FB2A95">
        <w:rPr>
          <w:rFonts w:cs="Arial"/>
        </w:rPr>
        <w:t>Intermediate-</w:t>
      </w:r>
      <w:r w:rsidR="004E37FB">
        <w:rPr>
          <w:rFonts w:cs="Arial"/>
        </w:rPr>
        <w:t>T</w:t>
      </w:r>
      <w:r w:rsidR="00FB2A95">
        <w:rPr>
          <w:rFonts w:cs="Arial"/>
        </w:rPr>
        <w:t xml:space="preserve">erm Impact Report </w:t>
      </w:r>
      <w:r w:rsidR="000F7963">
        <w:rPr>
          <w:rFonts w:cs="Arial"/>
        </w:rPr>
        <w:t xml:space="preserve">(Judkins, Prenovitz, </w:t>
      </w:r>
      <w:r w:rsidR="00BB4AA2">
        <w:rPr>
          <w:rFonts w:cs="Arial"/>
        </w:rPr>
        <w:lastRenderedPageBreak/>
        <w:t xml:space="preserve">Klerman, </w:t>
      </w:r>
      <w:r w:rsidR="000F7963">
        <w:rPr>
          <w:rFonts w:cs="Arial"/>
        </w:rPr>
        <w:t>Durham, and Locke 2021)</w:t>
      </w:r>
      <w:r w:rsidR="008F72E9">
        <w:rPr>
          <w:rFonts w:cs="Arial"/>
        </w:rPr>
        <w:t>.</w:t>
      </w:r>
      <w:r w:rsidR="006A3A16">
        <w:rPr>
          <w:rStyle w:val="FootnoteReference"/>
          <w:rFonts w:cs="Arial"/>
        </w:rPr>
        <w:footnoteReference w:id="15"/>
      </w:r>
      <w:r w:rsidR="008F72E9">
        <w:rPr>
          <w:rFonts w:cs="Arial"/>
        </w:rPr>
        <w:t xml:space="preserve"> </w:t>
      </w:r>
      <w:r w:rsidR="006A3A16">
        <w:rPr>
          <w:rStyle w:val="FootnoteReference"/>
          <w:rFonts w:cs="Arial"/>
        </w:rPr>
        <w:footnoteReference w:id="16"/>
      </w:r>
      <w:r w:rsidR="008F72E9">
        <w:rPr>
          <w:rFonts w:cs="Arial"/>
        </w:rPr>
        <w:t xml:space="preserve">Those earlier plans will serve as a starting point </w:t>
      </w:r>
      <w:r w:rsidR="00855E0E">
        <w:rPr>
          <w:rFonts w:cs="Arial"/>
        </w:rPr>
        <w:t xml:space="preserve">for the </w:t>
      </w:r>
      <w:r w:rsidR="009A70FF">
        <w:rPr>
          <w:rFonts w:cs="Arial"/>
        </w:rPr>
        <w:t>Long-</w:t>
      </w:r>
      <w:r w:rsidR="004E37FB">
        <w:rPr>
          <w:rFonts w:cs="Arial"/>
        </w:rPr>
        <w:t>T</w:t>
      </w:r>
      <w:r w:rsidR="009A70FF">
        <w:rPr>
          <w:rFonts w:cs="Arial"/>
        </w:rPr>
        <w:t>erm</w:t>
      </w:r>
      <w:r w:rsidR="00855E0E">
        <w:rPr>
          <w:rFonts w:cs="Arial"/>
        </w:rPr>
        <w:t xml:space="preserve"> Impact Report Analysis Plan</w:t>
      </w:r>
      <w:r w:rsidR="008F385A">
        <w:rPr>
          <w:rFonts w:cs="Arial"/>
        </w:rPr>
        <w:t>. The analysis plan for the Long-</w:t>
      </w:r>
      <w:r w:rsidR="004E37FB">
        <w:rPr>
          <w:rFonts w:cs="Arial"/>
        </w:rPr>
        <w:t>T</w:t>
      </w:r>
      <w:r w:rsidR="008F385A">
        <w:rPr>
          <w:rFonts w:cs="Arial"/>
        </w:rPr>
        <w:t>erm Impact Report will include the technical details on estimation, weighting, covariate selection</w:t>
      </w:r>
      <w:r w:rsidR="00E138D6">
        <w:rPr>
          <w:rFonts w:cs="Arial"/>
        </w:rPr>
        <w:t>, and how the</w:t>
      </w:r>
      <w:r w:rsidR="008F385A">
        <w:rPr>
          <w:rFonts w:cs="Arial"/>
        </w:rPr>
        <w:t xml:space="preserve"> </w:t>
      </w:r>
      <w:r w:rsidRPr="007B6CA2" w:rsidR="00E138D6">
        <w:rPr>
          <w:rFonts w:eastAsia="Times New Roman" w:cstheme="minorHAnsi"/>
          <w:color w:val="000000"/>
        </w:rPr>
        <w:t>information collected will be used or interpreted in conjunction with other sources of information</w:t>
      </w:r>
      <w:r w:rsidR="00E138D6">
        <w:rPr>
          <w:rFonts w:eastAsia="Times New Roman" w:cstheme="minorHAnsi"/>
          <w:color w:val="000000"/>
        </w:rPr>
        <w:t xml:space="preserve">. </w:t>
      </w:r>
      <w:r w:rsidR="00FB2A95">
        <w:rPr>
          <w:rFonts w:eastAsia="Times New Roman" w:cstheme="minorHAnsi"/>
          <w:color w:val="000000"/>
        </w:rPr>
        <w:t>The Long-</w:t>
      </w:r>
      <w:r w:rsidR="004E37FB">
        <w:rPr>
          <w:rFonts w:eastAsia="Times New Roman" w:cstheme="minorHAnsi"/>
          <w:color w:val="000000"/>
        </w:rPr>
        <w:t>T</w:t>
      </w:r>
      <w:r w:rsidR="00FB2A95">
        <w:rPr>
          <w:rFonts w:eastAsia="Times New Roman" w:cstheme="minorHAnsi"/>
          <w:color w:val="000000"/>
        </w:rPr>
        <w:t xml:space="preserve">erm Impact Report </w:t>
      </w:r>
      <w:r w:rsidR="00E138D6">
        <w:rPr>
          <w:rFonts w:eastAsia="Times New Roman" w:cstheme="minorHAnsi"/>
          <w:color w:val="000000"/>
        </w:rPr>
        <w:t>Analysis Plan</w:t>
      </w:r>
      <w:r w:rsidR="00855E0E">
        <w:rPr>
          <w:rFonts w:cs="Arial"/>
        </w:rPr>
        <w:t xml:space="preserve"> </w:t>
      </w:r>
      <w:r w:rsidR="005A70DD">
        <w:rPr>
          <w:rFonts w:cs="Arial"/>
        </w:rPr>
        <w:t>will guide the analysis and presentation of results</w:t>
      </w:r>
      <w:r w:rsidR="00855E0E">
        <w:rPr>
          <w:rFonts w:cs="Arial"/>
        </w:rPr>
        <w:t xml:space="preserve">. </w:t>
      </w:r>
    </w:p>
    <w:p w:rsidR="00FB2A95" w:rsidP="00DF41FF" w:rsidRDefault="00FB2A95" w14:paraId="68061222" w14:textId="77777777">
      <w:pPr>
        <w:spacing w:after="0" w:line="240" w:lineRule="auto"/>
        <w:rPr>
          <w:rFonts w:eastAsia="Times New Roman" w:cstheme="minorHAnsi"/>
          <w:i/>
        </w:rPr>
      </w:pPr>
    </w:p>
    <w:p w:rsidR="008F385A" w:rsidP="008F385A" w:rsidRDefault="008F385A" w14:paraId="6DB4DA05" w14:textId="55819A37">
      <w:pPr>
        <w:spacing w:after="60" w:line="240" w:lineRule="auto"/>
        <w:rPr>
          <w:rFonts w:eastAsia="Times New Roman" w:cstheme="minorHAnsi"/>
          <w:i/>
        </w:rPr>
      </w:pPr>
      <w:r w:rsidRPr="003F297D">
        <w:rPr>
          <w:rFonts w:eastAsia="Times New Roman" w:cstheme="minorHAnsi"/>
          <w:i/>
        </w:rPr>
        <w:t>Publicly Posted Data</w:t>
      </w:r>
    </w:p>
    <w:p w:rsidRPr="00DF3B73" w:rsidR="008F385A" w:rsidP="00DF41FF" w:rsidRDefault="008F385A" w14:paraId="59ABF7FC" w14:textId="4638D1AA">
      <w:pPr>
        <w:pStyle w:val="BodyText"/>
        <w:spacing w:after="0" w:line="240" w:lineRule="auto"/>
      </w:pPr>
      <w:r w:rsidRPr="0020155E">
        <w:rPr>
          <w:rFonts w:cs="Arial"/>
        </w:rPr>
        <w:t xml:space="preserve">The HPOG 2.0 National Evaluation Impact Study, </w:t>
      </w:r>
      <w:r>
        <w:rPr>
          <w:rFonts w:cs="Arial"/>
        </w:rPr>
        <w:t xml:space="preserve">the </w:t>
      </w:r>
      <w:r w:rsidRPr="0020155E">
        <w:rPr>
          <w:rFonts w:cs="Arial"/>
        </w:rPr>
        <w:t>Short-</w:t>
      </w:r>
      <w:r w:rsidR="005770A0">
        <w:rPr>
          <w:rFonts w:cs="Arial"/>
        </w:rPr>
        <w:t>T</w:t>
      </w:r>
      <w:r w:rsidRPr="0020155E">
        <w:rPr>
          <w:rFonts w:cs="Arial"/>
        </w:rPr>
        <w:t>erm Impact Analysis Plan</w:t>
      </w:r>
      <w:r w:rsidR="005B13AD">
        <w:rPr>
          <w:rFonts w:cs="Arial"/>
        </w:rPr>
        <w:t>,</w:t>
      </w:r>
      <w:r w:rsidRPr="0020155E">
        <w:rPr>
          <w:rFonts w:cs="Arial"/>
        </w:rPr>
        <w:t xml:space="preserve"> </w:t>
      </w:r>
      <w:r>
        <w:rPr>
          <w:rFonts w:cs="Arial"/>
        </w:rPr>
        <w:t>and the Intermediate-</w:t>
      </w:r>
      <w:r w:rsidR="00FB2A95">
        <w:rPr>
          <w:rFonts w:cs="Arial"/>
        </w:rPr>
        <w:t>T</w:t>
      </w:r>
      <w:r>
        <w:rPr>
          <w:rFonts w:cs="Arial"/>
        </w:rPr>
        <w:t>erm Impact Analysis Plan have been</w:t>
      </w:r>
      <w:r w:rsidRPr="0020155E">
        <w:rPr>
          <w:rFonts w:cs="Arial"/>
        </w:rPr>
        <w:t xml:space="preserve"> registered at the </w:t>
      </w:r>
      <w:r w:rsidRPr="007644F5">
        <w:rPr>
          <w:rFonts w:cs="Arial"/>
        </w:rPr>
        <w:t>Registry of Efficacy and Effectiveness Studies (REES), registration ID 1948.1v1.</w:t>
      </w:r>
      <w:r w:rsidRPr="00547A3A">
        <w:rPr>
          <w:rStyle w:val="FootnoteReference"/>
          <w:rFonts w:cs="Arial"/>
        </w:rPr>
        <w:t xml:space="preserve"> </w:t>
      </w:r>
      <w:r>
        <w:rPr>
          <w:rStyle w:val="FootnoteReference"/>
          <w:rFonts w:cs="Arial"/>
        </w:rPr>
        <w:footnoteReference w:id="17"/>
      </w:r>
      <w:r w:rsidRPr="007644F5">
        <w:rPr>
          <w:rFonts w:cs="Arial"/>
        </w:rPr>
        <w:t xml:space="preserve"> </w:t>
      </w:r>
      <w:r>
        <w:rPr>
          <w:rFonts w:cs="Arial"/>
        </w:rPr>
        <w:t xml:space="preserve">They are </w:t>
      </w:r>
      <w:r w:rsidRPr="007644F5">
        <w:rPr>
          <w:rFonts w:cs="Arial"/>
        </w:rPr>
        <w:t>also registered with the Open Science Framework (OSF).</w:t>
      </w:r>
      <w:r w:rsidRPr="00547A3A">
        <w:rPr>
          <w:rStyle w:val="FootnoteReference"/>
          <w:rFonts w:cs="Arial"/>
        </w:rPr>
        <w:t xml:space="preserve"> </w:t>
      </w:r>
      <w:r>
        <w:rPr>
          <w:rStyle w:val="FootnoteReference"/>
          <w:rFonts w:cs="Arial"/>
        </w:rPr>
        <w:footnoteReference w:id="18"/>
      </w:r>
      <w:r w:rsidRPr="007644F5">
        <w:rPr>
          <w:rFonts w:cs="Arial"/>
        </w:rPr>
        <w:t xml:space="preserve"> </w:t>
      </w:r>
      <w:r>
        <w:rPr>
          <w:rFonts w:cs="Arial"/>
        </w:rPr>
        <w:t xml:space="preserve">Once the </w:t>
      </w:r>
      <w:r w:rsidR="00FB2A95">
        <w:rPr>
          <w:rFonts w:cs="Arial"/>
        </w:rPr>
        <w:t>Long-</w:t>
      </w:r>
      <w:r w:rsidR="005E1CA1">
        <w:rPr>
          <w:rFonts w:cs="Arial"/>
        </w:rPr>
        <w:t>T</w:t>
      </w:r>
      <w:r w:rsidR="00FB2A95">
        <w:rPr>
          <w:rFonts w:cs="Arial"/>
        </w:rPr>
        <w:t xml:space="preserve">erm Impact Report </w:t>
      </w:r>
      <w:r>
        <w:rPr>
          <w:rFonts w:cs="Arial"/>
        </w:rPr>
        <w:t xml:space="preserve">Analysis Plan is developed and </w:t>
      </w:r>
      <w:r w:rsidR="00E87052">
        <w:rPr>
          <w:rFonts w:cs="Arial"/>
        </w:rPr>
        <w:t>finalized</w:t>
      </w:r>
      <w:r>
        <w:rPr>
          <w:rFonts w:cs="Arial"/>
        </w:rPr>
        <w:t xml:space="preserve">, it will also be registered and publicly posted </w:t>
      </w:r>
      <w:r w:rsidR="00E138D6">
        <w:rPr>
          <w:rFonts w:cs="Arial"/>
        </w:rPr>
        <w:t xml:space="preserve">with REES and OSF </w:t>
      </w:r>
      <w:r>
        <w:rPr>
          <w:rFonts w:cs="Arial"/>
        </w:rPr>
        <w:t xml:space="preserve">before analysis for the </w:t>
      </w:r>
      <w:r w:rsidR="00FB2A95">
        <w:rPr>
          <w:rFonts w:cs="Arial"/>
        </w:rPr>
        <w:t>Long-</w:t>
      </w:r>
      <w:r w:rsidR="005E1CA1">
        <w:rPr>
          <w:rFonts w:cs="Arial"/>
        </w:rPr>
        <w:t>T</w:t>
      </w:r>
      <w:r w:rsidR="00FB2A95">
        <w:rPr>
          <w:rFonts w:cs="Arial"/>
        </w:rPr>
        <w:t xml:space="preserve">erm Impact Report </w:t>
      </w:r>
      <w:r>
        <w:rPr>
          <w:rFonts w:cs="Arial"/>
        </w:rPr>
        <w:t xml:space="preserve">begins. </w:t>
      </w:r>
    </w:p>
    <w:p w:rsidR="00E4329B" w:rsidP="0065523A" w:rsidRDefault="00E4329B" w14:paraId="39FB6C40" w14:textId="77777777">
      <w:pPr>
        <w:pStyle w:val="BodyText"/>
        <w:spacing w:after="60" w:line="240" w:lineRule="auto"/>
        <w:rPr>
          <w:rFonts w:eastAsia="Times New Roman" w:cstheme="minorHAnsi"/>
          <w:bCs/>
          <w:i/>
          <w:color w:val="000000"/>
        </w:rPr>
      </w:pPr>
    </w:p>
    <w:p w:rsidR="00A42C71" w:rsidP="0065523A" w:rsidRDefault="00A42C71" w14:paraId="502BA51B" w14:textId="29443D96">
      <w:pPr>
        <w:pStyle w:val="BodyText"/>
        <w:spacing w:after="60" w:line="240" w:lineRule="auto"/>
        <w:rPr>
          <w:rFonts w:eastAsia="Times New Roman" w:cstheme="minorHAnsi"/>
          <w:bCs/>
          <w:i/>
          <w:color w:val="000000"/>
        </w:rPr>
      </w:pPr>
      <w:r w:rsidRPr="001A59B6">
        <w:rPr>
          <w:rFonts w:eastAsia="Times New Roman" w:cstheme="minorHAnsi"/>
          <w:bCs/>
          <w:i/>
          <w:color w:val="000000"/>
        </w:rPr>
        <w:t>Data Use</w:t>
      </w:r>
    </w:p>
    <w:p w:rsidR="00347C86" w:rsidP="0065523A" w:rsidRDefault="00347C86" w14:paraId="266E48C0" w14:textId="46D45FCF">
      <w:pPr>
        <w:spacing w:after="120" w:line="240" w:lineRule="auto"/>
      </w:pPr>
      <w:r>
        <w:t>With ACF oversight, Abt and its partners MEF Associates, the Urban Institute, Insight Policy Research, and NORC are responsible for conducting the HPOG 2.0 National and Tribal Evaluation. This team has published</w:t>
      </w:r>
      <w:r w:rsidR="009321BA">
        <w:t xml:space="preserve"> several evaluation design and analysis plans detailing how the data collection approved under this OMB </w:t>
      </w:r>
      <w:r w:rsidR="00FB2A95">
        <w:t>c</w:t>
      </w:r>
      <w:r w:rsidR="009321BA">
        <w:t xml:space="preserve">ontrol </w:t>
      </w:r>
      <w:r w:rsidR="00FB2A95">
        <w:t xml:space="preserve">number </w:t>
      </w:r>
      <w:r w:rsidR="009321BA">
        <w:t>will be used. These include</w:t>
      </w:r>
      <w:r>
        <w:t>:</w:t>
      </w:r>
    </w:p>
    <w:p w:rsidR="00347C86" w:rsidRDefault="00347C86" w14:paraId="7A4AFEC3" w14:textId="0BBFC2D9">
      <w:pPr>
        <w:pStyle w:val="ListParagraph"/>
        <w:numPr>
          <w:ilvl w:val="0"/>
          <w:numId w:val="42"/>
        </w:numPr>
        <w:spacing w:after="0" w:line="240" w:lineRule="auto"/>
      </w:pPr>
      <w:r>
        <w:t xml:space="preserve">an Impact Evaluation Design Plan with considerable detail on planned analytic procedures: </w:t>
      </w:r>
      <w:hyperlink w:history="1" r:id="rId12">
        <w:r w:rsidRPr="003C2ED9">
          <w:rPr>
            <w:rStyle w:val="Hyperlink"/>
          </w:rPr>
          <w:t>https://www.acf.hhs.gov/opre/report/national-and-tribal-evaluation-2nd-generation-health-profession-opportunity-grants-1</w:t>
        </w:r>
      </w:hyperlink>
      <w:r>
        <w:t>;</w:t>
      </w:r>
    </w:p>
    <w:p w:rsidR="00347C86" w:rsidP="009321BA" w:rsidRDefault="00347C86" w14:paraId="2A1C8856" w14:textId="7F070081">
      <w:pPr>
        <w:pStyle w:val="ListParagraph"/>
        <w:numPr>
          <w:ilvl w:val="0"/>
          <w:numId w:val="42"/>
        </w:numPr>
        <w:spacing w:after="0" w:line="240" w:lineRule="auto"/>
        <w:ind w:left="763"/>
      </w:pPr>
      <w:r>
        <w:t>the Short-</w:t>
      </w:r>
      <w:r w:rsidR="00A00FA4">
        <w:t xml:space="preserve">Term </w:t>
      </w:r>
      <w:r>
        <w:t>Impact Study Analysis Plan:</w:t>
      </w:r>
    </w:p>
    <w:p w:rsidR="00347C86" w:rsidP="009013D7" w:rsidRDefault="00B733E3" w14:paraId="23A70AB5" w14:textId="2499CC62">
      <w:pPr>
        <w:spacing w:after="0" w:line="240" w:lineRule="auto"/>
        <w:ind w:left="720"/>
      </w:pPr>
      <w:hyperlink w:history="1" r:id="rId13">
        <w:r w:rsidRPr="003C2ED9" w:rsidR="00347C86">
          <w:rPr>
            <w:rStyle w:val="Hyperlink"/>
          </w:rPr>
          <w:t>https://www.acf.hhs.gov/opre/report/national-and-tribal-evaluation-2nd-generation-health-profession-opportunity-grants-0</w:t>
        </w:r>
      </w:hyperlink>
      <w:r w:rsidR="00045930">
        <w:t>; and</w:t>
      </w:r>
    </w:p>
    <w:p w:rsidR="00957B1D" w:rsidP="009321BA" w:rsidRDefault="00957B1D" w14:paraId="0B22782E" w14:textId="4FD54374">
      <w:pPr>
        <w:pStyle w:val="ListParagraph"/>
        <w:numPr>
          <w:ilvl w:val="0"/>
          <w:numId w:val="42"/>
        </w:numPr>
        <w:spacing w:after="0" w:line="240" w:lineRule="auto"/>
        <w:ind w:left="763"/>
      </w:pPr>
      <w:r>
        <w:t>the Intermediate-</w:t>
      </w:r>
      <w:r w:rsidR="00A00FA4">
        <w:t xml:space="preserve">Term </w:t>
      </w:r>
      <w:r>
        <w:t>Impact Study Analysis Plan:</w:t>
      </w:r>
    </w:p>
    <w:p w:rsidRPr="009013D7" w:rsidR="00957B1D" w:rsidP="009321BA" w:rsidRDefault="00B733E3" w14:paraId="37CE95A5" w14:textId="51CEF147">
      <w:pPr>
        <w:spacing w:after="0" w:line="240" w:lineRule="auto"/>
        <w:ind w:left="720"/>
        <w:rPr>
          <w:rFonts w:ascii="Calibri" w:hAnsi="Calibri" w:cs="Calibri"/>
          <w:color w:val="000000"/>
        </w:rPr>
      </w:pPr>
      <w:hyperlink w:history="1" r:id="rId14">
        <w:r w:rsidRPr="00246AD7" w:rsidR="00246AD7">
          <w:rPr>
            <w:rStyle w:val="Hyperlink"/>
            <w:rFonts w:ascii="Calibri" w:hAnsi="Calibri" w:cs="Calibri"/>
          </w:rPr>
          <w:t>https://www.acf.hhs.gov/opre/report/analysis-plan-hpog-20-national-evaluation-intermediate-Term-impact-report</w:t>
        </w:r>
      </w:hyperlink>
      <w:r w:rsidRPr="009013D7" w:rsidR="00957B1D">
        <w:rPr>
          <w:rFonts w:ascii="Calibri" w:hAnsi="Calibri" w:cs="Calibri"/>
          <w:color w:val="000000"/>
        </w:rPr>
        <w:t>.</w:t>
      </w:r>
    </w:p>
    <w:p w:rsidR="009321BA" w:rsidP="009321BA" w:rsidRDefault="009321BA" w14:paraId="2B34FCA9" w14:textId="77777777">
      <w:pPr>
        <w:spacing w:after="0" w:line="240" w:lineRule="auto"/>
        <w:ind w:left="720"/>
      </w:pPr>
    </w:p>
    <w:p w:rsidR="00347C86" w:rsidP="0065523A" w:rsidRDefault="00547A3A" w14:paraId="5F6B07DC" w14:textId="701565A8">
      <w:pPr>
        <w:pStyle w:val="BodyText"/>
        <w:spacing w:line="240" w:lineRule="auto"/>
      </w:pPr>
      <w:r>
        <w:t xml:space="preserve">See Supporting Statement A for more detail on the </w:t>
      </w:r>
      <w:r w:rsidR="00BD101E">
        <w:t xml:space="preserve">timeline for </w:t>
      </w:r>
      <w:r>
        <w:t>publication</w:t>
      </w:r>
      <w:r w:rsidR="00E74807">
        <w:t>—planned or actual—</w:t>
      </w:r>
      <w:r>
        <w:t>of the</w:t>
      </w:r>
      <w:r w:rsidR="00347C86">
        <w:t xml:space="preserve"> Short-</w:t>
      </w:r>
      <w:r w:rsidR="002A3F98">
        <w:t xml:space="preserve">Term </w:t>
      </w:r>
      <w:r w:rsidR="00347C86">
        <w:t>Impact Report</w:t>
      </w:r>
      <w:r w:rsidDel="00FB2A95" w:rsidR="009013D7">
        <w:t xml:space="preserve">, </w:t>
      </w:r>
      <w:r w:rsidR="00CF675D">
        <w:t>the Intermediate-</w:t>
      </w:r>
      <w:r w:rsidR="00651200">
        <w:t>T</w:t>
      </w:r>
      <w:r w:rsidR="004573FC">
        <w:t>e</w:t>
      </w:r>
      <w:r w:rsidR="00CF675D">
        <w:t>rm Impact Report</w:t>
      </w:r>
      <w:r w:rsidR="005746DE">
        <w:t>, and the Long-</w:t>
      </w:r>
      <w:r w:rsidR="00651200">
        <w:t>T</w:t>
      </w:r>
      <w:r w:rsidR="005746DE">
        <w:t>erm Impact Report</w:t>
      </w:r>
      <w:r>
        <w:t>.</w:t>
      </w:r>
      <w:r w:rsidR="00347C86">
        <w:t xml:space="preserve"> </w:t>
      </w:r>
      <w:r w:rsidR="00E74807">
        <w:t xml:space="preserve">The primary output for LTS analyses will be the </w:t>
      </w:r>
      <w:r w:rsidR="003931A0">
        <w:t>Long-</w:t>
      </w:r>
      <w:r w:rsidR="00651200">
        <w:t>T</w:t>
      </w:r>
      <w:r w:rsidR="003931A0">
        <w:t>erm Impact Report</w:t>
      </w:r>
      <w:r w:rsidR="00C33425">
        <w:t xml:space="preserve">. </w:t>
      </w:r>
      <w:r w:rsidR="00CF675D">
        <w:rPr>
          <w:rFonts w:cs="Arial"/>
        </w:rPr>
        <w:t>T</w:t>
      </w:r>
      <w:r w:rsidR="00BD101E">
        <w:t xml:space="preserve">he appendices prepared for the </w:t>
      </w:r>
      <w:r w:rsidR="003931A0">
        <w:t>Short-</w:t>
      </w:r>
      <w:r w:rsidR="004573FC">
        <w:t>T</w:t>
      </w:r>
      <w:r w:rsidR="003931A0">
        <w:t>erm Impact Report and Intermediate-</w:t>
      </w:r>
      <w:r w:rsidR="003F14E6">
        <w:t>T</w:t>
      </w:r>
      <w:r w:rsidR="003931A0">
        <w:t xml:space="preserve">erm Impact Report </w:t>
      </w:r>
      <w:r w:rsidR="00BD101E">
        <w:t xml:space="preserve">are very </w:t>
      </w:r>
      <w:r w:rsidR="00FB33E1">
        <w:t>thorough,</w:t>
      </w:r>
      <w:r w:rsidR="00BD101E">
        <w:t xml:space="preserve"> and we plan a similar effort for the </w:t>
      </w:r>
      <w:r w:rsidR="003931A0">
        <w:t>Long-</w:t>
      </w:r>
      <w:r w:rsidR="00651200">
        <w:t>T</w:t>
      </w:r>
      <w:r w:rsidR="003931A0">
        <w:t xml:space="preserve">erm Impact Report </w:t>
      </w:r>
      <w:r w:rsidR="00E74807">
        <w:t>including</w:t>
      </w:r>
      <w:r w:rsidR="00BD101E">
        <w:t xml:space="preserve"> clear statements of the limitations of the data and explorations of data quality.</w:t>
      </w:r>
    </w:p>
    <w:p w:rsidRPr="002A7FA4" w:rsidR="00EC1E15" w:rsidP="004573FC" w:rsidRDefault="009F2F16" w14:paraId="0179AE12" w14:textId="7EE88473">
      <w:pPr>
        <w:spacing w:after="240" w:line="240" w:lineRule="auto"/>
        <w:rPr>
          <w:rFonts w:eastAsia="Times New Roman" w:cstheme="minorHAnsi"/>
          <w:i/>
        </w:rPr>
      </w:pPr>
      <w:r>
        <w:lastRenderedPageBreak/>
        <w:t>As noted in Section B6, ACF and t</w:t>
      </w:r>
      <w:r w:rsidR="00E74807">
        <w:t xml:space="preserve">he evaluation contractor will </w:t>
      </w:r>
      <w:r>
        <w:t xml:space="preserve">archive data </w:t>
      </w:r>
      <w:r w:rsidR="00D043EA">
        <w:t xml:space="preserve">and </w:t>
      </w:r>
      <w:r w:rsidR="00A144BD">
        <w:t>develop</w:t>
      </w:r>
      <w:r w:rsidR="00D043EA">
        <w:t xml:space="preserve"> guidelines on how to use and interpret the data to support secondary analysis.</w:t>
      </w:r>
    </w:p>
    <w:p w:rsidRPr="001A59B6" w:rsidR="00A42C71" w:rsidP="0065523A" w:rsidRDefault="00A42C71" w14:paraId="1C0321C0" w14:textId="1DA453C3">
      <w:pPr>
        <w:spacing w:after="120" w:line="240" w:lineRule="auto"/>
        <w:rPr>
          <w:rFonts w:eastAsia="Times New Roman" w:cstheme="minorHAnsi"/>
        </w:rPr>
      </w:pPr>
      <w:r w:rsidRPr="001A59B6">
        <w:rPr>
          <w:rFonts w:eastAsia="Times New Roman" w:cstheme="minorHAnsi"/>
          <w:b/>
          <w:bCs/>
        </w:rPr>
        <w:t>B8</w:t>
      </w:r>
      <w:r w:rsidRPr="001A59B6" w:rsidR="0064374F">
        <w:rPr>
          <w:rFonts w:eastAsia="Times New Roman" w:cstheme="minorHAnsi"/>
          <w:b/>
          <w:bCs/>
        </w:rPr>
        <w:t>.</w:t>
      </w:r>
      <w:r w:rsidR="00EC1E15">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00A67E56" w:rsidP="00EC1E15" w:rsidRDefault="00A67E56" w14:paraId="1CBD28DB" w14:textId="55A552A6">
      <w:pPr>
        <w:spacing w:after="240" w:line="240" w:lineRule="auto"/>
        <w:rPr>
          <w:color w:val="000000"/>
        </w:rPr>
      </w:pPr>
      <w:r w:rsidRPr="003F6E89">
        <w:rPr>
          <w:color w:val="000000"/>
        </w:rPr>
        <w:t xml:space="preserve">The individuals listed in Exhibit </w:t>
      </w:r>
      <w:r>
        <w:rPr>
          <w:color w:val="000000"/>
        </w:rPr>
        <w:t>B-</w:t>
      </w:r>
      <w:r w:rsidR="008E6B96">
        <w:rPr>
          <w:color w:val="000000"/>
        </w:rPr>
        <w:t>4</w:t>
      </w:r>
      <w:r w:rsidRPr="003F6E89" w:rsidR="008E6B96">
        <w:rPr>
          <w:color w:val="000000"/>
        </w:rPr>
        <w:t xml:space="preserve"> </w:t>
      </w:r>
      <w:r w:rsidRPr="003F6E89">
        <w:rPr>
          <w:color w:val="000000"/>
        </w:rPr>
        <w:t xml:space="preserve">below </w:t>
      </w:r>
      <w:proofErr w:type="gramStart"/>
      <w:r w:rsidRPr="003F6E89">
        <w:rPr>
          <w:color w:val="000000"/>
        </w:rPr>
        <w:t>made a contribution</w:t>
      </w:r>
      <w:proofErr w:type="gramEnd"/>
      <w:r w:rsidRPr="003F6E89">
        <w:rPr>
          <w:color w:val="000000"/>
        </w:rPr>
        <w:t xml:space="preserve"> </w:t>
      </w:r>
      <w:r w:rsidRPr="006D780E">
        <w:rPr>
          <w:color w:val="000000"/>
        </w:rPr>
        <w:t>to this information collection request</w:t>
      </w:r>
      <w:r>
        <w:rPr>
          <w:color w:val="000000"/>
        </w:rPr>
        <w:t>.</w:t>
      </w:r>
    </w:p>
    <w:p w:rsidRPr="008E4352" w:rsidR="00A67E56" w:rsidP="17642613" w:rsidRDefault="00A67E56" w14:paraId="504CEB4C" w14:textId="64C5888C">
      <w:pPr>
        <w:spacing w:after="60"/>
        <w:rPr>
          <w:b/>
          <w:bCs/>
        </w:rPr>
      </w:pPr>
      <w:r w:rsidRPr="17642613">
        <w:rPr>
          <w:b/>
          <w:bCs/>
        </w:rPr>
        <w:t>Exhibit B-</w:t>
      </w:r>
      <w:r w:rsidR="008E6B96">
        <w:rPr>
          <w:b/>
          <w:bCs/>
        </w:rPr>
        <w:t>4</w:t>
      </w:r>
      <w:r w:rsidRPr="17642613">
        <w:rPr>
          <w:b/>
          <w:bCs/>
        </w:rPr>
        <w:t>: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065"/>
        <w:gridCol w:w="4548"/>
        <w:gridCol w:w="2790"/>
      </w:tblGrid>
      <w:tr w:rsidRPr="00E403D9" w:rsidR="00A67E56" w:rsidTr="00204772" w14:paraId="4F401B5B" w14:textId="02A365D7">
        <w:trPr>
          <w:tblHeader/>
        </w:trPr>
        <w:tc>
          <w:tcPr>
            <w:tcW w:w="2065" w:type="dxa"/>
            <w:shd w:val="clear" w:color="auto" w:fill="auto"/>
          </w:tcPr>
          <w:p w:rsidRPr="00E403D9" w:rsidR="00A67E56" w:rsidP="00A95BE9" w:rsidRDefault="00A67E56" w14:paraId="31EB9A0D" w14:textId="27B6AA67">
            <w:pPr>
              <w:spacing w:after="0"/>
              <w:rPr>
                <w:rFonts w:cstheme="minorHAnsi"/>
                <w:b/>
                <w:sz w:val="20"/>
              </w:rPr>
            </w:pPr>
            <w:r w:rsidRPr="00E403D9">
              <w:rPr>
                <w:rFonts w:cstheme="minorHAnsi"/>
                <w:b/>
                <w:sz w:val="20"/>
              </w:rPr>
              <w:t xml:space="preserve">Name </w:t>
            </w:r>
          </w:p>
        </w:tc>
        <w:tc>
          <w:tcPr>
            <w:tcW w:w="4548" w:type="dxa"/>
            <w:shd w:val="clear" w:color="auto" w:fill="auto"/>
          </w:tcPr>
          <w:p w:rsidRPr="00E403D9" w:rsidR="00A67E56" w:rsidP="00A95BE9" w:rsidRDefault="00A67E56" w14:paraId="3681BD97" w14:textId="03D95A6A">
            <w:pPr>
              <w:spacing w:after="0"/>
              <w:rPr>
                <w:rFonts w:cstheme="minorHAnsi"/>
                <w:b/>
                <w:sz w:val="20"/>
              </w:rPr>
            </w:pPr>
            <w:r w:rsidRPr="00E403D9">
              <w:rPr>
                <w:rFonts w:cstheme="minorHAnsi"/>
                <w:b/>
                <w:sz w:val="20"/>
              </w:rPr>
              <w:t>Role in HPOG 2.0 National and Tribal Evaluation</w:t>
            </w:r>
          </w:p>
        </w:tc>
        <w:tc>
          <w:tcPr>
            <w:tcW w:w="2790" w:type="dxa"/>
            <w:shd w:val="clear" w:color="auto" w:fill="auto"/>
          </w:tcPr>
          <w:p w:rsidRPr="00E403D9" w:rsidR="00A67E56" w:rsidP="00A95BE9" w:rsidRDefault="00A67E56" w14:paraId="2A530DAB" w14:textId="57D788AE">
            <w:pPr>
              <w:spacing w:after="0"/>
              <w:rPr>
                <w:rFonts w:cstheme="minorHAnsi"/>
                <w:b/>
                <w:sz w:val="20"/>
              </w:rPr>
            </w:pPr>
            <w:r w:rsidRPr="00E403D9">
              <w:rPr>
                <w:rFonts w:cstheme="minorHAnsi"/>
                <w:b/>
                <w:sz w:val="20"/>
              </w:rPr>
              <w:t>Organization/Affiliation</w:t>
            </w:r>
          </w:p>
        </w:tc>
      </w:tr>
      <w:tr w:rsidRPr="00E403D9" w:rsidR="00A67E56" w:rsidTr="00204772" w14:paraId="6A15E24C" w14:textId="34AEBF88">
        <w:tc>
          <w:tcPr>
            <w:tcW w:w="2065" w:type="dxa"/>
          </w:tcPr>
          <w:p w:rsidRPr="00E403D9" w:rsidR="00A67E56" w:rsidP="00A95BE9" w:rsidRDefault="00F72D1A" w14:paraId="696661C6" w14:textId="5632CBD3">
            <w:pPr>
              <w:spacing w:after="0"/>
              <w:rPr>
                <w:rFonts w:cstheme="minorHAnsi"/>
                <w:sz w:val="20"/>
              </w:rPr>
            </w:pPr>
            <w:r>
              <w:rPr>
                <w:rFonts w:cstheme="minorHAnsi"/>
                <w:sz w:val="20"/>
              </w:rPr>
              <w:t>Larry Buron</w:t>
            </w:r>
          </w:p>
        </w:tc>
        <w:tc>
          <w:tcPr>
            <w:tcW w:w="4548" w:type="dxa"/>
          </w:tcPr>
          <w:p w:rsidRPr="00E403D9" w:rsidR="00A67E56" w:rsidP="00A95BE9" w:rsidRDefault="00A67E56" w14:paraId="17C1E277" w14:textId="2F33E444">
            <w:pPr>
              <w:spacing w:after="0"/>
              <w:rPr>
                <w:rFonts w:cstheme="minorHAnsi"/>
                <w:sz w:val="20"/>
              </w:rPr>
            </w:pPr>
            <w:r w:rsidRPr="00E403D9">
              <w:rPr>
                <w:rFonts w:cstheme="minorHAnsi"/>
                <w:sz w:val="20"/>
              </w:rPr>
              <w:t>National Evaluation Project Director</w:t>
            </w:r>
          </w:p>
        </w:tc>
        <w:tc>
          <w:tcPr>
            <w:tcW w:w="2790" w:type="dxa"/>
          </w:tcPr>
          <w:p w:rsidRPr="00E403D9" w:rsidR="00A67E56" w:rsidP="00A95BE9" w:rsidRDefault="00A67E56" w14:paraId="0419BA8A" w14:textId="554E375D">
            <w:pPr>
              <w:spacing w:after="0"/>
              <w:rPr>
                <w:rFonts w:cstheme="minorHAnsi"/>
                <w:sz w:val="20"/>
              </w:rPr>
            </w:pPr>
            <w:r w:rsidRPr="00E403D9">
              <w:rPr>
                <w:rFonts w:cstheme="minorHAnsi"/>
                <w:sz w:val="20"/>
              </w:rPr>
              <w:t>Abt Associates</w:t>
            </w:r>
          </w:p>
        </w:tc>
      </w:tr>
      <w:tr w:rsidRPr="00E403D9" w:rsidR="00A67E56" w:rsidTr="00204772" w14:paraId="77A19ED1" w14:textId="1AC9BFC3">
        <w:tc>
          <w:tcPr>
            <w:tcW w:w="2065" w:type="dxa"/>
          </w:tcPr>
          <w:p w:rsidRPr="00E403D9" w:rsidR="00A67E56" w:rsidP="00A95BE9" w:rsidRDefault="00A67E56" w14:paraId="64977737" w14:textId="42E2EDEF">
            <w:pPr>
              <w:spacing w:after="0"/>
              <w:rPr>
                <w:rFonts w:cstheme="minorHAnsi"/>
                <w:sz w:val="20"/>
              </w:rPr>
            </w:pPr>
            <w:r w:rsidRPr="00E403D9">
              <w:rPr>
                <w:rFonts w:cstheme="minorHAnsi"/>
                <w:sz w:val="20"/>
              </w:rPr>
              <w:t>Jacob Klerman</w:t>
            </w:r>
          </w:p>
        </w:tc>
        <w:tc>
          <w:tcPr>
            <w:tcW w:w="4548" w:type="dxa"/>
          </w:tcPr>
          <w:p w:rsidRPr="00E403D9" w:rsidR="00A67E56" w:rsidP="00A95BE9" w:rsidRDefault="00A67E56" w14:paraId="21C5719E" w14:textId="33EDCC2D">
            <w:pPr>
              <w:spacing w:after="0"/>
              <w:rPr>
                <w:rFonts w:cstheme="minorHAnsi"/>
                <w:sz w:val="20"/>
              </w:rPr>
            </w:pPr>
            <w:r w:rsidRPr="00E403D9">
              <w:rPr>
                <w:rFonts w:cstheme="minorHAnsi"/>
                <w:sz w:val="20"/>
              </w:rPr>
              <w:t>National Evaluation Principal Investigator</w:t>
            </w:r>
          </w:p>
        </w:tc>
        <w:tc>
          <w:tcPr>
            <w:tcW w:w="2790" w:type="dxa"/>
          </w:tcPr>
          <w:p w:rsidRPr="00E403D9" w:rsidR="00A67E56" w:rsidP="00A95BE9" w:rsidRDefault="00A67E56" w14:paraId="2EA47ECF" w14:textId="4643315E">
            <w:pPr>
              <w:spacing w:after="0"/>
              <w:rPr>
                <w:rFonts w:cstheme="minorHAnsi"/>
                <w:sz w:val="20"/>
              </w:rPr>
            </w:pPr>
            <w:r w:rsidRPr="00E403D9">
              <w:rPr>
                <w:rFonts w:cstheme="minorHAnsi"/>
                <w:sz w:val="20"/>
              </w:rPr>
              <w:t>Abt Associates</w:t>
            </w:r>
          </w:p>
        </w:tc>
      </w:tr>
      <w:tr w:rsidRPr="00E403D9" w:rsidR="00A67E56" w:rsidTr="00204772" w14:paraId="39643EA6" w14:textId="49F17CD0">
        <w:tc>
          <w:tcPr>
            <w:tcW w:w="2065" w:type="dxa"/>
          </w:tcPr>
          <w:p w:rsidRPr="00E403D9" w:rsidR="00A67E56" w:rsidP="00A95BE9" w:rsidRDefault="004952C4" w14:paraId="1425B63C" w14:textId="0AFF3A45">
            <w:pPr>
              <w:spacing w:after="0"/>
              <w:rPr>
                <w:rFonts w:cstheme="minorHAnsi"/>
                <w:sz w:val="20"/>
              </w:rPr>
            </w:pPr>
            <w:r w:rsidRPr="00E403D9">
              <w:rPr>
                <w:rFonts w:cstheme="minorHAnsi"/>
                <w:sz w:val="20"/>
              </w:rPr>
              <w:t>Jill Hamadyk</w:t>
            </w:r>
          </w:p>
        </w:tc>
        <w:tc>
          <w:tcPr>
            <w:tcW w:w="4548" w:type="dxa"/>
          </w:tcPr>
          <w:p w:rsidRPr="00E403D9" w:rsidR="00A67E56" w:rsidP="00A95BE9" w:rsidRDefault="00A67E56" w14:paraId="05CCD0C6" w14:textId="710ED69B">
            <w:pPr>
              <w:spacing w:after="0"/>
              <w:rPr>
                <w:rFonts w:cstheme="minorHAnsi"/>
                <w:sz w:val="20"/>
              </w:rPr>
            </w:pPr>
            <w:r w:rsidRPr="00E403D9">
              <w:rPr>
                <w:rFonts w:cstheme="minorHAnsi"/>
                <w:sz w:val="20"/>
              </w:rPr>
              <w:t xml:space="preserve">National Evaluation Deputy Project Director </w:t>
            </w:r>
          </w:p>
        </w:tc>
        <w:tc>
          <w:tcPr>
            <w:tcW w:w="2790" w:type="dxa"/>
          </w:tcPr>
          <w:p w:rsidRPr="00E403D9" w:rsidR="00A67E56" w:rsidP="00A95BE9" w:rsidRDefault="00A67E56" w14:paraId="1D71FF84" w14:textId="3913DC26">
            <w:pPr>
              <w:spacing w:after="0"/>
              <w:rPr>
                <w:rFonts w:cstheme="minorHAnsi"/>
                <w:sz w:val="20"/>
              </w:rPr>
            </w:pPr>
            <w:r w:rsidRPr="00E403D9">
              <w:rPr>
                <w:rFonts w:cstheme="minorHAnsi"/>
                <w:sz w:val="20"/>
              </w:rPr>
              <w:t>Abt Associates</w:t>
            </w:r>
          </w:p>
        </w:tc>
      </w:tr>
      <w:tr w:rsidRPr="00E403D9" w:rsidR="00A67E56" w:rsidTr="00204772" w14:paraId="3A39292C" w14:textId="696484A2">
        <w:tc>
          <w:tcPr>
            <w:tcW w:w="2065" w:type="dxa"/>
          </w:tcPr>
          <w:p w:rsidRPr="00E403D9" w:rsidR="00A67E56" w:rsidP="00A95BE9" w:rsidRDefault="00A67E56" w14:paraId="55C43C06" w14:textId="5FD5D8E1">
            <w:pPr>
              <w:spacing w:after="0"/>
              <w:rPr>
                <w:rFonts w:cstheme="minorHAnsi"/>
                <w:sz w:val="20"/>
              </w:rPr>
            </w:pPr>
            <w:r w:rsidRPr="00E403D9">
              <w:rPr>
                <w:rFonts w:cstheme="minorHAnsi"/>
                <w:sz w:val="20"/>
              </w:rPr>
              <w:t>Larry Buron</w:t>
            </w:r>
          </w:p>
        </w:tc>
        <w:tc>
          <w:tcPr>
            <w:tcW w:w="4548" w:type="dxa"/>
          </w:tcPr>
          <w:p w:rsidRPr="00E403D9" w:rsidR="00A67E56" w:rsidP="00A95BE9" w:rsidRDefault="00A67E56" w14:paraId="643F8439" w14:textId="2E146BDE">
            <w:pPr>
              <w:spacing w:after="0"/>
              <w:rPr>
                <w:rFonts w:cstheme="minorHAnsi"/>
                <w:sz w:val="20"/>
              </w:rPr>
            </w:pPr>
            <w:r w:rsidRPr="00E403D9">
              <w:rPr>
                <w:rFonts w:cstheme="minorHAnsi"/>
                <w:sz w:val="20"/>
              </w:rPr>
              <w:t>National Evaluation Project Quality Advisor</w:t>
            </w:r>
          </w:p>
        </w:tc>
        <w:tc>
          <w:tcPr>
            <w:tcW w:w="2790" w:type="dxa"/>
          </w:tcPr>
          <w:p w:rsidRPr="00E403D9" w:rsidR="00A67E56" w:rsidP="00A95BE9" w:rsidRDefault="00A67E56" w14:paraId="73C07AEF" w14:textId="66EE9204">
            <w:pPr>
              <w:spacing w:after="0"/>
              <w:rPr>
                <w:rFonts w:cstheme="minorHAnsi"/>
                <w:sz w:val="20"/>
              </w:rPr>
            </w:pPr>
            <w:r w:rsidRPr="00E403D9">
              <w:rPr>
                <w:rFonts w:cstheme="minorHAnsi"/>
                <w:sz w:val="20"/>
              </w:rPr>
              <w:t>Abt Associates</w:t>
            </w:r>
          </w:p>
        </w:tc>
      </w:tr>
      <w:tr w:rsidRPr="00E403D9" w:rsidR="00A67E56" w:rsidTr="00204772" w14:paraId="554304DF" w14:textId="5B3AB630">
        <w:tc>
          <w:tcPr>
            <w:tcW w:w="2065" w:type="dxa"/>
          </w:tcPr>
          <w:p w:rsidRPr="00E403D9" w:rsidR="00A67E56" w:rsidP="00A95BE9" w:rsidRDefault="00A67E56" w14:paraId="3DED4AAF" w14:textId="6F24D50B">
            <w:pPr>
              <w:spacing w:after="0"/>
              <w:rPr>
                <w:rFonts w:cstheme="minorHAnsi"/>
                <w:sz w:val="20"/>
              </w:rPr>
            </w:pPr>
            <w:r w:rsidRPr="00E403D9">
              <w:rPr>
                <w:rFonts w:cstheme="minorHAnsi"/>
                <w:sz w:val="20"/>
              </w:rPr>
              <w:t>David Judkins</w:t>
            </w:r>
          </w:p>
        </w:tc>
        <w:tc>
          <w:tcPr>
            <w:tcW w:w="4548" w:type="dxa"/>
          </w:tcPr>
          <w:p w:rsidRPr="00E403D9" w:rsidR="00A67E56" w:rsidP="00A95BE9" w:rsidRDefault="00A67E56" w14:paraId="53570346" w14:textId="7A3A383D">
            <w:pPr>
              <w:spacing w:after="0"/>
              <w:rPr>
                <w:rFonts w:cstheme="minorHAnsi"/>
                <w:sz w:val="20"/>
              </w:rPr>
            </w:pPr>
            <w:r w:rsidRPr="00E403D9">
              <w:rPr>
                <w:rFonts w:cstheme="minorHAnsi"/>
                <w:sz w:val="20"/>
              </w:rPr>
              <w:t>National Evaluation Director of Impact Analysis</w:t>
            </w:r>
          </w:p>
        </w:tc>
        <w:tc>
          <w:tcPr>
            <w:tcW w:w="2790" w:type="dxa"/>
          </w:tcPr>
          <w:p w:rsidRPr="00E403D9" w:rsidR="00A67E56" w:rsidP="00A95BE9" w:rsidRDefault="00A67E56" w14:paraId="4C257D41" w14:textId="72E8776E">
            <w:pPr>
              <w:spacing w:after="0"/>
              <w:rPr>
                <w:rFonts w:cstheme="minorHAnsi"/>
                <w:sz w:val="20"/>
              </w:rPr>
            </w:pPr>
            <w:r w:rsidRPr="00E403D9">
              <w:rPr>
                <w:rFonts w:cstheme="minorHAnsi"/>
                <w:sz w:val="20"/>
              </w:rPr>
              <w:t>Abt Associates</w:t>
            </w:r>
          </w:p>
        </w:tc>
      </w:tr>
      <w:tr w:rsidRPr="00E403D9" w:rsidR="00A67E56" w:rsidTr="00204772" w14:paraId="60C7FC2C" w14:textId="76E690E5">
        <w:tc>
          <w:tcPr>
            <w:tcW w:w="2065" w:type="dxa"/>
          </w:tcPr>
          <w:p w:rsidRPr="00E403D9" w:rsidR="00A67E56" w:rsidP="00A95BE9" w:rsidRDefault="00A67E56" w14:paraId="071ECC30" w14:textId="30F0BE04">
            <w:pPr>
              <w:spacing w:after="0"/>
              <w:rPr>
                <w:rFonts w:cstheme="minorHAnsi"/>
                <w:sz w:val="20"/>
              </w:rPr>
            </w:pPr>
            <w:r w:rsidRPr="00E403D9">
              <w:rPr>
                <w:rFonts w:cstheme="minorHAnsi"/>
                <w:sz w:val="20"/>
              </w:rPr>
              <w:t>Debi McInnis</w:t>
            </w:r>
          </w:p>
        </w:tc>
        <w:tc>
          <w:tcPr>
            <w:tcW w:w="4548" w:type="dxa"/>
          </w:tcPr>
          <w:p w:rsidRPr="00E403D9" w:rsidR="00A67E56" w:rsidP="00A95BE9" w:rsidRDefault="00A67E56" w14:paraId="438BF380" w14:textId="55A92E56">
            <w:pPr>
              <w:spacing w:after="0"/>
              <w:rPr>
                <w:rFonts w:cstheme="minorHAnsi"/>
                <w:sz w:val="20"/>
              </w:rPr>
            </w:pPr>
            <w:r w:rsidRPr="00E403D9">
              <w:rPr>
                <w:rFonts w:cstheme="minorHAnsi"/>
                <w:sz w:val="20"/>
              </w:rPr>
              <w:t xml:space="preserve">National Evaluation Site Coordinator </w:t>
            </w:r>
          </w:p>
        </w:tc>
        <w:tc>
          <w:tcPr>
            <w:tcW w:w="2790" w:type="dxa"/>
          </w:tcPr>
          <w:p w:rsidRPr="00E403D9" w:rsidR="00A67E56" w:rsidP="00A95BE9" w:rsidRDefault="00A67E56" w14:paraId="6B0959D4" w14:textId="418A6F8F">
            <w:pPr>
              <w:spacing w:after="0"/>
              <w:rPr>
                <w:rFonts w:cstheme="minorHAnsi"/>
                <w:sz w:val="20"/>
              </w:rPr>
            </w:pPr>
            <w:r w:rsidRPr="00E403D9">
              <w:rPr>
                <w:rFonts w:cstheme="minorHAnsi"/>
                <w:sz w:val="20"/>
              </w:rPr>
              <w:t>Abt Associates</w:t>
            </w:r>
          </w:p>
        </w:tc>
      </w:tr>
    </w:tbl>
    <w:p w:rsidR="00A67E56" w:rsidP="0065523A" w:rsidRDefault="00A67E56" w14:paraId="7321FC06" w14:textId="77777777">
      <w:pPr>
        <w:tabs>
          <w:tab w:val="left" w:pos="2070"/>
          <w:tab w:val="left" w:pos="4950"/>
        </w:tabs>
        <w:spacing w:after="60" w:line="240" w:lineRule="auto"/>
        <w:rPr>
          <w:rFonts w:cs="Calibri"/>
        </w:rPr>
      </w:pPr>
    </w:p>
    <w:p w:rsidRPr="00524430" w:rsidR="00A67E56" w:rsidP="00EC1E15" w:rsidRDefault="00A67E56" w14:paraId="79CE5C6D" w14:textId="77777777">
      <w:pPr>
        <w:pStyle w:val="BodyText"/>
        <w:spacing w:after="60" w:line="240" w:lineRule="auto"/>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A67E56" w:rsidP="00EC1E15" w:rsidRDefault="00F72D1A" w14:paraId="7CBCB150" w14:textId="5CC3C46B">
      <w:pPr>
        <w:spacing w:after="0" w:line="240" w:lineRule="auto"/>
      </w:pPr>
      <w:r>
        <w:t>Larry Buron</w:t>
      </w:r>
      <w:r w:rsidR="00A67E56">
        <w:t xml:space="preserve">, </w:t>
      </w:r>
      <w:r w:rsidRPr="002C6464" w:rsidR="00A67E56">
        <w:t>Project Director</w:t>
      </w:r>
      <w:r w:rsidRPr="002C6464" w:rsidR="00A67E56">
        <w:tab/>
      </w:r>
      <w:r w:rsidRPr="002C6464" w:rsidR="00A67E56">
        <w:tab/>
      </w:r>
    </w:p>
    <w:p w:rsidR="00A67E56" w:rsidP="00EC1E15" w:rsidRDefault="00A67E56" w14:paraId="6DEB43AB" w14:textId="77777777">
      <w:pPr>
        <w:spacing w:after="0" w:line="240" w:lineRule="auto"/>
      </w:pPr>
      <w:r w:rsidRPr="005646F9">
        <w:t>Abt Associates</w:t>
      </w:r>
    </w:p>
    <w:p w:rsidRPr="00A933DD" w:rsidR="00A67E56" w:rsidP="00EC1E15" w:rsidRDefault="00F72D1A" w14:paraId="758FEFD4" w14:textId="1B1F0BB0">
      <w:pPr>
        <w:tabs>
          <w:tab w:val="left" w:pos="2070"/>
          <w:tab w:val="left" w:pos="4950"/>
        </w:tabs>
        <w:spacing w:after="0" w:line="240" w:lineRule="auto"/>
      </w:pPr>
      <w:r w:rsidRPr="00A933DD">
        <w:t>6130</w:t>
      </w:r>
      <w:r w:rsidR="00587E47">
        <w:t xml:space="preserve"> </w:t>
      </w:r>
      <w:r w:rsidRPr="00A933DD">
        <w:t>Executive Boulevard</w:t>
      </w:r>
    </w:p>
    <w:p w:rsidRPr="00A933DD" w:rsidR="00A67E56" w:rsidP="00EC1E15" w:rsidRDefault="00F72D1A" w14:paraId="2DF089D5" w14:textId="31A0EC3E">
      <w:pPr>
        <w:tabs>
          <w:tab w:val="left" w:pos="2070"/>
          <w:tab w:val="left" w:pos="4950"/>
        </w:tabs>
        <w:spacing w:after="0" w:line="240" w:lineRule="auto"/>
      </w:pPr>
      <w:r w:rsidRPr="00A933DD">
        <w:t>Rockville, MD 20852</w:t>
      </w:r>
    </w:p>
    <w:p w:rsidR="00A67E56" w:rsidP="00EC1E15" w:rsidRDefault="00A67E56" w14:paraId="7FE486EB" w14:textId="0D70436D">
      <w:pPr>
        <w:tabs>
          <w:tab w:val="left" w:pos="2070"/>
          <w:tab w:val="left" w:pos="4950"/>
        </w:tabs>
        <w:spacing w:after="0" w:line="240" w:lineRule="auto"/>
        <w:rPr>
          <w:rFonts w:cs="Calibri"/>
        </w:rPr>
      </w:pPr>
      <w:r>
        <w:rPr>
          <w:rFonts w:cs="Calibri"/>
        </w:rPr>
        <w:t>(</w:t>
      </w:r>
      <w:r w:rsidR="00F72D1A">
        <w:rPr>
          <w:rFonts w:cs="Calibri"/>
        </w:rPr>
        <w:t>301) 634-1735</w:t>
      </w:r>
      <w:r w:rsidR="00A658F0">
        <w:rPr>
          <w:rFonts w:cs="Calibri"/>
        </w:rPr>
        <w:t xml:space="preserve"> </w:t>
      </w:r>
    </w:p>
    <w:p w:rsidR="00A67E56" w:rsidP="00EC1E15" w:rsidRDefault="00A67E56" w14:paraId="7D18DDB4" w14:textId="77777777">
      <w:pPr>
        <w:tabs>
          <w:tab w:val="left" w:pos="2070"/>
          <w:tab w:val="left" w:pos="4950"/>
        </w:tabs>
        <w:spacing w:after="60" w:line="240" w:lineRule="auto"/>
        <w:rPr>
          <w:rFonts w:cs="Calibri"/>
        </w:rPr>
      </w:pPr>
    </w:p>
    <w:p w:rsidR="00A67E56" w:rsidP="00EC1E15" w:rsidRDefault="00A67E56" w14:paraId="4C9C071A" w14:textId="7CD9817E">
      <w:pPr>
        <w:spacing w:after="120" w:line="240" w:lineRule="auto"/>
      </w:pPr>
      <w:r w:rsidRPr="005646F9" w:rsidDel="00D57F5D">
        <w:t xml:space="preserve">The </w:t>
      </w:r>
      <w:r>
        <w:t xml:space="preserve">following </w:t>
      </w:r>
      <w:r w:rsidR="00E87052">
        <w:t xml:space="preserve">ACF </w:t>
      </w:r>
      <w:r>
        <w:t xml:space="preserve">staff—including the </w:t>
      </w:r>
      <w:r w:rsidR="00E87052">
        <w:t>ACF</w:t>
      </w:r>
      <w:r w:rsidRPr="005646F9" w:rsidDel="00D57F5D" w:rsidR="00E87052">
        <w:t xml:space="preserve"> </w:t>
      </w:r>
      <w:r w:rsidRPr="005646F9" w:rsidDel="00D57F5D">
        <w:t>project officer</w:t>
      </w:r>
      <w:r>
        <w:t>s</w:t>
      </w:r>
      <w:r w:rsidRPr="005646F9" w:rsidDel="00D57F5D">
        <w:t xml:space="preserve"> </w:t>
      </w:r>
      <w:r>
        <w:t>Nicole Constance</w:t>
      </w:r>
      <w:r w:rsidR="00B95D26">
        <w:t xml:space="preserve"> and </w:t>
      </w:r>
      <w:r w:rsidR="007644F5">
        <w:t>Lisa Zingman</w:t>
      </w:r>
      <w:r>
        <w:t xml:space="preserve">—have </w:t>
      </w:r>
      <w:r w:rsidRPr="005646F9" w:rsidDel="00D57F5D">
        <w:t>overseen the design process and can be contacted at:</w:t>
      </w:r>
    </w:p>
    <w:p w:rsidR="00045930" w:rsidP="00EC1E15" w:rsidRDefault="00045930" w14:paraId="45BF8C77" w14:textId="77777777">
      <w:pPr>
        <w:spacing w:after="120" w:line="240" w:lineRule="auto"/>
        <w:rPr>
          <w:rFonts w:cs="Calibri"/>
        </w:rPr>
      </w:pPr>
    </w:p>
    <w:p w:rsidR="00A67E56" w:rsidP="00EC1E15" w:rsidRDefault="00A67E56" w14:paraId="18C9500E" w14:textId="77777777">
      <w:pPr>
        <w:tabs>
          <w:tab w:val="left" w:pos="2070"/>
          <w:tab w:val="left" w:pos="4950"/>
        </w:tabs>
        <w:spacing w:after="0" w:line="240" w:lineRule="auto"/>
        <w:rPr>
          <w:rFonts w:cs="Calibri"/>
        </w:rPr>
      </w:pPr>
      <w:r>
        <w:rPr>
          <w:rFonts w:cs="Calibri"/>
        </w:rPr>
        <w:t>Nicole Constance</w:t>
      </w:r>
    </w:p>
    <w:p w:rsidRPr="00A669F7" w:rsidR="00A67E56" w:rsidP="00EC1E15" w:rsidRDefault="00A67E56" w14:paraId="7E10FA3B" w14:textId="77777777">
      <w:pPr>
        <w:tabs>
          <w:tab w:val="left" w:pos="2070"/>
          <w:tab w:val="left" w:pos="4950"/>
        </w:tabs>
        <w:spacing w:after="0" w:line="240" w:lineRule="auto"/>
        <w:rPr>
          <w:rFonts w:cs="Calibri"/>
        </w:rPr>
      </w:pPr>
      <w:r w:rsidRPr="00A669F7">
        <w:rPr>
          <w:rFonts w:cs="Calibri"/>
        </w:rPr>
        <w:t>Office of Planning, Research</w:t>
      </w:r>
      <w:r>
        <w:rPr>
          <w:rFonts w:cs="Calibri"/>
        </w:rPr>
        <w:t>,</w:t>
      </w:r>
      <w:r w:rsidRPr="00A669F7">
        <w:rPr>
          <w:rFonts w:cs="Calibri"/>
        </w:rPr>
        <w:t xml:space="preserve"> and Evaluation</w:t>
      </w:r>
    </w:p>
    <w:p w:rsidRPr="00A669F7" w:rsidR="00A67E56" w:rsidP="00EC1E15" w:rsidRDefault="00A67E56" w14:paraId="6C5C9EC5" w14:textId="77777777">
      <w:pPr>
        <w:tabs>
          <w:tab w:val="left" w:pos="2070"/>
          <w:tab w:val="left" w:pos="4950"/>
        </w:tabs>
        <w:spacing w:after="0" w:line="240" w:lineRule="auto"/>
        <w:rPr>
          <w:rFonts w:cs="Calibri"/>
        </w:rPr>
      </w:pPr>
      <w:r w:rsidRPr="00A669F7">
        <w:rPr>
          <w:rFonts w:cs="Calibri"/>
        </w:rPr>
        <w:t>Administration for Children and Families</w:t>
      </w:r>
    </w:p>
    <w:p w:rsidRPr="00A669F7" w:rsidR="00A67E56" w:rsidP="00EC1E15" w:rsidRDefault="00A67E56" w14:paraId="3843D6CA" w14:textId="77777777">
      <w:pPr>
        <w:tabs>
          <w:tab w:val="left" w:pos="2070"/>
          <w:tab w:val="left" w:pos="4950"/>
        </w:tabs>
        <w:spacing w:after="0" w:line="240" w:lineRule="auto"/>
        <w:rPr>
          <w:rFonts w:cs="Calibri"/>
        </w:rPr>
      </w:pPr>
      <w:r w:rsidRPr="00A669F7">
        <w:rPr>
          <w:rFonts w:cs="Calibri"/>
        </w:rPr>
        <w:t>U.S. Department of Health and Human Services</w:t>
      </w:r>
    </w:p>
    <w:p w:rsidRPr="00A669F7" w:rsidR="00A67E56" w:rsidP="00EC1E15" w:rsidRDefault="00A67E56" w14:paraId="1D93DA87" w14:textId="77777777">
      <w:pPr>
        <w:tabs>
          <w:tab w:val="left" w:pos="2070"/>
          <w:tab w:val="left" w:pos="4950"/>
        </w:tabs>
        <w:spacing w:after="0" w:line="240" w:lineRule="auto"/>
        <w:rPr>
          <w:rFonts w:cs="Calibri"/>
        </w:rPr>
      </w:pPr>
      <w:r w:rsidRPr="00A669F7">
        <w:rPr>
          <w:rFonts w:cs="Calibri"/>
        </w:rPr>
        <w:t>330 C Street S.W., 4th Floor, Washington, D.C. 20201</w:t>
      </w:r>
    </w:p>
    <w:p w:rsidR="00A67E56" w:rsidP="00EC1E15" w:rsidRDefault="00A67E56" w14:paraId="4C332A09" w14:textId="77777777">
      <w:pPr>
        <w:tabs>
          <w:tab w:val="left" w:pos="2070"/>
          <w:tab w:val="left" w:pos="4950"/>
        </w:tabs>
        <w:spacing w:after="0" w:line="240" w:lineRule="auto"/>
        <w:rPr>
          <w:rFonts w:cs="Calibri"/>
        </w:rPr>
      </w:pPr>
      <w:r w:rsidRPr="00A669F7">
        <w:rPr>
          <w:rFonts w:cs="Calibri"/>
        </w:rPr>
        <w:t>(202) 401-7260</w:t>
      </w:r>
    </w:p>
    <w:p w:rsidR="00C975D2" w:rsidP="00EC1E15" w:rsidRDefault="00C975D2" w14:paraId="43C4DE8E" w14:textId="77777777">
      <w:pPr>
        <w:tabs>
          <w:tab w:val="left" w:pos="2070"/>
          <w:tab w:val="left" w:pos="4950"/>
        </w:tabs>
        <w:spacing w:after="0" w:line="240" w:lineRule="auto"/>
      </w:pPr>
    </w:p>
    <w:p w:rsidR="00C975D2" w:rsidDel="00D57F5D" w:rsidP="00EC1E15" w:rsidRDefault="00C975D2" w14:paraId="52F8A40E" w14:textId="662717E8">
      <w:pPr>
        <w:tabs>
          <w:tab w:val="left" w:pos="2070"/>
          <w:tab w:val="left" w:pos="4950"/>
        </w:tabs>
        <w:spacing w:after="0" w:line="240" w:lineRule="auto"/>
      </w:pPr>
      <w:r>
        <w:t>Lisa Zingman</w:t>
      </w:r>
    </w:p>
    <w:p w:rsidRPr="00E52F77" w:rsidR="00C975D2" w:rsidDel="00D57F5D" w:rsidP="00EC1E15" w:rsidRDefault="00C975D2" w14:paraId="27BA8D39" w14:textId="77777777">
      <w:pPr>
        <w:tabs>
          <w:tab w:val="left" w:pos="2070"/>
          <w:tab w:val="left" w:pos="4950"/>
        </w:tabs>
        <w:spacing w:after="0" w:line="240" w:lineRule="auto"/>
        <w:rPr>
          <w:rFonts w:cs="Calibri"/>
        </w:rPr>
      </w:pPr>
      <w:r w:rsidRPr="00E52F77" w:rsidDel="00D57F5D">
        <w:rPr>
          <w:rFonts w:cs="Calibri"/>
        </w:rPr>
        <w:t>Office of Planning, Research</w:t>
      </w:r>
      <w:r>
        <w:rPr>
          <w:rFonts w:cs="Calibri"/>
        </w:rPr>
        <w:t>, and</w:t>
      </w:r>
      <w:r w:rsidRPr="00E52F77" w:rsidDel="00D57F5D">
        <w:rPr>
          <w:rFonts w:cs="Calibri"/>
        </w:rPr>
        <w:t xml:space="preserve"> Evaluation</w:t>
      </w:r>
    </w:p>
    <w:p w:rsidRPr="00E52F77" w:rsidR="00C975D2" w:rsidDel="00D57F5D" w:rsidP="00EC1E15" w:rsidRDefault="00C975D2" w14:paraId="3AC878E8" w14:textId="77777777">
      <w:pPr>
        <w:tabs>
          <w:tab w:val="left" w:pos="2070"/>
          <w:tab w:val="left" w:pos="4950"/>
        </w:tabs>
        <w:spacing w:after="0" w:line="240" w:lineRule="auto"/>
        <w:rPr>
          <w:rFonts w:cs="Calibri"/>
        </w:rPr>
      </w:pPr>
      <w:r w:rsidRPr="00E52F77" w:rsidDel="00D57F5D">
        <w:rPr>
          <w:rFonts w:cs="Calibri"/>
        </w:rPr>
        <w:t>Administration for Children and Families</w:t>
      </w:r>
    </w:p>
    <w:p w:rsidRPr="00E52F77" w:rsidR="00C975D2" w:rsidDel="00D57F5D" w:rsidP="00EC1E15" w:rsidRDefault="00C975D2" w14:paraId="37D334C6" w14:textId="77777777">
      <w:pPr>
        <w:tabs>
          <w:tab w:val="left" w:pos="2070"/>
          <w:tab w:val="left" w:pos="4950"/>
        </w:tabs>
        <w:spacing w:after="0" w:line="240" w:lineRule="auto"/>
        <w:rPr>
          <w:rFonts w:cs="Calibri"/>
        </w:rPr>
      </w:pPr>
      <w:r w:rsidRPr="00E52F77" w:rsidDel="00D57F5D">
        <w:rPr>
          <w:rFonts w:cs="Calibri"/>
        </w:rPr>
        <w:t>U.S. Department of Health and Human Services</w:t>
      </w:r>
    </w:p>
    <w:p w:rsidRPr="00A669F7" w:rsidR="00C975D2" w:rsidP="00EC1E15" w:rsidRDefault="00C975D2" w14:paraId="3C9C5743" w14:textId="77777777">
      <w:pPr>
        <w:tabs>
          <w:tab w:val="left" w:pos="2070"/>
          <w:tab w:val="left" w:pos="4950"/>
        </w:tabs>
        <w:spacing w:after="0" w:line="240" w:lineRule="auto"/>
        <w:rPr>
          <w:rFonts w:cs="Calibri"/>
        </w:rPr>
      </w:pPr>
      <w:r w:rsidRPr="00A669F7">
        <w:rPr>
          <w:rFonts w:cs="Calibri"/>
        </w:rPr>
        <w:t>330 C Street S.W., 4th Floor, Washington, D.C. 20201</w:t>
      </w:r>
    </w:p>
    <w:p w:rsidRPr="00A3520C" w:rsidR="005C1F37" w:rsidP="00EC1E15" w:rsidRDefault="005C1F37" w14:paraId="4D8B1327" w14:textId="76487331">
      <w:pPr>
        <w:spacing w:after="0" w:line="240" w:lineRule="auto"/>
        <w:rPr>
          <w:rFonts w:cs="Calibri,Bold"/>
          <w:bCs/>
        </w:rPr>
      </w:pPr>
      <w:r w:rsidRPr="00A3520C">
        <w:rPr>
          <w:rFonts w:cstheme="minorHAnsi"/>
          <w:color w:val="000000"/>
        </w:rPr>
        <w:t xml:space="preserve">(202) 260-0323 </w:t>
      </w:r>
    </w:p>
    <w:p w:rsidR="00A67E56" w:rsidP="00A3520C" w:rsidRDefault="00A67E56" w14:paraId="61E06F90" w14:textId="77777777">
      <w:pPr>
        <w:tabs>
          <w:tab w:val="left" w:pos="2070"/>
          <w:tab w:val="left" w:pos="4950"/>
        </w:tabs>
        <w:spacing w:after="0" w:line="240" w:lineRule="auto"/>
        <w:rPr>
          <w:rFonts w:cs="Calibri"/>
        </w:rPr>
      </w:pPr>
    </w:p>
    <w:p w:rsidR="00620028" w:rsidP="00FE2869" w:rsidRDefault="00620028" w14:paraId="332AF632" w14:textId="77777777">
      <w:pPr>
        <w:spacing w:after="120" w:line="240" w:lineRule="auto"/>
        <w:rPr>
          <w:rFonts w:cstheme="minorHAnsi"/>
          <w:b/>
        </w:rPr>
      </w:pPr>
    </w:p>
    <w:p w:rsidR="00AC74A8" w:rsidRDefault="00AC74A8" w14:paraId="717B2304" w14:textId="77777777">
      <w:pPr>
        <w:rPr>
          <w:rFonts w:cstheme="minorHAnsi"/>
          <w:b/>
        </w:rPr>
      </w:pPr>
      <w:r>
        <w:rPr>
          <w:rFonts w:cstheme="minorHAnsi"/>
          <w:b/>
        </w:rPr>
        <w:br w:type="page"/>
      </w:r>
    </w:p>
    <w:p w:rsidR="00EE1AC8" w:rsidP="00FE2869" w:rsidRDefault="002B1784" w14:paraId="30E8B3B2" w14:textId="2D9D46B9">
      <w:pPr>
        <w:spacing w:after="120" w:line="240" w:lineRule="auto"/>
        <w:rPr>
          <w:rFonts w:cstheme="minorHAnsi"/>
          <w:b/>
        </w:rPr>
      </w:pPr>
      <w:r>
        <w:rPr>
          <w:rFonts w:cstheme="minorHAnsi"/>
          <w:b/>
        </w:rPr>
        <w:lastRenderedPageBreak/>
        <w:t xml:space="preserve">Instrument and </w:t>
      </w:r>
      <w:r w:rsidRPr="001A59B6" w:rsidR="00A42C71">
        <w:rPr>
          <w:rFonts w:cstheme="minorHAnsi"/>
          <w:b/>
        </w:rPr>
        <w:t>Attachments</w:t>
      </w:r>
      <w:r w:rsidR="005C49D7">
        <w:rPr>
          <w:rFonts w:cstheme="minorHAnsi"/>
          <w:b/>
        </w:rPr>
        <w:t>-Current Request</w:t>
      </w:r>
    </w:p>
    <w:p w:rsidRPr="00E33B70" w:rsidR="00513C76" w:rsidP="00513C76" w:rsidRDefault="00513C76" w14:paraId="3FCE5872" w14:textId="4CF4CC38">
      <w:pPr>
        <w:spacing w:after="0" w:line="240" w:lineRule="auto"/>
        <w:rPr>
          <w:rFonts w:cstheme="minorHAnsi"/>
          <w:b/>
        </w:rPr>
      </w:pPr>
      <w:r w:rsidRPr="00E33B70">
        <w:rPr>
          <w:rFonts w:cstheme="minorHAnsi"/>
          <w:b/>
        </w:rPr>
        <w:t>New Instrument</w:t>
      </w:r>
      <w:r w:rsidR="00882F33">
        <w:rPr>
          <w:rFonts w:cstheme="minorHAnsi"/>
          <w:b/>
        </w:rPr>
        <w:t>s</w:t>
      </w:r>
      <w:r w:rsidRPr="00E33B70">
        <w:rPr>
          <w:rFonts w:cstheme="minorHAnsi"/>
          <w:b/>
        </w:rPr>
        <w:t>:</w:t>
      </w:r>
    </w:p>
    <w:p w:rsidR="00897160" w:rsidP="00897160" w:rsidRDefault="00897160" w14:paraId="6D40E76C" w14:textId="09434E69">
      <w:pPr>
        <w:pStyle w:val="ListParagraph"/>
        <w:numPr>
          <w:ilvl w:val="0"/>
          <w:numId w:val="40"/>
        </w:numPr>
        <w:spacing w:line="240" w:lineRule="auto"/>
        <w:rPr>
          <w:rFonts w:cstheme="minorHAnsi"/>
        </w:rPr>
      </w:pPr>
      <w:bookmarkStart w:name="_Hlk71787481" w:id="11"/>
      <w:r w:rsidRPr="00B472A1">
        <w:rPr>
          <w:rFonts w:cstheme="minorHAnsi"/>
        </w:rPr>
        <w:t xml:space="preserve">Instrument </w:t>
      </w:r>
      <w:r>
        <w:rPr>
          <w:rFonts w:cstheme="minorHAnsi"/>
        </w:rPr>
        <w:t>21</w:t>
      </w:r>
      <w:r w:rsidRPr="00B472A1">
        <w:rPr>
          <w:rFonts w:cstheme="minorHAnsi"/>
        </w:rPr>
        <w:t xml:space="preserve">: HPOG 2.0 </w:t>
      </w:r>
      <w:r>
        <w:rPr>
          <w:rFonts w:cstheme="minorHAnsi"/>
        </w:rPr>
        <w:t>Long-Term Survey (LTS)</w:t>
      </w:r>
    </w:p>
    <w:p w:rsidRPr="00B472A1" w:rsidR="00897160" w:rsidDel="00B472A1" w:rsidP="00EB74A3" w:rsidRDefault="00897160" w14:paraId="6DFB0501" w14:textId="29C1B2A0">
      <w:pPr>
        <w:pStyle w:val="ListParagraph"/>
        <w:numPr>
          <w:ilvl w:val="0"/>
          <w:numId w:val="40"/>
        </w:numPr>
        <w:spacing w:line="240" w:lineRule="auto"/>
        <w:rPr>
          <w:rFonts w:cstheme="minorHAnsi"/>
        </w:rPr>
      </w:pPr>
      <w:r>
        <w:rPr>
          <w:rFonts w:cstheme="minorHAnsi"/>
        </w:rPr>
        <w:t xml:space="preserve">Instrument 21a: HPOG 2.0 </w:t>
      </w:r>
      <w:r w:rsidR="00A24335">
        <w:rPr>
          <w:rFonts w:cstheme="minorHAnsi"/>
        </w:rPr>
        <w:t xml:space="preserve">Long-Term Survey </w:t>
      </w:r>
      <w:r>
        <w:rPr>
          <w:rFonts w:cstheme="minorHAnsi"/>
        </w:rPr>
        <w:t xml:space="preserve">Critical Items </w:t>
      </w:r>
      <w:r w:rsidR="00ED0684">
        <w:rPr>
          <w:rFonts w:cstheme="minorHAnsi"/>
        </w:rPr>
        <w:t>Instrument</w:t>
      </w:r>
      <w:r>
        <w:rPr>
          <w:rFonts w:cstheme="minorHAnsi"/>
        </w:rPr>
        <w:t xml:space="preserve"> (LTS-CII)</w:t>
      </w:r>
    </w:p>
    <w:bookmarkEnd w:id="11"/>
    <w:p w:rsidRPr="00E33B70" w:rsidR="00AC74A8" w:rsidP="00AC74A8" w:rsidRDefault="00AC74A8" w14:paraId="663299CC" w14:textId="77777777">
      <w:pPr>
        <w:spacing w:after="0" w:line="240" w:lineRule="auto"/>
        <w:rPr>
          <w:rFonts w:cstheme="minorHAnsi"/>
          <w:b/>
        </w:rPr>
      </w:pPr>
      <w:r w:rsidRPr="00E33B70">
        <w:rPr>
          <w:rFonts w:cstheme="minorHAnsi"/>
          <w:b/>
        </w:rPr>
        <w:t>Previously Approved Instruments</w:t>
      </w:r>
      <w:r>
        <w:rPr>
          <w:rFonts w:cstheme="minorHAnsi"/>
          <w:b/>
        </w:rPr>
        <w:t xml:space="preserve"> Still in Use</w:t>
      </w:r>
      <w:r w:rsidRPr="00E33B70">
        <w:rPr>
          <w:rFonts w:cstheme="minorHAnsi"/>
          <w:b/>
        </w:rPr>
        <w:t>:</w:t>
      </w:r>
    </w:p>
    <w:p w:rsidR="00AC74A8" w:rsidP="00AC74A8" w:rsidRDefault="00AC74A8" w14:paraId="52FF024F" w14:textId="19C96D1F">
      <w:pPr>
        <w:pStyle w:val="ListParagraph"/>
        <w:numPr>
          <w:ilvl w:val="0"/>
          <w:numId w:val="40"/>
        </w:numPr>
        <w:spacing w:after="0" w:line="240" w:lineRule="auto"/>
        <w:rPr>
          <w:rFonts w:cstheme="minorHAnsi"/>
        </w:rPr>
      </w:pPr>
      <w:r w:rsidRPr="007A031F">
        <w:rPr>
          <w:rFonts w:cstheme="minorHAnsi"/>
        </w:rPr>
        <w:t xml:space="preserve">Instrument 5b: HPOG 2.0 National Evaluation participant contact update letter and form </w:t>
      </w:r>
    </w:p>
    <w:p w:rsidR="00CA4E33" w:rsidDel="00897160" w:rsidP="00CA4E33" w:rsidRDefault="00CA4E33" w14:paraId="286F3667" w14:textId="77777777">
      <w:pPr>
        <w:pStyle w:val="ListParagraph"/>
        <w:numPr>
          <w:ilvl w:val="0"/>
          <w:numId w:val="40"/>
        </w:numPr>
        <w:spacing w:line="240" w:lineRule="auto"/>
        <w:rPr>
          <w:rFonts w:cstheme="minorHAnsi"/>
        </w:rPr>
      </w:pPr>
      <w:r w:rsidDel="00897160">
        <w:rPr>
          <w:rFonts w:cstheme="minorHAnsi"/>
        </w:rPr>
        <w:t>Instrument 5b: HPOG 2.0 Contact Update Form Phone Version</w:t>
      </w:r>
    </w:p>
    <w:p w:rsidRPr="00AD2DE1" w:rsidR="00CA4E33" w:rsidP="00AD2DE1" w:rsidRDefault="00CA4E33" w14:paraId="66A60BB3" w14:textId="32A117C3">
      <w:pPr>
        <w:pStyle w:val="ListParagraph"/>
        <w:numPr>
          <w:ilvl w:val="0"/>
          <w:numId w:val="40"/>
        </w:numPr>
        <w:spacing w:line="240" w:lineRule="auto"/>
        <w:rPr>
          <w:rFonts w:cstheme="minorHAnsi"/>
        </w:rPr>
      </w:pPr>
      <w:r w:rsidRPr="00E33B70" w:rsidDel="00897160">
        <w:rPr>
          <w:rFonts w:cstheme="minorHAnsi"/>
        </w:rPr>
        <w:t xml:space="preserve">Instrument </w:t>
      </w:r>
      <w:r w:rsidDel="00897160">
        <w:rPr>
          <w:rFonts w:cstheme="minorHAnsi"/>
        </w:rPr>
        <w:t>12a</w:t>
      </w:r>
      <w:r w:rsidRPr="00E33B70" w:rsidDel="00897160">
        <w:rPr>
          <w:rFonts w:cstheme="minorHAnsi"/>
        </w:rPr>
        <w:t>: COVID-19 Cohort Short-</w:t>
      </w:r>
      <w:r>
        <w:rPr>
          <w:rFonts w:cstheme="minorHAnsi"/>
        </w:rPr>
        <w:t>T</w:t>
      </w:r>
      <w:r w:rsidRPr="00E33B70" w:rsidDel="00897160">
        <w:rPr>
          <w:rFonts w:cstheme="minorHAnsi"/>
        </w:rPr>
        <w:t xml:space="preserve">erm Follow-up Survey </w:t>
      </w:r>
    </w:p>
    <w:p w:rsidRPr="007A031F" w:rsidR="00B81BED" w:rsidP="00EB74A3" w:rsidRDefault="00B81BED" w14:paraId="059B13EF" w14:textId="5A1BD49F">
      <w:pPr>
        <w:pStyle w:val="ListParagraph"/>
        <w:numPr>
          <w:ilvl w:val="0"/>
          <w:numId w:val="40"/>
        </w:numPr>
        <w:spacing w:after="0" w:line="240" w:lineRule="auto"/>
        <w:rPr>
          <w:rFonts w:cstheme="minorHAnsi"/>
        </w:rPr>
      </w:pPr>
      <w:r w:rsidRPr="007A031F">
        <w:rPr>
          <w:rFonts w:cstheme="minorHAnsi"/>
        </w:rPr>
        <w:t>Instrument 1</w:t>
      </w:r>
      <w:r>
        <w:rPr>
          <w:rFonts w:cstheme="minorHAnsi"/>
        </w:rPr>
        <w:t>2b</w:t>
      </w:r>
      <w:r w:rsidRPr="007A031F">
        <w:rPr>
          <w:rFonts w:cstheme="minorHAnsi"/>
        </w:rPr>
        <w:t xml:space="preserve">: </w:t>
      </w:r>
      <w:r w:rsidRPr="00E33B70">
        <w:rPr>
          <w:rFonts w:cstheme="minorHAnsi"/>
        </w:rPr>
        <w:t>COVID-19 Cohort Short-</w:t>
      </w:r>
      <w:r w:rsidR="00281279">
        <w:rPr>
          <w:rFonts w:cstheme="minorHAnsi"/>
        </w:rPr>
        <w:t>T</w:t>
      </w:r>
      <w:r w:rsidRPr="00E33B70">
        <w:rPr>
          <w:rFonts w:cstheme="minorHAnsi"/>
        </w:rPr>
        <w:t xml:space="preserve">erm Follow-up Survey </w:t>
      </w:r>
      <w:r w:rsidRPr="007A031F">
        <w:rPr>
          <w:rFonts w:cstheme="minorHAnsi"/>
        </w:rPr>
        <w:t>_Critical Items Only</w:t>
      </w:r>
      <w:r w:rsidRPr="007A031F">
        <w:rPr>
          <w:rFonts w:cstheme="minorHAnsi"/>
          <w:iCs/>
        </w:rPr>
        <w:t xml:space="preserve"> </w:t>
      </w:r>
    </w:p>
    <w:p w:rsidR="00AC74A8" w:rsidP="00AC74A8" w:rsidRDefault="00AC74A8" w14:paraId="3D7283B1" w14:textId="77777777">
      <w:pPr>
        <w:spacing w:after="0" w:line="240" w:lineRule="auto"/>
        <w:rPr>
          <w:rFonts w:cstheme="minorHAnsi"/>
          <w:b/>
        </w:rPr>
      </w:pPr>
    </w:p>
    <w:p w:rsidR="00AC74A8" w:rsidP="00AC74A8" w:rsidRDefault="00AC74A8" w14:paraId="4E7A5C8E" w14:textId="1A375E2F">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613716" w:rsidP="00613716" w:rsidRDefault="00613716" w14:paraId="0C679EA2" w14:textId="0AE74C50">
      <w:pPr>
        <w:pStyle w:val="BodyText"/>
        <w:numPr>
          <w:ilvl w:val="0"/>
          <w:numId w:val="40"/>
        </w:numPr>
        <w:spacing w:after="0" w:line="240" w:lineRule="auto"/>
        <w:rPr>
          <w:rFonts w:cstheme="minorHAnsi"/>
        </w:rPr>
      </w:pPr>
      <w:r w:rsidRPr="00AE3275">
        <w:rPr>
          <w:rFonts w:cstheme="minorHAnsi"/>
        </w:rPr>
        <w:t xml:space="preserve">Attachment </w:t>
      </w:r>
      <w:r>
        <w:rPr>
          <w:rFonts w:cstheme="minorHAnsi"/>
        </w:rPr>
        <w:t>AB</w:t>
      </w:r>
      <w:r w:rsidRPr="00AE3275">
        <w:rPr>
          <w:rFonts w:cstheme="minorHAnsi"/>
        </w:rPr>
        <w:t xml:space="preserve">: </w:t>
      </w:r>
      <w:r>
        <w:rPr>
          <w:rFonts w:cstheme="minorHAnsi"/>
        </w:rPr>
        <w:t xml:space="preserve">HPOG 2.0 </w:t>
      </w:r>
      <w:r w:rsidR="00A24335">
        <w:rPr>
          <w:rFonts w:cstheme="minorHAnsi"/>
        </w:rPr>
        <w:t xml:space="preserve">Long-Term Follow-Up Survey </w:t>
      </w:r>
      <w:r w:rsidRPr="00AE3275">
        <w:rPr>
          <w:rFonts w:cstheme="minorHAnsi"/>
        </w:rPr>
        <w:t>Advance Letter</w:t>
      </w:r>
    </w:p>
    <w:p w:rsidRPr="00AE3275" w:rsidR="00613716" w:rsidP="00613716" w:rsidRDefault="00613716" w14:paraId="7E3D6079" w14:textId="26BBDB9B">
      <w:pPr>
        <w:pStyle w:val="BodyText"/>
        <w:numPr>
          <w:ilvl w:val="0"/>
          <w:numId w:val="40"/>
        </w:numPr>
        <w:spacing w:after="0" w:line="240" w:lineRule="auto"/>
        <w:rPr>
          <w:rFonts w:cstheme="minorHAnsi"/>
        </w:rPr>
      </w:pPr>
      <w:r w:rsidRPr="00AE3275">
        <w:rPr>
          <w:rFonts w:cstheme="minorHAnsi"/>
        </w:rPr>
        <w:t xml:space="preserve">Attachment </w:t>
      </w:r>
      <w:r>
        <w:rPr>
          <w:rFonts w:cstheme="minorHAnsi"/>
        </w:rPr>
        <w:t>AC:</w:t>
      </w:r>
      <w:r w:rsidRPr="00AE3275">
        <w:rPr>
          <w:rFonts w:cstheme="minorHAnsi"/>
        </w:rPr>
        <w:t xml:space="preserve"> </w:t>
      </w:r>
      <w:r>
        <w:rPr>
          <w:rFonts w:cstheme="minorHAnsi"/>
        </w:rPr>
        <w:t xml:space="preserve">HPOG 2.0 </w:t>
      </w:r>
      <w:r w:rsidR="00A24335">
        <w:rPr>
          <w:rFonts w:cstheme="minorHAnsi"/>
        </w:rPr>
        <w:t xml:space="preserve">Long-Term Follow-Up Survey </w:t>
      </w:r>
      <w:r w:rsidRPr="00AE3275">
        <w:rPr>
          <w:rFonts w:cstheme="minorHAnsi"/>
        </w:rPr>
        <w:t>Sources</w:t>
      </w:r>
    </w:p>
    <w:p w:rsidRPr="00AE3275" w:rsidR="00613716" w:rsidP="00613716" w:rsidRDefault="00613716" w14:paraId="13AB07EF" w14:textId="0FE48601">
      <w:pPr>
        <w:pStyle w:val="BodyText"/>
        <w:numPr>
          <w:ilvl w:val="0"/>
          <w:numId w:val="40"/>
        </w:numPr>
        <w:spacing w:after="0" w:line="240" w:lineRule="auto"/>
        <w:rPr>
          <w:rFonts w:cstheme="minorHAnsi"/>
        </w:rPr>
      </w:pPr>
      <w:r w:rsidRPr="00AE3275">
        <w:rPr>
          <w:rFonts w:cstheme="minorHAnsi"/>
        </w:rPr>
        <w:t xml:space="preserve">Attachment </w:t>
      </w:r>
      <w:r>
        <w:rPr>
          <w:rFonts w:cstheme="minorHAnsi"/>
        </w:rPr>
        <w:t>AD</w:t>
      </w:r>
      <w:r w:rsidRPr="00AE3275">
        <w:rPr>
          <w:rFonts w:cstheme="minorHAnsi"/>
        </w:rPr>
        <w:t xml:space="preserve">: </w:t>
      </w:r>
      <w:r>
        <w:rPr>
          <w:rFonts w:cstheme="minorHAnsi"/>
        </w:rPr>
        <w:t xml:space="preserve">HPOG 2.0 </w:t>
      </w:r>
      <w:r w:rsidR="00A24335">
        <w:rPr>
          <w:rFonts w:cstheme="minorHAnsi"/>
        </w:rPr>
        <w:t xml:space="preserve">Long-Term Follow-Up Survey </w:t>
      </w:r>
      <w:r w:rsidRPr="00AE3275">
        <w:rPr>
          <w:rFonts w:cstheme="minorHAnsi"/>
        </w:rPr>
        <w:t>Trying to Reach You Flyer</w:t>
      </w:r>
    </w:p>
    <w:p w:rsidRPr="00CC4A98" w:rsidR="00613716" w:rsidP="00613716" w:rsidRDefault="00613716" w14:paraId="235C069C" w14:textId="4CF58CC9">
      <w:pPr>
        <w:pStyle w:val="BodyText"/>
        <w:numPr>
          <w:ilvl w:val="0"/>
          <w:numId w:val="40"/>
        </w:numPr>
        <w:spacing w:after="0" w:line="240" w:lineRule="auto"/>
        <w:rPr>
          <w:rFonts w:cstheme="minorHAnsi"/>
        </w:rPr>
      </w:pPr>
      <w:r w:rsidRPr="00AE3275">
        <w:rPr>
          <w:rFonts w:cstheme="minorHAnsi"/>
        </w:rPr>
        <w:t xml:space="preserve">Attachment </w:t>
      </w:r>
      <w:r>
        <w:rPr>
          <w:rFonts w:cstheme="minorHAnsi"/>
        </w:rPr>
        <w:t>AE</w:t>
      </w:r>
      <w:r w:rsidRPr="00AE3275">
        <w:rPr>
          <w:rFonts w:cstheme="minorHAnsi"/>
        </w:rPr>
        <w:t xml:space="preserve">: </w:t>
      </w:r>
      <w:r>
        <w:rPr>
          <w:rFonts w:cstheme="minorHAnsi"/>
        </w:rPr>
        <w:t xml:space="preserve">HPOG 2.0 </w:t>
      </w:r>
      <w:r w:rsidR="00A24335">
        <w:rPr>
          <w:rFonts w:cstheme="minorHAnsi"/>
        </w:rPr>
        <w:t xml:space="preserve">Long-Term Follow-Up Survey </w:t>
      </w:r>
      <w:r w:rsidRPr="00AE3275">
        <w:rPr>
          <w:rFonts w:cstheme="minorHAnsi"/>
        </w:rPr>
        <w:t xml:space="preserve">Email Reminder Text </w:t>
      </w:r>
    </w:p>
    <w:p w:rsidRPr="005C49D7" w:rsidR="00F31DB6" w:rsidP="00F31DB6" w:rsidRDefault="00F31DB6" w14:paraId="57F989FC" w14:textId="0C4B8F1E">
      <w:pPr>
        <w:pStyle w:val="TOC2"/>
        <w:numPr>
          <w:ilvl w:val="0"/>
          <w:numId w:val="40"/>
        </w:numPr>
        <w:spacing w:after="0" w:line="240" w:lineRule="auto"/>
        <w:rPr>
          <w:rFonts w:asciiTheme="minorHAnsi" w:hAnsiTheme="minorHAnsi" w:cstheme="minorHAnsi"/>
        </w:rPr>
      </w:pPr>
      <w:bookmarkStart w:name="_Hlk105045922" w:id="12"/>
      <w:r w:rsidRPr="005C49D7">
        <w:rPr>
          <w:rFonts w:asciiTheme="minorHAnsi" w:hAnsiTheme="minorHAnsi" w:cstheme="minorHAnsi"/>
        </w:rPr>
        <w:t>Attachment A</w:t>
      </w:r>
      <w:r w:rsidR="009B6BBB">
        <w:rPr>
          <w:rFonts w:asciiTheme="minorHAnsi" w:hAnsiTheme="minorHAnsi" w:cstheme="minorHAnsi"/>
        </w:rPr>
        <w:t>F</w:t>
      </w:r>
      <w:r w:rsidRPr="005C49D7">
        <w:rPr>
          <w:rFonts w:asciiTheme="minorHAnsi" w:hAnsiTheme="minorHAnsi" w:cstheme="minorHAnsi"/>
        </w:rPr>
        <w:t>: HPOG 2.0 Previously Approved Sample Selection for the STS and ITS</w:t>
      </w:r>
    </w:p>
    <w:p w:rsidRPr="005C49D7" w:rsidR="00F31DB6" w:rsidP="00F31DB6" w:rsidRDefault="00F31DB6" w14:paraId="1BAB2EE0" w14:textId="1EA405F0">
      <w:pPr>
        <w:pStyle w:val="TOC2"/>
        <w:numPr>
          <w:ilvl w:val="0"/>
          <w:numId w:val="40"/>
        </w:numPr>
        <w:spacing w:after="0" w:line="240" w:lineRule="auto"/>
        <w:rPr>
          <w:rFonts w:asciiTheme="minorHAnsi" w:hAnsiTheme="minorHAnsi" w:cstheme="minorHAnsi"/>
        </w:rPr>
      </w:pPr>
      <w:r w:rsidRPr="005C49D7">
        <w:rPr>
          <w:rFonts w:asciiTheme="minorHAnsi" w:hAnsiTheme="minorHAnsi" w:cstheme="minorHAnsi"/>
        </w:rPr>
        <w:t>Attachment A</w:t>
      </w:r>
      <w:r w:rsidR="009B6BBB">
        <w:rPr>
          <w:rFonts w:asciiTheme="minorHAnsi" w:hAnsiTheme="minorHAnsi" w:cstheme="minorHAnsi"/>
        </w:rPr>
        <w:t>G</w:t>
      </w:r>
      <w:r w:rsidRPr="005C49D7">
        <w:rPr>
          <w:rFonts w:asciiTheme="minorHAnsi" w:hAnsiTheme="minorHAnsi" w:cstheme="minorHAnsi"/>
        </w:rPr>
        <w:t>: HPOG 2.0 Previously Approved Methods to Maximize Response Rates</w:t>
      </w:r>
    </w:p>
    <w:bookmarkEnd w:id="12"/>
    <w:p w:rsidRPr="00E33B70" w:rsidR="00AC74A8" w:rsidP="00AC74A8" w:rsidRDefault="00AC74A8" w14:paraId="0C9E5736"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Still in Use</w:t>
      </w:r>
    </w:p>
    <w:p w:rsidRPr="00E33B70" w:rsidR="000647F1" w:rsidP="000647F1" w:rsidRDefault="000647F1" w14:paraId="5D58F3B6" w14:textId="77777777">
      <w:pPr>
        <w:pStyle w:val="BodyText"/>
        <w:numPr>
          <w:ilvl w:val="0"/>
          <w:numId w:val="40"/>
        </w:numPr>
        <w:spacing w:after="0" w:line="240" w:lineRule="auto"/>
        <w:rPr>
          <w:rFonts w:cstheme="minorHAnsi"/>
        </w:rPr>
      </w:pPr>
      <w:bookmarkStart w:name="_Hlk66784079" w:id="13"/>
      <w:r w:rsidRPr="00E33B70">
        <w:rPr>
          <w:rFonts w:cstheme="minorHAnsi"/>
        </w:rPr>
        <w:t>Attachment H: HPOG Logic Model</w:t>
      </w:r>
    </w:p>
    <w:p w:rsidRPr="00AE3275" w:rsidR="00B81BED" w:rsidP="00B81BED" w:rsidRDefault="00B81BED" w14:paraId="0EA51E55" w14:textId="77777777">
      <w:pPr>
        <w:pStyle w:val="BodyText"/>
        <w:numPr>
          <w:ilvl w:val="0"/>
          <w:numId w:val="40"/>
        </w:numPr>
        <w:spacing w:after="0" w:line="240" w:lineRule="auto"/>
        <w:rPr>
          <w:rFonts w:cstheme="minorHAnsi"/>
        </w:rPr>
      </w:pPr>
      <w:r w:rsidRPr="00AE3275">
        <w:rPr>
          <w:rFonts w:cstheme="minorHAnsi"/>
        </w:rPr>
        <w:t>Attachment K-Revised: COVID-19 Cohort Short-term Survey Advance Letter</w:t>
      </w:r>
    </w:p>
    <w:p w:rsidRPr="00AE3275" w:rsidR="00B81BED" w:rsidP="00B81BED" w:rsidRDefault="00B81BED" w14:paraId="6F8957B3" w14:textId="77777777">
      <w:pPr>
        <w:pStyle w:val="BodyText"/>
        <w:numPr>
          <w:ilvl w:val="0"/>
          <w:numId w:val="40"/>
        </w:numPr>
        <w:spacing w:after="0" w:line="240" w:lineRule="auto"/>
        <w:rPr>
          <w:rFonts w:cstheme="minorHAnsi"/>
        </w:rPr>
      </w:pPr>
      <w:r w:rsidRPr="00AE3275">
        <w:rPr>
          <w:rFonts w:cstheme="minorHAnsi"/>
        </w:rPr>
        <w:t>Attachment L-Revised: COVID-19 Short-Term Survey Sources</w:t>
      </w:r>
    </w:p>
    <w:p w:rsidRPr="00AE3275" w:rsidR="00B81BED" w:rsidP="00B81BED" w:rsidRDefault="00B81BED" w14:paraId="02F67068" w14:textId="77777777">
      <w:pPr>
        <w:pStyle w:val="BodyText"/>
        <w:numPr>
          <w:ilvl w:val="0"/>
          <w:numId w:val="40"/>
        </w:numPr>
        <w:spacing w:after="0" w:line="240" w:lineRule="auto"/>
        <w:rPr>
          <w:rFonts w:cstheme="minorHAnsi"/>
        </w:rPr>
      </w:pPr>
      <w:r w:rsidRPr="00AE3275">
        <w:rPr>
          <w:rFonts w:cstheme="minorHAnsi"/>
        </w:rPr>
        <w:t>Attachment M-Revised: COVID-19 Cohort Short-term Survey Trying to Reach You Flyer</w:t>
      </w:r>
    </w:p>
    <w:p w:rsidRPr="00AE3275" w:rsidR="00B81BED" w:rsidP="00B81BED" w:rsidRDefault="00B81BED" w14:paraId="4342FB5B" w14:textId="77777777">
      <w:pPr>
        <w:pStyle w:val="BodyText"/>
        <w:numPr>
          <w:ilvl w:val="0"/>
          <w:numId w:val="40"/>
        </w:numPr>
        <w:spacing w:after="0" w:line="240" w:lineRule="auto"/>
        <w:rPr>
          <w:rFonts w:cstheme="minorHAnsi"/>
        </w:rPr>
      </w:pPr>
      <w:r w:rsidRPr="00AE3275">
        <w:rPr>
          <w:rFonts w:cstheme="minorHAnsi"/>
        </w:rPr>
        <w:t xml:space="preserve">Attachment N-Revised: COVID-19 Cohort Short-Term </w:t>
      </w:r>
      <w:r>
        <w:rPr>
          <w:rFonts w:cstheme="minorHAnsi"/>
        </w:rPr>
        <w:t xml:space="preserve">Survey </w:t>
      </w:r>
      <w:r w:rsidRPr="00AE3275">
        <w:rPr>
          <w:rFonts w:cstheme="minorHAnsi"/>
        </w:rPr>
        <w:t xml:space="preserve">Email Reminder Text </w:t>
      </w:r>
    </w:p>
    <w:p w:rsidRPr="00E33B70" w:rsidR="00B81BED" w:rsidP="00B81BED" w:rsidRDefault="00B81BED" w14:paraId="7BB1A707" w14:textId="7BD37CBC">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AA: HPOG 2.0 Participant Newsletter</w:t>
      </w:r>
    </w:p>
    <w:bookmarkEnd w:id="13"/>
    <w:p w:rsidR="005C49D7" w:rsidP="005C49D7" w:rsidRDefault="005C49D7" w14:paraId="46F59963" w14:textId="77777777">
      <w:pPr>
        <w:spacing w:after="0" w:line="240" w:lineRule="auto"/>
        <w:rPr>
          <w:rFonts w:cstheme="minorHAnsi"/>
          <w:b/>
        </w:rPr>
      </w:pPr>
    </w:p>
    <w:p w:rsidR="005C49D7" w:rsidP="005C49D7" w:rsidRDefault="005C49D7" w14:paraId="1A7CED80" w14:textId="77777777">
      <w:pPr>
        <w:spacing w:after="0" w:line="240" w:lineRule="auto"/>
        <w:rPr>
          <w:rFonts w:cstheme="minorHAnsi"/>
          <w:b/>
        </w:rPr>
      </w:pPr>
      <w:r>
        <w:rPr>
          <w:rFonts w:cstheme="minorHAnsi"/>
          <w:b/>
        </w:rPr>
        <w:t xml:space="preserve">Instruments and </w:t>
      </w:r>
      <w:r w:rsidRPr="00E33B70">
        <w:rPr>
          <w:rFonts w:cstheme="minorHAnsi"/>
          <w:b/>
        </w:rPr>
        <w:t>Attachments</w:t>
      </w:r>
      <w:r>
        <w:rPr>
          <w:rFonts w:cstheme="minorHAnsi"/>
          <w:b/>
        </w:rPr>
        <w:t xml:space="preserve"> – Previously Approved, No Longer in Use</w:t>
      </w:r>
      <w:r w:rsidRPr="00E33B70">
        <w:rPr>
          <w:rFonts w:cstheme="minorHAnsi"/>
          <w:b/>
        </w:rPr>
        <w:t xml:space="preserve"> </w:t>
      </w:r>
    </w:p>
    <w:p w:rsidRPr="00E33B70" w:rsidR="005C49D7" w:rsidP="005C49D7" w:rsidRDefault="005C49D7" w14:paraId="70F1EEB2" w14:textId="0C7C6009">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1C6FD7" w:rsidR="005C49D7" w:rsidP="005C49D7" w:rsidRDefault="005C49D7" w14:paraId="0C5F24E5" w14:textId="77777777">
      <w:pPr>
        <w:pStyle w:val="ListParagraph"/>
        <w:numPr>
          <w:ilvl w:val="0"/>
          <w:numId w:val="40"/>
        </w:numPr>
        <w:spacing w:after="0" w:line="240" w:lineRule="auto"/>
        <w:rPr>
          <w:rFonts w:cstheme="minorHAnsi"/>
          <w:b/>
        </w:rPr>
      </w:pPr>
      <w:r w:rsidRPr="001C6FD7">
        <w:rPr>
          <w:rFonts w:cstheme="minorHAnsi"/>
        </w:rPr>
        <w:t>Instrument 1: PAGES Grantee- and Participant-Level Data Items List</w:t>
      </w:r>
    </w:p>
    <w:p w:rsidRPr="007A031F" w:rsidR="005C49D7" w:rsidP="005C49D7" w:rsidRDefault="005C49D7" w14:paraId="39170CFB" w14:textId="77777777">
      <w:pPr>
        <w:pStyle w:val="ListParagraph"/>
        <w:numPr>
          <w:ilvl w:val="0"/>
          <w:numId w:val="40"/>
        </w:numPr>
        <w:spacing w:after="0" w:line="240" w:lineRule="auto"/>
        <w:rPr>
          <w:rFonts w:cstheme="minorHAnsi"/>
        </w:rPr>
      </w:pPr>
      <w:r w:rsidRPr="007A031F">
        <w:rPr>
          <w:rFonts w:cstheme="minorHAnsi"/>
        </w:rPr>
        <w:t xml:space="preserve">Instrument 2: HPOG 2.0 National Evaluation Screening Interview </w:t>
      </w:r>
    </w:p>
    <w:p w:rsidRPr="007A031F" w:rsidR="005C49D7" w:rsidP="005C49D7" w:rsidRDefault="005C49D7" w14:paraId="4459BDF8" w14:textId="77777777">
      <w:pPr>
        <w:pStyle w:val="ListParagraph"/>
        <w:numPr>
          <w:ilvl w:val="0"/>
          <w:numId w:val="40"/>
        </w:numPr>
        <w:spacing w:after="0" w:line="240" w:lineRule="auto"/>
        <w:rPr>
          <w:rFonts w:cstheme="minorHAnsi"/>
        </w:rPr>
      </w:pPr>
      <w:r w:rsidRPr="007A031F">
        <w:rPr>
          <w:rFonts w:cstheme="minorHAnsi"/>
        </w:rPr>
        <w:t>Instrument 3: HPOG 2.0 National Evaluation first-round telephone interview protocol</w:t>
      </w:r>
    </w:p>
    <w:p w:rsidRPr="007A031F" w:rsidR="005C49D7" w:rsidP="005C49D7" w:rsidRDefault="005C49D7" w14:paraId="41D9A331" w14:textId="77777777">
      <w:pPr>
        <w:pStyle w:val="ListParagraph"/>
        <w:numPr>
          <w:ilvl w:val="0"/>
          <w:numId w:val="40"/>
        </w:numPr>
        <w:spacing w:after="0" w:line="240" w:lineRule="auto"/>
        <w:rPr>
          <w:rFonts w:cstheme="minorHAnsi"/>
        </w:rPr>
      </w:pPr>
      <w:r w:rsidRPr="007A031F">
        <w:rPr>
          <w:rFonts w:cstheme="minorHAnsi"/>
        </w:rPr>
        <w:t>Instrument 4: HPOG 2.0 National Evaluation in-person implementation interviews</w:t>
      </w:r>
    </w:p>
    <w:p w:rsidRPr="007A031F" w:rsidR="005C49D7" w:rsidP="005C49D7" w:rsidRDefault="005C49D7" w14:paraId="55566F4F" w14:textId="77777777">
      <w:pPr>
        <w:pStyle w:val="ListParagraph"/>
        <w:numPr>
          <w:ilvl w:val="1"/>
          <w:numId w:val="40"/>
        </w:numPr>
        <w:spacing w:after="0" w:line="240" w:lineRule="auto"/>
        <w:rPr>
          <w:rFonts w:cstheme="minorHAnsi"/>
        </w:rPr>
      </w:pPr>
      <w:r w:rsidRPr="007A031F">
        <w:rPr>
          <w:rFonts w:cstheme="minorHAnsi"/>
        </w:rPr>
        <w:t>Instrument 4A HPOG 2.0 National Evaluation In-Person Implementation Interview</w:t>
      </w:r>
    </w:p>
    <w:p w:rsidRPr="007A031F" w:rsidR="005C49D7" w:rsidP="005C49D7" w:rsidRDefault="005C49D7" w14:paraId="6FF901BD" w14:textId="77777777">
      <w:pPr>
        <w:pStyle w:val="ListParagraph"/>
        <w:numPr>
          <w:ilvl w:val="1"/>
          <w:numId w:val="40"/>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5C49D7" w:rsidP="005C49D7" w:rsidRDefault="005C49D7" w14:paraId="3EC499E9" w14:textId="77777777">
      <w:pPr>
        <w:pStyle w:val="ListParagraph"/>
        <w:numPr>
          <w:ilvl w:val="1"/>
          <w:numId w:val="40"/>
        </w:numPr>
        <w:spacing w:after="0" w:line="240" w:lineRule="auto"/>
        <w:rPr>
          <w:rFonts w:cstheme="minorHAnsi"/>
        </w:rPr>
      </w:pPr>
      <w:r w:rsidRPr="007A031F">
        <w:rPr>
          <w:rFonts w:cstheme="minorHAnsi"/>
        </w:rPr>
        <w:t>Instrument 4C HPOG 2.0 National Evaluation In-Person Implementation Interviews Career Pathways</w:t>
      </w:r>
    </w:p>
    <w:p w:rsidRPr="007A031F" w:rsidR="005C49D7" w:rsidP="005C49D7" w:rsidRDefault="005C49D7" w14:paraId="17514901" w14:textId="77777777">
      <w:pPr>
        <w:pStyle w:val="ListParagraph"/>
        <w:numPr>
          <w:ilvl w:val="1"/>
          <w:numId w:val="40"/>
        </w:numPr>
        <w:spacing w:after="0" w:line="240" w:lineRule="auto"/>
        <w:rPr>
          <w:rFonts w:cstheme="minorHAnsi"/>
        </w:rPr>
      </w:pPr>
      <w:r w:rsidRPr="007A031F">
        <w:rPr>
          <w:rFonts w:cstheme="minorHAnsi"/>
        </w:rPr>
        <w:t>Instrument 4D HPOG 2.0 National Evaluation In-Person Implementation Interviews Work-Readiness</w:t>
      </w:r>
    </w:p>
    <w:p w:rsidRPr="007A031F" w:rsidR="005C49D7" w:rsidP="005C49D7" w:rsidRDefault="005C49D7" w14:paraId="246A582C" w14:textId="77777777">
      <w:pPr>
        <w:pStyle w:val="ListParagraph"/>
        <w:numPr>
          <w:ilvl w:val="1"/>
          <w:numId w:val="40"/>
        </w:numPr>
        <w:spacing w:after="0" w:line="240" w:lineRule="auto"/>
        <w:rPr>
          <w:rFonts w:cstheme="minorHAnsi"/>
        </w:rPr>
      </w:pPr>
      <w:r w:rsidRPr="007A031F">
        <w:rPr>
          <w:rFonts w:cstheme="minorHAnsi"/>
        </w:rPr>
        <w:t>Instrument 4E HPOG 2.0 National Evaluation In-Person Implementation Interviews Sustainability</w:t>
      </w:r>
    </w:p>
    <w:p w:rsidRPr="007A031F" w:rsidR="005C49D7" w:rsidP="005C49D7" w:rsidRDefault="005C49D7" w14:paraId="1EC55B4A" w14:textId="77777777">
      <w:pPr>
        <w:pStyle w:val="ListParagraph"/>
        <w:numPr>
          <w:ilvl w:val="0"/>
          <w:numId w:val="40"/>
        </w:numPr>
        <w:spacing w:after="0" w:line="240" w:lineRule="auto"/>
        <w:rPr>
          <w:rFonts w:cstheme="minorHAnsi"/>
        </w:rPr>
      </w:pPr>
      <w:r w:rsidRPr="007A031F">
        <w:rPr>
          <w:rFonts w:cstheme="minorHAnsi"/>
        </w:rPr>
        <w:t>Instrument 5: HPOG 2.0 National Evaluation welcome packet and participant contact update forms</w:t>
      </w:r>
    </w:p>
    <w:p w:rsidRPr="007A031F" w:rsidR="005C49D7" w:rsidP="005C49D7" w:rsidRDefault="005C49D7" w14:paraId="144BEE6B" w14:textId="77777777">
      <w:pPr>
        <w:pStyle w:val="ListParagraph"/>
        <w:numPr>
          <w:ilvl w:val="0"/>
          <w:numId w:val="40"/>
        </w:numPr>
        <w:spacing w:after="0" w:line="240" w:lineRule="auto"/>
        <w:rPr>
          <w:rFonts w:cstheme="minorHAnsi"/>
        </w:rPr>
      </w:pPr>
      <w:r w:rsidRPr="007A031F">
        <w:rPr>
          <w:rFonts w:cstheme="minorHAnsi"/>
        </w:rPr>
        <w:t>Instrument 5a: HPOG 2.0 National Evaluation welcome packet and contact update form_REV Instrument 6: HPOG 2.0 Tribal Evaluation grantee and partner administrative staff interviews</w:t>
      </w:r>
    </w:p>
    <w:p w:rsidRPr="007A031F" w:rsidR="005C49D7" w:rsidP="005C49D7" w:rsidRDefault="005C49D7" w14:paraId="40062BC1" w14:textId="77777777">
      <w:pPr>
        <w:pStyle w:val="ListParagraph"/>
        <w:numPr>
          <w:ilvl w:val="0"/>
          <w:numId w:val="40"/>
        </w:numPr>
        <w:spacing w:after="0" w:line="240" w:lineRule="auto"/>
        <w:rPr>
          <w:rFonts w:cstheme="minorHAnsi"/>
        </w:rPr>
      </w:pPr>
      <w:r w:rsidRPr="007A031F">
        <w:rPr>
          <w:rFonts w:cstheme="minorHAnsi"/>
        </w:rPr>
        <w:t>Instrument 7: HPOG 2.0 Tribal Evaluation program implementation staff interviews</w:t>
      </w:r>
    </w:p>
    <w:p w:rsidRPr="007A031F" w:rsidR="005C49D7" w:rsidP="005C49D7" w:rsidRDefault="005C49D7" w14:paraId="47C95D62" w14:textId="77777777">
      <w:pPr>
        <w:pStyle w:val="ListParagraph"/>
        <w:numPr>
          <w:ilvl w:val="0"/>
          <w:numId w:val="40"/>
        </w:numPr>
        <w:spacing w:after="0" w:line="240" w:lineRule="auto"/>
        <w:rPr>
          <w:rFonts w:cstheme="minorHAnsi"/>
        </w:rPr>
      </w:pPr>
      <w:r w:rsidRPr="007A031F">
        <w:rPr>
          <w:rFonts w:cstheme="minorHAnsi"/>
        </w:rPr>
        <w:lastRenderedPageBreak/>
        <w:t>Instrument 8: HPOG 2.0 Tribal Evaluation employer interviews</w:t>
      </w:r>
    </w:p>
    <w:p w:rsidRPr="007A031F" w:rsidR="005C49D7" w:rsidP="005C49D7" w:rsidRDefault="005C49D7" w14:paraId="13106361" w14:textId="77777777">
      <w:pPr>
        <w:pStyle w:val="ListParagraph"/>
        <w:numPr>
          <w:ilvl w:val="0"/>
          <w:numId w:val="40"/>
        </w:numPr>
        <w:spacing w:after="0" w:line="240" w:lineRule="auto"/>
        <w:rPr>
          <w:rFonts w:cstheme="minorHAnsi"/>
        </w:rPr>
      </w:pPr>
      <w:r w:rsidRPr="007A031F">
        <w:rPr>
          <w:rFonts w:cstheme="minorHAnsi"/>
        </w:rPr>
        <w:t>Instrument 9: HPOG 2.0 Tribal Evaluation program participant focus groups</w:t>
      </w:r>
    </w:p>
    <w:p w:rsidRPr="007A031F" w:rsidR="005C49D7" w:rsidP="005C49D7" w:rsidRDefault="005C49D7" w14:paraId="76C12D7E" w14:textId="77777777">
      <w:pPr>
        <w:pStyle w:val="ListParagraph"/>
        <w:numPr>
          <w:ilvl w:val="0"/>
          <w:numId w:val="40"/>
        </w:numPr>
        <w:spacing w:after="0" w:line="240" w:lineRule="auto"/>
        <w:rPr>
          <w:rFonts w:cstheme="minorHAnsi"/>
        </w:rPr>
      </w:pPr>
      <w:r w:rsidRPr="007A031F">
        <w:rPr>
          <w:rFonts w:cstheme="minorHAnsi"/>
        </w:rPr>
        <w:t>Instrument 10: HPOG 2.0 Tribal Evaluation program participant completer interviews</w:t>
      </w:r>
    </w:p>
    <w:p w:rsidRPr="007A031F" w:rsidR="005C49D7" w:rsidP="005C49D7" w:rsidRDefault="005C49D7" w14:paraId="6BFB2FE2" w14:textId="77777777">
      <w:pPr>
        <w:pStyle w:val="ListParagraph"/>
        <w:numPr>
          <w:ilvl w:val="0"/>
          <w:numId w:val="40"/>
        </w:numPr>
        <w:spacing w:after="0" w:line="240" w:lineRule="auto"/>
        <w:rPr>
          <w:rFonts w:cstheme="minorHAnsi"/>
        </w:rPr>
      </w:pPr>
      <w:r w:rsidRPr="007A031F">
        <w:rPr>
          <w:rFonts w:cstheme="minorHAnsi"/>
        </w:rPr>
        <w:t>Instrument 11: HPOG 2.0 Tribal Evaluation program participant non-completer interviews</w:t>
      </w:r>
    </w:p>
    <w:p w:rsidRPr="007A031F" w:rsidR="005C49D7" w:rsidP="005C49D7" w:rsidRDefault="005C49D7" w14:paraId="1E68EDB6" w14:textId="77777777">
      <w:pPr>
        <w:pStyle w:val="ListParagraph"/>
        <w:numPr>
          <w:ilvl w:val="0"/>
          <w:numId w:val="40"/>
        </w:numPr>
        <w:spacing w:after="0" w:line="240" w:lineRule="auto"/>
        <w:rPr>
          <w:rFonts w:cstheme="minorHAnsi"/>
        </w:rPr>
      </w:pPr>
      <w:r w:rsidRPr="007A031F">
        <w:rPr>
          <w:rFonts w:cstheme="minorHAnsi"/>
        </w:rPr>
        <w:t>Instrument 12: HPOG 2.0 National Evaluation Short-term Follow-up Survey</w:t>
      </w:r>
    </w:p>
    <w:p w:rsidRPr="007A031F" w:rsidR="005C49D7" w:rsidP="005C49D7" w:rsidRDefault="005C49D7" w14:paraId="3A74154A" w14:textId="77777777">
      <w:pPr>
        <w:pStyle w:val="ListParagraph"/>
        <w:numPr>
          <w:ilvl w:val="0"/>
          <w:numId w:val="40"/>
        </w:numPr>
        <w:spacing w:after="0" w:line="240" w:lineRule="auto"/>
        <w:rPr>
          <w:rFonts w:cstheme="minorHAnsi"/>
        </w:rPr>
      </w:pPr>
      <w:r w:rsidRPr="007A031F">
        <w:rPr>
          <w:rFonts w:cstheme="minorHAnsi"/>
          <w:iCs/>
        </w:rPr>
        <w:t>Instrument 13: HPOG 2.0 Screening Interview Second Round</w:t>
      </w:r>
    </w:p>
    <w:p w:rsidRPr="007A031F" w:rsidR="005C49D7" w:rsidP="005C49D7" w:rsidRDefault="005C49D7" w14:paraId="12619E3D" w14:textId="77777777">
      <w:pPr>
        <w:pStyle w:val="ListParagraph"/>
        <w:numPr>
          <w:ilvl w:val="0"/>
          <w:numId w:val="40"/>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5C49D7" w:rsidP="005C49D7" w:rsidRDefault="005C49D7" w14:paraId="46004248" w14:textId="77777777">
      <w:pPr>
        <w:pStyle w:val="ListParagraph"/>
        <w:numPr>
          <w:ilvl w:val="0"/>
          <w:numId w:val="40"/>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5C49D7" w:rsidP="005C49D7" w:rsidRDefault="005C49D7" w14:paraId="12FB9FDF" w14:textId="77777777">
      <w:pPr>
        <w:pStyle w:val="ListParagraph"/>
        <w:numPr>
          <w:ilvl w:val="0"/>
          <w:numId w:val="40"/>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5C49D7" w:rsidP="005C49D7" w:rsidRDefault="005C49D7" w14:paraId="5A30EE13" w14:textId="77777777">
      <w:pPr>
        <w:pStyle w:val="ListParagraph"/>
        <w:numPr>
          <w:ilvl w:val="0"/>
          <w:numId w:val="40"/>
        </w:numPr>
        <w:spacing w:after="0" w:line="240" w:lineRule="auto"/>
        <w:rPr>
          <w:rFonts w:cstheme="minorHAnsi"/>
        </w:rPr>
      </w:pPr>
      <w:r w:rsidRPr="007A031F">
        <w:rPr>
          <w:rFonts w:cstheme="minorHAnsi"/>
          <w:iCs/>
        </w:rPr>
        <w:t>Instrument 17: HPOG 2.0 Participant In-depth Interview Guide</w:t>
      </w:r>
    </w:p>
    <w:p w:rsidRPr="007A031F" w:rsidR="005C49D7" w:rsidP="005C49D7" w:rsidRDefault="005C49D7" w14:paraId="222A345B" w14:textId="77777777">
      <w:pPr>
        <w:pStyle w:val="ListParagraph"/>
        <w:numPr>
          <w:ilvl w:val="0"/>
          <w:numId w:val="40"/>
        </w:numPr>
        <w:spacing w:after="0" w:line="240" w:lineRule="auto"/>
        <w:rPr>
          <w:rFonts w:cstheme="minorHAnsi"/>
        </w:rPr>
      </w:pPr>
      <w:r w:rsidRPr="007A031F">
        <w:rPr>
          <w:rFonts w:cstheme="minorHAnsi"/>
          <w:iCs/>
        </w:rPr>
        <w:t>Instrument 18: HPOG 2.0 Intermediate Follow-up Survey</w:t>
      </w:r>
      <w:r w:rsidRPr="007A031F">
        <w:rPr>
          <w:rFonts w:cstheme="minorHAnsi"/>
        </w:rPr>
        <w:t>_ REV_June2020</w:t>
      </w:r>
      <w:r w:rsidRPr="007A031F" w:rsidDel="002238BE">
        <w:rPr>
          <w:rFonts w:cstheme="minorHAnsi"/>
        </w:rPr>
        <w:t xml:space="preserve"> </w:t>
      </w:r>
    </w:p>
    <w:p w:rsidRPr="007A031F" w:rsidR="005C49D7" w:rsidP="005C49D7" w:rsidRDefault="005C49D7" w14:paraId="48275EA6" w14:textId="77777777">
      <w:pPr>
        <w:pStyle w:val="ListParagraph"/>
        <w:numPr>
          <w:ilvl w:val="1"/>
          <w:numId w:val="40"/>
        </w:numPr>
        <w:spacing w:after="0" w:line="240" w:lineRule="auto"/>
        <w:rPr>
          <w:rFonts w:cstheme="minorHAnsi"/>
        </w:rPr>
      </w:pPr>
      <w:r w:rsidRPr="007A031F">
        <w:rPr>
          <w:rFonts w:cstheme="minorHAnsi"/>
        </w:rPr>
        <w:t>Instrument 18a: HPOG 2.0 Intermediate Follow-up Survey_Critical Items Only</w:t>
      </w:r>
      <w:r w:rsidRPr="007A031F">
        <w:rPr>
          <w:rFonts w:cstheme="minorHAnsi"/>
          <w:iCs/>
        </w:rPr>
        <w:t xml:space="preserve"> </w:t>
      </w:r>
    </w:p>
    <w:p w:rsidRPr="007A031F" w:rsidR="005C49D7" w:rsidP="005C49D7" w:rsidRDefault="005C49D7" w14:paraId="2966ED1C" w14:textId="77777777">
      <w:pPr>
        <w:pStyle w:val="ListParagraph"/>
        <w:numPr>
          <w:ilvl w:val="0"/>
          <w:numId w:val="40"/>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5C49D7" w:rsidP="005C49D7" w:rsidRDefault="005C49D7" w14:paraId="6CA306BD" w14:textId="77777777">
      <w:pPr>
        <w:pStyle w:val="ListParagraph"/>
        <w:numPr>
          <w:ilvl w:val="0"/>
          <w:numId w:val="40"/>
        </w:numPr>
        <w:spacing w:after="0" w:line="240" w:lineRule="auto"/>
        <w:rPr>
          <w:rFonts w:cstheme="minorHAnsi"/>
        </w:rPr>
      </w:pPr>
      <w:r w:rsidRPr="007A031F">
        <w:rPr>
          <w:rFonts w:cstheme="minorHAnsi"/>
          <w:iCs/>
        </w:rPr>
        <w:t>Instrument 20: HPOG 2.0 Program Cost Survey</w:t>
      </w:r>
    </w:p>
    <w:p w:rsidRPr="00E33B70" w:rsidR="00AC74A8" w:rsidP="00AC74A8" w:rsidRDefault="00AC74A8" w14:paraId="07A7AF4D"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No Longer in Use</w:t>
      </w:r>
    </w:p>
    <w:p w:rsidRPr="00E33B70" w:rsidR="00F17896" w:rsidP="00F17896" w:rsidRDefault="00F17896" w14:paraId="211E808F"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A: References</w:t>
      </w:r>
    </w:p>
    <w:p w:rsidRPr="00E33B70" w:rsidR="00AC74A8" w:rsidP="00AC74A8" w:rsidRDefault="00AC74A8" w14:paraId="46FCE0D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AC74A8" w:rsidP="00AC74A8" w:rsidRDefault="00AC74A8" w14:paraId="6E4B2120"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A (Lottery Required)</w:t>
      </w:r>
    </w:p>
    <w:p w:rsidRPr="00E33B70" w:rsidR="00AC74A8" w:rsidP="00AC74A8" w:rsidRDefault="00AC74A8" w14:paraId="5342B439" w14:textId="77777777">
      <w:pPr>
        <w:pStyle w:val="BodyText"/>
        <w:numPr>
          <w:ilvl w:val="1"/>
          <w:numId w:val="40"/>
        </w:numPr>
        <w:spacing w:after="0" w:line="240" w:lineRule="auto"/>
        <w:rPr>
          <w:rFonts w:cstheme="minorHAnsi"/>
        </w:rPr>
      </w:pPr>
      <w:r w:rsidRPr="00E33B70">
        <w:rPr>
          <w:rFonts w:cstheme="minorHAnsi"/>
        </w:rPr>
        <w:t xml:space="preserve">Attachment B: National Evaluation informed consent form B (Lottery Not Required) </w:t>
      </w:r>
    </w:p>
    <w:p w:rsidRPr="00E33B70" w:rsidR="00AC74A8" w:rsidP="00AC74A8" w:rsidRDefault="00AC74A8" w14:paraId="4108C241" w14:textId="5C052A0C">
      <w:pPr>
        <w:pStyle w:val="BodyText"/>
        <w:numPr>
          <w:ilvl w:val="1"/>
          <w:numId w:val="40"/>
        </w:numPr>
        <w:spacing w:after="0" w:line="240" w:lineRule="auto"/>
        <w:rPr>
          <w:rFonts w:cstheme="minorHAnsi"/>
        </w:rPr>
      </w:pPr>
      <w:r w:rsidRPr="00E33B70">
        <w:rPr>
          <w:rFonts w:cstheme="minorHAnsi"/>
        </w:rPr>
        <w:t xml:space="preserve">Attachment B: National Evaluation Informed Consent </w:t>
      </w:r>
      <w:r w:rsidRPr="00E33B70" w:rsidR="00511611">
        <w:rPr>
          <w:rFonts w:cstheme="minorHAnsi"/>
        </w:rPr>
        <w:t>Form</w:t>
      </w:r>
      <w:r w:rsidRPr="00E33B70">
        <w:rPr>
          <w:rFonts w:cstheme="minorHAnsi"/>
        </w:rPr>
        <w:t xml:space="preserve"> C (Lottery Required) _</w:t>
      </w:r>
      <w:r>
        <w:rPr>
          <w:rFonts w:cstheme="minorHAnsi"/>
        </w:rPr>
        <w:t>V</w:t>
      </w:r>
      <w:r w:rsidRPr="00E33B70">
        <w:rPr>
          <w:rFonts w:cstheme="minorHAnsi"/>
        </w:rPr>
        <w:t>erbal</w:t>
      </w:r>
    </w:p>
    <w:p w:rsidRPr="00E33B70" w:rsidR="00AC74A8" w:rsidP="00AC74A8" w:rsidRDefault="00AC74A8" w14:paraId="0810FF66"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D (Lottery Not Required) _Verbal</w:t>
      </w:r>
    </w:p>
    <w:p w:rsidRPr="00E33B70" w:rsidR="002B4247" w:rsidP="002B4247" w:rsidRDefault="002B4247" w14:paraId="14EC0A10" w14:textId="7EF8B32B">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Informed Consent Forms, Updated Time Period</w:t>
      </w:r>
    </w:p>
    <w:p w:rsidRPr="00E33B70" w:rsidR="002B4247" w:rsidP="002B4247" w:rsidRDefault="002B4247" w14:paraId="3E4ACD32"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A (Lottery Required) _REV</w:t>
      </w:r>
    </w:p>
    <w:p w:rsidRPr="00E33B70" w:rsidR="002B4247" w:rsidP="002B4247" w:rsidRDefault="002B4247" w14:paraId="56AED8A5"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C (Lottery Required) _Verbal_REV</w:t>
      </w:r>
      <w:r w:rsidRPr="00E33B70" w:rsidDel="00AA196B">
        <w:rPr>
          <w:rFonts w:cstheme="minorHAnsi"/>
        </w:rPr>
        <w:t xml:space="preserve"> </w:t>
      </w:r>
    </w:p>
    <w:p w:rsidRPr="00E33B70" w:rsidR="002B4247" w:rsidDel="0081630E" w:rsidP="002B4247" w:rsidRDefault="002B4247" w14:paraId="0CBA17D9"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A (SSNs)</w:t>
      </w:r>
    </w:p>
    <w:p w:rsidRPr="00E33B70" w:rsidR="002B4247" w:rsidDel="0081630E" w:rsidP="002B4247" w:rsidRDefault="002B4247" w14:paraId="5A319481" w14:textId="77777777">
      <w:pPr>
        <w:pStyle w:val="BodyText"/>
        <w:numPr>
          <w:ilvl w:val="1"/>
          <w:numId w:val="40"/>
        </w:numPr>
        <w:spacing w:after="0" w:line="240" w:lineRule="auto"/>
        <w:rPr>
          <w:rFonts w:cstheme="minorHAnsi"/>
        </w:rPr>
      </w:pPr>
      <w:r w:rsidRPr="00E33B70" w:rsidDel="0081630E">
        <w:rPr>
          <w:rFonts w:cstheme="minorHAnsi"/>
        </w:rPr>
        <w:t xml:space="preserve">Attachment B3: Tribal Evaluation informed consent form B (Unique identifiers) </w:t>
      </w:r>
    </w:p>
    <w:p w:rsidRPr="00E33B70" w:rsidR="002B4247" w:rsidDel="0081630E" w:rsidP="002B4247" w:rsidRDefault="002B4247" w14:paraId="3B1B0D4D"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C (SSNs)_Verbal</w:t>
      </w:r>
    </w:p>
    <w:p w:rsidR="002B4247" w:rsidP="002B4247" w:rsidRDefault="002B4247" w14:paraId="17DA2728" w14:textId="77777777">
      <w:pPr>
        <w:pStyle w:val="BodyText"/>
        <w:numPr>
          <w:ilvl w:val="1"/>
          <w:numId w:val="40"/>
        </w:numPr>
        <w:spacing w:after="0" w:line="240" w:lineRule="auto"/>
        <w:rPr>
          <w:rFonts w:cstheme="minorHAnsi"/>
        </w:rPr>
      </w:pPr>
      <w:r w:rsidRPr="00E33B70" w:rsidDel="0081630E">
        <w:rPr>
          <w:rFonts w:cstheme="minorHAnsi"/>
        </w:rPr>
        <w:t>Attachment B3: Tribal Evaluation Informed Consent Form D (Unique identifiers) _Verbal</w:t>
      </w:r>
    </w:p>
    <w:p w:rsidRPr="00E33B70" w:rsidR="00AC74A8" w:rsidP="00AC74A8" w:rsidRDefault="00AC74A8" w14:paraId="0F229FF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AC74A8" w:rsidP="00AC74A8" w:rsidRDefault="00AC74A8" w14:paraId="3E60354D"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AC74A8" w:rsidP="00AC74A8" w:rsidRDefault="00AC74A8" w14:paraId="0BE9B201" w14:textId="77777777">
      <w:pPr>
        <w:pStyle w:val="BodyText"/>
        <w:numPr>
          <w:ilvl w:val="0"/>
          <w:numId w:val="40"/>
        </w:numPr>
        <w:spacing w:after="0" w:line="240" w:lineRule="auto"/>
        <w:contextualSpacing/>
        <w:rPr>
          <w:rFonts w:cstheme="minorHAnsi"/>
        </w:rPr>
      </w:pPr>
      <w:r w:rsidRPr="00E33B70">
        <w:rPr>
          <w:rFonts w:cstheme="minorHAnsi"/>
        </w:rPr>
        <w:t>Attachment E: Previously Approved Final Updated Attachment E PPR Data List and Mockup</w:t>
      </w:r>
    </w:p>
    <w:p w:rsidRPr="00E33B70" w:rsidR="00AC74A8" w:rsidP="00AC74A8" w:rsidRDefault="00AC74A8" w14:paraId="1F5E7A7A"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AC74A8" w:rsidP="00AC74A8" w:rsidRDefault="00AC74A8" w14:paraId="068D50F2" w14:textId="77777777">
      <w:pPr>
        <w:pStyle w:val="BodyText"/>
        <w:numPr>
          <w:ilvl w:val="0"/>
          <w:numId w:val="40"/>
        </w:numPr>
        <w:spacing w:after="0" w:line="240" w:lineRule="auto"/>
        <w:contextualSpacing/>
        <w:rPr>
          <w:rFonts w:cstheme="minorHAnsi"/>
        </w:rPr>
      </w:pPr>
      <w:r w:rsidRPr="00E33B70">
        <w:rPr>
          <w:rFonts w:cstheme="minorHAnsi"/>
        </w:rPr>
        <w:t>Attachment G: Previously Approved Participant Contact Information Update Letter and Form (Obsolete, replaced by Instrument 5a and 5b)</w:t>
      </w:r>
    </w:p>
    <w:p w:rsidRPr="00E33B70" w:rsidR="00AC74A8" w:rsidP="00AC74A8" w:rsidRDefault="00AC74A8" w14:paraId="6BF79D74" w14:textId="77777777">
      <w:pPr>
        <w:pStyle w:val="BodyText"/>
        <w:numPr>
          <w:ilvl w:val="0"/>
          <w:numId w:val="40"/>
        </w:numPr>
        <w:spacing w:after="0" w:line="240" w:lineRule="auto"/>
        <w:rPr>
          <w:rFonts w:cstheme="minorHAnsi"/>
        </w:rPr>
      </w:pPr>
      <w:r w:rsidRPr="00E33B70">
        <w:rPr>
          <w:rFonts w:cstheme="minorHAnsi"/>
        </w:rPr>
        <w:t>Attachment I: Previously Approved Focus Group Participant Consent Form</w:t>
      </w:r>
    </w:p>
    <w:p w:rsidRPr="00E33B70" w:rsidR="00AC74A8" w:rsidP="00AC74A8" w:rsidRDefault="00AC74A8" w14:paraId="1560492E" w14:textId="77777777">
      <w:pPr>
        <w:pStyle w:val="BodyText"/>
        <w:numPr>
          <w:ilvl w:val="0"/>
          <w:numId w:val="40"/>
        </w:numPr>
        <w:spacing w:after="0" w:line="240" w:lineRule="auto"/>
        <w:rPr>
          <w:rFonts w:cstheme="minorHAnsi"/>
        </w:rPr>
      </w:pPr>
      <w:r w:rsidRPr="00E33B70">
        <w:rPr>
          <w:rFonts w:cstheme="minorHAnsi"/>
        </w:rPr>
        <w:t>Attachment I: New Focus Group Participant Consent Form_Remote</w:t>
      </w:r>
    </w:p>
    <w:p w:rsidRPr="00E33B70" w:rsidR="00AC74A8" w:rsidP="00AC74A8" w:rsidRDefault="00AC74A8" w14:paraId="29E41BB1" w14:textId="77777777">
      <w:pPr>
        <w:pStyle w:val="BodyText"/>
        <w:numPr>
          <w:ilvl w:val="0"/>
          <w:numId w:val="40"/>
        </w:numPr>
        <w:spacing w:after="0" w:line="240" w:lineRule="auto"/>
        <w:rPr>
          <w:rFonts w:cstheme="minorHAnsi"/>
        </w:rPr>
      </w:pPr>
      <w:r w:rsidRPr="00E33B70">
        <w:rPr>
          <w:rFonts w:cstheme="minorHAnsi"/>
        </w:rPr>
        <w:t>Attachment J: Previously Approved Interview Verbal Informed Consent Form</w:t>
      </w:r>
    </w:p>
    <w:p w:rsidRPr="00E33B70" w:rsidR="00AC74A8" w:rsidP="00AC74A8" w:rsidRDefault="00AC74A8" w14:paraId="2F070EB2" w14:textId="77777777">
      <w:pPr>
        <w:pStyle w:val="BodyText"/>
        <w:numPr>
          <w:ilvl w:val="0"/>
          <w:numId w:val="40"/>
        </w:numPr>
        <w:spacing w:after="0" w:line="240" w:lineRule="auto"/>
        <w:rPr>
          <w:rFonts w:cstheme="minorHAnsi"/>
        </w:rPr>
      </w:pPr>
      <w:r w:rsidRPr="00E33B70">
        <w:rPr>
          <w:rFonts w:cstheme="minorHAnsi"/>
        </w:rPr>
        <w:t>Attachment J: New Interview Verbal Informed Consent Form_Remote</w:t>
      </w:r>
    </w:p>
    <w:p w:rsidRPr="00E33B70" w:rsidR="00AC74A8" w:rsidP="00AC74A8" w:rsidRDefault="00AC74A8" w14:paraId="3CCBA1C0" w14:textId="77777777">
      <w:pPr>
        <w:pStyle w:val="BodyText"/>
        <w:numPr>
          <w:ilvl w:val="0"/>
          <w:numId w:val="40"/>
        </w:numPr>
        <w:spacing w:after="0" w:line="240" w:lineRule="auto"/>
        <w:rPr>
          <w:rFonts w:cstheme="minorHAnsi"/>
        </w:rPr>
      </w:pPr>
      <w:r w:rsidRPr="00E33B70">
        <w:rPr>
          <w:rFonts w:cstheme="minorHAnsi"/>
        </w:rPr>
        <w:t>Attachment K: HPOG 2.0 National Evaluation Short-term Follow-up Survey Advance Letter</w:t>
      </w:r>
    </w:p>
    <w:p w:rsidRPr="00E33B70" w:rsidR="00AC74A8" w:rsidP="00AC74A8" w:rsidRDefault="00AC74A8" w14:paraId="6B09097B" w14:textId="77777777">
      <w:pPr>
        <w:pStyle w:val="BodyText"/>
        <w:numPr>
          <w:ilvl w:val="0"/>
          <w:numId w:val="40"/>
        </w:numPr>
        <w:spacing w:after="0" w:line="240" w:lineRule="auto"/>
        <w:rPr>
          <w:rFonts w:cstheme="minorHAnsi"/>
        </w:rPr>
      </w:pPr>
      <w:r w:rsidRPr="00E33B70">
        <w:rPr>
          <w:rFonts w:cstheme="minorHAnsi"/>
        </w:rPr>
        <w:t>Attachment L: HPOG 2.0 National Evaluation Short-term Follow-up Survey Sources</w:t>
      </w:r>
    </w:p>
    <w:p w:rsidRPr="00E33B70" w:rsidR="00AC74A8" w:rsidP="00AC74A8" w:rsidRDefault="00AC74A8" w14:paraId="54BD9F81" w14:textId="77777777">
      <w:pPr>
        <w:pStyle w:val="BodyText"/>
        <w:numPr>
          <w:ilvl w:val="0"/>
          <w:numId w:val="40"/>
        </w:numPr>
        <w:spacing w:after="0" w:line="240" w:lineRule="auto"/>
        <w:rPr>
          <w:rFonts w:cstheme="minorHAnsi"/>
        </w:rPr>
      </w:pPr>
      <w:r w:rsidRPr="00E33B70">
        <w:rPr>
          <w:rFonts w:cstheme="minorHAnsi"/>
        </w:rPr>
        <w:t>Attachment M:</w:t>
      </w:r>
      <w:r w:rsidRPr="00E33B70">
        <w:rPr>
          <w:rFonts w:cstheme="minorHAnsi"/>
        </w:rPr>
        <w:tab/>
        <w:t>HPOG 2.0 National Evaluation Short-term Follow-up Survey Trying to Reach You Flyer</w:t>
      </w:r>
    </w:p>
    <w:p w:rsidRPr="00E33B70" w:rsidR="00AC74A8" w:rsidP="00AC74A8" w:rsidRDefault="00AC74A8" w14:paraId="099D0064" w14:textId="77777777">
      <w:pPr>
        <w:pStyle w:val="BodyText"/>
        <w:numPr>
          <w:ilvl w:val="0"/>
          <w:numId w:val="40"/>
        </w:numPr>
        <w:spacing w:after="0" w:line="240" w:lineRule="auto"/>
        <w:rPr>
          <w:rFonts w:cstheme="minorHAnsi"/>
        </w:rPr>
      </w:pPr>
      <w:r w:rsidRPr="00E33B70">
        <w:rPr>
          <w:rFonts w:cstheme="minorHAnsi"/>
        </w:rPr>
        <w:t>Attachment N:</w:t>
      </w:r>
      <w:r w:rsidRPr="00E33B70">
        <w:rPr>
          <w:rFonts w:cstheme="minorHAnsi"/>
        </w:rPr>
        <w:tab/>
        <w:t xml:space="preserve">HPOG 2.0 National Evaluation Short-term Follow-up Survey Email Reminder </w:t>
      </w:r>
    </w:p>
    <w:p w:rsidRPr="00E33B70" w:rsidR="00AC74A8" w:rsidP="00AC74A8" w:rsidRDefault="00AC74A8" w14:paraId="6724BEB6" w14:textId="77777777">
      <w:pPr>
        <w:pStyle w:val="BodyText"/>
        <w:numPr>
          <w:ilvl w:val="0"/>
          <w:numId w:val="40"/>
        </w:numPr>
        <w:spacing w:after="0" w:line="240" w:lineRule="auto"/>
        <w:rPr>
          <w:rFonts w:cstheme="minorHAnsi"/>
        </w:rPr>
      </w:pPr>
      <w:r w:rsidRPr="00E33B70">
        <w:rPr>
          <w:rFonts w:cstheme="minorHAnsi"/>
        </w:rPr>
        <w:lastRenderedPageBreak/>
        <w:t>Attachment O:</w:t>
      </w:r>
      <w:r w:rsidRPr="00E33B70">
        <w:rPr>
          <w:rFonts w:cstheme="minorHAnsi"/>
        </w:rPr>
        <w:tab/>
        <w:t xml:space="preserve">Research Questions for Previously Approved Data Collection Efforts (National Evaluation and Tribal Evaluation) </w:t>
      </w:r>
    </w:p>
    <w:p w:rsidRPr="00E33B70" w:rsidR="00AC74A8" w:rsidP="00AC74A8" w:rsidRDefault="00AC74A8" w14:paraId="07B549C7" w14:textId="77777777">
      <w:pPr>
        <w:pStyle w:val="BodyText"/>
        <w:numPr>
          <w:ilvl w:val="0"/>
          <w:numId w:val="40"/>
        </w:numPr>
        <w:spacing w:after="0" w:line="240" w:lineRule="auto"/>
        <w:rPr>
          <w:rFonts w:cstheme="minorHAnsi"/>
        </w:rPr>
      </w:pPr>
      <w:r w:rsidRPr="00E33B70">
        <w:rPr>
          <w:rFonts w:cstheme="minorHAnsi"/>
        </w:rPr>
        <w:t>Attachment P: HPOG 2.0 National Evaluation Intermediate Follow-up Survey Advance Letter</w:t>
      </w:r>
    </w:p>
    <w:p w:rsidRPr="00190894" w:rsidR="00B81BED" w:rsidP="00B81BED" w:rsidRDefault="00B81BED" w14:paraId="3202E1D9" w14:textId="77777777">
      <w:pPr>
        <w:pStyle w:val="BodyText"/>
        <w:numPr>
          <w:ilvl w:val="0"/>
          <w:numId w:val="40"/>
        </w:numPr>
        <w:spacing w:after="0" w:line="240" w:lineRule="auto"/>
        <w:rPr>
          <w:rFonts w:cstheme="minorHAnsi"/>
        </w:rPr>
      </w:pPr>
      <w:r w:rsidRPr="00190894">
        <w:rPr>
          <w:rFonts w:cstheme="minorHAnsi"/>
        </w:rPr>
        <w:t>Attachment P: HPOG 2.0 National Evaluation Intermediate Follow-up Survey Advance Letter_REV</w:t>
      </w:r>
    </w:p>
    <w:p w:rsidRPr="00E33B70" w:rsidR="00B81BED" w:rsidP="00B81BED" w:rsidRDefault="00B81BED" w14:paraId="0F42D049" w14:textId="77777777">
      <w:pPr>
        <w:pStyle w:val="BodyText"/>
        <w:numPr>
          <w:ilvl w:val="0"/>
          <w:numId w:val="40"/>
        </w:numPr>
        <w:spacing w:after="0" w:line="240" w:lineRule="auto"/>
        <w:rPr>
          <w:rFonts w:cstheme="minorHAnsi"/>
        </w:rPr>
      </w:pPr>
      <w:r w:rsidRPr="00E33B70">
        <w:rPr>
          <w:rFonts w:cstheme="minorHAnsi"/>
        </w:rPr>
        <w:t>Attachment Q: HPOG 2.0 National Evaluation Intermediate Follow-up Survey Sources</w:t>
      </w:r>
    </w:p>
    <w:p w:rsidRPr="00E33B70" w:rsidR="00B81BED" w:rsidP="00B81BED" w:rsidRDefault="00B81BED" w14:paraId="3F1F9A91" w14:textId="77777777">
      <w:pPr>
        <w:pStyle w:val="BodyText"/>
        <w:numPr>
          <w:ilvl w:val="0"/>
          <w:numId w:val="40"/>
        </w:numPr>
        <w:spacing w:after="0" w:line="240" w:lineRule="auto"/>
        <w:rPr>
          <w:rFonts w:cstheme="minorHAnsi"/>
        </w:rPr>
      </w:pPr>
      <w:r w:rsidRPr="00E33B70">
        <w:rPr>
          <w:rFonts w:cstheme="minorHAnsi"/>
        </w:rPr>
        <w:t>Attachment Q: Intermediated Follow-up Survey Sources_REV</w:t>
      </w:r>
    </w:p>
    <w:p w:rsidRPr="00E33B70" w:rsidR="00B81BED" w:rsidP="00B81BED" w:rsidRDefault="00B81BED" w14:paraId="1972F6EF" w14:textId="77777777">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p>
    <w:p w:rsidRPr="00E33B70" w:rsidR="00B81BED" w:rsidP="00B81BED" w:rsidRDefault="00B81BED" w14:paraId="78F2B2CB" w14:textId="6FD5D0CB">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r w:rsidRPr="00E33B70" w:rsidR="00613716">
        <w:rPr>
          <w:rFonts w:cstheme="minorHAnsi"/>
        </w:rPr>
        <w:t>_REV</w:t>
      </w:r>
    </w:p>
    <w:p w:rsidR="00AC74A8" w:rsidP="00AC74A8" w:rsidRDefault="00AC74A8" w14:paraId="6FCB224E" w14:textId="77777777">
      <w:pPr>
        <w:pStyle w:val="BodyText"/>
        <w:numPr>
          <w:ilvl w:val="0"/>
          <w:numId w:val="40"/>
        </w:numPr>
        <w:spacing w:after="0" w:line="240" w:lineRule="auto"/>
        <w:rPr>
          <w:rFonts w:cstheme="minorHAnsi"/>
        </w:rPr>
      </w:pPr>
      <w:r w:rsidRPr="00E33B70">
        <w:rPr>
          <w:rFonts w:cstheme="minorHAnsi"/>
        </w:rPr>
        <w:t>Attachment S:</w:t>
      </w:r>
      <w:r w:rsidRPr="00E33B70">
        <w:rPr>
          <w:rFonts w:cstheme="minorHAnsi"/>
        </w:rPr>
        <w:tab/>
        <w:t>HPOG 2.0 National Evaluation Intermediate Follow-up Survey Email Reminder</w:t>
      </w:r>
    </w:p>
    <w:p w:rsidRPr="00190894" w:rsidR="00B81BED" w:rsidP="00B81BED" w:rsidRDefault="00B81BED" w14:paraId="6AB15EEF" w14:textId="77777777">
      <w:pPr>
        <w:pStyle w:val="BodyText"/>
        <w:numPr>
          <w:ilvl w:val="0"/>
          <w:numId w:val="40"/>
        </w:numPr>
        <w:spacing w:after="0" w:line="240" w:lineRule="auto"/>
        <w:rPr>
          <w:rFonts w:cstheme="minorHAnsi"/>
        </w:rPr>
      </w:pPr>
      <w:r w:rsidRPr="00190894">
        <w:rPr>
          <w:rFonts w:cstheme="minorHAnsi"/>
        </w:rPr>
        <w:t>Attachment S: HPOG 2.0 National Evaluation Intermediate Follow-up Survey Email Reminder_REV</w:t>
      </w:r>
    </w:p>
    <w:p w:rsidRPr="00E33B70" w:rsidR="00AC74A8" w:rsidP="00AC74A8" w:rsidRDefault="00AC74A8" w14:paraId="5EF00119" w14:textId="77777777">
      <w:pPr>
        <w:pStyle w:val="BodyText"/>
        <w:numPr>
          <w:ilvl w:val="0"/>
          <w:numId w:val="40"/>
        </w:numPr>
        <w:spacing w:after="0" w:line="240" w:lineRule="auto"/>
        <w:rPr>
          <w:rFonts w:cstheme="minorHAnsi"/>
        </w:rPr>
      </w:pPr>
      <w:bookmarkStart w:name="_Hlk93999505" w:id="14"/>
      <w:r w:rsidRPr="00E33B70">
        <w:rPr>
          <w:rFonts w:cstheme="minorHAnsi"/>
        </w:rPr>
        <w:t>Attachment T:</w:t>
      </w:r>
      <w:r w:rsidRPr="00E33B70">
        <w:rPr>
          <w:rFonts w:cstheme="minorHAnsi"/>
        </w:rPr>
        <w:tab/>
        <w:t>HPOG 2.0 National Evaluation phone-based Skills Assessment Pilot flyer</w:t>
      </w:r>
    </w:p>
    <w:p w:rsidRPr="00E33B70" w:rsidR="00AC74A8" w:rsidP="00AC74A8" w:rsidRDefault="00AC74A8" w14:paraId="3866F22D" w14:textId="77777777">
      <w:pPr>
        <w:pStyle w:val="BodyText"/>
        <w:numPr>
          <w:ilvl w:val="0"/>
          <w:numId w:val="40"/>
        </w:numPr>
        <w:spacing w:after="0" w:line="240" w:lineRule="auto"/>
        <w:rPr>
          <w:rFonts w:cstheme="minorHAnsi"/>
        </w:rPr>
      </w:pPr>
      <w:r w:rsidRPr="00E33B70">
        <w:rPr>
          <w:rFonts w:cstheme="minorHAnsi"/>
        </w:rPr>
        <w:t>Attachment U:</w:t>
      </w:r>
      <w:r w:rsidRPr="00E33B70">
        <w:rPr>
          <w:rFonts w:cstheme="minorHAnsi"/>
        </w:rPr>
        <w:tab/>
        <w:t>HPOG 2.0 National Evaluation phone-based Skills Assessment Pilot grantee letter</w:t>
      </w:r>
    </w:p>
    <w:p w:rsidRPr="00E33B70" w:rsidR="00AC74A8" w:rsidP="00AC74A8" w:rsidRDefault="00AC74A8" w14:paraId="606576DF" w14:textId="77777777">
      <w:pPr>
        <w:pStyle w:val="BodyText"/>
        <w:numPr>
          <w:ilvl w:val="0"/>
          <w:numId w:val="40"/>
        </w:numPr>
        <w:spacing w:after="0" w:line="240" w:lineRule="auto"/>
        <w:rPr>
          <w:rFonts w:cstheme="minorHAnsi"/>
        </w:rPr>
      </w:pPr>
      <w:r w:rsidRPr="00E33B70">
        <w:rPr>
          <w:rFonts w:cstheme="minorHAnsi"/>
        </w:rPr>
        <w:t>Attachment V:</w:t>
      </w:r>
      <w:r w:rsidRPr="00E33B70">
        <w:rPr>
          <w:rFonts w:cstheme="minorHAnsi"/>
        </w:rPr>
        <w:tab/>
        <w:t>HPOG 2.0 National Evaluation phone-based Skills Assessment Pilot participant letter</w:t>
      </w:r>
    </w:p>
    <w:p w:rsidRPr="00E33B70" w:rsidR="00AC74A8" w:rsidP="00AC74A8" w:rsidRDefault="00AC74A8" w14:paraId="2F8E30A4" w14:textId="77777777">
      <w:pPr>
        <w:pStyle w:val="BodyText"/>
        <w:numPr>
          <w:ilvl w:val="0"/>
          <w:numId w:val="40"/>
        </w:numPr>
        <w:spacing w:after="0" w:line="240" w:lineRule="auto"/>
        <w:rPr>
          <w:rFonts w:cstheme="minorHAnsi"/>
        </w:rPr>
      </w:pPr>
      <w:r w:rsidRPr="00E33B70">
        <w:rPr>
          <w:rFonts w:cstheme="minorHAnsi"/>
        </w:rPr>
        <w:t>Attachment W:</w:t>
      </w:r>
      <w:r w:rsidRPr="00E33B70">
        <w:rPr>
          <w:rFonts w:cstheme="minorHAnsi"/>
        </w:rPr>
        <w:tab/>
        <w:t>HPOG 2.0 National Evaluation phone-based Skills Assessment Pilot recruitment script</w:t>
      </w:r>
    </w:p>
    <w:p w:rsidRPr="00E33B70" w:rsidR="00AC74A8" w:rsidP="00AC74A8" w:rsidRDefault="00AC74A8" w14:paraId="7CECBF11" w14:textId="77777777">
      <w:pPr>
        <w:pStyle w:val="BodyText"/>
        <w:numPr>
          <w:ilvl w:val="0"/>
          <w:numId w:val="40"/>
        </w:numPr>
        <w:spacing w:after="0" w:line="240" w:lineRule="auto"/>
        <w:rPr>
          <w:rFonts w:cstheme="minorHAnsi"/>
        </w:rPr>
      </w:pPr>
      <w:r w:rsidRPr="00E33B70">
        <w:rPr>
          <w:rFonts w:cstheme="minorHAnsi"/>
        </w:rPr>
        <w:t>Attachment X:</w:t>
      </w:r>
      <w:r w:rsidRPr="00E33B70">
        <w:rPr>
          <w:rFonts w:cstheme="minorHAnsi"/>
        </w:rPr>
        <w:tab/>
        <w:t xml:space="preserve">Complete list of previously approved data collection instruments </w:t>
      </w:r>
    </w:p>
    <w:p w:rsidR="00AC74A8" w:rsidP="00AC74A8" w:rsidRDefault="00AC74A8" w14:paraId="216AF7EC" w14:textId="77777777">
      <w:pPr>
        <w:pStyle w:val="BodyText"/>
        <w:numPr>
          <w:ilvl w:val="0"/>
          <w:numId w:val="40"/>
        </w:numPr>
        <w:spacing w:after="0" w:line="240" w:lineRule="auto"/>
        <w:rPr>
          <w:rFonts w:cstheme="minorHAnsi"/>
        </w:rPr>
      </w:pPr>
      <w:r w:rsidRPr="00E33B70">
        <w:rPr>
          <w:rFonts w:cstheme="minorHAnsi"/>
        </w:rPr>
        <w:t>Attachment Y:</w:t>
      </w:r>
      <w:r w:rsidRPr="00E33B70">
        <w:rPr>
          <w:rFonts w:cstheme="minorHAnsi"/>
        </w:rPr>
        <w:tab/>
        <w:t>60-day Federal Register Notice</w:t>
      </w:r>
    </w:p>
    <w:p w:rsidRPr="003D27EE" w:rsidR="00AC74A8" w:rsidP="00AC74A8" w:rsidRDefault="00AC74A8" w14:paraId="1FB5DF3F" w14:textId="77777777">
      <w:pPr>
        <w:pStyle w:val="BodyText"/>
        <w:numPr>
          <w:ilvl w:val="0"/>
          <w:numId w:val="40"/>
        </w:numPr>
        <w:spacing w:after="0" w:line="240" w:lineRule="auto"/>
        <w:rPr>
          <w:rFonts w:cstheme="minorHAnsi"/>
        </w:rPr>
      </w:pPr>
      <w:r w:rsidRPr="00670EEC">
        <w:rPr>
          <w:rFonts w:cstheme="minorHAnsi"/>
        </w:rPr>
        <w:t>Attachment Z:</w:t>
      </w:r>
      <w:r w:rsidRPr="00670EEC">
        <w:rPr>
          <w:rFonts w:cstheme="minorHAnsi"/>
        </w:rPr>
        <w:tab/>
        <w:t>Participant Interview Recruitment Materials</w:t>
      </w:r>
    </w:p>
    <w:bookmarkEnd w:id="14"/>
    <w:p w:rsidRPr="006B53F1" w:rsidR="00083227" w:rsidP="00AC74A8" w:rsidRDefault="00083227" w14:paraId="1E574BF6" w14:textId="6EB0EB63">
      <w:pPr>
        <w:spacing w:after="0" w:line="240" w:lineRule="auto"/>
      </w:pPr>
    </w:p>
    <w:sectPr w:rsidRPr="006B53F1" w:rsidR="00083227" w:rsidSect="00C91C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8119" w14:textId="77777777" w:rsidR="00F71A1F" w:rsidRDefault="00F71A1F" w:rsidP="0004063C">
      <w:pPr>
        <w:spacing w:after="0" w:line="240" w:lineRule="auto"/>
      </w:pPr>
      <w:r>
        <w:separator/>
      </w:r>
    </w:p>
  </w:endnote>
  <w:endnote w:type="continuationSeparator" w:id="0">
    <w:p w14:paraId="76A49767" w14:textId="77777777" w:rsidR="00F71A1F" w:rsidRDefault="00F71A1F" w:rsidP="0004063C">
      <w:pPr>
        <w:spacing w:after="0" w:line="240" w:lineRule="auto"/>
      </w:pPr>
      <w:r>
        <w:continuationSeparator/>
      </w:r>
    </w:p>
  </w:endnote>
  <w:endnote w:type="continuationNotice" w:id="1">
    <w:p w14:paraId="0071E9E5" w14:textId="77777777" w:rsidR="00F71A1F" w:rsidRDefault="00F71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4C40" w14:textId="77777777" w:rsidR="007179FF" w:rsidRDefault="0071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0C37279A" w:rsidR="00BD1D50" w:rsidRDefault="00BD1D5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11</w:t>
        </w:r>
        <w:r>
          <w:rPr>
            <w:noProof/>
            <w:color w:val="2B579A"/>
            <w:shd w:val="clear" w:color="auto" w:fill="E6E6E6"/>
          </w:rPr>
          <w:fldChar w:fldCharType="end"/>
        </w:r>
      </w:p>
    </w:sdtContent>
  </w:sdt>
  <w:p w14:paraId="04723F22" w14:textId="77777777" w:rsidR="00BD1D50" w:rsidRDefault="00BD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734" w14:textId="77777777" w:rsidR="007179FF" w:rsidRDefault="0071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B478" w14:textId="77777777" w:rsidR="00F71A1F" w:rsidRDefault="00F71A1F" w:rsidP="0004063C">
      <w:pPr>
        <w:spacing w:after="0" w:line="240" w:lineRule="auto"/>
      </w:pPr>
      <w:r>
        <w:separator/>
      </w:r>
    </w:p>
  </w:footnote>
  <w:footnote w:type="continuationSeparator" w:id="0">
    <w:p w14:paraId="73DE8012" w14:textId="77777777" w:rsidR="00F71A1F" w:rsidRDefault="00F71A1F" w:rsidP="0004063C">
      <w:pPr>
        <w:spacing w:after="0" w:line="240" w:lineRule="auto"/>
      </w:pPr>
      <w:r>
        <w:continuationSeparator/>
      </w:r>
    </w:p>
  </w:footnote>
  <w:footnote w:type="continuationNotice" w:id="1">
    <w:p w14:paraId="000BB0EA" w14:textId="77777777" w:rsidR="00F71A1F" w:rsidRDefault="00F71A1F">
      <w:pPr>
        <w:spacing w:after="0" w:line="240" w:lineRule="auto"/>
      </w:pPr>
    </w:p>
  </w:footnote>
  <w:footnote w:id="2">
    <w:p w14:paraId="6387AA25" w14:textId="324339FE" w:rsidR="00A9604F" w:rsidRDefault="00A9604F">
      <w:pPr>
        <w:pStyle w:val="FootnoteText"/>
      </w:pPr>
      <w:r>
        <w:rPr>
          <w:rStyle w:val="FootnoteReference"/>
        </w:rPr>
        <w:footnoteRef/>
      </w:r>
      <w:r>
        <w:t xml:space="preserve"> </w:t>
      </w:r>
      <w:r w:rsidR="004568BC">
        <w:t>Longer-term</w:t>
      </w:r>
      <w:r>
        <w:t xml:space="preserve"> follow-up</w:t>
      </w:r>
      <w:r w:rsidR="0062089B">
        <w:t xml:space="preserve"> typically</w:t>
      </w:r>
      <w:r>
        <w:t xml:space="preserve"> yields smaller sample sizes than intermediate</w:t>
      </w:r>
      <w:r w:rsidR="00EF1599">
        <w:t>-term</w:t>
      </w:r>
      <w:r w:rsidR="00050F77">
        <w:t xml:space="preserve"> </w:t>
      </w:r>
      <w:r>
        <w:t>follow-up. However, in this case</w:t>
      </w:r>
      <w:r w:rsidR="00257AAB">
        <w:t xml:space="preserve">, </w:t>
      </w:r>
      <w:r>
        <w:t xml:space="preserve">we might actually get larger sample sizes at long-term follow-up since we </w:t>
      </w:r>
      <w:r w:rsidR="00E76831">
        <w:t xml:space="preserve">expect that we </w:t>
      </w:r>
      <w:r>
        <w:t>will be able to use in-person interview</w:t>
      </w:r>
      <w:r w:rsidR="00E76831">
        <w:t>s</w:t>
      </w:r>
      <w:r>
        <w:t xml:space="preserve"> </w:t>
      </w:r>
      <w:r w:rsidR="0053705D">
        <w:t>(which was not possible with the ITS due to COVID-19)</w:t>
      </w:r>
      <w:r w:rsidR="001C5710">
        <w:t xml:space="preserve">. </w:t>
      </w:r>
    </w:p>
  </w:footnote>
  <w:footnote w:id="3">
    <w:p w14:paraId="6204457A" w14:textId="77777777" w:rsidR="00B676DB" w:rsidRDefault="00B676DB" w:rsidP="00B676DB">
      <w:pPr>
        <w:pStyle w:val="FootnoteText"/>
      </w:pPr>
      <w:r>
        <w:rPr>
          <w:rStyle w:val="FootnoteReference"/>
        </w:rPr>
        <w:footnoteRef/>
      </w:r>
      <w:r>
        <w:t xml:space="preserve"> Specifically, an R-squared of 0.08 and ICC of 0.01.</w:t>
      </w:r>
    </w:p>
  </w:footnote>
  <w:footnote w:id="4">
    <w:p w14:paraId="58EA4E5B" w14:textId="77777777" w:rsidR="00B676DB" w:rsidRDefault="00B676DB" w:rsidP="00B676DB">
      <w:pPr>
        <w:pStyle w:val="FootnoteText"/>
      </w:pPr>
      <w:r>
        <w:rPr>
          <w:rStyle w:val="FootnoteReference"/>
        </w:rPr>
        <w:footnoteRef/>
      </w:r>
      <w:r>
        <w:t xml:space="preserve"> This mean corresponds to the control group mean of a similar outcome measured in the ITS.</w:t>
      </w:r>
    </w:p>
  </w:footnote>
  <w:footnote w:id="5">
    <w:p w14:paraId="14D0D57B" w14:textId="31DF83AD" w:rsidR="00CD478B" w:rsidRDefault="00CD478B">
      <w:pPr>
        <w:pStyle w:val="FootnoteText"/>
      </w:pPr>
      <w:r>
        <w:rPr>
          <w:rStyle w:val="FootnoteReference"/>
        </w:rPr>
        <w:footnoteRef/>
      </w:r>
      <w:r>
        <w:t xml:space="preserve"> Juras, Randall, and Larry Buron. 2021. Summary and Insights from the Ten PACE and HPOG 1.0 Job Training Evaluations: Three-Year Cross-Site Report. OPRE Report 2021-155. Washington, DC: Office of Planning, Research, and Evaluation, Administration for Children and Families, U.S. Department of Health and Human Services.</w:t>
      </w:r>
    </w:p>
  </w:footnote>
  <w:footnote w:id="6">
    <w:p w14:paraId="234C184F" w14:textId="5B933B03" w:rsidR="000C5AEC" w:rsidRPr="00946871" w:rsidRDefault="000C5AEC">
      <w:pPr>
        <w:pStyle w:val="FootnoteText"/>
        <w:rPr>
          <w:rFonts w:cstheme="minorHAnsi"/>
        </w:rPr>
      </w:pPr>
      <w:r w:rsidRPr="00946871">
        <w:rPr>
          <w:rStyle w:val="FootnoteReference"/>
          <w:rFonts w:cstheme="minorHAnsi"/>
        </w:rPr>
        <w:footnoteRef/>
      </w:r>
      <w:r w:rsidRPr="00946871">
        <w:rPr>
          <w:rFonts w:cstheme="minorHAnsi"/>
        </w:rPr>
        <w:t xml:space="preserve"> </w:t>
      </w:r>
      <w:r w:rsidR="003F3AA6" w:rsidRPr="00946871">
        <w:rPr>
          <w:rFonts w:cstheme="minorHAnsi"/>
        </w:rPr>
        <w:t>Nightingale, Demetra Smith, and Stephen A. Wandner. 2011. “Informal and Nonstandard Employment in the United States: Implications for Low-Income Working Families.” Washington, DC: The Urban Institute.</w:t>
      </w:r>
    </w:p>
  </w:footnote>
  <w:footnote w:id="7">
    <w:p w14:paraId="5ED75B78" w14:textId="04F90ADF" w:rsidR="00CD7F61" w:rsidRPr="00946871" w:rsidRDefault="00CD7F61">
      <w:pPr>
        <w:pStyle w:val="FootnoteText"/>
        <w:rPr>
          <w:rFonts w:cstheme="minorHAnsi"/>
        </w:rPr>
      </w:pPr>
      <w:r w:rsidRPr="00946871">
        <w:rPr>
          <w:rStyle w:val="FootnoteReference"/>
          <w:rFonts w:cstheme="minorHAnsi"/>
        </w:rPr>
        <w:footnoteRef/>
      </w:r>
      <w:r w:rsidRPr="00946871">
        <w:rPr>
          <w:rFonts w:cstheme="minorHAnsi"/>
        </w:rPr>
        <w:t xml:space="preserve"> </w:t>
      </w:r>
      <w:proofErr w:type="spellStart"/>
      <w:r w:rsidR="00691D5E" w:rsidRPr="0006228C">
        <w:rPr>
          <w:rFonts w:cstheme="minorHAnsi"/>
          <w:color w:val="505050"/>
          <w:shd w:val="clear" w:color="auto" w:fill="FFFFFF"/>
        </w:rPr>
        <w:t>Bracha</w:t>
      </w:r>
      <w:proofErr w:type="spellEnd"/>
      <w:r w:rsidR="00691D5E" w:rsidRPr="00946871">
        <w:rPr>
          <w:rFonts w:cstheme="minorHAnsi"/>
          <w:color w:val="505050"/>
          <w:shd w:val="clear" w:color="auto" w:fill="FFFFFF"/>
        </w:rPr>
        <w:t xml:space="preserve">, </w:t>
      </w:r>
      <w:proofErr w:type="spellStart"/>
      <w:r w:rsidR="00691D5E" w:rsidRPr="00946871">
        <w:rPr>
          <w:rFonts w:cstheme="minorHAnsi"/>
          <w:color w:val="505050"/>
          <w:shd w:val="clear" w:color="auto" w:fill="FFFFFF"/>
        </w:rPr>
        <w:t>Anat</w:t>
      </w:r>
      <w:proofErr w:type="spellEnd"/>
      <w:r w:rsidR="00691D5E" w:rsidRPr="00946871">
        <w:rPr>
          <w:rFonts w:cstheme="minorHAnsi"/>
          <w:color w:val="505050"/>
          <w:shd w:val="clear" w:color="auto" w:fill="FFFFFF"/>
        </w:rPr>
        <w:t xml:space="preserve"> and Burke, Mary A., Who Counts as Employed? Informal Work, Employment Status, and Labor Market Slack (December, 2016). FRB of Boston Working Paper No. 16-29, Available at SSRN: </w:t>
      </w:r>
      <w:hyperlink r:id="rId1" w:tgtFrame="_blank" w:history="1">
        <w:r w:rsidR="00691D5E" w:rsidRPr="00946871">
          <w:rPr>
            <w:rStyle w:val="Hyperlink"/>
            <w:rFonts w:cstheme="minorHAnsi"/>
            <w:color w:val="F5662D"/>
            <w:shd w:val="clear" w:color="auto" w:fill="FFFFFF"/>
          </w:rPr>
          <w:t>https://ssrn.com/abstract=2935535</w:t>
        </w:r>
      </w:hyperlink>
    </w:p>
  </w:footnote>
  <w:footnote w:id="8">
    <w:p w14:paraId="2529DDCB" w14:textId="104A25E9" w:rsidR="00CD7F61" w:rsidRDefault="00CD7F61">
      <w:pPr>
        <w:pStyle w:val="FootnoteText"/>
      </w:pPr>
      <w:r w:rsidRPr="00946871">
        <w:rPr>
          <w:rStyle w:val="FootnoteReference"/>
          <w:rFonts w:cstheme="minorHAnsi"/>
        </w:rPr>
        <w:footnoteRef/>
      </w:r>
      <w:r w:rsidRPr="00946871">
        <w:rPr>
          <w:rFonts w:cstheme="minorHAnsi"/>
        </w:rPr>
        <w:t xml:space="preserve"> </w:t>
      </w:r>
      <w:r w:rsidR="00222776" w:rsidRPr="00946871">
        <w:rPr>
          <w:rFonts w:cstheme="minorHAnsi"/>
        </w:rPr>
        <w:t>Abraham, Katharine G., and Susan N. Houseman. 2019. “Making Ends Meet: The Role of Informal Work in Supplementing Americans’ Income.” RSF: The Russell Sage Foundation Journal of the Social Sciences 5(5): 110–31. DOI: 10.7758/RSF.2019.5.5.06.</w:t>
      </w:r>
    </w:p>
  </w:footnote>
  <w:footnote w:id="9">
    <w:p w14:paraId="5248ECCA" w14:textId="2AFFE53A" w:rsidR="0079518C" w:rsidRDefault="0079518C">
      <w:pPr>
        <w:pStyle w:val="FootnoteText"/>
      </w:pPr>
      <w:r>
        <w:rPr>
          <w:rStyle w:val="FootnoteReference"/>
        </w:rPr>
        <w:footnoteRef/>
      </w:r>
      <w:r>
        <w:t xml:space="preserve"> </w:t>
      </w:r>
      <w:r w:rsidRPr="17642613">
        <w:rPr>
          <w:rFonts w:ascii="Calibri" w:eastAsia="Calibri" w:hAnsi="Calibri" w:cs="Calibri"/>
        </w:rPr>
        <w:t>There are three different versions of Q1</w:t>
      </w:r>
      <w:r>
        <w:rPr>
          <w:rFonts w:ascii="Calibri" w:eastAsia="Calibri" w:hAnsi="Calibri" w:cs="Calibri"/>
        </w:rPr>
        <w:t>. Which version is asked will vary</w:t>
      </w:r>
      <w:r w:rsidRPr="00FD4692">
        <w:rPr>
          <w:rFonts w:ascii="Calibri" w:eastAsia="Calibri" w:hAnsi="Calibri" w:cs="Calibri"/>
        </w:rPr>
        <w:t xml:space="preserve"> </w:t>
      </w:r>
      <w:r>
        <w:rPr>
          <w:rFonts w:ascii="Calibri" w:eastAsia="Calibri" w:hAnsi="Calibri" w:cs="Calibri"/>
        </w:rPr>
        <w:t>with</w:t>
      </w:r>
      <w:r w:rsidRPr="17642613">
        <w:rPr>
          <w:rFonts w:ascii="Calibri" w:eastAsia="Calibri" w:hAnsi="Calibri" w:cs="Calibri"/>
        </w:rPr>
        <w:t xml:space="preserve"> the</w:t>
      </w:r>
      <w:r w:rsidDel="00FD4692">
        <w:rPr>
          <w:rFonts w:ascii="Calibri" w:eastAsia="Calibri" w:hAnsi="Calibri" w:cs="Calibri"/>
        </w:rPr>
        <w:t xml:space="preserve"> </w:t>
      </w:r>
      <w:r w:rsidRPr="17642613">
        <w:rPr>
          <w:rFonts w:ascii="Calibri" w:eastAsia="Calibri" w:hAnsi="Calibri" w:cs="Calibri"/>
        </w:rPr>
        <w:t xml:space="preserve">respondent’s employment history </w:t>
      </w:r>
      <w:r>
        <w:rPr>
          <w:rFonts w:ascii="Calibri" w:eastAsia="Calibri" w:hAnsi="Calibri" w:cs="Calibri"/>
        </w:rPr>
        <w:t xml:space="preserve">(as </w:t>
      </w:r>
      <w:r w:rsidRPr="17642613">
        <w:rPr>
          <w:rFonts w:ascii="Calibri" w:eastAsia="Calibri" w:hAnsi="Calibri" w:cs="Calibri"/>
        </w:rPr>
        <w:t>reported earlier in the survey</w:t>
      </w:r>
      <w:r>
        <w:rPr>
          <w:rFonts w:ascii="Calibri" w:eastAsia="Calibri" w:hAnsi="Calibri" w:cs="Calibri"/>
        </w:rPr>
        <w:t>)</w:t>
      </w:r>
      <w:r w:rsidRPr="17642613">
        <w:rPr>
          <w:rFonts w:ascii="Calibri" w:eastAsia="Calibri" w:hAnsi="Calibri" w:cs="Calibri"/>
        </w:rPr>
        <w:t xml:space="preserve">. </w:t>
      </w:r>
    </w:p>
  </w:footnote>
  <w:footnote w:id="10">
    <w:p w14:paraId="2832FF72" w14:textId="77777777" w:rsidR="0058475F" w:rsidRPr="00FA10B8" w:rsidRDefault="0058475F" w:rsidP="0058475F">
      <w:pPr>
        <w:autoSpaceDE w:val="0"/>
        <w:autoSpaceDN w:val="0"/>
        <w:adjustRightInd w:val="0"/>
        <w:spacing w:after="0" w:line="240" w:lineRule="auto"/>
        <w:rPr>
          <w:rFonts w:cstheme="minorHAnsi"/>
          <w:sz w:val="20"/>
          <w:szCs w:val="20"/>
        </w:rPr>
      </w:pPr>
      <w:r w:rsidRPr="00FA10B8">
        <w:rPr>
          <w:rStyle w:val="FootnoteReference"/>
          <w:rFonts w:cstheme="minorHAnsi"/>
          <w:sz w:val="20"/>
          <w:szCs w:val="20"/>
        </w:rPr>
        <w:footnoteRef/>
      </w:r>
      <w:r w:rsidRPr="00FA10B8">
        <w:rPr>
          <w:rFonts w:cstheme="minorHAnsi"/>
          <w:sz w:val="20"/>
          <w:szCs w:val="20"/>
        </w:rPr>
        <w:t xml:space="preserve"> Abraham, Katharine G., and Ashley Amaya. 2018.“Probing for Informal Work Activity.” </w:t>
      </w:r>
      <w:r w:rsidRPr="00FA10B8">
        <w:rPr>
          <w:rFonts w:cstheme="minorHAnsi"/>
          <w:i/>
          <w:iCs/>
          <w:sz w:val="20"/>
          <w:szCs w:val="20"/>
        </w:rPr>
        <w:t xml:space="preserve">NBER </w:t>
      </w:r>
      <w:r w:rsidRPr="00FA10B8">
        <w:rPr>
          <w:rFonts w:cstheme="minorHAnsi"/>
          <w:sz w:val="20"/>
          <w:szCs w:val="20"/>
        </w:rPr>
        <w:t>working paper no. 24880, Revised in 2019. Cambridge, Mass.: National Bureau of Economic Research.</w:t>
      </w:r>
    </w:p>
    <w:p w14:paraId="477E8298" w14:textId="77777777" w:rsidR="0058475F" w:rsidRDefault="0058475F" w:rsidP="0058475F">
      <w:pPr>
        <w:pStyle w:val="FootnoteText"/>
      </w:pPr>
    </w:p>
  </w:footnote>
  <w:footnote w:id="11">
    <w:p w14:paraId="418852A1" w14:textId="6B1404D6" w:rsidR="00E8046F" w:rsidRDefault="00E8046F">
      <w:pPr>
        <w:pStyle w:val="FootnoteText"/>
      </w:pPr>
      <w:r>
        <w:rPr>
          <w:rStyle w:val="FootnoteReference"/>
        </w:rPr>
        <w:footnoteRef/>
      </w:r>
      <w:r>
        <w:t xml:space="preserve"> During the ITS data collection period, </w:t>
      </w:r>
      <w:r w:rsidR="00C90E50">
        <w:t>the</w:t>
      </w:r>
      <w:r w:rsidR="00025054">
        <w:t xml:space="preserve"> </w:t>
      </w:r>
      <w:r>
        <w:t>COVID-19 pandemic and CDC social distancing guidelines prevented in-person data collection efforts</w:t>
      </w:r>
      <w:r w:rsidR="00025054">
        <w:t>,</w:t>
      </w:r>
      <w:r>
        <w:t xml:space="preserve"> so all interviews were done by telephone.</w:t>
      </w:r>
    </w:p>
  </w:footnote>
  <w:footnote w:id="12">
    <w:p w14:paraId="0B4EB1DA" w14:textId="14D3B917" w:rsidR="009540B7" w:rsidRDefault="009540B7">
      <w:pPr>
        <w:pStyle w:val="FootnoteText"/>
      </w:pPr>
      <w:r>
        <w:rPr>
          <w:rStyle w:val="FootnoteReference"/>
        </w:rPr>
        <w:footnoteRef/>
      </w:r>
      <w:r>
        <w:t xml:space="preserve"> As of this request for clearance, contact updates are sent to two groups of participants: participants enrolled between September 2017 and January 2018 (those who are in the LTS sample), and participants enrolled between May 2020 and September 2021 (those who are in the ongoing COVID-19 Cohort </w:t>
      </w:r>
      <w:r w:rsidR="00DE6401">
        <w:t>Short-</w:t>
      </w:r>
      <w:r w:rsidR="00EB2219">
        <w:t>T</w:t>
      </w:r>
      <w:r w:rsidR="00DE6401">
        <w:t xml:space="preserve">erm Follow-Up Survey </w:t>
      </w:r>
      <w:r>
        <w:t>sample, previously approved in October 2021).</w:t>
      </w:r>
    </w:p>
  </w:footnote>
  <w:footnote w:id="13">
    <w:p w14:paraId="44EC2B6C" w14:textId="1848EB60" w:rsidR="00341C5E" w:rsidRDefault="00341C5E">
      <w:pPr>
        <w:pStyle w:val="FootnoteText"/>
      </w:pPr>
      <w:r>
        <w:rPr>
          <w:rStyle w:val="FootnoteReference"/>
        </w:rPr>
        <w:footnoteRef/>
      </w:r>
      <w:r>
        <w:t xml:space="preserve"> While the ITS data collection used the same procedures for telephone interviewing as the STS, the COVID-19 pandemic prevented the use of in-person data collection. Thus, the ITS was done by telephone only.</w:t>
      </w:r>
    </w:p>
  </w:footnote>
  <w:footnote w:id="14">
    <w:p w14:paraId="747A6ABB" w14:textId="2F9FE36C" w:rsidR="00BD1D50" w:rsidRDefault="00BD1D50">
      <w:pPr>
        <w:pStyle w:val="FootnoteText"/>
      </w:pPr>
      <w:r>
        <w:rPr>
          <w:rStyle w:val="FootnoteReference"/>
        </w:rPr>
        <w:footnoteRef/>
      </w:r>
      <w:r>
        <w:t xml:space="preserve"> 13,907 people were randomized during the sample window. Of these, </w:t>
      </w:r>
      <w:r w:rsidRPr="0017757B">
        <w:t>43 withdrew consent</w:t>
      </w:r>
      <w:r>
        <w:t xml:space="preserve"> to have their data used in the study for any purpose, including nonresponse analysis. Another </w:t>
      </w:r>
      <w:r w:rsidR="0017757B">
        <w:t xml:space="preserve">42 </w:t>
      </w:r>
      <w:r>
        <w:t>became ineligible for the following reasons: death, incarceration, or inability to respond because of a permanent health/disability issue.</w:t>
      </w:r>
    </w:p>
  </w:footnote>
  <w:footnote w:id="15">
    <w:p w14:paraId="451E8EB9" w14:textId="7B2A3D7B" w:rsidR="006A3A16" w:rsidRDefault="006A3A16">
      <w:pPr>
        <w:pStyle w:val="FootnoteText"/>
      </w:pPr>
      <w:r>
        <w:rPr>
          <w:rStyle w:val="FootnoteReference"/>
        </w:rPr>
        <w:footnoteRef/>
      </w:r>
      <w:r>
        <w:t xml:space="preserve"> </w:t>
      </w:r>
      <w:r w:rsidRPr="006A3A16">
        <w:t>Judkins, David Ross, Jacob Alex Klerman, and Gretchen Locke. 2020. Analysis Plan for the HPOG 2.0 National Evaluation Short-Term Impact Report. OPRE Report 2020-07. Washington, DC: Office of Planning, Research, and Evaluation, Administration for Children and Families, U.S. Department of Health and Human Services.</w:t>
      </w:r>
    </w:p>
  </w:footnote>
  <w:footnote w:id="16">
    <w:p w14:paraId="3864426E" w14:textId="6477F036" w:rsidR="006A3A16" w:rsidRDefault="006A3A16">
      <w:pPr>
        <w:pStyle w:val="FootnoteText"/>
      </w:pPr>
      <w:r>
        <w:rPr>
          <w:rStyle w:val="FootnoteReference"/>
        </w:rPr>
        <w:footnoteRef/>
      </w:r>
      <w:r>
        <w:t xml:space="preserve"> </w:t>
      </w:r>
      <w:r w:rsidRPr="006A3A16">
        <w:t>Judkins, David Ross, Sarah Prenovitz, Gabriel Durham, Jacob Alex Klerman, and Gretchen Locke. 2021. Analysis Plan for the HPOG 2.0 National Evaluation Intermediate-Term Impact Report. OPRE Report 2021-176. Washington, DC: Office of Planning, Research, and Evaluation, Administration for Children and Families, U.S. Department of Health and Human Services.</w:t>
      </w:r>
    </w:p>
  </w:footnote>
  <w:footnote w:id="17">
    <w:p w14:paraId="46D10353" w14:textId="77777777" w:rsidR="008F385A" w:rsidRDefault="008F385A" w:rsidP="008F385A">
      <w:pPr>
        <w:pStyle w:val="FootnoteText"/>
      </w:pPr>
      <w:r>
        <w:rPr>
          <w:rStyle w:val="FootnoteReference"/>
        </w:rPr>
        <w:footnoteRef/>
      </w:r>
      <w:r>
        <w:t xml:space="preserve"> </w:t>
      </w:r>
      <w:hyperlink r:id="rId2" w:history="1">
        <w:r w:rsidRPr="003A5C25">
          <w:rPr>
            <w:rStyle w:val="Hyperlink"/>
            <w:szCs w:val="18"/>
          </w:rPr>
          <w:t>https://sreereg.icpsr.umich.edu/framework/pdf/index.php?id=2576</w:t>
        </w:r>
      </w:hyperlink>
      <w:r w:rsidRPr="003A5C25">
        <w:rPr>
          <w:szCs w:val="18"/>
        </w:rPr>
        <w:t>)</w:t>
      </w:r>
      <w:r>
        <w:rPr>
          <w:szCs w:val="18"/>
        </w:rPr>
        <w:t xml:space="preserve"> </w:t>
      </w:r>
    </w:p>
  </w:footnote>
  <w:footnote w:id="18">
    <w:p w14:paraId="5B79523B" w14:textId="77777777" w:rsidR="008F385A" w:rsidRDefault="008F385A" w:rsidP="008F385A">
      <w:pPr>
        <w:pStyle w:val="FootnoteText"/>
      </w:pPr>
      <w:r>
        <w:rPr>
          <w:rStyle w:val="FootnoteReference"/>
        </w:rPr>
        <w:footnoteRef/>
      </w:r>
      <w:r>
        <w:t xml:space="preserve"> </w:t>
      </w:r>
      <w:hyperlink r:id="rId3" w:history="1">
        <w:r w:rsidRPr="00CC5726">
          <w:rPr>
            <w:rStyle w:val="Hyperlink"/>
            <w:szCs w:val="18"/>
          </w:rPr>
          <w:t>https://protect2.fireeye.com/url?k=20e9f3bf-7cbcfaac-20e9c280-0cc47adb5650-ab60093706f8c24f&amp;u=http://osf.io/nv2fz/</w:t>
        </w:r>
      </w:hyperlink>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1119" w14:textId="77777777" w:rsidR="007179FF" w:rsidRDefault="0071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BD1D50" w:rsidRPr="000D7D44" w:rsidRDefault="00BD1D50"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BD1D50" w:rsidRPr="00390F85" w:rsidRDefault="00BD1D50"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447A" w14:textId="77777777" w:rsidR="007179FF" w:rsidRDefault="0071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93F7F"/>
    <w:multiLevelType w:val="hybridMultilevel"/>
    <w:tmpl w:val="5846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E61F1"/>
    <w:multiLevelType w:val="hybridMultilevel"/>
    <w:tmpl w:val="9DD8E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A5E8C"/>
    <w:multiLevelType w:val="hybridMultilevel"/>
    <w:tmpl w:val="2F30A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C259B"/>
    <w:multiLevelType w:val="multilevel"/>
    <w:tmpl w:val="AAF8A114"/>
    <w:lvl w:ilvl="0">
      <w:start w:val="1"/>
      <w:numFmt w:val="decimal"/>
      <w:pStyle w:val="Numbers"/>
      <w:lvlText w:val="%1."/>
      <w:lvlJc w:val="left"/>
      <w:pPr>
        <w:tabs>
          <w:tab w:val="num" w:pos="1080"/>
        </w:tabs>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11B4A"/>
    <w:multiLevelType w:val="hybridMultilevel"/>
    <w:tmpl w:val="395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5019D"/>
    <w:multiLevelType w:val="hybridMultilevel"/>
    <w:tmpl w:val="284C72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9B87C45"/>
    <w:multiLevelType w:val="hybridMultilevel"/>
    <w:tmpl w:val="00F2BD26"/>
    <w:lvl w:ilvl="0" w:tplc="06125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A34F1"/>
    <w:multiLevelType w:val="hybridMultilevel"/>
    <w:tmpl w:val="F7228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D44E72"/>
    <w:multiLevelType w:val="hybridMultilevel"/>
    <w:tmpl w:val="4F76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E3C46"/>
    <w:multiLevelType w:val="hybridMultilevel"/>
    <w:tmpl w:val="2F5A0A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713494"/>
    <w:multiLevelType w:val="hybridMultilevel"/>
    <w:tmpl w:val="BA28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94FE2"/>
    <w:multiLevelType w:val="hybridMultilevel"/>
    <w:tmpl w:val="8DC689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9F6E69"/>
    <w:multiLevelType w:val="hybridMultilevel"/>
    <w:tmpl w:val="8620EED4"/>
    <w:lvl w:ilvl="0" w:tplc="EE3ABA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6"/>
  </w:num>
  <w:num w:numId="5">
    <w:abstractNumId w:val="22"/>
  </w:num>
  <w:num w:numId="6">
    <w:abstractNumId w:val="51"/>
  </w:num>
  <w:num w:numId="7">
    <w:abstractNumId w:val="5"/>
  </w:num>
  <w:num w:numId="8">
    <w:abstractNumId w:val="14"/>
  </w:num>
  <w:num w:numId="9">
    <w:abstractNumId w:val="21"/>
  </w:num>
  <w:num w:numId="10">
    <w:abstractNumId w:val="48"/>
  </w:num>
  <w:num w:numId="11">
    <w:abstractNumId w:val="55"/>
  </w:num>
  <w:num w:numId="12">
    <w:abstractNumId w:val="44"/>
  </w:num>
  <w:num w:numId="13">
    <w:abstractNumId w:val="35"/>
  </w:num>
  <w:num w:numId="14">
    <w:abstractNumId w:val="45"/>
  </w:num>
  <w:num w:numId="15">
    <w:abstractNumId w:val="24"/>
  </w:num>
  <w:num w:numId="16">
    <w:abstractNumId w:val="34"/>
  </w:num>
  <w:num w:numId="17">
    <w:abstractNumId w:val="20"/>
  </w:num>
  <w:num w:numId="18">
    <w:abstractNumId w:val="11"/>
  </w:num>
  <w:num w:numId="19">
    <w:abstractNumId w:val="10"/>
  </w:num>
  <w:num w:numId="20">
    <w:abstractNumId w:val="33"/>
  </w:num>
  <w:num w:numId="21">
    <w:abstractNumId w:val="0"/>
  </w:num>
  <w:num w:numId="22">
    <w:abstractNumId w:val="2"/>
  </w:num>
  <w:num w:numId="23">
    <w:abstractNumId w:val="27"/>
  </w:num>
  <w:num w:numId="24">
    <w:abstractNumId w:val="3"/>
  </w:num>
  <w:num w:numId="25">
    <w:abstractNumId w:val="16"/>
  </w:num>
  <w:num w:numId="26">
    <w:abstractNumId w:val="32"/>
  </w:num>
  <w:num w:numId="27">
    <w:abstractNumId w:val="53"/>
  </w:num>
  <w:num w:numId="28">
    <w:abstractNumId w:val="37"/>
  </w:num>
  <w:num w:numId="29">
    <w:abstractNumId w:val="29"/>
  </w:num>
  <w:num w:numId="30">
    <w:abstractNumId w:val="26"/>
  </w:num>
  <w:num w:numId="31">
    <w:abstractNumId w:val="43"/>
  </w:num>
  <w:num w:numId="32">
    <w:abstractNumId w:val="52"/>
  </w:num>
  <w:num w:numId="33">
    <w:abstractNumId w:val="25"/>
  </w:num>
  <w:num w:numId="34">
    <w:abstractNumId w:val="49"/>
  </w:num>
  <w:num w:numId="35">
    <w:abstractNumId w:val="12"/>
  </w:num>
  <w:num w:numId="36">
    <w:abstractNumId w:val="4"/>
  </w:num>
  <w:num w:numId="37">
    <w:abstractNumId w:val="47"/>
  </w:num>
  <w:num w:numId="38">
    <w:abstractNumId w:val="42"/>
  </w:num>
  <w:num w:numId="39">
    <w:abstractNumId w:val="39"/>
  </w:num>
  <w:num w:numId="40">
    <w:abstractNumId w:val="8"/>
  </w:num>
  <w:num w:numId="41">
    <w:abstractNumId w:val="18"/>
  </w:num>
  <w:num w:numId="42">
    <w:abstractNumId w:val="19"/>
  </w:num>
  <w:num w:numId="43">
    <w:abstractNumId w:val="41"/>
  </w:num>
  <w:num w:numId="44">
    <w:abstractNumId w:val="38"/>
  </w:num>
  <w:num w:numId="45">
    <w:abstractNumId w:val="28"/>
  </w:num>
  <w:num w:numId="46">
    <w:abstractNumId w:val="13"/>
  </w:num>
  <w:num w:numId="47">
    <w:abstractNumId w:val="17"/>
  </w:num>
  <w:num w:numId="48">
    <w:abstractNumId w:val="15"/>
  </w:num>
  <w:num w:numId="49">
    <w:abstractNumId w:val="31"/>
  </w:num>
  <w:num w:numId="50">
    <w:abstractNumId w:val="50"/>
  </w:num>
  <w:num w:numId="51">
    <w:abstractNumId w:val="1"/>
  </w:num>
  <w:num w:numId="52">
    <w:abstractNumId w:val="40"/>
  </w:num>
  <w:num w:numId="53">
    <w:abstractNumId w:val="9"/>
  </w:num>
  <w:num w:numId="54">
    <w:abstractNumId w:val="54"/>
  </w:num>
  <w:num w:numId="55">
    <w:abstractNumId w:val="46"/>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27"/>
    <w:rsid w:val="00001329"/>
    <w:rsid w:val="00001F34"/>
    <w:rsid w:val="0000280F"/>
    <w:rsid w:val="00002EDE"/>
    <w:rsid w:val="000033BC"/>
    <w:rsid w:val="000037B6"/>
    <w:rsid w:val="00004B2E"/>
    <w:rsid w:val="0001255D"/>
    <w:rsid w:val="00012673"/>
    <w:rsid w:val="00014385"/>
    <w:rsid w:val="00014CE8"/>
    <w:rsid w:val="00020EE6"/>
    <w:rsid w:val="000216B2"/>
    <w:rsid w:val="00025054"/>
    <w:rsid w:val="0002668B"/>
    <w:rsid w:val="00026E03"/>
    <w:rsid w:val="00027E79"/>
    <w:rsid w:val="000301F6"/>
    <w:rsid w:val="00035472"/>
    <w:rsid w:val="0003734D"/>
    <w:rsid w:val="00037C73"/>
    <w:rsid w:val="00040055"/>
    <w:rsid w:val="0004063C"/>
    <w:rsid w:val="0004247F"/>
    <w:rsid w:val="00043299"/>
    <w:rsid w:val="000440C3"/>
    <w:rsid w:val="0004475B"/>
    <w:rsid w:val="00044B8A"/>
    <w:rsid w:val="000450DC"/>
    <w:rsid w:val="000458C2"/>
    <w:rsid w:val="00045930"/>
    <w:rsid w:val="00047840"/>
    <w:rsid w:val="000479AA"/>
    <w:rsid w:val="00050F77"/>
    <w:rsid w:val="0005107F"/>
    <w:rsid w:val="000517FF"/>
    <w:rsid w:val="00054F5C"/>
    <w:rsid w:val="00056E76"/>
    <w:rsid w:val="0006228C"/>
    <w:rsid w:val="00062500"/>
    <w:rsid w:val="00062AFB"/>
    <w:rsid w:val="00062F13"/>
    <w:rsid w:val="0006302D"/>
    <w:rsid w:val="00063096"/>
    <w:rsid w:val="00063DFF"/>
    <w:rsid w:val="00063E03"/>
    <w:rsid w:val="000647F1"/>
    <w:rsid w:val="00064B01"/>
    <w:rsid w:val="000655DD"/>
    <w:rsid w:val="0006624C"/>
    <w:rsid w:val="00066D19"/>
    <w:rsid w:val="0006787B"/>
    <w:rsid w:val="00067B9F"/>
    <w:rsid w:val="000701E3"/>
    <w:rsid w:val="0007138C"/>
    <w:rsid w:val="00071621"/>
    <w:rsid w:val="000716A4"/>
    <w:rsid w:val="00071F79"/>
    <w:rsid w:val="0007251B"/>
    <w:rsid w:val="00072581"/>
    <w:rsid w:val="00072FCD"/>
    <w:rsid w:val="000733A5"/>
    <w:rsid w:val="00074932"/>
    <w:rsid w:val="00074CE1"/>
    <w:rsid w:val="00075F48"/>
    <w:rsid w:val="000809B5"/>
    <w:rsid w:val="00082490"/>
    <w:rsid w:val="00082C5B"/>
    <w:rsid w:val="00083227"/>
    <w:rsid w:val="0008578D"/>
    <w:rsid w:val="00086CBE"/>
    <w:rsid w:val="00090812"/>
    <w:rsid w:val="000921F0"/>
    <w:rsid w:val="000938A4"/>
    <w:rsid w:val="00096046"/>
    <w:rsid w:val="00097560"/>
    <w:rsid w:val="000A012A"/>
    <w:rsid w:val="000A1648"/>
    <w:rsid w:val="000A39E3"/>
    <w:rsid w:val="000A3CBC"/>
    <w:rsid w:val="000A552C"/>
    <w:rsid w:val="000A6B96"/>
    <w:rsid w:val="000B1104"/>
    <w:rsid w:val="000B36EC"/>
    <w:rsid w:val="000B3996"/>
    <w:rsid w:val="000B39A2"/>
    <w:rsid w:val="000B43A3"/>
    <w:rsid w:val="000B509E"/>
    <w:rsid w:val="000B5256"/>
    <w:rsid w:val="000B5F32"/>
    <w:rsid w:val="000B7980"/>
    <w:rsid w:val="000C1A62"/>
    <w:rsid w:val="000C5AEC"/>
    <w:rsid w:val="000C658A"/>
    <w:rsid w:val="000C6CB0"/>
    <w:rsid w:val="000C70C2"/>
    <w:rsid w:val="000D06A4"/>
    <w:rsid w:val="000D0EEF"/>
    <w:rsid w:val="000D2E37"/>
    <w:rsid w:val="000D4241"/>
    <w:rsid w:val="000D4A9C"/>
    <w:rsid w:val="000D4E9A"/>
    <w:rsid w:val="000D5DB5"/>
    <w:rsid w:val="000D7D44"/>
    <w:rsid w:val="000D7E46"/>
    <w:rsid w:val="000E0D1F"/>
    <w:rsid w:val="000E1A8C"/>
    <w:rsid w:val="000E2723"/>
    <w:rsid w:val="000E2B7A"/>
    <w:rsid w:val="000E3B7C"/>
    <w:rsid w:val="000E4B28"/>
    <w:rsid w:val="000E65AB"/>
    <w:rsid w:val="000F04D7"/>
    <w:rsid w:val="000F0F38"/>
    <w:rsid w:val="000F12AE"/>
    <w:rsid w:val="000F1E4A"/>
    <w:rsid w:val="000F7963"/>
    <w:rsid w:val="00100D34"/>
    <w:rsid w:val="001022EE"/>
    <w:rsid w:val="00103EFD"/>
    <w:rsid w:val="00105D2D"/>
    <w:rsid w:val="00107D87"/>
    <w:rsid w:val="00107DCA"/>
    <w:rsid w:val="0011126F"/>
    <w:rsid w:val="001123FC"/>
    <w:rsid w:val="001137BC"/>
    <w:rsid w:val="00114030"/>
    <w:rsid w:val="00116FBD"/>
    <w:rsid w:val="001171C7"/>
    <w:rsid w:val="00117ECC"/>
    <w:rsid w:val="00122230"/>
    <w:rsid w:val="00124CB5"/>
    <w:rsid w:val="001253F4"/>
    <w:rsid w:val="00125F2E"/>
    <w:rsid w:val="00132560"/>
    <w:rsid w:val="00133A1D"/>
    <w:rsid w:val="00133A51"/>
    <w:rsid w:val="00134415"/>
    <w:rsid w:val="0013609E"/>
    <w:rsid w:val="001369CE"/>
    <w:rsid w:val="001403CC"/>
    <w:rsid w:val="00151AED"/>
    <w:rsid w:val="00152096"/>
    <w:rsid w:val="0015372A"/>
    <w:rsid w:val="00154F36"/>
    <w:rsid w:val="0015585E"/>
    <w:rsid w:val="001562D2"/>
    <w:rsid w:val="00157383"/>
    <w:rsid w:val="00157482"/>
    <w:rsid w:val="00157743"/>
    <w:rsid w:val="001623C1"/>
    <w:rsid w:val="00162EE3"/>
    <w:rsid w:val="00165D36"/>
    <w:rsid w:val="001702AF"/>
    <w:rsid w:val="001707D8"/>
    <w:rsid w:val="00171120"/>
    <w:rsid w:val="0017485D"/>
    <w:rsid w:val="001760F0"/>
    <w:rsid w:val="00176BAE"/>
    <w:rsid w:val="0017757B"/>
    <w:rsid w:val="00190894"/>
    <w:rsid w:val="00192A6A"/>
    <w:rsid w:val="00192E1B"/>
    <w:rsid w:val="00193556"/>
    <w:rsid w:val="00196A24"/>
    <w:rsid w:val="001A0EE8"/>
    <w:rsid w:val="001A2211"/>
    <w:rsid w:val="001A345A"/>
    <w:rsid w:val="001A72BB"/>
    <w:rsid w:val="001A75C5"/>
    <w:rsid w:val="001A7AE4"/>
    <w:rsid w:val="001B0A76"/>
    <w:rsid w:val="001B0AD2"/>
    <w:rsid w:val="001B14BC"/>
    <w:rsid w:val="001B153D"/>
    <w:rsid w:val="001B1711"/>
    <w:rsid w:val="001B4759"/>
    <w:rsid w:val="001B6A57"/>
    <w:rsid w:val="001C1DF0"/>
    <w:rsid w:val="001C2509"/>
    <w:rsid w:val="001C341A"/>
    <w:rsid w:val="001C5710"/>
    <w:rsid w:val="001C59B5"/>
    <w:rsid w:val="001C6E49"/>
    <w:rsid w:val="001D267D"/>
    <w:rsid w:val="001D2683"/>
    <w:rsid w:val="001D31AD"/>
    <w:rsid w:val="001D36B1"/>
    <w:rsid w:val="001D407A"/>
    <w:rsid w:val="001D44E5"/>
    <w:rsid w:val="001D7ECF"/>
    <w:rsid w:val="001E0B87"/>
    <w:rsid w:val="001E29E9"/>
    <w:rsid w:val="001E3AD3"/>
    <w:rsid w:val="001F0231"/>
    <w:rsid w:val="001F1419"/>
    <w:rsid w:val="001F1E0A"/>
    <w:rsid w:val="001F57F5"/>
    <w:rsid w:val="001F74EA"/>
    <w:rsid w:val="00200085"/>
    <w:rsid w:val="00200279"/>
    <w:rsid w:val="0020155E"/>
    <w:rsid w:val="0020401C"/>
    <w:rsid w:val="002043DD"/>
    <w:rsid w:val="00204772"/>
    <w:rsid w:val="00204BE6"/>
    <w:rsid w:val="00205401"/>
    <w:rsid w:val="00206171"/>
    <w:rsid w:val="0020629A"/>
    <w:rsid w:val="002066B6"/>
    <w:rsid w:val="00206E11"/>
    <w:rsid w:val="00206FE3"/>
    <w:rsid w:val="00207106"/>
    <w:rsid w:val="00207554"/>
    <w:rsid w:val="00211261"/>
    <w:rsid w:val="0021213F"/>
    <w:rsid w:val="00215942"/>
    <w:rsid w:val="002160BD"/>
    <w:rsid w:val="00216F65"/>
    <w:rsid w:val="002211AD"/>
    <w:rsid w:val="00221803"/>
    <w:rsid w:val="00221BE7"/>
    <w:rsid w:val="00222776"/>
    <w:rsid w:val="0022293A"/>
    <w:rsid w:val="0022302D"/>
    <w:rsid w:val="00224146"/>
    <w:rsid w:val="00227928"/>
    <w:rsid w:val="00231F79"/>
    <w:rsid w:val="00232500"/>
    <w:rsid w:val="00232A9D"/>
    <w:rsid w:val="00233994"/>
    <w:rsid w:val="00233EAE"/>
    <w:rsid w:val="002344AA"/>
    <w:rsid w:val="00234AC4"/>
    <w:rsid w:val="00236945"/>
    <w:rsid w:val="00236B12"/>
    <w:rsid w:val="0024184E"/>
    <w:rsid w:val="0024204B"/>
    <w:rsid w:val="002435F0"/>
    <w:rsid w:val="002445D8"/>
    <w:rsid w:val="002448D6"/>
    <w:rsid w:val="00245F3F"/>
    <w:rsid w:val="00246AD7"/>
    <w:rsid w:val="002517BB"/>
    <w:rsid w:val="00252720"/>
    <w:rsid w:val="00253099"/>
    <w:rsid w:val="00254501"/>
    <w:rsid w:val="00255CD8"/>
    <w:rsid w:val="00256E24"/>
    <w:rsid w:val="00257AAB"/>
    <w:rsid w:val="002607C4"/>
    <w:rsid w:val="00264F7A"/>
    <w:rsid w:val="00265491"/>
    <w:rsid w:val="00266304"/>
    <w:rsid w:val="0027615F"/>
    <w:rsid w:val="002761E0"/>
    <w:rsid w:val="002766AE"/>
    <w:rsid w:val="00276CE2"/>
    <w:rsid w:val="00276D60"/>
    <w:rsid w:val="00276EF1"/>
    <w:rsid w:val="0028077A"/>
    <w:rsid w:val="00280DE5"/>
    <w:rsid w:val="00281279"/>
    <w:rsid w:val="002817E2"/>
    <w:rsid w:val="002826BD"/>
    <w:rsid w:val="00284287"/>
    <w:rsid w:val="00285BEA"/>
    <w:rsid w:val="00285CF4"/>
    <w:rsid w:val="00286C75"/>
    <w:rsid w:val="00287AF1"/>
    <w:rsid w:val="0029665B"/>
    <w:rsid w:val="00297C78"/>
    <w:rsid w:val="002A01F6"/>
    <w:rsid w:val="002A23AB"/>
    <w:rsid w:val="002A31D5"/>
    <w:rsid w:val="002A3F98"/>
    <w:rsid w:val="002A41C6"/>
    <w:rsid w:val="002A5DF1"/>
    <w:rsid w:val="002A7FA4"/>
    <w:rsid w:val="002B0531"/>
    <w:rsid w:val="002B12CC"/>
    <w:rsid w:val="002B1473"/>
    <w:rsid w:val="002B1784"/>
    <w:rsid w:val="002B4247"/>
    <w:rsid w:val="002B445C"/>
    <w:rsid w:val="002B6182"/>
    <w:rsid w:val="002B65B2"/>
    <w:rsid w:val="002B6679"/>
    <w:rsid w:val="002B785B"/>
    <w:rsid w:val="002B7FB6"/>
    <w:rsid w:val="002C049A"/>
    <w:rsid w:val="002C1B04"/>
    <w:rsid w:val="002C1E30"/>
    <w:rsid w:val="002C57ED"/>
    <w:rsid w:val="002C7442"/>
    <w:rsid w:val="002D020E"/>
    <w:rsid w:val="002D0995"/>
    <w:rsid w:val="002D0A15"/>
    <w:rsid w:val="002D1176"/>
    <w:rsid w:val="002D4571"/>
    <w:rsid w:val="002D5E43"/>
    <w:rsid w:val="002E2EC9"/>
    <w:rsid w:val="002E4429"/>
    <w:rsid w:val="002E44B9"/>
    <w:rsid w:val="002E61E4"/>
    <w:rsid w:val="002E6CCF"/>
    <w:rsid w:val="002F0AD9"/>
    <w:rsid w:val="002F1817"/>
    <w:rsid w:val="002F2735"/>
    <w:rsid w:val="002F33D0"/>
    <w:rsid w:val="002F4BEC"/>
    <w:rsid w:val="002F4DF0"/>
    <w:rsid w:val="00300722"/>
    <w:rsid w:val="00300DFE"/>
    <w:rsid w:val="00301402"/>
    <w:rsid w:val="003023AD"/>
    <w:rsid w:val="0030316D"/>
    <w:rsid w:val="00304028"/>
    <w:rsid w:val="00304412"/>
    <w:rsid w:val="003055FA"/>
    <w:rsid w:val="00306936"/>
    <w:rsid w:val="00310539"/>
    <w:rsid w:val="00310D0D"/>
    <w:rsid w:val="00312EE2"/>
    <w:rsid w:val="00313531"/>
    <w:rsid w:val="00322D3C"/>
    <w:rsid w:val="00326EE8"/>
    <w:rsid w:val="00331990"/>
    <w:rsid w:val="00332099"/>
    <w:rsid w:val="00332111"/>
    <w:rsid w:val="003338B2"/>
    <w:rsid w:val="00334F5E"/>
    <w:rsid w:val="00335303"/>
    <w:rsid w:val="00340A5B"/>
    <w:rsid w:val="003410C4"/>
    <w:rsid w:val="00341526"/>
    <w:rsid w:val="00341564"/>
    <w:rsid w:val="00341C5E"/>
    <w:rsid w:val="00345119"/>
    <w:rsid w:val="00345C0B"/>
    <w:rsid w:val="00345C0F"/>
    <w:rsid w:val="00347C86"/>
    <w:rsid w:val="00347E38"/>
    <w:rsid w:val="00350FF8"/>
    <w:rsid w:val="003526A1"/>
    <w:rsid w:val="00356773"/>
    <w:rsid w:val="0035782C"/>
    <w:rsid w:val="00360F2A"/>
    <w:rsid w:val="00361C31"/>
    <w:rsid w:val="003621E2"/>
    <w:rsid w:val="00362D22"/>
    <w:rsid w:val="00363255"/>
    <w:rsid w:val="003637D0"/>
    <w:rsid w:val="00372EFA"/>
    <w:rsid w:val="00373D2F"/>
    <w:rsid w:val="00377595"/>
    <w:rsid w:val="00377874"/>
    <w:rsid w:val="003803A5"/>
    <w:rsid w:val="00381C73"/>
    <w:rsid w:val="003850ED"/>
    <w:rsid w:val="0038631B"/>
    <w:rsid w:val="00390F85"/>
    <w:rsid w:val="003931A0"/>
    <w:rsid w:val="00393E9B"/>
    <w:rsid w:val="003941D1"/>
    <w:rsid w:val="00395B05"/>
    <w:rsid w:val="00396466"/>
    <w:rsid w:val="003A1250"/>
    <w:rsid w:val="003A1535"/>
    <w:rsid w:val="003A1801"/>
    <w:rsid w:val="003A3D78"/>
    <w:rsid w:val="003A7774"/>
    <w:rsid w:val="003B0E2B"/>
    <w:rsid w:val="003B10B8"/>
    <w:rsid w:val="003B16A8"/>
    <w:rsid w:val="003B7529"/>
    <w:rsid w:val="003C02EB"/>
    <w:rsid w:val="003C081A"/>
    <w:rsid w:val="003C2329"/>
    <w:rsid w:val="003C42A5"/>
    <w:rsid w:val="003C44D3"/>
    <w:rsid w:val="003C601A"/>
    <w:rsid w:val="003C7358"/>
    <w:rsid w:val="003D1A12"/>
    <w:rsid w:val="003D283F"/>
    <w:rsid w:val="003D37CB"/>
    <w:rsid w:val="003D461E"/>
    <w:rsid w:val="003D54B6"/>
    <w:rsid w:val="003D63AD"/>
    <w:rsid w:val="003D6725"/>
    <w:rsid w:val="003E3024"/>
    <w:rsid w:val="003E337E"/>
    <w:rsid w:val="003E61F6"/>
    <w:rsid w:val="003E6745"/>
    <w:rsid w:val="003E7D7C"/>
    <w:rsid w:val="003E7DDE"/>
    <w:rsid w:val="003F02BA"/>
    <w:rsid w:val="003F0E9F"/>
    <w:rsid w:val="003F1243"/>
    <w:rsid w:val="003F14E6"/>
    <w:rsid w:val="003F277D"/>
    <w:rsid w:val="003F297D"/>
    <w:rsid w:val="003F3AA6"/>
    <w:rsid w:val="003F3DCC"/>
    <w:rsid w:val="003F40F9"/>
    <w:rsid w:val="003F61F8"/>
    <w:rsid w:val="003F6FCF"/>
    <w:rsid w:val="004025CA"/>
    <w:rsid w:val="004032C8"/>
    <w:rsid w:val="004034B7"/>
    <w:rsid w:val="00407537"/>
    <w:rsid w:val="00410F2E"/>
    <w:rsid w:val="00414115"/>
    <w:rsid w:val="0041468F"/>
    <w:rsid w:val="004165BD"/>
    <w:rsid w:val="004176E0"/>
    <w:rsid w:val="0042220D"/>
    <w:rsid w:val="00424B6F"/>
    <w:rsid w:val="00424F5F"/>
    <w:rsid w:val="00426BA8"/>
    <w:rsid w:val="00427684"/>
    <w:rsid w:val="004326BE"/>
    <w:rsid w:val="0043377A"/>
    <w:rsid w:val="0043693B"/>
    <w:rsid w:val="00437489"/>
    <w:rsid w:val="004374B0"/>
    <w:rsid w:val="004379B6"/>
    <w:rsid w:val="00443CE9"/>
    <w:rsid w:val="00444049"/>
    <w:rsid w:val="0044428E"/>
    <w:rsid w:val="004450BC"/>
    <w:rsid w:val="004451B3"/>
    <w:rsid w:val="00446465"/>
    <w:rsid w:val="00450217"/>
    <w:rsid w:val="0045025A"/>
    <w:rsid w:val="00451059"/>
    <w:rsid w:val="004510B5"/>
    <w:rsid w:val="00452272"/>
    <w:rsid w:val="00453031"/>
    <w:rsid w:val="00455307"/>
    <w:rsid w:val="00455AD8"/>
    <w:rsid w:val="004568BC"/>
    <w:rsid w:val="004573FC"/>
    <w:rsid w:val="00460D54"/>
    <w:rsid w:val="00461AFC"/>
    <w:rsid w:val="00461D3E"/>
    <w:rsid w:val="004623F7"/>
    <w:rsid w:val="00463253"/>
    <w:rsid w:val="00463480"/>
    <w:rsid w:val="00464A94"/>
    <w:rsid w:val="0046528A"/>
    <w:rsid w:val="00465CFF"/>
    <w:rsid w:val="0046666B"/>
    <w:rsid w:val="00466C36"/>
    <w:rsid w:val="0047009B"/>
    <w:rsid w:val="004706CC"/>
    <w:rsid w:val="004714F8"/>
    <w:rsid w:val="0047247D"/>
    <w:rsid w:val="0047408B"/>
    <w:rsid w:val="00474770"/>
    <w:rsid w:val="00477391"/>
    <w:rsid w:val="00484C6D"/>
    <w:rsid w:val="004850B1"/>
    <w:rsid w:val="0048572A"/>
    <w:rsid w:val="0048692D"/>
    <w:rsid w:val="00487BAC"/>
    <w:rsid w:val="00490368"/>
    <w:rsid w:val="00490602"/>
    <w:rsid w:val="004952C4"/>
    <w:rsid w:val="004967A4"/>
    <w:rsid w:val="00497F79"/>
    <w:rsid w:val="004A148C"/>
    <w:rsid w:val="004A224B"/>
    <w:rsid w:val="004A57CD"/>
    <w:rsid w:val="004A7D5F"/>
    <w:rsid w:val="004B1AFE"/>
    <w:rsid w:val="004B2ACC"/>
    <w:rsid w:val="004B2B93"/>
    <w:rsid w:val="004B585B"/>
    <w:rsid w:val="004B58AC"/>
    <w:rsid w:val="004B75AC"/>
    <w:rsid w:val="004B79B5"/>
    <w:rsid w:val="004C0300"/>
    <w:rsid w:val="004C09FD"/>
    <w:rsid w:val="004C1D17"/>
    <w:rsid w:val="004C253A"/>
    <w:rsid w:val="004C2697"/>
    <w:rsid w:val="004C2B7A"/>
    <w:rsid w:val="004C3644"/>
    <w:rsid w:val="004C5C89"/>
    <w:rsid w:val="004C604D"/>
    <w:rsid w:val="004C6A23"/>
    <w:rsid w:val="004C7D60"/>
    <w:rsid w:val="004D12DD"/>
    <w:rsid w:val="004D1328"/>
    <w:rsid w:val="004D392E"/>
    <w:rsid w:val="004D66B4"/>
    <w:rsid w:val="004D6DB1"/>
    <w:rsid w:val="004E01AB"/>
    <w:rsid w:val="004E0242"/>
    <w:rsid w:val="004E0BC5"/>
    <w:rsid w:val="004E0CFB"/>
    <w:rsid w:val="004E113D"/>
    <w:rsid w:val="004E1469"/>
    <w:rsid w:val="004E37FB"/>
    <w:rsid w:val="004E5778"/>
    <w:rsid w:val="004E5B90"/>
    <w:rsid w:val="004E7ED8"/>
    <w:rsid w:val="004F0FDD"/>
    <w:rsid w:val="004F1139"/>
    <w:rsid w:val="004F4529"/>
    <w:rsid w:val="004F5D5A"/>
    <w:rsid w:val="004F6C79"/>
    <w:rsid w:val="004F6ECD"/>
    <w:rsid w:val="005002AE"/>
    <w:rsid w:val="005012F3"/>
    <w:rsid w:val="0050376D"/>
    <w:rsid w:val="00503A64"/>
    <w:rsid w:val="00506040"/>
    <w:rsid w:val="00511611"/>
    <w:rsid w:val="00512966"/>
    <w:rsid w:val="00512C25"/>
    <w:rsid w:val="00513C76"/>
    <w:rsid w:val="005142F9"/>
    <w:rsid w:val="00514363"/>
    <w:rsid w:val="0052323C"/>
    <w:rsid w:val="005257B6"/>
    <w:rsid w:val="005302CB"/>
    <w:rsid w:val="00530787"/>
    <w:rsid w:val="005315C3"/>
    <w:rsid w:val="00531F2F"/>
    <w:rsid w:val="005325AE"/>
    <w:rsid w:val="00533FDB"/>
    <w:rsid w:val="0053705D"/>
    <w:rsid w:val="00540F3B"/>
    <w:rsid w:val="005417CF"/>
    <w:rsid w:val="00541E3F"/>
    <w:rsid w:val="00543D63"/>
    <w:rsid w:val="00543EAD"/>
    <w:rsid w:val="00544705"/>
    <w:rsid w:val="00544F7E"/>
    <w:rsid w:val="00545D10"/>
    <w:rsid w:val="00546BBA"/>
    <w:rsid w:val="00547A3A"/>
    <w:rsid w:val="00551362"/>
    <w:rsid w:val="00551622"/>
    <w:rsid w:val="00553820"/>
    <w:rsid w:val="0055434C"/>
    <w:rsid w:val="00555C19"/>
    <w:rsid w:val="00555DD5"/>
    <w:rsid w:val="005561B3"/>
    <w:rsid w:val="00556708"/>
    <w:rsid w:val="00557E0E"/>
    <w:rsid w:val="0056206A"/>
    <w:rsid w:val="0056208C"/>
    <w:rsid w:val="00563347"/>
    <w:rsid w:val="00566B9C"/>
    <w:rsid w:val="00570553"/>
    <w:rsid w:val="00571EEF"/>
    <w:rsid w:val="00571F74"/>
    <w:rsid w:val="00572D76"/>
    <w:rsid w:val="005746DE"/>
    <w:rsid w:val="00574B14"/>
    <w:rsid w:val="00575323"/>
    <w:rsid w:val="00576A10"/>
    <w:rsid w:val="005770A0"/>
    <w:rsid w:val="00580572"/>
    <w:rsid w:val="00582026"/>
    <w:rsid w:val="00582365"/>
    <w:rsid w:val="005824ED"/>
    <w:rsid w:val="005827E8"/>
    <w:rsid w:val="0058475F"/>
    <w:rsid w:val="00585177"/>
    <w:rsid w:val="00585E46"/>
    <w:rsid w:val="005872C3"/>
    <w:rsid w:val="00587E47"/>
    <w:rsid w:val="00587E4A"/>
    <w:rsid w:val="00591283"/>
    <w:rsid w:val="00591332"/>
    <w:rsid w:val="00596FAE"/>
    <w:rsid w:val="005A2940"/>
    <w:rsid w:val="005A6016"/>
    <w:rsid w:val="005A61CE"/>
    <w:rsid w:val="005A70DD"/>
    <w:rsid w:val="005A7E5A"/>
    <w:rsid w:val="005B1285"/>
    <w:rsid w:val="005B13AD"/>
    <w:rsid w:val="005B1410"/>
    <w:rsid w:val="005B1E83"/>
    <w:rsid w:val="005B2A36"/>
    <w:rsid w:val="005B4A16"/>
    <w:rsid w:val="005C07C1"/>
    <w:rsid w:val="005C1270"/>
    <w:rsid w:val="005C1F37"/>
    <w:rsid w:val="005C23D6"/>
    <w:rsid w:val="005C3712"/>
    <w:rsid w:val="005C49D7"/>
    <w:rsid w:val="005D16B7"/>
    <w:rsid w:val="005D1940"/>
    <w:rsid w:val="005D2421"/>
    <w:rsid w:val="005D468F"/>
    <w:rsid w:val="005D4A40"/>
    <w:rsid w:val="005D54AD"/>
    <w:rsid w:val="005D67A5"/>
    <w:rsid w:val="005E0CF7"/>
    <w:rsid w:val="005E0D95"/>
    <w:rsid w:val="005E1CA1"/>
    <w:rsid w:val="005E2179"/>
    <w:rsid w:val="005E28F8"/>
    <w:rsid w:val="005E493B"/>
    <w:rsid w:val="005E564D"/>
    <w:rsid w:val="005E59E9"/>
    <w:rsid w:val="005E7A16"/>
    <w:rsid w:val="005F1F28"/>
    <w:rsid w:val="005F2951"/>
    <w:rsid w:val="005F29FB"/>
    <w:rsid w:val="005F32DB"/>
    <w:rsid w:val="005F53A6"/>
    <w:rsid w:val="005F5766"/>
    <w:rsid w:val="005F6A31"/>
    <w:rsid w:val="005F6BE7"/>
    <w:rsid w:val="005F6EC7"/>
    <w:rsid w:val="006004F5"/>
    <w:rsid w:val="00604A13"/>
    <w:rsid w:val="0060550B"/>
    <w:rsid w:val="00605F0D"/>
    <w:rsid w:val="0060607E"/>
    <w:rsid w:val="00606ED7"/>
    <w:rsid w:val="006073C1"/>
    <w:rsid w:val="00607566"/>
    <w:rsid w:val="0061006C"/>
    <w:rsid w:val="0061081E"/>
    <w:rsid w:val="00611EAB"/>
    <w:rsid w:val="00613716"/>
    <w:rsid w:val="00613B7A"/>
    <w:rsid w:val="00613F43"/>
    <w:rsid w:val="006141FB"/>
    <w:rsid w:val="006164C3"/>
    <w:rsid w:val="00620028"/>
    <w:rsid w:val="0062089B"/>
    <w:rsid w:val="00620EE9"/>
    <w:rsid w:val="00623254"/>
    <w:rsid w:val="00623392"/>
    <w:rsid w:val="00624DDC"/>
    <w:rsid w:val="006253B6"/>
    <w:rsid w:val="00625554"/>
    <w:rsid w:val="006257ED"/>
    <w:rsid w:val="0062686E"/>
    <w:rsid w:val="00627E48"/>
    <w:rsid w:val="00630B30"/>
    <w:rsid w:val="006314DC"/>
    <w:rsid w:val="00631E89"/>
    <w:rsid w:val="00632FA2"/>
    <w:rsid w:val="00635F7C"/>
    <w:rsid w:val="00641298"/>
    <w:rsid w:val="006416D9"/>
    <w:rsid w:val="0064374F"/>
    <w:rsid w:val="00643D32"/>
    <w:rsid w:val="00644C97"/>
    <w:rsid w:val="006461EE"/>
    <w:rsid w:val="00646358"/>
    <w:rsid w:val="00647156"/>
    <w:rsid w:val="006506F0"/>
    <w:rsid w:val="00651200"/>
    <w:rsid w:val="00651FF6"/>
    <w:rsid w:val="00654347"/>
    <w:rsid w:val="0065523A"/>
    <w:rsid w:val="00657C92"/>
    <w:rsid w:val="00660873"/>
    <w:rsid w:val="00660993"/>
    <w:rsid w:val="00661620"/>
    <w:rsid w:val="00661E2A"/>
    <w:rsid w:val="00663C44"/>
    <w:rsid w:val="006664BA"/>
    <w:rsid w:val="0067009C"/>
    <w:rsid w:val="00673E6C"/>
    <w:rsid w:val="00675DF4"/>
    <w:rsid w:val="0067636C"/>
    <w:rsid w:val="00681577"/>
    <w:rsid w:val="006824B1"/>
    <w:rsid w:val="0068303E"/>
    <w:rsid w:val="0068383E"/>
    <w:rsid w:val="00687799"/>
    <w:rsid w:val="00690646"/>
    <w:rsid w:val="00691C97"/>
    <w:rsid w:val="00691D5E"/>
    <w:rsid w:val="006922D9"/>
    <w:rsid w:val="00692ABD"/>
    <w:rsid w:val="00692C93"/>
    <w:rsid w:val="00693289"/>
    <w:rsid w:val="006938EF"/>
    <w:rsid w:val="006961ED"/>
    <w:rsid w:val="006A0B30"/>
    <w:rsid w:val="006A0EA1"/>
    <w:rsid w:val="006A3A16"/>
    <w:rsid w:val="006A4D02"/>
    <w:rsid w:val="006B1BF9"/>
    <w:rsid w:val="006B2EC0"/>
    <w:rsid w:val="006B309A"/>
    <w:rsid w:val="006B31DA"/>
    <w:rsid w:val="006B34FB"/>
    <w:rsid w:val="006B3F12"/>
    <w:rsid w:val="006B4F13"/>
    <w:rsid w:val="006B53F1"/>
    <w:rsid w:val="006B6037"/>
    <w:rsid w:val="006B6E12"/>
    <w:rsid w:val="006C0E56"/>
    <w:rsid w:val="006C14FB"/>
    <w:rsid w:val="006C38C0"/>
    <w:rsid w:val="006C3EC5"/>
    <w:rsid w:val="006C43C6"/>
    <w:rsid w:val="006D13F6"/>
    <w:rsid w:val="006D1C73"/>
    <w:rsid w:val="006D6745"/>
    <w:rsid w:val="006D780E"/>
    <w:rsid w:val="006D7B88"/>
    <w:rsid w:val="006D7F8F"/>
    <w:rsid w:val="006E1665"/>
    <w:rsid w:val="006E3527"/>
    <w:rsid w:val="006E49E6"/>
    <w:rsid w:val="006E4F82"/>
    <w:rsid w:val="006E5CA4"/>
    <w:rsid w:val="006E637A"/>
    <w:rsid w:val="006E7513"/>
    <w:rsid w:val="006E79CE"/>
    <w:rsid w:val="006E7B5F"/>
    <w:rsid w:val="006F1593"/>
    <w:rsid w:val="006F4DB7"/>
    <w:rsid w:val="006F6343"/>
    <w:rsid w:val="006F7A57"/>
    <w:rsid w:val="0070307F"/>
    <w:rsid w:val="00714EBD"/>
    <w:rsid w:val="00716419"/>
    <w:rsid w:val="00716630"/>
    <w:rsid w:val="007168ED"/>
    <w:rsid w:val="007179FF"/>
    <w:rsid w:val="00717BDC"/>
    <w:rsid w:val="00717DCD"/>
    <w:rsid w:val="0072362B"/>
    <w:rsid w:val="00723A28"/>
    <w:rsid w:val="007244AF"/>
    <w:rsid w:val="00725C47"/>
    <w:rsid w:val="00725C71"/>
    <w:rsid w:val="00730E2A"/>
    <w:rsid w:val="00734404"/>
    <w:rsid w:val="00736261"/>
    <w:rsid w:val="00736B62"/>
    <w:rsid w:val="007428EC"/>
    <w:rsid w:val="00743623"/>
    <w:rsid w:val="0074427B"/>
    <w:rsid w:val="00752838"/>
    <w:rsid w:val="00752C38"/>
    <w:rsid w:val="007547C8"/>
    <w:rsid w:val="0075673A"/>
    <w:rsid w:val="0075777C"/>
    <w:rsid w:val="0076089E"/>
    <w:rsid w:val="0076159F"/>
    <w:rsid w:val="007644F5"/>
    <w:rsid w:val="0076465C"/>
    <w:rsid w:val="007649A3"/>
    <w:rsid w:val="00764C85"/>
    <w:rsid w:val="00765CEF"/>
    <w:rsid w:val="00766A82"/>
    <w:rsid w:val="00771A45"/>
    <w:rsid w:val="00772181"/>
    <w:rsid w:val="00773001"/>
    <w:rsid w:val="007733D5"/>
    <w:rsid w:val="00774B1B"/>
    <w:rsid w:val="00777F23"/>
    <w:rsid w:val="00783E5B"/>
    <w:rsid w:val="007856FF"/>
    <w:rsid w:val="00787B83"/>
    <w:rsid w:val="00790B00"/>
    <w:rsid w:val="00793E3E"/>
    <w:rsid w:val="0079457A"/>
    <w:rsid w:val="0079518C"/>
    <w:rsid w:val="00795768"/>
    <w:rsid w:val="00796523"/>
    <w:rsid w:val="00796B70"/>
    <w:rsid w:val="007A21DF"/>
    <w:rsid w:val="007A29C5"/>
    <w:rsid w:val="007A500D"/>
    <w:rsid w:val="007A7331"/>
    <w:rsid w:val="007B107C"/>
    <w:rsid w:val="007B1C9A"/>
    <w:rsid w:val="007C2177"/>
    <w:rsid w:val="007C40ED"/>
    <w:rsid w:val="007C4172"/>
    <w:rsid w:val="007C4F33"/>
    <w:rsid w:val="007C6176"/>
    <w:rsid w:val="007C7B4B"/>
    <w:rsid w:val="007D268F"/>
    <w:rsid w:val="007D3540"/>
    <w:rsid w:val="007D4FDF"/>
    <w:rsid w:val="007D58FB"/>
    <w:rsid w:val="007D6B59"/>
    <w:rsid w:val="007E73DA"/>
    <w:rsid w:val="007F039F"/>
    <w:rsid w:val="007F0C44"/>
    <w:rsid w:val="007F1CDC"/>
    <w:rsid w:val="007F271D"/>
    <w:rsid w:val="007F4246"/>
    <w:rsid w:val="007F68D3"/>
    <w:rsid w:val="007F72D4"/>
    <w:rsid w:val="007F7847"/>
    <w:rsid w:val="007F7E97"/>
    <w:rsid w:val="00800636"/>
    <w:rsid w:val="00801E74"/>
    <w:rsid w:val="00803009"/>
    <w:rsid w:val="008035E9"/>
    <w:rsid w:val="00805FCE"/>
    <w:rsid w:val="00820637"/>
    <w:rsid w:val="00822564"/>
    <w:rsid w:val="00823428"/>
    <w:rsid w:val="00825388"/>
    <w:rsid w:val="008257C1"/>
    <w:rsid w:val="0083419F"/>
    <w:rsid w:val="00835A14"/>
    <w:rsid w:val="008369BA"/>
    <w:rsid w:val="00837C1E"/>
    <w:rsid w:val="00840079"/>
    <w:rsid w:val="00840D32"/>
    <w:rsid w:val="00843933"/>
    <w:rsid w:val="00844695"/>
    <w:rsid w:val="0084656E"/>
    <w:rsid w:val="0084670F"/>
    <w:rsid w:val="0084714F"/>
    <w:rsid w:val="00847A81"/>
    <w:rsid w:val="008514B6"/>
    <w:rsid w:val="00851C21"/>
    <w:rsid w:val="00852DB7"/>
    <w:rsid w:val="008537D8"/>
    <w:rsid w:val="008541B3"/>
    <w:rsid w:val="00854670"/>
    <w:rsid w:val="00855E0E"/>
    <w:rsid w:val="00855F2F"/>
    <w:rsid w:val="008567CC"/>
    <w:rsid w:val="00857E36"/>
    <w:rsid w:val="0086009D"/>
    <w:rsid w:val="00860834"/>
    <w:rsid w:val="00862D14"/>
    <w:rsid w:val="00864BF5"/>
    <w:rsid w:val="00864C1F"/>
    <w:rsid w:val="008662DD"/>
    <w:rsid w:val="0086670D"/>
    <w:rsid w:val="00870FA1"/>
    <w:rsid w:val="008728A9"/>
    <w:rsid w:val="00873C0E"/>
    <w:rsid w:val="00875002"/>
    <w:rsid w:val="00875220"/>
    <w:rsid w:val="00875CEF"/>
    <w:rsid w:val="00876802"/>
    <w:rsid w:val="00877DEF"/>
    <w:rsid w:val="00881C16"/>
    <w:rsid w:val="00882F33"/>
    <w:rsid w:val="00882F38"/>
    <w:rsid w:val="00884133"/>
    <w:rsid w:val="00887F7C"/>
    <w:rsid w:val="00891CD9"/>
    <w:rsid w:val="00891DC1"/>
    <w:rsid w:val="00897160"/>
    <w:rsid w:val="00897B4D"/>
    <w:rsid w:val="008A040A"/>
    <w:rsid w:val="008A1B82"/>
    <w:rsid w:val="008A1D34"/>
    <w:rsid w:val="008A274F"/>
    <w:rsid w:val="008A2CDC"/>
    <w:rsid w:val="008A5E8C"/>
    <w:rsid w:val="008A6B54"/>
    <w:rsid w:val="008A7DFA"/>
    <w:rsid w:val="008B006C"/>
    <w:rsid w:val="008B175B"/>
    <w:rsid w:val="008B2F67"/>
    <w:rsid w:val="008B47FC"/>
    <w:rsid w:val="008B5108"/>
    <w:rsid w:val="008B546B"/>
    <w:rsid w:val="008C18DF"/>
    <w:rsid w:val="008C2329"/>
    <w:rsid w:val="008C31C7"/>
    <w:rsid w:val="008C5D83"/>
    <w:rsid w:val="008C7A2A"/>
    <w:rsid w:val="008D55D2"/>
    <w:rsid w:val="008D68DD"/>
    <w:rsid w:val="008D770D"/>
    <w:rsid w:val="008D798F"/>
    <w:rsid w:val="008E0239"/>
    <w:rsid w:val="008E16AB"/>
    <w:rsid w:val="008E1C1E"/>
    <w:rsid w:val="008E3332"/>
    <w:rsid w:val="008E42E8"/>
    <w:rsid w:val="008E4352"/>
    <w:rsid w:val="008E4718"/>
    <w:rsid w:val="008E6B96"/>
    <w:rsid w:val="008F002D"/>
    <w:rsid w:val="008F18B3"/>
    <w:rsid w:val="008F2446"/>
    <w:rsid w:val="008F3402"/>
    <w:rsid w:val="008F385A"/>
    <w:rsid w:val="008F45A5"/>
    <w:rsid w:val="008F72E9"/>
    <w:rsid w:val="008F7FF5"/>
    <w:rsid w:val="00900ED2"/>
    <w:rsid w:val="00901040"/>
    <w:rsid w:val="009013D7"/>
    <w:rsid w:val="009015AC"/>
    <w:rsid w:val="00901C47"/>
    <w:rsid w:val="00901E1B"/>
    <w:rsid w:val="00902591"/>
    <w:rsid w:val="00902663"/>
    <w:rsid w:val="00903DEE"/>
    <w:rsid w:val="009049AD"/>
    <w:rsid w:val="00904D40"/>
    <w:rsid w:val="00910792"/>
    <w:rsid w:val="00910914"/>
    <w:rsid w:val="00914756"/>
    <w:rsid w:val="00916BF3"/>
    <w:rsid w:val="00917992"/>
    <w:rsid w:val="00921B03"/>
    <w:rsid w:val="00923F25"/>
    <w:rsid w:val="00924C00"/>
    <w:rsid w:val="009317D5"/>
    <w:rsid w:val="009321BA"/>
    <w:rsid w:val="00934081"/>
    <w:rsid w:val="00934E4C"/>
    <w:rsid w:val="0093641D"/>
    <w:rsid w:val="00937CDE"/>
    <w:rsid w:val="009413BF"/>
    <w:rsid w:val="009416E2"/>
    <w:rsid w:val="00941755"/>
    <w:rsid w:val="009426CA"/>
    <w:rsid w:val="009430F2"/>
    <w:rsid w:val="00943108"/>
    <w:rsid w:val="00944155"/>
    <w:rsid w:val="009446A7"/>
    <w:rsid w:val="00944713"/>
    <w:rsid w:val="00946871"/>
    <w:rsid w:val="00951DA9"/>
    <w:rsid w:val="009522AB"/>
    <w:rsid w:val="0095317E"/>
    <w:rsid w:val="00953579"/>
    <w:rsid w:val="009537D2"/>
    <w:rsid w:val="009540B7"/>
    <w:rsid w:val="00954CDA"/>
    <w:rsid w:val="00957B1D"/>
    <w:rsid w:val="009618FD"/>
    <w:rsid w:val="00963503"/>
    <w:rsid w:val="009635B4"/>
    <w:rsid w:val="009646BE"/>
    <w:rsid w:val="0096576B"/>
    <w:rsid w:val="00965DBD"/>
    <w:rsid w:val="0096750F"/>
    <w:rsid w:val="00971944"/>
    <w:rsid w:val="00971BE2"/>
    <w:rsid w:val="009725B4"/>
    <w:rsid w:val="00972A4B"/>
    <w:rsid w:val="00975311"/>
    <w:rsid w:val="00975E03"/>
    <w:rsid w:val="009761BC"/>
    <w:rsid w:val="009815C6"/>
    <w:rsid w:val="00984CA5"/>
    <w:rsid w:val="00984D32"/>
    <w:rsid w:val="00985105"/>
    <w:rsid w:val="009855C4"/>
    <w:rsid w:val="00985B12"/>
    <w:rsid w:val="00985C9E"/>
    <w:rsid w:val="00987D95"/>
    <w:rsid w:val="00990008"/>
    <w:rsid w:val="00991099"/>
    <w:rsid w:val="009912A0"/>
    <w:rsid w:val="00991ECD"/>
    <w:rsid w:val="00992889"/>
    <w:rsid w:val="00995162"/>
    <w:rsid w:val="009952D6"/>
    <w:rsid w:val="00995791"/>
    <w:rsid w:val="00995C28"/>
    <w:rsid w:val="00996201"/>
    <w:rsid w:val="009A0274"/>
    <w:rsid w:val="009A0F77"/>
    <w:rsid w:val="009A14CA"/>
    <w:rsid w:val="009A166C"/>
    <w:rsid w:val="009A39E1"/>
    <w:rsid w:val="009A3AD8"/>
    <w:rsid w:val="009A48DB"/>
    <w:rsid w:val="009A6EE8"/>
    <w:rsid w:val="009A70FF"/>
    <w:rsid w:val="009A7B15"/>
    <w:rsid w:val="009B0439"/>
    <w:rsid w:val="009B0F58"/>
    <w:rsid w:val="009B104F"/>
    <w:rsid w:val="009B1999"/>
    <w:rsid w:val="009B3609"/>
    <w:rsid w:val="009B3A40"/>
    <w:rsid w:val="009B6BBB"/>
    <w:rsid w:val="009B6BF6"/>
    <w:rsid w:val="009C0A7A"/>
    <w:rsid w:val="009C2254"/>
    <w:rsid w:val="009C3380"/>
    <w:rsid w:val="009C4B12"/>
    <w:rsid w:val="009C78A7"/>
    <w:rsid w:val="009D0CD9"/>
    <w:rsid w:val="009D3154"/>
    <w:rsid w:val="009D52F1"/>
    <w:rsid w:val="009D66DE"/>
    <w:rsid w:val="009D7157"/>
    <w:rsid w:val="009E06B9"/>
    <w:rsid w:val="009E0A7E"/>
    <w:rsid w:val="009E141B"/>
    <w:rsid w:val="009E2159"/>
    <w:rsid w:val="009E21D2"/>
    <w:rsid w:val="009E2935"/>
    <w:rsid w:val="009E4AAB"/>
    <w:rsid w:val="009E7E38"/>
    <w:rsid w:val="009F0E47"/>
    <w:rsid w:val="009F265B"/>
    <w:rsid w:val="009F2CD9"/>
    <w:rsid w:val="009F2F16"/>
    <w:rsid w:val="009F30B9"/>
    <w:rsid w:val="009F32CD"/>
    <w:rsid w:val="009F335B"/>
    <w:rsid w:val="009F482C"/>
    <w:rsid w:val="009F68DB"/>
    <w:rsid w:val="00A00FA4"/>
    <w:rsid w:val="00A01671"/>
    <w:rsid w:val="00A0190A"/>
    <w:rsid w:val="00A020BC"/>
    <w:rsid w:val="00A03032"/>
    <w:rsid w:val="00A03E3F"/>
    <w:rsid w:val="00A10201"/>
    <w:rsid w:val="00A1108E"/>
    <w:rsid w:val="00A139EB"/>
    <w:rsid w:val="00A144BD"/>
    <w:rsid w:val="00A160FA"/>
    <w:rsid w:val="00A171A7"/>
    <w:rsid w:val="00A209C2"/>
    <w:rsid w:val="00A2305C"/>
    <w:rsid w:val="00A23939"/>
    <w:rsid w:val="00A24335"/>
    <w:rsid w:val="00A24C4C"/>
    <w:rsid w:val="00A24E5C"/>
    <w:rsid w:val="00A25051"/>
    <w:rsid w:val="00A27CD0"/>
    <w:rsid w:val="00A30208"/>
    <w:rsid w:val="00A34700"/>
    <w:rsid w:val="00A3504E"/>
    <w:rsid w:val="00A3520C"/>
    <w:rsid w:val="00A357C6"/>
    <w:rsid w:val="00A362B6"/>
    <w:rsid w:val="00A367C4"/>
    <w:rsid w:val="00A36C87"/>
    <w:rsid w:val="00A42C71"/>
    <w:rsid w:val="00A447D5"/>
    <w:rsid w:val="00A470D9"/>
    <w:rsid w:val="00A479EA"/>
    <w:rsid w:val="00A50BB4"/>
    <w:rsid w:val="00A50DE6"/>
    <w:rsid w:val="00A5190B"/>
    <w:rsid w:val="00A5277A"/>
    <w:rsid w:val="00A55255"/>
    <w:rsid w:val="00A557C4"/>
    <w:rsid w:val="00A619DA"/>
    <w:rsid w:val="00A636BD"/>
    <w:rsid w:val="00A654A7"/>
    <w:rsid w:val="00A658F0"/>
    <w:rsid w:val="00A673BA"/>
    <w:rsid w:val="00A67DFF"/>
    <w:rsid w:val="00A67E56"/>
    <w:rsid w:val="00A71475"/>
    <w:rsid w:val="00A714DC"/>
    <w:rsid w:val="00A7179C"/>
    <w:rsid w:val="00A72005"/>
    <w:rsid w:val="00A736F4"/>
    <w:rsid w:val="00A738FB"/>
    <w:rsid w:val="00A74070"/>
    <w:rsid w:val="00A74619"/>
    <w:rsid w:val="00A761CB"/>
    <w:rsid w:val="00A77492"/>
    <w:rsid w:val="00A77FA6"/>
    <w:rsid w:val="00A802ED"/>
    <w:rsid w:val="00A82613"/>
    <w:rsid w:val="00A837C2"/>
    <w:rsid w:val="00A85701"/>
    <w:rsid w:val="00A87BBD"/>
    <w:rsid w:val="00A933DD"/>
    <w:rsid w:val="00A93CD8"/>
    <w:rsid w:val="00A946CE"/>
    <w:rsid w:val="00A94ECC"/>
    <w:rsid w:val="00A95BE9"/>
    <w:rsid w:val="00A95F49"/>
    <w:rsid w:val="00A9604F"/>
    <w:rsid w:val="00A9625E"/>
    <w:rsid w:val="00AA0A69"/>
    <w:rsid w:val="00AA19E7"/>
    <w:rsid w:val="00AA1C50"/>
    <w:rsid w:val="00AA2180"/>
    <w:rsid w:val="00AA40FD"/>
    <w:rsid w:val="00AA678E"/>
    <w:rsid w:val="00AA745D"/>
    <w:rsid w:val="00AB2074"/>
    <w:rsid w:val="00AB4474"/>
    <w:rsid w:val="00AB7195"/>
    <w:rsid w:val="00AB7D2B"/>
    <w:rsid w:val="00AB7ED3"/>
    <w:rsid w:val="00AC019C"/>
    <w:rsid w:val="00AC0CC7"/>
    <w:rsid w:val="00AC41AF"/>
    <w:rsid w:val="00AC61EC"/>
    <w:rsid w:val="00AC74A8"/>
    <w:rsid w:val="00AC7797"/>
    <w:rsid w:val="00AC7813"/>
    <w:rsid w:val="00AC7E5C"/>
    <w:rsid w:val="00AD018B"/>
    <w:rsid w:val="00AD0A89"/>
    <w:rsid w:val="00AD0F03"/>
    <w:rsid w:val="00AD1B68"/>
    <w:rsid w:val="00AD1CF4"/>
    <w:rsid w:val="00AD2DE1"/>
    <w:rsid w:val="00AD3261"/>
    <w:rsid w:val="00AD4355"/>
    <w:rsid w:val="00AD482E"/>
    <w:rsid w:val="00AD5EEE"/>
    <w:rsid w:val="00AE11BE"/>
    <w:rsid w:val="00AE1F37"/>
    <w:rsid w:val="00AE24E4"/>
    <w:rsid w:val="00AE33C6"/>
    <w:rsid w:val="00AE3D03"/>
    <w:rsid w:val="00AE3E0A"/>
    <w:rsid w:val="00AE3F5F"/>
    <w:rsid w:val="00AE646D"/>
    <w:rsid w:val="00AE65EE"/>
    <w:rsid w:val="00AF0985"/>
    <w:rsid w:val="00AF1902"/>
    <w:rsid w:val="00AF225C"/>
    <w:rsid w:val="00AF318C"/>
    <w:rsid w:val="00AF3F44"/>
    <w:rsid w:val="00B03776"/>
    <w:rsid w:val="00B04724"/>
    <w:rsid w:val="00B04A2F"/>
    <w:rsid w:val="00B06BF3"/>
    <w:rsid w:val="00B06ED2"/>
    <w:rsid w:val="00B07672"/>
    <w:rsid w:val="00B105FC"/>
    <w:rsid w:val="00B10DA5"/>
    <w:rsid w:val="00B13DC4"/>
    <w:rsid w:val="00B14CF4"/>
    <w:rsid w:val="00B17286"/>
    <w:rsid w:val="00B17B7C"/>
    <w:rsid w:val="00B22F56"/>
    <w:rsid w:val="00B23277"/>
    <w:rsid w:val="00B243B2"/>
    <w:rsid w:val="00B245AD"/>
    <w:rsid w:val="00B249C4"/>
    <w:rsid w:val="00B25EF5"/>
    <w:rsid w:val="00B26F53"/>
    <w:rsid w:val="00B304A4"/>
    <w:rsid w:val="00B34068"/>
    <w:rsid w:val="00B36FB7"/>
    <w:rsid w:val="00B4031D"/>
    <w:rsid w:val="00B41099"/>
    <w:rsid w:val="00B4142B"/>
    <w:rsid w:val="00B4182B"/>
    <w:rsid w:val="00B41C61"/>
    <w:rsid w:val="00B43073"/>
    <w:rsid w:val="00B44006"/>
    <w:rsid w:val="00B53477"/>
    <w:rsid w:val="00B55E54"/>
    <w:rsid w:val="00B5650E"/>
    <w:rsid w:val="00B56589"/>
    <w:rsid w:val="00B56C37"/>
    <w:rsid w:val="00B57DCB"/>
    <w:rsid w:val="00B6065A"/>
    <w:rsid w:val="00B6248D"/>
    <w:rsid w:val="00B628E2"/>
    <w:rsid w:val="00B6349D"/>
    <w:rsid w:val="00B64D05"/>
    <w:rsid w:val="00B65199"/>
    <w:rsid w:val="00B65E92"/>
    <w:rsid w:val="00B6609C"/>
    <w:rsid w:val="00B66201"/>
    <w:rsid w:val="00B671A4"/>
    <w:rsid w:val="00B676DB"/>
    <w:rsid w:val="00B67B8A"/>
    <w:rsid w:val="00B70437"/>
    <w:rsid w:val="00B70460"/>
    <w:rsid w:val="00B71A92"/>
    <w:rsid w:val="00B72C64"/>
    <w:rsid w:val="00B7325C"/>
    <w:rsid w:val="00B733E3"/>
    <w:rsid w:val="00B736BA"/>
    <w:rsid w:val="00B73798"/>
    <w:rsid w:val="00B740AE"/>
    <w:rsid w:val="00B74552"/>
    <w:rsid w:val="00B77A18"/>
    <w:rsid w:val="00B80876"/>
    <w:rsid w:val="00B80FBA"/>
    <w:rsid w:val="00B81BED"/>
    <w:rsid w:val="00B833B8"/>
    <w:rsid w:val="00B8406B"/>
    <w:rsid w:val="00B90EF6"/>
    <w:rsid w:val="00B9376C"/>
    <w:rsid w:val="00B9441B"/>
    <w:rsid w:val="00B95ADD"/>
    <w:rsid w:val="00B95D26"/>
    <w:rsid w:val="00B9784B"/>
    <w:rsid w:val="00B9789D"/>
    <w:rsid w:val="00BA5034"/>
    <w:rsid w:val="00BB0CE2"/>
    <w:rsid w:val="00BB2DF3"/>
    <w:rsid w:val="00BB4AA2"/>
    <w:rsid w:val="00BB4B3D"/>
    <w:rsid w:val="00BB4BF8"/>
    <w:rsid w:val="00BB4C75"/>
    <w:rsid w:val="00BB5756"/>
    <w:rsid w:val="00BC5DE6"/>
    <w:rsid w:val="00BC71AD"/>
    <w:rsid w:val="00BC7A54"/>
    <w:rsid w:val="00BD0D45"/>
    <w:rsid w:val="00BD0D9C"/>
    <w:rsid w:val="00BD101E"/>
    <w:rsid w:val="00BD1D50"/>
    <w:rsid w:val="00BD2AA8"/>
    <w:rsid w:val="00BD5992"/>
    <w:rsid w:val="00BD5B7A"/>
    <w:rsid w:val="00BD702B"/>
    <w:rsid w:val="00BD7B78"/>
    <w:rsid w:val="00BE01B4"/>
    <w:rsid w:val="00BE08A9"/>
    <w:rsid w:val="00BE0BDE"/>
    <w:rsid w:val="00BE0D67"/>
    <w:rsid w:val="00BE26C1"/>
    <w:rsid w:val="00BE45BC"/>
    <w:rsid w:val="00BE773B"/>
    <w:rsid w:val="00BF14E5"/>
    <w:rsid w:val="00BF17C2"/>
    <w:rsid w:val="00BF3427"/>
    <w:rsid w:val="00BF58ED"/>
    <w:rsid w:val="00C02609"/>
    <w:rsid w:val="00C0270D"/>
    <w:rsid w:val="00C05352"/>
    <w:rsid w:val="00C06C11"/>
    <w:rsid w:val="00C07482"/>
    <w:rsid w:val="00C10849"/>
    <w:rsid w:val="00C11470"/>
    <w:rsid w:val="00C12B77"/>
    <w:rsid w:val="00C12C3F"/>
    <w:rsid w:val="00C13A8A"/>
    <w:rsid w:val="00C14C80"/>
    <w:rsid w:val="00C15BFA"/>
    <w:rsid w:val="00C15EE0"/>
    <w:rsid w:val="00C15F38"/>
    <w:rsid w:val="00C164E3"/>
    <w:rsid w:val="00C17F5F"/>
    <w:rsid w:val="00C20CC7"/>
    <w:rsid w:val="00C217F5"/>
    <w:rsid w:val="00C21EF3"/>
    <w:rsid w:val="00C22698"/>
    <w:rsid w:val="00C26BC9"/>
    <w:rsid w:val="00C27236"/>
    <w:rsid w:val="00C32404"/>
    <w:rsid w:val="00C32C8A"/>
    <w:rsid w:val="00C33425"/>
    <w:rsid w:val="00C410B3"/>
    <w:rsid w:val="00C415B8"/>
    <w:rsid w:val="00C41A40"/>
    <w:rsid w:val="00C426C4"/>
    <w:rsid w:val="00C42765"/>
    <w:rsid w:val="00C43244"/>
    <w:rsid w:val="00C444BF"/>
    <w:rsid w:val="00C474FE"/>
    <w:rsid w:val="00C5100D"/>
    <w:rsid w:val="00C564C3"/>
    <w:rsid w:val="00C572DB"/>
    <w:rsid w:val="00C575DD"/>
    <w:rsid w:val="00C60735"/>
    <w:rsid w:val="00C608F8"/>
    <w:rsid w:val="00C62814"/>
    <w:rsid w:val="00C642B5"/>
    <w:rsid w:val="00C64803"/>
    <w:rsid w:val="00C72FEE"/>
    <w:rsid w:val="00C73360"/>
    <w:rsid w:val="00C748ED"/>
    <w:rsid w:val="00C7626C"/>
    <w:rsid w:val="00C8176F"/>
    <w:rsid w:val="00C827E3"/>
    <w:rsid w:val="00C83599"/>
    <w:rsid w:val="00C859CE"/>
    <w:rsid w:val="00C86CB2"/>
    <w:rsid w:val="00C90B1C"/>
    <w:rsid w:val="00C90E50"/>
    <w:rsid w:val="00C91C71"/>
    <w:rsid w:val="00C91DB5"/>
    <w:rsid w:val="00C9451E"/>
    <w:rsid w:val="00C95126"/>
    <w:rsid w:val="00C951A3"/>
    <w:rsid w:val="00C975D2"/>
    <w:rsid w:val="00CA03B0"/>
    <w:rsid w:val="00CA068C"/>
    <w:rsid w:val="00CA131B"/>
    <w:rsid w:val="00CA1B94"/>
    <w:rsid w:val="00CA30D8"/>
    <w:rsid w:val="00CA4E33"/>
    <w:rsid w:val="00CA5395"/>
    <w:rsid w:val="00CA5E9B"/>
    <w:rsid w:val="00CA72A5"/>
    <w:rsid w:val="00CB25F1"/>
    <w:rsid w:val="00CB79A2"/>
    <w:rsid w:val="00CB7A23"/>
    <w:rsid w:val="00CC07BF"/>
    <w:rsid w:val="00CC17A0"/>
    <w:rsid w:val="00CC2D13"/>
    <w:rsid w:val="00CC4651"/>
    <w:rsid w:val="00CC5472"/>
    <w:rsid w:val="00CC558A"/>
    <w:rsid w:val="00CC5726"/>
    <w:rsid w:val="00CC6120"/>
    <w:rsid w:val="00CC654D"/>
    <w:rsid w:val="00CC79E7"/>
    <w:rsid w:val="00CD034F"/>
    <w:rsid w:val="00CD3550"/>
    <w:rsid w:val="00CD478B"/>
    <w:rsid w:val="00CD4900"/>
    <w:rsid w:val="00CD5B96"/>
    <w:rsid w:val="00CD7F61"/>
    <w:rsid w:val="00CE018E"/>
    <w:rsid w:val="00CE030C"/>
    <w:rsid w:val="00CE07BD"/>
    <w:rsid w:val="00CE19DD"/>
    <w:rsid w:val="00CE22BE"/>
    <w:rsid w:val="00CE3658"/>
    <w:rsid w:val="00CE4AB6"/>
    <w:rsid w:val="00CE71A6"/>
    <w:rsid w:val="00CE7A4A"/>
    <w:rsid w:val="00CE7F83"/>
    <w:rsid w:val="00CF0C91"/>
    <w:rsid w:val="00CF1019"/>
    <w:rsid w:val="00CF2E26"/>
    <w:rsid w:val="00CF4A11"/>
    <w:rsid w:val="00CF675D"/>
    <w:rsid w:val="00D02028"/>
    <w:rsid w:val="00D043EA"/>
    <w:rsid w:val="00D04C57"/>
    <w:rsid w:val="00D066C5"/>
    <w:rsid w:val="00D06DDF"/>
    <w:rsid w:val="00D07223"/>
    <w:rsid w:val="00D07797"/>
    <w:rsid w:val="00D1052C"/>
    <w:rsid w:val="00D114CF"/>
    <w:rsid w:val="00D1290D"/>
    <w:rsid w:val="00D1343F"/>
    <w:rsid w:val="00D13AA8"/>
    <w:rsid w:val="00D1436A"/>
    <w:rsid w:val="00D166E5"/>
    <w:rsid w:val="00D17799"/>
    <w:rsid w:val="00D239B5"/>
    <w:rsid w:val="00D27216"/>
    <w:rsid w:val="00D3028D"/>
    <w:rsid w:val="00D304B0"/>
    <w:rsid w:val="00D32B72"/>
    <w:rsid w:val="00D337E1"/>
    <w:rsid w:val="00D36459"/>
    <w:rsid w:val="00D3663A"/>
    <w:rsid w:val="00D37A5F"/>
    <w:rsid w:val="00D37F06"/>
    <w:rsid w:val="00D4033C"/>
    <w:rsid w:val="00D416D0"/>
    <w:rsid w:val="00D421A1"/>
    <w:rsid w:val="00D449A4"/>
    <w:rsid w:val="00D44D98"/>
    <w:rsid w:val="00D44F8B"/>
    <w:rsid w:val="00D45504"/>
    <w:rsid w:val="00D45D9B"/>
    <w:rsid w:val="00D467CF"/>
    <w:rsid w:val="00D47ED8"/>
    <w:rsid w:val="00D51B3A"/>
    <w:rsid w:val="00D51D36"/>
    <w:rsid w:val="00D5346A"/>
    <w:rsid w:val="00D55767"/>
    <w:rsid w:val="00D55F3A"/>
    <w:rsid w:val="00D61773"/>
    <w:rsid w:val="00D663E3"/>
    <w:rsid w:val="00D665E4"/>
    <w:rsid w:val="00D66BF8"/>
    <w:rsid w:val="00D70A84"/>
    <w:rsid w:val="00D71BA0"/>
    <w:rsid w:val="00D749DF"/>
    <w:rsid w:val="00D76A49"/>
    <w:rsid w:val="00D771F3"/>
    <w:rsid w:val="00D81DE3"/>
    <w:rsid w:val="00D81DE6"/>
    <w:rsid w:val="00D82755"/>
    <w:rsid w:val="00D82E67"/>
    <w:rsid w:val="00D82FF7"/>
    <w:rsid w:val="00D831AC"/>
    <w:rsid w:val="00D83DC7"/>
    <w:rsid w:val="00D83EB3"/>
    <w:rsid w:val="00D86F19"/>
    <w:rsid w:val="00D87640"/>
    <w:rsid w:val="00D87E56"/>
    <w:rsid w:val="00D9256A"/>
    <w:rsid w:val="00D9458D"/>
    <w:rsid w:val="00D948FF"/>
    <w:rsid w:val="00D94A53"/>
    <w:rsid w:val="00D95ADB"/>
    <w:rsid w:val="00D95E35"/>
    <w:rsid w:val="00D966B8"/>
    <w:rsid w:val="00D971EC"/>
    <w:rsid w:val="00D97926"/>
    <w:rsid w:val="00DA0318"/>
    <w:rsid w:val="00DA074F"/>
    <w:rsid w:val="00DA1889"/>
    <w:rsid w:val="00DA1DC9"/>
    <w:rsid w:val="00DA2269"/>
    <w:rsid w:val="00DA3557"/>
    <w:rsid w:val="00DA3939"/>
    <w:rsid w:val="00DA4701"/>
    <w:rsid w:val="00DA67D3"/>
    <w:rsid w:val="00DA725E"/>
    <w:rsid w:val="00DB0D76"/>
    <w:rsid w:val="00DB2AB8"/>
    <w:rsid w:val="00DB44EF"/>
    <w:rsid w:val="00DB45FD"/>
    <w:rsid w:val="00DB471C"/>
    <w:rsid w:val="00DB5258"/>
    <w:rsid w:val="00DC0466"/>
    <w:rsid w:val="00DC4749"/>
    <w:rsid w:val="00DC659A"/>
    <w:rsid w:val="00DC65F2"/>
    <w:rsid w:val="00DC6741"/>
    <w:rsid w:val="00DC7143"/>
    <w:rsid w:val="00DC7876"/>
    <w:rsid w:val="00DC7DD5"/>
    <w:rsid w:val="00DD046B"/>
    <w:rsid w:val="00DD0B60"/>
    <w:rsid w:val="00DD2B69"/>
    <w:rsid w:val="00DD65BB"/>
    <w:rsid w:val="00DD712E"/>
    <w:rsid w:val="00DE3D97"/>
    <w:rsid w:val="00DE3ED7"/>
    <w:rsid w:val="00DE6401"/>
    <w:rsid w:val="00DF050D"/>
    <w:rsid w:val="00DF1291"/>
    <w:rsid w:val="00DF29C0"/>
    <w:rsid w:val="00DF3470"/>
    <w:rsid w:val="00DF3B73"/>
    <w:rsid w:val="00DF41FF"/>
    <w:rsid w:val="00DF61DC"/>
    <w:rsid w:val="00E00022"/>
    <w:rsid w:val="00E0041D"/>
    <w:rsid w:val="00E01188"/>
    <w:rsid w:val="00E05B38"/>
    <w:rsid w:val="00E1189F"/>
    <w:rsid w:val="00E11EEF"/>
    <w:rsid w:val="00E138D6"/>
    <w:rsid w:val="00E138FB"/>
    <w:rsid w:val="00E1392C"/>
    <w:rsid w:val="00E16493"/>
    <w:rsid w:val="00E17539"/>
    <w:rsid w:val="00E20966"/>
    <w:rsid w:val="00E21C40"/>
    <w:rsid w:val="00E22AC6"/>
    <w:rsid w:val="00E23B87"/>
    <w:rsid w:val="00E24830"/>
    <w:rsid w:val="00E26026"/>
    <w:rsid w:val="00E26111"/>
    <w:rsid w:val="00E262DE"/>
    <w:rsid w:val="00E266D0"/>
    <w:rsid w:val="00E30C12"/>
    <w:rsid w:val="00E318A6"/>
    <w:rsid w:val="00E31B4F"/>
    <w:rsid w:val="00E3260B"/>
    <w:rsid w:val="00E32A86"/>
    <w:rsid w:val="00E32EA5"/>
    <w:rsid w:val="00E332F0"/>
    <w:rsid w:val="00E3691F"/>
    <w:rsid w:val="00E400CC"/>
    <w:rsid w:val="00E403D9"/>
    <w:rsid w:val="00E41C62"/>
    <w:rsid w:val="00E41EE9"/>
    <w:rsid w:val="00E42A23"/>
    <w:rsid w:val="00E4329B"/>
    <w:rsid w:val="00E45442"/>
    <w:rsid w:val="00E45A11"/>
    <w:rsid w:val="00E46102"/>
    <w:rsid w:val="00E461D4"/>
    <w:rsid w:val="00E47945"/>
    <w:rsid w:val="00E5252E"/>
    <w:rsid w:val="00E5569D"/>
    <w:rsid w:val="00E564A5"/>
    <w:rsid w:val="00E56979"/>
    <w:rsid w:val="00E57649"/>
    <w:rsid w:val="00E57B0A"/>
    <w:rsid w:val="00E62285"/>
    <w:rsid w:val="00E62819"/>
    <w:rsid w:val="00E65069"/>
    <w:rsid w:val="00E677F0"/>
    <w:rsid w:val="00E71E25"/>
    <w:rsid w:val="00E71E36"/>
    <w:rsid w:val="00E724BF"/>
    <w:rsid w:val="00E72895"/>
    <w:rsid w:val="00E74807"/>
    <w:rsid w:val="00E76831"/>
    <w:rsid w:val="00E76A06"/>
    <w:rsid w:val="00E7735A"/>
    <w:rsid w:val="00E77A30"/>
    <w:rsid w:val="00E8046F"/>
    <w:rsid w:val="00E80BDA"/>
    <w:rsid w:val="00E8154E"/>
    <w:rsid w:val="00E81CC4"/>
    <w:rsid w:val="00E844D2"/>
    <w:rsid w:val="00E8524B"/>
    <w:rsid w:val="00E87052"/>
    <w:rsid w:val="00E87218"/>
    <w:rsid w:val="00E9045F"/>
    <w:rsid w:val="00E91AF7"/>
    <w:rsid w:val="00E934CB"/>
    <w:rsid w:val="00EA0D4F"/>
    <w:rsid w:val="00EA1D4E"/>
    <w:rsid w:val="00EA405B"/>
    <w:rsid w:val="00EB2219"/>
    <w:rsid w:val="00EB2412"/>
    <w:rsid w:val="00EB2916"/>
    <w:rsid w:val="00EB3540"/>
    <w:rsid w:val="00EB4C26"/>
    <w:rsid w:val="00EB6134"/>
    <w:rsid w:val="00EB6638"/>
    <w:rsid w:val="00EB74A3"/>
    <w:rsid w:val="00EC0DC4"/>
    <w:rsid w:val="00EC1836"/>
    <w:rsid w:val="00EC1A6C"/>
    <w:rsid w:val="00EC1E15"/>
    <w:rsid w:val="00EC2DB8"/>
    <w:rsid w:val="00EC3E7F"/>
    <w:rsid w:val="00EC4A12"/>
    <w:rsid w:val="00EC636C"/>
    <w:rsid w:val="00EC6567"/>
    <w:rsid w:val="00ED0684"/>
    <w:rsid w:val="00ED15B6"/>
    <w:rsid w:val="00ED174D"/>
    <w:rsid w:val="00ED220B"/>
    <w:rsid w:val="00ED29F2"/>
    <w:rsid w:val="00ED583D"/>
    <w:rsid w:val="00ED62C2"/>
    <w:rsid w:val="00ED7509"/>
    <w:rsid w:val="00EE1AC8"/>
    <w:rsid w:val="00EE309C"/>
    <w:rsid w:val="00EE38AF"/>
    <w:rsid w:val="00EE3DD8"/>
    <w:rsid w:val="00EE41D4"/>
    <w:rsid w:val="00EE68E1"/>
    <w:rsid w:val="00EE7445"/>
    <w:rsid w:val="00EF1599"/>
    <w:rsid w:val="00EF254B"/>
    <w:rsid w:val="00EF3051"/>
    <w:rsid w:val="00EF4FF2"/>
    <w:rsid w:val="00F015A2"/>
    <w:rsid w:val="00F018AF"/>
    <w:rsid w:val="00F02BA2"/>
    <w:rsid w:val="00F04A3F"/>
    <w:rsid w:val="00F0585F"/>
    <w:rsid w:val="00F05DF5"/>
    <w:rsid w:val="00F071DE"/>
    <w:rsid w:val="00F1717F"/>
    <w:rsid w:val="00F17896"/>
    <w:rsid w:val="00F20144"/>
    <w:rsid w:val="00F205B2"/>
    <w:rsid w:val="00F20B28"/>
    <w:rsid w:val="00F262E6"/>
    <w:rsid w:val="00F27501"/>
    <w:rsid w:val="00F300D9"/>
    <w:rsid w:val="00F30377"/>
    <w:rsid w:val="00F30927"/>
    <w:rsid w:val="00F31DB6"/>
    <w:rsid w:val="00F31E28"/>
    <w:rsid w:val="00F322F4"/>
    <w:rsid w:val="00F35D80"/>
    <w:rsid w:val="00F42246"/>
    <w:rsid w:val="00F43907"/>
    <w:rsid w:val="00F4505C"/>
    <w:rsid w:val="00F468BA"/>
    <w:rsid w:val="00F46FED"/>
    <w:rsid w:val="00F500FC"/>
    <w:rsid w:val="00F51EFB"/>
    <w:rsid w:val="00F534CD"/>
    <w:rsid w:val="00F537F4"/>
    <w:rsid w:val="00F6213A"/>
    <w:rsid w:val="00F660B5"/>
    <w:rsid w:val="00F66EDB"/>
    <w:rsid w:val="00F709A1"/>
    <w:rsid w:val="00F70C75"/>
    <w:rsid w:val="00F71A1F"/>
    <w:rsid w:val="00F72D1A"/>
    <w:rsid w:val="00F73982"/>
    <w:rsid w:val="00F740B0"/>
    <w:rsid w:val="00F74630"/>
    <w:rsid w:val="00F75061"/>
    <w:rsid w:val="00F843BF"/>
    <w:rsid w:val="00F84666"/>
    <w:rsid w:val="00F85736"/>
    <w:rsid w:val="00F9122A"/>
    <w:rsid w:val="00F9124A"/>
    <w:rsid w:val="00F91312"/>
    <w:rsid w:val="00F92C64"/>
    <w:rsid w:val="00F9394A"/>
    <w:rsid w:val="00FA0DC5"/>
    <w:rsid w:val="00FA10B8"/>
    <w:rsid w:val="00FA1E3A"/>
    <w:rsid w:val="00FA36AC"/>
    <w:rsid w:val="00FA6D2C"/>
    <w:rsid w:val="00FA6E61"/>
    <w:rsid w:val="00FB147D"/>
    <w:rsid w:val="00FB2590"/>
    <w:rsid w:val="00FB2A95"/>
    <w:rsid w:val="00FB33E1"/>
    <w:rsid w:val="00FB43FB"/>
    <w:rsid w:val="00FB459C"/>
    <w:rsid w:val="00FB5503"/>
    <w:rsid w:val="00FB5BF6"/>
    <w:rsid w:val="00FB70FC"/>
    <w:rsid w:val="00FC02D0"/>
    <w:rsid w:val="00FC19F0"/>
    <w:rsid w:val="00FC2AB8"/>
    <w:rsid w:val="00FC3487"/>
    <w:rsid w:val="00FC403C"/>
    <w:rsid w:val="00FC4437"/>
    <w:rsid w:val="00FC4D2B"/>
    <w:rsid w:val="00FC5D69"/>
    <w:rsid w:val="00FC6F19"/>
    <w:rsid w:val="00FC779A"/>
    <w:rsid w:val="00FD0160"/>
    <w:rsid w:val="00FD3542"/>
    <w:rsid w:val="00FD4692"/>
    <w:rsid w:val="00FE1031"/>
    <w:rsid w:val="00FE2869"/>
    <w:rsid w:val="00FE2C6B"/>
    <w:rsid w:val="00FE4F7C"/>
    <w:rsid w:val="00FE6572"/>
    <w:rsid w:val="00FE72F1"/>
    <w:rsid w:val="00FF1CAB"/>
    <w:rsid w:val="00FF48BC"/>
    <w:rsid w:val="00FF5C51"/>
    <w:rsid w:val="015C9DD0"/>
    <w:rsid w:val="098FB509"/>
    <w:rsid w:val="0BE99407"/>
    <w:rsid w:val="10BD052A"/>
    <w:rsid w:val="17642613"/>
    <w:rsid w:val="18C48B3A"/>
    <w:rsid w:val="1BFC2BFC"/>
    <w:rsid w:val="1C7AF0EC"/>
    <w:rsid w:val="1CE80169"/>
    <w:rsid w:val="1E16C14D"/>
    <w:rsid w:val="268EE3AF"/>
    <w:rsid w:val="2A05B8E9"/>
    <w:rsid w:val="2BF92769"/>
    <w:rsid w:val="35A009AF"/>
    <w:rsid w:val="382F9D03"/>
    <w:rsid w:val="386A99F4"/>
    <w:rsid w:val="392F6FCE"/>
    <w:rsid w:val="3A7B6858"/>
    <w:rsid w:val="3B1EE23F"/>
    <w:rsid w:val="3D0E8781"/>
    <w:rsid w:val="3F7D04F2"/>
    <w:rsid w:val="41E1F8A4"/>
    <w:rsid w:val="4690C80F"/>
    <w:rsid w:val="478816D7"/>
    <w:rsid w:val="51589303"/>
    <w:rsid w:val="550B1B78"/>
    <w:rsid w:val="592DF092"/>
    <w:rsid w:val="5941F888"/>
    <w:rsid w:val="5AC9C0F3"/>
    <w:rsid w:val="6055BBA5"/>
    <w:rsid w:val="606FDF26"/>
    <w:rsid w:val="61C84388"/>
    <w:rsid w:val="61F18C06"/>
    <w:rsid w:val="620BAF87"/>
    <w:rsid w:val="64811F5A"/>
    <w:rsid w:val="67706496"/>
    <w:rsid w:val="6A613E5F"/>
    <w:rsid w:val="6C8C313F"/>
    <w:rsid w:val="705AA498"/>
    <w:rsid w:val="73E21D31"/>
    <w:rsid w:val="7705C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9643FFC3-B616-4FB0-9D54-39306011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BodyText"/>
    <w:link w:val="Heading1Char"/>
    <w:uiPriority w:val="99"/>
    <w:qFormat/>
    <w:rsid w:val="00A67E56"/>
    <w:pPr>
      <w:keepNext/>
      <w:keepLines/>
      <w:pageBreakBefore/>
      <w:numPr>
        <w:numId w:val="30"/>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3">
    <w:name w:val="heading 3"/>
    <w:basedOn w:val="Normal"/>
    <w:next w:val="BodyText"/>
    <w:link w:val="Heading3Char"/>
    <w:uiPriority w:val="99"/>
    <w:qFormat/>
    <w:rsid w:val="00A67E56"/>
    <w:pPr>
      <w:keepNext/>
      <w:numPr>
        <w:ilvl w:val="2"/>
        <w:numId w:val="30"/>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uiPriority w:val="99"/>
    <w:qFormat/>
    <w:rsid w:val="00A67E56"/>
    <w:pPr>
      <w:keepNext/>
      <w:numPr>
        <w:ilvl w:val="3"/>
        <w:numId w:val="30"/>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uiPriority w:val="99"/>
    <w:qFormat/>
    <w:rsid w:val="00A67E56"/>
    <w:pPr>
      <w:keepNext/>
      <w:keepLines/>
      <w:numPr>
        <w:ilvl w:val="4"/>
        <w:numId w:val="30"/>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9"/>
    <w:qFormat/>
    <w:rsid w:val="00A67E56"/>
    <w:pPr>
      <w:numPr>
        <w:ilvl w:val="5"/>
        <w:numId w:val="30"/>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A67E56"/>
    <w:pPr>
      <w:numPr>
        <w:ilvl w:val="6"/>
        <w:numId w:val="30"/>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A67E56"/>
    <w:pPr>
      <w:numPr>
        <w:ilvl w:val="7"/>
        <w:numId w:val="30"/>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A67E56"/>
    <w:pPr>
      <w:numPr>
        <w:ilvl w:val="8"/>
        <w:numId w:val="30"/>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1Char">
    <w:name w:val="Heading 1 Char"/>
    <w:basedOn w:val="DefaultParagraphFont"/>
    <w:link w:val="Heading1"/>
    <w:uiPriority w:val="99"/>
    <w:rsid w:val="00A67E56"/>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uiPriority w:val="99"/>
    <w:rsid w:val="00A67E56"/>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A67E56"/>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A67E5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A67E5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A67E5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A67E5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A67E56"/>
    <w:rPr>
      <w:rFonts w:ascii="Arial" w:eastAsia="Times New Roman" w:hAnsi="Arial" w:cs="Arial"/>
    </w:rPr>
  </w:style>
  <w:style w:type="paragraph" w:styleId="BodyText">
    <w:name w:val="Body Text"/>
    <w:basedOn w:val="Normal"/>
    <w:link w:val="BodyTextChar"/>
    <w:uiPriority w:val="99"/>
    <w:unhideWhenUsed/>
    <w:rsid w:val="00A67E56"/>
    <w:pPr>
      <w:spacing w:after="120"/>
    </w:pPr>
  </w:style>
  <w:style w:type="character" w:customStyle="1" w:styleId="BodyTextChar">
    <w:name w:val="Body Text Char"/>
    <w:basedOn w:val="DefaultParagraphFont"/>
    <w:link w:val="BodyText"/>
    <w:uiPriority w:val="99"/>
    <w:rsid w:val="00A67E56"/>
  </w:style>
  <w:style w:type="paragraph" w:customStyle="1" w:styleId="BulletsLast">
    <w:name w:val="BulletsLast"/>
    <w:basedOn w:val="Bullets"/>
    <w:rsid w:val="00A67E56"/>
    <w:pPr>
      <w:spacing w:after="180"/>
    </w:pPr>
  </w:style>
  <w:style w:type="paragraph" w:customStyle="1" w:styleId="Bullets">
    <w:name w:val="Bullets"/>
    <w:basedOn w:val="BodyText"/>
    <w:link w:val="BulletsChar"/>
    <w:rsid w:val="00A67E56"/>
    <w:pPr>
      <w:numPr>
        <w:numId w:val="32"/>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A67E56"/>
    <w:rPr>
      <w:rFonts w:ascii="Times New Roman" w:eastAsia="Times New Roman" w:hAnsi="Times New Roman" w:cs="Times New Roman"/>
      <w:szCs w:val="20"/>
    </w:rPr>
  </w:style>
  <w:style w:type="paragraph" w:customStyle="1" w:styleId="Bullets2">
    <w:name w:val="Bullets2"/>
    <w:basedOn w:val="BodyText"/>
    <w:qFormat/>
    <w:rsid w:val="00A67E56"/>
    <w:pPr>
      <w:numPr>
        <w:numId w:val="34"/>
      </w:numPr>
      <w:spacing w:line="264" w:lineRule="auto"/>
    </w:pPr>
    <w:rPr>
      <w:rFonts w:ascii="Times New Roman" w:eastAsia="Times New Roman" w:hAnsi="Times New Roman" w:cs="Times New Roman"/>
      <w:szCs w:val="20"/>
    </w:rPr>
  </w:style>
  <w:style w:type="paragraph" w:styleId="Caption">
    <w:name w:val="caption"/>
    <w:basedOn w:val="Normal"/>
    <w:next w:val="Normal"/>
    <w:link w:val="CaptionChar"/>
    <w:uiPriority w:val="99"/>
    <w:qFormat/>
    <w:rsid w:val="00A67E56"/>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CoverText-Address">
    <w:name w:val="Cover Text - Address"/>
    <w:basedOn w:val="Normal"/>
    <w:uiPriority w:val="99"/>
    <w:rsid w:val="000B399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TOC2">
    <w:name w:val="toc 2"/>
    <w:basedOn w:val="BodyText"/>
    <w:next w:val="BodyText"/>
    <w:uiPriority w:val="39"/>
    <w:rsid w:val="00497F79"/>
    <w:pPr>
      <w:tabs>
        <w:tab w:val="right" w:leader="dot" w:pos="8990"/>
      </w:tabs>
      <w:spacing w:after="40" w:line="264" w:lineRule="auto"/>
      <w:ind w:left="576"/>
    </w:pPr>
    <w:rPr>
      <w:rFonts w:ascii="Times New Roman" w:eastAsia="Times New Roman" w:hAnsi="Times New Roman" w:cs="Times New Roman"/>
      <w:noProof/>
      <w:szCs w:val="20"/>
    </w:rPr>
  </w:style>
  <w:style w:type="character" w:customStyle="1" w:styleId="UnresolvedMention1">
    <w:name w:val="Unresolved Mention1"/>
    <w:basedOn w:val="DefaultParagraphFont"/>
    <w:uiPriority w:val="99"/>
    <w:semiHidden/>
    <w:unhideWhenUsed/>
    <w:rsid w:val="00934081"/>
    <w:rPr>
      <w:color w:val="605E5C"/>
      <w:shd w:val="clear" w:color="auto" w:fill="E1DFDD"/>
    </w:rPr>
  </w:style>
  <w:style w:type="character" w:styleId="UnresolvedMention">
    <w:name w:val="Unresolved Mention"/>
    <w:basedOn w:val="DefaultParagraphFont"/>
    <w:uiPriority w:val="99"/>
    <w:unhideWhenUsed/>
    <w:rsid w:val="005002AE"/>
    <w:rPr>
      <w:color w:val="605E5C"/>
      <w:shd w:val="clear" w:color="auto" w:fill="E1DFDD"/>
    </w:rPr>
  </w:style>
  <w:style w:type="paragraph" w:customStyle="1" w:styleId="Numbers">
    <w:name w:val="Numbers"/>
    <w:basedOn w:val="BodyText"/>
    <w:rsid w:val="00F660B5"/>
    <w:pPr>
      <w:numPr>
        <w:numId w:val="48"/>
      </w:numPr>
      <w:spacing w:after="180" w:line="264" w:lineRule="auto"/>
    </w:pPr>
    <w:rPr>
      <w:rFonts w:ascii="Times New Roman" w:eastAsia="Times New Roman" w:hAnsi="Times New Roman" w:cs="Times New Roman"/>
      <w:szCs w:val="20"/>
    </w:rPr>
  </w:style>
  <w:style w:type="paragraph" w:customStyle="1" w:styleId="xmsocommenttext">
    <w:name w:val="x_msocommenttext"/>
    <w:basedOn w:val="Normal"/>
    <w:rsid w:val="003C601A"/>
    <w:pPr>
      <w:spacing w:line="240" w:lineRule="auto"/>
    </w:pPr>
    <w:rPr>
      <w:rFonts w:ascii="Calibri" w:hAnsi="Calibri" w:cs="Times New Roman"/>
      <w:sz w:val="20"/>
      <w:szCs w:val="20"/>
    </w:rPr>
  </w:style>
  <w:style w:type="paragraph" w:customStyle="1" w:styleId="ExhibitSource">
    <w:name w:val="Exhibit Source"/>
    <w:basedOn w:val="Normal"/>
    <w:qFormat/>
    <w:rsid w:val="00DD046B"/>
    <w:pPr>
      <w:spacing w:before="120" w:after="180" w:line="264" w:lineRule="auto"/>
    </w:pPr>
    <w:rPr>
      <w:rFonts w:ascii="Arial" w:eastAsia="Times New Roman" w:hAnsi="Arial" w:cs="Arial"/>
      <w:sz w:val="18"/>
      <w:szCs w:val="20"/>
    </w:rPr>
  </w:style>
  <w:style w:type="paragraph" w:customStyle="1" w:styleId="Exhibitsourcelast">
    <w:name w:val="Exhibit source last"/>
    <w:basedOn w:val="ExhibitSource"/>
    <w:qFormat/>
    <w:rsid w:val="00DD046B"/>
  </w:style>
  <w:style w:type="character" w:styleId="Emphasis">
    <w:name w:val="Emphasis"/>
    <w:basedOn w:val="DefaultParagraphFont"/>
    <w:uiPriority w:val="20"/>
    <w:qFormat/>
    <w:rsid w:val="00957B1D"/>
    <w:rPr>
      <w:i/>
      <w:iCs/>
    </w:rPr>
  </w:style>
  <w:style w:type="character" w:styleId="FollowedHyperlink">
    <w:name w:val="FollowedHyperlink"/>
    <w:basedOn w:val="DefaultParagraphFont"/>
    <w:uiPriority w:val="99"/>
    <w:semiHidden/>
    <w:unhideWhenUsed/>
    <w:rsid w:val="00CF675D"/>
    <w:rPr>
      <w:color w:val="800080" w:themeColor="followedHyperlink"/>
      <w:u w:val="single"/>
    </w:rPr>
  </w:style>
  <w:style w:type="table" w:customStyle="1" w:styleId="HPOG2">
    <w:name w:val="HPOG 2"/>
    <w:basedOn w:val="TableNormal"/>
    <w:uiPriority w:val="99"/>
    <w:rsid w:val="00B676DB"/>
    <w:pPr>
      <w:spacing w:after="0" w:line="240" w:lineRule="auto"/>
    </w:pPr>
    <w:rPr>
      <w:rFonts w:ascii="Arial Narrow" w:eastAsia="Times New Roman" w:hAnsi="Arial Narrow" w:cs="Times New Roman"/>
      <w:sz w:val="20"/>
      <w:szCs w:val="20"/>
    </w:rPr>
    <w:tblPr>
      <w:tblStyleRowBandSize w:val="1"/>
      <w:tblStyleColBandSize w:val="1"/>
      <w:tblBorders>
        <w:top w:val="single" w:sz="18" w:space="0" w:color="000000" w:themeColor="text1"/>
        <w:bottom w:val="single" w:sz="18" w:space="0" w:color="000000" w:themeColor="text1"/>
      </w:tblBorders>
    </w:tblPr>
    <w:trPr>
      <w:cantSplit/>
    </w:trPr>
    <w:tblStylePr w:type="firstRow">
      <w:pPr>
        <w:jc w:val="left"/>
      </w:pPr>
      <w:rPr>
        <w:rFonts w:ascii="Arial" w:hAnsi="Arial"/>
        <w:b/>
        <w:caps w:val="0"/>
        <w:smallCaps w:val="0"/>
        <w:strike w:val="0"/>
        <w:dstrike w:val="0"/>
        <w:vanish w:val="0"/>
        <w:sz w:val="18"/>
        <w:vertAlign w:val="baseline"/>
      </w:rPr>
      <w:tblPr/>
      <w:trPr>
        <w:cantSplit/>
        <w:tblHeader/>
      </w:trPr>
      <w:tcPr>
        <w:tcBorders>
          <w:top w:val="single" w:sz="18" w:space="0" w:color="000000" w:themeColor="text1"/>
          <w:left w:val="nil"/>
          <w:bottom w:val="single" w:sz="4" w:space="0" w:color="000000" w:themeColor="text1"/>
          <w:right w:val="nil"/>
          <w:insideH w:val="single" w:sz="4" w:space="0" w:color="000000" w:themeColor="text1"/>
          <w:insideV w:val="nil"/>
        </w:tcBorders>
        <w:shd w:val="clear" w:color="auto" w:fill="8064A2" w:themeFill="accent4"/>
        <w:vAlign w:val="bottom"/>
      </w:tcPr>
    </w:tblStylePr>
    <w:tblStylePr w:type="lastRow">
      <w:pPr>
        <w:jc w:val="left"/>
      </w:pPr>
      <w:rPr>
        <w:rFonts w:ascii="Arial" w:hAnsi="Arial"/>
        <w:sz w:val="18"/>
      </w:rPr>
      <w:tblPr/>
      <w:tcPr>
        <w:tcBorders>
          <w:bottom w:val="single" w:sz="12" w:space="0" w:color="000000" w:themeColor="text1"/>
        </w:tcBorders>
      </w:tcPr>
    </w:tblStylePr>
    <w:tblStylePr w:type="band1Vert">
      <w:tblPr/>
      <w:tcPr>
        <w:tcBorders>
          <w:insideV w:val="single" w:sz="2" w:space="0" w:color="auto"/>
        </w:tcBorders>
      </w:tcPr>
    </w:tblStylePr>
    <w:tblStylePr w:type="band1Horz">
      <w:rPr>
        <w:rFonts w:ascii="Arial" w:hAnsi="Arial"/>
        <w:sz w:val="18"/>
      </w:rPr>
      <w:tblPr/>
      <w:tcPr>
        <w:tcBorders>
          <w:top w:val="single" w:sz="8" w:space="0" w:color="000000" w:themeColor="text1"/>
          <w:left w:val="nil"/>
          <w:bottom w:val="single" w:sz="8" w:space="0" w:color="000000" w:themeColor="text1"/>
          <w:right w:val="nil"/>
          <w:insideH w:val="nil"/>
          <w:insideV w:val="nil"/>
          <w:tl2br w:val="nil"/>
          <w:tr2bl w:val="nil"/>
        </w:tcBorders>
        <w:shd w:val="clear" w:color="auto" w:fill="F2DBDB" w:themeFill="accent2" w:themeFillTint="33"/>
      </w:tcPr>
    </w:tblStylePr>
    <w:tblStylePr w:type="band2Horz">
      <w:rPr>
        <w:rFonts w:ascii="Arial" w:hAnsi="Arial"/>
        <w:sz w:val="18"/>
      </w:rPr>
      <w:tblPr/>
      <w:tcPr>
        <w:tcBorders>
          <w:top w:val="single" w:sz="8" w:space="0" w:color="000000" w:themeColor="text1"/>
          <w:left w:val="nil"/>
          <w:bottom w:val="single" w:sz="8" w:space="0" w:color="000000" w:themeColor="text1"/>
          <w:right w:val="nil"/>
          <w:insideH w:val="single" w:sz="8" w:space="0" w:color="000000" w:themeColor="text1"/>
          <w:insideV w:val="nil"/>
          <w:tl2br w:val="nil"/>
          <w:tr2bl w:val="nil"/>
        </w:tcBorders>
      </w:tcPr>
    </w:tblStylePr>
    <w:tblStylePr w:type="nwCell">
      <w:pPr>
        <w:jc w:val="left"/>
      </w:pPr>
      <w:tblPr/>
      <w:tcPr>
        <w:vAlign w:val="bottom"/>
      </w:tcPr>
    </w:tblStylePr>
  </w:style>
  <w:style w:type="character" w:customStyle="1" w:styleId="normaltextrun">
    <w:name w:val="normaltextrun"/>
    <w:basedOn w:val="DefaultParagraphFont"/>
    <w:rsid w:val="00E01188"/>
  </w:style>
  <w:style w:type="character" w:customStyle="1" w:styleId="eop">
    <w:name w:val="eop"/>
    <w:basedOn w:val="DefaultParagraphFont"/>
    <w:rsid w:val="00E01188"/>
  </w:style>
  <w:style w:type="paragraph" w:customStyle="1" w:styleId="TableText">
    <w:name w:val="Table Text"/>
    <w:basedOn w:val="Normal"/>
    <w:qFormat/>
    <w:rsid w:val="00E45A11"/>
    <w:pPr>
      <w:spacing w:after="0" w:line="240" w:lineRule="auto"/>
    </w:pPr>
    <w:rPr>
      <w:rFonts w:ascii="Arial Narrow" w:eastAsia="Times New Roman" w:hAnsi="Arial Narrow" w:cs="Times New Roman"/>
      <w:szCs w:val="20"/>
      <w:lang w:bidi="ne-IN"/>
    </w:rPr>
  </w:style>
  <w:style w:type="paragraph" w:customStyle="1" w:styleId="TableColumnHeader">
    <w:name w:val="Table Column Header"/>
    <w:basedOn w:val="Normal"/>
    <w:qFormat/>
    <w:rsid w:val="00E45A11"/>
    <w:pPr>
      <w:keepNext/>
      <w:spacing w:after="0" w:line="240" w:lineRule="auto"/>
      <w:jc w:val="center"/>
    </w:pPr>
    <w:rPr>
      <w:rFonts w:ascii="Arial Narrow" w:eastAsia="Times New Roman" w:hAnsi="Arial Narrow" w:cs="Times New Roman"/>
      <w:b/>
      <w:color w:val="FFFFFF" w:themeColor="background1"/>
      <w:szCs w:val="20"/>
      <w:lang w:bidi="ne-IN"/>
    </w:rPr>
  </w:style>
  <w:style w:type="character" w:customStyle="1" w:styleId="CaptionChar">
    <w:name w:val="Caption Char"/>
    <w:basedOn w:val="DefaultParagraphFont"/>
    <w:link w:val="Caption"/>
    <w:locked/>
    <w:rsid w:val="00E45A11"/>
    <w:rPr>
      <w:rFonts w:ascii="Arial" w:eastAsia="Times New Roman" w:hAnsi="Arial" w:cs="Times New Roman"/>
      <w:b/>
      <w:bCs/>
      <w:szCs w:val="20"/>
    </w:rPr>
  </w:style>
  <w:style w:type="paragraph" w:customStyle="1" w:styleId="TableTextCentered">
    <w:name w:val="Table Text Centered"/>
    <w:basedOn w:val="TableText"/>
    <w:qFormat/>
    <w:rsid w:val="00E45A11"/>
    <w:pPr>
      <w:jc w:val="center"/>
    </w:pPr>
  </w:style>
  <w:style w:type="paragraph" w:customStyle="1" w:styleId="BodyTextSingleFlush">
    <w:name w:val="Body Text Single Flush"/>
    <w:basedOn w:val="BodyText"/>
    <w:qFormat/>
    <w:rsid w:val="00E45A11"/>
    <w:pPr>
      <w:widowControl w:val="0"/>
      <w:spacing w:after="0" w:line="240" w:lineRule="auto"/>
    </w:pPr>
    <w:rPr>
      <w:rFonts w:ascii="Arial Narrow" w:eastAsia="Times New Roman" w:hAnsi="Arial Narrow" w:cs="Times New Roman"/>
      <w:szCs w:val="20"/>
      <w:lang w:val="en"/>
    </w:rPr>
  </w:style>
  <w:style w:type="paragraph" w:customStyle="1" w:styleId="TableTextBold">
    <w:name w:val="Table Text Bold"/>
    <w:basedOn w:val="TableText"/>
    <w:qFormat/>
    <w:rsid w:val="00E45A11"/>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4105040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9316564">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pre/report/national-and-tribal-evaluation-2nd-generation-health-profession-opportunity-grants-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opre/report/national-and-tribal-evaluation-2nd-generation-health-profession-opportunity-grants-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andfamilydataarchive.org/cfda/pages/cfda/index.html;jsessionid=54A15AD4A666408D10A075699D55AE8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pre/report/analysis-plan-hpog-20-national-evaluation-intermediate-Term-impact-repor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rotect2.fireeye.com/url?k=20e9f3bf-7cbcfaac-20e9c280-0cc47adb5650-ab60093706f8c24f&amp;u=http://osf.io/nv2fz/" TargetMode="External"/><Relationship Id="rId2" Type="http://schemas.openxmlformats.org/officeDocument/2006/relationships/hyperlink" Target="https://sreereg.icpsr.umich.edu/framework/pdf/index.php?id=2576" TargetMode="External"/><Relationship Id="rId1" Type="http://schemas.openxmlformats.org/officeDocument/2006/relationships/hyperlink" Target="https://ssrn.com/abstract=2935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C41C89671304881E7D67666157B15" ma:contentTypeVersion="11" ma:contentTypeDescription="Create a new document." ma:contentTypeScope="" ma:versionID="68b6082b527bef6ae52a028e5fdeca2e">
  <xsd:schema xmlns:xsd="http://www.w3.org/2001/XMLSchema" xmlns:xs="http://www.w3.org/2001/XMLSchema" xmlns:p="http://schemas.microsoft.com/office/2006/metadata/properties" xmlns:ns2="724f837d-fe5e-422c-9725-5d45a15de878" xmlns:ns3="aabecb60-4a29-48d7-bada-86112a302f1e" targetNamespace="http://schemas.microsoft.com/office/2006/metadata/properties" ma:root="true" ma:fieldsID="645c1b8b3fc3c8a8651bfb709cf240de" ns2:_="" ns3:_="">
    <xsd:import namespace="724f837d-fe5e-422c-9725-5d45a15de878"/>
    <xsd:import namespace="aabecb60-4a29-48d7-bada-86112a302f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837d-fe5e-422c-9725-5d45a15d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ecb60-4a29-48d7-bada-86112a302f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becb60-4a29-48d7-bada-86112a302f1e">
      <UserInfo>
        <DisplayName>Debi McInnis</DisplayName>
        <AccountId>22</AccountId>
        <AccountType/>
      </UserInfo>
      <UserInfo>
        <DisplayName>Jacob Klerman</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84B9-F9B5-426F-B028-DA5AC08FA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837d-fe5e-422c-9725-5d45a15de878"/>
    <ds:schemaRef ds:uri="aabecb60-4a29-48d7-bada-86112a302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aabecb60-4a29-48d7-bada-86112a302f1e"/>
  </ds:schemaRefs>
</ds:datastoreItem>
</file>

<file path=customXml/itemProps4.xml><?xml version="1.0" encoding="utf-8"?>
<ds:datastoreItem xmlns:ds="http://schemas.openxmlformats.org/officeDocument/2006/customXml" ds:itemID="{7873E0BF-FA61-41A4-AF14-AF3E2C82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6963</Words>
  <Characters>39692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46562</CharactersWithSpaces>
  <SharedDoc>false</SharedDoc>
  <HLinks>
    <vt:vector size="78" baseType="variant">
      <vt:variant>
        <vt:i4>1507342</vt:i4>
      </vt:variant>
      <vt:variant>
        <vt:i4>24</vt:i4>
      </vt:variant>
      <vt:variant>
        <vt:i4>0</vt:i4>
      </vt:variant>
      <vt:variant>
        <vt:i4>5</vt:i4>
      </vt:variant>
      <vt:variant>
        <vt:lpwstr>https://www.acf.hhs.gov/opre/report/analysis-plan-hpog-20-national-evaluation-intermediate-Term-impact-report</vt:lpwstr>
      </vt:variant>
      <vt:variant>
        <vt:lpwstr/>
      </vt:variant>
      <vt:variant>
        <vt:i4>5832706</vt:i4>
      </vt:variant>
      <vt:variant>
        <vt:i4>21</vt:i4>
      </vt:variant>
      <vt:variant>
        <vt:i4>0</vt:i4>
      </vt:variant>
      <vt:variant>
        <vt:i4>5</vt:i4>
      </vt:variant>
      <vt:variant>
        <vt:lpwstr>https://www.acf.hhs.gov/opre/report/national-and-tribal-evaluation-2nd-generation-health-profession-opportunity-grants-0</vt:lpwstr>
      </vt:variant>
      <vt:variant>
        <vt:lpwstr/>
      </vt:variant>
      <vt:variant>
        <vt:i4>5767170</vt:i4>
      </vt:variant>
      <vt:variant>
        <vt:i4>12</vt:i4>
      </vt:variant>
      <vt:variant>
        <vt:i4>0</vt:i4>
      </vt:variant>
      <vt:variant>
        <vt:i4>5</vt:i4>
      </vt:variant>
      <vt:variant>
        <vt:lpwstr>https://www.acf.hhs.gov/opre/report/national-and-tribal-evaluation-2nd-generation-health-profession-opportunity-grants-1</vt:lpwstr>
      </vt:variant>
      <vt:variant>
        <vt:lpwstr/>
      </vt:variant>
      <vt:variant>
        <vt:i4>5177415</vt:i4>
      </vt:variant>
      <vt:variant>
        <vt:i4>9</vt:i4>
      </vt:variant>
      <vt:variant>
        <vt:i4>0</vt:i4>
      </vt:variant>
      <vt:variant>
        <vt:i4>5</vt:i4>
      </vt:variant>
      <vt:variant>
        <vt:lpwstr>https://www.childandfamilydataarchive.org/cfda/pages/cfda/index.html;jsessionid=54A15AD4A666408D10A075699D55AE8E</vt:lpwstr>
      </vt:variant>
      <vt:variant>
        <vt:lpwstr/>
      </vt:variant>
      <vt:variant>
        <vt:i4>3407968</vt:i4>
      </vt:variant>
      <vt:variant>
        <vt:i4>3</vt:i4>
      </vt:variant>
      <vt:variant>
        <vt:i4>0</vt:i4>
      </vt:variant>
      <vt:variant>
        <vt:i4>5</vt:i4>
      </vt:variant>
      <vt:variant>
        <vt:lpwstr>https://protect2.fireeye.com/url?k=20e9f3bf-7cbcfaac-20e9c280-0cc47adb5650-ab60093706f8c24f&amp;u=http://osf.io/nv2fz/</vt:lpwstr>
      </vt:variant>
      <vt:variant>
        <vt:lpwstr/>
      </vt:variant>
      <vt:variant>
        <vt:i4>7667752</vt:i4>
      </vt:variant>
      <vt:variant>
        <vt:i4>0</vt:i4>
      </vt:variant>
      <vt:variant>
        <vt:i4>0</vt:i4>
      </vt:variant>
      <vt:variant>
        <vt:i4>5</vt:i4>
      </vt:variant>
      <vt:variant>
        <vt:lpwstr>https://sreereg.icpsr.umich.edu/framework/pdf/index.php?id=2576</vt:lpwstr>
      </vt:variant>
      <vt:variant>
        <vt:lpwstr/>
      </vt:variant>
      <vt:variant>
        <vt:i4>4980820</vt:i4>
      </vt:variant>
      <vt:variant>
        <vt:i4>18</vt:i4>
      </vt:variant>
      <vt:variant>
        <vt:i4>0</vt:i4>
      </vt:variant>
      <vt:variant>
        <vt:i4>5</vt:i4>
      </vt:variant>
      <vt:variant>
        <vt:lpwstr>mailto:Jacob_Klerman@abtassoc.com</vt:lpwstr>
      </vt:variant>
      <vt:variant>
        <vt:lpwstr/>
      </vt:variant>
      <vt:variant>
        <vt:i4>4980820</vt:i4>
      </vt:variant>
      <vt:variant>
        <vt:i4>15</vt:i4>
      </vt:variant>
      <vt:variant>
        <vt:i4>0</vt:i4>
      </vt:variant>
      <vt:variant>
        <vt:i4>5</vt:i4>
      </vt:variant>
      <vt:variant>
        <vt:lpwstr>mailto:Jacob_Klerman@abtassoc.com</vt:lpwstr>
      </vt:variant>
      <vt:variant>
        <vt:lpwstr/>
      </vt:variant>
      <vt:variant>
        <vt:i4>3670090</vt:i4>
      </vt:variant>
      <vt:variant>
        <vt:i4>12</vt:i4>
      </vt:variant>
      <vt:variant>
        <vt:i4>0</vt:i4>
      </vt:variant>
      <vt:variant>
        <vt:i4>5</vt:i4>
      </vt:variant>
      <vt:variant>
        <vt:lpwstr>https://papers.ssrn.com/sol3/papers.cfm?abstract_id=2935535</vt:lpwstr>
      </vt:variant>
      <vt:variant>
        <vt:lpwstr/>
      </vt:variant>
      <vt:variant>
        <vt:i4>3342384</vt:i4>
      </vt:variant>
      <vt:variant>
        <vt:i4>9</vt:i4>
      </vt:variant>
      <vt:variant>
        <vt:i4>0</vt:i4>
      </vt:variant>
      <vt:variant>
        <vt:i4>5</vt:i4>
      </vt:variant>
      <vt:variant>
        <vt:lpwstr>https://www.rsfjournal.org/content/5/5/110</vt:lpwstr>
      </vt:variant>
      <vt:variant>
        <vt:lpwstr/>
      </vt:variant>
      <vt:variant>
        <vt:i4>4718685</vt:i4>
      </vt:variant>
      <vt:variant>
        <vt:i4>6</vt:i4>
      </vt:variant>
      <vt:variant>
        <vt:i4>0</vt:i4>
      </vt:variant>
      <vt:variant>
        <vt:i4>5</vt:i4>
      </vt:variant>
      <vt:variant>
        <vt:lpwstr>mailto:David_Judkins@abtassoc.com</vt:lpwstr>
      </vt:variant>
      <vt:variant>
        <vt:lpwstr/>
      </vt:variant>
      <vt:variant>
        <vt:i4>4980820</vt:i4>
      </vt:variant>
      <vt:variant>
        <vt:i4>3</vt:i4>
      </vt:variant>
      <vt:variant>
        <vt:i4>0</vt:i4>
      </vt:variant>
      <vt:variant>
        <vt:i4>5</vt:i4>
      </vt:variant>
      <vt:variant>
        <vt:lpwstr>mailto:Jacob_Klerman@abtassoc.com</vt:lpwstr>
      </vt:variant>
      <vt:variant>
        <vt:lpwstr/>
      </vt:variant>
      <vt:variant>
        <vt:i4>2031629</vt:i4>
      </vt:variant>
      <vt:variant>
        <vt:i4>0</vt:i4>
      </vt:variant>
      <vt:variant>
        <vt:i4>0</vt:i4>
      </vt:variant>
      <vt:variant>
        <vt:i4>5</vt:i4>
      </vt:variant>
      <vt:variant>
        <vt:lpwstr>mailto:Jill_Hamadyk@abtassoc.com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cp:lastModifiedBy>Lisa Zingman</cp:lastModifiedBy>
  <cp:revision>3</cp:revision>
  <dcterms:created xsi:type="dcterms:W3CDTF">2022-07-07T16:35:00Z</dcterms:created>
  <dcterms:modified xsi:type="dcterms:W3CDTF">2022-07-07T16:37:00Z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0x010100580C41C89671304881E7D67666157B15</vt:lpwstr>
  </property>
</Properties>
</file>