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B13297" w:rsidR="00870286" w:rsidP="00870286" w:rsidRDefault="00870286" w14:paraId="09144C4B" w14:textId="77777777">
      <w:pPr>
        <w:pStyle w:val="ReportCover-Title"/>
        <w:jc w:val="center"/>
        <w:rPr>
          <w:rFonts w:ascii="Arial" w:hAnsi="Arial" w:cs="Arial"/>
          <w:color w:val="auto"/>
        </w:rPr>
      </w:pPr>
      <w:r w:rsidRPr="00210DB0">
        <w:rPr>
          <w:rFonts w:ascii="Arial" w:hAnsi="Arial" w:eastAsia="Arial Unicode MS" w:cs="Arial"/>
          <w:noProof/>
          <w:color w:val="auto"/>
        </w:rPr>
        <w:t>Youth Empowerment Information, Data Collection, and Exploration on Avoidance of Sex (IDEAS)</w:t>
      </w:r>
      <w:r>
        <w:rPr>
          <w:rFonts w:ascii="Arial" w:hAnsi="Arial" w:eastAsia="Arial Unicode MS" w:cs="Arial"/>
          <w:noProof/>
          <w:color w:val="auto"/>
        </w:rPr>
        <w:t xml:space="preserve"> – Case Study of Parent Reflections</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870286" w:rsidR="00B3652D" w:rsidP="00B3652D" w:rsidRDefault="00B3652D" w14:paraId="4D9C5B0F" w14:textId="77777777">
      <w:pPr>
        <w:pStyle w:val="ReportCover-Title"/>
        <w:jc w:val="center"/>
        <w:rPr>
          <w:rFonts w:ascii="Arial" w:hAnsi="Arial" w:cs="Arial"/>
          <w:color w:val="auto"/>
          <w:sz w:val="32"/>
          <w:szCs w:val="32"/>
        </w:rPr>
      </w:pPr>
      <w:r w:rsidRPr="00870286">
        <w:rPr>
          <w:rFonts w:ascii="Arial" w:hAnsi="Arial" w:cs="Arial"/>
          <w:color w:val="auto"/>
          <w:sz w:val="32"/>
          <w:szCs w:val="32"/>
        </w:rPr>
        <w:t>Formative Data Collections for Program Support</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05931FAA">
      <w:pPr>
        <w:pStyle w:val="ReportCover-Title"/>
        <w:jc w:val="center"/>
        <w:rPr>
          <w:rFonts w:ascii="Arial" w:hAnsi="Arial" w:cs="Arial"/>
          <w:color w:val="auto"/>
          <w:sz w:val="32"/>
          <w:szCs w:val="32"/>
        </w:rPr>
      </w:pPr>
      <w:r w:rsidRPr="00870286">
        <w:rPr>
          <w:rFonts w:ascii="Arial" w:hAnsi="Arial" w:cs="Arial"/>
          <w:color w:val="auto"/>
          <w:sz w:val="32"/>
          <w:szCs w:val="32"/>
        </w:rPr>
        <w:t xml:space="preserve">0970 - </w:t>
      </w:r>
      <w:r w:rsidR="00C95E59">
        <w:rPr>
          <w:rFonts w:ascii="Arial" w:hAnsi="Arial" w:cs="Arial"/>
          <w:color w:val="auto"/>
          <w:sz w:val="32"/>
          <w:szCs w:val="32"/>
        </w:rPr>
        <w:t>0531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991DC5" w14:paraId="782F2D46" w14:textId="42F9F49B">
      <w:pPr>
        <w:pStyle w:val="ReportCover-Date"/>
        <w:jc w:val="center"/>
        <w:rPr>
          <w:rFonts w:ascii="Arial" w:hAnsi="Arial" w:cs="Arial"/>
          <w:color w:val="auto"/>
        </w:rPr>
      </w:pPr>
      <w:r>
        <w:rPr>
          <w:rFonts w:ascii="Arial" w:hAnsi="Arial" w:cs="Arial"/>
          <w:color w:val="auto"/>
        </w:rPr>
        <w:t xml:space="preserve">September </w:t>
      </w:r>
      <w:r w:rsidR="00870286">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51D693DD">
      <w:pPr>
        <w:spacing w:after="0" w:line="240" w:lineRule="auto"/>
        <w:jc w:val="center"/>
        <w:rPr>
          <w:rFonts w:ascii="Arial" w:hAnsi="Arial" w:cs="Arial"/>
        </w:rPr>
      </w:pPr>
      <w:r w:rsidRPr="00B13297">
        <w:rPr>
          <w:rFonts w:ascii="Arial" w:hAnsi="Arial" w:cs="Arial"/>
        </w:rPr>
        <w:t>Project Officer:</w:t>
      </w:r>
    </w:p>
    <w:p w:rsidR="0054255A" w:rsidP="00B13297" w:rsidRDefault="00870286" w14:paraId="0313461E" w14:textId="4D550611">
      <w:pPr>
        <w:spacing w:after="0" w:line="240" w:lineRule="auto"/>
        <w:jc w:val="center"/>
        <w:rPr>
          <w:b/>
        </w:rPr>
      </w:pPr>
      <w:r>
        <w:rPr>
          <w:rFonts w:ascii="Arial" w:hAnsi="Arial" w:cs="Arial"/>
        </w:rPr>
        <w:t xml:space="preserve">Caryn Blitz </w:t>
      </w: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Pr="001267CF" w:rsidR="00026192" w:rsidP="001267CF" w:rsidRDefault="0068303E" w14:paraId="095FF910" w14:textId="5131AFB7">
      <w:pPr>
        <w:spacing w:after="0" w:line="240" w:lineRule="auto"/>
        <w:jc w:val="center"/>
        <w:rPr>
          <w:b/>
          <w:sz w:val="32"/>
          <w:szCs w:val="32"/>
        </w:rPr>
      </w:pPr>
      <w:r w:rsidRPr="00624DDC">
        <w:rPr>
          <w:b/>
          <w:sz w:val="32"/>
          <w:szCs w:val="32"/>
        </w:rPr>
        <w:t>Part A</w:t>
      </w: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bookmarkStart w:name="_Hlk38524695" w:id="0"/>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560D4193">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84284">
        <w:t>Formative Data Collections for Program Support</w:t>
      </w:r>
      <w:r w:rsidR="00584284">
        <w:t xml:space="preserve"> (0970-0531).</w:t>
      </w:r>
      <w:r w:rsidR="00870286">
        <w:t xml:space="preserve"> </w:t>
      </w:r>
      <w:r w:rsidRPr="00906F6A" w:rsidR="00870286">
        <w:t xml:space="preserve">We are requesting </w:t>
      </w:r>
      <w:r w:rsidR="00870286">
        <w:t>one</w:t>
      </w:r>
      <w:r w:rsidRPr="00906F6A" w:rsidR="00870286">
        <w:t xml:space="preserve"> year of approval.</w:t>
      </w:r>
    </w:p>
    <w:p w:rsidR="00EA405B" w:rsidP="00906F6A" w:rsidRDefault="00EA405B" w14:paraId="1FD514C1" w14:textId="78D17F26">
      <w:pPr>
        <w:spacing w:after="0" w:line="240" w:lineRule="auto"/>
      </w:pPr>
    </w:p>
    <w:p w:rsidRPr="00BD7963" w:rsidR="00BD7963" w:rsidP="00BD7963" w:rsidRDefault="00C53AEC" w14:paraId="3F249A25" w14:textId="77777777">
      <w:pPr>
        <w:pStyle w:val="ListParagraph"/>
        <w:numPr>
          <w:ilvl w:val="0"/>
          <w:numId w:val="28"/>
        </w:numPr>
        <w:spacing w:after="0" w:line="240" w:lineRule="auto"/>
      </w:pPr>
      <w:r w:rsidRPr="00906F6A">
        <w:rPr>
          <w:b/>
        </w:rPr>
        <w:t xml:space="preserve">Description of Request: </w:t>
      </w:r>
    </w:p>
    <w:p w:rsidRPr="007D2D7F" w:rsidR="00584284" w:rsidP="00C36291" w:rsidRDefault="00584284" w14:paraId="00FD8014" w14:textId="15CBEDAF">
      <w:pPr>
        <w:pStyle w:val="ListParagraph"/>
        <w:spacing w:after="120" w:line="240" w:lineRule="auto"/>
      </w:pPr>
      <w:r w:rsidRPr="00EE323A">
        <w:rPr>
          <w:color w:val="000000"/>
        </w:rPr>
        <w:t xml:space="preserve">The </w:t>
      </w:r>
      <w:bookmarkStart w:name="_Hlk26779389" w:id="1"/>
      <w:r w:rsidRPr="00EE323A">
        <w:rPr>
          <w:color w:val="000000"/>
        </w:rPr>
        <w:t xml:space="preserve">Administration for Children and Families (ACF) at the U.S. Department of Health and Human Services </w:t>
      </w:r>
      <w:bookmarkEnd w:id="1"/>
      <w:r>
        <w:rPr>
          <w:color w:val="000000"/>
        </w:rPr>
        <w:t xml:space="preserve">has </w:t>
      </w:r>
      <w:r w:rsidR="00151EF9">
        <w:rPr>
          <w:color w:val="000000"/>
        </w:rPr>
        <w:t xml:space="preserve">funded </w:t>
      </w:r>
      <w:r>
        <w:rPr>
          <w:color w:val="000000"/>
        </w:rPr>
        <w:t>the</w:t>
      </w:r>
      <w:r w:rsidRPr="002F4F4F">
        <w:rPr>
          <w:color w:val="000000"/>
        </w:rPr>
        <w:t xml:space="preserve"> Youth Empowerment Information, Data Collection, and Exploration on A</w:t>
      </w:r>
      <w:r>
        <w:rPr>
          <w:color w:val="000000"/>
        </w:rPr>
        <w:t xml:space="preserve">voidance of Sex (IDEAS) project </w:t>
      </w:r>
      <w:r w:rsidRPr="002F4F4F">
        <w:rPr>
          <w:color w:val="000000"/>
        </w:rPr>
        <w:t xml:space="preserve">to identify effective </w:t>
      </w:r>
      <w:r>
        <w:rPr>
          <w:color w:val="000000"/>
        </w:rPr>
        <w:t>messages</w:t>
      </w:r>
      <w:r w:rsidRPr="002F4F4F">
        <w:rPr>
          <w:color w:val="000000"/>
        </w:rPr>
        <w:t xml:space="preserve"> and approaches </w:t>
      </w:r>
      <w:r>
        <w:rPr>
          <w:color w:val="000000"/>
        </w:rPr>
        <w:t>to</w:t>
      </w:r>
      <w:r w:rsidRPr="002F4F4F">
        <w:rPr>
          <w:color w:val="000000"/>
        </w:rPr>
        <w:t xml:space="preserve"> empower youth to make healthy and informed decisions related to sexual risk avoidance, teen pregnancy prevention, and their well-being.</w:t>
      </w:r>
      <w:r w:rsidR="00AA1152">
        <w:rPr>
          <w:color w:val="000000"/>
        </w:rPr>
        <w:t xml:space="preserve"> </w:t>
      </w:r>
    </w:p>
    <w:p w:rsidR="00584284" w:rsidP="00C36291" w:rsidRDefault="00584284" w14:paraId="182720B0" w14:textId="77777777">
      <w:pPr>
        <w:pStyle w:val="ListParagraph"/>
        <w:spacing w:after="120"/>
      </w:pPr>
    </w:p>
    <w:p w:rsidR="00584284" w:rsidP="00C36291" w:rsidRDefault="00584284" w14:paraId="301DB3DE" w14:textId="7DA3BE4C">
      <w:pPr>
        <w:pStyle w:val="ListParagraph"/>
        <w:spacing w:after="120" w:line="240" w:lineRule="auto"/>
      </w:pPr>
      <w:r>
        <w:t xml:space="preserve">This generic ICR </w:t>
      </w:r>
      <w:r w:rsidRPr="007D2D7F">
        <w:t xml:space="preserve">seeks approval to </w:t>
      </w:r>
      <w:r w:rsidR="000C0635">
        <w:t>collect data on</w:t>
      </w:r>
      <w:r w:rsidRPr="007D2D7F">
        <w:t xml:space="preserve"> parent reflections on youth sexual behavior</w:t>
      </w:r>
      <w:r w:rsidR="00991DC5">
        <w:t>;</w:t>
      </w:r>
      <w:r w:rsidRPr="007D2D7F">
        <w:t xml:space="preserve"> sexual risk avoidance education</w:t>
      </w:r>
      <w:r w:rsidR="00262E0C">
        <w:t xml:space="preserve"> (SRAE)</w:t>
      </w:r>
      <w:r w:rsidR="00991DC5">
        <w:t>; and</w:t>
      </w:r>
      <w:r w:rsidR="006E7E4B">
        <w:t xml:space="preserve"> </w:t>
      </w:r>
      <w:r w:rsidR="00262E0C">
        <w:t xml:space="preserve">SRAE </w:t>
      </w:r>
      <w:r w:rsidRPr="007D2D7F">
        <w:t>programming</w:t>
      </w:r>
      <w:r w:rsidR="006E7E4B">
        <w:t>, including parent engagement,</w:t>
      </w:r>
      <w:r w:rsidRPr="007D2D7F">
        <w:t xml:space="preserve"> </w:t>
      </w:r>
      <w:r>
        <w:t xml:space="preserve">as part of the </w:t>
      </w:r>
      <w:r w:rsidRPr="007D2D7F">
        <w:t xml:space="preserve">IDEAS project. </w:t>
      </w:r>
      <w:r w:rsidR="00B44966">
        <w:t xml:space="preserve">This information will be collected through virtual focus groups with parents whose youth </w:t>
      </w:r>
      <w:r w:rsidR="00D36414">
        <w:t>receive</w:t>
      </w:r>
      <w:r w:rsidR="00AA1152">
        <w:t>d</w:t>
      </w:r>
      <w:r w:rsidR="00132986">
        <w:t xml:space="preserve"> or</w:t>
      </w:r>
      <w:r w:rsidR="004E321B">
        <w:t xml:space="preserve"> may still be receiving</w:t>
      </w:r>
      <w:r w:rsidR="009A5985">
        <w:t>,</w:t>
      </w:r>
      <w:r w:rsidR="004E321B">
        <w:t xml:space="preserve"> </w:t>
      </w:r>
      <w:r w:rsidR="00D36414">
        <w:t>SRAE programming</w:t>
      </w:r>
      <w:r w:rsidR="004E321B">
        <w:t xml:space="preserve">. </w:t>
      </w:r>
      <w:r w:rsidR="000F712C">
        <w:t>The</w:t>
      </w:r>
      <w:r w:rsidR="004E321B">
        <w:t xml:space="preserve"> SRAE programs </w:t>
      </w:r>
      <w:r w:rsidR="000F712C">
        <w:t xml:space="preserve"> </w:t>
      </w:r>
      <w:r w:rsidR="00341CEB">
        <w:t>that will be invol</w:t>
      </w:r>
      <w:r w:rsidR="001267CF">
        <w:t>ved in the focus groups include</w:t>
      </w:r>
      <w:r w:rsidR="00341CEB">
        <w:t xml:space="preserve"> parent </w:t>
      </w:r>
      <w:r w:rsidR="00953987">
        <w:t>engage</w:t>
      </w:r>
      <w:r w:rsidR="00341CEB">
        <w:t xml:space="preserve">ment </w:t>
      </w:r>
      <w:r w:rsidR="00953987">
        <w:t xml:space="preserve">as </w:t>
      </w:r>
      <w:r w:rsidR="00CD79A3">
        <w:t xml:space="preserve">a </w:t>
      </w:r>
      <w:r w:rsidR="00953987">
        <w:t>part of their program model</w:t>
      </w:r>
      <w:r w:rsidR="00166BB3">
        <w:t>.</w:t>
      </w:r>
      <w:r w:rsidR="004128CC">
        <w:t xml:space="preserve"> Focus group data will be summarized to provide more detailed information about </w:t>
      </w:r>
      <w:r w:rsidR="000F712C">
        <w:t xml:space="preserve">parents’ views on youth sexual behavior and sexual risk avoidance education, and also </w:t>
      </w:r>
      <w:r w:rsidR="004128CC">
        <w:t xml:space="preserve">parent engagement strategies employed by grantees, providing insights that may be useful to </w:t>
      </w:r>
      <w:r w:rsidR="00166BB3">
        <w:t xml:space="preserve">informing future </w:t>
      </w:r>
      <w:r w:rsidR="004128CC">
        <w:t xml:space="preserve">SRAE </w:t>
      </w:r>
      <w:r w:rsidR="00166BB3">
        <w:t>programming and parent engagement strategies.</w:t>
      </w:r>
    </w:p>
    <w:p w:rsidR="00584284" w:rsidP="00B3652D" w:rsidRDefault="00584284" w14:paraId="6EF8BE6A" w14:textId="77777777">
      <w:pPr>
        <w:pStyle w:val="ListParagraph"/>
        <w:rPr>
          <w:rFonts w:cs="Calibri"/>
        </w:rPr>
      </w:pPr>
    </w:p>
    <w:p w:rsidRPr="001267CF" w:rsidR="009A1F58" w:rsidP="001267CF" w:rsidRDefault="00B3652D" w14:paraId="68ED28DB" w14:textId="35C4B422">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624DDC" w:rsidP="00624DDC" w:rsidRDefault="00624DDC" w14:paraId="64C8BC8B" w14:textId="1C015E41">
      <w:pPr>
        <w:spacing w:after="0" w:line="240" w:lineRule="auto"/>
        <w:rPr>
          <w:b/>
        </w:rPr>
      </w:pPr>
    </w:p>
    <w:p w:rsidR="001267CF" w:rsidP="00624DDC" w:rsidRDefault="001267CF" w14:paraId="7B89AADE" w14:textId="2BF15C2D">
      <w:pPr>
        <w:spacing w:after="0" w:line="240" w:lineRule="auto"/>
        <w:rPr>
          <w:b/>
        </w:rPr>
      </w:pPr>
    </w:p>
    <w:p w:rsidR="001267CF" w:rsidP="00624DDC" w:rsidRDefault="001267CF" w14:paraId="6569EFBB" w14:textId="6F27BBFB">
      <w:pPr>
        <w:spacing w:after="0" w:line="240" w:lineRule="auto"/>
        <w:rPr>
          <w:b/>
        </w:rPr>
      </w:pPr>
    </w:p>
    <w:p w:rsidR="001267CF" w:rsidP="00624DDC" w:rsidRDefault="001267CF" w14:paraId="626386C4" w14:textId="78970443">
      <w:pPr>
        <w:spacing w:after="0" w:line="240" w:lineRule="auto"/>
        <w:rPr>
          <w:b/>
        </w:rPr>
      </w:pPr>
    </w:p>
    <w:p w:rsidR="001267CF" w:rsidP="00624DDC" w:rsidRDefault="001267CF" w14:paraId="548B8523" w14:textId="6BD58BC7">
      <w:pPr>
        <w:spacing w:after="0" w:line="240" w:lineRule="auto"/>
        <w:rPr>
          <w:b/>
        </w:rPr>
      </w:pPr>
    </w:p>
    <w:p w:rsidR="001267CF" w:rsidP="00624DDC" w:rsidRDefault="001267CF" w14:paraId="7A6047E7" w14:textId="6F219ABA">
      <w:pPr>
        <w:spacing w:after="0" w:line="240" w:lineRule="auto"/>
        <w:rPr>
          <w:b/>
        </w:rPr>
      </w:pPr>
    </w:p>
    <w:p w:rsidR="001267CF" w:rsidP="00624DDC" w:rsidRDefault="001267CF" w14:paraId="7739B43F" w14:textId="195529A3">
      <w:pPr>
        <w:spacing w:after="0" w:line="240" w:lineRule="auto"/>
        <w:rPr>
          <w:b/>
        </w:rPr>
      </w:pPr>
    </w:p>
    <w:p w:rsidR="001267CF" w:rsidP="00624DDC" w:rsidRDefault="001267CF" w14:paraId="732B1233" w14:textId="21AE2B73">
      <w:pPr>
        <w:spacing w:after="0" w:line="240" w:lineRule="auto"/>
        <w:rPr>
          <w:b/>
        </w:rPr>
      </w:pPr>
    </w:p>
    <w:p w:rsidR="001267CF" w:rsidP="00624DDC" w:rsidRDefault="001267CF" w14:paraId="31C597B2" w14:textId="59411122">
      <w:pPr>
        <w:spacing w:after="0" w:line="240" w:lineRule="auto"/>
        <w:rPr>
          <w:b/>
        </w:rPr>
      </w:pPr>
    </w:p>
    <w:p w:rsidR="001267CF" w:rsidP="00624DDC" w:rsidRDefault="001267CF" w14:paraId="303B23D7" w14:textId="478FB902">
      <w:pPr>
        <w:spacing w:after="0" w:line="240" w:lineRule="auto"/>
        <w:rPr>
          <w:b/>
        </w:rPr>
      </w:pPr>
    </w:p>
    <w:p w:rsidR="001267CF" w:rsidP="00624DDC" w:rsidRDefault="001267CF" w14:paraId="6FB95040" w14:textId="6FBB4F19">
      <w:pPr>
        <w:spacing w:after="0" w:line="240" w:lineRule="auto"/>
        <w:rPr>
          <w:b/>
        </w:rPr>
      </w:pPr>
    </w:p>
    <w:p w:rsidR="001267CF" w:rsidP="00624DDC" w:rsidRDefault="001267CF" w14:paraId="7FD66492" w14:textId="00C84FB7">
      <w:pPr>
        <w:spacing w:after="0" w:line="240" w:lineRule="auto"/>
        <w:rPr>
          <w:b/>
        </w:rPr>
      </w:pPr>
    </w:p>
    <w:p w:rsidR="001267CF" w:rsidP="00624DDC" w:rsidRDefault="001267CF" w14:paraId="1FA6D954" w14:textId="523DC5EA">
      <w:pPr>
        <w:spacing w:after="0" w:line="240" w:lineRule="auto"/>
        <w:rPr>
          <w:b/>
        </w:rPr>
      </w:pPr>
    </w:p>
    <w:p w:rsidR="001267CF" w:rsidP="00624DDC" w:rsidRDefault="001267CF" w14:paraId="26DE87D6" w14:textId="18BDC2DB">
      <w:pPr>
        <w:spacing w:after="0" w:line="240" w:lineRule="auto"/>
        <w:rPr>
          <w:b/>
        </w:rPr>
      </w:pPr>
    </w:p>
    <w:p w:rsidR="001267CF" w:rsidP="00624DDC" w:rsidRDefault="001267CF" w14:paraId="42E8FAFD" w14:textId="77777777">
      <w:pPr>
        <w:spacing w:after="0" w:line="240" w:lineRule="auto"/>
        <w:rPr>
          <w:b/>
        </w:rPr>
      </w:pPr>
      <w:bookmarkStart w:name="_GoBack" w:id="2"/>
      <w:bookmarkEnd w:id="2"/>
    </w:p>
    <w:p w:rsidR="001267CF" w:rsidP="00624DDC" w:rsidRDefault="001267CF" w14:paraId="774968BF" w14:textId="77777777">
      <w:pPr>
        <w:spacing w:after="0" w:line="240" w:lineRule="auto"/>
        <w:rPr>
          <w:b/>
        </w:rPr>
      </w:pPr>
    </w:p>
    <w:bookmarkEnd w:id="0"/>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lastRenderedPageBreak/>
        <w:t>A1</w:t>
      </w:r>
      <w:r>
        <w:t>.</w:t>
      </w:r>
      <w:r>
        <w:tab/>
      </w:r>
      <w:r w:rsidRPr="004328A4" w:rsidR="004E5778">
        <w:rPr>
          <w:b/>
        </w:rPr>
        <w:t>Necessity for Collection</w:t>
      </w:r>
      <w:r w:rsidR="004E5778">
        <w:t xml:space="preserve"> </w:t>
      </w:r>
    </w:p>
    <w:p w:rsidRPr="000C0635" w:rsidR="000C0635" w:rsidP="0041566C" w:rsidRDefault="000C0635" w14:paraId="02C67316" w14:textId="4C73DAE5">
      <w:pPr>
        <w:pStyle w:val="ListParagraph"/>
        <w:tabs>
          <w:tab w:val="left" w:pos="806"/>
        </w:tabs>
        <w:spacing w:after="0"/>
        <w:ind w:left="360"/>
      </w:pPr>
      <w:r w:rsidRPr="000C0635">
        <w:t>The consequences of adolescent sexual activity remain a critical social and economic issue in the United States, shaping the lives of thousands of teens and their families every year. Despite its decline over the past 25 years, the teen birthrate in the United States remains higher than in other industrialized countries, and varies widely across geographic regions and racial and ethnic groups</w:t>
      </w:r>
      <w:r w:rsidRPr="000C0635">
        <w:rPr>
          <w:vertAlign w:val="superscript"/>
        </w:rPr>
        <w:footnoteReference w:id="1"/>
      </w:r>
      <w:r w:rsidR="00D12F6B">
        <w:t>.</w:t>
      </w:r>
      <w:r w:rsidRPr="000C0635">
        <w:t xml:space="preserve"> Further, adolescents and young adults account for half of all new cases of sexually transmitted infections each year</w:t>
      </w:r>
      <w:r w:rsidRPr="000C0635">
        <w:rPr>
          <w:vertAlign w:val="superscript"/>
        </w:rPr>
        <w:footnoteReference w:id="2"/>
      </w:r>
      <w:r w:rsidR="00D12F6B">
        <w:t>.</w:t>
      </w:r>
      <w:r w:rsidRPr="000C0635">
        <w:t xml:space="preserve"> Sexual activity in youth is also associated with other risk behaviors, such as alcohol and substance use. </w:t>
      </w:r>
    </w:p>
    <w:p w:rsidRPr="000C0635" w:rsidR="000C0635" w:rsidP="000C0635" w:rsidRDefault="000C0635" w14:paraId="1239D60E" w14:textId="77777777">
      <w:pPr>
        <w:pStyle w:val="ListParagraph"/>
        <w:tabs>
          <w:tab w:val="left" w:pos="806"/>
        </w:tabs>
        <w:ind w:left="360"/>
      </w:pPr>
    </w:p>
    <w:p w:rsidRPr="000C0F97" w:rsidR="000C0635" w:rsidP="004F105A" w:rsidRDefault="000C0635" w14:paraId="3AB77E6B" w14:textId="13A166B3">
      <w:pPr>
        <w:pStyle w:val="ListParagraph"/>
        <w:tabs>
          <w:tab w:val="left" w:pos="806"/>
        </w:tabs>
        <w:ind w:left="360"/>
      </w:pPr>
      <w:r w:rsidRPr="000C0635">
        <w:t xml:space="preserve">As part of the federal government’s ongoing efforts to support youth in making healthy decisions about their relationships and behaviors, in February 2018, Congress updated Title V, Section 510 of the Social Security Act to authorize the Sexual Risk Avoidance Education (SRAE) grant program. Administered by the Family and Youth Services Bureau (FYSB) within the Administration for Children and Families (ACF) of the U.S. Department of Health and Human Services (HHS), SRAE funds programs that teach adolescents to </w:t>
      </w:r>
      <w:r w:rsidRPr="00D12F6B">
        <w:rPr>
          <w:i/>
          <w:iCs/>
        </w:rPr>
        <w:t>refrain</w:t>
      </w:r>
      <w:r w:rsidRPr="000C0635">
        <w:t xml:space="preserve"> from sexual activity. The programs also provide education on </w:t>
      </w:r>
      <w:r w:rsidRPr="00C93C75">
        <w:t xml:space="preserve">personal responsibility, self-regulation, goal setting, healthy relationships, a focus on the future, </w:t>
      </w:r>
      <w:r w:rsidRPr="00C93C75" w:rsidR="00315779">
        <w:t xml:space="preserve">and </w:t>
      </w:r>
      <w:r w:rsidRPr="00166BB3">
        <w:t>prevention of drug and alcohol use</w:t>
      </w:r>
      <w:r w:rsidRPr="00166BB3" w:rsidR="00315779">
        <w:t xml:space="preserve">. The programs also may </w:t>
      </w:r>
      <w:r w:rsidRPr="00166BB3" w:rsidR="00F04498">
        <w:t xml:space="preserve">contain a </w:t>
      </w:r>
      <w:r w:rsidRPr="00166BB3" w:rsidR="00953987">
        <w:t xml:space="preserve">component that seeks to increase and improve </w:t>
      </w:r>
      <w:r w:rsidRPr="00166BB3" w:rsidR="00F04498">
        <w:t>parenta</w:t>
      </w:r>
      <w:r w:rsidRPr="00166BB3" w:rsidR="00315779">
        <w:t>l</w:t>
      </w:r>
      <w:r w:rsidR="00132986">
        <w:t xml:space="preserve"> communication and</w:t>
      </w:r>
      <w:r w:rsidRPr="00166BB3" w:rsidR="00315779">
        <w:t xml:space="preserve"> engagement</w:t>
      </w:r>
      <w:r w:rsidRPr="00166BB3" w:rsidR="00953987">
        <w:t xml:space="preserve"> with their teens on these topics</w:t>
      </w:r>
      <w:r w:rsidRPr="00166BB3">
        <w:t>.</w:t>
      </w:r>
      <w:r w:rsidRPr="00166BB3" w:rsidR="00166BB3">
        <w:t xml:space="preserve"> </w:t>
      </w:r>
      <w:r w:rsidRPr="00D12F6B" w:rsidR="00166BB3">
        <w:t>Research shows the importance of parent–child communication on sexual decision making (Commendador 2010)</w:t>
      </w:r>
      <w:r w:rsidR="00D12F6B">
        <w:rPr>
          <w:rStyle w:val="FootnoteReference"/>
        </w:rPr>
        <w:footnoteReference w:id="3"/>
      </w:r>
      <w:r w:rsidRPr="00D12F6B" w:rsidR="00166BB3">
        <w:t xml:space="preserve"> and that intensive parental components within sex education programs can improve communication and may modify adolescent sexual behaviors (Wight and Fullerton 2013)</w:t>
      </w:r>
      <w:r w:rsidR="00D12F6B">
        <w:rPr>
          <w:rStyle w:val="FootnoteReference"/>
        </w:rPr>
        <w:footnoteReference w:id="4"/>
      </w:r>
      <w:r w:rsidRPr="00D12F6B" w:rsidR="00166BB3">
        <w:t>. However, engaging parents in programming is often difficult. Parents’ interest and attitudes toward sex education can affect their willingness to participate, and to allow their child to participate.</w:t>
      </w:r>
      <w:r w:rsidRPr="00C93C75" w:rsidR="004F105A">
        <w:t xml:space="preserve"> </w:t>
      </w:r>
      <w:r w:rsidRPr="00C93C75">
        <w:t xml:space="preserve">The Youth Empowerment IDEAS project is </w:t>
      </w:r>
      <w:r w:rsidRPr="00166BB3" w:rsidR="00151EF9">
        <w:t xml:space="preserve">intended </w:t>
      </w:r>
      <w:r w:rsidRPr="00166BB3">
        <w:t xml:space="preserve">to identify </w:t>
      </w:r>
      <w:r w:rsidRPr="00166BB3" w:rsidR="00232B73">
        <w:t>messages and strategies that resonate</w:t>
      </w:r>
      <w:r w:rsidRPr="001C436F" w:rsidR="00232B73">
        <w:t xml:space="preserve"> with parents and youth and reinforce a</w:t>
      </w:r>
      <w:r w:rsidR="00232B73">
        <w:t xml:space="preserve"> </w:t>
      </w:r>
      <w:r w:rsidR="007B450A">
        <w:t>s</w:t>
      </w:r>
      <w:r w:rsidR="00232B73">
        <w:t xml:space="preserve">exual </w:t>
      </w:r>
      <w:r w:rsidR="007B450A">
        <w:t>r</w:t>
      </w:r>
      <w:r w:rsidR="00232B73">
        <w:t xml:space="preserve">isk </w:t>
      </w:r>
      <w:r w:rsidR="007B450A">
        <w:t>a</w:t>
      </w:r>
      <w:r w:rsidR="00232B73">
        <w:t>voidance (</w:t>
      </w:r>
      <w:r w:rsidRPr="001C436F" w:rsidR="00232B73">
        <w:t>SRA</w:t>
      </w:r>
      <w:r w:rsidR="00232B73">
        <w:t>)</w:t>
      </w:r>
      <w:r w:rsidRPr="001C436F" w:rsidR="00232B73">
        <w:t xml:space="preserve"> message</w:t>
      </w:r>
      <w:r w:rsidRPr="000C0635">
        <w:t xml:space="preserve">. </w:t>
      </w:r>
    </w:p>
    <w:p w:rsidRPr="000C0F97" w:rsidR="000C0635" w:rsidP="000C0635" w:rsidRDefault="000C0635" w14:paraId="2C7997DA" w14:textId="77777777">
      <w:pPr>
        <w:pStyle w:val="ListParagraph"/>
        <w:tabs>
          <w:tab w:val="left" w:pos="806"/>
        </w:tabs>
        <w:ind w:left="360"/>
      </w:pPr>
    </w:p>
    <w:p w:rsidR="00872BAE" w:rsidP="000C0635" w:rsidRDefault="00232B73" w14:paraId="368DC2F9" w14:textId="03A8DC0E">
      <w:pPr>
        <w:pStyle w:val="ListParagraph"/>
        <w:tabs>
          <w:tab w:val="left" w:pos="806"/>
        </w:tabs>
        <w:ind w:left="360"/>
      </w:pPr>
      <w:r>
        <w:t>This information collection request seeks approval to conduct a set of virtual focus groups with parents whose youth receive SRAE programming.</w:t>
      </w:r>
      <w:r w:rsidRPr="00232B73">
        <w:t xml:space="preserve"> </w:t>
      </w:r>
      <w:r>
        <w:t>These focus groups will allow us to perform an in-depth, qualitative exploration of these topics and summarize parent perspectives and experiences. The qualitative information collected from the parent focus groups will inform FYSB,</w:t>
      </w:r>
      <w:r w:rsidR="00315779">
        <w:t xml:space="preserve"> </w:t>
      </w:r>
      <w:r w:rsidR="00953987">
        <w:t>the Office of Planning, Research, and Evaluation (</w:t>
      </w:r>
      <w:r>
        <w:t>OPRE</w:t>
      </w:r>
      <w:r w:rsidR="00315779">
        <w:t>)</w:t>
      </w:r>
      <w:r w:rsidR="00753FCA">
        <w:t>,</w:t>
      </w:r>
      <w:r>
        <w:t xml:space="preserve"> and SRAE grantees with additional insights into program content and strategies for parental engagement that may best </w:t>
      </w:r>
      <w:r w:rsidRPr="00257378">
        <w:t>resonate with parents and youth to reinforce messages related to sexual risk avoidance.</w:t>
      </w:r>
      <w:r>
        <w:t xml:space="preserve"> </w:t>
      </w:r>
      <w:r w:rsidDel="00232B73">
        <w:t xml:space="preserve"> </w:t>
      </w:r>
    </w:p>
    <w:p w:rsidR="00872BAE" w:rsidP="000C0635" w:rsidRDefault="00872BAE" w14:paraId="27600873" w14:textId="77777777">
      <w:pPr>
        <w:pStyle w:val="ListParagraph"/>
        <w:tabs>
          <w:tab w:val="left" w:pos="806"/>
        </w:tabs>
        <w:ind w:left="360"/>
      </w:pPr>
    </w:p>
    <w:p w:rsidRPr="000C0635" w:rsidR="000C0635" w:rsidP="00BC4C49" w:rsidRDefault="00BC4C49" w14:paraId="10EAFB43" w14:textId="000EB6EB">
      <w:pPr>
        <w:pStyle w:val="ListParagraph"/>
        <w:tabs>
          <w:tab w:val="left" w:pos="806"/>
        </w:tabs>
        <w:ind w:left="360"/>
        <w:rPr>
          <w:i/>
        </w:rPr>
      </w:pPr>
      <w:r>
        <w:t>L</w:t>
      </w:r>
      <w:r w:rsidRPr="000C0635" w:rsidR="000C0635">
        <w:rPr>
          <w:i/>
        </w:rPr>
        <w:t xml:space="preserve">egal or Administrative Requirements that Necessitate the Collection </w:t>
      </w:r>
    </w:p>
    <w:p w:rsidR="00BC4C49" w:rsidP="00AD0731" w:rsidRDefault="000C0635" w14:paraId="57442369" w14:textId="69AC1A8D">
      <w:pPr>
        <w:pStyle w:val="ListParagraph"/>
        <w:tabs>
          <w:tab w:val="left" w:pos="806"/>
        </w:tabs>
        <w:ind w:left="360"/>
      </w:pPr>
      <w:r w:rsidRPr="000C0635">
        <w:t>There are no legal or administrative requirements that necessitate the collection. ACF is undertaking the collection at the discretion of the agency.</w:t>
      </w:r>
    </w:p>
    <w:p w:rsidR="00BC4C49" w:rsidP="00DF1291" w:rsidRDefault="00BC4C49" w14:paraId="23FD5AB8" w14:textId="73A45027">
      <w:pPr>
        <w:pStyle w:val="ListParagraph"/>
        <w:spacing w:after="0" w:line="240" w:lineRule="auto"/>
        <w:ind w:left="360"/>
      </w:pPr>
    </w:p>
    <w:p w:rsidR="00B4194A" w:rsidP="00DF1291" w:rsidRDefault="00B4194A" w14:paraId="01A3CE60"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00F04498" w:rsidP="00F04498" w:rsidRDefault="00014EDC" w14:paraId="04F192B6" w14:textId="643D2331">
      <w:pPr>
        <w:rPr>
          <w:rFonts w:cstheme="minorHAnsi"/>
        </w:rPr>
      </w:pPr>
      <w:r w:rsidRPr="004F68F4">
        <w:rPr>
          <w:rFonts w:cstheme="minorHAnsi"/>
        </w:rPr>
        <w:t>This proposed information collection</w:t>
      </w:r>
      <w:r w:rsidR="00282D00">
        <w:t xml:space="preserve"> of data that will be used to inform </w:t>
      </w:r>
      <w:r w:rsidR="00522E82">
        <w:t xml:space="preserve">current and </w:t>
      </w:r>
      <w:r w:rsidR="00282D00">
        <w:t>future SRAE programming and parent engagement strategies,</w:t>
      </w:r>
      <w:r w:rsidRPr="004F68F4">
        <w:rPr>
          <w:rFonts w:cstheme="minorHAnsi"/>
        </w:rPr>
        <w:t xml:space="preserve"> meets the following goals of ACF’s generic clearance for formative data collections for program support (0970-0531): </w:t>
      </w:r>
    </w:p>
    <w:p w:rsidRPr="00F16B74" w:rsidR="00953987" w:rsidP="00953987" w:rsidRDefault="00953987" w14:paraId="0CB83269" w14:textId="77777777">
      <w:pPr>
        <w:pStyle w:val="ListParagraph"/>
        <w:numPr>
          <w:ilvl w:val="0"/>
          <w:numId w:val="28"/>
        </w:numPr>
        <w:rPr>
          <w:rFonts w:cstheme="minorHAnsi"/>
        </w:rPr>
      </w:pPr>
      <w:r w:rsidRPr="00F16B74">
        <w:rPr>
          <w:iCs/>
        </w:rPr>
        <w:t xml:space="preserve">Delivery of targeted assistance and workflows related to program implementation or the development or refinement of program and grantee processes, </w:t>
      </w:r>
      <w:r w:rsidRPr="00F16B74">
        <w:rPr>
          <w:iCs/>
          <w:color w:val="000000"/>
        </w:rPr>
        <w:t>and the development and refinement of recordkeeping and communication systems</w:t>
      </w:r>
      <w:r w:rsidRPr="00F16B74">
        <w:rPr>
          <w:i/>
        </w:rPr>
        <w:t xml:space="preserve">. </w:t>
      </w:r>
      <w:r w:rsidRPr="00F16B74">
        <w:rPr>
          <w:rFonts w:cstheme="minorHAnsi"/>
        </w:rPr>
        <w:t xml:space="preserve"> </w:t>
      </w:r>
    </w:p>
    <w:p w:rsidRPr="00F16B74" w:rsidR="00953987" w:rsidP="00953987" w:rsidRDefault="00953987" w14:paraId="0BE41290" w14:textId="6F606BF5">
      <w:pPr>
        <w:pStyle w:val="ListParagraph"/>
        <w:rPr>
          <w:rFonts w:cstheme="minorHAnsi"/>
        </w:rPr>
      </w:pPr>
      <w:r w:rsidRPr="00F16B74">
        <w:rPr>
          <w:i/>
        </w:rPr>
        <w:t xml:space="preserve"> </w:t>
      </w:r>
      <w:r w:rsidRPr="00F16B74">
        <w:rPr>
          <w:rFonts w:cstheme="minorHAnsi"/>
        </w:rPr>
        <w:t xml:space="preserve"> </w:t>
      </w:r>
    </w:p>
    <w:p w:rsidR="00522E82" w:rsidP="00A36134" w:rsidRDefault="00522E82" w14:paraId="04282729" w14:textId="52F38C58">
      <w:pPr>
        <w:spacing w:after="0" w:line="240" w:lineRule="auto"/>
      </w:pPr>
      <w:r>
        <w:t xml:space="preserve">Ultimately, these data will provide important insight into SRAE program content and strategies that resonate with youth and parents, leading to improvement of these programs to better meet their intended </w:t>
      </w:r>
      <w:r w:rsidR="00A256AA">
        <w:t>goals.</w:t>
      </w:r>
    </w:p>
    <w:p w:rsidR="00522E82" w:rsidP="00A36134" w:rsidRDefault="00522E82" w14:paraId="3B364393" w14:textId="77777777">
      <w:pPr>
        <w:spacing w:after="0" w:line="240" w:lineRule="auto"/>
      </w:pPr>
    </w:p>
    <w:p w:rsidRPr="00014EDC" w:rsidR="00A36134" w:rsidP="00A36134" w:rsidRDefault="00BC4C49" w14:paraId="12840CC4" w14:textId="1A25E7B1">
      <w:pPr>
        <w:spacing w:after="0" w:line="240" w:lineRule="auto"/>
        <w:rPr>
          <w:rFonts w:cstheme="minorHAnsi"/>
        </w:rPr>
      </w:pPr>
      <w:r>
        <w:rPr>
          <w:rFonts w:cstheme="minorHAnsi"/>
        </w:rPr>
        <w:t>T</w:t>
      </w:r>
      <w:r w:rsidRPr="007B450A" w:rsidR="00A36134">
        <w:rPr>
          <w:rFonts w:cstheme="minorHAnsi"/>
        </w:rPr>
        <w:t>h</w:t>
      </w:r>
      <w:r w:rsidRPr="00BC4C49" w:rsidR="00A36134">
        <w:rPr>
          <w:rFonts w:cstheme="minorHAnsi"/>
        </w:rPr>
        <w:t xml:space="preserve">e information collected </w:t>
      </w:r>
      <w:r w:rsidRPr="00014EDC" w:rsidR="00A36134">
        <w:rPr>
          <w:rFonts w:cstheme="minorHAnsi"/>
        </w:rPr>
        <w:t>is not intended to be used as the principal basis for a decision by a federal decision-</w:t>
      </w:r>
      <w:r w:rsidRPr="00014EDC" w:rsidR="009A1F58">
        <w:rPr>
          <w:rFonts w:cstheme="minorHAnsi"/>
        </w:rPr>
        <w:t>maker and</w:t>
      </w:r>
      <w:r w:rsidRPr="00014EDC" w:rsidR="00A36134">
        <w:rPr>
          <w:rFonts w:cstheme="minorHAnsi"/>
        </w:rPr>
        <w:t xml:space="preserve">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7D0F6E" w:rsidRDefault="004328A4" w14:paraId="57EB8C37" w14:textId="4D915454">
      <w:pPr>
        <w:spacing w:after="120" w:line="240" w:lineRule="auto"/>
        <w:rPr>
          <w:i/>
        </w:rPr>
      </w:pPr>
      <w:r w:rsidRPr="004328A4">
        <w:rPr>
          <w:i/>
        </w:rPr>
        <w:t>Research Questions or Tests</w:t>
      </w:r>
    </w:p>
    <w:p w:rsidR="0058501C" w:rsidP="0058501C" w:rsidRDefault="0058501C" w14:paraId="4C5C4135" w14:textId="5AC08F70">
      <w:pPr>
        <w:spacing w:after="0" w:line="240" w:lineRule="auto"/>
      </w:pPr>
      <w:r>
        <w:t>T</w:t>
      </w:r>
      <w:r w:rsidRPr="009A1F58">
        <w:t>his study aims</w:t>
      </w:r>
      <w:r>
        <w:t xml:space="preserve"> to: </w:t>
      </w:r>
    </w:p>
    <w:p w:rsidRPr="00374DF8" w:rsidR="0058501C" w:rsidP="0058501C" w:rsidRDefault="0058501C" w14:paraId="0A3E7954" w14:textId="77777777">
      <w:pPr>
        <w:pStyle w:val="ListParagraph"/>
        <w:numPr>
          <w:ilvl w:val="0"/>
          <w:numId w:val="48"/>
        </w:numPr>
        <w:spacing w:after="0" w:line="240" w:lineRule="auto"/>
      </w:pPr>
      <w:bookmarkStart w:name="_Hlk45889330" w:id="3"/>
      <w:r w:rsidRPr="00374DF8">
        <w:t>Describe parents’ beliefs, attitudes, expectations, and preferences related to youth sexual and other risk behavior</w:t>
      </w:r>
      <w:r>
        <w:t xml:space="preserve">, </w:t>
      </w:r>
      <w:bookmarkStart w:name="_Hlk45889268" w:id="4"/>
      <w:r w:rsidRPr="00374DF8">
        <w:t>related sexual health education</w:t>
      </w:r>
      <w:r>
        <w:t>, and delaying sex as a teen (or until marriage)</w:t>
      </w:r>
      <w:r w:rsidRPr="00374DF8">
        <w:t>.</w:t>
      </w:r>
      <w:bookmarkEnd w:id="4"/>
    </w:p>
    <w:p w:rsidRPr="00374DF8" w:rsidR="0058501C" w:rsidP="0058501C" w:rsidRDefault="0058501C" w14:paraId="19C154A6" w14:textId="77777777">
      <w:pPr>
        <w:pStyle w:val="ListParagraph"/>
        <w:numPr>
          <w:ilvl w:val="0"/>
          <w:numId w:val="48"/>
        </w:numPr>
        <w:spacing w:after="0" w:line="240" w:lineRule="auto"/>
      </w:pPr>
      <w:r w:rsidRPr="00374DF8">
        <w:t>Examine the nature of parents’ communication with youth about topics related to relationships, risk behaviors, sexual health education,</w:t>
      </w:r>
      <w:r>
        <w:t xml:space="preserve"> delaying sex as a teen (or until marriage),</w:t>
      </w:r>
      <w:r w:rsidRPr="00374DF8">
        <w:t xml:space="preserve"> and future planning. </w:t>
      </w:r>
    </w:p>
    <w:p w:rsidR="0058501C" w:rsidP="0058501C" w:rsidRDefault="0058501C" w14:paraId="28D92292" w14:textId="638F3BF2">
      <w:pPr>
        <w:pStyle w:val="ListParagraph"/>
        <w:numPr>
          <w:ilvl w:val="0"/>
          <w:numId w:val="48"/>
        </w:numPr>
        <w:spacing w:after="0" w:line="240" w:lineRule="auto"/>
      </w:pPr>
      <w:bookmarkStart w:name="_Hlk45889132" w:id="5"/>
      <w:r w:rsidRPr="00374DF8">
        <w:t xml:space="preserve">Generate insights on </w:t>
      </w:r>
      <w:r w:rsidR="00452EEC">
        <w:t>SRAE</w:t>
      </w:r>
      <w:r w:rsidRPr="00374DF8" w:rsidR="00452EEC">
        <w:t xml:space="preserve"> </w:t>
      </w:r>
      <w:r w:rsidRPr="00374DF8">
        <w:t xml:space="preserve">program content, messages, and strategies that may best resonate with youth and </w:t>
      </w:r>
      <w:r w:rsidR="00822695">
        <w:t xml:space="preserve">engage </w:t>
      </w:r>
      <w:r w:rsidRPr="00374DF8">
        <w:t xml:space="preserve">parents </w:t>
      </w:r>
      <w:r w:rsidR="000A5243">
        <w:t xml:space="preserve">in SRAE programming </w:t>
      </w:r>
      <w:r w:rsidRPr="00374DF8">
        <w:t>to reinforce messages related to sexual risk avoidance and cessation.</w:t>
      </w:r>
    </w:p>
    <w:bookmarkEnd w:id="3"/>
    <w:bookmarkEnd w:id="5"/>
    <w:p w:rsidR="004328A4" w:rsidP="00DF1291" w:rsidRDefault="004328A4" w14:paraId="5B5CEC90" w14:textId="1EED0E56">
      <w:pPr>
        <w:spacing w:after="0" w:line="240" w:lineRule="auto"/>
        <w:rPr>
          <w:i/>
        </w:rPr>
      </w:pPr>
    </w:p>
    <w:p w:rsidR="007D0F6E" w:rsidP="00DF1291" w:rsidRDefault="007D0F6E" w14:paraId="074BB4AA" w14:textId="77777777">
      <w:pPr>
        <w:spacing w:after="0" w:line="240" w:lineRule="auto"/>
        <w:rPr>
          <w:i/>
        </w:rPr>
      </w:pPr>
    </w:p>
    <w:p w:rsidR="004328A4" w:rsidP="007D0F6E" w:rsidRDefault="004328A4" w14:paraId="5C99A251" w14:textId="47437BB0">
      <w:pPr>
        <w:spacing w:after="120" w:line="240" w:lineRule="auto"/>
        <w:rPr>
          <w:i/>
        </w:rPr>
      </w:pPr>
      <w:r>
        <w:rPr>
          <w:i/>
        </w:rPr>
        <w:t>Study Design</w:t>
      </w:r>
    </w:p>
    <w:p w:rsidR="0058501C" w:rsidP="0058501C" w:rsidRDefault="0058501C" w14:paraId="2C9F92C2" w14:textId="3F4B6A09">
      <w:pPr>
        <w:spacing w:after="0" w:line="240" w:lineRule="auto"/>
      </w:pPr>
      <w:r>
        <w:t>Data for th</w:t>
      </w:r>
      <w:r w:rsidR="00D07E71">
        <w:t xml:space="preserve">is </w:t>
      </w:r>
      <w:r>
        <w:t>study will be collected through</w:t>
      </w:r>
      <w:r w:rsidR="00A43330">
        <w:t xml:space="preserve"> </w:t>
      </w:r>
      <w:r w:rsidR="009D55DB">
        <w:t xml:space="preserve">virtual </w:t>
      </w:r>
      <w:r>
        <w:t xml:space="preserve">parent focus groups. </w:t>
      </w:r>
    </w:p>
    <w:p w:rsidR="0058501C" w:rsidP="0058501C" w:rsidRDefault="0058501C" w14:paraId="00CDE2FD" w14:textId="77777777">
      <w:pPr>
        <w:spacing w:after="0" w:line="240" w:lineRule="auto"/>
      </w:pPr>
    </w:p>
    <w:p w:rsidR="003C3F8C" w:rsidP="009D0277" w:rsidRDefault="0058501C" w14:paraId="63505B03" w14:textId="611A789C">
      <w:pPr>
        <w:spacing w:after="0"/>
      </w:pPr>
      <w:r>
        <w:t xml:space="preserve">We will conduct </w:t>
      </w:r>
      <w:r w:rsidRPr="00A65F3E">
        <w:t xml:space="preserve">up to </w:t>
      </w:r>
      <w:r w:rsidR="00C36291">
        <w:t xml:space="preserve">three </w:t>
      </w:r>
      <w:r w:rsidR="000C7051">
        <w:t xml:space="preserve">virtual </w:t>
      </w:r>
      <w:r>
        <w:t xml:space="preserve">focus groups, recruiting parents </w:t>
      </w:r>
      <w:r w:rsidR="002B6ED3">
        <w:t xml:space="preserve">of youth served by </w:t>
      </w:r>
      <w:r w:rsidR="00F36BB8">
        <w:t xml:space="preserve">up to </w:t>
      </w:r>
      <w:r w:rsidR="002B6ED3">
        <w:t xml:space="preserve">three </w:t>
      </w:r>
      <w:r>
        <w:t xml:space="preserve">SRAE </w:t>
      </w:r>
      <w:r w:rsidR="00452EEC">
        <w:t xml:space="preserve">programs </w:t>
      </w:r>
      <w:r>
        <w:t>in three different states</w:t>
      </w:r>
      <w:r w:rsidR="00C36291">
        <w:t xml:space="preserve"> who employ robust parental engagement strategies</w:t>
      </w:r>
      <w:r>
        <w:t xml:space="preserve">. </w:t>
      </w:r>
      <w:r w:rsidRPr="005F139F">
        <w:t xml:space="preserve">For each </w:t>
      </w:r>
      <w:r w:rsidR="00396A16">
        <w:t>program</w:t>
      </w:r>
      <w:r>
        <w:t>,</w:t>
      </w:r>
      <w:r w:rsidRPr="005F139F">
        <w:t xml:space="preserve"> we will aim to conduct </w:t>
      </w:r>
      <w:r w:rsidR="00404D05">
        <w:t>a</w:t>
      </w:r>
      <w:r w:rsidRPr="005F139F" w:rsidR="00404D05">
        <w:t xml:space="preserve"> </w:t>
      </w:r>
      <w:r>
        <w:t xml:space="preserve">90-minute </w:t>
      </w:r>
      <w:r w:rsidR="00E50C00">
        <w:t xml:space="preserve">asynchronous </w:t>
      </w:r>
      <w:r w:rsidR="00404D05">
        <w:t xml:space="preserve">virtual </w:t>
      </w:r>
      <w:r w:rsidRPr="005F139F">
        <w:t>focus group</w:t>
      </w:r>
      <w:r w:rsidR="00404D05">
        <w:t xml:space="preserve">, broken up over three </w:t>
      </w:r>
      <w:r w:rsidR="003C3F8C">
        <w:lastRenderedPageBreak/>
        <w:t>30-minute</w:t>
      </w:r>
      <w:r w:rsidR="00404D05">
        <w:t xml:space="preserve"> sessions</w:t>
      </w:r>
      <w:r w:rsidR="002B6ED3">
        <w:t xml:space="preserve">. </w:t>
      </w:r>
      <w:bookmarkStart w:name="_Hlk46393633" w:id="6"/>
      <w:r w:rsidR="00404D05">
        <w:t xml:space="preserve">Asynchronous focus groups, or online chat focus groups, allow users to log into an online platform and respond to </w:t>
      </w:r>
      <w:r w:rsidR="00AF4ED4">
        <w:t>discussion guide</w:t>
      </w:r>
      <w:r w:rsidR="00404D05">
        <w:t xml:space="preserve"> questions via chat rooms moderated by study staff.</w:t>
      </w:r>
      <w:bookmarkEnd w:id="6"/>
      <w:r w:rsidR="00404D05">
        <w:t xml:space="preserve"> </w:t>
      </w:r>
      <w:r w:rsidR="00135BFC">
        <w:t xml:space="preserve">The </w:t>
      </w:r>
      <w:r w:rsidR="00452EEC">
        <w:t xml:space="preserve">parent </w:t>
      </w:r>
      <w:r w:rsidR="00135BFC">
        <w:t xml:space="preserve">focus group sample will be built from a list of program participants at each site. Each of the </w:t>
      </w:r>
      <w:r w:rsidR="00FA0CA4">
        <w:t xml:space="preserve">participating </w:t>
      </w:r>
      <w:r w:rsidR="00452EEC">
        <w:t>SRAE</w:t>
      </w:r>
      <w:r>
        <w:t xml:space="preserve"> </w:t>
      </w:r>
      <w:r w:rsidR="00452EEC">
        <w:t xml:space="preserve">programs </w:t>
      </w:r>
      <w:r w:rsidR="00135BFC">
        <w:t xml:space="preserve">has agreed to assist with the recruitment of the </w:t>
      </w:r>
      <w:r w:rsidR="00452EEC">
        <w:t xml:space="preserve">parent </w:t>
      </w:r>
      <w:r w:rsidR="00135BFC">
        <w:t>focus group participants, as they have their contact information and an established relationship with the participant</w:t>
      </w:r>
      <w:r w:rsidR="009928E0">
        <w:t>s’</w:t>
      </w:r>
      <w:r w:rsidR="00135BFC">
        <w:t xml:space="preserve"> families.</w:t>
      </w:r>
      <w:r>
        <w:t xml:space="preserve"> Depending on the preference of each </w:t>
      </w:r>
      <w:r w:rsidR="00D83766">
        <w:t>program</w:t>
      </w:r>
      <w:r>
        <w:t xml:space="preserve">, </w:t>
      </w:r>
      <w:r w:rsidR="00135BFC">
        <w:t>recruitment will be conducted</w:t>
      </w:r>
      <w:r>
        <w:t xml:space="preserve"> by email and</w:t>
      </w:r>
      <w:r w:rsidR="00045F0A">
        <w:t>/or</w:t>
      </w:r>
      <w:r>
        <w:t xml:space="preserve"> telephone. A</w:t>
      </w:r>
      <w:r w:rsidR="00786DCC">
        <w:t>ppendix</w:t>
      </w:r>
      <w:r>
        <w:t xml:space="preserve"> </w:t>
      </w:r>
      <w:r w:rsidR="00BF37F4">
        <w:t xml:space="preserve">A </w:t>
      </w:r>
      <w:r>
        <w:t xml:space="preserve">provides the parent recruitment email and </w:t>
      </w:r>
      <w:r w:rsidR="00D83766">
        <w:t>Instrument 1 the parent screener script</w:t>
      </w:r>
      <w:r>
        <w:t xml:space="preserve">. We will recruit enough parents so that each </w:t>
      </w:r>
      <w:r w:rsidR="00C23B1A">
        <w:t xml:space="preserve">virtual focus </w:t>
      </w:r>
      <w:r>
        <w:t>group will include</w:t>
      </w:r>
      <w:r w:rsidR="00C23B1A">
        <w:t xml:space="preserve"> up to</w:t>
      </w:r>
      <w:r>
        <w:t xml:space="preserve"> </w:t>
      </w:r>
      <w:r w:rsidR="00135BFC">
        <w:t>30</w:t>
      </w:r>
      <w:r>
        <w:t xml:space="preserve"> participants.</w:t>
      </w:r>
      <w:r w:rsidR="00C23B1A">
        <w:t xml:space="preserve"> </w:t>
      </w:r>
      <w:r w:rsidR="00E50C00">
        <w:t xml:space="preserve">Asynchronous online </w:t>
      </w:r>
      <w:r w:rsidR="00045F0A">
        <w:t>focus group</w:t>
      </w:r>
      <w:r w:rsidR="00E50C00">
        <w:t>s allow for larger sample sizes, with larger groups tending to yield richer and more detailed discussions as participants can discuss multiple topics at the same time through use of threads</w:t>
      </w:r>
      <w:r w:rsidR="008A2FAA">
        <w:rPr>
          <w:rStyle w:val="FootnoteReference"/>
        </w:rPr>
        <w:footnoteReference w:id="5"/>
      </w:r>
      <w:r w:rsidR="008A4A0A">
        <w:t>.</w:t>
      </w:r>
      <w:r w:rsidR="00E50C00">
        <w:t xml:space="preserve"> </w:t>
      </w:r>
      <w:r w:rsidR="002B6ED3">
        <w:t>Additionally, t</w:t>
      </w:r>
      <w:r w:rsidR="00404D05">
        <w:t xml:space="preserve">hey </w:t>
      </w:r>
      <w:r w:rsidR="00E56A9C">
        <w:t>offer</w:t>
      </w:r>
      <w:r w:rsidR="00404D05">
        <w:t xml:space="preserve"> </w:t>
      </w:r>
      <w:r w:rsidR="002B6ED3">
        <w:t xml:space="preserve">a </w:t>
      </w:r>
      <w:r w:rsidR="00404D05">
        <w:t xml:space="preserve">more anonymous </w:t>
      </w:r>
      <w:r w:rsidR="00F95DE6">
        <w:t xml:space="preserve">environment for answering </w:t>
      </w:r>
      <w:r w:rsidR="002B6ED3">
        <w:t xml:space="preserve">sensitive </w:t>
      </w:r>
      <w:r w:rsidR="00F95DE6">
        <w:t xml:space="preserve">questions </w:t>
      </w:r>
      <w:r w:rsidR="00E56A9C">
        <w:t>(Section A11), allowing respondents to be more open and honest in their responses</w:t>
      </w:r>
      <w:r w:rsidR="008C784F">
        <w:t>,</w:t>
      </w:r>
      <w:r w:rsidR="00E56A9C">
        <w:t xml:space="preserve"> which may increase data quality</w:t>
      </w:r>
      <w:r w:rsidR="00F95DE6">
        <w:rPr>
          <w:rStyle w:val="FootnoteReference"/>
        </w:rPr>
        <w:footnoteReference w:id="6"/>
      </w:r>
      <w:r w:rsidR="00F95DE6">
        <w:t xml:space="preserve">. </w:t>
      </w:r>
    </w:p>
    <w:p w:rsidR="003C3F8C" w:rsidP="009D0277" w:rsidRDefault="003C3F8C" w14:paraId="1B31A406" w14:textId="77777777">
      <w:pPr>
        <w:spacing w:after="0"/>
      </w:pPr>
    </w:p>
    <w:p w:rsidR="00E56A9C" w:rsidP="009D0277" w:rsidRDefault="00FE2972" w14:paraId="31273FD9" w14:textId="3B958705">
      <w:pPr>
        <w:spacing w:after="0"/>
      </w:pPr>
      <w:r>
        <w:t xml:space="preserve">Noted limitations of this design are the lack of verbal clues from respondents and </w:t>
      </w:r>
      <w:r w:rsidR="00C06343">
        <w:t>less control of the group by the moderator (Reisner et al</w:t>
      </w:r>
      <w:r w:rsidR="00E569B1">
        <w:t>.</w:t>
      </w:r>
      <w:r w:rsidR="00C06343">
        <w:t>, 2018)</w:t>
      </w:r>
      <w:r>
        <w:t xml:space="preserve">. To address these limitations, the study team will pay special attention to creative uses of text by respondents, such as punctuation and </w:t>
      </w:r>
      <w:r w:rsidR="00090353">
        <w:t>emojis</w:t>
      </w:r>
      <w:r>
        <w:t xml:space="preserve">, in the </w:t>
      </w:r>
      <w:r w:rsidR="00262D64">
        <w:t>analysis. While</w:t>
      </w:r>
      <w:r w:rsidR="00C06343">
        <w:t xml:space="preserve"> the group will be moderated on a regular basis by the study team, we will attempt to minimize moderator comments to allow the group to interact with each other. To increase interpersonal connections, we will invite </w:t>
      </w:r>
      <w:r w:rsidR="004F7BC2">
        <w:t xml:space="preserve">small groups of </w:t>
      </w:r>
      <w:r w:rsidR="00C06343">
        <w:t>respondents to join</w:t>
      </w:r>
      <w:r w:rsidR="0029159D">
        <w:t xml:space="preserve"> a </w:t>
      </w:r>
      <w:r w:rsidR="00C06343">
        <w:t xml:space="preserve">short video call the day prior to the </w:t>
      </w:r>
      <w:r w:rsidR="004F7BC2">
        <w:t>focus group to introduce the process, allow</w:t>
      </w:r>
      <w:r w:rsidR="0029159D">
        <w:t>ing</w:t>
      </w:r>
      <w:r w:rsidR="004F7BC2">
        <w:t xml:space="preserve"> them to ask technical questions. We will also include an introductory statement on the</w:t>
      </w:r>
      <w:r w:rsidR="00F16B74">
        <w:t xml:space="preserve"> </w:t>
      </w:r>
      <w:r w:rsidR="00C5166D">
        <w:t xml:space="preserve">focus group chat </w:t>
      </w:r>
      <w:r w:rsidR="004F7BC2">
        <w:t xml:space="preserve">board encouraging participants to interact with each other. </w:t>
      </w:r>
    </w:p>
    <w:p w:rsidR="00E56A9C" w:rsidP="009D0277" w:rsidRDefault="00E56A9C" w14:paraId="48597B9F" w14:textId="77777777">
      <w:pPr>
        <w:spacing w:after="0"/>
      </w:pPr>
    </w:p>
    <w:p w:rsidR="0058501C" w:rsidP="009D0277" w:rsidRDefault="0058501C" w14:paraId="7589B476" w14:textId="5C10E371">
      <w:pPr>
        <w:spacing w:after="0"/>
      </w:pPr>
      <w:r>
        <w:t xml:space="preserve">Instrument </w:t>
      </w:r>
      <w:r w:rsidR="00C8198E">
        <w:t>2</w:t>
      </w:r>
      <w:r w:rsidRPr="00611908" w:rsidR="00C8198E">
        <w:t xml:space="preserve"> </w:t>
      </w:r>
      <w:r w:rsidRPr="00611908">
        <w:t>provides the</w:t>
      </w:r>
      <w:r>
        <w:t xml:space="preserve"> Parent</w:t>
      </w:r>
      <w:r w:rsidRPr="00611908">
        <w:t xml:space="preserve"> </w:t>
      </w:r>
      <w:r w:rsidR="00AF4ED4">
        <w:t>Discussion Guide</w:t>
      </w:r>
      <w:r w:rsidRPr="00611908">
        <w:t xml:space="preserve">. </w:t>
      </w:r>
      <w:bookmarkStart w:name="_Hlk39330987" w:id="7"/>
      <w:r w:rsidRPr="00611908">
        <w:t xml:space="preserve">We will </w:t>
      </w:r>
      <w:r w:rsidR="00E569B1">
        <w:t xml:space="preserve">conduct one focus </w:t>
      </w:r>
      <w:r w:rsidR="003C3F8C">
        <w:t>group for</w:t>
      </w:r>
      <w:r w:rsidR="00E569B1">
        <w:t xml:space="preserve"> each of the three sites, seeking variation, to</w:t>
      </w:r>
      <w:r w:rsidRPr="005F139F">
        <w:t xml:space="preserve"> the extent possible, </w:t>
      </w:r>
      <w:r w:rsidR="00E569B1">
        <w:t>of parents with middle school and high school age youth. W</w:t>
      </w:r>
      <w:r w:rsidRPr="005F139F">
        <w:t xml:space="preserve">e will </w:t>
      </w:r>
      <w:r w:rsidR="00E569B1">
        <w:t>also seek a</w:t>
      </w:r>
      <w:r w:rsidRPr="005F139F">
        <w:t xml:space="preserve"> representative set of parents who reflect the characteristics of the youth served th</w:t>
      </w:r>
      <w:r>
        <w:t>rough the grantee’s programming.</w:t>
      </w:r>
      <w:bookmarkEnd w:id="7"/>
      <w:r>
        <w:t xml:space="preserve"> </w:t>
      </w:r>
    </w:p>
    <w:p w:rsidR="0058501C" w:rsidP="007D0F6E" w:rsidRDefault="0058501C" w14:paraId="18F6417F" w14:textId="77777777">
      <w:pPr>
        <w:spacing w:after="120" w:line="240" w:lineRule="auto"/>
        <w:rPr>
          <w:i/>
        </w:rPr>
      </w:pPr>
    </w:p>
    <w:p w:rsidRPr="00A3216C" w:rsidR="00014299" w:rsidP="00014299" w:rsidRDefault="00014299" w14:paraId="369D72FC" w14:textId="400F8DF9">
      <w:pPr>
        <w:pStyle w:val="MarkforTableHeading"/>
        <w:rPr>
          <w:rFonts w:asciiTheme="minorHAnsi" w:hAnsiTheme="minorHAnsi" w:cstheme="minorHAnsi"/>
          <w:sz w:val="22"/>
          <w:szCs w:val="22"/>
        </w:rPr>
      </w:pPr>
      <w:r w:rsidRPr="00A3216C">
        <w:rPr>
          <w:rFonts w:asciiTheme="minorHAnsi" w:hAnsiTheme="minorHAnsi" w:cstheme="minorHAnsi"/>
          <w:sz w:val="22"/>
          <w:szCs w:val="22"/>
        </w:rPr>
        <w:t>Table A</w:t>
      </w:r>
      <w:r>
        <w:rPr>
          <w:rFonts w:asciiTheme="minorHAnsi" w:hAnsiTheme="minorHAnsi" w:cstheme="minorHAnsi"/>
          <w:sz w:val="22"/>
          <w:szCs w:val="22"/>
        </w:rPr>
        <w:t>2</w:t>
      </w:r>
      <w:r w:rsidRPr="00A3216C">
        <w:rPr>
          <w:rFonts w:asciiTheme="minorHAnsi" w:hAnsiTheme="minorHAnsi" w:cstheme="minorHAnsi"/>
          <w:sz w:val="22"/>
          <w:szCs w:val="22"/>
        </w:rPr>
        <w:t xml:space="preserve">. Justification for Sensitive Questions in the Focus Group </w:t>
      </w:r>
      <w:r>
        <w:rPr>
          <w:rFonts w:asciiTheme="minorHAnsi" w:hAnsiTheme="minorHAnsi" w:cstheme="minorHAnsi"/>
          <w:sz w:val="22"/>
          <w:szCs w:val="22"/>
        </w:rPr>
        <w:t>Discussion Guide</w:t>
      </w:r>
      <w:r w:rsidRPr="00A3216C">
        <w:rPr>
          <w:rFonts w:asciiTheme="minorHAnsi" w:hAnsiTheme="minorHAnsi" w:cstheme="minorHAnsi"/>
          <w:sz w:val="22"/>
          <w:szCs w:val="22"/>
        </w:rPr>
        <w:t xml:space="preserve"> </w:t>
      </w:r>
    </w:p>
    <w:tbl>
      <w:tblPr>
        <w:tblStyle w:val="TableGrid"/>
        <w:tblW w:w="9445" w:type="dxa"/>
        <w:tblInd w:w="0" w:type="dxa"/>
        <w:tblLook w:val="04A0" w:firstRow="1" w:lastRow="0" w:firstColumn="1" w:lastColumn="0" w:noHBand="0" w:noVBand="1"/>
      </w:tblPr>
      <w:tblGrid>
        <w:gridCol w:w="1923"/>
        <w:gridCol w:w="1676"/>
        <w:gridCol w:w="4136"/>
        <w:gridCol w:w="1710"/>
      </w:tblGrid>
      <w:tr w:rsidR="00A36134" w:rsidTr="00014EDC" w14:paraId="51FF2E50" w14:textId="77777777">
        <w:tc>
          <w:tcPr>
            <w:tcW w:w="1923" w:type="dxa"/>
            <w:shd w:val="clear" w:color="auto" w:fill="D9D9D9" w:themeFill="background1" w:themeFillShade="D9"/>
          </w:tcPr>
          <w:p w:rsidRPr="00BC3401" w:rsidR="00A36134" w:rsidP="00BC0A56"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Pr="00BC3401" w:rsidR="00A36134" w:rsidP="00BC0A56"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Pr="00BC3401" w:rsidR="00A36134" w:rsidP="00BC0A56"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BC0A56"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014EDC" w14:paraId="7460439D" w14:textId="77777777">
        <w:tc>
          <w:tcPr>
            <w:tcW w:w="1923" w:type="dxa"/>
          </w:tcPr>
          <w:p w:rsidRPr="00BC3401" w:rsidR="00A36134" w:rsidP="00BC0A56" w:rsidRDefault="00E23D75" w14:paraId="45A0A4CE" w14:textId="775E30BC">
            <w:pPr>
              <w:rPr>
                <w:rFonts w:asciiTheme="minorHAnsi" w:hAnsiTheme="minorHAnsi" w:cstheme="minorHAnsi"/>
              </w:rPr>
            </w:pPr>
            <w:r>
              <w:rPr>
                <w:rFonts w:asciiTheme="minorHAnsi" w:hAnsiTheme="minorHAnsi" w:cstheme="minorHAnsi"/>
              </w:rPr>
              <w:t>Parent Focus Groups</w:t>
            </w:r>
          </w:p>
        </w:tc>
        <w:tc>
          <w:tcPr>
            <w:tcW w:w="1676" w:type="dxa"/>
          </w:tcPr>
          <w:p w:rsidRPr="00BC3401" w:rsidR="00A36134" w:rsidP="00BC0A56" w:rsidRDefault="00E23D75" w14:paraId="3EDF4256" w14:textId="60AB30C7">
            <w:pPr>
              <w:rPr>
                <w:rFonts w:asciiTheme="minorHAnsi" w:hAnsiTheme="minorHAnsi" w:cstheme="minorHAnsi"/>
              </w:rPr>
            </w:pPr>
            <w:r>
              <w:rPr>
                <w:rFonts w:asciiTheme="minorHAnsi" w:hAnsiTheme="minorHAnsi" w:cstheme="minorHAnsi"/>
              </w:rPr>
              <w:t xml:space="preserve">IDEAS Parent </w:t>
            </w:r>
            <w:r w:rsidR="00AF4ED4">
              <w:rPr>
                <w:rFonts w:asciiTheme="minorHAnsi" w:hAnsiTheme="minorHAnsi" w:cstheme="minorHAnsi"/>
              </w:rPr>
              <w:t>Discussion Guide</w:t>
            </w:r>
            <w:r>
              <w:rPr>
                <w:rFonts w:asciiTheme="minorHAnsi" w:hAnsiTheme="minorHAnsi" w:cstheme="minorHAnsi"/>
              </w:rPr>
              <w:t xml:space="preserve"> (Instrument </w:t>
            </w:r>
            <w:r w:rsidR="00C8198E">
              <w:rPr>
                <w:rFonts w:asciiTheme="minorHAnsi" w:hAnsiTheme="minorHAnsi" w:cstheme="minorHAnsi"/>
              </w:rPr>
              <w:t>2</w:t>
            </w:r>
            <w:r>
              <w:rPr>
                <w:rFonts w:asciiTheme="minorHAnsi" w:hAnsiTheme="minorHAnsi" w:cstheme="minorHAnsi"/>
              </w:rPr>
              <w:t>)</w:t>
            </w:r>
          </w:p>
        </w:tc>
        <w:tc>
          <w:tcPr>
            <w:tcW w:w="4136" w:type="dxa"/>
          </w:tcPr>
          <w:p w:rsidRPr="00BC3401" w:rsidR="00A36134" w:rsidP="00BC0A56" w:rsidRDefault="00A36134" w14:paraId="1600AC5F" w14:textId="7A0BE818">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Pr="00691B32" w:rsidR="00E23D75">
              <w:rPr>
                <w:rFonts w:asciiTheme="minorHAnsi" w:hAnsiTheme="minorHAnsi" w:cstheme="minorHAnsi"/>
              </w:rPr>
              <w:t>Parents of youth</w:t>
            </w:r>
            <w:r w:rsidRPr="00691B32" w:rsidR="00691B32">
              <w:rPr>
                <w:rFonts w:asciiTheme="minorHAnsi" w:hAnsiTheme="minorHAnsi" w:cstheme="minorHAnsi"/>
              </w:rPr>
              <w:t xml:space="preserve"> who received programming</w:t>
            </w:r>
            <w:r w:rsidR="0029159D">
              <w:rPr>
                <w:rFonts w:asciiTheme="minorHAnsi" w:hAnsiTheme="minorHAnsi" w:cstheme="minorHAnsi"/>
              </w:rPr>
              <w:t xml:space="preserve"> and </w:t>
            </w:r>
            <w:r w:rsidRPr="002817C6" w:rsidR="002817C6">
              <w:rPr>
                <w:rFonts w:asciiTheme="minorHAnsi" w:hAnsiTheme="minorHAnsi" w:cstheme="minorHAnsi"/>
              </w:rPr>
              <w:t>have participated in some aspect of the programming</w:t>
            </w:r>
            <w:r w:rsidRPr="00691B32" w:rsidR="00691B32">
              <w:rPr>
                <w:rFonts w:asciiTheme="minorHAnsi" w:hAnsiTheme="minorHAnsi" w:cstheme="minorHAnsi"/>
              </w:rPr>
              <w:t xml:space="preserve"> from select SRAE grantees</w:t>
            </w:r>
            <w:r w:rsidR="003C3F8C">
              <w:rPr>
                <w:rFonts w:asciiTheme="minorHAnsi" w:hAnsiTheme="minorHAnsi" w:cstheme="minorHAnsi"/>
              </w:rPr>
              <w:t xml:space="preserve"> </w:t>
            </w:r>
            <w:r w:rsidR="008C784F">
              <w:rPr>
                <w:rFonts w:asciiTheme="minorHAnsi" w:hAnsiTheme="minorHAnsi" w:cstheme="minorHAnsi"/>
              </w:rPr>
              <w:t xml:space="preserve">that </w:t>
            </w:r>
            <w:r w:rsidR="003C3F8C">
              <w:rPr>
                <w:rFonts w:asciiTheme="minorHAnsi" w:hAnsiTheme="minorHAnsi" w:cstheme="minorHAnsi"/>
              </w:rPr>
              <w:t>engage parents as part of their program model</w:t>
            </w:r>
            <w:r w:rsidR="002021D3">
              <w:rPr>
                <w:rFonts w:asciiTheme="minorHAnsi" w:hAnsiTheme="minorHAnsi" w:cstheme="minorHAnsi"/>
              </w:rPr>
              <w:t>.</w:t>
            </w:r>
          </w:p>
          <w:p w:rsidRPr="00BC3401" w:rsidR="00A36134" w:rsidP="00BC0A56" w:rsidRDefault="00A36134" w14:paraId="32E164CC" w14:textId="77777777">
            <w:pPr>
              <w:rPr>
                <w:rFonts w:asciiTheme="minorHAnsi" w:hAnsiTheme="minorHAnsi" w:cstheme="minorHAnsi"/>
              </w:rPr>
            </w:pPr>
          </w:p>
          <w:p w:rsidRPr="00BC3401" w:rsidR="00A36134" w:rsidP="00BC0A56" w:rsidRDefault="00A36134" w14:paraId="0BE4A700" w14:textId="3D475F40">
            <w:pPr>
              <w:rPr>
                <w:rFonts w:asciiTheme="minorHAnsi" w:hAnsiTheme="minorHAnsi" w:cstheme="minorHAnsi"/>
              </w:rPr>
            </w:pPr>
            <w:r w:rsidRPr="00BC3401">
              <w:rPr>
                <w:rFonts w:asciiTheme="minorHAnsi" w:hAnsiTheme="minorHAnsi" w:cstheme="minorHAnsi"/>
                <w:b/>
              </w:rPr>
              <w:lastRenderedPageBreak/>
              <w:t>Content</w:t>
            </w:r>
            <w:r w:rsidRPr="00BC3401">
              <w:rPr>
                <w:rFonts w:asciiTheme="minorHAnsi" w:hAnsiTheme="minorHAnsi" w:cstheme="minorHAnsi"/>
              </w:rPr>
              <w:t xml:space="preserve">: </w:t>
            </w:r>
            <w:r w:rsidRPr="00691B32" w:rsidR="00691B32">
              <w:rPr>
                <w:rFonts w:asciiTheme="minorHAnsi" w:hAnsiTheme="minorHAnsi" w:cstheme="minorHAnsi"/>
              </w:rPr>
              <w:t>Parents’ beliefs, expectations, and communication with youth regarding youth sexual behavior</w:t>
            </w:r>
            <w:r w:rsidR="003C3F8C">
              <w:rPr>
                <w:rFonts w:asciiTheme="minorHAnsi" w:hAnsiTheme="minorHAnsi" w:cstheme="minorHAnsi"/>
              </w:rPr>
              <w:t xml:space="preserve"> and </w:t>
            </w:r>
            <w:r w:rsidRPr="003C3F8C" w:rsidR="003C3F8C">
              <w:rPr>
                <w:rFonts w:asciiTheme="minorHAnsi" w:hAnsiTheme="minorHAnsi" w:cstheme="minorHAnsi"/>
              </w:rPr>
              <w:t>sexual risk avoidance education and programming</w:t>
            </w:r>
            <w:r w:rsidRPr="000C0635" w:rsidR="00691B32">
              <w:t>.</w:t>
            </w:r>
          </w:p>
          <w:p w:rsidRPr="00BC3401" w:rsidR="00A36134" w:rsidP="00BC0A56" w:rsidRDefault="00A36134" w14:paraId="5DE76A03" w14:textId="77777777">
            <w:pPr>
              <w:rPr>
                <w:rFonts w:asciiTheme="minorHAnsi" w:hAnsiTheme="minorHAnsi" w:cstheme="minorHAnsi"/>
              </w:rPr>
            </w:pPr>
          </w:p>
          <w:p w:rsidRPr="004F68F4" w:rsidR="00C5166D" w:rsidP="00C5166D" w:rsidRDefault="00A36134" w14:paraId="553CE0CD" w14:textId="287F3AAD">
            <w:pPr>
              <w:rPr>
                <w:rFonts w:cstheme="minorHAnsi"/>
              </w:rPr>
            </w:pPr>
            <w:r w:rsidRPr="00BC3401">
              <w:rPr>
                <w:rFonts w:asciiTheme="minorHAnsi" w:hAnsiTheme="minorHAnsi" w:cstheme="minorHAnsi"/>
                <w:b/>
              </w:rPr>
              <w:t>Purpose</w:t>
            </w:r>
            <w:r w:rsidRPr="00BC3401">
              <w:rPr>
                <w:rFonts w:asciiTheme="minorHAnsi" w:hAnsiTheme="minorHAnsi" w:cstheme="minorHAnsi"/>
              </w:rPr>
              <w:t>:</w:t>
            </w:r>
            <w:r w:rsidR="00C5166D">
              <w:rPr>
                <w:rFonts w:asciiTheme="minorHAnsi" w:hAnsiTheme="minorHAnsi" w:cstheme="minorHAnsi"/>
              </w:rPr>
              <w:t xml:space="preserve"> Delivery of targeted assistance and workflows related to program implementation or the development of program and grantee processes, and the development and refinement of recordkeeping and communication systems. </w:t>
            </w:r>
            <w:r w:rsidRPr="0014759F" w:rsidR="00C5166D">
              <w:rPr>
                <w:rFonts w:asciiTheme="minorHAnsi" w:hAnsiTheme="minorHAnsi" w:cstheme="minorHAnsi"/>
              </w:rPr>
              <w:t xml:space="preserve">   </w:t>
            </w:r>
          </w:p>
          <w:p w:rsidRPr="00BC3401" w:rsidR="00A36134" w:rsidP="00C5166D" w:rsidRDefault="00F16B74" w14:paraId="11DAEC14" w14:textId="0ECEDEDC">
            <w:pPr>
              <w:rPr>
                <w:rFonts w:asciiTheme="minorHAnsi" w:hAnsiTheme="minorHAnsi" w:cstheme="minorHAnsi"/>
              </w:rPr>
            </w:pPr>
            <w:r>
              <w:rPr>
                <w:rFonts w:asciiTheme="minorHAnsi" w:hAnsiTheme="minorHAnsi" w:cstheme="minorHAnsi"/>
              </w:rPr>
              <w:t xml:space="preserve"> </w:t>
            </w:r>
          </w:p>
        </w:tc>
        <w:tc>
          <w:tcPr>
            <w:tcW w:w="1710" w:type="dxa"/>
          </w:tcPr>
          <w:p w:rsidRPr="00BC3401" w:rsidR="00A36134" w:rsidP="00BC0A56" w:rsidRDefault="00A36134" w14:paraId="169F7FD4" w14:textId="002EF175">
            <w:pPr>
              <w:rPr>
                <w:rFonts w:asciiTheme="minorHAnsi" w:hAnsiTheme="minorHAnsi" w:cstheme="minorHAnsi"/>
              </w:rPr>
            </w:pPr>
            <w:r w:rsidRPr="00BC3401">
              <w:rPr>
                <w:rFonts w:asciiTheme="minorHAnsi" w:hAnsiTheme="minorHAnsi" w:cstheme="minorHAnsi"/>
                <w:b/>
              </w:rPr>
              <w:lastRenderedPageBreak/>
              <w:t>Mode</w:t>
            </w:r>
            <w:r w:rsidRPr="00BC3401">
              <w:rPr>
                <w:rFonts w:asciiTheme="minorHAnsi" w:hAnsiTheme="minorHAnsi" w:cstheme="minorHAnsi"/>
              </w:rPr>
              <w:t xml:space="preserve">: </w:t>
            </w:r>
            <w:r w:rsidR="000C0F97">
              <w:rPr>
                <w:rFonts w:asciiTheme="minorHAnsi" w:hAnsiTheme="minorHAnsi" w:cstheme="minorHAnsi"/>
              </w:rPr>
              <w:t>Virtual</w:t>
            </w:r>
            <w:r w:rsidR="004F7BC2">
              <w:rPr>
                <w:rFonts w:asciiTheme="minorHAnsi" w:hAnsiTheme="minorHAnsi" w:cstheme="minorHAnsi"/>
              </w:rPr>
              <w:t xml:space="preserve"> </w:t>
            </w:r>
            <w:r w:rsidR="00691B32">
              <w:rPr>
                <w:rFonts w:asciiTheme="minorHAnsi" w:hAnsiTheme="minorHAnsi" w:cstheme="minorHAnsi"/>
              </w:rPr>
              <w:t>focus groups</w:t>
            </w:r>
          </w:p>
          <w:p w:rsidRPr="00BC3401" w:rsidR="00A36134" w:rsidP="00BC0A56" w:rsidRDefault="00A36134" w14:paraId="7FF7A335" w14:textId="77777777">
            <w:pPr>
              <w:rPr>
                <w:rFonts w:asciiTheme="minorHAnsi" w:hAnsiTheme="minorHAnsi" w:cstheme="minorHAnsi"/>
              </w:rPr>
            </w:pPr>
          </w:p>
          <w:p w:rsidRPr="00BC3401" w:rsidR="00A36134" w:rsidP="00BC0A56" w:rsidRDefault="00A36134" w14:paraId="5A3D1520" w14:textId="5814EC7C">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691B32">
              <w:rPr>
                <w:rFonts w:asciiTheme="minorHAnsi" w:hAnsiTheme="minorHAnsi" w:cstheme="minorHAnsi"/>
              </w:rPr>
              <w:t xml:space="preserve"> 90 minutes total</w:t>
            </w:r>
          </w:p>
        </w:tc>
      </w:tr>
    </w:tbl>
    <w:p w:rsidRPr="000C0F97" w:rsidR="00CB1F9B" w:rsidP="007D0F6E" w:rsidRDefault="00CB1F9B" w14:paraId="3D73964B" w14:textId="77777777">
      <w:pPr>
        <w:spacing w:after="0" w:line="240" w:lineRule="auto"/>
      </w:pPr>
    </w:p>
    <w:p w:rsidRPr="000C0F97" w:rsidR="007D0F6E" w:rsidP="00607CAB" w:rsidRDefault="00BD702B" w14:paraId="14276DBE" w14:textId="3A3B6C05">
      <w:pPr>
        <w:rPr>
          <w:b/>
        </w:rPr>
      </w:pPr>
      <w:r w:rsidRPr="000C0F97">
        <w:rPr>
          <w:b/>
        </w:rPr>
        <w:t>A3</w:t>
      </w:r>
      <w:r w:rsidRPr="000C0F97" w:rsidR="007D0F6E">
        <w:t>.</w:t>
      </w:r>
      <w:r w:rsidRPr="000C0F97" w:rsidR="007D0F6E">
        <w:tab/>
      </w:r>
      <w:r w:rsidRPr="000C0F97" w:rsidR="004E5778">
        <w:rPr>
          <w:b/>
        </w:rPr>
        <w:t>Use of Information Technology to Reduce Burden</w:t>
      </w:r>
    </w:p>
    <w:p w:rsidRPr="000733CE" w:rsidR="00D73FA0" w:rsidP="00992E2E" w:rsidRDefault="00D73FA0" w14:paraId="6E070E9C" w14:textId="33FAD28B">
      <w:pPr>
        <w:spacing w:after="120"/>
        <w:rPr>
          <w:b/>
        </w:rPr>
      </w:pPr>
      <w:r w:rsidRPr="000C0F97">
        <w:t xml:space="preserve">Qualitative information collected from </w:t>
      </w:r>
      <w:r w:rsidR="008C784F">
        <w:t xml:space="preserve">parent </w:t>
      </w:r>
      <w:r w:rsidRPr="000C0F97">
        <w:t xml:space="preserve">focus groups will be collected via </w:t>
      </w:r>
      <w:r w:rsidRPr="000C0F97" w:rsidR="00BC0A56">
        <w:t>Qualboard, an online focus group board</w:t>
      </w:r>
      <w:r w:rsidRPr="000C0F97" w:rsidR="00A74F08">
        <w:t xml:space="preserve">, which </w:t>
      </w:r>
      <w:r w:rsidR="00452EEC">
        <w:t>require less</w:t>
      </w:r>
      <w:r w:rsidRPr="000C0F97" w:rsidR="00A74F08">
        <w:t xml:space="preserve"> burden than other focus group methods</w:t>
      </w:r>
      <w:r w:rsidR="00C93C75">
        <w:t>.</w:t>
      </w:r>
      <w:r w:rsidRPr="000C0F97" w:rsidR="00A74F08">
        <w:rPr>
          <w:rStyle w:val="FootnoteReference"/>
        </w:rPr>
        <w:footnoteReference w:id="7"/>
      </w:r>
      <w:r w:rsidRPr="000C0F97" w:rsidR="00985FBD">
        <w:t xml:space="preserve"> </w:t>
      </w:r>
      <w:r w:rsidRPr="000C0F97" w:rsidR="000C0F97">
        <w:t>Participants in the focus groups type their responses into the board as messages, which are stored and used as the focus group transcript.</w:t>
      </w:r>
      <w:r w:rsidR="000C0F97">
        <w:t xml:space="preserve"> This transcript can be exported and used for coding and analysis. Boards will be open for responses 24 hours a day and monitored by research staff during both the day and evening hours, allowing respondents flexibility to respond when it is most convenient for them.</w:t>
      </w:r>
    </w:p>
    <w:p w:rsidR="00721395" w:rsidP="00DF1291" w:rsidRDefault="00721395" w14:paraId="2D524AAA" w14:textId="4DD1CED5">
      <w:pPr>
        <w:pStyle w:val="ListParagraph"/>
        <w:spacing w:after="0" w:line="240" w:lineRule="auto"/>
        <w:ind w:left="360"/>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D73FA0" w:rsidP="00992E2E" w:rsidRDefault="00D73FA0" w14:paraId="4489102D" w14:textId="4274D90C">
      <w:pPr>
        <w:spacing w:after="120"/>
      </w:pPr>
      <w:r w:rsidRPr="00664C44">
        <w:t>ACF has carefully reviewed the information collection requirements to avoid duplication with existing studies or other ongoing federal teen preg</w:t>
      </w:r>
      <w:r>
        <w:t xml:space="preserve">nancy prevention evaluations. The qualitative information collected by the </w:t>
      </w:r>
      <w:r w:rsidR="00452EEC">
        <w:t xml:space="preserve">parent </w:t>
      </w:r>
      <w:r>
        <w:t xml:space="preserve">focus groups is uniquely poised to provide </w:t>
      </w:r>
      <w:r w:rsidR="007D0616">
        <w:t xml:space="preserve">ACF </w:t>
      </w:r>
      <w:r>
        <w:t xml:space="preserve">with </w:t>
      </w:r>
      <w:r w:rsidR="00452EEC">
        <w:t xml:space="preserve">detailed </w:t>
      </w:r>
      <w:r>
        <w:t>parent reflections on youth sexual risk behavior and risk avoidance within the context of the specific SRAE program</w:t>
      </w:r>
      <w:r w:rsidR="00452EEC">
        <w:t>s</w:t>
      </w:r>
      <w:r>
        <w:t xml:space="preserve">, generating insights for current and future SRAE </w:t>
      </w:r>
      <w:r w:rsidR="00452EEC">
        <w:t>programming</w:t>
      </w:r>
      <w:r>
        <w:t xml:space="preserve">. </w:t>
      </w:r>
    </w:p>
    <w:p w:rsidR="00CB1F9B" w:rsidP="00DF1291" w:rsidRDefault="00CB1F9B" w14:paraId="3000107E" w14:textId="12B85E66">
      <w:pPr>
        <w:spacing w:after="0" w:line="240" w:lineRule="auto"/>
      </w:pPr>
    </w:p>
    <w:p w:rsidR="00B4194A" w:rsidP="00DF1291" w:rsidRDefault="00B4194A" w14:paraId="460A2620"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D73FA0" w:rsidP="00D73FA0" w:rsidRDefault="00D73FA0" w14:paraId="6BC5A3C9" w14:textId="77777777">
      <w:r>
        <w:t>This data collection has no impact on Small Businesses.</w:t>
      </w:r>
    </w:p>
    <w:p w:rsidR="005B5FCC" w:rsidP="00DF1291" w:rsidRDefault="005B5FCC" w14:paraId="373D68B1" w14:textId="0E6586E0">
      <w:pPr>
        <w:spacing w:after="0" w:line="240" w:lineRule="auto"/>
      </w:pPr>
    </w:p>
    <w:p w:rsidR="00B4194A" w:rsidP="00DF1291" w:rsidRDefault="00B4194A" w14:paraId="67F3EC68"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D73FA0" w:rsidP="00D73FA0" w:rsidRDefault="00D73FA0" w14:paraId="1408DC26" w14:textId="75B46D63">
      <w:pPr>
        <w:spacing w:after="0"/>
      </w:pPr>
      <w:r>
        <w:t xml:space="preserve">A smaller </w:t>
      </w:r>
      <w:r w:rsidR="00452EEC">
        <w:t xml:space="preserve">parent </w:t>
      </w:r>
      <w:r>
        <w:t xml:space="preserve">focus group data collection containing just one focus group and/or fewer than 10 participants would not provide sufficient information about parent perspectives on youth sexual behavior and avoidance. Our intent is to discuss topics with parents of youth served by different </w:t>
      </w:r>
      <w:r w:rsidR="00452EEC">
        <w:t xml:space="preserve">SRAE </w:t>
      </w:r>
      <w:r w:rsidR="00452EEC">
        <w:lastRenderedPageBreak/>
        <w:t xml:space="preserve">programs </w:t>
      </w:r>
      <w:r>
        <w:t xml:space="preserve">that offer a relatively robust set of parent engagement strategies. This approach will provide more information about different types of parent engagement strategies and will allow us to pull from a more representative set of parents who reflect the characteristics of the youth served through three different </w:t>
      </w:r>
      <w:r w:rsidR="00452EEC">
        <w:t>SRAE programs</w:t>
      </w:r>
      <w:r>
        <w:t>.</w:t>
      </w:r>
      <w:r w:rsidR="00CD5A9F">
        <w:t xml:space="preserve"> </w:t>
      </w:r>
      <w:r w:rsidR="004169FF">
        <w:t xml:space="preserve">A broad range of perspectives will generate richer data by including participants who have been engaged in different ways by </w:t>
      </w:r>
      <w:r w:rsidR="00452EEC">
        <w:t xml:space="preserve">each of </w:t>
      </w:r>
      <w:r w:rsidR="004169FF">
        <w:t xml:space="preserve">the programs. </w:t>
      </w:r>
      <w:r>
        <w:t>This is a one-time data collection effort.</w:t>
      </w:r>
    </w:p>
    <w:p w:rsidR="002021D3" w:rsidP="00060B30" w:rsidRDefault="002021D3" w14:paraId="74EFCA13" w14:textId="77777777">
      <w:pPr>
        <w:spacing w:after="0"/>
      </w:pP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64ED048" w14:textId="0C5A8376">
      <w:pPr>
        <w:spacing w:after="0" w:line="240" w:lineRule="auto"/>
        <w:rPr>
          <w:b/>
        </w:rPr>
      </w:pP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18053B" w:rsidP="0018053B" w:rsidRDefault="0018053B" w14:paraId="4D9C5063" w14:textId="77777777">
      <w:pPr>
        <w:spacing w:after="120"/>
        <w:rPr>
          <w:i/>
        </w:rPr>
      </w:pPr>
      <w:r w:rsidRPr="00060B30">
        <w:rPr>
          <w:i/>
        </w:rPr>
        <w:t>Federal Register Notice and Comments</w:t>
      </w:r>
    </w:p>
    <w:p w:rsidR="0018053B" w:rsidP="0018053B" w:rsidRDefault="0018053B" w14:paraId="00C4BED6" w14:textId="11C05A47">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for </w:t>
      </w:r>
      <w:r w:rsidRPr="0018053B">
        <w:t xml:space="preserve">formative information 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 </w:t>
      </w:r>
      <w:r>
        <w:t xml:space="preserve"> </w:t>
      </w:r>
    </w:p>
    <w:p w:rsidRPr="00060B30" w:rsidR="0018053B" w:rsidP="00060B30" w:rsidRDefault="0018053B" w14:paraId="48AF03B9" w14:textId="77777777">
      <w:pPr>
        <w:spacing w:after="120"/>
        <w:rPr>
          <w:i/>
        </w:rPr>
      </w:pPr>
    </w:p>
    <w:p w:rsidRPr="00060B30" w:rsidR="00060B30" w:rsidP="00060B30" w:rsidRDefault="00060B30" w14:paraId="678F3F3E" w14:textId="77777777">
      <w:pPr>
        <w:pStyle w:val="Heading4"/>
        <w:spacing w:before="0" w:after="120"/>
        <w:rPr>
          <w:rFonts w:asciiTheme="minorHAnsi" w:hAnsiTheme="minorHAnsi" w:cstheme="minorHAnsi"/>
          <w:b w:val="0"/>
          <w:i/>
          <w:sz w:val="24"/>
          <w:szCs w:val="24"/>
        </w:rPr>
      </w:pPr>
      <w:bookmarkStart w:name="_Hlk38366191" w:id="8"/>
      <w:r w:rsidRPr="00060B30">
        <w:rPr>
          <w:rFonts w:asciiTheme="minorHAnsi" w:hAnsiTheme="minorHAnsi" w:cstheme="minorHAnsi"/>
          <w:b w:val="0"/>
          <w:i/>
          <w:sz w:val="24"/>
          <w:szCs w:val="24"/>
        </w:rPr>
        <w:t>Consultation with Experts Outside of the Study</w:t>
      </w:r>
    </w:p>
    <w:p w:rsidRPr="00992E2E" w:rsidR="00EA0D4F" w:rsidP="00992E2E" w:rsidRDefault="00AA3476" w14:paraId="42BF95B5" w14:textId="499C7D71">
      <w:pPr>
        <w:spacing w:after="0"/>
      </w:pPr>
      <w:r w:rsidRPr="00992E2E">
        <w:t xml:space="preserve">At the 2019 Adolescent Pregnancy Prevention conference, grantees shared information and lessons learned about the programming they are offering to parents during a breakout session. As part of these conversations, </w:t>
      </w:r>
      <w:r w:rsidRPr="00992E2E" w:rsidR="00E23163">
        <w:t>grantees discussed that it would be helpful to have more information on parental engagement strategies</w:t>
      </w:r>
      <w:r w:rsidRPr="00992E2E" w:rsidR="00234FCF">
        <w:t xml:space="preserve"> and parent reaction to programming</w:t>
      </w:r>
      <w:r w:rsidRPr="00992E2E">
        <w:t>.</w:t>
      </w:r>
    </w:p>
    <w:bookmarkEnd w:id="8"/>
    <w:p w:rsidR="002560D7" w:rsidP="002560D7" w:rsidRDefault="002560D7" w14:paraId="4F415BD5" w14:textId="5A48B671">
      <w:pPr>
        <w:spacing w:after="0" w:line="240" w:lineRule="auto"/>
      </w:pPr>
    </w:p>
    <w:p w:rsidR="00C93C75" w:rsidP="002560D7" w:rsidRDefault="00C93C75" w14:paraId="328BFB1F" w14:textId="77777777">
      <w:pPr>
        <w:spacing w:after="0" w:line="240" w:lineRule="auto"/>
      </w:pPr>
    </w:p>
    <w:p w:rsidR="009A39E1" w:rsidP="002560D7" w:rsidRDefault="00BD702B" w14:paraId="4ADF0CCE" w14:textId="3F2DA795">
      <w:pPr>
        <w:spacing w:after="120" w:line="240" w:lineRule="auto"/>
      </w:pPr>
      <w:r w:rsidRPr="00624DDC">
        <w:rPr>
          <w:b/>
        </w:rPr>
        <w:t>A9</w:t>
      </w:r>
      <w:r>
        <w:t>.</w:t>
      </w:r>
      <w:r>
        <w:tab/>
      </w:r>
      <w:r w:rsidRPr="005B5FCC" w:rsidR="009A39E1">
        <w:rPr>
          <w:b/>
        </w:rPr>
        <w:t>Tokens of App</w:t>
      </w:r>
      <w:r w:rsidRPr="005B5FCC" w:rsidR="005B5FCC">
        <w:rPr>
          <w:b/>
        </w:rPr>
        <w:t>reciation</w:t>
      </w:r>
    </w:p>
    <w:p w:rsidRPr="00A5066A" w:rsidR="002D7D04" w:rsidP="002D7D04" w:rsidRDefault="00796278" w14:paraId="16033E31" w14:textId="089AD06C">
      <w:pPr>
        <w:spacing w:after="0"/>
      </w:pPr>
      <w:r>
        <w:t xml:space="preserve">To recruit and conduct </w:t>
      </w:r>
      <w:r w:rsidR="009928E0">
        <w:t xml:space="preserve">parent </w:t>
      </w:r>
      <w:r>
        <w:t xml:space="preserve">focus </w:t>
      </w:r>
      <w:r w:rsidR="00F677F9">
        <w:t>group</w:t>
      </w:r>
      <w:r>
        <w:t>s</w:t>
      </w:r>
      <w:r w:rsidRPr="00A5066A">
        <w:t xml:space="preserve">, </w:t>
      </w:r>
      <w:r>
        <w:t>our contractor, Mathematica, will</w:t>
      </w:r>
      <w:r w:rsidRPr="00A5066A">
        <w:t xml:space="preserve"> </w:t>
      </w:r>
      <w:r>
        <w:t>collaborate with</w:t>
      </w:r>
      <w:r w:rsidRPr="00A5066A">
        <w:t xml:space="preserve"> </w:t>
      </w:r>
      <w:r w:rsidR="007859A3">
        <w:t xml:space="preserve">up to </w:t>
      </w:r>
      <w:r>
        <w:t xml:space="preserve">three SRAE </w:t>
      </w:r>
      <w:r w:rsidR="009928E0">
        <w:t xml:space="preserve">programs </w:t>
      </w:r>
      <w:r>
        <w:t>to identify willing parent participants.</w:t>
      </w:r>
      <w:r w:rsidR="002D7D04">
        <w:t xml:space="preserve"> </w:t>
      </w:r>
      <w:r w:rsidR="00E51D62">
        <w:t>T</w:t>
      </w:r>
      <w:r w:rsidR="002E6A06">
        <w:t xml:space="preserve">he focus </w:t>
      </w:r>
      <w:r w:rsidR="00B3419C">
        <w:t xml:space="preserve">group </w:t>
      </w:r>
      <w:r w:rsidR="002E6A06">
        <w:t>will be administered over 3 sessions in the online platform</w:t>
      </w:r>
      <w:r w:rsidR="00B3419C">
        <w:t xml:space="preserve"> and the process will start with an introductory video call</w:t>
      </w:r>
      <w:r w:rsidR="002E6A06">
        <w:t xml:space="preserve">. To </w:t>
      </w:r>
      <w:r w:rsidR="008909C8">
        <w:t>keep participants engaged and motivated and to obtain maximum retention across sessions,</w:t>
      </w:r>
      <w:r w:rsidR="002E6A06">
        <w:t xml:space="preserve"> we propose offering participants</w:t>
      </w:r>
      <w:r w:rsidR="00B3419C">
        <w:t xml:space="preserve"> </w:t>
      </w:r>
      <w:r w:rsidR="002E6A06">
        <w:t>a $</w:t>
      </w:r>
      <w:r w:rsidR="00E51D62">
        <w:t>10</w:t>
      </w:r>
      <w:r w:rsidR="002E6A06">
        <w:t xml:space="preserve"> gift card for </w:t>
      </w:r>
      <w:r w:rsidR="00B3419C">
        <w:t xml:space="preserve">each of the three </w:t>
      </w:r>
      <w:r w:rsidR="008909C8">
        <w:t xml:space="preserve">subsequent </w:t>
      </w:r>
      <w:r w:rsidR="00B3419C">
        <w:t>sessions they attend</w:t>
      </w:r>
      <w:r w:rsidR="008909C8">
        <w:t xml:space="preserve">. Participants who complete all study </w:t>
      </w:r>
      <w:r w:rsidR="00AC17B5">
        <w:t>activities</w:t>
      </w:r>
      <w:r w:rsidR="008909C8">
        <w:t xml:space="preserve"> will receive a $5 bonus gift card,</w:t>
      </w:r>
      <w:r w:rsidR="00E23163">
        <w:t xml:space="preserve"> for a</w:t>
      </w:r>
      <w:r w:rsidR="008909C8">
        <w:t xml:space="preserve"> maximum</w:t>
      </w:r>
      <w:r w:rsidR="00E23163">
        <w:t xml:space="preserve"> total of $</w:t>
      </w:r>
      <w:r w:rsidR="00E51D62">
        <w:t>3</w:t>
      </w:r>
      <w:r w:rsidR="004B0DB5">
        <w:t xml:space="preserve">5 </w:t>
      </w:r>
      <w:r w:rsidR="00E23163">
        <w:t>if they participate in all activities</w:t>
      </w:r>
      <w:r w:rsidR="00B3419C">
        <w:t xml:space="preserve">. </w:t>
      </w:r>
      <w:r w:rsidR="00CB1525">
        <w:t xml:space="preserve">Similar to online panel surveys, this </w:t>
      </w:r>
      <w:r w:rsidR="004B0DB5">
        <w:t xml:space="preserve">respondent payment </w:t>
      </w:r>
      <w:r w:rsidR="00CB1525">
        <w:t xml:space="preserve">structure is </w:t>
      </w:r>
      <w:r w:rsidR="00CB1525">
        <w:lastRenderedPageBreak/>
        <w:t>positively associated with high response rates</w:t>
      </w:r>
      <w:r w:rsidR="00CB1525">
        <w:rPr>
          <w:rStyle w:val="FootnoteReference"/>
        </w:rPr>
        <w:footnoteReference w:id="8"/>
      </w:r>
      <w:r w:rsidR="00CB1525">
        <w:t>.</w:t>
      </w:r>
      <w:r w:rsidR="004B0DB5">
        <w:t xml:space="preserve"> The amount proposed is less than those typically provided </w:t>
      </w:r>
      <w:r w:rsidR="00C426C4">
        <w:t xml:space="preserve">(up to $75) </w:t>
      </w:r>
      <w:r w:rsidR="004B0DB5">
        <w:t>for in-person focus group</w:t>
      </w:r>
      <w:r w:rsidR="009928E0">
        <w:t>s</w:t>
      </w:r>
      <w:r w:rsidR="004B0DB5">
        <w:t xml:space="preserve"> </w:t>
      </w:r>
      <w:r w:rsidR="00C426C4">
        <w:t xml:space="preserve">that last 90 minutes or more </w:t>
      </w:r>
      <w:r w:rsidR="004B0DB5">
        <w:t>where tokens offset the cost of attending the focus group, including transportation and childcare cost</w:t>
      </w:r>
      <w:r w:rsidR="000842AA">
        <w:t>s, but still encourages respondents to engage in the discussion.</w:t>
      </w:r>
      <w:r w:rsidR="004B0DB5">
        <w:t xml:space="preserve"> </w:t>
      </w:r>
    </w:p>
    <w:p w:rsidR="002560D7" w:rsidP="002560D7" w:rsidRDefault="002560D7" w14:paraId="081C54E2" w14:textId="77777777">
      <w:pPr>
        <w:spacing w:after="0"/>
      </w:pPr>
    </w:p>
    <w:p w:rsidR="00B4194A" w:rsidRDefault="00B4194A" w14:paraId="39B6586C" w14:textId="77777777">
      <w:pPr>
        <w:rPr>
          <w:b/>
        </w:rPr>
      </w:pPr>
      <w:r>
        <w:rPr>
          <w:b/>
        </w:rPr>
        <w:br w:type="page"/>
      </w:r>
    </w:p>
    <w:p w:rsidR="007C7B4B" w:rsidP="00CB57CE" w:rsidRDefault="00BD702B" w14:paraId="50697237" w14:textId="75A79970">
      <w:pPr>
        <w:spacing w:after="120" w:line="240" w:lineRule="auto"/>
      </w:pPr>
      <w:r w:rsidRPr="00624DDC">
        <w:rPr>
          <w:b/>
        </w:rPr>
        <w:lastRenderedPageBreak/>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Pr="00CD08C0" w:rsidR="00796278" w:rsidP="008B5435" w:rsidRDefault="00796278" w14:paraId="1CF404B0" w14:textId="2A0BA761">
      <w:pPr>
        <w:spacing w:after="0"/>
      </w:pPr>
      <w:r>
        <w:t>The respondent’s name</w:t>
      </w:r>
      <w:r w:rsidR="008E4680">
        <w:t>, email and phone numbers</w:t>
      </w:r>
      <w:r>
        <w:t xml:space="preserve"> will be recorded </w:t>
      </w:r>
      <w:r w:rsidR="008E4680">
        <w:t xml:space="preserve">as part of </w:t>
      </w:r>
      <w:r w:rsidR="002021D3">
        <w:t>recruitment but</w:t>
      </w:r>
      <w:r w:rsidR="008E4680">
        <w:t xml:space="preserve"> will be stored separately from the focus group data. </w:t>
      </w:r>
      <w:r w:rsidR="00631862">
        <w:t>An e</w:t>
      </w:r>
      <w:r w:rsidR="00FD14EE">
        <w:t>mail address is needed for outreach</w:t>
      </w:r>
      <w:r w:rsidR="009928E0">
        <w:t>,</w:t>
      </w:r>
      <w:r w:rsidR="00FD14EE">
        <w:t xml:space="preserve"> reminder emails </w:t>
      </w:r>
      <w:r w:rsidR="009928E0">
        <w:t xml:space="preserve">to </w:t>
      </w:r>
      <w:r w:rsidR="00FD14EE">
        <w:t>focus group</w:t>
      </w:r>
      <w:r w:rsidR="009928E0">
        <w:t xml:space="preserve"> participants,</w:t>
      </w:r>
      <w:r w:rsidR="00FD14EE">
        <w:t xml:space="preserve"> and delivery of the token</w:t>
      </w:r>
      <w:r w:rsidR="009928E0">
        <w:t>s</w:t>
      </w:r>
      <w:r w:rsidR="00FD14EE">
        <w:t xml:space="preserve"> of appreciation after the </w:t>
      </w:r>
      <w:r w:rsidR="009928E0">
        <w:t xml:space="preserve">conclusion of the focus </w:t>
      </w:r>
      <w:r w:rsidR="00FD14EE">
        <w:t>group</w:t>
      </w:r>
      <w:r w:rsidR="009928E0">
        <w:t>s</w:t>
      </w:r>
      <w:r w:rsidR="00FD14EE">
        <w:t xml:space="preserve">. We will </w:t>
      </w:r>
      <w:r w:rsidR="009928E0">
        <w:t xml:space="preserve">also </w:t>
      </w:r>
      <w:r w:rsidR="00FD14EE">
        <w:t xml:space="preserve">ask for phone </w:t>
      </w:r>
      <w:r w:rsidR="009928E0">
        <w:t>numbers</w:t>
      </w:r>
      <w:r w:rsidR="00FD14EE">
        <w:t xml:space="preserve"> in case we have trouble reaching </w:t>
      </w:r>
      <w:r w:rsidR="009928E0">
        <w:t xml:space="preserve">focus group participants </w:t>
      </w:r>
      <w:r w:rsidR="00FD14EE">
        <w:t xml:space="preserve">by email. </w:t>
      </w:r>
      <w:r w:rsidR="008E4680">
        <w:t xml:space="preserve">When participants log into the virtual focus group board, they will be instructed to not share their full name, but rather </w:t>
      </w:r>
      <w:r w:rsidR="009928E0">
        <w:t xml:space="preserve">their </w:t>
      </w:r>
      <w:r w:rsidR="008E4680">
        <w:t>first name, initial</w:t>
      </w:r>
      <w:r w:rsidR="009928E0">
        <w:t>,</w:t>
      </w:r>
      <w:r w:rsidR="008E4680">
        <w:t xml:space="preserve"> or an alias. </w:t>
      </w:r>
      <w:r>
        <w:t xml:space="preserve">Demographic information, such as age, race, and ethnicity will be collected from participants to provide context for the </w:t>
      </w:r>
      <w:r w:rsidR="008E4680">
        <w:t>focus group</w:t>
      </w:r>
      <w:r>
        <w:t xml:space="preserve"> findings and themes. This data collection is not subject to the Privacy Act, as i</w:t>
      </w:r>
      <w:r w:rsidRPr="00865CDF">
        <w:t>nformation will not be maintained in a paper or electronic system from which data are actually or directly retrieved by an individuals’ personal identifier.</w:t>
      </w:r>
    </w:p>
    <w:p w:rsidR="002560D7" w:rsidP="002560D7" w:rsidRDefault="002560D7" w14:paraId="3A9E2882" w14:textId="4963E902">
      <w:pPr>
        <w:spacing w:after="0" w:line="240" w:lineRule="auto"/>
        <w:rPr>
          <w:i/>
        </w:rPr>
      </w:pP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002560D7" w:rsidP="008B5435" w:rsidRDefault="002560D7" w14:paraId="4180ABFE" w14:textId="723D04AC">
      <w:pPr>
        <w:spacing w:after="120"/>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w:t>
      </w:r>
      <w:r w:rsidR="009928E0">
        <w:t>ir</w:t>
      </w:r>
      <w:r w:rsidRPr="00436F5E">
        <w:t xml:space="preserve"> contract, the </w:t>
      </w:r>
      <w:r w:rsidR="00492DEF">
        <w:t>c</w:t>
      </w:r>
      <w:r w:rsidRPr="00436F5E">
        <w:t>ontractor will comply with all Federal and Departmental regulations for private information.</w:t>
      </w:r>
      <w:r w:rsidRPr="00FB4EC1" w:rsidR="00FB4EC1">
        <w:t xml:space="preserve"> </w:t>
      </w:r>
      <w:r w:rsidR="00786DCC">
        <w:t xml:space="preserve">Appendix </w:t>
      </w:r>
      <w:r w:rsidR="00FF0B57">
        <w:t>D</w:t>
      </w:r>
      <w:r w:rsidRPr="00611908" w:rsidR="00FF0B57">
        <w:t xml:space="preserve"> </w:t>
      </w:r>
      <w:r w:rsidRPr="00611908" w:rsidR="00FB4EC1">
        <w:t>provides the consent form</w:t>
      </w:r>
      <w:r w:rsidR="00742A95">
        <w:t>, containing assurances of privacy</w:t>
      </w:r>
      <w:r w:rsidR="00786DCC">
        <w:t>,</w:t>
      </w:r>
      <w:r w:rsidRPr="00611908" w:rsidR="00FB4EC1">
        <w:t xml:space="preserve"> that all participants will </w:t>
      </w:r>
      <w:r w:rsidR="008E4680">
        <w:t>read and acknowledge</w:t>
      </w:r>
      <w:r w:rsidR="00786DCC">
        <w:t xml:space="preserve"> before participating</w:t>
      </w:r>
      <w:r w:rsidR="009928E0">
        <w:t xml:space="preserve"> in the data collection</w:t>
      </w:r>
      <w:r w:rsidR="00742A95">
        <w:t>.</w:t>
      </w:r>
    </w:p>
    <w:p w:rsidR="002560D7" w:rsidP="002560D7" w:rsidRDefault="002560D7" w14:paraId="6E979ED9" w14:textId="51EFCDB5">
      <w:pPr>
        <w:spacing w:after="0" w:line="240" w:lineRule="auto"/>
      </w:pPr>
    </w:p>
    <w:p w:rsidR="00FB4EC1" w:rsidP="002560D7" w:rsidRDefault="00FB4EC1" w14:paraId="5A5A63B3" w14:textId="77777777">
      <w:pPr>
        <w:spacing w:after="0" w:line="240" w:lineRule="auto"/>
      </w:pPr>
    </w:p>
    <w:p w:rsidR="002560D7" w:rsidP="002560D7" w:rsidRDefault="002560D7" w14:paraId="2490F478" w14:textId="3CF9D7B9">
      <w:pPr>
        <w:spacing w:after="120" w:line="240" w:lineRule="auto"/>
        <w:rPr>
          <w:i/>
        </w:rPr>
      </w:pPr>
      <w:r>
        <w:rPr>
          <w:i/>
        </w:rPr>
        <w:t>Data Security and Monitoring</w:t>
      </w:r>
    </w:p>
    <w:p w:rsidRPr="00436F5E" w:rsidR="00FB4EC1" w:rsidP="00FB4EC1" w:rsidRDefault="00FB4EC1" w14:paraId="10F324B9" w14:textId="77777777">
      <w:pPr>
        <w:widowControl w:val="0"/>
      </w:pPr>
      <w:r w:rsidRPr="00436F5E">
        <w:t xml:space="preserve">As specified in the contract, the </w:t>
      </w:r>
      <w:r>
        <w:t>c</w:t>
      </w:r>
      <w:r w:rsidRPr="00436F5E">
        <w:t xml:space="preserve">ontractor </w:t>
      </w:r>
      <w:r>
        <w:t>will</w:t>
      </w:r>
      <w:r w:rsidRPr="00436F5E">
        <w:t xml:space="preserve"> protect respondent</w:t>
      </w:r>
      <w:r>
        <w:t>s’</w:t>
      </w:r>
      <w:r w:rsidRPr="00436F5E">
        <w:t xml:space="preserve"> privacy to the extent permitted by law and comply with all </w:t>
      </w:r>
      <w:r>
        <w:t>f</w:t>
      </w:r>
      <w:r w:rsidRPr="00436F5E">
        <w:t xml:space="preserve">ederal and </w:t>
      </w:r>
      <w:r>
        <w:t>d</w:t>
      </w:r>
      <w:r w:rsidRPr="00436F5E">
        <w:t>epartmental regula</w:t>
      </w:r>
      <w:r>
        <w:t>tions for private information.</w:t>
      </w:r>
      <w:r w:rsidRPr="00387D52">
        <w:rPr>
          <w:color w:val="FF0000"/>
        </w:rPr>
        <w:t xml:space="preserve"> </w:t>
      </w:r>
      <w:r w:rsidRPr="00387D52">
        <w:t xml:space="preserve">The </w:t>
      </w:r>
      <w:r>
        <w:t>c</w:t>
      </w:r>
      <w:r w:rsidRPr="00387D52">
        <w:t>ontractor has developed a Data Safety and Monitoring Plan that assesses all protections of respondents’ personally identifiable information.</w:t>
      </w:r>
      <w:r w:rsidRPr="00436F5E">
        <w:t xml:space="preserve"> The </w:t>
      </w:r>
      <w:r>
        <w:t>c</w:t>
      </w:r>
      <w:r w:rsidRPr="00436F5E">
        <w:t xml:space="preserve">ontractor </w:t>
      </w:r>
      <w:r>
        <w:t>will</w:t>
      </w:r>
      <w:r w:rsidRPr="00436F5E">
        <w:t xml:space="preserve"> ensure that all of its employees, subcontractors (at all tiers), and employees of each subcontractor who perform work under this contract</w:t>
      </w:r>
      <w:r>
        <w:t xml:space="preserve"> or </w:t>
      </w:r>
      <w:r w:rsidRPr="00436F5E">
        <w:t xml:space="preserve">subcontract are trained on data privacy issues and comply with the above requirements. </w:t>
      </w:r>
      <w:r w:rsidRPr="00764B7A">
        <w:t xml:space="preserve">All </w:t>
      </w:r>
      <w:r>
        <w:t>study team</w:t>
      </w:r>
      <w:r w:rsidRPr="00764B7A">
        <w:t xml:space="preserve"> staff </w:t>
      </w:r>
      <w:r>
        <w:t xml:space="preserve">involved in the project </w:t>
      </w:r>
      <w:r w:rsidRPr="00764B7A">
        <w:t>will receive training on (1) limitations of disclosure; (2) safeguarding the physical work environment; and (3) storing, transmitting, and destroying data securely. All Mathemat</w:t>
      </w:r>
      <w:r>
        <w:t>ica staff sign the Mathematica Confidentiality Agreement,</w:t>
      </w:r>
      <w:r w:rsidRPr="00C07674">
        <w:t xml:space="preserve"> complete</w:t>
      </w:r>
      <w:r w:rsidRPr="00764B7A">
        <w:t xml:space="preserve"> online security awareness training when they are hired, and receive annual refresher training thereafter.</w:t>
      </w:r>
    </w:p>
    <w:p w:rsidR="00D32E6D" w:rsidP="00E23D75" w:rsidRDefault="00FB4EC1" w14:paraId="03788AAC" w14:textId="7BC37519">
      <w:pPr>
        <w:widowControl w:val="0"/>
      </w:pPr>
      <w:r w:rsidRPr="00436F5E">
        <w:t>As specified in the</w:t>
      </w:r>
      <w:r w:rsidR="00492DEF">
        <w:t>ir</w:t>
      </w:r>
      <w:r w:rsidRPr="00436F5E">
        <w:t xml:space="preserve"> contract, the </w:t>
      </w:r>
      <w:r>
        <w:t>c</w:t>
      </w:r>
      <w:r w:rsidRPr="00436F5E">
        <w:t xml:space="preserve">ontractor </w:t>
      </w:r>
      <w:r>
        <w:t>will</w:t>
      </w:r>
      <w:r w:rsidRPr="00436F5E">
        <w:t xml:space="preserve"> use Federal Information Processing Standard compliant encryption (Security Requirements for Cryptographic Module, as amended) to protect all instances of sensitive information during storage and transmission. The </w:t>
      </w:r>
      <w:r>
        <w:t>c</w:t>
      </w:r>
      <w:r w:rsidRPr="00436F5E">
        <w:t xml:space="preserve">ontractor </w:t>
      </w:r>
      <w:r>
        <w:t>will</w:t>
      </w:r>
      <w:r w:rsidRPr="00436F5E">
        <w:t xml:space="preserve"> securely generate and manage encryption keys to prevent unauthorized decryption of information in accordance with the Federal Processing Standard. </w:t>
      </w:r>
      <w:r>
        <w:t>A</w:t>
      </w:r>
      <w:r w:rsidRPr="00436F5E">
        <w:t xml:space="preserve">ny data stored electronically will be secured in accordance with the most current National Institute of Standards and Technology requirements and other applicable </w:t>
      </w:r>
      <w:r>
        <w:t>f</w:t>
      </w:r>
      <w:r w:rsidRPr="00436F5E">
        <w:t xml:space="preserve">ederal and </w:t>
      </w:r>
      <w:r>
        <w:lastRenderedPageBreak/>
        <w:t>d</w:t>
      </w:r>
      <w:r w:rsidRPr="00436F5E">
        <w:t xml:space="preserve">epartmental regulations. In addition, the </w:t>
      </w:r>
      <w:r>
        <w:t>c</w:t>
      </w:r>
      <w:r w:rsidRPr="00436F5E">
        <w:t xml:space="preserve">ontractor </w:t>
      </w:r>
      <w:r>
        <w:t xml:space="preserve">has </w:t>
      </w:r>
      <w:r w:rsidRPr="00436F5E">
        <w:t xml:space="preserve">a plan for minimizing the extent possible the inclusion of sensitive information on paper records and for the protection of any paper records, field notes, or other documents that contain sensitive or personally identifiable information that ensures secure </w:t>
      </w:r>
      <w:r>
        <w:t>storage and limits on access.</w:t>
      </w: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9"/>
      </w:r>
    </w:p>
    <w:p w:rsidR="00FB4EC1" w:rsidP="00FB4EC1" w:rsidRDefault="00FB4EC1" w14:paraId="641A7247" w14:textId="1DD6E677">
      <w:pPr>
        <w:shd w:val="clear" w:color="auto" w:fill="FFFFFF"/>
        <w:spacing w:before="280" w:after="280"/>
      </w:pPr>
      <w:r>
        <w:t xml:space="preserve">Questions pertaining to sexual attitudes and the behaviors of youth and sexual attitudes of their parents can be very sensitive in nature; however, the questions are necessary </w:t>
      </w:r>
      <w:r w:rsidR="00DF1CE5">
        <w:t>for ACF</w:t>
      </w:r>
      <w:r w:rsidR="00545242">
        <w:t xml:space="preserve"> to</w:t>
      </w:r>
      <w:r w:rsidR="00DF1CE5">
        <w:t xml:space="preserve"> make improvements to SRAE program</w:t>
      </w:r>
      <w:r w:rsidR="007D4E85">
        <w:t xml:space="preserve"> content </w:t>
      </w:r>
      <w:r w:rsidR="00132986">
        <w:t>in relation to parent</w:t>
      </w:r>
      <w:r w:rsidR="00AA273C">
        <w:t xml:space="preserve"> </w:t>
      </w:r>
      <w:r w:rsidR="007D4E85">
        <w:t>engagement</w:t>
      </w:r>
      <w:r w:rsidR="00AA273C">
        <w:t xml:space="preserve"> and parent-child communication</w:t>
      </w:r>
      <w:r w:rsidR="00A256AA">
        <w:t xml:space="preserve"> strategies </w:t>
      </w:r>
      <w:r w:rsidR="007D4E85">
        <w:t xml:space="preserve"> </w:t>
      </w:r>
      <w:r w:rsidR="008B5435">
        <w:t>(</w:t>
      </w:r>
      <w:r w:rsidR="004441F1">
        <w:t xml:space="preserve">section </w:t>
      </w:r>
      <w:r w:rsidR="008B5435">
        <w:t>A2)</w:t>
      </w:r>
      <w:r>
        <w:t>.</w:t>
      </w:r>
      <w:r w:rsidRPr="00027A9C">
        <w:t xml:space="preserve"> </w:t>
      </w:r>
      <w:r w:rsidRPr="00AB6648">
        <w:t>Table A11</w:t>
      </w:r>
      <w:r>
        <w:t xml:space="preserve"> indicates the topics and questions </w:t>
      </w:r>
      <w:r w:rsidR="00492DEF">
        <w:t>i</w:t>
      </w:r>
      <w:r>
        <w:t xml:space="preserve">n the focus group </w:t>
      </w:r>
      <w:r w:rsidR="00AF4ED4">
        <w:t>discussion guide</w:t>
      </w:r>
      <w:r>
        <w:t xml:space="preserve"> that may be considered sensitive.</w:t>
      </w:r>
      <w:bookmarkStart w:name="_gjdgxs" w:id="9"/>
      <w:bookmarkEnd w:id="9"/>
      <w:r>
        <w:t xml:space="preserve"> Prior to the start of the focus groups, participants will </w:t>
      </w:r>
      <w:r w:rsidR="0076364F">
        <w:t>read</w:t>
      </w:r>
      <w:r w:rsidR="0058321F">
        <w:t xml:space="preserve"> </w:t>
      </w:r>
      <w:r w:rsidR="0076364F">
        <w:t>the</w:t>
      </w:r>
      <w:r>
        <w:t xml:space="preserve"> consent form </w:t>
      </w:r>
      <w:r w:rsidR="00AF4ED4">
        <w:t>(A</w:t>
      </w:r>
      <w:r w:rsidR="00786DCC">
        <w:t xml:space="preserve">ppendix </w:t>
      </w:r>
      <w:r w:rsidR="00FF0B57">
        <w:t>D</w:t>
      </w:r>
      <w:r w:rsidR="00AF4ED4">
        <w:t>)</w:t>
      </w:r>
      <w:r w:rsidR="00492DEF">
        <w:t>,</w:t>
      </w:r>
      <w:r w:rsidR="00AF4ED4">
        <w:t xml:space="preserve"> </w:t>
      </w:r>
      <w:r>
        <w:t>which describes the purpose of the study and indicates their rights as a research participant</w:t>
      </w:r>
      <w:r w:rsidR="00492DEF">
        <w:t>,</w:t>
      </w:r>
      <w:r w:rsidR="0076364F">
        <w:t xml:space="preserve"> and</w:t>
      </w:r>
      <w:r w:rsidR="00D651DD">
        <w:t xml:space="preserve"> acknowledge</w:t>
      </w:r>
      <w:r w:rsidR="00492DEF">
        <w:t>s</w:t>
      </w:r>
      <w:r w:rsidR="00D651DD">
        <w:t xml:space="preserve"> their consent prior to entering the virtual focus group</w:t>
      </w:r>
      <w:r>
        <w:t xml:space="preserve">. </w:t>
      </w:r>
      <w:r w:rsidR="008B5435">
        <w:t>A</w:t>
      </w:r>
      <w:r>
        <w:t>ll participants will be informed that they do not have to respond to any questions they feel uncomfortable answering</w:t>
      </w:r>
      <w:r w:rsidR="00492DEF">
        <w:t>,</w:t>
      </w:r>
      <w:r>
        <w:t xml:space="preserve"> that their participation in the group is voluntary</w:t>
      </w:r>
      <w:r w:rsidR="00492DEF">
        <w:t>,</w:t>
      </w:r>
      <w:r>
        <w:t xml:space="preserve"> and </w:t>
      </w:r>
      <w:r w:rsidR="00492DEF">
        <w:t xml:space="preserve">that </w:t>
      </w:r>
      <w:r>
        <w:t xml:space="preserve">they can </w:t>
      </w:r>
      <w:r w:rsidR="00492DEF">
        <w:t xml:space="preserve">end </w:t>
      </w:r>
      <w:r>
        <w:t xml:space="preserve">their participation at any time. The focus group </w:t>
      </w:r>
      <w:r w:rsidR="00AF4ED4">
        <w:t>discussion guide</w:t>
      </w:r>
      <w:r>
        <w:t xml:space="preserve"> and all related materials, such as the consent form and recruitment materials, are currently undergoing review by an Institutional Review Board.</w:t>
      </w:r>
    </w:p>
    <w:p w:rsidRPr="00A3216C" w:rsidR="00FB4EC1" w:rsidP="00FB4EC1" w:rsidRDefault="00FB4EC1" w14:paraId="659F054D" w14:textId="5294FC68">
      <w:pPr>
        <w:pStyle w:val="MarkforTableHeading"/>
        <w:rPr>
          <w:rFonts w:asciiTheme="minorHAnsi" w:hAnsiTheme="minorHAnsi" w:cstheme="minorHAnsi"/>
          <w:sz w:val="22"/>
          <w:szCs w:val="22"/>
        </w:rPr>
      </w:pPr>
      <w:bookmarkStart w:name="_Toc347323082" w:id="10"/>
      <w:r w:rsidRPr="00A3216C">
        <w:rPr>
          <w:rFonts w:asciiTheme="minorHAnsi" w:hAnsiTheme="minorHAnsi" w:cstheme="minorHAnsi"/>
          <w:sz w:val="22"/>
          <w:szCs w:val="22"/>
        </w:rPr>
        <w:t xml:space="preserve">Table A11. Justification for Sensitive Questions in the </w:t>
      </w:r>
      <w:bookmarkEnd w:id="10"/>
      <w:r w:rsidRPr="00A3216C">
        <w:rPr>
          <w:rFonts w:asciiTheme="minorHAnsi" w:hAnsiTheme="minorHAnsi" w:cstheme="minorHAnsi"/>
          <w:sz w:val="22"/>
          <w:szCs w:val="22"/>
        </w:rPr>
        <w:t xml:space="preserve">Focus Group </w:t>
      </w:r>
      <w:r w:rsidR="00FF0B57">
        <w:rPr>
          <w:rFonts w:asciiTheme="minorHAnsi" w:hAnsiTheme="minorHAnsi" w:cstheme="minorHAnsi"/>
          <w:sz w:val="22"/>
          <w:szCs w:val="22"/>
        </w:rPr>
        <w:t>Discussion Guide</w:t>
      </w:r>
      <w:r w:rsidRPr="00A3216C" w:rsidR="00FF0B57">
        <w:rPr>
          <w:rFonts w:asciiTheme="minorHAnsi" w:hAnsiTheme="minorHAnsi" w:cstheme="minorHAnsi"/>
          <w:sz w:val="22"/>
          <w:szCs w:val="22"/>
        </w:rPr>
        <w:t xml:space="preserve"> </w:t>
      </w:r>
    </w:p>
    <w:tbl>
      <w:tblPr>
        <w:tblW w:w="5000" w:type="pct"/>
        <w:tblInd w:w="115" w:type="dxa"/>
        <w:tblBorders>
          <w:top w:val="single" w:color="auto" w:sz="12" w:space="0"/>
          <w:bottom w:val="single" w:color="auto" w:sz="4" w:space="0"/>
        </w:tblBorders>
        <w:tblLook w:val="04A0" w:firstRow="1" w:lastRow="0" w:firstColumn="1" w:lastColumn="0" w:noHBand="0" w:noVBand="1"/>
      </w:tblPr>
      <w:tblGrid>
        <w:gridCol w:w="3321"/>
        <w:gridCol w:w="6039"/>
      </w:tblGrid>
      <w:tr w:rsidRPr="00DC45E3" w:rsidR="00FB4EC1" w:rsidTr="00BC0A56" w14:paraId="13D06210" w14:textId="77777777">
        <w:trPr>
          <w:tblHeader/>
        </w:trPr>
        <w:tc>
          <w:tcPr>
            <w:tcW w:w="1774" w:type="pct"/>
            <w:tcBorders>
              <w:top w:val="single" w:color="auto" w:sz="12" w:space="0"/>
              <w:left w:val="nil"/>
              <w:bottom w:val="single" w:color="auto" w:sz="2" w:space="0"/>
              <w:right w:val="nil"/>
              <w:tl2br w:val="nil"/>
              <w:tr2bl w:val="nil"/>
            </w:tcBorders>
            <w:shd w:val="clear" w:color="auto" w:fill="auto"/>
          </w:tcPr>
          <w:p w:rsidRPr="008676AB" w:rsidR="00FB4EC1" w:rsidP="00BC0A56" w:rsidRDefault="00FB4EC1" w14:paraId="209B5050" w14:textId="77777777">
            <w:pPr>
              <w:pStyle w:val="TableText"/>
              <w:rPr>
                <w:rFonts w:asciiTheme="minorHAnsi" w:hAnsiTheme="minorHAnsi" w:cstheme="minorHAnsi"/>
                <w:sz w:val="20"/>
                <w:szCs w:val="20"/>
              </w:rPr>
            </w:pPr>
            <w:r w:rsidRPr="008676AB">
              <w:rPr>
                <w:rFonts w:asciiTheme="minorHAnsi" w:hAnsiTheme="minorHAnsi" w:cstheme="minorHAnsi"/>
                <w:sz w:val="20"/>
                <w:szCs w:val="20"/>
              </w:rPr>
              <w:t>Question Topic</w:t>
            </w:r>
          </w:p>
        </w:tc>
        <w:tc>
          <w:tcPr>
            <w:tcW w:w="3226" w:type="pct"/>
            <w:tcBorders>
              <w:top w:val="single" w:color="auto" w:sz="12" w:space="0"/>
              <w:left w:val="nil"/>
              <w:bottom w:val="single" w:color="auto" w:sz="2" w:space="0"/>
              <w:right w:val="nil"/>
              <w:tl2br w:val="nil"/>
              <w:tr2bl w:val="nil"/>
            </w:tcBorders>
            <w:shd w:val="clear" w:color="auto" w:fill="auto"/>
          </w:tcPr>
          <w:p w:rsidRPr="008676AB" w:rsidR="00FB4EC1" w:rsidP="00BC0A56" w:rsidRDefault="00FB4EC1" w14:paraId="0164D1C7" w14:textId="77777777">
            <w:pPr>
              <w:pStyle w:val="TableText"/>
              <w:rPr>
                <w:rFonts w:asciiTheme="minorHAnsi" w:hAnsiTheme="minorHAnsi" w:cstheme="minorHAnsi"/>
                <w:sz w:val="20"/>
                <w:szCs w:val="20"/>
              </w:rPr>
            </w:pPr>
            <w:r w:rsidRPr="008676AB">
              <w:rPr>
                <w:rFonts w:asciiTheme="minorHAnsi" w:hAnsiTheme="minorHAnsi" w:cstheme="minorHAnsi"/>
                <w:sz w:val="20"/>
                <w:szCs w:val="20"/>
              </w:rPr>
              <w:t>Justification</w:t>
            </w:r>
          </w:p>
        </w:tc>
      </w:tr>
      <w:tr w:rsidRPr="006F39B7" w:rsidR="00FB4EC1" w:rsidTr="00BC0A56" w14:paraId="0987C058" w14:textId="77777777">
        <w:trPr>
          <w:trHeight w:val="1377"/>
        </w:trPr>
        <w:tc>
          <w:tcPr>
            <w:tcW w:w="1774" w:type="pct"/>
            <w:shd w:val="clear" w:color="auto" w:fill="auto"/>
            <w:vAlign w:val="center"/>
          </w:tcPr>
          <w:p w:rsidRPr="008676AB" w:rsidR="00FB4EC1" w:rsidP="00BC0A56" w:rsidRDefault="00FB4EC1" w14:paraId="3C4EBE14" w14:textId="7C35CDAE">
            <w:pPr>
              <w:pStyle w:val="TableText"/>
              <w:rPr>
                <w:rFonts w:asciiTheme="minorHAnsi" w:hAnsiTheme="minorHAnsi" w:cstheme="minorHAnsi"/>
                <w:sz w:val="20"/>
                <w:szCs w:val="20"/>
              </w:rPr>
            </w:pPr>
            <w:r w:rsidRPr="008676AB">
              <w:rPr>
                <w:rFonts w:asciiTheme="minorHAnsi" w:hAnsiTheme="minorHAnsi" w:cstheme="minorHAnsi"/>
                <w:sz w:val="20"/>
                <w:szCs w:val="20"/>
              </w:rPr>
              <w:t>Attitudes and beliefs related to youth sexual activity (</w:t>
            </w:r>
            <w:r w:rsidRPr="008676AB" w:rsidR="00AF4ED4">
              <w:rPr>
                <w:rFonts w:asciiTheme="minorHAnsi" w:hAnsiTheme="minorHAnsi" w:cstheme="minorHAnsi"/>
                <w:sz w:val="20"/>
                <w:szCs w:val="20"/>
              </w:rPr>
              <w:t>Discussion Guide</w:t>
            </w:r>
            <w:r w:rsidRPr="008676AB">
              <w:rPr>
                <w:rFonts w:asciiTheme="minorHAnsi" w:hAnsiTheme="minorHAnsi" w:cstheme="minorHAnsi"/>
                <w:sz w:val="20"/>
                <w:szCs w:val="20"/>
              </w:rPr>
              <w:t xml:space="preserve"> Section IV)</w:t>
            </w:r>
          </w:p>
        </w:tc>
        <w:tc>
          <w:tcPr>
            <w:tcW w:w="3226" w:type="pct"/>
            <w:shd w:val="clear" w:color="auto" w:fill="auto"/>
            <w:vAlign w:val="center"/>
          </w:tcPr>
          <w:p w:rsidR="00FB4EC1" w:rsidP="00BC0A56" w:rsidRDefault="00FB4EC1" w14:paraId="6DEC68CB" w14:textId="77777777">
            <w:pPr>
              <w:pStyle w:val="TableText"/>
              <w:rPr>
                <w:rFonts w:asciiTheme="minorHAnsi" w:hAnsiTheme="minorHAnsi" w:cstheme="minorHAnsi"/>
                <w:color w:val="000000"/>
                <w:sz w:val="20"/>
                <w:szCs w:val="20"/>
              </w:rPr>
            </w:pPr>
            <w:r w:rsidRPr="008676AB">
              <w:rPr>
                <w:rFonts w:asciiTheme="minorHAnsi" w:hAnsiTheme="minorHAnsi" w:cstheme="minorHAnsi"/>
                <w:color w:val="000000"/>
                <w:sz w:val="20"/>
                <w:szCs w:val="20"/>
              </w:rPr>
              <w:t>To understand what sexual risk avoidance and teen pregnancy prevention messages connect with youth and their parents, it is necessary to understand their attitudes and beliefs related to sexual activity. Responses to questions in these sections can guide the direction of future programming, ensuring it addresses common attitudes and beliefs among youth and parents.</w:t>
            </w:r>
          </w:p>
          <w:p w:rsidRPr="008676AB" w:rsidR="004441F1" w:rsidP="00BC0A56" w:rsidRDefault="004441F1" w14:paraId="33DEE86F" w14:textId="0185326E">
            <w:pPr>
              <w:pStyle w:val="TableText"/>
              <w:rPr>
                <w:rFonts w:asciiTheme="minorHAnsi" w:hAnsiTheme="minorHAnsi" w:cstheme="minorHAnsi"/>
                <w:color w:val="000000"/>
                <w:sz w:val="20"/>
                <w:szCs w:val="20"/>
              </w:rPr>
            </w:pPr>
          </w:p>
        </w:tc>
      </w:tr>
      <w:tr w:rsidRPr="00090353" w:rsidR="00FB4EC1" w:rsidTr="00BC0A56" w14:paraId="157EE615" w14:textId="77777777">
        <w:trPr>
          <w:trHeight w:val="1377"/>
        </w:trPr>
        <w:tc>
          <w:tcPr>
            <w:tcW w:w="1774" w:type="pct"/>
            <w:shd w:val="clear" w:color="auto" w:fill="auto"/>
            <w:vAlign w:val="center"/>
          </w:tcPr>
          <w:p w:rsidRPr="00090353" w:rsidR="00FB4EC1" w:rsidP="00BC0A56" w:rsidRDefault="00FB4EC1" w14:paraId="37EAB787" w14:textId="01791941">
            <w:pPr>
              <w:pStyle w:val="TableText"/>
              <w:rPr>
                <w:rFonts w:asciiTheme="minorHAnsi" w:hAnsiTheme="minorHAnsi" w:cstheme="minorHAnsi"/>
                <w:sz w:val="20"/>
                <w:szCs w:val="20"/>
              </w:rPr>
            </w:pPr>
            <w:r w:rsidRPr="00090353">
              <w:rPr>
                <w:rFonts w:asciiTheme="minorHAnsi" w:hAnsiTheme="minorHAnsi" w:cstheme="minorHAnsi"/>
                <w:sz w:val="20"/>
                <w:szCs w:val="20"/>
              </w:rPr>
              <w:t>Parent-youth communication about youth sexual activity and risk avoidance (</w:t>
            </w:r>
            <w:r w:rsidRPr="00090353" w:rsidR="00AF4ED4">
              <w:rPr>
                <w:rFonts w:asciiTheme="minorHAnsi" w:hAnsiTheme="minorHAnsi" w:cstheme="minorHAnsi"/>
                <w:sz w:val="20"/>
                <w:szCs w:val="20"/>
              </w:rPr>
              <w:t>Discussion Guide</w:t>
            </w:r>
            <w:r w:rsidRPr="00090353">
              <w:rPr>
                <w:rFonts w:asciiTheme="minorHAnsi" w:hAnsiTheme="minorHAnsi" w:cstheme="minorHAnsi"/>
                <w:sz w:val="20"/>
                <w:szCs w:val="20"/>
              </w:rPr>
              <w:t xml:space="preserve"> Section V)</w:t>
            </w:r>
          </w:p>
        </w:tc>
        <w:tc>
          <w:tcPr>
            <w:tcW w:w="3226" w:type="pct"/>
            <w:shd w:val="clear" w:color="auto" w:fill="auto"/>
            <w:vAlign w:val="center"/>
          </w:tcPr>
          <w:p w:rsidRPr="00090353" w:rsidR="00FB4EC1" w:rsidP="00BC0A56" w:rsidRDefault="00FB4EC1" w14:paraId="428F7B6D" w14:textId="77777777">
            <w:pPr>
              <w:pStyle w:val="TableText"/>
              <w:rPr>
                <w:rFonts w:asciiTheme="minorHAnsi" w:hAnsiTheme="minorHAnsi" w:cstheme="minorHAnsi"/>
                <w:color w:val="000000"/>
                <w:sz w:val="20"/>
                <w:szCs w:val="20"/>
              </w:rPr>
            </w:pPr>
            <w:r w:rsidRPr="00090353">
              <w:rPr>
                <w:rFonts w:asciiTheme="minorHAnsi" w:hAnsiTheme="minorHAnsi" w:cstheme="minorHAnsi"/>
                <w:color w:val="000000"/>
                <w:sz w:val="20"/>
                <w:szCs w:val="20"/>
              </w:rPr>
              <w:t xml:space="preserve">A primary goal of the focus group data collection is to examine the nature of parents’ communication with youth about topics related to relationships, risk behaviors, sexual health education, abstaining from sex as a teen (or until marriage) and future planning. Responses to questions in these sections can help ACF and SRAE grantees better understand messages and strategies that resonate with parents and youth to reinforce an SRA message. </w:t>
            </w:r>
          </w:p>
        </w:tc>
      </w:tr>
      <w:tr w:rsidRPr="00090353" w:rsidR="00FB4EC1" w:rsidTr="00BC0A56" w14:paraId="46270878" w14:textId="77777777">
        <w:trPr>
          <w:trHeight w:val="1377"/>
        </w:trPr>
        <w:tc>
          <w:tcPr>
            <w:tcW w:w="1774" w:type="pct"/>
            <w:shd w:val="clear" w:color="auto" w:fill="auto"/>
            <w:vAlign w:val="center"/>
          </w:tcPr>
          <w:p w:rsidRPr="00090353" w:rsidR="00FB4EC1" w:rsidP="00BC0A56" w:rsidRDefault="00FB4EC1" w14:paraId="404D732B" w14:textId="14180D4B">
            <w:pPr>
              <w:pStyle w:val="TableText"/>
              <w:rPr>
                <w:rFonts w:asciiTheme="minorHAnsi" w:hAnsiTheme="minorHAnsi" w:cstheme="minorHAnsi"/>
                <w:sz w:val="20"/>
                <w:szCs w:val="20"/>
              </w:rPr>
            </w:pPr>
            <w:r w:rsidRPr="00090353">
              <w:rPr>
                <w:rFonts w:asciiTheme="minorHAnsi" w:hAnsiTheme="minorHAnsi" w:cstheme="minorHAnsi"/>
                <w:sz w:val="20"/>
                <w:szCs w:val="20"/>
              </w:rPr>
              <w:lastRenderedPageBreak/>
              <w:t>Parental perceptions about youth decision making regarding sexual activity and risk behaviors (</w:t>
            </w:r>
            <w:r w:rsidRPr="00090353" w:rsidR="00AF4ED4">
              <w:rPr>
                <w:rFonts w:asciiTheme="minorHAnsi" w:hAnsiTheme="minorHAnsi" w:cstheme="minorHAnsi"/>
                <w:sz w:val="20"/>
                <w:szCs w:val="20"/>
              </w:rPr>
              <w:t>Discussion Guide</w:t>
            </w:r>
            <w:r w:rsidRPr="00090353">
              <w:rPr>
                <w:rFonts w:asciiTheme="minorHAnsi" w:hAnsiTheme="minorHAnsi" w:cstheme="minorHAnsi"/>
                <w:sz w:val="20"/>
                <w:szCs w:val="20"/>
              </w:rPr>
              <w:t xml:space="preserve"> Section VI)</w:t>
            </w:r>
          </w:p>
        </w:tc>
        <w:tc>
          <w:tcPr>
            <w:tcW w:w="3226" w:type="pct"/>
            <w:shd w:val="clear" w:color="auto" w:fill="auto"/>
            <w:vAlign w:val="center"/>
          </w:tcPr>
          <w:p w:rsidRPr="00090353" w:rsidR="00FB4EC1" w:rsidP="00BC0A56" w:rsidRDefault="00FB4EC1" w14:paraId="764813A8" w14:textId="77777777">
            <w:pPr>
              <w:pStyle w:val="TableText"/>
              <w:rPr>
                <w:rFonts w:asciiTheme="minorHAnsi" w:hAnsiTheme="minorHAnsi" w:cstheme="minorHAnsi"/>
                <w:color w:val="000000"/>
                <w:sz w:val="20"/>
                <w:szCs w:val="20"/>
              </w:rPr>
            </w:pPr>
            <w:r w:rsidRPr="00090353">
              <w:rPr>
                <w:rFonts w:asciiTheme="minorHAnsi" w:hAnsiTheme="minorHAnsi" w:cstheme="minorHAnsi"/>
                <w:color w:val="000000"/>
                <w:sz w:val="20"/>
                <w:szCs w:val="20"/>
              </w:rPr>
              <w:t>The focus group will attempt to collect information about parents’ knowledge, attitudes, behaviors, communication, education, and expectations related to teen sexual behaviors. These questions address the behavioral component and are necessary to provide context to other topical areas, such as attitudes and expectations.</w:t>
            </w:r>
          </w:p>
        </w:tc>
      </w:tr>
    </w:tbl>
    <w:p w:rsidR="0042220D" w:rsidP="00D32E6D" w:rsidRDefault="0042220D" w14:paraId="2D73F51E" w14:textId="5DD8F79E">
      <w:pPr>
        <w:spacing w:after="0" w:line="240" w:lineRule="auto"/>
        <w:rPr>
          <w:rFonts w:cstheme="minorHAnsi"/>
        </w:rPr>
      </w:pP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Pr="009C71D8" w:rsidR="001F0446" w:rsidP="00230CAA" w:rsidRDefault="009C71D8" w14:paraId="1B989E87" w14:textId="09236FF8">
      <w:pPr>
        <w:spacing w:after="0" w:line="240" w:lineRule="auto"/>
        <w:rPr>
          <w:color w:val="000000"/>
        </w:rPr>
      </w:pPr>
      <w:r w:rsidRPr="00F847EB">
        <w:rPr>
          <w:color w:val="000000"/>
        </w:rPr>
        <w:t>Table A12 summarizes the estimated</w:t>
      </w:r>
      <w:r>
        <w:rPr>
          <w:color w:val="000000"/>
        </w:rPr>
        <w:t xml:space="preserve"> reporting burden and costs for each data collection activity</w:t>
      </w:r>
      <w:r w:rsidRPr="00F847EB">
        <w:rPr>
          <w:color w:val="000000"/>
        </w:rPr>
        <w:t>.</w:t>
      </w:r>
      <w:r>
        <w:rPr>
          <w:color w:val="000000"/>
        </w:rPr>
        <w:t xml:space="preserve"> We will conduct </w:t>
      </w:r>
      <w:r w:rsidR="002C4AC9">
        <w:rPr>
          <w:color w:val="000000"/>
        </w:rPr>
        <w:t>up to 3</w:t>
      </w:r>
      <w:r>
        <w:rPr>
          <w:color w:val="000000"/>
        </w:rPr>
        <w:t xml:space="preserve"> focus groups, each containing up to </w:t>
      </w:r>
      <w:r w:rsidR="002C4AC9">
        <w:rPr>
          <w:color w:val="000000"/>
        </w:rPr>
        <w:t>3</w:t>
      </w:r>
      <w:r>
        <w:rPr>
          <w:color w:val="000000"/>
        </w:rPr>
        <w:t xml:space="preserve">0 participants. </w:t>
      </w:r>
      <w:r w:rsidR="00FF0B57">
        <w:rPr>
          <w:color w:val="000000"/>
        </w:rPr>
        <w:t xml:space="preserve">We anticipate </w:t>
      </w:r>
      <w:r w:rsidR="00B706E1">
        <w:rPr>
          <w:color w:val="000000"/>
        </w:rPr>
        <w:t xml:space="preserve">conducting </w:t>
      </w:r>
      <w:r w:rsidR="00D83766">
        <w:rPr>
          <w:color w:val="000000"/>
        </w:rPr>
        <w:t>a</w:t>
      </w:r>
      <w:r w:rsidR="00B706E1">
        <w:rPr>
          <w:color w:val="000000"/>
        </w:rPr>
        <w:t xml:space="preserve"> 5-minute </w:t>
      </w:r>
      <w:r w:rsidR="00FF0B57">
        <w:rPr>
          <w:color w:val="000000"/>
        </w:rPr>
        <w:t>screenin</w:t>
      </w:r>
      <w:r w:rsidR="00B706E1">
        <w:rPr>
          <w:color w:val="000000"/>
        </w:rPr>
        <w:t>g call with</w:t>
      </w:r>
      <w:r w:rsidR="00D1372F">
        <w:rPr>
          <w:color w:val="000000"/>
        </w:rPr>
        <w:t xml:space="preserve"> </w:t>
      </w:r>
      <w:r w:rsidR="00D83766">
        <w:rPr>
          <w:color w:val="000000"/>
        </w:rPr>
        <w:t xml:space="preserve">approximately </w:t>
      </w:r>
      <w:r w:rsidR="00D1372F">
        <w:rPr>
          <w:color w:val="000000"/>
        </w:rPr>
        <w:t xml:space="preserve">50 parents per </w:t>
      </w:r>
      <w:r w:rsidR="00C6714B">
        <w:rPr>
          <w:color w:val="000000"/>
        </w:rPr>
        <w:t>site</w:t>
      </w:r>
      <w:r w:rsidR="00D1372F">
        <w:rPr>
          <w:color w:val="000000"/>
        </w:rPr>
        <w:t xml:space="preserve"> to get the final 30 </w:t>
      </w:r>
      <w:r w:rsidR="000434A4">
        <w:rPr>
          <w:color w:val="000000"/>
        </w:rPr>
        <w:t xml:space="preserve">eligible </w:t>
      </w:r>
      <w:r w:rsidR="00D1372F">
        <w:rPr>
          <w:color w:val="000000"/>
        </w:rPr>
        <w:t>participants</w:t>
      </w:r>
      <w:r w:rsidR="00C6714B">
        <w:rPr>
          <w:color w:val="000000"/>
        </w:rPr>
        <w:t xml:space="preserve"> for each group</w:t>
      </w:r>
      <w:r w:rsidR="00D1372F">
        <w:rPr>
          <w:color w:val="000000"/>
        </w:rPr>
        <w:t>.</w:t>
      </w:r>
      <w:r w:rsidR="0086449F">
        <w:rPr>
          <w:color w:val="000000"/>
        </w:rPr>
        <w:t xml:space="preserve"> </w:t>
      </w:r>
      <w:r>
        <w:rPr>
          <w:color w:val="000000"/>
        </w:rPr>
        <w:t xml:space="preserve">Each focus group will be designed to last 90 minutes. </w:t>
      </w:r>
    </w:p>
    <w:p w:rsidR="001F0446" w:rsidP="00230CAA" w:rsidRDefault="001F0446" w14:paraId="24B69DBB" w14:textId="0DEAB5E2">
      <w:pPr>
        <w:spacing w:after="0" w:line="240" w:lineRule="auto"/>
        <w:rPr>
          <w:i/>
        </w:rPr>
      </w:pPr>
    </w:p>
    <w:p w:rsidR="00FB4EC1" w:rsidP="00230CAA" w:rsidRDefault="00FB4EC1" w14:paraId="00505714" w14:textId="77777777">
      <w:pPr>
        <w:spacing w:after="0" w:line="240" w:lineRule="auto"/>
        <w:rPr>
          <w:i/>
        </w:rPr>
      </w:pPr>
    </w:p>
    <w:p w:rsidRPr="00230CAA" w:rsidR="001F0446" w:rsidP="001F0446" w:rsidRDefault="001F0446" w14:paraId="2DFBEA9F" w14:textId="1258D740">
      <w:pPr>
        <w:spacing w:after="120" w:line="240" w:lineRule="auto"/>
        <w:rPr>
          <w:i/>
        </w:rPr>
      </w:pPr>
      <w:r>
        <w:rPr>
          <w:i/>
        </w:rPr>
        <w:t>Estimated Annualized Cost to Respondents</w:t>
      </w:r>
    </w:p>
    <w:p w:rsidR="00B4194A" w:rsidP="00B4194A" w:rsidRDefault="009C71D8" w14:paraId="790270ED" w14:textId="77777777">
      <w:pPr>
        <w:spacing w:after="120" w:line="240" w:lineRule="auto"/>
        <w:rPr>
          <w:color w:val="000000"/>
        </w:rPr>
      </w:pPr>
      <w:r>
        <w:rPr>
          <w:color w:val="000000"/>
        </w:rPr>
        <w:t>We estimate the average hourly wage for parents is the average hourly wage of “all occupations” taken from the May 201</w:t>
      </w:r>
      <w:r w:rsidR="00283DD4">
        <w:rPr>
          <w:color w:val="000000"/>
        </w:rPr>
        <w:t>9</w:t>
      </w:r>
      <w:r>
        <w:rPr>
          <w:color w:val="000000"/>
        </w:rPr>
        <w:t xml:space="preserve"> National Occupational Employment and Wage Estimates, U.S. Bureau of Labor Statistics ($</w:t>
      </w:r>
      <w:r w:rsidR="00283DD4">
        <w:rPr>
          <w:color w:val="000000"/>
        </w:rPr>
        <w:t>25.72</w:t>
      </w:r>
      <w:r>
        <w:rPr>
          <w:color w:val="000000"/>
        </w:rPr>
        <w:t xml:space="preserve">). </w:t>
      </w:r>
    </w:p>
    <w:p w:rsidR="00B4194A" w:rsidP="00B4194A" w:rsidRDefault="00B4194A" w14:paraId="78F12E01" w14:textId="77777777">
      <w:pPr>
        <w:spacing w:after="120" w:line="240" w:lineRule="auto"/>
        <w:rPr>
          <w:b/>
        </w:rPr>
      </w:pPr>
    </w:p>
    <w:p w:rsidRPr="00B4194A" w:rsidR="009C71D8" w:rsidP="00B4194A" w:rsidRDefault="009C71D8" w14:paraId="64A6F91C" w14:textId="0EB961FF">
      <w:pPr>
        <w:spacing w:after="120" w:line="240" w:lineRule="auto"/>
        <w:rPr>
          <w:color w:val="000000"/>
        </w:rPr>
      </w:pPr>
      <w:r w:rsidRPr="000C4FDE">
        <w:rPr>
          <w:b/>
        </w:rPr>
        <w:t>Table A12. Total Burden Requested Under this Information Collection</w:t>
      </w:r>
    </w:p>
    <w:tbl>
      <w:tblPr>
        <w:tblStyle w:val="TableGrid"/>
        <w:tblW w:w="9787" w:type="dxa"/>
        <w:tblInd w:w="108" w:type="dxa"/>
        <w:tblLayout w:type="fixed"/>
        <w:tblLook w:val="01E0" w:firstRow="1" w:lastRow="1" w:firstColumn="1" w:lastColumn="1" w:noHBand="0" w:noVBand="0"/>
      </w:tblPr>
      <w:tblGrid>
        <w:gridCol w:w="1260"/>
        <w:gridCol w:w="1373"/>
        <w:gridCol w:w="1214"/>
        <w:gridCol w:w="1846"/>
        <w:gridCol w:w="1484"/>
        <w:gridCol w:w="990"/>
        <w:gridCol w:w="1620"/>
      </w:tblGrid>
      <w:tr w:rsidR="009C71D8" w:rsidTr="009C71D8" w14:paraId="10E15412" w14:textId="77777777">
        <w:tc>
          <w:tcPr>
            <w:tcW w:w="1260" w:type="dxa"/>
            <w:tcBorders>
              <w:top w:val="single" w:color="auto" w:sz="4" w:space="0"/>
              <w:left w:val="single" w:color="auto" w:sz="4" w:space="0"/>
              <w:bottom w:val="single" w:color="auto" w:sz="4" w:space="0"/>
              <w:right w:val="single" w:color="auto" w:sz="4" w:space="0"/>
            </w:tcBorders>
            <w:hideMark/>
          </w:tcPr>
          <w:p w:rsidRPr="001F0446" w:rsidR="009C71D8" w:rsidP="00373D2F" w:rsidRDefault="009C71D8"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1F0446" w:rsidR="009C71D8" w:rsidP="00373D2F" w:rsidRDefault="009C71D8"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214" w:type="dxa"/>
            <w:tcBorders>
              <w:top w:val="single" w:color="auto" w:sz="4" w:space="0"/>
              <w:left w:val="single" w:color="auto" w:sz="4" w:space="0"/>
              <w:bottom w:val="single" w:color="auto" w:sz="4" w:space="0"/>
              <w:right w:val="single" w:color="auto" w:sz="4" w:space="0"/>
            </w:tcBorders>
            <w:hideMark/>
          </w:tcPr>
          <w:p w:rsidRPr="001F0446" w:rsidR="009C71D8" w:rsidP="00373D2F" w:rsidRDefault="009C71D8"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846" w:type="dxa"/>
            <w:tcBorders>
              <w:top w:val="single" w:color="auto" w:sz="4" w:space="0"/>
              <w:left w:val="single" w:color="auto" w:sz="4" w:space="0"/>
              <w:bottom w:val="single" w:color="auto" w:sz="4" w:space="0"/>
              <w:right w:val="single" w:color="auto" w:sz="4" w:space="0"/>
            </w:tcBorders>
            <w:hideMark/>
          </w:tcPr>
          <w:p w:rsidRPr="001F0446" w:rsidR="009C71D8" w:rsidP="00373D2F" w:rsidRDefault="009C71D8"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1484" w:type="dxa"/>
            <w:tcBorders>
              <w:top w:val="single" w:color="auto" w:sz="4" w:space="0"/>
              <w:left w:val="single" w:color="auto" w:sz="4" w:space="0"/>
              <w:bottom w:val="single" w:color="auto" w:sz="4" w:space="0"/>
              <w:right w:val="single" w:color="auto" w:sz="4" w:space="0"/>
            </w:tcBorders>
          </w:tcPr>
          <w:p w:rsidRPr="001F0446" w:rsidR="009C71D8" w:rsidP="00373D2F" w:rsidRDefault="009C71D8" w14:paraId="63E93F96" w14:textId="788E1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 xml:space="preserve">/Annual </w:t>
            </w:r>
            <w:r w:rsidRPr="001F0446">
              <w:rPr>
                <w:rFonts w:asciiTheme="minorHAnsi" w:hAnsiTheme="minorHAnsi" w:cstheme="minorHAnsi"/>
                <w:bCs/>
              </w:rPr>
              <w:t>Burden (in hours)</w:t>
            </w:r>
          </w:p>
        </w:tc>
        <w:tc>
          <w:tcPr>
            <w:tcW w:w="990" w:type="dxa"/>
            <w:tcBorders>
              <w:top w:val="single" w:color="auto" w:sz="4" w:space="0"/>
              <w:left w:val="single" w:color="auto" w:sz="4" w:space="0"/>
              <w:bottom w:val="single" w:color="auto" w:sz="4" w:space="0"/>
              <w:right w:val="single" w:color="auto" w:sz="4" w:space="0"/>
            </w:tcBorders>
            <w:hideMark/>
          </w:tcPr>
          <w:p w:rsidRPr="001F0446" w:rsidR="009C71D8" w:rsidP="00373D2F" w:rsidRDefault="009C71D8"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620" w:type="dxa"/>
            <w:tcBorders>
              <w:top w:val="single" w:color="auto" w:sz="4" w:space="0"/>
              <w:left w:val="single" w:color="auto" w:sz="4" w:space="0"/>
              <w:bottom w:val="single" w:color="auto" w:sz="4" w:space="0"/>
              <w:right w:val="single" w:color="auto" w:sz="4" w:space="0"/>
            </w:tcBorders>
            <w:hideMark/>
          </w:tcPr>
          <w:p w:rsidRPr="001F0446" w:rsidR="009C71D8" w:rsidP="00373D2F" w:rsidRDefault="009C71D8"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rsidR="00FF0B57" w:rsidTr="00D602D7" w14:paraId="65CB8C25" w14:textId="77777777">
        <w:tc>
          <w:tcPr>
            <w:tcW w:w="1260" w:type="dxa"/>
            <w:tcBorders>
              <w:top w:val="single" w:color="auto" w:sz="4" w:space="0"/>
              <w:left w:val="single" w:color="auto" w:sz="4" w:space="0"/>
              <w:bottom w:val="single" w:color="auto" w:sz="4" w:space="0"/>
              <w:right w:val="single" w:color="auto" w:sz="4" w:space="0"/>
            </w:tcBorders>
            <w:vAlign w:val="center"/>
          </w:tcPr>
          <w:p w:rsidRPr="00D1372F" w:rsidR="00FF0B57" w:rsidP="00D602D7" w:rsidRDefault="00FF0B57" w14:paraId="35534640" w14:textId="4F0AA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D1372F">
              <w:rPr>
                <w:rFonts w:asciiTheme="minorHAnsi" w:hAnsiTheme="minorHAnsi" w:cstheme="minorHAnsi"/>
                <w:bCs/>
              </w:rPr>
              <w:t>1. Parent Screener Script</w:t>
            </w:r>
          </w:p>
        </w:tc>
        <w:tc>
          <w:tcPr>
            <w:tcW w:w="1373" w:type="dxa"/>
            <w:tcBorders>
              <w:top w:val="single" w:color="auto" w:sz="4" w:space="0"/>
              <w:left w:val="single" w:color="auto" w:sz="4" w:space="0"/>
              <w:bottom w:val="single" w:color="auto" w:sz="4" w:space="0"/>
              <w:right w:val="single" w:color="auto" w:sz="4" w:space="0"/>
            </w:tcBorders>
            <w:vAlign w:val="center"/>
          </w:tcPr>
          <w:p w:rsidRPr="00D1372F" w:rsidR="00FF0B57" w:rsidP="00D1372F" w:rsidRDefault="00D1372F" w14:paraId="56BAE42F" w14:textId="34FFB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1372F">
              <w:rPr>
                <w:rFonts w:asciiTheme="minorHAnsi" w:hAnsiTheme="minorHAnsi" w:cstheme="minorHAnsi"/>
                <w:bCs/>
              </w:rPr>
              <w:t>150</w:t>
            </w:r>
          </w:p>
        </w:tc>
        <w:tc>
          <w:tcPr>
            <w:tcW w:w="1214" w:type="dxa"/>
            <w:tcBorders>
              <w:top w:val="single" w:color="auto" w:sz="4" w:space="0"/>
              <w:left w:val="single" w:color="auto" w:sz="4" w:space="0"/>
              <w:bottom w:val="single" w:color="auto" w:sz="4" w:space="0"/>
              <w:right w:val="single" w:color="auto" w:sz="4" w:space="0"/>
            </w:tcBorders>
            <w:vAlign w:val="center"/>
          </w:tcPr>
          <w:p w:rsidRPr="00D1372F" w:rsidR="00FF0B57" w:rsidP="00D1372F" w:rsidRDefault="00D1372F" w14:paraId="5AD0BE3B" w14:textId="5178D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1372F">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D1372F" w:rsidR="00FF0B57" w:rsidP="00D1372F" w:rsidRDefault="00D1372F" w14:paraId="151ED180" w14:textId="7034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1372F">
              <w:rPr>
                <w:rFonts w:asciiTheme="minorHAnsi" w:hAnsiTheme="minorHAnsi" w:cstheme="minorHAnsi"/>
                <w:bCs/>
              </w:rPr>
              <w:t>.</w:t>
            </w:r>
            <w:r w:rsidR="00B706E1">
              <w:rPr>
                <w:rFonts w:asciiTheme="minorHAnsi" w:hAnsiTheme="minorHAnsi" w:cstheme="minorHAnsi"/>
                <w:bCs/>
              </w:rPr>
              <w:t>08</w:t>
            </w:r>
          </w:p>
        </w:tc>
        <w:tc>
          <w:tcPr>
            <w:tcW w:w="1484" w:type="dxa"/>
            <w:tcBorders>
              <w:top w:val="single" w:color="auto" w:sz="4" w:space="0"/>
              <w:left w:val="single" w:color="auto" w:sz="4" w:space="0"/>
              <w:bottom w:val="single" w:color="auto" w:sz="4" w:space="0"/>
              <w:right w:val="single" w:color="auto" w:sz="4" w:space="0"/>
            </w:tcBorders>
            <w:vAlign w:val="center"/>
          </w:tcPr>
          <w:p w:rsidRPr="00D1372F" w:rsidR="00FF0B57" w:rsidP="00D1372F" w:rsidRDefault="00B706E1" w14:paraId="5A57DCD6" w14:textId="2E590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w:t>
            </w:r>
          </w:p>
        </w:tc>
        <w:tc>
          <w:tcPr>
            <w:tcW w:w="990" w:type="dxa"/>
            <w:tcBorders>
              <w:top w:val="single" w:color="auto" w:sz="4" w:space="0"/>
              <w:left w:val="single" w:color="auto" w:sz="4" w:space="0"/>
              <w:bottom w:val="single" w:color="auto" w:sz="4" w:space="0"/>
              <w:right w:val="single" w:color="auto" w:sz="4" w:space="0"/>
            </w:tcBorders>
            <w:vAlign w:val="center"/>
          </w:tcPr>
          <w:p w:rsidRPr="00D1372F" w:rsidR="00FF0B57" w:rsidP="000434A4" w:rsidRDefault="00D1372F" w14:paraId="77BFE690" w14:textId="3FA67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D1372F">
              <w:rPr>
                <w:rFonts w:asciiTheme="minorHAnsi" w:hAnsiTheme="minorHAnsi" w:eastAsiaTheme="minorHAnsi" w:cstheme="minorHAnsi"/>
              </w:rPr>
              <w:t>$25.72</w:t>
            </w:r>
            <w:r w:rsidRPr="00D1372F">
              <w:rPr>
                <w:rFonts w:asciiTheme="minorHAnsi" w:hAnsiTheme="minorHAnsi" w:eastAsiaTheme="minorHAnsi" w:cstheme="minorHAnsi"/>
                <w:vertAlign w:val="superscript"/>
              </w:rPr>
              <w:footnoteReference w:id="10"/>
            </w:r>
          </w:p>
        </w:tc>
        <w:tc>
          <w:tcPr>
            <w:tcW w:w="1620" w:type="dxa"/>
            <w:tcBorders>
              <w:top w:val="single" w:color="auto" w:sz="4" w:space="0"/>
              <w:left w:val="single" w:color="auto" w:sz="4" w:space="0"/>
              <w:bottom w:val="single" w:color="auto" w:sz="4" w:space="0"/>
              <w:right w:val="single" w:color="auto" w:sz="4" w:space="0"/>
            </w:tcBorders>
            <w:vAlign w:val="center"/>
          </w:tcPr>
          <w:p w:rsidRPr="00D1372F" w:rsidR="00FF0B57" w:rsidP="00D602D7" w:rsidRDefault="00DF1CE5" w14:paraId="17FD26F0" w14:textId="241E0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$308.64</w:t>
            </w:r>
          </w:p>
        </w:tc>
      </w:tr>
      <w:tr w:rsidR="009C71D8" w:rsidTr="009C71D8" w14:paraId="6B5B6719" w14:textId="77777777">
        <w:tc>
          <w:tcPr>
            <w:tcW w:w="1260" w:type="dxa"/>
            <w:tcBorders>
              <w:top w:val="single" w:color="auto" w:sz="4" w:space="0"/>
              <w:left w:val="single" w:color="auto" w:sz="4" w:space="0"/>
              <w:bottom w:val="single" w:color="auto" w:sz="4" w:space="0"/>
              <w:right w:val="single" w:color="auto" w:sz="4" w:space="0"/>
            </w:tcBorders>
          </w:tcPr>
          <w:p w:rsidRPr="001F0446" w:rsidR="009C71D8" w:rsidP="009C71D8" w:rsidRDefault="00FF0B57" w14:paraId="2F62EEA9" w14:textId="2E6D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2. </w:t>
            </w:r>
            <w:r w:rsidR="009C71D8">
              <w:rPr>
                <w:rFonts w:asciiTheme="minorHAnsi" w:hAnsiTheme="minorHAnsi" w:cstheme="minorHAnsi"/>
                <w:bCs/>
              </w:rPr>
              <w:t xml:space="preserve">Parent </w:t>
            </w:r>
            <w:r w:rsidR="00AF4ED4">
              <w:rPr>
                <w:rFonts w:asciiTheme="minorHAnsi" w:hAnsiTheme="minorHAnsi" w:cstheme="minorHAnsi"/>
                <w:bCs/>
              </w:rPr>
              <w:t>Discussion Guide</w:t>
            </w:r>
          </w:p>
        </w:tc>
        <w:tc>
          <w:tcPr>
            <w:tcW w:w="1373" w:type="dxa"/>
            <w:tcBorders>
              <w:top w:val="single" w:color="auto" w:sz="4" w:space="0"/>
              <w:left w:val="single" w:color="auto" w:sz="4" w:space="0"/>
              <w:bottom w:val="single" w:color="auto" w:sz="4" w:space="0"/>
              <w:right w:val="single" w:color="auto" w:sz="4" w:space="0"/>
            </w:tcBorders>
            <w:vAlign w:val="center"/>
          </w:tcPr>
          <w:p w:rsidRPr="001F0446" w:rsidR="009C71D8" w:rsidP="009C71D8" w:rsidRDefault="009C71D8" w14:paraId="734CE33C" w14:textId="6DB1D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1214" w:type="dxa"/>
            <w:tcBorders>
              <w:top w:val="single" w:color="auto" w:sz="4" w:space="0"/>
              <w:left w:val="single" w:color="auto" w:sz="4" w:space="0"/>
              <w:bottom w:val="single" w:color="auto" w:sz="4" w:space="0"/>
              <w:right w:val="single" w:color="auto" w:sz="4" w:space="0"/>
            </w:tcBorders>
            <w:vAlign w:val="center"/>
          </w:tcPr>
          <w:p w:rsidRPr="001F0446" w:rsidR="009C71D8" w:rsidP="009C71D8" w:rsidRDefault="009C71D8" w14:paraId="67B65A40" w14:textId="59B0A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1F0446" w:rsidR="009C71D8" w:rsidP="009C71D8" w:rsidRDefault="009C71D8" w14:paraId="59B12C61" w14:textId="68739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1484" w:type="dxa"/>
            <w:tcBorders>
              <w:top w:val="single" w:color="auto" w:sz="4" w:space="0"/>
              <w:left w:val="single" w:color="auto" w:sz="4" w:space="0"/>
              <w:bottom w:val="single" w:color="auto" w:sz="4" w:space="0"/>
              <w:right w:val="single" w:color="auto" w:sz="4" w:space="0"/>
            </w:tcBorders>
          </w:tcPr>
          <w:p w:rsidR="009C71D8" w:rsidP="009C71D8" w:rsidRDefault="009C71D8" w14:paraId="3501EE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Pr="001F0446" w:rsidR="009C71D8" w:rsidP="009C71D8" w:rsidRDefault="009C71D8" w14:paraId="5DF8136F" w14:textId="262EA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135</w:t>
            </w:r>
          </w:p>
        </w:tc>
        <w:tc>
          <w:tcPr>
            <w:tcW w:w="990" w:type="dxa"/>
            <w:tcBorders>
              <w:top w:val="single" w:color="auto" w:sz="4" w:space="0"/>
              <w:left w:val="single" w:color="auto" w:sz="4" w:space="0"/>
              <w:bottom w:val="single" w:color="auto" w:sz="4" w:space="0"/>
              <w:right w:val="single" w:color="auto" w:sz="4" w:space="0"/>
            </w:tcBorders>
            <w:vAlign w:val="center"/>
            <w:hideMark/>
          </w:tcPr>
          <w:p w:rsidRPr="001F0446" w:rsidR="009C71D8" w:rsidP="009C71D8" w:rsidRDefault="009C71D8" w14:paraId="14155F61" w14:textId="76BFC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03FBC">
              <w:rPr>
                <w:rFonts w:asciiTheme="minorHAnsi" w:hAnsiTheme="minorHAnsi" w:eastAsiaTheme="minorHAnsi" w:cstheme="minorBidi"/>
              </w:rPr>
              <w:t>$</w:t>
            </w:r>
            <w:r w:rsidR="00283DD4">
              <w:rPr>
                <w:rFonts w:asciiTheme="minorHAnsi" w:hAnsiTheme="minorHAnsi" w:eastAsiaTheme="minorHAnsi" w:cstheme="minorBidi"/>
              </w:rPr>
              <w:t>25.72</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1F0446" w:rsidR="009C71D8" w:rsidP="009C71D8" w:rsidRDefault="009C71D8" w14:paraId="12F8BC45" w14:textId="2B067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asciiTheme="minorHAnsi" w:hAnsiTheme="minorHAnsi" w:cstheme="minorHAnsi"/>
                <w:bCs/>
              </w:rPr>
              <w:t>3,</w:t>
            </w:r>
            <w:r w:rsidR="00283DD4">
              <w:rPr>
                <w:rFonts w:asciiTheme="minorHAnsi" w:hAnsiTheme="minorHAnsi" w:cstheme="minorHAnsi"/>
                <w:bCs/>
              </w:rPr>
              <w:t>4</w:t>
            </w:r>
            <w:r>
              <w:rPr>
                <w:rFonts w:asciiTheme="minorHAnsi" w:hAnsiTheme="minorHAnsi" w:cstheme="minorHAnsi"/>
                <w:bCs/>
              </w:rPr>
              <w:t>72.</w:t>
            </w:r>
            <w:r w:rsidR="00283DD4">
              <w:rPr>
                <w:rFonts w:asciiTheme="minorHAnsi" w:hAnsiTheme="minorHAnsi" w:cstheme="minorHAnsi"/>
                <w:bCs/>
              </w:rPr>
              <w:t>2</w:t>
            </w:r>
            <w:r>
              <w:rPr>
                <w:rFonts w:asciiTheme="minorHAnsi" w:hAnsiTheme="minorHAnsi" w:cstheme="minorHAnsi"/>
                <w:bCs/>
              </w:rPr>
              <w:t>0</w:t>
            </w:r>
          </w:p>
        </w:tc>
      </w:tr>
      <w:tr w:rsidR="009C71D8" w:rsidTr="009C71D8" w14:paraId="2EC327E8" w14:textId="77777777">
        <w:tc>
          <w:tcPr>
            <w:tcW w:w="1260" w:type="dxa"/>
            <w:tcBorders>
              <w:top w:val="single" w:color="auto" w:sz="4" w:space="0"/>
              <w:left w:val="single" w:color="auto" w:sz="4" w:space="0"/>
              <w:bottom w:val="single" w:color="auto" w:sz="4" w:space="0"/>
              <w:right w:val="single" w:color="auto" w:sz="4" w:space="0"/>
            </w:tcBorders>
            <w:hideMark/>
          </w:tcPr>
          <w:p w:rsidRPr="001F0446" w:rsidR="009C71D8" w:rsidP="009C71D8" w:rsidRDefault="009C71D8" w14:paraId="2C8F2797" w14:textId="1B086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66753">
              <w:rPr>
                <w:rFonts w:asciiTheme="minorHAnsi" w:hAnsiTheme="minorHAnsi" w:cstheme="minorHAnsi"/>
                <w:b/>
                <w:bCs/>
              </w:rPr>
              <w:t>Total</w:t>
            </w:r>
          </w:p>
        </w:tc>
        <w:tc>
          <w:tcPr>
            <w:tcW w:w="1373" w:type="dxa"/>
            <w:tcBorders>
              <w:top w:val="single" w:color="auto" w:sz="4" w:space="0"/>
              <w:left w:val="single" w:color="auto" w:sz="4" w:space="0"/>
              <w:bottom w:val="single" w:color="auto" w:sz="4" w:space="0"/>
              <w:right w:val="single" w:color="auto" w:sz="4" w:space="0"/>
            </w:tcBorders>
            <w:vAlign w:val="center"/>
          </w:tcPr>
          <w:p w:rsidRPr="001F0446" w:rsidR="009C71D8" w:rsidP="009C71D8" w:rsidRDefault="009A3DA0" w14:paraId="7C07A0FE" w14:textId="6933D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
                <w:bCs/>
              </w:rPr>
              <w:t>240</w:t>
            </w:r>
          </w:p>
        </w:tc>
        <w:tc>
          <w:tcPr>
            <w:tcW w:w="1214" w:type="dxa"/>
            <w:tcBorders>
              <w:top w:val="single" w:color="auto" w:sz="4" w:space="0"/>
              <w:left w:val="single" w:color="auto" w:sz="4" w:space="0"/>
              <w:bottom w:val="single" w:color="auto" w:sz="4" w:space="0"/>
              <w:right w:val="single" w:color="auto" w:sz="4" w:space="0"/>
            </w:tcBorders>
            <w:vAlign w:val="center"/>
          </w:tcPr>
          <w:p w:rsidRPr="001F0446" w:rsidR="009C71D8" w:rsidP="009C71D8" w:rsidRDefault="009C71D8" w14:paraId="4BB8399E" w14:textId="66EE9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846" w:type="dxa"/>
            <w:tcBorders>
              <w:top w:val="single" w:color="auto" w:sz="4" w:space="0"/>
              <w:left w:val="single" w:color="auto" w:sz="4" w:space="0"/>
              <w:bottom w:val="single" w:color="auto" w:sz="4" w:space="0"/>
              <w:right w:val="single" w:color="auto" w:sz="4" w:space="0"/>
            </w:tcBorders>
            <w:vAlign w:val="center"/>
          </w:tcPr>
          <w:p w:rsidRPr="001F0446" w:rsidR="009C71D8" w:rsidP="009C71D8" w:rsidRDefault="009C71D8" w14:paraId="75873A49" w14:textId="5E7C7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84" w:type="dxa"/>
            <w:tcBorders>
              <w:top w:val="single" w:color="auto" w:sz="4" w:space="0"/>
              <w:left w:val="single" w:color="auto" w:sz="4" w:space="0"/>
              <w:bottom w:val="single" w:color="auto" w:sz="4" w:space="0"/>
              <w:right w:val="single" w:color="auto" w:sz="4" w:space="0"/>
            </w:tcBorders>
          </w:tcPr>
          <w:p w:rsidRPr="001F0446" w:rsidR="009C71D8" w:rsidP="009C71D8" w:rsidRDefault="009A3DA0" w14:paraId="738E4AEE" w14:textId="2C2D3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
                <w:bCs/>
              </w:rPr>
              <w:t>147</w:t>
            </w:r>
          </w:p>
        </w:tc>
        <w:tc>
          <w:tcPr>
            <w:tcW w:w="990" w:type="dxa"/>
            <w:tcBorders>
              <w:top w:val="single" w:color="auto" w:sz="4" w:space="0"/>
              <w:left w:val="single" w:color="auto" w:sz="4" w:space="0"/>
              <w:bottom w:val="single" w:color="auto" w:sz="4" w:space="0"/>
              <w:right w:val="single" w:color="auto" w:sz="4" w:space="0"/>
            </w:tcBorders>
            <w:vAlign w:val="center"/>
            <w:hideMark/>
          </w:tcPr>
          <w:p w:rsidRPr="001F0446" w:rsidR="009C71D8" w:rsidP="009C71D8" w:rsidRDefault="009C71D8" w14:paraId="63D8209C" w14:textId="721056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66753">
              <w:rPr>
                <w:rFonts w:asciiTheme="minorHAnsi" w:hAnsiTheme="minorHAnsi" w:eastAsiaTheme="minorHAnsi" w:cstheme="minorBidi"/>
                <w:b/>
              </w:rPr>
              <w:t>$</w:t>
            </w:r>
            <w:r w:rsidR="00283DD4">
              <w:rPr>
                <w:rFonts w:asciiTheme="minorHAnsi" w:hAnsiTheme="minorHAnsi" w:eastAsiaTheme="minorHAnsi" w:cstheme="minorBidi"/>
                <w:b/>
              </w:rPr>
              <w:t>25.72</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1F0446" w:rsidR="009C71D8" w:rsidP="009C71D8" w:rsidRDefault="00D83766" w14:paraId="7567EB84" w14:textId="4E68F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
                <w:bCs/>
              </w:rPr>
              <w:t>$3,780.84</w:t>
            </w:r>
          </w:p>
        </w:tc>
      </w:tr>
    </w:tbl>
    <w:p w:rsidR="001F0446" w:rsidP="00373D2F" w:rsidRDefault="001F0446" w14:paraId="46E3F421" w14:textId="4D41B6A9">
      <w:pPr>
        <w:spacing w:after="0" w:line="240" w:lineRule="auto"/>
      </w:pPr>
    </w:p>
    <w:p w:rsidR="001F0446" w:rsidP="00373D2F" w:rsidRDefault="001F0446" w14:paraId="6D094BD5" w14:textId="77777777">
      <w:pPr>
        <w:spacing w:after="0" w:line="240" w:lineRule="auto"/>
      </w:pPr>
    </w:p>
    <w:p w:rsidR="00373D2F" w:rsidP="00E23D75" w:rsidRDefault="00B23277" w14:paraId="0FF19BD8" w14:textId="4C461539">
      <w:pPr>
        <w:spacing w:after="120" w:line="240" w:lineRule="auto"/>
        <w:rPr>
          <w:rFonts w:cstheme="minorHAnsi"/>
        </w:rPr>
      </w:pPr>
      <w:r w:rsidRPr="00E569B1">
        <w:rPr>
          <w:rFonts w:cstheme="minorHAnsi"/>
          <w:b/>
        </w:rPr>
        <w:t>A13</w:t>
      </w:r>
      <w:r w:rsidRPr="00E569B1">
        <w:rPr>
          <w:rFonts w:cstheme="minorHAnsi"/>
        </w:rPr>
        <w:t>.</w:t>
      </w:r>
      <w:r w:rsidRPr="00E569B1">
        <w:rPr>
          <w:rFonts w:cstheme="minorHAnsi"/>
        </w:rPr>
        <w:tab/>
      </w:r>
      <w:r w:rsidRPr="00E569B1" w:rsidR="00083227">
        <w:rPr>
          <w:rFonts w:cstheme="minorHAnsi"/>
          <w:b/>
        </w:rPr>
        <w:t>Costs</w:t>
      </w:r>
    </w:p>
    <w:p w:rsidR="00577243" w:rsidP="00577243" w:rsidRDefault="00D651DD" w14:paraId="456CA4E3" w14:textId="1542B6D3">
      <w:pPr>
        <w:autoSpaceDE w:val="0"/>
        <w:autoSpaceDN w:val="0"/>
        <w:adjustRightInd w:val="0"/>
        <w:spacing w:after="0" w:line="240" w:lineRule="auto"/>
      </w:pPr>
      <w:r w:rsidRPr="00D47412">
        <w:t>There are no additional costs to respondents.</w:t>
      </w:r>
    </w:p>
    <w:p w:rsidR="00C93C75" w:rsidP="00577243" w:rsidRDefault="00C93C75" w14:paraId="3B6C7E37" w14:textId="4C32DB59">
      <w:pPr>
        <w:autoSpaceDE w:val="0"/>
        <w:autoSpaceDN w:val="0"/>
        <w:adjustRightInd w:val="0"/>
        <w:spacing w:after="0" w:line="240" w:lineRule="auto"/>
      </w:pPr>
    </w:p>
    <w:p w:rsidRPr="000D4E9A" w:rsidR="00C93C75" w:rsidP="00577243" w:rsidRDefault="00C93C75" w14:paraId="5615B73A" w14:textId="77777777">
      <w:pPr>
        <w:autoSpaceDE w:val="0"/>
        <w:autoSpaceDN w:val="0"/>
        <w:adjustRightInd w:val="0"/>
        <w:spacing w:after="0" w:line="240" w:lineRule="auto"/>
        <w:rPr>
          <w:rFonts w:cstheme="minorHAnsi"/>
        </w:rPr>
      </w:pPr>
    </w:p>
    <w:p w:rsidRPr="00DF1291" w:rsidR="00373D2F" w:rsidP="00607CAB" w:rsidRDefault="00B23277" w14:paraId="6D7CE77A" w14:textId="50FEF290">
      <w:pPr>
        <w:rPr>
          <w:rFonts w:cstheme="minorHAnsi"/>
        </w:rPr>
      </w:pPr>
      <w:r w:rsidRPr="00624DDC">
        <w:rPr>
          <w:rFonts w:cstheme="minorHAnsi"/>
          <w:b/>
        </w:rPr>
        <w:lastRenderedPageBreak/>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9C71D8" w:rsidP="009C71D8" w:rsidRDefault="009C71D8" w14:paraId="3E92D510" w14:textId="77777777">
      <w:pPr>
        <w:spacing w:after="0"/>
      </w:pPr>
      <w:r>
        <w:t>Table A14 provides the estimates of the annualized costs to the Federal government for the work associated with this Information Collection Request.</w:t>
      </w:r>
    </w:p>
    <w:p w:rsidR="00C93C75" w:rsidP="00C93C75" w:rsidRDefault="00C93C75" w14:paraId="29728CA8" w14:textId="77777777">
      <w:pPr>
        <w:spacing w:after="0" w:line="240" w:lineRule="auto"/>
        <w:rPr>
          <w:b/>
        </w:rPr>
      </w:pPr>
    </w:p>
    <w:p w:rsidRPr="00C728E6" w:rsidR="00C93C75" w:rsidP="00C93C75" w:rsidRDefault="00C93C75" w14:paraId="459F21F7" w14:textId="58542E15">
      <w:pPr>
        <w:spacing w:after="0" w:line="240" w:lineRule="auto"/>
        <w:rPr>
          <w:b/>
        </w:rPr>
      </w:pPr>
      <w:r w:rsidRPr="000C4FDE">
        <w:rPr>
          <w:b/>
        </w:rPr>
        <w:t>Table A1</w:t>
      </w:r>
      <w:r>
        <w:rPr>
          <w:b/>
        </w:rPr>
        <w:t>4</w:t>
      </w:r>
      <w:r w:rsidRPr="000C4FDE">
        <w:rPr>
          <w:b/>
        </w:rPr>
        <w:t xml:space="preserve">. </w:t>
      </w:r>
      <w:r w:rsidR="004441F1">
        <w:rPr>
          <w:b/>
        </w:rPr>
        <w:t>Estimates of Annualized Costs to the Federal Government</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BC0A56"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BC0A56"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BC0A56" w:rsidRDefault="00B13DC4" w14:paraId="395B2B42" w14:textId="77777777">
            <w:pPr>
              <w:jc w:val="center"/>
              <w:rPr>
                <w:b/>
                <w:bCs/>
                <w:sz w:val="20"/>
              </w:rPr>
            </w:pPr>
            <w:r w:rsidRPr="00B13297">
              <w:rPr>
                <w:b/>
                <w:bCs/>
                <w:sz w:val="20"/>
              </w:rPr>
              <w:t>Estimated Costs</w:t>
            </w:r>
          </w:p>
        </w:tc>
      </w:tr>
      <w:tr w:rsidRPr="00B13297"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4E847D81">
            <w:pPr>
              <w:spacing w:after="0"/>
              <w:jc w:val="center"/>
              <w:rPr>
                <w:sz w:val="20"/>
              </w:rPr>
            </w:pPr>
            <w:r w:rsidRPr="00B13297">
              <w:rPr>
                <w:sz w:val="20"/>
              </w:rPr>
              <w:t>$</w:t>
            </w:r>
            <w:r w:rsidR="009C71D8">
              <w:rPr>
                <w:sz w:val="20"/>
              </w:rPr>
              <w:t>15,000</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2860215C">
            <w:pPr>
              <w:spacing w:after="0"/>
              <w:jc w:val="center"/>
              <w:rPr>
                <w:sz w:val="20"/>
              </w:rPr>
            </w:pPr>
            <w:r w:rsidRPr="00B13297">
              <w:rPr>
                <w:sz w:val="20"/>
              </w:rPr>
              <w:t>$</w:t>
            </w:r>
            <w:r w:rsidR="009C71D8">
              <w:rPr>
                <w:sz w:val="20"/>
              </w:rPr>
              <w:t>40,000</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6730F" w14:paraId="31C29715" w14:textId="0DE1CDC6">
            <w:pPr>
              <w:spacing w:after="0"/>
              <w:rPr>
                <w:rFonts w:ascii="Calibri" w:hAnsi="Calibri" w:eastAsia="Calibri" w:cs="Calibri"/>
                <w:sz w:val="20"/>
              </w:rPr>
            </w:pPr>
            <w:r>
              <w:rPr>
                <w:sz w:val="20"/>
              </w:rPr>
              <w:t>Summary Brief</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12CAE1E5">
            <w:pPr>
              <w:spacing w:after="0"/>
              <w:jc w:val="center"/>
              <w:rPr>
                <w:sz w:val="20"/>
              </w:rPr>
            </w:pPr>
            <w:r w:rsidRPr="00B13297">
              <w:rPr>
                <w:sz w:val="20"/>
              </w:rPr>
              <w:t>$</w:t>
            </w:r>
            <w:r w:rsidR="009C71D8">
              <w:rPr>
                <w:sz w:val="20"/>
              </w:rPr>
              <w:t>45,000</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53883C8D">
            <w:pPr>
              <w:spacing w:after="0"/>
              <w:jc w:val="right"/>
              <w:rPr>
                <w:rFonts w:ascii="Calibri" w:hAnsi="Calibri" w:eastAsia="Calibri" w:cs="Calibri"/>
                <w:b/>
                <w:bCs/>
                <w:sz w:val="20"/>
              </w:rPr>
            </w:pPr>
            <w:r w:rsidRPr="00B13297">
              <w:rPr>
                <w:b/>
                <w:color w:val="000000"/>
                <w:sz w:val="20"/>
              </w:rPr>
              <w:t>Total</w:t>
            </w:r>
            <w:r w:rsidR="009C71D8">
              <w:rPr>
                <w:b/>
                <w:color w:val="000000"/>
                <w:sz w:val="20"/>
              </w:rPr>
              <w:t>/Annual</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793A286D">
            <w:pPr>
              <w:spacing w:after="0"/>
              <w:jc w:val="center"/>
              <w:rPr>
                <w:b/>
                <w:bCs/>
                <w:sz w:val="20"/>
              </w:rPr>
            </w:pPr>
            <w:r w:rsidRPr="00B13297">
              <w:rPr>
                <w:sz w:val="20"/>
              </w:rPr>
              <w:t>$</w:t>
            </w:r>
            <w:r w:rsidR="009C71D8">
              <w:rPr>
                <w:sz w:val="20"/>
              </w:rPr>
              <w:t>100,000</w:t>
            </w:r>
          </w:p>
        </w:tc>
      </w:tr>
    </w:tbl>
    <w:p w:rsidR="009C71D8" w:rsidP="00CB4358" w:rsidRDefault="009C71D8" w14:paraId="04493BF9" w14:textId="77777777">
      <w:pPr>
        <w:spacing w:after="120" w:line="240" w:lineRule="auto"/>
        <w:rPr>
          <w:rFonts w:cstheme="minorHAnsi"/>
          <w:b/>
        </w:rPr>
      </w:pPr>
    </w:p>
    <w:p w:rsidR="0068383E" w:rsidP="00CB4358" w:rsidRDefault="00B23277" w14:paraId="3C111F63" w14:textId="4FA0CC96">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014EDC" w:rsidRDefault="00014EDC" w14:paraId="538B9986" w14:textId="7F7938B7">
      <w:r w:rsidRPr="00CB2ED6">
        <w:t>This is for an individual inform</w:t>
      </w:r>
      <w:r w:rsidRPr="00AD7F2E">
        <w:t>ation collection under the umbrella formative generic clearance for program support (0970-0531)</w:t>
      </w:r>
      <w:r w:rsidRPr="00AD7F2E" w:rsidR="00AD7F2E">
        <w:t>.</w:t>
      </w: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bookmarkStart w:name="_Hlk38385038" w:id="11"/>
      <w:r w:rsidRPr="00624DDC">
        <w:rPr>
          <w:rFonts w:cstheme="minorHAnsi"/>
          <w:b/>
        </w:rPr>
        <w:t>A16</w:t>
      </w:r>
      <w:r>
        <w:rPr>
          <w:rFonts w:cstheme="minorHAnsi"/>
        </w:rPr>
        <w:t>.</w:t>
      </w:r>
      <w:r>
        <w:rPr>
          <w:rFonts w:cstheme="minorHAnsi"/>
        </w:rPr>
        <w:tab/>
      </w:r>
      <w:r w:rsidRPr="00CB4358" w:rsidR="00083227">
        <w:rPr>
          <w:rFonts w:cstheme="minorHAnsi"/>
          <w:b/>
        </w:rPr>
        <w:t>Timeline</w:t>
      </w:r>
    </w:p>
    <w:p w:rsidRPr="007E39E0" w:rsidR="007E790E" w:rsidP="007E790E" w:rsidRDefault="007E790E" w14:paraId="39F04BF1" w14:textId="72872561">
      <w:pPr>
        <w:spacing w:after="0" w:line="240" w:lineRule="auto"/>
        <w:rPr>
          <w:rFonts w:cstheme="minorHAnsi"/>
        </w:rPr>
      </w:pPr>
      <w:r>
        <w:rPr>
          <w:rFonts w:cstheme="minorHAnsi"/>
        </w:rPr>
        <w:t>Focus groups are</w:t>
      </w:r>
      <w:r w:rsidRPr="007E39E0">
        <w:rPr>
          <w:rFonts w:cstheme="minorHAnsi"/>
        </w:rPr>
        <w:t xml:space="preserve"> </w:t>
      </w:r>
      <w:r>
        <w:rPr>
          <w:rFonts w:cstheme="minorHAnsi"/>
        </w:rPr>
        <w:t>expected to</w:t>
      </w:r>
      <w:r w:rsidRPr="007E39E0">
        <w:rPr>
          <w:rFonts w:cstheme="minorHAnsi"/>
        </w:rPr>
        <w:t xml:space="preserve"> begin </w:t>
      </w:r>
      <w:r>
        <w:rPr>
          <w:rFonts w:cstheme="minorHAnsi"/>
        </w:rPr>
        <w:t>during</w:t>
      </w:r>
      <w:r w:rsidR="00AD7F2E">
        <w:rPr>
          <w:rFonts w:cstheme="minorHAnsi"/>
        </w:rPr>
        <w:t xml:space="preserve"> </w:t>
      </w:r>
      <w:r w:rsidR="007424B2">
        <w:rPr>
          <w:rFonts w:cstheme="minorHAnsi"/>
        </w:rPr>
        <w:t>early fall</w:t>
      </w:r>
      <w:r>
        <w:rPr>
          <w:rFonts w:cstheme="minorHAnsi"/>
        </w:rPr>
        <w:t xml:space="preserve"> 2020 after obtaining OMB approval</w:t>
      </w:r>
      <w:r w:rsidRPr="007E39E0">
        <w:rPr>
          <w:rFonts w:cstheme="minorHAnsi"/>
        </w:rPr>
        <w:t>.</w:t>
      </w:r>
      <w:r w:rsidR="00AD7F2E">
        <w:rPr>
          <w:rFonts w:cstheme="minorHAnsi"/>
        </w:rPr>
        <w:t xml:space="preserve"> We expect the conduct of the focus groups to occur over a 4-week period.</w:t>
      </w:r>
      <w:r w:rsidRPr="007E39E0">
        <w:rPr>
          <w:rFonts w:cstheme="minorHAnsi"/>
        </w:rPr>
        <w:t xml:space="preserve"> </w:t>
      </w:r>
      <w:r>
        <w:rPr>
          <w:rFonts w:cstheme="minorHAnsi"/>
        </w:rPr>
        <w:t xml:space="preserve">A brief summarizing key themes and lessons will be developed during </w:t>
      </w:r>
      <w:r w:rsidR="00C6730F">
        <w:rPr>
          <w:rFonts w:cstheme="minorHAnsi"/>
        </w:rPr>
        <w:t>fall</w:t>
      </w:r>
      <w:r>
        <w:rPr>
          <w:rFonts w:cstheme="minorHAnsi"/>
        </w:rPr>
        <w:t xml:space="preserve"> 2020 and </w:t>
      </w:r>
      <w:r w:rsidR="00C6730F">
        <w:rPr>
          <w:rFonts w:cstheme="minorHAnsi"/>
        </w:rPr>
        <w:t xml:space="preserve">disseminated to the </w:t>
      </w:r>
      <w:r w:rsidRPr="00C6730F" w:rsidR="00C6730F">
        <w:rPr>
          <w:rFonts w:cstheme="minorHAnsi"/>
        </w:rPr>
        <w:t>Family and Youth Services Bureau</w:t>
      </w:r>
      <w:r w:rsidR="00C6730F">
        <w:rPr>
          <w:rFonts w:cstheme="minorHAnsi"/>
        </w:rPr>
        <w:t xml:space="preserve"> (FYSB) for purposes </w:t>
      </w:r>
      <w:r w:rsidR="00607CAB">
        <w:rPr>
          <w:rFonts w:cstheme="minorHAnsi"/>
        </w:rPr>
        <w:t xml:space="preserve">of communicating to grantees about parental engagement strategies and parental reactions to programming.  </w:t>
      </w:r>
    </w:p>
    <w:bookmarkEnd w:id="11"/>
    <w:p w:rsidR="00CB4358" w:rsidP="00CB4358" w:rsidRDefault="00CB4358" w14:paraId="7C4F5683" w14:textId="577EC94F">
      <w:pPr>
        <w:spacing w:after="0" w:line="240" w:lineRule="auto"/>
        <w:rPr>
          <w:rFonts w:cstheme="minorHAnsi"/>
        </w:rPr>
      </w:pPr>
    </w:p>
    <w:p w:rsidRPr="00CB4358" w:rsidR="00B4194A" w:rsidP="00CB4358" w:rsidRDefault="00B4194A" w14:paraId="35FDB9BC"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7E790E" w:rsidP="00306028" w:rsidRDefault="007E790E" w14:paraId="13DA23AD" w14:textId="088E7B54">
      <w:pPr>
        <w:spacing w:after="0" w:line="240" w:lineRule="auto"/>
        <w:rPr>
          <w:b/>
        </w:rPr>
      </w:pPr>
    </w:p>
    <w:p w:rsidR="009C71D8" w:rsidP="00306028" w:rsidRDefault="009C71D8" w14:paraId="5D1DFE03" w14:textId="77777777">
      <w:pPr>
        <w:spacing w:after="0" w:line="240" w:lineRule="auto"/>
        <w:rPr>
          <w:b/>
        </w:rPr>
      </w:pPr>
    </w:p>
    <w:p w:rsidR="00306028" w:rsidP="00306028" w:rsidRDefault="00306028" w14:paraId="503603E8" w14:textId="6C21EC8D">
      <w:pPr>
        <w:spacing w:after="0" w:line="240" w:lineRule="auto"/>
        <w:rPr>
          <w:b/>
        </w:rPr>
      </w:pPr>
      <w:r>
        <w:rPr>
          <w:b/>
        </w:rPr>
        <w:t>A</w:t>
      </w:r>
      <w:r w:rsidR="00786DCC">
        <w:rPr>
          <w:b/>
        </w:rPr>
        <w:t>ppendice</w:t>
      </w:r>
      <w:r>
        <w:rPr>
          <w:b/>
        </w:rPr>
        <w:t>s</w:t>
      </w:r>
    </w:p>
    <w:p w:rsidR="007E790E" w:rsidP="007E790E" w:rsidRDefault="007E790E" w14:paraId="353B4546" w14:textId="77777777">
      <w:pPr>
        <w:spacing w:after="0" w:line="240" w:lineRule="auto"/>
        <w:rPr>
          <w:b/>
        </w:rPr>
      </w:pPr>
    </w:p>
    <w:p w:rsidR="00D651DD" w:rsidP="007E790E" w:rsidRDefault="007E790E" w14:paraId="262AEB3A" w14:textId="1E6A74DA">
      <w:r>
        <w:t>A</w:t>
      </w:r>
      <w:r w:rsidR="00786DCC">
        <w:t xml:space="preserve">ppendix </w:t>
      </w:r>
      <w:r w:rsidR="005165E4">
        <w:t>A</w:t>
      </w:r>
      <w:r>
        <w:t xml:space="preserve">: Parent Recruitment Email </w:t>
      </w:r>
    </w:p>
    <w:p w:rsidR="007E790E" w:rsidP="007E790E" w:rsidRDefault="007E790E" w14:paraId="700A21A1" w14:textId="36796E41">
      <w:r>
        <w:t>A</w:t>
      </w:r>
      <w:r w:rsidR="00786DCC">
        <w:t>ppendix</w:t>
      </w:r>
      <w:r>
        <w:t xml:space="preserve"> </w:t>
      </w:r>
      <w:r w:rsidR="00FF0B57">
        <w:t>B</w:t>
      </w:r>
      <w:r>
        <w:t xml:space="preserve">: </w:t>
      </w:r>
      <w:r w:rsidR="00D651DD">
        <w:t>Reminder Email</w:t>
      </w:r>
    </w:p>
    <w:p w:rsidR="00D651DD" w:rsidP="007E790E" w:rsidRDefault="00D651DD" w14:paraId="13CFB397" w14:textId="6B878B34">
      <w:r>
        <w:t>A</w:t>
      </w:r>
      <w:r w:rsidR="00786DCC">
        <w:t>ppendix</w:t>
      </w:r>
      <w:r>
        <w:t xml:space="preserve"> </w:t>
      </w:r>
      <w:r w:rsidR="00FF0B57">
        <w:t>C</w:t>
      </w:r>
      <w:r>
        <w:t>: Invitation Email</w:t>
      </w:r>
    </w:p>
    <w:p w:rsidR="00AF4ED4" w:rsidP="007E790E" w:rsidRDefault="00AF4ED4" w14:paraId="2FFD972F" w14:textId="49F430B1">
      <w:r>
        <w:t>A</w:t>
      </w:r>
      <w:r w:rsidR="00786DCC">
        <w:t>ppendix</w:t>
      </w:r>
      <w:r>
        <w:t xml:space="preserve"> </w:t>
      </w:r>
      <w:r w:rsidR="00FF0B57">
        <w:t>D</w:t>
      </w:r>
      <w:r>
        <w:t>: Consent Form</w:t>
      </w:r>
    </w:p>
    <w:p w:rsidR="00D83766" w:rsidP="00B13297" w:rsidRDefault="00D83766" w14:paraId="1021D5A0" w14:textId="145FC42D">
      <w:r>
        <w:t>Instrument 1: Parent Screener Script</w:t>
      </w:r>
    </w:p>
    <w:p w:rsidRPr="006B53F1" w:rsidR="00306028" w:rsidP="00B13297" w:rsidRDefault="00E32693" w14:paraId="08BDA7B5" w14:textId="37FCD83C">
      <w:r>
        <w:t xml:space="preserve">Instrument </w:t>
      </w:r>
      <w:r w:rsidR="00D83766">
        <w:t>2</w:t>
      </w:r>
      <w:r>
        <w:t xml:space="preserve">: </w:t>
      </w:r>
      <w:r w:rsidR="00AF4ED4">
        <w:t>Parent Discussion Guide</w:t>
      </w:r>
    </w:p>
    <w:sectPr w:rsidRPr="006B53F1" w:rsidR="0030602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23D965" w16cid:durableId="230A08FB"/>
  <w16cid:commentId w16cid:paraId="31D948EE" w16cid:durableId="230A0BE7"/>
  <w16cid:commentId w16cid:paraId="55563B2C" w16cid:durableId="230A08FC"/>
  <w16cid:commentId w16cid:paraId="5DE2BA7D" w16cid:durableId="230A0C1E"/>
  <w16cid:commentId w16cid:paraId="19FDCA79" w16cid:durableId="230A08FD"/>
  <w16cid:commentId w16cid:paraId="1576931F" w16cid:durableId="230A0C99"/>
  <w16cid:commentId w16cid:paraId="70513458" w16cid:durableId="230A08FE"/>
  <w16cid:commentId w16cid:paraId="2A02893F" w16cid:durableId="230A0E92"/>
  <w16cid:commentId w16cid:paraId="14B2FE3C" w16cid:durableId="230A08FF"/>
  <w16cid:commentId w16cid:paraId="2C647521" w16cid:durableId="230A0EFD"/>
  <w16cid:commentId w16cid:paraId="1AE7F2DC" w16cid:durableId="230A0900"/>
  <w16cid:commentId w16cid:paraId="016F1B94" w16cid:durableId="230A1572"/>
  <w16cid:commentId w16cid:paraId="30DB17FF" w16cid:durableId="230A0901"/>
  <w16cid:commentId w16cid:paraId="41BEC307" w16cid:durableId="230A1501"/>
  <w16cid:commentId w16cid:paraId="34622E96" w16cid:durableId="230A1EF1"/>
  <w16cid:commentId w16cid:paraId="35A21054" w16cid:durableId="230A1EF0"/>
  <w16cid:commentId w16cid:paraId="4300260C" w16cid:durableId="230A0903"/>
  <w16cid:commentId w16cid:paraId="114C698D" w16cid:durableId="230A1803"/>
  <w16cid:commentId w16cid:paraId="150EA165" w16cid:durableId="230A0904"/>
  <w16cid:commentId w16cid:paraId="3A7DA189" w16cid:durableId="230A1B24"/>
  <w16cid:commentId w16cid:paraId="51727658" w16cid:durableId="230A0906"/>
  <w16cid:commentId w16cid:paraId="21F0E4FE" w16cid:durableId="230A122D"/>
  <w16cid:commentId w16cid:paraId="4C1819FD" w16cid:durableId="230A0907"/>
  <w16cid:commentId w16cid:paraId="05349773" w16cid:durableId="230A1302"/>
  <w16cid:commentId w16cid:paraId="0ADD8422" w16cid:durableId="230A0908"/>
  <w16cid:commentId w16cid:paraId="058D401C" w16cid:durableId="230A119B"/>
  <w16cid:commentId w16cid:paraId="206FCC1F" w16cid:durableId="230A0909"/>
  <w16cid:commentId w16cid:paraId="328152CE" w16cid:durableId="230A10E7"/>
  <w16cid:commentId w16cid:paraId="044BF3E8" w16cid:durableId="230A090A"/>
  <w16cid:commentId w16cid:paraId="055241F2" w16cid:durableId="230A13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CC1B0" w14:textId="77777777" w:rsidR="004F6021" w:rsidRDefault="004F6021" w:rsidP="0004063C">
      <w:pPr>
        <w:spacing w:after="0" w:line="240" w:lineRule="auto"/>
      </w:pPr>
      <w:r>
        <w:separator/>
      </w:r>
    </w:p>
  </w:endnote>
  <w:endnote w:type="continuationSeparator" w:id="0">
    <w:p w14:paraId="6CD6FD0D" w14:textId="77777777" w:rsidR="004F6021" w:rsidRDefault="004F602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67B91820" w:rsidR="00872BAE" w:rsidRDefault="00872BAE">
        <w:pPr>
          <w:pStyle w:val="Footer"/>
          <w:jc w:val="right"/>
        </w:pPr>
        <w:r>
          <w:fldChar w:fldCharType="begin"/>
        </w:r>
        <w:r>
          <w:instrText xml:space="preserve"> PAGE   \* MERGEFORMAT </w:instrText>
        </w:r>
        <w:r>
          <w:fldChar w:fldCharType="separate"/>
        </w:r>
        <w:r w:rsidR="001267CF">
          <w:rPr>
            <w:noProof/>
          </w:rPr>
          <w:t>12</w:t>
        </w:r>
        <w:r>
          <w:rPr>
            <w:noProof/>
          </w:rPr>
          <w:fldChar w:fldCharType="end"/>
        </w:r>
      </w:p>
    </w:sdtContent>
  </w:sdt>
  <w:p w14:paraId="04723F22" w14:textId="77777777" w:rsidR="00872BAE" w:rsidRDefault="00872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59C9E" w14:textId="77777777" w:rsidR="004F6021" w:rsidRDefault="004F6021" w:rsidP="0004063C">
      <w:pPr>
        <w:spacing w:after="0" w:line="240" w:lineRule="auto"/>
      </w:pPr>
      <w:r>
        <w:separator/>
      </w:r>
    </w:p>
  </w:footnote>
  <w:footnote w:type="continuationSeparator" w:id="0">
    <w:p w14:paraId="5D1F66FE" w14:textId="77777777" w:rsidR="004F6021" w:rsidRDefault="004F6021" w:rsidP="0004063C">
      <w:pPr>
        <w:spacing w:after="0" w:line="240" w:lineRule="auto"/>
      </w:pPr>
      <w:r>
        <w:continuationSeparator/>
      </w:r>
    </w:p>
  </w:footnote>
  <w:footnote w:id="1">
    <w:p w14:paraId="6FC1066A" w14:textId="53525FEC" w:rsidR="00872BAE" w:rsidRPr="008A7AB2" w:rsidRDefault="00872BAE" w:rsidP="000C0635">
      <w:pPr>
        <w:pBdr>
          <w:top w:val="nil"/>
          <w:left w:val="nil"/>
          <w:bottom w:val="nil"/>
          <w:right w:val="nil"/>
          <w:between w:val="nil"/>
        </w:pBdr>
        <w:spacing w:line="240" w:lineRule="auto"/>
        <w:rPr>
          <w:color w:val="000000"/>
          <w:sz w:val="20"/>
        </w:rPr>
      </w:pPr>
      <w:r>
        <w:rPr>
          <w:rStyle w:val="FootnoteReference"/>
        </w:rPr>
        <w:footnoteRef/>
      </w:r>
      <w:r w:rsidRPr="008A7AB2">
        <w:rPr>
          <w:color w:val="000000"/>
          <w:sz w:val="20"/>
        </w:rPr>
        <w:t xml:space="preserve"> Martin, J. A., Hamilton, B. E., Osterman, M. J. K., Driscoll, A. K., </w:t>
      </w:r>
      <w:r>
        <w:rPr>
          <w:color w:val="000000"/>
          <w:sz w:val="20"/>
        </w:rPr>
        <w:t>and</w:t>
      </w:r>
      <w:r w:rsidRPr="008A7AB2">
        <w:rPr>
          <w:color w:val="000000"/>
          <w:sz w:val="20"/>
        </w:rPr>
        <w:t xml:space="preserve"> Matthews, T. J. (2017). Births: Final data for 2015. </w:t>
      </w:r>
      <w:r w:rsidRPr="008A7AB2">
        <w:rPr>
          <w:i/>
          <w:color w:val="000000"/>
          <w:sz w:val="20"/>
        </w:rPr>
        <w:t>National Vital Statistics Report, 66</w:t>
      </w:r>
      <w:r w:rsidRPr="008A7AB2">
        <w:rPr>
          <w:color w:val="000000"/>
          <w:sz w:val="20"/>
        </w:rPr>
        <w:t>(1).</w:t>
      </w:r>
    </w:p>
  </w:footnote>
  <w:footnote w:id="2">
    <w:p w14:paraId="5B2016C7" w14:textId="77777777" w:rsidR="00872BAE" w:rsidRPr="008A7AB2" w:rsidRDefault="00872BAE" w:rsidP="000C0635">
      <w:pPr>
        <w:pBdr>
          <w:top w:val="nil"/>
          <w:left w:val="nil"/>
          <w:bottom w:val="nil"/>
          <w:right w:val="nil"/>
          <w:between w:val="nil"/>
        </w:pBdr>
        <w:spacing w:after="0" w:line="240" w:lineRule="auto"/>
        <w:rPr>
          <w:color w:val="000000"/>
          <w:sz w:val="20"/>
        </w:rPr>
      </w:pPr>
      <w:r>
        <w:rPr>
          <w:rStyle w:val="FootnoteReference"/>
        </w:rPr>
        <w:footnoteRef/>
      </w:r>
      <w:r w:rsidRPr="008A7AB2">
        <w:rPr>
          <w:color w:val="000000"/>
          <w:sz w:val="20"/>
        </w:rPr>
        <w:t xml:space="preserve"> Centers for Disease Control and Prevention. (2017). </w:t>
      </w:r>
      <w:r w:rsidRPr="008A7AB2">
        <w:rPr>
          <w:i/>
          <w:color w:val="000000"/>
          <w:sz w:val="20"/>
        </w:rPr>
        <w:t>Sexually transmitted disease surveillance 2016.</w:t>
      </w:r>
      <w:r w:rsidRPr="008A7AB2">
        <w:rPr>
          <w:color w:val="000000"/>
          <w:sz w:val="20"/>
        </w:rPr>
        <w:t xml:space="preserve"> Atlanta, GA: U.S. Department of Health and Human Services.</w:t>
      </w:r>
    </w:p>
  </w:footnote>
  <w:footnote w:id="3">
    <w:p w14:paraId="0CAC845F" w14:textId="17EB7813" w:rsidR="00D12F6B" w:rsidRDefault="00D12F6B">
      <w:pPr>
        <w:pStyle w:val="FootnoteText"/>
      </w:pPr>
      <w:r>
        <w:rPr>
          <w:rStyle w:val="FootnoteReference"/>
        </w:rPr>
        <w:footnoteRef/>
      </w:r>
      <w:r>
        <w:t xml:space="preserve"> Commendador, K. A. “Parental Influences on Adolescent Decision Making and Contraceptive Use.” </w:t>
      </w:r>
      <w:r w:rsidRPr="00005AB2">
        <w:rPr>
          <w:i/>
          <w:iCs/>
        </w:rPr>
        <w:t>Pediatric Nursing</w:t>
      </w:r>
      <w:r>
        <w:t xml:space="preserve">, vol. 36, no. 3, </w:t>
      </w:r>
      <w:r>
        <w:rPr>
          <w:color w:val="0000FF"/>
          <w:u w:val="single"/>
        </w:rPr>
        <w:t>2010</w:t>
      </w:r>
      <w:r>
        <w:t>, p. 147.</w:t>
      </w:r>
    </w:p>
  </w:footnote>
  <w:footnote w:id="4">
    <w:p w14:paraId="6D10FF35" w14:textId="7A01C406" w:rsidR="00D12F6B" w:rsidRDefault="00D12F6B">
      <w:pPr>
        <w:pStyle w:val="FootnoteText"/>
      </w:pPr>
      <w:r>
        <w:rPr>
          <w:rStyle w:val="FootnoteReference"/>
        </w:rPr>
        <w:footnoteRef/>
      </w:r>
      <w:r>
        <w:t xml:space="preserve"> Wight, D., and D. Fullerton. “A Review of Interventions with Parents to Promote the Sexual Health of Their Children.” </w:t>
      </w:r>
      <w:r w:rsidRPr="00005AB2">
        <w:rPr>
          <w:i/>
          <w:iCs/>
        </w:rPr>
        <w:t>Journal of Adolescent Health</w:t>
      </w:r>
      <w:r>
        <w:t xml:space="preserve">, vol. 52, no. 1, </w:t>
      </w:r>
      <w:r>
        <w:rPr>
          <w:color w:val="0000FF"/>
          <w:u w:val="single"/>
        </w:rPr>
        <w:t>2013</w:t>
      </w:r>
      <w:r>
        <w:t>, pp. 4–27.</w:t>
      </w:r>
    </w:p>
  </w:footnote>
  <w:footnote w:id="5">
    <w:p w14:paraId="1B68AE97" w14:textId="1385217C" w:rsidR="00872BAE" w:rsidRDefault="00872BAE">
      <w:pPr>
        <w:pStyle w:val="FootnoteText"/>
      </w:pPr>
      <w:r>
        <w:rPr>
          <w:rStyle w:val="FootnoteReference"/>
        </w:rPr>
        <w:footnoteRef/>
      </w:r>
      <w:r>
        <w:t xml:space="preserve"> Stewart, K., and M. Williams. (2005). “Researching online populations: the use of online focus groups for social research.” </w:t>
      </w:r>
      <w:r w:rsidRPr="008A2FAA">
        <w:rPr>
          <w:i/>
          <w:iCs/>
        </w:rPr>
        <w:t>Qualitative Research</w:t>
      </w:r>
      <w:r>
        <w:rPr>
          <w:i/>
          <w:iCs/>
        </w:rPr>
        <w:t xml:space="preserve">. </w:t>
      </w:r>
      <w:r>
        <w:t>Vol. 5(4) pp. 395-416.</w:t>
      </w:r>
    </w:p>
  </w:footnote>
  <w:footnote w:id="6">
    <w:p w14:paraId="38D06ED1" w14:textId="6A4D7AE5" w:rsidR="00872BAE" w:rsidRDefault="00872BAE">
      <w:pPr>
        <w:pStyle w:val="FootnoteText"/>
      </w:pPr>
      <w:r>
        <w:rPr>
          <w:rStyle w:val="FootnoteReference"/>
        </w:rPr>
        <w:footnoteRef/>
      </w:r>
      <w:r>
        <w:t xml:space="preserve"> </w:t>
      </w:r>
      <w:r w:rsidRPr="00F95DE6">
        <w:t>Reisner, S. L., Randazzo, R. K., White Hughto, J. M., Peitzmeier, S., DuBois, L. Z., Pardee, D. J., Marrow, E., McLean, S., &amp; Potter, J. (2018). Sensitive Health Topics With Underserved Patient Populations: Methodological Considerations for Online Focus Group Discussions. Qualitative health research, 28(10), 1658–1673.</w:t>
      </w:r>
    </w:p>
  </w:footnote>
  <w:footnote w:id="7">
    <w:p w14:paraId="19666BEC" w14:textId="19FCC9B2" w:rsidR="00872BAE" w:rsidRDefault="00872BAE">
      <w:pPr>
        <w:pStyle w:val="FootnoteText"/>
      </w:pPr>
      <w:r>
        <w:rPr>
          <w:rStyle w:val="FootnoteReference"/>
        </w:rPr>
        <w:footnoteRef/>
      </w:r>
      <w:r>
        <w:t xml:space="preserve"> </w:t>
      </w:r>
      <w:r w:rsidRPr="00A74F08">
        <w:t>Rupert, D. J., Poehlman, J. A., Hayes, J. J., Ray, S. E., &amp; Moultrie, R. R. (2017). Virtual versus in-person focus groups: Comparison of costs, recruitment, and participant logistics. Journal of medical Internet research, 19(3), e80.</w:t>
      </w:r>
    </w:p>
  </w:footnote>
  <w:footnote w:id="8">
    <w:p w14:paraId="06C16811" w14:textId="45B1EEC0" w:rsidR="00872BAE" w:rsidRPr="00CB1525" w:rsidRDefault="00872BAE" w:rsidP="00CB1525">
      <w:pPr>
        <w:pStyle w:val="FootnoteText"/>
        <w:rPr>
          <w:rFonts w:ascii="Calibri" w:eastAsia="Calibri" w:hAnsi="Calibri" w:cs="Times New Roman"/>
        </w:rPr>
      </w:pPr>
      <w:r>
        <w:rPr>
          <w:rStyle w:val="FootnoteReference"/>
        </w:rPr>
        <w:footnoteRef/>
      </w:r>
      <w:r>
        <w:t xml:space="preserve"> </w:t>
      </w:r>
      <w:r w:rsidR="004441F1" w:rsidRPr="00CB1525">
        <w:rPr>
          <w:rFonts w:ascii="Calibri" w:eastAsia="Calibri" w:hAnsi="Calibri" w:cs="Times New Roman"/>
        </w:rPr>
        <w:t xml:space="preserve">Dillman D.A., Smyth J.D., </w:t>
      </w:r>
      <w:r w:rsidR="004441F1">
        <w:rPr>
          <w:rFonts w:ascii="Calibri" w:eastAsia="Calibri" w:hAnsi="Calibri" w:cs="Times New Roman"/>
        </w:rPr>
        <w:t>and</w:t>
      </w:r>
      <w:r w:rsidR="004441F1" w:rsidRPr="00CB1525">
        <w:rPr>
          <w:rFonts w:ascii="Calibri" w:eastAsia="Calibri" w:hAnsi="Calibri" w:cs="Times New Roman"/>
        </w:rPr>
        <w:t xml:space="preserve"> Christian, L.M. </w:t>
      </w:r>
      <w:r w:rsidR="004441F1" w:rsidRPr="00444592">
        <w:rPr>
          <w:rFonts w:ascii="Calibri" w:eastAsia="Calibri" w:hAnsi="Calibri" w:cs="Times New Roman"/>
          <w:i/>
          <w:iCs/>
        </w:rPr>
        <w:t>Internet, Phone, Mail, and Mixed-Mode Surveys: The Tailored Design Method</w:t>
      </w:r>
      <w:r w:rsidR="004441F1" w:rsidRPr="00CB1525">
        <w:rPr>
          <w:rFonts w:ascii="Calibri" w:eastAsia="Calibri" w:hAnsi="Calibri" w:cs="Times New Roman"/>
        </w:rPr>
        <w:t xml:space="preserve"> (Fourth Edition). John Wiley &amp; Sons, Inc.</w:t>
      </w:r>
      <w:r w:rsidR="004441F1">
        <w:rPr>
          <w:rFonts w:ascii="Calibri" w:eastAsia="Calibri" w:hAnsi="Calibri" w:cs="Times New Roman"/>
        </w:rPr>
        <w:t>, 2014.</w:t>
      </w:r>
    </w:p>
    <w:p w14:paraId="419D8F13" w14:textId="4D4373AD" w:rsidR="00872BAE" w:rsidRDefault="00872BAE">
      <w:pPr>
        <w:pStyle w:val="FootnoteText"/>
      </w:pPr>
    </w:p>
  </w:footnote>
  <w:footnote w:id="9">
    <w:p w14:paraId="4F110D3D" w14:textId="431E58D2" w:rsidR="00872BAE" w:rsidRPr="00D82755" w:rsidRDefault="00872BAE" w:rsidP="002560D7">
      <w:pPr>
        <w:pStyle w:val="FootnoteText"/>
      </w:pPr>
      <w:r w:rsidRPr="00D82755">
        <w:rPr>
          <w:rStyle w:val="FootnoteReference"/>
        </w:rPr>
        <w:footnoteRef/>
      </w:r>
      <w:r w:rsidRPr="00D82755">
        <w:t xml:space="preserve"> </w:t>
      </w:r>
      <w:r w:rsidRPr="00D30B6F">
        <w:rPr>
          <w:rFonts w:cstheme="minorHAnsi"/>
        </w:rPr>
        <w:t>Examples of sensitive topics include (but</w:t>
      </w:r>
      <w:r w:rsidR="007424B2">
        <w:rPr>
          <w:rFonts w:cstheme="minorHAnsi"/>
        </w:rPr>
        <w:t xml:space="preserve"> are</w:t>
      </w:r>
      <w:r w:rsidRPr="00D30B6F">
        <w:rPr>
          <w:rFonts w:cstheme="minorHAnsi"/>
        </w:rPr>
        <w:t xml:space="preserve">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10">
    <w:p w14:paraId="6F93F9C3" w14:textId="77777777" w:rsidR="00872BAE" w:rsidRPr="0000750F" w:rsidRDefault="00872BAE" w:rsidP="00D1372F">
      <w:pPr>
        <w:pBdr>
          <w:top w:val="nil"/>
          <w:left w:val="nil"/>
          <w:bottom w:val="nil"/>
          <w:right w:val="nil"/>
          <w:between w:val="nil"/>
        </w:pBdr>
        <w:spacing w:after="0" w:line="240" w:lineRule="auto"/>
        <w:rPr>
          <w:color w:val="000000"/>
          <w:sz w:val="20"/>
        </w:rPr>
      </w:pPr>
      <w:r>
        <w:rPr>
          <w:rStyle w:val="FootnoteReference"/>
        </w:rPr>
        <w:footnoteRef/>
      </w:r>
      <w:r w:rsidRPr="0000750F">
        <w:rPr>
          <w:color w:val="000000"/>
          <w:sz w:val="20"/>
        </w:rPr>
        <w:t xml:space="preserve"> The average hourly wage for parents and young adults is the “All Occupations” wage from the May 201</w:t>
      </w:r>
      <w:r>
        <w:rPr>
          <w:color w:val="000000"/>
          <w:sz w:val="20"/>
        </w:rPr>
        <w:t>9</w:t>
      </w:r>
      <w:r w:rsidRPr="0000750F">
        <w:rPr>
          <w:color w:val="000000"/>
          <w:sz w:val="20"/>
        </w:rPr>
        <w:t xml:space="preserve"> Bureau of Labor Statistics </w:t>
      </w:r>
      <w:r w:rsidRPr="008B5435">
        <w:rPr>
          <w:sz w:val="20"/>
          <w:szCs w:val="20"/>
        </w:rPr>
        <w:t>https://www.bls.gov/oes/current/oes_nat.htm#00-0000</w:t>
      </w:r>
      <w:r w:rsidRPr="008B5435">
        <w:rPr>
          <w:rFonts w:ascii="Calibri" w:eastAsia="Calibri" w:hAnsi="Calibri" w:cs="Calibri"/>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37B92EA3" w:rsidR="00872BAE" w:rsidRPr="000D7D44" w:rsidRDefault="00872BAE"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872BAE" w:rsidRDefault="00872BAE"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AFF8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E0458"/>
    <w:multiLevelType w:val="hybridMultilevel"/>
    <w:tmpl w:val="B1F8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D00E3"/>
    <w:multiLevelType w:val="hybridMultilevel"/>
    <w:tmpl w:val="52BC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6106D"/>
    <w:multiLevelType w:val="hybridMultilevel"/>
    <w:tmpl w:val="ADCA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5"/>
  </w:num>
  <w:num w:numId="4">
    <w:abstractNumId w:val="33"/>
  </w:num>
  <w:num w:numId="5">
    <w:abstractNumId w:val="22"/>
  </w:num>
  <w:num w:numId="6">
    <w:abstractNumId w:val="44"/>
  </w:num>
  <w:num w:numId="7">
    <w:abstractNumId w:val="4"/>
  </w:num>
  <w:num w:numId="8">
    <w:abstractNumId w:val="13"/>
  </w:num>
  <w:num w:numId="9">
    <w:abstractNumId w:val="21"/>
  </w:num>
  <w:num w:numId="10">
    <w:abstractNumId w:val="42"/>
  </w:num>
  <w:num w:numId="11">
    <w:abstractNumId w:val="48"/>
  </w:num>
  <w:num w:numId="12">
    <w:abstractNumId w:val="38"/>
  </w:num>
  <w:num w:numId="13">
    <w:abstractNumId w:val="32"/>
  </w:num>
  <w:num w:numId="14">
    <w:abstractNumId w:val="40"/>
  </w:num>
  <w:num w:numId="15">
    <w:abstractNumId w:val="24"/>
  </w:num>
  <w:num w:numId="16">
    <w:abstractNumId w:val="31"/>
  </w:num>
  <w:num w:numId="17">
    <w:abstractNumId w:val="20"/>
  </w:num>
  <w:num w:numId="18">
    <w:abstractNumId w:val="10"/>
  </w:num>
  <w:num w:numId="19">
    <w:abstractNumId w:val="9"/>
  </w:num>
  <w:num w:numId="20">
    <w:abstractNumId w:val="30"/>
  </w:num>
  <w:num w:numId="21">
    <w:abstractNumId w:val="0"/>
  </w:num>
  <w:num w:numId="22">
    <w:abstractNumId w:val="1"/>
  </w:num>
  <w:num w:numId="23">
    <w:abstractNumId w:val="25"/>
  </w:num>
  <w:num w:numId="24">
    <w:abstractNumId w:val="2"/>
  </w:num>
  <w:num w:numId="25">
    <w:abstractNumId w:val="15"/>
  </w:num>
  <w:num w:numId="26">
    <w:abstractNumId w:val="47"/>
  </w:num>
  <w:num w:numId="27">
    <w:abstractNumId w:val="39"/>
  </w:num>
  <w:num w:numId="28">
    <w:abstractNumId w:val="17"/>
  </w:num>
  <w:num w:numId="29">
    <w:abstractNumId w:val="16"/>
  </w:num>
  <w:num w:numId="30">
    <w:abstractNumId w:val="3"/>
  </w:num>
  <w:num w:numId="31">
    <w:abstractNumId w:val="11"/>
  </w:num>
  <w:num w:numId="32">
    <w:abstractNumId w:val="26"/>
  </w:num>
  <w:num w:numId="33">
    <w:abstractNumId w:val="34"/>
  </w:num>
  <w:num w:numId="34">
    <w:abstractNumId w:val="14"/>
  </w:num>
  <w:num w:numId="35">
    <w:abstractNumId w:val="23"/>
  </w:num>
  <w:num w:numId="36">
    <w:abstractNumId w:val="19"/>
  </w:num>
  <w:num w:numId="37">
    <w:abstractNumId w:val="35"/>
  </w:num>
  <w:num w:numId="38">
    <w:abstractNumId w:val="28"/>
  </w:num>
  <w:num w:numId="39">
    <w:abstractNumId w:val="8"/>
  </w:num>
  <w:num w:numId="40">
    <w:abstractNumId w:val="43"/>
  </w:num>
  <w:num w:numId="41">
    <w:abstractNumId w:val="36"/>
  </w:num>
  <w:num w:numId="42">
    <w:abstractNumId w:val="7"/>
  </w:num>
  <w:num w:numId="43">
    <w:abstractNumId w:val="46"/>
  </w:num>
  <w:num w:numId="44">
    <w:abstractNumId w:val="37"/>
  </w:num>
  <w:num w:numId="45">
    <w:abstractNumId w:val="12"/>
  </w:num>
  <w:num w:numId="46">
    <w:abstractNumId w:val="41"/>
  </w:num>
  <w:num w:numId="47">
    <w:abstractNumId w:val="45"/>
  </w:num>
  <w:num w:numId="48">
    <w:abstractNumId w:val="27"/>
  </w:num>
  <w:num w:numId="49">
    <w:abstractNumId w:val="37"/>
  </w:num>
  <w:num w:numId="5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14299"/>
    <w:rsid w:val="00014EDC"/>
    <w:rsid w:val="0002074A"/>
    <w:rsid w:val="00026192"/>
    <w:rsid w:val="00027E79"/>
    <w:rsid w:val="0003783A"/>
    <w:rsid w:val="0004063C"/>
    <w:rsid w:val="00040A65"/>
    <w:rsid w:val="0004247F"/>
    <w:rsid w:val="000434A4"/>
    <w:rsid w:val="00045F0A"/>
    <w:rsid w:val="00060B30"/>
    <w:rsid w:val="00060C59"/>
    <w:rsid w:val="000626A0"/>
    <w:rsid w:val="00062AFB"/>
    <w:rsid w:val="00063C11"/>
    <w:rsid w:val="000655DD"/>
    <w:rsid w:val="00071F79"/>
    <w:rsid w:val="0007251B"/>
    <w:rsid w:val="000733A5"/>
    <w:rsid w:val="00082C5B"/>
    <w:rsid w:val="00083038"/>
    <w:rsid w:val="00083227"/>
    <w:rsid w:val="000842AA"/>
    <w:rsid w:val="00086CBE"/>
    <w:rsid w:val="00090353"/>
    <w:rsid w:val="00090812"/>
    <w:rsid w:val="000921F0"/>
    <w:rsid w:val="000A012A"/>
    <w:rsid w:val="000A5243"/>
    <w:rsid w:val="000B7247"/>
    <w:rsid w:val="000C0635"/>
    <w:rsid w:val="000C0F97"/>
    <w:rsid w:val="000C5B33"/>
    <w:rsid w:val="000C7051"/>
    <w:rsid w:val="000D4E9A"/>
    <w:rsid w:val="000D6A47"/>
    <w:rsid w:val="000D7D44"/>
    <w:rsid w:val="000F1E4A"/>
    <w:rsid w:val="000F712C"/>
    <w:rsid w:val="00100D34"/>
    <w:rsid w:val="00103EFD"/>
    <w:rsid w:val="00107D87"/>
    <w:rsid w:val="001111A6"/>
    <w:rsid w:val="00111598"/>
    <w:rsid w:val="00115818"/>
    <w:rsid w:val="001253F4"/>
    <w:rsid w:val="001267CF"/>
    <w:rsid w:val="00126F36"/>
    <w:rsid w:val="00132986"/>
    <w:rsid w:val="00135BFC"/>
    <w:rsid w:val="00143873"/>
    <w:rsid w:val="0014759F"/>
    <w:rsid w:val="00151EF9"/>
    <w:rsid w:val="00151FFD"/>
    <w:rsid w:val="00157482"/>
    <w:rsid w:val="00166BB3"/>
    <w:rsid w:val="001707D8"/>
    <w:rsid w:val="0018053B"/>
    <w:rsid w:val="00191945"/>
    <w:rsid w:val="00195BEA"/>
    <w:rsid w:val="001A38FD"/>
    <w:rsid w:val="001A6B77"/>
    <w:rsid w:val="001B0A76"/>
    <w:rsid w:val="001B6E1A"/>
    <w:rsid w:val="001D7761"/>
    <w:rsid w:val="001E5B18"/>
    <w:rsid w:val="001F0446"/>
    <w:rsid w:val="001F57F5"/>
    <w:rsid w:val="002021D3"/>
    <w:rsid w:val="0020401C"/>
    <w:rsid w:val="0020627F"/>
    <w:rsid w:val="0020629A"/>
    <w:rsid w:val="00206E11"/>
    <w:rsid w:val="00206FE3"/>
    <w:rsid w:val="00207554"/>
    <w:rsid w:val="00211261"/>
    <w:rsid w:val="00221F4C"/>
    <w:rsid w:val="00230CAA"/>
    <w:rsid w:val="00232B73"/>
    <w:rsid w:val="00234FCF"/>
    <w:rsid w:val="00236280"/>
    <w:rsid w:val="002517BB"/>
    <w:rsid w:val="002560D7"/>
    <w:rsid w:val="00256E24"/>
    <w:rsid w:val="00262D64"/>
    <w:rsid w:val="00262E0C"/>
    <w:rsid w:val="00265491"/>
    <w:rsid w:val="00276CE2"/>
    <w:rsid w:val="002817C6"/>
    <w:rsid w:val="00282D00"/>
    <w:rsid w:val="00283DD4"/>
    <w:rsid w:val="00287AF1"/>
    <w:rsid w:val="00290626"/>
    <w:rsid w:val="0029159D"/>
    <w:rsid w:val="002A41C6"/>
    <w:rsid w:val="002B5DBE"/>
    <w:rsid w:val="002B6ED3"/>
    <w:rsid w:val="002B785B"/>
    <w:rsid w:val="002C383B"/>
    <w:rsid w:val="002C4AC9"/>
    <w:rsid w:val="002D7D04"/>
    <w:rsid w:val="002E1022"/>
    <w:rsid w:val="002E6A06"/>
    <w:rsid w:val="002E6CCF"/>
    <w:rsid w:val="002F33D0"/>
    <w:rsid w:val="00300722"/>
    <w:rsid w:val="003027DC"/>
    <w:rsid w:val="00302B47"/>
    <w:rsid w:val="0030316D"/>
    <w:rsid w:val="00306028"/>
    <w:rsid w:val="00315779"/>
    <w:rsid w:val="00321503"/>
    <w:rsid w:val="003372AB"/>
    <w:rsid w:val="00341CEB"/>
    <w:rsid w:val="0035218B"/>
    <w:rsid w:val="003664F6"/>
    <w:rsid w:val="003673E8"/>
    <w:rsid w:val="00373D2F"/>
    <w:rsid w:val="00381B43"/>
    <w:rsid w:val="00390831"/>
    <w:rsid w:val="00392CB0"/>
    <w:rsid w:val="00396A16"/>
    <w:rsid w:val="003A0E76"/>
    <w:rsid w:val="003A1C3E"/>
    <w:rsid w:val="003A7774"/>
    <w:rsid w:val="003C3F8C"/>
    <w:rsid w:val="003C6A0B"/>
    <w:rsid w:val="003C7358"/>
    <w:rsid w:val="003E61F6"/>
    <w:rsid w:val="003F1D4C"/>
    <w:rsid w:val="003F78CD"/>
    <w:rsid w:val="00401D0C"/>
    <w:rsid w:val="00404D05"/>
    <w:rsid w:val="00407537"/>
    <w:rsid w:val="004128CC"/>
    <w:rsid w:val="0041566C"/>
    <w:rsid w:val="004165BD"/>
    <w:rsid w:val="004169FF"/>
    <w:rsid w:val="0042220D"/>
    <w:rsid w:val="004328A4"/>
    <w:rsid w:val="0043377A"/>
    <w:rsid w:val="00435345"/>
    <w:rsid w:val="004379B6"/>
    <w:rsid w:val="004418B5"/>
    <w:rsid w:val="004441F1"/>
    <w:rsid w:val="0044428E"/>
    <w:rsid w:val="00446465"/>
    <w:rsid w:val="00452EEC"/>
    <w:rsid w:val="00460D54"/>
    <w:rsid w:val="00461D3E"/>
    <w:rsid w:val="004706CC"/>
    <w:rsid w:val="00471E6F"/>
    <w:rsid w:val="00492DEF"/>
    <w:rsid w:val="0049670B"/>
    <w:rsid w:val="004A6C2D"/>
    <w:rsid w:val="004B0DB5"/>
    <w:rsid w:val="004B4839"/>
    <w:rsid w:val="004B75AC"/>
    <w:rsid w:val="004C2B21"/>
    <w:rsid w:val="004C3644"/>
    <w:rsid w:val="004C7FE3"/>
    <w:rsid w:val="004D12DD"/>
    <w:rsid w:val="004E0CF5"/>
    <w:rsid w:val="004E321B"/>
    <w:rsid w:val="004E5778"/>
    <w:rsid w:val="004E7ED8"/>
    <w:rsid w:val="004F105A"/>
    <w:rsid w:val="004F6021"/>
    <w:rsid w:val="004F68F4"/>
    <w:rsid w:val="004F7BC2"/>
    <w:rsid w:val="0050376D"/>
    <w:rsid w:val="005055CA"/>
    <w:rsid w:val="00512C25"/>
    <w:rsid w:val="005165E4"/>
    <w:rsid w:val="00522E82"/>
    <w:rsid w:val="005302CB"/>
    <w:rsid w:val="0054255A"/>
    <w:rsid w:val="00545242"/>
    <w:rsid w:val="0055434C"/>
    <w:rsid w:val="005740CA"/>
    <w:rsid w:val="005764C3"/>
    <w:rsid w:val="00577243"/>
    <w:rsid w:val="00581CFA"/>
    <w:rsid w:val="0058321F"/>
    <w:rsid w:val="00584284"/>
    <w:rsid w:val="0058501C"/>
    <w:rsid w:val="00591283"/>
    <w:rsid w:val="00592963"/>
    <w:rsid w:val="005A61CE"/>
    <w:rsid w:val="005A7E5A"/>
    <w:rsid w:val="005B1285"/>
    <w:rsid w:val="005B1410"/>
    <w:rsid w:val="005B5FCC"/>
    <w:rsid w:val="005D0E4A"/>
    <w:rsid w:val="005D4A40"/>
    <w:rsid w:val="005E3F36"/>
    <w:rsid w:val="005E493B"/>
    <w:rsid w:val="005F2951"/>
    <w:rsid w:val="00603008"/>
    <w:rsid w:val="0060412C"/>
    <w:rsid w:val="00607CAB"/>
    <w:rsid w:val="00624DDC"/>
    <w:rsid w:val="006253B6"/>
    <w:rsid w:val="006257ED"/>
    <w:rsid w:val="0062686E"/>
    <w:rsid w:val="00630B30"/>
    <w:rsid w:val="00631862"/>
    <w:rsid w:val="00641996"/>
    <w:rsid w:val="00651FF6"/>
    <w:rsid w:val="00672FEF"/>
    <w:rsid w:val="0068303E"/>
    <w:rsid w:val="0068383E"/>
    <w:rsid w:val="00691B32"/>
    <w:rsid w:val="006A2B00"/>
    <w:rsid w:val="006A4D02"/>
    <w:rsid w:val="006B1BF9"/>
    <w:rsid w:val="006B31DA"/>
    <w:rsid w:val="006B53F1"/>
    <w:rsid w:val="006B6037"/>
    <w:rsid w:val="006C0E56"/>
    <w:rsid w:val="006C33EA"/>
    <w:rsid w:val="006E4F82"/>
    <w:rsid w:val="006E7E4B"/>
    <w:rsid w:val="007110C2"/>
    <w:rsid w:val="00717BDC"/>
    <w:rsid w:val="00721395"/>
    <w:rsid w:val="00723A28"/>
    <w:rsid w:val="00736B62"/>
    <w:rsid w:val="0074249C"/>
    <w:rsid w:val="007424B2"/>
    <w:rsid w:val="00742A95"/>
    <w:rsid w:val="00753FCA"/>
    <w:rsid w:val="0075766B"/>
    <w:rsid w:val="0076364F"/>
    <w:rsid w:val="00764C85"/>
    <w:rsid w:val="00782D0D"/>
    <w:rsid w:val="007859A3"/>
    <w:rsid w:val="00786DCC"/>
    <w:rsid w:val="007870AD"/>
    <w:rsid w:val="00793E3E"/>
    <w:rsid w:val="00796278"/>
    <w:rsid w:val="007A29C5"/>
    <w:rsid w:val="007B450A"/>
    <w:rsid w:val="007C5C77"/>
    <w:rsid w:val="007C7B4B"/>
    <w:rsid w:val="007D0616"/>
    <w:rsid w:val="007D0F6E"/>
    <w:rsid w:val="007D4E85"/>
    <w:rsid w:val="007E790E"/>
    <w:rsid w:val="00822695"/>
    <w:rsid w:val="00823428"/>
    <w:rsid w:val="008267B4"/>
    <w:rsid w:val="00834C54"/>
    <w:rsid w:val="00834DF6"/>
    <w:rsid w:val="008369BA"/>
    <w:rsid w:val="00840D32"/>
    <w:rsid w:val="00843933"/>
    <w:rsid w:val="00845150"/>
    <w:rsid w:val="008502D9"/>
    <w:rsid w:val="00850F4C"/>
    <w:rsid w:val="00851DA5"/>
    <w:rsid w:val="0085201E"/>
    <w:rsid w:val="0086449F"/>
    <w:rsid w:val="00864C1F"/>
    <w:rsid w:val="008676AB"/>
    <w:rsid w:val="00870286"/>
    <w:rsid w:val="008703D6"/>
    <w:rsid w:val="00870709"/>
    <w:rsid w:val="00870FA1"/>
    <w:rsid w:val="00872BAE"/>
    <w:rsid w:val="00875220"/>
    <w:rsid w:val="00887F43"/>
    <w:rsid w:val="008909C8"/>
    <w:rsid w:val="00891CD9"/>
    <w:rsid w:val="008A2FAA"/>
    <w:rsid w:val="008A4A0A"/>
    <w:rsid w:val="008B5435"/>
    <w:rsid w:val="008C784F"/>
    <w:rsid w:val="008C7CA9"/>
    <w:rsid w:val="008E0239"/>
    <w:rsid w:val="008E4680"/>
    <w:rsid w:val="008E4718"/>
    <w:rsid w:val="008F2446"/>
    <w:rsid w:val="00901040"/>
    <w:rsid w:val="00906F6A"/>
    <w:rsid w:val="0091343A"/>
    <w:rsid w:val="00923F25"/>
    <w:rsid w:val="009268AF"/>
    <w:rsid w:val="00953987"/>
    <w:rsid w:val="00963503"/>
    <w:rsid w:val="00964240"/>
    <w:rsid w:val="00965DBD"/>
    <w:rsid w:val="00971944"/>
    <w:rsid w:val="00974FCF"/>
    <w:rsid w:val="009815C6"/>
    <w:rsid w:val="00984D5D"/>
    <w:rsid w:val="00985FBD"/>
    <w:rsid w:val="009863EC"/>
    <w:rsid w:val="00991DC5"/>
    <w:rsid w:val="009928E0"/>
    <w:rsid w:val="00992E2E"/>
    <w:rsid w:val="00996201"/>
    <w:rsid w:val="009A0004"/>
    <w:rsid w:val="009A1F58"/>
    <w:rsid w:val="009A39E1"/>
    <w:rsid w:val="009A3AD8"/>
    <w:rsid w:val="009A3DA0"/>
    <w:rsid w:val="009A5985"/>
    <w:rsid w:val="009A6EE8"/>
    <w:rsid w:val="009B0F58"/>
    <w:rsid w:val="009C3380"/>
    <w:rsid w:val="009C71D8"/>
    <w:rsid w:val="009D0277"/>
    <w:rsid w:val="009D55DB"/>
    <w:rsid w:val="009E7E38"/>
    <w:rsid w:val="009F265B"/>
    <w:rsid w:val="009F3146"/>
    <w:rsid w:val="009F403B"/>
    <w:rsid w:val="009F482C"/>
    <w:rsid w:val="009F68DB"/>
    <w:rsid w:val="00A02C26"/>
    <w:rsid w:val="00A03E3F"/>
    <w:rsid w:val="00A1108E"/>
    <w:rsid w:val="00A256AA"/>
    <w:rsid w:val="00A27CD0"/>
    <w:rsid w:val="00A3216C"/>
    <w:rsid w:val="00A36134"/>
    <w:rsid w:val="00A362B6"/>
    <w:rsid w:val="00A43330"/>
    <w:rsid w:val="00A65F3E"/>
    <w:rsid w:val="00A67DFF"/>
    <w:rsid w:val="00A71475"/>
    <w:rsid w:val="00A714DC"/>
    <w:rsid w:val="00A7179C"/>
    <w:rsid w:val="00A71D77"/>
    <w:rsid w:val="00A737A3"/>
    <w:rsid w:val="00A74F08"/>
    <w:rsid w:val="00A761CB"/>
    <w:rsid w:val="00A85701"/>
    <w:rsid w:val="00AA1152"/>
    <w:rsid w:val="00AA1663"/>
    <w:rsid w:val="00AA273C"/>
    <w:rsid w:val="00AA3476"/>
    <w:rsid w:val="00AA4B3F"/>
    <w:rsid w:val="00AB010A"/>
    <w:rsid w:val="00AC17B5"/>
    <w:rsid w:val="00AD0344"/>
    <w:rsid w:val="00AD0731"/>
    <w:rsid w:val="00AD3261"/>
    <w:rsid w:val="00AD4355"/>
    <w:rsid w:val="00AD7F2E"/>
    <w:rsid w:val="00AE0A37"/>
    <w:rsid w:val="00AE2B88"/>
    <w:rsid w:val="00AE3F5F"/>
    <w:rsid w:val="00AE7F80"/>
    <w:rsid w:val="00AF4ED4"/>
    <w:rsid w:val="00B026D1"/>
    <w:rsid w:val="00B04785"/>
    <w:rsid w:val="00B13297"/>
    <w:rsid w:val="00B13DC4"/>
    <w:rsid w:val="00B17B7C"/>
    <w:rsid w:val="00B23277"/>
    <w:rsid w:val="00B245AD"/>
    <w:rsid w:val="00B3419C"/>
    <w:rsid w:val="00B3652D"/>
    <w:rsid w:val="00B4182B"/>
    <w:rsid w:val="00B4194A"/>
    <w:rsid w:val="00B43480"/>
    <w:rsid w:val="00B44966"/>
    <w:rsid w:val="00B45C7F"/>
    <w:rsid w:val="00B46413"/>
    <w:rsid w:val="00B55E54"/>
    <w:rsid w:val="00B56589"/>
    <w:rsid w:val="00B64D05"/>
    <w:rsid w:val="00B65D02"/>
    <w:rsid w:val="00B70460"/>
    <w:rsid w:val="00B706E1"/>
    <w:rsid w:val="00B81BA4"/>
    <w:rsid w:val="00B84328"/>
    <w:rsid w:val="00B91021"/>
    <w:rsid w:val="00B91F13"/>
    <w:rsid w:val="00B9441B"/>
    <w:rsid w:val="00BB4BF8"/>
    <w:rsid w:val="00BC0A56"/>
    <w:rsid w:val="00BC4C49"/>
    <w:rsid w:val="00BD56FA"/>
    <w:rsid w:val="00BD702B"/>
    <w:rsid w:val="00BD7963"/>
    <w:rsid w:val="00BD7B78"/>
    <w:rsid w:val="00BE371B"/>
    <w:rsid w:val="00BE773B"/>
    <w:rsid w:val="00BF37F4"/>
    <w:rsid w:val="00C05352"/>
    <w:rsid w:val="00C06343"/>
    <w:rsid w:val="00C06C57"/>
    <w:rsid w:val="00C14554"/>
    <w:rsid w:val="00C23B1A"/>
    <w:rsid w:val="00C32404"/>
    <w:rsid w:val="00C36291"/>
    <w:rsid w:val="00C419C1"/>
    <w:rsid w:val="00C426C4"/>
    <w:rsid w:val="00C5166D"/>
    <w:rsid w:val="00C53AEC"/>
    <w:rsid w:val="00C624AA"/>
    <w:rsid w:val="00C6714B"/>
    <w:rsid w:val="00C6730F"/>
    <w:rsid w:val="00C7152E"/>
    <w:rsid w:val="00C73360"/>
    <w:rsid w:val="00C8198E"/>
    <w:rsid w:val="00C86CB2"/>
    <w:rsid w:val="00C91C71"/>
    <w:rsid w:val="00C93C75"/>
    <w:rsid w:val="00C95126"/>
    <w:rsid w:val="00C95E59"/>
    <w:rsid w:val="00C977D5"/>
    <w:rsid w:val="00CA72A5"/>
    <w:rsid w:val="00CB1525"/>
    <w:rsid w:val="00CB1F9B"/>
    <w:rsid w:val="00CB4358"/>
    <w:rsid w:val="00CB57CE"/>
    <w:rsid w:val="00CC0605"/>
    <w:rsid w:val="00CC07BF"/>
    <w:rsid w:val="00CC3A0A"/>
    <w:rsid w:val="00CC4651"/>
    <w:rsid w:val="00CC66DE"/>
    <w:rsid w:val="00CC7C45"/>
    <w:rsid w:val="00CD5A9F"/>
    <w:rsid w:val="00CD79A3"/>
    <w:rsid w:val="00CE018E"/>
    <w:rsid w:val="00CE7A4A"/>
    <w:rsid w:val="00CF315D"/>
    <w:rsid w:val="00CF3BC9"/>
    <w:rsid w:val="00CF79E9"/>
    <w:rsid w:val="00D07E71"/>
    <w:rsid w:val="00D12F6B"/>
    <w:rsid w:val="00D1343F"/>
    <w:rsid w:val="00D1372F"/>
    <w:rsid w:val="00D13AA8"/>
    <w:rsid w:val="00D15EBE"/>
    <w:rsid w:val="00D23249"/>
    <w:rsid w:val="00D239B5"/>
    <w:rsid w:val="00D24F78"/>
    <w:rsid w:val="00D266FD"/>
    <w:rsid w:val="00D30B6F"/>
    <w:rsid w:val="00D32B72"/>
    <w:rsid w:val="00D32E6D"/>
    <w:rsid w:val="00D36414"/>
    <w:rsid w:val="00D4033C"/>
    <w:rsid w:val="00D45504"/>
    <w:rsid w:val="00D5346A"/>
    <w:rsid w:val="00D556AE"/>
    <w:rsid w:val="00D55767"/>
    <w:rsid w:val="00D602D7"/>
    <w:rsid w:val="00D61D23"/>
    <w:rsid w:val="00D651DD"/>
    <w:rsid w:val="00D71BA0"/>
    <w:rsid w:val="00D73FA0"/>
    <w:rsid w:val="00D749DF"/>
    <w:rsid w:val="00D80EE5"/>
    <w:rsid w:val="00D82755"/>
    <w:rsid w:val="00D82E67"/>
    <w:rsid w:val="00D831AC"/>
    <w:rsid w:val="00D83766"/>
    <w:rsid w:val="00D86B2F"/>
    <w:rsid w:val="00D87B09"/>
    <w:rsid w:val="00D97926"/>
    <w:rsid w:val="00DA3557"/>
    <w:rsid w:val="00DA4701"/>
    <w:rsid w:val="00DC65F2"/>
    <w:rsid w:val="00DC7876"/>
    <w:rsid w:val="00DC7DD5"/>
    <w:rsid w:val="00DE3ED7"/>
    <w:rsid w:val="00DF1291"/>
    <w:rsid w:val="00DF1CE5"/>
    <w:rsid w:val="00E1392C"/>
    <w:rsid w:val="00E218C4"/>
    <w:rsid w:val="00E22AC6"/>
    <w:rsid w:val="00E23163"/>
    <w:rsid w:val="00E23D75"/>
    <w:rsid w:val="00E24830"/>
    <w:rsid w:val="00E318A6"/>
    <w:rsid w:val="00E32693"/>
    <w:rsid w:val="00E41C62"/>
    <w:rsid w:val="00E41EE9"/>
    <w:rsid w:val="00E4346C"/>
    <w:rsid w:val="00E44AB6"/>
    <w:rsid w:val="00E461D4"/>
    <w:rsid w:val="00E50C00"/>
    <w:rsid w:val="00E51D62"/>
    <w:rsid w:val="00E569B1"/>
    <w:rsid w:val="00E56A9C"/>
    <w:rsid w:val="00E62285"/>
    <w:rsid w:val="00E62819"/>
    <w:rsid w:val="00E71E25"/>
    <w:rsid w:val="00E9045F"/>
    <w:rsid w:val="00EA0D4F"/>
    <w:rsid w:val="00EA405B"/>
    <w:rsid w:val="00EB4C26"/>
    <w:rsid w:val="00EB6134"/>
    <w:rsid w:val="00EC1A6C"/>
    <w:rsid w:val="00EC282C"/>
    <w:rsid w:val="00EC46E1"/>
    <w:rsid w:val="00ED7509"/>
    <w:rsid w:val="00EE38AF"/>
    <w:rsid w:val="00EF254B"/>
    <w:rsid w:val="00EF36E2"/>
    <w:rsid w:val="00EF4FF2"/>
    <w:rsid w:val="00F03088"/>
    <w:rsid w:val="00F04498"/>
    <w:rsid w:val="00F071DE"/>
    <w:rsid w:val="00F16B74"/>
    <w:rsid w:val="00F16C9F"/>
    <w:rsid w:val="00F229AE"/>
    <w:rsid w:val="00F34D80"/>
    <w:rsid w:val="00F36BB8"/>
    <w:rsid w:val="00F42246"/>
    <w:rsid w:val="00F43DA9"/>
    <w:rsid w:val="00F57D5F"/>
    <w:rsid w:val="00F667B0"/>
    <w:rsid w:val="00F677F9"/>
    <w:rsid w:val="00F74630"/>
    <w:rsid w:val="00F7710D"/>
    <w:rsid w:val="00F87CA1"/>
    <w:rsid w:val="00F9122A"/>
    <w:rsid w:val="00F95DE6"/>
    <w:rsid w:val="00FA0CA4"/>
    <w:rsid w:val="00FA6D2C"/>
    <w:rsid w:val="00FB4EC1"/>
    <w:rsid w:val="00FB5BF6"/>
    <w:rsid w:val="00FC7230"/>
    <w:rsid w:val="00FC779A"/>
    <w:rsid w:val="00FD14EE"/>
    <w:rsid w:val="00FD6351"/>
    <w:rsid w:val="00FE2972"/>
    <w:rsid w:val="00FF0B5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24D0A72C-EEC8-4292-AECF-5732D874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TableHeading">
    <w:name w:val="Mark for Table Heading"/>
    <w:basedOn w:val="Normal"/>
    <w:next w:val="Normal"/>
    <w:qFormat/>
    <w:rsid w:val="00FB4EC1"/>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Text">
    <w:name w:val="Table Text"/>
    <w:basedOn w:val="Normal"/>
    <w:qFormat/>
    <w:rsid w:val="00FB4EC1"/>
    <w:pPr>
      <w:spacing w:after="0" w:line="240" w:lineRule="auto"/>
    </w:pPr>
    <w:rPr>
      <w:rFonts w:ascii="Lucida Sans" w:eastAsia="Times New Roman" w:hAnsi="Lucida Sans"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64886234">
      <w:bodyDiv w:val="1"/>
      <w:marLeft w:val="0"/>
      <w:marRight w:val="0"/>
      <w:marTop w:val="0"/>
      <w:marBottom w:val="0"/>
      <w:divBdr>
        <w:top w:val="none" w:sz="0" w:space="0" w:color="auto"/>
        <w:left w:val="none" w:sz="0" w:space="0" w:color="auto"/>
        <w:bottom w:val="none" w:sz="0" w:space="0" w:color="auto"/>
        <w:right w:val="none" w:sz="0" w:space="0" w:color="auto"/>
      </w:divBdr>
    </w:div>
    <w:div w:id="805200912">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5" ma:contentTypeDescription="Create a new document." ma:contentTypeScope="" ma:versionID="8a0c13d0ac9d3b918b175a9110dfa32f">
  <xsd:schema xmlns:xsd="http://www.w3.org/2001/XMLSchema" xmlns:xs="http://www.w3.org/2001/XMLSchema" xmlns:p="http://schemas.microsoft.com/office/2006/metadata/properties" xmlns:ns1="http://schemas.microsoft.com/sharepoint/v3" xmlns:ns3="5309e048-1b4c-4f6d-b014-3d79d9de2e99" xmlns:ns4="3944bd3e-eb76-4a70-8423-067311227f76" targetNamespace="http://schemas.microsoft.com/office/2006/metadata/properties" ma:root="true" ma:fieldsID="bd5f7c6c4952a807222e9dc16848abca" ns1:_="" ns3:_="" ns4:_="">
    <xsd:import namespace="http://schemas.microsoft.com/sharepoint/v3"/>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336-967D-44E6-A4F4-4C36C2839527}">
  <ds:schemaRefs>
    <ds:schemaRef ds:uri="http://schemas.microsoft.com/sharepoint/v3"/>
    <ds:schemaRef ds:uri="http://schemas.openxmlformats.org/package/2006/metadata/core-properties"/>
    <ds:schemaRef ds:uri="http://purl.org/dc/terms/"/>
    <ds:schemaRef ds:uri="5309e048-1b4c-4f6d-b014-3d79d9de2e99"/>
    <ds:schemaRef ds:uri="http://schemas.microsoft.com/office/2006/documentManagement/types"/>
    <ds:schemaRef ds:uri="http://schemas.microsoft.com/office/infopath/2007/PartnerControls"/>
    <ds:schemaRef ds:uri="http://schemas.microsoft.com/office/2006/metadata/properties"/>
    <ds:schemaRef ds:uri="http://purl.org/dc/elements/1.1/"/>
    <ds:schemaRef ds:uri="3944bd3e-eb76-4a70-8423-067311227f76"/>
    <ds:schemaRef ds:uri="http://www.w3.org/XML/1998/namespace"/>
    <ds:schemaRef ds:uri="http://purl.org/dc/dcmitype/"/>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656DAD7-973F-4509-ABFC-FDF4CA973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8883C-F6D2-4645-88DF-3A74E04B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3553</Words>
  <Characters>20258</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Walzer</dc:creator>
  <cp:lastModifiedBy>Wilson, Camille (ACF) (CTR)</cp:lastModifiedBy>
  <cp:revision>2</cp:revision>
  <dcterms:created xsi:type="dcterms:W3CDTF">2020-09-24T17:00:00Z</dcterms:created>
  <dcterms:modified xsi:type="dcterms:W3CDTF">2020-09-24T17:00:00Z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