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86D" w:rsidP="003D7199" w:rsidRDefault="0079586D" w14:paraId="12071331" w14:textId="77777777">
      <w:pPr>
        <w:pStyle w:val="ReportCover-Title"/>
        <w:jc w:val="center"/>
        <w:rPr>
          <w:rFonts w:ascii="Arial" w:hAnsi="Arial" w:eastAsia="Arial Unicode MS" w:cs="Arial"/>
          <w:noProof/>
          <w:color w:val="auto"/>
        </w:rPr>
      </w:pPr>
    </w:p>
    <w:p w:rsidR="0079586D" w:rsidP="003D7199" w:rsidRDefault="0079586D" w14:paraId="7AAD0768" w14:textId="77777777">
      <w:pPr>
        <w:pStyle w:val="ReportCover-Title"/>
        <w:jc w:val="center"/>
        <w:rPr>
          <w:rFonts w:ascii="Arial" w:hAnsi="Arial" w:eastAsia="Arial Unicode MS" w:cs="Arial"/>
          <w:noProof/>
          <w:color w:val="auto"/>
        </w:rPr>
      </w:pPr>
    </w:p>
    <w:p w:rsidR="0079586D" w:rsidP="003D7199" w:rsidRDefault="0079586D" w14:paraId="7BC3B4C6" w14:textId="77777777">
      <w:pPr>
        <w:pStyle w:val="ReportCover-Title"/>
        <w:jc w:val="center"/>
        <w:rPr>
          <w:rFonts w:ascii="Arial" w:hAnsi="Arial" w:eastAsia="Arial Unicode MS" w:cs="Arial"/>
          <w:noProof/>
          <w:color w:val="auto"/>
        </w:rPr>
      </w:pPr>
    </w:p>
    <w:p w:rsidR="0079586D" w:rsidP="003D7199" w:rsidRDefault="0079586D" w14:paraId="42286B60" w14:textId="77777777">
      <w:pPr>
        <w:pStyle w:val="ReportCover-Title"/>
        <w:jc w:val="center"/>
        <w:rPr>
          <w:rFonts w:ascii="Arial" w:hAnsi="Arial" w:eastAsia="Arial Unicode MS" w:cs="Arial"/>
          <w:noProof/>
          <w:color w:val="auto"/>
        </w:rPr>
      </w:pPr>
    </w:p>
    <w:p w:rsidR="001007BD" w:rsidP="003D7199" w:rsidRDefault="001007BD" w14:paraId="3D933123" w14:textId="1DFB062B">
      <w:pPr>
        <w:pStyle w:val="ReportCover-Title"/>
        <w:jc w:val="center"/>
        <w:rPr>
          <w:rFonts w:ascii="Arial" w:hAnsi="Arial" w:cs="Arial"/>
          <w:color w:val="auto"/>
        </w:rPr>
      </w:pPr>
      <w:r>
        <w:rPr>
          <w:rFonts w:ascii="Arial" w:hAnsi="Arial" w:eastAsia="Arial Unicode MS" w:cs="Arial"/>
          <w:noProof/>
          <w:color w:val="auto"/>
        </w:rPr>
        <w:t>TANF State Plan Information Collection</w:t>
      </w:r>
    </w:p>
    <w:p w:rsidR="001007BD" w:rsidP="003D7199" w:rsidRDefault="001007BD" w14:paraId="52D0DD16" w14:textId="77777777">
      <w:pPr>
        <w:pStyle w:val="ReportCover-Title"/>
        <w:rPr>
          <w:rFonts w:ascii="Arial" w:hAnsi="Arial" w:cs="Arial"/>
          <w:color w:val="auto"/>
        </w:rPr>
      </w:pPr>
    </w:p>
    <w:p w:rsidR="001007BD" w:rsidP="003D7199" w:rsidRDefault="001007BD" w14:paraId="31BE78DF" w14:textId="77777777">
      <w:pPr>
        <w:pStyle w:val="ReportCover-Title"/>
        <w:rPr>
          <w:rFonts w:ascii="Arial" w:hAnsi="Arial" w:cs="Arial"/>
          <w:color w:val="auto"/>
        </w:rPr>
      </w:pPr>
    </w:p>
    <w:p w:rsidR="001007BD" w:rsidP="003D7199" w:rsidRDefault="001007BD" w14:paraId="732FE1B8" w14:textId="77777777">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1007BD" w:rsidP="003D7199" w:rsidRDefault="001007BD" w14:paraId="0EF34077" w14:textId="77777777">
      <w:pPr>
        <w:pStyle w:val="ReportCover-Title"/>
        <w:jc w:val="center"/>
        <w:rPr>
          <w:rFonts w:ascii="Arial" w:hAnsi="Arial" w:cs="Arial"/>
          <w:color w:val="auto"/>
          <w:sz w:val="32"/>
          <w:szCs w:val="32"/>
        </w:rPr>
      </w:pPr>
      <w:r>
        <w:rPr>
          <w:rFonts w:ascii="Arial" w:hAnsi="Arial" w:cs="Arial"/>
          <w:color w:val="auto"/>
          <w:sz w:val="32"/>
          <w:szCs w:val="32"/>
        </w:rPr>
        <w:t>0970 - 0145</w:t>
      </w:r>
    </w:p>
    <w:p w:rsidR="001007BD" w:rsidP="003D7199" w:rsidRDefault="001007BD" w14:paraId="24FCC902" w14:textId="77777777">
      <w:pPr>
        <w:rPr>
          <w:rFonts w:ascii="Arial" w:hAnsi="Arial" w:cs="Arial"/>
          <w:szCs w:val="22"/>
        </w:rPr>
      </w:pPr>
    </w:p>
    <w:p w:rsidR="001007BD" w:rsidP="00FE4DF0" w:rsidRDefault="001007BD" w14:paraId="10B818E9" w14:textId="77777777">
      <w:pPr>
        <w:pStyle w:val="ReportCover-Date"/>
        <w:spacing w:after="0"/>
        <w:jc w:val="center"/>
        <w:rPr>
          <w:rFonts w:ascii="Arial" w:hAnsi="Arial" w:cs="Arial"/>
          <w:color w:val="auto"/>
        </w:rPr>
      </w:pPr>
    </w:p>
    <w:p w:rsidR="001007BD" w:rsidP="00FE4DF0" w:rsidRDefault="001007BD" w14:paraId="01A06B8E" w14:textId="77777777">
      <w:pPr>
        <w:pStyle w:val="ReportCover-Date"/>
        <w:spacing w:after="0" w:line="240" w:lineRule="auto"/>
        <w:jc w:val="center"/>
        <w:rPr>
          <w:rFonts w:ascii="Arial" w:hAnsi="Arial" w:cs="Arial"/>
          <w:color w:val="auto"/>
          <w:sz w:val="48"/>
          <w:szCs w:val="48"/>
        </w:rPr>
      </w:pPr>
      <w:r>
        <w:rPr>
          <w:rFonts w:ascii="Arial" w:hAnsi="Arial" w:cs="Arial"/>
          <w:color w:val="auto"/>
          <w:sz w:val="48"/>
          <w:szCs w:val="48"/>
        </w:rPr>
        <w:t xml:space="preserve">Supporting Statement </w:t>
      </w:r>
      <w:proofErr w:type="gramStart"/>
      <w:r>
        <w:rPr>
          <w:rFonts w:ascii="Arial" w:hAnsi="Arial" w:cs="Arial"/>
          <w:color w:val="auto"/>
          <w:sz w:val="48"/>
          <w:szCs w:val="48"/>
        </w:rPr>
        <w:t>Part</w:t>
      </w:r>
      <w:proofErr w:type="gramEnd"/>
      <w:r>
        <w:rPr>
          <w:rFonts w:ascii="Arial" w:hAnsi="Arial" w:cs="Arial"/>
          <w:color w:val="auto"/>
          <w:sz w:val="48"/>
          <w:szCs w:val="48"/>
        </w:rPr>
        <w:t xml:space="preserve"> A - Justification</w:t>
      </w:r>
    </w:p>
    <w:p w:rsidR="001007BD" w:rsidP="00FE4DF0" w:rsidRDefault="002322E0" w14:paraId="024ACFF3" w14:textId="7CDA5DDA">
      <w:pPr>
        <w:pStyle w:val="ReportCover-Date"/>
        <w:spacing w:after="0"/>
        <w:jc w:val="center"/>
        <w:rPr>
          <w:rFonts w:ascii="Arial" w:hAnsi="Arial" w:cs="Arial"/>
          <w:color w:val="auto"/>
        </w:rPr>
      </w:pPr>
      <w:r>
        <w:rPr>
          <w:rFonts w:ascii="Arial" w:hAnsi="Arial" w:cs="Arial"/>
          <w:color w:val="auto"/>
        </w:rPr>
        <w:t>July</w:t>
      </w:r>
      <w:r w:rsidR="003D7199">
        <w:rPr>
          <w:rFonts w:ascii="Arial" w:hAnsi="Arial" w:cs="Arial"/>
          <w:color w:val="auto"/>
        </w:rPr>
        <w:t xml:space="preserve"> 2022</w:t>
      </w:r>
    </w:p>
    <w:p w:rsidR="001007BD" w:rsidP="00FE4DF0" w:rsidRDefault="001007BD" w14:paraId="0B185AF3" w14:textId="77777777">
      <w:pPr>
        <w:pStyle w:val="ReportCover-Date"/>
        <w:spacing w:after="0"/>
        <w:jc w:val="center"/>
        <w:rPr>
          <w:rFonts w:ascii="Arial" w:hAnsi="Arial" w:cs="Arial"/>
          <w:color w:val="auto"/>
        </w:rPr>
      </w:pPr>
    </w:p>
    <w:p w:rsidR="001007BD" w:rsidP="003D7199" w:rsidRDefault="001007BD" w14:paraId="4065C7B2" w14:textId="77777777">
      <w:pPr>
        <w:jc w:val="center"/>
        <w:rPr>
          <w:rFonts w:ascii="Arial" w:hAnsi="Arial" w:cs="Arial"/>
        </w:rPr>
      </w:pPr>
    </w:p>
    <w:p w:rsidR="001007BD" w:rsidP="003D7199" w:rsidRDefault="001007BD" w14:paraId="1BAAD7B2" w14:textId="77777777">
      <w:pPr>
        <w:jc w:val="center"/>
        <w:rPr>
          <w:rFonts w:ascii="Arial" w:hAnsi="Arial" w:cs="Arial"/>
        </w:rPr>
      </w:pPr>
    </w:p>
    <w:p w:rsidR="001007BD" w:rsidP="0079586D" w:rsidRDefault="001007BD" w14:paraId="042194D8" w14:textId="77777777">
      <w:pPr>
        <w:jc w:val="center"/>
        <w:rPr>
          <w:rFonts w:ascii="Arial" w:hAnsi="Arial" w:cs="Arial"/>
        </w:rPr>
      </w:pPr>
    </w:p>
    <w:p w:rsidR="001007BD" w:rsidRDefault="001007BD" w14:paraId="1757D965" w14:textId="77777777">
      <w:pPr>
        <w:jc w:val="center"/>
        <w:rPr>
          <w:rFonts w:ascii="Arial" w:hAnsi="Arial" w:cs="Arial"/>
        </w:rPr>
      </w:pPr>
    </w:p>
    <w:p w:rsidR="001007BD" w:rsidRDefault="001007BD" w14:paraId="203BB0A4" w14:textId="77777777">
      <w:pPr>
        <w:jc w:val="center"/>
        <w:rPr>
          <w:rFonts w:ascii="Arial" w:hAnsi="Arial" w:cs="Arial"/>
        </w:rPr>
      </w:pPr>
    </w:p>
    <w:p w:rsidR="001007BD" w:rsidRDefault="001007BD" w14:paraId="2CF438DB" w14:textId="77777777">
      <w:pPr>
        <w:jc w:val="center"/>
        <w:rPr>
          <w:rFonts w:ascii="Arial" w:hAnsi="Arial" w:cs="Arial"/>
        </w:rPr>
      </w:pPr>
    </w:p>
    <w:p w:rsidR="001007BD" w:rsidRDefault="001007BD" w14:paraId="3035E2A8" w14:textId="77777777">
      <w:pPr>
        <w:jc w:val="center"/>
        <w:rPr>
          <w:rFonts w:ascii="Arial" w:hAnsi="Arial" w:cs="Arial"/>
        </w:rPr>
      </w:pPr>
    </w:p>
    <w:p w:rsidR="001007BD" w:rsidRDefault="001007BD" w14:paraId="1E450A3F" w14:textId="77777777">
      <w:pPr>
        <w:jc w:val="center"/>
        <w:rPr>
          <w:rFonts w:ascii="Arial" w:hAnsi="Arial" w:cs="Arial"/>
        </w:rPr>
      </w:pPr>
    </w:p>
    <w:p w:rsidR="001007BD" w:rsidRDefault="001007BD" w14:paraId="59A6C3BD" w14:textId="77777777">
      <w:pPr>
        <w:jc w:val="center"/>
        <w:rPr>
          <w:rFonts w:ascii="Arial" w:hAnsi="Arial" w:cs="Arial"/>
        </w:rPr>
      </w:pPr>
    </w:p>
    <w:p w:rsidR="001007BD" w:rsidRDefault="001007BD" w14:paraId="6DB013FB" w14:textId="77777777">
      <w:pPr>
        <w:jc w:val="center"/>
        <w:rPr>
          <w:rFonts w:ascii="Arial" w:hAnsi="Arial" w:cs="Arial"/>
        </w:rPr>
      </w:pPr>
    </w:p>
    <w:p w:rsidR="001007BD" w:rsidRDefault="001007BD" w14:paraId="16FB7AB9" w14:textId="77777777">
      <w:pPr>
        <w:jc w:val="center"/>
        <w:rPr>
          <w:rFonts w:ascii="Arial" w:hAnsi="Arial" w:cs="Arial"/>
        </w:rPr>
      </w:pPr>
    </w:p>
    <w:p w:rsidR="001007BD" w:rsidRDefault="001007BD" w14:paraId="489FCC78" w14:textId="77777777">
      <w:pPr>
        <w:jc w:val="center"/>
        <w:rPr>
          <w:rFonts w:ascii="Arial" w:hAnsi="Arial" w:cs="Arial"/>
        </w:rPr>
      </w:pPr>
    </w:p>
    <w:p w:rsidR="001007BD" w:rsidRDefault="001007BD" w14:paraId="3573F973" w14:textId="77777777">
      <w:pPr>
        <w:jc w:val="center"/>
        <w:rPr>
          <w:rFonts w:ascii="Arial" w:hAnsi="Arial" w:cs="Arial"/>
        </w:rPr>
      </w:pPr>
    </w:p>
    <w:p w:rsidR="001007BD" w:rsidRDefault="001007BD" w14:paraId="3D359329" w14:textId="77777777">
      <w:pPr>
        <w:jc w:val="center"/>
        <w:rPr>
          <w:rFonts w:ascii="Arial" w:hAnsi="Arial" w:cs="Arial"/>
        </w:rPr>
      </w:pPr>
    </w:p>
    <w:p w:rsidR="001007BD" w:rsidRDefault="001007BD" w14:paraId="4B5B5254" w14:textId="77777777">
      <w:pPr>
        <w:jc w:val="center"/>
        <w:rPr>
          <w:rFonts w:ascii="Arial" w:hAnsi="Arial" w:cs="Arial"/>
        </w:rPr>
      </w:pPr>
      <w:r>
        <w:rPr>
          <w:rFonts w:ascii="Arial" w:hAnsi="Arial" w:cs="Arial"/>
        </w:rPr>
        <w:t>Submitted By:</w:t>
      </w:r>
    </w:p>
    <w:p w:rsidR="001007BD" w:rsidRDefault="001007BD" w14:paraId="09723078" w14:textId="77777777">
      <w:pPr>
        <w:jc w:val="center"/>
        <w:rPr>
          <w:rFonts w:ascii="Arial" w:hAnsi="Arial" w:cs="Arial"/>
        </w:rPr>
      </w:pPr>
      <w:r>
        <w:rPr>
          <w:rFonts w:ascii="Arial" w:hAnsi="Arial" w:cs="Arial"/>
        </w:rPr>
        <w:t>Office of Family Assistance</w:t>
      </w:r>
    </w:p>
    <w:p w:rsidR="001007BD" w:rsidRDefault="001007BD" w14:paraId="7CBA17CC" w14:textId="77777777">
      <w:pPr>
        <w:jc w:val="center"/>
        <w:rPr>
          <w:rFonts w:ascii="Arial" w:hAnsi="Arial" w:cs="Arial"/>
        </w:rPr>
      </w:pPr>
      <w:r>
        <w:rPr>
          <w:rFonts w:ascii="Arial" w:hAnsi="Arial" w:cs="Arial"/>
        </w:rPr>
        <w:t xml:space="preserve">Administration for Children and Families </w:t>
      </w:r>
    </w:p>
    <w:p w:rsidR="001007BD" w:rsidRDefault="001007BD" w14:paraId="0A2FF3C2" w14:textId="77777777">
      <w:pPr>
        <w:jc w:val="center"/>
        <w:rPr>
          <w:rFonts w:ascii="Arial" w:hAnsi="Arial" w:cs="Arial"/>
        </w:rPr>
      </w:pPr>
      <w:r>
        <w:rPr>
          <w:rFonts w:ascii="Arial" w:hAnsi="Arial" w:cs="Arial"/>
        </w:rPr>
        <w:t>U.S. Department of Health and Human Services</w:t>
      </w:r>
    </w:p>
    <w:p w:rsidR="001007BD" w:rsidRDefault="001007BD" w14:paraId="6CA71CAF" w14:textId="77777777">
      <w:pPr>
        <w:jc w:val="center"/>
        <w:rPr>
          <w:rFonts w:ascii="Arial" w:hAnsi="Arial" w:cs="Arial"/>
        </w:rPr>
      </w:pPr>
    </w:p>
    <w:p w:rsidR="001007BD" w:rsidRDefault="001007BD" w14:paraId="62046327" w14:textId="77777777">
      <w:pPr>
        <w:widowControl/>
        <w:rPr>
          <w:rFonts w:ascii="Arial" w:hAnsi="Arial" w:cs="Arial"/>
        </w:rPr>
      </w:pPr>
      <w:r>
        <w:rPr>
          <w:rFonts w:ascii="Arial" w:hAnsi="Arial" w:cs="Arial"/>
        </w:rPr>
        <w:br w:type="page"/>
      </w:r>
    </w:p>
    <w:p w:rsidRPr="002322E0" w:rsidR="001007BD" w:rsidP="002322E0" w:rsidRDefault="001007BD" w14:paraId="24732C83" w14:textId="77777777">
      <w:pPr>
        <w:widowControl/>
        <w:numPr>
          <w:ilvl w:val="0"/>
          <w:numId w:val="1"/>
        </w:numPr>
        <w:spacing w:after="120"/>
        <w:rPr>
          <w:rFonts w:ascii="Times New Roman" w:hAnsi="Times New Roman"/>
          <w:b/>
          <w:bCs/>
          <w:snapToGrid/>
          <w:sz w:val="24"/>
          <w:szCs w:val="24"/>
        </w:rPr>
      </w:pPr>
      <w:r w:rsidRPr="002322E0">
        <w:rPr>
          <w:rFonts w:ascii="Times New Roman" w:hAnsi="Times New Roman"/>
          <w:b/>
          <w:bCs/>
          <w:snapToGrid/>
          <w:sz w:val="24"/>
          <w:szCs w:val="24"/>
        </w:rPr>
        <w:lastRenderedPageBreak/>
        <w:t xml:space="preserve">Circumstances Making the Collection of Information Necessary </w:t>
      </w:r>
    </w:p>
    <w:p w:rsidR="001007BD" w:rsidP="003D7199" w:rsidRDefault="001007BD" w14:paraId="717F6345" w14:textId="602E9BFB">
      <w:pPr>
        <w:widowControl/>
        <w:ind w:left="720"/>
        <w:rPr>
          <w:rFonts w:ascii="Times New Roman" w:hAnsi="Times New Roman"/>
          <w:snapToGrid/>
          <w:sz w:val="24"/>
          <w:szCs w:val="24"/>
        </w:rPr>
      </w:pPr>
      <w:r w:rsidRPr="008810C2">
        <w:rPr>
          <w:rFonts w:ascii="Times New Roman" w:hAnsi="Times New Roman"/>
          <w:snapToGrid/>
          <w:sz w:val="24"/>
          <w:szCs w:val="24"/>
        </w:rPr>
        <w:t xml:space="preserve">The </w:t>
      </w:r>
      <w:r w:rsidR="00CE53BF">
        <w:rPr>
          <w:rFonts w:ascii="Times New Roman" w:hAnsi="Times New Roman"/>
          <w:snapToGrid/>
          <w:sz w:val="24"/>
          <w:szCs w:val="24"/>
        </w:rPr>
        <w:t>Temporary Assistance for Needy Families (</w:t>
      </w:r>
      <w:r>
        <w:rPr>
          <w:rFonts w:ascii="Times New Roman" w:hAnsi="Times New Roman"/>
          <w:snapToGrid/>
          <w:sz w:val="24"/>
          <w:szCs w:val="24"/>
        </w:rPr>
        <w:t>TANF</w:t>
      </w:r>
      <w:r w:rsidR="00CE53BF">
        <w:rPr>
          <w:rFonts w:ascii="Times New Roman" w:hAnsi="Times New Roman"/>
          <w:snapToGrid/>
          <w:sz w:val="24"/>
          <w:szCs w:val="24"/>
        </w:rPr>
        <w:t>)</w:t>
      </w:r>
      <w:r>
        <w:rPr>
          <w:rFonts w:ascii="Times New Roman" w:hAnsi="Times New Roman"/>
          <w:snapToGrid/>
          <w:sz w:val="24"/>
          <w:szCs w:val="24"/>
        </w:rPr>
        <w:t xml:space="preserve"> s</w:t>
      </w:r>
      <w:r w:rsidRPr="008810C2">
        <w:rPr>
          <w:rFonts w:ascii="Times New Roman" w:hAnsi="Times New Roman"/>
          <w:snapToGrid/>
          <w:sz w:val="24"/>
          <w:szCs w:val="24"/>
        </w:rPr>
        <w:t xml:space="preserve">tate </w:t>
      </w:r>
      <w:r>
        <w:rPr>
          <w:rFonts w:ascii="Times New Roman" w:hAnsi="Times New Roman"/>
          <w:snapToGrid/>
          <w:sz w:val="24"/>
          <w:szCs w:val="24"/>
        </w:rPr>
        <w:t>p</w:t>
      </w:r>
      <w:r w:rsidRPr="008810C2">
        <w:rPr>
          <w:rFonts w:ascii="Times New Roman" w:hAnsi="Times New Roman"/>
          <w:snapToGrid/>
          <w:sz w:val="24"/>
          <w:szCs w:val="24"/>
        </w:rPr>
        <w:t xml:space="preserve">lan is a mandatory </w:t>
      </w:r>
      <w:r>
        <w:rPr>
          <w:rFonts w:ascii="Times New Roman" w:hAnsi="Times New Roman"/>
          <w:snapToGrid/>
          <w:sz w:val="24"/>
          <w:szCs w:val="24"/>
        </w:rPr>
        <w:t xml:space="preserve">submission </w:t>
      </w:r>
      <w:r w:rsidRPr="008810C2">
        <w:rPr>
          <w:rFonts w:ascii="Times New Roman" w:hAnsi="Times New Roman"/>
          <w:snapToGrid/>
          <w:sz w:val="24"/>
          <w:szCs w:val="24"/>
        </w:rPr>
        <w:t>to the Secretary of the Department of Health and Human Services by the state.</w:t>
      </w:r>
      <w:r>
        <w:rPr>
          <w:rFonts w:ascii="Times New Roman" w:hAnsi="Times New Roman"/>
          <w:snapToGrid/>
          <w:sz w:val="24"/>
          <w:szCs w:val="24"/>
        </w:rPr>
        <w:t xml:space="preserve">  </w:t>
      </w:r>
      <w:r w:rsidR="00CE53BF">
        <w:rPr>
          <w:rFonts w:ascii="Times New Roman" w:hAnsi="Times New Roman"/>
          <w:snapToGrid/>
          <w:sz w:val="24"/>
          <w:szCs w:val="24"/>
        </w:rPr>
        <w:t xml:space="preserve">The Secretary has delegated the collection </w:t>
      </w:r>
      <w:r w:rsidR="00366826">
        <w:rPr>
          <w:rFonts w:ascii="Times New Roman" w:hAnsi="Times New Roman"/>
          <w:snapToGrid/>
          <w:sz w:val="24"/>
          <w:szCs w:val="24"/>
        </w:rPr>
        <w:t xml:space="preserve">and review </w:t>
      </w:r>
      <w:r w:rsidR="00CE53BF">
        <w:rPr>
          <w:rFonts w:ascii="Times New Roman" w:hAnsi="Times New Roman"/>
          <w:snapToGrid/>
          <w:sz w:val="24"/>
          <w:szCs w:val="24"/>
        </w:rPr>
        <w:t>of those submissions to the Office of Family Assistance (OFA) in the Administration for Children and Families. The TANF state plan</w:t>
      </w:r>
      <w:r w:rsidRPr="008810C2">
        <w:rPr>
          <w:rFonts w:ascii="Times New Roman" w:hAnsi="Times New Roman"/>
          <w:snapToGrid/>
          <w:sz w:val="24"/>
          <w:szCs w:val="24"/>
        </w:rPr>
        <w:t xml:space="preserve"> consists of an outline specifying how the state </w:t>
      </w:r>
      <w:r>
        <w:rPr>
          <w:rFonts w:ascii="Times New Roman" w:hAnsi="Times New Roman"/>
          <w:snapToGrid/>
          <w:sz w:val="24"/>
          <w:szCs w:val="24"/>
        </w:rPr>
        <w:t>will administer and operate its</w:t>
      </w:r>
      <w:r w:rsidRPr="008810C2">
        <w:rPr>
          <w:rFonts w:ascii="Times New Roman" w:hAnsi="Times New Roman"/>
          <w:snapToGrid/>
          <w:sz w:val="24"/>
          <w:szCs w:val="24"/>
        </w:rPr>
        <w:t xml:space="preserve"> TANF program and certain required certifications by the state’s Chief Executive Officer.</w:t>
      </w:r>
      <w:r>
        <w:rPr>
          <w:rFonts w:ascii="Times New Roman" w:hAnsi="Times New Roman"/>
          <w:snapToGrid/>
          <w:sz w:val="24"/>
          <w:szCs w:val="24"/>
        </w:rPr>
        <w:t xml:space="preserve"> </w:t>
      </w:r>
      <w:r w:rsidRPr="008810C2">
        <w:rPr>
          <w:rFonts w:ascii="Times New Roman" w:hAnsi="Times New Roman"/>
          <w:snapToGrid/>
          <w:sz w:val="24"/>
          <w:szCs w:val="24"/>
        </w:rPr>
        <w:t xml:space="preserve"> </w:t>
      </w:r>
    </w:p>
    <w:p w:rsidRPr="008810C2" w:rsidR="003D7199" w:rsidP="002322E0" w:rsidRDefault="003D7199" w14:paraId="5745372E" w14:textId="77777777">
      <w:pPr>
        <w:widowControl/>
        <w:ind w:left="720"/>
        <w:rPr>
          <w:rFonts w:ascii="Times New Roman" w:hAnsi="Times New Roman"/>
          <w:snapToGrid/>
          <w:sz w:val="24"/>
          <w:szCs w:val="24"/>
        </w:rPr>
      </w:pPr>
    </w:p>
    <w:p w:rsidR="001007BD" w:rsidP="003D7199" w:rsidRDefault="001007BD" w14:paraId="3F104B6C" w14:textId="73C3193C">
      <w:pPr>
        <w:widowControl/>
        <w:ind w:left="720"/>
        <w:rPr>
          <w:rFonts w:ascii="Times New Roman" w:hAnsi="Times New Roman"/>
          <w:snapToGrid/>
          <w:sz w:val="24"/>
          <w:szCs w:val="24"/>
        </w:rPr>
      </w:pPr>
      <w:r w:rsidRPr="008810C2">
        <w:rPr>
          <w:rFonts w:ascii="Times New Roman" w:hAnsi="Times New Roman"/>
          <w:snapToGrid/>
          <w:sz w:val="24"/>
          <w:szCs w:val="24"/>
        </w:rPr>
        <w:t>Authority to require states to submit a TANF plan is contained in section 402 of the Social Security Act (</w:t>
      </w:r>
      <w:r w:rsidRPr="008810C2">
        <w:rPr>
          <w:rFonts w:ascii="Times New Roman" w:hAnsi="Times New Roman"/>
          <w:sz w:val="24"/>
          <w:szCs w:val="24"/>
        </w:rPr>
        <w:t>42 USC 602)</w:t>
      </w:r>
      <w:r w:rsidRPr="008810C2">
        <w:rPr>
          <w:rFonts w:ascii="Times New Roman" w:hAnsi="Times New Roman"/>
          <w:snapToGrid/>
          <w:sz w:val="24"/>
          <w:szCs w:val="24"/>
        </w:rPr>
        <w:t>, as amended by Pub. L. 104-193, the Personal Responsibility and Work Opportunity Reconciliation Act of 1996.</w:t>
      </w:r>
      <w:r>
        <w:rPr>
          <w:rFonts w:ascii="Times New Roman" w:hAnsi="Times New Roman"/>
          <w:snapToGrid/>
          <w:sz w:val="24"/>
          <w:szCs w:val="24"/>
        </w:rPr>
        <w:t xml:space="preserve"> </w:t>
      </w:r>
      <w:r w:rsidRPr="008810C2">
        <w:rPr>
          <w:rFonts w:ascii="Times New Roman" w:hAnsi="Times New Roman"/>
          <w:snapToGrid/>
          <w:sz w:val="24"/>
          <w:szCs w:val="24"/>
        </w:rPr>
        <w:t xml:space="preserve"> States are required to submit new plans periodically, within a 27-month period.</w:t>
      </w:r>
    </w:p>
    <w:p w:rsidR="003D7199" w:rsidP="000A5102" w:rsidRDefault="003D7199" w14:paraId="1EAC0DE8" w14:textId="77777777">
      <w:pPr>
        <w:widowControl/>
        <w:ind w:left="720"/>
        <w:rPr>
          <w:rFonts w:ascii="Times New Roman" w:hAnsi="Times New Roman"/>
          <w:snapToGrid/>
          <w:sz w:val="24"/>
          <w:szCs w:val="24"/>
        </w:rPr>
      </w:pPr>
    </w:p>
    <w:p w:rsidR="001007BD" w:rsidP="003D7199" w:rsidRDefault="001007BD" w14:paraId="6F2A43BA" w14:textId="656D2723">
      <w:pPr>
        <w:widowControl/>
        <w:ind w:left="720"/>
        <w:rPr>
          <w:rFonts w:ascii="Times New Roman" w:hAnsi="Times New Roman"/>
          <w:snapToGrid/>
          <w:sz w:val="24"/>
          <w:szCs w:val="24"/>
        </w:rPr>
      </w:pPr>
      <w:r>
        <w:rPr>
          <w:rFonts w:ascii="Times New Roman" w:hAnsi="Times New Roman"/>
          <w:snapToGrid/>
          <w:sz w:val="24"/>
          <w:szCs w:val="24"/>
        </w:rPr>
        <w:t>This is a</w:t>
      </w:r>
      <w:r w:rsidR="00206087">
        <w:rPr>
          <w:rFonts w:ascii="Times New Roman" w:hAnsi="Times New Roman"/>
          <w:snapToGrid/>
          <w:sz w:val="24"/>
          <w:szCs w:val="24"/>
        </w:rPr>
        <w:t xml:space="preserve"> </w:t>
      </w:r>
      <w:r w:rsidR="008E28CE">
        <w:rPr>
          <w:rFonts w:ascii="Times New Roman" w:hAnsi="Times New Roman"/>
          <w:snapToGrid/>
          <w:sz w:val="24"/>
          <w:szCs w:val="24"/>
        </w:rPr>
        <w:t>reinstatement</w:t>
      </w:r>
      <w:r w:rsidR="00206087">
        <w:rPr>
          <w:rFonts w:ascii="Times New Roman" w:hAnsi="Times New Roman"/>
          <w:snapToGrid/>
          <w:sz w:val="24"/>
          <w:szCs w:val="24"/>
        </w:rPr>
        <w:t xml:space="preserve"> without changes t</w:t>
      </w:r>
      <w:r>
        <w:rPr>
          <w:rFonts w:ascii="Times New Roman" w:hAnsi="Times New Roman"/>
          <w:snapToGrid/>
          <w:sz w:val="24"/>
          <w:szCs w:val="24"/>
        </w:rPr>
        <w:t>o the prior TANF state plan information collection.</w:t>
      </w:r>
    </w:p>
    <w:p w:rsidR="003D7199" w:rsidP="000A5102" w:rsidRDefault="003D7199" w14:paraId="278350E5" w14:textId="6DEC4C36">
      <w:pPr>
        <w:widowControl/>
        <w:ind w:left="720"/>
        <w:rPr>
          <w:rFonts w:ascii="Times New Roman" w:hAnsi="Times New Roman"/>
          <w:sz w:val="24"/>
          <w:szCs w:val="24"/>
        </w:rPr>
      </w:pPr>
    </w:p>
    <w:p w:rsidRPr="001503EF" w:rsidR="00BA307A" w:rsidP="000A5102" w:rsidRDefault="00BA307A" w14:paraId="1D34A24A" w14:textId="77777777">
      <w:pPr>
        <w:widowControl/>
        <w:ind w:left="720"/>
        <w:rPr>
          <w:rFonts w:ascii="Times New Roman" w:hAnsi="Times New Roman"/>
          <w:sz w:val="24"/>
          <w:szCs w:val="24"/>
        </w:rPr>
      </w:pPr>
    </w:p>
    <w:p w:rsidRPr="000A5102" w:rsidR="001007BD" w:rsidP="000A5102" w:rsidRDefault="001007BD" w14:paraId="43751A13" w14:textId="77777777">
      <w:pPr>
        <w:widowControl/>
        <w:numPr>
          <w:ilvl w:val="0"/>
          <w:numId w:val="1"/>
        </w:numPr>
        <w:spacing w:after="120"/>
        <w:rPr>
          <w:rFonts w:ascii="Times New Roman" w:hAnsi="Times New Roman"/>
          <w:b/>
          <w:bCs/>
          <w:snapToGrid/>
          <w:sz w:val="24"/>
          <w:szCs w:val="24"/>
        </w:rPr>
      </w:pPr>
      <w:r w:rsidRPr="000A5102">
        <w:rPr>
          <w:rFonts w:ascii="Times New Roman" w:hAnsi="Times New Roman"/>
          <w:b/>
          <w:bCs/>
          <w:snapToGrid/>
          <w:sz w:val="24"/>
          <w:szCs w:val="24"/>
        </w:rPr>
        <w:t xml:space="preserve">Purpose and Use of the Information Collection </w:t>
      </w:r>
    </w:p>
    <w:p w:rsidR="001007BD" w:rsidP="003D7199" w:rsidRDefault="00B153AD" w14:paraId="7E762D21" w14:textId="0E248E0F">
      <w:pPr>
        <w:widowControl/>
        <w:ind w:left="720"/>
        <w:rPr>
          <w:rFonts w:ascii="Times New Roman" w:hAnsi="Times New Roman"/>
          <w:snapToGrid/>
          <w:sz w:val="24"/>
          <w:szCs w:val="24"/>
        </w:rPr>
      </w:pPr>
      <w:r>
        <w:rPr>
          <w:rFonts w:ascii="Times New Roman" w:hAnsi="Times New Roman"/>
          <w:snapToGrid/>
          <w:sz w:val="24"/>
          <w:szCs w:val="24"/>
        </w:rPr>
        <w:t xml:space="preserve">In accordance with section 402(a) of the Social Security Act, states are required periodically </w:t>
      </w:r>
      <w:r w:rsidR="004429A1">
        <w:rPr>
          <w:rFonts w:ascii="Times New Roman" w:hAnsi="Times New Roman"/>
          <w:snapToGrid/>
          <w:sz w:val="24"/>
          <w:szCs w:val="24"/>
        </w:rPr>
        <w:t xml:space="preserve">to </w:t>
      </w:r>
      <w:r>
        <w:rPr>
          <w:rFonts w:ascii="Times New Roman" w:hAnsi="Times New Roman"/>
          <w:snapToGrid/>
          <w:sz w:val="24"/>
          <w:szCs w:val="24"/>
        </w:rPr>
        <w:t>renew their state plans to continue to receive federal funds under TANF. This renewal process require</w:t>
      </w:r>
      <w:r w:rsidR="004429A1">
        <w:rPr>
          <w:rFonts w:ascii="Times New Roman" w:hAnsi="Times New Roman"/>
          <w:snapToGrid/>
          <w:sz w:val="24"/>
          <w:szCs w:val="24"/>
        </w:rPr>
        <w:t>s</w:t>
      </w:r>
      <w:r>
        <w:rPr>
          <w:rFonts w:ascii="Times New Roman" w:hAnsi="Times New Roman"/>
          <w:snapToGrid/>
          <w:sz w:val="24"/>
          <w:szCs w:val="24"/>
        </w:rPr>
        <w:t xml:space="preserve"> states to submit a TANF plan that contains all of the required elements listed in section 402</w:t>
      </w:r>
      <w:r w:rsidR="004429A1">
        <w:rPr>
          <w:rFonts w:ascii="Times New Roman" w:hAnsi="Times New Roman"/>
          <w:snapToGrid/>
          <w:sz w:val="24"/>
          <w:szCs w:val="24"/>
        </w:rPr>
        <w:t>(a),</w:t>
      </w:r>
      <w:r>
        <w:rPr>
          <w:rFonts w:ascii="Times New Roman" w:hAnsi="Times New Roman"/>
          <w:snapToGrid/>
          <w:sz w:val="24"/>
          <w:szCs w:val="24"/>
        </w:rPr>
        <w:t xml:space="preserve"> including the certifications specified under sections 402(a)(2)</w:t>
      </w:r>
      <w:r w:rsidR="00E05B12">
        <w:rPr>
          <w:rFonts w:ascii="Times New Roman" w:hAnsi="Times New Roman"/>
          <w:snapToGrid/>
          <w:sz w:val="24"/>
          <w:szCs w:val="24"/>
        </w:rPr>
        <w:t xml:space="preserve"> through </w:t>
      </w:r>
      <w:r>
        <w:rPr>
          <w:rFonts w:ascii="Times New Roman" w:hAnsi="Times New Roman"/>
          <w:snapToGrid/>
          <w:sz w:val="24"/>
          <w:szCs w:val="24"/>
        </w:rPr>
        <w:t>(</w:t>
      </w:r>
      <w:r w:rsidR="00E05B12">
        <w:rPr>
          <w:rFonts w:ascii="Times New Roman" w:hAnsi="Times New Roman"/>
          <w:snapToGrid/>
          <w:sz w:val="24"/>
          <w:szCs w:val="24"/>
        </w:rPr>
        <w:t>8</w:t>
      </w:r>
      <w:r>
        <w:rPr>
          <w:rFonts w:ascii="Times New Roman" w:hAnsi="Times New Roman"/>
          <w:snapToGrid/>
          <w:sz w:val="24"/>
          <w:szCs w:val="24"/>
        </w:rPr>
        <w:t xml:space="preserve">).  </w:t>
      </w:r>
      <w:r w:rsidRPr="008810C2" w:rsidR="001007BD">
        <w:rPr>
          <w:rFonts w:ascii="Times New Roman" w:hAnsi="Times New Roman"/>
          <w:snapToGrid/>
          <w:sz w:val="24"/>
          <w:szCs w:val="24"/>
        </w:rPr>
        <w:t>As provided in the statute, the Secretary makes a determination whether or not each state plan is complete</w:t>
      </w:r>
      <w:r w:rsidR="00CF54C7">
        <w:rPr>
          <w:rFonts w:ascii="Times New Roman" w:hAnsi="Times New Roman"/>
          <w:snapToGrid/>
          <w:sz w:val="24"/>
          <w:szCs w:val="24"/>
        </w:rPr>
        <w:t xml:space="preserve"> by ensuring that all required elements are included</w:t>
      </w:r>
      <w:r w:rsidRPr="008810C2" w:rsidR="001007BD">
        <w:rPr>
          <w:rFonts w:ascii="Times New Roman" w:hAnsi="Times New Roman"/>
          <w:snapToGrid/>
          <w:sz w:val="24"/>
          <w:szCs w:val="24"/>
        </w:rPr>
        <w:t>.</w:t>
      </w:r>
      <w:r w:rsidR="001007BD">
        <w:rPr>
          <w:rFonts w:ascii="Times New Roman" w:hAnsi="Times New Roman"/>
          <w:snapToGrid/>
          <w:sz w:val="24"/>
          <w:szCs w:val="24"/>
        </w:rPr>
        <w:t xml:space="preserve"> </w:t>
      </w:r>
      <w:r w:rsidRPr="008810C2" w:rsidR="001007BD">
        <w:rPr>
          <w:rFonts w:ascii="Times New Roman" w:hAnsi="Times New Roman"/>
          <w:snapToGrid/>
          <w:sz w:val="24"/>
          <w:szCs w:val="24"/>
        </w:rPr>
        <w:t xml:space="preserve"> Once a plan is determined complete, the state is eligible to receive a </w:t>
      </w:r>
      <w:r w:rsidR="001007BD">
        <w:rPr>
          <w:rFonts w:ascii="Times New Roman" w:hAnsi="Times New Roman"/>
          <w:snapToGrid/>
          <w:sz w:val="24"/>
          <w:szCs w:val="24"/>
        </w:rPr>
        <w:t>State F</w:t>
      </w:r>
      <w:r w:rsidRPr="008810C2" w:rsidR="001007BD">
        <w:rPr>
          <w:rFonts w:ascii="Times New Roman" w:hAnsi="Times New Roman"/>
          <w:snapToGrid/>
          <w:sz w:val="24"/>
          <w:szCs w:val="24"/>
        </w:rPr>
        <w:t xml:space="preserve">amily </w:t>
      </w:r>
      <w:r w:rsidR="001007BD">
        <w:rPr>
          <w:rFonts w:ascii="Times New Roman" w:hAnsi="Times New Roman"/>
          <w:snapToGrid/>
          <w:sz w:val="24"/>
          <w:szCs w:val="24"/>
        </w:rPr>
        <w:t>A</w:t>
      </w:r>
      <w:r w:rsidRPr="008810C2" w:rsidR="001007BD">
        <w:rPr>
          <w:rFonts w:ascii="Times New Roman" w:hAnsi="Times New Roman"/>
          <w:snapToGrid/>
          <w:sz w:val="24"/>
          <w:szCs w:val="24"/>
        </w:rPr>
        <w:t xml:space="preserve">ssistance </w:t>
      </w:r>
      <w:r w:rsidR="001007BD">
        <w:rPr>
          <w:rFonts w:ascii="Times New Roman" w:hAnsi="Times New Roman"/>
          <w:snapToGrid/>
          <w:sz w:val="24"/>
          <w:szCs w:val="24"/>
        </w:rPr>
        <w:t>G</w:t>
      </w:r>
      <w:r w:rsidRPr="008810C2" w:rsidR="001007BD">
        <w:rPr>
          <w:rFonts w:ascii="Times New Roman" w:hAnsi="Times New Roman"/>
          <w:snapToGrid/>
          <w:sz w:val="24"/>
          <w:szCs w:val="24"/>
        </w:rPr>
        <w:t>rant</w:t>
      </w:r>
      <w:r w:rsidR="001007BD">
        <w:rPr>
          <w:rFonts w:ascii="Times New Roman" w:hAnsi="Times New Roman"/>
          <w:snapToGrid/>
          <w:sz w:val="24"/>
          <w:szCs w:val="24"/>
        </w:rPr>
        <w:t xml:space="preserve"> (SFAG)</w:t>
      </w:r>
      <w:r w:rsidRPr="008810C2" w:rsidR="001007BD">
        <w:rPr>
          <w:rFonts w:ascii="Times New Roman" w:hAnsi="Times New Roman"/>
          <w:snapToGrid/>
          <w:sz w:val="24"/>
          <w:szCs w:val="24"/>
        </w:rPr>
        <w:t xml:space="preserve">. </w:t>
      </w:r>
      <w:r w:rsidR="001007BD">
        <w:rPr>
          <w:rFonts w:ascii="Times New Roman" w:hAnsi="Times New Roman"/>
          <w:snapToGrid/>
          <w:sz w:val="24"/>
          <w:szCs w:val="24"/>
        </w:rPr>
        <w:t xml:space="preserve"> </w:t>
      </w:r>
      <w:r w:rsidRPr="008810C2" w:rsidR="001007BD">
        <w:rPr>
          <w:rFonts w:ascii="Times New Roman" w:hAnsi="Times New Roman"/>
          <w:snapToGrid/>
          <w:sz w:val="24"/>
          <w:szCs w:val="24"/>
        </w:rPr>
        <w:t xml:space="preserve">The </w:t>
      </w:r>
      <w:r w:rsidR="001007BD">
        <w:rPr>
          <w:rFonts w:ascii="Times New Roman" w:hAnsi="Times New Roman"/>
          <w:snapToGrid/>
          <w:sz w:val="24"/>
          <w:szCs w:val="24"/>
        </w:rPr>
        <w:t xml:space="preserve">state must also make the </w:t>
      </w:r>
      <w:r w:rsidRPr="008810C2" w:rsidR="001007BD">
        <w:rPr>
          <w:rFonts w:ascii="Times New Roman" w:hAnsi="Times New Roman"/>
          <w:snapToGrid/>
          <w:sz w:val="24"/>
          <w:szCs w:val="24"/>
        </w:rPr>
        <w:t>plan available to the public.</w:t>
      </w:r>
      <w:r w:rsidR="00670E35">
        <w:rPr>
          <w:rFonts w:ascii="Times New Roman" w:hAnsi="Times New Roman"/>
          <w:snapToGrid/>
          <w:sz w:val="24"/>
          <w:szCs w:val="24"/>
        </w:rPr>
        <w:t xml:space="preserve"> </w:t>
      </w:r>
      <w:r w:rsidR="00AC5740">
        <w:rPr>
          <w:rFonts w:ascii="Times New Roman" w:hAnsi="Times New Roman"/>
          <w:snapToGrid/>
          <w:sz w:val="24"/>
          <w:szCs w:val="24"/>
        </w:rPr>
        <w:t xml:space="preserve">In addition, </w:t>
      </w:r>
      <w:r w:rsidR="00670E35">
        <w:rPr>
          <w:rFonts w:ascii="Times New Roman" w:hAnsi="Times New Roman"/>
          <w:snapToGrid/>
          <w:sz w:val="24"/>
          <w:szCs w:val="24"/>
        </w:rPr>
        <w:t xml:space="preserve">OFA uses the state plan information to better understand the activities under each state’s TANF program and summarizes some of this data in regular Reports to Congress, as required by </w:t>
      </w:r>
      <w:r w:rsidRPr="008810C2" w:rsidR="00670E35">
        <w:rPr>
          <w:rFonts w:ascii="Times New Roman" w:hAnsi="Times New Roman"/>
          <w:snapToGrid/>
          <w:sz w:val="24"/>
          <w:szCs w:val="24"/>
        </w:rPr>
        <w:t>Section 411(b)</w:t>
      </w:r>
      <w:r w:rsidR="00670E35">
        <w:rPr>
          <w:rFonts w:ascii="Times New Roman" w:hAnsi="Times New Roman"/>
          <w:snapToGrid/>
          <w:sz w:val="24"/>
          <w:szCs w:val="24"/>
        </w:rPr>
        <w:t xml:space="preserve"> of the Social Security Act.</w:t>
      </w:r>
    </w:p>
    <w:p w:rsidR="003D7199" w:rsidP="000A5102" w:rsidRDefault="003D7199" w14:paraId="50B5B1A7" w14:textId="0742AF4D">
      <w:pPr>
        <w:widowControl/>
        <w:ind w:left="720"/>
        <w:rPr>
          <w:rFonts w:ascii="Times New Roman" w:hAnsi="Times New Roman"/>
          <w:snapToGrid/>
          <w:sz w:val="24"/>
          <w:szCs w:val="24"/>
        </w:rPr>
      </w:pPr>
    </w:p>
    <w:p w:rsidRPr="008810C2" w:rsidR="00BA307A" w:rsidP="000A5102" w:rsidRDefault="00BA307A" w14:paraId="244BDC37" w14:textId="77777777">
      <w:pPr>
        <w:widowControl/>
        <w:ind w:left="720"/>
        <w:rPr>
          <w:rFonts w:ascii="Times New Roman" w:hAnsi="Times New Roman"/>
          <w:snapToGrid/>
          <w:sz w:val="24"/>
          <w:szCs w:val="24"/>
        </w:rPr>
      </w:pPr>
    </w:p>
    <w:p w:rsidRPr="000A5102" w:rsidR="001007BD" w:rsidP="000A5102" w:rsidRDefault="001007BD" w14:paraId="16AE5037" w14:textId="77777777">
      <w:pPr>
        <w:widowControl/>
        <w:numPr>
          <w:ilvl w:val="0"/>
          <w:numId w:val="1"/>
        </w:numPr>
        <w:spacing w:after="120"/>
        <w:rPr>
          <w:rFonts w:ascii="Times New Roman" w:hAnsi="Times New Roman"/>
          <w:b/>
          <w:bCs/>
          <w:snapToGrid/>
          <w:sz w:val="24"/>
          <w:szCs w:val="24"/>
        </w:rPr>
      </w:pPr>
      <w:r w:rsidRPr="000A5102">
        <w:rPr>
          <w:rFonts w:ascii="Times New Roman" w:hAnsi="Times New Roman"/>
          <w:b/>
          <w:bCs/>
          <w:snapToGrid/>
          <w:sz w:val="24"/>
          <w:szCs w:val="24"/>
        </w:rPr>
        <w:t xml:space="preserve">Use of Improved Information Technology and Burden Reduction </w:t>
      </w:r>
    </w:p>
    <w:p w:rsidR="00206087" w:rsidP="003D7199" w:rsidRDefault="00206087" w14:paraId="01E253C4" w14:textId="291FA5D9">
      <w:pPr>
        <w:widowControl/>
        <w:ind w:left="720"/>
        <w:rPr>
          <w:rFonts w:ascii="Times New Roman" w:hAnsi="Times New Roman"/>
          <w:snapToGrid/>
          <w:sz w:val="24"/>
          <w:szCs w:val="24"/>
        </w:rPr>
      </w:pPr>
      <w:r w:rsidRPr="00206087">
        <w:rPr>
          <w:rFonts w:ascii="Times New Roman" w:hAnsi="Times New Roman"/>
          <w:snapToGrid/>
          <w:sz w:val="24"/>
          <w:szCs w:val="24"/>
        </w:rPr>
        <w:t>Grantees submit their TANF state plan renewals and amendments electronically. Grantees attach their plan</w:t>
      </w:r>
      <w:r w:rsidR="00200ED3">
        <w:rPr>
          <w:rFonts w:ascii="Times New Roman" w:hAnsi="Times New Roman"/>
          <w:snapToGrid/>
          <w:sz w:val="24"/>
          <w:szCs w:val="24"/>
        </w:rPr>
        <w:t>s</w:t>
      </w:r>
      <w:r w:rsidRPr="00206087">
        <w:rPr>
          <w:rFonts w:ascii="Times New Roman" w:hAnsi="Times New Roman"/>
          <w:snapToGrid/>
          <w:sz w:val="24"/>
          <w:szCs w:val="24"/>
        </w:rPr>
        <w:t xml:space="preserve"> to a completed SF-424M, which is a common standardized form used by multiple federal agencies, in the ACF Online Data Collection System (OLDC), unless they have opted to make TANF part of a plan combined under the Workforce Innovation and Opportunity Act (WIOA) plan, in which case the state must use the online WIOA portal maintained by the Department of Education for all WIOA state plans. </w:t>
      </w:r>
    </w:p>
    <w:p w:rsidR="003D7199" w:rsidP="00CF54C7" w:rsidRDefault="003D7199" w14:paraId="3AC08463" w14:textId="0D4BE926">
      <w:pPr>
        <w:widowControl/>
        <w:ind w:left="720"/>
        <w:rPr>
          <w:rFonts w:ascii="Times New Roman" w:hAnsi="Times New Roman"/>
          <w:snapToGrid/>
          <w:sz w:val="24"/>
          <w:szCs w:val="24"/>
        </w:rPr>
      </w:pPr>
    </w:p>
    <w:p w:rsidR="00BA307A" w:rsidP="00CF54C7" w:rsidRDefault="00BA307A" w14:paraId="343C0F01" w14:textId="7F1855AD">
      <w:pPr>
        <w:widowControl/>
        <w:ind w:left="720"/>
        <w:rPr>
          <w:rFonts w:ascii="Times New Roman" w:hAnsi="Times New Roman"/>
          <w:snapToGrid/>
          <w:sz w:val="24"/>
          <w:szCs w:val="24"/>
        </w:rPr>
      </w:pPr>
    </w:p>
    <w:p w:rsidR="00BA307A" w:rsidP="00CF54C7" w:rsidRDefault="00BA307A" w14:paraId="639BD684" w14:textId="6C816BC7">
      <w:pPr>
        <w:widowControl/>
        <w:ind w:left="720"/>
        <w:rPr>
          <w:rFonts w:ascii="Times New Roman" w:hAnsi="Times New Roman"/>
          <w:snapToGrid/>
          <w:sz w:val="24"/>
          <w:szCs w:val="24"/>
        </w:rPr>
      </w:pPr>
    </w:p>
    <w:p w:rsidRPr="00CF54C7" w:rsidR="001007BD" w:rsidP="00CF54C7" w:rsidRDefault="001007BD" w14:paraId="3D3339C3" w14:textId="001BC03A">
      <w:pPr>
        <w:pStyle w:val="ListParagraph"/>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lastRenderedPageBreak/>
        <w:t xml:space="preserve">Efforts to Identify Duplication and Use of Similar Information </w:t>
      </w:r>
    </w:p>
    <w:p w:rsidR="001007BD" w:rsidP="003D7199" w:rsidRDefault="001007BD" w14:paraId="713BCCEC" w14:textId="09647B38">
      <w:pPr>
        <w:widowControl/>
        <w:ind w:left="720"/>
        <w:rPr>
          <w:rFonts w:ascii="Times New Roman" w:hAnsi="Times New Roman"/>
          <w:snapToGrid/>
          <w:sz w:val="24"/>
          <w:szCs w:val="24"/>
        </w:rPr>
      </w:pPr>
      <w:r w:rsidRPr="008810C2">
        <w:rPr>
          <w:rFonts w:ascii="Times New Roman" w:hAnsi="Times New Roman"/>
          <w:snapToGrid/>
          <w:sz w:val="24"/>
          <w:szCs w:val="24"/>
        </w:rPr>
        <w:t>No formal efforts to identify duplication have been made.</w:t>
      </w:r>
      <w:r>
        <w:rPr>
          <w:rFonts w:ascii="Times New Roman" w:hAnsi="Times New Roman"/>
          <w:snapToGrid/>
          <w:sz w:val="24"/>
          <w:szCs w:val="24"/>
        </w:rPr>
        <w:t xml:space="preserve"> </w:t>
      </w:r>
      <w:r w:rsidRPr="008810C2">
        <w:rPr>
          <w:rFonts w:ascii="Times New Roman" w:hAnsi="Times New Roman"/>
          <w:snapToGrid/>
          <w:sz w:val="24"/>
          <w:szCs w:val="24"/>
        </w:rPr>
        <w:t xml:space="preserve"> However, through extensive contacts with organizations such as: the American Public Human Services Association (APHSA), the National Governors Association (NGA), the Welfare Information Network (WIN), the Congressional Research Service, the Center for Law and Social Policy, etc., and individuals in both the private and public sectors, we have learned that no similar or duplicate information is available.</w:t>
      </w:r>
      <w:r>
        <w:rPr>
          <w:rFonts w:ascii="Times New Roman" w:hAnsi="Times New Roman"/>
          <w:snapToGrid/>
          <w:sz w:val="24"/>
          <w:szCs w:val="24"/>
        </w:rPr>
        <w:t xml:space="preserve"> </w:t>
      </w:r>
      <w:r w:rsidRPr="008810C2">
        <w:rPr>
          <w:rFonts w:ascii="Times New Roman" w:hAnsi="Times New Roman"/>
          <w:snapToGrid/>
          <w:sz w:val="24"/>
          <w:szCs w:val="24"/>
        </w:rPr>
        <w:t xml:space="preserve"> There are organizations that collect selected pieces of </w:t>
      </w:r>
      <w:r>
        <w:rPr>
          <w:rFonts w:ascii="Times New Roman" w:hAnsi="Times New Roman"/>
          <w:snapToGrid/>
          <w:sz w:val="24"/>
          <w:szCs w:val="24"/>
        </w:rPr>
        <w:t>s</w:t>
      </w:r>
      <w:r w:rsidRPr="008810C2">
        <w:rPr>
          <w:rFonts w:ascii="Times New Roman" w:hAnsi="Times New Roman"/>
          <w:snapToGrid/>
          <w:sz w:val="24"/>
          <w:szCs w:val="24"/>
        </w:rPr>
        <w:t xml:space="preserve">tate plan information at a selected point in time. </w:t>
      </w:r>
      <w:r>
        <w:rPr>
          <w:rFonts w:ascii="Times New Roman" w:hAnsi="Times New Roman"/>
          <w:snapToGrid/>
          <w:sz w:val="24"/>
          <w:szCs w:val="24"/>
        </w:rPr>
        <w:t xml:space="preserve"> </w:t>
      </w:r>
      <w:r w:rsidRPr="008810C2">
        <w:rPr>
          <w:rFonts w:ascii="Times New Roman" w:hAnsi="Times New Roman"/>
          <w:snapToGrid/>
          <w:sz w:val="24"/>
          <w:szCs w:val="24"/>
        </w:rPr>
        <w:t xml:space="preserve">However, those collections do not include all of the </w:t>
      </w:r>
      <w:r>
        <w:rPr>
          <w:rFonts w:ascii="Times New Roman" w:hAnsi="Times New Roman"/>
          <w:snapToGrid/>
          <w:sz w:val="24"/>
          <w:szCs w:val="24"/>
        </w:rPr>
        <w:t>components</w:t>
      </w:r>
      <w:r w:rsidRPr="008810C2">
        <w:rPr>
          <w:rFonts w:ascii="Times New Roman" w:hAnsi="Times New Roman"/>
          <w:snapToGrid/>
          <w:sz w:val="24"/>
          <w:szCs w:val="24"/>
        </w:rPr>
        <w:t xml:space="preserve"> of the </w:t>
      </w:r>
      <w:r>
        <w:rPr>
          <w:rFonts w:ascii="Times New Roman" w:hAnsi="Times New Roman"/>
          <w:snapToGrid/>
          <w:sz w:val="24"/>
          <w:szCs w:val="24"/>
        </w:rPr>
        <w:t>s</w:t>
      </w:r>
      <w:r w:rsidRPr="008810C2">
        <w:rPr>
          <w:rFonts w:ascii="Times New Roman" w:hAnsi="Times New Roman"/>
          <w:snapToGrid/>
          <w:sz w:val="24"/>
          <w:szCs w:val="24"/>
        </w:rPr>
        <w:t xml:space="preserve">tate plan and any subsequent plan amendments. </w:t>
      </w:r>
    </w:p>
    <w:p w:rsidR="003D7199" w:rsidP="00CF54C7" w:rsidRDefault="003D7199" w14:paraId="6ED7D9A0" w14:textId="6698D0EA">
      <w:pPr>
        <w:widowControl/>
        <w:ind w:left="720"/>
        <w:rPr>
          <w:rFonts w:ascii="Times New Roman" w:hAnsi="Times New Roman"/>
          <w:snapToGrid/>
          <w:sz w:val="24"/>
          <w:szCs w:val="24"/>
        </w:rPr>
      </w:pPr>
    </w:p>
    <w:p w:rsidRPr="008810C2" w:rsidR="00BA307A" w:rsidP="00CF54C7" w:rsidRDefault="00BA307A" w14:paraId="0F9392C1" w14:textId="77777777">
      <w:pPr>
        <w:widowControl/>
        <w:ind w:left="720"/>
        <w:rPr>
          <w:rFonts w:ascii="Times New Roman" w:hAnsi="Times New Roman"/>
          <w:snapToGrid/>
          <w:sz w:val="24"/>
          <w:szCs w:val="24"/>
        </w:rPr>
      </w:pPr>
    </w:p>
    <w:p w:rsidRPr="00CF54C7" w:rsidR="001007BD" w:rsidP="00CF54C7" w:rsidRDefault="001007BD" w14:paraId="1E3166D5"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Impact on Small Businesses or Other Small Entities </w:t>
      </w:r>
    </w:p>
    <w:p w:rsidR="001007BD" w:rsidP="003D7199" w:rsidRDefault="001007BD" w14:paraId="6842BED6" w14:textId="127834A4">
      <w:pPr>
        <w:widowControl/>
        <w:ind w:left="720"/>
        <w:rPr>
          <w:rFonts w:ascii="Times New Roman" w:hAnsi="Times New Roman"/>
          <w:snapToGrid/>
          <w:sz w:val="24"/>
          <w:szCs w:val="24"/>
        </w:rPr>
      </w:pPr>
      <w:r w:rsidRPr="008810C2">
        <w:rPr>
          <w:rFonts w:ascii="Times New Roman" w:hAnsi="Times New Roman"/>
          <w:snapToGrid/>
          <w:sz w:val="24"/>
          <w:szCs w:val="24"/>
        </w:rPr>
        <w:t>These requirements have no impact on small businesses or entities.</w:t>
      </w:r>
    </w:p>
    <w:p w:rsidR="003D7199" w:rsidP="00CF54C7" w:rsidRDefault="003D7199" w14:paraId="288820F1" w14:textId="2B719F40">
      <w:pPr>
        <w:widowControl/>
        <w:ind w:left="720"/>
        <w:rPr>
          <w:rFonts w:ascii="Times New Roman" w:hAnsi="Times New Roman"/>
          <w:snapToGrid/>
          <w:sz w:val="24"/>
          <w:szCs w:val="24"/>
        </w:rPr>
      </w:pPr>
    </w:p>
    <w:p w:rsidRPr="008810C2" w:rsidR="00BA307A" w:rsidP="00CF54C7" w:rsidRDefault="00BA307A" w14:paraId="40F72960" w14:textId="77777777">
      <w:pPr>
        <w:widowControl/>
        <w:ind w:left="720"/>
        <w:rPr>
          <w:rFonts w:ascii="Times New Roman" w:hAnsi="Times New Roman"/>
          <w:snapToGrid/>
          <w:sz w:val="24"/>
          <w:szCs w:val="24"/>
        </w:rPr>
      </w:pPr>
    </w:p>
    <w:p w:rsidRPr="00CF54C7" w:rsidR="001007BD" w:rsidP="00CF54C7" w:rsidRDefault="001007BD" w14:paraId="63A00031"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Consequences of Collecting the Information Less Frequently </w:t>
      </w:r>
    </w:p>
    <w:p w:rsidR="001007BD" w:rsidP="003D7199" w:rsidRDefault="001007BD" w14:paraId="0C343996" w14:textId="0E971C68">
      <w:pPr>
        <w:widowControl/>
        <w:ind w:left="720"/>
        <w:rPr>
          <w:rFonts w:ascii="Times New Roman" w:hAnsi="Times New Roman"/>
          <w:snapToGrid/>
          <w:sz w:val="24"/>
          <w:szCs w:val="24"/>
        </w:rPr>
      </w:pPr>
      <w:r>
        <w:rPr>
          <w:rFonts w:ascii="Times New Roman" w:hAnsi="Times New Roman"/>
          <w:snapToGrid/>
          <w:sz w:val="24"/>
          <w:szCs w:val="24"/>
        </w:rPr>
        <w:t xml:space="preserve">SFAG’s </w:t>
      </w:r>
      <w:r w:rsidRPr="008810C2">
        <w:rPr>
          <w:rFonts w:ascii="Times New Roman" w:hAnsi="Times New Roman"/>
          <w:snapToGrid/>
          <w:sz w:val="24"/>
          <w:szCs w:val="24"/>
        </w:rPr>
        <w:t xml:space="preserve">are payable to “eligible states.” </w:t>
      </w:r>
      <w:r>
        <w:rPr>
          <w:rFonts w:ascii="Times New Roman" w:hAnsi="Times New Roman"/>
          <w:snapToGrid/>
          <w:sz w:val="24"/>
          <w:szCs w:val="24"/>
        </w:rPr>
        <w:t xml:space="preserve"> </w:t>
      </w:r>
      <w:r w:rsidRPr="008810C2">
        <w:rPr>
          <w:rFonts w:ascii="Times New Roman" w:hAnsi="Times New Roman"/>
          <w:snapToGrid/>
          <w:sz w:val="24"/>
          <w:szCs w:val="24"/>
        </w:rPr>
        <w:t xml:space="preserve">In order to remain “eligible” (i.e., continue to receive funding under TANF), a state needs to submit its </w:t>
      </w:r>
      <w:r>
        <w:rPr>
          <w:rFonts w:ascii="Times New Roman" w:hAnsi="Times New Roman"/>
          <w:snapToGrid/>
          <w:sz w:val="24"/>
          <w:szCs w:val="24"/>
        </w:rPr>
        <w:t>T</w:t>
      </w:r>
      <w:r w:rsidRPr="008810C2">
        <w:rPr>
          <w:rFonts w:ascii="Times New Roman" w:hAnsi="Times New Roman"/>
          <w:snapToGrid/>
          <w:sz w:val="24"/>
          <w:szCs w:val="24"/>
        </w:rPr>
        <w:t>ANF plan during the applicable 27-month period.</w:t>
      </w:r>
      <w:r>
        <w:rPr>
          <w:rFonts w:ascii="Times New Roman" w:hAnsi="Times New Roman"/>
          <w:snapToGrid/>
          <w:sz w:val="24"/>
          <w:szCs w:val="24"/>
        </w:rPr>
        <w:t xml:space="preserve"> </w:t>
      </w:r>
      <w:r w:rsidRPr="008810C2">
        <w:rPr>
          <w:rFonts w:ascii="Times New Roman" w:hAnsi="Times New Roman"/>
          <w:snapToGrid/>
          <w:sz w:val="24"/>
          <w:szCs w:val="24"/>
        </w:rPr>
        <w:t xml:space="preserve"> A state’s </w:t>
      </w:r>
      <w:r>
        <w:rPr>
          <w:rFonts w:ascii="Times New Roman" w:hAnsi="Times New Roman"/>
          <w:snapToGrid/>
          <w:sz w:val="24"/>
          <w:szCs w:val="24"/>
        </w:rPr>
        <w:t xml:space="preserve">SFAG </w:t>
      </w:r>
      <w:r w:rsidRPr="008810C2">
        <w:rPr>
          <w:rFonts w:ascii="Times New Roman" w:hAnsi="Times New Roman"/>
          <w:snapToGrid/>
          <w:sz w:val="24"/>
          <w:szCs w:val="24"/>
        </w:rPr>
        <w:t xml:space="preserve">is not released until its </w:t>
      </w:r>
      <w:r>
        <w:rPr>
          <w:rFonts w:ascii="Times New Roman" w:hAnsi="Times New Roman"/>
          <w:snapToGrid/>
          <w:sz w:val="24"/>
          <w:szCs w:val="24"/>
        </w:rPr>
        <w:t>TANF</w:t>
      </w:r>
      <w:r w:rsidRPr="008810C2">
        <w:rPr>
          <w:rFonts w:ascii="Times New Roman" w:hAnsi="Times New Roman"/>
          <w:snapToGrid/>
          <w:sz w:val="24"/>
          <w:szCs w:val="24"/>
        </w:rPr>
        <w:t xml:space="preserve"> plan is determined complete.</w:t>
      </w:r>
    </w:p>
    <w:p w:rsidR="003D7199" w:rsidP="00CF54C7" w:rsidRDefault="003D7199" w14:paraId="562988F6" w14:textId="64FB1A85">
      <w:pPr>
        <w:widowControl/>
        <w:ind w:left="720"/>
        <w:rPr>
          <w:rFonts w:ascii="Times New Roman" w:hAnsi="Times New Roman"/>
          <w:snapToGrid/>
          <w:sz w:val="24"/>
          <w:szCs w:val="24"/>
        </w:rPr>
      </w:pPr>
    </w:p>
    <w:p w:rsidRPr="008810C2" w:rsidR="00BA307A" w:rsidP="00CF54C7" w:rsidRDefault="00BA307A" w14:paraId="10354792" w14:textId="77777777">
      <w:pPr>
        <w:widowControl/>
        <w:ind w:left="720"/>
        <w:rPr>
          <w:rFonts w:ascii="Times New Roman" w:hAnsi="Times New Roman"/>
          <w:snapToGrid/>
          <w:sz w:val="24"/>
          <w:szCs w:val="24"/>
        </w:rPr>
      </w:pPr>
    </w:p>
    <w:p w:rsidRPr="00CF54C7" w:rsidR="001007BD" w:rsidP="00CF54C7" w:rsidRDefault="001007BD" w14:paraId="4A91E48B"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Special Circumstances Relating to the Guidelines of 5 CFR 1320.5 </w:t>
      </w:r>
    </w:p>
    <w:p w:rsidR="001007BD" w:rsidP="003D7199" w:rsidRDefault="001007BD" w14:paraId="59F9730C" w14:textId="078945DF">
      <w:pPr>
        <w:widowControl/>
        <w:ind w:left="720"/>
        <w:rPr>
          <w:rFonts w:ascii="Times New Roman" w:hAnsi="Times New Roman"/>
          <w:snapToGrid/>
          <w:sz w:val="24"/>
          <w:szCs w:val="24"/>
        </w:rPr>
      </w:pPr>
      <w:r w:rsidRPr="008810C2">
        <w:rPr>
          <w:rFonts w:ascii="Times New Roman" w:hAnsi="Times New Roman"/>
          <w:snapToGrid/>
          <w:sz w:val="24"/>
          <w:szCs w:val="24"/>
        </w:rPr>
        <w:t>Not applicable.</w:t>
      </w:r>
    </w:p>
    <w:p w:rsidR="003D7199" w:rsidP="00CF54C7" w:rsidRDefault="003D7199" w14:paraId="384A1F14" w14:textId="67076B0D">
      <w:pPr>
        <w:widowControl/>
        <w:ind w:left="720"/>
        <w:rPr>
          <w:rFonts w:ascii="Times New Roman" w:hAnsi="Times New Roman"/>
          <w:snapToGrid/>
          <w:sz w:val="24"/>
          <w:szCs w:val="24"/>
        </w:rPr>
      </w:pPr>
    </w:p>
    <w:p w:rsidRPr="008810C2" w:rsidR="00BA307A" w:rsidP="00CF54C7" w:rsidRDefault="00BA307A" w14:paraId="22A2C8B6" w14:textId="77777777">
      <w:pPr>
        <w:widowControl/>
        <w:ind w:left="720"/>
        <w:rPr>
          <w:rFonts w:ascii="Times New Roman" w:hAnsi="Times New Roman"/>
          <w:snapToGrid/>
          <w:sz w:val="24"/>
          <w:szCs w:val="24"/>
        </w:rPr>
      </w:pPr>
    </w:p>
    <w:p w:rsidRPr="00CF54C7" w:rsidR="001007BD" w:rsidP="00FE4DF0" w:rsidRDefault="001007BD" w14:paraId="51BF894C"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Comments in Response to the Federal Register Notice and Efforts to Consult Outside the Agency </w:t>
      </w:r>
    </w:p>
    <w:p w:rsidRPr="003D7199" w:rsidR="003D7199" w:rsidP="00CF54C7" w:rsidRDefault="003D7199" w14:paraId="2490F968" w14:textId="511A9144">
      <w:pPr>
        <w:pStyle w:val="ListParagraph"/>
        <w:rPr>
          <w:rFonts w:ascii="Times New Roman" w:hAnsi="Times New Roman"/>
          <w:sz w:val="24"/>
          <w:szCs w:val="24"/>
        </w:rPr>
      </w:pPr>
      <w:r w:rsidRPr="003D7199">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snapToGrid/>
          <w:sz w:val="24"/>
          <w:szCs w:val="24"/>
        </w:rPr>
        <w:t>April 8, 2022</w:t>
      </w:r>
      <w:r w:rsidRPr="008810C2">
        <w:rPr>
          <w:rFonts w:ascii="Times New Roman" w:hAnsi="Times New Roman"/>
          <w:snapToGrid/>
          <w:sz w:val="24"/>
          <w:szCs w:val="24"/>
        </w:rPr>
        <w:t xml:space="preserve"> </w:t>
      </w:r>
      <w:r>
        <w:rPr>
          <w:rFonts w:ascii="Times New Roman" w:hAnsi="Times New Roman"/>
          <w:snapToGrid/>
          <w:sz w:val="24"/>
          <w:szCs w:val="24"/>
        </w:rPr>
        <w:t>(</w:t>
      </w:r>
      <w:r w:rsidRPr="003C4982">
        <w:rPr>
          <w:rFonts w:ascii="Times New Roman" w:hAnsi="Times New Roman"/>
          <w:snapToGrid/>
          <w:sz w:val="24"/>
          <w:szCs w:val="24"/>
        </w:rPr>
        <w:t>87 FR 20870</w:t>
      </w:r>
      <w:r>
        <w:rPr>
          <w:rFonts w:ascii="Times New Roman" w:hAnsi="Times New Roman"/>
          <w:snapToGrid/>
          <w:sz w:val="24"/>
          <w:szCs w:val="24"/>
        </w:rPr>
        <w:t xml:space="preserve">) </w:t>
      </w:r>
      <w:r w:rsidRPr="003D7199">
        <w:rPr>
          <w:rFonts w:ascii="Times New Roman" w:hAnsi="Times New Roman"/>
          <w:sz w:val="24"/>
          <w:szCs w:val="24"/>
        </w:rPr>
        <w:t xml:space="preserve">and provided a sixty-day period for public comment.  During the notice and comment period, </w:t>
      </w:r>
      <w:r>
        <w:rPr>
          <w:rFonts w:ascii="Times New Roman" w:hAnsi="Times New Roman"/>
          <w:sz w:val="24"/>
          <w:szCs w:val="24"/>
        </w:rPr>
        <w:t>OFA di</w:t>
      </w:r>
      <w:r w:rsidRPr="003D7199">
        <w:rPr>
          <w:rFonts w:ascii="Times New Roman" w:hAnsi="Times New Roman"/>
          <w:sz w:val="24"/>
          <w:szCs w:val="24"/>
        </w:rPr>
        <w:t xml:space="preserve">d not receive comments. </w:t>
      </w:r>
    </w:p>
    <w:p w:rsidR="003D7199" w:rsidP="00CF54C7" w:rsidRDefault="003D7199" w14:paraId="5776E703" w14:textId="59FAB2AD">
      <w:pPr>
        <w:widowControl/>
        <w:ind w:left="720"/>
        <w:rPr>
          <w:rFonts w:ascii="Times New Roman" w:hAnsi="Times New Roman"/>
          <w:snapToGrid/>
          <w:sz w:val="24"/>
          <w:szCs w:val="24"/>
        </w:rPr>
      </w:pPr>
    </w:p>
    <w:p w:rsidRPr="008810C2" w:rsidR="00BA307A" w:rsidP="00CF54C7" w:rsidRDefault="00BA307A" w14:paraId="01A57869" w14:textId="77777777">
      <w:pPr>
        <w:widowControl/>
        <w:ind w:left="720"/>
        <w:rPr>
          <w:rFonts w:ascii="Times New Roman" w:hAnsi="Times New Roman"/>
          <w:snapToGrid/>
          <w:sz w:val="24"/>
          <w:szCs w:val="24"/>
        </w:rPr>
      </w:pPr>
    </w:p>
    <w:p w:rsidRPr="00CF54C7" w:rsidR="001007BD" w:rsidP="00CF54C7" w:rsidRDefault="001007BD" w14:paraId="59F20DEA"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Explanation of Any Payment or Gift to Respondents </w:t>
      </w:r>
    </w:p>
    <w:p w:rsidR="001007BD" w:rsidP="003D7199" w:rsidRDefault="001007BD" w14:paraId="360CB1A2" w14:textId="3888E6EE">
      <w:pPr>
        <w:widowControl/>
        <w:ind w:left="720"/>
        <w:rPr>
          <w:rFonts w:ascii="Times New Roman" w:hAnsi="Times New Roman"/>
          <w:snapToGrid/>
          <w:sz w:val="24"/>
          <w:szCs w:val="24"/>
        </w:rPr>
      </w:pPr>
      <w:r w:rsidRPr="008810C2">
        <w:rPr>
          <w:rFonts w:ascii="Times New Roman" w:hAnsi="Times New Roman"/>
          <w:snapToGrid/>
          <w:sz w:val="24"/>
          <w:szCs w:val="24"/>
        </w:rPr>
        <w:t>No payments or gifts will be provided to respondents.</w:t>
      </w:r>
    </w:p>
    <w:p w:rsidR="003D7199" w:rsidP="00CF54C7" w:rsidRDefault="003D7199" w14:paraId="49FE4D09" w14:textId="4408F44A">
      <w:pPr>
        <w:widowControl/>
        <w:ind w:left="720"/>
        <w:rPr>
          <w:rFonts w:ascii="Times New Roman" w:hAnsi="Times New Roman"/>
          <w:snapToGrid/>
          <w:sz w:val="24"/>
          <w:szCs w:val="24"/>
        </w:rPr>
      </w:pPr>
    </w:p>
    <w:p w:rsidRPr="008810C2" w:rsidR="00BA307A" w:rsidP="00CF54C7" w:rsidRDefault="00BA307A" w14:paraId="269091CD" w14:textId="77777777">
      <w:pPr>
        <w:widowControl/>
        <w:ind w:left="720"/>
        <w:rPr>
          <w:rFonts w:ascii="Times New Roman" w:hAnsi="Times New Roman"/>
          <w:snapToGrid/>
          <w:sz w:val="24"/>
          <w:szCs w:val="24"/>
        </w:rPr>
      </w:pPr>
    </w:p>
    <w:p w:rsidRPr="00CF54C7" w:rsidR="001007BD" w:rsidP="00CF54C7" w:rsidRDefault="001007BD" w14:paraId="200775B6"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Assurance of Confidentiality Provided to Respondents </w:t>
      </w:r>
    </w:p>
    <w:p w:rsidR="001007BD" w:rsidP="003D7199" w:rsidRDefault="001007BD" w14:paraId="593B8322" w14:textId="0E6BC1F4">
      <w:pPr>
        <w:widowControl/>
        <w:ind w:left="720"/>
        <w:rPr>
          <w:rFonts w:ascii="Times New Roman" w:hAnsi="Times New Roman"/>
          <w:snapToGrid/>
          <w:sz w:val="24"/>
          <w:szCs w:val="24"/>
        </w:rPr>
      </w:pPr>
      <w:r w:rsidRPr="008810C2">
        <w:rPr>
          <w:rFonts w:ascii="Times New Roman" w:hAnsi="Times New Roman"/>
          <w:snapToGrid/>
          <w:sz w:val="24"/>
          <w:szCs w:val="24"/>
        </w:rPr>
        <w:t>The information collected is not confidential.</w:t>
      </w:r>
    </w:p>
    <w:p w:rsidRPr="00CF54C7" w:rsidR="001007BD" w:rsidP="00CF54C7" w:rsidRDefault="001007BD" w14:paraId="5B229C25"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lastRenderedPageBreak/>
        <w:t xml:space="preserve">Justification for Sensitive Questions </w:t>
      </w:r>
    </w:p>
    <w:p w:rsidR="001007BD" w:rsidP="003D7199" w:rsidRDefault="001007BD" w14:paraId="59CD2DC0" w14:textId="6CC50453">
      <w:pPr>
        <w:widowControl/>
        <w:ind w:left="720"/>
        <w:rPr>
          <w:rFonts w:ascii="Times New Roman" w:hAnsi="Times New Roman"/>
          <w:snapToGrid/>
          <w:sz w:val="24"/>
          <w:szCs w:val="24"/>
        </w:rPr>
      </w:pPr>
      <w:r w:rsidRPr="008810C2">
        <w:rPr>
          <w:rFonts w:ascii="Times New Roman" w:hAnsi="Times New Roman"/>
          <w:snapToGrid/>
          <w:sz w:val="24"/>
          <w:szCs w:val="24"/>
        </w:rPr>
        <w:t>None of the information requested from state agencies is of a sensitive nature.</w:t>
      </w:r>
    </w:p>
    <w:p w:rsidR="003D7199" w:rsidP="00CF54C7" w:rsidRDefault="003D7199" w14:paraId="5D43D5BE" w14:textId="13363F64">
      <w:pPr>
        <w:widowControl/>
        <w:ind w:left="720"/>
        <w:rPr>
          <w:rFonts w:ascii="Times New Roman" w:hAnsi="Times New Roman"/>
          <w:snapToGrid/>
          <w:sz w:val="24"/>
          <w:szCs w:val="24"/>
        </w:rPr>
      </w:pPr>
    </w:p>
    <w:p w:rsidRPr="008810C2" w:rsidR="00BA307A" w:rsidP="00CF54C7" w:rsidRDefault="00BA307A" w14:paraId="232A919B" w14:textId="77777777">
      <w:pPr>
        <w:widowControl/>
        <w:ind w:left="720"/>
        <w:rPr>
          <w:rFonts w:ascii="Times New Roman" w:hAnsi="Times New Roman"/>
          <w:snapToGrid/>
          <w:sz w:val="24"/>
          <w:szCs w:val="24"/>
        </w:rPr>
      </w:pPr>
    </w:p>
    <w:p w:rsidRPr="00CF54C7" w:rsidR="001007BD" w:rsidP="00CF54C7" w:rsidRDefault="001007BD" w14:paraId="2F6117B0" w14:textId="77777777">
      <w:pPr>
        <w:widowControl/>
        <w:numPr>
          <w:ilvl w:val="0"/>
          <w:numId w:val="1"/>
        </w:numPr>
        <w:spacing w:after="120"/>
        <w:rPr>
          <w:rFonts w:ascii="Times New Roman" w:hAnsi="Times New Roman"/>
          <w:b/>
          <w:bCs/>
          <w:snapToGrid/>
          <w:sz w:val="24"/>
          <w:szCs w:val="24"/>
        </w:rPr>
      </w:pPr>
      <w:r w:rsidRPr="00CF54C7">
        <w:rPr>
          <w:rFonts w:ascii="Times New Roman" w:hAnsi="Times New Roman"/>
          <w:b/>
          <w:bCs/>
          <w:snapToGrid/>
          <w:sz w:val="24"/>
          <w:szCs w:val="24"/>
        </w:rPr>
        <w:t xml:space="preserve">Estimates of Annualized Burden Hours and Costs </w:t>
      </w:r>
    </w:p>
    <w:tbl>
      <w:tblPr>
        <w:tblW w:w="8370" w:type="dxa"/>
        <w:tblInd w:w="784" w:type="dxa"/>
        <w:tblLayout w:type="fixed"/>
        <w:tblCellMar>
          <w:left w:w="120" w:type="dxa"/>
          <w:right w:w="120" w:type="dxa"/>
        </w:tblCellMar>
        <w:tblLook w:val="0000" w:firstRow="0" w:lastRow="0" w:firstColumn="0" w:lastColumn="0" w:noHBand="0" w:noVBand="0"/>
      </w:tblPr>
      <w:tblGrid>
        <w:gridCol w:w="2520"/>
        <w:gridCol w:w="1530"/>
        <w:gridCol w:w="1620"/>
        <w:gridCol w:w="1620"/>
        <w:gridCol w:w="1080"/>
      </w:tblGrid>
      <w:tr w:rsidRPr="008810C2" w:rsidR="001007BD" w:rsidTr="000B08D2" w14:paraId="099518D8" w14:textId="77777777">
        <w:tc>
          <w:tcPr>
            <w:tcW w:w="2520" w:type="dxa"/>
            <w:tcBorders>
              <w:top w:val="double" w:color="auto" w:sz="7" w:space="0"/>
              <w:left w:val="double" w:color="auto" w:sz="7" w:space="0"/>
            </w:tcBorders>
          </w:tcPr>
          <w:p w:rsidR="001007BD" w:rsidP="001046B1" w:rsidRDefault="001007BD" w14:paraId="1C1972F9" w14:textId="77777777">
            <w:pPr>
              <w:tabs>
                <w:tab w:val="left" w:pos="-720"/>
              </w:tabs>
              <w:suppressAutoHyphens/>
              <w:ind w:left="218"/>
              <w:rPr>
                <w:rFonts w:ascii="Times New Roman" w:hAnsi="Times New Roman"/>
                <w:sz w:val="24"/>
                <w:szCs w:val="24"/>
              </w:rPr>
            </w:pPr>
          </w:p>
          <w:p w:rsidRPr="00060111" w:rsidR="001007BD" w:rsidP="001046B1" w:rsidRDefault="00781CAA" w14:paraId="175C7F18" w14:textId="464ABFE8">
            <w:pPr>
              <w:tabs>
                <w:tab w:val="left" w:pos="-720"/>
              </w:tabs>
              <w:suppressAutoHyphens/>
              <w:rPr>
                <w:rFonts w:ascii="Times New Roman" w:hAnsi="Times New Roman"/>
                <w:sz w:val="24"/>
                <w:szCs w:val="24"/>
              </w:rPr>
            </w:pPr>
            <w:r>
              <w:rPr>
                <w:rFonts w:ascii="Times New Roman" w:hAnsi="Times New Roman"/>
                <w:sz w:val="24"/>
                <w:szCs w:val="24"/>
              </w:rPr>
              <w:t>Information Collection</w:t>
            </w:r>
          </w:p>
        </w:tc>
        <w:tc>
          <w:tcPr>
            <w:tcW w:w="1530" w:type="dxa"/>
            <w:tcBorders>
              <w:top w:val="double" w:color="auto" w:sz="7" w:space="0"/>
              <w:left w:val="single" w:color="auto" w:sz="7" w:space="0"/>
            </w:tcBorders>
          </w:tcPr>
          <w:p w:rsidRPr="00060111" w:rsidR="001007BD" w:rsidP="001046B1" w:rsidRDefault="00781CAA" w14:paraId="52847DE1" w14:textId="3CB0FD26">
            <w:pPr>
              <w:suppressAutoHyphens/>
              <w:rPr>
                <w:rFonts w:ascii="Times New Roman" w:hAnsi="Times New Roman"/>
                <w:sz w:val="24"/>
                <w:szCs w:val="24"/>
              </w:rPr>
            </w:pPr>
            <w:r>
              <w:rPr>
                <w:rFonts w:ascii="Times New Roman" w:hAnsi="Times New Roman"/>
                <w:sz w:val="24"/>
                <w:szCs w:val="24"/>
              </w:rPr>
              <w:t>Number of Respondents (Annual)</w:t>
            </w:r>
          </w:p>
        </w:tc>
        <w:tc>
          <w:tcPr>
            <w:tcW w:w="1620" w:type="dxa"/>
            <w:tcBorders>
              <w:top w:val="double" w:color="auto" w:sz="7" w:space="0"/>
              <w:left w:val="single" w:color="auto" w:sz="7" w:space="0"/>
            </w:tcBorders>
          </w:tcPr>
          <w:p w:rsidRPr="00060111" w:rsidR="001007BD" w:rsidP="001046B1" w:rsidRDefault="00781CAA" w14:paraId="3FDE097D" w14:textId="6CEC7AC9">
            <w:pPr>
              <w:tabs>
                <w:tab w:val="left" w:pos="-720"/>
              </w:tabs>
              <w:suppressAutoHyphens/>
              <w:rPr>
                <w:rFonts w:ascii="Times New Roman" w:hAnsi="Times New Roman"/>
                <w:sz w:val="24"/>
                <w:szCs w:val="24"/>
              </w:rPr>
            </w:pPr>
            <w:r>
              <w:rPr>
                <w:rFonts w:ascii="Times New Roman" w:hAnsi="Times New Roman"/>
                <w:sz w:val="24"/>
                <w:szCs w:val="24"/>
              </w:rPr>
              <w:t>Number of Responses per Respondent</w:t>
            </w:r>
          </w:p>
        </w:tc>
        <w:tc>
          <w:tcPr>
            <w:tcW w:w="1620" w:type="dxa"/>
            <w:tcBorders>
              <w:top w:val="double" w:color="auto" w:sz="7" w:space="0"/>
              <w:left w:val="single" w:color="auto" w:sz="7" w:space="0"/>
            </w:tcBorders>
          </w:tcPr>
          <w:p w:rsidRPr="00060111" w:rsidR="001007BD" w:rsidP="001046B1" w:rsidRDefault="00781CAA" w14:paraId="441ED7B4" w14:textId="472F6502">
            <w:pPr>
              <w:pStyle w:val="EndnoteText"/>
              <w:tabs>
                <w:tab w:val="left" w:pos="-720"/>
              </w:tabs>
              <w:suppressAutoHyphens/>
              <w:rPr>
                <w:rFonts w:ascii="Times New Roman" w:hAnsi="Times New Roman"/>
                <w:szCs w:val="24"/>
              </w:rPr>
            </w:pPr>
            <w:r w:rsidRPr="00405C10">
              <w:rPr>
                <w:rFonts w:ascii="Times New Roman" w:hAnsi="Times New Roman"/>
                <w:szCs w:val="24"/>
              </w:rPr>
              <w:t>Average Burden Hours Per Response</w:t>
            </w:r>
          </w:p>
        </w:tc>
        <w:tc>
          <w:tcPr>
            <w:tcW w:w="1080" w:type="dxa"/>
            <w:tcBorders>
              <w:top w:val="double" w:color="auto" w:sz="7" w:space="0"/>
              <w:left w:val="single" w:color="auto" w:sz="7" w:space="0"/>
              <w:right w:val="double" w:color="auto" w:sz="7" w:space="0"/>
            </w:tcBorders>
          </w:tcPr>
          <w:p w:rsidRPr="00060111" w:rsidR="001007BD" w:rsidP="001046B1" w:rsidRDefault="00781CAA" w14:paraId="6E45DF51" w14:textId="205D1B74">
            <w:pPr>
              <w:tabs>
                <w:tab w:val="left" w:pos="-720"/>
              </w:tabs>
              <w:suppressAutoHyphens/>
              <w:rPr>
                <w:rFonts w:ascii="Times New Roman" w:hAnsi="Times New Roman"/>
                <w:sz w:val="24"/>
                <w:szCs w:val="24"/>
              </w:rPr>
            </w:pPr>
            <w:r>
              <w:rPr>
                <w:rFonts w:ascii="Times New Roman" w:hAnsi="Times New Roman"/>
                <w:sz w:val="24"/>
                <w:szCs w:val="24"/>
              </w:rPr>
              <w:t>Annual Burden Hours</w:t>
            </w:r>
          </w:p>
        </w:tc>
      </w:tr>
      <w:tr w:rsidRPr="008810C2" w:rsidR="001007BD" w:rsidTr="000B08D2" w14:paraId="4B6B5DC9" w14:textId="77777777">
        <w:tc>
          <w:tcPr>
            <w:tcW w:w="2520" w:type="dxa"/>
            <w:tcBorders>
              <w:top w:val="single" w:color="auto" w:sz="7" w:space="0"/>
              <w:left w:val="double" w:color="auto" w:sz="7" w:space="0"/>
              <w:bottom w:val="single" w:color="auto" w:sz="7" w:space="0"/>
            </w:tcBorders>
          </w:tcPr>
          <w:p w:rsidR="001007BD" w:rsidP="001046B1" w:rsidRDefault="001007BD" w14:paraId="37E6D808" w14:textId="77777777">
            <w:pPr>
              <w:pStyle w:val="TOAHeading"/>
              <w:tabs>
                <w:tab w:val="clear" w:pos="9360"/>
                <w:tab w:val="left" w:pos="-720"/>
              </w:tabs>
              <w:rPr>
                <w:rFonts w:ascii="Times New Roman" w:hAnsi="Times New Roman"/>
                <w:sz w:val="24"/>
                <w:szCs w:val="24"/>
              </w:rPr>
            </w:pPr>
            <w:r w:rsidRPr="00060111">
              <w:rPr>
                <w:rFonts w:ascii="Times New Roman" w:hAnsi="Times New Roman"/>
                <w:sz w:val="24"/>
                <w:szCs w:val="24"/>
              </w:rPr>
              <w:t>State TANF plan</w:t>
            </w:r>
          </w:p>
          <w:p w:rsidRPr="00060111" w:rsidR="001007BD" w:rsidP="003D7199" w:rsidRDefault="001007BD" w14:paraId="2DFA8246" w14:textId="77777777"/>
        </w:tc>
        <w:tc>
          <w:tcPr>
            <w:tcW w:w="1530" w:type="dxa"/>
            <w:tcBorders>
              <w:top w:val="single" w:color="auto" w:sz="7" w:space="0"/>
              <w:left w:val="single" w:color="auto" w:sz="7" w:space="0"/>
              <w:bottom w:val="single" w:color="auto" w:sz="7" w:space="0"/>
            </w:tcBorders>
            <w:vAlign w:val="center"/>
          </w:tcPr>
          <w:p w:rsidRPr="00060111" w:rsidR="001007BD" w:rsidP="001046B1" w:rsidRDefault="001007BD" w14:paraId="7E648953" w14:textId="77777777">
            <w:pPr>
              <w:tabs>
                <w:tab w:val="left" w:pos="-720"/>
              </w:tabs>
              <w:suppressAutoHyphens/>
              <w:jc w:val="center"/>
              <w:rPr>
                <w:rFonts w:ascii="Times New Roman" w:hAnsi="Times New Roman"/>
                <w:sz w:val="24"/>
                <w:szCs w:val="24"/>
              </w:rPr>
            </w:pPr>
            <w:r w:rsidRPr="00060111">
              <w:rPr>
                <w:rFonts w:ascii="Times New Roman" w:hAnsi="Times New Roman"/>
                <w:sz w:val="24"/>
                <w:szCs w:val="24"/>
              </w:rPr>
              <w:t>18</w:t>
            </w:r>
          </w:p>
        </w:tc>
        <w:tc>
          <w:tcPr>
            <w:tcW w:w="1620" w:type="dxa"/>
            <w:tcBorders>
              <w:top w:val="single" w:color="auto" w:sz="7" w:space="0"/>
              <w:left w:val="single" w:color="auto" w:sz="7" w:space="0"/>
              <w:bottom w:val="single" w:color="auto" w:sz="7" w:space="0"/>
            </w:tcBorders>
            <w:vAlign w:val="center"/>
          </w:tcPr>
          <w:p w:rsidRPr="00060111" w:rsidR="001007BD" w:rsidP="001046B1" w:rsidRDefault="001007BD" w14:paraId="71F52372" w14:textId="77777777">
            <w:pPr>
              <w:tabs>
                <w:tab w:val="left" w:pos="-720"/>
              </w:tabs>
              <w:suppressAutoHyphens/>
              <w:jc w:val="center"/>
              <w:rPr>
                <w:rFonts w:ascii="Times New Roman" w:hAnsi="Times New Roman"/>
                <w:sz w:val="24"/>
                <w:szCs w:val="24"/>
              </w:rPr>
            </w:pPr>
            <w:r w:rsidRPr="00060111">
              <w:rPr>
                <w:rFonts w:ascii="Times New Roman" w:hAnsi="Times New Roman"/>
                <w:sz w:val="24"/>
                <w:szCs w:val="24"/>
              </w:rPr>
              <w:t>1</w:t>
            </w:r>
          </w:p>
        </w:tc>
        <w:tc>
          <w:tcPr>
            <w:tcW w:w="1620" w:type="dxa"/>
            <w:tcBorders>
              <w:top w:val="single" w:color="auto" w:sz="7" w:space="0"/>
              <w:left w:val="single" w:color="auto" w:sz="7" w:space="0"/>
              <w:bottom w:val="single" w:color="auto" w:sz="7" w:space="0"/>
            </w:tcBorders>
            <w:vAlign w:val="center"/>
          </w:tcPr>
          <w:p w:rsidRPr="00060111" w:rsidR="001007BD" w:rsidP="001046B1" w:rsidRDefault="001007BD" w14:paraId="645DB4A3" w14:textId="17191C95">
            <w:pPr>
              <w:tabs>
                <w:tab w:val="left" w:pos="-720"/>
              </w:tabs>
              <w:suppressAutoHyphens/>
              <w:jc w:val="center"/>
              <w:rPr>
                <w:rFonts w:ascii="Times New Roman" w:hAnsi="Times New Roman"/>
                <w:sz w:val="24"/>
                <w:szCs w:val="24"/>
              </w:rPr>
            </w:pPr>
            <w:r w:rsidRPr="00060111">
              <w:rPr>
                <w:rFonts w:ascii="Times New Roman" w:hAnsi="Times New Roman"/>
                <w:sz w:val="24"/>
                <w:szCs w:val="24"/>
              </w:rPr>
              <w:t>3</w:t>
            </w:r>
            <w:r w:rsidR="00206087">
              <w:rPr>
                <w:rFonts w:ascii="Times New Roman" w:hAnsi="Times New Roman"/>
                <w:sz w:val="24"/>
                <w:szCs w:val="24"/>
              </w:rPr>
              <w:t>0</w:t>
            </w:r>
          </w:p>
        </w:tc>
        <w:tc>
          <w:tcPr>
            <w:tcW w:w="1080" w:type="dxa"/>
            <w:tcBorders>
              <w:top w:val="single" w:color="auto" w:sz="7" w:space="0"/>
              <w:left w:val="single" w:color="auto" w:sz="7" w:space="0"/>
              <w:bottom w:val="single" w:color="auto" w:sz="7" w:space="0"/>
              <w:right w:val="double" w:color="auto" w:sz="7" w:space="0"/>
            </w:tcBorders>
            <w:vAlign w:val="center"/>
          </w:tcPr>
          <w:p w:rsidRPr="00060111" w:rsidR="001007BD" w:rsidP="001046B1" w:rsidRDefault="001007BD" w14:paraId="79E7C487" w14:textId="77777777">
            <w:pPr>
              <w:tabs>
                <w:tab w:val="left" w:pos="-720"/>
              </w:tabs>
              <w:suppressAutoHyphens/>
              <w:jc w:val="center"/>
              <w:rPr>
                <w:rFonts w:ascii="Times New Roman" w:hAnsi="Times New Roman"/>
                <w:sz w:val="24"/>
                <w:szCs w:val="24"/>
              </w:rPr>
            </w:pPr>
            <w:r w:rsidRPr="00060111">
              <w:rPr>
                <w:rFonts w:ascii="Times New Roman" w:hAnsi="Times New Roman"/>
                <w:sz w:val="24"/>
                <w:szCs w:val="24"/>
              </w:rPr>
              <w:t>540</w:t>
            </w:r>
          </w:p>
        </w:tc>
      </w:tr>
      <w:tr w:rsidRPr="008810C2" w:rsidR="001007BD" w:rsidTr="000B08D2" w14:paraId="64F157A0" w14:textId="77777777">
        <w:trPr>
          <w:trHeight w:val="460"/>
        </w:trPr>
        <w:tc>
          <w:tcPr>
            <w:tcW w:w="2520" w:type="dxa"/>
            <w:tcBorders>
              <w:top w:val="single" w:color="auto" w:sz="7" w:space="0"/>
              <w:left w:val="double" w:color="auto" w:sz="7" w:space="0"/>
              <w:bottom w:val="single" w:color="auto" w:sz="7" w:space="0"/>
            </w:tcBorders>
          </w:tcPr>
          <w:p w:rsidRPr="00D820E3" w:rsidR="001007BD" w:rsidP="001046B1" w:rsidRDefault="001007BD" w14:paraId="70F9D3D7" w14:textId="77777777">
            <w:pPr>
              <w:pStyle w:val="TOAHeading"/>
              <w:tabs>
                <w:tab w:val="clear" w:pos="9360"/>
                <w:tab w:val="left" w:pos="-720"/>
              </w:tabs>
              <w:rPr>
                <w:rFonts w:ascii="Times New Roman" w:hAnsi="Times New Roman"/>
                <w:sz w:val="24"/>
                <w:szCs w:val="24"/>
              </w:rPr>
            </w:pPr>
            <w:r>
              <w:rPr>
                <w:rFonts w:ascii="Times New Roman" w:hAnsi="Times New Roman"/>
                <w:sz w:val="24"/>
                <w:szCs w:val="24"/>
              </w:rPr>
              <w:t>Amendments</w:t>
            </w:r>
          </w:p>
        </w:tc>
        <w:tc>
          <w:tcPr>
            <w:tcW w:w="1530" w:type="dxa"/>
            <w:tcBorders>
              <w:top w:val="single" w:color="auto" w:sz="7" w:space="0"/>
              <w:left w:val="single" w:color="auto" w:sz="7" w:space="0"/>
              <w:bottom w:val="single" w:color="auto" w:sz="7" w:space="0"/>
            </w:tcBorders>
            <w:vAlign w:val="center"/>
          </w:tcPr>
          <w:p w:rsidRPr="00D820E3" w:rsidR="001007BD" w:rsidP="001046B1" w:rsidRDefault="001007BD" w14:paraId="3B40C78E" w14:textId="77777777">
            <w:pPr>
              <w:tabs>
                <w:tab w:val="left" w:pos="-720"/>
              </w:tabs>
              <w:suppressAutoHyphens/>
              <w:jc w:val="center"/>
              <w:rPr>
                <w:rFonts w:ascii="Times New Roman" w:hAnsi="Times New Roman"/>
                <w:sz w:val="24"/>
                <w:szCs w:val="24"/>
              </w:rPr>
            </w:pPr>
            <w:r>
              <w:rPr>
                <w:rFonts w:ascii="Times New Roman" w:hAnsi="Times New Roman"/>
                <w:sz w:val="24"/>
                <w:szCs w:val="24"/>
              </w:rPr>
              <w:t>18</w:t>
            </w:r>
          </w:p>
        </w:tc>
        <w:tc>
          <w:tcPr>
            <w:tcW w:w="1620" w:type="dxa"/>
            <w:tcBorders>
              <w:top w:val="single" w:color="auto" w:sz="7" w:space="0"/>
              <w:left w:val="single" w:color="auto" w:sz="7" w:space="0"/>
              <w:bottom w:val="single" w:color="auto" w:sz="7" w:space="0"/>
            </w:tcBorders>
            <w:vAlign w:val="center"/>
          </w:tcPr>
          <w:p w:rsidRPr="00D820E3" w:rsidR="001007BD" w:rsidP="001046B1" w:rsidRDefault="001007BD" w14:paraId="3F347485" w14:textId="77777777">
            <w:pPr>
              <w:tabs>
                <w:tab w:val="left" w:pos="-720"/>
              </w:tabs>
              <w:suppressAutoHyphens/>
              <w:jc w:val="center"/>
              <w:rPr>
                <w:rFonts w:ascii="Times New Roman" w:hAnsi="Times New Roman"/>
                <w:sz w:val="24"/>
                <w:szCs w:val="24"/>
              </w:rPr>
            </w:pPr>
            <w:r>
              <w:rPr>
                <w:rFonts w:ascii="Times New Roman" w:hAnsi="Times New Roman"/>
                <w:sz w:val="24"/>
                <w:szCs w:val="24"/>
              </w:rPr>
              <w:t>1</w:t>
            </w:r>
          </w:p>
        </w:tc>
        <w:tc>
          <w:tcPr>
            <w:tcW w:w="1620" w:type="dxa"/>
            <w:tcBorders>
              <w:top w:val="single" w:color="auto" w:sz="7" w:space="0"/>
              <w:left w:val="single" w:color="auto" w:sz="7" w:space="0"/>
              <w:bottom w:val="single" w:color="auto" w:sz="7" w:space="0"/>
            </w:tcBorders>
            <w:vAlign w:val="center"/>
          </w:tcPr>
          <w:p w:rsidRPr="00D820E3" w:rsidR="001007BD" w:rsidP="001046B1" w:rsidRDefault="001007BD" w14:paraId="5A66D54D" w14:textId="77777777">
            <w:pPr>
              <w:tabs>
                <w:tab w:val="left" w:pos="-720"/>
              </w:tabs>
              <w:suppressAutoHyphens/>
              <w:jc w:val="center"/>
              <w:rPr>
                <w:rFonts w:ascii="Times New Roman" w:hAnsi="Times New Roman"/>
                <w:sz w:val="24"/>
                <w:szCs w:val="24"/>
              </w:rPr>
            </w:pPr>
            <w:r>
              <w:rPr>
                <w:rFonts w:ascii="Times New Roman" w:hAnsi="Times New Roman"/>
                <w:sz w:val="24"/>
                <w:szCs w:val="24"/>
              </w:rPr>
              <w:t>3</w:t>
            </w:r>
          </w:p>
        </w:tc>
        <w:tc>
          <w:tcPr>
            <w:tcW w:w="1080" w:type="dxa"/>
            <w:tcBorders>
              <w:top w:val="single" w:color="auto" w:sz="7" w:space="0"/>
              <w:left w:val="single" w:color="auto" w:sz="7" w:space="0"/>
              <w:bottom w:val="single" w:color="auto" w:sz="7" w:space="0"/>
              <w:right w:val="double" w:color="auto" w:sz="7" w:space="0"/>
            </w:tcBorders>
            <w:vAlign w:val="center"/>
          </w:tcPr>
          <w:p w:rsidRPr="00D820E3" w:rsidR="001007BD" w:rsidP="001046B1" w:rsidRDefault="001007BD" w14:paraId="3611D3A6" w14:textId="2DAA8B31">
            <w:pPr>
              <w:tabs>
                <w:tab w:val="left" w:pos="-720"/>
                <w:tab w:val="right" w:pos="1053"/>
              </w:tabs>
              <w:suppressAutoHyphens/>
              <w:jc w:val="center"/>
              <w:rPr>
                <w:rFonts w:ascii="Times New Roman" w:hAnsi="Times New Roman"/>
                <w:sz w:val="24"/>
                <w:szCs w:val="24"/>
              </w:rPr>
            </w:pPr>
            <w:r>
              <w:rPr>
                <w:rFonts w:ascii="Times New Roman" w:hAnsi="Times New Roman"/>
                <w:sz w:val="24"/>
                <w:szCs w:val="24"/>
              </w:rPr>
              <w:t>54</w:t>
            </w:r>
          </w:p>
        </w:tc>
      </w:tr>
      <w:tr w:rsidRPr="008810C2" w:rsidR="003D7199" w:rsidTr="000B08D2" w14:paraId="1F7D1EB6" w14:textId="77777777">
        <w:tc>
          <w:tcPr>
            <w:tcW w:w="7290" w:type="dxa"/>
            <w:gridSpan w:val="4"/>
            <w:tcBorders>
              <w:top w:val="single" w:color="auto" w:sz="7" w:space="0"/>
              <w:left w:val="double" w:color="auto" w:sz="7" w:space="0"/>
              <w:bottom w:val="single" w:color="auto" w:sz="4" w:space="0"/>
            </w:tcBorders>
          </w:tcPr>
          <w:p w:rsidR="003D7199" w:rsidP="003D7199" w:rsidRDefault="003D7199" w14:paraId="67130D89" w14:textId="4FB6816B">
            <w:pPr>
              <w:tabs>
                <w:tab w:val="left" w:pos="-720"/>
              </w:tabs>
              <w:suppressAutoHyphens/>
              <w:jc w:val="right"/>
              <w:rPr>
                <w:rFonts w:ascii="Times New Roman" w:hAnsi="Times New Roman"/>
                <w:sz w:val="24"/>
                <w:szCs w:val="24"/>
              </w:rPr>
            </w:pPr>
            <w:r w:rsidRPr="008810C2">
              <w:rPr>
                <w:rFonts w:ascii="Times New Roman" w:hAnsi="Times New Roman"/>
                <w:sz w:val="24"/>
                <w:szCs w:val="24"/>
              </w:rPr>
              <w:t>Estimated Total Annual Burden Hours:</w:t>
            </w:r>
          </w:p>
        </w:tc>
        <w:tc>
          <w:tcPr>
            <w:tcW w:w="1080" w:type="dxa"/>
            <w:tcBorders>
              <w:top w:val="single" w:color="auto" w:sz="7" w:space="0"/>
              <w:left w:val="single" w:color="auto" w:sz="7" w:space="0"/>
              <w:bottom w:val="single" w:color="auto" w:sz="4" w:space="0"/>
              <w:right w:val="double" w:color="auto" w:sz="7" w:space="0"/>
            </w:tcBorders>
            <w:vAlign w:val="center"/>
          </w:tcPr>
          <w:p w:rsidR="003D7199" w:rsidP="001046B1" w:rsidRDefault="003D7199" w14:paraId="60FB3069" w14:textId="5DE9A7A9">
            <w:pPr>
              <w:tabs>
                <w:tab w:val="left" w:pos="-720"/>
                <w:tab w:val="right" w:pos="1053"/>
              </w:tabs>
              <w:suppressAutoHyphens/>
              <w:jc w:val="center"/>
              <w:rPr>
                <w:rFonts w:ascii="Times New Roman" w:hAnsi="Times New Roman"/>
                <w:sz w:val="24"/>
                <w:szCs w:val="24"/>
              </w:rPr>
            </w:pPr>
            <w:r w:rsidRPr="008810C2">
              <w:rPr>
                <w:rFonts w:ascii="Times New Roman" w:hAnsi="Times New Roman"/>
                <w:sz w:val="24"/>
                <w:szCs w:val="24"/>
              </w:rPr>
              <w:t>594</w:t>
            </w:r>
          </w:p>
        </w:tc>
      </w:tr>
    </w:tbl>
    <w:p w:rsidR="001007BD" w:rsidP="001046B1" w:rsidRDefault="001007BD" w14:paraId="19BB8A8A" w14:textId="77777777">
      <w:pPr>
        <w:tabs>
          <w:tab w:val="left" w:pos="-720"/>
        </w:tabs>
        <w:suppressAutoHyphens/>
        <w:rPr>
          <w:rFonts w:ascii="Times New Roman" w:hAnsi="Times New Roman"/>
          <w:sz w:val="24"/>
          <w:szCs w:val="24"/>
        </w:rPr>
      </w:pPr>
    </w:p>
    <w:p w:rsidR="001007BD" w:rsidP="003D7199" w:rsidRDefault="001007BD" w14:paraId="0D6C3F93" w14:textId="330026C4">
      <w:pPr>
        <w:widowControl/>
        <w:ind w:left="720"/>
        <w:rPr>
          <w:rFonts w:ascii="Times New Roman" w:hAnsi="Times New Roman"/>
          <w:snapToGrid/>
          <w:sz w:val="24"/>
          <w:szCs w:val="24"/>
        </w:rPr>
      </w:pPr>
      <w:r>
        <w:rPr>
          <w:rFonts w:ascii="Times New Roman" w:hAnsi="Times New Roman"/>
          <w:snapToGrid/>
          <w:sz w:val="24"/>
          <w:szCs w:val="24"/>
        </w:rPr>
        <w:t xml:space="preserve">The state TANF plan requirements for </w:t>
      </w:r>
      <w:r w:rsidRPr="008810C2">
        <w:rPr>
          <w:rFonts w:ascii="Times New Roman" w:hAnsi="Times New Roman"/>
          <w:snapToGrid/>
          <w:sz w:val="24"/>
          <w:szCs w:val="24"/>
        </w:rPr>
        <w:t xml:space="preserve">the 54 </w:t>
      </w:r>
      <w:r>
        <w:rPr>
          <w:rFonts w:ascii="Times New Roman" w:hAnsi="Times New Roman"/>
          <w:snapToGrid/>
          <w:sz w:val="24"/>
          <w:szCs w:val="24"/>
        </w:rPr>
        <w:t xml:space="preserve">states (which includes three territories and the District of Columbia) </w:t>
      </w:r>
      <w:r w:rsidRPr="008810C2">
        <w:rPr>
          <w:rFonts w:ascii="Times New Roman" w:hAnsi="Times New Roman"/>
          <w:snapToGrid/>
          <w:sz w:val="24"/>
          <w:szCs w:val="24"/>
        </w:rPr>
        <w:t xml:space="preserve">will create a triennial burden with an average of 18 </w:t>
      </w:r>
      <w:r>
        <w:rPr>
          <w:rFonts w:ascii="Times New Roman" w:hAnsi="Times New Roman"/>
          <w:snapToGrid/>
          <w:sz w:val="24"/>
          <w:szCs w:val="24"/>
        </w:rPr>
        <w:t>states</w:t>
      </w:r>
      <w:r w:rsidRPr="008810C2">
        <w:rPr>
          <w:rFonts w:ascii="Times New Roman" w:hAnsi="Times New Roman"/>
          <w:snapToGrid/>
          <w:sz w:val="24"/>
          <w:szCs w:val="24"/>
        </w:rPr>
        <w:t xml:space="preserve"> responding annually. </w:t>
      </w:r>
      <w:r>
        <w:rPr>
          <w:rFonts w:ascii="Times New Roman" w:hAnsi="Times New Roman"/>
          <w:snapToGrid/>
          <w:sz w:val="24"/>
          <w:szCs w:val="24"/>
        </w:rPr>
        <w:t xml:space="preserve"> </w:t>
      </w:r>
      <w:r w:rsidRPr="008810C2">
        <w:rPr>
          <w:rFonts w:ascii="Times New Roman" w:hAnsi="Times New Roman"/>
          <w:snapToGrid/>
          <w:sz w:val="24"/>
          <w:szCs w:val="24"/>
        </w:rPr>
        <w:t>We estimate the annual burden to</w:t>
      </w:r>
      <w:r>
        <w:rPr>
          <w:rFonts w:ascii="Times New Roman" w:hAnsi="Times New Roman"/>
          <w:snapToGrid/>
          <w:sz w:val="24"/>
          <w:szCs w:val="24"/>
        </w:rPr>
        <w:t xml:space="preserve"> be an</w:t>
      </w:r>
      <w:r w:rsidRPr="008810C2">
        <w:rPr>
          <w:rFonts w:ascii="Times New Roman" w:hAnsi="Times New Roman"/>
          <w:snapToGrid/>
          <w:sz w:val="24"/>
          <w:szCs w:val="24"/>
        </w:rPr>
        <w:t xml:space="preserve"> average </w:t>
      </w:r>
      <w:r>
        <w:rPr>
          <w:rFonts w:ascii="Times New Roman" w:hAnsi="Times New Roman"/>
          <w:snapToGrid/>
          <w:sz w:val="24"/>
          <w:szCs w:val="24"/>
        </w:rPr>
        <w:t xml:space="preserve">of </w:t>
      </w:r>
      <w:r w:rsidRPr="008810C2">
        <w:rPr>
          <w:rFonts w:ascii="Times New Roman" w:hAnsi="Times New Roman"/>
          <w:snapToGrid/>
          <w:sz w:val="24"/>
          <w:szCs w:val="24"/>
        </w:rPr>
        <w:t>30 hours per response</w:t>
      </w:r>
      <w:r>
        <w:rPr>
          <w:rFonts w:ascii="Times New Roman" w:hAnsi="Times New Roman"/>
          <w:snapToGrid/>
          <w:sz w:val="24"/>
          <w:szCs w:val="24"/>
        </w:rPr>
        <w:t>, resulting in 540 burden hours for</w:t>
      </w:r>
      <w:r w:rsidRPr="008810C2">
        <w:rPr>
          <w:rFonts w:ascii="Times New Roman" w:hAnsi="Times New Roman"/>
          <w:snapToGrid/>
          <w:sz w:val="24"/>
          <w:szCs w:val="24"/>
        </w:rPr>
        <w:t xml:space="preserve"> </w:t>
      </w:r>
      <w:r>
        <w:rPr>
          <w:rFonts w:ascii="Times New Roman" w:hAnsi="Times New Roman"/>
          <w:snapToGrid/>
          <w:sz w:val="24"/>
          <w:szCs w:val="24"/>
        </w:rPr>
        <w:t xml:space="preserve">TANF plan submissions.  </w:t>
      </w:r>
    </w:p>
    <w:p w:rsidR="003D7199" w:rsidP="001046B1" w:rsidRDefault="003D7199" w14:paraId="27DC0A31" w14:textId="77777777">
      <w:pPr>
        <w:widowControl/>
        <w:ind w:left="720"/>
        <w:rPr>
          <w:rFonts w:ascii="Times New Roman" w:hAnsi="Times New Roman"/>
          <w:snapToGrid/>
          <w:sz w:val="24"/>
          <w:szCs w:val="24"/>
        </w:rPr>
      </w:pPr>
    </w:p>
    <w:p w:rsidR="001007BD" w:rsidP="003D7199" w:rsidRDefault="001007BD" w14:paraId="0CCFA90C" w14:textId="5D3DC8C0">
      <w:pPr>
        <w:widowControl/>
        <w:ind w:left="720"/>
        <w:rPr>
          <w:rFonts w:ascii="Times New Roman" w:hAnsi="Times New Roman"/>
          <w:snapToGrid/>
          <w:sz w:val="24"/>
          <w:szCs w:val="24"/>
        </w:rPr>
      </w:pPr>
      <w:r w:rsidRPr="008810C2">
        <w:rPr>
          <w:rFonts w:ascii="Times New Roman" w:hAnsi="Times New Roman"/>
          <w:snapToGrid/>
          <w:sz w:val="24"/>
          <w:szCs w:val="24"/>
        </w:rPr>
        <w:t>We also estimate that the triennial burden of</w:t>
      </w:r>
      <w:r>
        <w:rPr>
          <w:rFonts w:ascii="Times New Roman" w:hAnsi="Times New Roman"/>
          <w:snapToGrid/>
          <w:sz w:val="24"/>
          <w:szCs w:val="24"/>
        </w:rPr>
        <w:t xml:space="preserve"> </w:t>
      </w:r>
      <w:r w:rsidRPr="008810C2">
        <w:rPr>
          <w:rFonts w:ascii="Times New Roman" w:hAnsi="Times New Roman"/>
          <w:snapToGrid/>
          <w:sz w:val="24"/>
          <w:szCs w:val="24"/>
        </w:rPr>
        <w:t>plan amendments</w:t>
      </w:r>
      <w:r>
        <w:rPr>
          <w:rFonts w:ascii="Times New Roman" w:hAnsi="Times New Roman"/>
          <w:snapToGrid/>
          <w:sz w:val="24"/>
          <w:szCs w:val="24"/>
        </w:rPr>
        <w:t xml:space="preserve"> for the 54 states, with an average of 18 respondents annually spending approximately 3 hours per response, resulting in 54 burden hours for plan amendments. </w:t>
      </w:r>
    </w:p>
    <w:p w:rsidR="003D7199" w:rsidP="001046B1" w:rsidRDefault="003D7199" w14:paraId="264B54C7" w14:textId="77777777">
      <w:pPr>
        <w:widowControl/>
        <w:ind w:left="720"/>
        <w:rPr>
          <w:rFonts w:ascii="Times New Roman" w:hAnsi="Times New Roman"/>
          <w:snapToGrid/>
          <w:sz w:val="24"/>
          <w:szCs w:val="24"/>
        </w:rPr>
      </w:pPr>
    </w:p>
    <w:p w:rsidR="001007BD" w:rsidP="003D7199" w:rsidRDefault="001007BD" w14:paraId="1594DF25" w14:textId="10A099D4">
      <w:pPr>
        <w:widowControl/>
        <w:ind w:left="720"/>
        <w:rPr>
          <w:rFonts w:ascii="Times New Roman" w:hAnsi="Times New Roman"/>
          <w:snapToGrid/>
          <w:sz w:val="24"/>
          <w:szCs w:val="24"/>
        </w:rPr>
      </w:pPr>
      <w:r>
        <w:rPr>
          <w:rFonts w:ascii="Times New Roman" w:hAnsi="Times New Roman"/>
          <w:snapToGrid/>
          <w:sz w:val="24"/>
          <w:szCs w:val="24"/>
        </w:rPr>
        <w:t xml:space="preserve">Therefore, the estimated total annual burden hours for state TANF plans and amendments is 594 hours.  </w:t>
      </w:r>
      <w:r w:rsidRPr="008810C2">
        <w:rPr>
          <w:rFonts w:ascii="Times New Roman" w:hAnsi="Times New Roman"/>
          <w:snapToGrid/>
          <w:sz w:val="24"/>
          <w:szCs w:val="24"/>
        </w:rPr>
        <w:t xml:space="preserve">While there is </w:t>
      </w:r>
      <w:r>
        <w:rPr>
          <w:rFonts w:ascii="Times New Roman" w:hAnsi="Times New Roman"/>
          <w:snapToGrid/>
          <w:sz w:val="24"/>
          <w:szCs w:val="24"/>
        </w:rPr>
        <w:t>considerable</w:t>
      </w:r>
      <w:r w:rsidRPr="008810C2">
        <w:rPr>
          <w:rFonts w:ascii="Times New Roman" w:hAnsi="Times New Roman"/>
          <w:snapToGrid/>
          <w:sz w:val="24"/>
          <w:szCs w:val="24"/>
        </w:rPr>
        <w:t xml:space="preserve"> variation </w:t>
      </w:r>
      <w:r>
        <w:rPr>
          <w:rFonts w:ascii="Times New Roman" w:hAnsi="Times New Roman"/>
          <w:snapToGrid/>
          <w:sz w:val="24"/>
          <w:szCs w:val="24"/>
        </w:rPr>
        <w:t>among states</w:t>
      </w:r>
      <w:r w:rsidRPr="008810C2">
        <w:rPr>
          <w:rFonts w:ascii="Times New Roman" w:hAnsi="Times New Roman"/>
          <w:snapToGrid/>
          <w:sz w:val="24"/>
          <w:szCs w:val="24"/>
        </w:rPr>
        <w:t>, this estimate is based upon numerous conversations that we have had with state staff related to their experience with prior similar state plans and amendments.</w:t>
      </w:r>
    </w:p>
    <w:p w:rsidRPr="008810C2" w:rsidR="003D7199" w:rsidP="001046B1" w:rsidRDefault="003D7199" w14:paraId="7C3A222B" w14:textId="77777777">
      <w:pPr>
        <w:widowControl/>
        <w:ind w:left="720"/>
        <w:rPr>
          <w:rFonts w:ascii="Times New Roman" w:hAnsi="Times New Roman"/>
          <w:snapToGrid/>
          <w:sz w:val="24"/>
          <w:szCs w:val="24"/>
        </w:rPr>
      </w:pPr>
    </w:p>
    <w:p w:rsidR="001007BD" w:rsidP="003D7199" w:rsidRDefault="001007BD" w14:paraId="0B41413F" w14:textId="21B4F834">
      <w:pPr>
        <w:widowControl/>
        <w:ind w:left="720"/>
        <w:rPr>
          <w:rFonts w:ascii="Times New Roman" w:hAnsi="Times New Roman"/>
          <w:snapToGrid/>
          <w:sz w:val="24"/>
          <w:szCs w:val="24"/>
        </w:rPr>
      </w:pPr>
      <w:r w:rsidRPr="008810C2">
        <w:rPr>
          <w:rFonts w:ascii="Times New Roman" w:hAnsi="Times New Roman"/>
          <w:snapToGrid/>
          <w:sz w:val="24"/>
          <w:szCs w:val="24"/>
        </w:rPr>
        <w:t xml:space="preserve">The total annual staff cost of processing each triennial plan for all 54 </w:t>
      </w:r>
      <w:r>
        <w:rPr>
          <w:rFonts w:ascii="Times New Roman" w:hAnsi="Times New Roman"/>
          <w:snapToGrid/>
          <w:sz w:val="24"/>
          <w:szCs w:val="24"/>
        </w:rPr>
        <w:t>TANF states</w:t>
      </w:r>
      <w:r w:rsidRPr="008810C2">
        <w:rPr>
          <w:rFonts w:ascii="Times New Roman" w:hAnsi="Times New Roman"/>
          <w:snapToGrid/>
          <w:sz w:val="24"/>
          <w:szCs w:val="24"/>
        </w:rPr>
        <w:t xml:space="preserve"> </w:t>
      </w:r>
      <w:r>
        <w:rPr>
          <w:rFonts w:ascii="Times New Roman" w:hAnsi="Times New Roman"/>
          <w:snapToGrid/>
          <w:sz w:val="24"/>
          <w:szCs w:val="24"/>
        </w:rPr>
        <w:t>is</w:t>
      </w:r>
      <w:r w:rsidRPr="008810C2">
        <w:rPr>
          <w:rFonts w:ascii="Times New Roman" w:hAnsi="Times New Roman"/>
          <w:snapToGrid/>
          <w:sz w:val="24"/>
          <w:szCs w:val="24"/>
        </w:rPr>
        <w:t xml:space="preserve"> estimated to be $</w:t>
      </w:r>
      <w:r w:rsidR="0071138E">
        <w:rPr>
          <w:rFonts w:ascii="Times New Roman" w:hAnsi="Times New Roman"/>
          <w:snapToGrid/>
          <w:sz w:val="24"/>
          <w:szCs w:val="24"/>
        </w:rPr>
        <w:t>32,949.18</w:t>
      </w:r>
      <w:r w:rsidRPr="008810C2">
        <w:rPr>
          <w:rFonts w:ascii="Times New Roman" w:hAnsi="Times New Roman"/>
          <w:snapToGrid/>
          <w:sz w:val="24"/>
          <w:szCs w:val="24"/>
        </w:rPr>
        <w:t>.</w:t>
      </w:r>
      <w:r>
        <w:rPr>
          <w:rFonts w:ascii="Times New Roman" w:hAnsi="Times New Roman"/>
          <w:snapToGrid/>
          <w:sz w:val="24"/>
          <w:szCs w:val="24"/>
        </w:rPr>
        <w:t xml:space="preserve">  </w:t>
      </w:r>
      <w:r w:rsidRPr="008810C2">
        <w:rPr>
          <w:rFonts w:ascii="Times New Roman" w:hAnsi="Times New Roman"/>
          <w:snapToGrid/>
          <w:sz w:val="24"/>
          <w:szCs w:val="24"/>
        </w:rPr>
        <w:t>This is based on the estimate that preparation will take 594 state staff-hours at an average cost of $</w:t>
      </w:r>
      <w:r w:rsidR="0071138E">
        <w:rPr>
          <w:rFonts w:ascii="Times New Roman" w:hAnsi="Times New Roman"/>
          <w:snapToGrid/>
          <w:sz w:val="24"/>
          <w:szCs w:val="24"/>
        </w:rPr>
        <w:t>55.47</w:t>
      </w:r>
      <w:r w:rsidRPr="008810C2">
        <w:rPr>
          <w:rFonts w:ascii="Times New Roman" w:hAnsi="Times New Roman"/>
          <w:snapToGrid/>
          <w:sz w:val="24"/>
          <w:szCs w:val="24"/>
        </w:rPr>
        <w:t xml:space="preserve"> per hours (including overhead, fringe benefits, </w:t>
      </w:r>
      <w:proofErr w:type="spellStart"/>
      <w:r w:rsidRPr="008810C2">
        <w:rPr>
          <w:rFonts w:ascii="Times New Roman" w:hAnsi="Times New Roman"/>
          <w:snapToGrid/>
          <w:sz w:val="24"/>
          <w:szCs w:val="24"/>
        </w:rPr>
        <w:t>etc</w:t>
      </w:r>
      <w:proofErr w:type="spellEnd"/>
      <w:r w:rsidRPr="008810C2">
        <w:rPr>
          <w:rFonts w:ascii="Times New Roman" w:hAnsi="Times New Roman"/>
          <w:snapToGrid/>
          <w:sz w:val="24"/>
          <w:szCs w:val="24"/>
        </w:rPr>
        <w:t>)</w:t>
      </w:r>
      <w:r w:rsidR="00DF0323">
        <w:rPr>
          <w:rFonts w:ascii="Times New Roman" w:hAnsi="Times New Roman"/>
          <w:snapToGrid/>
          <w:sz w:val="24"/>
          <w:szCs w:val="24"/>
        </w:rPr>
        <w:t xml:space="preserve"> per </w:t>
      </w:r>
      <w:r w:rsidR="0071138E">
        <w:rPr>
          <w:rFonts w:ascii="Times New Roman" w:hAnsi="Times New Roman"/>
          <w:snapToGrid/>
          <w:sz w:val="24"/>
          <w:szCs w:val="24"/>
        </w:rPr>
        <w:t xml:space="preserve">the average state government employer costs from the </w:t>
      </w:r>
      <w:r w:rsidR="00DF0323">
        <w:rPr>
          <w:rFonts w:ascii="Times New Roman" w:hAnsi="Times New Roman"/>
          <w:snapToGrid/>
          <w:sz w:val="24"/>
          <w:szCs w:val="24"/>
        </w:rPr>
        <w:t>current Bureau of Labor Statistics estimates</w:t>
      </w:r>
      <w:r w:rsidR="0071138E">
        <w:rPr>
          <w:rFonts w:ascii="Times New Roman" w:hAnsi="Times New Roman"/>
          <w:snapToGrid/>
          <w:sz w:val="24"/>
          <w:szCs w:val="24"/>
        </w:rPr>
        <w:t xml:space="preserve"> noted at</w:t>
      </w:r>
      <w:r w:rsidR="00DF0323">
        <w:rPr>
          <w:rFonts w:ascii="Times New Roman" w:hAnsi="Times New Roman"/>
          <w:snapToGrid/>
          <w:sz w:val="24"/>
          <w:szCs w:val="24"/>
        </w:rPr>
        <w:t xml:space="preserve"> </w:t>
      </w:r>
      <w:hyperlink w:history="1" r:id="rId7">
        <w:r w:rsidRPr="000F4A68" w:rsidR="000B08D2">
          <w:rPr>
            <w:rStyle w:val="Hyperlink"/>
            <w:rFonts w:ascii="Times New Roman" w:hAnsi="Times New Roman"/>
            <w:snapToGrid/>
            <w:sz w:val="24"/>
            <w:szCs w:val="24"/>
          </w:rPr>
          <w:t>https://www.bls.gov/news.release/pdf/ecec.pdf</w:t>
        </w:r>
      </w:hyperlink>
      <w:r w:rsidRPr="008810C2">
        <w:rPr>
          <w:rFonts w:ascii="Times New Roman" w:hAnsi="Times New Roman"/>
          <w:snapToGrid/>
          <w:sz w:val="24"/>
          <w:szCs w:val="24"/>
        </w:rPr>
        <w:t>.</w:t>
      </w:r>
    </w:p>
    <w:p w:rsidR="00781CAA" w:rsidP="001046B1" w:rsidRDefault="00781CAA" w14:paraId="5082D0AF" w14:textId="3320BC94">
      <w:pPr>
        <w:widowControl/>
        <w:ind w:left="720"/>
        <w:rPr>
          <w:rFonts w:ascii="Times New Roman" w:hAnsi="Times New Roman"/>
          <w:snapToGrid/>
          <w:sz w:val="24"/>
          <w:szCs w:val="24"/>
        </w:rPr>
      </w:pPr>
    </w:p>
    <w:p w:rsidRPr="008810C2" w:rsidR="00BA307A" w:rsidP="001046B1" w:rsidRDefault="00BA307A" w14:paraId="09EF485E" w14:textId="77777777">
      <w:pPr>
        <w:widowControl/>
        <w:ind w:left="720"/>
        <w:rPr>
          <w:rFonts w:ascii="Times New Roman" w:hAnsi="Times New Roman"/>
          <w:snapToGrid/>
          <w:sz w:val="24"/>
          <w:szCs w:val="24"/>
        </w:rPr>
      </w:pPr>
    </w:p>
    <w:p w:rsidRPr="001046B1" w:rsidR="001007BD" w:rsidP="001046B1" w:rsidRDefault="001007BD" w14:paraId="6170C735"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Estimates of Other Total Annual Cost Burden to Respondents and Record Keepers </w:t>
      </w:r>
    </w:p>
    <w:p w:rsidR="001007BD" w:rsidP="003D7199" w:rsidRDefault="001007BD" w14:paraId="3E97145F" w14:textId="2BAB4CEB">
      <w:pPr>
        <w:widowControl/>
        <w:ind w:left="720"/>
        <w:rPr>
          <w:rFonts w:ascii="Times New Roman" w:hAnsi="Times New Roman"/>
          <w:snapToGrid/>
          <w:sz w:val="24"/>
          <w:szCs w:val="24"/>
        </w:rPr>
      </w:pPr>
      <w:r w:rsidRPr="008810C2">
        <w:rPr>
          <w:rFonts w:ascii="Times New Roman" w:hAnsi="Times New Roman"/>
          <w:snapToGrid/>
          <w:sz w:val="24"/>
          <w:szCs w:val="24"/>
        </w:rPr>
        <w:t>There are no direct monetary costs.</w:t>
      </w:r>
    </w:p>
    <w:p w:rsidR="003D7199" w:rsidP="001046B1" w:rsidRDefault="003D7199" w14:paraId="65B29F92" w14:textId="3BB80661">
      <w:pPr>
        <w:widowControl/>
        <w:ind w:left="720"/>
        <w:rPr>
          <w:rFonts w:ascii="Times New Roman" w:hAnsi="Times New Roman"/>
          <w:snapToGrid/>
          <w:sz w:val="24"/>
          <w:szCs w:val="24"/>
        </w:rPr>
      </w:pPr>
    </w:p>
    <w:p w:rsidRPr="008810C2" w:rsidR="00BA307A" w:rsidP="001046B1" w:rsidRDefault="00BA307A" w14:paraId="1DD994FA" w14:textId="77777777">
      <w:pPr>
        <w:widowControl/>
        <w:ind w:left="720"/>
        <w:rPr>
          <w:rFonts w:ascii="Times New Roman" w:hAnsi="Times New Roman"/>
          <w:snapToGrid/>
          <w:sz w:val="24"/>
          <w:szCs w:val="24"/>
        </w:rPr>
      </w:pPr>
    </w:p>
    <w:p w:rsidRPr="001046B1" w:rsidR="001007BD" w:rsidP="001046B1" w:rsidRDefault="001007BD" w14:paraId="44F54B5D"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Annualized Cost to the Federal Government </w:t>
      </w:r>
    </w:p>
    <w:p w:rsidR="001007BD" w:rsidP="003D7199" w:rsidRDefault="001007BD" w14:paraId="11591A3C" w14:textId="73BB06D0">
      <w:pPr>
        <w:widowControl/>
        <w:ind w:left="720"/>
        <w:rPr>
          <w:rFonts w:ascii="Times New Roman" w:hAnsi="Times New Roman"/>
          <w:snapToGrid/>
          <w:sz w:val="24"/>
          <w:szCs w:val="24"/>
        </w:rPr>
      </w:pPr>
      <w:r w:rsidRPr="008810C2">
        <w:rPr>
          <w:rFonts w:ascii="Times New Roman" w:hAnsi="Times New Roman"/>
          <w:snapToGrid/>
          <w:sz w:val="24"/>
          <w:szCs w:val="24"/>
        </w:rPr>
        <w:t xml:space="preserve">The </w:t>
      </w:r>
      <w:r>
        <w:rPr>
          <w:rFonts w:ascii="Times New Roman" w:hAnsi="Times New Roman"/>
          <w:snapToGrid/>
          <w:sz w:val="24"/>
          <w:szCs w:val="24"/>
        </w:rPr>
        <w:t>f</w:t>
      </w:r>
      <w:r w:rsidRPr="008810C2">
        <w:rPr>
          <w:rFonts w:ascii="Times New Roman" w:hAnsi="Times New Roman"/>
          <w:snapToGrid/>
          <w:sz w:val="24"/>
          <w:szCs w:val="24"/>
        </w:rPr>
        <w:t xml:space="preserve">ederal annual cost associated with Regional and Central Office staff reviewing and processing the </w:t>
      </w:r>
      <w:r>
        <w:rPr>
          <w:rFonts w:ascii="Times New Roman" w:hAnsi="Times New Roman"/>
          <w:snapToGrid/>
          <w:sz w:val="24"/>
          <w:szCs w:val="24"/>
        </w:rPr>
        <w:t>s</w:t>
      </w:r>
      <w:r w:rsidRPr="008810C2">
        <w:rPr>
          <w:rFonts w:ascii="Times New Roman" w:hAnsi="Times New Roman"/>
          <w:snapToGrid/>
          <w:sz w:val="24"/>
          <w:szCs w:val="24"/>
        </w:rPr>
        <w:t xml:space="preserve">tate TANF plans is estimated to be $29,700.  This is based on the estimate that preparation will take 594 staff hours at an average cost of $50 per hours </w:t>
      </w:r>
      <w:r w:rsidRPr="008810C2">
        <w:rPr>
          <w:rFonts w:ascii="Times New Roman" w:hAnsi="Times New Roman"/>
          <w:snapToGrid/>
          <w:sz w:val="24"/>
          <w:szCs w:val="24"/>
        </w:rPr>
        <w:lastRenderedPageBreak/>
        <w:t xml:space="preserve">(including overhead, fringe benefits, </w:t>
      </w:r>
      <w:proofErr w:type="spellStart"/>
      <w:r w:rsidRPr="008810C2">
        <w:rPr>
          <w:rFonts w:ascii="Times New Roman" w:hAnsi="Times New Roman"/>
          <w:snapToGrid/>
          <w:sz w:val="24"/>
          <w:szCs w:val="24"/>
        </w:rPr>
        <w:t>etc</w:t>
      </w:r>
      <w:proofErr w:type="spellEnd"/>
      <w:r w:rsidRPr="008810C2">
        <w:rPr>
          <w:rFonts w:ascii="Times New Roman" w:hAnsi="Times New Roman"/>
          <w:snapToGrid/>
          <w:sz w:val="24"/>
          <w:szCs w:val="24"/>
        </w:rPr>
        <w:t xml:space="preserve">). </w:t>
      </w:r>
      <w:r>
        <w:rPr>
          <w:rFonts w:ascii="Times New Roman" w:hAnsi="Times New Roman"/>
          <w:snapToGrid/>
          <w:sz w:val="24"/>
          <w:szCs w:val="24"/>
        </w:rPr>
        <w:t xml:space="preserve"> </w:t>
      </w:r>
      <w:r w:rsidR="00206087">
        <w:rPr>
          <w:rFonts w:ascii="Times New Roman" w:hAnsi="Times New Roman"/>
          <w:snapToGrid/>
          <w:sz w:val="24"/>
          <w:szCs w:val="24"/>
        </w:rPr>
        <w:t xml:space="preserve">Any other potential minor expenses are </w:t>
      </w:r>
      <w:r w:rsidRPr="008810C2">
        <w:rPr>
          <w:rFonts w:ascii="Times New Roman" w:hAnsi="Times New Roman"/>
          <w:snapToGrid/>
          <w:sz w:val="24"/>
          <w:szCs w:val="24"/>
        </w:rPr>
        <w:t xml:space="preserve">already built into our general administrative expense. </w:t>
      </w:r>
      <w:r>
        <w:rPr>
          <w:rFonts w:ascii="Times New Roman" w:hAnsi="Times New Roman"/>
          <w:snapToGrid/>
          <w:sz w:val="24"/>
          <w:szCs w:val="24"/>
        </w:rPr>
        <w:t xml:space="preserve"> </w:t>
      </w:r>
    </w:p>
    <w:p w:rsidR="003D7199" w:rsidP="001046B1" w:rsidRDefault="003D7199" w14:paraId="4A9AB1FE" w14:textId="3F34F737">
      <w:pPr>
        <w:widowControl/>
        <w:ind w:left="720"/>
        <w:rPr>
          <w:rFonts w:ascii="Times New Roman" w:hAnsi="Times New Roman"/>
          <w:snapToGrid/>
          <w:sz w:val="24"/>
          <w:szCs w:val="24"/>
        </w:rPr>
      </w:pPr>
    </w:p>
    <w:p w:rsidRPr="008810C2" w:rsidR="00BA307A" w:rsidP="001046B1" w:rsidRDefault="00BA307A" w14:paraId="6DFCBBE4" w14:textId="77777777">
      <w:pPr>
        <w:widowControl/>
        <w:ind w:left="720"/>
        <w:rPr>
          <w:rFonts w:ascii="Times New Roman" w:hAnsi="Times New Roman"/>
          <w:snapToGrid/>
          <w:sz w:val="24"/>
          <w:szCs w:val="24"/>
        </w:rPr>
      </w:pPr>
    </w:p>
    <w:p w:rsidRPr="001046B1" w:rsidR="001007BD" w:rsidP="001046B1" w:rsidRDefault="001007BD" w14:paraId="22503568"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Explanation for Program Changes or Adjustments </w:t>
      </w:r>
    </w:p>
    <w:p w:rsidR="001007BD" w:rsidP="003D7199" w:rsidRDefault="00DD4B6C" w14:paraId="7A1DA6CD" w14:textId="63EEE40E">
      <w:pPr>
        <w:widowControl/>
        <w:ind w:left="720"/>
        <w:rPr>
          <w:rFonts w:ascii="Times New Roman" w:hAnsi="Times New Roman"/>
          <w:snapToGrid/>
          <w:sz w:val="24"/>
          <w:szCs w:val="24"/>
        </w:rPr>
      </w:pPr>
      <w:r>
        <w:rPr>
          <w:rFonts w:ascii="Times New Roman" w:hAnsi="Times New Roman"/>
          <w:snapToGrid/>
          <w:sz w:val="24"/>
          <w:szCs w:val="24"/>
        </w:rPr>
        <w:t>There are no changes proposed as part of this request.</w:t>
      </w:r>
    </w:p>
    <w:p w:rsidR="003D7199" w:rsidP="001046B1" w:rsidRDefault="003D7199" w14:paraId="705BA72B" w14:textId="13C0FB8A">
      <w:pPr>
        <w:widowControl/>
        <w:ind w:left="720"/>
        <w:rPr>
          <w:rFonts w:ascii="Times New Roman" w:hAnsi="Times New Roman"/>
          <w:snapToGrid/>
          <w:sz w:val="24"/>
          <w:szCs w:val="24"/>
        </w:rPr>
      </w:pPr>
    </w:p>
    <w:p w:rsidR="00BA307A" w:rsidP="001046B1" w:rsidRDefault="00BA307A" w14:paraId="6D7E8B36" w14:textId="77777777">
      <w:pPr>
        <w:widowControl/>
        <w:ind w:left="720"/>
        <w:rPr>
          <w:rFonts w:ascii="Times New Roman" w:hAnsi="Times New Roman"/>
          <w:snapToGrid/>
          <w:sz w:val="24"/>
          <w:szCs w:val="24"/>
        </w:rPr>
      </w:pPr>
    </w:p>
    <w:p w:rsidRPr="001046B1" w:rsidR="001007BD" w:rsidP="001046B1" w:rsidRDefault="001007BD" w14:paraId="5E950660"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Plans for Tabulation and Publication and Project Time Schedule </w:t>
      </w:r>
    </w:p>
    <w:p w:rsidR="001007BD" w:rsidP="003D7199" w:rsidRDefault="001007BD" w14:paraId="16226D1D" w14:textId="5EAFE5B8">
      <w:pPr>
        <w:widowControl/>
        <w:ind w:left="720"/>
        <w:rPr>
          <w:rStyle w:val="Hyperlink"/>
          <w:rFonts w:ascii="Times New Roman" w:hAnsi="Times New Roman"/>
          <w:snapToGrid/>
          <w:sz w:val="24"/>
          <w:szCs w:val="24"/>
        </w:rPr>
      </w:pPr>
      <w:r w:rsidRPr="008810C2">
        <w:rPr>
          <w:rFonts w:ascii="Times New Roman" w:hAnsi="Times New Roman"/>
          <w:snapToGrid/>
          <w:sz w:val="24"/>
          <w:szCs w:val="24"/>
        </w:rPr>
        <w:t xml:space="preserve">Section 411 (b) of the </w:t>
      </w:r>
      <w:r w:rsidR="00670E35">
        <w:rPr>
          <w:rFonts w:ascii="Times New Roman" w:hAnsi="Times New Roman"/>
          <w:snapToGrid/>
          <w:sz w:val="24"/>
          <w:szCs w:val="24"/>
        </w:rPr>
        <w:t>Social Security Act</w:t>
      </w:r>
      <w:r w:rsidRPr="008810C2">
        <w:rPr>
          <w:rFonts w:ascii="Times New Roman" w:hAnsi="Times New Roman"/>
          <w:snapToGrid/>
          <w:sz w:val="24"/>
          <w:szCs w:val="24"/>
        </w:rPr>
        <w:t xml:space="preserve"> requires the Secretary to submit a report to Congress each year that includes characteristics of each state’s TANF program.</w:t>
      </w:r>
      <w:r>
        <w:rPr>
          <w:rFonts w:ascii="Times New Roman" w:hAnsi="Times New Roman"/>
          <w:snapToGrid/>
          <w:sz w:val="24"/>
          <w:szCs w:val="24"/>
        </w:rPr>
        <w:t xml:space="preserve"> </w:t>
      </w:r>
      <w:r w:rsidRPr="008810C2">
        <w:rPr>
          <w:rFonts w:ascii="Times New Roman" w:hAnsi="Times New Roman"/>
          <w:snapToGrid/>
          <w:sz w:val="24"/>
          <w:szCs w:val="24"/>
        </w:rPr>
        <w:t xml:space="preserve"> ACF uses that information that is in the </w:t>
      </w:r>
      <w:r>
        <w:rPr>
          <w:rFonts w:ascii="Times New Roman" w:hAnsi="Times New Roman"/>
          <w:snapToGrid/>
          <w:sz w:val="24"/>
          <w:szCs w:val="24"/>
        </w:rPr>
        <w:t>s</w:t>
      </w:r>
      <w:r w:rsidRPr="008810C2">
        <w:rPr>
          <w:rFonts w:ascii="Times New Roman" w:hAnsi="Times New Roman"/>
          <w:snapToGrid/>
          <w:sz w:val="24"/>
          <w:szCs w:val="24"/>
        </w:rPr>
        <w:t xml:space="preserve">tate plan as an important source of the information used to compile certain sections of this report. </w:t>
      </w:r>
      <w:r>
        <w:rPr>
          <w:rFonts w:ascii="Times New Roman" w:hAnsi="Times New Roman"/>
          <w:snapToGrid/>
          <w:sz w:val="24"/>
          <w:szCs w:val="24"/>
        </w:rPr>
        <w:t xml:space="preserve"> </w:t>
      </w:r>
      <w:r w:rsidRPr="008810C2">
        <w:rPr>
          <w:rFonts w:ascii="Times New Roman" w:hAnsi="Times New Roman"/>
          <w:snapToGrid/>
          <w:sz w:val="24"/>
          <w:szCs w:val="24"/>
        </w:rPr>
        <w:t xml:space="preserve">Published reports are posted to our web site at </w:t>
      </w:r>
      <w:hyperlink w:history="1" r:id="rId8">
        <w:r w:rsidRPr="008810C2">
          <w:rPr>
            <w:rStyle w:val="Hyperlink"/>
            <w:rFonts w:ascii="Times New Roman" w:hAnsi="Times New Roman"/>
            <w:snapToGrid/>
            <w:sz w:val="24"/>
            <w:szCs w:val="24"/>
          </w:rPr>
          <w:t>http://www.acf.hhs.gov/programs/ofa/</w:t>
        </w:r>
      </w:hyperlink>
    </w:p>
    <w:p w:rsidR="003D7199" w:rsidP="001046B1" w:rsidRDefault="003D7199" w14:paraId="10B5D1D7" w14:textId="2AAF8BA8">
      <w:pPr>
        <w:widowControl/>
        <w:ind w:left="720"/>
        <w:rPr>
          <w:rFonts w:ascii="Times New Roman" w:hAnsi="Times New Roman"/>
          <w:snapToGrid/>
          <w:sz w:val="24"/>
          <w:szCs w:val="24"/>
        </w:rPr>
      </w:pPr>
    </w:p>
    <w:p w:rsidRPr="008810C2" w:rsidR="00BA307A" w:rsidP="001046B1" w:rsidRDefault="00BA307A" w14:paraId="2B8D7B62" w14:textId="77777777">
      <w:pPr>
        <w:widowControl/>
        <w:ind w:left="720"/>
        <w:rPr>
          <w:rFonts w:ascii="Times New Roman" w:hAnsi="Times New Roman"/>
          <w:snapToGrid/>
          <w:sz w:val="24"/>
          <w:szCs w:val="24"/>
        </w:rPr>
      </w:pPr>
    </w:p>
    <w:p w:rsidRPr="001046B1" w:rsidR="001007BD" w:rsidP="001046B1" w:rsidRDefault="001007BD" w14:paraId="19F9AE10"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 xml:space="preserve">Reason(s) Display of OMB Expiration Date is Inappropriate </w:t>
      </w:r>
    </w:p>
    <w:p w:rsidR="001007BD" w:rsidP="003D7199" w:rsidRDefault="001007BD" w14:paraId="1A974FAA" w14:textId="384ADF13">
      <w:pPr>
        <w:widowControl/>
        <w:ind w:left="720"/>
        <w:rPr>
          <w:rFonts w:ascii="Times New Roman" w:hAnsi="Times New Roman"/>
          <w:snapToGrid/>
          <w:sz w:val="24"/>
          <w:szCs w:val="24"/>
        </w:rPr>
      </w:pPr>
      <w:r w:rsidRPr="008810C2">
        <w:rPr>
          <w:rFonts w:ascii="Times New Roman" w:hAnsi="Times New Roman"/>
          <w:snapToGrid/>
          <w:sz w:val="24"/>
          <w:szCs w:val="24"/>
        </w:rPr>
        <w:t>Display of the OMB expiration date is not inappropriate</w:t>
      </w:r>
      <w:r>
        <w:rPr>
          <w:rFonts w:ascii="Times New Roman" w:hAnsi="Times New Roman"/>
          <w:snapToGrid/>
          <w:sz w:val="24"/>
          <w:szCs w:val="24"/>
        </w:rPr>
        <w:t>.</w:t>
      </w:r>
    </w:p>
    <w:p w:rsidR="003D7199" w:rsidP="001046B1" w:rsidRDefault="003D7199" w14:paraId="2B5CBAB0" w14:textId="6DC31FC9">
      <w:pPr>
        <w:widowControl/>
        <w:ind w:left="720"/>
        <w:rPr>
          <w:rFonts w:ascii="Times New Roman" w:hAnsi="Times New Roman"/>
          <w:snapToGrid/>
          <w:sz w:val="24"/>
          <w:szCs w:val="24"/>
        </w:rPr>
      </w:pPr>
    </w:p>
    <w:p w:rsidRPr="008810C2" w:rsidR="00BA307A" w:rsidP="001046B1" w:rsidRDefault="00BA307A" w14:paraId="71A76345" w14:textId="77777777">
      <w:pPr>
        <w:widowControl/>
        <w:ind w:left="720"/>
        <w:rPr>
          <w:rFonts w:ascii="Times New Roman" w:hAnsi="Times New Roman"/>
          <w:snapToGrid/>
          <w:sz w:val="24"/>
          <w:szCs w:val="24"/>
        </w:rPr>
      </w:pPr>
    </w:p>
    <w:p w:rsidRPr="001046B1" w:rsidR="001007BD" w:rsidP="001046B1" w:rsidRDefault="001007BD" w14:paraId="39D7FAE9" w14:textId="77777777">
      <w:pPr>
        <w:widowControl/>
        <w:numPr>
          <w:ilvl w:val="0"/>
          <w:numId w:val="1"/>
        </w:numPr>
        <w:spacing w:after="120"/>
        <w:rPr>
          <w:rFonts w:ascii="Times New Roman" w:hAnsi="Times New Roman"/>
          <w:b/>
          <w:bCs/>
          <w:snapToGrid/>
          <w:sz w:val="24"/>
          <w:szCs w:val="24"/>
        </w:rPr>
      </w:pPr>
      <w:r w:rsidRPr="001046B1">
        <w:rPr>
          <w:rFonts w:ascii="Times New Roman" w:hAnsi="Times New Roman"/>
          <w:b/>
          <w:bCs/>
          <w:snapToGrid/>
          <w:sz w:val="24"/>
          <w:szCs w:val="24"/>
        </w:rPr>
        <w:t>Exceptions to Certification for Paperwork Reduction Act Submissions</w:t>
      </w:r>
    </w:p>
    <w:p w:rsidRPr="00B84CBC" w:rsidR="001007BD" w:rsidP="001046B1" w:rsidRDefault="001007BD" w14:paraId="2DC1816E" w14:textId="77777777">
      <w:pPr>
        <w:widowControl/>
        <w:ind w:left="720"/>
        <w:rPr>
          <w:rFonts w:ascii="Times New Roman" w:hAnsi="Times New Roman"/>
          <w:sz w:val="24"/>
          <w:szCs w:val="24"/>
        </w:rPr>
      </w:pPr>
      <w:r w:rsidRPr="008810C2">
        <w:rPr>
          <w:rFonts w:ascii="Times New Roman" w:hAnsi="Times New Roman"/>
          <w:snapToGrid/>
          <w:sz w:val="24"/>
          <w:szCs w:val="24"/>
        </w:rPr>
        <w:t>There are no exceptions to the certification statement in Item 19 of Form OMB 83-I</w:t>
      </w:r>
    </w:p>
    <w:p w:rsidRPr="008810C2" w:rsidR="001007BD" w:rsidP="001046B1" w:rsidRDefault="001007BD" w14:paraId="31F6030C" w14:textId="77777777">
      <w:pPr>
        <w:widowControl/>
        <w:rPr>
          <w:rFonts w:ascii="Times New Roman" w:hAnsi="Times New Roman"/>
          <w:snapToGrid/>
          <w:sz w:val="24"/>
          <w:szCs w:val="24"/>
        </w:rPr>
      </w:pPr>
    </w:p>
    <w:p w:rsidRPr="008810C2" w:rsidR="001007BD" w:rsidP="001046B1" w:rsidRDefault="001007BD" w14:paraId="45DFA73F" w14:textId="77777777">
      <w:pPr>
        <w:widowControl/>
        <w:ind w:left="720"/>
        <w:rPr>
          <w:rFonts w:ascii="Times New Roman" w:hAnsi="Times New Roman"/>
          <w:snapToGrid/>
          <w:sz w:val="24"/>
          <w:szCs w:val="24"/>
        </w:rPr>
      </w:pPr>
    </w:p>
    <w:p w:rsidR="00A93EFE" w:rsidP="003D7199" w:rsidRDefault="00A93EFE" w14:paraId="301FE518" w14:textId="77777777"/>
    <w:sectPr w:rsidR="00A93EFE" w:rsidSect="00A918E4">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7681" w14:textId="77777777" w:rsidR="00C431D5" w:rsidRDefault="00C431D5">
      <w:r>
        <w:separator/>
      </w:r>
    </w:p>
  </w:endnote>
  <w:endnote w:type="continuationSeparator" w:id="0">
    <w:p w14:paraId="25326C8D" w14:textId="77777777" w:rsidR="00C431D5" w:rsidRDefault="00C4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EB2" w14:textId="77777777" w:rsidR="00DC1C23" w:rsidRDefault="00BA307A">
    <w:pPr>
      <w:spacing w:before="140" w:line="100" w:lineRule="exact"/>
      <w:rPr>
        <w:sz w:val="10"/>
      </w:rPr>
    </w:pPr>
  </w:p>
  <w:p w14:paraId="2A7446B2" w14:textId="77777777" w:rsidR="00DC1C23" w:rsidRDefault="00BA307A">
    <w:pPr>
      <w:tabs>
        <w:tab w:val="left" w:pos="-720"/>
      </w:tabs>
      <w:suppressAutoHyphens/>
      <w:rPr>
        <w:sz w:val="24"/>
      </w:rPr>
    </w:pPr>
  </w:p>
  <w:p w14:paraId="49C8E0F2" w14:textId="77777777" w:rsidR="00DC1C23" w:rsidRDefault="00A347FF">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14:anchorId="7BA40532" wp14:editId="5E683FB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60D5FF" w14:textId="77777777" w:rsidR="00DC1C23" w:rsidRDefault="00A347F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55466">
                            <w:rPr>
                              <w:noProof/>
                              <w:sz w:val="24"/>
                            </w:rPr>
                            <w:t>3</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40532"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6060D5FF" w14:textId="77777777" w:rsidR="00DC1C23" w:rsidRDefault="00A347F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D55466">
                      <w:rPr>
                        <w:noProof/>
                        <w:sz w:val="24"/>
                      </w:rPr>
                      <w:t>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5347" w14:textId="77777777" w:rsidR="00C431D5" w:rsidRDefault="00C431D5">
      <w:r>
        <w:separator/>
      </w:r>
    </w:p>
  </w:footnote>
  <w:footnote w:type="continuationSeparator" w:id="0">
    <w:p w14:paraId="1DD8C75E" w14:textId="77777777" w:rsidR="00C431D5" w:rsidRDefault="00C43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BD"/>
    <w:rsid w:val="0003049F"/>
    <w:rsid w:val="00091336"/>
    <w:rsid w:val="000A5102"/>
    <w:rsid w:val="000B08D2"/>
    <w:rsid w:val="000E4737"/>
    <w:rsid w:val="001007BD"/>
    <w:rsid w:val="001046B1"/>
    <w:rsid w:val="00200ED3"/>
    <w:rsid w:val="00206087"/>
    <w:rsid w:val="002322E0"/>
    <w:rsid w:val="00366826"/>
    <w:rsid w:val="003C4982"/>
    <w:rsid w:val="003D7199"/>
    <w:rsid w:val="004429A1"/>
    <w:rsid w:val="0048424F"/>
    <w:rsid w:val="005919EE"/>
    <w:rsid w:val="00670E35"/>
    <w:rsid w:val="006856B4"/>
    <w:rsid w:val="0070020C"/>
    <w:rsid w:val="0071138E"/>
    <w:rsid w:val="007170EE"/>
    <w:rsid w:val="00717B43"/>
    <w:rsid w:val="00736C67"/>
    <w:rsid w:val="00781CAA"/>
    <w:rsid w:val="0079586D"/>
    <w:rsid w:val="007B71E6"/>
    <w:rsid w:val="008E28CE"/>
    <w:rsid w:val="008E6CEE"/>
    <w:rsid w:val="00A2718B"/>
    <w:rsid w:val="00A347FF"/>
    <w:rsid w:val="00A93EFE"/>
    <w:rsid w:val="00AC5740"/>
    <w:rsid w:val="00B153AD"/>
    <w:rsid w:val="00B22BAC"/>
    <w:rsid w:val="00B439E1"/>
    <w:rsid w:val="00BA307A"/>
    <w:rsid w:val="00C0304F"/>
    <w:rsid w:val="00C431D5"/>
    <w:rsid w:val="00CC2982"/>
    <w:rsid w:val="00CE53BF"/>
    <w:rsid w:val="00CF54C7"/>
    <w:rsid w:val="00D55466"/>
    <w:rsid w:val="00DA41A0"/>
    <w:rsid w:val="00DD4B6C"/>
    <w:rsid w:val="00DF0323"/>
    <w:rsid w:val="00DF08F6"/>
    <w:rsid w:val="00E05B12"/>
    <w:rsid w:val="00E16B11"/>
    <w:rsid w:val="00E92FBA"/>
    <w:rsid w:val="00F27CE5"/>
    <w:rsid w:val="00F67437"/>
    <w:rsid w:val="00FE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6631"/>
  <w15:chartTrackingRefBased/>
  <w15:docId w15:val="{12EFC4E0-A1AF-45F4-AA8B-2D5D319D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BD"/>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1007BD"/>
    <w:rPr>
      <w:sz w:val="24"/>
    </w:rPr>
  </w:style>
  <w:style w:type="character" w:customStyle="1" w:styleId="EndnoteTextChar">
    <w:name w:val="Endnote Text Char"/>
    <w:basedOn w:val="DefaultParagraphFont"/>
    <w:link w:val="EndnoteText"/>
    <w:semiHidden/>
    <w:rsid w:val="001007BD"/>
    <w:rPr>
      <w:rFonts w:ascii="Courier New" w:eastAsia="Times New Roman" w:hAnsi="Courier New" w:cs="Times New Roman"/>
      <w:snapToGrid w:val="0"/>
      <w:sz w:val="24"/>
      <w:szCs w:val="20"/>
    </w:rPr>
  </w:style>
  <w:style w:type="paragraph" w:styleId="TOAHeading">
    <w:name w:val="toa heading"/>
    <w:basedOn w:val="Normal"/>
    <w:next w:val="Normal"/>
    <w:semiHidden/>
    <w:rsid w:val="001007BD"/>
    <w:pPr>
      <w:tabs>
        <w:tab w:val="right" w:pos="9360"/>
      </w:tabs>
      <w:suppressAutoHyphens/>
    </w:pPr>
  </w:style>
  <w:style w:type="character" w:styleId="Hyperlink">
    <w:name w:val="Hyperlink"/>
    <w:basedOn w:val="DefaultParagraphFont"/>
    <w:rsid w:val="001007BD"/>
    <w:rPr>
      <w:color w:val="0000FF"/>
      <w:u w:val="single"/>
    </w:rPr>
  </w:style>
  <w:style w:type="paragraph" w:customStyle="1" w:styleId="ReportCover-Title">
    <w:name w:val="ReportCover-Title"/>
    <w:basedOn w:val="Normal"/>
    <w:rsid w:val="001007B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007BD"/>
    <w:pPr>
      <w:widowControl/>
      <w:spacing w:after="840" w:line="260" w:lineRule="exact"/>
    </w:pPr>
    <w:rPr>
      <w:rFonts w:ascii="Franklin Gothic Medium" w:hAnsi="Franklin Gothic Medium"/>
      <w:b/>
      <w:snapToGrid/>
      <w:color w:val="003C79"/>
      <w:sz w:val="24"/>
    </w:rPr>
  </w:style>
  <w:style w:type="paragraph" w:styleId="ListParagraph">
    <w:name w:val="List Paragraph"/>
    <w:basedOn w:val="Normal"/>
    <w:uiPriority w:val="34"/>
    <w:qFormat/>
    <w:rsid w:val="00206087"/>
    <w:pPr>
      <w:ind w:left="720"/>
      <w:contextualSpacing/>
    </w:pPr>
  </w:style>
  <w:style w:type="character" w:styleId="CommentReference">
    <w:name w:val="annotation reference"/>
    <w:basedOn w:val="DefaultParagraphFont"/>
    <w:unhideWhenUsed/>
    <w:rsid w:val="003D7199"/>
    <w:rPr>
      <w:sz w:val="16"/>
      <w:szCs w:val="16"/>
    </w:rPr>
  </w:style>
  <w:style w:type="paragraph" w:styleId="CommentText">
    <w:name w:val="annotation text"/>
    <w:basedOn w:val="Normal"/>
    <w:link w:val="CommentTextChar"/>
    <w:unhideWhenUsed/>
    <w:rsid w:val="003D7199"/>
  </w:style>
  <w:style w:type="character" w:customStyle="1" w:styleId="CommentTextChar">
    <w:name w:val="Comment Text Char"/>
    <w:basedOn w:val="DefaultParagraphFont"/>
    <w:link w:val="CommentText"/>
    <w:rsid w:val="003D7199"/>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D7199"/>
    <w:rPr>
      <w:b/>
      <w:bCs/>
    </w:rPr>
  </w:style>
  <w:style w:type="character" w:customStyle="1" w:styleId="CommentSubjectChar">
    <w:name w:val="Comment Subject Char"/>
    <w:basedOn w:val="CommentTextChar"/>
    <w:link w:val="CommentSubject"/>
    <w:uiPriority w:val="99"/>
    <w:semiHidden/>
    <w:rsid w:val="003D7199"/>
    <w:rPr>
      <w:rFonts w:ascii="Courier New" w:eastAsia="Times New Roman" w:hAnsi="Courier New" w:cs="Times New Roman"/>
      <w:b/>
      <w:bCs/>
      <w:snapToGrid w:val="0"/>
      <w:sz w:val="20"/>
      <w:szCs w:val="20"/>
    </w:rPr>
  </w:style>
  <w:style w:type="character" w:styleId="FollowedHyperlink">
    <w:name w:val="FollowedHyperlink"/>
    <w:basedOn w:val="DefaultParagraphFont"/>
    <w:uiPriority w:val="99"/>
    <w:semiHidden/>
    <w:unhideWhenUsed/>
    <w:rsid w:val="008E6CEE"/>
    <w:rPr>
      <w:color w:val="800080" w:themeColor="followedHyperlink"/>
      <w:u w:val="single"/>
    </w:rPr>
  </w:style>
  <w:style w:type="paragraph" w:styleId="Revision">
    <w:name w:val="Revision"/>
    <w:hidden/>
    <w:uiPriority w:val="99"/>
    <w:semiHidden/>
    <w:rsid w:val="002322E0"/>
    <w:pPr>
      <w:spacing w:after="0" w:line="240" w:lineRule="auto"/>
    </w:pPr>
    <w:rPr>
      <w:rFonts w:ascii="Courier New" w:eastAsia="Times New Roman" w:hAnsi="Courier New" w:cs="Times New Roman"/>
      <w:snapToGrid w:val="0"/>
      <w:sz w:val="20"/>
      <w:szCs w:val="20"/>
    </w:rPr>
  </w:style>
  <w:style w:type="character" w:styleId="UnresolvedMention">
    <w:name w:val="Unresolved Mention"/>
    <w:basedOn w:val="DefaultParagraphFont"/>
    <w:uiPriority w:val="99"/>
    <w:semiHidden/>
    <w:unhideWhenUsed/>
    <w:rsid w:val="000B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hhs.gov/programs/ofa/" TargetMode="External"/><Relationship Id="rId3" Type="http://schemas.openxmlformats.org/officeDocument/2006/relationships/settings" Target="settings.xml"/><Relationship Id="rId7"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Clairmont, Karen (ACF)</dc:creator>
  <cp:keywords/>
  <dc:description/>
  <cp:lastModifiedBy>ACF PRA</cp:lastModifiedBy>
  <cp:revision>3</cp:revision>
  <dcterms:created xsi:type="dcterms:W3CDTF">2022-07-14T10:51:00Z</dcterms:created>
  <dcterms:modified xsi:type="dcterms:W3CDTF">2022-07-14T10:52:00Z</dcterms:modified>
</cp:coreProperties>
</file>