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64E1" w:rsidP="002664E1" w14:paraId="79B95986" w14:textId="77777777">
      <w:pPr>
        <w:spacing w:after="144" w:line="312" w:lineRule="auto"/>
        <w:ind w:right="10"/>
        <w:jc w:val="center"/>
        <w:rPr>
          <w:b/>
          <w:sz w:val="24"/>
        </w:rPr>
      </w:pPr>
    </w:p>
    <w:p w:rsidR="002664E1" w:rsidP="002664E1" w14:paraId="56AC684F" w14:textId="77777777">
      <w:pPr>
        <w:spacing w:after="144" w:line="312" w:lineRule="auto"/>
        <w:ind w:right="10"/>
        <w:jc w:val="center"/>
        <w:rPr>
          <w:b/>
          <w:sz w:val="24"/>
        </w:rPr>
      </w:pPr>
    </w:p>
    <w:p w:rsidR="002664E1" w:rsidRPr="002664E1" w:rsidP="004720F6" w14:paraId="2F2A77A4" w14:textId="77777777">
      <w:pPr>
        <w:spacing w:after="144" w:line="312" w:lineRule="auto"/>
        <w:ind w:right="10"/>
        <w:jc w:val="center"/>
        <w:rPr>
          <w:b/>
          <w:sz w:val="24"/>
        </w:rPr>
      </w:pPr>
      <w:r w:rsidRPr="002664E1">
        <w:rPr>
          <w:b/>
          <w:sz w:val="24"/>
        </w:rPr>
        <w:t xml:space="preserve">Supporting Justification for OMB Clearance of </w:t>
      </w:r>
      <w:bookmarkStart w:id="0" w:name="_Hlk101524639"/>
      <w:r w:rsidRPr="002664E1">
        <w:rPr>
          <w:b/>
          <w:sz w:val="24"/>
        </w:rPr>
        <w:t xml:space="preserve">Teen Pregnancy Prevention </w:t>
      </w:r>
      <w:r w:rsidR="004720F6">
        <w:rPr>
          <w:b/>
          <w:sz w:val="24"/>
        </w:rPr>
        <w:t xml:space="preserve">FY20 Tier 1 and Tier 2 </w:t>
      </w:r>
      <w:r>
        <w:rPr>
          <w:b/>
          <w:sz w:val="24"/>
        </w:rPr>
        <w:t>Implementation Study</w:t>
      </w:r>
      <w:bookmarkEnd w:id="0"/>
    </w:p>
    <w:p w:rsidR="002664E1" w:rsidRPr="002664E1" w:rsidP="002664E1" w14:paraId="0B3C995C" w14:textId="77777777">
      <w:pPr>
        <w:spacing w:after="144" w:line="312" w:lineRule="auto"/>
        <w:ind w:right="10"/>
        <w:jc w:val="center"/>
        <w:rPr>
          <w:b/>
          <w:sz w:val="24"/>
        </w:rPr>
      </w:pPr>
    </w:p>
    <w:p w:rsidR="002664E1" w:rsidRPr="002664E1" w:rsidP="002664E1" w14:paraId="2ED41C8A" w14:textId="77777777">
      <w:pPr>
        <w:spacing w:after="144" w:line="312" w:lineRule="auto"/>
        <w:ind w:right="10"/>
        <w:jc w:val="center"/>
        <w:rPr>
          <w:b/>
          <w:sz w:val="24"/>
        </w:rPr>
      </w:pPr>
      <w:r w:rsidRPr="002664E1">
        <w:rPr>
          <w:sz w:val="24"/>
        </w:rPr>
        <w:t>Part A: Justification for the Collection of Implementation Data</w:t>
      </w:r>
    </w:p>
    <w:p w:rsidR="002664E1" w:rsidRPr="002664E1" w:rsidP="002664E1" w14:paraId="1A57A3DD" w14:textId="77777777">
      <w:pPr>
        <w:spacing w:after="144" w:line="312" w:lineRule="auto"/>
        <w:ind w:left="5580" w:right="720"/>
        <w:rPr>
          <w:b/>
          <w:sz w:val="24"/>
        </w:rPr>
      </w:pPr>
    </w:p>
    <w:p w:rsidR="002664E1" w:rsidRPr="002664E1" w:rsidP="002664E1" w14:paraId="2F3624EF" w14:textId="45D47B1B">
      <w:pPr>
        <w:tabs>
          <w:tab w:val="left" w:pos="-2040"/>
        </w:tabs>
        <w:spacing w:after="144" w:line="312" w:lineRule="auto"/>
        <w:jc w:val="center"/>
        <w:rPr>
          <w:b/>
          <w:sz w:val="24"/>
        </w:rPr>
      </w:pPr>
      <w:bookmarkStart w:id="1" w:name="DateMark"/>
      <w:bookmarkEnd w:id="1"/>
      <w:r>
        <w:rPr>
          <w:b/>
          <w:sz w:val="24"/>
        </w:rPr>
        <w:t xml:space="preserve">June </w:t>
      </w:r>
      <w:r w:rsidR="004720F6">
        <w:rPr>
          <w:b/>
          <w:sz w:val="24"/>
        </w:rPr>
        <w:t>2022</w:t>
      </w:r>
    </w:p>
    <w:p w:rsidR="00143FDF" w:rsidP="002664E1" w14:paraId="5AAB95A7" w14:textId="77777777">
      <w:pPr>
        <w:pStyle w:val="Title"/>
        <w:rPr>
          <w:rFonts w:ascii="Times New Roman" w:hAnsi="Times New Roman"/>
          <w:sz w:val="24"/>
          <w:szCs w:val="24"/>
        </w:rPr>
      </w:pPr>
    </w:p>
    <w:p w:rsidR="00143FDF" w:rsidRPr="00143FDF" w:rsidP="00143FDF" w14:paraId="244836F2" w14:textId="77777777"/>
    <w:p w:rsidR="00143FDF" w:rsidRPr="00143FDF" w:rsidP="00143FDF" w14:paraId="5AF14307" w14:textId="77777777"/>
    <w:p w:rsidR="00143FDF" w:rsidRPr="00143FDF" w:rsidP="00143FDF" w14:paraId="04DCD6F6" w14:textId="77777777"/>
    <w:p w:rsidR="00143FDF" w:rsidRPr="00143FDF" w:rsidP="00143FDF" w14:paraId="5E2CB7EA" w14:textId="77777777"/>
    <w:p w:rsidR="00143FDF" w:rsidRPr="00143FDF" w:rsidP="00143FDF" w14:paraId="1684FC20" w14:textId="77777777"/>
    <w:p w:rsidR="00143FDF" w:rsidRPr="00143FDF" w:rsidP="00143FDF" w14:paraId="6CD5126C" w14:textId="77777777"/>
    <w:p w:rsidR="00143FDF" w:rsidRPr="00143FDF" w:rsidP="00143FDF" w14:paraId="757B3B25" w14:textId="77777777"/>
    <w:p w:rsidR="00143FDF" w:rsidRPr="00143FDF" w:rsidP="00143FDF" w14:paraId="6BD4E024" w14:textId="77777777"/>
    <w:p w:rsidR="00143FDF" w:rsidRPr="00143FDF" w:rsidP="00143FDF" w14:paraId="1D6262D6" w14:textId="77777777"/>
    <w:p w:rsidR="00143FDF" w:rsidRPr="00143FDF" w:rsidP="00143FDF" w14:paraId="75183784" w14:textId="77777777"/>
    <w:p w:rsidR="00143FDF" w:rsidRPr="00143FDF" w:rsidP="00143FDF" w14:paraId="2E3DFC36" w14:textId="77777777"/>
    <w:p w:rsidR="00143FDF" w:rsidRPr="00143FDF" w:rsidP="00143FDF" w14:paraId="2264EC9E" w14:textId="77777777"/>
    <w:p w:rsidR="00143FDF" w:rsidRPr="00143FDF" w:rsidP="00143FDF" w14:paraId="79E43815" w14:textId="77777777"/>
    <w:p w:rsidR="00143FDF" w:rsidRPr="00143FDF" w:rsidP="00143FDF" w14:paraId="4B3BF24D" w14:textId="77777777">
      <w:pPr>
        <w:rPr>
          <w:sz w:val="24"/>
        </w:rPr>
      </w:pPr>
    </w:p>
    <w:p w:rsidR="00143FDF" w:rsidP="00143FDF" w14:paraId="7C271018" w14:textId="77777777">
      <w:pPr>
        <w:pStyle w:val="NormalSS"/>
        <w:spacing w:after="0"/>
        <w:contextualSpacing/>
        <w:rPr>
          <w:rFonts w:ascii="Times New Roman" w:hAnsi="Times New Roman"/>
        </w:rPr>
      </w:pPr>
    </w:p>
    <w:p w:rsidR="00143FDF" w:rsidP="00143FDF" w14:paraId="26600D36" w14:textId="77777777">
      <w:pPr>
        <w:pStyle w:val="NormalSS"/>
        <w:spacing w:after="0"/>
        <w:contextualSpacing/>
        <w:rPr>
          <w:rFonts w:ascii="Times New Roman" w:hAnsi="Times New Roman"/>
        </w:rPr>
      </w:pPr>
    </w:p>
    <w:p w:rsidR="00143FDF" w:rsidP="00143FDF" w14:paraId="47027B89" w14:textId="77777777">
      <w:pPr>
        <w:pStyle w:val="NormalSS"/>
        <w:spacing w:after="0"/>
        <w:contextualSpacing/>
        <w:rPr>
          <w:rFonts w:ascii="Times New Roman" w:hAnsi="Times New Roman"/>
        </w:rPr>
      </w:pPr>
    </w:p>
    <w:p w:rsidR="00143FDF" w:rsidP="00143FDF" w14:paraId="47FE44BA" w14:textId="77777777">
      <w:pPr>
        <w:pStyle w:val="NormalSS"/>
        <w:spacing w:after="0"/>
        <w:contextualSpacing/>
        <w:rPr>
          <w:rFonts w:ascii="Times New Roman" w:hAnsi="Times New Roman"/>
        </w:rPr>
      </w:pPr>
    </w:p>
    <w:p w:rsidR="00143FDF" w:rsidP="00143FDF" w14:paraId="01712D16" w14:textId="77777777">
      <w:pPr>
        <w:pStyle w:val="NormalSS"/>
        <w:spacing w:after="0"/>
        <w:contextualSpacing/>
        <w:rPr>
          <w:rFonts w:ascii="Times New Roman" w:hAnsi="Times New Roman"/>
        </w:rPr>
      </w:pPr>
    </w:p>
    <w:p w:rsidR="00143FDF" w:rsidP="00143FDF" w14:paraId="10A1CA81" w14:textId="77777777">
      <w:pPr>
        <w:pStyle w:val="NormalSS"/>
        <w:spacing w:after="0"/>
        <w:contextualSpacing/>
        <w:rPr>
          <w:rFonts w:ascii="Times New Roman" w:hAnsi="Times New Roman"/>
        </w:rPr>
      </w:pPr>
    </w:p>
    <w:p w:rsidR="00143FDF" w:rsidP="00143FDF" w14:paraId="6EF0D372" w14:textId="77777777">
      <w:pPr>
        <w:pStyle w:val="NormalSS"/>
        <w:spacing w:after="0"/>
        <w:contextualSpacing/>
        <w:rPr>
          <w:rFonts w:ascii="Times New Roman" w:hAnsi="Times New Roman"/>
        </w:rPr>
      </w:pPr>
    </w:p>
    <w:p w:rsidR="00143FDF" w:rsidP="00143FDF" w14:paraId="3F0A16C9" w14:textId="77777777">
      <w:pPr>
        <w:pStyle w:val="NormalSS"/>
        <w:spacing w:after="0"/>
        <w:contextualSpacing/>
        <w:rPr>
          <w:rFonts w:ascii="Times New Roman" w:hAnsi="Times New Roman"/>
        </w:rPr>
      </w:pPr>
    </w:p>
    <w:p w:rsidR="00143FDF" w:rsidP="00143FDF" w14:paraId="34D49254" w14:textId="77777777">
      <w:pPr>
        <w:pStyle w:val="NormalSS"/>
        <w:spacing w:after="0"/>
        <w:contextualSpacing/>
        <w:rPr>
          <w:rFonts w:ascii="Times New Roman" w:hAnsi="Times New Roman"/>
        </w:rPr>
      </w:pPr>
    </w:p>
    <w:p w:rsidR="00143FDF" w:rsidP="00143FDF" w14:paraId="121BF892" w14:textId="77777777">
      <w:pPr>
        <w:pStyle w:val="NormalSS"/>
        <w:spacing w:after="0"/>
        <w:contextualSpacing/>
        <w:rPr>
          <w:rFonts w:ascii="Times New Roman" w:hAnsi="Times New Roman"/>
        </w:rPr>
      </w:pPr>
    </w:p>
    <w:p w:rsidR="00143FDF" w:rsidP="00143FDF" w14:paraId="025C4B99" w14:textId="77777777">
      <w:pPr>
        <w:pStyle w:val="NormalSS"/>
        <w:spacing w:after="0"/>
        <w:contextualSpacing/>
        <w:rPr>
          <w:rFonts w:ascii="Times New Roman" w:hAnsi="Times New Roman"/>
        </w:rPr>
      </w:pPr>
    </w:p>
    <w:p w:rsidR="00143FDF" w:rsidP="00143FDF" w14:paraId="342C8C15" w14:textId="77777777">
      <w:pPr>
        <w:pStyle w:val="NormalSS"/>
        <w:spacing w:after="0"/>
        <w:contextualSpacing/>
        <w:rPr>
          <w:rFonts w:ascii="Times New Roman" w:hAnsi="Times New Roman"/>
        </w:rPr>
      </w:pPr>
    </w:p>
    <w:p w:rsidR="00143FDF" w:rsidRPr="00143FDF" w:rsidP="00143FDF" w14:paraId="711D28A0" w14:textId="2C06C464">
      <w:pPr>
        <w:pStyle w:val="NormalSS"/>
        <w:spacing w:after="0"/>
        <w:contextualSpacing/>
        <w:rPr>
          <w:rFonts w:ascii="Times New Roman" w:hAnsi="Times New Roman"/>
        </w:rPr>
      </w:pPr>
      <w:r w:rsidRPr="00143FDF">
        <w:rPr>
          <w:rFonts w:ascii="Times New Roman" w:hAnsi="Times New Roman"/>
        </w:rPr>
        <w:t>Department of Health and Human Services</w:t>
      </w:r>
    </w:p>
    <w:p w:rsidR="00143FDF" w:rsidRPr="00143FDF" w:rsidP="00143FDF" w14:paraId="1AD5DCEF" w14:textId="4B3458B4">
      <w:pPr>
        <w:pStyle w:val="NormalSS"/>
        <w:spacing w:after="0"/>
        <w:contextualSpacing/>
        <w:rPr>
          <w:rFonts w:ascii="Times New Roman" w:hAnsi="Times New Roman"/>
        </w:rPr>
      </w:pPr>
      <w:r w:rsidRPr="00143FDF">
        <w:rPr>
          <w:rFonts w:ascii="Times New Roman" w:hAnsi="Times New Roman"/>
        </w:rPr>
        <w:t>Office of Population Affairs</w:t>
      </w:r>
    </w:p>
    <w:p w:rsidR="00143FDF" w:rsidRPr="00143FDF" w:rsidP="00143FDF" w14:paraId="323BBDBE" w14:textId="35AAEB03">
      <w:pPr>
        <w:pStyle w:val="NormalSS"/>
        <w:spacing w:after="0"/>
        <w:contextualSpacing/>
        <w:rPr>
          <w:rFonts w:ascii="Times New Roman" w:hAnsi="Times New Roman"/>
        </w:rPr>
      </w:pPr>
      <w:r w:rsidRPr="00143FDF">
        <w:rPr>
          <w:rFonts w:ascii="Times New Roman" w:hAnsi="Times New Roman"/>
        </w:rPr>
        <w:t>1101 Wootton Pkwy</w:t>
      </w:r>
    </w:p>
    <w:p w:rsidR="00143FDF" w:rsidRPr="0020251B" w:rsidP="00143FDF" w14:paraId="79068F74" w14:textId="0D6466B8">
      <w:pPr>
        <w:pStyle w:val="NormalSS"/>
        <w:spacing w:after="0"/>
        <w:contextualSpacing/>
        <w:rPr>
          <w:rFonts w:ascii="Times New Roman" w:hAnsi="Times New Roman"/>
          <w:lang w:val="fr-FR"/>
        </w:rPr>
      </w:pPr>
      <w:r w:rsidRPr="0020251B">
        <w:rPr>
          <w:rFonts w:ascii="Times New Roman" w:hAnsi="Times New Roman"/>
          <w:lang w:val="fr-FR"/>
        </w:rPr>
        <w:t>Suite 200</w:t>
      </w:r>
    </w:p>
    <w:p w:rsidR="00143FDF" w:rsidRPr="0020251B" w:rsidP="00143FDF" w14:paraId="5FC55B36" w14:textId="0A8C66FA">
      <w:pPr>
        <w:pStyle w:val="NormalSS"/>
        <w:spacing w:after="0"/>
        <w:contextualSpacing/>
        <w:rPr>
          <w:rFonts w:ascii="Times New Roman" w:hAnsi="Times New Roman"/>
          <w:lang w:val="fr-FR"/>
        </w:rPr>
      </w:pPr>
      <w:r w:rsidRPr="0020251B">
        <w:rPr>
          <w:rFonts w:ascii="Times New Roman" w:hAnsi="Times New Roman"/>
          <w:lang w:val="fr-FR"/>
        </w:rPr>
        <w:t>Rockville, MD 20852</w:t>
      </w:r>
    </w:p>
    <w:p w:rsidR="00143FDF" w:rsidRPr="00611F35" w:rsidP="00143FDF" w14:paraId="47573154" w14:textId="3BEC7898">
      <w:pPr>
        <w:pStyle w:val="NormalSS"/>
        <w:spacing w:after="0"/>
        <w:contextualSpacing/>
        <w:rPr>
          <w:rFonts w:ascii="Times New Roman" w:hAnsi="Times New Roman"/>
          <w:lang w:val="pt-PT"/>
        </w:rPr>
      </w:pPr>
      <w:r w:rsidRPr="00611F35">
        <w:rPr>
          <w:rFonts w:ascii="Times New Roman" w:hAnsi="Times New Roman"/>
          <w:lang w:val="pt-PT"/>
        </w:rPr>
        <w:t xml:space="preserve">Alexandra Osberg, 301-348-3537 </w:t>
      </w:r>
      <w:hyperlink r:id="rId9" w:history="1">
        <w:r w:rsidRPr="00611F35">
          <w:rPr>
            <w:rStyle w:val="Hyperlink"/>
            <w:rFonts w:ascii="Times New Roman" w:hAnsi="Times New Roman"/>
            <w:lang w:val="pt-PT"/>
          </w:rPr>
          <w:t>alexandra.osberg@hhs.gov</w:t>
        </w:r>
      </w:hyperlink>
      <w:r w:rsidRPr="00611F35">
        <w:rPr>
          <w:rFonts w:ascii="Times New Roman" w:hAnsi="Times New Roman"/>
          <w:lang w:val="pt-PT"/>
        </w:rPr>
        <w:t xml:space="preserve"> </w:t>
      </w:r>
    </w:p>
    <w:p w:rsidR="009636C3" w:rsidRPr="002664E1" w:rsidP="002664E1" w14:paraId="4B33C1E3" w14:textId="55CB4D23">
      <w:pPr>
        <w:pStyle w:val="Title"/>
        <w:rPr>
          <w:rFonts w:ascii="Times New Roman" w:hAnsi="Times New Roman"/>
          <w:sz w:val="28"/>
          <w:szCs w:val="28"/>
        </w:rPr>
      </w:pPr>
      <w:r w:rsidRPr="00611F35">
        <w:rPr>
          <w:lang w:val="pt-PT"/>
        </w:rPr>
        <w:br w:type="page"/>
      </w:r>
      <w:r w:rsidRPr="002664E1">
        <w:rPr>
          <w:rFonts w:ascii="Times New Roman" w:hAnsi="Times New Roman"/>
          <w:sz w:val="28"/>
          <w:szCs w:val="28"/>
        </w:rPr>
        <w:t>Part A Introduction</w:t>
      </w:r>
    </w:p>
    <w:p w:rsidR="0098164F" w14:paraId="1BA1EBDF" w14:textId="77777777">
      <w:pPr>
        <w:tabs>
          <w:tab w:val="center" w:pos="4680"/>
        </w:tabs>
        <w:jc w:val="center"/>
        <w:rPr>
          <w:b/>
          <w:bCs/>
          <w:sz w:val="32"/>
          <w:szCs w:val="32"/>
        </w:rPr>
      </w:pPr>
    </w:p>
    <w:p w:rsidR="005030FB" w:rsidP="003C64C4" w14:paraId="2DE28BA6" w14:textId="1A44B54A">
      <w:pPr>
        <w:pStyle w:val="BodyText"/>
        <w:rPr>
          <w:color w:val="000000"/>
          <w:sz w:val="24"/>
        </w:rPr>
      </w:pPr>
      <w:r w:rsidRPr="00BE7946">
        <w:rPr>
          <w:color w:val="000000"/>
          <w:sz w:val="24"/>
        </w:rPr>
        <w:t xml:space="preserve">In July 2020, </w:t>
      </w:r>
      <w:r w:rsidRPr="00E13C74">
        <w:rPr>
          <w:sz w:val="24"/>
        </w:rPr>
        <w:t xml:space="preserve">the </w:t>
      </w:r>
      <w:r>
        <w:rPr>
          <w:sz w:val="24"/>
        </w:rPr>
        <w:t xml:space="preserve">Office of Population Affairs (OPA) </w:t>
      </w:r>
      <w:r w:rsidRPr="00BE7946">
        <w:rPr>
          <w:color w:val="000000"/>
          <w:sz w:val="24"/>
        </w:rPr>
        <w:t xml:space="preserve">awarded </w:t>
      </w:r>
      <w:r>
        <w:rPr>
          <w:color w:val="000000"/>
          <w:sz w:val="24"/>
        </w:rPr>
        <w:t xml:space="preserve">three-year </w:t>
      </w:r>
      <w:r w:rsidR="00805D02">
        <w:rPr>
          <w:color w:val="000000"/>
          <w:sz w:val="24"/>
        </w:rPr>
        <w:t xml:space="preserve">grants for </w:t>
      </w:r>
      <w:r>
        <w:rPr>
          <w:sz w:val="24"/>
        </w:rPr>
        <w:t xml:space="preserve">Teen Pregnancy Prevention (TPP) </w:t>
      </w:r>
      <w:r w:rsidRPr="564117FF" w:rsidR="00B754C2">
        <w:rPr>
          <w:i/>
          <w:iCs/>
          <w:sz w:val="24"/>
        </w:rPr>
        <w:t>Tier 1-Optimally Changing the Map for Teen Pregnancy Prevention</w:t>
      </w:r>
      <w:r w:rsidRPr="564117FF" w:rsidR="00B754C2">
        <w:rPr>
          <w:sz w:val="24"/>
        </w:rPr>
        <w:t xml:space="preserve"> </w:t>
      </w:r>
      <w:r w:rsidRPr="00955555" w:rsidR="00B754C2">
        <w:rPr>
          <w:i/>
          <w:iCs/>
          <w:sz w:val="24"/>
        </w:rPr>
        <w:t>through Replication of Programs Proven Effective</w:t>
      </w:r>
      <w:r>
        <w:rPr>
          <w:color w:val="000000"/>
          <w:sz w:val="24"/>
        </w:rPr>
        <w:t xml:space="preserve"> </w:t>
      </w:r>
      <w:r w:rsidRPr="00BE7946">
        <w:rPr>
          <w:color w:val="000000"/>
          <w:sz w:val="24"/>
        </w:rPr>
        <w:t xml:space="preserve">to 49 </w:t>
      </w:r>
      <w:r>
        <w:rPr>
          <w:color w:val="000000"/>
          <w:sz w:val="24"/>
        </w:rPr>
        <w:t>organizations</w:t>
      </w:r>
      <w:r w:rsidRPr="00BE7946">
        <w:rPr>
          <w:color w:val="000000"/>
          <w:sz w:val="24"/>
        </w:rPr>
        <w:t xml:space="preserve">, referred to as the </w:t>
      </w:r>
      <w:r>
        <w:rPr>
          <w:color w:val="000000"/>
          <w:sz w:val="24"/>
        </w:rPr>
        <w:t xml:space="preserve">fiscal year </w:t>
      </w:r>
      <w:r w:rsidR="0048470A">
        <w:rPr>
          <w:color w:val="000000"/>
          <w:sz w:val="24"/>
        </w:rPr>
        <w:t xml:space="preserve">(FY) </w:t>
      </w:r>
      <w:r w:rsidRPr="00BE7946">
        <w:rPr>
          <w:color w:val="000000"/>
          <w:sz w:val="24"/>
        </w:rPr>
        <w:t xml:space="preserve">2020 Tier 1 grantees. In June 2021, OPA awarded </w:t>
      </w:r>
      <w:r>
        <w:rPr>
          <w:color w:val="000000"/>
          <w:sz w:val="24"/>
        </w:rPr>
        <w:t xml:space="preserve">two-year TPP </w:t>
      </w:r>
      <w:r w:rsidR="00B754C2">
        <w:rPr>
          <w:color w:val="000000"/>
          <w:sz w:val="24"/>
        </w:rPr>
        <w:t xml:space="preserve">Tier 1 </w:t>
      </w:r>
      <w:r>
        <w:rPr>
          <w:color w:val="000000"/>
          <w:sz w:val="24"/>
        </w:rPr>
        <w:t xml:space="preserve">grants </w:t>
      </w:r>
      <w:r w:rsidRPr="00BE7946">
        <w:rPr>
          <w:color w:val="000000"/>
          <w:sz w:val="24"/>
        </w:rPr>
        <w:t xml:space="preserve">to an additional 13 </w:t>
      </w:r>
      <w:r>
        <w:rPr>
          <w:color w:val="000000"/>
          <w:sz w:val="24"/>
        </w:rPr>
        <w:t>organizations</w:t>
      </w:r>
      <w:r w:rsidRPr="00BE7946">
        <w:rPr>
          <w:color w:val="000000"/>
          <w:sz w:val="24"/>
        </w:rPr>
        <w:t xml:space="preserve">, known as the </w:t>
      </w:r>
      <w:r w:rsidR="00805D02">
        <w:rPr>
          <w:color w:val="000000"/>
          <w:sz w:val="24"/>
        </w:rPr>
        <w:t>FY</w:t>
      </w:r>
      <w:r>
        <w:rPr>
          <w:color w:val="000000"/>
          <w:sz w:val="24"/>
        </w:rPr>
        <w:t xml:space="preserve"> 2021</w:t>
      </w:r>
      <w:r w:rsidRPr="00BE7946">
        <w:rPr>
          <w:color w:val="000000"/>
          <w:sz w:val="24"/>
        </w:rPr>
        <w:t xml:space="preserve"> Tier 1 grantees. </w:t>
      </w:r>
      <w:r>
        <w:rPr>
          <w:color w:val="000000"/>
          <w:sz w:val="24"/>
        </w:rPr>
        <w:t xml:space="preserve">These 62 Tier 1 </w:t>
      </w:r>
      <w:r w:rsidR="00805D02">
        <w:rPr>
          <w:color w:val="000000"/>
          <w:sz w:val="24"/>
        </w:rPr>
        <w:t xml:space="preserve">grantee </w:t>
      </w:r>
      <w:r>
        <w:rPr>
          <w:color w:val="000000"/>
          <w:sz w:val="24"/>
        </w:rPr>
        <w:t>organizations are</w:t>
      </w:r>
      <w:r w:rsidR="00E55196">
        <w:rPr>
          <w:color w:val="000000"/>
          <w:sz w:val="24"/>
        </w:rPr>
        <w:t xml:space="preserve"> using a systems-thinking approach to</w:t>
      </w:r>
      <w:r>
        <w:rPr>
          <w:color w:val="000000"/>
          <w:sz w:val="24"/>
        </w:rPr>
        <w:t xml:space="preserve"> replicate</w:t>
      </w:r>
      <w:r w:rsidRPr="00BE7946">
        <w:rPr>
          <w:color w:val="000000"/>
          <w:sz w:val="24"/>
        </w:rPr>
        <w:t xml:space="preserve"> </w:t>
      </w:r>
      <w:r>
        <w:rPr>
          <w:color w:val="000000"/>
          <w:sz w:val="24"/>
        </w:rPr>
        <w:t xml:space="preserve">evidence-based, </w:t>
      </w:r>
      <w:r w:rsidRPr="005030FB">
        <w:rPr>
          <w:color w:val="000000"/>
          <w:sz w:val="24"/>
        </w:rPr>
        <w:t>culturally appropriate, and age-appropriate programs and support services</w:t>
      </w:r>
      <w:r w:rsidR="009013D4">
        <w:rPr>
          <w:color w:val="000000"/>
          <w:sz w:val="24"/>
        </w:rPr>
        <w:t xml:space="preserve"> </w:t>
      </w:r>
      <w:r w:rsidRPr="00BE7946">
        <w:rPr>
          <w:color w:val="000000"/>
          <w:sz w:val="24"/>
        </w:rPr>
        <w:t xml:space="preserve">to </w:t>
      </w:r>
      <w:r w:rsidR="009013D4">
        <w:rPr>
          <w:color w:val="000000"/>
          <w:sz w:val="24"/>
        </w:rPr>
        <w:t>prevent and reduce rates of</w:t>
      </w:r>
      <w:r w:rsidRPr="00BE7946">
        <w:rPr>
          <w:color w:val="000000"/>
          <w:sz w:val="24"/>
        </w:rPr>
        <w:t xml:space="preserve"> teen pregnancy </w:t>
      </w:r>
      <w:r w:rsidR="009013D4">
        <w:rPr>
          <w:color w:val="000000"/>
          <w:sz w:val="24"/>
        </w:rPr>
        <w:t>and sexually transmitted infections (STIs) and improve adolescent health</w:t>
      </w:r>
      <w:r>
        <w:rPr>
          <w:color w:val="000000"/>
          <w:sz w:val="24"/>
        </w:rPr>
        <w:t xml:space="preserve"> in </w:t>
      </w:r>
      <w:r w:rsidRPr="005030FB">
        <w:rPr>
          <w:color w:val="000000"/>
          <w:sz w:val="24"/>
        </w:rPr>
        <w:t>communities or populations disproportionately impacted by teen pregnancy and STIs</w:t>
      </w:r>
      <w:r w:rsidRPr="00BE7946">
        <w:rPr>
          <w:color w:val="000000"/>
          <w:sz w:val="24"/>
        </w:rPr>
        <w:t>.</w:t>
      </w:r>
      <w:r>
        <w:rPr>
          <w:color w:val="000000"/>
          <w:sz w:val="24"/>
        </w:rPr>
        <w:t xml:space="preserve"> </w:t>
      </w:r>
    </w:p>
    <w:p w:rsidR="00BE7946" w:rsidP="003C64C4" w14:paraId="67143DA3" w14:textId="2F49F674">
      <w:pPr>
        <w:pStyle w:val="BodyText"/>
        <w:rPr>
          <w:sz w:val="24"/>
        </w:rPr>
      </w:pPr>
      <w:r>
        <w:rPr>
          <w:color w:val="000000"/>
          <w:sz w:val="24"/>
        </w:rPr>
        <w:t xml:space="preserve">In July 2020, OPA also awarded three-year </w:t>
      </w:r>
      <w:r w:rsidR="00805D02">
        <w:rPr>
          <w:color w:val="000000"/>
          <w:sz w:val="24"/>
        </w:rPr>
        <w:t xml:space="preserve">grants for </w:t>
      </w:r>
      <w:r w:rsidRPr="564117FF" w:rsidR="0048470A">
        <w:rPr>
          <w:i/>
          <w:iCs/>
          <w:sz w:val="24"/>
        </w:rPr>
        <w:t>Tier 2-Innovation and Impact Networks</w:t>
      </w:r>
      <w:r>
        <w:rPr>
          <w:color w:val="000000"/>
          <w:sz w:val="24"/>
        </w:rPr>
        <w:t xml:space="preserve"> to 13 organizations, referred to as the Tier 2 grantees</w:t>
      </w:r>
      <w:r w:rsidR="00DA2110">
        <w:rPr>
          <w:color w:val="000000"/>
          <w:sz w:val="24"/>
        </w:rPr>
        <w:t xml:space="preserve">. These 13 </w:t>
      </w:r>
      <w:r w:rsidR="00311A23">
        <w:rPr>
          <w:color w:val="000000"/>
          <w:sz w:val="24"/>
        </w:rPr>
        <w:t xml:space="preserve">grantee </w:t>
      </w:r>
      <w:r w:rsidR="00DA2110">
        <w:rPr>
          <w:color w:val="000000"/>
          <w:sz w:val="24"/>
        </w:rPr>
        <w:t xml:space="preserve">organizations are forming </w:t>
      </w:r>
      <w:r w:rsidR="00E55196">
        <w:rPr>
          <w:color w:val="000000"/>
          <w:sz w:val="24"/>
        </w:rPr>
        <w:t xml:space="preserve">multidisciplinary </w:t>
      </w:r>
      <w:r w:rsidRPr="00BE7946" w:rsidR="00A356AB">
        <w:rPr>
          <w:color w:val="000000"/>
          <w:sz w:val="24"/>
        </w:rPr>
        <w:t xml:space="preserve">innovation and impact networks </w:t>
      </w:r>
      <w:r w:rsidR="00A356AB">
        <w:rPr>
          <w:color w:val="000000"/>
          <w:sz w:val="24"/>
        </w:rPr>
        <w:t xml:space="preserve">that will </w:t>
      </w:r>
      <w:r w:rsidRPr="00BE7946">
        <w:rPr>
          <w:color w:val="000000"/>
          <w:sz w:val="24"/>
        </w:rPr>
        <w:t>develop, test, refin</w:t>
      </w:r>
      <w:r w:rsidR="00A356AB">
        <w:rPr>
          <w:color w:val="000000"/>
          <w:sz w:val="24"/>
        </w:rPr>
        <w:t>e</w:t>
      </w:r>
      <w:r w:rsidRPr="00BE7946">
        <w:rPr>
          <w:color w:val="000000"/>
          <w:sz w:val="24"/>
        </w:rPr>
        <w:t>, evaluat</w:t>
      </w:r>
      <w:r w:rsidR="00A356AB">
        <w:rPr>
          <w:color w:val="000000"/>
          <w:sz w:val="24"/>
        </w:rPr>
        <w:t xml:space="preserve">e, and disseminate </w:t>
      </w:r>
      <w:r w:rsidRPr="00BE7946">
        <w:rPr>
          <w:color w:val="000000"/>
          <w:sz w:val="24"/>
        </w:rPr>
        <w:t>innovative</w:t>
      </w:r>
      <w:r w:rsidR="00E55196">
        <w:rPr>
          <w:color w:val="000000"/>
          <w:sz w:val="24"/>
        </w:rPr>
        <w:t xml:space="preserve"> new teen pregnancy and STI prevention</w:t>
      </w:r>
      <w:r w:rsidRPr="00BE7946">
        <w:rPr>
          <w:color w:val="000000"/>
          <w:sz w:val="24"/>
        </w:rPr>
        <w:t xml:space="preserve"> programs</w:t>
      </w:r>
      <w:r w:rsidR="00E55196">
        <w:rPr>
          <w:color w:val="000000"/>
          <w:sz w:val="24"/>
        </w:rPr>
        <w:t xml:space="preserve"> </w:t>
      </w:r>
      <w:r w:rsidRPr="00E55196" w:rsidR="00E55196">
        <w:rPr>
          <w:color w:val="000000"/>
          <w:sz w:val="24"/>
        </w:rPr>
        <w:t>to reduce the rates of teen pregnancy and STIs</w:t>
      </w:r>
      <w:r w:rsidR="005030FB">
        <w:rPr>
          <w:color w:val="000000"/>
          <w:sz w:val="24"/>
        </w:rPr>
        <w:t>. Each grantee is tailoring their programming for a</w:t>
      </w:r>
      <w:r w:rsidRPr="005030FB" w:rsidR="005030FB">
        <w:rPr>
          <w:color w:val="000000"/>
          <w:sz w:val="24"/>
        </w:rPr>
        <w:t>dolescents, programs, and systems affiliated with one of the following priority areas</w:t>
      </w:r>
      <w:r w:rsidR="005030FB">
        <w:rPr>
          <w:color w:val="000000"/>
          <w:sz w:val="24"/>
        </w:rPr>
        <w:t xml:space="preserve">: </w:t>
      </w:r>
      <w:r w:rsidRPr="005030FB" w:rsidR="005030FB">
        <w:rPr>
          <w:color w:val="000000"/>
          <w:sz w:val="24"/>
        </w:rPr>
        <w:t>(1) juvenile justice, (2) foster care/child welfare, (3) caregivers, (4) expectant and parenting youth, (5) youth with disabilities, (6) youth access to and experience with sexual health care, or (7) youth engagement</w:t>
      </w:r>
      <w:r w:rsidR="005030FB">
        <w:rPr>
          <w:color w:val="000000"/>
          <w:sz w:val="24"/>
        </w:rPr>
        <w:t xml:space="preserve">. </w:t>
      </w:r>
    </w:p>
    <w:p w:rsidR="00E13C74" w:rsidRPr="001E5C1A" w:rsidP="003C64C4" w14:paraId="0E8D8A5B" w14:textId="238EDBA4">
      <w:pPr>
        <w:pStyle w:val="BodyText"/>
        <w:rPr>
          <w:sz w:val="24"/>
        </w:rPr>
      </w:pPr>
      <w:r w:rsidRPr="005030FB">
        <w:rPr>
          <w:sz w:val="24"/>
        </w:rPr>
        <w:t>The</w:t>
      </w:r>
      <w:r w:rsidRPr="005030FB" w:rsidR="002001DD">
        <w:rPr>
          <w:sz w:val="24"/>
        </w:rPr>
        <w:t xml:space="preserve"> </w:t>
      </w:r>
      <w:r w:rsidRPr="004640F9" w:rsidR="002001DD">
        <w:rPr>
          <w:iCs/>
          <w:sz w:val="24"/>
        </w:rPr>
        <w:t>TPP</w:t>
      </w:r>
      <w:r w:rsidRPr="004640F9" w:rsidR="005030FB">
        <w:rPr>
          <w:iCs/>
          <w:sz w:val="24"/>
        </w:rPr>
        <w:t>20</w:t>
      </w:r>
      <w:r w:rsidRPr="004640F9" w:rsidR="002001DD">
        <w:rPr>
          <w:iCs/>
          <w:sz w:val="24"/>
        </w:rPr>
        <w:t xml:space="preserve"> Implementation Study</w:t>
      </w:r>
      <w:r w:rsidRPr="004640F9" w:rsidR="00615B53">
        <w:rPr>
          <w:iCs/>
          <w:sz w:val="24"/>
        </w:rPr>
        <w:t xml:space="preserve"> </w:t>
      </w:r>
      <w:r w:rsidRPr="005030FB" w:rsidR="00615B53">
        <w:rPr>
          <w:sz w:val="24"/>
        </w:rPr>
        <w:t>will</w:t>
      </w:r>
      <w:r w:rsidRPr="005030FB">
        <w:rPr>
          <w:sz w:val="24"/>
        </w:rPr>
        <w:t xml:space="preserve"> add valuable information to what </w:t>
      </w:r>
      <w:r w:rsidR="00311A23">
        <w:rPr>
          <w:sz w:val="24"/>
        </w:rPr>
        <w:t>is known</w:t>
      </w:r>
      <w:r w:rsidRPr="005030FB">
        <w:rPr>
          <w:sz w:val="24"/>
        </w:rPr>
        <w:t xml:space="preserve"> about </w:t>
      </w:r>
      <w:r w:rsidRPr="005030FB" w:rsidR="002001DD">
        <w:rPr>
          <w:sz w:val="24"/>
        </w:rPr>
        <w:t xml:space="preserve">the implementation of </w:t>
      </w:r>
      <w:r w:rsidRPr="005030FB">
        <w:rPr>
          <w:sz w:val="24"/>
        </w:rPr>
        <w:t xml:space="preserve">TPP programs. </w:t>
      </w:r>
      <w:r w:rsidRPr="005030FB" w:rsidR="00CA030E">
        <w:rPr>
          <w:sz w:val="24"/>
        </w:rPr>
        <w:t>O</w:t>
      </w:r>
      <w:r w:rsidRPr="005030FB" w:rsidR="005030FB">
        <w:rPr>
          <w:sz w:val="24"/>
        </w:rPr>
        <w:t>PA</w:t>
      </w:r>
      <w:r w:rsidRPr="005030FB" w:rsidR="00CA030E">
        <w:rPr>
          <w:sz w:val="24"/>
        </w:rPr>
        <w:t xml:space="preserve"> is</w:t>
      </w:r>
      <w:r w:rsidRPr="005030FB">
        <w:rPr>
          <w:sz w:val="24"/>
        </w:rPr>
        <w:t xml:space="preserve"> e</w:t>
      </w:r>
      <w:r w:rsidRPr="005030FB">
        <w:rPr>
          <w:sz w:val="24"/>
        </w:rPr>
        <w:t>xplicit</w:t>
      </w:r>
      <w:r w:rsidRPr="005030FB" w:rsidR="00CA030E">
        <w:rPr>
          <w:sz w:val="24"/>
        </w:rPr>
        <w:t>ly</w:t>
      </w:r>
      <w:r w:rsidRPr="005030FB">
        <w:rPr>
          <w:sz w:val="24"/>
        </w:rPr>
        <w:t xml:space="preserve"> interest</w:t>
      </w:r>
      <w:r w:rsidRPr="005030FB" w:rsidR="00CA030E">
        <w:rPr>
          <w:sz w:val="24"/>
        </w:rPr>
        <w:t>ed</w:t>
      </w:r>
      <w:r w:rsidRPr="005030FB">
        <w:rPr>
          <w:sz w:val="24"/>
        </w:rPr>
        <w:t xml:space="preserve"> in understanding and documenting how the </w:t>
      </w:r>
      <w:r w:rsidRPr="005030FB" w:rsidR="005030FB">
        <w:rPr>
          <w:sz w:val="24"/>
        </w:rPr>
        <w:t>75</w:t>
      </w:r>
      <w:r w:rsidRPr="005030FB">
        <w:rPr>
          <w:sz w:val="24"/>
        </w:rPr>
        <w:t xml:space="preserve"> Tier 1</w:t>
      </w:r>
      <w:r w:rsidRPr="005030FB" w:rsidR="005030FB">
        <w:rPr>
          <w:sz w:val="24"/>
        </w:rPr>
        <w:t xml:space="preserve"> and Tier 2</w:t>
      </w:r>
      <w:r w:rsidRPr="005030FB">
        <w:rPr>
          <w:sz w:val="24"/>
        </w:rPr>
        <w:t xml:space="preserve"> gra</w:t>
      </w:r>
      <w:r w:rsidRPr="005030FB" w:rsidR="002001DD">
        <w:rPr>
          <w:sz w:val="24"/>
        </w:rPr>
        <w:t>ntees are implementing TPP projects</w:t>
      </w:r>
      <w:r w:rsidRPr="005030FB">
        <w:rPr>
          <w:sz w:val="24"/>
        </w:rPr>
        <w:t xml:space="preserve"> in their communities </w:t>
      </w:r>
      <w:r w:rsidRPr="005030FB" w:rsidR="005030FB">
        <w:rPr>
          <w:sz w:val="24"/>
        </w:rPr>
        <w:t xml:space="preserve">or selected priority areas, </w:t>
      </w:r>
      <w:r w:rsidRPr="005030FB">
        <w:rPr>
          <w:sz w:val="24"/>
        </w:rPr>
        <w:t>the challenges they have faced in this process</w:t>
      </w:r>
      <w:r w:rsidRPr="005030FB" w:rsidR="005030FB">
        <w:rPr>
          <w:sz w:val="24"/>
        </w:rPr>
        <w:t xml:space="preserve">, </w:t>
      </w:r>
      <w:r w:rsidR="00311A23">
        <w:rPr>
          <w:sz w:val="24"/>
        </w:rPr>
        <w:t xml:space="preserve">facilitators of successful implementation, </w:t>
      </w:r>
      <w:r w:rsidRPr="005030FB" w:rsidR="005030FB">
        <w:rPr>
          <w:sz w:val="24"/>
        </w:rPr>
        <w:t>and adaptations made in response to the COVID-19 pandemic</w:t>
      </w:r>
      <w:r w:rsidRPr="005030FB">
        <w:rPr>
          <w:sz w:val="24"/>
        </w:rPr>
        <w:t>.</w:t>
      </w:r>
      <w:r w:rsidRPr="005030FB" w:rsidR="0084089D">
        <w:rPr>
          <w:sz w:val="24"/>
        </w:rPr>
        <w:t xml:space="preserve"> This package covers the review and </w:t>
      </w:r>
      <w:r w:rsidRPr="001E5C1A" w:rsidR="0084089D">
        <w:rPr>
          <w:sz w:val="24"/>
        </w:rPr>
        <w:t>documentation of grantee approaches and experiences.</w:t>
      </w:r>
      <w:r w:rsidRPr="001E5C1A">
        <w:rPr>
          <w:sz w:val="24"/>
        </w:rPr>
        <w:t xml:space="preserve"> </w:t>
      </w:r>
      <w:r w:rsidRPr="001E5C1A" w:rsidR="00322B2C">
        <w:rPr>
          <w:sz w:val="24"/>
        </w:rPr>
        <w:t xml:space="preserve">  </w:t>
      </w:r>
    </w:p>
    <w:p w:rsidR="0098164F" w:rsidRPr="001E5C1A" w:rsidP="009636C3" w14:paraId="67018D5D" w14:textId="77777777">
      <w:pPr>
        <w:numPr>
          <w:ilvl w:val="0"/>
          <w:numId w:val="2"/>
        </w:numPr>
        <w:tabs>
          <w:tab w:val="num" w:pos="360"/>
          <w:tab w:val="clear" w:pos="1080"/>
        </w:tabs>
        <w:ind w:left="720" w:hanging="720"/>
        <w:rPr>
          <w:b/>
          <w:sz w:val="24"/>
        </w:rPr>
      </w:pPr>
      <w:r w:rsidRPr="001E5C1A">
        <w:rPr>
          <w:b/>
          <w:sz w:val="24"/>
        </w:rPr>
        <w:t>Circumstances Making the Collection of Information Necessary</w:t>
      </w:r>
    </w:p>
    <w:p w:rsidR="00E13C74" w:rsidRPr="006B791B" w:rsidP="00E13C74" w14:paraId="41990D7D" w14:textId="77777777">
      <w:pPr>
        <w:rPr>
          <w:color w:val="2F5496"/>
          <w:sz w:val="24"/>
        </w:rPr>
      </w:pPr>
    </w:p>
    <w:p w:rsidR="00BC38DC" w:rsidRPr="00BC38DC" w:rsidP="00BC38DC" w14:paraId="27A7530C" w14:textId="7C7E31F8">
      <w:pPr>
        <w:rPr>
          <w:sz w:val="24"/>
        </w:rPr>
      </w:pPr>
      <w:r>
        <w:rPr>
          <w:sz w:val="24"/>
        </w:rPr>
        <w:t>OPA</w:t>
      </w:r>
      <w:r w:rsidRPr="00BC38DC">
        <w:rPr>
          <w:sz w:val="24"/>
        </w:rPr>
        <w:t xml:space="preserve"> seeks </w:t>
      </w:r>
      <w:r w:rsidR="006B2561">
        <w:rPr>
          <w:sz w:val="24"/>
        </w:rPr>
        <w:t xml:space="preserve">approval of a </w:t>
      </w:r>
      <w:r w:rsidR="00415291">
        <w:rPr>
          <w:sz w:val="24"/>
        </w:rPr>
        <w:t xml:space="preserve">new clearance request for </w:t>
      </w:r>
      <w:r w:rsidR="005F0762">
        <w:rPr>
          <w:sz w:val="24"/>
        </w:rPr>
        <w:t xml:space="preserve">two years of </w:t>
      </w:r>
      <w:r w:rsidRPr="00BC38DC">
        <w:rPr>
          <w:sz w:val="24"/>
        </w:rPr>
        <w:t xml:space="preserve">data collection activities described </w:t>
      </w:r>
      <w:r w:rsidR="00692DD7">
        <w:rPr>
          <w:sz w:val="24"/>
        </w:rPr>
        <w:t>herein</w:t>
      </w:r>
      <w:r w:rsidRPr="00BC38DC">
        <w:rPr>
          <w:sz w:val="24"/>
        </w:rPr>
        <w:t xml:space="preserve"> to support the </w:t>
      </w:r>
      <w:r w:rsidRPr="004640F9">
        <w:rPr>
          <w:iCs/>
          <w:sz w:val="24"/>
        </w:rPr>
        <w:t>TPP20 Implementation Study</w:t>
      </w:r>
      <w:r w:rsidRPr="00BC38DC">
        <w:rPr>
          <w:sz w:val="24"/>
        </w:rPr>
        <w:t xml:space="preserve">. </w:t>
      </w:r>
    </w:p>
    <w:p w:rsidR="00BC38DC" w:rsidP="00BC38DC" w14:paraId="5929B6A5" w14:textId="77777777"/>
    <w:p w:rsidR="00BC38DC" w:rsidP="00BC38DC" w14:paraId="3050B621" w14:textId="77777777">
      <w:pPr>
        <w:rPr>
          <w:i/>
          <w:sz w:val="24"/>
        </w:rPr>
      </w:pPr>
      <w:bookmarkStart w:id="2" w:name="_Toc486507173"/>
      <w:r w:rsidRPr="00BC38DC">
        <w:rPr>
          <w:i/>
          <w:sz w:val="24"/>
        </w:rPr>
        <w:t>Study Background</w:t>
      </w:r>
      <w:bookmarkEnd w:id="2"/>
      <w:r w:rsidRPr="00BC38DC">
        <w:rPr>
          <w:i/>
          <w:sz w:val="24"/>
        </w:rPr>
        <w:t xml:space="preserve"> </w:t>
      </w:r>
    </w:p>
    <w:p w:rsidR="00BC38DC" w:rsidRPr="00BC38DC" w:rsidP="00BC38DC" w14:paraId="2367CFD4" w14:textId="77777777">
      <w:pPr>
        <w:rPr>
          <w:i/>
          <w:sz w:val="24"/>
        </w:rPr>
      </w:pPr>
    </w:p>
    <w:p w:rsidR="00E13C74" w:rsidRPr="006B791B" w:rsidP="00301CAE" w14:paraId="609CC890" w14:textId="77777777">
      <w:pPr>
        <w:spacing w:after="240"/>
        <w:rPr>
          <w:color w:val="2F5496"/>
          <w:sz w:val="24"/>
        </w:rPr>
      </w:pPr>
      <w:r w:rsidRPr="00D1007C">
        <w:rPr>
          <w:sz w:val="24"/>
        </w:rPr>
        <w:t xml:space="preserve">Although the U.S. has made great progress in reducing teen pregnancy, births to teen mothers are still much more common than in other western industrialized nations. In addition, not all teens are at equal risk; there are disparities in teen pregnancy and STI rates by race and ethnicity, and among youth who are </w:t>
      </w:r>
      <w:r w:rsidR="00311A23">
        <w:rPr>
          <w:sz w:val="24"/>
        </w:rPr>
        <w:t xml:space="preserve">experiencing </w:t>
      </w:r>
      <w:r w:rsidRPr="00D1007C">
        <w:rPr>
          <w:sz w:val="24"/>
        </w:rPr>
        <w:t>homeless</w:t>
      </w:r>
      <w:r w:rsidR="00311A23">
        <w:rPr>
          <w:sz w:val="24"/>
        </w:rPr>
        <w:t>ness</w:t>
      </w:r>
      <w:r w:rsidRPr="00D1007C">
        <w:rPr>
          <w:sz w:val="24"/>
        </w:rPr>
        <w:t xml:space="preserve">, living in foster care, or involved with the juvenile justice system. </w:t>
      </w:r>
      <w:r w:rsidRPr="00D1007C">
        <w:rPr>
          <w:sz w:val="24"/>
        </w:rPr>
        <w:t>There is some recent evidence to suggest that more than educational programming is needed to achieve significant improvements in the lives of youth (CDC, 2015).</w:t>
      </w:r>
      <w:r w:rsidRPr="006B791B">
        <w:rPr>
          <w:color w:val="2F5496"/>
          <w:sz w:val="24"/>
        </w:rPr>
        <w:t xml:space="preserve"> </w:t>
      </w:r>
      <w:r w:rsidRPr="0089417C" w:rsidR="0089417C">
        <w:rPr>
          <w:sz w:val="24"/>
        </w:rPr>
        <w:t xml:space="preserve">The TPP Tier 1 and Tier 2 grant programs invest in both the implementation of evidence-based programs (Tier 1) and the development and evaluation of new and innovative approaches (Tier 2) to prevent teen pregnancy and STIs among adolescents and promote adolescent health among populations with the greatest need </w:t>
      </w:r>
      <w:r w:rsidRPr="0089417C" w:rsidR="00373E2F">
        <w:rPr>
          <w:sz w:val="24"/>
        </w:rPr>
        <w:t>to</w:t>
      </w:r>
      <w:r w:rsidRPr="0089417C" w:rsidR="0089417C">
        <w:rPr>
          <w:sz w:val="24"/>
        </w:rPr>
        <w:t xml:space="preserve"> reduce disparities in teen pregnancy and birth rates.</w:t>
      </w:r>
      <w:r w:rsidRPr="006B791B">
        <w:rPr>
          <w:color w:val="2F5496"/>
          <w:sz w:val="24"/>
        </w:rPr>
        <w:t xml:space="preserve"> </w:t>
      </w:r>
      <w:r w:rsidRPr="00301CAE" w:rsidR="00B47159">
        <w:rPr>
          <w:sz w:val="24"/>
        </w:rPr>
        <w:t xml:space="preserve">To </w:t>
      </w:r>
      <w:r w:rsidRPr="00301CAE" w:rsidR="0097655E">
        <w:rPr>
          <w:sz w:val="24"/>
        </w:rPr>
        <w:t>understand</w:t>
      </w:r>
      <w:r w:rsidR="00DA5ED2">
        <w:rPr>
          <w:sz w:val="24"/>
        </w:rPr>
        <w:t>, learn from,</w:t>
      </w:r>
      <w:r w:rsidRPr="00301CAE" w:rsidR="0097655E">
        <w:rPr>
          <w:sz w:val="24"/>
        </w:rPr>
        <w:t xml:space="preserve"> and documen</w:t>
      </w:r>
      <w:r w:rsidRPr="00301CAE" w:rsidR="00615B53">
        <w:rPr>
          <w:sz w:val="24"/>
        </w:rPr>
        <w:t>t the experiences of grantees</w:t>
      </w:r>
      <w:r w:rsidRPr="00301CAE" w:rsidR="0097655E">
        <w:rPr>
          <w:sz w:val="24"/>
        </w:rPr>
        <w:t xml:space="preserve"> </w:t>
      </w:r>
      <w:r w:rsidRPr="00301CAE" w:rsidR="00301CAE">
        <w:rPr>
          <w:sz w:val="24"/>
        </w:rPr>
        <w:t xml:space="preserve">implementing the Tier 1 and </w:t>
      </w:r>
      <w:r w:rsidRPr="00301CAE" w:rsidR="00301CAE">
        <w:rPr>
          <w:sz w:val="24"/>
        </w:rPr>
        <w:t>Tier 2 grant strategies, we</w:t>
      </w:r>
      <w:r w:rsidRPr="00301CAE" w:rsidR="0097655E">
        <w:rPr>
          <w:sz w:val="24"/>
        </w:rPr>
        <w:t xml:space="preserve"> propose </w:t>
      </w:r>
      <w:r w:rsidRPr="00301CAE" w:rsidR="00A602C3">
        <w:rPr>
          <w:sz w:val="24"/>
        </w:rPr>
        <w:t xml:space="preserve">to </w:t>
      </w:r>
      <w:r w:rsidRPr="00301CAE" w:rsidR="0097655E">
        <w:rPr>
          <w:sz w:val="24"/>
        </w:rPr>
        <w:t>collect</w:t>
      </w:r>
      <w:r w:rsidRPr="00301CAE" w:rsidR="00A602C3">
        <w:rPr>
          <w:sz w:val="24"/>
        </w:rPr>
        <w:t xml:space="preserve"> </w:t>
      </w:r>
      <w:r w:rsidRPr="00301CAE" w:rsidR="0097655E">
        <w:rPr>
          <w:sz w:val="24"/>
        </w:rPr>
        <w:t>implementatio</w:t>
      </w:r>
      <w:r w:rsidRPr="00301CAE" w:rsidR="00B47159">
        <w:rPr>
          <w:sz w:val="24"/>
        </w:rPr>
        <w:t>n information on each grantee project</w:t>
      </w:r>
      <w:r w:rsidRPr="00301CAE" w:rsidR="0097655E">
        <w:rPr>
          <w:sz w:val="24"/>
        </w:rPr>
        <w:t>.</w:t>
      </w:r>
      <w:r w:rsidRPr="006B791B" w:rsidR="0097655E">
        <w:rPr>
          <w:color w:val="2F5496"/>
          <w:sz w:val="24"/>
        </w:rPr>
        <w:t xml:space="preserve"> </w:t>
      </w:r>
    </w:p>
    <w:p w:rsidR="0098164F" w:rsidRPr="00373E2F" w:rsidP="00E13C74" w14:paraId="79C72043" w14:textId="5046CF79">
      <w:pPr>
        <w:spacing w:after="240"/>
        <w:rPr>
          <w:color w:val="000000"/>
          <w:sz w:val="24"/>
        </w:rPr>
      </w:pPr>
      <w:r w:rsidRPr="00373E2F">
        <w:rPr>
          <w:color w:val="000000"/>
          <w:sz w:val="24"/>
        </w:rPr>
        <w:t>T</w:t>
      </w:r>
      <w:r w:rsidRPr="00373E2F" w:rsidR="00E13C74">
        <w:rPr>
          <w:color w:val="000000"/>
          <w:sz w:val="24"/>
        </w:rPr>
        <w:t xml:space="preserve">his </w:t>
      </w:r>
      <w:r w:rsidRPr="00373E2F" w:rsidR="00A602C3">
        <w:rPr>
          <w:color w:val="000000"/>
          <w:sz w:val="24"/>
        </w:rPr>
        <w:t>study</w:t>
      </w:r>
      <w:r w:rsidRPr="00373E2F" w:rsidR="00E13C74">
        <w:rPr>
          <w:color w:val="000000"/>
          <w:sz w:val="24"/>
        </w:rPr>
        <w:t xml:space="preserve"> includes a descriptive assessment and documentation of</w:t>
      </w:r>
      <w:r w:rsidR="00152AC9">
        <w:rPr>
          <w:color w:val="000000"/>
          <w:sz w:val="24"/>
        </w:rPr>
        <w:t>: (1)</w:t>
      </w:r>
      <w:r w:rsidRPr="00373E2F" w:rsidR="00E13C74">
        <w:rPr>
          <w:color w:val="000000"/>
          <w:sz w:val="24"/>
        </w:rPr>
        <w:t xml:space="preserve"> how the </w:t>
      </w:r>
      <w:r w:rsidR="00DA5ED2">
        <w:rPr>
          <w:color w:val="000000"/>
          <w:sz w:val="24"/>
        </w:rPr>
        <w:t>62</w:t>
      </w:r>
      <w:r w:rsidRPr="00373E2F" w:rsidR="007C37BC">
        <w:rPr>
          <w:color w:val="000000"/>
          <w:sz w:val="24"/>
        </w:rPr>
        <w:t xml:space="preserve"> </w:t>
      </w:r>
      <w:r w:rsidRPr="00373E2F" w:rsidR="00E13C74">
        <w:rPr>
          <w:color w:val="000000"/>
          <w:sz w:val="24"/>
        </w:rPr>
        <w:t>projects awarded funding under the Tier 1</w:t>
      </w:r>
      <w:r w:rsidRPr="00373E2F" w:rsidR="007C37BC">
        <w:rPr>
          <w:color w:val="000000"/>
          <w:sz w:val="24"/>
        </w:rPr>
        <w:t xml:space="preserve"> </w:t>
      </w:r>
      <w:r w:rsidRPr="00373E2F" w:rsidR="00E13C74">
        <w:rPr>
          <w:color w:val="000000"/>
          <w:sz w:val="24"/>
        </w:rPr>
        <w:t>grant program</w:t>
      </w:r>
      <w:r w:rsidRPr="00373E2F" w:rsidR="007C37BC">
        <w:rPr>
          <w:color w:val="000000"/>
          <w:sz w:val="24"/>
        </w:rPr>
        <w:t>s</w:t>
      </w:r>
      <w:r w:rsidRPr="00373E2F" w:rsidR="00E13C74">
        <w:rPr>
          <w:color w:val="000000"/>
          <w:sz w:val="24"/>
        </w:rPr>
        <w:t xml:space="preserve"> </w:t>
      </w:r>
      <w:r w:rsidRPr="00373E2F" w:rsidR="007C37BC">
        <w:rPr>
          <w:color w:val="000000"/>
          <w:sz w:val="24"/>
        </w:rPr>
        <w:t>are using a systems</w:t>
      </w:r>
      <w:r w:rsidR="00AF31E5">
        <w:rPr>
          <w:color w:val="000000"/>
          <w:sz w:val="24"/>
        </w:rPr>
        <w:t>-</w:t>
      </w:r>
      <w:r w:rsidRPr="00373E2F" w:rsidR="007C37BC">
        <w:rPr>
          <w:color w:val="000000"/>
          <w:sz w:val="24"/>
        </w:rPr>
        <w:t>thinking approach to replicate effective programs with fidelity in communities with the greatest needs and disparities</w:t>
      </w:r>
      <w:r w:rsidR="00152AC9">
        <w:rPr>
          <w:color w:val="000000"/>
          <w:sz w:val="24"/>
        </w:rPr>
        <w:t>;</w:t>
      </w:r>
      <w:r w:rsidR="00373E2F">
        <w:rPr>
          <w:color w:val="000000"/>
          <w:sz w:val="24"/>
        </w:rPr>
        <w:t xml:space="preserve"> and </w:t>
      </w:r>
      <w:r w:rsidR="00152AC9">
        <w:rPr>
          <w:color w:val="000000"/>
          <w:sz w:val="24"/>
        </w:rPr>
        <w:t xml:space="preserve">(2) </w:t>
      </w:r>
      <w:r w:rsidR="00373E2F">
        <w:rPr>
          <w:color w:val="000000"/>
          <w:sz w:val="24"/>
        </w:rPr>
        <w:t xml:space="preserve">how the </w:t>
      </w:r>
      <w:r w:rsidR="00DA5ED2">
        <w:rPr>
          <w:color w:val="000000"/>
          <w:sz w:val="24"/>
        </w:rPr>
        <w:t xml:space="preserve">13 </w:t>
      </w:r>
      <w:r w:rsidR="00373E2F">
        <w:rPr>
          <w:color w:val="000000"/>
          <w:sz w:val="24"/>
        </w:rPr>
        <w:t xml:space="preserve">Tier 2 </w:t>
      </w:r>
      <w:r w:rsidR="00152AC9">
        <w:rPr>
          <w:color w:val="000000"/>
          <w:sz w:val="24"/>
        </w:rPr>
        <w:t>projects</w:t>
      </w:r>
      <w:r w:rsidRPr="00373E2F">
        <w:rPr>
          <w:color w:val="000000"/>
          <w:sz w:val="24"/>
        </w:rPr>
        <w:t xml:space="preserve"> are working to </w:t>
      </w:r>
      <w:r w:rsidRPr="00373E2F" w:rsidR="007C37BC">
        <w:rPr>
          <w:color w:val="000000"/>
          <w:sz w:val="24"/>
        </w:rPr>
        <w:t>establish</w:t>
      </w:r>
      <w:r w:rsidRPr="00373E2F">
        <w:rPr>
          <w:color w:val="000000"/>
          <w:sz w:val="24"/>
        </w:rPr>
        <w:t xml:space="preserve"> and </w:t>
      </w:r>
      <w:r w:rsidRPr="00373E2F" w:rsidR="007C37BC">
        <w:rPr>
          <w:color w:val="000000"/>
          <w:sz w:val="24"/>
        </w:rPr>
        <w:t>support multidisciplinary network</w:t>
      </w:r>
      <w:r w:rsidRPr="00373E2F">
        <w:rPr>
          <w:color w:val="000000"/>
          <w:sz w:val="24"/>
        </w:rPr>
        <w:t>s</w:t>
      </w:r>
      <w:r w:rsidRPr="00373E2F" w:rsidR="007C37BC">
        <w:rPr>
          <w:color w:val="000000"/>
          <w:sz w:val="24"/>
        </w:rPr>
        <w:t xml:space="preserve"> of partners to develop, refine, test</w:t>
      </w:r>
      <w:r w:rsidRPr="00373E2F" w:rsidR="00D07BC7">
        <w:rPr>
          <w:color w:val="000000"/>
          <w:sz w:val="24"/>
        </w:rPr>
        <w:t>, and disseminate</w:t>
      </w:r>
      <w:r w:rsidRPr="00373E2F" w:rsidR="007C37BC">
        <w:rPr>
          <w:color w:val="000000"/>
          <w:sz w:val="24"/>
        </w:rPr>
        <w:t xml:space="preserve"> innovative interventions</w:t>
      </w:r>
      <w:r w:rsidRPr="00373E2F" w:rsidR="00E13C74">
        <w:rPr>
          <w:color w:val="000000"/>
          <w:sz w:val="24"/>
        </w:rPr>
        <w:t xml:space="preserve">. </w:t>
      </w:r>
      <w:r w:rsidRPr="00373E2F">
        <w:rPr>
          <w:color w:val="000000"/>
          <w:sz w:val="24"/>
        </w:rPr>
        <w:t>In-person or remote</w:t>
      </w:r>
      <w:r w:rsidRPr="00373E2F" w:rsidR="00D264BA">
        <w:rPr>
          <w:color w:val="000000"/>
          <w:sz w:val="24"/>
        </w:rPr>
        <w:t xml:space="preserve"> discussion</w:t>
      </w:r>
      <w:r w:rsidRPr="00373E2F">
        <w:rPr>
          <w:color w:val="000000"/>
          <w:sz w:val="24"/>
        </w:rPr>
        <w:t>s</w:t>
      </w:r>
      <w:r w:rsidRPr="00373E2F" w:rsidR="00D264BA">
        <w:rPr>
          <w:color w:val="000000"/>
          <w:sz w:val="24"/>
        </w:rPr>
        <w:t xml:space="preserve"> with </w:t>
      </w:r>
      <w:r w:rsidR="00DA5ED2">
        <w:rPr>
          <w:color w:val="000000"/>
          <w:sz w:val="24"/>
        </w:rPr>
        <w:t xml:space="preserve">staff from </w:t>
      </w:r>
      <w:r w:rsidRPr="00373E2F">
        <w:rPr>
          <w:color w:val="000000"/>
          <w:sz w:val="24"/>
        </w:rPr>
        <w:t xml:space="preserve">the 75 </w:t>
      </w:r>
      <w:r w:rsidRPr="00373E2F" w:rsidR="00D264BA">
        <w:rPr>
          <w:color w:val="000000"/>
          <w:sz w:val="24"/>
        </w:rPr>
        <w:t>grantees</w:t>
      </w:r>
      <w:r w:rsidRPr="00373E2F">
        <w:rPr>
          <w:color w:val="000000"/>
          <w:sz w:val="24"/>
        </w:rPr>
        <w:t xml:space="preserve"> and some of</w:t>
      </w:r>
      <w:r w:rsidRPr="00373E2F" w:rsidR="00D264BA">
        <w:rPr>
          <w:color w:val="000000"/>
          <w:sz w:val="24"/>
        </w:rPr>
        <w:t xml:space="preserve"> their partner</w:t>
      </w:r>
      <w:r w:rsidR="00DA5ED2">
        <w:rPr>
          <w:color w:val="000000"/>
          <w:sz w:val="24"/>
        </w:rPr>
        <w:t xml:space="preserve"> organization</w:t>
      </w:r>
      <w:r w:rsidR="00FE3DF5">
        <w:rPr>
          <w:color w:val="000000"/>
          <w:sz w:val="24"/>
        </w:rPr>
        <w:t>s</w:t>
      </w:r>
      <w:r w:rsidRPr="00373E2F" w:rsidR="00D264BA">
        <w:rPr>
          <w:color w:val="000000"/>
          <w:sz w:val="24"/>
        </w:rPr>
        <w:t xml:space="preserve"> </w:t>
      </w:r>
      <w:r w:rsidRPr="00373E2F" w:rsidR="00E13C74">
        <w:rPr>
          <w:color w:val="000000"/>
          <w:sz w:val="24"/>
        </w:rPr>
        <w:t xml:space="preserve">will provide </w:t>
      </w:r>
      <w:r w:rsidRPr="00373E2F" w:rsidR="00093D59">
        <w:rPr>
          <w:color w:val="000000"/>
          <w:sz w:val="24"/>
        </w:rPr>
        <w:t>detailed</w:t>
      </w:r>
      <w:r w:rsidRPr="00373E2F" w:rsidR="00E13C74">
        <w:rPr>
          <w:color w:val="000000"/>
          <w:sz w:val="24"/>
        </w:rPr>
        <w:t xml:space="preserve"> information about the implementation and </w:t>
      </w:r>
      <w:r w:rsidRPr="00373E2F" w:rsidR="00093D59">
        <w:rPr>
          <w:color w:val="000000"/>
          <w:sz w:val="24"/>
        </w:rPr>
        <w:t>experiences of projects</w:t>
      </w:r>
      <w:r w:rsidRPr="00373E2F" w:rsidR="00E13C74">
        <w:rPr>
          <w:color w:val="000000"/>
          <w:sz w:val="24"/>
        </w:rPr>
        <w:t xml:space="preserve"> that </w:t>
      </w:r>
      <w:r w:rsidRPr="00373E2F" w:rsidR="00093D59">
        <w:rPr>
          <w:color w:val="000000"/>
          <w:sz w:val="24"/>
        </w:rPr>
        <w:t>represent the diversity of the grantees</w:t>
      </w:r>
      <w:r w:rsidRPr="00373E2F" w:rsidR="00D07BC7">
        <w:rPr>
          <w:color w:val="000000"/>
          <w:sz w:val="24"/>
        </w:rPr>
        <w:t xml:space="preserve">, their approaches, </w:t>
      </w:r>
      <w:r w:rsidRPr="00373E2F">
        <w:rPr>
          <w:color w:val="000000"/>
          <w:sz w:val="24"/>
        </w:rPr>
        <w:t xml:space="preserve">experiences, </w:t>
      </w:r>
      <w:r w:rsidRPr="00373E2F" w:rsidR="00D07BC7">
        <w:rPr>
          <w:color w:val="000000"/>
          <w:sz w:val="24"/>
        </w:rPr>
        <w:t>and communities</w:t>
      </w:r>
      <w:r w:rsidRPr="00373E2F" w:rsidR="00093D59">
        <w:rPr>
          <w:color w:val="000000"/>
          <w:sz w:val="24"/>
        </w:rPr>
        <w:t>.</w:t>
      </w:r>
      <w:r w:rsidRPr="00373E2F" w:rsidR="00E13C74">
        <w:rPr>
          <w:color w:val="000000"/>
          <w:sz w:val="24"/>
        </w:rPr>
        <w:t xml:space="preserve"> </w:t>
      </w:r>
    </w:p>
    <w:p w:rsidR="00E13C74" w:rsidRPr="00301CAE" w:rsidP="0058758A" w14:paraId="672DB661" w14:textId="77777777">
      <w:pPr>
        <w:rPr>
          <w:i/>
          <w:sz w:val="24"/>
        </w:rPr>
      </w:pPr>
      <w:r w:rsidRPr="00301CAE">
        <w:rPr>
          <w:i/>
          <w:sz w:val="24"/>
        </w:rPr>
        <w:t>Legal or Administrative Requirements that Necessitate the Collection</w:t>
      </w:r>
    </w:p>
    <w:p w:rsidR="00517469" w:rsidRPr="006B791B" w:rsidP="00517469" w14:paraId="5FBA93CF" w14:textId="77777777">
      <w:pPr>
        <w:rPr>
          <w:color w:val="2F5496"/>
          <w:sz w:val="24"/>
        </w:rPr>
      </w:pPr>
    </w:p>
    <w:p w:rsidR="00F85D61" w:rsidP="00EC4F09" w14:paraId="13C54D9C" w14:textId="07BF56B8">
      <w:pPr>
        <w:rPr>
          <w:color w:val="2F5496"/>
          <w:sz w:val="24"/>
        </w:rPr>
      </w:pPr>
      <w:r w:rsidRPr="00E838D3">
        <w:rPr>
          <w:sz w:val="24"/>
        </w:rPr>
        <w:t xml:space="preserve">Under the authority of </w:t>
      </w:r>
      <w:r w:rsidRPr="00152AC9">
        <w:rPr>
          <w:sz w:val="24"/>
        </w:rPr>
        <w:t>Division</w:t>
      </w:r>
      <w:r w:rsidRPr="00152AC9">
        <w:rPr>
          <w:sz w:val="24"/>
        </w:rPr>
        <w:t xml:space="preserve"> A, Title II of the Further Consolidated Appropriations Act, 2020 (Public Law No. 116-94), the Office of Population Affairs made available approximately $</w:t>
      </w:r>
      <w:r w:rsidRPr="00152AC9" w:rsidR="00152AC9">
        <w:rPr>
          <w:sz w:val="24"/>
        </w:rPr>
        <w:t>101</w:t>
      </w:r>
      <w:r w:rsidRPr="00152AC9">
        <w:rPr>
          <w:sz w:val="24"/>
        </w:rPr>
        <w:t xml:space="preserve"> million in funds to support the OPA Teen Pregnancy Prevention </w:t>
      </w:r>
      <w:r w:rsidRPr="00152AC9" w:rsidR="00A35292">
        <w:rPr>
          <w:sz w:val="24"/>
        </w:rPr>
        <w:t xml:space="preserve">Program. The goal of </w:t>
      </w:r>
      <w:r w:rsidRPr="00152AC9" w:rsidR="00E838D3">
        <w:rPr>
          <w:sz w:val="24"/>
        </w:rPr>
        <w:t xml:space="preserve">the </w:t>
      </w:r>
      <w:r w:rsidRPr="00152AC9" w:rsidR="00A35292">
        <w:rPr>
          <w:sz w:val="24"/>
        </w:rPr>
        <w:t>funding is to have a significant impact on improving the health of adolescents and reducing teen pregnancy and STIs</w:t>
      </w:r>
      <w:r w:rsidRPr="00152AC9" w:rsidR="00E838D3">
        <w:rPr>
          <w:sz w:val="24"/>
        </w:rPr>
        <w:t>. Tier 1 grantees are intended to accomplish this</w:t>
      </w:r>
      <w:r w:rsidRPr="00152AC9" w:rsidR="00A35292">
        <w:rPr>
          <w:sz w:val="24"/>
        </w:rPr>
        <w:t xml:space="preserve"> through saturation of communities with the greatest needs and disparities using a systems</w:t>
      </w:r>
      <w:r w:rsidR="00AF31E5">
        <w:rPr>
          <w:sz w:val="24"/>
        </w:rPr>
        <w:t>-</w:t>
      </w:r>
      <w:r w:rsidRPr="00152AC9" w:rsidR="00A35292">
        <w:rPr>
          <w:sz w:val="24"/>
        </w:rPr>
        <w:t>thinking approach to replicate effective programs with fidelity</w:t>
      </w:r>
      <w:r w:rsidRPr="00152AC9" w:rsidR="00E838D3">
        <w:rPr>
          <w:sz w:val="24"/>
        </w:rPr>
        <w:t xml:space="preserve">. Tier 2 grantees will </w:t>
      </w:r>
      <w:r w:rsidRPr="00152AC9" w:rsidR="00A35292">
        <w:rPr>
          <w:sz w:val="24"/>
        </w:rPr>
        <w:t>establish, coordinate, and support a multidisciplinary network of partners to develop, refine, and test innovative interventions and to disseminate those demonstrated to be effective in improving health and preventing teen pregnancy and STI</w:t>
      </w:r>
      <w:r w:rsidRPr="00152AC9" w:rsidR="00E838D3">
        <w:rPr>
          <w:sz w:val="24"/>
        </w:rPr>
        <w:t>s</w:t>
      </w:r>
      <w:r w:rsidRPr="00152AC9" w:rsidR="00A35292">
        <w:rPr>
          <w:sz w:val="24"/>
        </w:rPr>
        <w:t>.</w:t>
      </w:r>
      <w:r w:rsidRPr="00152AC9" w:rsidR="00EC4F09">
        <w:rPr>
          <w:sz w:val="24"/>
        </w:rPr>
        <w:t xml:space="preserve"> </w:t>
      </w:r>
      <w:r w:rsidRPr="00152AC9" w:rsidR="001A53B1">
        <w:rPr>
          <w:sz w:val="24"/>
        </w:rPr>
        <w:t>The funds support the HHS Strategic Goal</w:t>
      </w:r>
      <w:r w:rsidRPr="00152AC9" w:rsidR="000B5F02">
        <w:rPr>
          <w:sz w:val="24"/>
        </w:rPr>
        <w:t xml:space="preserve"> to “</w:t>
      </w:r>
      <w:r w:rsidRPr="00152AC9" w:rsidR="00EC4F09">
        <w:rPr>
          <w:sz w:val="24"/>
        </w:rPr>
        <w:t>Protect and Strengthen Equitable Access to High Quality and Affordable Healthcare</w:t>
      </w:r>
      <w:r w:rsidRPr="00152AC9" w:rsidR="000B5F02">
        <w:rPr>
          <w:sz w:val="24"/>
        </w:rPr>
        <w:t>.”</w:t>
      </w:r>
      <w:r w:rsidRPr="00152AC9" w:rsidR="00EA7AD6">
        <w:rPr>
          <w:sz w:val="24"/>
        </w:rPr>
        <w:t xml:space="preserve"> Under section 241 of the Public Health Service Act, $6,800,000 </w:t>
      </w:r>
      <w:r w:rsidRPr="00152AC9" w:rsidR="00A77F14">
        <w:rPr>
          <w:sz w:val="24"/>
        </w:rPr>
        <w:t>was</w:t>
      </w:r>
      <w:r w:rsidRPr="00152AC9" w:rsidR="00EA7AD6">
        <w:rPr>
          <w:sz w:val="24"/>
        </w:rPr>
        <w:t xml:space="preserve"> made available to carry out evaluations of teen pregnancy prevention approaches.</w:t>
      </w:r>
      <w:r>
        <w:rPr>
          <w:rStyle w:val="FootnoteReference"/>
          <w:sz w:val="24"/>
          <w:vertAlign w:val="superscript"/>
        </w:rPr>
        <w:footnoteReference w:id="2"/>
      </w:r>
      <w:r w:rsidRPr="00152AC9" w:rsidR="00EA7AD6">
        <w:rPr>
          <w:sz w:val="24"/>
        </w:rPr>
        <w:t xml:space="preserve"> </w:t>
      </w:r>
      <w:r w:rsidRPr="00152AC9">
        <w:rPr>
          <w:sz w:val="24"/>
        </w:rPr>
        <w:t xml:space="preserve">The </w:t>
      </w:r>
      <w:r w:rsidRPr="004640F9">
        <w:rPr>
          <w:iCs/>
          <w:sz w:val="24"/>
        </w:rPr>
        <w:t>TPP</w:t>
      </w:r>
      <w:r w:rsidRPr="004640F9">
        <w:rPr>
          <w:iCs/>
          <w:sz w:val="24"/>
        </w:rPr>
        <w:t xml:space="preserve">20 </w:t>
      </w:r>
      <w:r w:rsidRPr="004640F9">
        <w:rPr>
          <w:iCs/>
          <w:sz w:val="24"/>
        </w:rPr>
        <w:t>Implementation Study is</w:t>
      </w:r>
      <w:r w:rsidRPr="00152AC9">
        <w:rPr>
          <w:sz w:val="24"/>
        </w:rPr>
        <w:t xml:space="preserve"> a key piece of O</w:t>
      </w:r>
      <w:r w:rsidRPr="00152AC9">
        <w:rPr>
          <w:sz w:val="24"/>
        </w:rPr>
        <w:t>PA</w:t>
      </w:r>
      <w:r w:rsidRPr="00152AC9">
        <w:rPr>
          <w:sz w:val="24"/>
        </w:rPr>
        <w:t>’s ongoing effort to comprehensively evaluate its teen pregnancy prevention</w:t>
      </w:r>
      <w:r w:rsidRPr="00301CAE">
        <w:rPr>
          <w:sz w:val="24"/>
        </w:rPr>
        <w:t xml:space="preserve"> funding efforts as required by the legislation.</w:t>
      </w:r>
      <w:r w:rsidRPr="006B791B">
        <w:rPr>
          <w:color w:val="2F5496"/>
          <w:sz w:val="24"/>
        </w:rPr>
        <w:t xml:space="preserve"> </w:t>
      </w:r>
    </w:p>
    <w:p w:rsidR="00D815A9" w:rsidP="00EC4F09" w14:paraId="526E7495" w14:textId="282BC59C">
      <w:pPr>
        <w:rPr>
          <w:color w:val="2F5496"/>
          <w:sz w:val="24"/>
        </w:rPr>
      </w:pPr>
    </w:p>
    <w:p w:rsidR="00D815A9" w:rsidRPr="009C23A1" w:rsidP="00D815A9" w14:paraId="29F13D96" w14:textId="7A8DCBB5">
      <w:pPr>
        <w:pStyle w:val="Paragraph"/>
        <w:rPr>
          <w:rStyle w:val="normaltextrun"/>
          <w:rFonts w:ascii="Times New Roman" w:hAnsi="Times New Roman" w:cs="Times New Roman"/>
          <w:sz w:val="24"/>
          <w:szCs w:val="24"/>
        </w:rPr>
      </w:pPr>
      <w:r w:rsidRPr="009C23A1">
        <w:rPr>
          <w:rFonts w:ascii="Times New Roman" w:hAnsi="Times New Roman" w:cs="Times New Roman"/>
          <w:sz w:val="24"/>
          <w:szCs w:val="24"/>
        </w:rPr>
        <w:t xml:space="preserve">This study, designed to provide a deeper understanding </w:t>
      </w:r>
      <w:r>
        <w:rPr>
          <w:rFonts w:ascii="Times New Roman" w:hAnsi="Times New Roman" w:cs="Times New Roman"/>
          <w:sz w:val="24"/>
          <w:szCs w:val="24"/>
        </w:rPr>
        <w:t>of the</w:t>
      </w:r>
      <w:r w:rsidRPr="009C23A1">
        <w:rPr>
          <w:rFonts w:ascii="Times New Roman" w:hAnsi="Times New Roman" w:cs="Times New Roman"/>
          <w:sz w:val="24"/>
          <w:szCs w:val="24"/>
        </w:rPr>
        <w:t xml:space="preserve"> TPP program, is authorized under Section 301 of the Public Health Service Act (42 U.S.C.241)</w:t>
      </w:r>
      <w:r>
        <w:rPr>
          <w:rStyle w:val="FootnoteReference"/>
          <w:rFonts w:ascii="Times New Roman" w:hAnsi="Times New Roman" w:cs="Times New Roman"/>
          <w:sz w:val="24"/>
          <w:szCs w:val="24"/>
          <w:vertAlign w:val="superscript"/>
        </w:rPr>
        <w:footnoteReference w:id="3"/>
      </w:r>
      <w:r w:rsidRPr="009C23A1">
        <w:rPr>
          <w:rFonts w:ascii="Times New Roman" w:hAnsi="Times New Roman" w:cs="Times New Roman"/>
          <w:sz w:val="24"/>
          <w:szCs w:val="24"/>
        </w:rPr>
        <w:t>.</w:t>
      </w:r>
    </w:p>
    <w:p w:rsidR="001A53B1" w:rsidP="00C705A9" w14:paraId="133F123F" w14:textId="77777777">
      <w:pPr>
        <w:rPr>
          <w:color w:val="2F5496"/>
          <w:sz w:val="24"/>
        </w:rPr>
      </w:pPr>
    </w:p>
    <w:p w:rsidR="005057D1" w:rsidRPr="00361059" w:rsidP="005057D1" w14:paraId="75ABB3AE" w14:textId="77777777">
      <w:pPr>
        <w:numPr>
          <w:ilvl w:val="0"/>
          <w:numId w:val="2"/>
        </w:numPr>
        <w:tabs>
          <w:tab w:val="num" w:pos="360"/>
          <w:tab w:val="clear" w:pos="1080"/>
        </w:tabs>
        <w:ind w:left="720" w:hanging="720"/>
        <w:rPr>
          <w:b/>
          <w:sz w:val="24"/>
        </w:rPr>
      </w:pPr>
      <w:r w:rsidRPr="00361059">
        <w:rPr>
          <w:b/>
          <w:sz w:val="24"/>
        </w:rPr>
        <w:t xml:space="preserve">Purpose and Use of </w:t>
      </w:r>
      <w:r>
        <w:rPr>
          <w:b/>
          <w:sz w:val="24"/>
        </w:rPr>
        <w:t xml:space="preserve">the </w:t>
      </w:r>
      <w:r w:rsidRPr="00361059">
        <w:rPr>
          <w:b/>
          <w:sz w:val="24"/>
        </w:rPr>
        <w:t>Information Collection</w:t>
      </w:r>
    </w:p>
    <w:p w:rsidR="005057D1" w:rsidRPr="006B791B" w:rsidP="00C705A9" w14:paraId="57190E46" w14:textId="77777777">
      <w:pPr>
        <w:rPr>
          <w:color w:val="2F5496"/>
          <w:sz w:val="24"/>
        </w:rPr>
      </w:pPr>
    </w:p>
    <w:p w:rsidR="00AE355F" w:rsidRPr="00301CAE" w:rsidP="00AE355F" w14:paraId="77457B34" w14:textId="77777777">
      <w:pPr>
        <w:pStyle w:val="NormalSS12"/>
        <w:ind w:firstLine="0"/>
        <w:rPr>
          <w:rFonts w:ascii="Times New Roman" w:hAnsi="Times New Roman"/>
          <w:i/>
        </w:rPr>
      </w:pPr>
      <w:r w:rsidRPr="00301CAE">
        <w:rPr>
          <w:rFonts w:ascii="Times New Roman" w:hAnsi="Times New Roman"/>
          <w:i/>
        </w:rPr>
        <w:t xml:space="preserve">Objectives of the </w:t>
      </w:r>
      <w:r w:rsidRPr="00301CAE" w:rsidR="00093D59">
        <w:rPr>
          <w:rFonts w:ascii="Times New Roman" w:hAnsi="Times New Roman"/>
          <w:i/>
        </w:rPr>
        <w:t>TPP</w:t>
      </w:r>
      <w:r w:rsidRPr="00301CAE" w:rsidR="00301CAE">
        <w:rPr>
          <w:rFonts w:ascii="Times New Roman" w:hAnsi="Times New Roman"/>
          <w:i/>
        </w:rPr>
        <w:t xml:space="preserve">20 </w:t>
      </w:r>
      <w:r w:rsidRPr="00301CAE" w:rsidR="00093D59">
        <w:rPr>
          <w:rFonts w:ascii="Times New Roman" w:hAnsi="Times New Roman"/>
          <w:i/>
        </w:rPr>
        <w:t>Implementation Study</w:t>
      </w:r>
    </w:p>
    <w:p w:rsidR="00DB0BF6" w:rsidRPr="00036ADB" w:rsidP="009818C4" w14:paraId="3F9469AF" w14:textId="4FDB051D">
      <w:pPr>
        <w:rPr>
          <w:sz w:val="24"/>
        </w:rPr>
      </w:pPr>
      <w:r w:rsidRPr="006607B2">
        <w:rPr>
          <w:sz w:val="24"/>
        </w:rPr>
        <w:t>The</w:t>
      </w:r>
      <w:r w:rsidRPr="006607B2" w:rsidR="00A602C3">
        <w:rPr>
          <w:sz w:val="24"/>
        </w:rPr>
        <w:t xml:space="preserve"> </w:t>
      </w:r>
      <w:r w:rsidRPr="004640F9" w:rsidR="006607B2">
        <w:rPr>
          <w:sz w:val="24"/>
        </w:rPr>
        <w:t>TPP20 Implementation Study</w:t>
      </w:r>
      <w:r w:rsidRPr="006607B2" w:rsidR="00455ABD">
        <w:rPr>
          <w:sz w:val="24"/>
        </w:rPr>
        <w:t xml:space="preserve"> </w:t>
      </w:r>
      <w:r w:rsidRPr="006607B2" w:rsidR="00615B53">
        <w:rPr>
          <w:sz w:val="24"/>
        </w:rPr>
        <w:t>is intended</w:t>
      </w:r>
      <w:r w:rsidRPr="006607B2" w:rsidR="00455ABD">
        <w:rPr>
          <w:sz w:val="24"/>
        </w:rPr>
        <w:t xml:space="preserve"> to</w:t>
      </w:r>
      <w:r w:rsidRPr="009818C4" w:rsidR="00455ABD">
        <w:rPr>
          <w:sz w:val="24"/>
        </w:rPr>
        <w:t xml:space="preserve">: </w:t>
      </w:r>
      <w:r w:rsidR="00152AC9">
        <w:rPr>
          <w:sz w:val="24"/>
        </w:rPr>
        <w:t>(</w:t>
      </w:r>
      <w:r w:rsidRPr="009818C4" w:rsidR="009818C4">
        <w:rPr>
          <w:sz w:val="24"/>
        </w:rPr>
        <w:t xml:space="preserve">1) document how grantees are implementing the expected components of the grant programs; (2) summarize implementation </w:t>
      </w:r>
      <w:r w:rsidR="00F142CC">
        <w:rPr>
          <w:sz w:val="24"/>
        </w:rPr>
        <w:t>strategie</w:t>
      </w:r>
      <w:r w:rsidRPr="009818C4" w:rsidR="009818C4">
        <w:rPr>
          <w:sz w:val="24"/>
        </w:rPr>
        <w:t xml:space="preserve">s and key themes for each grant program; and (3) recommend additional evaluation options for future research into the Tier 1 and Tier 2 grant programs and the TPP Program overall. </w:t>
      </w:r>
      <w:r w:rsidRPr="009818C4" w:rsidR="00112534">
        <w:rPr>
          <w:sz w:val="24"/>
        </w:rPr>
        <w:t xml:space="preserve">The implementation </w:t>
      </w:r>
      <w:r w:rsidRPr="009818C4" w:rsidR="00455ABD">
        <w:rPr>
          <w:sz w:val="24"/>
        </w:rPr>
        <w:t xml:space="preserve">data collection </w:t>
      </w:r>
      <w:r w:rsidRPr="009818C4" w:rsidR="004D6C6C">
        <w:rPr>
          <w:sz w:val="24"/>
        </w:rPr>
        <w:t>requested</w:t>
      </w:r>
      <w:r w:rsidRPr="009818C4">
        <w:rPr>
          <w:sz w:val="24"/>
        </w:rPr>
        <w:t xml:space="preserve"> for clearance in this package will address the </w:t>
      </w:r>
      <w:r w:rsidRPr="00036ADB">
        <w:rPr>
          <w:sz w:val="24"/>
        </w:rPr>
        <w:t xml:space="preserve">following </w:t>
      </w:r>
      <w:r w:rsidRPr="00036ADB" w:rsidR="008C68E3">
        <w:rPr>
          <w:sz w:val="24"/>
        </w:rPr>
        <w:t xml:space="preserve">primary </w:t>
      </w:r>
      <w:r w:rsidRPr="00036ADB">
        <w:rPr>
          <w:sz w:val="24"/>
        </w:rPr>
        <w:t>research questions:</w:t>
      </w:r>
    </w:p>
    <w:p w:rsidR="008C68E3" w:rsidRPr="00036ADB" w:rsidP="00AE355F" w14:paraId="3BA738B7" w14:textId="77777777">
      <w:pPr>
        <w:rPr>
          <w:sz w:val="24"/>
        </w:rPr>
      </w:pPr>
    </w:p>
    <w:p w:rsidR="008C68E3" w:rsidRPr="00036ADB" w:rsidP="00A602C3" w14:paraId="19378BAA" w14:textId="77777777">
      <w:pPr>
        <w:numPr>
          <w:ilvl w:val="0"/>
          <w:numId w:val="14"/>
        </w:numPr>
        <w:rPr>
          <w:sz w:val="24"/>
        </w:rPr>
      </w:pPr>
      <w:r w:rsidRPr="00036ADB">
        <w:rPr>
          <w:sz w:val="24"/>
        </w:rPr>
        <w:t xml:space="preserve">How are grantees </w:t>
      </w:r>
      <w:r w:rsidRPr="00036ADB" w:rsidR="0041766B">
        <w:rPr>
          <w:sz w:val="24"/>
        </w:rPr>
        <w:t xml:space="preserve">and their partners </w:t>
      </w:r>
      <w:r w:rsidRPr="00036ADB">
        <w:rPr>
          <w:sz w:val="24"/>
        </w:rPr>
        <w:t>using the core elements of the Tier 1</w:t>
      </w:r>
      <w:r w:rsidRPr="00036ADB" w:rsidR="009C50EA">
        <w:rPr>
          <w:sz w:val="24"/>
        </w:rPr>
        <w:t xml:space="preserve"> or Tier 2</w:t>
      </w:r>
      <w:r w:rsidRPr="00036ADB">
        <w:rPr>
          <w:sz w:val="24"/>
        </w:rPr>
        <w:t xml:space="preserve"> </w:t>
      </w:r>
      <w:r w:rsidRPr="00036ADB" w:rsidR="0041766B">
        <w:rPr>
          <w:sz w:val="24"/>
        </w:rPr>
        <w:t xml:space="preserve">grant </w:t>
      </w:r>
      <w:r w:rsidRPr="00036ADB">
        <w:rPr>
          <w:sz w:val="24"/>
        </w:rPr>
        <w:t xml:space="preserve">strategy to </w:t>
      </w:r>
      <w:r w:rsidRPr="00036ADB" w:rsidR="009C50EA">
        <w:rPr>
          <w:sz w:val="24"/>
        </w:rPr>
        <w:t>implement their projects</w:t>
      </w:r>
      <w:r w:rsidRPr="00036ADB">
        <w:rPr>
          <w:sz w:val="24"/>
        </w:rPr>
        <w:t>?</w:t>
      </w:r>
    </w:p>
    <w:p w:rsidR="008C68E3" w:rsidRPr="00036ADB" w:rsidP="00A602C3" w14:paraId="02F5C1AB" w14:textId="77777777">
      <w:pPr>
        <w:numPr>
          <w:ilvl w:val="0"/>
          <w:numId w:val="14"/>
        </w:numPr>
        <w:rPr>
          <w:sz w:val="24"/>
        </w:rPr>
      </w:pPr>
      <w:r w:rsidRPr="00036ADB">
        <w:rPr>
          <w:sz w:val="24"/>
        </w:rPr>
        <w:t xml:space="preserve">How </w:t>
      </w:r>
      <w:r w:rsidRPr="00036ADB" w:rsidR="00FE4D62">
        <w:rPr>
          <w:sz w:val="24"/>
        </w:rPr>
        <w:t>did</w:t>
      </w:r>
      <w:r w:rsidRPr="00036ADB">
        <w:rPr>
          <w:sz w:val="24"/>
        </w:rPr>
        <w:t xml:space="preserve"> grantees</w:t>
      </w:r>
      <w:r w:rsidRPr="00036ADB" w:rsidR="009C50EA">
        <w:rPr>
          <w:sz w:val="24"/>
        </w:rPr>
        <w:t xml:space="preserve">’ local context influence the planning and execution of the TPP grant strategy? </w:t>
      </w:r>
    </w:p>
    <w:p w:rsidR="004C4A01" w:rsidRPr="00036ADB" w:rsidP="00A602C3" w14:paraId="2913667C" w14:textId="77777777">
      <w:pPr>
        <w:numPr>
          <w:ilvl w:val="0"/>
          <w:numId w:val="14"/>
        </w:numPr>
        <w:rPr>
          <w:sz w:val="24"/>
        </w:rPr>
      </w:pPr>
      <w:r w:rsidRPr="00036ADB">
        <w:rPr>
          <w:sz w:val="24"/>
        </w:rPr>
        <w:t>What were the facilitators and barriers to implementation</w:t>
      </w:r>
      <w:r w:rsidRPr="00036ADB" w:rsidR="00A602C3">
        <w:rPr>
          <w:sz w:val="24"/>
        </w:rPr>
        <w:t>?</w:t>
      </w:r>
    </w:p>
    <w:p w:rsidR="00A602C3" w:rsidRPr="00036ADB" w:rsidP="00A602C3" w14:paraId="684F60B7" w14:textId="4BE0A65E">
      <w:pPr>
        <w:numPr>
          <w:ilvl w:val="0"/>
          <w:numId w:val="14"/>
        </w:numPr>
        <w:rPr>
          <w:sz w:val="24"/>
        </w:rPr>
      </w:pPr>
      <w:r w:rsidRPr="00036ADB">
        <w:rPr>
          <w:sz w:val="24"/>
        </w:rPr>
        <w:t>Tier 1 Only: How do TPP projects use a systems</w:t>
      </w:r>
      <w:r w:rsidR="00CF6110">
        <w:rPr>
          <w:sz w:val="24"/>
        </w:rPr>
        <w:t>-</w:t>
      </w:r>
      <w:r w:rsidRPr="00036ADB">
        <w:rPr>
          <w:sz w:val="24"/>
        </w:rPr>
        <w:t>thinking approach to effect change in population-level outcomes?</w:t>
      </w:r>
    </w:p>
    <w:p w:rsidR="009C50EA" w:rsidRPr="00036ADB" w:rsidP="00A602C3" w14:paraId="483E29C4" w14:textId="77777777">
      <w:pPr>
        <w:numPr>
          <w:ilvl w:val="0"/>
          <w:numId w:val="14"/>
        </w:numPr>
        <w:rPr>
          <w:sz w:val="24"/>
        </w:rPr>
      </w:pPr>
      <w:r w:rsidRPr="00036ADB">
        <w:rPr>
          <w:sz w:val="24"/>
        </w:rPr>
        <w:t>Tier 1 Only: How are grantees reaching populations disproportionately affected by teen pregnancy and at what scale?</w:t>
      </w:r>
    </w:p>
    <w:p w:rsidR="009C50EA" w:rsidRPr="00036ADB" w:rsidP="009C50EA" w14:paraId="13D52384" w14:textId="77777777">
      <w:pPr>
        <w:numPr>
          <w:ilvl w:val="0"/>
          <w:numId w:val="14"/>
        </w:numPr>
        <w:rPr>
          <w:sz w:val="24"/>
        </w:rPr>
      </w:pPr>
      <w:r w:rsidRPr="00036ADB">
        <w:rPr>
          <w:sz w:val="24"/>
        </w:rPr>
        <w:t xml:space="preserve">Tier 1 Only: How did grantees identify which interventions to implement and in which systems, settings, and contexts? </w:t>
      </w:r>
    </w:p>
    <w:p w:rsidR="009C50EA" w:rsidRPr="00036ADB" w:rsidP="00A602C3" w14:paraId="72C03439" w14:textId="77777777">
      <w:pPr>
        <w:numPr>
          <w:ilvl w:val="0"/>
          <w:numId w:val="14"/>
        </w:numPr>
        <w:rPr>
          <w:sz w:val="24"/>
        </w:rPr>
      </w:pPr>
      <w:r w:rsidRPr="00036ADB">
        <w:rPr>
          <w:sz w:val="24"/>
        </w:rPr>
        <w:t xml:space="preserve">Tier 1 Only: What interventions and other strategies have shown success in the community? </w:t>
      </w:r>
    </w:p>
    <w:p w:rsidR="009C50EA" w:rsidRPr="00036ADB" w:rsidP="00A602C3" w14:paraId="52A07487" w14:textId="77777777">
      <w:pPr>
        <w:numPr>
          <w:ilvl w:val="0"/>
          <w:numId w:val="14"/>
        </w:numPr>
        <w:rPr>
          <w:sz w:val="24"/>
        </w:rPr>
      </w:pPr>
      <w:r w:rsidRPr="00036ADB">
        <w:rPr>
          <w:sz w:val="24"/>
        </w:rPr>
        <w:t xml:space="preserve">Tier 2 Only: </w:t>
      </w:r>
      <w:r w:rsidRPr="00036ADB" w:rsidR="004B45BE">
        <w:rPr>
          <w:sz w:val="24"/>
        </w:rPr>
        <w:t xml:space="preserve">How are grantees identifying and engaging partners in intervention planning and implementation? </w:t>
      </w:r>
    </w:p>
    <w:p w:rsidR="004B45BE" w:rsidRPr="00036ADB" w:rsidP="00A602C3" w14:paraId="70A348C4" w14:textId="2E577A92">
      <w:pPr>
        <w:numPr>
          <w:ilvl w:val="0"/>
          <w:numId w:val="14"/>
        </w:numPr>
        <w:rPr>
          <w:sz w:val="24"/>
        </w:rPr>
      </w:pPr>
      <w:r w:rsidRPr="00036ADB">
        <w:rPr>
          <w:sz w:val="24"/>
        </w:rPr>
        <w:t xml:space="preserve">Tier 2 Only: What </w:t>
      </w:r>
      <w:r w:rsidR="00A57EC1">
        <w:rPr>
          <w:sz w:val="24"/>
        </w:rPr>
        <w:t>we</w:t>
      </w:r>
      <w:r w:rsidRPr="00036ADB">
        <w:rPr>
          <w:sz w:val="24"/>
        </w:rPr>
        <w:t>re the grantees</w:t>
      </w:r>
      <w:r w:rsidR="00A57EC1">
        <w:rPr>
          <w:sz w:val="24"/>
        </w:rPr>
        <w:t>’</w:t>
      </w:r>
      <w:r w:rsidRPr="00036ADB">
        <w:rPr>
          <w:sz w:val="24"/>
        </w:rPr>
        <w:t xml:space="preserve"> key priority area strategies? </w:t>
      </w:r>
    </w:p>
    <w:p w:rsidR="004B45BE" w:rsidRPr="00036ADB" w:rsidP="00A602C3" w14:paraId="432B6C5B" w14:textId="77777777">
      <w:pPr>
        <w:numPr>
          <w:ilvl w:val="0"/>
          <w:numId w:val="14"/>
        </w:numPr>
        <w:rPr>
          <w:sz w:val="24"/>
        </w:rPr>
      </w:pPr>
      <w:r w:rsidRPr="00036ADB">
        <w:rPr>
          <w:sz w:val="24"/>
        </w:rPr>
        <w:t>Tier 2 Only: To what degree were interventions flexible or adaptable, and what adaptations or adjustments did projects make to interventions?</w:t>
      </w:r>
    </w:p>
    <w:p w:rsidR="004B45BE" w:rsidRPr="00036ADB" w:rsidP="00A602C3" w14:paraId="73E8C149" w14:textId="77777777">
      <w:pPr>
        <w:numPr>
          <w:ilvl w:val="0"/>
          <w:numId w:val="14"/>
        </w:numPr>
        <w:rPr>
          <w:sz w:val="24"/>
        </w:rPr>
      </w:pPr>
      <w:r w:rsidRPr="00036ADB">
        <w:rPr>
          <w:sz w:val="24"/>
        </w:rPr>
        <w:t>Tier 2 Only: What approach did grantees take to producing program evaluation plans?</w:t>
      </w:r>
    </w:p>
    <w:p w:rsidR="00DB0BF6" w:rsidRPr="00036ADB" w:rsidP="00AE355F" w14:paraId="434C12BE" w14:textId="77777777">
      <w:pPr>
        <w:rPr>
          <w:sz w:val="24"/>
        </w:rPr>
      </w:pPr>
    </w:p>
    <w:p w:rsidR="00DB0BF6" w:rsidRPr="00036ADB" w:rsidP="00AE355F" w14:paraId="5877DB5D" w14:textId="77777777">
      <w:pPr>
        <w:rPr>
          <w:sz w:val="24"/>
        </w:rPr>
      </w:pPr>
      <w:r w:rsidRPr="00036ADB">
        <w:rPr>
          <w:sz w:val="24"/>
        </w:rPr>
        <w:t xml:space="preserve">Reviewing and </w:t>
      </w:r>
      <w:r w:rsidRPr="00036ADB" w:rsidR="00B22744">
        <w:rPr>
          <w:sz w:val="24"/>
        </w:rPr>
        <w:t>r</w:t>
      </w:r>
      <w:r w:rsidRPr="00036ADB">
        <w:rPr>
          <w:sz w:val="24"/>
        </w:rPr>
        <w:t xml:space="preserve">eporting on </w:t>
      </w:r>
      <w:r w:rsidRPr="00036ADB" w:rsidR="00B22744">
        <w:rPr>
          <w:sz w:val="24"/>
        </w:rPr>
        <w:t>TPP Tier 1</w:t>
      </w:r>
      <w:r w:rsidRPr="00036ADB" w:rsidR="004B45BE">
        <w:rPr>
          <w:sz w:val="24"/>
        </w:rPr>
        <w:t xml:space="preserve"> and Tier 2</w:t>
      </w:r>
      <w:r w:rsidRPr="00036ADB" w:rsidR="00B22744">
        <w:rPr>
          <w:sz w:val="24"/>
        </w:rPr>
        <w:t xml:space="preserve"> p</w:t>
      </w:r>
      <w:r w:rsidRPr="00036ADB">
        <w:rPr>
          <w:sz w:val="24"/>
        </w:rPr>
        <w:t xml:space="preserve">rogram </w:t>
      </w:r>
      <w:r w:rsidRPr="00036ADB" w:rsidR="0041766B">
        <w:rPr>
          <w:sz w:val="24"/>
        </w:rPr>
        <w:t>planning</w:t>
      </w:r>
      <w:r w:rsidRPr="00036ADB">
        <w:rPr>
          <w:sz w:val="24"/>
        </w:rPr>
        <w:t xml:space="preserve"> and </w:t>
      </w:r>
      <w:r w:rsidRPr="00036ADB" w:rsidR="00B22744">
        <w:rPr>
          <w:sz w:val="24"/>
        </w:rPr>
        <w:t>i</w:t>
      </w:r>
      <w:r w:rsidRPr="00036ADB">
        <w:rPr>
          <w:sz w:val="24"/>
        </w:rPr>
        <w:t>mplementation</w:t>
      </w:r>
      <w:r w:rsidRPr="00036ADB">
        <w:rPr>
          <w:sz w:val="24"/>
        </w:rPr>
        <w:t xml:space="preserve"> will include the following activities:</w:t>
      </w:r>
    </w:p>
    <w:p w:rsidR="00DB0BF6" w:rsidRPr="006B791B" w:rsidP="00AE355F" w14:paraId="09275E8C" w14:textId="77777777">
      <w:pPr>
        <w:rPr>
          <w:color w:val="2F5496"/>
          <w:sz w:val="24"/>
        </w:rPr>
      </w:pPr>
    </w:p>
    <w:p w:rsidR="00DB0BF6" w:rsidRPr="00090954" w:rsidP="00DB0BF6" w14:paraId="4662D994" w14:textId="77777777">
      <w:pPr>
        <w:numPr>
          <w:ilvl w:val="0"/>
          <w:numId w:val="43"/>
        </w:numPr>
        <w:rPr>
          <w:sz w:val="24"/>
        </w:rPr>
      </w:pPr>
      <w:r w:rsidRPr="00090954">
        <w:rPr>
          <w:sz w:val="24"/>
        </w:rPr>
        <w:t xml:space="preserve">A review of </w:t>
      </w:r>
      <w:r w:rsidRPr="00090954" w:rsidR="004B5D9B">
        <w:rPr>
          <w:sz w:val="24"/>
        </w:rPr>
        <w:t xml:space="preserve">the </w:t>
      </w:r>
      <w:r w:rsidRPr="00090954" w:rsidR="004B45BE">
        <w:rPr>
          <w:sz w:val="24"/>
        </w:rPr>
        <w:t>75</w:t>
      </w:r>
      <w:r w:rsidRPr="00090954" w:rsidR="00E25075">
        <w:rPr>
          <w:sz w:val="24"/>
        </w:rPr>
        <w:t xml:space="preserve"> </w:t>
      </w:r>
      <w:r w:rsidRPr="00090954">
        <w:rPr>
          <w:sz w:val="24"/>
        </w:rPr>
        <w:t>grantees’ original applications for Tier 1</w:t>
      </w:r>
      <w:r w:rsidRPr="00090954" w:rsidR="004B45BE">
        <w:rPr>
          <w:sz w:val="24"/>
        </w:rPr>
        <w:t xml:space="preserve"> or Tier 2</w:t>
      </w:r>
      <w:r w:rsidRPr="00090954">
        <w:rPr>
          <w:sz w:val="24"/>
        </w:rPr>
        <w:t xml:space="preserve"> grants. </w:t>
      </w:r>
    </w:p>
    <w:p w:rsidR="00090954" w:rsidP="002E7D5B" w14:paraId="5941EFDC" w14:textId="52B9F0ED">
      <w:pPr>
        <w:numPr>
          <w:ilvl w:val="0"/>
          <w:numId w:val="43"/>
        </w:numPr>
        <w:rPr>
          <w:sz w:val="24"/>
        </w:rPr>
      </w:pPr>
      <w:r>
        <w:rPr>
          <w:sz w:val="24"/>
        </w:rPr>
        <w:t>A</w:t>
      </w:r>
      <w:r w:rsidRPr="00036ADB">
        <w:rPr>
          <w:sz w:val="24"/>
        </w:rPr>
        <w:t xml:space="preserve"> </w:t>
      </w:r>
      <w:r w:rsidR="00AE084A">
        <w:rPr>
          <w:sz w:val="24"/>
        </w:rPr>
        <w:t xml:space="preserve">one-time, self-administered </w:t>
      </w:r>
      <w:r w:rsidRPr="00036ADB">
        <w:rPr>
          <w:sz w:val="24"/>
        </w:rPr>
        <w:t xml:space="preserve">web-based pre-interview informational form </w:t>
      </w:r>
      <w:r w:rsidR="00AE084A">
        <w:rPr>
          <w:sz w:val="24"/>
        </w:rPr>
        <w:t>completed by</w:t>
      </w:r>
      <w:r w:rsidRPr="00036ADB">
        <w:rPr>
          <w:sz w:val="24"/>
        </w:rPr>
        <w:t xml:space="preserve"> all Tier 1 and Tier 2 grantees</w:t>
      </w:r>
      <w:r w:rsidR="00F142CC">
        <w:rPr>
          <w:sz w:val="24"/>
        </w:rPr>
        <w:t xml:space="preserve"> [</w:t>
      </w:r>
      <w:r w:rsidRPr="00611F35" w:rsidR="00F142CC">
        <w:rPr>
          <w:i/>
          <w:iCs/>
          <w:sz w:val="24"/>
        </w:rPr>
        <w:t>data collection approved under OMB control number 0990-0379]</w:t>
      </w:r>
      <w:r w:rsidRPr="00611F35">
        <w:rPr>
          <w:i/>
          <w:iCs/>
          <w:sz w:val="24"/>
        </w:rPr>
        <w:t>.</w:t>
      </w:r>
    </w:p>
    <w:p w:rsidR="00DB0BF6" w:rsidP="002E7D5B" w14:paraId="519BB6BE" w14:textId="398264C2">
      <w:pPr>
        <w:numPr>
          <w:ilvl w:val="0"/>
          <w:numId w:val="43"/>
        </w:numPr>
        <w:rPr>
          <w:sz w:val="24"/>
        </w:rPr>
      </w:pPr>
      <w:r w:rsidRPr="00090954">
        <w:rPr>
          <w:sz w:val="24"/>
        </w:rPr>
        <w:t xml:space="preserve">In-depth </w:t>
      </w:r>
      <w:r w:rsidRPr="00090954" w:rsidR="00B22744">
        <w:rPr>
          <w:sz w:val="24"/>
        </w:rPr>
        <w:t>interviews</w:t>
      </w:r>
      <w:r w:rsidRPr="00090954">
        <w:rPr>
          <w:sz w:val="24"/>
        </w:rPr>
        <w:t xml:space="preserve"> with each of the 75 grantees </w:t>
      </w:r>
      <w:r w:rsidRPr="00090954" w:rsidR="00E25075">
        <w:rPr>
          <w:sz w:val="24"/>
        </w:rPr>
        <w:t>and up to two implementation partner</w:t>
      </w:r>
      <w:r w:rsidRPr="00090954" w:rsidR="00B22744">
        <w:rPr>
          <w:sz w:val="24"/>
        </w:rPr>
        <w:t xml:space="preserve"> organizations</w:t>
      </w:r>
      <w:r w:rsidRPr="00090954" w:rsidR="00E25075">
        <w:rPr>
          <w:sz w:val="24"/>
        </w:rPr>
        <w:t xml:space="preserve"> </w:t>
      </w:r>
      <w:r w:rsidRPr="00090954">
        <w:rPr>
          <w:sz w:val="24"/>
        </w:rPr>
        <w:t xml:space="preserve">for 31 of the </w:t>
      </w:r>
      <w:r w:rsidR="00AE084A">
        <w:rPr>
          <w:sz w:val="24"/>
        </w:rPr>
        <w:t xml:space="preserve">62 </w:t>
      </w:r>
      <w:r w:rsidRPr="00090954">
        <w:rPr>
          <w:sz w:val="24"/>
        </w:rPr>
        <w:t>Tier 1 grantees and all 13 Tier 2 grantees</w:t>
      </w:r>
      <w:r w:rsidRPr="00090954" w:rsidR="00E25075">
        <w:rPr>
          <w:sz w:val="24"/>
        </w:rPr>
        <w:t>.</w:t>
      </w:r>
      <w:r w:rsidRPr="00090954">
        <w:rPr>
          <w:sz w:val="24"/>
        </w:rPr>
        <w:t xml:space="preserve"> If COVID-19 conditions allow, up to 6 grantees will be selected for in person </w:t>
      </w:r>
      <w:r w:rsidR="00AE084A">
        <w:rPr>
          <w:sz w:val="24"/>
        </w:rPr>
        <w:t>site visits</w:t>
      </w:r>
      <w:r w:rsidRPr="00090954">
        <w:rPr>
          <w:sz w:val="24"/>
        </w:rPr>
        <w:t xml:space="preserve">. </w:t>
      </w:r>
    </w:p>
    <w:p w:rsidR="00B15446" w:rsidRPr="00090954" w:rsidP="002E7D5B" w14:paraId="5DBE7F79" w14:textId="77777777">
      <w:pPr>
        <w:numPr>
          <w:ilvl w:val="0"/>
          <w:numId w:val="43"/>
        </w:numPr>
        <w:rPr>
          <w:sz w:val="24"/>
        </w:rPr>
      </w:pPr>
      <w:r>
        <w:rPr>
          <w:sz w:val="24"/>
        </w:rPr>
        <w:t>Observation</w:t>
      </w:r>
      <w:r w:rsidR="001A096D">
        <w:rPr>
          <w:sz w:val="24"/>
        </w:rPr>
        <w:t>s</w:t>
      </w:r>
      <w:r>
        <w:rPr>
          <w:sz w:val="24"/>
        </w:rPr>
        <w:t xml:space="preserve"> of </w:t>
      </w:r>
      <w:r w:rsidR="001A096D">
        <w:rPr>
          <w:sz w:val="24"/>
        </w:rPr>
        <w:t xml:space="preserve">one </w:t>
      </w:r>
      <w:r>
        <w:rPr>
          <w:sz w:val="24"/>
        </w:rPr>
        <w:t xml:space="preserve">grantee or partner meeting for up to </w:t>
      </w:r>
      <w:r w:rsidRPr="00090954">
        <w:rPr>
          <w:sz w:val="24"/>
        </w:rPr>
        <w:t xml:space="preserve">31 of the </w:t>
      </w:r>
      <w:r>
        <w:rPr>
          <w:sz w:val="24"/>
        </w:rPr>
        <w:t xml:space="preserve">62 </w:t>
      </w:r>
      <w:r w:rsidRPr="00090954">
        <w:rPr>
          <w:sz w:val="24"/>
        </w:rPr>
        <w:t>Tier 1 grantees and all 13 Tier 2 grantees.</w:t>
      </w:r>
    </w:p>
    <w:p w:rsidR="00DB0BF6" w:rsidRPr="00090954" w:rsidP="00DB0BF6" w14:paraId="702D26BC" w14:textId="77777777">
      <w:pPr>
        <w:numPr>
          <w:ilvl w:val="0"/>
          <w:numId w:val="43"/>
        </w:numPr>
        <w:rPr>
          <w:sz w:val="24"/>
        </w:rPr>
      </w:pPr>
      <w:r w:rsidRPr="00090954">
        <w:rPr>
          <w:sz w:val="24"/>
        </w:rPr>
        <w:t xml:space="preserve">Analysis and reporting of </w:t>
      </w:r>
      <w:r w:rsidRPr="00090954" w:rsidR="00B22744">
        <w:rPr>
          <w:sz w:val="24"/>
        </w:rPr>
        <w:t xml:space="preserve">qualitative </w:t>
      </w:r>
      <w:r w:rsidRPr="00090954">
        <w:rPr>
          <w:sz w:val="24"/>
        </w:rPr>
        <w:t xml:space="preserve">data. </w:t>
      </w:r>
    </w:p>
    <w:p w:rsidR="00DB0BF6" w:rsidP="00AE355F" w14:paraId="0F33FC13" w14:textId="77777777">
      <w:pPr>
        <w:rPr>
          <w:color w:val="2F5496"/>
          <w:sz w:val="24"/>
        </w:rPr>
      </w:pPr>
    </w:p>
    <w:p w:rsidR="00AE355F" w:rsidRPr="00D763FF" w:rsidP="00AE355F" w14:paraId="585A2F74" w14:textId="77777777">
      <w:pPr>
        <w:rPr>
          <w:i/>
          <w:sz w:val="24"/>
        </w:rPr>
      </w:pPr>
      <w:r w:rsidRPr="00D763FF">
        <w:rPr>
          <w:i/>
          <w:sz w:val="24"/>
        </w:rPr>
        <w:t>Implementation Data Collection Instruments</w:t>
      </w:r>
    </w:p>
    <w:p w:rsidR="00AE355F" w:rsidRPr="006B791B" w:rsidP="00AE355F" w14:paraId="16DB6B15" w14:textId="77777777">
      <w:pPr>
        <w:rPr>
          <w:color w:val="2F5496"/>
          <w:sz w:val="24"/>
        </w:rPr>
      </w:pPr>
    </w:p>
    <w:p w:rsidR="00C13D21" w:rsidRPr="00373E2F" w:rsidP="00C13D21" w14:paraId="761A6B8E" w14:textId="77777777">
      <w:pPr>
        <w:pStyle w:val="NormalSS12"/>
        <w:ind w:firstLine="0"/>
        <w:jc w:val="left"/>
        <w:rPr>
          <w:rFonts w:ascii="Times New Roman" w:hAnsi="Times New Roman"/>
          <w:color w:val="000000"/>
        </w:rPr>
      </w:pPr>
      <w:r w:rsidRPr="00373E2F">
        <w:rPr>
          <w:rFonts w:ascii="Times New Roman" w:hAnsi="Times New Roman"/>
          <w:color w:val="000000"/>
        </w:rPr>
        <w:t xml:space="preserve">The TPP20 </w:t>
      </w:r>
      <w:r>
        <w:rPr>
          <w:rFonts w:ascii="Times New Roman" w:hAnsi="Times New Roman"/>
          <w:color w:val="000000"/>
        </w:rPr>
        <w:t>Implementation S</w:t>
      </w:r>
      <w:r w:rsidRPr="00373E2F">
        <w:rPr>
          <w:rFonts w:ascii="Times New Roman" w:hAnsi="Times New Roman"/>
          <w:color w:val="000000"/>
        </w:rPr>
        <w:t xml:space="preserve">tudy will collect data on program planning and implementation. </w:t>
      </w:r>
      <w:r>
        <w:rPr>
          <w:rFonts w:ascii="Times New Roman" w:hAnsi="Times New Roman"/>
          <w:color w:val="000000"/>
        </w:rPr>
        <w:t xml:space="preserve">For Tier 1 grantees, this will include information about </w:t>
      </w:r>
      <w:r w:rsidRPr="00ED28DD">
        <w:rPr>
          <w:rFonts w:ascii="Times New Roman" w:hAnsi="Times New Roman"/>
        </w:rPr>
        <w:t xml:space="preserve">the development of the TPP project, </w:t>
      </w:r>
      <w:r>
        <w:rPr>
          <w:rFonts w:ascii="Times New Roman" w:hAnsi="Times New Roman"/>
        </w:rPr>
        <w:t>partnerships, project settings and overall reach, evidence-based interventions being implemented, services included in the projects, and how the community and youth have been engaged in the project.</w:t>
      </w:r>
      <w:r>
        <w:rPr>
          <w:rFonts w:ascii="Times New Roman" w:hAnsi="Times New Roman"/>
          <w:color w:val="000000"/>
        </w:rPr>
        <w:t xml:space="preserve"> For Tier 2 grantees this will include information about </w:t>
      </w:r>
      <w:r w:rsidRPr="00A94126">
        <w:rPr>
          <w:rFonts w:ascii="Times New Roman" w:hAnsi="Times New Roman"/>
          <w:color w:val="000000"/>
        </w:rPr>
        <w:t xml:space="preserve">the development of the TPP project, </w:t>
      </w:r>
      <w:r>
        <w:rPr>
          <w:rFonts w:ascii="Times New Roman" w:hAnsi="Times New Roman"/>
          <w:color w:val="000000"/>
        </w:rPr>
        <w:t>implementation and oversight of the Innovation and Impact Network</w:t>
      </w:r>
      <w:r w:rsidRPr="00A94126">
        <w:rPr>
          <w:rFonts w:ascii="Times New Roman" w:hAnsi="Times New Roman"/>
          <w:color w:val="000000"/>
        </w:rPr>
        <w:t xml:space="preserve">, engagement of </w:t>
      </w:r>
      <w:r w:rsidRPr="00A94126">
        <w:rPr>
          <w:rFonts w:ascii="Times New Roman" w:hAnsi="Times New Roman"/>
          <w:color w:val="000000"/>
        </w:rPr>
        <w:t>partners and youth, change</w:t>
      </w:r>
      <w:r>
        <w:rPr>
          <w:rFonts w:ascii="Times New Roman" w:hAnsi="Times New Roman"/>
          <w:color w:val="000000"/>
        </w:rPr>
        <w:t>s</w:t>
      </w:r>
      <w:r w:rsidRPr="00A94126">
        <w:rPr>
          <w:rFonts w:ascii="Times New Roman" w:hAnsi="Times New Roman"/>
          <w:color w:val="000000"/>
        </w:rPr>
        <w:t xml:space="preserve"> and adapt</w:t>
      </w:r>
      <w:r>
        <w:rPr>
          <w:rFonts w:ascii="Times New Roman" w:hAnsi="Times New Roman"/>
          <w:color w:val="000000"/>
        </w:rPr>
        <w:t>ations made to</w:t>
      </w:r>
      <w:r w:rsidRPr="00A94126">
        <w:rPr>
          <w:rFonts w:ascii="Times New Roman" w:hAnsi="Times New Roman"/>
          <w:color w:val="000000"/>
        </w:rPr>
        <w:t xml:space="preserve"> the project over time, and program evaluation plans</w:t>
      </w:r>
      <w:r>
        <w:rPr>
          <w:rFonts w:ascii="Times New Roman" w:hAnsi="Times New Roman"/>
          <w:color w:val="000000"/>
        </w:rPr>
        <w:t>. For both Tier 1 and Tier 2 grantees, this will also</w:t>
      </w:r>
      <w:r w:rsidRPr="00373E2F">
        <w:rPr>
          <w:rFonts w:ascii="Times New Roman" w:hAnsi="Times New Roman"/>
          <w:color w:val="000000"/>
        </w:rPr>
        <w:t xml:space="preserve"> include information about promising practices, lessons learned</w:t>
      </w:r>
      <w:r>
        <w:rPr>
          <w:rFonts w:ascii="Times New Roman" w:hAnsi="Times New Roman"/>
          <w:color w:val="000000"/>
        </w:rPr>
        <w:t>,</w:t>
      </w:r>
      <w:r w:rsidRPr="00373E2F">
        <w:rPr>
          <w:rFonts w:ascii="Times New Roman" w:hAnsi="Times New Roman"/>
          <w:color w:val="000000"/>
        </w:rPr>
        <w:t xml:space="preserve"> and barriers relevant to program implementation. </w:t>
      </w:r>
    </w:p>
    <w:p w:rsidR="00AE084A" w:rsidRPr="002E7D5B" w:rsidP="00C13D21" w14:paraId="7AA7B45B" w14:textId="2009F220">
      <w:pPr>
        <w:pStyle w:val="NormalSS12"/>
        <w:ind w:firstLine="0"/>
        <w:jc w:val="left"/>
        <w:rPr>
          <w:rFonts w:ascii="Times New Roman" w:hAnsi="Times New Roman"/>
        </w:rPr>
      </w:pPr>
      <w:r w:rsidRPr="00373E2F">
        <w:rPr>
          <w:rFonts w:ascii="Times New Roman" w:hAnsi="Times New Roman"/>
          <w:color w:val="000000"/>
        </w:rPr>
        <w:t>Information on these topics will be collected from existing program documents (including the grant applications submitted by each of the 75 TPP grantees), as well as individual interviews with grantees (all 75 projects)</w:t>
      </w:r>
      <w:r>
        <w:rPr>
          <w:rFonts w:ascii="Times New Roman" w:hAnsi="Times New Roman"/>
          <w:color w:val="000000"/>
        </w:rPr>
        <w:t xml:space="preserve">, interviews with </w:t>
      </w:r>
      <w:r w:rsidRPr="00373E2F">
        <w:rPr>
          <w:rFonts w:ascii="Times New Roman" w:hAnsi="Times New Roman"/>
          <w:color w:val="000000"/>
        </w:rPr>
        <w:t>implementation partners (</w:t>
      </w:r>
      <w:r>
        <w:rPr>
          <w:rFonts w:ascii="Times New Roman" w:hAnsi="Times New Roman"/>
          <w:color w:val="000000"/>
        </w:rPr>
        <w:t xml:space="preserve">from </w:t>
      </w:r>
      <w:r w:rsidRPr="00373E2F">
        <w:rPr>
          <w:rFonts w:ascii="Times New Roman" w:hAnsi="Times New Roman"/>
          <w:color w:val="000000"/>
        </w:rPr>
        <w:t xml:space="preserve">the 13 Tier 2 projects and a sample of </w:t>
      </w:r>
      <w:r>
        <w:rPr>
          <w:rFonts w:ascii="Times New Roman" w:hAnsi="Times New Roman"/>
          <w:color w:val="000000"/>
        </w:rPr>
        <w:t>31</w:t>
      </w:r>
      <w:r w:rsidRPr="00373E2F">
        <w:rPr>
          <w:rFonts w:ascii="Times New Roman" w:hAnsi="Times New Roman"/>
          <w:color w:val="000000"/>
        </w:rPr>
        <w:t xml:space="preserve"> Tier 1 projects), </w:t>
      </w:r>
      <w:r>
        <w:rPr>
          <w:rFonts w:ascii="Times New Roman" w:hAnsi="Times New Roman"/>
          <w:color w:val="000000"/>
        </w:rPr>
        <w:t xml:space="preserve">meeting </w:t>
      </w:r>
      <w:r w:rsidRPr="00373E2F">
        <w:rPr>
          <w:rFonts w:ascii="Times New Roman" w:hAnsi="Times New Roman"/>
          <w:color w:val="000000"/>
        </w:rPr>
        <w:t>observations</w:t>
      </w:r>
      <w:r>
        <w:rPr>
          <w:rFonts w:ascii="Times New Roman" w:hAnsi="Times New Roman"/>
          <w:color w:val="000000"/>
        </w:rPr>
        <w:t xml:space="preserve">, and </w:t>
      </w:r>
      <w:r w:rsidRPr="00373E2F">
        <w:rPr>
          <w:rFonts w:ascii="Times New Roman" w:hAnsi="Times New Roman"/>
          <w:color w:val="000000"/>
        </w:rPr>
        <w:t xml:space="preserve">in-person site visits (up to </w:t>
      </w:r>
      <w:r>
        <w:rPr>
          <w:rFonts w:ascii="Times New Roman" w:hAnsi="Times New Roman"/>
          <w:color w:val="000000"/>
        </w:rPr>
        <w:t>6</w:t>
      </w:r>
      <w:r w:rsidRPr="00373E2F">
        <w:rPr>
          <w:rFonts w:ascii="Times New Roman" w:hAnsi="Times New Roman"/>
          <w:color w:val="000000"/>
        </w:rPr>
        <w:t xml:space="preserve"> grantees). </w:t>
      </w:r>
      <w:r w:rsidRPr="002E7D5B">
        <w:rPr>
          <w:rFonts w:ascii="Times New Roman" w:hAnsi="Times New Roman"/>
        </w:rPr>
        <w:t xml:space="preserve">The instruments in this clearance request are: </w:t>
      </w:r>
    </w:p>
    <w:p w:rsidR="00AE084A" w:rsidRPr="002E7D5B" w:rsidP="00611F35" w14:paraId="0EBEFBF3" w14:textId="7556E1F1">
      <w:pPr>
        <w:pStyle w:val="NormalSS"/>
        <w:jc w:val="left"/>
        <w:rPr>
          <w:rFonts w:ascii="Times New Roman" w:hAnsi="Times New Roman"/>
        </w:rPr>
      </w:pPr>
      <w:r w:rsidRPr="002E7D5B">
        <w:rPr>
          <w:rFonts w:ascii="Times New Roman" w:hAnsi="Times New Roman"/>
          <w:b/>
        </w:rPr>
        <w:t>a</w:t>
      </w:r>
      <w:r w:rsidRPr="002E7D5B">
        <w:rPr>
          <w:rFonts w:ascii="Times New Roman" w:hAnsi="Times New Roman"/>
        </w:rPr>
        <w:t>.</w:t>
      </w:r>
      <w:r w:rsidRPr="002E7D5B">
        <w:rPr>
          <w:rFonts w:ascii="Times New Roman" w:hAnsi="Times New Roman"/>
        </w:rPr>
        <w:tab/>
      </w:r>
      <w:r w:rsidRPr="002E7D5B">
        <w:rPr>
          <w:rFonts w:ascii="Times New Roman" w:hAnsi="Times New Roman"/>
          <w:b/>
        </w:rPr>
        <w:t>An Interview Guide for Tier 1 Grantee Staff</w:t>
      </w:r>
      <w:r w:rsidRPr="002E7D5B">
        <w:rPr>
          <w:rFonts w:ascii="Times New Roman" w:hAnsi="Times New Roman"/>
        </w:rPr>
        <w:t>.  These interviews will collect information on how agency leadership conceived of the TPP project and related program design</w:t>
      </w:r>
      <w:r w:rsidRPr="002E7D5B" w:rsidR="009A3ADD">
        <w:rPr>
          <w:rFonts w:ascii="Times New Roman" w:hAnsi="Times New Roman"/>
        </w:rPr>
        <w:t xml:space="preserve">, the community and organizational context in which the project operates, </w:t>
      </w:r>
      <w:r w:rsidRPr="002E7D5B" w:rsidR="004F4DEF">
        <w:rPr>
          <w:rFonts w:ascii="Times New Roman" w:hAnsi="Times New Roman"/>
        </w:rPr>
        <w:t>the project’s partnerships and project structure, community reach and settings, the selection and implementation of evidence-based interventions, systems and other services engaged, and their approach to community engagement</w:t>
      </w:r>
      <w:r w:rsidRPr="002E7D5B">
        <w:rPr>
          <w:rFonts w:ascii="Times New Roman" w:hAnsi="Times New Roman"/>
        </w:rPr>
        <w:t xml:space="preserve">. The guide will be administered once </w:t>
      </w:r>
      <w:r w:rsidR="00A57EC1">
        <w:rPr>
          <w:rFonts w:ascii="Times New Roman" w:hAnsi="Times New Roman"/>
        </w:rPr>
        <w:t>with</w:t>
      </w:r>
      <w:r w:rsidRPr="002E7D5B">
        <w:rPr>
          <w:rFonts w:ascii="Times New Roman" w:hAnsi="Times New Roman"/>
        </w:rPr>
        <w:t xml:space="preserve"> project leadership and other key staff </w:t>
      </w:r>
      <w:r w:rsidRPr="002E7D5B" w:rsidR="00B15446">
        <w:rPr>
          <w:rFonts w:ascii="Times New Roman" w:hAnsi="Times New Roman"/>
        </w:rPr>
        <w:t>from</w:t>
      </w:r>
      <w:r w:rsidRPr="002E7D5B">
        <w:rPr>
          <w:rFonts w:ascii="Times New Roman" w:hAnsi="Times New Roman"/>
        </w:rPr>
        <w:t xml:space="preserve"> all 65 Tier 1 grantees.</w:t>
      </w:r>
    </w:p>
    <w:p w:rsidR="004F4DEF" w:rsidRPr="004F4DEF" w:rsidP="00611F35" w14:paraId="4FD45A8A" w14:textId="6B901D8A">
      <w:pPr>
        <w:pStyle w:val="NormalSS"/>
        <w:jc w:val="left"/>
        <w:rPr>
          <w:rFonts w:ascii="Times New Roman" w:hAnsi="Times New Roman"/>
        </w:rPr>
      </w:pPr>
      <w:r w:rsidRPr="002E7D5B">
        <w:rPr>
          <w:rFonts w:ascii="Times New Roman" w:hAnsi="Times New Roman"/>
          <w:b/>
        </w:rPr>
        <w:t>b</w:t>
      </w:r>
      <w:r w:rsidRPr="002E7D5B">
        <w:rPr>
          <w:rFonts w:ascii="Times New Roman" w:hAnsi="Times New Roman"/>
        </w:rPr>
        <w:t>.</w:t>
      </w:r>
      <w:r w:rsidRPr="002E7D5B">
        <w:rPr>
          <w:rFonts w:ascii="Times New Roman" w:hAnsi="Times New Roman"/>
        </w:rPr>
        <w:tab/>
      </w:r>
      <w:r w:rsidRPr="002E7D5B">
        <w:rPr>
          <w:rFonts w:ascii="Times New Roman" w:hAnsi="Times New Roman"/>
          <w:b/>
        </w:rPr>
        <w:t xml:space="preserve">An Interview Guide for </w:t>
      </w:r>
      <w:r w:rsidRPr="002E7D5B">
        <w:rPr>
          <w:rFonts w:ascii="Times New Roman" w:hAnsi="Times New Roman"/>
          <w:b/>
        </w:rPr>
        <w:t xml:space="preserve">Tier 1 Partner </w:t>
      </w:r>
      <w:r w:rsidR="00F142CC">
        <w:rPr>
          <w:rFonts w:ascii="Times New Roman" w:hAnsi="Times New Roman"/>
          <w:b/>
        </w:rPr>
        <w:t xml:space="preserve">Organization </w:t>
      </w:r>
      <w:r w:rsidRPr="002E7D5B">
        <w:rPr>
          <w:rFonts w:ascii="Times New Roman" w:hAnsi="Times New Roman"/>
          <w:b/>
        </w:rPr>
        <w:t>Staff</w:t>
      </w:r>
      <w:r w:rsidRPr="002E7D5B">
        <w:rPr>
          <w:rFonts w:ascii="Times New Roman" w:hAnsi="Times New Roman"/>
          <w:b/>
        </w:rPr>
        <w:t xml:space="preserve">. </w:t>
      </w:r>
      <w:r w:rsidRPr="002E7D5B">
        <w:rPr>
          <w:rFonts w:ascii="Times New Roman" w:hAnsi="Times New Roman"/>
          <w:bCs/>
        </w:rPr>
        <w:t>T</w:t>
      </w:r>
      <w:r w:rsidRPr="002E7D5B">
        <w:rPr>
          <w:rFonts w:ascii="Times New Roman" w:hAnsi="Times New Roman"/>
        </w:rPr>
        <w:t xml:space="preserve">hese interviews will </w:t>
      </w:r>
      <w:r w:rsidRPr="002E7D5B">
        <w:rPr>
          <w:rFonts w:ascii="Times New Roman" w:hAnsi="Times New Roman"/>
        </w:rPr>
        <w:t xml:space="preserve">collect information </w:t>
      </w:r>
      <w:r w:rsidRPr="004F4DEF">
        <w:rPr>
          <w:rFonts w:ascii="Times New Roman" w:hAnsi="Times New Roman"/>
        </w:rPr>
        <w:t xml:space="preserve">from critical partners on how they coordinate with </w:t>
      </w:r>
      <w:r>
        <w:rPr>
          <w:rFonts w:ascii="Times New Roman" w:hAnsi="Times New Roman"/>
        </w:rPr>
        <w:t xml:space="preserve">the </w:t>
      </w:r>
      <w:r w:rsidRPr="004F4DEF">
        <w:rPr>
          <w:rFonts w:ascii="Times New Roman" w:hAnsi="Times New Roman"/>
        </w:rPr>
        <w:t xml:space="preserve">grantee, what role they play in the </w:t>
      </w:r>
      <w:r>
        <w:rPr>
          <w:rFonts w:ascii="Times New Roman" w:hAnsi="Times New Roman"/>
        </w:rPr>
        <w:t>TPP project’s development and implementation</w:t>
      </w:r>
      <w:r w:rsidRPr="004F4DEF">
        <w:rPr>
          <w:rFonts w:ascii="Times New Roman" w:hAnsi="Times New Roman"/>
        </w:rPr>
        <w:t xml:space="preserve">, </w:t>
      </w:r>
      <w:r w:rsidR="00B15446">
        <w:rPr>
          <w:rFonts w:ascii="Times New Roman" w:hAnsi="Times New Roman"/>
        </w:rPr>
        <w:t xml:space="preserve">how participants are reached and </w:t>
      </w:r>
      <w:r w:rsidRPr="004F4DEF">
        <w:rPr>
          <w:rFonts w:ascii="Times New Roman" w:hAnsi="Times New Roman"/>
        </w:rPr>
        <w:t xml:space="preserve">what services </w:t>
      </w:r>
      <w:r w:rsidR="00B15446">
        <w:rPr>
          <w:rFonts w:ascii="Times New Roman" w:hAnsi="Times New Roman"/>
        </w:rPr>
        <w:t>p</w:t>
      </w:r>
      <w:r w:rsidRPr="004F4DEF">
        <w:rPr>
          <w:rFonts w:ascii="Times New Roman" w:hAnsi="Times New Roman"/>
        </w:rPr>
        <w:t xml:space="preserve">articipants are provided, and the partners’ overall perspectives on the </w:t>
      </w:r>
      <w:r w:rsidR="00B15446">
        <w:rPr>
          <w:rFonts w:ascii="Times New Roman" w:hAnsi="Times New Roman"/>
        </w:rPr>
        <w:t xml:space="preserve">TPP project. The guide will be administered once </w:t>
      </w:r>
      <w:r w:rsidR="0085579E">
        <w:rPr>
          <w:rFonts w:ascii="Times New Roman" w:hAnsi="Times New Roman"/>
        </w:rPr>
        <w:t>with</w:t>
      </w:r>
      <w:r w:rsidR="00B15446">
        <w:rPr>
          <w:rFonts w:ascii="Times New Roman" w:hAnsi="Times New Roman"/>
        </w:rPr>
        <w:t xml:space="preserve"> key partner staff for 31 of the 65 Tier 1 grantees. </w:t>
      </w:r>
    </w:p>
    <w:p w:rsidR="00AE084A" w:rsidRPr="002E7D5B" w:rsidP="00611F35" w14:paraId="20A241FE" w14:textId="40B0C33B">
      <w:pPr>
        <w:pStyle w:val="NormalSS"/>
        <w:jc w:val="left"/>
        <w:rPr>
          <w:rFonts w:ascii="Times New Roman" w:hAnsi="Times New Roman"/>
        </w:rPr>
      </w:pPr>
      <w:r w:rsidRPr="002E7D5B">
        <w:rPr>
          <w:rFonts w:ascii="Times New Roman" w:hAnsi="Times New Roman"/>
          <w:b/>
        </w:rPr>
        <w:t>c.</w:t>
      </w:r>
      <w:r w:rsidRPr="002E7D5B">
        <w:rPr>
          <w:rFonts w:ascii="Times New Roman" w:hAnsi="Times New Roman"/>
          <w:b/>
        </w:rPr>
        <w:tab/>
      </w:r>
      <w:r w:rsidRPr="00B15446" w:rsidR="00B15446">
        <w:rPr>
          <w:rFonts w:ascii="Times New Roman" w:hAnsi="Times New Roman"/>
          <w:b/>
        </w:rPr>
        <w:t xml:space="preserve">An Interview Guide for Tier </w:t>
      </w:r>
      <w:r w:rsidR="00B15446">
        <w:rPr>
          <w:rFonts w:ascii="Times New Roman" w:hAnsi="Times New Roman"/>
          <w:b/>
        </w:rPr>
        <w:t>2</w:t>
      </w:r>
      <w:r w:rsidRPr="00B15446" w:rsidR="00B15446">
        <w:rPr>
          <w:rFonts w:ascii="Times New Roman" w:hAnsi="Times New Roman"/>
          <w:b/>
        </w:rPr>
        <w:t xml:space="preserve"> Grantee Staff</w:t>
      </w:r>
      <w:r w:rsidRPr="00B15446" w:rsidR="00B15446">
        <w:rPr>
          <w:rFonts w:ascii="Times New Roman" w:hAnsi="Times New Roman"/>
        </w:rPr>
        <w:t>.  These interviews will collect information on how agency leadership conceived of the TPP project</w:t>
      </w:r>
      <w:r w:rsidR="00976B78">
        <w:rPr>
          <w:rFonts w:ascii="Times New Roman" w:hAnsi="Times New Roman"/>
        </w:rPr>
        <w:t xml:space="preserve">, how the network was formed and implemented, the implementation of the project, how the project engages partners and youth, how the network has adapted and changed over time, program evaluation plans, and </w:t>
      </w:r>
      <w:r w:rsidRPr="004F4DEF" w:rsidR="00976B78">
        <w:rPr>
          <w:rFonts w:ascii="Times New Roman" w:hAnsi="Times New Roman"/>
        </w:rPr>
        <w:t xml:space="preserve">overall perspectives on the </w:t>
      </w:r>
      <w:r w:rsidR="00976B78">
        <w:rPr>
          <w:rFonts w:ascii="Times New Roman" w:hAnsi="Times New Roman"/>
        </w:rPr>
        <w:t>TPP project</w:t>
      </w:r>
      <w:r w:rsidRPr="00B15446" w:rsidR="00B15446">
        <w:rPr>
          <w:rFonts w:ascii="Times New Roman" w:hAnsi="Times New Roman"/>
        </w:rPr>
        <w:t xml:space="preserve">. The guide will be administered once </w:t>
      </w:r>
      <w:r w:rsidR="0085579E">
        <w:rPr>
          <w:rFonts w:ascii="Times New Roman" w:hAnsi="Times New Roman"/>
        </w:rPr>
        <w:t>with</w:t>
      </w:r>
      <w:r w:rsidRPr="00B15446" w:rsidR="00B15446">
        <w:rPr>
          <w:rFonts w:ascii="Times New Roman" w:hAnsi="Times New Roman"/>
        </w:rPr>
        <w:t xml:space="preserve"> project leadership and other key staff </w:t>
      </w:r>
      <w:r w:rsidR="00B15446">
        <w:rPr>
          <w:rFonts w:ascii="Times New Roman" w:hAnsi="Times New Roman"/>
        </w:rPr>
        <w:t>from</w:t>
      </w:r>
      <w:r w:rsidRPr="00B15446" w:rsidR="00B15446">
        <w:rPr>
          <w:rFonts w:ascii="Times New Roman" w:hAnsi="Times New Roman"/>
        </w:rPr>
        <w:t xml:space="preserve"> all </w:t>
      </w:r>
      <w:r w:rsidR="00B15446">
        <w:rPr>
          <w:rFonts w:ascii="Times New Roman" w:hAnsi="Times New Roman"/>
        </w:rPr>
        <w:t>13</w:t>
      </w:r>
      <w:r w:rsidRPr="00B15446" w:rsidR="00B15446">
        <w:rPr>
          <w:rFonts w:ascii="Times New Roman" w:hAnsi="Times New Roman"/>
        </w:rPr>
        <w:t xml:space="preserve"> Tier </w:t>
      </w:r>
      <w:r w:rsidR="00B15446">
        <w:rPr>
          <w:rFonts w:ascii="Times New Roman" w:hAnsi="Times New Roman"/>
        </w:rPr>
        <w:t>2</w:t>
      </w:r>
      <w:r w:rsidRPr="00B15446" w:rsidR="00B15446">
        <w:rPr>
          <w:rFonts w:ascii="Times New Roman" w:hAnsi="Times New Roman"/>
        </w:rPr>
        <w:t xml:space="preserve"> grantees.</w:t>
      </w:r>
    </w:p>
    <w:p w:rsidR="00AE084A" w:rsidRPr="002E7D5B" w:rsidP="00611F35" w14:paraId="0BCA694B" w14:textId="7F2CAA07">
      <w:pPr>
        <w:pStyle w:val="NormalSS"/>
        <w:jc w:val="left"/>
        <w:rPr>
          <w:rFonts w:ascii="Times New Roman" w:hAnsi="Times New Roman"/>
        </w:rPr>
      </w:pPr>
      <w:r w:rsidRPr="002E7D5B">
        <w:rPr>
          <w:rFonts w:ascii="Times New Roman" w:hAnsi="Times New Roman"/>
          <w:b/>
        </w:rPr>
        <w:t xml:space="preserve">d. </w:t>
      </w:r>
      <w:r w:rsidRPr="002E7D5B">
        <w:rPr>
          <w:rFonts w:ascii="Times New Roman" w:hAnsi="Times New Roman"/>
          <w:b/>
        </w:rPr>
        <w:tab/>
      </w:r>
      <w:r w:rsidRPr="00B15446" w:rsidR="00B15446">
        <w:rPr>
          <w:rFonts w:ascii="Times New Roman" w:hAnsi="Times New Roman"/>
          <w:b/>
        </w:rPr>
        <w:t xml:space="preserve">An Interview Guide for Tier </w:t>
      </w:r>
      <w:r w:rsidR="00B15446">
        <w:rPr>
          <w:rFonts w:ascii="Times New Roman" w:hAnsi="Times New Roman"/>
          <w:b/>
        </w:rPr>
        <w:t>2</w:t>
      </w:r>
      <w:r w:rsidRPr="00B15446" w:rsidR="00B15446">
        <w:rPr>
          <w:rFonts w:ascii="Times New Roman" w:hAnsi="Times New Roman"/>
          <w:b/>
        </w:rPr>
        <w:t xml:space="preserve"> Partner </w:t>
      </w:r>
      <w:r w:rsidR="00F142CC">
        <w:rPr>
          <w:rFonts w:ascii="Times New Roman" w:hAnsi="Times New Roman"/>
          <w:b/>
        </w:rPr>
        <w:t>Organization</w:t>
      </w:r>
      <w:r w:rsidRPr="00B15446" w:rsidR="00B15446">
        <w:rPr>
          <w:rFonts w:ascii="Times New Roman" w:hAnsi="Times New Roman"/>
          <w:b/>
        </w:rPr>
        <w:t xml:space="preserve"> Staff.</w:t>
      </w:r>
      <w:r w:rsidRPr="002E7D5B">
        <w:rPr>
          <w:rFonts w:ascii="Times New Roman" w:hAnsi="Times New Roman"/>
          <w:b/>
        </w:rPr>
        <w:t xml:space="preserve"> </w:t>
      </w:r>
      <w:r w:rsidRPr="00B15446" w:rsidR="00B15446">
        <w:rPr>
          <w:rFonts w:ascii="Times New Roman" w:hAnsi="Times New Roman"/>
          <w:bCs/>
        </w:rPr>
        <w:t>T</w:t>
      </w:r>
      <w:r w:rsidRPr="00B15446" w:rsidR="00B15446">
        <w:rPr>
          <w:rFonts w:ascii="Times New Roman" w:hAnsi="Times New Roman"/>
        </w:rPr>
        <w:t xml:space="preserve">hese interviews will collect information </w:t>
      </w:r>
      <w:r w:rsidRPr="004F4DEF" w:rsidR="00B15446">
        <w:rPr>
          <w:rFonts w:ascii="Times New Roman" w:hAnsi="Times New Roman"/>
        </w:rPr>
        <w:t xml:space="preserve">from critical partners on </w:t>
      </w:r>
      <w:r w:rsidR="00976B78">
        <w:rPr>
          <w:rFonts w:ascii="Times New Roman" w:hAnsi="Times New Roman"/>
        </w:rPr>
        <w:t xml:space="preserve">their role in developing the project, </w:t>
      </w:r>
      <w:r w:rsidRPr="004F4DEF" w:rsidR="00B15446">
        <w:rPr>
          <w:rFonts w:ascii="Times New Roman" w:hAnsi="Times New Roman"/>
        </w:rPr>
        <w:t xml:space="preserve">how they coordinate with </w:t>
      </w:r>
      <w:r w:rsidR="00B15446">
        <w:rPr>
          <w:rFonts w:ascii="Times New Roman" w:hAnsi="Times New Roman"/>
        </w:rPr>
        <w:t xml:space="preserve">the </w:t>
      </w:r>
      <w:r w:rsidRPr="004F4DEF" w:rsidR="00B15446">
        <w:rPr>
          <w:rFonts w:ascii="Times New Roman" w:hAnsi="Times New Roman"/>
        </w:rPr>
        <w:t xml:space="preserve">grantee, what role they play in </w:t>
      </w:r>
      <w:r w:rsidR="00976B78">
        <w:rPr>
          <w:rFonts w:ascii="Times New Roman" w:hAnsi="Times New Roman"/>
        </w:rPr>
        <w:t>intervention</w:t>
      </w:r>
      <w:r w:rsidR="00B15446">
        <w:rPr>
          <w:rFonts w:ascii="Times New Roman" w:hAnsi="Times New Roman"/>
        </w:rPr>
        <w:t xml:space="preserve"> development</w:t>
      </w:r>
      <w:r w:rsidR="00976B78">
        <w:rPr>
          <w:rFonts w:ascii="Times New Roman" w:hAnsi="Times New Roman"/>
        </w:rPr>
        <w:t xml:space="preserve"> and </w:t>
      </w:r>
      <w:r w:rsidR="00B15446">
        <w:rPr>
          <w:rFonts w:ascii="Times New Roman" w:hAnsi="Times New Roman"/>
        </w:rPr>
        <w:t>implementation</w:t>
      </w:r>
      <w:r w:rsidRPr="004F4DEF" w:rsidR="00B15446">
        <w:rPr>
          <w:rFonts w:ascii="Times New Roman" w:hAnsi="Times New Roman"/>
        </w:rPr>
        <w:t xml:space="preserve">, </w:t>
      </w:r>
      <w:r w:rsidR="00B15446">
        <w:rPr>
          <w:rFonts w:ascii="Times New Roman" w:hAnsi="Times New Roman"/>
        </w:rPr>
        <w:t xml:space="preserve">how </w:t>
      </w:r>
      <w:r w:rsidR="00976B78">
        <w:rPr>
          <w:rFonts w:ascii="Times New Roman" w:hAnsi="Times New Roman"/>
        </w:rPr>
        <w:t>partners and youth are engaged in the network’s activities, how the innovation network is coordinated and supported, intervention evaluation and dissemination</w:t>
      </w:r>
      <w:r w:rsidRPr="004F4DEF" w:rsidR="00B15446">
        <w:rPr>
          <w:rFonts w:ascii="Times New Roman" w:hAnsi="Times New Roman"/>
        </w:rPr>
        <w:t>,</w:t>
      </w:r>
      <w:r w:rsidR="00976B78">
        <w:rPr>
          <w:rFonts w:ascii="Times New Roman" w:hAnsi="Times New Roman"/>
        </w:rPr>
        <w:t xml:space="preserve"> adaptation and changes</w:t>
      </w:r>
      <w:r w:rsidRPr="00976B78" w:rsidR="00976B78">
        <w:rPr>
          <w:rFonts w:ascii="Times New Roman" w:hAnsi="Times New Roman"/>
        </w:rPr>
        <w:t xml:space="preserve"> over time</w:t>
      </w:r>
      <w:r w:rsidR="00976B78">
        <w:rPr>
          <w:rFonts w:ascii="Times New Roman" w:hAnsi="Times New Roman"/>
        </w:rPr>
        <w:t>,</w:t>
      </w:r>
      <w:r w:rsidRPr="004F4DEF" w:rsidR="00B15446">
        <w:rPr>
          <w:rFonts w:ascii="Times New Roman" w:hAnsi="Times New Roman"/>
        </w:rPr>
        <w:t xml:space="preserve"> and the partners’ overall perspectives on the </w:t>
      </w:r>
      <w:r w:rsidR="00B15446">
        <w:rPr>
          <w:rFonts w:ascii="Times New Roman" w:hAnsi="Times New Roman"/>
        </w:rPr>
        <w:t xml:space="preserve">TPP project. The guide will be administered once </w:t>
      </w:r>
      <w:r w:rsidR="0085579E">
        <w:rPr>
          <w:rFonts w:ascii="Times New Roman" w:hAnsi="Times New Roman"/>
        </w:rPr>
        <w:t>with</w:t>
      </w:r>
      <w:r w:rsidR="00B15446">
        <w:rPr>
          <w:rFonts w:ascii="Times New Roman" w:hAnsi="Times New Roman"/>
        </w:rPr>
        <w:t xml:space="preserve"> key partner staff for 13 Tier 2 grantees.</w:t>
      </w:r>
    </w:p>
    <w:p w:rsidR="00CA09E3" w:rsidP="00921384" w14:paraId="191D5363" w14:textId="71CA1431">
      <w:pPr>
        <w:rPr>
          <w:color w:val="000000"/>
          <w:sz w:val="24"/>
        </w:rPr>
      </w:pPr>
      <w:r w:rsidRPr="00373E2F">
        <w:rPr>
          <w:color w:val="000000"/>
          <w:sz w:val="24"/>
        </w:rPr>
        <w:t xml:space="preserve">To collect the most </w:t>
      </w:r>
      <w:r w:rsidR="0085579E">
        <w:rPr>
          <w:color w:val="000000"/>
          <w:sz w:val="24"/>
        </w:rPr>
        <w:t>relevant</w:t>
      </w:r>
      <w:r w:rsidRPr="00373E2F" w:rsidR="001D5C66">
        <w:rPr>
          <w:color w:val="000000"/>
          <w:sz w:val="24"/>
        </w:rPr>
        <w:t xml:space="preserve"> information on each project</w:t>
      </w:r>
      <w:r w:rsidRPr="00373E2F">
        <w:rPr>
          <w:color w:val="000000"/>
          <w:sz w:val="24"/>
        </w:rPr>
        <w:t xml:space="preserve">’s implementation, site visit team leaders will customize </w:t>
      </w:r>
      <w:r w:rsidRPr="00373E2F" w:rsidR="00446164">
        <w:rPr>
          <w:color w:val="000000"/>
          <w:sz w:val="24"/>
        </w:rPr>
        <w:t>the topic guide</w:t>
      </w:r>
      <w:r w:rsidRPr="00373E2F" w:rsidR="00461971">
        <w:rPr>
          <w:color w:val="000000"/>
          <w:sz w:val="24"/>
        </w:rPr>
        <w:t>s</w:t>
      </w:r>
      <w:r w:rsidRPr="00373E2F" w:rsidR="001C2C61">
        <w:rPr>
          <w:color w:val="000000"/>
          <w:sz w:val="24"/>
        </w:rPr>
        <w:t xml:space="preserve"> for each grantee community</w:t>
      </w:r>
      <w:r w:rsidRPr="00373E2F" w:rsidR="001D5C66">
        <w:rPr>
          <w:color w:val="000000"/>
          <w:sz w:val="24"/>
        </w:rPr>
        <w:t xml:space="preserve"> and the associated</w:t>
      </w:r>
      <w:r w:rsidRPr="00373E2F" w:rsidR="001C2C61">
        <w:rPr>
          <w:color w:val="000000"/>
          <w:sz w:val="24"/>
        </w:rPr>
        <w:t xml:space="preserve"> interview</w:t>
      </w:r>
      <w:r w:rsidRPr="00373E2F" w:rsidR="001D5C66">
        <w:rPr>
          <w:color w:val="000000"/>
          <w:sz w:val="24"/>
        </w:rPr>
        <w:t>s</w:t>
      </w:r>
      <w:r w:rsidRPr="00373E2F" w:rsidR="001C2C61">
        <w:rPr>
          <w:color w:val="000000"/>
          <w:sz w:val="24"/>
        </w:rPr>
        <w:t>.</w:t>
      </w:r>
      <w:r w:rsidRPr="00373E2F" w:rsidR="00446164">
        <w:rPr>
          <w:color w:val="000000"/>
          <w:sz w:val="24"/>
        </w:rPr>
        <w:t xml:space="preserve"> Attachment</w:t>
      </w:r>
      <w:r w:rsidR="003C5BEF">
        <w:rPr>
          <w:color w:val="000000"/>
          <w:sz w:val="24"/>
        </w:rPr>
        <w:t>s</w:t>
      </w:r>
      <w:r w:rsidRPr="00373E2F" w:rsidR="00446164">
        <w:rPr>
          <w:color w:val="000000"/>
          <w:sz w:val="24"/>
        </w:rPr>
        <w:t xml:space="preserve"> A</w:t>
      </w:r>
      <w:r w:rsidR="003C5BEF">
        <w:rPr>
          <w:color w:val="000000"/>
          <w:sz w:val="24"/>
        </w:rPr>
        <w:t>-D</w:t>
      </w:r>
      <w:r w:rsidRPr="00373E2F" w:rsidR="00446164">
        <w:rPr>
          <w:color w:val="000000"/>
          <w:sz w:val="24"/>
        </w:rPr>
        <w:t xml:space="preserve"> provide the interview guides for grantee and partner staff</w:t>
      </w:r>
      <w:r w:rsidRPr="00373E2F" w:rsidR="005C4260">
        <w:rPr>
          <w:color w:val="000000"/>
          <w:sz w:val="24"/>
        </w:rPr>
        <w:t xml:space="preserve"> described above</w:t>
      </w:r>
      <w:r w:rsidRPr="00373E2F" w:rsidR="00446164">
        <w:rPr>
          <w:color w:val="000000"/>
          <w:sz w:val="24"/>
        </w:rPr>
        <w:t>.</w:t>
      </w:r>
    </w:p>
    <w:p w:rsidR="00251770" w:rsidP="00921384" w14:paraId="51B490E2" w14:textId="1727095E">
      <w:pPr>
        <w:rPr>
          <w:color w:val="000000"/>
          <w:sz w:val="24"/>
        </w:rPr>
      </w:pPr>
    </w:p>
    <w:p w:rsidR="00CA09E3" w:rsidRPr="00251770" w:rsidP="00251770" w14:paraId="1514BBFC" w14:textId="5A5620A6">
      <w:pPr>
        <w:pStyle w:val="NormalSS12"/>
        <w:ind w:firstLine="0"/>
        <w:jc w:val="left"/>
        <w:rPr>
          <w:rFonts w:ascii="Times New Roman" w:hAnsi="Times New Roman"/>
          <w:color w:val="000000"/>
        </w:rPr>
      </w:pPr>
      <w:r>
        <w:rPr>
          <w:rFonts w:ascii="Times New Roman" w:hAnsi="Times New Roman"/>
          <w:color w:val="000000"/>
        </w:rPr>
        <w:t xml:space="preserve">The data collected through these interview guides </w:t>
      </w:r>
      <w:r w:rsidRPr="002E7D5B">
        <w:rPr>
          <w:rFonts w:ascii="Times New Roman" w:hAnsi="Times New Roman"/>
        </w:rPr>
        <w:t>are not available through any current sources.</w:t>
      </w:r>
      <w:r>
        <w:rPr>
          <w:rFonts w:ascii="Times New Roman" w:hAnsi="Times New Roman"/>
        </w:rPr>
        <w:t xml:space="preserve"> </w:t>
      </w:r>
    </w:p>
    <w:p w:rsidR="00251770" w:rsidP="00921384" w14:paraId="0CB8CEE5" w14:textId="1230461E">
      <w:pPr>
        <w:rPr>
          <w:i/>
          <w:sz w:val="24"/>
        </w:rPr>
      </w:pPr>
      <w:r w:rsidRPr="00251770">
        <w:rPr>
          <w:i/>
          <w:sz w:val="24"/>
        </w:rPr>
        <w:t>Use of the Information Collection</w:t>
      </w:r>
    </w:p>
    <w:p w:rsidR="00251770" w:rsidRPr="00251770" w:rsidP="00921384" w14:paraId="60FEAD43" w14:textId="77777777">
      <w:pPr>
        <w:rPr>
          <w:i/>
          <w:sz w:val="24"/>
        </w:rPr>
      </w:pPr>
    </w:p>
    <w:p w:rsidR="00CB18D8" w:rsidRPr="00373E2F" w:rsidP="00921384" w14:paraId="577C5CCE" w14:textId="1BD7D783">
      <w:pPr>
        <w:rPr>
          <w:color w:val="000000"/>
          <w:sz w:val="24"/>
        </w:rPr>
      </w:pPr>
      <w:r w:rsidRPr="00373E2F">
        <w:rPr>
          <w:color w:val="000000"/>
          <w:sz w:val="24"/>
        </w:rPr>
        <w:t>T</w:t>
      </w:r>
      <w:r w:rsidRPr="00373E2F" w:rsidR="001D5C66">
        <w:rPr>
          <w:color w:val="000000"/>
          <w:sz w:val="24"/>
        </w:rPr>
        <w:t>hrough the work of this study</w:t>
      </w:r>
      <w:r w:rsidRPr="00373E2F">
        <w:rPr>
          <w:color w:val="000000"/>
          <w:sz w:val="24"/>
        </w:rPr>
        <w:t>, O</w:t>
      </w:r>
      <w:r w:rsidRPr="00373E2F" w:rsidR="005C4260">
        <w:rPr>
          <w:color w:val="000000"/>
          <w:sz w:val="24"/>
        </w:rPr>
        <w:t>P</w:t>
      </w:r>
      <w:r w:rsidRPr="00373E2F">
        <w:rPr>
          <w:color w:val="000000"/>
          <w:sz w:val="24"/>
        </w:rPr>
        <w:t>A will ultimately have a set of comprehensive documents that provide important implementation and evaluative information critical to understanding</w:t>
      </w:r>
      <w:r w:rsidR="00EA26DD">
        <w:rPr>
          <w:color w:val="000000"/>
          <w:sz w:val="24"/>
        </w:rPr>
        <w:t>:</w:t>
      </w:r>
      <w:r w:rsidRPr="00373E2F">
        <w:rPr>
          <w:color w:val="000000"/>
          <w:sz w:val="24"/>
        </w:rPr>
        <w:t xml:space="preserve"> </w:t>
      </w:r>
      <w:r w:rsidR="00EA26DD">
        <w:rPr>
          <w:color w:val="000000"/>
          <w:sz w:val="24"/>
        </w:rPr>
        <w:t xml:space="preserve">(1) </w:t>
      </w:r>
      <w:r w:rsidRPr="00373E2F">
        <w:rPr>
          <w:color w:val="000000"/>
          <w:sz w:val="24"/>
        </w:rPr>
        <w:t xml:space="preserve">efforts to </w:t>
      </w:r>
      <w:r w:rsidRPr="00687CFF" w:rsidR="005C4260">
        <w:rPr>
          <w:color w:val="000000"/>
          <w:sz w:val="24"/>
        </w:rPr>
        <w:t>serve high need and high disparity populations with a systems</w:t>
      </w:r>
      <w:r w:rsidR="00E9337F">
        <w:rPr>
          <w:color w:val="000000"/>
          <w:sz w:val="24"/>
        </w:rPr>
        <w:t>-</w:t>
      </w:r>
      <w:r w:rsidRPr="00687CFF" w:rsidR="005C4260">
        <w:rPr>
          <w:color w:val="000000"/>
          <w:sz w:val="24"/>
        </w:rPr>
        <w:t xml:space="preserve">thinking approach to delivering effective programs and </w:t>
      </w:r>
      <w:r w:rsidR="00EA26DD">
        <w:rPr>
          <w:color w:val="000000"/>
          <w:sz w:val="24"/>
        </w:rPr>
        <w:t xml:space="preserve">(2) </w:t>
      </w:r>
      <w:r w:rsidRPr="00687CFF" w:rsidR="005C4260">
        <w:rPr>
          <w:color w:val="000000"/>
          <w:sz w:val="24"/>
        </w:rPr>
        <w:t xml:space="preserve">resources and efforts to develop, test, and disseminate innovative </w:t>
      </w:r>
      <w:r w:rsidR="005D7AB6">
        <w:rPr>
          <w:color w:val="000000"/>
          <w:sz w:val="24"/>
        </w:rPr>
        <w:t>interventions</w:t>
      </w:r>
      <w:r w:rsidRPr="00687CFF" w:rsidR="005D7AB6">
        <w:rPr>
          <w:color w:val="000000"/>
          <w:sz w:val="24"/>
        </w:rPr>
        <w:t xml:space="preserve"> </w:t>
      </w:r>
      <w:r w:rsidRPr="00687CFF" w:rsidR="005C4260">
        <w:rPr>
          <w:color w:val="000000"/>
          <w:sz w:val="24"/>
        </w:rPr>
        <w:t xml:space="preserve">using a network-based approach to reducing teen pregnancy and STIs for key priority areas. </w:t>
      </w:r>
      <w:r w:rsidRPr="00373E2F">
        <w:rPr>
          <w:color w:val="000000"/>
          <w:sz w:val="24"/>
        </w:rPr>
        <w:t>These documents will include:</w:t>
      </w:r>
    </w:p>
    <w:p w:rsidR="00CB18D8" w:rsidRPr="00373E2F" w:rsidP="00921384" w14:paraId="590135C2" w14:textId="77777777">
      <w:pPr>
        <w:rPr>
          <w:color w:val="000000"/>
          <w:sz w:val="24"/>
        </w:rPr>
      </w:pPr>
    </w:p>
    <w:p w:rsidR="00F00C38" w:rsidRPr="00373E2F" w:rsidP="00852A87" w14:paraId="1E783509" w14:textId="534C4963">
      <w:pPr>
        <w:numPr>
          <w:ilvl w:val="0"/>
          <w:numId w:val="48"/>
        </w:numPr>
        <w:rPr>
          <w:color w:val="000000"/>
          <w:sz w:val="24"/>
        </w:rPr>
      </w:pPr>
      <w:r w:rsidRPr="00373E2F">
        <w:rPr>
          <w:color w:val="000000"/>
          <w:sz w:val="24"/>
        </w:rPr>
        <w:t xml:space="preserve">A report synthesizing findings from the </w:t>
      </w:r>
      <w:r w:rsidR="00682B86">
        <w:rPr>
          <w:color w:val="000000"/>
          <w:sz w:val="24"/>
        </w:rPr>
        <w:t>implementation study data collection</w:t>
      </w:r>
      <w:r w:rsidRPr="00373E2F" w:rsidR="00E54E52">
        <w:rPr>
          <w:color w:val="000000"/>
          <w:sz w:val="24"/>
        </w:rPr>
        <w:t>:</w:t>
      </w:r>
      <w:r w:rsidRPr="00373E2F" w:rsidR="001D5C66">
        <w:rPr>
          <w:color w:val="000000"/>
          <w:sz w:val="24"/>
        </w:rPr>
        <w:t xml:space="preserve"> t</w:t>
      </w:r>
      <w:r w:rsidRPr="00373E2F">
        <w:rPr>
          <w:color w:val="000000"/>
          <w:sz w:val="24"/>
        </w:rPr>
        <w:t>he report will include cross-grantee summar</w:t>
      </w:r>
      <w:r w:rsidRPr="00373E2F">
        <w:rPr>
          <w:color w:val="000000"/>
          <w:sz w:val="24"/>
        </w:rPr>
        <w:t xml:space="preserve">ies within the Tier 1 and Tier 2 groups, with additional information summarizing </w:t>
      </w:r>
      <w:r w:rsidR="005A3F5D">
        <w:rPr>
          <w:color w:val="000000"/>
          <w:sz w:val="24"/>
        </w:rPr>
        <w:t xml:space="preserve">findings </w:t>
      </w:r>
      <w:r w:rsidRPr="00373E2F">
        <w:rPr>
          <w:color w:val="000000"/>
          <w:sz w:val="24"/>
        </w:rPr>
        <w:t>across all 75 grantees</w:t>
      </w:r>
      <w:r w:rsidR="00AF143D">
        <w:rPr>
          <w:color w:val="000000"/>
          <w:sz w:val="24"/>
        </w:rPr>
        <w:t>,</w:t>
      </w:r>
      <w:r w:rsidRPr="00373E2F">
        <w:rPr>
          <w:color w:val="000000"/>
          <w:sz w:val="24"/>
        </w:rPr>
        <w:t xml:space="preserve"> if appropriate</w:t>
      </w:r>
      <w:r w:rsidR="00AF143D">
        <w:rPr>
          <w:color w:val="000000"/>
          <w:sz w:val="24"/>
        </w:rPr>
        <w:t>,</w:t>
      </w:r>
      <w:r w:rsidRPr="00373E2F">
        <w:rPr>
          <w:color w:val="000000"/>
          <w:sz w:val="24"/>
        </w:rPr>
        <w:t xml:space="preserve"> following data collection and analysis.</w:t>
      </w:r>
      <w:r w:rsidRPr="00373E2F">
        <w:rPr>
          <w:color w:val="000000"/>
          <w:sz w:val="24"/>
        </w:rPr>
        <w:t xml:space="preserve"> </w:t>
      </w:r>
    </w:p>
    <w:p w:rsidR="00CB18D8" w:rsidRPr="00373E2F" w:rsidP="00852A87" w14:paraId="049760C8" w14:textId="77777777">
      <w:pPr>
        <w:numPr>
          <w:ilvl w:val="0"/>
          <w:numId w:val="48"/>
        </w:numPr>
        <w:rPr>
          <w:color w:val="000000"/>
          <w:sz w:val="24"/>
        </w:rPr>
      </w:pPr>
      <w:r w:rsidRPr="00373E2F">
        <w:rPr>
          <w:color w:val="000000"/>
          <w:sz w:val="24"/>
        </w:rPr>
        <w:t>A set of</w:t>
      </w:r>
      <w:r w:rsidRPr="00373E2F" w:rsidR="008C68E3">
        <w:rPr>
          <w:color w:val="000000"/>
          <w:sz w:val="24"/>
        </w:rPr>
        <w:t xml:space="preserve"> individual grantee profiles</w:t>
      </w:r>
      <w:r w:rsidRPr="00373E2F">
        <w:rPr>
          <w:color w:val="000000"/>
          <w:sz w:val="24"/>
        </w:rPr>
        <w:t xml:space="preserve"> for each of the 75 grantees</w:t>
      </w:r>
      <w:r w:rsidRPr="00373E2F" w:rsidR="0072194F">
        <w:rPr>
          <w:color w:val="000000"/>
          <w:sz w:val="24"/>
        </w:rPr>
        <w:t xml:space="preserve">. </w:t>
      </w:r>
    </w:p>
    <w:p w:rsidR="00251770" w:rsidP="00251770" w14:paraId="4D8EB6CE" w14:textId="77777777">
      <w:pPr>
        <w:pStyle w:val="NormalSS12"/>
        <w:ind w:firstLine="0"/>
        <w:jc w:val="left"/>
        <w:rPr>
          <w:rFonts w:ascii="Times New Roman" w:hAnsi="Times New Roman"/>
          <w:color w:val="000000"/>
        </w:rPr>
      </w:pPr>
    </w:p>
    <w:p w:rsidR="00251770" w:rsidRPr="00373E2F" w:rsidP="00251770" w14:paraId="262C3332" w14:textId="7B2174E7">
      <w:pPr>
        <w:pStyle w:val="NormalSS12"/>
        <w:ind w:firstLine="0"/>
        <w:jc w:val="left"/>
        <w:rPr>
          <w:rFonts w:ascii="Times New Roman" w:hAnsi="Times New Roman"/>
          <w:color w:val="000000"/>
        </w:rPr>
      </w:pPr>
      <w:r w:rsidRPr="00373E2F">
        <w:rPr>
          <w:rFonts w:ascii="Times New Roman" w:hAnsi="Times New Roman"/>
          <w:color w:val="000000"/>
        </w:rPr>
        <w:t xml:space="preserve">The data will be used for two purposes. First, the information will enable the study team to produce clear, concise profile descriptions of each </w:t>
      </w:r>
      <w:r>
        <w:rPr>
          <w:rFonts w:ascii="Times New Roman" w:hAnsi="Times New Roman"/>
          <w:color w:val="000000"/>
        </w:rPr>
        <w:t>project.</w:t>
      </w:r>
      <w:r w:rsidRPr="00373E2F">
        <w:rPr>
          <w:rFonts w:ascii="Times New Roman" w:hAnsi="Times New Roman"/>
          <w:color w:val="000000"/>
        </w:rPr>
        <w:t xml:space="preserve"> The report will also provide a cross-grantee summary of grantee strategies for each of the two grant programs. This report will be critical in understanding the universe of strategies employed to reach the goal of serving entire communities and populations to reduce teen pregnancy and disparities. Second, the data will address the challenges and opportunities encountered by grantees and how grantees addressed or leveraged these. The data collection and analysis will also provide information critical to implementing subsequent similar community-wide initiatives.</w:t>
      </w:r>
    </w:p>
    <w:p w:rsidR="0098164F" w:rsidRPr="00373E2F" w14:paraId="3E688936" w14:textId="77777777">
      <w:pPr>
        <w:ind w:left="360"/>
        <w:rPr>
          <w:color w:val="000000"/>
          <w:sz w:val="24"/>
        </w:rPr>
      </w:pPr>
    </w:p>
    <w:p w:rsidR="0098164F" w:rsidRPr="00373E2F" w:rsidP="009636C3" w14:paraId="66CF9523" w14:textId="77777777">
      <w:pPr>
        <w:numPr>
          <w:ilvl w:val="0"/>
          <w:numId w:val="2"/>
        </w:numPr>
        <w:tabs>
          <w:tab w:val="num" w:pos="360"/>
          <w:tab w:val="clear" w:pos="1080"/>
        </w:tabs>
        <w:ind w:left="720" w:hanging="720"/>
        <w:rPr>
          <w:color w:val="000000"/>
          <w:sz w:val="24"/>
        </w:rPr>
      </w:pPr>
      <w:r w:rsidRPr="00373E2F">
        <w:rPr>
          <w:b/>
          <w:color w:val="000000"/>
          <w:sz w:val="24"/>
        </w:rPr>
        <w:t>Use of Improved Information Technology and Burden Reduction</w:t>
      </w:r>
    </w:p>
    <w:p w:rsidR="0098164F" w:rsidRPr="00373E2F" w14:paraId="44995700" w14:textId="77777777">
      <w:pPr>
        <w:widowControl/>
        <w:rPr>
          <w:color w:val="000000"/>
          <w:sz w:val="24"/>
        </w:rPr>
      </w:pPr>
      <w:r w:rsidRPr="00373E2F">
        <w:rPr>
          <w:color w:val="000000"/>
          <w:sz w:val="24"/>
        </w:rPr>
        <w:tab/>
      </w:r>
    </w:p>
    <w:p w:rsidR="00A22F52" w:rsidRPr="00373E2F" w:rsidP="00785C6F" w14:paraId="49AB7B6F" w14:textId="77777777">
      <w:pPr>
        <w:pStyle w:val="NormalSS12"/>
        <w:ind w:firstLine="0"/>
        <w:jc w:val="left"/>
        <w:rPr>
          <w:rFonts w:ascii="Times New Roman" w:hAnsi="Times New Roman"/>
          <w:color w:val="000000"/>
        </w:rPr>
      </w:pPr>
      <w:r w:rsidRPr="00373E2F">
        <w:rPr>
          <w:rFonts w:ascii="Times New Roman" w:hAnsi="Times New Roman"/>
          <w:color w:val="000000"/>
        </w:rPr>
        <w:t>The data collection plan reflects sensitivity to issues of efficiency, accuracy, and respondent burden. Where feasible, information will</w:t>
      </w:r>
      <w:r w:rsidRPr="00373E2F" w:rsidR="00C302A1">
        <w:rPr>
          <w:rFonts w:ascii="Times New Roman" w:hAnsi="Times New Roman"/>
          <w:color w:val="000000"/>
        </w:rPr>
        <w:t xml:space="preserve"> be gathered by extracting it</w:t>
      </w:r>
      <w:r w:rsidRPr="00373E2F">
        <w:rPr>
          <w:rFonts w:ascii="Times New Roman" w:hAnsi="Times New Roman"/>
          <w:color w:val="000000"/>
        </w:rPr>
        <w:t xml:space="preserve"> from existing documents. Protocols for telephone interviews and </w:t>
      </w:r>
      <w:r w:rsidRPr="00373E2F" w:rsidR="00981248">
        <w:rPr>
          <w:rFonts w:ascii="Times New Roman" w:hAnsi="Times New Roman"/>
          <w:color w:val="000000"/>
        </w:rPr>
        <w:t xml:space="preserve">in-person </w:t>
      </w:r>
      <w:r w:rsidRPr="00373E2F">
        <w:rPr>
          <w:rFonts w:ascii="Times New Roman" w:hAnsi="Times New Roman"/>
          <w:color w:val="000000"/>
        </w:rPr>
        <w:t xml:space="preserve">interviews and group discussions during site visits will be customized for each site to focus on information that is relevant for that site and that could not be obtained from documents. </w:t>
      </w:r>
    </w:p>
    <w:p w:rsidR="00785C6F" w:rsidRPr="00373E2F" w:rsidP="00785C6F" w14:paraId="52AB2265" w14:textId="7707E475">
      <w:pPr>
        <w:pStyle w:val="NormalSS12"/>
        <w:ind w:firstLine="0"/>
        <w:jc w:val="left"/>
        <w:rPr>
          <w:rFonts w:ascii="Times New Roman" w:hAnsi="Times New Roman"/>
          <w:color w:val="000000"/>
        </w:rPr>
      </w:pPr>
      <w:r w:rsidRPr="00373E2F">
        <w:rPr>
          <w:rFonts w:ascii="Times New Roman" w:hAnsi="Times New Roman"/>
          <w:color w:val="000000"/>
        </w:rPr>
        <w:t xml:space="preserve">In addition to pulling information from project documents (e.g., applications and progress reports) and performance measures, </w:t>
      </w:r>
      <w:r w:rsidRPr="00373E2F" w:rsidR="00E274CA">
        <w:rPr>
          <w:rFonts w:ascii="Times New Roman" w:hAnsi="Times New Roman"/>
          <w:color w:val="000000"/>
        </w:rPr>
        <w:t xml:space="preserve">OPA’s contractor, </w:t>
      </w:r>
      <w:r w:rsidRPr="00373E2F">
        <w:rPr>
          <w:rFonts w:ascii="Times New Roman" w:hAnsi="Times New Roman"/>
          <w:color w:val="000000"/>
        </w:rPr>
        <w:t xml:space="preserve">Abt </w:t>
      </w:r>
      <w:r w:rsidRPr="00373E2F" w:rsidR="00E274CA">
        <w:rPr>
          <w:rFonts w:ascii="Times New Roman" w:hAnsi="Times New Roman"/>
          <w:color w:val="000000"/>
        </w:rPr>
        <w:t xml:space="preserve">Associates, </w:t>
      </w:r>
      <w:r w:rsidRPr="00373E2F">
        <w:rPr>
          <w:rFonts w:ascii="Times New Roman" w:hAnsi="Times New Roman"/>
          <w:color w:val="000000"/>
        </w:rPr>
        <w:t xml:space="preserve">will collect a limited set of </w:t>
      </w:r>
      <w:r w:rsidRPr="00373E2F" w:rsidR="00E274CA">
        <w:rPr>
          <w:rFonts w:ascii="Times New Roman" w:hAnsi="Times New Roman"/>
          <w:color w:val="000000"/>
        </w:rPr>
        <w:t>information from each grantee through a web form, including basic information about the grantee’s TPP project services and major partner organizations. (T</w:t>
      </w:r>
      <w:r w:rsidR="00C13D21">
        <w:rPr>
          <w:rFonts w:ascii="Times New Roman" w:hAnsi="Times New Roman"/>
          <w:color w:val="000000"/>
        </w:rPr>
        <w:t>his</w:t>
      </w:r>
      <w:r w:rsidRPr="00373E2F" w:rsidR="00E274CA">
        <w:rPr>
          <w:rFonts w:ascii="Times New Roman" w:hAnsi="Times New Roman"/>
          <w:color w:val="000000"/>
        </w:rPr>
        <w:t xml:space="preserve"> data collection is </w:t>
      </w:r>
      <w:r w:rsidR="00C13D21">
        <w:rPr>
          <w:rFonts w:ascii="Times New Roman" w:hAnsi="Times New Roman"/>
          <w:color w:val="000000"/>
        </w:rPr>
        <w:t xml:space="preserve">approved under </w:t>
      </w:r>
      <w:r w:rsidRPr="00F142CC" w:rsidR="00C13D21">
        <w:rPr>
          <w:rFonts w:ascii="Times New Roman" w:hAnsi="Times New Roman"/>
        </w:rPr>
        <w:t>OMB control number 0990-0379</w:t>
      </w:r>
      <w:r w:rsidRPr="00373E2F" w:rsidR="00E274CA">
        <w:rPr>
          <w:rFonts w:ascii="Times New Roman" w:hAnsi="Times New Roman"/>
          <w:color w:val="000000"/>
        </w:rPr>
        <w:t xml:space="preserve">). The feedback collected will inform the planning of implementation activities and the development of grantee site profiles. Collecting this information in advance of the interviews will also allow grantees to gather this </w:t>
      </w:r>
      <w:r w:rsidRPr="00373E2F" w:rsidR="00E274CA">
        <w:rPr>
          <w:rFonts w:ascii="Times New Roman" w:hAnsi="Times New Roman"/>
          <w:color w:val="000000"/>
        </w:rPr>
        <w:t>factual information</w:t>
      </w:r>
      <w:r w:rsidRPr="00373E2F" w:rsidR="00E274CA">
        <w:rPr>
          <w:rFonts w:ascii="Times New Roman" w:hAnsi="Times New Roman"/>
          <w:color w:val="000000"/>
        </w:rPr>
        <w:t xml:space="preserve"> more easily and under a </w:t>
      </w:r>
      <w:r w:rsidRPr="00373E2F" w:rsidR="00F520CD">
        <w:rPr>
          <w:rFonts w:ascii="Times New Roman" w:hAnsi="Times New Roman"/>
          <w:color w:val="000000"/>
        </w:rPr>
        <w:t xml:space="preserve">more convenient </w:t>
      </w:r>
      <w:r w:rsidRPr="00373E2F" w:rsidR="00E274CA">
        <w:rPr>
          <w:rFonts w:ascii="Times New Roman" w:hAnsi="Times New Roman"/>
          <w:color w:val="000000"/>
        </w:rPr>
        <w:t>timeframe, saving time during the interviews, which will focus on grantee experiences, observations, reflections, and recommendations</w:t>
      </w:r>
      <w:r w:rsidRPr="00373E2F">
        <w:rPr>
          <w:rFonts w:ascii="Times New Roman" w:hAnsi="Times New Roman"/>
          <w:color w:val="000000"/>
        </w:rPr>
        <w:t>.</w:t>
      </w:r>
      <w:r w:rsidRPr="00373E2F" w:rsidR="002A2F71">
        <w:rPr>
          <w:rFonts w:ascii="Times New Roman" w:hAnsi="Times New Roman"/>
          <w:color w:val="000000"/>
        </w:rPr>
        <w:t xml:space="preserve"> </w:t>
      </w:r>
    </w:p>
    <w:p w:rsidR="00785C6F" w:rsidRPr="00373E2F" w:rsidP="00785C6F" w14:paraId="0A536B10" w14:textId="77777777">
      <w:pPr>
        <w:pStyle w:val="NormalSS12"/>
        <w:ind w:firstLine="0"/>
        <w:jc w:val="left"/>
        <w:rPr>
          <w:rFonts w:ascii="Times New Roman" w:hAnsi="Times New Roman"/>
          <w:color w:val="000000"/>
        </w:rPr>
      </w:pPr>
      <w:r w:rsidRPr="00373E2F">
        <w:rPr>
          <w:rFonts w:ascii="Times New Roman" w:hAnsi="Times New Roman"/>
          <w:color w:val="000000"/>
        </w:rPr>
        <w:t>Improved information technology will be used when appropriate. For example, when program information or documents can be sent electronically, we will not request a hard copy of the documents.</w:t>
      </w:r>
    </w:p>
    <w:p w:rsidR="0098164F" w:rsidRPr="00373E2F" w:rsidP="009636C3" w14:paraId="3D3F0DA5" w14:textId="77777777">
      <w:pPr>
        <w:numPr>
          <w:ilvl w:val="0"/>
          <w:numId w:val="2"/>
        </w:numPr>
        <w:tabs>
          <w:tab w:val="num" w:pos="360"/>
          <w:tab w:val="clear" w:pos="1080"/>
        </w:tabs>
        <w:ind w:hanging="1080"/>
        <w:rPr>
          <w:b/>
          <w:color w:val="000000"/>
          <w:sz w:val="24"/>
        </w:rPr>
      </w:pPr>
      <w:r w:rsidRPr="00373E2F">
        <w:rPr>
          <w:b/>
          <w:color w:val="000000"/>
          <w:sz w:val="24"/>
        </w:rPr>
        <w:t>Efforts to Identify Duplication and Use of Similar Information</w:t>
      </w:r>
    </w:p>
    <w:p w:rsidR="00785C6F" w:rsidRPr="00373E2F" w:rsidP="00DF5814" w14:paraId="36FB3BB3" w14:textId="0E92769D">
      <w:pPr>
        <w:pStyle w:val="NormalSS12"/>
        <w:spacing w:before="240"/>
        <w:ind w:firstLine="0"/>
        <w:jc w:val="left"/>
        <w:rPr>
          <w:rFonts w:ascii="Times New Roman" w:hAnsi="Times New Roman"/>
          <w:color w:val="000000"/>
        </w:rPr>
      </w:pPr>
      <w:r>
        <w:rPr>
          <w:rFonts w:ascii="Times New Roman" w:hAnsi="Times New Roman"/>
          <w:color w:val="000000"/>
        </w:rPr>
        <w:t xml:space="preserve">While </w:t>
      </w:r>
      <w:r w:rsidRPr="00072F11">
        <w:rPr>
          <w:rFonts w:ascii="Times New Roman" w:hAnsi="Times New Roman"/>
          <w:color w:val="000000"/>
        </w:rPr>
        <w:t>OPA</w:t>
      </w:r>
      <w:r>
        <w:rPr>
          <w:rFonts w:ascii="Times New Roman" w:hAnsi="Times New Roman"/>
          <w:color w:val="000000"/>
        </w:rPr>
        <w:t xml:space="preserve"> (formerly </w:t>
      </w:r>
      <w:r w:rsidR="00C53D56">
        <w:rPr>
          <w:rFonts w:ascii="Times New Roman" w:hAnsi="Times New Roman"/>
          <w:color w:val="000000"/>
        </w:rPr>
        <w:t>the Office of Adolescent Health/OAH</w:t>
      </w:r>
      <w:r>
        <w:rPr>
          <w:rFonts w:ascii="Times New Roman" w:hAnsi="Times New Roman"/>
          <w:color w:val="000000"/>
        </w:rPr>
        <w:t xml:space="preserve">) </w:t>
      </w:r>
      <w:r w:rsidRPr="00072F11">
        <w:rPr>
          <w:rFonts w:ascii="Times New Roman" w:hAnsi="Times New Roman"/>
          <w:color w:val="000000"/>
        </w:rPr>
        <w:t xml:space="preserve">has funded </w:t>
      </w:r>
      <w:r>
        <w:rPr>
          <w:rFonts w:ascii="Times New Roman" w:hAnsi="Times New Roman"/>
          <w:color w:val="000000"/>
        </w:rPr>
        <w:t xml:space="preserve">prior </w:t>
      </w:r>
      <w:r w:rsidRPr="00072F11">
        <w:rPr>
          <w:rFonts w:ascii="Times New Roman" w:hAnsi="Times New Roman"/>
          <w:color w:val="000000"/>
        </w:rPr>
        <w:t xml:space="preserve">studies of other TPP cohorts (such as the TPP15 </w:t>
      </w:r>
      <w:r w:rsidR="008A3ABA">
        <w:rPr>
          <w:rFonts w:ascii="Times New Roman" w:hAnsi="Times New Roman"/>
          <w:color w:val="000000"/>
        </w:rPr>
        <w:t xml:space="preserve">Tier </w:t>
      </w:r>
      <w:r w:rsidRPr="00072F11">
        <w:rPr>
          <w:rFonts w:ascii="Times New Roman" w:hAnsi="Times New Roman"/>
          <w:color w:val="000000"/>
        </w:rPr>
        <w:t xml:space="preserve">1B, </w:t>
      </w:r>
      <w:r w:rsidR="008A3ABA">
        <w:rPr>
          <w:rFonts w:ascii="Times New Roman" w:hAnsi="Times New Roman"/>
          <w:color w:val="000000"/>
        </w:rPr>
        <w:t xml:space="preserve">and </w:t>
      </w:r>
      <w:r w:rsidRPr="00072F11">
        <w:rPr>
          <w:rFonts w:ascii="Times New Roman" w:hAnsi="Times New Roman"/>
          <w:color w:val="000000"/>
        </w:rPr>
        <w:t>TPP18/19 cross site</w:t>
      </w:r>
      <w:r w:rsidR="008A3ABA">
        <w:rPr>
          <w:rFonts w:ascii="Times New Roman" w:hAnsi="Times New Roman"/>
          <w:color w:val="000000"/>
        </w:rPr>
        <w:t xml:space="preserve"> studies</w:t>
      </w:r>
      <w:r w:rsidRPr="00072F11">
        <w:rPr>
          <w:rFonts w:ascii="Times New Roman" w:hAnsi="Times New Roman"/>
          <w:color w:val="000000"/>
        </w:rPr>
        <w:t>)</w:t>
      </w:r>
      <w:r w:rsidR="008A3ABA">
        <w:rPr>
          <w:rFonts w:ascii="Times New Roman" w:hAnsi="Times New Roman"/>
          <w:color w:val="000000"/>
        </w:rPr>
        <w:t xml:space="preserve">, the TPP20 Implementation Study </w:t>
      </w:r>
      <w:r w:rsidRPr="00072F11">
        <w:rPr>
          <w:rFonts w:ascii="Times New Roman" w:hAnsi="Times New Roman"/>
          <w:color w:val="000000"/>
        </w:rPr>
        <w:t xml:space="preserve">is the only study of the unique approaches used by the TPP2020 cohort. </w:t>
      </w:r>
      <w:r w:rsidRPr="00373E2F">
        <w:rPr>
          <w:rFonts w:ascii="Times New Roman" w:hAnsi="Times New Roman"/>
          <w:color w:val="000000"/>
        </w:rPr>
        <w:t xml:space="preserve">The information collection requirements for the </w:t>
      </w:r>
      <w:r w:rsidRPr="00373E2F" w:rsidR="00DF5814">
        <w:rPr>
          <w:rFonts w:ascii="Times New Roman" w:hAnsi="Times New Roman"/>
          <w:color w:val="000000"/>
        </w:rPr>
        <w:t>TPP</w:t>
      </w:r>
      <w:r w:rsidRPr="00373E2F" w:rsidR="00F520CD">
        <w:rPr>
          <w:rFonts w:ascii="Times New Roman" w:hAnsi="Times New Roman"/>
          <w:color w:val="000000"/>
        </w:rPr>
        <w:t xml:space="preserve">20 </w:t>
      </w:r>
      <w:r w:rsidRPr="00373E2F" w:rsidR="00484158">
        <w:rPr>
          <w:rFonts w:ascii="Times New Roman" w:hAnsi="Times New Roman"/>
          <w:color w:val="000000"/>
        </w:rPr>
        <w:t xml:space="preserve">Implementation Study </w:t>
      </w:r>
      <w:r w:rsidRPr="00373E2F" w:rsidR="00DF5814">
        <w:rPr>
          <w:rFonts w:ascii="Times New Roman" w:hAnsi="Times New Roman"/>
          <w:color w:val="000000"/>
        </w:rPr>
        <w:t xml:space="preserve">have </w:t>
      </w:r>
      <w:r w:rsidRPr="00373E2F">
        <w:rPr>
          <w:rFonts w:ascii="Times New Roman" w:hAnsi="Times New Roman"/>
          <w:color w:val="000000"/>
        </w:rPr>
        <w:t xml:space="preserve">been carefully reviewed to determine what information is already available from existing studies and what will need to be collected for the first time. Although prior studies contribute to our understanding of teenage sexual risk behavior and past efforts to reduce it, </w:t>
      </w:r>
      <w:r w:rsidRPr="00373E2F" w:rsidR="00DF5814">
        <w:rPr>
          <w:rFonts w:ascii="Times New Roman" w:hAnsi="Times New Roman"/>
          <w:color w:val="000000"/>
        </w:rPr>
        <w:t>O</w:t>
      </w:r>
      <w:r w:rsidRPr="00373E2F" w:rsidR="00F520CD">
        <w:rPr>
          <w:rFonts w:ascii="Times New Roman" w:hAnsi="Times New Roman"/>
          <w:color w:val="000000"/>
        </w:rPr>
        <w:t>PA</w:t>
      </w:r>
      <w:r w:rsidRPr="00373E2F" w:rsidR="00DF5814">
        <w:rPr>
          <w:rFonts w:ascii="Times New Roman" w:hAnsi="Times New Roman"/>
          <w:color w:val="000000"/>
        </w:rPr>
        <w:t xml:space="preserve"> </w:t>
      </w:r>
      <w:r w:rsidRPr="00373E2F">
        <w:rPr>
          <w:rFonts w:ascii="Times New Roman" w:hAnsi="Times New Roman"/>
          <w:color w:val="000000"/>
        </w:rPr>
        <w:t xml:space="preserve">does not believe they provide sufficient information on </w:t>
      </w:r>
      <w:r w:rsidR="00A116DF">
        <w:rPr>
          <w:rFonts w:ascii="Times New Roman" w:hAnsi="Times New Roman"/>
          <w:color w:val="000000"/>
        </w:rPr>
        <w:t xml:space="preserve">current </w:t>
      </w:r>
      <w:r w:rsidRPr="00373E2F" w:rsidR="00F520CD">
        <w:rPr>
          <w:rFonts w:ascii="Times New Roman" w:hAnsi="Times New Roman"/>
          <w:color w:val="000000"/>
        </w:rPr>
        <w:t>population</w:t>
      </w:r>
      <w:r w:rsidRPr="00373E2F" w:rsidR="00DF5814">
        <w:rPr>
          <w:rFonts w:ascii="Times New Roman" w:hAnsi="Times New Roman"/>
          <w:color w:val="000000"/>
        </w:rPr>
        <w:t>-wide efforts</w:t>
      </w:r>
      <w:r w:rsidRPr="00373E2F">
        <w:rPr>
          <w:rFonts w:ascii="Times New Roman" w:hAnsi="Times New Roman"/>
          <w:color w:val="000000"/>
        </w:rPr>
        <w:t xml:space="preserve"> to policymakers and stakeholders. </w:t>
      </w:r>
      <w:r w:rsidRPr="00373E2F" w:rsidR="00484158">
        <w:rPr>
          <w:rFonts w:ascii="Times New Roman" w:hAnsi="Times New Roman"/>
          <w:color w:val="000000"/>
        </w:rPr>
        <w:t>In addition</w:t>
      </w:r>
      <w:r w:rsidRPr="00373E2F">
        <w:rPr>
          <w:rFonts w:ascii="Times New Roman" w:hAnsi="Times New Roman"/>
          <w:color w:val="000000"/>
        </w:rPr>
        <w:t xml:space="preserve">, Congress </w:t>
      </w:r>
      <w:r w:rsidRPr="00373E2F" w:rsidR="00B52C02">
        <w:rPr>
          <w:rFonts w:ascii="Times New Roman" w:hAnsi="Times New Roman"/>
          <w:color w:val="000000"/>
        </w:rPr>
        <w:t xml:space="preserve">is supporting </w:t>
      </w:r>
      <w:r w:rsidRPr="00373E2F">
        <w:rPr>
          <w:rFonts w:ascii="Times New Roman" w:hAnsi="Times New Roman"/>
          <w:color w:val="000000"/>
        </w:rPr>
        <w:t xml:space="preserve">evaluations, including longitudinal evaluations, of adolescent pregnancy prevention approaches. The data collection for the </w:t>
      </w:r>
      <w:r w:rsidRPr="00373E2F" w:rsidR="00DF5814">
        <w:rPr>
          <w:rFonts w:ascii="Times New Roman" w:hAnsi="Times New Roman"/>
          <w:color w:val="000000"/>
        </w:rPr>
        <w:t>TPP</w:t>
      </w:r>
      <w:r w:rsidRPr="00373E2F" w:rsidR="00F520CD">
        <w:rPr>
          <w:rFonts w:ascii="Times New Roman" w:hAnsi="Times New Roman"/>
          <w:color w:val="000000"/>
        </w:rPr>
        <w:t xml:space="preserve">20 </w:t>
      </w:r>
      <w:r w:rsidRPr="00373E2F" w:rsidR="00484158">
        <w:rPr>
          <w:rFonts w:ascii="Times New Roman" w:hAnsi="Times New Roman"/>
          <w:color w:val="000000"/>
        </w:rPr>
        <w:t xml:space="preserve">Implementation Study </w:t>
      </w:r>
      <w:r w:rsidRPr="00373E2F">
        <w:rPr>
          <w:rFonts w:ascii="Times New Roman" w:hAnsi="Times New Roman"/>
          <w:color w:val="000000"/>
        </w:rPr>
        <w:t xml:space="preserve">is an essential step in providing this information. </w:t>
      </w:r>
    </w:p>
    <w:p w:rsidR="0098164F" w:rsidRPr="00373E2F" w:rsidP="009636C3" w14:paraId="5F2E03D0" w14:textId="77777777">
      <w:pPr>
        <w:numPr>
          <w:ilvl w:val="0"/>
          <w:numId w:val="2"/>
        </w:numPr>
        <w:tabs>
          <w:tab w:val="num" w:pos="360"/>
          <w:tab w:val="clear" w:pos="1080"/>
        </w:tabs>
        <w:ind w:hanging="1080"/>
        <w:rPr>
          <w:color w:val="000000"/>
          <w:sz w:val="24"/>
        </w:rPr>
      </w:pPr>
      <w:r w:rsidRPr="00373E2F">
        <w:rPr>
          <w:b/>
          <w:color w:val="000000"/>
          <w:sz w:val="24"/>
        </w:rPr>
        <w:t>Impact on Small Businesses or Other Small Entities</w:t>
      </w:r>
    </w:p>
    <w:p w:rsidR="0098164F" w:rsidRPr="00373E2F" w14:paraId="03552ED7" w14:textId="77777777">
      <w:pPr>
        <w:ind w:left="720"/>
        <w:rPr>
          <w:color w:val="000000"/>
          <w:sz w:val="24"/>
        </w:rPr>
      </w:pPr>
    </w:p>
    <w:p w:rsidR="00DF5814" w:rsidRPr="00373E2F" w:rsidP="00DF5814" w14:paraId="75F28D46" w14:textId="131AD6C1">
      <w:pPr>
        <w:rPr>
          <w:color w:val="000000"/>
          <w:sz w:val="24"/>
        </w:rPr>
      </w:pPr>
      <w:r w:rsidRPr="00373E2F">
        <w:rPr>
          <w:color w:val="000000"/>
          <w:sz w:val="24"/>
        </w:rPr>
        <w:t>Initiatives and programs in some sites may be operated by or in collaboration with small community-based organizations. The data collection plan is designed to minimize burden on such organizations by focusing interviews with their staff on their direct role in the intervention and its development or planning.</w:t>
      </w:r>
      <w:r w:rsidR="008D068A">
        <w:rPr>
          <w:color w:val="000000"/>
          <w:sz w:val="24"/>
        </w:rPr>
        <w:t xml:space="preserve"> T</w:t>
      </w:r>
      <w:r w:rsidRPr="008D068A" w:rsidR="008D068A">
        <w:rPr>
          <w:color w:val="000000"/>
          <w:sz w:val="24"/>
        </w:rPr>
        <w:t>he information being requested has been held to the absolute minimum required</w:t>
      </w:r>
      <w:r w:rsidR="008D068A">
        <w:rPr>
          <w:color w:val="000000"/>
          <w:sz w:val="24"/>
        </w:rPr>
        <w:t xml:space="preserve"> for the analyses</w:t>
      </w:r>
      <w:r w:rsidRPr="008D068A" w:rsidR="008D068A">
        <w:rPr>
          <w:color w:val="000000"/>
          <w:sz w:val="24"/>
        </w:rPr>
        <w:t xml:space="preserve">.  </w:t>
      </w:r>
    </w:p>
    <w:p w:rsidR="0098164F" w:rsidRPr="00373E2F" w14:paraId="7522A5D9" w14:textId="77777777">
      <w:pPr>
        <w:ind w:left="360"/>
        <w:rPr>
          <w:color w:val="000000"/>
          <w:sz w:val="24"/>
        </w:rPr>
      </w:pPr>
    </w:p>
    <w:p w:rsidR="0098164F" w:rsidRPr="00373E2F" w:rsidP="009636C3" w14:paraId="4D416A7F" w14:textId="77777777">
      <w:pPr>
        <w:numPr>
          <w:ilvl w:val="0"/>
          <w:numId w:val="2"/>
        </w:numPr>
        <w:tabs>
          <w:tab w:val="num" w:pos="360"/>
          <w:tab w:val="clear" w:pos="1080"/>
        </w:tabs>
        <w:ind w:left="720" w:hanging="720"/>
        <w:rPr>
          <w:b/>
          <w:color w:val="000000"/>
          <w:sz w:val="24"/>
        </w:rPr>
      </w:pPr>
      <w:r w:rsidRPr="00373E2F">
        <w:rPr>
          <w:b/>
          <w:color w:val="000000"/>
          <w:sz w:val="24"/>
        </w:rPr>
        <w:t>Consequences of Collecting the Information Less Frequent Collection</w:t>
      </w:r>
    </w:p>
    <w:p w:rsidR="0098164F" w:rsidRPr="00373E2F" w14:paraId="619F5CEE" w14:textId="77777777">
      <w:pPr>
        <w:ind w:left="720"/>
        <w:rPr>
          <w:b/>
          <w:color w:val="000000"/>
          <w:sz w:val="24"/>
        </w:rPr>
      </w:pPr>
    </w:p>
    <w:p w:rsidR="00DF5814" w:rsidRPr="00373E2F" w:rsidP="00DF5814" w14:paraId="39BD0BA6" w14:textId="77777777">
      <w:pPr>
        <w:rPr>
          <w:color w:val="000000"/>
          <w:sz w:val="24"/>
        </w:rPr>
      </w:pPr>
      <w:r w:rsidRPr="00373E2F">
        <w:rPr>
          <w:color w:val="000000"/>
          <w:sz w:val="24"/>
        </w:rPr>
        <w:t>It is essential to collect</w:t>
      </w:r>
      <w:r w:rsidRPr="00373E2F">
        <w:rPr>
          <w:color w:val="000000"/>
          <w:sz w:val="24"/>
        </w:rPr>
        <w:t xml:space="preserve"> data </w:t>
      </w:r>
      <w:r w:rsidRPr="00373E2F">
        <w:rPr>
          <w:color w:val="000000"/>
          <w:sz w:val="24"/>
        </w:rPr>
        <w:t xml:space="preserve">directly from those responsible for implementing the program </w:t>
      </w:r>
      <w:r w:rsidRPr="00373E2F">
        <w:rPr>
          <w:color w:val="000000"/>
          <w:sz w:val="24"/>
        </w:rPr>
        <w:t xml:space="preserve">to </w:t>
      </w:r>
      <w:r w:rsidRPr="00373E2F">
        <w:rPr>
          <w:color w:val="000000"/>
          <w:sz w:val="24"/>
        </w:rPr>
        <w:t xml:space="preserve">understand and assess the </w:t>
      </w:r>
      <w:r w:rsidRPr="00373E2F" w:rsidR="009B487F">
        <w:rPr>
          <w:color w:val="000000"/>
          <w:sz w:val="24"/>
        </w:rPr>
        <w:t>systems-thinking based service provision or network design and testing</w:t>
      </w:r>
      <w:r w:rsidRPr="00373E2F">
        <w:rPr>
          <w:color w:val="000000"/>
          <w:sz w:val="24"/>
        </w:rPr>
        <w:t xml:space="preserve"> efforts. We propose collecting these data </w:t>
      </w:r>
      <w:r w:rsidRPr="00373E2F" w:rsidR="001A0217">
        <w:rPr>
          <w:color w:val="000000"/>
          <w:sz w:val="24"/>
        </w:rPr>
        <w:t>once</w:t>
      </w:r>
      <w:r w:rsidRPr="00373E2F">
        <w:rPr>
          <w:color w:val="000000"/>
          <w:sz w:val="24"/>
        </w:rPr>
        <w:t xml:space="preserve"> </w:t>
      </w:r>
      <w:r w:rsidRPr="00373E2F" w:rsidR="008F251F">
        <w:rPr>
          <w:color w:val="000000"/>
          <w:sz w:val="24"/>
        </w:rPr>
        <w:t>to capture implementation exp</w:t>
      </w:r>
      <w:r w:rsidRPr="00373E2F" w:rsidR="001A0217">
        <w:rPr>
          <w:color w:val="000000"/>
          <w:sz w:val="24"/>
        </w:rPr>
        <w:t>eriences during the planning and early implementation period</w:t>
      </w:r>
      <w:r w:rsidRPr="00373E2F" w:rsidR="008F251F">
        <w:rPr>
          <w:color w:val="000000"/>
          <w:sz w:val="24"/>
        </w:rPr>
        <w:t>.</w:t>
      </w:r>
      <w:r w:rsidRPr="00373E2F" w:rsidR="001A0217">
        <w:rPr>
          <w:color w:val="000000"/>
          <w:sz w:val="24"/>
        </w:rPr>
        <w:t xml:space="preserve"> There are no legal obstacles to reduce the burden.</w:t>
      </w:r>
      <w:r w:rsidRPr="00373E2F" w:rsidR="008F251F">
        <w:rPr>
          <w:color w:val="000000"/>
          <w:sz w:val="24"/>
        </w:rPr>
        <w:t xml:space="preserve"> </w:t>
      </w:r>
    </w:p>
    <w:p w:rsidR="00C302A1" w:rsidRPr="006B791B" w:rsidP="00DF5814" w14:paraId="2474BC71" w14:textId="77777777">
      <w:pPr>
        <w:rPr>
          <w:color w:val="2F5496"/>
          <w:sz w:val="24"/>
        </w:rPr>
      </w:pPr>
      <w:r w:rsidRPr="006B791B">
        <w:rPr>
          <w:color w:val="2F5496"/>
          <w:sz w:val="24"/>
        </w:rPr>
        <w:t xml:space="preserve"> </w:t>
      </w:r>
    </w:p>
    <w:p w:rsidR="0098164F" w:rsidRPr="00D4461A" w:rsidP="009636C3" w14:paraId="2D6E0C6D" w14:textId="77777777">
      <w:pPr>
        <w:numPr>
          <w:ilvl w:val="0"/>
          <w:numId w:val="2"/>
        </w:numPr>
        <w:tabs>
          <w:tab w:val="left" w:pos="360"/>
          <w:tab w:val="clear" w:pos="1080"/>
        </w:tabs>
        <w:ind w:left="360"/>
        <w:rPr>
          <w:b/>
          <w:sz w:val="24"/>
        </w:rPr>
      </w:pPr>
      <w:r w:rsidRPr="00D4461A">
        <w:rPr>
          <w:b/>
          <w:sz w:val="24"/>
        </w:rPr>
        <w:t>Special Circumstances Relating to the Guidelines of 5 CFR 1320.5</w:t>
      </w:r>
    </w:p>
    <w:p w:rsidR="00EC717A" w:rsidRPr="00D4461A" w:rsidP="00EC717A" w14:paraId="71DF6F1C" w14:textId="77777777">
      <w:pPr>
        <w:widowControl/>
        <w:rPr>
          <w:sz w:val="24"/>
        </w:rPr>
      </w:pPr>
    </w:p>
    <w:p w:rsidR="0098164F" w:rsidRPr="00D4461A" w:rsidP="00A11C35" w14:paraId="23B68A3F" w14:textId="77777777">
      <w:pPr>
        <w:rPr>
          <w:sz w:val="24"/>
        </w:rPr>
      </w:pPr>
      <w:r w:rsidRPr="00D4461A">
        <w:rPr>
          <w:sz w:val="24"/>
        </w:rPr>
        <w:t>There are no special circumstances for the proposed data collection.</w:t>
      </w:r>
    </w:p>
    <w:p w:rsidR="00EC717A" w:rsidRPr="006B791B" w14:paraId="2CE25D24" w14:textId="77777777">
      <w:pPr>
        <w:ind w:left="360"/>
        <w:rPr>
          <w:color w:val="2F5496"/>
          <w:sz w:val="24"/>
        </w:rPr>
      </w:pPr>
    </w:p>
    <w:p w:rsidR="0098164F" w:rsidRPr="00D4461A" w:rsidP="009636C3" w14:paraId="031C0825" w14:textId="77777777">
      <w:pPr>
        <w:numPr>
          <w:ilvl w:val="0"/>
          <w:numId w:val="2"/>
        </w:numPr>
        <w:tabs>
          <w:tab w:val="num" w:pos="360"/>
          <w:tab w:val="clear" w:pos="1080"/>
        </w:tabs>
        <w:ind w:hanging="1080"/>
        <w:rPr>
          <w:b/>
          <w:sz w:val="24"/>
        </w:rPr>
      </w:pPr>
      <w:r w:rsidRPr="00D4461A">
        <w:rPr>
          <w:b/>
          <w:iCs/>
          <w:sz w:val="24"/>
        </w:rPr>
        <w:t>Comments in Response to the Federal Register</w:t>
      </w:r>
      <w:r w:rsidRPr="00D4461A">
        <w:rPr>
          <w:b/>
          <w:sz w:val="24"/>
        </w:rPr>
        <w:t xml:space="preserve"> Notice/Outside Consultation</w:t>
      </w:r>
    </w:p>
    <w:p w:rsidR="00EC717A" w:rsidRPr="006B791B" w:rsidP="00F11A10" w14:paraId="657133A7" w14:textId="77777777">
      <w:pPr>
        <w:pStyle w:val="ListParagraph"/>
        <w:ind w:left="0"/>
        <w:rPr>
          <w:color w:val="2F5496"/>
          <w:sz w:val="24"/>
        </w:rPr>
      </w:pPr>
    </w:p>
    <w:p w:rsidR="00EC717A" w:rsidRPr="00D4461A" w:rsidP="00EC717A" w14:paraId="42D7810F" w14:textId="3DD0BCB4">
      <w:pPr>
        <w:pStyle w:val="NormalSS12"/>
        <w:ind w:firstLine="0"/>
        <w:rPr>
          <w:rFonts w:ascii="Times New Roman" w:hAnsi="Times New Roman"/>
          <w:caps/>
        </w:rPr>
      </w:pPr>
      <w:r w:rsidRPr="00D4461A">
        <w:rPr>
          <w:rFonts w:ascii="Times New Roman" w:hAnsi="Times New Roman"/>
        </w:rPr>
        <w:t xml:space="preserve">The 60-day notice was published in the Federal Register on </w:t>
      </w:r>
      <w:r w:rsidR="00BA6A77">
        <w:rPr>
          <w:rFonts w:ascii="Times New Roman" w:hAnsi="Times New Roman"/>
        </w:rPr>
        <w:t>July 25, 2022</w:t>
      </w:r>
      <w:r w:rsidR="00DC6C20">
        <w:rPr>
          <w:rFonts w:ascii="Times New Roman" w:hAnsi="Times New Roman"/>
        </w:rPr>
        <w:t>, vol, 87, No. 141; pp. 44130-44131</w:t>
      </w:r>
      <w:r w:rsidRPr="00D4461A">
        <w:rPr>
          <w:rFonts w:ascii="Times New Roman" w:hAnsi="Times New Roman"/>
        </w:rPr>
        <w:t xml:space="preserve">. The text is found in Attachment </w:t>
      </w:r>
      <w:r w:rsidR="00655FE5">
        <w:rPr>
          <w:rFonts w:ascii="Times New Roman" w:hAnsi="Times New Roman"/>
        </w:rPr>
        <w:t>E</w:t>
      </w:r>
      <w:r w:rsidRPr="00D4461A">
        <w:rPr>
          <w:rFonts w:ascii="Times New Roman" w:hAnsi="Times New Roman"/>
        </w:rPr>
        <w:t xml:space="preserve">. </w:t>
      </w:r>
      <w:r w:rsidRPr="00D4461A">
        <w:rPr>
          <w:rFonts w:ascii="Times New Roman" w:hAnsi="Times New Roman"/>
        </w:rPr>
        <w:t>At this time</w:t>
      </w:r>
      <w:r w:rsidRPr="00D4461A">
        <w:rPr>
          <w:rFonts w:ascii="Times New Roman" w:hAnsi="Times New Roman"/>
        </w:rPr>
        <w:t xml:space="preserve"> there are no comments or responses to questions. </w:t>
      </w:r>
    </w:p>
    <w:p w:rsidR="00EC717A" w:rsidRPr="00D4461A" w:rsidP="00EC717A" w14:paraId="607F02CD" w14:textId="77777777">
      <w:pPr>
        <w:pStyle w:val="NormalSS12"/>
        <w:ind w:firstLine="0"/>
        <w:rPr>
          <w:rFonts w:ascii="Times New Roman" w:hAnsi="Times New Roman"/>
        </w:rPr>
      </w:pPr>
      <w:r w:rsidRPr="00D4461A">
        <w:rPr>
          <w:rFonts w:ascii="Times New Roman" w:hAnsi="Times New Roman"/>
        </w:rPr>
        <w:t>Below, we provide the names and contact information of the persons consulted in the drafting and refinement of the implementation study protocols:</w:t>
      </w:r>
    </w:p>
    <w:p w:rsidR="00D4461A" w:rsidRPr="00A60E64" w:rsidP="00D4461A" w14:paraId="039B50F6" w14:textId="77777777">
      <w:pPr>
        <w:rPr>
          <w:sz w:val="24"/>
        </w:rPr>
      </w:pPr>
      <w:r w:rsidRPr="00A60E64">
        <w:rPr>
          <w:sz w:val="24"/>
        </w:rPr>
        <w:t>Kimberly Francis, Ph.D</w:t>
      </w:r>
      <w:r>
        <w:rPr>
          <w:sz w:val="24"/>
        </w:rPr>
        <w:t>.</w:t>
      </w:r>
    </w:p>
    <w:p w:rsidR="00D4461A" w:rsidRPr="00A60E64" w:rsidP="00D4461A" w14:paraId="787DA2B7" w14:textId="77777777">
      <w:pPr>
        <w:rPr>
          <w:sz w:val="24"/>
        </w:rPr>
      </w:pPr>
      <w:r w:rsidRPr="00A60E64">
        <w:rPr>
          <w:sz w:val="24"/>
        </w:rPr>
        <w:t>Abt Associates</w:t>
      </w:r>
    </w:p>
    <w:p w:rsidR="00D4461A" w:rsidRPr="007C37BC" w:rsidP="00D4461A" w14:paraId="06D82CE9" w14:textId="77777777">
      <w:pPr>
        <w:rPr>
          <w:sz w:val="24"/>
          <w:lang w:val="fr-FR"/>
        </w:rPr>
      </w:pPr>
      <w:r w:rsidRPr="007C37BC">
        <w:rPr>
          <w:sz w:val="24"/>
          <w:lang w:val="fr-FR"/>
        </w:rPr>
        <w:t>10 Fawcett Street</w:t>
      </w:r>
    </w:p>
    <w:p w:rsidR="00D4461A" w:rsidRPr="007C37BC" w:rsidP="00D4461A" w14:paraId="2E3FA5CF" w14:textId="77777777">
      <w:pPr>
        <w:rPr>
          <w:sz w:val="24"/>
          <w:lang w:val="fr-FR"/>
        </w:rPr>
      </w:pPr>
      <w:r w:rsidRPr="007C37BC">
        <w:rPr>
          <w:sz w:val="24"/>
          <w:lang w:val="fr-FR"/>
        </w:rPr>
        <w:t>Cambridge, MA 02138</w:t>
      </w:r>
    </w:p>
    <w:p w:rsidR="00D4461A" w:rsidRPr="007C37BC" w:rsidP="00D4461A" w14:paraId="5AC8D4C2" w14:textId="77777777">
      <w:pPr>
        <w:rPr>
          <w:sz w:val="24"/>
          <w:lang w:val="fr-FR"/>
        </w:rPr>
      </w:pPr>
      <w:r w:rsidRPr="007C37BC">
        <w:rPr>
          <w:sz w:val="24"/>
          <w:lang w:val="fr-FR"/>
        </w:rPr>
        <w:t>(617) 520-2502</w:t>
      </w:r>
    </w:p>
    <w:p w:rsidR="00D4461A" w:rsidRPr="007C37BC" w:rsidP="00D4461A" w14:paraId="6596F928" w14:textId="77777777">
      <w:pPr>
        <w:rPr>
          <w:sz w:val="24"/>
          <w:lang w:val="fr-FR"/>
        </w:rPr>
      </w:pPr>
    </w:p>
    <w:p w:rsidR="00D4461A" w:rsidRPr="007C37BC" w:rsidP="00D4461A" w14:paraId="6BE155D6" w14:textId="77777777">
      <w:pPr>
        <w:rPr>
          <w:sz w:val="24"/>
          <w:lang w:val="fr-FR"/>
        </w:rPr>
      </w:pPr>
      <w:r w:rsidRPr="007C37BC">
        <w:rPr>
          <w:sz w:val="24"/>
          <w:lang w:val="fr-FR"/>
        </w:rPr>
        <w:t>Tanya de Sousa, MPP</w:t>
      </w:r>
    </w:p>
    <w:p w:rsidR="00D4461A" w:rsidRPr="00A60E64" w:rsidP="00D4461A" w14:paraId="3EA6D892" w14:textId="77777777">
      <w:pPr>
        <w:rPr>
          <w:sz w:val="24"/>
        </w:rPr>
      </w:pPr>
      <w:r w:rsidRPr="00A60E64">
        <w:rPr>
          <w:sz w:val="24"/>
        </w:rPr>
        <w:t>Abt Associates</w:t>
      </w:r>
    </w:p>
    <w:p w:rsidR="00D4461A" w:rsidRPr="00A60E64" w:rsidP="00D4461A" w14:paraId="21CF2D30" w14:textId="77777777">
      <w:pPr>
        <w:rPr>
          <w:sz w:val="24"/>
        </w:rPr>
      </w:pPr>
      <w:r>
        <w:rPr>
          <w:sz w:val="24"/>
        </w:rPr>
        <w:t>6130 Executive Blvd.</w:t>
      </w:r>
    </w:p>
    <w:p w:rsidR="00D4461A" w:rsidRPr="00A60E64" w:rsidP="00D4461A" w14:paraId="24053D3E" w14:textId="77777777">
      <w:pPr>
        <w:rPr>
          <w:sz w:val="24"/>
        </w:rPr>
      </w:pPr>
      <w:r>
        <w:rPr>
          <w:sz w:val="24"/>
        </w:rPr>
        <w:t>Rockville, MD 20852</w:t>
      </w:r>
    </w:p>
    <w:p w:rsidR="00D4461A" w:rsidP="00D4461A" w14:paraId="780B2CD7" w14:textId="77777777">
      <w:pPr>
        <w:rPr>
          <w:sz w:val="24"/>
        </w:rPr>
      </w:pPr>
      <w:r>
        <w:rPr>
          <w:sz w:val="24"/>
        </w:rPr>
        <w:t>(</w:t>
      </w:r>
      <w:r w:rsidRPr="00F84012">
        <w:rPr>
          <w:sz w:val="24"/>
        </w:rPr>
        <w:t>301</w:t>
      </w:r>
      <w:r>
        <w:rPr>
          <w:sz w:val="24"/>
        </w:rPr>
        <w:t xml:space="preserve">) </w:t>
      </w:r>
      <w:r w:rsidRPr="00F84012">
        <w:rPr>
          <w:sz w:val="24"/>
        </w:rPr>
        <w:t>347</w:t>
      </w:r>
      <w:r>
        <w:rPr>
          <w:sz w:val="24"/>
        </w:rPr>
        <w:t>-</w:t>
      </w:r>
      <w:r w:rsidRPr="00F84012">
        <w:rPr>
          <w:sz w:val="24"/>
        </w:rPr>
        <w:t>5695</w:t>
      </w:r>
    </w:p>
    <w:p w:rsidR="00D4461A" w:rsidRPr="00A60E64" w:rsidP="00D4461A" w14:paraId="5FC43295" w14:textId="77777777">
      <w:pPr>
        <w:rPr>
          <w:sz w:val="24"/>
        </w:rPr>
      </w:pPr>
    </w:p>
    <w:p w:rsidR="00D4461A" w:rsidRPr="00A60E64" w:rsidP="00D4461A" w14:paraId="04D56F59" w14:textId="77777777">
      <w:pPr>
        <w:rPr>
          <w:sz w:val="24"/>
        </w:rPr>
      </w:pPr>
      <w:r w:rsidRPr="00A60E64">
        <w:rPr>
          <w:sz w:val="24"/>
        </w:rPr>
        <w:t>Lesley Freiman, MPP</w:t>
      </w:r>
    </w:p>
    <w:p w:rsidR="00D4461A" w:rsidRPr="00A60E64" w:rsidP="00D4461A" w14:paraId="0B1D6E6B" w14:textId="77777777">
      <w:pPr>
        <w:rPr>
          <w:sz w:val="24"/>
        </w:rPr>
      </w:pPr>
      <w:r w:rsidRPr="00A60E64">
        <w:rPr>
          <w:sz w:val="24"/>
        </w:rPr>
        <w:t>Abt Associates</w:t>
      </w:r>
    </w:p>
    <w:p w:rsidR="00D4461A" w:rsidRPr="00A60E64" w:rsidP="00D4461A" w14:paraId="0321C47C" w14:textId="77777777">
      <w:pPr>
        <w:rPr>
          <w:sz w:val="24"/>
        </w:rPr>
      </w:pPr>
      <w:r>
        <w:rPr>
          <w:sz w:val="24"/>
        </w:rPr>
        <w:t>6130 Executive Blvd.</w:t>
      </w:r>
    </w:p>
    <w:p w:rsidR="00D4461A" w:rsidRPr="00A60E64" w:rsidP="00D4461A" w14:paraId="417B72B5" w14:textId="77777777">
      <w:pPr>
        <w:rPr>
          <w:sz w:val="24"/>
        </w:rPr>
      </w:pPr>
      <w:r>
        <w:rPr>
          <w:sz w:val="24"/>
        </w:rPr>
        <w:t>Rockville, MD 20852</w:t>
      </w:r>
    </w:p>
    <w:p w:rsidR="00D4461A" w:rsidRPr="00A60E64" w:rsidP="00D4461A" w14:paraId="37EC634C" w14:textId="77777777">
      <w:pPr>
        <w:rPr>
          <w:sz w:val="24"/>
        </w:rPr>
      </w:pPr>
      <w:r w:rsidRPr="00A60E64">
        <w:rPr>
          <w:sz w:val="24"/>
        </w:rPr>
        <w:t>(617) 520-2334</w:t>
      </w:r>
    </w:p>
    <w:p w:rsidR="00D4461A" w:rsidRPr="00A60E64" w:rsidP="00D4461A" w14:paraId="02AA276A" w14:textId="77777777">
      <w:pPr>
        <w:rPr>
          <w:sz w:val="24"/>
        </w:rPr>
      </w:pPr>
    </w:p>
    <w:p w:rsidR="00D4461A" w:rsidP="00D4461A" w14:paraId="54B6C7F3" w14:textId="77777777">
      <w:pPr>
        <w:rPr>
          <w:sz w:val="24"/>
        </w:rPr>
      </w:pPr>
      <w:r w:rsidRPr="00F84012">
        <w:rPr>
          <w:sz w:val="24"/>
        </w:rPr>
        <w:t>Cynthia Castaldo-Walsh, Ph</w:t>
      </w:r>
      <w:r>
        <w:rPr>
          <w:sz w:val="24"/>
        </w:rPr>
        <w:t>.</w:t>
      </w:r>
      <w:r w:rsidRPr="00F84012">
        <w:rPr>
          <w:sz w:val="24"/>
        </w:rPr>
        <w:t>D</w:t>
      </w:r>
      <w:r>
        <w:rPr>
          <w:sz w:val="24"/>
        </w:rPr>
        <w:t>.</w:t>
      </w:r>
    </w:p>
    <w:p w:rsidR="00D4461A" w:rsidRPr="007C37BC" w:rsidP="00D4461A" w14:paraId="0321A933" w14:textId="77777777">
      <w:pPr>
        <w:rPr>
          <w:sz w:val="24"/>
          <w:lang w:val="fr-FR"/>
        </w:rPr>
      </w:pPr>
      <w:r w:rsidRPr="007C37BC">
        <w:rPr>
          <w:sz w:val="24"/>
          <w:lang w:val="fr-FR"/>
        </w:rPr>
        <w:t>Decision</w:t>
      </w:r>
      <w:r w:rsidRPr="007C37BC">
        <w:rPr>
          <w:sz w:val="24"/>
          <w:lang w:val="fr-FR"/>
        </w:rPr>
        <w:t xml:space="preserve"> Information </w:t>
      </w:r>
      <w:r w:rsidRPr="007C37BC">
        <w:rPr>
          <w:sz w:val="24"/>
          <w:lang w:val="fr-FR"/>
        </w:rPr>
        <w:t>Resources</w:t>
      </w:r>
      <w:r w:rsidRPr="007C37BC">
        <w:rPr>
          <w:sz w:val="24"/>
          <w:lang w:val="fr-FR"/>
        </w:rPr>
        <w:t>, Inc.</w:t>
      </w:r>
    </w:p>
    <w:p w:rsidR="00D4461A" w:rsidRPr="007C37BC" w:rsidP="00D4461A" w14:paraId="3D64AD91" w14:textId="77777777">
      <w:pPr>
        <w:rPr>
          <w:sz w:val="24"/>
          <w:lang w:val="fr-FR"/>
        </w:rPr>
      </w:pPr>
      <w:r w:rsidRPr="007C37BC">
        <w:rPr>
          <w:sz w:val="24"/>
          <w:lang w:val="fr-FR"/>
        </w:rPr>
        <w:t>3900 Essex Lane, Suite 900</w:t>
      </w:r>
    </w:p>
    <w:p w:rsidR="00D4461A" w:rsidRPr="00F84012" w:rsidP="00D4461A" w14:paraId="5A637BAD" w14:textId="77777777">
      <w:pPr>
        <w:rPr>
          <w:sz w:val="24"/>
        </w:rPr>
      </w:pPr>
      <w:r w:rsidRPr="00F84012">
        <w:rPr>
          <w:sz w:val="24"/>
        </w:rPr>
        <w:t>Houston, TX 77027</w:t>
      </w:r>
    </w:p>
    <w:p w:rsidR="00D4461A" w:rsidP="00D4461A" w14:paraId="358C9130" w14:textId="77777777">
      <w:pPr>
        <w:rPr>
          <w:sz w:val="24"/>
        </w:rPr>
      </w:pPr>
      <w:r w:rsidRPr="00F84012">
        <w:rPr>
          <w:sz w:val="24"/>
        </w:rPr>
        <w:t>(832) 485-3777</w:t>
      </w:r>
    </w:p>
    <w:p w:rsidR="00D4461A" w:rsidRPr="00A60E64" w:rsidP="00D4461A" w14:paraId="6CAAA325" w14:textId="77777777">
      <w:pPr>
        <w:rPr>
          <w:sz w:val="24"/>
        </w:rPr>
      </w:pPr>
    </w:p>
    <w:p w:rsidR="00D4461A" w:rsidRPr="008D150B" w:rsidP="00D4461A" w14:paraId="6941B1EF" w14:textId="77777777">
      <w:pPr>
        <w:rPr>
          <w:sz w:val="24"/>
        </w:rPr>
      </w:pPr>
      <w:r w:rsidRPr="008D150B">
        <w:rPr>
          <w:sz w:val="24"/>
        </w:rPr>
        <w:t xml:space="preserve">Alexandra (Warner) Osberg, MPH </w:t>
      </w:r>
    </w:p>
    <w:p w:rsidR="00D4461A" w:rsidRPr="00A60E64" w:rsidP="00D4461A" w14:paraId="18540275" w14:textId="77777777">
      <w:pPr>
        <w:rPr>
          <w:sz w:val="24"/>
        </w:rPr>
      </w:pPr>
      <w:r w:rsidRPr="00A60E64">
        <w:rPr>
          <w:sz w:val="24"/>
        </w:rPr>
        <w:t xml:space="preserve">Office of </w:t>
      </w:r>
      <w:r>
        <w:rPr>
          <w:sz w:val="24"/>
        </w:rPr>
        <w:t xml:space="preserve">Population Affairs </w:t>
      </w:r>
    </w:p>
    <w:p w:rsidR="00D4461A" w:rsidRPr="00A60E64" w:rsidP="00D4461A" w14:paraId="69EEF3CE" w14:textId="77777777">
      <w:pPr>
        <w:rPr>
          <w:sz w:val="24"/>
        </w:rPr>
      </w:pPr>
      <w:r w:rsidRPr="00A60E64">
        <w:rPr>
          <w:sz w:val="24"/>
        </w:rPr>
        <w:t>Office of the Assistant Secretary for Health</w:t>
      </w:r>
    </w:p>
    <w:p w:rsidR="00D4461A" w:rsidRPr="00A60E64" w:rsidP="00D4461A" w14:paraId="0F0C139C" w14:textId="77777777">
      <w:pPr>
        <w:rPr>
          <w:sz w:val="24"/>
        </w:rPr>
      </w:pPr>
      <w:r w:rsidRPr="00A60E64">
        <w:rPr>
          <w:sz w:val="24"/>
        </w:rPr>
        <w:t>U.S. Department of Health and Human Services</w:t>
      </w:r>
    </w:p>
    <w:p w:rsidR="00D4461A" w:rsidRPr="00A60E64" w:rsidP="00D4461A" w14:paraId="5D58FF1E" w14:textId="4CCF647D">
      <w:pPr>
        <w:rPr>
          <w:sz w:val="24"/>
        </w:rPr>
      </w:pPr>
      <w:r w:rsidRPr="00A60E64">
        <w:rPr>
          <w:sz w:val="24"/>
        </w:rPr>
        <w:t xml:space="preserve">1101 Wootton Parkway, Suite </w:t>
      </w:r>
      <w:r w:rsidR="00C67940">
        <w:rPr>
          <w:sz w:val="24"/>
        </w:rPr>
        <w:t>2</w:t>
      </w:r>
      <w:r w:rsidRPr="00A60E64">
        <w:rPr>
          <w:sz w:val="24"/>
        </w:rPr>
        <w:t>00</w:t>
      </w:r>
    </w:p>
    <w:p w:rsidR="00D4461A" w:rsidRPr="00A60E64" w:rsidP="00D4461A" w14:paraId="3A400B9F" w14:textId="77777777">
      <w:pPr>
        <w:rPr>
          <w:sz w:val="24"/>
        </w:rPr>
      </w:pPr>
      <w:r w:rsidRPr="00A60E64">
        <w:rPr>
          <w:sz w:val="24"/>
        </w:rPr>
        <w:t>Rockville, MD 20852</w:t>
      </w:r>
    </w:p>
    <w:p w:rsidR="00D4461A" w:rsidP="00D4461A" w14:paraId="460AB7EA" w14:textId="77777777">
      <w:pPr>
        <w:rPr>
          <w:sz w:val="24"/>
        </w:rPr>
      </w:pPr>
      <w:r w:rsidRPr="008D150B">
        <w:rPr>
          <w:sz w:val="24"/>
        </w:rPr>
        <w:t>(301) 348-3537</w:t>
      </w:r>
    </w:p>
    <w:p w:rsidR="00D4461A" w:rsidRPr="00A60E64" w:rsidP="00D4461A" w14:paraId="243E6E17" w14:textId="77777777">
      <w:pPr>
        <w:rPr>
          <w:sz w:val="24"/>
        </w:rPr>
      </w:pPr>
    </w:p>
    <w:p w:rsidR="0098164F" w:rsidRPr="006B791B" w14:paraId="0A123948" w14:textId="77777777">
      <w:pPr>
        <w:ind w:left="360"/>
        <w:rPr>
          <w:color w:val="2F5496"/>
          <w:sz w:val="24"/>
        </w:rPr>
      </w:pPr>
    </w:p>
    <w:p w:rsidR="0098164F" w:rsidRPr="00465BCC" w:rsidP="009636C3" w14:paraId="782C3939" w14:textId="77777777">
      <w:pPr>
        <w:numPr>
          <w:ilvl w:val="0"/>
          <w:numId w:val="2"/>
        </w:numPr>
        <w:tabs>
          <w:tab w:val="num" w:pos="360"/>
          <w:tab w:val="clear" w:pos="1080"/>
        </w:tabs>
        <w:ind w:left="540" w:hanging="540"/>
        <w:rPr>
          <w:b/>
          <w:sz w:val="24"/>
        </w:rPr>
      </w:pPr>
      <w:r w:rsidRPr="00465BCC">
        <w:rPr>
          <w:b/>
          <w:sz w:val="24"/>
        </w:rPr>
        <w:t>Explanation of any Payment/Gift to Respondents</w:t>
      </w:r>
    </w:p>
    <w:p w:rsidR="00EC717A" w:rsidRPr="00465BCC" w:rsidP="00EC717A" w14:paraId="539C3724" w14:textId="77777777">
      <w:pPr>
        <w:rPr>
          <w:sz w:val="24"/>
        </w:rPr>
      </w:pPr>
    </w:p>
    <w:p w:rsidR="00EC717A" w:rsidRPr="00465BCC" w:rsidP="00EC717A" w14:paraId="2AFC4E99" w14:textId="77777777">
      <w:pPr>
        <w:rPr>
          <w:sz w:val="24"/>
        </w:rPr>
      </w:pPr>
      <w:r w:rsidRPr="00465BCC">
        <w:rPr>
          <w:sz w:val="24"/>
        </w:rPr>
        <w:t xml:space="preserve">No payment or gift will be made to </w:t>
      </w:r>
      <w:r w:rsidRPr="00465BCC" w:rsidR="00465BCC">
        <w:rPr>
          <w:sz w:val="24"/>
        </w:rPr>
        <w:t>grantee</w:t>
      </w:r>
      <w:r w:rsidRPr="00465BCC">
        <w:rPr>
          <w:sz w:val="24"/>
        </w:rPr>
        <w:t xml:space="preserve"> staff and </w:t>
      </w:r>
      <w:r w:rsidRPr="00465BCC" w:rsidR="00465BCC">
        <w:rPr>
          <w:sz w:val="24"/>
        </w:rPr>
        <w:t>partner agency staff</w:t>
      </w:r>
      <w:r w:rsidRPr="00465BCC">
        <w:rPr>
          <w:sz w:val="24"/>
        </w:rPr>
        <w:t xml:space="preserve"> for being interviewed by phone</w:t>
      </w:r>
      <w:r w:rsidRPr="00465BCC" w:rsidR="00465BCC">
        <w:rPr>
          <w:sz w:val="24"/>
        </w:rPr>
        <w:t>/videoconference</w:t>
      </w:r>
      <w:r w:rsidRPr="00465BCC">
        <w:rPr>
          <w:sz w:val="24"/>
        </w:rPr>
        <w:t xml:space="preserve"> or during site visits.</w:t>
      </w:r>
      <w:r w:rsidRPr="00465BCC" w:rsidR="00FD0B20">
        <w:rPr>
          <w:sz w:val="24"/>
        </w:rPr>
        <w:t xml:space="preserve"> </w:t>
      </w:r>
    </w:p>
    <w:p w:rsidR="0098164F" w:rsidRPr="006B791B" w14:paraId="2C601A5A" w14:textId="77777777">
      <w:pPr>
        <w:ind w:left="1440"/>
        <w:rPr>
          <w:color w:val="2F5496"/>
          <w:sz w:val="24"/>
        </w:rPr>
      </w:pPr>
    </w:p>
    <w:p w:rsidR="0098164F" w:rsidRPr="00373E2F" w:rsidP="009636C3" w14:paraId="7DDFAF35" w14:textId="77777777">
      <w:pPr>
        <w:numPr>
          <w:ilvl w:val="0"/>
          <w:numId w:val="2"/>
        </w:numPr>
        <w:tabs>
          <w:tab w:val="num" w:pos="360"/>
          <w:tab w:val="clear" w:pos="1080"/>
        </w:tabs>
        <w:ind w:hanging="1080"/>
        <w:rPr>
          <w:b/>
          <w:color w:val="000000"/>
          <w:sz w:val="24"/>
        </w:rPr>
      </w:pPr>
      <w:r w:rsidRPr="00373E2F">
        <w:rPr>
          <w:b/>
          <w:color w:val="000000"/>
          <w:sz w:val="24"/>
        </w:rPr>
        <w:t>Assurance of Confidentiality Provided to Respondents</w:t>
      </w:r>
    </w:p>
    <w:p w:rsidR="0098164F" w:rsidRPr="006B791B" w14:paraId="09516D28" w14:textId="77777777">
      <w:pPr>
        <w:ind w:left="360"/>
        <w:rPr>
          <w:color w:val="2F5496"/>
          <w:sz w:val="24"/>
        </w:rPr>
      </w:pPr>
    </w:p>
    <w:p w:rsidR="00F3330A" w:rsidP="00B31EC1" w14:paraId="1E5AE728" w14:textId="76160E19">
      <w:pPr>
        <w:spacing w:after="240"/>
        <w:rPr>
          <w:color w:val="000000"/>
          <w:sz w:val="24"/>
        </w:rPr>
      </w:pPr>
      <w:r w:rsidRPr="00373E2F">
        <w:rPr>
          <w:color w:val="000000"/>
          <w:sz w:val="24"/>
        </w:rPr>
        <w:t xml:space="preserve">Privacy protections are embedded in the study design. </w:t>
      </w:r>
      <w:r w:rsidRPr="00373E2F" w:rsidR="00B216E5">
        <w:rPr>
          <w:color w:val="000000"/>
          <w:sz w:val="24"/>
        </w:rPr>
        <w:t>Abt Associates will secure approval</w:t>
      </w:r>
      <w:r w:rsidR="00296EA5">
        <w:rPr>
          <w:color w:val="000000"/>
          <w:sz w:val="24"/>
        </w:rPr>
        <w:t xml:space="preserve"> (or exemption after </w:t>
      </w:r>
      <w:r w:rsidR="00C15958">
        <w:rPr>
          <w:color w:val="000000"/>
          <w:sz w:val="24"/>
        </w:rPr>
        <w:t xml:space="preserve">initial </w:t>
      </w:r>
      <w:r w:rsidR="00296EA5">
        <w:rPr>
          <w:color w:val="000000"/>
          <w:sz w:val="24"/>
        </w:rPr>
        <w:t>review)</w:t>
      </w:r>
      <w:r w:rsidRPr="00373E2F" w:rsidR="00B216E5">
        <w:rPr>
          <w:color w:val="000000"/>
          <w:sz w:val="24"/>
        </w:rPr>
        <w:t xml:space="preserve"> </w:t>
      </w:r>
      <w:r w:rsidR="00296EA5">
        <w:rPr>
          <w:color w:val="000000"/>
          <w:sz w:val="24"/>
        </w:rPr>
        <w:t xml:space="preserve">from its internal Institutional Review Board (IRB) </w:t>
      </w:r>
      <w:r w:rsidRPr="00373E2F" w:rsidR="00B216E5">
        <w:rPr>
          <w:color w:val="000000"/>
          <w:sz w:val="24"/>
        </w:rPr>
        <w:t xml:space="preserve">for </w:t>
      </w:r>
      <w:r w:rsidRPr="00373E2F" w:rsidR="007F7366">
        <w:rPr>
          <w:color w:val="000000"/>
          <w:sz w:val="24"/>
        </w:rPr>
        <w:t xml:space="preserve">the </w:t>
      </w:r>
      <w:r w:rsidRPr="00373E2F" w:rsidR="007F7366">
        <w:rPr>
          <w:color w:val="000000"/>
          <w:sz w:val="24"/>
        </w:rPr>
        <w:t xml:space="preserve">collection of implementation </w:t>
      </w:r>
      <w:r w:rsidR="0075347B">
        <w:rPr>
          <w:color w:val="000000"/>
          <w:sz w:val="24"/>
        </w:rPr>
        <w:t xml:space="preserve">study </w:t>
      </w:r>
      <w:r w:rsidRPr="00373E2F" w:rsidR="007F7366">
        <w:rPr>
          <w:color w:val="000000"/>
          <w:sz w:val="24"/>
        </w:rPr>
        <w:t>data</w:t>
      </w:r>
      <w:r w:rsidR="00745C43">
        <w:rPr>
          <w:color w:val="000000"/>
          <w:sz w:val="24"/>
        </w:rPr>
        <w:t xml:space="preserve"> (IRB review is currently underway and approval or exemption is anticipated by August 2022)</w:t>
      </w:r>
      <w:r w:rsidRPr="00373E2F" w:rsidR="007F7366">
        <w:rPr>
          <w:color w:val="000000"/>
          <w:sz w:val="24"/>
        </w:rPr>
        <w:t>.</w:t>
      </w:r>
      <w:r w:rsidRPr="00373E2F" w:rsidR="00B216E5">
        <w:rPr>
          <w:color w:val="000000"/>
          <w:sz w:val="24"/>
        </w:rPr>
        <w:t xml:space="preserve"> </w:t>
      </w:r>
      <w:r w:rsidRPr="000316A1">
        <w:rPr>
          <w:color w:val="000000"/>
          <w:sz w:val="24"/>
        </w:rPr>
        <w:t xml:space="preserve">Data collection will only occur if </w:t>
      </w:r>
      <w:r>
        <w:rPr>
          <w:color w:val="000000"/>
          <w:sz w:val="24"/>
        </w:rPr>
        <w:t>verbal informed</w:t>
      </w:r>
      <w:r w:rsidRPr="000316A1">
        <w:rPr>
          <w:color w:val="000000"/>
          <w:sz w:val="24"/>
        </w:rPr>
        <w:t xml:space="preserve"> consent is provided by </w:t>
      </w:r>
      <w:r>
        <w:rPr>
          <w:color w:val="000000"/>
          <w:sz w:val="24"/>
        </w:rPr>
        <w:t>interview respondents</w:t>
      </w:r>
      <w:r w:rsidRPr="000316A1">
        <w:rPr>
          <w:color w:val="000000"/>
          <w:sz w:val="24"/>
        </w:rPr>
        <w:t xml:space="preserve">. </w:t>
      </w:r>
      <w:r w:rsidRPr="000316A1" w:rsidR="0075347B">
        <w:rPr>
          <w:color w:val="000000"/>
          <w:sz w:val="24"/>
        </w:rPr>
        <w:t xml:space="preserve">Information collected will be kept private to the extent permitted by law. </w:t>
      </w:r>
      <w:r w:rsidRPr="00373E2F" w:rsidR="0072697D">
        <w:rPr>
          <w:color w:val="000000"/>
          <w:sz w:val="24"/>
        </w:rPr>
        <w:t>Implementation stud</w:t>
      </w:r>
      <w:r w:rsidRPr="00373E2F" w:rsidR="00C302A1">
        <w:rPr>
          <w:color w:val="000000"/>
          <w:sz w:val="24"/>
        </w:rPr>
        <w:t xml:space="preserve">y respondents </w:t>
      </w:r>
      <w:r w:rsidRPr="00373E2F" w:rsidR="0072697D">
        <w:rPr>
          <w:color w:val="000000"/>
          <w:sz w:val="24"/>
        </w:rPr>
        <w:t xml:space="preserve">will receive information about </w:t>
      </w:r>
      <w:r w:rsidRPr="00373E2F" w:rsidR="00673444">
        <w:rPr>
          <w:color w:val="000000"/>
          <w:sz w:val="24"/>
        </w:rPr>
        <w:t>how their information will be kept private</w:t>
      </w:r>
      <w:r w:rsidR="006F5CC6">
        <w:rPr>
          <w:color w:val="000000"/>
          <w:sz w:val="24"/>
        </w:rPr>
        <w:t xml:space="preserve"> to the extent </w:t>
      </w:r>
      <w:r w:rsidRPr="006F5CC6" w:rsidR="006F5CC6">
        <w:rPr>
          <w:color w:val="000000"/>
          <w:sz w:val="24"/>
        </w:rPr>
        <w:t>allowed by law</w:t>
      </w:r>
      <w:r w:rsidRPr="00373E2F" w:rsidR="00673444">
        <w:rPr>
          <w:color w:val="000000"/>
          <w:sz w:val="24"/>
        </w:rPr>
        <w:t xml:space="preserve"> </w:t>
      </w:r>
      <w:r w:rsidRPr="00373E2F" w:rsidR="0072697D">
        <w:rPr>
          <w:color w:val="000000"/>
          <w:sz w:val="24"/>
        </w:rPr>
        <w:t>when arrangements are made for meeting with them</w:t>
      </w:r>
      <w:r w:rsidR="00283EDF">
        <w:rPr>
          <w:color w:val="000000"/>
          <w:sz w:val="24"/>
        </w:rPr>
        <w:t>. This</w:t>
      </w:r>
      <w:r w:rsidRPr="00373E2F" w:rsidR="00673444">
        <w:rPr>
          <w:color w:val="000000"/>
          <w:sz w:val="24"/>
        </w:rPr>
        <w:t xml:space="preserve"> </w:t>
      </w:r>
      <w:r w:rsidRPr="00373E2F" w:rsidR="0072697D">
        <w:rPr>
          <w:color w:val="000000"/>
          <w:sz w:val="24"/>
        </w:rPr>
        <w:t xml:space="preserve">information will be repeated as part of the </w:t>
      </w:r>
      <w:r w:rsidR="00283EDF">
        <w:rPr>
          <w:color w:val="000000"/>
          <w:sz w:val="24"/>
        </w:rPr>
        <w:t>verbal consent process prior to conducting the</w:t>
      </w:r>
      <w:r w:rsidRPr="00373E2F" w:rsidR="009B487F">
        <w:rPr>
          <w:color w:val="000000"/>
          <w:sz w:val="24"/>
        </w:rPr>
        <w:t xml:space="preserve"> interviews</w:t>
      </w:r>
      <w:r w:rsidRPr="00373E2F" w:rsidR="0072697D">
        <w:rPr>
          <w:color w:val="000000"/>
          <w:sz w:val="24"/>
        </w:rPr>
        <w:t xml:space="preserve"> (see Attachment</w:t>
      </w:r>
      <w:r w:rsidR="00B25855">
        <w:rPr>
          <w:color w:val="000000"/>
          <w:sz w:val="24"/>
        </w:rPr>
        <w:t>s A-D</w:t>
      </w:r>
      <w:r w:rsidRPr="00373E2F" w:rsidR="0072697D">
        <w:rPr>
          <w:color w:val="000000"/>
          <w:sz w:val="24"/>
        </w:rPr>
        <w:t xml:space="preserve"> for </w:t>
      </w:r>
      <w:r w:rsidR="00283EDF">
        <w:rPr>
          <w:color w:val="000000"/>
          <w:sz w:val="24"/>
        </w:rPr>
        <w:t>the verbal consent language</w:t>
      </w:r>
      <w:r w:rsidRPr="00373E2F" w:rsidR="0072697D">
        <w:rPr>
          <w:color w:val="000000"/>
          <w:sz w:val="24"/>
        </w:rPr>
        <w:t xml:space="preserve">). </w:t>
      </w:r>
      <w:r w:rsidRPr="000316A1" w:rsidR="00B31EC1">
        <w:rPr>
          <w:color w:val="000000"/>
          <w:sz w:val="24"/>
        </w:rPr>
        <w:t xml:space="preserve">Respondents will be informed of all planned uses of data, that their participation is voluntary, and that their information will be kept private to the extent permitted by law. </w:t>
      </w:r>
      <w:r w:rsidR="00725E77">
        <w:rPr>
          <w:sz w:val="24"/>
        </w:rPr>
        <w:t>N</w:t>
      </w:r>
      <w:r w:rsidRPr="000C1F20" w:rsidR="00725E77">
        <w:rPr>
          <w:sz w:val="24"/>
        </w:rPr>
        <w:t xml:space="preserve">o confidential information </w:t>
      </w:r>
      <w:r w:rsidR="00725E77">
        <w:rPr>
          <w:sz w:val="24"/>
        </w:rPr>
        <w:t xml:space="preserve">will be collected or recorded. </w:t>
      </w:r>
      <w:r w:rsidRPr="00396560">
        <w:rPr>
          <w:color w:val="000000"/>
          <w:sz w:val="24"/>
        </w:rPr>
        <w:t>Individuals will not be cited as sources of information in prepared reports.</w:t>
      </w:r>
      <w:r w:rsidR="00725E77">
        <w:rPr>
          <w:color w:val="000000"/>
          <w:sz w:val="24"/>
        </w:rPr>
        <w:t xml:space="preserve"> </w:t>
      </w:r>
    </w:p>
    <w:p w:rsidR="007A40E6" w:rsidP="00F3330A" w14:paraId="2BD266DC" w14:textId="77777777">
      <w:pPr>
        <w:spacing w:after="240"/>
        <w:rPr>
          <w:color w:val="000000"/>
          <w:sz w:val="24"/>
        </w:rPr>
      </w:pPr>
      <w:r w:rsidRPr="00373E2F">
        <w:rPr>
          <w:color w:val="000000"/>
          <w:sz w:val="24"/>
        </w:rPr>
        <w:t>Site visit field staff will be informed about privacy and confidentiality procedures during training and will be prepared to describe them and to answer questions raised by local program staff.</w:t>
      </w:r>
      <w:r>
        <w:rPr>
          <w:color w:val="000000"/>
          <w:sz w:val="24"/>
        </w:rPr>
        <w:t xml:space="preserve"> </w:t>
      </w:r>
      <w:r w:rsidRPr="00396560">
        <w:rPr>
          <w:color w:val="000000"/>
          <w:sz w:val="24"/>
        </w:rPr>
        <w:t>All research staff working on the project</w:t>
      </w:r>
      <w:r>
        <w:rPr>
          <w:color w:val="000000"/>
          <w:sz w:val="24"/>
        </w:rPr>
        <w:t xml:space="preserve"> will</w:t>
      </w:r>
      <w:r w:rsidRPr="00396560">
        <w:rPr>
          <w:color w:val="000000"/>
          <w:sz w:val="24"/>
        </w:rPr>
        <w:t xml:space="preserve"> have been trained to protect private information and have </w:t>
      </w:r>
      <w:r>
        <w:rPr>
          <w:color w:val="000000"/>
          <w:sz w:val="24"/>
        </w:rPr>
        <w:t xml:space="preserve">completed an IRB-approved human subjects training course (through CITI) prior to beginning the data collection effort. </w:t>
      </w:r>
      <w:r w:rsidRPr="00396560">
        <w:rPr>
          <w:color w:val="000000"/>
          <w:sz w:val="24"/>
        </w:rPr>
        <w:t>The research team will not collect or keep any papers that contain</w:t>
      </w:r>
      <w:r>
        <w:rPr>
          <w:color w:val="000000"/>
          <w:sz w:val="24"/>
        </w:rPr>
        <w:t xml:space="preserve"> the </w:t>
      </w:r>
      <w:r w:rsidRPr="00396560">
        <w:rPr>
          <w:color w:val="000000"/>
          <w:sz w:val="24"/>
        </w:rPr>
        <w:t>names or other identifying information</w:t>
      </w:r>
      <w:r>
        <w:rPr>
          <w:color w:val="000000"/>
          <w:sz w:val="24"/>
        </w:rPr>
        <w:t xml:space="preserve"> for people served by the TPP projects</w:t>
      </w:r>
      <w:r w:rsidRPr="00396560">
        <w:rPr>
          <w:color w:val="000000"/>
          <w:sz w:val="24"/>
        </w:rPr>
        <w:t>.</w:t>
      </w:r>
      <w:r w:rsidRPr="00F3330A">
        <w:rPr>
          <w:color w:val="000000"/>
          <w:sz w:val="24"/>
        </w:rPr>
        <w:t xml:space="preserve"> </w:t>
      </w:r>
    </w:p>
    <w:p w:rsidR="00F3330A" w:rsidP="00745C43" w14:paraId="6963BAC3" w14:textId="14627450">
      <w:pPr>
        <w:spacing w:after="240"/>
        <w:rPr>
          <w:color w:val="000000"/>
          <w:sz w:val="24"/>
        </w:rPr>
      </w:pPr>
      <w:r>
        <w:rPr>
          <w:color w:val="000000"/>
          <w:sz w:val="24"/>
        </w:rPr>
        <w:t>To further ensure privacy is maintained, t</w:t>
      </w:r>
      <w:r w:rsidR="00B31EC1">
        <w:rPr>
          <w:color w:val="000000"/>
          <w:sz w:val="24"/>
        </w:rPr>
        <w:t xml:space="preserve">he research team will also </w:t>
      </w:r>
      <w:r>
        <w:rPr>
          <w:color w:val="000000"/>
          <w:sz w:val="24"/>
        </w:rPr>
        <w:t xml:space="preserve">complete a Data Security Plan that will be reviewed and approved by Abt’s Cyber Security team. The Data Security Plan will describe what types of data will be collected, where and how the data will be </w:t>
      </w:r>
      <w:r w:rsidR="00745C43">
        <w:rPr>
          <w:color w:val="000000"/>
          <w:sz w:val="24"/>
        </w:rPr>
        <w:t xml:space="preserve">transmitted and </w:t>
      </w:r>
      <w:r>
        <w:rPr>
          <w:color w:val="000000"/>
          <w:sz w:val="24"/>
        </w:rPr>
        <w:t xml:space="preserve">stored, </w:t>
      </w:r>
      <w:r w:rsidR="00745C43">
        <w:rPr>
          <w:color w:val="000000"/>
          <w:sz w:val="24"/>
        </w:rPr>
        <w:t xml:space="preserve">who has access to the data, and when and how the data will be destroyed. </w:t>
      </w:r>
    </w:p>
    <w:p w:rsidR="0072697D" w:rsidRPr="00373E2F" w:rsidP="00E20A93" w14:paraId="13D55666" w14:textId="2F35B66F">
      <w:pPr>
        <w:spacing w:after="240"/>
        <w:rPr>
          <w:color w:val="000000"/>
          <w:sz w:val="24"/>
        </w:rPr>
      </w:pPr>
      <w:r w:rsidRPr="00373E2F">
        <w:rPr>
          <w:color w:val="000000"/>
          <w:sz w:val="24"/>
        </w:rPr>
        <w:t xml:space="preserve">The study will not </w:t>
      </w:r>
      <w:r w:rsidR="00745C43">
        <w:rPr>
          <w:color w:val="000000"/>
          <w:sz w:val="24"/>
        </w:rPr>
        <w:t>ask</w:t>
      </w:r>
      <w:r w:rsidRPr="00373E2F">
        <w:rPr>
          <w:color w:val="000000"/>
          <w:sz w:val="24"/>
        </w:rPr>
        <w:t xml:space="preserve"> any sensitive questions. </w:t>
      </w:r>
    </w:p>
    <w:p w:rsidR="00106FAB" w:rsidRPr="00A11C35" w:rsidP="00E20A93" w14:paraId="7A6049BD" w14:textId="22B5310E">
      <w:pPr>
        <w:tabs>
          <w:tab w:val="left" w:pos="270"/>
        </w:tabs>
        <w:spacing w:after="240"/>
        <w:rPr>
          <w:sz w:val="24"/>
        </w:rPr>
      </w:pPr>
      <w:r w:rsidRPr="00A11C35">
        <w:rPr>
          <w:sz w:val="24"/>
        </w:rPr>
        <w:t xml:space="preserve">Youth under age 18 </w:t>
      </w:r>
      <w:r w:rsidRPr="00A11C35" w:rsidR="00460838">
        <w:rPr>
          <w:sz w:val="24"/>
        </w:rPr>
        <w:t xml:space="preserve">will not participate in any direct data collection through </w:t>
      </w:r>
      <w:r w:rsidR="00C61FA6">
        <w:rPr>
          <w:sz w:val="24"/>
        </w:rPr>
        <w:t xml:space="preserve">the implementation study </w:t>
      </w:r>
      <w:r w:rsidRPr="00A11C35" w:rsidR="00460838">
        <w:rPr>
          <w:sz w:val="24"/>
        </w:rPr>
        <w:t>interviews.</w:t>
      </w:r>
      <w:r w:rsidR="000C1F20">
        <w:rPr>
          <w:sz w:val="24"/>
        </w:rPr>
        <w:t xml:space="preserve"> </w:t>
      </w:r>
    </w:p>
    <w:p w:rsidR="0098164F" w:rsidRPr="00373E2F" w:rsidP="00E20A93" w14:paraId="5AF9CAD3" w14:textId="77777777">
      <w:pPr>
        <w:numPr>
          <w:ilvl w:val="0"/>
          <w:numId w:val="2"/>
        </w:numPr>
        <w:tabs>
          <w:tab w:val="num" w:pos="450"/>
          <w:tab w:val="clear" w:pos="1080"/>
        </w:tabs>
        <w:ind w:hanging="1080"/>
        <w:rPr>
          <w:b/>
          <w:color w:val="000000"/>
          <w:sz w:val="24"/>
        </w:rPr>
      </w:pPr>
      <w:r w:rsidRPr="00373E2F">
        <w:rPr>
          <w:b/>
          <w:color w:val="000000"/>
          <w:sz w:val="24"/>
        </w:rPr>
        <w:t>Justification for Sensitive Questions</w:t>
      </w:r>
    </w:p>
    <w:p w:rsidR="00EC717A" w:rsidRPr="006B791B" w14:paraId="3BE6E189" w14:textId="77777777">
      <w:pPr>
        <w:ind w:left="360"/>
        <w:rPr>
          <w:color w:val="2F5496"/>
          <w:sz w:val="24"/>
        </w:rPr>
      </w:pPr>
    </w:p>
    <w:p w:rsidR="0098164F" w:rsidRPr="006B791B" w:rsidP="00E20A93" w14:paraId="2367194A" w14:textId="77777777">
      <w:pPr>
        <w:rPr>
          <w:color w:val="2F5496"/>
          <w:sz w:val="24"/>
        </w:rPr>
      </w:pPr>
      <w:r w:rsidRPr="00373E2F">
        <w:rPr>
          <w:color w:val="000000"/>
          <w:sz w:val="24"/>
        </w:rPr>
        <w:t>The interview protocols do not contain sensitive questions. Interview</w:t>
      </w:r>
      <w:r w:rsidRPr="00373E2F" w:rsidR="00F167F6">
        <w:rPr>
          <w:color w:val="000000"/>
          <w:sz w:val="24"/>
        </w:rPr>
        <w:t xml:space="preserve">s will </w:t>
      </w:r>
      <w:r w:rsidRPr="00373E2F">
        <w:rPr>
          <w:color w:val="000000"/>
          <w:sz w:val="24"/>
        </w:rPr>
        <w:t xml:space="preserve">focus on </w:t>
      </w:r>
      <w:r w:rsidRPr="00373E2F" w:rsidR="00B87DA5">
        <w:rPr>
          <w:color w:val="000000"/>
          <w:sz w:val="24"/>
        </w:rPr>
        <w:t>components of each Tier 1 and Tier 2 grant project, interviewee experiences with planning and implementing the grant, reflections on these experiences, and lessons learned</w:t>
      </w:r>
      <w:r w:rsidRPr="006B791B" w:rsidR="00F167F6">
        <w:rPr>
          <w:color w:val="2F5496"/>
          <w:sz w:val="24"/>
        </w:rPr>
        <w:t xml:space="preserve"> </w:t>
      </w:r>
    </w:p>
    <w:p w:rsidR="00EC717A" w:rsidRPr="006B791B" w14:paraId="45420187" w14:textId="77777777">
      <w:pPr>
        <w:ind w:left="360"/>
        <w:rPr>
          <w:color w:val="2F5496"/>
          <w:sz w:val="24"/>
        </w:rPr>
      </w:pPr>
    </w:p>
    <w:p w:rsidR="0098164F" w:rsidRPr="00373E2F" w:rsidP="00E20A93" w14:paraId="10416320" w14:textId="77777777">
      <w:pPr>
        <w:numPr>
          <w:ilvl w:val="0"/>
          <w:numId w:val="2"/>
        </w:numPr>
        <w:tabs>
          <w:tab w:val="num" w:pos="450"/>
          <w:tab w:val="clear" w:pos="1080"/>
        </w:tabs>
        <w:ind w:hanging="1080"/>
        <w:rPr>
          <w:color w:val="000000"/>
          <w:sz w:val="24"/>
        </w:rPr>
      </w:pPr>
      <w:r w:rsidRPr="00373E2F">
        <w:rPr>
          <w:b/>
          <w:color w:val="000000"/>
          <w:sz w:val="24"/>
        </w:rPr>
        <w:t xml:space="preserve">Estimates of Annualized Hour and Cost Burden  </w:t>
      </w:r>
    </w:p>
    <w:p w:rsidR="00302D75" w:rsidRPr="00373E2F" w:rsidP="00302D75" w14:paraId="37847640" w14:textId="77777777">
      <w:pPr>
        <w:widowControl/>
        <w:ind w:left="1350" w:hanging="450"/>
        <w:rPr>
          <w:color w:val="000000"/>
          <w:sz w:val="24"/>
        </w:rPr>
      </w:pPr>
    </w:p>
    <w:p w:rsidR="00815A78" w:rsidRPr="00373E2F" w:rsidP="008D57D5" w14:paraId="6FB954DB" w14:textId="77777777">
      <w:pPr>
        <w:widowControl/>
        <w:rPr>
          <w:color w:val="000000"/>
          <w:sz w:val="24"/>
        </w:rPr>
      </w:pPr>
      <w:r w:rsidRPr="00373E2F">
        <w:rPr>
          <w:color w:val="000000"/>
          <w:sz w:val="24"/>
        </w:rPr>
        <w:t>A</w:t>
      </w:r>
      <w:r w:rsidRPr="00373E2F">
        <w:rPr>
          <w:color w:val="000000"/>
          <w:sz w:val="24"/>
        </w:rPr>
        <w:t xml:space="preserve"> single data collection per individual is anticipated. </w:t>
      </w:r>
      <w:r w:rsidRPr="00373E2F" w:rsidR="00543D08">
        <w:rPr>
          <w:color w:val="000000"/>
          <w:sz w:val="24"/>
        </w:rPr>
        <w:t xml:space="preserve">Based on experience with similar protocols and respondents, </w:t>
      </w:r>
      <w:r w:rsidRPr="00373E2F" w:rsidR="00B87DA5">
        <w:rPr>
          <w:color w:val="000000"/>
          <w:sz w:val="24"/>
        </w:rPr>
        <w:t>two hours are</w:t>
      </w:r>
      <w:r w:rsidRPr="00373E2F">
        <w:rPr>
          <w:color w:val="000000"/>
          <w:sz w:val="24"/>
        </w:rPr>
        <w:t xml:space="preserve"> allotted for each </w:t>
      </w:r>
      <w:r w:rsidRPr="00373E2F" w:rsidR="00B87DA5">
        <w:rPr>
          <w:color w:val="000000"/>
          <w:sz w:val="24"/>
        </w:rPr>
        <w:t xml:space="preserve">grantee interview and 90 minutes are allocated for each implementation partner </w:t>
      </w:r>
      <w:r w:rsidRPr="0013559F" w:rsidR="00B87DA5">
        <w:rPr>
          <w:color w:val="000000"/>
          <w:sz w:val="24"/>
        </w:rPr>
        <w:t xml:space="preserve">interview. </w:t>
      </w:r>
      <w:r w:rsidRPr="0013559F" w:rsidR="00543D08">
        <w:rPr>
          <w:color w:val="000000"/>
          <w:sz w:val="24"/>
        </w:rPr>
        <w:t>The total burden for this data collection is estimat</w:t>
      </w:r>
      <w:r w:rsidRPr="0013559F" w:rsidR="00A972FF">
        <w:rPr>
          <w:color w:val="000000"/>
          <w:sz w:val="24"/>
        </w:rPr>
        <w:t xml:space="preserve">ed to be </w:t>
      </w:r>
      <w:r w:rsidRPr="0013559F" w:rsidR="0013559F">
        <w:rPr>
          <w:color w:val="000000"/>
          <w:sz w:val="24"/>
        </w:rPr>
        <w:t>388</w:t>
      </w:r>
      <w:r w:rsidRPr="0013559F" w:rsidR="00A972FF">
        <w:rPr>
          <w:color w:val="000000"/>
          <w:sz w:val="24"/>
        </w:rPr>
        <w:t xml:space="preserve"> hours</w:t>
      </w:r>
      <w:r w:rsidRPr="0013559F" w:rsidR="008D57D5">
        <w:rPr>
          <w:color w:val="000000"/>
          <w:sz w:val="24"/>
        </w:rPr>
        <w:t xml:space="preserve">, with a total cost of </w:t>
      </w:r>
      <w:r w:rsidRPr="0013559F" w:rsidR="0013559F">
        <w:rPr>
          <w:color w:val="000000"/>
          <w:sz w:val="24"/>
        </w:rPr>
        <w:t>$16,</w:t>
      </w:r>
      <w:r w:rsidR="00442AF6">
        <w:rPr>
          <w:color w:val="000000"/>
          <w:sz w:val="24"/>
        </w:rPr>
        <w:t>693.44</w:t>
      </w:r>
      <w:r w:rsidRPr="0013559F" w:rsidR="0013559F">
        <w:rPr>
          <w:color w:val="000000"/>
          <w:sz w:val="24"/>
        </w:rPr>
        <w:t xml:space="preserve"> </w:t>
      </w:r>
      <w:r w:rsidRPr="0013559F" w:rsidR="008D57D5">
        <w:rPr>
          <w:color w:val="000000"/>
          <w:sz w:val="24"/>
        </w:rPr>
        <w:t>(please see Tables 12.1 and 12.2)</w:t>
      </w:r>
      <w:r w:rsidRPr="0013559F" w:rsidR="00A972FF">
        <w:rPr>
          <w:color w:val="000000"/>
          <w:sz w:val="24"/>
        </w:rPr>
        <w:t>.</w:t>
      </w:r>
      <w:r w:rsidRPr="00373E2F" w:rsidR="00A972FF">
        <w:rPr>
          <w:color w:val="000000"/>
          <w:sz w:val="24"/>
        </w:rPr>
        <w:t xml:space="preserve"> </w:t>
      </w:r>
    </w:p>
    <w:p w:rsidR="00543D08" w:rsidRPr="00084AD5" w:rsidP="008D57D5" w14:paraId="33F94D12" w14:textId="1C27BC7B">
      <w:pPr>
        <w:widowControl/>
        <w:rPr>
          <w:b/>
          <w:sz w:val="24"/>
        </w:rPr>
      </w:pPr>
      <w:r w:rsidRPr="00373E2F">
        <w:rPr>
          <w:color w:val="000000"/>
          <w:sz w:val="24"/>
        </w:rPr>
        <w:br w:type="page"/>
      </w:r>
      <w:r w:rsidRPr="00084AD5" w:rsidR="009636C3">
        <w:rPr>
          <w:b/>
          <w:sz w:val="24"/>
        </w:rPr>
        <w:t xml:space="preserve">Table </w:t>
      </w:r>
      <w:r w:rsidRPr="00084AD5">
        <w:rPr>
          <w:b/>
          <w:sz w:val="24"/>
        </w:rPr>
        <w:t>A</w:t>
      </w:r>
      <w:r w:rsidRPr="00084AD5" w:rsidR="009636C3">
        <w:rPr>
          <w:b/>
          <w:sz w:val="24"/>
        </w:rPr>
        <w:t>12</w:t>
      </w:r>
      <w:r w:rsidRPr="00084AD5">
        <w:rPr>
          <w:b/>
          <w:sz w:val="24"/>
        </w:rPr>
        <w:t>.</w:t>
      </w:r>
      <w:r w:rsidR="00BB521D">
        <w:rPr>
          <w:b/>
          <w:sz w:val="24"/>
        </w:rPr>
        <w:t>A</w:t>
      </w:r>
      <w:r w:rsidRPr="00084AD5">
        <w:rPr>
          <w:b/>
          <w:sz w:val="24"/>
        </w:rPr>
        <w:t xml:space="preserve">.   Calculations of Burden Hours for </w:t>
      </w:r>
      <w:r w:rsidRPr="00084AD5">
        <w:rPr>
          <w:b/>
          <w:sz w:val="24"/>
        </w:rPr>
        <w:t xml:space="preserve">Implementation Study </w:t>
      </w:r>
      <w:r w:rsidRPr="00084AD5">
        <w:rPr>
          <w:b/>
          <w:sz w:val="24"/>
        </w:rPr>
        <w:t>Participa</w:t>
      </w:r>
      <w:r w:rsidRPr="00084AD5" w:rsidR="00684990">
        <w:rPr>
          <w:b/>
          <w:sz w:val="24"/>
        </w:rPr>
        <w:t xml:space="preserv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1572"/>
        <w:gridCol w:w="1523"/>
        <w:gridCol w:w="1430"/>
        <w:gridCol w:w="1424"/>
        <w:gridCol w:w="1896"/>
      </w:tblGrid>
      <w:tr w14:paraId="73A92355" w14:textId="77777777" w:rsidTr="008D57D5">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43" w:type="dxa"/>
            <w:shd w:val="clear" w:color="auto" w:fill="auto"/>
          </w:tcPr>
          <w:p w:rsidR="0098164F" w:rsidRPr="00084AD5" w:rsidP="008D57D5" w14:paraId="7E0E7A96" w14:textId="77777777">
            <w:pPr>
              <w:widowControl/>
              <w:jc w:val="center"/>
              <w:rPr>
                <w:rFonts w:ascii="Arial" w:hAnsi="Arial" w:cs="Arial"/>
                <w:b/>
                <w:bCs/>
                <w:szCs w:val="20"/>
              </w:rPr>
            </w:pPr>
            <w:r w:rsidRPr="00084AD5">
              <w:rPr>
                <w:rFonts w:ascii="Arial" w:hAnsi="Arial" w:cs="Arial"/>
                <w:b/>
                <w:bCs/>
                <w:szCs w:val="20"/>
              </w:rPr>
              <w:t>Type of</w:t>
            </w:r>
          </w:p>
          <w:p w:rsidR="0098164F" w:rsidRPr="00084AD5" w:rsidP="008D57D5" w14:paraId="0C81BE89" w14:textId="77777777">
            <w:pPr>
              <w:widowControl/>
              <w:jc w:val="center"/>
              <w:rPr>
                <w:rFonts w:ascii="Arial" w:hAnsi="Arial" w:cs="Arial"/>
                <w:b/>
                <w:bCs/>
                <w:szCs w:val="20"/>
              </w:rPr>
            </w:pPr>
            <w:r w:rsidRPr="00084AD5">
              <w:rPr>
                <w:rFonts w:ascii="Arial" w:hAnsi="Arial" w:cs="Arial"/>
                <w:b/>
                <w:bCs/>
                <w:szCs w:val="20"/>
              </w:rPr>
              <w:t>Respondent</w:t>
            </w:r>
          </w:p>
          <w:p w:rsidR="0098164F" w:rsidRPr="00084AD5" w:rsidP="0098164F" w14:paraId="687752ED" w14:textId="77777777">
            <w:pPr>
              <w:widowControl/>
              <w:rPr>
                <w:rFonts w:ascii="Arial" w:hAnsi="Arial" w:cs="Arial"/>
                <w:b/>
                <w:bCs/>
                <w:szCs w:val="20"/>
              </w:rPr>
            </w:pPr>
          </w:p>
        </w:tc>
        <w:tc>
          <w:tcPr>
            <w:tcW w:w="1572" w:type="dxa"/>
            <w:shd w:val="clear" w:color="auto" w:fill="auto"/>
          </w:tcPr>
          <w:p w:rsidR="0098164F" w:rsidRPr="00084AD5" w:rsidP="008D57D5" w14:paraId="44B5410A" w14:textId="77777777">
            <w:pPr>
              <w:widowControl/>
              <w:jc w:val="center"/>
              <w:rPr>
                <w:rFonts w:ascii="Arial" w:hAnsi="Arial" w:cs="Arial"/>
                <w:b/>
                <w:bCs/>
                <w:szCs w:val="20"/>
              </w:rPr>
            </w:pPr>
            <w:r w:rsidRPr="00084AD5">
              <w:rPr>
                <w:rFonts w:ascii="Arial" w:hAnsi="Arial" w:cs="Arial"/>
                <w:b/>
                <w:bCs/>
                <w:szCs w:val="20"/>
              </w:rPr>
              <w:t>Form</w:t>
            </w:r>
          </w:p>
          <w:p w:rsidR="0098164F" w:rsidRPr="00084AD5" w:rsidP="008D57D5" w14:paraId="788CE888" w14:textId="77777777">
            <w:pPr>
              <w:widowControl/>
              <w:jc w:val="center"/>
              <w:rPr>
                <w:rFonts w:ascii="Arial" w:hAnsi="Arial" w:cs="Arial"/>
                <w:b/>
                <w:bCs/>
                <w:szCs w:val="20"/>
              </w:rPr>
            </w:pPr>
            <w:r w:rsidRPr="00084AD5">
              <w:rPr>
                <w:rFonts w:ascii="Arial" w:hAnsi="Arial" w:cs="Arial"/>
                <w:b/>
                <w:bCs/>
                <w:szCs w:val="20"/>
              </w:rPr>
              <w:t>Name</w:t>
            </w:r>
          </w:p>
          <w:p w:rsidR="0098164F" w:rsidRPr="00084AD5" w:rsidP="008D57D5" w14:paraId="50C1A9AF" w14:textId="77777777">
            <w:pPr>
              <w:widowControl/>
              <w:jc w:val="center"/>
              <w:rPr>
                <w:rFonts w:ascii="Arial" w:hAnsi="Arial" w:cs="Arial"/>
                <w:b/>
                <w:bCs/>
                <w:szCs w:val="20"/>
              </w:rPr>
            </w:pPr>
          </w:p>
        </w:tc>
        <w:tc>
          <w:tcPr>
            <w:tcW w:w="1523" w:type="dxa"/>
            <w:shd w:val="clear" w:color="auto" w:fill="auto"/>
          </w:tcPr>
          <w:p w:rsidR="0098164F" w:rsidRPr="00084AD5" w:rsidP="008D57D5" w14:paraId="30977737" w14:textId="77777777">
            <w:pPr>
              <w:widowControl/>
              <w:jc w:val="center"/>
              <w:rPr>
                <w:rFonts w:ascii="Arial" w:hAnsi="Arial" w:cs="Arial"/>
                <w:b/>
                <w:bCs/>
                <w:szCs w:val="20"/>
              </w:rPr>
            </w:pPr>
            <w:r w:rsidRPr="00084AD5">
              <w:rPr>
                <w:rFonts w:ascii="Arial" w:hAnsi="Arial" w:cs="Arial"/>
                <w:b/>
                <w:bCs/>
                <w:szCs w:val="20"/>
              </w:rPr>
              <w:t>No. of</w:t>
            </w:r>
          </w:p>
          <w:p w:rsidR="0098164F" w:rsidRPr="00084AD5" w:rsidP="008D57D5" w14:paraId="3DC54E40" w14:textId="77777777">
            <w:pPr>
              <w:widowControl/>
              <w:jc w:val="center"/>
              <w:rPr>
                <w:rFonts w:ascii="Arial" w:hAnsi="Arial" w:cs="Arial"/>
                <w:b/>
                <w:bCs/>
                <w:szCs w:val="20"/>
              </w:rPr>
            </w:pPr>
            <w:r w:rsidRPr="00084AD5">
              <w:rPr>
                <w:rFonts w:ascii="Arial" w:hAnsi="Arial" w:cs="Arial"/>
                <w:b/>
                <w:bCs/>
                <w:szCs w:val="20"/>
              </w:rPr>
              <w:t>Respondents</w:t>
            </w:r>
          </w:p>
        </w:tc>
        <w:tc>
          <w:tcPr>
            <w:tcW w:w="1430" w:type="dxa"/>
            <w:shd w:val="clear" w:color="auto" w:fill="auto"/>
          </w:tcPr>
          <w:p w:rsidR="0098164F" w:rsidRPr="00084AD5" w:rsidP="008D57D5" w14:paraId="5557BBD9" w14:textId="77777777">
            <w:pPr>
              <w:widowControl/>
              <w:jc w:val="center"/>
              <w:rPr>
                <w:rFonts w:ascii="Arial" w:hAnsi="Arial" w:cs="Arial"/>
                <w:b/>
                <w:bCs/>
                <w:szCs w:val="20"/>
              </w:rPr>
            </w:pPr>
            <w:r w:rsidRPr="00084AD5">
              <w:rPr>
                <w:rFonts w:ascii="Arial" w:hAnsi="Arial" w:cs="Arial"/>
                <w:b/>
                <w:bCs/>
                <w:szCs w:val="20"/>
              </w:rPr>
              <w:t>No.</w:t>
            </w:r>
          </w:p>
          <w:p w:rsidR="0098164F" w:rsidRPr="00084AD5" w:rsidP="008D57D5" w14:paraId="21CE626E" w14:textId="77777777">
            <w:pPr>
              <w:widowControl/>
              <w:jc w:val="center"/>
              <w:rPr>
                <w:rFonts w:ascii="Arial" w:hAnsi="Arial" w:cs="Arial"/>
                <w:b/>
                <w:bCs/>
                <w:szCs w:val="20"/>
              </w:rPr>
            </w:pPr>
            <w:r w:rsidRPr="00084AD5">
              <w:rPr>
                <w:rFonts w:ascii="Arial" w:hAnsi="Arial" w:cs="Arial"/>
                <w:b/>
                <w:bCs/>
                <w:szCs w:val="20"/>
              </w:rPr>
              <w:t>Responses</w:t>
            </w:r>
          </w:p>
          <w:p w:rsidR="0098164F" w:rsidRPr="00084AD5" w:rsidP="008D57D5" w14:paraId="05A2CD56" w14:textId="77777777">
            <w:pPr>
              <w:widowControl/>
              <w:jc w:val="center"/>
              <w:rPr>
                <w:rFonts w:ascii="Arial" w:hAnsi="Arial" w:cs="Arial"/>
                <w:b/>
                <w:bCs/>
                <w:szCs w:val="20"/>
              </w:rPr>
            </w:pPr>
            <w:r w:rsidRPr="00084AD5">
              <w:rPr>
                <w:rFonts w:ascii="Arial" w:hAnsi="Arial" w:cs="Arial"/>
                <w:b/>
                <w:bCs/>
                <w:szCs w:val="20"/>
              </w:rPr>
              <w:t>per</w:t>
            </w:r>
          </w:p>
          <w:p w:rsidR="0098164F" w:rsidRPr="00084AD5" w:rsidP="008D57D5" w14:paraId="51AC18A2" w14:textId="77777777">
            <w:pPr>
              <w:widowControl/>
              <w:jc w:val="center"/>
              <w:rPr>
                <w:rFonts w:ascii="Arial" w:hAnsi="Arial" w:cs="Arial"/>
                <w:b/>
                <w:bCs/>
                <w:szCs w:val="20"/>
              </w:rPr>
            </w:pPr>
            <w:r w:rsidRPr="00084AD5">
              <w:rPr>
                <w:rFonts w:ascii="Arial" w:hAnsi="Arial" w:cs="Arial"/>
                <w:b/>
                <w:bCs/>
                <w:szCs w:val="20"/>
              </w:rPr>
              <w:t>Respondent</w:t>
            </w:r>
          </w:p>
        </w:tc>
        <w:tc>
          <w:tcPr>
            <w:tcW w:w="1424" w:type="dxa"/>
            <w:shd w:val="clear" w:color="auto" w:fill="auto"/>
          </w:tcPr>
          <w:p w:rsidR="0098164F" w:rsidRPr="00084AD5" w:rsidP="008D57D5" w14:paraId="5239E820" w14:textId="77777777">
            <w:pPr>
              <w:widowControl/>
              <w:jc w:val="center"/>
              <w:rPr>
                <w:rFonts w:ascii="Arial" w:hAnsi="Arial" w:cs="Arial"/>
                <w:b/>
                <w:bCs/>
                <w:szCs w:val="20"/>
              </w:rPr>
            </w:pPr>
            <w:r w:rsidRPr="00084AD5">
              <w:rPr>
                <w:rFonts w:ascii="Arial" w:hAnsi="Arial" w:cs="Arial"/>
                <w:b/>
                <w:bCs/>
                <w:szCs w:val="20"/>
              </w:rPr>
              <w:t>Average</w:t>
            </w:r>
          </w:p>
          <w:p w:rsidR="0098164F" w:rsidRPr="00084AD5" w:rsidP="008D57D5" w14:paraId="128AF556" w14:textId="77777777">
            <w:pPr>
              <w:widowControl/>
              <w:jc w:val="center"/>
              <w:rPr>
                <w:rFonts w:ascii="Arial" w:hAnsi="Arial" w:cs="Arial"/>
                <w:b/>
                <w:bCs/>
                <w:szCs w:val="20"/>
              </w:rPr>
            </w:pPr>
            <w:r w:rsidRPr="00084AD5">
              <w:rPr>
                <w:rFonts w:ascii="Arial" w:hAnsi="Arial" w:cs="Arial"/>
                <w:b/>
                <w:bCs/>
                <w:szCs w:val="20"/>
              </w:rPr>
              <w:t>Burden per</w:t>
            </w:r>
          </w:p>
          <w:p w:rsidR="0098164F" w:rsidRPr="00084AD5" w:rsidP="008D57D5" w14:paraId="77F29252" w14:textId="77777777">
            <w:pPr>
              <w:widowControl/>
              <w:jc w:val="center"/>
              <w:rPr>
                <w:rFonts w:ascii="Arial" w:hAnsi="Arial" w:cs="Arial"/>
                <w:b/>
                <w:bCs/>
                <w:szCs w:val="20"/>
              </w:rPr>
            </w:pPr>
            <w:r w:rsidRPr="00084AD5">
              <w:rPr>
                <w:rFonts w:ascii="Arial" w:hAnsi="Arial" w:cs="Arial"/>
                <w:b/>
                <w:bCs/>
                <w:szCs w:val="20"/>
              </w:rPr>
              <w:t>Response</w:t>
            </w:r>
          </w:p>
          <w:p w:rsidR="0098164F" w:rsidRPr="00084AD5" w:rsidP="008D57D5" w14:paraId="2FE448D4" w14:textId="77777777">
            <w:pPr>
              <w:widowControl/>
              <w:jc w:val="center"/>
              <w:rPr>
                <w:rFonts w:ascii="Arial" w:hAnsi="Arial" w:cs="Arial"/>
                <w:b/>
                <w:bCs/>
                <w:szCs w:val="20"/>
              </w:rPr>
            </w:pPr>
            <w:r w:rsidRPr="00084AD5">
              <w:rPr>
                <w:rFonts w:ascii="Arial" w:hAnsi="Arial" w:cs="Arial"/>
                <w:b/>
                <w:bCs/>
                <w:szCs w:val="20"/>
              </w:rPr>
              <w:t>(</w:t>
            </w:r>
            <w:r w:rsidRPr="00084AD5">
              <w:rPr>
                <w:rFonts w:ascii="Arial" w:hAnsi="Arial" w:cs="Arial"/>
                <w:b/>
                <w:bCs/>
                <w:szCs w:val="20"/>
              </w:rPr>
              <w:t>in</w:t>
            </w:r>
            <w:r w:rsidRPr="00084AD5">
              <w:rPr>
                <w:rFonts w:ascii="Arial" w:hAnsi="Arial" w:cs="Arial"/>
                <w:b/>
                <w:bCs/>
                <w:szCs w:val="20"/>
              </w:rPr>
              <w:t xml:space="preserve"> hours)</w:t>
            </w:r>
          </w:p>
        </w:tc>
        <w:tc>
          <w:tcPr>
            <w:tcW w:w="1896" w:type="dxa"/>
            <w:shd w:val="clear" w:color="auto" w:fill="auto"/>
          </w:tcPr>
          <w:p w:rsidR="0098164F" w:rsidRPr="00084AD5" w:rsidP="008D57D5" w14:paraId="63CABC5D" w14:textId="77777777">
            <w:pPr>
              <w:widowControl/>
              <w:jc w:val="center"/>
              <w:rPr>
                <w:rFonts w:ascii="Arial" w:hAnsi="Arial" w:cs="Arial"/>
                <w:b/>
                <w:bCs/>
                <w:szCs w:val="20"/>
              </w:rPr>
            </w:pPr>
            <w:r w:rsidRPr="00084AD5">
              <w:rPr>
                <w:rFonts w:ascii="Arial" w:hAnsi="Arial" w:cs="Arial"/>
                <w:b/>
                <w:bCs/>
                <w:szCs w:val="20"/>
              </w:rPr>
              <w:t>Total Burden Hours</w:t>
            </w:r>
          </w:p>
        </w:tc>
      </w:tr>
      <w:tr w14:paraId="6516335D" w14:textId="77777777" w:rsidTr="008D57D5">
        <w:tblPrEx>
          <w:tblW w:w="9288" w:type="dxa"/>
          <w:tblLook w:val="01E0"/>
        </w:tblPrEx>
        <w:tc>
          <w:tcPr>
            <w:tcW w:w="1443" w:type="dxa"/>
            <w:shd w:val="clear" w:color="auto" w:fill="auto"/>
          </w:tcPr>
          <w:p w:rsidR="009D1D09" w:rsidRPr="000E0739" w:rsidP="009D1D09" w14:paraId="3ABD7522" w14:textId="77777777">
            <w:pPr>
              <w:widowControl/>
              <w:rPr>
                <w:rFonts w:ascii="Arial" w:hAnsi="Arial" w:cs="Arial"/>
                <w:szCs w:val="20"/>
              </w:rPr>
            </w:pPr>
            <w:r w:rsidRPr="000E0739">
              <w:rPr>
                <w:rFonts w:ascii="Arial" w:hAnsi="Arial" w:cs="Arial"/>
                <w:szCs w:val="20"/>
              </w:rPr>
              <w:t>Tier 1 Grantee Staff</w:t>
            </w:r>
          </w:p>
        </w:tc>
        <w:tc>
          <w:tcPr>
            <w:tcW w:w="1572" w:type="dxa"/>
            <w:shd w:val="clear" w:color="auto" w:fill="auto"/>
          </w:tcPr>
          <w:p w:rsidR="009D1D09" w:rsidRPr="00084AD5" w:rsidP="009D1D09" w14:paraId="11435991" w14:textId="77777777">
            <w:pPr>
              <w:widowControl/>
              <w:jc w:val="center"/>
              <w:rPr>
                <w:rFonts w:ascii="Arial" w:hAnsi="Arial" w:cs="Arial"/>
                <w:b/>
                <w:bCs/>
                <w:szCs w:val="20"/>
              </w:rPr>
            </w:pPr>
            <w:r w:rsidRPr="00084AD5">
              <w:rPr>
                <w:rFonts w:ascii="Arial" w:hAnsi="Arial" w:cs="Arial"/>
                <w:szCs w:val="20"/>
              </w:rPr>
              <w:t>Attachment A</w:t>
            </w:r>
          </w:p>
        </w:tc>
        <w:tc>
          <w:tcPr>
            <w:tcW w:w="1523" w:type="dxa"/>
            <w:shd w:val="clear" w:color="auto" w:fill="auto"/>
          </w:tcPr>
          <w:p w:rsidR="009D1D09" w:rsidRPr="00084AD5" w:rsidP="009D1D09" w14:paraId="5FCFDCB3" w14:textId="77777777">
            <w:pPr>
              <w:widowControl/>
              <w:jc w:val="center"/>
              <w:rPr>
                <w:rFonts w:ascii="Arial" w:hAnsi="Arial" w:cs="Arial"/>
                <w:szCs w:val="20"/>
              </w:rPr>
            </w:pPr>
            <w:r w:rsidRPr="00084AD5">
              <w:rPr>
                <w:rFonts w:ascii="Arial" w:hAnsi="Arial" w:cs="Arial"/>
                <w:szCs w:val="20"/>
              </w:rPr>
              <w:t xml:space="preserve">124 </w:t>
            </w:r>
          </w:p>
        </w:tc>
        <w:tc>
          <w:tcPr>
            <w:tcW w:w="1430" w:type="dxa"/>
            <w:shd w:val="clear" w:color="auto" w:fill="auto"/>
          </w:tcPr>
          <w:p w:rsidR="009D1D09" w:rsidRPr="00084AD5" w:rsidP="009D1D09" w14:paraId="4452B4BD" w14:textId="77777777">
            <w:pPr>
              <w:widowControl/>
              <w:jc w:val="center"/>
              <w:rPr>
                <w:rFonts w:ascii="Arial" w:hAnsi="Arial" w:cs="Arial"/>
                <w:b/>
                <w:bCs/>
                <w:szCs w:val="20"/>
              </w:rPr>
            </w:pPr>
            <w:r w:rsidRPr="00084AD5">
              <w:rPr>
                <w:rFonts w:ascii="Arial" w:hAnsi="Arial" w:cs="Arial"/>
                <w:szCs w:val="20"/>
              </w:rPr>
              <w:t>1</w:t>
            </w:r>
          </w:p>
        </w:tc>
        <w:tc>
          <w:tcPr>
            <w:tcW w:w="1424" w:type="dxa"/>
            <w:shd w:val="clear" w:color="auto" w:fill="auto"/>
          </w:tcPr>
          <w:p w:rsidR="009D1D09" w:rsidRPr="00084AD5" w:rsidP="009D1D09" w14:paraId="33EC9E36" w14:textId="1FB0C759">
            <w:pPr>
              <w:widowControl/>
              <w:jc w:val="center"/>
              <w:rPr>
                <w:rFonts w:ascii="Arial" w:hAnsi="Arial" w:cs="Arial"/>
                <w:szCs w:val="20"/>
              </w:rPr>
            </w:pPr>
            <w:r w:rsidRPr="00084AD5">
              <w:rPr>
                <w:rFonts w:ascii="Arial" w:hAnsi="Arial" w:cs="Arial"/>
                <w:szCs w:val="20"/>
              </w:rPr>
              <w:t>2</w:t>
            </w:r>
          </w:p>
        </w:tc>
        <w:tc>
          <w:tcPr>
            <w:tcW w:w="1896" w:type="dxa"/>
            <w:shd w:val="clear" w:color="auto" w:fill="auto"/>
          </w:tcPr>
          <w:p w:rsidR="009D1D09" w:rsidRPr="00084AD5" w:rsidP="009D1D09" w14:paraId="177E5882" w14:textId="77777777">
            <w:pPr>
              <w:widowControl/>
              <w:jc w:val="center"/>
              <w:rPr>
                <w:rFonts w:ascii="Arial" w:hAnsi="Arial" w:cs="Arial"/>
                <w:b/>
                <w:bCs/>
                <w:szCs w:val="20"/>
              </w:rPr>
            </w:pPr>
            <w:r>
              <w:rPr>
                <w:rFonts w:ascii="Arial" w:hAnsi="Arial" w:cs="Arial"/>
                <w:b/>
                <w:bCs/>
                <w:szCs w:val="20"/>
              </w:rPr>
              <w:t>248</w:t>
            </w:r>
          </w:p>
        </w:tc>
      </w:tr>
      <w:tr w14:paraId="360C252C" w14:textId="77777777" w:rsidTr="008D57D5">
        <w:tblPrEx>
          <w:tblW w:w="9288" w:type="dxa"/>
          <w:tblLook w:val="01E0"/>
        </w:tblPrEx>
        <w:tc>
          <w:tcPr>
            <w:tcW w:w="1443" w:type="dxa"/>
            <w:shd w:val="clear" w:color="auto" w:fill="auto"/>
          </w:tcPr>
          <w:p w:rsidR="009D1D09" w:rsidRPr="000E0739" w:rsidP="009D1D09" w14:paraId="1FBD6335" w14:textId="3B767EB8">
            <w:pPr>
              <w:widowControl/>
              <w:rPr>
                <w:rFonts w:ascii="Arial" w:hAnsi="Arial" w:cs="Arial"/>
                <w:szCs w:val="20"/>
              </w:rPr>
            </w:pPr>
            <w:r w:rsidRPr="000E0739">
              <w:rPr>
                <w:rFonts w:ascii="Arial" w:hAnsi="Arial" w:cs="Arial"/>
                <w:szCs w:val="20"/>
              </w:rPr>
              <w:t xml:space="preserve">Tier </w:t>
            </w:r>
            <w:r w:rsidR="001676E7">
              <w:rPr>
                <w:rFonts w:ascii="Arial" w:hAnsi="Arial" w:cs="Arial"/>
                <w:szCs w:val="20"/>
              </w:rPr>
              <w:t>1</w:t>
            </w:r>
            <w:r w:rsidRPr="000E0739" w:rsidR="001676E7">
              <w:rPr>
                <w:rFonts w:ascii="Arial" w:hAnsi="Arial" w:cs="Arial"/>
                <w:szCs w:val="20"/>
              </w:rPr>
              <w:t xml:space="preserve"> </w:t>
            </w:r>
            <w:r w:rsidRPr="000E0739">
              <w:rPr>
                <w:rFonts w:ascii="Arial" w:hAnsi="Arial" w:cs="Arial"/>
                <w:szCs w:val="20"/>
              </w:rPr>
              <w:t>Partner Staff</w:t>
            </w:r>
          </w:p>
        </w:tc>
        <w:tc>
          <w:tcPr>
            <w:tcW w:w="1572" w:type="dxa"/>
            <w:shd w:val="clear" w:color="auto" w:fill="auto"/>
          </w:tcPr>
          <w:p w:rsidR="009D1D09" w:rsidRPr="00084AD5" w:rsidP="009D1D09" w14:paraId="3F93BBB9" w14:textId="77777777">
            <w:pPr>
              <w:widowControl/>
              <w:jc w:val="center"/>
              <w:rPr>
                <w:rFonts w:ascii="Arial" w:hAnsi="Arial" w:cs="Arial"/>
                <w:b/>
                <w:bCs/>
                <w:szCs w:val="20"/>
              </w:rPr>
            </w:pPr>
            <w:r w:rsidRPr="00084AD5">
              <w:rPr>
                <w:rFonts w:ascii="Arial" w:hAnsi="Arial" w:cs="Arial"/>
                <w:szCs w:val="20"/>
              </w:rPr>
              <w:t>Attachment B</w:t>
            </w:r>
          </w:p>
        </w:tc>
        <w:tc>
          <w:tcPr>
            <w:tcW w:w="1523" w:type="dxa"/>
            <w:shd w:val="clear" w:color="auto" w:fill="auto"/>
          </w:tcPr>
          <w:p w:rsidR="009D1D09" w:rsidRPr="00084AD5" w:rsidP="009D1D09" w14:paraId="21958F63" w14:textId="77777777">
            <w:pPr>
              <w:widowControl/>
              <w:jc w:val="center"/>
              <w:rPr>
                <w:rFonts w:ascii="Arial" w:hAnsi="Arial" w:cs="Arial"/>
                <w:szCs w:val="20"/>
              </w:rPr>
            </w:pPr>
            <w:r w:rsidRPr="00084AD5">
              <w:rPr>
                <w:rFonts w:ascii="Arial" w:hAnsi="Arial" w:cs="Arial"/>
                <w:szCs w:val="20"/>
              </w:rPr>
              <w:t xml:space="preserve">62 </w:t>
            </w:r>
          </w:p>
        </w:tc>
        <w:tc>
          <w:tcPr>
            <w:tcW w:w="1430" w:type="dxa"/>
            <w:shd w:val="clear" w:color="auto" w:fill="auto"/>
          </w:tcPr>
          <w:p w:rsidR="009D1D09" w:rsidRPr="00084AD5" w:rsidP="009D1D09" w14:paraId="01AA8104" w14:textId="77777777">
            <w:pPr>
              <w:widowControl/>
              <w:jc w:val="center"/>
              <w:rPr>
                <w:rFonts w:ascii="Arial" w:hAnsi="Arial" w:cs="Arial"/>
                <w:b/>
                <w:bCs/>
                <w:szCs w:val="20"/>
              </w:rPr>
            </w:pPr>
            <w:r w:rsidRPr="00084AD5">
              <w:rPr>
                <w:rFonts w:ascii="Arial" w:hAnsi="Arial" w:cs="Arial"/>
                <w:szCs w:val="20"/>
              </w:rPr>
              <w:t>1</w:t>
            </w:r>
          </w:p>
        </w:tc>
        <w:tc>
          <w:tcPr>
            <w:tcW w:w="1424" w:type="dxa"/>
            <w:shd w:val="clear" w:color="auto" w:fill="auto"/>
          </w:tcPr>
          <w:p w:rsidR="009D1D09" w:rsidRPr="00084AD5" w:rsidP="009D1D09" w14:paraId="052424D6" w14:textId="23B670F5">
            <w:pPr>
              <w:widowControl/>
              <w:jc w:val="center"/>
              <w:rPr>
                <w:rFonts w:ascii="Arial" w:hAnsi="Arial" w:cs="Arial"/>
                <w:b/>
                <w:bCs/>
                <w:szCs w:val="20"/>
              </w:rPr>
            </w:pPr>
            <w:r w:rsidRPr="00084AD5">
              <w:rPr>
                <w:rFonts w:ascii="Arial" w:hAnsi="Arial" w:cs="Arial"/>
                <w:szCs w:val="20"/>
              </w:rPr>
              <w:t>1</w:t>
            </w:r>
          </w:p>
        </w:tc>
        <w:tc>
          <w:tcPr>
            <w:tcW w:w="1896" w:type="dxa"/>
            <w:shd w:val="clear" w:color="auto" w:fill="auto"/>
          </w:tcPr>
          <w:p w:rsidR="009D1D09" w:rsidRPr="00084AD5" w:rsidP="009D1D09" w14:paraId="56A5E9EE" w14:textId="77777777">
            <w:pPr>
              <w:widowControl/>
              <w:jc w:val="center"/>
              <w:rPr>
                <w:rFonts w:ascii="Arial" w:hAnsi="Arial" w:cs="Arial"/>
                <w:b/>
                <w:bCs/>
                <w:szCs w:val="20"/>
              </w:rPr>
            </w:pPr>
            <w:r>
              <w:rPr>
                <w:rFonts w:ascii="Arial" w:hAnsi="Arial" w:cs="Arial"/>
                <w:b/>
                <w:bCs/>
                <w:szCs w:val="20"/>
              </w:rPr>
              <w:t>62</w:t>
            </w:r>
          </w:p>
        </w:tc>
      </w:tr>
      <w:tr w14:paraId="7D494F25" w14:textId="77777777" w:rsidTr="008D57D5">
        <w:tblPrEx>
          <w:tblW w:w="9288" w:type="dxa"/>
          <w:tblLook w:val="01E0"/>
        </w:tblPrEx>
        <w:tc>
          <w:tcPr>
            <w:tcW w:w="1443" w:type="dxa"/>
            <w:shd w:val="clear" w:color="auto" w:fill="auto"/>
          </w:tcPr>
          <w:p w:rsidR="009D1D09" w:rsidRPr="000E0739" w:rsidP="009D1D09" w14:paraId="0AFACBC0" w14:textId="77777777">
            <w:pPr>
              <w:widowControl/>
              <w:rPr>
                <w:rFonts w:ascii="Arial" w:hAnsi="Arial" w:cs="Arial"/>
                <w:szCs w:val="20"/>
              </w:rPr>
            </w:pPr>
            <w:r w:rsidRPr="000E0739">
              <w:rPr>
                <w:rFonts w:ascii="Arial" w:hAnsi="Arial" w:cs="Arial"/>
                <w:szCs w:val="20"/>
              </w:rPr>
              <w:t>Tier 2 Grantee Staff</w:t>
            </w:r>
          </w:p>
        </w:tc>
        <w:tc>
          <w:tcPr>
            <w:tcW w:w="1572" w:type="dxa"/>
            <w:shd w:val="clear" w:color="auto" w:fill="auto"/>
          </w:tcPr>
          <w:p w:rsidR="009D1D09" w:rsidRPr="00084AD5" w:rsidP="009D1D09" w14:paraId="52673228" w14:textId="77777777">
            <w:pPr>
              <w:widowControl/>
              <w:jc w:val="center"/>
              <w:rPr>
                <w:rFonts w:ascii="Arial" w:hAnsi="Arial" w:cs="Arial"/>
                <w:szCs w:val="20"/>
              </w:rPr>
            </w:pPr>
            <w:r w:rsidRPr="00084AD5">
              <w:rPr>
                <w:rFonts w:ascii="Arial" w:hAnsi="Arial" w:cs="Arial"/>
                <w:szCs w:val="20"/>
              </w:rPr>
              <w:t>Attachment C</w:t>
            </w:r>
          </w:p>
        </w:tc>
        <w:tc>
          <w:tcPr>
            <w:tcW w:w="1523" w:type="dxa"/>
            <w:shd w:val="clear" w:color="auto" w:fill="auto"/>
          </w:tcPr>
          <w:p w:rsidR="009D1D09" w:rsidRPr="00084AD5" w:rsidP="009D1D09" w14:paraId="5BFC0537" w14:textId="77777777">
            <w:pPr>
              <w:widowControl/>
              <w:jc w:val="center"/>
              <w:rPr>
                <w:rFonts w:ascii="Arial" w:hAnsi="Arial" w:cs="Arial"/>
                <w:szCs w:val="20"/>
              </w:rPr>
            </w:pPr>
            <w:r w:rsidRPr="00084AD5">
              <w:rPr>
                <w:rFonts w:ascii="Arial" w:hAnsi="Arial" w:cs="Arial"/>
                <w:szCs w:val="20"/>
              </w:rPr>
              <w:t>26</w:t>
            </w:r>
          </w:p>
        </w:tc>
        <w:tc>
          <w:tcPr>
            <w:tcW w:w="1430" w:type="dxa"/>
            <w:shd w:val="clear" w:color="auto" w:fill="auto"/>
          </w:tcPr>
          <w:p w:rsidR="009D1D09" w:rsidRPr="00084AD5" w:rsidP="009D1D09" w14:paraId="6E610344" w14:textId="77777777">
            <w:pPr>
              <w:widowControl/>
              <w:jc w:val="center"/>
              <w:rPr>
                <w:rFonts w:ascii="Arial" w:hAnsi="Arial" w:cs="Arial"/>
                <w:szCs w:val="20"/>
              </w:rPr>
            </w:pPr>
            <w:r w:rsidRPr="00084AD5">
              <w:rPr>
                <w:rFonts w:ascii="Arial" w:hAnsi="Arial" w:cs="Arial"/>
                <w:szCs w:val="20"/>
              </w:rPr>
              <w:t>1</w:t>
            </w:r>
          </w:p>
        </w:tc>
        <w:tc>
          <w:tcPr>
            <w:tcW w:w="1424" w:type="dxa"/>
            <w:shd w:val="clear" w:color="auto" w:fill="auto"/>
          </w:tcPr>
          <w:p w:rsidR="009D1D09" w:rsidRPr="00084AD5" w:rsidP="009D1D09" w14:paraId="1AC74450" w14:textId="5BDC67FD">
            <w:pPr>
              <w:widowControl/>
              <w:jc w:val="center"/>
              <w:rPr>
                <w:rFonts w:ascii="Arial" w:hAnsi="Arial" w:cs="Arial"/>
                <w:szCs w:val="20"/>
              </w:rPr>
            </w:pPr>
            <w:r w:rsidRPr="00084AD5">
              <w:rPr>
                <w:rFonts w:ascii="Arial" w:hAnsi="Arial" w:cs="Arial"/>
                <w:szCs w:val="20"/>
              </w:rPr>
              <w:t>2</w:t>
            </w:r>
          </w:p>
        </w:tc>
        <w:tc>
          <w:tcPr>
            <w:tcW w:w="1896" w:type="dxa"/>
            <w:shd w:val="clear" w:color="auto" w:fill="auto"/>
          </w:tcPr>
          <w:p w:rsidR="009D1D09" w:rsidRPr="00084AD5" w:rsidP="009D1D09" w14:paraId="6994673C" w14:textId="77777777">
            <w:pPr>
              <w:widowControl/>
              <w:jc w:val="center"/>
              <w:rPr>
                <w:rFonts w:ascii="Arial" w:hAnsi="Arial" w:cs="Arial"/>
                <w:b/>
                <w:bCs/>
                <w:szCs w:val="20"/>
              </w:rPr>
            </w:pPr>
            <w:r>
              <w:rPr>
                <w:rFonts w:ascii="Arial" w:hAnsi="Arial" w:cs="Arial"/>
                <w:b/>
                <w:bCs/>
                <w:szCs w:val="20"/>
              </w:rPr>
              <w:t>52</w:t>
            </w:r>
          </w:p>
        </w:tc>
      </w:tr>
      <w:tr w14:paraId="5A084EE9" w14:textId="77777777" w:rsidTr="008D57D5">
        <w:tblPrEx>
          <w:tblW w:w="9288" w:type="dxa"/>
          <w:tblLook w:val="01E0"/>
        </w:tblPrEx>
        <w:tc>
          <w:tcPr>
            <w:tcW w:w="1443" w:type="dxa"/>
            <w:shd w:val="clear" w:color="auto" w:fill="auto"/>
          </w:tcPr>
          <w:p w:rsidR="009D1D09" w:rsidRPr="000E0739" w:rsidP="009D1D09" w14:paraId="006E434B" w14:textId="77777777">
            <w:pPr>
              <w:widowControl/>
              <w:rPr>
                <w:rFonts w:ascii="Arial" w:hAnsi="Arial" w:cs="Arial"/>
                <w:szCs w:val="20"/>
              </w:rPr>
            </w:pPr>
            <w:r w:rsidRPr="000E0739">
              <w:rPr>
                <w:rFonts w:ascii="Arial" w:hAnsi="Arial" w:cs="Arial"/>
                <w:szCs w:val="20"/>
              </w:rPr>
              <w:t>Tier 2 Partner Staff</w:t>
            </w:r>
          </w:p>
        </w:tc>
        <w:tc>
          <w:tcPr>
            <w:tcW w:w="1572" w:type="dxa"/>
            <w:shd w:val="clear" w:color="auto" w:fill="auto"/>
          </w:tcPr>
          <w:p w:rsidR="009D1D09" w:rsidRPr="00084AD5" w:rsidP="009D1D09" w14:paraId="211849AC" w14:textId="77777777">
            <w:pPr>
              <w:widowControl/>
              <w:jc w:val="center"/>
              <w:rPr>
                <w:rFonts w:ascii="Arial" w:hAnsi="Arial" w:cs="Arial"/>
                <w:szCs w:val="20"/>
              </w:rPr>
            </w:pPr>
            <w:r w:rsidRPr="00084AD5">
              <w:rPr>
                <w:rFonts w:ascii="Arial" w:hAnsi="Arial" w:cs="Arial"/>
                <w:szCs w:val="20"/>
              </w:rPr>
              <w:t>Attachment D</w:t>
            </w:r>
          </w:p>
        </w:tc>
        <w:tc>
          <w:tcPr>
            <w:tcW w:w="1523" w:type="dxa"/>
            <w:shd w:val="clear" w:color="auto" w:fill="auto"/>
          </w:tcPr>
          <w:p w:rsidR="009D1D09" w:rsidRPr="00084AD5" w:rsidP="009D1D09" w14:paraId="3BCF1285" w14:textId="77777777">
            <w:pPr>
              <w:widowControl/>
              <w:jc w:val="center"/>
              <w:rPr>
                <w:rFonts w:ascii="Arial" w:hAnsi="Arial" w:cs="Arial"/>
                <w:szCs w:val="20"/>
              </w:rPr>
            </w:pPr>
            <w:r w:rsidRPr="00084AD5">
              <w:rPr>
                <w:rFonts w:ascii="Arial" w:hAnsi="Arial" w:cs="Arial"/>
                <w:szCs w:val="20"/>
              </w:rPr>
              <w:t>26</w:t>
            </w:r>
          </w:p>
        </w:tc>
        <w:tc>
          <w:tcPr>
            <w:tcW w:w="1430" w:type="dxa"/>
            <w:shd w:val="clear" w:color="auto" w:fill="auto"/>
          </w:tcPr>
          <w:p w:rsidR="009D1D09" w:rsidRPr="00084AD5" w:rsidP="009D1D09" w14:paraId="12063ECA" w14:textId="77777777">
            <w:pPr>
              <w:widowControl/>
              <w:jc w:val="center"/>
              <w:rPr>
                <w:rFonts w:ascii="Arial" w:hAnsi="Arial" w:cs="Arial"/>
                <w:szCs w:val="20"/>
              </w:rPr>
            </w:pPr>
            <w:r w:rsidRPr="00084AD5">
              <w:rPr>
                <w:rFonts w:ascii="Arial" w:hAnsi="Arial" w:cs="Arial"/>
                <w:szCs w:val="20"/>
              </w:rPr>
              <w:t>1</w:t>
            </w:r>
          </w:p>
        </w:tc>
        <w:tc>
          <w:tcPr>
            <w:tcW w:w="1424" w:type="dxa"/>
            <w:shd w:val="clear" w:color="auto" w:fill="auto"/>
          </w:tcPr>
          <w:p w:rsidR="009D1D09" w:rsidRPr="00084AD5" w:rsidP="009D1D09" w14:paraId="14A38BAD" w14:textId="318E39C4">
            <w:pPr>
              <w:widowControl/>
              <w:jc w:val="center"/>
              <w:rPr>
                <w:rFonts w:ascii="Arial" w:hAnsi="Arial" w:cs="Arial"/>
                <w:szCs w:val="20"/>
              </w:rPr>
            </w:pPr>
            <w:r w:rsidRPr="00084AD5">
              <w:rPr>
                <w:rFonts w:ascii="Arial" w:hAnsi="Arial" w:cs="Arial"/>
                <w:szCs w:val="20"/>
              </w:rPr>
              <w:t>1</w:t>
            </w:r>
          </w:p>
        </w:tc>
        <w:tc>
          <w:tcPr>
            <w:tcW w:w="1896" w:type="dxa"/>
            <w:shd w:val="clear" w:color="auto" w:fill="auto"/>
          </w:tcPr>
          <w:p w:rsidR="009D1D09" w:rsidRPr="00084AD5" w:rsidP="009D1D09" w14:paraId="6132197A" w14:textId="77777777">
            <w:pPr>
              <w:widowControl/>
              <w:jc w:val="center"/>
              <w:rPr>
                <w:rFonts w:ascii="Arial" w:hAnsi="Arial" w:cs="Arial"/>
                <w:b/>
                <w:bCs/>
                <w:szCs w:val="20"/>
              </w:rPr>
            </w:pPr>
            <w:r>
              <w:rPr>
                <w:rFonts w:ascii="Arial" w:hAnsi="Arial" w:cs="Arial"/>
                <w:b/>
                <w:bCs/>
                <w:szCs w:val="20"/>
              </w:rPr>
              <w:t>26</w:t>
            </w:r>
          </w:p>
        </w:tc>
      </w:tr>
      <w:tr w14:paraId="5D8E5B43" w14:textId="77777777" w:rsidTr="008D57D5">
        <w:tblPrEx>
          <w:tblW w:w="9288" w:type="dxa"/>
          <w:tblLook w:val="01E0"/>
        </w:tblPrEx>
        <w:tc>
          <w:tcPr>
            <w:tcW w:w="1443" w:type="dxa"/>
            <w:shd w:val="clear" w:color="auto" w:fill="auto"/>
          </w:tcPr>
          <w:p w:rsidR="0098164F" w:rsidRPr="00084AD5" w:rsidP="0098164F" w14:paraId="0BC82893" w14:textId="77777777">
            <w:pPr>
              <w:widowControl/>
              <w:rPr>
                <w:rFonts w:ascii="Arial" w:hAnsi="Arial" w:cs="Arial"/>
                <w:b/>
                <w:bCs/>
                <w:szCs w:val="20"/>
              </w:rPr>
            </w:pPr>
            <w:r w:rsidRPr="00084AD5">
              <w:rPr>
                <w:rFonts w:ascii="Arial" w:hAnsi="Arial" w:cs="Arial"/>
                <w:b/>
                <w:bCs/>
                <w:szCs w:val="20"/>
              </w:rPr>
              <w:t>Total</w:t>
            </w:r>
          </w:p>
        </w:tc>
        <w:tc>
          <w:tcPr>
            <w:tcW w:w="1572" w:type="dxa"/>
            <w:shd w:val="clear" w:color="auto" w:fill="auto"/>
          </w:tcPr>
          <w:p w:rsidR="0098164F" w:rsidRPr="00084AD5" w:rsidP="008D57D5" w14:paraId="18C94068" w14:textId="77777777">
            <w:pPr>
              <w:widowControl/>
              <w:jc w:val="center"/>
              <w:rPr>
                <w:rFonts w:ascii="Arial" w:hAnsi="Arial" w:cs="Arial"/>
                <w:szCs w:val="20"/>
              </w:rPr>
            </w:pPr>
          </w:p>
        </w:tc>
        <w:tc>
          <w:tcPr>
            <w:tcW w:w="1523" w:type="dxa"/>
            <w:shd w:val="clear" w:color="auto" w:fill="auto"/>
          </w:tcPr>
          <w:p w:rsidR="0098164F" w:rsidRPr="00084AD5" w:rsidP="008D57D5" w14:paraId="7BB8A7AD" w14:textId="77777777">
            <w:pPr>
              <w:widowControl/>
              <w:jc w:val="center"/>
              <w:rPr>
                <w:rFonts w:ascii="Arial" w:hAnsi="Arial" w:cs="Arial"/>
                <w:b/>
                <w:szCs w:val="20"/>
              </w:rPr>
            </w:pPr>
            <w:r>
              <w:rPr>
                <w:rFonts w:ascii="Arial" w:hAnsi="Arial" w:cs="Arial"/>
                <w:b/>
                <w:szCs w:val="20"/>
              </w:rPr>
              <w:t>238</w:t>
            </w:r>
          </w:p>
        </w:tc>
        <w:tc>
          <w:tcPr>
            <w:tcW w:w="1430" w:type="dxa"/>
            <w:shd w:val="clear" w:color="auto" w:fill="auto"/>
          </w:tcPr>
          <w:p w:rsidR="0098164F" w:rsidRPr="00084AD5" w:rsidP="008D57D5" w14:paraId="76058624" w14:textId="77777777">
            <w:pPr>
              <w:widowControl/>
              <w:jc w:val="center"/>
              <w:rPr>
                <w:rFonts w:ascii="Arial" w:hAnsi="Arial" w:cs="Arial"/>
                <w:b/>
                <w:szCs w:val="20"/>
              </w:rPr>
            </w:pPr>
          </w:p>
        </w:tc>
        <w:tc>
          <w:tcPr>
            <w:tcW w:w="1424" w:type="dxa"/>
            <w:shd w:val="clear" w:color="auto" w:fill="auto"/>
          </w:tcPr>
          <w:p w:rsidR="0098164F" w:rsidRPr="00084AD5" w:rsidP="008D57D5" w14:paraId="4CF7FB4E" w14:textId="77777777">
            <w:pPr>
              <w:widowControl/>
              <w:jc w:val="center"/>
              <w:rPr>
                <w:rFonts w:ascii="Arial" w:hAnsi="Arial" w:cs="Arial"/>
                <w:b/>
                <w:szCs w:val="20"/>
              </w:rPr>
            </w:pPr>
          </w:p>
        </w:tc>
        <w:tc>
          <w:tcPr>
            <w:tcW w:w="1896" w:type="dxa"/>
            <w:shd w:val="clear" w:color="auto" w:fill="auto"/>
          </w:tcPr>
          <w:p w:rsidR="0098164F" w:rsidRPr="00084AD5" w:rsidP="008D57D5" w14:paraId="6070AC49" w14:textId="77777777">
            <w:pPr>
              <w:widowControl/>
              <w:jc w:val="center"/>
              <w:rPr>
                <w:rFonts w:ascii="Arial" w:hAnsi="Arial" w:cs="Arial"/>
                <w:b/>
                <w:szCs w:val="20"/>
              </w:rPr>
            </w:pPr>
            <w:r>
              <w:rPr>
                <w:rFonts w:ascii="Arial" w:hAnsi="Arial" w:cs="Arial"/>
                <w:b/>
                <w:szCs w:val="20"/>
              </w:rPr>
              <w:t>388</w:t>
            </w:r>
          </w:p>
        </w:tc>
      </w:tr>
    </w:tbl>
    <w:p w:rsidR="0098164F" w:rsidRPr="006B791B" w14:paraId="39500503" w14:textId="77777777">
      <w:pPr>
        <w:widowControl/>
        <w:rPr>
          <w:b/>
          <w:bCs/>
          <w:color w:val="2F5496"/>
          <w:sz w:val="24"/>
        </w:rPr>
      </w:pPr>
    </w:p>
    <w:p w:rsidR="008D57D5" w:rsidRPr="000E0739" w:rsidP="008D57D5" w14:paraId="4DDD1E9A" w14:textId="77777777">
      <w:pPr>
        <w:widowControl/>
        <w:ind w:left="1170" w:hanging="1170"/>
        <w:rPr>
          <w:b/>
          <w:sz w:val="24"/>
        </w:rPr>
      </w:pPr>
    </w:p>
    <w:p w:rsidR="0098164F" w:rsidRPr="000E0739" w:rsidP="008D57D5" w14:paraId="36EBE3F8" w14:textId="4BE82FFC">
      <w:pPr>
        <w:widowControl/>
        <w:ind w:left="1170" w:hanging="1170"/>
        <w:rPr>
          <w:b/>
          <w:sz w:val="24"/>
        </w:rPr>
      </w:pPr>
      <w:r w:rsidRPr="000E0739">
        <w:rPr>
          <w:b/>
          <w:sz w:val="24"/>
        </w:rPr>
        <w:t xml:space="preserve">Table </w:t>
      </w:r>
      <w:r w:rsidRPr="000E0739" w:rsidR="008D57D5">
        <w:rPr>
          <w:b/>
          <w:sz w:val="24"/>
        </w:rPr>
        <w:t>A</w:t>
      </w:r>
      <w:r w:rsidRPr="000E0739">
        <w:rPr>
          <w:b/>
          <w:sz w:val="24"/>
        </w:rPr>
        <w:t>12.</w:t>
      </w:r>
      <w:r w:rsidR="00BB521D">
        <w:rPr>
          <w:b/>
          <w:sz w:val="24"/>
        </w:rPr>
        <w:t>B</w:t>
      </w:r>
      <w:r w:rsidRPr="000E0739">
        <w:rPr>
          <w:sz w:val="24"/>
        </w:rPr>
        <w:t xml:space="preserve"> </w:t>
      </w:r>
      <w:r w:rsidR="000E0739">
        <w:rPr>
          <w:sz w:val="24"/>
        </w:rPr>
        <w:tab/>
      </w:r>
      <w:r w:rsidRPr="000E0739">
        <w:rPr>
          <w:b/>
          <w:sz w:val="24"/>
        </w:rPr>
        <w:t>Estimated Annualized Burden Costs</w:t>
      </w:r>
      <w:r w:rsidRPr="000E0739" w:rsidR="00684990">
        <w:rPr>
          <w:b/>
          <w:sz w:val="24"/>
        </w:rPr>
        <w:t xml:space="preserve"> for Implementation Study</w:t>
      </w:r>
      <w:r w:rsidRPr="000E0739" w:rsidR="008D57D5">
        <w:rPr>
          <w:b/>
          <w:sz w:val="24"/>
        </w:rPr>
        <w:t xml:space="preserve"> Participants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214"/>
        <w:gridCol w:w="2322"/>
        <w:gridCol w:w="2322"/>
      </w:tblGrid>
      <w:tr w14:paraId="57E6502E" w14:textId="77777777" w:rsidTr="008D57D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18" w:type="dxa"/>
            <w:shd w:val="clear" w:color="auto" w:fill="auto"/>
          </w:tcPr>
          <w:p w:rsidR="0098164F" w:rsidRPr="000E0739" w:rsidP="008D57D5" w14:paraId="12957BC3" w14:textId="77777777">
            <w:pPr>
              <w:widowControl/>
              <w:jc w:val="center"/>
              <w:rPr>
                <w:rFonts w:ascii="Arial" w:hAnsi="Arial" w:cs="Arial"/>
                <w:b/>
                <w:bCs/>
                <w:szCs w:val="20"/>
              </w:rPr>
            </w:pPr>
            <w:r w:rsidRPr="000E0739">
              <w:rPr>
                <w:rFonts w:ascii="Arial" w:hAnsi="Arial" w:cs="Arial"/>
                <w:b/>
                <w:bCs/>
                <w:szCs w:val="20"/>
              </w:rPr>
              <w:t>Type of</w:t>
            </w:r>
          </w:p>
          <w:p w:rsidR="0098164F" w:rsidRPr="000E0739" w:rsidP="008D57D5" w14:paraId="0BB99314" w14:textId="77777777">
            <w:pPr>
              <w:widowControl/>
              <w:jc w:val="center"/>
              <w:rPr>
                <w:rFonts w:ascii="Arial" w:hAnsi="Arial" w:cs="Arial"/>
                <w:szCs w:val="20"/>
              </w:rPr>
            </w:pPr>
            <w:r w:rsidRPr="000E0739">
              <w:rPr>
                <w:rFonts w:ascii="Arial" w:hAnsi="Arial" w:cs="Arial"/>
                <w:b/>
                <w:bCs/>
                <w:szCs w:val="20"/>
              </w:rPr>
              <w:t>Respondent</w:t>
            </w:r>
          </w:p>
          <w:p w:rsidR="0098164F" w:rsidRPr="000E0739" w:rsidP="008D57D5" w14:paraId="694C1252" w14:textId="77777777">
            <w:pPr>
              <w:widowControl/>
              <w:jc w:val="center"/>
              <w:rPr>
                <w:rFonts w:ascii="Arial" w:hAnsi="Arial" w:cs="Arial"/>
                <w:b/>
                <w:bCs/>
                <w:szCs w:val="20"/>
              </w:rPr>
            </w:pPr>
          </w:p>
        </w:tc>
        <w:tc>
          <w:tcPr>
            <w:tcW w:w="2214" w:type="dxa"/>
            <w:shd w:val="clear" w:color="auto" w:fill="auto"/>
          </w:tcPr>
          <w:p w:rsidR="0098164F" w:rsidRPr="000E0739" w:rsidP="008D57D5" w14:paraId="2667CC80" w14:textId="77777777">
            <w:pPr>
              <w:widowControl/>
              <w:jc w:val="center"/>
              <w:rPr>
                <w:rFonts w:ascii="Arial" w:hAnsi="Arial" w:cs="Arial"/>
                <w:b/>
                <w:bCs/>
                <w:szCs w:val="20"/>
              </w:rPr>
            </w:pPr>
            <w:r w:rsidRPr="000E0739">
              <w:rPr>
                <w:rFonts w:ascii="Arial" w:hAnsi="Arial" w:cs="Arial"/>
                <w:b/>
                <w:bCs/>
                <w:szCs w:val="20"/>
              </w:rPr>
              <w:t>Total Burden</w:t>
            </w:r>
          </w:p>
          <w:p w:rsidR="0098164F" w:rsidRPr="000E0739" w:rsidP="008D57D5" w14:paraId="771D15E0" w14:textId="77777777">
            <w:pPr>
              <w:widowControl/>
              <w:jc w:val="center"/>
              <w:rPr>
                <w:rFonts w:ascii="Arial" w:hAnsi="Arial" w:cs="Arial"/>
                <w:szCs w:val="20"/>
              </w:rPr>
            </w:pPr>
            <w:r w:rsidRPr="000E0739">
              <w:rPr>
                <w:rFonts w:ascii="Arial" w:hAnsi="Arial" w:cs="Arial"/>
                <w:b/>
                <w:bCs/>
                <w:szCs w:val="20"/>
              </w:rPr>
              <w:t>Hours</w:t>
            </w:r>
          </w:p>
          <w:p w:rsidR="0098164F" w:rsidRPr="000E0739" w:rsidP="008D57D5" w14:paraId="31DD283D" w14:textId="77777777">
            <w:pPr>
              <w:widowControl/>
              <w:jc w:val="center"/>
              <w:rPr>
                <w:rFonts w:ascii="Arial" w:hAnsi="Arial" w:cs="Arial"/>
                <w:b/>
                <w:bCs/>
                <w:szCs w:val="20"/>
              </w:rPr>
            </w:pPr>
          </w:p>
        </w:tc>
        <w:tc>
          <w:tcPr>
            <w:tcW w:w="2322" w:type="dxa"/>
            <w:shd w:val="clear" w:color="auto" w:fill="auto"/>
          </w:tcPr>
          <w:p w:rsidR="0098164F" w:rsidRPr="000E0739" w:rsidP="008D57D5" w14:paraId="0C5D7B5D" w14:textId="77777777">
            <w:pPr>
              <w:widowControl/>
              <w:jc w:val="center"/>
              <w:rPr>
                <w:rFonts w:ascii="Arial" w:hAnsi="Arial" w:cs="Arial"/>
                <w:b/>
                <w:bCs/>
                <w:szCs w:val="20"/>
              </w:rPr>
            </w:pPr>
            <w:r w:rsidRPr="000E0739">
              <w:rPr>
                <w:rFonts w:ascii="Arial" w:hAnsi="Arial" w:cs="Arial"/>
                <w:b/>
                <w:bCs/>
                <w:szCs w:val="20"/>
              </w:rPr>
              <w:t>Hourly</w:t>
            </w:r>
          </w:p>
          <w:p w:rsidR="0098164F" w:rsidRPr="000E0739" w:rsidP="008D57D5" w14:paraId="79525208" w14:textId="77777777">
            <w:pPr>
              <w:widowControl/>
              <w:jc w:val="center"/>
              <w:rPr>
                <w:rFonts w:ascii="Arial" w:hAnsi="Arial" w:cs="Arial"/>
                <w:szCs w:val="20"/>
              </w:rPr>
            </w:pPr>
            <w:r w:rsidRPr="000E0739">
              <w:rPr>
                <w:rFonts w:ascii="Arial" w:hAnsi="Arial" w:cs="Arial"/>
                <w:b/>
                <w:bCs/>
                <w:szCs w:val="20"/>
              </w:rPr>
              <w:t>Wage Rate</w:t>
            </w:r>
          </w:p>
          <w:p w:rsidR="0098164F" w:rsidRPr="000E0739" w:rsidP="008D57D5" w14:paraId="66220666" w14:textId="77777777">
            <w:pPr>
              <w:widowControl/>
              <w:jc w:val="center"/>
              <w:rPr>
                <w:rFonts w:ascii="Arial" w:hAnsi="Arial" w:cs="Arial"/>
                <w:b/>
                <w:bCs/>
                <w:szCs w:val="20"/>
              </w:rPr>
            </w:pPr>
          </w:p>
        </w:tc>
        <w:tc>
          <w:tcPr>
            <w:tcW w:w="2322" w:type="dxa"/>
            <w:shd w:val="clear" w:color="auto" w:fill="auto"/>
          </w:tcPr>
          <w:p w:rsidR="0098164F" w:rsidRPr="000E0739" w:rsidP="008D57D5" w14:paraId="425C5CE2" w14:textId="77777777">
            <w:pPr>
              <w:widowControl/>
              <w:jc w:val="center"/>
              <w:rPr>
                <w:rFonts w:ascii="Arial" w:hAnsi="Arial" w:cs="Arial"/>
                <w:szCs w:val="20"/>
              </w:rPr>
            </w:pPr>
            <w:r w:rsidRPr="000E0739">
              <w:rPr>
                <w:rFonts w:ascii="Arial" w:hAnsi="Arial" w:cs="Arial"/>
                <w:b/>
                <w:bCs/>
                <w:szCs w:val="20"/>
              </w:rPr>
              <w:t>Total Respondent Costs</w:t>
            </w:r>
          </w:p>
          <w:p w:rsidR="0098164F" w:rsidRPr="000E0739" w:rsidP="008D57D5" w14:paraId="6C641E2B" w14:textId="77777777">
            <w:pPr>
              <w:widowControl/>
              <w:jc w:val="center"/>
              <w:rPr>
                <w:rFonts w:ascii="Arial" w:hAnsi="Arial" w:cs="Arial"/>
                <w:b/>
                <w:bCs/>
                <w:szCs w:val="20"/>
              </w:rPr>
            </w:pPr>
          </w:p>
        </w:tc>
      </w:tr>
      <w:tr w14:paraId="58666641" w14:textId="77777777" w:rsidTr="008D57D5">
        <w:tblPrEx>
          <w:tblW w:w="9576" w:type="dxa"/>
          <w:tblLook w:val="01E0"/>
        </w:tblPrEx>
        <w:tc>
          <w:tcPr>
            <w:tcW w:w="2718" w:type="dxa"/>
            <w:shd w:val="clear" w:color="auto" w:fill="auto"/>
          </w:tcPr>
          <w:p w:rsidR="000E0739" w:rsidRPr="000E0739" w:rsidP="000E0739" w14:paraId="399ED897" w14:textId="77777777">
            <w:pPr>
              <w:widowControl/>
              <w:rPr>
                <w:rFonts w:ascii="Arial" w:hAnsi="Arial" w:cs="Arial"/>
                <w:b/>
                <w:bCs/>
                <w:szCs w:val="20"/>
              </w:rPr>
            </w:pPr>
            <w:r w:rsidRPr="000E0739">
              <w:rPr>
                <w:rFonts w:ascii="Arial" w:hAnsi="Arial" w:cs="Arial"/>
                <w:szCs w:val="20"/>
              </w:rPr>
              <w:t>Tier 1 Grantee Staff</w:t>
            </w:r>
          </w:p>
        </w:tc>
        <w:tc>
          <w:tcPr>
            <w:tcW w:w="2214" w:type="dxa"/>
            <w:shd w:val="clear" w:color="auto" w:fill="auto"/>
          </w:tcPr>
          <w:p w:rsidR="000E0739" w:rsidRPr="000E0739" w:rsidP="000E0739" w14:paraId="1DE7F791" w14:textId="77777777">
            <w:pPr>
              <w:widowControl/>
              <w:jc w:val="center"/>
              <w:rPr>
                <w:rFonts w:ascii="Arial" w:hAnsi="Arial" w:cs="Arial"/>
                <w:szCs w:val="20"/>
              </w:rPr>
            </w:pPr>
            <w:r w:rsidRPr="000E0739">
              <w:rPr>
                <w:rFonts w:ascii="Arial" w:hAnsi="Arial" w:cs="Arial"/>
                <w:szCs w:val="20"/>
              </w:rPr>
              <w:t>248</w:t>
            </w:r>
          </w:p>
        </w:tc>
        <w:tc>
          <w:tcPr>
            <w:tcW w:w="2322" w:type="dxa"/>
            <w:shd w:val="clear" w:color="auto" w:fill="auto"/>
          </w:tcPr>
          <w:p w:rsidR="000E0739" w:rsidRPr="000E0739" w:rsidP="000E0739" w14:paraId="67113FED" w14:textId="77777777">
            <w:pPr>
              <w:jc w:val="center"/>
              <w:rPr>
                <w:rFonts w:ascii="Arial" w:hAnsi="Arial" w:cs="Arial"/>
                <w:szCs w:val="20"/>
              </w:rPr>
            </w:pPr>
            <w:r w:rsidRPr="000E0739">
              <w:rPr>
                <w:rFonts w:ascii="Arial" w:hAnsi="Arial" w:cs="Arial"/>
                <w:szCs w:val="20"/>
              </w:rPr>
              <w:t>$</w:t>
            </w:r>
            <w:r w:rsidR="00F17B4F">
              <w:rPr>
                <w:rFonts w:ascii="Arial" w:hAnsi="Arial" w:cs="Arial"/>
                <w:szCs w:val="20"/>
              </w:rPr>
              <w:t>47.10</w:t>
            </w:r>
            <w:r w:rsidR="00F17B4F">
              <w:rPr>
                <w:vertAlign w:val="superscript"/>
              </w:rPr>
              <w:t>a</w:t>
            </w:r>
          </w:p>
        </w:tc>
        <w:tc>
          <w:tcPr>
            <w:tcW w:w="2322" w:type="dxa"/>
            <w:shd w:val="clear" w:color="auto" w:fill="auto"/>
          </w:tcPr>
          <w:p w:rsidR="000E0739" w:rsidRPr="000E0739" w:rsidP="000E0739" w14:paraId="1BCE6787" w14:textId="77777777">
            <w:pPr>
              <w:jc w:val="center"/>
              <w:rPr>
                <w:rFonts w:ascii="Arial" w:hAnsi="Arial" w:cs="Arial"/>
                <w:szCs w:val="20"/>
              </w:rPr>
            </w:pPr>
            <w:r>
              <w:rPr>
                <w:rFonts w:ascii="Arial" w:hAnsi="Arial" w:cs="Arial"/>
                <w:szCs w:val="20"/>
              </w:rPr>
              <w:t>$11,680.80</w:t>
            </w:r>
          </w:p>
        </w:tc>
      </w:tr>
      <w:tr w14:paraId="7D7238FD" w14:textId="77777777" w:rsidTr="008D57D5">
        <w:tblPrEx>
          <w:tblW w:w="9576" w:type="dxa"/>
          <w:tblLook w:val="01E0"/>
        </w:tblPrEx>
        <w:tc>
          <w:tcPr>
            <w:tcW w:w="2718" w:type="dxa"/>
            <w:shd w:val="clear" w:color="auto" w:fill="auto"/>
          </w:tcPr>
          <w:p w:rsidR="000E0739" w:rsidRPr="000E0739" w:rsidP="000E0739" w14:paraId="6B6DBF00" w14:textId="2585B9E7">
            <w:pPr>
              <w:widowControl/>
              <w:rPr>
                <w:rFonts w:ascii="Arial" w:hAnsi="Arial" w:cs="Arial"/>
                <w:b/>
                <w:bCs/>
                <w:szCs w:val="20"/>
              </w:rPr>
            </w:pPr>
            <w:r w:rsidRPr="000E0739">
              <w:rPr>
                <w:rFonts w:ascii="Arial" w:hAnsi="Arial" w:cs="Arial"/>
                <w:szCs w:val="20"/>
              </w:rPr>
              <w:t xml:space="preserve">Tier </w:t>
            </w:r>
            <w:r w:rsidR="001676E7">
              <w:rPr>
                <w:rFonts w:ascii="Arial" w:hAnsi="Arial" w:cs="Arial"/>
                <w:szCs w:val="20"/>
              </w:rPr>
              <w:t>1</w:t>
            </w:r>
            <w:r w:rsidRPr="000E0739" w:rsidR="001676E7">
              <w:rPr>
                <w:rFonts w:ascii="Arial" w:hAnsi="Arial" w:cs="Arial"/>
                <w:szCs w:val="20"/>
              </w:rPr>
              <w:t xml:space="preserve"> </w:t>
            </w:r>
            <w:r w:rsidRPr="000E0739">
              <w:rPr>
                <w:rFonts w:ascii="Arial" w:hAnsi="Arial" w:cs="Arial"/>
                <w:szCs w:val="20"/>
              </w:rPr>
              <w:t>Partner Staff</w:t>
            </w:r>
          </w:p>
        </w:tc>
        <w:tc>
          <w:tcPr>
            <w:tcW w:w="2214" w:type="dxa"/>
            <w:shd w:val="clear" w:color="auto" w:fill="auto"/>
          </w:tcPr>
          <w:p w:rsidR="000E0739" w:rsidRPr="000E0739" w:rsidP="000E0739" w14:paraId="6C4558B6" w14:textId="77777777">
            <w:pPr>
              <w:widowControl/>
              <w:jc w:val="center"/>
              <w:rPr>
                <w:rFonts w:ascii="Arial" w:hAnsi="Arial" w:cs="Arial"/>
                <w:szCs w:val="20"/>
              </w:rPr>
            </w:pPr>
            <w:r w:rsidRPr="000E0739">
              <w:rPr>
                <w:rFonts w:ascii="Arial" w:hAnsi="Arial" w:cs="Arial"/>
                <w:szCs w:val="20"/>
              </w:rPr>
              <w:t>62</w:t>
            </w:r>
          </w:p>
        </w:tc>
        <w:tc>
          <w:tcPr>
            <w:tcW w:w="2322" w:type="dxa"/>
            <w:shd w:val="clear" w:color="auto" w:fill="auto"/>
          </w:tcPr>
          <w:p w:rsidR="000E0739" w:rsidRPr="000E0739" w:rsidP="000E0739" w14:paraId="3B6925BE" w14:textId="77777777">
            <w:pPr>
              <w:jc w:val="center"/>
              <w:rPr>
                <w:rFonts w:ascii="Arial" w:hAnsi="Arial" w:cs="Arial"/>
                <w:szCs w:val="20"/>
              </w:rPr>
            </w:pPr>
            <w:r w:rsidRPr="000E0739">
              <w:rPr>
                <w:rFonts w:ascii="Arial" w:hAnsi="Arial" w:cs="Arial"/>
                <w:szCs w:val="20"/>
              </w:rPr>
              <w:t>$</w:t>
            </w:r>
            <w:r w:rsidR="00442AF6">
              <w:rPr>
                <w:rFonts w:ascii="Arial" w:hAnsi="Arial" w:cs="Arial"/>
                <w:szCs w:val="20"/>
              </w:rPr>
              <w:t>29.13</w:t>
            </w:r>
            <w:r w:rsidR="00F17B4F">
              <w:rPr>
                <w:vertAlign w:val="superscript"/>
              </w:rPr>
              <w:t xml:space="preserve"> b</w:t>
            </w:r>
          </w:p>
        </w:tc>
        <w:tc>
          <w:tcPr>
            <w:tcW w:w="2322" w:type="dxa"/>
            <w:shd w:val="clear" w:color="auto" w:fill="auto"/>
          </w:tcPr>
          <w:p w:rsidR="000E0739" w:rsidRPr="000E0739" w:rsidP="000E0739" w14:paraId="4BD9CBF4" w14:textId="77777777">
            <w:pPr>
              <w:jc w:val="center"/>
              <w:rPr>
                <w:rFonts w:ascii="Arial" w:hAnsi="Arial" w:cs="Arial"/>
                <w:szCs w:val="20"/>
              </w:rPr>
            </w:pPr>
            <w:r>
              <w:rPr>
                <w:rFonts w:ascii="Arial" w:hAnsi="Arial" w:cs="Arial"/>
                <w:szCs w:val="20"/>
              </w:rPr>
              <w:t>$1,</w:t>
            </w:r>
            <w:r w:rsidR="00442AF6">
              <w:rPr>
                <w:rFonts w:ascii="Arial" w:hAnsi="Arial" w:cs="Arial"/>
                <w:szCs w:val="20"/>
              </w:rPr>
              <w:t>806.06</w:t>
            </w:r>
          </w:p>
        </w:tc>
      </w:tr>
      <w:tr w14:paraId="511919B6" w14:textId="77777777" w:rsidTr="008D57D5">
        <w:tblPrEx>
          <w:tblW w:w="9576" w:type="dxa"/>
          <w:tblLook w:val="01E0"/>
        </w:tblPrEx>
        <w:trPr>
          <w:trHeight w:val="440"/>
        </w:trPr>
        <w:tc>
          <w:tcPr>
            <w:tcW w:w="2718" w:type="dxa"/>
            <w:shd w:val="clear" w:color="auto" w:fill="auto"/>
          </w:tcPr>
          <w:p w:rsidR="000E0739" w:rsidRPr="000E0739" w:rsidP="000E0739" w14:paraId="22012A96" w14:textId="77777777">
            <w:pPr>
              <w:widowControl/>
              <w:rPr>
                <w:rFonts w:ascii="Arial" w:hAnsi="Arial" w:cs="Arial"/>
                <w:b/>
                <w:bCs/>
                <w:szCs w:val="20"/>
              </w:rPr>
            </w:pPr>
            <w:r w:rsidRPr="000E0739">
              <w:rPr>
                <w:rFonts w:ascii="Arial" w:hAnsi="Arial" w:cs="Arial"/>
                <w:szCs w:val="20"/>
              </w:rPr>
              <w:t>Tier 2 Grantee Staff</w:t>
            </w:r>
          </w:p>
        </w:tc>
        <w:tc>
          <w:tcPr>
            <w:tcW w:w="2214" w:type="dxa"/>
            <w:shd w:val="clear" w:color="auto" w:fill="auto"/>
          </w:tcPr>
          <w:p w:rsidR="000E0739" w:rsidRPr="000E0739" w:rsidP="000E0739" w14:paraId="21CB8CE4" w14:textId="77777777">
            <w:pPr>
              <w:widowControl/>
              <w:jc w:val="center"/>
              <w:rPr>
                <w:rFonts w:ascii="Arial" w:hAnsi="Arial" w:cs="Arial"/>
                <w:szCs w:val="20"/>
              </w:rPr>
            </w:pPr>
            <w:r w:rsidRPr="000E0739">
              <w:rPr>
                <w:rFonts w:ascii="Arial" w:hAnsi="Arial" w:cs="Arial"/>
                <w:szCs w:val="20"/>
              </w:rPr>
              <w:t>52</w:t>
            </w:r>
          </w:p>
        </w:tc>
        <w:tc>
          <w:tcPr>
            <w:tcW w:w="2322" w:type="dxa"/>
            <w:shd w:val="clear" w:color="auto" w:fill="auto"/>
          </w:tcPr>
          <w:p w:rsidR="000E0739" w:rsidRPr="000E0739" w:rsidP="000E0739" w14:paraId="18E8DCD9" w14:textId="77777777">
            <w:pPr>
              <w:widowControl/>
              <w:jc w:val="center"/>
              <w:rPr>
                <w:rFonts w:ascii="Arial" w:hAnsi="Arial" w:cs="Arial"/>
                <w:szCs w:val="20"/>
              </w:rPr>
            </w:pPr>
            <w:r w:rsidRPr="000E0739">
              <w:rPr>
                <w:rFonts w:ascii="Arial" w:hAnsi="Arial" w:cs="Arial"/>
                <w:szCs w:val="20"/>
              </w:rPr>
              <w:t>$</w:t>
            </w:r>
            <w:r>
              <w:rPr>
                <w:rFonts w:ascii="Arial" w:hAnsi="Arial" w:cs="Arial"/>
                <w:szCs w:val="20"/>
              </w:rPr>
              <w:t>47.10</w:t>
            </w:r>
            <w:r>
              <w:rPr>
                <w:vertAlign w:val="superscript"/>
              </w:rPr>
              <w:t>a</w:t>
            </w:r>
          </w:p>
        </w:tc>
        <w:tc>
          <w:tcPr>
            <w:tcW w:w="2322" w:type="dxa"/>
            <w:shd w:val="clear" w:color="auto" w:fill="auto"/>
          </w:tcPr>
          <w:p w:rsidR="000E0739" w:rsidRPr="000E0739" w:rsidP="000E0739" w14:paraId="386D3864" w14:textId="77777777">
            <w:pPr>
              <w:widowControl/>
              <w:jc w:val="center"/>
              <w:rPr>
                <w:rFonts w:ascii="Arial" w:hAnsi="Arial" w:cs="Arial"/>
                <w:szCs w:val="20"/>
              </w:rPr>
            </w:pPr>
            <w:r>
              <w:rPr>
                <w:rFonts w:ascii="Arial" w:hAnsi="Arial" w:cs="Arial"/>
                <w:szCs w:val="20"/>
              </w:rPr>
              <w:t>$2,449.20</w:t>
            </w:r>
          </w:p>
        </w:tc>
      </w:tr>
      <w:tr w14:paraId="06BFED5C" w14:textId="77777777" w:rsidTr="008D57D5">
        <w:tblPrEx>
          <w:tblW w:w="9576" w:type="dxa"/>
          <w:tblLook w:val="01E0"/>
        </w:tblPrEx>
        <w:trPr>
          <w:trHeight w:val="440"/>
        </w:trPr>
        <w:tc>
          <w:tcPr>
            <w:tcW w:w="2718" w:type="dxa"/>
            <w:shd w:val="clear" w:color="auto" w:fill="auto"/>
          </w:tcPr>
          <w:p w:rsidR="000E0739" w:rsidRPr="000E0739" w:rsidP="000E0739" w14:paraId="4AFC3C99" w14:textId="77777777">
            <w:pPr>
              <w:widowControl/>
              <w:rPr>
                <w:rFonts w:ascii="Arial" w:hAnsi="Arial" w:cs="Arial"/>
                <w:b/>
                <w:bCs/>
                <w:szCs w:val="20"/>
              </w:rPr>
            </w:pPr>
            <w:r w:rsidRPr="000E0739">
              <w:rPr>
                <w:rFonts w:ascii="Arial" w:hAnsi="Arial" w:cs="Arial"/>
                <w:szCs w:val="20"/>
              </w:rPr>
              <w:t>Tier 2 Partner Staff</w:t>
            </w:r>
          </w:p>
        </w:tc>
        <w:tc>
          <w:tcPr>
            <w:tcW w:w="2214" w:type="dxa"/>
            <w:shd w:val="clear" w:color="auto" w:fill="auto"/>
          </w:tcPr>
          <w:p w:rsidR="000E0739" w:rsidRPr="000E0739" w:rsidP="000E0739" w14:paraId="49AD9F7C" w14:textId="77777777">
            <w:pPr>
              <w:widowControl/>
              <w:jc w:val="center"/>
              <w:rPr>
                <w:rFonts w:ascii="Arial" w:hAnsi="Arial" w:cs="Arial"/>
                <w:szCs w:val="20"/>
              </w:rPr>
            </w:pPr>
            <w:r w:rsidRPr="000E0739">
              <w:rPr>
                <w:rFonts w:ascii="Arial" w:hAnsi="Arial" w:cs="Arial"/>
                <w:szCs w:val="20"/>
              </w:rPr>
              <w:t>26</w:t>
            </w:r>
          </w:p>
        </w:tc>
        <w:tc>
          <w:tcPr>
            <w:tcW w:w="2322" w:type="dxa"/>
            <w:shd w:val="clear" w:color="auto" w:fill="auto"/>
          </w:tcPr>
          <w:p w:rsidR="000E0739" w:rsidRPr="000E0739" w:rsidP="000E0739" w14:paraId="24CC3316" w14:textId="77777777">
            <w:pPr>
              <w:widowControl/>
              <w:jc w:val="center"/>
              <w:rPr>
                <w:rFonts w:ascii="Arial" w:hAnsi="Arial" w:cs="Arial"/>
                <w:szCs w:val="20"/>
              </w:rPr>
            </w:pPr>
            <w:r w:rsidRPr="000E0739">
              <w:rPr>
                <w:rFonts w:ascii="Arial" w:hAnsi="Arial" w:cs="Arial"/>
                <w:szCs w:val="20"/>
              </w:rPr>
              <w:t>$</w:t>
            </w:r>
            <w:r w:rsidR="00442AF6">
              <w:rPr>
                <w:rFonts w:ascii="Arial" w:hAnsi="Arial" w:cs="Arial"/>
                <w:szCs w:val="20"/>
              </w:rPr>
              <w:t>29.13</w:t>
            </w:r>
            <w:r w:rsidR="00F17B4F">
              <w:rPr>
                <w:vertAlign w:val="superscript"/>
              </w:rPr>
              <w:t xml:space="preserve"> b</w:t>
            </w:r>
          </w:p>
        </w:tc>
        <w:tc>
          <w:tcPr>
            <w:tcW w:w="2322" w:type="dxa"/>
            <w:shd w:val="clear" w:color="auto" w:fill="auto"/>
          </w:tcPr>
          <w:p w:rsidR="000E0739" w:rsidRPr="000E0739" w:rsidP="000E0739" w14:paraId="48D0A111" w14:textId="77777777">
            <w:pPr>
              <w:widowControl/>
              <w:jc w:val="center"/>
              <w:rPr>
                <w:rFonts w:ascii="Arial" w:hAnsi="Arial" w:cs="Arial"/>
                <w:szCs w:val="20"/>
              </w:rPr>
            </w:pPr>
            <w:r>
              <w:rPr>
                <w:rFonts w:ascii="Arial" w:hAnsi="Arial" w:cs="Arial"/>
                <w:szCs w:val="20"/>
              </w:rPr>
              <w:t>$</w:t>
            </w:r>
            <w:r w:rsidR="00442AF6">
              <w:rPr>
                <w:rFonts w:ascii="Arial" w:hAnsi="Arial" w:cs="Arial"/>
                <w:szCs w:val="20"/>
              </w:rPr>
              <w:t>757.39</w:t>
            </w:r>
          </w:p>
        </w:tc>
      </w:tr>
      <w:tr w14:paraId="5F9020DF" w14:textId="77777777" w:rsidTr="008D57D5">
        <w:tblPrEx>
          <w:tblW w:w="9576" w:type="dxa"/>
          <w:tblLook w:val="01E0"/>
        </w:tblPrEx>
        <w:trPr>
          <w:trHeight w:val="440"/>
        </w:trPr>
        <w:tc>
          <w:tcPr>
            <w:tcW w:w="2718" w:type="dxa"/>
            <w:shd w:val="clear" w:color="auto" w:fill="auto"/>
          </w:tcPr>
          <w:p w:rsidR="000E0739" w:rsidRPr="000E0739" w:rsidP="000E0739" w14:paraId="0C019048" w14:textId="77777777">
            <w:pPr>
              <w:widowControl/>
              <w:rPr>
                <w:rFonts w:ascii="Arial" w:hAnsi="Arial" w:cs="Arial"/>
                <w:b/>
                <w:bCs/>
                <w:szCs w:val="20"/>
              </w:rPr>
            </w:pPr>
            <w:r w:rsidRPr="000E0739">
              <w:rPr>
                <w:rFonts w:ascii="Arial" w:hAnsi="Arial" w:cs="Arial"/>
                <w:b/>
                <w:bCs/>
                <w:szCs w:val="20"/>
              </w:rPr>
              <w:t>Total</w:t>
            </w:r>
          </w:p>
        </w:tc>
        <w:tc>
          <w:tcPr>
            <w:tcW w:w="2214" w:type="dxa"/>
            <w:shd w:val="clear" w:color="auto" w:fill="auto"/>
          </w:tcPr>
          <w:p w:rsidR="000E0739" w:rsidRPr="000E0739" w:rsidP="000E0739" w14:paraId="3308D3ED" w14:textId="77777777">
            <w:pPr>
              <w:widowControl/>
              <w:jc w:val="center"/>
              <w:rPr>
                <w:rFonts w:ascii="Arial" w:hAnsi="Arial" w:cs="Arial"/>
                <w:szCs w:val="20"/>
              </w:rPr>
            </w:pPr>
            <w:r>
              <w:rPr>
                <w:rFonts w:ascii="Arial" w:hAnsi="Arial" w:cs="Arial"/>
                <w:szCs w:val="20"/>
              </w:rPr>
              <w:t>388</w:t>
            </w:r>
          </w:p>
        </w:tc>
        <w:tc>
          <w:tcPr>
            <w:tcW w:w="2322" w:type="dxa"/>
            <w:shd w:val="clear" w:color="auto" w:fill="auto"/>
          </w:tcPr>
          <w:p w:rsidR="000E0739" w:rsidRPr="000E0739" w:rsidP="000E0739" w14:paraId="74B706A8" w14:textId="77777777">
            <w:pPr>
              <w:widowControl/>
              <w:jc w:val="center"/>
              <w:rPr>
                <w:rFonts w:ascii="Arial" w:hAnsi="Arial" w:cs="Arial"/>
                <w:szCs w:val="20"/>
              </w:rPr>
            </w:pPr>
          </w:p>
        </w:tc>
        <w:tc>
          <w:tcPr>
            <w:tcW w:w="2322" w:type="dxa"/>
            <w:shd w:val="clear" w:color="auto" w:fill="auto"/>
          </w:tcPr>
          <w:p w:rsidR="000E0739" w:rsidRPr="000E0739" w:rsidP="000E0739" w14:paraId="2C8759E3" w14:textId="77777777">
            <w:pPr>
              <w:widowControl/>
              <w:jc w:val="center"/>
              <w:rPr>
                <w:rFonts w:ascii="Arial" w:hAnsi="Arial" w:cs="Arial"/>
                <w:szCs w:val="20"/>
              </w:rPr>
            </w:pPr>
            <w:r>
              <w:rPr>
                <w:rFonts w:ascii="Arial" w:hAnsi="Arial" w:cs="Arial"/>
                <w:szCs w:val="20"/>
              </w:rPr>
              <w:t>$16,</w:t>
            </w:r>
            <w:r w:rsidR="00442AF6">
              <w:rPr>
                <w:rFonts w:ascii="Arial" w:hAnsi="Arial" w:cs="Arial"/>
                <w:szCs w:val="20"/>
              </w:rPr>
              <w:t>693.44</w:t>
            </w:r>
          </w:p>
        </w:tc>
      </w:tr>
    </w:tbl>
    <w:p w:rsidR="00B11AA0" w:rsidRPr="000D1122" w:rsidP="00B11AA0" w14:paraId="3749E8D3" w14:textId="77777777">
      <w:pPr>
        <w:pStyle w:val="ExhibitSource"/>
        <w:rPr>
          <w:highlight w:val="yellow"/>
        </w:rPr>
      </w:pPr>
      <w:r w:rsidRPr="00B11AA0">
        <w:rPr>
          <w:vertAlign w:val="superscript"/>
        </w:rPr>
        <w:t xml:space="preserve"> </w:t>
      </w:r>
      <w:r>
        <w:rPr>
          <w:vertAlign w:val="superscript"/>
        </w:rPr>
        <w:t>a</w:t>
      </w:r>
      <w:r w:rsidRPr="007A5484">
        <w:t xml:space="preserve"> </w:t>
      </w:r>
      <w:r w:rsidRPr="007A5484">
        <w:t>The</w:t>
      </w:r>
      <w:r w:rsidRPr="007A5484">
        <w:t xml:space="preserve"> median hourly wage for </w:t>
      </w:r>
      <w:r>
        <w:t>grantee</w:t>
      </w:r>
      <w:r w:rsidRPr="007A5484">
        <w:t xml:space="preserve"> staff </w:t>
      </w:r>
      <w:r>
        <w:t>is</w:t>
      </w:r>
      <w:r w:rsidRPr="007A5484">
        <w:t xml:space="preserve"> calculated based on information from the Bureau of Labor Statistics; May 20</w:t>
      </w:r>
      <w:r>
        <w:t>21</w:t>
      </w:r>
      <w:r w:rsidRPr="007A5484">
        <w:t xml:space="preserve"> National Occupational Employment and Wage Estimates found at </w:t>
      </w:r>
      <w:hyperlink r:id="rId10" w:history="1">
        <w:r w:rsidRPr="008524CA">
          <w:rPr>
            <w:rStyle w:val="Hyperlink"/>
            <w:szCs w:val="18"/>
          </w:rPr>
          <w:t>http://www.bls.gov/oes/current/oes_nat.htm</w:t>
        </w:r>
      </w:hyperlink>
      <w:r w:rsidRPr="007A5484">
        <w:t xml:space="preserve">: </w:t>
      </w:r>
      <w:r w:rsidR="00F17B4F">
        <w:t>General and Operations Managers</w:t>
      </w:r>
      <w:r w:rsidRPr="007A5484">
        <w:t xml:space="preserve"> (SOC code 11-</w:t>
      </w:r>
      <w:r w:rsidR="00F17B4F">
        <w:t>1021</w:t>
      </w:r>
      <w:r w:rsidRPr="007A5484">
        <w:t>).</w:t>
      </w:r>
    </w:p>
    <w:p w:rsidR="00B11AA0" w:rsidP="00B11AA0" w14:paraId="2975AA04" w14:textId="77777777">
      <w:pPr>
        <w:pStyle w:val="ExhibitSource"/>
      </w:pPr>
      <w:r>
        <w:rPr>
          <w:vertAlign w:val="superscript"/>
        </w:rPr>
        <w:t>b</w:t>
      </w:r>
      <w:r w:rsidRPr="007A5484">
        <w:t xml:space="preserve"> </w:t>
      </w:r>
      <w:r w:rsidRPr="007A5484">
        <w:t>The</w:t>
      </w:r>
      <w:r w:rsidRPr="007A5484">
        <w:t xml:space="preserve"> median hourly wage for employer and program partners </w:t>
      </w:r>
      <w:r>
        <w:t>is</w:t>
      </w:r>
      <w:r w:rsidRPr="007A5484">
        <w:t xml:space="preserve"> calculated based on information from the Bureau of Labor Statistics; May 20</w:t>
      </w:r>
      <w:r>
        <w:t xml:space="preserve">21 </w:t>
      </w:r>
      <w:r w:rsidRPr="007A5484">
        <w:t xml:space="preserve">National Industry-Specific Occupational Employment and Wage Estimates found at </w:t>
      </w:r>
      <w:hyperlink r:id="rId10" w:history="1">
        <w:r w:rsidRPr="008524CA">
          <w:rPr>
            <w:rStyle w:val="Hyperlink"/>
            <w:szCs w:val="18"/>
          </w:rPr>
          <w:t>http://www.bls.gov/oes/current/oes_nat.htm</w:t>
        </w:r>
      </w:hyperlink>
      <w:r w:rsidRPr="007A5484">
        <w:t xml:space="preserve">: </w:t>
      </w:r>
      <w:r w:rsidR="00E03A4F">
        <w:t>Health Education Specialists</w:t>
      </w:r>
      <w:r w:rsidRPr="00F17B4F" w:rsidR="00F17B4F">
        <w:t xml:space="preserve"> </w:t>
      </w:r>
      <w:r>
        <w:t>(</w:t>
      </w:r>
      <w:r w:rsidRPr="007A5484">
        <w:t xml:space="preserve">SOC code </w:t>
      </w:r>
      <w:r w:rsidR="00F17B4F">
        <w:t>2</w:t>
      </w:r>
      <w:r w:rsidRPr="007A5484">
        <w:t>1-</w:t>
      </w:r>
      <w:r w:rsidR="00E03A4F">
        <w:t>1091</w:t>
      </w:r>
      <w:r w:rsidRPr="007A5484">
        <w:t>).</w:t>
      </w:r>
    </w:p>
    <w:p w:rsidR="008D57D5" w:rsidRPr="006B791B" w:rsidP="00B11AA0" w14:paraId="22081A3F" w14:textId="77777777">
      <w:pPr>
        <w:rPr>
          <w:b/>
          <w:color w:val="2F5496"/>
          <w:sz w:val="24"/>
        </w:rPr>
      </w:pPr>
    </w:p>
    <w:p w:rsidR="0098164F" w:rsidRPr="00373E2F" w:rsidP="008D57D5" w14:paraId="2BE39E9B" w14:textId="77777777">
      <w:pPr>
        <w:numPr>
          <w:ilvl w:val="0"/>
          <w:numId w:val="2"/>
        </w:numPr>
        <w:tabs>
          <w:tab w:val="num" w:pos="450"/>
          <w:tab w:val="clear" w:pos="1080"/>
        </w:tabs>
        <w:ind w:left="450" w:hanging="450"/>
        <w:rPr>
          <w:b/>
          <w:color w:val="000000"/>
          <w:sz w:val="24"/>
        </w:rPr>
      </w:pPr>
      <w:r w:rsidRPr="00373E2F">
        <w:rPr>
          <w:b/>
          <w:color w:val="000000"/>
          <w:sz w:val="24"/>
        </w:rPr>
        <w:t xml:space="preserve">Estimates of other Total Annual Cost Burden to Respondents or </w:t>
      </w:r>
      <w:r w:rsidRPr="00373E2F" w:rsidR="008D57D5">
        <w:rPr>
          <w:b/>
          <w:color w:val="000000"/>
          <w:sz w:val="24"/>
        </w:rPr>
        <w:t>R</w:t>
      </w:r>
      <w:r w:rsidRPr="00373E2F">
        <w:rPr>
          <w:b/>
          <w:color w:val="000000"/>
          <w:sz w:val="24"/>
        </w:rPr>
        <w:t>ecordkeepers/</w:t>
      </w:r>
      <w:r w:rsidRPr="00373E2F" w:rsidR="008D57D5">
        <w:rPr>
          <w:b/>
          <w:color w:val="000000"/>
          <w:sz w:val="24"/>
        </w:rPr>
        <w:t xml:space="preserve"> </w:t>
      </w:r>
      <w:r w:rsidRPr="00373E2F">
        <w:rPr>
          <w:b/>
          <w:color w:val="000000"/>
          <w:sz w:val="24"/>
        </w:rPr>
        <w:t>Capital Costs</w:t>
      </w:r>
    </w:p>
    <w:p w:rsidR="0098164F" w:rsidRPr="00373E2F" w14:paraId="5648713B" w14:textId="77777777">
      <w:pPr>
        <w:ind w:left="720"/>
        <w:rPr>
          <w:b/>
          <w:color w:val="000000"/>
          <w:sz w:val="24"/>
        </w:rPr>
      </w:pPr>
    </w:p>
    <w:p w:rsidR="00EC717A" w:rsidRPr="00373E2F" w:rsidP="000E0739" w14:paraId="342CC4DE" w14:textId="77777777">
      <w:pPr>
        <w:rPr>
          <w:color w:val="000000"/>
          <w:sz w:val="24"/>
        </w:rPr>
      </w:pPr>
      <w:r w:rsidRPr="00373E2F">
        <w:rPr>
          <w:color w:val="000000"/>
          <w:sz w:val="24"/>
        </w:rPr>
        <w:t>These information collection activities do not place any additional cost on respondents.</w:t>
      </w:r>
    </w:p>
    <w:p w:rsidR="00EC717A" w:rsidRPr="006B791B" w14:paraId="348949B9" w14:textId="77777777">
      <w:pPr>
        <w:ind w:left="360"/>
        <w:rPr>
          <w:color w:val="2F5496"/>
          <w:sz w:val="24"/>
        </w:rPr>
      </w:pPr>
    </w:p>
    <w:p w:rsidR="0098164F" w:rsidRPr="00373E2F" w:rsidP="008D57D5" w14:paraId="11DE0637" w14:textId="77777777">
      <w:pPr>
        <w:numPr>
          <w:ilvl w:val="0"/>
          <w:numId w:val="2"/>
        </w:numPr>
        <w:tabs>
          <w:tab w:val="num" w:pos="450"/>
          <w:tab w:val="clear" w:pos="1080"/>
        </w:tabs>
        <w:ind w:hanging="1080"/>
        <w:rPr>
          <w:b/>
          <w:color w:val="000000"/>
          <w:sz w:val="24"/>
        </w:rPr>
      </w:pPr>
      <w:r w:rsidRPr="00373E2F">
        <w:rPr>
          <w:b/>
          <w:color w:val="000000"/>
          <w:sz w:val="24"/>
        </w:rPr>
        <w:t>Annualized Cost to Federal Government</w:t>
      </w:r>
    </w:p>
    <w:p w:rsidR="005D4011" w:rsidRPr="00373E2F" w:rsidP="005D4011" w14:paraId="0DA134D0" w14:textId="77777777">
      <w:pPr>
        <w:pStyle w:val="ListParagraph"/>
        <w:ind w:left="0"/>
        <w:rPr>
          <w:color w:val="000000"/>
        </w:rPr>
      </w:pPr>
    </w:p>
    <w:p w:rsidR="005D4011" w:rsidRPr="00373E2F" w:rsidP="005D4011" w14:paraId="7C73D851" w14:textId="01BF35D7">
      <w:pPr>
        <w:pStyle w:val="BodyTextIndent"/>
        <w:ind w:left="0"/>
        <w:rPr>
          <w:rFonts w:ascii="Times New Roman" w:hAnsi="Times New Roman"/>
          <w:color w:val="000000"/>
        </w:rPr>
      </w:pPr>
      <w:r w:rsidRPr="00373E2F">
        <w:rPr>
          <w:rFonts w:ascii="Times New Roman" w:hAnsi="Times New Roman"/>
          <w:color w:val="000000"/>
        </w:rPr>
        <w:t xml:space="preserve">Data collection will be carried out by Abt Associates, under contract with </w:t>
      </w:r>
      <w:r w:rsidRPr="00373E2F" w:rsidR="007B45F6">
        <w:rPr>
          <w:rFonts w:ascii="Times New Roman" w:hAnsi="Times New Roman"/>
          <w:color w:val="000000"/>
        </w:rPr>
        <w:t xml:space="preserve">OPA </w:t>
      </w:r>
      <w:r w:rsidRPr="00373E2F">
        <w:rPr>
          <w:rFonts w:ascii="Times New Roman" w:hAnsi="Times New Roman"/>
          <w:color w:val="000000"/>
        </w:rPr>
        <w:t>to conduct the TPP</w:t>
      </w:r>
      <w:r w:rsidRPr="00373E2F" w:rsidR="007B45F6">
        <w:rPr>
          <w:rFonts w:ascii="Times New Roman" w:hAnsi="Times New Roman"/>
          <w:color w:val="000000"/>
        </w:rPr>
        <w:t xml:space="preserve">20 </w:t>
      </w:r>
      <w:r w:rsidRPr="00373E2F">
        <w:rPr>
          <w:rFonts w:ascii="Times New Roman" w:hAnsi="Times New Roman"/>
          <w:color w:val="000000"/>
        </w:rPr>
        <w:t>Implementation St</w:t>
      </w:r>
      <w:r w:rsidRPr="000636A3">
        <w:rPr>
          <w:rFonts w:ascii="Times New Roman" w:hAnsi="Times New Roman"/>
          <w:color w:val="000000"/>
        </w:rPr>
        <w:t xml:space="preserve">udy. The total cost for collecting the implementation data is </w:t>
      </w:r>
      <w:r w:rsidRPr="000636A3" w:rsidR="009636C3">
        <w:rPr>
          <w:rFonts w:ascii="Times New Roman" w:hAnsi="Times New Roman"/>
          <w:color w:val="000000"/>
        </w:rPr>
        <w:t>$</w:t>
      </w:r>
      <w:r w:rsidRPr="000636A3" w:rsidR="000E0739">
        <w:rPr>
          <w:rFonts w:ascii="Times New Roman" w:hAnsi="Times New Roman"/>
          <w:color w:val="000000"/>
        </w:rPr>
        <w:t>817,503</w:t>
      </w:r>
      <w:r w:rsidRPr="000636A3">
        <w:rPr>
          <w:rFonts w:ascii="Times New Roman" w:hAnsi="Times New Roman"/>
          <w:color w:val="000000"/>
        </w:rPr>
        <w:t xml:space="preserve">, and the annual cost is </w:t>
      </w:r>
      <w:r w:rsidR="00602F62">
        <w:rPr>
          <w:rFonts w:ascii="Times New Roman" w:hAnsi="Times New Roman"/>
          <w:color w:val="000000"/>
        </w:rPr>
        <w:t>$</w:t>
      </w:r>
      <w:r w:rsidRPr="000636A3" w:rsidR="00E706D5">
        <w:rPr>
          <w:rFonts w:ascii="Times New Roman" w:hAnsi="Times New Roman"/>
          <w:color w:val="000000"/>
        </w:rPr>
        <w:t>408</w:t>
      </w:r>
      <w:r w:rsidR="00E706D5">
        <w:rPr>
          <w:rFonts w:ascii="Times New Roman" w:hAnsi="Times New Roman"/>
          <w:color w:val="000000"/>
        </w:rPr>
        <w:t>,751.50</w:t>
      </w:r>
      <w:r w:rsidRPr="00373E2F">
        <w:rPr>
          <w:rFonts w:ascii="Times New Roman" w:hAnsi="Times New Roman"/>
          <w:color w:val="000000"/>
        </w:rPr>
        <w:t>.</w:t>
      </w:r>
    </w:p>
    <w:p w:rsidR="0098164F" w:rsidRPr="006B791B" w14:paraId="033E8395" w14:textId="77777777">
      <w:pPr>
        <w:ind w:left="360"/>
        <w:rPr>
          <w:color w:val="2F5496"/>
          <w:sz w:val="24"/>
        </w:rPr>
      </w:pPr>
    </w:p>
    <w:p w:rsidR="0098164F" w:rsidRPr="00373E2F" w:rsidP="008D57D5" w14:paraId="104A8AD4" w14:textId="77777777">
      <w:pPr>
        <w:numPr>
          <w:ilvl w:val="0"/>
          <w:numId w:val="2"/>
        </w:numPr>
        <w:tabs>
          <w:tab w:val="num" w:pos="450"/>
          <w:tab w:val="clear" w:pos="1080"/>
        </w:tabs>
        <w:ind w:hanging="1080"/>
        <w:rPr>
          <w:b/>
          <w:color w:val="000000"/>
          <w:sz w:val="24"/>
        </w:rPr>
      </w:pPr>
      <w:r w:rsidRPr="00373E2F">
        <w:rPr>
          <w:b/>
          <w:color w:val="000000"/>
          <w:sz w:val="24"/>
        </w:rPr>
        <w:t>Explanation for Program Changes or Adjustments</w:t>
      </w:r>
    </w:p>
    <w:p w:rsidR="0098164F" w:rsidRPr="00373E2F" w14:paraId="16BC9421" w14:textId="77777777">
      <w:pPr>
        <w:ind w:left="720"/>
        <w:rPr>
          <w:b/>
          <w:color w:val="000000"/>
          <w:sz w:val="24"/>
        </w:rPr>
      </w:pPr>
    </w:p>
    <w:p w:rsidR="0098164F" w:rsidRPr="00E706D5" w:rsidP="00E706D5" w14:paraId="5B8B6771" w14:textId="26356A00">
      <w:pPr>
        <w:pStyle w:val="NormalSS12"/>
        <w:ind w:firstLine="0"/>
        <w:rPr>
          <w:rFonts w:ascii="Times New Roman" w:hAnsi="Times New Roman"/>
        </w:rPr>
      </w:pPr>
      <w:r w:rsidRPr="00591870">
        <w:rPr>
          <w:rFonts w:ascii="Times New Roman" w:hAnsi="Times New Roman"/>
        </w:rPr>
        <w:t>This is a new data collectio</w:t>
      </w:r>
      <w:r>
        <w:rPr>
          <w:rFonts w:ascii="Times New Roman" w:hAnsi="Times New Roman"/>
        </w:rPr>
        <w:t xml:space="preserve">n. </w:t>
      </w:r>
    </w:p>
    <w:p w:rsidR="0098164F" w:rsidRPr="00E706D5" w:rsidP="008D57D5" w14:paraId="0E0C2F66" w14:textId="77777777">
      <w:pPr>
        <w:numPr>
          <w:ilvl w:val="0"/>
          <w:numId w:val="2"/>
        </w:numPr>
        <w:tabs>
          <w:tab w:val="num" w:pos="450"/>
          <w:tab w:val="clear" w:pos="1080"/>
        </w:tabs>
        <w:ind w:hanging="1080"/>
        <w:rPr>
          <w:b/>
          <w:sz w:val="24"/>
        </w:rPr>
      </w:pPr>
      <w:r w:rsidRPr="00E706D5">
        <w:rPr>
          <w:b/>
          <w:sz w:val="24"/>
        </w:rPr>
        <w:t>Plans for Tabulation and Publication and Project Time Schedule</w:t>
      </w:r>
    </w:p>
    <w:p w:rsidR="0098164F" w:rsidRPr="00E706D5" w14:paraId="04830B43" w14:textId="77777777">
      <w:pPr>
        <w:ind w:left="720"/>
        <w:rPr>
          <w:b/>
          <w:sz w:val="24"/>
        </w:rPr>
      </w:pPr>
    </w:p>
    <w:p w:rsidR="00E023B7" w:rsidP="00E023B7" w14:paraId="3253CD73" w14:textId="4FD15C97">
      <w:pPr>
        <w:rPr>
          <w:i/>
          <w:color w:val="000000"/>
          <w:sz w:val="24"/>
        </w:rPr>
      </w:pPr>
      <w:r w:rsidRPr="00E706D5">
        <w:rPr>
          <w:i/>
          <w:sz w:val="24"/>
        </w:rPr>
        <w:t>Virtual and In-person Site-Visits</w:t>
      </w:r>
      <w:r w:rsidRPr="00E706D5" w:rsidR="004247F3">
        <w:rPr>
          <w:i/>
          <w:sz w:val="24"/>
        </w:rPr>
        <w:t>:</w:t>
      </w:r>
      <w:r w:rsidRPr="00373E2F" w:rsidR="004247F3">
        <w:rPr>
          <w:i/>
          <w:color w:val="000000"/>
          <w:sz w:val="24"/>
        </w:rPr>
        <w:t xml:space="preserve"> Cross-grantee </w:t>
      </w:r>
      <w:r w:rsidR="00251770">
        <w:rPr>
          <w:i/>
          <w:color w:val="000000"/>
          <w:sz w:val="24"/>
        </w:rPr>
        <w:t>S</w:t>
      </w:r>
      <w:r w:rsidRPr="00687CFF">
        <w:rPr>
          <w:i/>
          <w:color w:val="000000"/>
          <w:sz w:val="24"/>
        </w:rPr>
        <w:t xml:space="preserve">ummary </w:t>
      </w:r>
      <w:r w:rsidR="00251770">
        <w:rPr>
          <w:i/>
          <w:color w:val="000000"/>
          <w:sz w:val="24"/>
        </w:rPr>
        <w:t>R</w:t>
      </w:r>
      <w:r w:rsidRPr="00373E2F" w:rsidR="004247F3">
        <w:rPr>
          <w:i/>
          <w:color w:val="000000"/>
          <w:sz w:val="24"/>
        </w:rPr>
        <w:t xml:space="preserve">eport and </w:t>
      </w:r>
      <w:r w:rsidR="00251770">
        <w:rPr>
          <w:i/>
          <w:color w:val="000000"/>
          <w:sz w:val="24"/>
        </w:rPr>
        <w:t>G</w:t>
      </w:r>
      <w:r w:rsidRPr="00373E2F" w:rsidR="004247F3">
        <w:rPr>
          <w:i/>
          <w:color w:val="000000"/>
          <w:sz w:val="24"/>
        </w:rPr>
        <w:t xml:space="preserve">rantee </w:t>
      </w:r>
      <w:r w:rsidR="00251770">
        <w:rPr>
          <w:i/>
          <w:color w:val="000000"/>
          <w:sz w:val="24"/>
        </w:rPr>
        <w:t>P</w:t>
      </w:r>
      <w:r w:rsidRPr="00373E2F" w:rsidR="004247F3">
        <w:rPr>
          <w:i/>
          <w:color w:val="000000"/>
          <w:sz w:val="24"/>
        </w:rPr>
        <w:t>rofiles</w:t>
      </w:r>
    </w:p>
    <w:p w:rsidR="00251770" w:rsidRPr="006B791B" w:rsidP="00E023B7" w14:paraId="3B7B00A4" w14:textId="77777777">
      <w:pPr>
        <w:rPr>
          <w:i/>
          <w:color w:val="2F5496"/>
          <w:sz w:val="24"/>
        </w:rPr>
      </w:pPr>
    </w:p>
    <w:p w:rsidR="00E023B7" w:rsidRPr="00373E2F" w:rsidP="00E023B7" w14:paraId="53FD92E3" w14:textId="77777777">
      <w:pPr>
        <w:rPr>
          <w:color w:val="000000"/>
          <w:sz w:val="24"/>
        </w:rPr>
      </w:pPr>
      <w:r>
        <w:rPr>
          <w:color w:val="000000"/>
          <w:sz w:val="24"/>
        </w:rPr>
        <w:t>I</w:t>
      </w:r>
      <w:r w:rsidRPr="00373E2F">
        <w:rPr>
          <w:color w:val="000000"/>
          <w:sz w:val="24"/>
        </w:rPr>
        <w:t xml:space="preserve">nterview data for each grant project for the individual grantee profiles as well as across grantees will be summarized to highlight the range of implementation characteristics and strategies and common themes. </w:t>
      </w:r>
    </w:p>
    <w:p w:rsidR="00E023B7" w:rsidRPr="00373E2F" w:rsidP="00E023B7" w14:paraId="41F8EDB3" w14:textId="77777777">
      <w:pPr>
        <w:rPr>
          <w:color w:val="000000"/>
          <w:sz w:val="24"/>
        </w:rPr>
      </w:pPr>
    </w:p>
    <w:p w:rsidR="00E023B7" w:rsidRPr="00373E2F" w:rsidP="00E023B7" w14:paraId="05C3C0B3" w14:textId="77777777">
      <w:pPr>
        <w:rPr>
          <w:b/>
          <w:i/>
          <w:color w:val="000000"/>
          <w:sz w:val="24"/>
        </w:rPr>
      </w:pPr>
      <w:r w:rsidRPr="00373E2F">
        <w:rPr>
          <w:color w:val="000000"/>
          <w:sz w:val="24"/>
        </w:rPr>
        <w:t>The interview team will code certain basic information about the grants into binary, continuous, or categorical variables as appropriate. The coding will be done by the note-taker, and a system of quality control checks will be implemented to ensure accuracy and consistency. The grantee profiles will largely consist of these data; for the cross-grantee assessment, these data will be summarized using descriptive statistics (e.g., means, frequencies, or distributions) to</w:t>
      </w:r>
      <w:r w:rsidRPr="00373E2F" w:rsidR="00105776">
        <w:rPr>
          <w:color w:val="000000"/>
          <w:sz w:val="24"/>
        </w:rPr>
        <w:t xml:space="preserve"> address relevant data elements</w:t>
      </w:r>
      <w:r w:rsidRPr="00373E2F">
        <w:rPr>
          <w:color w:val="000000"/>
          <w:sz w:val="24"/>
        </w:rPr>
        <w:t xml:space="preserve">. </w:t>
      </w:r>
    </w:p>
    <w:p w:rsidR="00E023B7" w:rsidRPr="00373E2F" w:rsidP="00E023B7" w14:paraId="41C4503E" w14:textId="77777777">
      <w:pPr>
        <w:rPr>
          <w:color w:val="000000"/>
          <w:sz w:val="24"/>
        </w:rPr>
      </w:pPr>
    </w:p>
    <w:p w:rsidR="00E023B7" w:rsidRPr="00373E2F" w:rsidP="00E023B7" w14:paraId="234743BA" w14:textId="77777777">
      <w:pPr>
        <w:rPr>
          <w:b/>
          <w:i/>
          <w:color w:val="000000"/>
          <w:sz w:val="24"/>
        </w:rPr>
      </w:pPr>
      <w:r w:rsidRPr="00373E2F">
        <w:rPr>
          <w:color w:val="000000"/>
          <w:sz w:val="24"/>
        </w:rPr>
        <w:t xml:space="preserve">A qualitative analytic approach will be used to identify themes emerging from open-ended responses and thoroughly describe the key data elements of interest. </w:t>
      </w:r>
      <w:r w:rsidRPr="00373E2F" w:rsidR="00105776">
        <w:rPr>
          <w:color w:val="000000"/>
          <w:sz w:val="24"/>
        </w:rPr>
        <w:t xml:space="preserve">The study team will use </w:t>
      </w:r>
      <w:r w:rsidRPr="00373E2F">
        <w:rPr>
          <w:color w:val="000000"/>
          <w:sz w:val="24"/>
        </w:rPr>
        <w:t xml:space="preserve">NVivo qualitative software to systematically code and summarize all qualitative data. The study team will determine </w:t>
      </w:r>
      <w:r w:rsidRPr="00373E2F" w:rsidR="00105776">
        <w:rPr>
          <w:color w:val="000000"/>
          <w:sz w:val="24"/>
        </w:rPr>
        <w:t xml:space="preserve">most </w:t>
      </w:r>
      <w:r w:rsidRPr="00373E2F">
        <w:rPr>
          <w:color w:val="000000"/>
          <w:sz w:val="24"/>
        </w:rPr>
        <w:t xml:space="preserve">topics and coding categories prior to coding, but we expect codes will be revised and expanded after initial review of the data. To ensure accuracy and consistency, senior qualitative researchers will review the coded </w:t>
      </w:r>
      <w:r w:rsidRPr="00687CFF" w:rsidR="007B45F6">
        <w:rPr>
          <w:color w:val="000000"/>
          <w:sz w:val="24"/>
        </w:rPr>
        <w:t xml:space="preserve">transcripts and </w:t>
      </w:r>
      <w:r w:rsidRPr="00373E2F">
        <w:rPr>
          <w:color w:val="000000"/>
          <w:sz w:val="24"/>
        </w:rPr>
        <w:t xml:space="preserve">interview notes, reconcile any differences in coding, and confirm the thematic findings. </w:t>
      </w:r>
    </w:p>
    <w:p w:rsidR="00E023B7" w:rsidRPr="006B791B" w:rsidP="00E023B7" w14:paraId="7FFDEAF1" w14:textId="77777777">
      <w:pPr>
        <w:rPr>
          <w:b/>
          <w:i/>
          <w:color w:val="2F5496"/>
          <w:sz w:val="24"/>
        </w:rPr>
      </w:pPr>
    </w:p>
    <w:p w:rsidR="00E023B7" w:rsidRPr="00373E2F" w:rsidP="00E023B7" w14:paraId="4B2B1E7B" w14:textId="77777777">
      <w:pPr>
        <w:rPr>
          <w:color w:val="000000"/>
          <w:sz w:val="24"/>
        </w:rPr>
      </w:pPr>
      <w:r w:rsidRPr="00373E2F">
        <w:rPr>
          <w:color w:val="000000"/>
          <w:sz w:val="24"/>
        </w:rPr>
        <w:t>Findings from the analysis of interview data will be synthesized into a report. The report will include both a cross-grantee summary and individual grantee profiles to provide O</w:t>
      </w:r>
      <w:r w:rsidRPr="00373E2F" w:rsidR="007B45F6">
        <w:rPr>
          <w:color w:val="000000"/>
          <w:sz w:val="24"/>
        </w:rPr>
        <w:t>PA, practitioners, communities, and lawmakers</w:t>
      </w:r>
      <w:r w:rsidRPr="00373E2F">
        <w:rPr>
          <w:color w:val="000000"/>
          <w:sz w:val="24"/>
        </w:rPr>
        <w:t xml:space="preserve"> with a clear understanding of how Tier 1 </w:t>
      </w:r>
      <w:r w:rsidRPr="00373E2F" w:rsidR="007B45F6">
        <w:rPr>
          <w:color w:val="000000"/>
          <w:sz w:val="24"/>
        </w:rPr>
        <w:t xml:space="preserve">and Tier 2 </w:t>
      </w:r>
      <w:r w:rsidRPr="00373E2F">
        <w:rPr>
          <w:color w:val="000000"/>
          <w:sz w:val="24"/>
        </w:rPr>
        <w:t xml:space="preserve">projects were designed, and </w:t>
      </w:r>
      <w:r w:rsidRPr="00373E2F" w:rsidR="00105776">
        <w:rPr>
          <w:color w:val="000000"/>
          <w:sz w:val="24"/>
        </w:rPr>
        <w:t xml:space="preserve">how </w:t>
      </w:r>
      <w:r w:rsidRPr="00373E2F">
        <w:rPr>
          <w:color w:val="000000"/>
          <w:sz w:val="24"/>
        </w:rPr>
        <w:t xml:space="preserve">key </w:t>
      </w:r>
      <w:r w:rsidRPr="00373E2F" w:rsidR="007B45F6">
        <w:rPr>
          <w:color w:val="000000"/>
          <w:sz w:val="24"/>
        </w:rPr>
        <w:t>approaches</w:t>
      </w:r>
      <w:r w:rsidRPr="00373E2F">
        <w:rPr>
          <w:color w:val="000000"/>
          <w:sz w:val="24"/>
        </w:rPr>
        <w:t xml:space="preserve"> </w:t>
      </w:r>
      <w:r w:rsidRPr="00373E2F" w:rsidR="00105776">
        <w:rPr>
          <w:color w:val="000000"/>
          <w:sz w:val="24"/>
        </w:rPr>
        <w:t xml:space="preserve">were used </w:t>
      </w:r>
      <w:r w:rsidRPr="00373E2F">
        <w:rPr>
          <w:color w:val="000000"/>
          <w:sz w:val="24"/>
        </w:rPr>
        <w:t>to expand the impact on teen pregnancy and reduce disparities</w:t>
      </w:r>
      <w:r w:rsidRPr="00373E2F" w:rsidR="00105776">
        <w:rPr>
          <w:color w:val="000000"/>
          <w:sz w:val="24"/>
        </w:rPr>
        <w:t xml:space="preserve"> at the community </w:t>
      </w:r>
      <w:r w:rsidRPr="00373E2F" w:rsidR="007B45F6">
        <w:rPr>
          <w:color w:val="000000"/>
          <w:sz w:val="24"/>
        </w:rPr>
        <w:t xml:space="preserve">or focus population </w:t>
      </w:r>
      <w:r w:rsidRPr="00373E2F" w:rsidR="00105776">
        <w:rPr>
          <w:color w:val="000000"/>
          <w:sz w:val="24"/>
        </w:rPr>
        <w:t>level</w:t>
      </w:r>
      <w:r w:rsidRPr="00373E2F">
        <w:rPr>
          <w:color w:val="000000"/>
          <w:sz w:val="24"/>
        </w:rPr>
        <w:t xml:space="preserve">. The cross-grantee summary report will include quantitative information such as the total number of </w:t>
      </w:r>
      <w:r w:rsidRPr="00373E2F" w:rsidR="00B75776">
        <w:rPr>
          <w:color w:val="000000"/>
          <w:sz w:val="24"/>
        </w:rPr>
        <w:t>youth</w:t>
      </w:r>
      <w:r w:rsidRPr="00373E2F" w:rsidR="00B75776">
        <w:rPr>
          <w:color w:val="000000"/>
          <w:sz w:val="24"/>
        </w:rPr>
        <w:t xml:space="preserve"> served, the setting or system types, programs used, and populations targeted (for Tier 1 grantees), and the total number of formal network partners, the types and roles of partners, </w:t>
      </w:r>
      <w:r w:rsidR="00F2293D">
        <w:rPr>
          <w:color w:val="000000"/>
          <w:sz w:val="24"/>
        </w:rPr>
        <w:t>innovation</w:t>
      </w:r>
      <w:r w:rsidRPr="00373E2F" w:rsidR="00B75776">
        <w:rPr>
          <w:color w:val="000000"/>
          <w:sz w:val="24"/>
        </w:rPr>
        <w:t>s developed, and stages of development and testing</w:t>
      </w:r>
      <w:r w:rsidR="00F2293D">
        <w:rPr>
          <w:color w:val="000000"/>
          <w:sz w:val="24"/>
        </w:rPr>
        <w:t xml:space="preserve"> (for Tier 2 grantees)</w:t>
      </w:r>
      <w:r w:rsidRPr="00373E2F" w:rsidR="00105776">
        <w:rPr>
          <w:color w:val="000000"/>
          <w:sz w:val="24"/>
        </w:rPr>
        <w:t xml:space="preserve">. </w:t>
      </w:r>
      <w:r w:rsidRPr="00373E2F">
        <w:rPr>
          <w:color w:val="000000"/>
          <w:sz w:val="24"/>
        </w:rPr>
        <w:t xml:space="preserve">Individual grantee profiles will include general implementation features including, but not limited to, the name of the grantee, </w:t>
      </w:r>
      <w:r w:rsidR="00F2293D">
        <w:rPr>
          <w:color w:val="000000"/>
          <w:sz w:val="24"/>
        </w:rPr>
        <w:t>a description of</w:t>
      </w:r>
      <w:r w:rsidRPr="00373E2F">
        <w:rPr>
          <w:color w:val="000000"/>
          <w:sz w:val="24"/>
        </w:rPr>
        <w:t xml:space="preserve"> partners and their roles, program models used, target populations, implementation settings, number of implementation sites, and other characteristics that will round out a succinct but informative picture of each project.</w:t>
      </w:r>
    </w:p>
    <w:p w:rsidR="00E023B7" w:rsidRPr="006B791B" w:rsidP="00E023B7" w14:paraId="503D2322" w14:textId="77777777">
      <w:pPr>
        <w:rPr>
          <w:color w:val="2F5496"/>
          <w:sz w:val="24"/>
        </w:rPr>
      </w:pPr>
    </w:p>
    <w:p w:rsidR="004247F3" w:rsidP="00A22CEA" w14:paraId="5479B002" w14:textId="0C3C5DE1">
      <w:pPr>
        <w:rPr>
          <w:i/>
          <w:color w:val="000000"/>
          <w:sz w:val="24"/>
        </w:rPr>
      </w:pPr>
      <w:r w:rsidRPr="00373E2F">
        <w:rPr>
          <w:i/>
          <w:color w:val="000000"/>
          <w:sz w:val="24"/>
        </w:rPr>
        <w:t>Publishing and Dissemination</w:t>
      </w:r>
    </w:p>
    <w:p w:rsidR="00251770" w:rsidRPr="00373E2F" w:rsidP="00A22CEA" w14:paraId="02EA39FD" w14:textId="77777777">
      <w:pPr>
        <w:rPr>
          <w:color w:val="000000"/>
          <w:sz w:val="24"/>
        </w:rPr>
      </w:pPr>
    </w:p>
    <w:p w:rsidR="004247F3" w:rsidRPr="00373E2F" w:rsidP="00A22CEA" w14:paraId="5B6222B4" w14:textId="564ABA2F">
      <w:pPr>
        <w:rPr>
          <w:color w:val="000000"/>
          <w:sz w:val="24"/>
        </w:rPr>
      </w:pPr>
      <w:r w:rsidRPr="00373E2F">
        <w:rPr>
          <w:color w:val="000000"/>
          <w:sz w:val="24"/>
        </w:rPr>
        <w:t>The</w:t>
      </w:r>
      <w:r w:rsidRPr="00373E2F">
        <w:rPr>
          <w:color w:val="000000"/>
          <w:sz w:val="24"/>
        </w:rPr>
        <w:t xml:space="preserve"> reports</w:t>
      </w:r>
      <w:r w:rsidRPr="00373E2F">
        <w:rPr>
          <w:color w:val="000000"/>
          <w:sz w:val="24"/>
        </w:rPr>
        <w:t xml:space="preserve"> and </w:t>
      </w:r>
      <w:r w:rsidR="00617364">
        <w:rPr>
          <w:color w:val="000000"/>
          <w:sz w:val="24"/>
        </w:rPr>
        <w:t xml:space="preserve">grantee </w:t>
      </w:r>
      <w:r w:rsidRPr="00373E2F">
        <w:rPr>
          <w:color w:val="000000"/>
          <w:sz w:val="24"/>
        </w:rPr>
        <w:t>profiles</w:t>
      </w:r>
      <w:r w:rsidRPr="00373E2F">
        <w:rPr>
          <w:color w:val="000000"/>
          <w:sz w:val="24"/>
        </w:rPr>
        <w:t xml:space="preserve">, as well as derivative products or excerpts (e.g., </w:t>
      </w:r>
      <w:r w:rsidRPr="00373E2F">
        <w:rPr>
          <w:color w:val="000000"/>
          <w:sz w:val="24"/>
        </w:rPr>
        <w:t xml:space="preserve">case studies, </w:t>
      </w:r>
      <w:r w:rsidRPr="00373E2F">
        <w:rPr>
          <w:color w:val="000000"/>
          <w:sz w:val="24"/>
        </w:rPr>
        <w:t>special topics briefs, articles, presentations), will be provided public</w:t>
      </w:r>
      <w:r w:rsidR="009E40A5">
        <w:rPr>
          <w:color w:val="000000"/>
          <w:sz w:val="24"/>
        </w:rPr>
        <w:t>ly</w:t>
      </w:r>
      <w:r w:rsidRPr="00373E2F">
        <w:rPr>
          <w:color w:val="000000"/>
          <w:sz w:val="24"/>
        </w:rPr>
        <w:t xml:space="preserve"> and targeted to specific audiences, such as Federal and local </w:t>
      </w:r>
      <w:r w:rsidRPr="00373E2F" w:rsidR="00A22CEA">
        <w:rPr>
          <w:color w:val="000000"/>
          <w:sz w:val="24"/>
        </w:rPr>
        <w:t xml:space="preserve">grantee </w:t>
      </w:r>
      <w:r w:rsidRPr="00373E2F">
        <w:rPr>
          <w:color w:val="000000"/>
          <w:sz w:val="24"/>
        </w:rPr>
        <w:t xml:space="preserve">staff, nonprofit service providers, and researchers. More traditional approaches (e.g., journal publications, conference presentations, and policy briefs) are frequently used for research/policy-aware audiences, while </w:t>
      </w:r>
      <w:r w:rsidR="004C3E22">
        <w:rPr>
          <w:color w:val="000000"/>
          <w:sz w:val="24"/>
        </w:rPr>
        <w:t>other</w:t>
      </w:r>
      <w:r w:rsidRPr="00373E2F">
        <w:rPr>
          <w:color w:val="000000"/>
          <w:sz w:val="24"/>
        </w:rPr>
        <w:t xml:space="preserve"> approaches (e.g., webinars and the use of infographics, data visualizations, social media, whiteboarding, and </w:t>
      </w:r>
      <w:r w:rsidRPr="00373E2F">
        <w:rPr>
          <w:color w:val="000000"/>
          <w:sz w:val="24"/>
        </w:rPr>
        <w:t>explanatory videos) often appeal to a broader audience. The project will most likely leverage multiple strategies, given audiences that respond differently to written text versus visual images.</w:t>
      </w:r>
    </w:p>
    <w:p w:rsidR="0085713A" w:rsidRPr="006B791B" w:rsidP="00A22CEA" w14:paraId="5EDA3565" w14:textId="77777777">
      <w:pPr>
        <w:rPr>
          <w:color w:val="2F5496"/>
          <w:sz w:val="24"/>
        </w:rPr>
      </w:pPr>
    </w:p>
    <w:p w:rsidR="0085713A" w:rsidP="00A22CEA" w14:paraId="743F5402" w14:textId="3FF5FC27">
      <w:pPr>
        <w:rPr>
          <w:i/>
          <w:sz w:val="24"/>
        </w:rPr>
      </w:pPr>
      <w:r w:rsidRPr="0060759D">
        <w:rPr>
          <w:i/>
          <w:sz w:val="24"/>
        </w:rPr>
        <w:t>Project Time Schedule</w:t>
      </w:r>
    </w:p>
    <w:p w:rsidR="00251770" w:rsidRPr="0060759D" w:rsidP="00A22CEA" w14:paraId="5AD72F3F" w14:textId="77777777">
      <w:pPr>
        <w:rPr>
          <w:i/>
          <w:sz w:val="24"/>
        </w:rPr>
      </w:pPr>
    </w:p>
    <w:p w:rsidR="00E023B7" w:rsidP="00684990" w14:paraId="3C86B548" w14:textId="77777777">
      <w:pPr>
        <w:rPr>
          <w:sz w:val="24"/>
        </w:rPr>
      </w:pPr>
      <w:r w:rsidRPr="0060759D">
        <w:rPr>
          <w:sz w:val="24"/>
        </w:rPr>
        <w:t>O</w:t>
      </w:r>
      <w:r w:rsidR="0060759D">
        <w:rPr>
          <w:sz w:val="24"/>
        </w:rPr>
        <w:t>PA</w:t>
      </w:r>
      <w:r w:rsidRPr="0060759D">
        <w:rPr>
          <w:sz w:val="24"/>
        </w:rPr>
        <w:t xml:space="preserve"> </w:t>
      </w:r>
      <w:r w:rsidRPr="0060759D" w:rsidR="001A0217">
        <w:rPr>
          <w:sz w:val="24"/>
        </w:rPr>
        <w:t xml:space="preserve">is requesting a </w:t>
      </w:r>
      <w:r w:rsidR="00F2293D">
        <w:rPr>
          <w:sz w:val="24"/>
        </w:rPr>
        <w:t>two</w:t>
      </w:r>
      <w:r w:rsidRPr="0060759D" w:rsidR="001A0217">
        <w:rPr>
          <w:sz w:val="24"/>
        </w:rPr>
        <w:t>-year clearance. D</w:t>
      </w:r>
      <w:r w:rsidRPr="0060759D" w:rsidR="00F819B4">
        <w:rPr>
          <w:sz w:val="24"/>
        </w:rPr>
        <w:t>ata collection (</w:t>
      </w:r>
      <w:r w:rsidR="0060759D">
        <w:rPr>
          <w:sz w:val="24"/>
        </w:rPr>
        <w:t>in-person and virtual</w:t>
      </w:r>
      <w:r w:rsidRPr="0060759D" w:rsidR="001A0217">
        <w:rPr>
          <w:sz w:val="24"/>
        </w:rPr>
        <w:t xml:space="preserve"> site visits) is expected to </w:t>
      </w:r>
      <w:r w:rsidRPr="0060759D" w:rsidR="00F819B4">
        <w:rPr>
          <w:sz w:val="24"/>
        </w:rPr>
        <w:t>be</w:t>
      </w:r>
      <w:r w:rsidRPr="0060759D">
        <w:rPr>
          <w:sz w:val="24"/>
        </w:rPr>
        <w:t>gin</w:t>
      </w:r>
      <w:r w:rsidRPr="0060759D" w:rsidR="00F819B4">
        <w:rPr>
          <w:sz w:val="24"/>
        </w:rPr>
        <w:t xml:space="preserve"> in November 20</w:t>
      </w:r>
      <w:r w:rsidR="0060759D">
        <w:rPr>
          <w:sz w:val="24"/>
        </w:rPr>
        <w:t>22</w:t>
      </w:r>
      <w:r w:rsidRPr="0060759D" w:rsidR="001A0217">
        <w:rPr>
          <w:sz w:val="24"/>
        </w:rPr>
        <w:t xml:space="preserve"> and continue through </w:t>
      </w:r>
      <w:r w:rsidR="0060759D">
        <w:rPr>
          <w:sz w:val="24"/>
        </w:rPr>
        <w:t>February 2023</w:t>
      </w:r>
      <w:r w:rsidRPr="0060759D" w:rsidR="00F819B4">
        <w:rPr>
          <w:sz w:val="24"/>
        </w:rPr>
        <w:t xml:space="preserve">. </w:t>
      </w:r>
      <w:r w:rsidR="0001697B">
        <w:rPr>
          <w:sz w:val="24"/>
        </w:rPr>
        <w:t>Grantee profiles developed</w:t>
      </w:r>
      <w:r w:rsidRPr="0060759D" w:rsidR="00F819B4">
        <w:rPr>
          <w:sz w:val="24"/>
        </w:rPr>
        <w:t xml:space="preserve"> from the interviews will be completed in </w:t>
      </w:r>
      <w:r w:rsidR="0060759D">
        <w:rPr>
          <w:sz w:val="24"/>
        </w:rPr>
        <w:t>March 2023</w:t>
      </w:r>
      <w:r w:rsidRPr="0060759D" w:rsidR="00F819B4">
        <w:rPr>
          <w:sz w:val="24"/>
        </w:rPr>
        <w:t xml:space="preserve">, and </w:t>
      </w:r>
      <w:r w:rsidR="0001697B">
        <w:rPr>
          <w:sz w:val="24"/>
        </w:rPr>
        <w:t xml:space="preserve">the </w:t>
      </w:r>
      <w:r w:rsidRPr="0060759D">
        <w:rPr>
          <w:sz w:val="24"/>
        </w:rPr>
        <w:t>project summary</w:t>
      </w:r>
      <w:r w:rsidRPr="0060759D" w:rsidR="00F819B4">
        <w:rPr>
          <w:sz w:val="24"/>
        </w:rPr>
        <w:t xml:space="preserve"> </w:t>
      </w:r>
      <w:r w:rsidRPr="0060759D" w:rsidR="001A0217">
        <w:rPr>
          <w:sz w:val="24"/>
        </w:rPr>
        <w:t xml:space="preserve">report will be completed in </w:t>
      </w:r>
      <w:r w:rsidR="0060759D">
        <w:rPr>
          <w:sz w:val="24"/>
        </w:rPr>
        <w:t>June</w:t>
      </w:r>
      <w:r w:rsidRPr="0060759D" w:rsidR="00F819B4">
        <w:rPr>
          <w:sz w:val="24"/>
        </w:rPr>
        <w:t xml:space="preserve"> 20</w:t>
      </w:r>
      <w:r w:rsidR="0001697B">
        <w:rPr>
          <w:sz w:val="24"/>
        </w:rPr>
        <w:t>23</w:t>
      </w:r>
      <w:r w:rsidRPr="0060759D" w:rsidR="00F819B4">
        <w:rPr>
          <w:sz w:val="24"/>
        </w:rPr>
        <w:t>.</w:t>
      </w:r>
      <w:r w:rsidRPr="0060759D" w:rsidR="00B216E5">
        <w:rPr>
          <w:b/>
          <w:i/>
          <w:sz w:val="24"/>
        </w:rPr>
        <w:t xml:space="preserve"> </w:t>
      </w:r>
      <w:r w:rsidRPr="0060759D" w:rsidR="00B216E5">
        <w:rPr>
          <w:sz w:val="24"/>
        </w:rPr>
        <w:t>Below is a schedule of the data collection efforts for the implementation study:</w:t>
      </w:r>
    </w:p>
    <w:p w:rsidR="00F2293D" w:rsidP="00B216E5" w14:paraId="16E55C02" w14:textId="77777777">
      <w:pPr>
        <w:rPr>
          <w:b/>
          <w:sz w:val="24"/>
        </w:rPr>
      </w:pPr>
    </w:p>
    <w:p w:rsidR="00B216E5" w:rsidRPr="00F753C4" w:rsidP="00B216E5" w14:paraId="78076BD3" w14:textId="77777777">
      <w:pPr>
        <w:rPr>
          <w:b/>
          <w:sz w:val="24"/>
        </w:rPr>
      </w:pPr>
      <w:r w:rsidRPr="00F753C4">
        <w:rPr>
          <w:b/>
          <w:sz w:val="24"/>
        </w:rPr>
        <w:t>Table A</w:t>
      </w:r>
      <w:r w:rsidRPr="00F753C4">
        <w:rPr>
          <w:b/>
          <w:sz w:val="24"/>
        </w:rPr>
        <w:t>16.1. Timeline for Use of Implementation Study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3"/>
        <w:gridCol w:w="1617"/>
        <w:gridCol w:w="1655"/>
        <w:gridCol w:w="1685"/>
        <w:gridCol w:w="1950"/>
      </w:tblGrid>
      <w:tr w14:paraId="32B3EFEC" w14:textId="77777777" w:rsidTr="00F229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06" w:type="pct"/>
            <w:shd w:val="clear" w:color="auto" w:fill="BFBFBF"/>
            <w:vAlign w:val="bottom"/>
          </w:tcPr>
          <w:p w:rsidR="00B216E5" w:rsidRPr="00F753C4" w:rsidP="00BB2C37" w14:paraId="4FC07935" w14:textId="77777777">
            <w:pPr>
              <w:pStyle w:val="TableHeaderLeft"/>
              <w:keepNext/>
              <w:rPr>
                <w:b/>
                <w:sz w:val="20"/>
                <w:szCs w:val="20"/>
              </w:rPr>
            </w:pPr>
            <w:r w:rsidRPr="00F753C4">
              <w:rPr>
                <w:b/>
                <w:sz w:val="20"/>
                <w:szCs w:val="20"/>
              </w:rPr>
              <w:t>Instrument</w:t>
            </w:r>
          </w:p>
        </w:tc>
        <w:tc>
          <w:tcPr>
            <w:tcW w:w="864" w:type="pct"/>
            <w:shd w:val="clear" w:color="auto" w:fill="BFBFBF"/>
            <w:vAlign w:val="bottom"/>
          </w:tcPr>
          <w:p w:rsidR="00B216E5" w:rsidRPr="00F753C4" w:rsidP="00BB2C37" w14:paraId="25F6D453" w14:textId="77777777">
            <w:pPr>
              <w:pStyle w:val="TableHeaderCenter"/>
              <w:keepNext/>
              <w:rPr>
                <w:b/>
                <w:sz w:val="20"/>
                <w:szCs w:val="20"/>
              </w:rPr>
            </w:pPr>
            <w:r w:rsidRPr="00F753C4">
              <w:rPr>
                <w:b/>
                <w:sz w:val="20"/>
                <w:szCs w:val="20"/>
              </w:rPr>
              <w:t>Date of 60-Day Submission</w:t>
            </w:r>
          </w:p>
        </w:tc>
        <w:tc>
          <w:tcPr>
            <w:tcW w:w="885" w:type="pct"/>
            <w:shd w:val="clear" w:color="auto" w:fill="BFBFBF"/>
            <w:vAlign w:val="bottom"/>
          </w:tcPr>
          <w:p w:rsidR="00B216E5" w:rsidRPr="00F753C4" w:rsidP="00BB2C37" w14:paraId="093C477A" w14:textId="77777777">
            <w:pPr>
              <w:pStyle w:val="TableHeaderCenter"/>
              <w:keepNext/>
              <w:rPr>
                <w:b/>
                <w:sz w:val="20"/>
                <w:szCs w:val="20"/>
              </w:rPr>
            </w:pPr>
            <w:r w:rsidRPr="00F753C4">
              <w:rPr>
                <w:b/>
                <w:sz w:val="20"/>
                <w:szCs w:val="20"/>
              </w:rPr>
              <w:t>Date of 30-Day Submission</w:t>
            </w:r>
          </w:p>
        </w:tc>
        <w:tc>
          <w:tcPr>
            <w:tcW w:w="901" w:type="pct"/>
            <w:shd w:val="clear" w:color="auto" w:fill="BFBFBF"/>
            <w:vAlign w:val="bottom"/>
          </w:tcPr>
          <w:p w:rsidR="00B216E5" w:rsidRPr="00F753C4" w:rsidP="00BB2C37" w14:paraId="688EC632" w14:textId="77777777">
            <w:pPr>
              <w:pStyle w:val="TableHeaderCenter"/>
              <w:keepNext/>
              <w:rPr>
                <w:b/>
                <w:sz w:val="20"/>
                <w:szCs w:val="20"/>
              </w:rPr>
            </w:pPr>
            <w:r w:rsidRPr="00F753C4">
              <w:rPr>
                <w:b/>
                <w:sz w:val="20"/>
                <w:szCs w:val="20"/>
              </w:rPr>
              <w:t>Date Clearance Needed</w:t>
            </w:r>
          </w:p>
        </w:tc>
        <w:tc>
          <w:tcPr>
            <w:tcW w:w="1043" w:type="pct"/>
            <w:shd w:val="clear" w:color="auto" w:fill="BFBFBF"/>
            <w:vAlign w:val="bottom"/>
          </w:tcPr>
          <w:p w:rsidR="00B216E5" w:rsidRPr="00F753C4" w:rsidP="00BB2C37" w14:paraId="485652D1" w14:textId="77777777">
            <w:pPr>
              <w:pStyle w:val="TableHeaderCenter"/>
              <w:keepNext/>
              <w:rPr>
                <w:b/>
                <w:sz w:val="20"/>
                <w:szCs w:val="20"/>
              </w:rPr>
            </w:pPr>
            <w:r w:rsidRPr="00F753C4">
              <w:rPr>
                <w:b/>
                <w:sz w:val="20"/>
                <w:szCs w:val="20"/>
              </w:rPr>
              <w:t>Date for Use in Field</w:t>
            </w:r>
          </w:p>
        </w:tc>
      </w:tr>
      <w:tr w14:paraId="3596BC57" w14:textId="77777777" w:rsidTr="00F2293D">
        <w:tblPrEx>
          <w:tblW w:w="5000" w:type="pct"/>
          <w:tblLook w:val="04A0"/>
        </w:tblPrEx>
        <w:trPr>
          <w:trHeight w:val="602"/>
        </w:trPr>
        <w:tc>
          <w:tcPr>
            <w:tcW w:w="1306" w:type="pct"/>
          </w:tcPr>
          <w:p w:rsidR="00B216E5" w:rsidRPr="00F753C4" w:rsidP="001A0217" w14:paraId="3C07FBF7" w14:textId="77777777">
            <w:pPr>
              <w:pStyle w:val="TableText"/>
              <w:keepNext/>
              <w:spacing w:before="120" w:after="60"/>
              <w:rPr>
                <w:sz w:val="20"/>
                <w:szCs w:val="20"/>
              </w:rPr>
            </w:pPr>
            <w:r w:rsidRPr="00F753C4">
              <w:rPr>
                <w:sz w:val="20"/>
                <w:szCs w:val="20"/>
              </w:rPr>
              <w:t xml:space="preserve">Instrument 1: </w:t>
            </w:r>
            <w:r w:rsidR="0060759D">
              <w:rPr>
                <w:sz w:val="20"/>
                <w:szCs w:val="20"/>
              </w:rPr>
              <w:t>Tier 1 grantee interview guide</w:t>
            </w:r>
          </w:p>
        </w:tc>
        <w:tc>
          <w:tcPr>
            <w:tcW w:w="864" w:type="pct"/>
          </w:tcPr>
          <w:p w:rsidR="00B216E5" w:rsidRPr="004E4ED9" w:rsidP="00B216E5" w14:paraId="1959F44C" w14:textId="77777777">
            <w:pPr>
              <w:pStyle w:val="TableText"/>
              <w:keepNext/>
              <w:spacing w:before="120" w:after="60"/>
              <w:rPr>
                <w:sz w:val="20"/>
                <w:szCs w:val="20"/>
              </w:rPr>
            </w:pPr>
            <w:r w:rsidRPr="004E4ED9">
              <w:rPr>
                <w:sz w:val="20"/>
                <w:szCs w:val="20"/>
              </w:rPr>
              <w:t>June</w:t>
            </w:r>
            <w:r w:rsidRPr="004E4ED9" w:rsidR="000D3D77">
              <w:rPr>
                <w:sz w:val="20"/>
                <w:szCs w:val="20"/>
              </w:rPr>
              <w:t xml:space="preserve"> 2022</w:t>
            </w:r>
          </w:p>
        </w:tc>
        <w:tc>
          <w:tcPr>
            <w:tcW w:w="885" w:type="pct"/>
          </w:tcPr>
          <w:p w:rsidR="00B216E5" w:rsidRPr="004E4ED9" w:rsidP="00B216E5" w14:paraId="2AFDB89D" w14:textId="17AAFF1A">
            <w:pPr>
              <w:pStyle w:val="TableText"/>
              <w:keepNext/>
              <w:spacing w:before="120" w:after="60"/>
              <w:rPr>
                <w:sz w:val="20"/>
                <w:szCs w:val="20"/>
              </w:rPr>
            </w:pPr>
            <w:r w:rsidRPr="004E4ED9">
              <w:rPr>
                <w:sz w:val="20"/>
                <w:szCs w:val="20"/>
              </w:rPr>
              <w:t>September</w:t>
            </w:r>
            <w:r w:rsidRPr="004E4ED9" w:rsidR="000D3D77">
              <w:rPr>
                <w:sz w:val="20"/>
                <w:szCs w:val="20"/>
              </w:rPr>
              <w:t xml:space="preserve"> 2022</w:t>
            </w:r>
          </w:p>
        </w:tc>
        <w:tc>
          <w:tcPr>
            <w:tcW w:w="901" w:type="pct"/>
          </w:tcPr>
          <w:p w:rsidR="00B216E5" w:rsidRPr="00F753C4" w:rsidP="00B216E5" w14:paraId="62A030EE" w14:textId="77777777">
            <w:pPr>
              <w:pStyle w:val="TableText"/>
              <w:keepNext/>
              <w:spacing w:before="120" w:after="60"/>
              <w:rPr>
                <w:sz w:val="20"/>
                <w:szCs w:val="20"/>
              </w:rPr>
            </w:pPr>
            <w:r>
              <w:rPr>
                <w:sz w:val="20"/>
                <w:szCs w:val="20"/>
              </w:rPr>
              <w:t>November 2022</w:t>
            </w:r>
          </w:p>
        </w:tc>
        <w:tc>
          <w:tcPr>
            <w:tcW w:w="1043" w:type="pct"/>
          </w:tcPr>
          <w:p w:rsidR="00B216E5" w:rsidRPr="00F753C4" w:rsidP="00B216E5" w14:paraId="368208C2" w14:textId="77777777">
            <w:pPr>
              <w:pStyle w:val="TableText"/>
              <w:keepNext/>
              <w:spacing w:before="120" w:after="60"/>
              <w:rPr>
                <w:sz w:val="20"/>
                <w:szCs w:val="20"/>
              </w:rPr>
            </w:pPr>
            <w:r w:rsidRPr="00F753C4">
              <w:rPr>
                <w:sz w:val="20"/>
                <w:szCs w:val="20"/>
              </w:rPr>
              <w:t>November</w:t>
            </w:r>
            <w:r w:rsidR="000D3D77">
              <w:rPr>
                <w:sz w:val="20"/>
                <w:szCs w:val="20"/>
              </w:rPr>
              <w:t xml:space="preserve"> 2022– February 2023</w:t>
            </w:r>
          </w:p>
        </w:tc>
      </w:tr>
      <w:tr w14:paraId="7780B2EE" w14:textId="77777777" w:rsidTr="00F2293D">
        <w:tblPrEx>
          <w:tblW w:w="5000" w:type="pct"/>
          <w:tblLook w:val="04A0"/>
        </w:tblPrEx>
        <w:trPr>
          <w:trHeight w:val="845"/>
        </w:trPr>
        <w:tc>
          <w:tcPr>
            <w:tcW w:w="1306" w:type="pct"/>
          </w:tcPr>
          <w:p w:rsidR="00251770" w:rsidRPr="00F753C4" w:rsidP="00251770" w14:paraId="72C4227B" w14:textId="77777777">
            <w:pPr>
              <w:pStyle w:val="TableText"/>
              <w:keepNext/>
              <w:spacing w:before="120" w:after="60"/>
              <w:rPr>
                <w:sz w:val="20"/>
                <w:szCs w:val="20"/>
              </w:rPr>
            </w:pPr>
            <w:r w:rsidRPr="00F753C4">
              <w:rPr>
                <w:sz w:val="20"/>
                <w:szCs w:val="20"/>
              </w:rPr>
              <w:t xml:space="preserve">Instrument </w:t>
            </w:r>
            <w:r>
              <w:rPr>
                <w:sz w:val="20"/>
                <w:szCs w:val="20"/>
              </w:rPr>
              <w:t>2</w:t>
            </w:r>
            <w:r w:rsidRPr="00F753C4">
              <w:rPr>
                <w:sz w:val="20"/>
                <w:szCs w:val="20"/>
              </w:rPr>
              <w:t xml:space="preserve">: </w:t>
            </w:r>
            <w:r>
              <w:rPr>
                <w:sz w:val="20"/>
                <w:szCs w:val="20"/>
              </w:rPr>
              <w:t>Tier 1 grantee partner/sub-awardee interview guide</w:t>
            </w:r>
          </w:p>
        </w:tc>
        <w:tc>
          <w:tcPr>
            <w:tcW w:w="864" w:type="pct"/>
          </w:tcPr>
          <w:p w:rsidR="00251770" w:rsidRPr="004E4ED9" w:rsidP="00251770" w14:paraId="696BB075" w14:textId="77777777">
            <w:pPr>
              <w:pStyle w:val="TableText"/>
              <w:keepNext/>
              <w:spacing w:before="120" w:after="60"/>
              <w:rPr>
                <w:sz w:val="20"/>
                <w:szCs w:val="20"/>
              </w:rPr>
            </w:pPr>
            <w:r w:rsidRPr="004E4ED9">
              <w:rPr>
                <w:sz w:val="20"/>
                <w:szCs w:val="20"/>
              </w:rPr>
              <w:t>June 2022</w:t>
            </w:r>
          </w:p>
        </w:tc>
        <w:tc>
          <w:tcPr>
            <w:tcW w:w="885" w:type="pct"/>
          </w:tcPr>
          <w:p w:rsidR="00251770" w:rsidRPr="004E4ED9" w:rsidP="00251770" w14:paraId="635D685F" w14:textId="0F0C8136">
            <w:pPr>
              <w:pStyle w:val="TableText"/>
              <w:keepNext/>
              <w:spacing w:before="120" w:after="60"/>
              <w:rPr>
                <w:sz w:val="20"/>
                <w:szCs w:val="20"/>
              </w:rPr>
            </w:pPr>
            <w:r w:rsidRPr="004E4ED9">
              <w:rPr>
                <w:sz w:val="20"/>
                <w:szCs w:val="20"/>
              </w:rPr>
              <w:t>September 2022</w:t>
            </w:r>
          </w:p>
        </w:tc>
        <w:tc>
          <w:tcPr>
            <w:tcW w:w="901" w:type="pct"/>
          </w:tcPr>
          <w:p w:rsidR="00251770" w:rsidRPr="00F753C4" w:rsidP="00251770" w14:paraId="1179E59F" w14:textId="77777777">
            <w:pPr>
              <w:pStyle w:val="TableText"/>
              <w:keepNext/>
              <w:spacing w:before="120" w:after="60"/>
              <w:rPr>
                <w:sz w:val="20"/>
                <w:szCs w:val="20"/>
              </w:rPr>
            </w:pPr>
            <w:r>
              <w:rPr>
                <w:sz w:val="20"/>
                <w:szCs w:val="20"/>
              </w:rPr>
              <w:t>November 2022</w:t>
            </w:r>
          </w:p>
        </w:tc>
        <w:tc>
          <w:tcPr>
            <w:tcW w:w="1043" w:type="pct"/>
          </w:tcPr>
          <w:p w:rsidR="00251770" w:rsidRPr="00F753C4" w:rsidP="00251770" w14:paraId="0C6AC7D3" w14:textId="77777777">
            <w:pPr>
              <w:pStyle w:val="TableText"/>
              <w:keepNext/>
              <w:spacing w:before="120" w:after="60"/>
              <w:rPr>
                <w:sz w:val="20"/>
                <w:szCs w:val="20"/>
              </w:rPr>
            </w:pPr>
            <w:r w:rsidRPr="00DB5622">
              <w:rPr>
                <w:sz w:val="20"/>
                <w:szCs w:val="20"/>
              </w:rPr>
              <w:t>November 2022– February 2023</w:t>
            </w:r>
          </w:p>
        </w:tc>
      </w:tr>
      <w:tr w14:paraId="346C54A8" w14:textId="77777777" w:rsidTr="00F2293D">
        <w:tblPrEx>
          <w:tblW w:w="5000" w:type="pct"/>
          <w:tblLook w:val="04A0"/>
        </w:tblPrEx>
        <w:trPr>
          <w:trHeight w:val="602"/>
        </w:trPr>
        <w:tc>
          <w:tcPr>
            <w:tcW w:w="1306" w:type="pct"/>
          </w:tcPr>
          <w:p w:rsidR="00251770" w:rsidRPr="00F753C4" w:rsidP="00251770" w14:paraId="1F5D4707" w14:textId="77777777">
            <w:pPr>
              <w:pStyle w:val="TableText"/>
              <w:keepNext/>
              <w:spacing w:before="120" w:after="60"/>
              <w:rPr>
                <w:sz w:val="20"/>
                <w:szCs w:val="20"/>
              </w:rPr>
            </w:pPr>
            <w:r w:rsidRPr="00F753C4">
              <w:rPr>
                <w:sz w:val="20"/>
                <w:szCs w:val="20"/>
              </w:rPr>
              <w:t xml:space="preserve">Instrument </w:t>
            </w:r>
            <w:r>
              <w:rPr>
                <w:sz w:val="20"/>
                <w:szCs w:val="20"/>
              </w:rPr>
              <w:t>3</w:t>
            </w:r>
            <w:r w:rsidRPr="00F753C4">
              <w:rPr>
                <w:sz w:val="20"/>
                <w:szCs w:val="20"/>
              </w:rPr>
              <w:t xml:space="preserve">: </w:t>
            </w:r>
            <w:r>
              <w:rPr>
                <w:sz w:val="20"/>
                <w:szCs w:val="20"/>
              </w:rPr>
              <w:t>Tier 2 grantee interview guide</w:t>
            </w:r>
          </w:p>
        </w:tc>
        <w:tc>
          <w:tcPr>
            <w:tcW w:w="864" w:type="pct"/>
          </w:tcPr>
          <w:p w:rsidR="00251770" w:rsidRPr="004E4ED9" w:rsidP="00251770" w14:paraId="587AA70A" w14:textId="77777777">
            <w:pPr>
              <w:pStyle w:val="TableText"/>
              <w:keepNext/>
              <w:spacing w:before="120" w:after="60"/>
              <w:rPr>
                <w:sz w:val="20"/>
                <w:szCs w:val="20"/>
              </w:rPr>
            </w:pPr>
            <w:r w:rsidRPr="004E4ED9">
              <w:rPr>
                <w:sz w:val="20"/>
                <w:szCs w:val="20"/>
              </w:rPr>
              <w:t>June 2022</w:t>
            </w:r>
          </w:p>
        </w:tc>
        <w:tc>
          <w:tcPr>
            <w:tcW w:w="885" w:type="pct"/>
          </w:tcPr>
          <w:p w:rsidR="00251770" w:rsidRPr="004E4ED9" w:rsidP="00251770" w14:paraId="7467201E" w14:textId="57394673">
            <w:pPr>
              <w:pStyle w:val="TableText"/>
              <w:keepNext/>
              <w:spacing w:before="120" w:after="60"/>
              <w:rPr>
                <w:sz w:val="20"/>
                <w:szCs w:val="20"/>
              </w:rPr>
            </w:pPr>
            <w:r w:rsidRPr="004E4ED9">
              <w:rPr>
                <w:sz w:val="20"/>
                <w:szCs w:val="20"/>
              </w:rPr>
              <w:t>September 2022</w:t>
            </w:r>
          </w:p>
        </w:tc>
        <w:tc>
          <w:tcPr>
            <w:tcW w:w="901" w:type="pct"/>
          </w:tcPr>
          <w:p w:rsidR="00251770" w:rsidRPr="00F753C4" w:rsidP="00251770" w14:paraId="334817E9" w14:textId="77777777">
            <w:pPr>
              <w:pStyle w:val="TableText"/>
              <w:keepNext/>
              <w:spacing w:before="120" w:after="60"/>
              <w:rPr>
                <w:sz w:val="20"/>
                <w:szCs w:val="20"/>
              </w:rPr>
            </w:pPr>
            <w:r>
              <w:rPr>
                <w:sz w:val="20"/>
                <w:szCs w:val="20"/>
              </w:rPr>
              <w:t>November 2022</w:t>
            </w:r>
          </w:p>
        </w:tc>
        <w:tc>
          <w:tcPr>
            <w:tcW w:w="1043" w:type="pct"/>
          </w:tcPr>
          <w:p w:rsidR="00251770" w:rsidRPr="00F753C4" w:rsidP="00251770" w14:paraId="6FCA069B" w14:textId="77777777">
            <w:pPr>
              <w:pStyle w:val="TableText"/>
              <w:keepNext/>
              <w:spacing w:before="120" w:after="60"/>
              <w:rPr>
                <w:sz w:val="20"/>
                <w:szCs w:val="20"/>
              </w:rPr>
            </w:pPr>
            <w:r w:rsidRPr="00DB5622">
              <w:rPr>
                <w:sz w:val="20"/>
                <w:szCs w:val="20"/>
              </w:rPr>
              <w:t>November 2022– February 2023</w:t>
            </w:r>
          </w:p>
        </w:tc>
      </w:tr>
      <w:tr w14:paraId="37B449EC" w14:textId="77777777" w:rsidTr="00F2293D">
        <w:tblPrEx>
          <w:tblW w:w="5000" w:type="pct"/>
          <w:tblLook w:val="04A0"/>
        </w:tblPrEx>
        <w:trPr>
          <w:trHeight w:val="413"/>
        </w:trPr>
        <w:tc>
          <w:tcPr>
            <w:tcW w:w="1306" w:type="pct"/>
            <w:shd w:val="clear" w:color="auto" w:fill="auto"/>
            <w:vAlign w:val="bottom"/>
          </w:tcPr>
          <w:p w:rsidR="00251770" w:rsidRPr="00F753C4" w:rsidP="00251770" w14:paraId="3AF87DAF" w14:textId="77777777">
            <w:pPr>
              <w:pStyle w:val="TableText"/>
              <w:keepNext/>
              <w:spacing w:before="120" w:after="60"/>
              <w:rPr>
                <w:sz w:val="20"/>
                <w:szCs w:val="20"/>
              </w:rPr>
            </w:pPr>
            <w:r w:rsidRPr="00F753C4">
              <w:rPr>
                <w:sz w:val="20"/>
                <w:szCs w:val="20"/>
              </w:rPr>
              <w:t xml:space="preserve">Instrument </w:t>
            </w:r>
            <w:r>
              <w:rPr>
                <w:sz w:val="20"/>
                <w:szCs w:val="20"/>
              </w:rPr>
              <w:t>4</w:t>
            </w:r>
            <w:r w:rsidRPr="00F753C4">
              <w:rPr>
                <w:sz w:val="20"/>
                <w:szCs w:val="20"/>
              </w:rPr>
              <w:t xml:space="preserve">: </w:t>
            </w:r>
            <w:r>
              <w:rPr>
                <w:sz w:val="20"/>
                <w:szCs w:val="20"/>
              </w:rPr>
              <w:t>Tier 2 grantee partner/sub-awardee interview guide</w:t>
            </w:r>
          </w:p>
        </w:tc>
        <w:tc>
          <w:tcPr>
            <w:tcW w:w="864" w:type="pct"/>
            <w:shd w:val="clear" w:color="auto" w:fill="auto"/>
          </w:tcPr>
          <w:p w:rsidR="00251770" w:rsidRPr="004E4ED9" w:rsidP="00251770" w14:paraId="69FA7571" w14:textId="77777777">
            <w:pPr>
              <w:pStyle w:val="TableText"/>
              <w:keepNext/>
              <w:spacing w:before="120" w:after="60"/>
              <w:rPr>
                <w:sz w:val="20"/>
                <w:szCs w:val="20"/>
              </w:rPr>
            </w:pPr>
            <w:r w:rsidRPr="004E4ED9">
              <w:rPr>
                <w:sz w:val="20"/>
                <w:szCs w:val="20"/>
              </w:rPr>
              <w:t>June 2022</w:t>
            </w:r>
          </w:p>
        </w:tc>
        <w:tc>
          <w:tcPr>
            <w:tcW w:w="885" w:type="pct"/>
          </w:tcPr>
          <w:p w:rsidR="00251770" w:rsidRPr="004E4ED9" w:rsidP="00251770" w14:paraId="48786C35" w14:textId="17A2146B">
            <w:pPr>
              <w:pStyle w:val="TableText"/>
              <w:keepNext/>
              <w:spacing w:before="120" w:after="60"/>
              <w:rPr>
                <w:sz w:val="20"/>
                <w:szCs w:val="20"/>
              </w:rPr>
            </w:pPr>
            <w:r w:rsidRPr="004E4ED9">
              <w:rPr>
                <w:sz w:val="20"/>
                <w:szCs w:val="20"/>
              </w:rPr>
              <w:t>September 2022</w:t>
            </w:r>
          </w:p>
        </w:tc>
        <w:tc>
          <w:tcPr>
            <w:tcW w:w="901" w:type="pct"/>
            <w:shd w:val="clear" w:color="auto" w:fill="auto"/>
          </w:tcPr>
          <w:p w:rsidR="00251770" w:rsidRPr="00F753C4" w:rsidP="00251770" w14:paraId="4EDC0645" w14:textId="77777777">
            <w:pPr>
              <w:pStyle w:val="TableText"/>
              <w:keepNext/>
              <w:spacing w:before="120" w:after="60"/>
              <w:rPr>
                <w:sz w:val="20"/>
                <w:szCs w:val="20"/>
              </w:rPr>
            </w:pPr>
            <w:r>
              <w:rPr>
                <w:sz w:val="20"/>
                <w:szCs w:val="20"/>
              </w:rPr>
              <w:t>November 2022</w:t>
            </w:r>
          </w:p>
        </w:tc>
        <w:tc>
          <w:tcPr>
            <w:tcW w:w="1043" w:type="pct"/>
            <w:shd w:val="clear" w:color="auto" w:fill="auto"/>
          </w:tcPr>
          <w:p w:rsidR="00251770" w:rsidRPr="00F753C4" w:rsidP="00251770" w14:paraId="69E956D0" w14:textId="77777777">
            <w:pPr>
              <w:pStyle w:val="TableText"/>
              <w:keepNext/>
              <w:spacing w:before="120" w:after="60"/>
              <w:rPr>
                <w:sz w:val="20"/>
                <w:szCs w:val="20"/>
              </w:rPr>
            </w:pPr>
            <w:r w:rsidRPr="00DB5622">
              <w:rPr>
                <w:sz w:val="20"/>
                <w:szCs w:val="20"/>
              </w:rPr>
              <w:t>November 2022– February 2023</w:t>
            </w:r>
          </w:p>
        </w:tc>
      </w:tr>
    </w:tbl>
    <w:p w:rsidR="00B216E5" w:rsidRPr="00F753C4" w:rsidP="00684990" w14:paraId="1A84ACD7" w14:textId="77777777">
      <w:pPr>
        <w:rPr>
          <w:sz w:val="24"/>
        </w:rPr>
      </w:pPr>
    </w:p>
    <w:p w:rsidR="0098164F" w:rsidRPr="00F753C4" w:rsidP="008D57D5" w14:paraId="6EE7803B" w14:textId="77777777">
      <w:pPr>
        <w:numPr>
          <w:ilvl w:val="0"/>
          <w:numId w:val="2"/>
        </w:numPr>
        <w:tabs>
          <w:tab w:val="num" w:pos="540"/>
          <w:tab w:val="clear" w:pos="1080"/>
        </w:tabs>
        <w:ind w:hanging="1080"/>
        <w:rPr>
          <w:b/>
          <w:sz w:val="24"/>
        </w:rPr>
      </w:pPr>
      <w:r w:rsidRPr="00F753C4">
        <w:rPr>
          <w:b/>
          <w:sz w:val="24"/>
        </w:rPr>
        <w:t>Reason(s) Display of OMB Expiration Date is Inappropriate</w:t>
      </w:r>
    </w:p>
    <w:p w:rsidR="008D57D5" w:rsidRPr="00F753C4" w:rsidP="0060759D" w14:paraId="422F4641" w14:textId="77777777">
      <w:pPr>
        <w:pStyle w:val="BodyTextIndent"/>
        <w:ind w:left="1080"/>
        <w:rPr>
          <w:rFonts w:ascii="Times New Roman" w:hAnsi="Times New Roman"/>
        </w:rPr>
      </w:pPr>
    </w:p>
    <w:p w:rsidR="005B0F56" w:rsidP="0060759D" w14:paraId="2AA6F7F8" w14:textId="77777777">
      <w:pPr>
        <w:pStyle w:val="BodyTextIndent"/>
        <w:ind w:left="0"/>
        <w:rPr>
          <w:rFonts w:ascii="Times New Roman" w:hAnsi="Times New Roman"/>
        </w:rPr>
      </w:pPr>
      <w:r w:rsidRPr="00F753C4">
        <w:rPr>
          <w:rFonts w:ascii="Times New Roman" w:hAnsi="Times New Roman"/>
        </w:rPr>
        <w:t>All protocols</w:t>
      </w:r>
      <w:r w:rsidRPr="00F753C4">
        <w:rPr>
          <w:rFonts w:ascii="Times New Roman" w:hAnsi="Times New Roman"/>
        </w:rPr>
        <w:t xml:space="preserve"> will display the OMB number and the expiration date.</w:t>
      </w:r>
    </w:p>
    <w:p w:rsidR="0060759D" w:rsidRPr="00F753C4" w:rsidP="0060759D" w14:paraId="62839C17" w14:textId="77777777">
      <w:pPr>
        <w:pStyle w:val="BodyTextIndent"/>
        <w:ind w:left="0"/>
        <w:rPr>
          <w:rFonts w:ascii="Times New Roman" w:hAnsi="Times New Roman"/>
        </w:rPr>
      </w:pPr>
    </w:p>
    <w:p w:rsidR="0098164F" w:rsidRPr="00F753C4" w:rsidP="008D57D5" w14:paraId="6E0804A1" w14:textId="77777777">
      <w:pPr>
        <w:numPr>
          <w:ilvl w:val="0"/>
          <w:numId w:val="2"/>
        </w:numPr>
        <w:tabs>
          <w:tab w:val="num" w:pos="540"/>
          <w:tab w:val="clear" w:pos="1080"/>
        </w:tabs>
        <w:ind w:hanging="1080"/>
        <w:rPr>
          <w:b/>
          <w:sz w:val="24"/>
        </w:rPr>
      </w:pPr>
      <w:r w:rsidRPr="00F753C4">
        <w:rPr>
          <w:b/>
          <w:sz w:val="24"/>
        </w:rPr>
        <w:t>Exceptions to Certification for Paperwork Reduction Act Submissions</w:t>
      </w:r>
    </w:p>
    <w:p w:rsidR="0098164F" w:rsidRPr="00F753C4" w14:paraId="44A6925E" w14:textId="77777777">
      <w:pPr>
        <w:pStyle w:val="BodyTextIndent"/>
        <w:ind w:left="1080"/>
        <w:rPr>
          <w:rFonts w:ascii="Times New Roman" w:hAnsi="Times New Roman"/>
        </w:rPr>
      </w:pPr>
    </w:p>
    <w:p w:rsidR="0098164F" w:rsidRPr="00F753C4" w14:paraId="4549FFFB" w14:textId="77777777">
      <w:pPr>
        <w:rPr>
          <w:sz w:val="24"/>
        </w:rPr>
      </w:pPr>
      <w:r w:rsidRPr="00F753C4">
        <w:rPr>
          <w:sz w:val="24"/>
        </w:rPr>
        <w:t>No exceptions are necessary for this information collection.</w:t>
      </w:r>
    </w:p>
    <w:sectPr w:rsidSect="00C7272C">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720" w:footer="144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543" w14:paraId="5830FD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272C" w14:paraId="2F4C3DC4" w14:textId="77777777">
    <w:pPr>
      <w:pStyle w:val="Footer"/>
      <w:jc w:val="right"/>
    </w:pPr>
    <w:r>
      <w:fldChar w:fldCharType="begin"/>
    </w:r>
    <w:r>
      <w:instrText xml:space="preserve"> PAGE   \* MERGEFORMAT </w:instrText>
    </w:r>
    <w:r>
      <w:fldChar w:fldCharType="separate"/>
    </w:r>
    <w:r w:rsidR="00F46EC5">
      <w:rPr>
        <w:noProof/>
      </w:rPr>
      <w:t>12</w:t>
    </w:r>
    <w:r>
      <w:rPr>
        <w:noProof/>
      </w:rPr>
      <w:fldChar w:fldCharType="end"/>
    </w:r>
  </w:p>
  <w:p w:rsidR="0098164F" w14:paraId="1AEA4652"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543" w14:paraId="218980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7608F" w14:paraId="2B6F46A1" w14:textId="77777777">
      <w:r>
        <w:separator/>
      </w:r>
    </w:p>
  </w:footnote>
  <w:footnote w:type="continuationSeparator" w:id="1">
    <w:p w:rsidR="0087608F" w14:paraId="6ECD1A67" w14:textId="77777777">
      <w:r>
        <w:continuationSeparator/>
      </w:r>
    </w:p>
  </w:footnote>
  <w:footnote w:id="2">
    <w:p w:rsidR="00152AC9" w14:paraId="35DC502B" w14:textId="77584740">
      <w:pPr>
        <w:pStyle w:val="FootnoteText"/>
      </w:pPr>
      <w:r>
        <w:rPr>
          <w:rStyle w:val="FootnoteReference"/>
        </w:rPr>
        <w:footnoteRef/>
      </w:r>
      <w:r>
        <w:t xml:space="preserve"> For more information, see: </w:t>
      </w:r>
      <w:hyperlink r:id="rId1" w:history="1">
        <w:r w:rsidRPr="001B3A93">
          <w:rPr>
            <w:rStyle w:val="Hyperlink"/>
          </w:rPr>
          <w:t>https://www.congress.gov/116/plaws/publ94/PLAW-116publ94.pdf</w:t>
        </w:r>
      </w:hyperlink>
      <w:r>
        <w:t xml:space="preserve"> </w:t>
      </w:r>
    </w:p>
  </w:footnote>
  <w:footnote w:id="3">
    <w:p w:rsidR="00D815A9" w14:paraId="2CCCC81B" w14:textId="1ECFDF83">
      <w:pPr>
        <w:pStyle w:val="FootnoteText"/>
      </w:pPr>
      <w:r>
        <w:rPr>
          <w:rStyle w:val="FootnoteReference"/>
        </w:rPr>
        <w:footnoteRef/>
      </w:r>
      <w:r>
        <w:t xml:space="preserve"> For more information, see: </w:t>
      </w:r>
      <w:hyperlink r:id="rId2" w:history="1">
        <w:r w:rsidRPr="00F14B8A">
          <w:rPr>
            <w:rStyle w:val="Hyperlink"/>
          </w:rPr>
          <w:t>https://www.reginfo.gov/public/do/DownloadDocument?objectID=92941901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543" w14:paraId="3E88F8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36C3" w:rsidRPr="009636C3" w14:paraId="36430D9F" w14:textId="77777777">
    <w:pPr>
      <w:pStyle w:val="Header"/>
      <w:rPr>
        <w:sz w:val="24"/>
      </w:rPr>
    </w:pPr>
    <w:r w:rsidRPr="009636C3">
      <w:rPr>
        <w:sz w:val="24"/>
      </w:rPr>
      <w:t>TPP</w:t>
    </w:r>
    <w:r w:rsidR="00621A65">
      <w:rPr>
        <w:sz w:val="24"/>
      </w:rPr>
      <w:t>20</w:t>
    </w:r>
    <w:r w:rsidRPr="009636C3">
      <w:rPr>
        <w:sz w:val="24"/>
      </w:rPr>
      <w:t xml:space="preserve"> Tier 1</w:t>
    </w:r>
    <w:r w:rsidR="00621A65">
      <w:rPr>
        <w:sz w:val="24"/>
      </w:rPr>
      <w:t xml:space="preserve"> and Tier 2</w:t>
    </w:r>
    <w:r w:rsidRPr="009636C3">
      <w:rPr>
        <w:sz w:val="24"/>
      </w:rPr>
      <w:t xml:space="preserve"> Implementation Study</w:t>
    </w:r>
    <w:r w:rsidRPr="009636C3">
      <w:rPr>
        <w:sz w:val="24"/>
      </w:rPr>
      <w:tab/>
    </w:r>
    <w:r w:rsidRPr="009636C3">
      <w:rPr>
        <w:sz w:val="24"/>
      </w:rPr>
      <w:tab/>
      <w:t>Supporting Statement A</w:t>
    </w:r>
  </w:p>
  <w:p w:rsidR="009636C3" w14:paraId="456E70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543" w14:paraId="7DAD9A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86F82"/>
    <w:multiLevelType w:val="hybridMultilevel"/>
    <w:tmpl w:val="5BB4A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77A161F"/>
    <w:multiLevelType w:val="hybridMultilevel"/>
    <w:tmpl w:val="B94E8668"/>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4">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09134F31"/>
    <w:multiLevelType w:val="hybridMultilevel"/>
    <w:tmpl w:val="BDE22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8">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20261908"/>
    <w:multiLevelType w:val="hybridMultilevel"/>
    <w:tmpl w:val="FE301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7">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2E790DF3"/>
    <w:multiLevelType w:val="hybridMultilevel"/>
    <w:tmpl w:val="C9DA6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0">
    <w:nsid w:val="379926E3"/>
    <w:multiLevelType w:val="hybridMultilevel"/>
    <w:tmpl w:val="200605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3E83603D"/>
    <w:multiLevelType w:val="hybridMultilevel"/>
    <w:tmpl w:val="94E453B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5">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6">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FF5AE7"/>
    <w:multiLevelType w:val="hybridMultilevel"/>
    <w:tmpl w:val="B80A10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4CDA1705"/>
    <w:multiLevelType w:val="hybridMultilevel"/>
    <w:tmpl w:val="95BE2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3">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5">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1">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2">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5">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8">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9">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49"/>
  </w:num>
  <w:num w:numId="2">
    <w:abstractNumId w:val="27"/>
  </w:num>
  <w:num w:numId="3">
    <w:abstractNumId w:val="17"/>
  </w:num>
  <w:num w:numId="4">
    <w:abstractNumId w:val="45"/>
  </w:num>
  <w:num w:numId="5">
    <w:abstractNumId w:val="48"/>
  </w:num>
  <w:num w:numId="6">
    <w:abstractNumId w:val="11"/>
  </w:num>
  <w:num w:numId="7">
    <w:abstractNumId w:val="41"/>
  </w:num>
  <w:num w:numId="8">
    <w:abstractNumId w:val="22"/>
  </w:num>
  <w:num w:numId="9">
    <w:abstractNumId w:val="32"/>
  </w:num>
  <w:num w:numId="10">
    <w:abstractNumId w:val="25"/>
  </w:num>
  <w:num w:numId="11">
    <w:abstractNumId w:val="10"/>
  </w:num>
  <w:num w:numId="12">
    <w:abstractNumId w:val="31"/>
  </w:num>
  <w:num w:numId="13">
    <w:abstractNumId w:val="26"/>
  </w:num>
  <w:num w:numId="14">
    <w:abstractNumId w:val="28"/>
  </w:num>
  <w:num w:numId="15">
    <w:abstractNumId w:val="9"/>
  </w:num>
  <w:num w:numId="16">
    <w:abstractNumId w:val="1"/>
  </w:num>
  <w:num w:numId="17">
    <w:abstractNumId w:val="2"/>
  </w:num>
  <w:num w:numId="18">
    <w:abstractNumId w:val="19"/>
  </w:num>
  <w:num w:numId="19">
    <w:abstractNumId w:val="40"/>
  </w:num>
  <w:num w:numId="20">
    <w:abstractNumId w:val="38"/>
  </w:num>
  <w:num w:numId="21">
    <w:abstractNumId w:val="24"/>
  </w:num>
  <w:num w:numId="22">
    <w:abstractNumId w:val="44"/>
  </w:num>
  <w:num w:numId="23">
    <w:abstractNumId w:val="36"/>
  </w:num>
  <w:num w:numId="24">
    <w:abstractNumId w:val="37"/>
  </w:num>
  <w:num w:numId="25">
    <w:abstractNumId w:val="47"/>
  </w:num>
  <w:num w:numId="26">
    <w:abstractNumId w:val="43"/>
  </w:num>
  <w:num w:numId="27">
    <w:abstractNumId w:val="6"/>
  </w:num>
  <w:num w:numId="28">
    <w:abstractNumId w:val="21"/>
  </w:num>
  <w:num w:numId="29">
    <w:abstractNumId w:val="46"/>
  </w:num>
  <w:num w:numId="30">
    <w:abstractNumId w:val="42"/>
  </w:num>
  <w:num w:numId="31">
    <w:abstractNumId w:val="39"/>
  </w:num>
  <w:num w:numId="32">
    <w:abstractNumId w:val="12"/>
  </w:num>
  <w:num w:numId="33">
    <w:abstractNumId w:val="4"/>
  </w:num>
  <w:num w:numId="34">
    <w:abstractNumId w:val="33"/>
  </w:num>
  <w:num w:numId="35">
    <w:abstractNumId w:val="15"/>
  </w:num>
  <w:num w:numId="36">
    <w:abstractNumId w:val="13"/>
  </w:num>
  <w:num w:numId="37">
    <w:abstractNumId w:val="16"/>
  </w:num>
  <w:num w:numId="38">
    <w:abstractNumId w:val="7"/>
  </w:num>
  <w:num w:numId="39">
    <w:abstractNumId w:val="35"/>
  </w:num>
  <w:num w:numId="40">
    <w:abstractNumId w:val="8"/>
  </w:num>
  <w:num w:numId="41">
    <w:abstractNumId w:val="34"/>
  </w:num>
  <w:num w:numId="42">
    <w:abstractNumId w:val="29"/>
  </w:num>
  <w:num w:numId="43">
    <w:abstractNumId w:val="18"/>
  </w:num>
  <w:num w:numId="44">
    <w:abstractNumId w:val="3"/>
  </w:num>
  <w:num w:numId="45">
    <w:abstractNumId w:val="14"/>
  </w:num>
  <w:num w:numId="46">
    <w:abstractNumId w:val="20"/>
  </w:num>
  <w:num w:numId="47">
    <w:abstractNumId w:val="5"/>
  </w:num>
  <w:num w:numId="48">
    <w:abstractNumId w:val="0"/>
  </w:num>
  <w:num w:numId="49">
    <w:abstractNumId w:val="30"/>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4"/>
    <w:rsid w:val="00003F83"/>
    <w:rsid w:val="00016367"/>
    <w:rsid w:val="0001697B"/>
    <w:rsid w:val="000274D8"/>
    <w:rsid w:val="000316A1"/>
    <w:rsid w:val="00036ADB"/>
    <w:rsid w:val="00052A04"/>
    <w:rsid w:val="000636A3"/>
    <w:rsid w:val="00066769"/>
    <w:rsid w:val="00072F11"/>
    <w:rsid w:val="00075BF5"/>
    <w:rsid w:val="00084AD5"/>
    <w:rsid w:val="00090954"/>
    <w:rsid w:val="00093D59"/>
    <w:rsid w:val="000B5F02"/>
    <w:rsid w:val="000C1F20"/>
    <w:rsid w:val="000D1122"/>
    <w:rsid w:val="000D3D77"/>
    <w:rsid w:val="000E0739"/>
    <w:rsid w:val="00100D3D"/>
    <w:rsid w:val="00103F22"/>
    <w:rsid w:val="00105776"/>
    <w:rsid w:val="00105C77"/>
    <w:rsid w:val="00106FAB"/>
    <w:rsid w:val="00112534"/>
    <w:rsid w:val="001234E8"/>
    <w:rsid w:val="00130DA4"/>
    <w:rsid w:val="0013559F"/>
    <w:rsid w:val="00143FDF"/>
    <w:rsid w:val="00147D0C"/>
    <w:rsid w:val="00152AC9"/>
    <w:rsid w:val="001676E7"/>
    <w:rsid w:val="00181080"/>
    <w:rsid w:val="001978F8"/>
    <w:rsid w:val="001A0217"/>
    <w:rsid w:val="001A096D"/>
    <w:rsid w:val="001A10EA"/>
    <w:rsid w:val="001A36E7"/>
    <w:rsid w:val="001A53B1"/>
    <w:rsid w:val="001B3A93"/>
    <w:rsid w:val="001C1495"/>
    <w:rsid w:val="001C2C61"/>
    <w:rsid w:val="001D162F"/>
    <w:rsid w:val="001D2579"/>
    <w:rsid w:val="001D3C8E"/>
    <w:rsid w:val="001D53D0"/>
    <w:rsid w:val="001D5C66"/>
    <w:rsid w:val="001D6F39"/>
    <w:rsid w:val="001E50E6"/>
    <w:rsid w:val="001E5C1A"/>
    <w:rsid w:val="001F4478"/>
    <w:rsid w:val="001F6066"/>
    <w:rsid w:val="002001DD"/>
    <w:rsid w:val="0020251B"/>
    <w:rsid w:val="00204916"/>
    <w:rsid w:val="00212A6A"/>
    <w:rsid w:val="00213F9C"/>
    <w:rsid w:val="00251770"/>
    <w:rsid w:val="00256F1E"/>
    <w:rsid w:val="002664E1"/>
    <w:rsid w:val="00283EDF"/>
    <w:rsid w:val="00296EA5"/>
    <w:rsid w:val="002A2F71"/>
    <w:rsid w:val="002B37A7"/>
    <w:rsid w:val="002C314A"/>
    <w:rsid w:val="002C3595"/>
    <w:rsid w:val="002E4259"/>
    <w:rsid w:val="002E7D5B"/>
    <w:rsid w:val="002F29BE"/>
    <w:rsid w:val="00301CAE"/>
    <w:rsid w:val="00302D75"/>
    <w:rsid w:val="00311A23"/>
    <w:rsid w:val="00322080"/>
    <w:rsid w:val="00322B2C"/>
    <w:rsid w:val="003374FD"/>
    <w:rsid w:val="00361059"/>
    <w:rsid w:val="00370DB4"/>
    <w:rsid w:val="00373E2F"/>
    <w:rsid w:val="00376441"/>
    <w:rsid w:val="0039241C"/>
    <w:rsid w:val="00396560"/>
    <w:rsid w:val="003C5BEF"/>
    <w:rsid w:val="003C64C4"/>
    <w:rsid w:val="003E7E3E"/>
    <w:rsid w:val="00411D59"/>
    <w:rsid w:val="00415291"/>
    <w:rsid w:val="0041766B"/>
    <w:rsid w:val="004247F3"/>
    <w:rsid w:val="004338C4"/>
    <w:rsid w:val="00433C09"/>
    <w:rsid w:val="00437BB9"/>
    <w:rsid w:val="00442AF6"/>
    <w:rsid w:val="00445740"/>
    <w:rsid w:val="00446164"/>
    <w:rsid w:val="00446215"/>
    <w:rsid w:val="00455ABD"/>
    <w:rsid w:val="00460838"/>
    <w:rsid w:val="00461971"/>
    <w:rsid w:val="004640F9"/>
    <w:rsid w:val="00465BCC"/>
    <w:rsid w:val="00467776"/>
    <w:rsid w:val="004720F6"/>
    <w:rsid w:val="004807B4"/>
    <w:rsid w:val="00484158"/>
    <w:rsid w:val="0048470A"/>
    <w:rsid w:val="00484F98"/>
    <w:rsid w:val="0049303A"/>
    <w:rsid w:val="004B2157"/>
    <w:rsid w:val="004B323A"/>
    <w:rsid w:val="004B45BE"/>
    <w:rsid w:val="004B5D9B"/>
    <w:rsid w:val="004C3E22"/>
    <w:rsid w:val="004C4A01"/>
    <w:rsid w:val="004D6C6C"/>
    <w:rsid w:val="004E4ED9"/>
    <w:rsid w:val="004F4DEF"/>
    <w:rsid w:val="004F54DB"/>
    <w:rsid w:val="005030FB"/>
    <w:rsid w:val="005042C4"/>
    <w:rsid w:val="005057D1"/>
    <w:rsid w:val="00517469"/>
    <w:rsid w:val="00537D3A"/>
    <w:rsid w:val="00543D08"/>
    <w:rsid w:val="00545473"/>
    <w:rsid w:val="0058758A"/>
    <w:rsid w:val="00591870"/>
    <w:rsid w:val="005A3F5D"/>
    <w:rsid w:val="005B0F56"/>
    <w:rsid w:val="005C4260"/>
    <w:rsid w:val="005D4011"/>
    <w:rsid w:val="005D5BCB"/>
    <w:rsid w:val="005D7AB6"/>
    <w:rsid w:val="005E181B"/>
    <w:rsid w:val="005F0762"/>
    <w:rsid w:val="005F20D0"/>
    <w:rsid w:val="00602F62"/>
    <w:rsid w:val="0060759D"/>
    <w:rsid w:val="00611F35"/>
    <w:rsid w:val="00615B53"/>
    <w:rsid w:val="00617364"/>
    <w:rsid w:val="00621A65"/>
    <w:rsid w:val="00624792"/>
    <w:rsid w:val="00655FE5"/>
    <w:rsid w:val="00657CE9"/>
    <w:rsid w:val="006607B2"/>
    <w:rsid w:val="0067050C"/>
    <w:rsid w:val="00673444"/>
    <w:rsid w:val="006811C4"/>
    <w:rsid w:val="00682B86"/>
    <w:rsid w:val="00684990"/>
    <w:rsid w:val="00687CFF"/>
    <w:rsid w:val="00692DD7"/>
    <w:rsid w:val="006A3183"/>
    <w:rsid w:val="006B16B5"/>
    <w:rsid w:val="006B2561"/>
    <w:rsid w:val="006B791B"/>
    <w:rsid w:val="006C7D49"/>
    <w:rsid w:val="006F44E3"/>
    <w:rsid w:val="006F5CC6"/>
    <w:rsid w:val="00701CFA"/>
    <w:rsid w:val="007159CB"/>
    <w:rsid w:val="0072194F"/>
    <w:rsid w:val="00725B52"/>
    <w:rsid w:val="00725E77"/>
    <w:rsid w:val="0072697D"/>
    <w:rsid w:val="00745C43"/>
    <w:rsid w:val="0075347B"/>
    <w:rsid w:val="00785C6F"/>
    <w:rsid w:val="007A40E6"/>
    <w:rsid w:val="007A5484"/>
    <w:rsid w:val="007A54DA"/>
    <w:rsid w:val="007B005C"/>
    <w:rsid w:val="007B45F6"/>
    <w:rsid w:val="007B6149"/>
    <w:rsid w:val="007C37BC"/>
    <w:rsid w:val="007F3118"/>
    <w:rsid w:val="007F7366"/>
    <w:rsid w:val="00805D02"/>
    <w:rsid w:val="00810131"/>
    <w:rsid w:val="00813BD2"/>
    <w:rsid w:val="00815A78"/>
    <w:rsid w:val="008201D2"/>
    <w:rsid w:val="0084089D"/>
    <w:rsid w:val="008524CA"/>
    <w:rsid w:val="00852A87"/>
    <w:rsid w:val="0085579E"/>
    <w:rsid w:val="0085713A"/>
    <w:rsid w:val="008756AA"/>
    <w:rsid w:val="00875A4F"/>
    <w:rsid w:val="0087608F"/>
    <w:rsid w:val="00876ADB"/>
    <w:rsid w:val="0089417C"/>
    <w:rsid w:val="008A0A74"/>
    <w:rsid w:val="008A2A4B"/>
    <w:rsid w:val="008A3ABA"/>
    <w:rsid w:val="008A63B7"/>
    <w:rsid w:val="008C68E3"/>
    <w:rsid w:val="008D068A"/>
    <w:rsid w:val="008D150B"/>
    <w:rsid w:val="008D57D5"/>
    <w:rsid w:val="008D5ADE"/>
    <w:rsid w:val="008E246D"/>
    <w:rsid w:val="008F251F"/>
    <w:rsid w:val="009013D4"/>
    <w:rsid w:val="00912EBF"/>
    <w:rsid w:val="00921384"/>
    <w:rsid w:val="0092466C"/>
    <w:rsid w:val="009352E8"/>
    <w:rsid w:val="00955555"/>
    <w:rsid w:val="009636C3"/>
    <w:rsid w:val="00974A46"/>
    <w:rsid w:val="0097655E"/>
    <w:rsid w:val="00976B78"/>
    <w:rsid w:val="00981248"/>
    <w:rsid w:val="0098164F"/>
    <w:rsid w:val="009818C4"/>
    <w:rsid w:val="009A3ADD"/>
    <w:rsid w:val="009B487F"/>
    <w:rsid w:val="009C23A1"/>
    <w:rsid w:val="009C50EA"/>
    <w:rsid w:val="009D1D09"/>
    <w:rsid w:val="009E40A5"/>
    <w:rsid w:val="009E4437"/>
    <w:rsid w:val="009F18AE"/>
    <w:rsid w:val="00A04F8D"/>
    <w:rsid w:val="00A116DF"/>
    <w:rsid w:val="00A11C35"/>
    <w:rsid w:val="00A121F4"/>
    <w:rsid w:val="00A22CEA"/>
    <w:rsid w:val="00A22F52"/>
    <w:rsid w:val="00A35292"/>
    <w:rsid w:val="00A356AB"/>
    <w:rsid w:val="00A57EC1"/>
    <w:rsid w:val="00A602C3"/>
    <w:rsid w:val="00A60E64"/>
    <w:rsid w:val="00A76DBA"/>
    <w:rsid w:val="00A77F14"/>
    <w:rsid w:val="00A81EE9"/>
    <w:rsid w:val="00A82900"/>
    <w:rsid w:val="00A94126"/>
    <w:rsid w:val="00A972FF"/>
    <w:rsid w:val="00AB4A20"/>
    <w:rsid w:val="00AD3554"/>
    <w:rsid w:val="00AD46EF"/>
    <w:rsid w:val="00AE084A"/>
    <w:rsid w:val="00AE355F"/>
    <w:rsid w:val="00AE3EF9"/>
    <w:rsid w:val="00AF143D"/>
    <w:rsid w:val="00AF31E5"/>
    <w:rsid w:val="00AF7232"/>
    <w:rsid w:val="00B11AA0"/>
    <w:rsid w:val="00B15446"/>
    <w:rsid w:val="00B216E5"/>
    <w:rsid w:val="00B22744"/>
    <w:rsid w:val="00B25855"/>
    <w:rsid w:val="00B3143A"/>
    <w:rsid w:val="00B31EC1"/>
    <w:rsid w:val="00B47159"/>
    <w:rsid w:val="00B52C02"/>
    <w:rsid w:val="00B57EA6"/>
    <w:rsid w:val="00B721ED"/>
    <w:rsid w:val="00B754C2"/>
    <w:rsid w:val="00B75776"/>
    <w:rsid w:val="00B87DA5"/>
    <w:rsid w:val="00B92543"/>
    <w:rsid w:val="00B94851"/>
    <w:rsid w:val="00BA2A13"/>
    <w:rsid w:val="00BA6A77"/>
    <w:rsid w:val="00BB2C37"/>
    <w:rsid w:val="00BB40B1"/>
    <w:rsid w:val="00BB521D"/>
    <w:rsid w:val="00BB53D6"/>
    <w:rsid w:val="00BB55A0"/>
    <w:rsid w:val="00BC38DC"/>
    <w:rsid w:val="00BD37B5"/>
    <w:rsid w:val="00BD60B3"/>
    <w:rsid w:val="00BE43CE"/>
    <w:rsid w:val="00BE7946"/>
    <w:rsid w:val="00C13D21"/>
    <w:rsid w:val="00C15958"/>
    <w:rsid w:val="00C302A1"/>
    <w:rsid w:val="00C53D56"/>
    <w:rsid w:val="00C56B1B"/>
    <w:rsid w:val="00C61FA6"/>
    <w:rsid w:val="00C67940"/>
    <w:rsid w:val="00C6798D"/>
    <w:rsid w:val="00C67C63"/>
    <w:rsid w:val="00C705A9"/>
    <w:rsid w:val="00C7272C"/>
    <w:rsid w:val="00C930FD"/>
    <w:rsid w:val="00C95273"/>
    <w:rsid w:val="00CA030E"/>
    <w:rsid w:val="00CA09E3"/>
    <w:rsid w:val="00CA0A45"/>
    <w:rsid w:val="00CB05A0"/>
    <w:rsid w:val="00CB18D8"/>
    <w:rsid w:val="00CC63D1"/>
    <w:rsid w:val="00CD35D4"/>
    <w:rsid w:val="00CE3DD4"/>
    <w:rsid w:val="00CF2F46"/>
    <w:rsid w:val="00CF6110"/>
    <w:rsid w:val="00D00D10"/>
    <w:rsid w:val="00D06993"/>
    <w:rsid w:val="00D07BC7"/>
    <w:rsid w:val="00D1007C"/>
    <w:rsid w:val="00D10686"/>
    <w:rsid w:val="00D264BA"/>
    <w:rsid w:val="00D32518"/>
    <w:rsid w:val="00D33A06"/>
    <w:rsid w:val="00D4461A"/>
    <w:rsid w:val="00D45AC5"/>
    <w:rsid w:val="00D51690"/>
    <w:rsid w:val="00D52CE7"/>
    <w:rsid w:val="00D65D81"/>
    <w:rsid w:val="00D763FF"/>
    <w:rsid w:val="00D815A9"/>
    <w:rsid w:val="00D8717D"/>
    <w:rsid w:val="00DA2110"/>
    <w:rsid w:val="00DA5ED2"/>
    <w:rsid w:val="00DB0BF6"/>
    <w:rsid w:val="00DB5622"/>
    <w:rsid w:val="00DC1FF3"/>
    <w:rsid w:val="00DC6C20"/>
    <w:rsid w:val="00DF09E1"/>
    <w:rsid w:val="00DF5814"/>
    <w:rsid w:val="00E023B7"/>
    <w:rsid w:val="00E03A4F"/>
    <w:rsid w:val="00E13C74"/>
    <w:rsid w:val="00E1751A"/>
    <w:rsid w:val="00E20A93"/>
    <w:rsid w:val="00E25075"/>
    <w:rsid w:val="00E274CA"/>
    <w:rsid w:val="00E27D7A"/>
    <w:rsid w:val="00E314E1"/>
    <w:rsid w:val="00E50977"/>
    <w:rsid w:val="00E536A3"/>
    <w:rsid w:val="00E54E52"/>
    <w:rsid w:val="00E55196"/>
    <w:rsid w:val="00E56CD7"/>
    <w:rsid w:val="00E577F6"/>
    <w:rsid w:val="00E706D5"/>
    <w:rsid w:val="00E838D3"/>
    <w:rsid w:val="00E90F7B"/>
    <w:rsid w:val="00E92704"/>
    <w:rsid w:val="00E9337F"/>
    <w:rsid w:val="00EA26DD"/>
    <w:rsid w:val="00EA7AD6"/>
    <w:rsid w:val="00EB0920"/>
    <w:rsid w:val="00EC4F09"/>
    <w:rsid w:val="00EC60F0"/>
    <w:rsid w:val="00EC717A"/>
    <w:rsid w:val="00ED28DD"/>
    <w:rsid w:val="00EF67C2"/>
    <w:rsid w:val="00F00C38"/>
    <w:rsid w:val="00F11A10"/>
    <w:rsid w:val="00F120D6"/>
    <w:rsid w:val="00F142CC"/>
    <w:rsid w:val="00F14B8A"/>
    <w:rsid w:val="00F16035"/>
    <w:rsid w:val="00F167F6"/>
    <w:rsid w:val="00F17B4F"/>
    <w:rsid w:val="00F2293D"/>
    <w:rsid w:val="00F3330A"/>
    <w:rsid w:val="00F46678"/>
    <w:rsid w:val="00F46EC5"/>
    <w:rsid w:val="00F520CD"/>
    <w:rsid w:val="00F65D6F"/>
    <w:rsid w:val="00F753C4"/>
    <w:rsid w:val="00F819B4"/>
    <w:rsid w:val="00F82CAC"/>
    <w:rsid w:val="00F84012"/>
    <w:rsid w:val="00F85666"/>
    <w:rsid w:val="00F85D61"/>
    <w:rsid w:val="00F90FEA"/>
    <w:rsid w:val="00F915B4"/>
    <w:rsid w:val="00F92B95"/>
    <w:rsid w:val="00FB2DB1"/>
    <w:rsid w:val="00FC7D64"/>
    <w:rsid w:val="00FD0B20"/>
    <w:rsid w:val="00FE15D0"/>
    <w:rsid w:val="00FE1DB3"/>
    <w:rsid w:val="00FE3DF5"/>
    <w:rsid w:val="00FE4D62"/>
    <w:rsid w:val="564117F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350CE63"/>
  <w15:chartTrackingRefBased/>
  <w15:docId w15:val="{C29781EF-278F-4941-802B-FDB9C40F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semiHidden/>
    <w:unhideWhenUsed/>
    <w:qFormat/>
    <w:rsid w:val="00BC38D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13C74"/>
    <w:pPr>
      <w:spacing w:after="120"/>
    </w:pPr>
  </w:style>
  <w:style w:type="character" w:customStyle="1" w:styleId="BodyTextChar">
    <w:name w:val="Body Text Char"/>
    <w:link w:val="BodyText"/>
    <w:rsid w:val="00E13C74"/>
    <w:rPr>
      <w:szCs w:val="24"/>
    </w:rPr>
  </w:style>
  <w:style w:type="paragraph" w:customStyle="1" w:styleId="NormalSS12">
    <w:name w:val="NormalSS 12"/>
    <w:basedOn w:val="Normal"/>
    <w:rsid w:val="00AE355F"/>
    <w:pPr>
      <w:widowControl/>
      <w:tabs>
        <w:tab w:val="left" w:pos="432"/>
      </w:tabs>
      <w:autoSpaceDE/>
      <w:autoSpaceDN/>
      <w:adjustRightInd/>
      <w:spacing w:after="240"/>
      <w:ind w:firstLine="432"/>
      <w:jc w:val="both"/>
    </w:pPr>
    <w:rPr>
      <w:rFonts w:ascii="Garamond" w:hAnsi="Garamond"/>
      <w:sz w:val="24"/>
    </w:rPr>
  </w:style>
  <w:style w:type="character" w:styleId="CommentReference">
    <w:name w:val="annotation reference"/>
    <w:uiPriority w:val="99"/>
    <w:rsid w:val="00003F83"/>
    <w:rPr>
      <w:sz w:val="16"/>
      <w:szCs w:val="16"/>
    </w:rPr>
  </w:style>
  <w:style w:type="paragraph" w:styleId="CommentText">
    <w:name w:val="annotation text"/>
    <w:basedOn w:val="Normal"/>
    <w:link w:val="CommentTextChar"/>
    <w:uiPriority w:val="99"/>
    <w:rsid w:val="00003F83"/>
    <w:rPr>
      <w:szCs w:val="20"/>
    </w:rPr>
  </w:style>
  <w:style w:type="character" w:customStyle="1" w:styleId="CommentTextChar">
    <w:name w:val="Comment Text Char"/>
    <w:basedOn w:val="DefaultParagraphFont"/>
    <w:link w:val="CommentText"/>
    <w:uiPriority w:val="99"/>
    <w:rsid w:val="00003F83"/>
  </w:style>
  <w:style w:type="paragraph" w:styleId="CommentSubject">
    <w:name w:val="annotation subject"/>
    <w:basedOn w:val="CommentText"/>
    <w:next w:val="CommentText"/>
    <w:link w:val="CommentSubjectChar"/>
    <w:rsid w:val="00003F83"/>
    <w:rPr>
      <w:b/>
      <w:bCs/>
    </w:rPr>
  </w:style>
  <w:style w:type="character" w:customStyle="1" w:styleId="CommentSubjectChar">
    <w:name w:val="Comment Subject Char"/>
    <w:link w:val="CommentSubject"/>
    <w:rsid w:val="00003F83"/>
    <w:rPr>
      <w:b/>
      <w:bCs/>
    </w:rPr>
  </w:style>
  <w:style w:type="paragraph" w:styleId="BalloonText">
    <w:name w:val="Balloon Text"/>
    <w:basedOn w:val="Normal"/>
    <w:link w:val="BalloonTextChar"/>
    <w:rsid w:val="00003F83"/>
    <w:rPr>
      <w:rFonts w:ascii="Tahoma" w:hAnsi="Tahoma" w:cs="Tahoma"/>
      <w:sz w:val="16"/>
      <w:szCs w:val="16"/>
    </w:rPr>
  </w:style>
  <w:style w:type="character" w:customStyle="1" w:styleId="BalloonTextChar">
    <w:name w:val="Balloon Text Char"/>
    <w:link w:val="BalloonText"/>
    <w:rsid w:val="00003F83"/>
    <w:rPr>
      <w:rFonts w:ascii="Tahoma" w:hAnsi="Tahoma" w:cs="Tahoma"/>
      <w:sz w:val="16"/>
      <w:szCs w:val="16"/>
    </w:rPr>
  </w:style>
  <w:style w:type="paragraph" w:styleId="ListParagraph">
    <w:name w:val="List Paragraph"/>
    <w:basedOn w:val="Normal"/>
    <w:uiPriority w:val="34"/>
    <w:qFormat/>
    <w:rsid w:val="00EC717A"/>
    <w:pPr>
      <w:ind w:left="720"/>
    </w:pPr>
  </w:style>
  <w:style w:type="paragraph" w:styleId="HTMLPreformatted">
    <w:name w:val="HTML Preformatted"/>
    <w:basedOn w:val="Normal"/>
    <w:link w:val="HTMLPreformattedChar"/>
    <w:uiPriority w:val="99"/>
    <w:unhideWhenUsed/>
    <w:rsid w:val="00AB4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uiPriority w:val="99"/>
    <w:rsid w:val="00AB4A20"/>
    <w:rPr>
      <w:rFonts w:ascii="Courier New" w:hAnsi="Courier New" w:cs="Courier New"/>
    </w:rPr>
  </w:style>
  <w:style w:type="paragraph" w:customStyle="1" w:styleId="TableHeaderCenter">
    <w:name w:val="Table Header Center"/>
    <w:basedOn w:val="Normal"/>
    <w:qFormat/>
    <w:rsid w:val="00B216E5"/>
    <w:pPr>
      <w:widowControl/>
      <w:tabs>
        <w:tab w:val="left" w:pos="432"/>
      </w:tabs>
      <w:autoSpaceDE/>
      <w:autoSpaceDN/>
      <w:adjustRightInd/>
      <w:spacing w:before="120" w:after="60"/>
      <w:jc w:val="center"/>
    </w:pPr>
    <w:rPr>
      <w:rFonts w:ascii="Arial" w:hAnsi="Arial"/>
      <w:sz w:val="18"/>
    </w:rPr>
  </w:style>
  <w:style w:type="paragraph" w:customStyle="1" w:styleId="TableHeaderLeft">
    <w:name w:val="Table Header Left"/>
    <w:basedOn w:val="Normal"/>
    <w:qFormat/>
    <w:rsid w:val="00B216E5"/>
    <w:pPr>
      <w:widowControl/>
      <w:tabs>
        <w:tab w:val="left" w:pos="432"/>
      </w:tabs>
      <w:autoSpaceDE/>
      <w:autoSpaceDN/>
      <w:adjustRightInd/>
      <w:spacing w:before="120" w:after="60"/>
    </w:pPr>
    <w:rPr>
      <w:rFonts w:ascii="Arial" w:hAnsi="Arial"/>
      <w:sz w:val="18"/>
    </w:rPr>
  </w:style>
  <w:style w:type="paragraph" w:customStyle="1" w:styleId="TableText">
    <w:name w:val="Table Text"/>
    <w:basedOn w:val="Normal"/>
    <w:qFormat/>
    <w:rsid w:val="00B216E5"/>
    <w:pPr>
      <w:widowControl/>
      <w:autoSpaceDE/>
      <w:autoSpaceDN/>
      <w:adjustRightInd/>
    </w:pPr>
    <w:rPr>
      <w:rFonts w:ascii="Arial" w:hAnsi="Arial"/>
      <w:sz w:val="18"/>
    </w:rPr>
  </w:style>
  <w:style w:type="paragraph" w:styleId="Header">
    <w:name w:val="header"/>
    <w:basedOn w:val="Normal"/>
    <w:link w:val="HeaderChar"/>
    <w:uiPriority w:val="99"/>
    <w:rsid w:val="009636C3"/>
    <w:pPr>
      <w:tabs>
        <w:tab w:val="center" w:pos="4680"/>
        <w:tab w:val="right" w:pos="9360"/>
      </w:tabs>
    </w:pPr>
  </w:style>
  <w:style w:type="character" w:customStyle="1" w:styleId="HeaderChar">
    <w:name w:val="Header Char"/>
    <w:link w:val="Header"/>
    <w:uiPriority w:val="99"/>
    <w:rsid w:val="009636C3"/>
    <w:rPr>
      <w:szCs w:val="24"/>
    </w:rPr>
  </w:style>
  <w:style w:type="paragraph" w:styleId="Footer">
    <w:name w:val="footer"/>
    <w:basedOn w:val="Normal"/>
    <w:link w:val="FooterChar"/>
    <w:uiPriority w:val="99"/>
    <w:rsid w:val="009636C3"/>
    <w:pPr>
      <w:tabs>
        <w:tab w:val="center" w:pos="4680"/>
        <w:tab w:val="right" w:pos="9360"/>
      </w:tabs>
    </w:pPr>
  </w:style>
  <w:style w:type="character" w:customStyle="1" w:styleId="FooterChar">
    <w:name w:val="Footer Char"/>
    <w:link w:val="Footer"/>
    <w:uiPriority w:val="99"/>
    <w:rsid w:val="009636C3"/>
    <w:rPr>
      <w:szCs w:val="24"/>
    </w:rPr>
  </w:style>
  <w:style w:type="paragraph" w:styleId="TOCHeading">
    <w:name w:val="TOC Heading"/>
    <w:basedOn w:val="Heading1"/>
    <w:next w:val="Normal"/>
    <w:uiPriority w:val="39"/>
    <w:semiHidden/>
    <w:unhideWhenUsed/>
    <w:qFormat/>
    <w:rsid w:val="002664E1"/>
    <w:pPr>
      <w:keepLines/>
      <w:widowControl/>
      <w:autoSpaceDE/>
      <w:autoSpaceDN/>
      <w:adjustRightInd/>
      <w:spacing w:before="480" w:line="276" w:lineRule="auto"/>
      <w:outlineLvl w:val="9"/>
    </w:pPr>
    <w:rPr>
      <w:rFonts w:ascii="Cambria" w:eastAsia="MS Gothic" w:hAnsi="Cambria"/>
      <w:color w:val="365F91"/>
      <w:sz w:val="28"/>
      <w:szCs w:val="28"/>
      <w:lang w:eastAsia="ja-JP"/>
    </w:rPr>
  </w:style>
  <w:style w:type="paragraph" w:styleId="Title">
    <w:name w:val="Title"/>
    <w:basedOn w:val="Normal"/>
    <w:next w:val="Normal"/>
    <w:link w:val="TitleChar"/>
    <w:qFormat/>
    <w:rsid w:val="002664E1"/>
    <w:pPr>
      <w:spacing w:before="240" w:after="60"/>
      <w:jc w:val="center"/>
      <w:outlineLvl w:val="0"/>
    </w:pPr>
    <w:rPr>
      <w:rFonts w:ascii="Cambria" w:hAnsi="Cambria"/>
      <w:b/>
      <w:bCs/>
      <w:kern w:val="28"/>
      <w:sz w:val="32"/>
      <w:szCs w:val="32"/>
    </w:rPr>
  </w:style>
  <w:style w:type="character" w:customStyle="1" w:styleId="TitleChar">
    <w:name w:val="Title Char"/>
    <w:link w:val="Title"/>
    <w:rsid w:val="002664E1"/>
    <w:rPr>
      <w:rFonts w:ascii="Cambria" w:eastAsia="Times New Roman" w:hAnsi="Cambria" w:cs="Times New Roman"/>
      <w:b/>
      <w:bCs/>
      <w:kern w:val="28"/>
      <w:sz w:val="32"/>
      <w:szCs w:val="32"/>
    </w:rPr>
  </w:style>
  <w:style w:type="character" w:customStyle="1" w:styleId="Heading3Char">
    <w:name w:val="Heading 3 Char"/>
    <w:link w:val="Heading3"/>
    <w:semiHidden/>
    <w:rsid w:val="00BC38DC"/>
    <w:rPr>
      <w:rFonts w:ascii="Calibri Light" w:eastAsia="Times New Roman" w:hAnsi="Calibri Light" w:cs="Times New Roman"/>
      <w:b/>
      <w:bCs/>
      <w:sz w:val="26"/>
      <w:szCs w:val="26"/>
    </w:rPr>
  </w:style>
  <w:style w:type="paragraph" w:customStyle="1" w:styleId="NormalSS">
    <w:name w:val="NormalSS"/>
    <w:basedOn w:val="Normal"/>
    <w:link w:val="NormalSSChar"/>
    <w:qFormat/>
    <w:rsid w:val="00AE084A"/>
    <w:pPr>
      <w:widowControl/>
      <w:tabs>
        <w:tab w:val="left" w:pos="432"/>
      </w:tabs>
      <w:autoSpaceDE/>
      <w:autoSpaceDN/>
      <w:adjustRightInd/>
      <w:spacing w:after="240"/>
      <w:ind w:firstLine="432"/>
      <w:jc w:val="both"/>
    </w:pPr>
    <w:rPr>
      <w:rFonts w:ascii="Garamond" w:hAnsi="Garamond"/>
      <w:sz w:val="24"/>
    </w:rPr>
  </w:style>
  <w:style w:type="character" w:customStyle="1" w:styleId="NormalSSChar">
    <w:name w:val="NormalSS Char"/>
    <w:link w:val="NormalSS"/>
    <w:rsid w:val="00AE084A"/>
    <w:rPr>
      <w:rFonts w:ascii="Garamond" w:hAnsi="Garamond"/>
      <w:sz w:val="24"/>
      <w:szCs w:val="24"/>
    </w:rPr>
  </w:style>
  <w:style w:type="paragraph" w:styleId="Revision">
    <w:name w:val="Revision"/>
    <w:hidden/>
    <w:uiPriority w:val="99"/>
    <w:semiHidden/>
    <w:rsid w:val="007C37BC"/>
    <w:rPr>
      <w:szCs w:val="24"/>
    </w:rPr>
  </w:style>
  <w:style w:type="character" w:styleId="Hyperlink">
    <w:name w:val="Hyperlink"/>
    <w:rsid w:val="002C314A"/>
    <w:rPr>
      <w:color w:val="0563C1"/>
      <w:u w:val="single"/>
    </w:rPr>
  </w:style>
  <w:style w:type="character" w:styleId="UnresolvedMention">
    <w:name w:val="Unresolved Mention"/>
    <w:uiPriority w:val="99"/>
    <w:semiHidden/>
    <w:unhideWhenUsed/>
    <w:rsid w:val="002C314A"/>
    <w:rPr>
      <w:color w:val="605E5C"/>
      <w:shd w:val="clear" w:color="auto" w:fill="E1DFDD"/>
    </w:rPr>
  </w:style>
  <w:style w:type="paragraph" w:styleId="FootnoteText">
    <w:name w:val="footnote text"/>
    <w:basedOn w:val="Normal"/>
    <w:link w:val="FootnoteTextChar"/>
    <w:rsid w:val="00152AC9"/>
    <w:rPr>
      <w:szCs w:val="20"/>
    </w:rPr>
  </w:style>
  <w:style w:type="character" w:customStyle="1" w:styleId="FootnoteTextChar">
    <w:name w:val="Footnote Text Char"/>
    <w:basedOn w:val="DefaultParagraphFont"/>
    <w:link w:val="FootnoteText"/>
    <w:rsid w:val="00152AC9"/>
  </w:style>
  <w:style w:type="paragraph" w:customStyle="1" w:styleId="ExhibitSource">
    <w:name w:val="Exhibit Source"/>
    <w:basedOn w:val="Normal"/>
    <w:qFormat/>
    <w:rsid w:val="00B11AA0"/>
    <w:pPr>
      <w:widowControl/>
      <w:autoSpaceDE/>
      <w:autoSpaceDN/>
      <w:adjustRightInd/>
      <w:spacing w:before="60" w:line="264" w:lineRule="auto"/>
    </w:pPr>
    <w:rPr>
      <w:rFonts w:ascii="Arial Narrow" w:hAnsi="Arial Narrow" w:cs="Arial"/>
      <w:sz w:val="18"/>
      <w:szCs w:val="20"/>
    </w:rPr>
  </w:style>
  <w:style w:type="character" w:styleId="FollowedHyperlink">
    <w:name w:val="FollowedHyperlink"/>
    <w:rsid w:val="00B11AA0"/>
    <w:rPr>
      <w:color w:val="954F72"/>
      <w:u w:val="single"/>
    </w:rPr>
  </w:style>
  <w:style w:type="paragraph" w:customStyle="1" w:styleId="Paragraph">
    <w:name w:val="Paragraph"/>
    <w:basedOn w:val="Normal"/>
    <w:qFormat/>
    <w:rsid w:val="00D815A9"/>
    <w:pPr>
      <w:widowControl/>
      <w:autoSpaceDE/>
      <w:autoSpaceDN/>
      <w:adjustRightInd/>
      <w:spacing w:after="160" w:line="264" w:lineRule="auto"/>
    </w:pPr>
    <w:rPr>
      <w:rFonts w:asciiTheme="minorHAnsi" w:eastAsiaTheme="minorHAnsi" w:hAnsiTheme="minorHAnsi" w:cstheme="minorBidi"/>
      <w:sz w:val="22"/>
      <w:szCs w:val="22"/>
    </w:rPr>
  </w:style>
  <w:style w:type="character" w:customStyle="1" w:styleId="normaltextrun">
    <w:name w:val="normaltextrun"/>
    <w:basedOn w:val="DefaultParagraphFont"/>
    <w:semiHidden/>
    <w:rsid w:val="00D8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lexandra.osberg@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6/plaws/publ94/PLAW-116publ94.pdf" TargetMode="External" /><Relationship Id="rId2" Type="http://schemas.openxmlformats.org/officeDocument/2006/relationships/hyperlink" Target="https://www.reginfo.gov/public/do/DownloadDocument?objectID=929419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4" ma:contentTypeDescription="Create a new document." ma:contentTypeScope="" ma:versionID="8fac5cf9d16a3d6244bd0067e9589a16">
  <xsd:schema xmlns:xsd="http://www.w3.org/2001/XMLSchema" xmlns:xs="http://www.w3.org/2001/XMLSchema" xmlns:p="http://schemas.microsoft.com/office/2006/metadata/properties" xmlns:ns2="8fe5286d-1254-45ec-9fb8-bdae67fc9a19" targetNamespace="http://schemas.microsoft.com/office/2006/metadata/properties" ma:root="true" ma:fieldsID="766058916ce1e6cdac931b1833b3c769" ns2:_="">
    <xsd:import namespace="8fe5286d-1254-45ec-9fb8-bdae67fc9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C0E8C-20F4-4F3C-91FF-0F1A73834155}">
  <ds:schemaRefs>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8fe5286d-1254-45ec-9fb8-bdae67fc9a19"/>
    <ds:schemaRef ds:uri="http://purl.org/dc/terms/"/>
  </ds:schemaRefs>
</ds:datastoreItem>
</file>

<file path=customXml/itemProps2.xml><?xml version="1.0" encoding="utf-8"?>
<ds:datastoreItem xmlns:ds="http://schemas.openxmlformats.org/officeDocument/2006/customXml" ds:itemID="{B39C5EBC-7D4E-47EF-BA33-4DF418C4D8E2}">
  <ds:schemaRefs>
    <ds:schemaRef ds:uri="http://schemas.microsoft.com/sharepoint/v3/contenttype/forms"/>
  </ds:schemaRefs>
</ds:datastoreItem>
</file>

<file path=customXml/itemProps3.xml><?xml version="1.0" encoding="utf-8"?>
<ds:datastoreItem xmlns:ds="http://schemas.openxmlformats.org/officeDocument/2006/customXml" ds:itemID="{4E0DB04A-364D-4B76-A88F-5B150CDBF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ED115-A234-4E25-8F0F-50ACF888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4264</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Osberg, Alexandra (HHS/OPHS)</cp:lastModifiedBy>
  <cp:revision>54</cp:revision>
  <cp:lastPrinted>2009-10-02T01:30:00Z</cp:lastPrinted>
  <dcterms:created xsi:type="dcterms:W3CDTF">2022-06-27T16:56:00Z</dcterms:created>
  <dcterms:modified xsi:type="dcterms:W3CDTF">2022-10-13T14:49:00Z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0x01010093B74B517C4DE04889071AB728FBCCFD</vt:lpwstr>
  </property>
</Properties>
</file>