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4B7E" w:rsidR="002B2BE7" w:rsidP="007B3987" w:rsidRDefault="002B2BE7" w14:paraId="7A87E8E5" w14:textId="77777777">
      <w:pPr>
        <w:jc w:val="center"/>
        <w:rPr>
          <w:b/>
        </w:rPr>
      </w:pPr>
      <w:r w:rsidRPr="00DB4B7E">
        <w:rPr>
          <w:b/>
        </w:rPr>
        <w:t>Change Memo for</w:t>
      </w:r>
    </w:p>
    <w:p w:rsidRPr="00DB4B7E" w:rsidR="0097050D" w:rsidP="00531E9F" w:rsidRDefault="0097050D" w14:paraId="757330A5" w14:textId="75BB903B">
      <w:pPr>
        <w:jc w:val="center"/>
        <w:rPr>
          <w:rFonts w:eastAsiaTheme="minorHAnsi"/>
          <w:bCs/>
        </w:rPr>
      </w:pPr>
      <w:r w:rsidRPr="00DB4B7E">
        <w:rPr>
          <w:rFonts w:eastAsiaTheme="minorHAnsi"/>
          <w:bCs/>
        </w:rPr>
        <w:t xml:space="preserve">HHS </w:t>
      </w:r>
      <w:r w:rsidR="00281DD2">
        <w:rPr>
          <w:rFonts w:eastAsiaTheme="minorHAnsi"/>
          <w:bCs/>
        </w:rPr>
        <w:t>Unified Hospital Data Surveillance System</w:t>
      </w:r>
      <w:r w:rsidRPr="00DB4B7E">
        <w:rPr>
          <w:rFonts w:eastAsiaTheme="minorHAnsi"/>
          <w:bCs/>
        </w:rPr>
        <w:t xml:space="preserve"> (U.S. Healthcare COVID-19 Portal) </w:t>
      </w:r>
    </w:p>
    <w:p w:rsidRPr="00DB4B7E" w:rsidR="0097050D" w:rsidP="00531E9F" w:rsidRDefault="0097050D" w14:paraId="1F108F8F" w14:textId="77777777">
      <w:pPr>
        <w:jc w:val="center"/>
        <w:rPr>
          <w:rFonts w:eastAsiaTheme="minorHAnsi"/>
          <w:bCs/>
        </w:rPr>
      </w:pPr>
      <w:r w:rsidRPr="00DB4B7E">
        <w:rPr>
          <w:rFonts w:eastAsiaTheme="minorHAnsi"/>
          <w:bCs/>
        </w:rPr>
        <w:t>Information Collection</w:t>
      </w:r>
    </w:p>
    <w:p w:rsidRPr="00DB4B7E" w:rsidR="00531E9F" w:rsidP="00531E9F" w:rsidRDefault="0097050D" w14:paraId="4E188433" w14:textId="69DEB253">
      <w:pPr>
        <w:jc w:val="center"/>
        <w:rPr>
          <w:bCs/>
        </w:rPr>
      </w:pPr>
      <w:r w:rsidRPr="00DB4B7E">
        <w:rPr>
          <w:rFonts w:eastAsiaTheme="minorHAnsi"/>
          <w:bCs/>
        </w:rPr>
        <w:t xml:space="preserve"> </w:t>
      </w:r>
      <w:r w:rsidRPr="00DB4B7E" w:rsidR="00531E9F">
        <w:rPr>
          <w:bCs/>
        </w:rPr>
        <w:t xml:space="preserve">(OMB Control No. </w:t>
      </w:r>
      <w:r w:rsidRPr="00DB4B7E">
        <w:rPr>
          <w:bCs/>
        </w:rPr>
        <w:t>0990-0478</w:t>
      </w:r>
      <w:r w:rsidRPr="00DB4B7E" w:rsidR="00531E9F">
        <w:rPr>
          <w:bCs/>
        </w:rPr>
        <w:t>)</w:t>
      </w:r>
    </w:p>
    <w:p w:rsidRPr="00DB4B7E" w:rsidR="00531E9F" w:rsidP="00531E9F" w:rsidRDefault="00531E9F" w14:paraId="6D2960CB" w14:textId="109AEDFA">
      <w:pPr>
        <w:jc w:val="center"/>
        <w:rPr>
          <w:bCs/>
        </w:rPr>
      </w:pPr>
      <w:r w:rsidRPr="00DB4B7E">
        <w:rPr>
          <w:bCs/>
        </w:rPr>
        <w:t>Expiration Date: 0</w:t>
      </w:r>
      <w:r w:rsidRPr="00DB4B7E" w:rsidR="0097050D">
        <w:rPr>
          <w:bCs/>
        </w:rPr>
        <w:t>8</w:t>
      </w:r>
      <w:r w:rsidRPr="00DB4B7E">
        <w:rPr>
          <w:bCs/>
        </w:rPr>
        <w:t>/31/2024</w:t>
      </w:r>
    </w:p>
    <w:p w:rsidRPr="00DB4B7E" w:rsidR="00531E9F" w:rsidP="002B2BE7" w:rsidRDefault="00531E9F" w14:paraId="10548B5F" w14:textId="77777777">
      <w:pPr>
        <w:jc w:val="center"/>
        <w:rPr>
          <w:b/>
        </w:rPr>
      </w:pPr>
    </w:p>
    <w:p w:rsidRPr="00DB4B7E" w:rsidR="002B2BE7" w:rsidP="002B2BE7" w:rsidRDefault="002B2BE7" w14:paraId="573C554B" w14:textId="77777777">
      <w:pPr>
        <w:jc w:val="center"/>
        <w:rPr>
          <w:b/>
        </w:rPr>
      </w:pPr>
    </w:p>
    <w:p w:rsidRPr="00DB4B7E" w:rsidR="002B2BE7" w:rsidP="002B2BE7" w:rsidRDefault="002B2BE7" w14:paraId="40A0F264" w14:textId="77777777">
      <w:pPr>
        <w:jc w:val="center"/>
        <w:rPr>
          <w:b/>
        </w:rPr>
      </w:pPr>
    </w:p>
    <w:p w:rsidRPr="00DB4B7E" w:rsidR="002B2BE7" w:rsidP="002B2BE7" w:rsidRDefault="002B2BE7" w14:paraId="797FBF7D" w14:textId="77777777">
      <w:pPr>
        <w:jc w:val="center"/>
        <w:rPr>
          <w:b/>
        </w:rPr>
      </w:pPr>
    </w:p>
    <w:p w:rsidRPr="00DB4B7E" w:rsidR="002B2BE7" w:rsidP="002B2BE7" w:rsidRDefault="002B2BE7" w14:paraId="34E22475" w14:textId="77777777">
      <w:pPr>
        <w:jc w:val="center"/>
        <w:rPr>
          <w:b/>
        </w:rPr>
      </w:pPr>
    </w:p>
    <w:p w:rsidRPr="00DB4B7E" w:rsidR="002B2BE7" w:rsidP="002B2BE7" w:rsidRDefault="002B2BE7" w14:paraId="629D74B1" w14:textId="77777777">
      <w:pPr>
        <w:jc w:val="center"/>
        <w:rPr>
          <w:b/>
        </w:rPr>
      </w:pPr>
    </w:p>
    <w:p w:rsidRPr="00DB4B7E" w:rsidR="002B2BE7" w:rsidP="002B2BE7" w:rsidRDefault="002B2BE7" w14:paraId="4D92A27C" w14:textId="77777777">
      <w:pPr>
        <w:jc w:val="center"/>
        <w:rPr>
          <w:b/>
        </w:rPr>
      </w:pPr>
    </w:p>
    <w:p w:rsidRPr="00DB4B7E" w:rsidR="002B2BE7" w:rsidP="002B2BE7" w:rsidRDefault="002B2BE7" w14:paraId="0D705660" w14:textId="77777777">
      <w:pPr>
        <w:jc w:val="center"/>
        <w:rPr>
          <w:b/>
        </w:rPr>
      </w:pPr>
    </w:p>
    <w:p w:rsidRPr="00DB4B7E" w:rsidR="002B2BE7" w:rsidP="002B2BE7" w:rsidRDefault="002B2BE7" w14:paraId="29AE66DC" w14:textId="77777777">
      <w:pPr>
        <w:jc w:val="center"/>
        <w:rPr>
          <w:b/>
        </w:rPr>
      </w:pPr>
    </w:p>
    <w:p w:rsidRPr="00DB4B7E" w:rsidR="002B2BE7" w:rsidP="002B2BE7" w:rsidRDefault="002B2BE7" w14:paraId="22ACD26D" w14:textId="77777777">
      <w:pPr>
        <w:jc w:val="center"/>
        <w:rPr>
          <w:b/>
        </w:rPr>
      </w:pPr>
    </w:p>
    <w:p w:rsidRPr="00DB4B7E" w:rsidR="002B2BE7" w:rsidP="005F1C76" w:rsidRDefault="002B2BE7" w14:paraId="0388B238" w14:textId="77777777">
      <w:pPr>
        <w:rPr>
          <w:b/>
        </w:rPr>
      </w:pPr>
    </w:p>
    <w:p w:rsidRPr="00DB4B7E" w:rsidR="002B2BE7" w:rsidP="002B2BE7" w:rsidRDefault="002B2BE7" w14:paraId="2E29CB30" w14:textId="77777777">
      <w:pPr>
        <w:jc w:val="center"/>
        <w:rPr>
          <w:b/>
        </w:rPr>
      </w:pPr>
    </w:p>
    <w:p w:rsidRPr="00DB4B7E" w:rsidR="002B2BE7" w:rsidP="002B2BE7" w:rsidRDefault="002B2BE7" w14:paraId="76C57916" w14:textId="77777777">
      <w:pPr>
        <w:jc w:val="center"/>
        <w:rPr>
          <w:b/>
        </w:rPr>
      </w:pPr>
    </w:p>
    <w:p w:rsidRPr="00DB4B7E" w:rsidR="003A0DC7" w:rsidP="007374AD" w:rsidRDefault="003A0DC7" w14:paraId="3DD60136" w14:textId="55F93E1F">
      <w:pPr>
        <w:rPr>
          <w:b/>
        </w:rPr>
      </w:pPr>
    </w:p>
    <w:p w:rsidRPr="00DB4B7E" w:rsidR="003A0DC7" w:rsidP="002B2BE7" w:rsidRDefault="003A0DC7" w14:paraId="55D10C5E" w14:textId="4FD45B92">
      <w:pPr>
        <w:jc w:val="center"/>
        <w:rPr>
          <w:b/>
        </w:rPr>
      </w:pPr>
    </w:p>
    <w:p w:rsidRPr="00DB4B7E" w:rsidR="003A0DC7" w:rsidP="002B2BE7" w:rsidRDefault="003A0DC7" w14:paraId="20C9DFAF" w14:textId="7B9708C6">
      <w:pPr>
        <w:jc w:val="center"/>
        <w:rPr>
          <w:b/>
        </w:rPr>
      </w:pPr>
    </w:p>
    <w:p w:rsidRPr="00DB4B7E" w:rsidR="003A0DC7" w:rsidP="002B2BE7" w:rsidRDefault="003A0DC7" w14:paraId="6C3889B7" w14:textId="77777777">
      <w:pPr>
        <w:jc w:val="center"/>
        <w:rPr>
          <w:b/>
        </w:rPr>
      </w:pPr>
    </w:p>
    <w:p w:rsidRPr="00DB4B7E" w:rsidR="002B2BE7" w:rsidP="002B2BE7" w:rsidRDefault="002B2BE7" w14:paraId="2D303258" w14:textId="1F680CB1">
      <w:pPr>
        <w:jc w:val="center"/>
        <w:rPr>
          <w:b/>
        </w:rPr>
      </w:pPr>
    </w:p>
    <w:p w:rsidRPr="00DB4B7E" w:rsidR="003A0DC7" w:rsidP="002B2BE7" w:rsidRDefault="003A0DC7" w14:paraId="75BBA176" w14:textId="77777777">
      <w:pPr>
        <w:jc w:val="center"/>
        <w:rPr>
          <w:b/>
        </w:rPr>
      </w:pPr>
    </w:p>
    <w:p w:rsidRPr="00DB4B7E" w:rsidR="00941346" w:rsidP="002B2BE7" w:rsidRDefault="002B2BE7" w14:paraId="46E64F6B" w14:textId="514C2583">
      <w:pPr>
        <w:rPr>
          <w:b/>
          <w:u w:val="single"/>
        </w:rPr>
      </w:pPr>
      <w:r w:rsidRPr="00DB4B7E">
        <w:rPr>
          <w:b/>
          <w:u w:val="single"/>
        </w:rPr>
        <w:t>Program Contact</w:t>
      </w:r>
      <w:r w:rsidR="00D15B65">
        <w:rPr>
          <w:b/>
          <w:u w:val="single"/>
        </w:rPr>
        <w:t>s</w:t>
      </w:r>
    </w:p>
    <w:p w:rsidRPr="00D15B65" w:rsidR="00941346" w:rsidP="002B2BE7" w:rsidRDefault="00941346" w14:paraId="650B19C0" w14:textId="77777777">
      <w:pPr>
        <w:rPr>
          <w:b/>
          <w:u w:val="single"/>
        </w:rPr>
      </w:pPr>
    </w:p>
    <w:p w:rsidRPr="00D15B65" w:rsidR="00E256BE" w:rsidP="002B2BE7" w:rsidRDefault="00E256BE" w14:paraId="04375233" w14:textId="44EDF70A">
      <w:pPr>
        <w:rPr>
          <w:bCs/>
        </w:rPr>
      </w:pPr>
      <w:r w:rsidRPr="00D15B65">
        <w:rPr>
          <w:bCs/>
        </w:rPr>
        <w:t>Brittney Seiler</w:t>
      </w:r>
    </w:p>
    <w:p w:rsidRPr="007374AD" w:rsidR="00E256BE" w:rsidP="00E256BE" w:rsidRDefault="00E256BE" w14:paraId="48BC26BF" w14:textId="1A902C03">
      <w:pPr>
        <w:rPr>
          <w:bCs/>
        </w:rPr>
      </w:pPr>
      <w:r w:rsidRPr="007374AD">
        <w:t>Senior Advisor, National Healthcare Preparedness Programs</w:t>
      </w:r>
    </w:p>
    <w:p w:rsidRPr="007374AD" w:rsidR="00E256BE" w:rsidP="00E256BE" w:rsidRDefault="00E256BE" w14:paraId="75273757" w14:textId="77777777">
      <w:r w:rsidRPr="007374AD">
        <w:t>Office of Emergency Management and Medical Operations, Readiness Division</w:t>
      </w:r>
    </w:p>
    <w:p w:rsidRPr="007374AD" w:rsidR="00E256BE" w:rsidP="00E256BE" w:rsidRDefault="00A8570D" w14:paraId="7C82E928" w14:textId="379913B5">
      <w:r>
        <w:t>Administration</w:t>
      </w:r>
      <w:r w:rsidRPr="007374AD" w:rsidR="00E256BE">
        <w:t xml:space="preserve"> for</w:t>
      </w:r>
      <w:r>
        <w:t xml:space="preserve"> Strategic</w:t>
      </w:r>
      <w:r w:rsidRPr="007374AD" w:rsidR="00E256BE">
        <w:t xml:space="preserve"> Preparedness and Response</w:t>
      </w:r>
    </w:p>
    <w:p w:rsidRPr="007374AD" w:rsidR="00E256BE" w:rsidP="00E256BE" w:rsidRDefault="00E256BE" w14:paraId="06E1F0CF" w14:textId="49C66689">
      <w:r w:rsidRPr="007374AD">
        <w:t>Phone: 202-205-9717</w:t>
      </w:r>
    </w:p>
    <w:p w:rsidR="00E256BE" w:rsidP="00E256BE" w:rsidRDefault="00E256BE" w14:paraId="5B588509" w14:textId="117A8820">
      <w:pPr>
        <w:rPr>
          <w:color w:val="002060"/>
        </w:rPr>
      </w:pPr>
      <w:r w:rsidRPr="007374AD">
        <w:t xml:space="preserve">Email: </w:t>
      </w:r>
      <w:hyperlink w:history="1" r:id="rId8">
        <w:r w:rsidRPr="003E1A8D">
          <w:rPr>
            <w:rStyle w:val="Hyperlink"/>
          </w:rPr>
          <w:t>Brittney.Seiler@hhs.gov</w:t>
        </w:r>
      </w:hyperlink>
    </w:p>
    <w:p w:rsidRPr="007374AD" w:rsidR="00E256BE" w:rsidP="00E256BE" w:rsidRDefault="00E256BE" w14:paraId="4A26DED2" w14:textId="77777777"/>
    <w:p w:rsidRPr="007374AD" w:rsidR="00E256BE" w:rsidP="00E256BE" w:rsidRDefault="00E256BE" w14:paraId="3FE4E461" w14:textId="02C9A427">
      <w:r w:rsidRPr="007374AD">
        <w:t>CDR Sayeedha Uddin</w:t>
      </w:r>
    </w:p>
    <w:p w:rsidRPr="007374AD" w:rsidR="00E256BE" w:rsidP="00E256BE" w:rsidRDefault="00E256BE" w14:paraId="0CAB0E6A" w14:textId="0F8D006C">
      <w:r w:rsidRPr="007374AD">
        <w:t>Chief Health Informatics Officer</w:t>
      </w:r>
    </w:p>
    <w:p w:rsidRPr="007374AD" w:rsidR="00E256BE" w:rsidP="00E256BE" w:rsidRDefault="00A8570D" w14:paraId="10DFD347" w14:textId="63766DBD">
      <w:r>
        <w:t>Administration</w:t>
      </w:r>
      <w:r w:rsidRPr="007374AD">
        <w:t xml:space="preserve"> for</w:t>
      </w:r>
      <w:r>
        <w:t xml:space="preserve"> Strategic</w:t>
      </w:r>
      <w:r w:rsidRPr="007374AD">
        <w:t xml:space="preserve"> </w:t>
      </w:r>
      <w:r w:rsidRPr="007374AD" w:rsidR="00E256BE">
        <w:t>Preparedness and Response</w:t>
      </w:r>
    </w:p>
    <w:p w:rsidRPr="007374AD" w:rsidR="00E256BE" w:rsidP="00E256BE" w:rsidRDefault="00E256BE" w14:paraId="64AD16F2" w14:textId="157EECB4">
      <w:r w:rsidRPr="007374AD">
        <w:t>Phone:</w:t>
      </w:r>
      <w:r w:rsidRPr="007374AD" w:rsidR="00D15B65">
        <w:t xml:space="preserve"> 202-699-1874</w:t>
      </w:r>
    </w:p>
    <w:p w:rsidR="00E256BE" w:rsidP="00E256BE" w:rsidRDefault="00E256BE" w14:paraId="4EDC9707" w14:textId="0F3CEA81">
      <w:pPr>
        <w:rPr>
          <w:color w:val="002060"/>
        </w:rPr>
      </w:pPr>
      <w:r w:rsidRPr="007374AD">
        <w:t xml:space="preserve">Email: </w:t>
      </w:r>
      <w:hyperlink w:history="1" r:id="rId9">
        <w:r w:rsidRPr="003E1A8D">
          <w:rPr>
            <w:rStyle w:val="Hyperlink"/>
          </w:rPr>
          <w:t>Sayeedha.Uddin@hhs.gov</w:t>
        </w:r>
      </w:hyperlink>
      <w:r>
        <w:rPr>
          <w:color w:val="002060"/>
        </w:rPr>
        <w:t xml:space="preserve"> </w:t>
      </w:r>
    </w:p>
    <w:p w:rsidR="00E256BE" w:rsidP="00E256BE" w:rsidRDefault="00E256BE" w14:paraId="32565D0E" w14:textId="77777777">
      <w:pPr>
        <w:rPr>
          <w:color w:val="002060"/>
        </w:rPr>
      </w:pPr>
    </w:p>
    <w:p w:rsidR="00AF4B4A" w:rsidP="002B2BE7" w:rsidRDefault="00AF4B4A" w14:paraId="4A5B9766" w14:textId="36CBF713">
      <w:pPr>
        <w:rPr>
          <w:bCs/>
        </w:rPr>
      </w:pPr>
    </w:p>
    <w:p w:rsidR="00AF4B4A" w:rsidP="002B2BE7" w:rsidRDefault="00AF4B4A" w14:paraId="49D277A2" w14:textId="2A4452A0">
      <w:pPr>
        <w:rPr>
          <w:bCs/>
        </w:rPr>
      </w:pPr>
    </w:p>
    <w:p w:rsidR="00AF4B4A" w:rsidP="002B2BE7" w:rsidRDefault="00AF4B4A" w14:paraId="1A2296A0" w14:textId="3BF92B14">
      <w:pPr>
        <w:rPr>
          <w:bCs/>
        </w:rPr>
      </w:pPr>
    </w:p>
    <w:p w:rsidR="00AF4B4A" w:rsidP="002B2BE7" w:rsidRDefault="00AF4B4A" w14:paraId="60F66585" w14:textId="67A1958D">
      <w:pPr>
        <w:rPr>
          <w:bCs/>
        </w:rPr>
      </w:pPr>
    </w:p>
    <w:p w:rsidR="00AF4B4A" w:rsidP="002B2BE7" w:rsidRDefault="00AF4B4A" w14:paraId="3CF33430" w14:textId="5925F9D7">
      <w:pPr>
        <w:rPr>
          <w:bCs/>
        </w:rPr>
      </w:pPr>
    </w:p>
    <w:p w:rsidR="00AF4B4A" w:rsidP="002B2BE7" w:rsidRDefault="00AF4B4A" w14:paraId="20EE963B" w14:textId="7C062933">
      <w:pPr>
        <w:rPr>
          <w:bCs/>
        </w:rPr>
      </w:pPr>
    </w:p>
    <w:p w:rsidRPr="00DB4B7E" w:rsidR="00AF4B4A" w:rsidP="002B2BE7" w:rsidRDefault="00AF4B4A" w14:paraId="13678C94" w14:textId="77777777">
      <w:pPr>
        <w:rPr>
          <w:bCs/>
        </w:rPr>
      </w:pPr>
    </w:p>
    <w:p w:rsidRPr="00DB4B7E" w:rsidR="0097050D" w:rsidRDefault="0097050D" w14:paraId="41EC1863" w14:textId="3C705910">
      <w:pPr>
        <w:spacing w:after="160" w:line="259" w:lineRule="auto"/>
        <w:rPr>
          <w:b/>
        </w:rPr>
      </w:pPr>
    </w:p>
    <w:p w:rsidR="00A8570D" w:rsidP="002B2BE7" w:rsidRDefault="00A8570D" w14:paraId="5C86E34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rPr>
      </w:pPr>
    </w:p>
    <w:p w:rsidRPr="00DB4B7E" w:rsidR="002B2BE7" w:rsidP="002B2BE7" w:rsidRDefault="002B2BE7" w14:paraId="74192CA4" w14:textId="6A81F0F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DB4B7E">
        <w:rPr>
          <w:b/>
        </w:rPr>
        <w:lastRenderedPageBreak/>
        <w:t>Submission Date:</w:t>
      </w:r>
      <w:r w:rsidRPr="00DB4B7E">
        <w:t xml:space="preserve"> </w:t>
      </w:r>
      <w:r w:rsidR="002D019C">
        <w:t>Ju</w:t>
      </w:r>
      <w:r w:rsidR="0004139D">
        <w:t>ly</w:t>
      </w:r>
      <w:r w:rsidR="002D019C">
        <w:t xml:space="preserve"> X</w:t>
      </w:r>
      <w:r w:rsidR="00B541F1">
        <w:t>,</w:t>
      </w:r>
      <w:r w:rsidRPr="00580526" w:rsidR="0097050D">
        <w:t xml:space="preserve"> </w:t>
      </w:r>
      <w:r w:rsidRPr="00580526" w:rsidR="009F3420">
        <w:t>202</w:t>
      </w:r>
      <w:r w:rsidR="002D019C">
        <w:t>2</w:t>
      </w:r>
    </w:p>
    <w:p w:rsidRPr="00DB4B7E" w:rsidR="00941346" w:rsidP="002B2BE7" w:rsidRDefault="00941346" w14:paraId="4C7942B8" w14:textId="084B4F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DB4B7E" w:rsidR="002540C4" w:rsidP="00281300" w:rsidRDefault="00281300" w14:paraId="27017F79" w14:textId="48335C10">
      <w:pPr>
        <w:rPr>
          <w:rFonts w:eastAsiaTheme="minorHAnsi" w:cstheme="minorBidi"/>
          <w:szCs w:val="22"/>
        </w:rPr>
      </w:pPr>
      <w:r w:rsidRPr="00DB4B7E">
        <w:rPr>
          <w:rFonts w:eastAsiaTheme="minorHAnsi" w:cstheme="minorBidi"/>
          <w:szCs w:val="22"/>
        </w:rPr>
        <w:t xml:space="preserve">The </w:t>
      </w:r>
      <w:r w:rsidRPr="00DB4B7E" w:rsidR="0097050D">
        <w:rPr>
          <w:rFonts w:eastAsiaTheme="minorHAnsi" w:cstheme="minorBidi"/>
          <w:szCs w:val="22"/>
        </w:rPr>
        <w:t xml:space="preserve">Department of Health and Human Services </w:t>
      </w:r>
      <w:r w:rsidRPr="00DB4B7E">
        <w:rPr>
          <w:rFonts w:eastAsiaTheme="minorHAnsi" w:cstheme="minorBidi"/>
          <w:szCs w:val="22"/>
        </w:rPr>
        <w:t xml:space="preserve">requests </w:t>
      </w:r>
      <w:r w:rsidR="00B541F1">
        <w:rPr>
          <w:rFonts w:eastAsiaTheme="minorHAnsi" w:cstheme="minorBidi"/>
          <w:szCs w:val="22"/>
        </w:rPr>
        <w:t xml:space="preserve">an emergency revision </w:t>
      </w:r>
      <w:r w:rsidRPr="00DB4B7E">
        <w:rPr>
          <w:rFonts w:eastAsiaTheme="minorHAnsi" w:cstheme="minorBidi"/>
          <w:szCs w:val="22"/>
        </w:rPr>
        <w:t xml:space="preserve">of </w:t>
      </w:r>
      <w:r w:rsidRPr="00DB4B7E" w:rsidR="00475CA4">
        <w:rPr>
          <w:rFonts w:eastAsiaTheme="minorHAnsi" w:cstheme="minorBidi"/>
          <w:szCs w:val="22"/>
        </w:rPr>
        <w:t xml:space="preserve">an </w:t>
      </w:r>
      <w:r w:rsidRPr="00DB4B7E">
        <w:rPr>
          <w:rFonts w:eastAsiaTheme="minorHAnsi" w:cstheme="minorBidi"/>
          <w:szCs w:val="22"/>
        </w:rPr>
        <w:t xml:space="preserve">approved Information Collection Request: </w:t>
      </w:r>
    </w:p>
    <w:p w:rsidRPr="00DB4B7E" w:rsidR="00D314F5" w:rsidP="00281300" w:rsidRDefault="00D314F5" w14:paraId="2129F818" w14:textId="77777777">
      <w:pPr>
        <w:rPr>
          <w:rFonts w:eastAsiaTheme="minorHAnsi" w:cstheme="minorBidi"/>
          <w:szCs w:val="22"/>
        </w:rPr>
      </w:pPr>
    </w:p>
    <w:p w:rsidRPr="00AB4732" w:rsidR="002540C4" w:rsidP="00AB4732" w:rsidRDefault="0097050D" w14:paraId="0EF86C4F" w14:textId="52AAE69A">
      <w:pPr>
        <w:pStyle w:val="Default"/>
      </w:pPr>
      <w:r w:rsidRPr="00DB4B7E">
        <w:rPr>
          <w:rFonts w:cstheme="minorBidi"/>
          <w:szCs w:val="22"/>
        </w:rPr>
        <w:t xml:space="preserve">HHS </w:t>
      </w:r>
      <w:r w:rsidR="00281DD2">
        <w:rPr>
          <w:sz w:val="23"/>
          <w:szCs w:val="23"/>
        </w:rPr>
        <w:t>Unified Hospital Data Surveillance System, UHDSS</w:t>
      </w:r>
      <w:r w:rsidRPr="00AB4732" w:rsidR="00281DD2">
        <w:rPr>
          <w:sz w:val="23"/>
          <w:szCs w:val="23"/>
        </w:rPr>
        <w:t xml:space="preserve"> </w:t>
      </w:r>
      <w:r w:rsidRPr="00AB4732">
        <w:rPr>
          <w:rFonts w:cstheme="minorBidi"/>
          <w:szCs w:val="22"/>
        </w:rPr>
        <w:t xml:space="preserve">(U.S. Healthcare COVID-19 </w:t>
      </w:r>
      <w:proofErr w:type="gramStart"/>
      <w:r w:rsidRPr="00AB4732">
        <w:rPr>
          <w:rFonts w:cstheme="minorBidi"/>
          <w:szCs w:val="22"/>
        </w:rPr>
        <w:t xml:space="preserve">Portal) </w:t>
      </w:r>
      <w:r w:rsidRPr="00AB4732">
        <w:t xml:space="preserve"> (</w:t>
      </w:r>
      <w:proofErr w:type="gramEnd"/>
      <w:r w:rsidRPr="00AB4732">
        <w:t>OMB Control No. 0990-0478)</w:t>
      </w:r>
      <w:r w:rsidRPr="00AB4732" w:rsidR="002540C4">
        <w:t xml:space="preserve">  </w:t>
      </w:r>
    </w:p>
    <w:p w:rsidRPr="00DB4B7E" w:rsidR="002540C4" w:rsidP="002540C4" w:rsidRDefault="002540C4" w14:paraId="4963B0F1" w14:textId="31F33CF7">
      <w:pPr>
        <w:rPr>
          <w:rFonts w:eastAsiaTheme="minorHAnsi" w:cstheme="minorBidi"/>
          <w:szCs w:val="22"/>
        </w:rPr>
      </w:pPr>
    </w:p>
    <w:p w:rsidRPr="00DB4B7E" w:rsidR="00E42F23" w:rsidP="002540C4" w:rsidRDefault="00F11E11" w14:paraId="44C33DA7" w14:textId="398D0F94">
      <w:pPr>
        <w:rPr>
          <w:u w:val="single"/>
        </w:rPr>
      </w:pPr>
      <w:r w:rsidRPr="00DB4B7E">
        <w:rPr>
          <w:u w:val="single"/>
        </w:rPr>
        <w:t>Changes</w:t>
      </w:r>
    </w:p>
    <w:p w:rsidRPr="00DB4B7E" w:rsidR="00F11E11" w:rsidP="002540C4" w:rsidRDefault="00F11E11" w14:paraId="3888AE67" w14:textId="17B8BEBE">
      <w:r w:rsidRPr="00DB4B7E">
        <w:t xml:space="preserve">The following </w:t>
      </w:r>
      <w:r w:rsidR="00B541F1">
        <w:t>revision</w:t>
      </w:r>
      <w:r w:rsidRPr="00DB4B7E">
        <w:t xml:space="preserve"> changes are proposed to the requested federal data collection.  The substantive change consists of making some fields </w:t>
      </w:r>
      <w:r w:rsidRPr="00DB4B7E" w:rsidR="00383D2D">
        <w:t xml:space="preserve">inactive </w:t>
      </w:r>
      <w:r w:rsidR="006D00F8">
        <w:t>for</w:t>
      </w:r>
      <w:r w:rsidRPr="006D00F8" w:rsidR="00383D2D">
        <w:t xml:space="preserve"> </w:t>
      </w:r>
      <w:r w:rsidRPr="006D00F8">
        <w:t>federal</w:t>
      </w:r>
      <w:r w:rsidRPr="00DB4B7E">
        <w:t xml:space="preserve"> </w:t>
      </w:r>
      <w:r w:rsidRPr="00DB4B7E" w:rsidR="00383D2D">
        <w:t>data collection</w:t>
      </w:r>
      <w:r w:rsidRPr="00DB4B7E">
        <w:t xml:space="preserve"> </w:t>
      </w:r>
      <w:r w:rsidR="00B541F1">
        <w:t xml:space="preserve">and </w:t>
      </w:r>
      <w:r w:rsidRPr="00DB4B7E">
        <w:t>changes to the cadence of reporting</w:t>
      </w:r>
      <w:r w:rsidR="002D019C">
        <w:t xml:space="preserve"> for a subset of hospital types</w:t>
      </w:r>
      <w:r w:rsidR="00B541F1">
        <w:t>.</w:t>
      </w:r>
      <w:r w:rsidRPr="00DB4B7E">
        <w:t xml:space="preserve">  These changes are necessary to help the nation continue to track and manage the national COVID-19 response, and reduce the burden of hospital reporting, while allowing states the flexibility to continue their respective data collection systems. </w:t>
      </w:r>
      <w:r w:rsidRPr="00DB4B7E" w:rsidR="006B3154">
        <w:t xml:space="preserve">The changes discussed will reduce the number of data elements from </w:t>
      </w:r>
      <w:r w:rsidR="0086628F">
        <w:t>8</w:t>
      </w:r>
      <w:r w:rsidR="007D4ACE">
        <w:t>2</w:t>
      </w:r>
      <w:r w:rsidRPr="00DB4B7E" w:rsidR="0086628F">
        <w:t xml:space="preserve"> </w:t>
      </w:r>
      <w:r w:rsidRPr="00DB4B7E" w:rsidR="006B3154">
        <w:t xml:space="preserve">fields to approximately </w:t>
      </w:r>
      <w:r w:rsidR="007D4ACE">
        <w:t>69</w:t>
      </w:r>
      <w:r w:rsidR="0086628F">
        <w:t xml:space="preserve"> </w:t>
      </w:r>
      <w:r w:rsidR="006A11CB">
        <w:t>fields</w:t>
      </w:r>
      <w:r w:rsidR="00CA64DC">
        <w:t xml:space="preserve"> and reduce the burden of reporting by </w:t>
      </w:r>
      <w:r w:rsidR="00281DD2">
        <w:t>9</w:t>
      </w:r>
      <w:r w:rsidR="00BC3D82">
        <w:t xml:space="preserve"> </w:t>
      </w:r>
      <w:r w:rsidR="00CA64DC">
        <w:t>minutes</w:t>
      </w:r>
      <w:r w:rsidRPr="00DB4B7E" w:rsidR="006B3154">
        <w:t>.</w:t>
      </w:r>
      <w:r w:rsidRPr="00DB4B7E">
        <w:t xml:space="preserve"> </w:t>
      </w:r>
    </w:p>
    <w:p w:rsidRPr="00DB4B7E" w:rsidR="00F11E11" w:rsidP="002540C4" w:rsidRDefault="00F11E11" w14:paraId="44C61AFA" w14:textId="77777777"/>
    <w:p w:rsidRPr="00DB4B7E" w:rsidR="00F11E11" w:rsidP="002540C4" w:rsidRDefault="00F11E11" w14:paraId="3DD5DC2D" w14:textId="77777777">
      <w:r w:rsidRPr="00DB4B7E">
        <w:t>The following high-level changes by section are detailed:</w:t>
      </w:r>
    </w:p>
    <w:p w:rsidRPr="00DB4B7E" w:rsidR="00F11E11" w:rsidP="002540C4" w:rsidRDefault="00F11E11" w14:paraId="6BD0715C" w14:textId="77777777"/>
    <w:p w:rsidRPr="00DB4B7E" w:rsidR="006B3154" w:rsidP="00BC3D82" w:rsidRDefault="006B3154" w14:paraId="0904FC7B" w14:textId="6F0ECCEF">
      <w:pPr>
        <w:pStyle w:val="ListParagraph"/>
      </w:pPr>
    </w:p>
    <w:p w:rsidRPr="00F672AD" w:rsidR="006B3154" w:rsidP="006B3154" w:rsidRDefault="00081100" w14:paraId="736DCFDC" w14:textId="247A7381">
      <w:pPr>
        <w:pStyle w:val="ListParagraph"/>
        <w:numPr>
          <w:ilvl w:val="0"/>
          <w:numId w:val="4"/>
        </w:numPr>
      </w:pPr>
      <w:r w:rsidRPr="00DB4B7E">
        <w:t xml:space="preserve">Make </w:t>
      </w:r>
      <w:r w:rsidRPr="00F672AD">
        <w:t xml:space="preserve">inactive </w:t>
      </w:r>
      <w:r w:rsidR="00F672AD">
        <w:t xml:space="preserve">selected </w:t>
      </w:r>
      <w:r w:rsidRPr="00F672AD" w:rsidR="006B3154">
        <w:t>data reporting elements as follows</w:t>
      </w:r>
    </w:p>
    <w:p w:rsidRPr="00DB4B7E" w:rsidR="006B3154" w:rsidP="006B3154" w:rsidRDefault="0086628F" w14:paraId="6597FABB" w14:textId="6468EFDD">
      <w:pPr>
        <w:pStyle w:val="ListParagraph"/>
        <w:numPr>
          <w:ilvl w:val="1"/>
          <w:numId w:val="4"/>
        </w:numPr>
      </w:pPr>
      <w:r>
        <w:t>Therapeutics fields</w:t>
      </w:r>
      <w:r w:rsidRPr="00DB4B7E" w:rsidR="006B3154">
        <w:t xml:space="preserve">: </w:t>
      </w:r>
      <w:r>
        <w:t>these data will be</w:t>
      </w:r>
      <w:r w:rsidR="00585693">
        <w:t xml:space="preserve"> made inactive through UHDSS collection and</w:t>
      </w:r>
      <w:r>
        <w:t xml:space="preserve"> reported through the HPOP syst</w:t>
      </w:r>
      <w:r w:rsidR="00585693">
        <w:t>em</w:t>
      </w:r>
    </w:p>
    <w:p w:rsidRPr="00DB4B7E" w:rsidR="006B3154" w:rsidP="006B3154" w:rsidRDefault="0086628F" w14:paraId="1DD830DC" w14:textId="28C6EC3F">
      <w:pPr>
        <w:pStyle w:val="ListParagraph"/>
        <w:numPr>
          <w:ilvl w:val="1"/>
          <w:numId w:val="4"/>
        </w:numPr>
      </w:pPr>
      <w:r>
        <w:t>Vaccination</w:t>
      </w:r>
      <w:r w:rsidRPr="00DB4B7E" w:rsidR="006B3154">
        <w:t xml:space="preserve">: </w:t>
      </w:r>
      <w:r w:rsidR="00DB0E96">
        <w:t>Reduce</w:t>
      </w:r>
      <w:r w:rsidRPr="00DB4B7E" w:rsidR="006B3154">
        <w:t xml:space="preserve"> ED overflow and hospital COVID deaths fields</w:t>
      </w:r>
    </w:p>
    <w:p w:rsidR="006B3154" w:rsidP="00AB4732" w:rsidRDefault="006B3154" w14:paraId="2AB589D3" w14:textId="17CCDB4D">
      <w:r w:rsidRPr="00580526">
        <w:t xml:space="preserve"> </w:t>
      </w:r>
    </w:p>
    <w:p w:rsidRPr="00580526" w:rsidR="00585693" w:rsidP="00AB4732" w:rsidRDefault="00585693" w14:paraId="4D6AAD7D" w14:textId="5F8A554A">
      <w:pPr>
        <w:pStyle w:val="ListParagraph"/>
        <w:numPr>
          <w:ilvl w:val="0"/>
          <w:numId w:val="4"/>
        </w:numPr>
      </w:pPr>
      <w:r>
        <w:t>Psychiatric and rehabilitation hospitals will be required to report once annually for the prior week</w:t>
      </w:r>
    </w:p>
    <w:p w:rsidRPr="00DB4B7E" w:rsidR="006B3154" w:rsidP="006B3154" w:rsidRDefault="006B3154" w14:paraId="1E02F358" w14:textId="77777777"/>
    <w:p w:rsidR="00086B02" w:rsidP="006B3154" w:rsidRDefault="006B3154" w14:paraId="6365E319" w14:textId="5992F8A0">
      <w:r w:rsidRPr="00DB4B7E">
        <w:t xml:space="preserve">Full changes delineated in Appendix </w:t>
      </w:r>
      <w:r w:rsidR="00A34F94">
        <w:t xml:space="preserve">A. </w:t>
      </w:r>
      <w:r w:rsidR="00086B02">
        <w:t>For reference, data elements including the following types:</w:t>
      </w:r>
    </w:p>
    <w:p w:rsidR="00086B02" w:rsidP="006B3154" w:rsidRDefault="00086B02" w14:paraId="10DBCDD5" w14:textId="5B741741"/>
    <w:p w:rsidR="00086B02" w:rsidP="007374AD" w:rsidRDefault="00086B02" w14:paraId="7AC9A7B2" w14:textId="77777777">
      <w:pPr>
        <w:pStyle w:val="ListParagraph"/>
        <w:numPr>
          <w:ilvl w:val="0"/>
          <w:numId w:val="13"/>
        </w:numPr>
      </w:pPr>
      <w:r w:rsidRPr="004015AD">
        <w:rPr>
          <w:rStyle w:val="Strong"/>
        </w:rPr>
        <w:t>Required Data Elements:</w:t>
      </w:r>
      <w:r>
        <w:t xml:space="preserve"> These data elements are requested from facilities to ensure a complete data submission. Any associated Federal compliance is evaluated on required data elements only. Some data elements are requested at each reporting interval (</w:t>
      </w:r>
      <w:proofErr w:type="gramStart"/>
      <w:r>
        <w:t>i.e.</w:t>
      </w:r>
      <w:proofErr w:type="gramEnd"/>
      <w:r>
        <w:t xml:space="preserve"> daily), while others are requested weekly.</w:t>
      </w:r>
    </w:p>
    <w:p w:rsidR="00086B02" w:rsidP="007374AD" w:rsidRDefault="00086B02" w14:paraId="25334942" w14:textId="3F18E656">
      <w:pPr>
        <w:pStyle w:val="ListParagraph"/>
        <w:numPr>
          <w:ilvl w:val="0"/>
          <w:numId w:val="13"/>
        </w:numPr>
      </w:pPr>
      <w:r w:rsidRPr="004015AD">
        <w:rPr>
          <w:rStyle w:val="Strong"/>
        </w:rPr>
        <w:t>Optional Data Elements:</w:t>
      </w:r>
      <w:r>
        <w:t xml:space="preserve"> Hospital reporting on these fields is determined at a jurisdiction and/or facility level. Hospitals are asked to follow the direction of their SLTT government on reporting these fields, otherwise reporting is   solely at the discretion of the facility for the purposes of federal reporting.</w:t>
      </w:r>
      <w:r>
        <w:rPr>
          <w:rStyle w:val="FootnoteReference"/>
          <w:rFonts w:eastAsiaTheme="majorEastAsia"/>
        </w:rPr>
        <w:footnoteReference w:id="1"/>
      </w:r>
      <w:r>
        <w:t xml:space="preserve">  These data elements are helpful to the federal response and may be used for additional analysis and planning purposes. </w:t>
      </w:r>
    </w:p>
    <w:p w:rsidRPr="00086B02" w:rsidR="00086B02" w:rsidP="007374AD" w:rsidRDefault="00086B02" w14:paraId="3B8E2A8A" w14:textId="77777777">
      <w:pPr>
        <w:pStyle w:val="ListParagraph"/>
        <w:numPr>
          <w:ilvl w:val="0"/>
          <w:numId w:val="13"/>
        </w:numPr>
        <w:rPr>
          <w:rStyle w:val="Strong"/>
          <w:b w:val="0"/>
          <w:bCs w:val="0"/>
        </w:rPr>
      </w:pPr>
      <w:r w:rsidRPr="00D3011B">
        <w:rPr>
          <w:rStyle w:val="Strong"/>
        </w:rPr>
        <w:t xml:space="preserve">Federally Inactive Data Elements: </w:t>
      </w:r>
      <w:r w:rsidRPr="000640AC">
        <w:rPr>
          <w:rStyle w:val="Strong"/>
          <w:b w:val="0"/>
          <w:bCs w:val="0"/>
        </w:rPr>
        <w:t xml:space="preserve">These data elements have been made inactive for the federal data collection and are no longer required at the federal </w:t>
      </w:r>
      <w:r w:rsidRPr="000135E2">
        <w:rPr>
          <w:rStyle w:val="Strong"/>
          <w:b w:val="0"/>
          <w:bCs w:val="0"/>
        </w:rPr>
        <w:t xml:space="preserve">level.  Hospitals are asked to follow the direction of their SLTT government on reporting these fields, as some jurisdictions may choose to keep certain data elements as part of the collection based on their needs. </w:t>
      </w:r>
      <w:r w:rsidRPr="000135E2">
        <w:rPr>
          <w:rStyle w:val="Strong"/>
          <w:b w:val="0"/>
          <w:bCs w:val="0"/>
          <w:i/>
          <w:iCs/>
        </w:rPr>
        <w:t xml:space="preserve">Note: Hospitals </w:t>
      </w:r>
      <w:proofErr w:type="gramStart"/>
      <w:r w:rsidRPr="000135E2">
        <w:rPr>
          <w:rStyle w:val="Strong"/>
          <w:b w:val="0"/>
          <w:bCs w:val="0"/>
          <w:i/>
          <w:iCs/>
        </w:rPr>
        <w:t>are able to</w:t>
      </w:r>
      <w:proofErr w:type="gramEnd"/>
      <w:r w:rsidRPr="000135E2">
        <w:rPr>
          <w:rStyle w:val="Strong"/>
          <w:b w:val="0"/>
          <w:bCs w:val="0"/>
          <w:i/>
          <w:iCs/>
        </w:rPr>
        <w:t xml:space="preserve"> continue reporting data on these fields- the fields are not being removed from templates.</w:t>
      </w:r>
      <w:r w:rsidRPr="006A11CB">
        <w:rPr>
          <w:rStyle w:val="Strong"/>
          <w:b w:val="0"/>
          <w:bCs w:val="0"/>
        </w:rPr>
        <w:t xml:space="preserve">  </w:t>
      </w:r>
    </w:p>
    <w:p w:rsidR="00086B02" w:rsidP="006B3154" w:rsidRDefault="00086B02" w14:paraId="0FACFF45" w14:textId="77777777"/>
    <w:p w:rsidR="00A34F94" w:rsidP="006B3154" w:rsidRDefault="00A34F94" w14:paraId="3BEDD7C0" w14:textId="2E7AA2B0"/>
    <w:p w:rsidR="00A34F94" w:rsidP="006B3154" w:rsidRDefault="00A34F94" w14:paraId="31C00DC9" w14:textId="432C2621">
      <w:r>
        <w:lastRenderedPageBreak/>
        <w:t xml:space="preserve">In addition to the described changes, the team would like to work on quality improvement efforts with stakeholders to improve data collection ease. </w:t>
      </w:r>
      <w:r w:rsidR="00421F24">
        <w:t xml:space="preserve">This might include user testing and feedback on data submission mechanisms. Future quality improvement efforts of that nature would be submitted as non-substantive changes and the protocols submitted as supplementary documents.  </w:t>
      </w:r>
    </w:p>
    <w:p w:rsidR="00A34F94" w:rsidP="006B3154" w:rsidRDefault="00A34F94" w14:paraId="07E4ADFB" w14:textId="6AF32426"/>
    <w:p w:rsidRPr="00DB4B7E" w:rsidR="00E42F23" w:rsidP="00E42F23" w:rsidRDefault="00E42F23" w14:paraId="38E5F6D7" w14:textId="693B6FB8"/>
    <w:p w:rsidRPr="00DB4B7E" w:rsidR="00E42F23" w:rsidP="00E42F23" w:rsidRDefault="00E42F23" w14:paraId="5D28D9EB" w14:textId="77777777">
      <w:pPr>
        <w:rPr>
          <w:u w:val="single"/>
        </w:rPr>
      </w:pPr>
      <w:r w:rsidRPr="00DB4B7E">
        <w:rPr>
          <w:u w:val="single"/>
        </w:rPr>
        <w:t>Burden Updates</w:t>
      </w:r>
    </w:p>
    <w:p w:rsidRPr="00DB4B7E" w:rsidR="00E42F23" w:rsidP="009F2FD2" w:rsidRDefault="00E42F23" w14:paraId="2839C8FA" w14:textId="113FBD58">
      <w:r w:rsidRPr="00DB4B7E">
        <w:t>The Centers for Medicare and Medicaid Services (CMS) Interim Final Rule 42 CFR 48</w:t>
      </w:r>
      <w:r w:rsidR="00976759">
        <w:t>2</w:t>
      </w:r>
      <w:r w:rsidRPr="00DB4B7E">
        <w:t>.</w:t>
      </w:r>
      <w:r w:rsidR="00976759">
        <w:t>42</w:t>
      </w:r>
      <w:r w:rsidRPr="00DB4B7E">
        <w:t>(</w:t>
      </w:r>
      <w:r w:rsidR="00976759">
        <w:t>e</w:t>
      </w:r>
      <w:r w:rsidRPr="00DB4B7E">
        <w:t>)</w:t>
      </w:r>
      <w:r w:rsidR="00976759">
        <w:t xml:space="preserve"> and 485.640(d)</w:t>
      </w:r>
      <w:r w:rsidRPr="00DB4B7E">
        <w:t xml:space="preserve"> released </w:t>
      </w:r>
      <w:r w:rsidR="00976759">
        <w:t>October</w:t>
      </w:r>
      <w:r w:rsidRPr="00DB4B7E" w:rsidR="00DA6F6C">
        <w:t xml:space="preserve"> </w:t>
      </w:r>
      <w:r w:rsidR="00976759">
        <w:t>6</w:t>
      </w:r>
      <w:r w:rsidRPr="00DB4B7E">
        <w:t xml:space="preserve">, </w:t>
      </w:r>
      <w:proofErr w:type="gramStart"/>
      <w:r w:rsidRPr="00DB4B7E">
        <w:t>202</w:t>
      </w:r>
      <w:r w:rsidR="00DA6F6C">
        <w:t>0</w:t>
      </w:r>
      <w:proofErr w:type="gramEnd"/>
      <w:r w:rsidR="00625E84">
        <w:t xml:space="preserve"> </w:t>
      </w:r>
      <w:r w:rsidRPr="00DB4B7E">
        <w:t xml:space="preserve">requires all </w:t>
      </w:r>
      <w:r w:rsidR="00976759">
        <w:t xml:space="preserve">CMS certified </w:t>
      </w:r>
      <w:r w:rsidR="00DA6F6C">
        <w:t>hospitals</w:t>
      </w:r>
      <w:r w:rsidRPr="00DB4B7E">
        <w:t xml:space="preserve"> to report COVID-19 data </w:t>
      </w:r>
      <w:r w:rsidR="00DA6F6C">
        <w:t>to HHS</w:t>
      </w:r>
      <w:r w:rsidRPr="00DB4B7E">
        <w:t>. </w:t>
      </w:r>
      <w:r w:rsidR="00976759">
        <w:t xml:space="preserve">The proposed changes to the data collection described in this memo </w:t>
      </w:r>
      <w:r w:rsidR="000135E2">
        <w:t xml:space="preserve">result in a net reduction of </w:t>
      </w:r>
      <w:r w:rsidR="00A23289">
        <w:t xml:space="preserve">13 </w:t>
      </w:r>
      <w:r w:rsidR="000135E2">
        <w:t xml:space="preserve">data elements and </w:t>
      </w:r>
      <w:r w:rsidR="00976759">
        <w:t xml:space="preserve">are anticipated to decrease </w:t>
      </w:r>
      <w:r w:rsidR="00625E84">
        <w:t xml:space="preserve">the </w:t>
      </w:r>
      <w:r w:rsidR="00976759">
        <w:t xml:space="preserve">reporting burden on hospitals </w:t>
      </w:r>
      <w:r w:rsidR="000135E2">
        <w:t xml:space="preserve">by </w:t>
      </w:r>
      <w:r w:rsidR="00A23289">
        <w:t xml:space="preserve">9 </w:t>
      </w:r>
      <w:r w:rsidR="000135E2">
        <w:t xml:space="preserve">minutes </w:t>
      </w:r>
      <w:r w:rsidR="00976759">
        <w:t xml:space="preserve">since the </w:t>
      </w:r>
      <w:r w:rsidR="00A23289">
        <w:t>last reporting guidance changes</w:t>
      </w:r>
      <w:r w:rsidR="00976759">
        <w:t xml:space="preserve">. </w:t>
      </w:r>
      <w:r w:rsidR="00DA6F6C">
        <w:t>T</w:t>
      </w:r>
      <w:r w:rsidRPr="00DB4B7E">
        <w:t xml:space="preserve">he </w:t>
      </w:r>
      <w:r w:rsidR="00625E84">
        <w:t>decrease</w:t>
      </w:r>
      <w:r w:rsidR="00B541F1">
        <w:t xml:space="preserve"> </w:t>
      </w:r>
      <w:r w:rsidR="00625E84">
        <w:t xml:space="preserve">in the </w:t>
      </w:r>
      <w:r w:rsidRPr="00DB4B7E">
        <w:t xml:space="preserve">burden estimates </w:t>
      </w:r>
      <w:r w:rsidR="00625E84">
        <w:t xml:space="preserve">from the previous </w:t>
      </w:r>
      <w:r w:rsidR="00463CEE">
        <w:t>ICR submission</w:t>
      </w:r>
      <w:r w:rsidRPr="00DB4B7E">
        <w:t xml:space="preserve"> </w:t>
      </w:r>
      <w:r w:rsidR="00463CEE">
        <w:t>reflect</w:t>
      </w:r>
      <w:r w:rsidRPr="00DB4B7E" w:rsidR="00463CEE">
        <w:t xml:space="preserve"> </w:t>
      </w:r>
      <w:r w:rsidRPr="00DB4B7E">
        <w:t xml:space="preserve">the </w:t>
      </w:r>
      <w:r w:rsidR="00DA6F6C">
        <w:t>decrease in the number of data elements that are required</w:t>
      </w:r>
      <w:r w:rsidR="00B541F1">
        <w:t xml:space="preserve">. </w:t>
      </w:r>
    </w:p>
    <w:p w:rsidRPr="00DB4B7E" w:rsidR="00C26E63" w:rsidP="006F131E" w:rsidRDefault="00C26E63" w14:paraId="43FD9C84" w14:textId="4B8B3EF1">
      <w:pPr>
        <w:rPr>
          <w:rFonts w:eastAsiaTheme="minorHAnsi" w:cstheme="minorBidi"/>
          <w:szCs w:val="22"/>
        </w:rPr>
      </w:pPr>
    </w:p>
    <w:p w:rsidRPr="00DB4B7E" w:rsidR="009F2FD2" w:rsidP="006F131E" w:rsidRDefault="009F2FD2" w14:paraId="37FA6F27" w14:textId="1D870F93">
      <w:pPr>
        <w:rPr>
          <w:rFonts w:eastAsiaTheme="minorHAnsi" w:cstheme="minorBidi"/>
          <w:szCs w:val="22"/>
        </w:rPr>
      </w:pPr>
    </w:p>
    <w:p w:rsidRPr="00DB4B7E" w:rsidR="00F11E11" w:rsidRDefault="00F11E11" w14:paraId="6EAA95AF" w14:textId="0AA710D9">
      <w:pPr>
        <w:spacing w:after="160" w:line="259" w:lineRule="auto"/>
        <w:rPr>
          <w:rFonts w:eastAsiaTheme="minorHAnsi" w:cstheme="minorBidi"/>
          <w:szCs w:val="22"/>
        </w:rPr>
      </w:pPr>
    </w:p>
    <w:p w:rsidR="00D15B65" w:rsidRDefault="00D15B65" w14:paraId="6FC1A412" w14:textId="77777777">
      <w:pPr>
        <w:spacing w:after="160" w:line="259" w:lineRule="auto"/>
        <w:rPr>
          <w:rFonts w:eastAsiaTheme="majorEastAsia"/>
          <w:b/>
          <w:sz w:val="28"/>
          <w:szCs w:val="32"/>
        </w:rPr>
      </w:pPr>
      <w:r>
        <w:rPr>
          <w:b/>
          <w:sz w:val="28"/>
        </w:rPr>
        <w:br w:type="page"/>
      </w:r>
    </w:p>
    <w:p w:rsidRPr="00DB4B7E" w:rsidR="00F11E11" w:rsidP="00F11E11" w:rsidRDefault="00F11E11" w14:paraId="40054885" w14:textId="7147EFA6">
      <w:pPr>
        <w:pStyle w:val="Heading1"/>
        <w:spacing w:before="0"/>
        <w:jc w:val="center"/>
        <w:rPr>
          <w:rFonts w:ascii="Times New Roman" w:hAnsi="Times New Roman" w:cs="Times New Roman"/>
          <w:b/>
          <w:color w:val="auto"/>
          <w:sz w:val="28"/>
        </w:rPr>
      </w:pPr>
      <w:r w:rsidRPr="00DB4B7E">
        <w:rPr>
          <w:rFonts w:ascii="Times New Roman" w:hAnsi="Times New Roman" w:cs="Times New Roman"/>
          <w:b/>
          <w:color w:val="auto"/>
          <w:sz w:val="28"/>
        </w:rPr>
        <w:lastRenderedPageBreak/>
        <w:t>Appendix A: Data Fields with Proposed Changes</w:t>
      </w:r>
    </w:p>
    <w:p w:rsidRPr="00DB4B7E" w:rsidR="00F11E11" w:rsidP="00F11E11" w:rsidRDefault="00F11E11" w14:paraId="25BBE91D" w14:textId="77777777">
      <w:pPr>
        <w:jc w:val="center"/>
        <w:rPr>
          <w:b/>
        </w:rPr>
      </w:pPr>
    </w:p>
    <w:p w:rsidRPr="00DB4B7E" w:rsidR="00F11E11" w:rsidP="00F11E11" w:rsidRDefault="00F11E11" w14:paraId="34EACC5C" w14:textId="77777777">
      <w:pPr>
        <w:jc w:val="center"/>
      </w:pPr>
    </w:p>
    <w:tbl>
      <w:tblPr>
        <w:tblStyle w:val="TableGrid"/>
        <w:tblW w:w="9793" w:type="dxa"/>
        <w:tblLook w:val="04A0" w:firstRow="1" w:lastRow="0" w:firstColumn="1" w:lastColumn="0" w:noHBand="0" w:noVBand="1"/>
      </w:tblPr>
      <w:tblGrid>
        <w:gridCol w:w="3875"/>
        <w:gridCol w:w="1940"/>
        <w:gridCol w:w="3978"/>
      </w:tblGrid>
      <w:tr w:rsidRPr="00DB4B7E" w:rsidR="00086B02" w:rsidTr="00AB4732" w14:paraId="0177792D" w14:textId="77777777">
        <w:trPr>
          <w:trHeight w:val="280"/>
        </w:trPr>
        <w:tc>
          <w:tcPr>
            <w:tcW w:w="3875" w:type="dxa"/>
          </w:tcPr>
          <w:p w:rsidRPr="00DB4B7E" w:rsidR="00086B02" w:rsidP="00F11E11" w:rsidRDefault="00086B02" w14:paraId="2EAEC28F" w14:textId="77777777">
            <w:pPr>
              <w:jc w:val="center"/>
              <w:rPr>
                <w:b/>
              </w:rPr>
            </w:pPr>
            <w:r w:rsidRPr="00DB4B7E">
              <w:rPr>
                <w:b/>
              </w:rPr>
              <w:t>Field</w:t>
            </w:r>
          </w:p>
        </w:tc>
        <w:tc>
          <w:tcPr>
            <w:tcW w:w="1940" w:type="dxa"/>
          </w:tcPr>
          <w:p w:rsidRPr="00DB4B7E" w:rsidR="00086B02" w:rsidP="00F11E11" w:rsidRDefault="00086B02" w14:paraId="016AB953" w14:textId="77777777">
            <w:pPr>
              <w:jc w:val="center"/>
              <w:rPr>
                <w:b/>
              </w:rPr>
            </w:pPr>
            <w:r w:rsidRPr="00DB4B7E">
              <w:rPr>
                <w:b/>
              </w:rPr>
              <w:t>Current</w:t>
            </w:r>
          </w:p>
        </w:tc>
        <w:tc>
          <w:tcPr>
            <w:tcW w:w="3978" w:type="dxa"/>
          </w:tcPr>
          <w:p w:rsidRPr="00DB4B7E" w:rsidR="00086B02" w:rsidP="00F11E11" w:rsidRDefault="00086B02" w14:paraId="765462AA" w14:textId="77777777">
            <w:pPr>
              <w:jc w:val="center"/>
              <w:rPr>
                <w:b/>
              </w:rPr>
            </w:pPr>
            <w:r w:rsidRPr="00DB4B7E">
              <w:rPr>
                <w:b/>
              </w:rPr>
              <w:t>Agency Proposal</w:t>
            </w:r>
          </w:p>
        </w:tc>
      </w:tr>
      <w:tr w:rsidRPr="00DB4B7E" w:rsidR="00086B02" w:rsidTr="00A93793" w14:paraId="5892C850" w14:textId="77777777">
        <w:trPr>
          <w:trHeight w:val="280"/>
        </w:trPr>
        <w:tc>
          <w:tcPr>
            <w:tcW w:w="9793" w:type="dxa"/>
            <w:gridSpan w:val="3"/>
            <w:shd w:val="clear" w:color="auto" w:fill="E7E6E6" w:themeFill="background2"/>
          </w:tcPr>
          <w:p w:rsidRPr="00DB4B7E" w:rsidR="00086B02" w:rsidP="00F11E11" w:rsidRDefault="00086B02" w14:paraId="31385146" w14:textId="77777777">
            <w:pPr>
              <w:rPr>
                <w:b/>
              </w:rPr>
            </w:pPr>
            <w:r w:rsidRPr="00DB4B7E">
              <w:rPr>
                <w:b/>
              </w:rPr>
              <w:t>Hospitalizations, Admissions</w:t>
            </w:r>
          </w:p>
        </w:tc>
      </w:tr>
      <w:tr w:rsidRPr="00DB4B7E" w:rsidR="00086B02" w:rsidTr="00A93793" w14:paraId="2CB31D35" w14:textId="77777777">
        <w:trPr>
          <w:trHeight w:val="280"/>
        </w:trPr>
        <w:tc>
          <w:tcPr>
            <w:tcW w:w="9793" w:type="dxa"/>
            <w:gridSpan w:val="3"/>
            <w:shd w:val="clear" w:color="auto" w:fill="E7E6E6" w:themeFill="background2"/>
          </w:tcPr>
          <w:p w:rsidRPr="00DB4B7E" w:rsidR="00086B02" w:rsidP="00F11E11" w:rsidRDefault="00086B02" w14:paraId="4D11533D" w14:textId="77777777">
            <w:pPr>
              <w:rPr>
                <w:b/>
              </w:rPr>
            </w:pPr>
            <w:r w:rsidRPr="00DB4B7E">
              <w:rPr>
                <w:b/>
              </w:rPr>
              <w:t>Severity</w:t>
            </w:r>
          </w:p>
        </w:tc>
      </w:tr>
      <w:tr w:rsidRPr="00DB4B7E" w:rsidR="00086B02" w:rsidTr="00A93793" w14:paraId="2E3DB094" w14:textId="77777777">
        <w:trPr>
          <w:trHeight w:val="280"/>
        </w:trPr>
        <w:tc>
          <w:tcPr>
            <w:tcW w:w="9793" w:type="dxa"/>
            <w:gridSpan w:val="3"/>
            <w:shd w:val="clear" w:color="auto" w:fill="E7E6E6" w:themeFill="background2"/>
          </w:tcPr>
          <w:p w:rsidRPr="00DB4B7E" w:rsidR="00086B02" w:rsidP="00F11E11" w:rsidRDefault="00086B02" w14:paraId="4E0844A1" w14:textId="77777777">
            <w:pPr>
              <w:rPr>
                <w:b/>
              </w:rPr>
            </w:pPr>
            <w:r w:rsidRPr="00DB4B7E">
              <w:rPr>
                <w:b/>
              </w:rPr>
              <w:t xml:space="preserve">Influenza </w:t>
            </w:r>
          </w:p>
        </w:tc>
      </w:tr>
      <w:tr w:rsidRPr="00DB4B7E" w:rsidR="00017943" w:rsidTr="00A93793" w14:paraId="15C368A8" w14:textId="77777777">
        <w:trPr>
          <w:trHeight w:val="270"/>
        </w:trPr>
        <w:tc>
          <w:tcPr>
            <w:tcW w:w="9793" w:type="dxa"/>
            <w:gridSpan w:val="3"/>
            <w:shd w:val="clear" w:color="auto" w:fill="E7E6E6" w:themeFill="background2"/>
          </w:tcPr>
          <w:p w:rsidRPr="00DB4B7E" w:rsidR="00017943" w:rsidP="00017943" w:rsidRDefault="00017943" w14:paraId="1C30C35C" w14:textId="77777777">
            <w:pPr>
              <w:rPr>
                <w:b/>
              </w:rPr>
            </w:pPr>
            <w:r w:rsidRPr="00DB4B7E">
              <w:rPr>
                <w:b/>
              </w:rPr>
              <w:t>Therapeutics</w:t>
            </w:r>
          </w:p>
        </w:tc>
      </w:tr>
      <w:tr w:rsidRPr="00DB4B7E" w:rsidR="001A129F" w:rsidDel="00017943" w:rsidTr="00A93793" w14:paraId="57FE5256" w14:textId="77777777">
        <w:trPr>
          <w:trHeight w:val="551"/>
        </w:trPr>
        <w:tc>
          <w:tcPr>
            <w:tcW w:w="3875" w:type="dxa"/>
          </w:tcPr>
          <w:p w:rsidRPr="00DB4B7E" w:rsidR="001A129F" w:rsidDel="00017943" w:rsidP="00017943" w:rsidRDefault="001A129F" w14:paraId="3B673813" w14:textId="6B8AD023">
            <w:r>
              <w:t>Therapeutic A on hand</w:t>
            </w:r>
          </w:p>
        </w:tc>
        <w:tc>
          <w:tcPr>
            <w:tcW w:w="1940" w:type="dxa"/>
          </w:tcPr>
          <w:p w:rsidRPr="00DB4B7E" w:rsidR="001A129F" w:rsidDel="00017943" w:rsidP="00017943" w:rsidRDefault="001A129F" w14:paraId="01DF0D4B" w14:textId="43C7B270">
            <w:r>
              <w:t>Weekly – Required</w:t>
            </w:r>
          </w:p>
        </w:tc>
        <w:tc>
          <w:tcPr>
            <w:tcW w:w="3978" w:type="dxa"/>
          </w:tcPr>
          <w:p w:rsidRPr="00DB4B7E" w:rsidR="001A129F" w:rsidDel="00017943" w:rsidP="00017943" w:rsidRDefault="002D019C" w14:paraId="650DA84C" w14:textId="67252196">
            <w:r>
              <w:t xml:space="preserve">Make inactive for HHS collection, transfer </w:t>
            </w:r>
            <w:proofErr w:type="gramStart"/>
            <w:r>
              <w:t xml:space="preserve">reporting </w:t>
            </w:r>
            <w:r w:rsidR="001A129F">
              <w:t xml:space="preserve"> to</w:t>
            </w:r>
            <w:proofErr w:type="gramEnd"/>
            <w:r w:rsidR="001A129F">
              <w:t xml:space="preserve"> HPOP </w:t>
            </w:r>
          </w:p>
        </w:tc>
      </w:tr>
      <w:tr w:rsidRPr="00DB4B7E" w:rsidR="001A129F" w:rsidDel="00017943" w:rsidTr="00A93793" w14:paraId="54B97237" w14:textId="77777777">
        <w:trPr>
          <w:trHeight w:val="551"/>
        </w:trPr>
        <w:tc>
          <w:tcPr>
            <w:tcW w:w="3875" w:type="dxa"/>
          </w:tcPr>
          <w:p w:rsidR="001A129F" w:rsidP="00017943" w:rsidRDefault="001A129F" w14:paraId="6DA93D29" w14:textId="39F9981A">
            <w:r>
              <w:t>Therapeutic A administered last week</w:t>
            </w:r>
          </w:p>
        </w:tc>
        <w:tc>
          <w:tcPr>
            <w:tcW w:w="1940" w:type="dxa"/>
          </w:tcPr>
          <w:p w:rsidRPr="00DB4B7E" w:rsidR="001A129F" w:rsidDel="00017943" w:rsidP="00017943" w:rsidRDefault="001A129F" w14:paraId="109C4C27" w14:textId="2E871B1D">
            <w:r>
              <w:t>Weekly – Required</w:t>
            </w:r>
          </w:p>
        </w:tc>
        <w:tc>
          <w:tcPr>
            <w:tcW w:w="3978" w:type="dxa"/>
          </w:tcPr>
          <w:p w:rsidRPr="00DB4B7E" w:rsidR="001A129F" w:rsidDel="00017943" w:rsidP="00017943" w:rsidRDefault="002D019C" w14:paraId="57222A31" w14:textId="3F90DA80">
            <w:r>
              <w:t>Make inactive for HHS collection, transfer reporting to HPOP</w:t>
            </w:r>
          </w:p>
        </w:tc>
      </w:tr>
      <w:tr w:rsidRPr="00DB4B7E" w:rsidR="001A129F" w:rsidDel="00017943" w:rsidTr="00A93793" w14:paraId="6CB3FEE7" w14:textId="77777777">
        <w:trPr>
          <w:trHeight w:val="551"/>
        </w:trPr>
        <w:tc>
          <w:tcPr>
            <w:tcW w:w="3875" w:type="dxa"/>
          </w:tcPr>
          <w:p w:rsidR="001A129F" w:rsidP="00017943" w:rsidRDefault="001A129F" w14:paraId="617F48E3" w14:textId="29C85956">
            <w:r>
              <w:t>Therapeutic C on hand</w:t>
            </w:r>
          </w:p>
        </w:tc>
        <w:tc>
          <w:tcPr>
            <w:tcW w:w="1940" w:type="dxa"/>
          </w:tcPr>
          <w:p w:rsidR="001A129F" w:rsidP="001A129F" w:rsidRDefault="001A129F" w14:paraId="6B1C2147" w14:textId="0616AA8F">
            <w:r>
              <w:t>Weekly – Required</w:t>
            </w:r>
          </w:p>
        </w:tc>
        <w:tc>
          <w:tcPr>
            <w:tcW w:w="3978" w:type="dxa"/>
          </w:tcPr>
          <w:p w:rsidRPr="00DB4B7E" w:rsidR="001A129F" w:rsidDel="00017943" w:rsidP="00017943" w:rsidRDefault="002D019C" w14:paraId="31358174" w14:textId="3657D041">
            <w:r>
              <w:t>Make inactive for HHS collection, transfer reporting to HPOP</w:t>
            </w:r>
          </w:p>
        </w:tc>
      </w:tr>
      <w:tr w:rsidRPr="00DB4B7E" w:rsidR="001A129F" w:rsidDel="00017943" w:rsidTr="00A93793" w14:paraId="40060212" w14:textId="77777777">
        <w:trPr>
          <w:trHeight w:val="551"/>
        </w:trPr>
        <w:tc>
          <w:tcPr>
            <w:tcW w:w="3875" w:type="dxa"/>
          </w:tcPr>
          <w:p w:rsidR="001A129F" w:rsidP="00017943" w:rsidRDefault="001A129F" w14:paraId="09BEB51F" w14:textId="5A4EBD20">
            <w:r>
              <w:t>Therapeutic C administered last week</w:t>
            </w:r>
          </w:p>
        </w:tc>
        <w:tc>
          <w:tcPr>
            <w:tcW w:w="1940" w:type="dxa"/>
          </w:tcPr>
          <w:p w:rsidR="001A129F" w:rsidP="001A129F" w:rsidRDefault="001A129F" w14:paraId="74370E45" w14:textId="4CC80464">
            <w:r>
              <w:t>Weekly – Required</w:t>
            </w:r>
          </w:p>
        </w:tc>
        <w:tc>
          <w:tcPr>
            <w:tcW w:w="3978" w:type="dxa"/>
          </w:tcPr>
          <w:p w:rsidRPr="00DB4B7E" w:rsidR="001A129F" w:rsidDel="00017943" w:rsidP="00017943" w:rsidRDefault="002D019C" w14:paraId="7F2B6D1E" w14:textId="792322A2">
            <w:r>
              <w:t xml:space="preserve">Make inactive for HHS collection, transfer </w:t>
            </w:r>
            <w:proofErr w:type="gramStart"/>
            <w:r>
              <w:t>reporting  to</w:t>
            </w:r>
            <w:proofErr w:type="gramEnd"/>
            <w:r>
              <w:t xml:space="preserve"> HPOP</w:t>
            </w:r>
          </w:p>
        </w:tc>
      </w:tr>
      <w:tr w:rsidRPr="00DA6F6C" w:rsidR="00857C64" w:rsidTr="00AB4732" w14:paraId="32DB93CE" w14:textId="77777777">
        <w:trPr>
          <w:trHeight w:val="280"/>
        </w:trPr>
        <w:tc>
          <w:tcPr>
            <w:tcW w:w="3875" w:type="dxa"/>
            <w:shd w:val="clear" w:color="auto" w:fill="auto"/>
          </w:tcPr>
          <w:p w:rsidRPr="00DA6F6C" w:rsidR="00857C64" w:rsidP="00857C64" w:rsidRDefault="00857C64" w14:paraId="509C64AE" w14:textId="052F7A45">
            <w:r w:rsidRPr="00DA6F6C">
              <w:t>Therapeutic D on hand</w:t>
            </w:r>
          </w:p>
        </w:tc>
        <w:tc>
          <w:tcPr>
            <w:tcW w:w="1940" w:type="dxa"/>
            <w:shd w:val="clear" w:color="auto" w:fill="auto"/>
          </w:tcPr>
          <w:p w:rsidRPr="00DA6F6C" w:rsidR="00857C64" w:rsidP="00857C64" w:rsidRDefault="00857C64" w14:paraId="1ACF4519" w14:textId="53F4973D">
            <w:r>
              <w:t>Weekly – Required</w:t>
            </w:r>
          </w:p>
        </w:tc>
        <w:tc>
          <w:tcPr>
            <w:tcW w:w="3978" w:type="dxa"/>
            <w:shd w:val="clear" w:color="auto" w:fill="auto"/>
          </w:tcPr>
          <w:p w:rsidRPr="00DA6F6C" w:rsidR="00857C64" w:rsidDel="00272B19" w:rsidP="00857C64" w:rsidRDefault="00857C64" w14:paraId="1C9A9A6A" w14:textId="4E444650">
            <w:r>
              <w:t xml:space="preserve">Make inactive for HHS collection, transfer </w:t>
            </w:r>
            <w:proofErr w:type="gramStart"/>
            <w:r>
              <w:t>reporting  to</w:t>
            </w:r>
            <w:proofErr w:type="gramEnd"/>
            <w:r>
              <w:t xml:space="preserve"> HPOP</w:t>
            </w:r>
          </w:p>
        </w:tc>
      </w:tr>
      <w:tr w:rsidRPr="00DB4B7E" w:rsidR="00857C64" w:rsidTr="00AB4732" w14:paraId="3CCE8153" w14:textId="77777777">
        <w:trPr>
          <w:trHeight w:val="551"/>
        </w:trPr>
        <w:tc>
          <w:tcPr>
            <w:tcW w:w="3875" w:type="dxa"/>
          </w:tcPr>
          <w:p w:rsidRPr="00DB4B7E" w:rsidR="00857C64" w:rsidP="00857C64" w:rsidRDefault="00857C64" w14:paraId="0AA4CD6D" w14:textId="464ECC5E">
            <w:r w:rsidRPr="00DB4B7E">
              <w:t>Therapeutic D administered last week</w:t>
            </w:r>
          </w:p>
        </w:tc>
        <w:tc>
          <w:tcPr>
            <w:tcW w:w="1940" w:type="dxa"/>
          </w:tcPr>
          <w:p w:rsidRPr="00DB4B7E" w:rsidR="00857C64" w:rsidP="00857C64" w:rsidRDefault="00857C64" w14:paraId="6F697795" w14:textId="2C4A37CA">
            <w:r>
              <w:t>Weekly – Required</w:t>
            </w:r>
          </w:p>
        </w:tc>
        <w:tc>
          <w:tcPr>
            <w:tcW w:w="3978" w:type="dxa"/>
          </w:tcPr>
          <w:p w:rsidRPr="00DB4B7E" w:rsidR="00857C64" w:rsidDel="00272B19" w:rsidP="00857C64" w:rsidRDefault="00857C64" w14:paraId="3C1D76AE" w14:textId="16AF38A1">
            <w:r>
              <w:t xml:space="preserve">Make inactive for HHS collection, transfer </w:t>
            </w:r>
            <w:proofErr w:type="gramStart"/>
            <w:r>
              <w:t>reporting  to</w:t>
            </w:r>
            <w:proofErr w:type="gramEnd"/>
            <w:r>
              <w:t xml:space="preserve"> HPOP</w:t>
            </w:r>
          </w:p>
        </w:tc>
      </w:tr>
      <w:tr w:rsidRPr="00DB4B7E" w:rsidR="00BA7DB0" w:rsidTr="00A93793" w14:paraId="3B9E6223" w14:textId="77777777">
        <w:trPr>
          <w:trHeight w:val="551"/>
        </w:trPr>
        <w:tc>
          <w:tcPr>
            <w:tcW w:w="3875" w:type="dxa"/>
          </w:tcPr>
          <w:p w:rsidRPr="00DB4B7E" w:rsidR="00BA7DB0" w:rsidP="00017943" w:rsidRDefault="00BA7DB0" w14:paraId="75A81B6B" w14:textId="0FE08022">
            <w:r>
              <w:t>Placeholders E-</w:t>
            </w:r>
            <w:r w:rsidR="00D55119">
              <w:t>P</w:t>
            </w:r>
          </w:p>
        </w:tc>
        <w:tc>
          <w:tcPr>
            <w:tcW w:w="1940" w:type="dxa"/>
          </w:tcPr>
          <w:p w:rsidRPr="00DB4B7E" w:rsidR="00BA7DB0" w:rsidDel="001A129F" w:rsidP="00017943" w:rsidRDefault="00BA7DB0" w14:paraId="4D30CC02" w14:textId="31222F92">
            <w:r>
              <w:t>Maintain Placeholder</w:t>
            </w:r>
          </w:p>
        </w:tc>
        <w:tc>
          <w:tcPr>
            <w:tcW w:w="3978" w:type="dxa"/>
          </w:tcPr>
          <w:p w:rsidRPr="00DB4B7E" w:rsidR="00BA7DB0" w:rsidDel="001A129F" w:rsidP="00017943" w:rsidRDefault="002D019C" w14:paraId="640F578B" w14:textId="66D4861A">
            <w:r>
              <w:t>Make inactive for HHS collection</w:t>
            </w:r>
          </w:p>
        </w:tc>
      </w:tr>
      <w:tr w:rsidRPr="00DB4B7E" w:rsidR="00A93793" w:rsidTr="00AB4732" w14:paraId="1B26BFD6" w14:textId="77777777">
        <w:trPr>
          <w:trHeight w:val="551"/>
        </w:trPr>
        <w:tc>
          <w:tcPr>
            <w:tcW w:w="9793" w:type="dxa"/>
            <w:gridSpan w:val="3"/>
            <w:shd w:val="clear" w:color="auto" w:fill="D0CECE" w:themeFill="background2" w:themeFillShade="E6"/>
          </w:tcPr>
          <w:p w:rsidR="00A93793" w:rsidP="00017943" w:rsidRDefault="00A93793" w14:paraId="12A9E79A" w14:textId="68544E4C">
            <w:r w:rsidRPr="00AB4732">
              <w:rPr>
                <w:b/>
                <w:highlight w:val="lightGray"/>
              </w:rPr>
              <w:t>Vaccination</w:t>
            </w:r>
          </w:p>
        </w:tc>
      </w:tr>
      <w:tr w:rsidRPr="00DB4B7E" w:rsidR="00A93793" w:rsidTr="00A93793" w14:paraId="2A393AC6" w14:textId="77777777">
        <w:tc>
          <w:tcPr>
            <w:tcW w:w="3875" w:type="dxa"/>
          </w:tcPr>
          <w:p w:rsidRPr="00DB4B7E" w:rsidR="00A93793" w:rsidP="00D55119" w:rsidRDefault="00A93793" w14:paraId="0E3AAE17" w14:textId="77777777">
            <w:r w:rsidRPr="00DB4B7E">
              <w:t>Previous week’s COVID-19 vaccination doses administered to healthcare personnel by your facility</w:t>
            </w:r>
          </w:p>
        </w:tc>
        <w:tc>
          <w:tcPr>
            <w:tcW w:w="1940" w:type="dxa"/>
          </w:tcPr>
          <w:p w:rsidRPr="00DB4B7E" w:rsidR="00A93793" w:rsidP="00D55119" w:rsidRDefault="00A93793" w14:paraId="7C356665" w14:textId="77777777">
            <w:r w:rsidRPr="00DB4B7E">
              <w:t>Weekly – Optional</w:t>
            </w:r>
          </w:p>
        </w:tc>
        <w:tc>
          <w:tcPr>
            <w:tcW w:w="3978" w:type="dxa"/>
          </w:tcPr>
          <w:p w:rsidRPr="00DB4B7E" w:rsidR="00A93793" w:rsidP="00D55119" w:rsidRDefault="00A93793" w14:paraId="27A619D1" w14:textId="07A1E067">
            <w:r>
              <w:t>Make inactive for HHS collection</w:t>
            </w:r>
          </w:p>
        </w:tc>
      </w:tr>
      <w:tr w:rsidRPr="00DB4B7E" w:rsidR="00A93793" w:rsidTr="00A93793" w14:paraId="6A609D23" w14:textId="77777777">
        <w:tc>
          <w:tcPr>
            <w:tcW w:w="3875" w:type="dxa"/>
          </w:tcPr>
          <w:p w:rsidRPr="00DB4B7E" w:rsidR="00A93793" w:rsidP="00D55119" w:rsidRDefault="00A93793" w14:paraId="70907B38" w14:textId="77777777">
            <w:r w:rsidRPr="00DB4B7E">
              <w:t>Current healthcare personnel who have not received any doses</w:t>
            </w:r>
          </w:p>
        </w:tc>
        <w:tc>
          <w:tcPr>
            <w:tcW w:w="1940" w:type="dxa"/>
          </w:tcPr>
          <w:p w:rsidRPr="00DB4B7E" w:rsidR="00A93793" w:rsidP="00D55119" w:rsidRDefault="00A93793" w14:paraId="71D40382" w14:textId="77777777">
            <w:r w:rsidRPr="00DB4B7E">
              <w:t>Weekly – Optional</w:t>
            </w:r>
          </w:p>
        </w:tc>
        <w:tc>
          <w:tcPr>
            <w:tcW w:w="3978" w:type="dxa"/>
          </w:tcPr>
          <w:p w:rsidRPr="00DB4B7E" w:rsidR="00A93793" w:rsidP="00D55119" w:rsidRDefault="00A93793" w14:paraId="6D978F48" w14:textId="528FE847">
            <w:r>
              <w:t>Make inactive for HHS collection</w:t>
            </w:r>
          </w:p>
        </w:tc>
      </w:tr>
      <w:tr w:rsidRPr="00DB4B7E" w:rsidR="00A93793" w:rsidTr="00A93793" w14:paraId="40217A58" w14:textId="77777777">
        <w:tc>
          <w:tcPr>
            <w:tcW w:w="3875" w:type="dxa"/>
          </w:tcPr>
          <w:p w:rsidRPr="00DB4B7E" w:rsidR="00A93793" w:rsidP="00D55119" w:rsidRDefault="00A93793" w14:paraId="17793BC8" w14:textId="77777777">
            <w:r w:rsidRPr="00DB4B7E">
              <w:t>Current healthcare personnel received first dose in multi-series</w:t>
            </w:r>
          </w:p>
        </w:tc>
        <w:tc>
          <w:tcPr>
            <w:tcW w:w="1940" w:type="dxa"/>
          </w:tcPr>
          <w:p w:rsidRPr="00DB4B7E" w:rsidR="00A93793" w:rsidP="00D55119" w:rsidRDefault="00A93793" w14:paraId="20F728FF" w14:textId="77777777">
            <w:r w:rsidRPr="00DB4B7E">
              <w:t>Weekly – Optional</w:t>
            </w:r>
          </w:p>
        </w:tc>
        <w:tc>
          <w:tcPr>
            <w:tcW w:w="3978" w:type="dxa"/>
          </w:tcPr>
          <w:p w:rsidRPr="00DB4B7E" w:rsidR="00A93793" w:rsidP="00D55119" w:rsidRDefault="00A93793" w14:paraId="44EC8119" w14:textId="1747579F">
            <w:r>
              <w:t>Make inactive for HHS collection</w:t>
            </w:r>
          </w:p>
        </w:tc>
      </w:tr>
      <w:tr w:rsidRPr="00DB4B7E" w:rsidR="00A93793" w:rsidTr="00A93793" w14:paraId="4CA92B24" w14:textId="77777777">
        <w:tc>
          <w:tcPr>
            <w:tcW w:w="3875" w:type="dxa"/>
          </w:tcPr>
          <w:p w:rsidRPr="00DB4B7E" w:rsidR="00A93793" w:rsidP="00D55119" w:rsidRDefault="00A93793" w14:paraId="5F5F48C6" w14:textId="77777777">
            <w:r w:rsidRPr="00DB4B7E">
              <w:t>Current healthcare personnel received a completed series</w:t>
            </w:r>
          </w:p>
        </w:tc>
        <w:tc>
          <w:tcPr>
            <w:tcW w:w="1940" w:type="dxa"/>
          </w:tcPr>
          <w:p w:rsidRPr="00DB4B7E" w:rsidR="00A93793" w:rsidP="00D55119" w:rsidRDefault="00A93793" w14:paraId="6577C6B8" w14:textId="77777777">
            <w:r w:rsidRPr="00DB4B7E">
              <w:t>Weekly – Optional</w:t>
            </w:r>
          </w:p>
        </w:tc>
        <w:tc>
          <w:tcPr>
            <w:tcW w:w="3978" w:type="dxa"/>
          </w:tcPr>
          <w:p w:rsidRPr="00DB4B7E" w:rsidR="00A93793" w:rsidP="00D55119" w:rsidRDefault="00A93793" w14:paraId="3F0F652C" w14:textId="42A86189">
            <w:r>
              <w:t>Make inactive for HHS collection</w:t>
            </w:r>
          </w:p>
        </w:tc>
      </w:tr>
      <w:tr w:rsidRPr="00DB4B7E" w:rsidR="00A93793" w:rsidTr="00A93793" w14:paraId="2F0A03EB" w14:textId="77777777">
        <w:tc>
          <w:tcPr>
            <w:tcW w:w="3875" w:type="dxa"/>
          </w:tcPr>
          <w:p w:rsidRPr="00DB4B7E" w:rsidR="00A93793" w:rsidP="00D55119" w:rsidRDefault="00A93793" w14:paraId="10E8DBF9" w14:textId="77777777">
            <w:r w:rsidRPr="00DB4B7E">
              <w:t>Total current healthcare personnel</w:t>
            </w:r>
          </w:p>
        </w:tc>
        <w:tc>
          <w:tcPr>
            <w:tcW w:w="1940" w:type="dxa"/>
          </w:tcPr>
          <w:p w:rsidRPr="00DB4B7E" w:rsidR="00A93793" w:rsidP="00D55119" w:rsidRDefault="00A93793" w14:paraId="504B9568" w14:textId="77777777">
            <w:r w:rsidRPr="00DB4B7E">
              <w:t>Weekly – Optional</w:t>
            </w:r>
          </w:p>
        </w:tc>
        <w:tc>
          <w:tcPr>
            <w:tcW w:w="3978" w:type="dxa"/>
          </w:tcPr>
          <w:p w:rsidRPr="00DB4B7E" w:rsidR="00A93793" w:rsidP="00D55119" w:rsidRDefault="00A93793" w14:paraId="7EAF883A" w14:textId="6CC9B761">
            <w:r>
              <w:t>Make inactive for HHS collection</w:t>
            </w:r>
          </w:p>
        </w:tc>
      </w:tr>
      <w:tr w:rsidRPr="00DB4B7E" w:rsidR="00A93793" w:rsidTr="00A93793" w14:paraId="1906F717" w14:textId="77777777">
        <w:tc>
          <w:tcPr>
            <w:tcW w:w="3875" w:type="dxa"/>
          </w:tcPr>
          <w:p w:rsidRPr="00DB4B7E" w:rsidR="00A93793" w:rsidP="00D55119" w:rsidRDefault="00A93793" w14:paraId="2E45291C" w14:textId="77777777">
            <w:r w:rsidRPr="00DB4B7E">
              <w:t>Previous week’s patients &amp; non-healthcare personnel received first dose</w:t>
            </w:r>
          </w:p>
        </w:tc>
        <w:tc>
          <w:tcPr>
            <w:tcW w:w="1940" w:type="dxa"/>
          </w:tcPr>
          <w:p w:rsidRPr="00DB4B7E" w:rsidR="00A93793" w:rsidP="00D55119" w:rsidRDefault="00A93793" w14:paraId="2E46EFBD" w14:textId="77777777">
            <w:r w:rsidRPr="00DB4B7E">
              <w:t>Weekly – Optional</w:t>
            </w:r>
          </w:p>
        </w:tc>
        <w:tc>
          <w:tcPr>
            <w:tcW w:w="3978" w:type="dxa"/>
          </w:tcPr>
          <w:p w:rsidRPr="00DB4B7E" w:rsidR="00A93793" w:rsidP="00D55119" w:rsidRDefault="00A93793" w14:paraId="7267F3F5" w14:textId="689D040E">
            <w:r>
              <w:t>Make inactive for HHS collection</w:t>
            </w:r>
          </w:p>
        </w:tc>
      </w:tr>
      <w:tr w:rsidRPr="00DB4B7E" w:rsidR="00A93793" w:rsidTr="00A93793" w14:paraId="42C13EFD" w14:textId="77777777">
        <w:tc>
          <w:tcPr>
            <w:tcW w:w="3875" w:type="dxa"/>
          </w:tcPr>
          <w:p w:rsidRPr="00DB4B7E" w:rsidR="00A93793" w:rsidP="00D55119" w:rsidRDefault="00A93793" w14:paraId="3B41F536" w14:textId="77777777">
            <w:r w:rsidRPr="00DB4B7E">
              <w:t>Previous week’s patients &amp; non-healthcare personnel final dose</w:t>
            </w:r>
          </w:p>
        </w:tc>
        <w:tc>
          <w:tcPr>
            <w:tcW w:w="1940" w:type="dxa"/>
          </w:tcPr>
          <w:p w:rsidRPr="00DB4B7E" w:rsidR="00A93793" w:rsidP="00D55119" w:rsidRDefault="00A93793" w14:paraId="6C68F9DF" w14:textId="77777777">
            <w:r w:rsidRPr="00DB4B7E">
              <w:t>Weekly – Optional</w:t>
            </w:r>
          </w:p>
        </w:tc>
        <w:tc>
          <w:tcPr>
            <w:tcW w:w="3978" w:type="dxa"/>
          </w:tcPr>
          <w:p w:rsidRPr="00DB4B7E" w:rsidR="00A93793" w:rsidP="00D55119" w:rsidRDefault="00A93793" w14:paraId="1246D760" w14:textId="37A30BC6">
            <w:r>
              <w:t>Make inactive for HHS collection</w:t>
            </w:r>
          </w:p>
        </w:tc>
      </w:tr>
    </w:tbl>
    <w:p w:rsidRPr="00DB4B7E" w:rsidR="00F11E11" w:rsidP="00F11E11" w:rsidRDefault="00F11E11" w14:paraId="41794202" w14:textId="77777777">
      <w:pPr>
        <w:spacing w:after="200" w:line="276" w:lineRule="auto"/>
      </w:pPr>
    </w:p>
    <w:p w:rsidRPr="00DB4B7E" w:rsidR="00F11E11" w:rsidP="00F11E11" w:rsidRDefault="00F11E11" w14:paraId="63E617B9" w14:textId="77777777">
      <w:pPr>
        <w:spacing w:after="200" w:line="276" w:lineRule="auto"/>
        <w:rPr>
          <w:rFonts w:eastAsiaTheme="majorEastAsia"/>
          <w:b/>
          <w:sz w:val="28"/>
          <w:szCs w:val="32"/>
        </w:rPr>
      </w:pPr>
      <w:r w:rsidRPr="00DB4B7E">
        <w:rPr>
          <w:b/>
          <w:sz w:val="28"/>
        </w:rPr>
        <w:br w:type="page"/>
      </w:r>
    </w:p>
    <w:p w:rsidRPr="00DB4B7E" w:rsidR="00F11E11" w:rsidP="00F11E11" w:rsidRDefault="00F11E11" w14:paraId="0D28FB9D" w14:textId="7C9B2F5D">
      <w:pPr>
        <w:pStyle w:val="Heading1"/>
        <w:spacing w:before="0"/>
        <w:jc w:val="center"/>
        <w:rPr>
          <w:rFonts w:ascii="Times New Roman" w:hAnsi="Times New Roman" w:cs="Times New Roman"/>
          <w:b/>
          <w:color w:val="auto"/>
          <w:sz w:val="28"/>
        </w:rPr>
      </w:pPr>
      <w:r w:rsidRPr="00DB4B7E">
        <w:rPr>
          <w:rFonts w:ascii="Times New Roman" w:hAnsi="Times New Roman" w:cs="Times New Roman"/>
          <w:b/>
          <w:color w:val="auto"/>
          <w:sz w:val="28"/>
        </w:rPr>
        <w:lastRenderedPageBreak/>
        <w:t>Appendix B</w:t>
      </w:r>
    </w:p>
    <w:p w:rsidRPr="00DB4B7E" w:rsidR="00F11E11" w:rsidP="00F11E11" w:rsidRDefault="00F11E11" w14:paraId="78495C9F" w14:textId="77777777">
      <w:pPr>
        <w:pStyle w:val="Heading1"/>
        <w:spacing w:before="0"/>
        <w:jc w:val="center"/>
        <w:rPr>
          <w:rFonts w:cs="Times New Roman"/>
          <w:b/>
          <w:sz w:val="28"/>
        </w:rPr>
      </w:pPr>
      <w:r w:rsidRPr="00DB4B7E">
        <w:rPr>
          <w:rFonts w:ascii="Times New Roman" w:hAnsi="Times New Roman" w:cs="Times New Roman"/>
          <w:b/>
          <w:color w:val="auto"/>
          <w:sz w:val="28"/>
        </w:rPr>
        <w:t>Data Fields with No Proposed Changes</w:t>
      </w:r>
    </w:p>
    <w:p w:rsidRPr="00DB4B7E" w:rsidR="00F11E11" w:rsidP="00F11E11" w:rsidRDefault="00F11E11" w14:paraId="31732E82" w14:textId="77777777"/>
    <w:tbl>
      <w:tblPr>
        <w:tblStyle w:val="TableGrid"/>
        <w:tblW w:w="0" w:type="auto"/>
        <w:tblLook w:val="04A0" w:firstRow="1" w:lastRow="0" w:firstColumn="1" w:lastColumn="0" w:noHBand="0" w:noVBand="1"/>
      </w:tblPr>
      <w:tblGrid>
        <w:gridCol w:w="2517"/>
        <w:gridCol w:w="19"/>
        <w:gridCol w:w="2012"/>
        <w:gridCol w:w="2940"/>
        <w:gridCol w:w="2582"/>
      </w:tblGrid>
      <w:tr w:rsidRPr="00DB4B7E" w:rsidR="00F11E11" w:rsidTr="00A820D5" w14:paraId="211B3A16" w14:textId="77777777">
        <w:tc>
          <w:tcPr>
            <w:tcW w:w="2536" w:type="dxa"/>
            <w:gridSpan w:val="2"/>
          </w:tcPr>
          <w:p w:rsidRPr="00DB4B7E" w:rsidR="00F11E11" w:rsidP="00F11E11" w:rsidRDefault="00F11E11" w14:paraId="2ACBF6B0" w14:textId="77777777">
            <w:pPr>
              <w:jc w:val="center"/>
              <w:rPr>
                <w:b/>
              </w:rPr>
            </w:pPr>
            <w:r w:rsidRPr="00DB4B7E">
              <w:rPr>
                <w:b/>
              </w:rPr>
              <w:t>Field</w:t>
            </w:r>
          </w:p>
        </w:tc>
        <w:tc>
          <w:tcPr>
            <w:tcW w:w="2012" w:type="dxa"/>
          </w:tcPr>
          <w:p w:rsidRPr="00DB4B7E" w:rsidR="00F11E11" w:rsidP="00F11E11" w:rsidRDefault="00F11E11" w14:paraId="6DC38006" w14:textId="77777777">
            <w:pPr>
              <w:jc w:val="center"/>
              <w:rPr>
                <w:b/>
              </w:rPr>
            </w:pPr>
            <w:r w:rsidRPr="00DB4B7E">
              <w:rPr>
                <w:b/>
              </w:rPr>
              <w:t>Current</w:t>
            </w:r>
          </w:p>
        </w:tc>
        <w:tc>
          <w:tcPr>
            <w:tcW w:w="2940" w:type="dxa"/>
          </w:tcPr>
          <w:p w:rsidRPr="00DB4B7E" w:rsidR="00F11E11" w:rsidP="00F11E11" w:rsidRDefault="00F11E11" w14:paraId="001347F7" w14:textId="77777777">
            <w:pPr>
              <w:jc w:val="center"/>
              <w:rPr>
                <w:b/>
              </w:rPr>
            </w:pPr>
            <w:r w:rsidRPr="00DB4B7E">
              <w:rPr>
                <w:b/>
              </w:rPr>
              <w:t>Agency Proposal</w:t>
            </w:r>
          </w:p>
        </w:tc>
        <w:tc>
          <w:tcPr>
            <w:tcW w:w="2582" w:type="dxa"/>
          </w:tcPr>
          <w:p w:rsidRPr="00DB4B7E" w:rsidR="00F11E11" w:rsidP="00F11E11" w:rsidRDefault="00F11E11" w14:paraId="7EBC83DA" w14:textId="77777777">
            <w:pPr>
              <w:jc w:val="center"/>
              <w:rPr>
                <w:b/>
              </w:rPr>
            </w:pPr>
            <w:r w:rsidRPr="00DB4B7E">
              <w:rPr>
                <w:b/>
              </w:rPr>
              <w:t>Rationale</w:t>
            </w:r>
          </w:p>
        </w:tc>
      </w:tr>
      <w:tr w:rsidRPr="00DB4B7E" w:rsidR="00F11E11" w:rsidTr="00A820D5" w14:paraId="2DE3FB4D" w14:textId="77777777">
        <w:tc>
          <w:tcPr>
            <w:tcW w:w="10070" w:type="dxa"/>
            <w:gridSpan w:val="5"/>
            <w:shd w:val="clear" w:color="auto" w:fill="E7E6E6" w:themeFill="background2"/>
          </w:tcPr>
          <w:p w:rsidRPr="00DB4B7E" w:rsidR="00F11E11" w:rsidP="00F11E11" w:rsidRDefault="00F11E11" w14:paraId="2C9010DF" w14:textId="77777777">
            <w:pPr>
              <w:rPr>
                <w:b/>
              </w:rPr>
            </w:pPr>
            <w:r w:rsidRPr="00DB4B7E">
              <w:rPr>
                <w:b/>
              </w:rPr>
              <w:t xml:space="preserve">Metadata </w:t>
            </w:r>
          </w:p>
        </w:tc>
      </w:tr>
      <w:tr w:rsidRPr="00DB4B7E" w:rsidR="00017943" w:rsidTr="00A820D5" w14:paraId="6EC83BE0" w14:textId="77777777">
        <w:tc>
          <w:tcPr>
            <w:tcW w:w="2536" w:type="dxa"/>
            <w:gridSpan w:val="2"/>
          </w:tcPr>
          <w:p w:rsidRPr="00DB4B7E" w:rsidR="00017943" w:rsidP="00F11E11" w:rsidRDefault="00017943" w14:paraId="1E2C8CF8" w14:textId="77777777">
            <w:r w:rsidRPr="00DB4B7E">
              <w:t>Hospital Name</w:t>
            </w:r>
          </w:p>
        </w:tc>
        <w:tc>
          <w:tcPr>
            <w:tcW w:w="2012" w:type="dxa"/>
          </w:tcPr>
          <w:p w:rsidRPr="00DB4B7E" w:rsidR="00017943" w:rsidP="00F11E11" w:rsidRDefault="00017943" w14:paraId="2E28D153" w14:textId="6850449C">
            <w:r w:rsidRPr="00DB4B7E">
              <w:t xml:space="preserve">Daily – </w:t>
            </w:r>
            <w:r>
              <w:t>Required</w:t>
            </w:r>
          </w:p>
        </w:tc>
        <w:tc>
          <w:tcPr>
            <w:tcW w:w="2940" w:type="dxa"/>
          </w:tcPr>
          <w:p w:rsidRPr="00DB4B7E" w:rsidR="00017943" w:rsidP="00F11E11" w:rsidRDefault="00017943" w14:paraId="6EF31EB6" w14:textId="6A651087">
            <w:r w:rsidRPr="00DB4B7E">
              <w:t xml:space="preserve">Daily – </w:t>
            </w:r>
            <w:r>
              <w:t>Required</w:t>
            </w:r>
          </w:p>
        </w:tc>
        <w:tc>
          <w:tcPr>
            <w:tcW w:w="2582" w:type="dxa"/>
            <w:vMerge w:val="restart"/>
          </w:tcPr>
          <w:p w:rsidRPr="00DB4B7E" w:rsidR="00017943" w:rsidP="00F11E11" w:rsidRDefault="00017943" w14:paraId="7FEE29D8" w14:textId="76C75316">
            <w:r>
              <w:t xml:space="preserve">Metadata </w:t>
            </w:r>
            <w:r w:rsidRPr="000F2834">
              <w:t xml:space="preserve">ensures data can be identified and matched with the appropriate facility. </w:t>
            </w:r>
            <w:r>
              <w:t xml:space="preserve">Logic is incorporated into </w:t>
            </w:r>
            <w:proofErr w:type="spellStart"/>
            <w:r>
              <w:t>TeleT</w:t>
            </w:r>
            <w:r w:rsidRPr="000F2834">
              <w:t>racking</w:t>
            </w:r>
            <w:proofErr w:type="spellEnd"/>
            <w:r w:rsidRPr="000F2834">
              <w:t xml:space="preserve"> (and should be incorporated into other systems) so facilities do not need to answer metadata questions unless there are changes.</w:t>
            </w:r>
          </w:p>
        </w:tc>
      </w:tr>
      <w:tr w:rsidRPr="00DB4B7E" w:rsidR="00017943" w:rsidTr="00A820D5" w14:paraId="49BEE48A" w14:textId="77777777">
        <w:tc>
          <w:tcPr>
            <w:tcW w:w="2536" w:type="dxa"/>
            <w:gridSpan w:val="2"/>
          </w:tcPr>
          <w:p w:rsidRPr="00DB4B7E" w:rsidR="00017943" w:rsidP="00F11E11" w:rsidRDefault="00017943" w14:paraId="12ADFCAF" w14:textId="77777777">
            <w:r w:rsidRPr="00DB4B7E">
              <w:t>CCN</w:t>
            </w:r>
          </w:p>
        </w:tc>
        <w:tc>
          <w:tcPr>
            <w:tcW w:w="2012" w:type="dxa"/>
          </w:tcPr>
          <w:p w:rsidRPr="00DB4B7E" w:rsidR="00017943" w:rsidP="00F11E11" w:rsidRDefault="00017943" w14:paraId="37C3863D" w14:textId="33CFAE52">
            <w:r w:rsidRPr="00DB4B7E">
              <w:t xml:space="preserve">Daily – </w:t>
            </w:r>
            <w:r>
              <w:t>Required</w:t>
            </w:r>
          </w:p>
        </w:tc>
        <w:tc>
          <w:tcPr>
            <w:tcW w:w="2940" w:type="dxa"/>
          </w:tcPr>
          <w:p w:rsidRPr="00DB4B7E" w:rsidR="00017943" w:rsidP="00F11E11" w:rsidRDefault="00017943" w14:paraId="6301A2A2" w14:textId="415F5F8C">
            <w:r w:rsidRPr="00DB4B7E">
              <w:t xml:space="preserve">Daily – </w:t>
            </w:r>
            <w:r>
              <w:t>Required</w:t>
            </w:r>
          </w:p>
        </w:tc>
        <w:tc>
          <w:tcPr>
            <w:tcW w:w="2582" w:type="dxa"/>
            <w:vMerge/>
          </w:tcPr>
          <w:p w:rsidRPr="00DB4B7E" w:rsidR="00017943" w:rsidP="00F11E11" w:rsidRDefault="00017943" w14:paraId="50C8FDD6" w14:textId="77777777"/>
        </w:tc>
      </w:tr>
      <w:tr w:rsidRPr="00DB4B7E" w:rsidR="00017943" w:rsidTr="00A820D5" w14:paraId="567FDA04" w14:textId="77777777">
        <w:tc>
          <w:tcPr>
            <w:tcW w:w="2536" w:type="dxa"/>
            <w:gridSpan w:val="2"/>
          </w:tcPr>
          <w:p w:rsidRPr="00DB4B7E" w:rsidR="00017943" w:rsidP="00F11E11" w:rsidRDefault="00017943" w14:paraId="3B526E41" w14:textId="77777777">
            <w:r w:rsidRPr="00DB4B7E">
              <w:t xml:space="preserve">NHSN </w:t>
            </w:r>
            <w:proofErr w:type="spellStart"/>
            <w:r w:rsidRPr="00DB4B7E">
              <w:t>OrgID</w:t>
            </w:r>
            <w:proofErr w:type="spellEnd"/>
          </w:p>
        </w:tc>
        <w:tc>
          <w:tcPr>
            <w:tcW w:w="2012" w:type="dxa"/>
          </w:tcPr>
          <w:p w:rsidRPr="00DB4B7E" w:rsidR="00017943" w:rsidP="00F11E11" w:rsidRDefault="00017943" w14:paraId="645C9192" w14:textId="77777777">
            <w:r w:rsidRPr="00DB4B7E">
              <w:t>Daily – Optional</w:t>
            </w:r>
          </w:p>
        </w:tc>
        <w:tc>
          <w:tcPr>
            <w:tcW w:w="2940" w:type="dxa"/>
          </w:tcPr>
          <w:p w:rsidRPr="00DB4B7E" w:rsidR="00017943" w:rsidP="00F11E11" w:rsidRDefault="00017943" w14:paraId="4E4985B3" w14:textId="77777777">
            <w:r w:rsidRPr="00DB4B7E">
              <w:t>Daily – Optional</w:t>
            </w:r>
          </w:p>
        </w:tc>
        <w:tc>
          <w:tcPr>
            <w:tcW w:w="2582" w:type="dxa"/>
            <w:vMerge/>
          </w:tcPr>
          <w:p w:rsidRPr="00DB4B7E" w:rsidR="00017943" w:rsidP="00F11E11" w:rsidRDefault="00017943" w14:paraId="759B00EF" w14:textId="77777777"/>
        </w:tc>
      </w:tr>
      <w:tr w:rsidRPr="00DB4B7E" w:rsidR="00017943" w:rsidTr="00A820D5" w14:paraId="22F64900" w14:textId="77777777">
        <w:tc>
          <w:tcPr>
            <w:tcW w:w="2536" w:type="dxa"/>
            <w:gridSpan w:val="2"/>
          </w:tcPr>
          <w:p w:rsidRPr="00DB4B7E" w:rsidR="00017943" w:rsidP="00F11E11" w:rsidRDefault="00017943" w14:paraId="01DBBBC6" w14:textId="77777777">
            <w:r w:rsidRPr="00DB4B7E">
              <w:t>State</w:t>
            </w:r>
          </w:p>
        </w:tc>
        <w:tc>
          <w:tcPr>
            <w:tcW w:w="2012" w:type="dxa"/>
          </w:tcPr>
          <w:p w:rsidRPr="00DB4B7E" w:rsidR="00017943" w:rsidP="00F11E11" w:rsidRDefault="00017943" w14:paraId="65BF591E" w14:textId="02E15CF3">
            <w:r w:rsidRPr="00DB4B7E">
              <w:t xml:space="preserve">Daily – </w:t>
            </w:r>
            <w:r>
              <w:t>Required</w:t>
            </w:r>
          </w:p>
        </w:tc>
        <w:tc>
          <w:tcPr>
            <w:tcW w:w="2940" w:type="dxa"/>
          </w:tcPr>
          <w:p w:rsidRPr="00DB4B7E" w:rsidR="00017943" w:rsidP="00F11E11" w:rsidRDefault="00017943" w14:paraId="78CACAF5" w14:textId="1AB776A6">
            <w:r w:rsidRPr="00DB4B7E">
              <w:t xml:space="preserve">Daily – </w:t>
            </w:r>
            <w:r>
              <w:t>Required</w:t>
            </w:r>
          </w:p>
        </w:tc>
        <w:tc>
          <w:tcPr>
            <w:tcW w:w="2582" w:type="dxa"/>
            <w:vMerge/>
          </w:tcPr>
          <w:p w:rsidRPr="00DB4B7E" w:rsidR="00017943" w:rsidP="00F11E11" w:rsidRDefault="00017943" w14:paraId="16D921E7" w14:textId="77777777"/>
        </w:tc>
      </w:tr>
      <w:tr w:rsidRPr="00DB4B7E" w:rsidR="00017943" w:rsidTr="00A820D5" w14:paraId="2DD7E33F" w14:textId="77777777">
        <w:tc>
          <w:tcPr>
            <w:tcW w:w="2536" w:type="dxa"/>
            <w:gridSpan w:val="2"/>
          </w:tcPr>
          <w:p w:rsidRPr="00DB4B7E" w:rsidR="00017943" w:rsidP="00F11E11" w:rsidRDefault="00017943" w14:paraId="5D5B53AC" w14:textId="77777777">
            <w:r w:rsidRPr="00DB4B7E">
              <w:t>County</w:t>
            </w:r>
          </w:p>
        </w:tc>
        <w:tc>
          <w:tcPr>
            <w:tcW w:w="2012" w:type="dxa"/>
          </w:tcPr>
          <w:p w:rsidRPr="00DB4B7E" w:rsidR="00017943" w:rsidP="00F11E11" w:rsidRDefault="00017943" w14:paraId="13A5E30D" w14:textId="0B4F83C5">
            <w:r w:rsidRPr="00DB4B7E">
              <w:t xml:space="preserve">Daily – </w:t>
            </w:r>
            <w:r>
              <w:t>Required</w:t>
            </w:r>
          </w:p>
        </w:tc>
        <w:tc>
          <w:tcPr>
            <w:tcW w:w="2940" w:type="dxa"/>
          </w:tcPr>
          <w:p w:rsidRPr="00DB4B7E" w:rsidR="00017943" w:rsidP="00F11E11" w:rsidRDefault="00017943" w14:paraId="5E041CF9" w14:textId="047ECF4C">
            <w:r w:rsidRPr="00DB4B7E">
              <w:t xml:space="preserve">Daily – </w:t>
            </w:r>
            <w:r>
              <w:t>Required</w:t>
            </w:r>
          </w:p>
        </w:tc>
        <w:tc>
          <w:tcPr>
            <w:tcW w:w="2582" w:type="dxa"/>
            <w:vMerge/>
          </w:tcPr>
          <w:p w:rsidRPr="00DB4B7E" w:rsidR="00017943" w:rsidP="00F11E11" w:rsidRDefault="00017943" w14:paraId="5ED85F96" w14:textId="77777777"/>
        </w:tc>
      </w:tr>
      <w:tr w:rsidRPr="00DB4B7E" w:rsidR="00017943" w:rsidTr="00A820D5" w14:paraId="389D28B1" w14:textId="77777777">
        <w:tc>
          <w:tcPr>
            <w:tcW w:w="2536" w:type="dxa"/>
            <w:gridSpan w:val="2"/>
          </w:tcPr>
          <w:p w:rsidRPr="00DB4B7E" w:rsidR="00017943" w:rsidP="00F11E11" w:rsidRDefault="00017943" w14:paraId="4E35B4FD" w14:textId="77777777">
            <w:r w:rsidRPr="00DB4B7E">
              <w:t>Zip</w:t>
            </w:r>
          </w:p>
        </w:tc>
        <w:tc>
          <w:tcPr>
            <w:tcW w:w="2012" w:type="dxa"/>
          </w:tcPr>
          <w:p w:rsidRPr="00DB4B7E" w:rsidR="00017943" w:rsidP="00F11E11" w:rsidRDefault="00017943" w14:paraId="7D6D2439" w14:textId="0FE348F7">
            <w:r w:rsidRPr="00DB4B7E">
              <w:t xml:space="preserve">Daily – </w:t>
            </w:r>
            <w:r>
              <w:t>Required</w:t>
            </w:r>
          </w:p>
        </w:tc>
        <w:tc>
          <w:tcPr>
            <w:tcW w:w="2940" w:type="dxa"/>
          </w:tcPr>
          <w:p w:rsidRPr="00DB4B7E" w:rsidR="00017943" w:rsidP="00F11E11" w:rsidRDefault="00017943" w14:paraId="5F13A880" w14:textId="1D72E19B">
            <w:r w:rsidRPr="00DB4B7E">
              <w:t xml:space="preserve">Daily – </w:t>
            </w:r>
            <w:r>
              <w:t>Required</w:t>
            </w:r>
          </w:p>
        </w:tc>
        <w:tc>
          <w:tcPr>
            <w:tcW w:w="2582" w:type="dxa"/>
            <w:vMerge/>
          </w:tcPr>
          <w:p w:rsidRPr="00DB4B7E" w:rsidR="00017943" w:rsidP="00F11E11" w:rsidRDefault="00017943" w14:paraId="103411D7" w14:textId="77777777"/>
        </w:tc>
      </w:tr>
      <w:tr w:rsidRPr="00DB4B7E" w:rsidR="00017943" w:rsidTr="00A820D5" w14:paraId="7F293AFF" w14:textId="77777777">
        <w:tc>
          <w:tcPr>
            <w:tcW w:w="2536" w:type="dxa"/>
            <w:gridSpan w:val="2"/>
          </w:tcPr>
          <w:p w:rsidRPr="00DB4B7E" w:rsidR="00017943" w:rsidP="00F11E11" w:rsidRDefault="00017943" w14:paraId="002EE200" w14:textId="77777777">
            <w:proofErr w:type="spellStart"/>
            <w:r w:rsidRPr="00DB4B7E">
              <w:t>Teletracking</w:t>
            </w:r>
            <w:proofErr w:type="spellEnd"/>
            <w:r w:rsidRPr="00DB4B7E">
              <w:t xml:space="preserve"> ID</w:t>
            </w:r>
          </w:p>
        </w:tc>
        <w:tc>
          <w:tcPr>
            <w:tcW w:w="2012" w:type="dxa"/>
          </w:tcPr>
          <w:p w:rsidRPr="00DB4B7E" w:rsidR="00017943" w:rsidP="00F11E11" w:rsidRDefault="00017943" w14:paraId="21A0C95B" w14:textId="77777777">
            <w:r w:rsidRPr="00DB4B7E">
              <w:t>Daily – Optional</w:t>
            </w:r>
          </w:p>
        </w:tc>
        <w:tc>
          <w:tcPr>
            <w:tcW w:w="2940" w:type="dxa"/>
          </w:tcPr>
          <w:p w:rsidRPr="00DB4B7E" w:rsidR="00017943" w:rsidP="00F11E11" w:rsidRDefault="00017943" w14:paraId="30597A1C" w14:textId="77777777">
            <w:r w:rsidRPr="00DB4B7E">
              <w:t>Daily – Optional</w:t>
            </w:r>
          </w:p>
        </w:tc>
        <w:tc>
          <w:tcPr>
            <w:tcW w:w="2582" w:type="dxa"/>
            <w:vMerge/>
          </w:tcPr>
          <w:p w:rsidRPr="00DB4B7E" w:rsidR="00017943" w:rsidP="00F11E11" w:rsidRDefault="00017943" w14:paraId="73AE420F" w14:textId="77777777"/>
        </w:tc>
      </w:tr>
      <w:tr w:rsidRPr="00DB4B7E" w:rsidR="00017943" w:rsidTr="00A820D5" w14:paraId="35FC2BFE" w14:textId="77777777">
        <w:tc>
          <w:tcPr>
            <w:tcW w:w="2536" w:type="dxa"/>
            <w:gridSpan w:val="2"/>
          </w:tcPr>
          <w:p w:rsidRPr="00DB4B7E" w:rsidR="00017943" w:rsidP="00F11E11" w:rsidRDefault="00017943" w14:paraId="4B2BDDD9" w14:textId="211B2610">
            <w:r>
              <w:t>HHS ID</w:t>
            </w:r>
          </w:p>
        </w:tc>
        <w:tc>
          <w:tcPr>
            <w:tcW w:w="2012" w:type="dxa"/>
          </w:tcPr>
          <w:p w:rsidRPr="00DB4B7E" w:rsidR="00017943" w:rsidP="00F11E11" w:rsidRDefault="00017943" w14:paraId="6CEAB156" w14:textId="091A63CA">
            <w:r>
              <w:t xml:space="preserve">Daily – Optional </w:t>
            </w:r>
          </w:p>
        </w:tc>
        <w:tc>
          <w:tcPr>
            <w:tcW w:w="2940" w:type="dxa"/>
          </w:tcPr>
          <w:p w:rsidRPr="00DB4B7E" w:rsidR="00017943" w:rsidP="00F11E11" w:rsidRDefault="00017943" w14:paraId="02A2127A" w14:textId="44916A8F">
            <w:r>
              <w:t xml:space="preserve">Daily – Optional </w:t>
            </w:r>
          </w:p>
        </w:tc>
        <w:tc>
          <w:tcPr>
            <w:tcW w:w="2582" w:type="dxa"/>
            <w:vMerge/>
          </w:tcPr>
          <w:p w:rsidRPr="00DB4B7E" w:rsidR="00017943" w:rsidP="00F11E11" w:rsidRDefault="00017943" w14:paraId="1EAB8AE5" w14:textId="77777777"/>
        </w:tc>
      </w:tr>
      <w:tr w:rsidRPr="00DB4B7E" w:rsidR="00F11E11" w:rsidTr="00A820D5" w14:paraId="24526DF9" w14:textId="77777777">
        <w:tc>
          <w:tcPr>
            <w:tcW w:w="10070" w:type="dxa"/>
            <w:gridSpan w:val="5"/>
            <w:shd w:val="clear" w:color="auto" w:fill="E7E6E6" w:themeFill="background2"/>
          </w:tcPr>
          <w:p w:rsidRPr="00DB4B7E" w:rsidR="00F11E11" w:rsidP="00F11E11" w:rsidRDefault="00F11E11" w14:paraId="6BC94B16" w14:textId="77777777">
            <w:pPr>
              <w:rPr>
                <w:b/>
              </w:rPr>
            </w:pPr>
            <w:r w:rsidRPr="00DB4B7E">
              <w:rPr>
                <w:b/>
              </w:rPr>
              <w:t xml:space="preserve">Capacity </w:t>
            </w:r>
          </w:p>
        </w:tc>
      </w:tr>
      <w:tr w:rsidRPr="00DB4B7E" w:rsidR="00D5196B" w:rsidTr="00A820D5" w14:paraId="24D27428" w14:textId="77777777">
        <w:tc>
          <w:tcPr>
            <w:tcW w:w="2536" w:type="dxa"/>
            <w:gridSpan w:val="2"/>
          </w:tcPr>
          <w:p w:rsidRPr="00DB4B7E" w:rsidR="00D5196B" w:rsidP="00D5196B" w:rsidRDefault="00D5196B" w14:paraId="0951C15A" w14:textId="77777777">
            <w:r w:rsidRPr="00DB4B7E">
              <w:t>All hospital inpatient beds</w:t>
            </w:r>
          </w:p>
        </w:tc>
        <w:tc>
          <w:tcPr>
            <w:tcW w:w="2012" w:type="dxa"/>
          </w:tcPr>
          <w:p w:rsidRPr="00DB4B7E" w:rsidR="00D5196B" w:rsidP="00D5196B" w:rsidRDefault="00D5196B" w14:paraId="20734FA5" w14:textId="5B45C1C9">
            <w:r w:rsidRPr="00DB4B7E">
              <w:t xml:space="preserve">Daily – </w:t>
            </w:r>
            <w:r>
              <w:t>Required</w:t>
            </w:r>
          </w:p>
        </w:tc>
        <w:tc>
          <w:tcPr>
            <w:tcW w:w="2940" w:type="dxa"/>
          </w:tcPr>
          <w:p w:rsidRPr="00DB4B7E" w:rsidR="00D5196B" w:rsidP="00D5196B" w:rsidRDefault="00D5196B" w14:paraId="02C33E64" w14:textId="1E282AFE">
            <w:r w:rsidRPr="00DB4B7E">
              <w:t xml:space="preserve">Daily – </w:t>
            </w:r>
            <w:r>
              <w:t>Required</w:t>
            </w:r>
          </w:p>
        </w:tc>
        <w:tc>
          <w:tcPr>
            <w:tcW w:w="2582" w:type="dxa"/>
          </w:tcPr>
          <w:p w:rsidRPr="00DB4B7E" w:rsidR="00D5196B" w:rsidP="00D5196B" w:rsidRDefault="00D5196B" w14:paraId="173D46D1" w14:textId="06060621">
            <w:r w:rsidRPr="007435B4">
              <w:t>The capacity and occupancy fields are used to inform Federal understanding of</w:t>
            </w:r>
            <w:r>
              <w:t xml:space="preserve"> areas</w:t>
            </w:r>
            <w:r w:rsidRPr="007435B4">
              <w:t xml:space="preserve"> experiencing surges in hospital stress. All hospital inpatient beds are required for calculations such as the number of admissions per 100 beds.</w:t>
            </w:r>
          </w:p>
        </w:tc>
      </w:tr>
      <w:tr w:rsidRPr="00DB4B7E" w:rsidR="008F3625" w:rsidTr="00A820D5" w14:paraId="5ED352B4" w14:textId="77777777">
        <w:tc>
          <w:tcPr>
            <w:tcW w:w="2536" w:type="dxa"/>
            <w:gridSpan w:val="2"/>
          </w:tcPr>
          <w:p w:rsidRPr="00DB4B7E" w:rsidR="008F3625" w:rsidP="00D5196B" w:rsidRDefault="008F3625" w14:paraId="38BEDDCD" w14:textId="77777777">
            <w:r w:rsidRPr="00DB4B7E">
              <w:t>All hospital adult inpatient beds</w:t>
            </w:r>
          </w:p>
        </w:tc>
        <w:tc>
          <w:tcPr>
            <w:tcW w:w="2012" w:type="dxa"/>
          </w:tcPr>
          <w:p w:rsidRPr="00DB4B7E" w:rsidR="008F3625" w:rsidP="00D5196B" w:rsidRDefault="008F3625" w14:paraId="0D4FCEF4" w14:textId="3025C7C7">
            <w:r w:rsidRPr="00DB4B7E">
              <w:t xml:space="preserve">Daily – </w:t>
            </w:r>
            <w:r>
              <w:t>Required</w:t>
            </w:r>
          </w:p>
        </w:tc>
        <w:tc>
          <w:tcPr>
            <w:tcW w:w="2940" w:type="dxa"/>
          </w:tcPr>
          <w:p w:rsidRPr="00DB4B7E" w:rsidR="008F3625" w:rsidP="00D5196B" w:rsidRDefault="008F3625" w14:paraId="49C31313" w14:textId="346DE214">
            <w:r w:rsidRPr="00DB4B7E">
              <w:t xml:space="preserve">Daily – </w:t>
            </w:r>
            <w:r>
              <w:t>Required</w:t>
            </w:r>
          </w:p>
        </w:tc>
        <w:tc>
          <w:tcPr>
            <w:tcW w:w="2582" w:type="dxa"/>
            <w:vMerge w:val="restart"/>
          </w:tcPr>
          <w:p w:rsidRPr="00DB4B7E" w:rsidR="008F3625" w:rsidP="00D5196B" w:rsidRDefault="008F3625" w14:paraId="5BBF8EBA" w14:textId="4B8346EC">
            <w:r w:rsidRPr="007435B4">
              <w:t xml:space="preserve">The capacity and occupancy fields are used to inform Federal understanding of </w:t>
            </w:r>
            <w:r>
              <w:t>areas</w:t>
            </w:r>
            <w:r w:rsidRPr="007435B4">
              <w:t xml:space="preserve"> experiencing surges in hospital stress. </w:t>
            </w:r>
            <w:r>
              <w:t>Adult hospital inpatient beds are r</w:t>
            </w:r>
            <w:r w:rsidRPr="007435B4">
              <w:t xml:space="preserve">equired for analysis of </w:t>
            </w:r>
            <w:r>
              <w:t xml:space="preserve">the </w:t>
            </w:r>
            <w:r w:rsidRPr="007435B4">
              <w:t>number of adult and pediatric inpatient beds available.</w:t>
            </w:r>
          </w:p>
        </w:tc>
      </w:tr>
      <w:tr w:rsidRPr="00DB4B7E" w:rsidR="008F3625" w:rsidTr="00A820D5" w14:paraId="7FE38414" w14:textId="77777777">
        <w:tc>
          <w:tcPr>
            <w:tcW w:w="2536" w:type="dxa"/>
            <w:gridSpan w:val="2"/>
          </w:tcPr>
          <w:p w:rsidRPr="00DB4B7E" w:rsidR="008F3625" w:rsidP="00D5196B" w:rsidRDefault="008F3625" w14:paraId="77AA1E56" w14:textId="081E44EC">
            <w:r>
              <w:t>All hospital pediatric inpatient beds</w:t>
            </w:r>
          </w:p>
        </w:tc>
        <w:tc>
          <w:tcPr>
            <w:tcW w:w="2012" w:type="dxa"/>
          </w:tcPr>
          <w:p w:rsidRPr="00DB4B7E" w:rsidR="008F3625" w:rsidP="00D5196B" w:rsidRDefault="008F3625" w14:paraId="545ACB77" w14:textId="49E8AC89">
            <w:r>
              <w:t>Daily – Required</w:t>
            </w:r>
          </w:p>
        </w:tc>
        <w:tc>
          <w:tcPr>
            <w:tcW w:w="2940" w:type="dxa"/>
          </w:tcPr>
          <w:p w:rsidRPr="00DB4B7E" w:rsidR="008F3625" w:rsidP="00D5196B" w:rsidRDefault="008F3625" w14:paraId="3A3C88BF" w14:textId="015B4820">
            <w:r>
              <w:t>Daily – Required</w:t>
            </w:r>
          </w:p>
        </w:tc>
        <w:tc>
          <w:tcPr>
            <w:tcW w:w="2582" w:type="dxa"/>
            <w:vMerge/>
          </w:tcPr>
          <w:p w:rsidRPr="007435B4" w:rsidR="008F3625" w:rsidP="00D5196B" w:rsidRDefault="008F3625" w14:paraId="3F56CC2C" w14:textId="77777777"/>
        </w:tc>
      </w:tr>
      <w:tr w:rsidRPr="00DB4B7E" w:rsidR="008F3625" w:rsidTr="00A820D5" w14:paraId="57857EFC" w14:textId="77777777">
        <w:tc>
          <w:tcPr>
            <w:tcW w:w="2536" w:type="dxa"/>
            <w:gridSpan w:val="2"/>
          </w:tcPr>
          <w:p w:rsidRPr="00DB4B7E" w:rsidR="008F3625" w:rsidP="00D5196B" w:rsidRDefault="008F3625" w14:paraId="6C18BB20" w14:textId="77777777">
            <w:r w:rsidRPr="00DB4B7E">
              <w:t>All hospital inpatient occupancy</w:t>
            </w:r>
          </w:p>
        </w:tc>
        <w:tc>
          <w:tcPr>
            <w:tcW w:w="2012" w:type="dxa"/>
          </w:tcPr>
          <w:p w:rsidRPr="00DB4B7E" w:rsidR="008F3625" w:rsidP="00D5196B" w:rsidRDefault="008F3625" w14:paraId="0BCF9E82" w14:textId="06449EE9">
            <w:r w:rsidRPr="00DB4B7E">
              <w:t xml:space="preserve">Daily – </w:t>
            </w:r>
            <w:r>
              <w:t>Required</w:t>
            </w:r>
          </w:p>
        </w:tc>
        <w:tc>
          <w:tcPr>
            <w:tcW w:w="2940" w:type="dxa"/>
          </w:tcPr>
          <w:p w:rsidRPr="00DB4B7E" w:rsidR="008F3625" w:rsidP="00D5196B" w:rsidRDefault="008F3625" w14:paraId="370099A6" w14:textId="1190F596">
            <w:r w:rsidRPr="00DB4B7E">
              <w:t xml:space="preserve">Daily – </w:t>
            </w:r>
            <w:r>
              <w:t>Required</w:t>
            </w:r>
          </w:p>
        </w:tc>
        <w:tc>
          <w:tcPr>
            <w:tcW w:w="2582" w:type="dxa"/>
            <w:vMerge/>
          </w:tcPr>
          <w:p w:rsidRPr="00DB4B7E" w:rsidR="008F3625" w:rsidP="00D5196B" w:rsidRDefault="008F3625" w14:paraId="2D134687" w14:textId="06AC7FF2"/>
        </w:tc>
      </w:tr>
      <w:tr w:rsidRPr="00DB4B7E" w:rsidR="008F3625" w:rsidTr="00A820D5" w14:paraId="12EA8119" w14:textId="77777777">
        <w:tc>
          <w:tcPr>
            <w:tcW w:w="2536" w:type="dxa"/>
            <w:gridSpan w:val="2"/>
          </w:tcPr>
          <w:p w:rsidRPr="00DB4B7E" w:rsidR="008F3625" w:rsidP="00D5196B" w:rsidRDefault="008F3625" w14:paraId="37657080" w14:textId="77777777">
            <w:r w:rsidRPr="00DB4B7E">
              <w:t>All hospital adult inpatient occupancy</w:t>
            </w:r>
          </w:p>
        </w:tc>
        <w:tc>
          <w:tcPr>
            <w:tcW w:w="2012" w:type="dxa"/>
          </w:tcPr>
          <w:p w:rsidRPr="00DB4B7E" w:rsidR="008F3625" w:rsidP="00D5196B" w:rsidRDefault="008F3625" w14:paraId="4999A801" w14:textId="012A4407">
            <w:r w:rsidRPr="00DB4B7E">
              <w:t xml:space="preserve">Daily – </w:t>
            </w:r>
            <w:r>
              <w:t>Required</w:t>
            </w:r>
          </w:p>
        </w:tc>
        <w:tc>
          <w:tcPr>
            <w:tcW w:w="2940" w:type="dxa"/>
          </w:tcPr>
          <w:p w:rsidRPr="00DB4B7E" w:rsidR="008F3625" w:rsidP="00D5196B" w:rsidRDefault="008F3625" w14:paraId="26CF0F79" w14:textId="4D806D6D">
            <w:r w:rsidRPr="00DB4B7E">
              <w:t xml:space="preserve">Daily – </w:t>
            </w:r>
            <w:r>
              <w:t>Required</w:t>
            </w:r>
          </w:p>
        </w:tc>
        <w:tc>
          <w:tcPr>
            <w:tcW w:w="2582" w:type="dxa"/>
            <w:vMerge/>
          </w:tcPr>
          <w:p w:rsidRPr="00DB4B7E" w:rsidR="008F3625" w:rsidP="00D5196B" w:rsidRDefault="008F3625" w14:paraId="70915804" w14:textId="10BFCFE6"/>
        </w:tc>
      </w:tr>
      <w:tr w:rsidRPr="00DB4B7E" w:rsidR="008F3625" w:rsidTr="00A820D5" w14:paraId="2E8C8630" w14:textId="77777777">
        <w:tc>
          <w:tcPr>
            <w:tcW w:w="2536" w:type="dxa"/>
            <w:gridSpan w:val="2"/>
          </w:tcPr>
          <w:p w:rsidRPr="00DB4B7E" w:rsidR="008F3625" w:rsidP="00D5196B" w:rsidRDefault="008F3625" w14:paraId="26491B56" w14:textId="59E883F8">
            <w:r>
              <w:t>All hospital pediatric inpatient occupancy</w:t>
            </w:r>
          </w:p>
        </w:tc>
        <w:tc>
          <w:tcPr>
            <w:tcW w:w="2012" w:type="dxa"/>
          </w:tcPr>
          <w:p w:rsidRPr="00DB4B7E" w:rsidR="008F3625" w:rsidP="00D5196B" w:rsidRDefault="008F3625" w14:paraId="5DAA7C92" w14:textId="2D57C413">
            <w:r>
              <w:t>Daily – Required</w:t>
            </w:r>
          </w:p>
        </w:tc>
        <w:tc>
          <w:tcPr>
            <w:tcW w:w="2940" w:type="dxa"/>
          </w:tcPr>
          <w:p w:rsidRPr="00DB4B7E" w:rsidR="008F3625" w:rsidP="00D5196B" w:rsidRDefault="008F3625" w14:paraId="7079CE12" w14:textId="68E64D05">
            <w:r>
              <w:t>Daily – Required</w:t>
            </w:r>
          </w:p>
        </w:tc>
        <w:tc>
          <w:tcPr>
            <w:tcW w:w="2582" w:type="dxa"/>
            <w:vMerge/>
          </w:tcPr>
          <w:p w:rsidRPr="00DB4B7E" w:rsidR="008F3625" w:rsidP="00D5196B" w:rsidRDefault="008F3625" w14:paraId="0BE36B00" w14:textId="77777777"/>
        </w:tc>
      </w:tr>
      <w:tr w:rsidRPr="00DB4B7E" w:rsidR="008F3625" w:rsidTr="00A820D5" w14:paraId="58A619F3" w14:textId="77777777">
        <w:tc>
          <w:tcPr>
            <w:tcW w:w="2536" w:type="dxa"/>
            <w:gridSpan w:val="2"/>
          </w:tcPr>
          <w:p w:rsidRPr="00DB4B7E" w:rsidR="008F3625" w:rsidP="00D5196B" w:rsidRDefault="008F3625" w14:paraId="4967686F" w14:textId="77777777">
            <w:r w:rsidRPr="00DB4B7E">
              <w:t>ICU beds</w:t>
            </w:r>
          </w:p>
        </w:tc>
        <w:tc>
          <w:tcPr>
            <w:tcW w:w="2012" w:type="dxa"/>
          </w:tcPr>
          <w:p w:rsidRPr="00DB4B7E" w:rsidR="008F3625" w:rsidP="00D5196B" w:rsidRDefault="008F3625" w14:paraId="1F1E47B0" w14:textId="52F2C0DF">
            <w:r w:rsidRPr="00DB4B7E">
              <w:t xml:space="preserve">Daily – </w:t>
            </w:r>
            <w:r>
              <w:t>Required</w:t>
            </w:r>
          </w:p>
        </w:tc>
        <w:tc>
          <w:tcPr>
            <w:tcW w:w="2940" w:type="dxa"/>
          </w:tcPr>
          <w:p w:rsidRPr="00DB4B7E" w:rsidR="008F3625" w:rsidP="00D5196B" w:rsidRDefault="008F3625" w14:paraId="67B0EAD9" w14:textId="45DDFAE3">
            <w:r w:rsidRPr="00DB4B7E">
              <w:t xml:space="preserve">Daily – </w:t>
            </w:r>
            <w:r>
              <w:t>Required</w:t>
            </w:r>
          </w:p>
        </w:tc>
        <w:tc>
          <w:tcPr>
            <w:tcW w:w="2582" w:type="dxa"/>
            <w:vMerge w:val="restart"/>
          </w:tcPr>
          <w:p w:rsidRPr="00DB4B7E" w:rsidR="008F3625" w:rsidP="00D5196B" w:rsidRDefault="008F3625" w14:paraId="092E84B7" w14:textId="204A5E6B">
            <w:r w:rsidRPr="00A44EC8">
              <w:t>The capacity and occupancy fields are used to inform Federal understanding of areas experiencing surges in hospital stress. Th</w:t>
            </w:r>
            <w:r>
              <w:t>ese</w:t>
            </w:r>
            <w:r w:rsidRPr="00A44EC8">
              <w:t xml:space="preserve"> field</w:t>
            </w:r>
            <w:r>
              <w:t>s</w:t>
            </w:r>
            <w:r w:rsidRPr="00A44EC8">
              <w:t xml:space="preserve"> </w:t>
            </w:r>
            <w:r>
              <w:t>are</w:t>
            </w:r>
            <w:r w:rsidRPr="00A44EC8">
              <w:t xml:space="preserve"> used for </w:t>
            </w:r>
            <w:r w:rsidRPr="00A44EC8">
              <w:lastRenderedPageBreak/>
              <w:t>analysis of national ICU bed availability.</w:t>
            </w:r>
          </w:p>
        </w:tc>
      </w:tr>
      <w:tr w:rsidRPr="00DB4B7E" w:rsidR="008F3625" w:rsidTr="00A820D5" w14:paraId="3985AD3A" w14:textId="77777777">
        <w:tc>
          <w:tcPr>
            <w:tcW w:w="2536" w:type="dxa"/>
            <w:gridSpan w:val="2"/>
          </w:tcPr>
          <w:p w:rsidRPr="00DB4B7E" w:rsidR="008F3625" w:rsidP="00D5196B" w:rsidRDefault="008F3625" w14:paraId="773E6554" w14:textId="77777777">
            <w:r w:rsidRPr="00DB4B7E">
              <w:t>Adult ICU beds</w:t>
            </w:r>
          </w:p>
        </w:tc>
        <w:tc>
          <w:tcPr>
            <w:tcW w:w="2012" w:type="dxa"/>
          </w:tcPr>
          <w:p w:rsidRPr="00DB4B7E" w:rsidR="008F3625" w:rsidP="00D5196B" w:rsidRDefault="008F3625" w14:paraId="2FC2307E" w14:textId="6014E80A">
            <w:r w:rsidRPr="00DB4B7E">
              <w:t xml:space="preserve">Daily – </w:t>
            </w:r>
            <w:r>
              <w:t>Required</w:t>
            </w:r>
          </w:p>
        </w:tc>
        <w:tc>
          <w:tcPr>
            <w:tcW w:w="2940" w:type="dxa"/>
          </w:tcPr>
          <w:p w:rsidRPr="00DB4B7E" w:rsidR="008F3625" w:rsidP="00D5196B" w:rsidRDefault="008F3625" w14:paraId="47CB17AE" w14:textId="1D16B82D">
            <w:r w:rsidRPr="00DB4B7E">
              <w:t xml:space="preserve">Daily – </w:t>
            </w:r>
            <w:r>
              <w:t>Required</w:t>
            </w:r>
          </w:p>
        </w:tc>
        <w:tc>
          <w:tcPr>
            <w:tcW w:w="2582" w:type="dxa"/>
            <w:vMerge/>
          </w:tcPr>
          <w:p w:rsidRPr="00DB4B7E" w:rsidR="008F3625" w:rsidP="00D5196B" w:rsidRDefault="008F3625" w14:paraId="55585A1B" w14:textId="682D5ECE"/>
        </w:tc>
      </w:tr>
      <w:tr w:rsidRPr="00DB4B7E" w:rsidR="008F3625" w:rsidTr="00A820D5" w14:paraId="3745F590" w14:textId="77777777">
        <w:tc>
          <w:tcPr>
            <w:tcW w:w="2536" w:type="dxa"/>
            <w:gridSpan w:val="2"/>
          </w:tcPr>
          <w:p w:rsidRPr="00DB4B7E" w:rsidR="008F3625" w:rsidP="00D5196B" w:rsidRDefault="008F3625" w14:paraId="7983EEBC" w14:textId="17A3056B">
            <w:r>
              <w:t>Pediatric ICU beds</w:t>
            </w:r>
          </w:p>
        </w:tc>
        <w:tc>
          <w:tcPr>
            <w:tcW w:w="2012" w:type="dxa"/>
          </w:tcPr>
          <w:p w:rsidRPr="00DB4B7E" w:rsidR="008F3625" w:rsidP="00D5196B" w:rsidRDefault="008F3625" w14:paraId="556AA605" w14:textId="07CEF90A">
            <w:r>
              <w:t>Daily – Required</w:t>
            </w:r>
          </w:p>
        </w:tc>
        <w:tc>
          <w:tcPr>
            <w:tcW w:w="2940" w:type="dxa"/>
          </w:tcPr>
          <w:p w:rsidRPr="00DB4B7E" w:rsidR="008F3625" w:rsidP="00D5196B" w:rsidRDefault="008F3625" w14:paraId="776FF43E" w14:textId="2D6148E8">
            <w:r>
              <w:t xml:space="preserve">Daily – Required </w:t>
            </w:r>
          </w:p>
        </w:tc>
        <w:tc>
          <w:tcPr>
            <w:tcW w:w="2582" w:type="dxa"/>
            <w:vMerge/>
          </w:tcPr>
          <w:p w:rsidRPr="00DB4B7E" w:rsidR="008F3625" w:rsidP="00D5196B" w:rsidRDefault="008F3625" w14:paraId="1CF9D3FB" w14:textId="77777777"/>
        </w:tc>
      </w:tr>
      <w:tr w:rsidRPr="00DB4B7E" w:rsidR="008F3625" w:rsidTr="00A820D5" w14:paraId="654686BD" w14:textId="77777777">
        <w:tc>
          <w:tcPr>
            <w:tcW w:w="2536" w:type="dxa"/>
            <w:gridSpan w:val="2"/>
          </w:tcPr>
          <w:p w:rsidRPr="00DB4B7E" w:rsidR="008F3625" w:rsidP="00D5196B" w:rsidRDefault="008F3625" w14:paraId="585367BB" w14:textId="77777777">
            <w:r w:rsidRPr="00DB4B7E">
              <w:t>ICU bed occupancy</w:t>
            </w:r>
          </w:p>
        </w:tc>
        <w:tc>
          <w:tcPr>
            <w:tcW w:w="2012" w:type="dxa"/>
          </w:tcPr>
          <w:p w:rsidRPr="00DB4B7E" w:rsidR="008F3625" w:rsidP="00D5196B" w:rsidRDefault="008F3625" w14:paraId="12BF4CB9" w14:textId="0BA46972">
            <w:r w:rsidRPr="00DB4B7E">
              <w:t xml:space="preserve">Daily – </w:t>
            </w:r>
            <w:r>
              <w:t>Required</w:t>
            </w:r>
          </w:p>
        </w:tc>
        <w:tc>
          <w:tcPr>
            <w:tcW w:w="2940" w:type="dxa"/>
          </w:tcPr>
          <w:p w:rsidRPr="00DB4B7E" w:rsidR="008F3625" w:rsidP="00D5196B" w:rsidRDefault="008F3625" w14:paraId="4FEF1C3D" w14:textId="3D6DFEC0">
            <w:r w:rsidRPr="00DB4B7E">
              <w:t xml:space="preserve">Daily – </w:t>
            </w:r>
            <w:r>
              <w:t>Required</w:t>
            </w:r>
          </w:p>
        </w:tc>
        <w:tc>
          <w:tcPr>
            <w:tcW w:w="2582" w:type="dxa"/>
            <w:vMerge/>
          </w:tcPr>
          <w:p w:rsidRPr="00DB4B7E" w:rsidR="008F3625" w:rsidP="00D5196B" w:rsidRDefault="008F3625" w14:paraId="231B317E" w14:textId="2EFBA52C"/>
        </w:tc>
      </w:tr>
      <w:tr w:rsidRPr="00DB4B7E" w:rsidR="008F3625" w:rsidTr="00A820D5" w14:paraId="11B531B2" w14:textId="77777777">
        <w:tc>
          <w:tcPr>
            <w:tcW w:w="2536" w:type="dxa"/>
            <w:gridSpan w:val="2"/>
          </w:tcPr>
          <w:p w:rsidRPr="00DB4B7E" w:rsidR="008F3625" w:rsidP="00D5196B" w:rsidRDefault="008F3625" w14:paraId="5DABE3F0" w14:textId="77777777">
            <w:r w:rsidRPr="00DB4B7E">
              <w:t>Adult ICU occupancy</w:t>
            </w:r>
          </w:p>
        </w:tc>
        <w:tc>
          <w:tcPr>
            <w:tcW w:w="2012" w:type="dxa"/>
          </w:tcPr>
          <w:p w:rsidRPr="00DB4B7E" w:rsidR="008F3625" w:rsidP="00D5196B" w:rsidRDefault="008F3625" w14:paraId="265461E1" w14:textId="3FD2D867">
            <w:r w:rsidRPr="00DB4B7E">
              <w:t xml:space="preserve">Daily – </w:t>
            </w:r>
            <w:r>
              <w:t>Required</w:t>
            </w:r>
          </w:p>
        </w:tc>
        <w:tc>
          <w:tcPr>
            <w:tcW w:w="2940" w:type="dxa"/>
          </w:tcPr>
          <w:p w:rsidRPr="00DB4B7E" w:rsidR="008F3625" w:rsidP="00D5196B" w:rsidRDefault="008F3625" w14:paraId="0E3BB99A" w14:textId="16C4BA4B">
            <w:r w:rsidRPr="00DB4B7E">
              <w:t xml:space="preserve">Daily – </w:t>
            </w:r>
            <w:r>
              <w:t>Required</w:t>
            </w:r>
          </w:p>
        </w:tc>
        <w:tc>
          <w:tcPr>
            <w:tcW w:w="2582" w:type="dxa"/>
            <w:vMerge/>
          </w:tcPr>
          <w:p w:rsidRPr="00DB4B7E" w:rsidR="008F3625" w:rsidP="00D5196B" w:rsidRDefault="008F3625" w14:paraId="244BF9A7" w14:textId="3BD27C0B"/>
        </w:tc>
      </w:tr>
      <w:tr w:rsidRPr="00DB4B7E" w:rsidR="008F3625" w:rsidTr="00A820D5" w14:paraId="61E92EDA" w14:textId="77777777">
        <w:tc>
          <w:tcPr>
            <w:tcW w:w="2536" w:type="dxa"/>
            <w:gridSpan w:val="2"/>
          </w:tcPr>
          <w:p w:rsidRPr="00DB4B7E" w:rsidR="008F3625" w:rsidP="00D5196B" w:rsidRDefault="008F3625" w14:paraId="2401CF8D" w14:textId="714A61DF">
            <w:r>
              <w:t>Pediatric ICU occupancy</w:t>
            </w:r>
          </w:p>
        </w:tc>
        <w:tc>
          <w:tcPr>
            <w:tcW w:w="2012" w:type="dxa"/>
          </w:tcPr>
          <w:p w:rsidRPr="00DB4B7E" w:rsidR="008F3625" w:rsidP="00D5196B" w:rsidRDefault="008F3625" w14:paraId="74842704" w14:textId="6B30BDB4">
            <w:r>
              <w:t>Daily – Required</w:t>
            </w:r>
          </w:p>
        </w:tc>
        <w:tc>
          <w:tcPr>
            <w:tcW w:w="2940" w:type="dxa"/>
          </w:tcPr>
          <w:p w:rsidRPr="00DB4B7E" w:rsidR="008F3625" w:rsidP="00D5196B" w:rsidRDefault="008F3625" w14:paraId="0CD9B9A5" w14:textId="58628FF6">
            <w:r>
              <w:t>Daily – Required</w:t>
            </w:r>
          </w:p>
        </w:tc>
        <w:tc>
          <w:tcPr>
            <w:tcW w:w="2582" w:type="dxa"/>
            <w:vMerge/>
          </w:tcPr>
          <w:p w:rsidRPr="00DB4B7E" w:rsidR="008F3625" w:rsidP="00D5196B" w:rsidRDefault="008F3625" w14:paraId="17B3A5B7" w14:textId="77777777"/>
        </w:tc>
      </w:tr>
      <w:tr w:rsidRPr="00DB4B7E" w:rsidR="00D5196B" w:rsidTr="00A820D5" w14:paraId="0BD9F236" w14:textId="77777777">
        <w:tc>
          <w:tcPr>
            <w:tcW w:w="10070" w:type="dxa"/>
            <w:gridSpan w:val="5"/>
            <w:shd w:val="clear" w:color="auto" w:fill="E7E6E6" w:themeFill="background2"/>
          </w:tcPr>
          <w:p w:rsidRPr="00DB4B7E" w:rsidR="00D5196B" w:rsidP="00D5196B" w:rsidRDefault="00D5196B" w14:paraId="6F402BB7" w14:textId="77777777">
            <w:pPr>
              <w:rPr>
                <w:b/>
              </w:rPr>
            </w:pPr>
            <w:r w:rsidRPr="00DB4B7E">
              <w:rPr>
                <w:b/>
              </w:rPr>
              <w:t>Hospitalizations, Admissions</w:t>
            </w:r>
          </w:p>
        </w:tc>
      </w:tr>
      <w:tr w:rsidRPr="00DB4B7E" w:rsidR="00D5196B" w:rsidTr="00A820D5" w14:paraId="358F4532" w14:textId="77777777">
        <w:tc>
          <w:tcPr>
            <w:tcW w:w="2536" w:type="dxa"/>
            <w:gridSpan w:val="2"/>
          </w:tcPr>
          <w:p w:rsidRPr="00DB4B7E" w:rsidR="00D5196B" w:rsidP="00D5196B" w:rsidRDefault="00D5196B" w14:paraId="432DB64B" w14:textId="3E325AAA">
            <w:r w:rsidRPr="00DB4B7E">
              <w:t xml:space="preserve">Hospitalized adult </w:t>
            </w:r>
            <w:r w:rsidR="00500A90">
              <w:t xml:space="preserve">suspected or </w:t>
            </w:r>
            <w:r w:rsidRPr="00DB4B7E">
              <w:t>confirmed – positive COVID-19 patients</w:t>
            </w:r>
          </w:p>
        </w:tc>
        <w:tc>
          <w:tcPr>
            <w:tcW w:w="2012" w:type="dxa"/>
          </w:tcPr>
          <w:p w:rsidRPr="00DB4B7E" w:rsidR="00D5196B" w:rsidP="00D5196B" w:rsidRDefault="00D5196B" w14:paraId="4BB72952" w14:textId="142B7EAE">
            <w:r w:rsidRPr="00DB4B7E">
              <w:t xml:space="preserve">Daily – </w:t>
            </w:r>
            <w:r>
              <w:t>Required</w:t>
            </w:r>
          </w:p>
        </w:tc>
        <w:tc>
          <w:tcPr>
            <w:tcW w:w="2940" w:type="dxa"/>
          </w:tcPr>
          <w:p w:rsidRPr="00DB4B7E" w:rsidR="00D5196B" w:rsidP="00D5196B" w:rsidRDefault="00D5196B" w14:paraId="4CB912F8" w14:textId="63A78BDC">
            <w:r w:rsidRPr="00DB4B7E">
              <w:t xml:space="preserve">Daily – </w:t>
            </w:r>
            <w:r>
              <w:t>Required</w:t>
            </w:r>
          </w:p>
        </w:tc>
        <w:tc>
          <w:tcPr>
            <w:tcW w:w="2582" w:type="dxa"/>
            <w:vMerge w:val="restart"/>
          </w:tcPr>
          <w:p w:rsidRPr="00DB4B7E" w:rsidR="00D5196B" w:rsidP="00D5196B" w:rsidRDefault="0069491F" w14:paraId="7319884F" w14:textId="2DAD6F09">
            <w:r>
              <w:t xml:space="preserve">Total adult patients currently hospitalized with laboratory-confirmed COVID-19 is a key surveillance indicator for understanding severe COVID-19 epidemiology in the U.S. </w:t>
            </w:r>
            <w:r w:rsidRPr="00A44EC8">
              <w:t>and which areas are experiencing higher burden. This field is also used for various public-facing visualizations and 7-day rolling averages.</w:t>
            </w:r>
          </w:p>
        </w:tc>
      </w:tr>
      <w:tr w:rsidRPr="00DB4B7E" w:rsidR="00500A90" w:rsidTr="00A820D5" w14:paraId="71963295" w14:textId="77777777">
        <w:tc>
          <w:tcPr>
            <w:tcW w:w="2536" w:type="dxa"/>
            <w:gridSpan w:val="2"/>
          </w:tcPr>
          <w:p w:rsidRPr="00DB4B7E" w:rsidR="00500A90" w:rsidP="00500A90" w:rsidRDefault="00500A90" w14:paraId="2679C461" w14:textId="4C76711F">
            <w:r w:rsidRPr="00DB4B7E">
              <w:t>Hospitalized adult confirmed – positive COVID-19 patients</w:t>
            </w:r>
          </w:p>
        </w:tc>
        <w:tc>
          <w:tcPr>
            <w:tcW w:w="2012" w:type="dxa"/>
          </w:tcPr>
          <w:p w:rsidRPr="00DB4B7E" w:rsidR="00500A90" w:rsidP="00500A90" w:rsidRDefault="00500A90" w14:paraId="286F86AB" w14:textId="76DE93D1">
            <w:r w:rsidRPr="00DB4B7E">
              <w:t xml:space="preserve">Daily – </w:t>
            </w:r>
            <w:r>
              <w:t>Required</w:t>
            </w:r>
          </w:p>
        </w:tc>
        <w:tc>
          <w:tcPr>
            <w:tcW w:w="2940" w:type="dxa"/>
          </w:tcPr>
          <w:p w:rsidRPr="00DB4B7E" w:rsidR="00500A90" w:rsidP="00500A90" w:rsidRDefault="00500A90" w14:paraId="598E2842" w14:textId="53D9A5CC">
            <w:r w:rsidRPr="00DB4B7E">
              <w:t xml:space="preserve">Daily – </w:t>
            </w:r>
            <w:r>
              <w:t>Required</w:t>
            </w:r>
          </w:p>
        </w:tc>
        <w:tc>
          <w:tcPr>
            <w:tcW w:w="2582" w:type="dxa"/>
            <w:vMerge/>
          </w:tcPr>
          <w:p w:rsidR="00500A90" w:rsidP="00500A90" w:rsidRDefault="00500A90" w14:paraId="3DAB5986" w14:textId="77777777"/>
        </w:tc>
      </w:tr>
      <w:tr w:rsidRPr="00DB4B7E" w:rsidR="00500A90" w:rsidTr="00A820D5" w14:paraId="29D5AE97" w14:textId="77777777">
        <w:tc>
          <w:tcPr>
            <w:tcW w:w="2536" w:type="dxa"/>
            <w:gridSpan w:val="2"/>
          </w:tcPr>
          <w:p w:rsidRPr="00DB4B7E" w:rsidR="00500A90" w:rsidP="00500A90" w:rsidRDefault="00500A90" w14:paraId="22A12787" w14:textId="591DB165">
            <w:r w:rsidRPr="00DB4B7E">
              <w:t xml:space="preserve">Hospitalized pediatric </w:t>
            </w:r>
            <w:r>
              <w:t xml:space="preserve">suspected or </w:t>
            </w:r>
            <w:r w:rsidRPr="00DB4B7E">
              <w:t>confirmed positive COVID-19 patients</w:t>
            </w:r>
          </w:p>
        </w:tc>
        <w:tc>
          <w:tcPr>
            <w:tcW w:w="2012" w:type="dxa"/>
          </w:tcPr>
          <w:p w:rsidRPr="00DB4B7E" w:rsidR="00500A90" w:rsidP="00500A90" w:rsidRDefault="00500A90" w14:paraId="1B76298E" w14:textId="79B614DE">
            <w:r w:rsidRPr="00DB4B7E">
              <w:t xml:space="preserve">Daily – </w:t>
            </w:r>
            <w:r>
              <w:t>Required</w:t>
            </w:r>
          </w:p>
        </w:tc>
        <w:tc>
          <w:tcPr>
            <w:tcW w:w="2940" w:type="dxa"/>
          </w:tcPr>
          <w:p w:rsidRPr="00DB4B7E" w:rsidR="00500A90" w:rsidP="00500A90" w:rsidRDefault="00500A90" w14:paraId="1F24F951" w14:textId="594B761E">
            <w:r w:rsidRPr="00DB4B7E">
              <w:t xml:space="preserve">Daily – </w:t>
            </w:r>
            <w:r>
              <w:t>Required</w:t>
            </w:r>
          </w:p>
        </w:tc>
        <w:tc>
          <w:tcPr>
            <w:tcW w:w="2582" w:type="dxa"/>
            <w:vMerge/>
          </w:tcPr>
          <w:p w:rsidR="00500A90" w:rsidP="00500A90" w:rsidRDefault="00500A90" w14:paraId="687D4BE6" w14:textId="77777777"/>
        </w:tc>
      </w:tr>
      <w:tr w:rsidRPr="00DB4B7E" w:rsidR="00500A90" w:rsidTr="00A820D5" w14:paraId="555BA05F" w14:textId="77777777">
        <w:tc>
          <w:tcPr>
            <w:tcW w:w="2536" w:type="dxa"/>
            <w:gridSpan w:val="2"/>
          </w:tcPr>
          <w:p w:rsidRPr="00DB4B7E" w:rsidR="00500A90" w:rsidP="00500A90" w:rsidRDefault="00500A90" w14:paraId="545E6ACD" w14:textId="77777777">
            <w:r w:rsidRPr="00DB4B7E">
              <w:t>Hospitalized pediatric confirmed positive COVID-19 patients</w:t>
            </w:r>
          </w:p>
        </w:tc>
        <w:tc>
          <w:tcPr>
            <w:tcW w:w="2012" w:type="dxa"/>
          </w:tcPr>
          <w:p w:rsidRPr="00DB4B7E" w:rsidR="00500A90" w:rsidP="00500A90" w:rsidRDefault="00500A90" w14:paraId="453419EE" w14:textId="71896643">
            <w:r w:rsidRPr="00DB4B7E">
              <w:t xml:space="preserve">Daily – </w:t>
            </w:r>
            <w:r>
              <w:t>Required</w:t>
            </w:r>
          </w:p>
        </w:tc>
        <w:tc>
          <w:tcPr>
            <w:tcW w:w="2940" w:type="dxa"/>
          </w:tcPr>
          <w:p w:rsidRPr="00DB4B7E" w:rsidR="00500A90" w:rsidP="00500A90" w:rsidRDefault="00500A90" w14:paraId="7AD3A908" w14:textId="3F2508CF">
            <w:r w:rsidRPr="00DB4B7E">
              <w:t xml:space="preserve">Daily – </w:t>
            </w:r>
            <w:r>
              <w:t>Required</w:t>
            </w:r>
          </w:p>
        </w:tc>
        <w:tc>
          <w:tcPr>
            <w:tcW w:w="2582" w:type="dxa"/>
            <w:vMerge/>
          </w:tcPr>
          <w:p w:rsidRPr="00DB4B7E" w:rsidR="00500A90" w:rsidP="00500A90" w:rsidRDefault="00500A90" w14:paraId="2508957D" w14:textId="77777777"/>
        </w:tc>
      </w:tr>
      <w:tr w:rsidRPr="00DB4B7E" w:rsidR="00500A90" w:rsidTr="00A820D5" w14:paraId="7CD538FA" w14:textId="77777777">
        <w:tc>
          <w:tcPr>
            <w:tcW w:w="2536" w:type="dxa"/>
            <w:gridSpan w:val="2"/>
          </w:tcPr>
          <w:p w:rsidRPr="00DB4B7E" w:rsidR="00500A90" w:rsidP="00500A90" w:rsidRDefault="00500A90" w14:paraId="7881C2BF" w14:textId="196E1841">
            <w:r w:rsidRPr="00DB4B7E">
              <w:t xml:space="preserve">Hospitalized pediatric </w:t>
            </w:r>
            <w:r>
              <w:t>suspected</w:t>
            </w:r>
            <w:r w:rsidRPr="00DB4B7E">
              <w:t xml:space="preserve"> positive COVID-19 patients</w:t>
            </w:r>
          </w:p>
        </w:tc>
        <w:tc>
          <w:tcPr>
            <w:tcW w:w="2012" w:type="dxa"/>
          </w:tcPr>
          <w:p w:rsidRPr="00DB4B7E" w:rsidR="00500A90" w:rsidP="00500A90" w:rsidRDefault="00500A90" w14:paraId="251917F1" w14:textId="51ED570E">
            <w:r w:rsidRPr="00DB4B7E">
              <w:t xml:space="preserve">Daily – </w:t>
            </w:r>
            <w:r>
              <w:t>Required</w:t>
            </w:r>
          </w:p>
        </w:tc>
        <w:tc>
          <w:tcPr>
            <w:tcW w:w="2940" w:type="dxa"/>
          </w:tcPr>
          <w:p w:rsidRPr="00DB4B7E" w:rsidR="00500A90" w:rsidP="00500A90" w:rsidRDefault="00500A90" w14:paraId="4EB84A72" w14:textId="1931901A">
            <w:r w:rsidRPr="00DB4B7E">
              <w:t xml:space="preserve">Daily – </w:t>
            </w:r>
            <w:r>
              <w:t>Required</w:t>
            </w:r>
          </w:p>
        </w:tc>
        <w:tc>
          <w:tcPr>
            <w:tcW w:w="2582" w:type="dxa"/>
          </w:tcPr>
          <w:p w:rsidRPr="00DB4B7E" w:rsidR="00500A90" w:rsidP="00500A90" w:rsidRDefault="00500A90" w14:paraId="0F0CE5B6" w14:textId="77777777"/>
        </w:tc>
      </w:tr>
      <w:tr w:rsidRPr="00DB4B7E" w:rsidR="00500A90" w:rsidTr="00A820D5" w14:paraId="47F67494" w14:textId="77777777">
        <w:tc>
          <w:tcPr>
            <w:tcW w:w="2536" w:type="dxa"/>
            <w:gridSpan w:val="2"/>
          </w:tcPr>
          <w:p w:rsidRPr="00DB4B7E" w:rsidR="00500A90" w:rsidP="00500A90" w:rsidRDefault="00500A90" w14:paraId="37242CB0" w14:textId="5A735A20">
            <w:r w:rsidRPr="00DB4B7E">
              <w:t xml:space="preserve">Previous day’s adult admissions with confirmed COVID-19 </w:t>
            </w:r>
            <w:r>
              <w:t xml:space="preserve">and breakdown </w:t>
            </w:r>
            <w:r w:rsidRPr="00DB4B7E">
              <w:t>by age</w:t>
            </w:r>
          </w:p>
        </w:tc>
        <w:tc>
          <w:tcPr>
            <w:tcW w:w="2012" w:type="dxa"/>
          </w:tcPr>
          <w:p w:rsidRPr="00DB4B7E" w:rsidR="00500A90" w:rsidP="00500A90" w:rsidRDefault="00500A90" w14:paraId="01D31D0E" w14:textId="0ACFB968">
            <w:r w:rsidRPr="00DB4B7E">
              <w:t xml:space="preserve">Daily – </w:t>
            </w:r>
            <w:r>
              <w:t>Required</w:t>
            </w:r>
          </w:p>
        </w:tc>
        <w:tc>
          <w:tcPr>
            <w:tcW w:w="2940" w:type="dxa"/>
          </w:tcPr>
          <w:p w:rsidRPr="00DB4B7E" w:rsidR="00500A90" w:rsidP="00500A90" w:rsidRDefault="00500A90" w14:paraId="1B0E4FA5" w14:textId="5E0873D7">
            <w:r w:rsidRPr="00DB4B7E">
              <w:t xml:space="preserve">Daily – </w:t>
            </w:r>
            <w:r>
              <w:t>Required</w:t>
            </w:r>
          </w:p>
        </w:tc>
        <w:tc>
          <w:tcPr>
            <w:tcW w:w="2582" w:type="dxa"/>
            <w:vMerge w:val="restart"/>
          </w:tcPr>
          <w:p w:rsidR="00500A90" w:rsidP="00500A90" w:rsidRDefault="00500A90" w14:paraId="1BA70B31" w14:textId="77777777">
            <w:r>
              <w:t xml:space="preserve">Previous day admissions of patients with laboratory-confirmed COVID-19 </w:t>
            </w:r>
            <w:proofErr w:type="gramStart"/>
            <w:r>
              <w:t>is</w:t>
            </w:r>
            <w:proofErr w:type="gramEnd"/>
            <w:r>
              <w:t xml:space="preserve"> the primary surveillance indicator used to monitor the epidemiology of severe COVID-19 and trends by age group in the U.S. These fields are monitored closely </w:t>
            </w:r>
            <w:proofErr w:type="gramStart"/>
            <w:r>
              <w:t>on a daily basis</w:t>
            </w:r>
            <w:proofErr w:type="gramEnd"/>
            <w:r>
              <w:t xml:space="preserve"> and used to inform federal understanding of changes in trends, and these fields are often combined with other data sources to identify areas of concern in the U.S. </w:t>
            </w:r>
          </w:p>
          <w:p w:rsidRPr="00DB4B7E" w:rsidR="00500A90" w:rsidP="00500A90" w:rsidRDefault="00500A90" w14:paraId="0F123135" w14:textId="0550EDA1"/>
        </w:tc>
      </w:tr>
      <w:tr w:rsidRPr="00DB4B7E" w:rsidR="00500A90" w:rsidTr="00A820D5" w14:paraId="5A07D34A" w14:textId="77777777">
        <w:tc>
          <w:tcPr>
            <w:tcW w:w="2536" w:type="dxa"/>
            <w:gridSpan w:val="2"/>
          </w:tcPr>
          <w:p w:rsidRPr="00DB4B7E" w:rsidR="00500A90" w:rsidP="00500A90" w:rsidRDefault="00500A90" w14:paraId="11F498FF" w14:textId="66A54C03">
            <w:r w:rsidRPr="00DB4B7E">
              <w:t>Previous day’s pediatric admissions with confirmed COVID-19</w:t>
            </w:r>
          </w:p>
        </w:tc>
        <w:tc>
          <w:tcPr>
            <w:tcW w:w="2012" w:type="dxa"/>
          </w:tcPr>
          <w:p w:rsidRPr="00DB4B7E" w:rsidR="00500A90" w:rsidP="00500A90" w:rsidRDefault="00500A90" w14:paraId="6F9E1E24" w14:textId="32099BF7">
            <w:r w:rsidRPr="00DB4B7E">
              <w:t xml:space="preserve">Daily – </w:t>
            </w:r>
            <w:r>
              <w:t>Required</w:t>
            </w:r>
          </w:p>
        </w:tc>
        <w:tc>
          <w:tcPr>
            <w:tcW w:w="2940" w:type="dxa"/>
          </w:tcPr>
          <w:p w:rsidRPr="00DB4B7E" w:rsidR="00500A90" w:rsidP="00500A90" w:rsidRDefault="00500A90" w14:paraId="1FF72B10" w14:textId="364FFB0F">
            <w:r w:rsidRPr="00DB4B7E">
              <w:t xml:space="preserve">Daily – </w:t>
            </w:r>
            <w:r>
              <w:t>Required</w:t>
            </w:r>
          </w:p>
        </w:tc>
        <w:tc>
          <w:tcPr>
            <w:tcW w:w="2582" w:type="dxa"/>
            <w:vMerge/>
          </w:tcPr>
          <w:p w:rsidR="00500A90" w:rsidP="00500A90" w:rsidRDefault="00500A90" w14:paraId="683BD283" w14:textId="77777777"/>
        </w:tc>
      </w:tr>
      <w:tr w:rsidRPr="00DB4B7E" w:rsidR="00500A90" w:rsidTr="00A820D5" w14:paraId="747CD6E9" w14:textId="77777777">
        <w:tc>
          <w:tcPr>
            <w:tcW w:w="2536" w:type="dxa"/>
            <w:gridSpan w:val="2"/>
          </w:tcPr>
          <w:p w:rsidRPr="00DB4B7E" w:rsidR="00500A90" w:rsidP="00500A90" w:rsidRDefault="00500A90" w14:paraId="7F5A95DC" w14:textId="76D802D6">
            <w:r w:rsidRPr="00DB4B7E">
              <w:t xml:space="preserve">Previous day’s pediatric admissions with </w:t>
            </w:r>
            <w:r>
              <w:t>suspected</w:t>
            </w:r>
            <w:r w:rsidRPr="00DB4B7E">
              <w:t xml:space="preserve"> COVID-19</w:t>
            </w:r>
          </w:p>
        </w:tc>
        <w:tc>
          <w:tcPr>
            <w:tcW w:w="2012" w:type="dxa"/>
          </w:tcPr>
          <w:p w:rsidRPr="00DB4B7E" w:rsidR="00500A90" w:rsidP="00500A90" w:rsidRDefault="00500A90" w14:paraId="513408CA" w14:textId="35B1181D">
            <w:r w:rsidRPr="00DB4B7E">
              <w:t xml:space="preserve">Daily – </w:t>
            </w:r>
            <w:r>
              <w:t>Required</w:t>
            </w:r>
          </w:p>
        </w:tc>
        <w:tc>
          <w:tcPr>
            <w:tcW w:w="2940" w:type="dxa"/>
          </w:tcPr>
          <w:p w:rsidRPr="00DB4B7E" w:rsidR="00500A90" w:rsidP="00500A90" w:rsidRDefault="00500A90" w14:paraId="54420E90" w14:textId="65F6F204">
            <w:r w:rsidRPr="00DB4B7E">
              <w:t xml:space="preserve">Daily – </w:t>
            </w:r>
            <w:r>
              <w:t>Required</w:t>
            </w:r>
          </w:p>
        </w:tc>
        <w:tc>
          <w:tcPr>
            <w:tcW w:w="2582" w:type="dxa"/>
            <w:vMerge/>
          </w:tcPr>
          <w:p w:rsidR="00500A90" w:rsidP="00500A90" w:rsidRDefault="00500A90" w14:paraId="05359AB5" w14:textId="77777777"/>
        </w:tc>
      </w:tr>
      <w:tr w:rsidRPr="00DB4B7E" w:rsidR="00500A90" w:rsidTr="00A820D5" w14:paraId="7F508191" w14:textId="77777777">
        <w:tc>
          <w:tcPr>
            <w:tcW w:w="2536" w:type="dxa"/>
            <w:gridSpan w:val="2"/>
          </w:tcPr>
          <w:p w:rsidRPr="00DB4B7E" w:rsidR="00500A90" w:rsidP="00500A90" w:rsidRDefault="00500A90" w14:paraId="54E31FB1" w14:textId="0ECBD94E">
            <w:r w:rsidRPr="00DB4B7E">
              <w:t>Previous day’s pediatric admissions with confirmed COVID-19</w:t>
            </w:r>
            <w:r>
              <w:t xml:space="preserve"> and breakdown by age</w:t>
            </w:r>
          </w:p>
        </w:tc>
        <w:tc>
          <w:tcPr>
            <w:tcW w:w="2012" w:type="dxa"/>
          </w:tcPr>
          <w:p w:rsidRPr="00DB4B7E" w:rsidR="00500A90" w:rsidP="00500A90" w:rsidRDefault="00500A90" w14:paraId="28439F8C" w14:textId="0CB8E9E5">
            <w:r w:rsidRPr="00DB4B7E">
              <w:t xml:space="preserve">Daily – </w:t>
            </w:r>
            <w:r>
              <w:t>Required</w:t>
            </w:r>
          </w:p>
        </w:tc>
        <w:tc>
          <w:tcPr>
            <w:tcW w:w="2940" w:type="dxa"/>
          </w:tcPr>
          <w:p w:rsidRPr="00DB4B7E" w:rsidR="00500A90" w:rsidP="00500A90" w:rsidRDefault="00500A90" w14:paraId="454C73F5" w14:textId="2CF1B6B5">
            <w:r w:rsidRPr="00DB4B7E">
              <w:t xml:space="preserve">Daily – </w:t>
            </w:r>
            <w:r>
              <w:t>Required</w:t>
            </w:r>
          </w:p>
        </w:tc>
        <w:tc>
          <w:tcPr>
            <w:tcW w:w="2582" w:type="dxa"/>
            <w:vMerge/>
          </w:tcPr>
          <w:p w:rsidRPr="00DB4B7E" w:rsidR="00500A90" w:rsidP="00500A90" w:rsidRDefault="00500A90" w14:paraId="21095D64" w14:textId="77777777"/>
        </w:tc>
      </w:tr>
      <w:tr w:rsidRPr="001D2323" w:rsidR="00500A90" w:rsidTr="00AB4732" w14:paraId="39F857A5" w14:textId="52132230">
        <w:tc>
          <w:tcPr>
            <w:tcW w:w="2536" w:type="dxa"/>
            <w:gridSpan w:val="2"/>
            <w:shd w:val="clear" w:color="auto" w:fill="auto"/>
          </w:tcPr>
          <w:p w:rsidRPr="00500A90" w:rsidR="00500A90" w:rsidP="00500A90" w:rsidRDefault="00500A90" w14:paraId="23C25EDD" w14:textId="17408505">
            <w:bookmarkStart w:name="_Hlk105149363" w:id="0"/>
            <w:r w:rsidRPr="001D2323">
              <w:t>Hospitalized adult suspected COVID-19 patients</w:t>
            </w:r>
          </w:p>
        </w:tc>
        <w:tc>
          <w:tcPr>
            <w:tcW w:w="2012" w:type="dxa"/>
            <w:shd w:val="clear" w:color="auto" w:fill="auto"/>
          </w:tcPr>
          <w:p w:rsidRPr="00500A90" w:rsidR="00500A90" w:rsidP="00500A90" w:rsidRDefault="00500A90" w14:paraId="72BE088B" w14:textId="455C2C7F">
            <w:r w:rsidRPr="00500A90">
              <w:t>Daily – Required</w:t>
            </w:r>
          </w:p>
        </w:tc>
        <w:tc>
          <w:tcPr>
            <w:tcW w:w="2940" w:type="dxa"/>
            <w:shd w:val="clear" w:color="auto" w:fill="auto"/>
          </w:tcPr>
          <w:p w:rsidRPr="00500A90" w:rsidR="00500A90" w:rsidP="00500A90" w:rsidRDefault="00500A90" w14:paraId="7F5AA88A" w14:textId="0365F3F1">
            <w:r w:rsidRPr="00500A90">
              <w:t>Daily – Required</w:t>
            </w:r>
          </w:p>
        </w:tc>
        <w:tc>
          <w:tcPr>
            <w:tcW w:w="2582" w:type="dxa"/>
            <w:shd w:val="clear" w:color="auto" w:fill="auto"/>
          </w:tcPr>
          <w:p w:rsidRPr="00500A90" w:rsidR="00500A90" w:rsidP="00500A90" w:rsidRDefault="00500A90" w14:paraId="5400B3A3" w14:textId="79DA9856">
            <w:r w:rsidRPr="00500A90">
              <w:t xml:space="preserve">These fields could be helpful in the event of testing delays and/or disruptions.  </w:t>
            </w:r>
          </w:p>
        </w:tc>
      </w:tr>
      <w:tr w:rsidRPr="001D2323" w:rsidR="00500A90" w:rsidTr="00AB4732" w14:paraId="2140F882" w14:textId="56D79F85">
        <w:tc>
          <w:tcPr>
            <w:tcW w:w="2536" w:type="dxa"/>
            <w:gridSpan w:val="2"/>
            <w:shd w:val="clear" w:color="auto" w:fill="auto"/>
          </w:tcPr>
          <w:p w:rsidRPr="001D2323" w:rsidR="00500A90" w:rsidP="00500A90" w:rsidRDefault="00500A90" w14:paraId="5F16CE71" w14:textId="6C0E70F7">
            <w:r w:rsidRPr="001D2323">
              <w:lastRenderedPageBreak/>
              <w:t>Hospitalized pediatric suspected COVID-19 patients</w:t>
            </w:r>
          </w:p>
        </w:tc>
        <w:tc>
          <w:tcPr>
            <w:tcW w:w="2012" w:type="dxa"/>
            <w:shd w:val="clear" w:color="auto" w:fill="auto"/>
          </w:tcPr>
          <w:p w:rsidRPr="001D2323" w:rsidR="00500A90" w:rsidP="00500A90" w:rsidRDefault="00500A90" w14:paraId="08FAA5B6" w14:textId="5DEEE6ED">
            <w:r w:rsidRPr="001D2323">
              <w:t>Daily – Required</w:t>
            </w:r>
          </w:p>
        </w:tc>
        <w:tc>
          <w:tcPr>
            <w:tcW w:w="2940" w:type="dxa"/>
            <w:shd w:val="clear" w:color="auto" w:fill="auto"/>
          </w:tcPr>
          <w:p w:rsidRPr="001D2323" w:rsidR="00500A90" w:rsidP="00500A90" w:rsidRDefault="00500A90" w14:paraId="12B3F6BC" w14:textId="566495D3">
            <w:r w:rsidRPr="001D2323">
              <w:t>Daily – Required</w:t>
            </w:r>
          </w:p>
        </w:tc>
        <w:tc>
          <w:tcPr>
            <w:tcW w:w="2582" w:type="dxa"/>
            <w:shd w:val="clear" w:color="auto" w:fill="auto"/>
          </w:tcPr>
          <w:p w:rsidRPr="001D2323" w:rsidR="00500A90" w:rsidP="00500A90" w:rsidRDefault="00500A90" w14:paraId="1D0D45F1" w14:textId="6BD49EA9"/>
        </w:tc>
      </w:tr>
      <w:tr w:rsidRPr="001D2323" w:rsidR="00500A90" w:rsidTr="00AB4732" w14:paraId="5BB4FE5D" w14:textId="2C3173EE">
        <w:tc>
          <w:tcPr>
            <w:tcW w:w="2536" w:type="dxa"/>
            <w:gridSpan w:val="2"/>
            <w:shd w:val="clear" w:color="auto" w:fill="auto"/>
          </w:tcPr>
          <w:p w:rsidRPr="001D2323" w:rsidR="00500A90" w:rsidP="00500A90" w:rsidRDefault="00500A90" w14:paraId="3033F3FE" w14:textId="57AD28EC">
            <w:r w:rsidRPr="001D2323">
              <w:t>Previous day’s adult admissions with suspected COVID-19 by age</w:t>
            </w:r>
          </w:p>
        </w:tc>
        <w:tc>
          <w:tcPr>
            <w:tcW w:w="2012" w:type="dxa"/>
            <w:shd w:val="clear" w:color="auto" w:fill="auto"/>
          </w:tcPr>
          <w:p w:rsidRPr="001D2323" w:rsidR="00500A90" w:rsidP="00500A90" w:rsidRDefault="00500A90" w14:paraId="54241B62" w14:textId="49FB0794">
            <w:r w:rsidRPr="001D2323">
              <w:t>Daily – Required</w:t>
            </w:r>
          </w:p>
        </w:tc>
        <w:tc>
          <w:tcPr>
            <w:tcW w:w="2940" w:type="dxa"/>
            <w:shd w:val="clear" w:color="auto" w:fill="auto"/>
          </w:tcPr>
          <w:p w:rsidRPr="001D2323" w:rsidR="00500A90" w:rsidP="00500A90" w:rsidRDefault="00500A90" w14:paraId="083B5CB7" w14:textId="4A47E0ED">
            <w:r w:rsidRPr="001D2323">
              <w:t>Daily – Required</w:t>
            </w:r>
          </w:p>
        </w:tc>
        <w:tc>
          <w:tcPr>
            <w:tcW w:w="2582" w:type="dxa"/>
            <w:shd w:val="clear" w:color="auto" w:fill="auto"/>
          </w:tcPr>
          <w:p w:rsidRPr="001D2323" w:rsidR="00500A90" w:rsidP="00500A90" w:rsidRDefault="00500A90" w14:paraId="68609159" w14:textId="428CBCBD"/>
        </w:tc>
      </w:tr>
      <w:tr w:rsidRPr="001D2323" w:rsidR="00500A90" w:rsidTr="00AB4732" w14:paraId="317D4621" w14:textId="76A31F9D">
        <w:tc>
          <w:tcPr>
            <w:tcW w:w="2536" w:type="dxa"/>
            <w:gridSpan w:val="2"/>
            <w:shd w:val="clear" w:color="auto" w:fill="auto"/>
          </w:tcPr>
          <w:p w:rsidRPr="001D2323" w:rsidR="00500A90" w:rsidP="00500A90" w:rsidRDefault="00500A90" w14:paraId="26B722D8" w14:textId="2F5B6E0B">
            <w:r w:rsidRPr="001D2323">
              <w:t>Previous day’s pediatric admissions with suspected COVID-19</w:t>
            </w:r>
          </w:p>
        </w:tc>
        <w:tc>
          <w:tcPr>
            <w:tcW w:w="2012" w:type="dxa"/>
            <w:shd w:val="clear" w:color="auto" w:fill="auto"/>
          </w:tcPr>
          <w:p w:rsidRPr="001D2323" w:rsidR="00500A90" w:rsidP="00500A90" w:rsidRDefault="00500A90" w14:paraId="5AC0716A" w14:textId="44707962">
            <w:r w:rsidRPr="001D2323">
              <w:t>Daily – Required</w:t>
            </w:r>
          </w:p>
        </w:tc>
        <w:tc>
          <w:tcPr>
            <w:tcW w:w="2940" w:type="dxa"/>
            <w:shd w:val="clear" w:color="auto" w:fill="auto"/>
          </w:tcPr>
          <w:p w:rsidRPr="001D2323" w:rsidR="00500A90" w:rsidP="00500A90" w:rsidRDefault="00500A90" w14:paraId="23CBCB26" w14:textId="05D2521C">
            <w:r w:rsidRPr="001D2323">
              <w:t>Daily – Required</w:t>
            </w:r>
          </w:p>
        </w:tc>
        <w:tc>
          <w:tcPr>
            <w:tcW w:w="2582" w:type="dxa"/>
            <w:shd w:val="clear" w:color="auto" w:fill="auto"/>
          </w:tcPr>
          <w:p w:rsidRPr="001D2323" w:rsidR="00500A90" w:rsidP="00500A90" w:rsidRDefault="00500A90" w14:paraId="5C3D29E6" w14:textId="70A4A036"/>
        </w:tc>
      </w:tr>
      <w:bookmarkEnd w:id="0"/>
      <w:tr w:rsidRPr="001D2323" w:rsidR="00500A90" w:rsidTr="00AB4732" w14:paraId="4313E1E6" w14:textId="77777777">
        <w:tc>
          <w:tcPr>
            <w:tcW w:w="10070" w:type="dxa"/>
            <w:gridSpan w:val="5"/>
            <w:shd w:val="clear" w:color="auto" w:fill="D0CECE" w:themeFill="background2" w:themeFillShade="E6"/>
          </w:tcPr>
          <w:p w:rsidRPr="001D2323" w:rsidR="00500A90" w:rsidP="00500A90" w:rsidRDefault="00500A90" w14:paraId="4E879960" w14:textId="77777777">
            <w:pPr>
              <w:rPr>
                <w:b/>
              </w:rPr>
            </w:pPr>
            <w:r w:rsidRPr="001D2323">
              <w:rPr>
                <w:b/>
              </w:rPr>
              <w:t>Severity</w:t>
            </w:r>
          </w:p>
        </w:tc>
      </w:tr>
      <w:tr w:rsidRPr="00DB4B7E" w:rsidR="00500A90" w:rsidTr="00A820D5" w14:paraId="0AA85D1C" w14:textId="77777777">
        <w:tc>
          <w:tcPr>
            <w:tcW w:w="2536" w:type="dxa"/>
            <w:gridSpan w:val="2"/>
          </w:tcPr>
          <w:p w:rsidRPr="00DB4B7E" w:rsidR="00500A90" w:rsidP="00500A90" w:rsidRDefault="00500A90" w14:paraId="6CCE0F37" w14:textId="4F5B4E13">
            <w:r w:rsidRPr="00DB4B7E">
              <w:t>Hospitalized and ventilated</w:t>
            </w:r>
            <w:r>
              <w:t xml:space="preserve"> COVID-19 patients</w:t>
            </w:r>
          </w:p>
        </w:tc>
        <w:tc>
          <w:tcPr>
            <w:tcW w:w="2012" w:type="dxa"/>
          </w:tcPr>
          <w:p w:rsidRPr="00DB4B7E" w:rsidR="00500A90" w:rsidP="00500A90" w:rsidRDefault="00500A90" w14:paraId="382AA8F1" w14:textId="2303791E">
            <w:r w:rsidRPr="00DB4B7E">
              <w:t xml:space="preserve">Daily – </w:t>
            </w:r>
            <w:r>
              <w:t>Required</w:t>
            </w:r>
          </w:p>
        </w:tc>
        <w:tc>
          <w:tcPr>
            <w:tcW w:w="2940" w:type="dxa"/>
          </w:tcPr>
          <w:p w:rsidRPr="00DB4B7E" w:rsidR="00500A90" w:rsidP="00500A90" w:rsidRDefault="00500A90" w14:paraId="579FF80C" w14:textId="574A463E">
            <w:r w:rsidRPr="00DB4B7E">
              <w:t xml:space="preserve">Daily – </w:t>
            </w:r>
            <w:r>
              <w:t>Required</w:t>
            </w:r>
          </w:p>
        </w:tc>
        <w:tc>
          <w:tcPr>
            <w:tcW w:w="2582" w:type="dxa"/>
          </w:tcPr>
          <w:p w:rsidRPr="00DB4B7E" w:rsidR="00500A90" w:rsidP="00500A90" w:rsidRDefault="00500A90" w14:paraId="2EFBBDAD" w14:textId="5775AA43">
            <w:r w:rsidRPr="00062F68">
              <w:t xml:space="preserve"> </w:t>
            </w:r>
            <w:r>
              <w:t xml:space="preserve">This measure serves as an indication of COVID-19 severity. </w:t>
            </w:r>
          </w:p>
        </w:tc>
      </w:tr>
      <w:tr w:rsidRPr="00DB4B7E" w:rsidR="00500A90" w:rsidTr="00A820D5" w14:paraId="522913E8" w14:textId="77777777">
        <w:tc>
          <w:tcPr>
            <w:tcW w:w="2536" w:type="dxa"/>
            <w:gridSpan w:val="2"/>
          </w:tcPr>
          <w:p w:rsidRPr="00DB4B7E" w:rsidR="00500A90" w:rsidP="00500A90" w:rsidRDefault="00500A90" w14:paraId="7808A4AE" w14:textId="77777777">
            <w:r w:rsidRPr="00DB4B7E">
              <w:t>Hospitalized ICU adult confirmed positive COVID-19 patients</w:t>
            </w:r>
          </w:p>
        </w:tc>
        <w:tc>
          <w:tcPr>
            <w:tcW w:w="2012" w:type="dxa"/>
          </w:tcPr>
          <w:p w:rsidRPr="00DB4B7E" w:rsidR="00500A90" w:rsidP="00500A90" w:rsidRDefault="00500A90" w14:paraId="7EA2992C" w14:textId="5811C233">
            <w:r w:rsidRPr="00DB4B7E">
              <w:t xml:space="preserve">Daily – </w:t>
            </w:r>
            <w:r>
              <w:t>Required</w:t>
            </w:r>
          </w:p>
        </w:tc>
        <w:tc>
          <w:tcPr>
            <w:tcW w:w="2940" w:type="dxa"/>
          </w:tcPr>
          <w:p w:rsidRPr="00DB4B7E" w:rsidR="00500A90" w:rsidP="00500A90" w:rsidRDefault="00500A90" w14:paraId="3EDB37D4" w14:textId="3C541404">
            <w:r w:rsidRPr="00DB4B7E">
              <w:t xml:space="preserve">Daily – </w:t>
            </w:r>
            <w:r>
              <w:t>Required</w:t>
            </w:r>
          </w:p>
        </w:tc>
        <w:tc>
          <w:tcPr>
            <w:tcW w:w="2582" w:type="dxa"/>
            <w:vMerge w:val="restart"/>
          </w:tcPr>
          <w:p w:rsidRPr="00DB4B7E" w:rsidR="00500A90" w:rsidP="00500A90" w:rsidRDefault="00500A90" w14:paraId="7AF989D1" w14:textId="4355722B">
            <w:proofErr w:type="gramStart"/>
            <w:r>
              <w:t>Total  patients</w:t>
            </w:r>
            <w:proofErr w:type="gramEnd"/>
            <w:r>
              <w:t xml:space="preserve"> currently in an ICU bed with laboratory-confirmed COVID-19 is a key surveillance indicator for understanding the most severe COVID-19 cases in the U.S. and which areas are experiencing higher burden. This is also an important indicator for monitoring hospital stress of COVID-19.</w:t>
            </w:r>
          </w:p>
        </w:tc>
      </w:tr>
      <w:tr w:rsidRPr="00DB4B7E" w:rsidR="00500A90" w:rsidTr="00A820D5" w14:paraId="6F879A9F" w14:textId="77777777">
        <w:tc>
          <w:tcPr>
            <w:tcW w:w="2536" w:type="dxa"/>
            <w:gridSpan w:val="2"/>
          </w:tcPr>
          <w:p w:rsidRPr="00DB4B7E" w:rsidR="00500A90" w:rsidP="00500A90" w:rsidRDefault="00500A90" w14:paraId="59CC1AA2" w14:textId="4BD152E7">
            <w:r>
              <w:t>Hospitalized ICU pediatric confirmed positive COVID-19 patients</w:t>
            </w:r>
          </w:p>
        </w:tc>
        <w:tc>
          <w:tcPr>
            <w:tcW w:w="2012" w:type="dxa"/>
          </w:tcPr>
          <w:p w:rsidRPr="00DB4B7E" w:rsidR="00500A90" w:rsidP="00500A90" w:rsidRDefault="00500A90" w14:paraId="0626A20E" w14:textId="211A29D1">
            <w:r>
              <w:t>Daily – Required</w:t>
            </w:r>
          </w:p>
        </w:tc>
        <w:tc>
          <w:tcPr>
            <w:tcW w:w="2940" w:type="dxa"/>
          </w:tcPr>
          <w:p w:rsidRPr="00DB4B7E" w:rsidR="00500A90" w:rsidP="00500A90" w:rsidRDefault="00500A90" w14:paraId="1323A777" w14:textId="2712C9C5">
            <w:r>
              <w:t>Daily – Required</w:t>
            </w:r>
          </w:p>
        </w:tc>
        <w:tc>
          <w:tcPr>
            <w:tcW w:w="2582" w:type="dxa"/>
            <w:vMerge/>
          </w:tcPr>
          <w:p w:rsidR="00500A90" w:rsidP="00500A90" w:rsidRDefault="00500A90" w14:paraId="59DC326E" w14:textId="77777777"/>
        </w:tc>
      </w:tr>
      <w:tr w:rsidRPr="00DB4B7E" w:rsidR="00500A90" w:rsidTr="00A820D5" w14:paraId="0EF6497D" w14:textId="77777777">
        <w:tc>
          <w:tcPr>
            <w:tcW w:w="10070" w:type="dxa"/>
            <w:gridSpan w:val="5"/>
            <w:shd w:val="clear" w:color="auto" w:fill="E7E6E6" w:themeFill="background2"/>
          </w:tcPr>
          <w:p w:rsidRPr="00DB4B7E" w:rsidR="00500A90" w:rsidP="00500A90" w:rsidRDefault="00500A90" w14:paraId="0CED8439" w14:textId="77777777">
            <w:pPr>
              <w:rPr>
                <w:b/>
              </w:rPr>
            </w:pPr>
            <w:r w:rsidRPr="00DB4B7E">
              <w:rPr>
                <w:b/>
              </w:rPr>
              <w:t>Hospital Onset, ED, &amp; Deaths</w:t>
            </w:r>
          </w:p>
        </w:tc>
      </w:tr>
      <w:tr w:rsidRPr="00DB4B7E" w:rsidR="00500A90" w:rsidTr="00A820D5" w14:paraId="0350366C" w14:textId="77777777">
        <w:tc>
          <w:tcPr>
            <w:tcW w:w="2536" w:type="dxa"/>
            <w:gridSpan w:val="2"/>
          </w:tcPr>
          <w:p w:rsidRPr="00DB4B7E" w:rsidR="00500A90" w:rsidP="00500A90" w:rsidRDefault="00500A90" w14:paraId="196DFE87" w14:textId="77777777">
            <w:r w:rsidRPr="00DB4B7E">
              <w:t>Hospital onset</w:t>
            </w:r>
          </w:p>
        </w:tc>
        <w:tc>
          <w:tcPr>
            <w:tcW w:w="2012" w:type="dxa"/>
          </w:tcPr>
          <w:p w:rsidRPr="00DB4B7E" w:rsidR="00500A90" w:rsidP="00500A90" w:rsidRDefault="00500A90" w14:paraId="2BCA4AC6" w14:textId="49C09655">
            <w:r w:rsidRPr="00DB4B7E">
              <w:t xml:space="preserve">Daily – </w:t>
            </w:r>
            <w:r>
              <w:t>Required</w:t>
            </w:r>
          </w:p>
        </w:tc>
        <w:tc>
          <w:tcPr>
            <w:tcW w:w="2940" w:type="dxa"/>
          </w:tcPr>
          <w:p w:rsidRPr="00DB4B7E" w:rsidR="00500A90" w:rsidP="00500A90" w:rsidRDefault="00500A90" w14:paraId="0AA35D95" w14:textId="7C542041">
            <w:pPr>
              <w:rPr>
                <w:i/>
                <w:sz w:val="20"/>
                <w:szCs w:val="20"/>
              </w:rPr>
            </w:pPr>
            <w:r w:rsidRPr="00DB4B7E">
              <w:t xml:space="preserve">Daily – </w:t>
            </w:r>
            <w:r>
              <w:t>Required</w:t>
            </w:r>
            <w:r w:rsidRPr="00DB4B7E">
              <w:rPr>
                <w:rStyle w:val="FootnoteReference"/>
              </w:rPr>
              <w:footnoteReference w:id="2"/>
            </w:r>
          </w:p>
        </w:tc>
        <w:tc>
          <w:tcPr>
            <w:tcW w:w="2582" w:type="dxa"/>
          </w:tcPr>
          <w:p w:rsidRPr="00DB4B7E" w:rsidR="00500A90" w:rsidP="00500A90" w:rsidRDefault="00500A90" w14:paraId="3849D3D4" w14:textId="42666010">
            <w:r w:rsidRPr="00330F59">
              <w:rPr>
                <w:rFonts w:cstheme="minorHAnsi"/>
                <w:sz w:val="22"/>
              </w:rPr>
              <w:t>This field could be helpful to identify the prevalence of hospital acquired infections of COVID-19.</w:t>
            </w:r>
          </w:p>
        </w:tc>
      </w:tr>
      <w:tr w:rsidRPr="00DB4B7E" w:rsidR="00500A90" w:rsidTr="00A820D5" w14:paraId="73FA9A74" w14:textId="77777777">
        <w:tc>
          <w:tcPr>
            <w:tcW w:w="2536" w:type="dxa"/>
            <w:gridSpan w:val="2"/>
          </w:tcPr>
          <w:p w:rsidRPr="00DB4B7E" w:rsidR="00500A90" w:rsidP="00500A90" w:rsidRDefault="00500A90" w14:paraId="37448EDF" w14:textId="77777777">
            <w:r w:rsidRPr="00DB4B7E">
              <w:t>Previous day’s total ED visits</w:t>
            </w:r>
          </w:p>
        </w:tc>
        <w:tc>
          <w:tcPr>
            <w:tcW w:w="2012" w:type="dxa"/>
          </w:tcPr>
          <w:p w:rsidRPr="00DB4B7E" w:rsidR="00500A90" w:rsidP="00500A90" w:rsidRDefault="00500A90" w14:paraId="5C29DF59" w14:textId="0BA9CB91">
            <w:r w:rsidRPr="00DB4B7E">
              <w:t xml:space="preserve">Daily – </w:t>
            </w:r>
            <w:r>
              <w:t>Required</w:t>
            </w:r>
          </w:p>
        </w:tc>
        <w:tc>
          <w:tcPr>
            <w:tcW w:w="2940" w:type="dxa"/>
          </w:tcPr>
          <w:p w:rsidRPr="00DB4B7E" w:rsidR="00500A90" w:rsidP="00500A90" w:rsidRDefault="00500A90" w14:paraId="4D6A3E1C" w14:textId="0BF328A9">
            <w:r w:rsidRPr="00DB4B7E">
              <w:t xml:space="preserve">Daily – </w:t>
            </w:r>
            <w:r>
              <w:t>Required</w:t>
            </w:r>
          </w:p>
        </w:tc>
        <w:tc>
          <w:tcPr>
            <w:tcW w:w="2582" w:type="dxa"/>
            <w:vMerge w:val="restart"/>
          </w:tcPr>
          <w:p w:rsidRPr="00DB4B7E" w:rsidR="00500A90" w:rsidP="00500A90" w:rsidRDefault="00500A90" w14:paraId="7FDD9DC5" w14:textId="0A6B8A9A">
            <w:r>
              <w:t xml:space="preserve">Previous day total ED visits, in conjunction with COVID-19 ED visits, is used to monitor the epidemiology of COVID-19 by percentage of ED visits for COVID-19 and trends by region in the U.S. These fields are used by the National Syndromic Surveillance Program (NSSP) to fill in COVID-19 ED data </w:t>
            </w:r>
            <w:r>
              <w:lastRenderedPageBreak/>
              <w:t>for the 30% of U.S. hospitals not covered by NSSP.</w:t>
            </w:r>
          </w:p>
        </w:tc>
      </w:tr>
      <w:tr w:rsidRPr="00DB4B7E" w:rsidR="00500A90" w:rsidTr="00A820D5" w14:paraId="6298041F" w14:textId="77777777">
        <w:tc>
          <w:tcPr>
            <w:tcW w:w="2536" w:type="dxa"/>
            <w:gridSpan w:val="2"/>
          </w:tcPr>
          <w:p w:rsidRPr="00DB4B7E" w:rsidR="00500A90" w:rsidP="00500A90" w:rsidRDefault="00500A90" w14:paraId="70045923" w14:textId="03AB336A">
            <w:r w:rsidRPr="00DB4B7E">
              <w:t>Previous day’s total COVID-</w:t>
            </w:r>
            <w:r>
              <w:t>19-</w:t>
            </w:r>
            <w:r w:rsidRPr="00DB4B7E">
              <w:t>related ED visits</w:t>
            </w:r>
          </w:p>
        </w:tc>
        <w:tc>
          <w:tcPr>
            <w:tcW w:w="2012" w:type="dxa"/>
          </w:tcPr>
          <w:p w:rsidRPr="00DB4B7E" w:rsidR="00500A90" w:rsidP="00500A90" w:rsidRDefault="00500A90" w14:paraId="71DC7D70" w14:textId="5AB0FA0E">
            <w:r w:rsidRPr="00DB4B7E">
              <w:t xml:space="preserve">Daily – </w:t>
            </w:r>
            <w:r>
              <w:t>Required</w:t>
            </w:r>
          </w:p>
        </w:tc>
        <w:tc>
          <w:tcPr>
            <w:tcW w:w="2940" w:type="dxa"/>
          </w:tcPr>
          <w:p w:rsidRPr="00DB4B7E" w:rsidR="00500A90" w:rsidP="00500A90" w:rsidRDefault="00500A90" w14:paraId="32C516EB" w14:textId="5275C932">
            <w:r w:rsidRPr="00DB4B7E">
              <w:t xml:space="preserve">Daily – </w:t>
            </w:r>
            <w:r>
              <w:t>Required</w:t>
            </w:r>
          </w:p>
        </w:tc>
        <w:tc>
          <w:tcPr>
            <w:tcW w:w="2582" w:type="dxa"/>
            <w:vMerge/>
          </w:tcPr>
          <w:p w:rsidRPr="00DB4B7E" w:rsidR="00500A90" w:rsidP="00500A90" w:rsidRDefault="00500A90" w14:paraId="4E0CF822" w14:textId="77777777"/>
        </w:tc>
      </w:tr>
      <w:tr w:rsidRPr="00DB4B7E" w:rsidR="00500A90" w:rsidTr="00A820D5" w14:paraId="2A023934" w14:textId="77777777">
        <w:tc>
          <w:tcPr>
            <w:tcW w:w="10070" w:type="dxa"/>
            <w:gridSpan w:val="5"/>
            <w:shd w:val="clear" w:color="auto" w:fill="E7E6E6" w:themeFill="background2"/>
          </w:tcPr>
          <w:p w:rsidRPr="00DB4B7E" w:rsidR="00500A90" w:rsidP="00500A90" w:rsidRDefault="00500A90" w14:paraId="7CE2F5F2" w14:textId="4009A6C6">
            <w:pPr>
              <w:rPr>
                <w:b/>
              </w:rPr>
            </w:pPr>
            <w:r>
              <w:rPr>
                <w:b/>
              </w:rPr>
              <w:t>Staffing</w:t>
            </w:r>
          </w:p>
        </w:tc>
      </w:tr>
      <w:tr w:rsidRPr="00DB4B7E" w:rsidR="00500A90" w:rsidTr="00AB4732" w14:paraId="03078FF7" w14:textId="77777777">
        <w:tc>
          <w:tcPr>
            <w:tcW w:w="2517" w:type="dxa"/>
            <w:shd w:val="clear" w:color="auto" w:fill="auto"/>
          </w:tcPr>
          <w:p w:rsidRPr="00AB4732" w:rsidR="00500A90" w:rsidDel="00BA7DB0" w:rsidP="00500A90" w:rsidRDefault="00500A90" w14:paraId="470D05AC" w14:textId="63FC37EE">
            <w:pPr>
              <w:rPr>
                <w:bCs/>
              </w:rPr>
            </w:pPr>
            <w:r>
              <w:rPr>
                <w:bCs/>
              </w:rPr>
              <w:t>Critical staffing shortage anticipated within a week</w:t>
            </w:r>
          </w:p>
        </w:tc>
        <w:tc>
          <w:tcPr>
            <w:tcW w:w="2031" w:type="dxa"/>
            <w:gridSpan w:val="2"/>
            <w:shd w:val="clear" w:color="auto" w:fill="auto"/>
          </w:tcPr>
          <w:p w:rsidRPr="00AB4732" w:rsidR="00500A90" w:rsidDel="00BA7DB0" w:rsidP="00500A90" w:rsidRDefault="00500A90" w14:paraId="599F78E4" w14:textId="4BC780AF">
            <w:pPr>
              <w:rPr>
                <w:bCs/>
              </w:rPr>
            </w:pPr>
            <w:r>
              <w:rPr>
                <w:bCs/>
              </w:rPr>
              <w:t>Weekly – Optional</w:t>
            </w:r>
          </w:p>
        </w:tc>
        <w:tc>
          <w:tcPr>
            <w:tcW w:w="2940" w:type="dxa"/>
            <w:shd w:val="clear" w:color="auto" w:fill="auto"/>
          </w:tcPr>
          <w:p w:rsidRPr="00AB4732" w:rsidR="00500A90" w:rsidDel="00BA7DB0" w:rsidP="00500A90" w:rsidRDefault="00500A90" w14:paraId="55EDA1C3" w14:textId="29AA7E90">
            <w:pPr>
              <w:rPr>
                <w:bCs/>
              </w:rPr>
            </w:pPr>
            <w:r>
              <w:rPr>
                <w:bCs/>
              </w:rPr>
              <w:t>Weekly – Optional</w:t>
            </w:r>
          </w:p>
        </w:tc>
        <w:tc>
          <w:tcPr>
            <w:tcW w:w="2582" w:type="dxa"/>
            <w:shd w:val="clear" w:color="auto" w:fill="auto"/>
          </w:tcPr>
          <w:p w:rsidRPr="00AB4732" w:rsidR="00500A90" w:rsidDel="00BA7DB0" w:rsidP="00500A90" w:rsidRDefault="00500A90" w14:paraId="5A9E3942" w14:textId="2F9D77E3">
            <w:pPr>
              <w:rPr>
                <w:bCs/>
              </w:rPr>
            </w:pPr>
          </w:p>
        </w:tc>
      </w:tr>
      <w:tr w:rsidRPr="00DB4B7E" w:rsidR="00500A90" w:rsidTr="00A820D5" w14:paraId="00F6E17B" w14:textId="77777777">
        <w:tc>
          <w:tcPr>
            <w:tcW w:w="10070" w:type="dxa"/>
            <w:gridSpan w:val="5"/>
            <w:shd w:val="clear" w:color="auto" w:fill="E7E6E6" w:themeFill="background2"/>
          </w:tcPr>
          <w:p w:rsidRPr="00DB4B7E" w:rsidR="00500A90" w:rsidP="00500A90" w:rsidRDefault="00500A90" w14:paraId="4B0B0620" w14:textId="622A1999">
            <w:pPr>
              <w:rPr>
                <w:b/>
              </w:rPr>
            </w:pPr>
            <w:r>
              <w:rPr>
                <w:b/>
              </w:rPr>
              <w:t>Supplies</w:t>
            </w:r>
          </w:p>
        </w:tc>
      </w:tr>
      <w:tr w:rsidRPr="00DB4B7E" w:rsidR="00500A90" w:rsidTr="00A820D5" w14:paraId="5E0B9611" w14:textId="77777777">
        <w:tc>
          <w:tcPr>
            <w:tcW w:w="2536" w:type="dxa"/>
            <w:gridSpan w:val="2"/>
          </w:tcPr>
          <w:p w:rsidRPr="00DB4B7E" w:rsidR="00500A90" w:rsidP="00500A90" w:rsidRDefault="00500A90" w14:paraId="32595622" w14:textId="77777777">
            <w:r w:rsidRPr="00DB4B7E">
              <w:t>On hand supply (days)</w:t>
            </w:r>
          </w:p>
          <w:p w:rsidRPr="00DB4B7E" w:rsidR="00500A90" w:rsidP="00500A90" w:rsidRDefault="00500A90" w14:paraId="418C34F2" w14:textId="77777777">
            <w:pPr>
              <w:pStyle w:val="ListParagraph"/>
              <w:numPr>
                <w:ilvl w:val="0"/>
                <w:numId w:val="9"/>
              </w:numPr>
              <w:spacing w:after="200" w:line="276" w:lineRule="auto"/>
            </w:pPr>
            <w:r w:rsidRPr="00DB4B7E">
              <w:t>N95 respirators</w:t>
            </w:r>
          </w:p>
          <w:p w:rsidRPr="00DB4B7E" w:rsidR="00500A90" w:rsidP="00500A90" w:rsidRDefault="00500A90" w14:paraId="3AD80A85" w14:textId="77777777">
            <w:pPr>
              <w:pStyle w:val="ListParagraph"/>
              <w:numPr>
                <w:ilvl w:val="0"/>
                <w:numId w:val="9"/>
              </w:numPr>
              <w:spacing w:after="200" w:line="276" w:lineRule="auto"/>
            </w:pPr>
            <w:r w:rsidRPr="00DB4B7E">
              <w:t>Surgical &amp; procedural masks</w:t>
            </w:r>
          </w:p>
          <w:p w:rsidRPr="00DB4B7E" w:rsidR="00500A90" w:rsidP="00500A90" w:rsidRDefault="00500A90" w14:paraId="0D186BA8" w14:textId="77777777">
            <w:pPr>
              <w:pStyle w:val="ListParagraph"/>
              <w:numPr>
                <w:ilvl w:val="0"/>
                <w:numId w:val="9"/>
              </w:numPr>
              <w:spacing w:after="200" w:line="276" w:lineRule="auto"/>
            </w:pPr>
            <w:r w:rsidRPr="00DB4B7E">
              <w:t>Eye protection</w:t>
            </w:r>
          </w:p>
          <w:p w:rsidRPr="00DB4B7E" w:rsidR="00500A90" w:rsidP="00500A90" w:rsidRDefault="00500A90" w14:paraId="7CE6CF9D" w14:textId="77777777">
            <w:pPr>
              <w:pStyle w:val="ListParagraph"/>
              <w:numPr>
                <w:ilvl w:val="0"/>
                <w:numId w:val="9"/>
              </w:numPr>
              <w:spacing w:after="200" w:line="276" w:lineRule="auto"/>
            </w:pPr>
            <w:r w:rsidRPr="00DB4B7E">
              <w:t>Gowns</w:t>
            </w:r>
          </w:p>
          <w:p w:rsidRPr="00DB4B7E" w:rsidR="00500A90" w:rsidP="00500A90" w:rsidRDefault="00500A90" w14:paraId="3DB7B418" w14:textId="77777777">
            <w:pPr>
              <w:pStyle w:val="ListParagraph"/>
              <w:numPr>
                <w:ilvl w:val="0"/>
                <w:numId w:val="9"/>
              </w:numPr>
              <w:spacing w:after="200" w:line="276" w:lineRule="auto"/>
            </w:pPr>
            <w:r w:rsidRPr="00DB4B7E">
              <w:t>Exam gloves</w:t>
            </w:r>
          </w:p>
        </w:tc>
        <w:tc>
          <w:tcPr>
            <w:tcW w:w="2012" w:type="dxa"/>
          </w:tcPr>
          <w:p w:rsidRPr="00DB4B7E" w:rsidR="00500A90" w:rsidP="00500A90" w:rsidRDefault="00500A90" w14:paraId="4B84D283" w14:textId="0BB46267">
            <w:r w:rsidRPr="00DB4B7E">
              <w:t xml:space="preserve">Weekly – </w:t>
            </w:r>
            <w:r>
              <w:t>Required</w:t>
            </w:r>
          </w:p>
        </w:tc>
        <w:tc>
          <w:tcPr>
            <w:tcW w:w="2940" w:type="dxa"/>
          </w:tcPr>
          <w:p w:rsidRPr="00DB4B7E" w:rsidR="00500A90" w:rsidP="00500A90" w:rsidRDefault="00500A90" w14:paraId="418CC49B" w14:textId="77777777">
            <w:r w:rsidRPr="00DB4B7E">
              <w:t>By field:</w:t>
            </w:r>
          </w:p>
          <w:p w:rsidRPr="00DB4B7E" w:rsidR="00500A90" w:rsidP="00500A90" w:rsidRDefault="00500A90" w14:paraId="505F400E" w14:textId="77777777"/>
          <w:p w:rsidRPr="00DB4B7E" w:rsidR="00500A90" w:rsidP="00500A90" w:rsidRDefault="00500A90" w14:paraId="71293971" w14:textId="222FB7BA">
            <w:pPr>
              <w:pStyle w:val="ListParagraph"/>
              <w:numPr>
                <w:ilvl w:val="0"/>
                <w:numId w:val="11"/>
              </w:numPr>
              <w:spacing w:after="200" w:line="276" w:lineRule="auto"/>
            </w:pPr>
            <w:r w:rsidRPr="00DB4B7E">
              <w:t xml:space="preserve">N95 respirators: Weekly – </w:t>
            </w:r>
            <w:r>
              <w:t>Required</w:t>
            </w:r>
          </w:p>
          <w:p w:rsidRPr="00DB4B7E" w:rsidR="00500A90" w:rsidP="00500A90" w:rsidRDefault="00500A90" w14:paraId="558D9484" w14:textId="1BA817CA">
            <w:pPr>
              <w:pStyle w:val="ListParagraph"/>
              <w:numPr>
                <w:ilvl w:val="0"/>
                <w:numId w:val="11"/>
              </w:numPr>
              <w:spacing w:after="200" w:line="276" w:lineRule="auto"/>
            </w:pPr>
            <w:r w:rsidRPr="00DB4B7E">
              <w:t xml:space="preserve">Surgical &amp; procedural masks: Weekly – </w:t>
            </w:r>
            <w:r>
              <w:t>Required</w:t>
            </w:r>
            <w:r w:rsidRPr="00DB4B7E">
              <w:t xml:space="preserve"> </w:t>
            </w:r>
          </w:p>
          <w:p w:rsidRPr="00DB4B7E" w:rsidR="00500A90" w:rsidP="00500A90" w:rsidRDefault="00500A90" w14:paraId="33877E85" w14:textId="1AA56339">
            <w:pPr>
              <w:pStyle w:val="ListParagraph"/>
              <w:numPr>
                <w:ilvl w:val="0"/>
                <w:numId w:val="11"/>
              </w:numPr>
              <w:spacing w:after="200" w:line="276" w:lineRule="auto"/>
            </w:pPr>
            <w:r w:rsidRPr="00DB4B7E">
              <w:t xml:space="preserve">Eye protection: Weekly – </w:t>
            </w:r>
            <w:r>
              <w:t>Required</w:t>
            </w:r>
          </w:p>
          <w:p w:rsidRPr="00DB4B7E" w:rsidR="00500A90" w:rsidP="00500A90" w:rsidRDefault="00500A90" w14:paraId="700D83BD" w14:textId="55DC3615">
            <w:pPr>
              <w:pStyle w:val="ListParagraph"/>
              <w:numPr>
                <w:ilvl w:val="0"/>
                <w:numId w:val="11"/>
              </w:numPr>
              <w:spacing w:after="200" w:line="276" w:lineRule="auto"/>
            </w:pPr>
            <w:r w:rsidRPr="00DB4B7E">
              <w:t xml:space="preserve">Gowns: Weekly – </w:t>
            </w:r>
            <w:r>
              <w:t>Required</w:t>
            </w:r>
          </w:p>
          <w:p w:rsidRPr="00DB4B7E" w:rsidR="00500A90" w:rsidP="00500A90" w:rsidRDefault="00500A90" w14:paraId="5183D82E" w14:textId="7C139C31">
            <w:pPr>
              <w:pStyle w:val="ListParagraph"/>
              <w:numPr>
                <w:ilvl w:val="0"/>
                <w:numId w:val="11"/>
              </w:numPr>
              <w:spacing w:after="200" w:line="276" w:lineRule="auto"/>
            </w:pPr>
            <w:r w:rsidRPr="00DB4B7E">
              <w:t xml:space="preserve">Exam gloves: Weekly - </w:t>
            </w:r>
            <w:r>
              <w:t>Required</w:t>
            </w:r>
            <w:r w:rsidRPr="00DB4B7E">
              <w:t xml:space="preserve"> </w:t>
            </w:r>
          </w:p>
        </w:tc>
        <w:tc>
          <w:tcPr>
            <w:tcW w:w="2582" w:type="dxa"/>
          </w:tcPr>
          <w:p w:rsidRPr="00DB4B7E" w:rsidR="00500A90" w:rsidP="00500A90" w:rsidRDefault="00500A90" w14:paraId="4A09338D" w14:textId="350FECC9">
            <w:r w:rsidRPr="00790BDF">
              <w:rPr>
                <w:iCs/>
                <w:color w:val="1D1C1D"/>
              </w:rPr>
              <w:t>Allows HHS to assess current PPE resiliency in the event of a supply chain disruption, for a single hospital or for hospitals overall in a local area, state, or nationwide</w:t>
            </w:r>
            <w:r w:rsidRPr="00790BDF">
              <w:t xml:space="preserve">. </w:t>
            </w:r>
          </w:p>
        </w:tc>
      </w:tr>
      <w:tr w:rsidRPr="00DB4B7E" w:rsidR="00500A90" w:rsidTr="00A820D5" w14:paraId="1C406649" w14:textId="77777777">
        <w:tc>
          <w:tcPr>
            <w:tcW w:w="2536" w:type="dxa"/>
            <w:gridSpan w:val="2"/>
          </w:tcPr>
          <w:p w:rsidRPr="00DB4B7E" w:rsidR="00500A90" w:rsidP="00500A90" w:rsidRDefault="00500A90" w14:paraId="7D88EEF3" w14:textId="77777777">
            <w:r w:rsidRPr="00DB4B7E">
              <w:t>Ability to maintain 3-day supply</w:t>
            </w:r>
          </w:p>
          <w:p w:rsidRPr="00DB4B7E" w:rsidR="00500A90" w:rsidP="00500A90" w:rsidRDefault="00500A90" w14:paraId="0DCAEC0E" w14:textId="77777777">
            <w:pPr>
              <w:pStyle w:val="ListParagraph"/>
              <w:numPr>
                <w:ilvl w:val="0"/>
                <w:numId w:val="10"/>
              </w:numPr>
              <w:spacing w:after="200" w:line="276" w:lineRule="auto"/>
            </w:pPr>
            <w:r w:rsidRPr="00DB4B7E">
              <w:t>N95 respirators</w:t>
            </w:r>
          </w:p>
          <w:p w:rsidRPr="00DB4B7E" w:rsidR="00500A90" w:rsidP="00500A90" w:rsidRDefault="00500A90" w14:paraId="5B0EE5D6" w14:textId="77777777">
            <w:pPr>
              <w:pStyle w:val="ListParagraph"/>
              <w:numPr>
                <w:ilvl w:val="0"/>
                <w:numId w:val="10"/>
              </w:numPr>
              <w:spacing w:after="200" w:line="276" w:lineRule="auto"/>
            </w:pPr>
            <w:r w:rsidRPr="00DB4B7E">
              <w:t>Surgical &amp; procedural masks</w:t>
            </w:r>
          </w:p>
          <w:p w:rsidRPr="00DB4B7E" w:rsidR="00500A90" w:rsidP="00500A90" w:rsidRDefault="00500A90" w14:paraId="6594250C" w14:textId="77777777">
            <w:pPr>
              <w:pStyle w:val="ListParagraph"/>
              <w:numPr>
                <w:ilvl w:val="0"/>
                <w:numId w:val="10"/>
              </w:numPr>
              <w:spacing w:after="200" w:line="276" w:lineRule="auto"/>
            </w:pPr>
            <w:r w:rsidRPr="00DB4B7E">
              <w:t>Eye protection</w:t>
            </w:r>
          </w:p>
          <w:p w:rsidRPr="00DB4B7E" w:rsidR="00500A90" w:rsidP="00500A90" w:rsidRDefault="00500A90" w14:paraId="7F5E232F" w14:textId="77777777">
            <w:pPr>
              <w:pStyle w:val="ListParagraph"/>
              <w:numPr>
                <w:ilvl w:val="0"/>
                <w:numId w:val="10"/>
              </w:numPr>
              <w:spacing w:after="200" w:line="276" w:lineRule="auto"/>
            </w:pPr>
            <w:r w:rsidRPr="00DB4B7E">
              <w:t>Gowns</w:t>
            </w:r>
          </w:p>
          <w:p w:rsidRPr="00DB4B7E" w:rsidR="00500A90" w:rsidP="00500A90" w:rsidRDefault="00500A90" w14:paraId="5978BC81" w14:textId="77777777">
            <w:pPr>
              <w:pStyle w:val="ListParagraph"/>
              <w:numPr>
                <w:ilvl w:val="0"/>
                <w:numId w:val="10"/>
              </w:numPr>
              <w:spacing w:after="200" w:line="276" w:lineRule="auto"/>
            </w:pPr>
            <w:r w:rsidRPr="00DB4B7E">
              <w:t>Gloves</w:t>
            </w:r>
          </w:p>
          <w:p w:rsidRPr="00DB4B7E" w:rsidR="00500A90" w:rsidP="00AB4732" w:rsidRDefault="00500A90" w14:paraId="406E3328" w14:textId="42BB1528">
            <w:pPr>
              <w:pStyle w:val="ListParagraph"/>
              <w:spacing w:after="200" w:line="276" w:lineRule="auto"/>
              <w:ind w:left="360"/>
            </w:pPr>
          </w:p>
        </w:tc>
        <w:tc>
          <w:tcPr>
            <w:tcW w:w="2012" w:type="dxa"/>
          </w:tcPr>
          <w:p w:rsidRPr="00DB4B7E" w:rsidR="00500A90" w:rsidP="00500A90" w:rsidRDefault="00500A90" w14:paraId="5EAD54A7" w14:textId="3EFBA62C">
            <w:r w:rsidRPr="00DB4B7E">
              <w:t xml:space="preserve">Weekly – </w:t>
            </w:r>
            <w:r>
              <w:t>Required</w:t>
            </w:r>
          </w:p>
        </w:tc>
        <w:tc>
          <w:tcPr>
            <w:tcW w:w="2940" w:type="dxa"/>
          </w:tcPr>
          <w:p w:rsidRPr="00DB4B7E" w:rsidR="00500A90" w:rsidP="00500A90" w:rsidRDefault="00500A90" w14:paraId="3A9583AE" w14:textId="77777777">
            <w:r w:rsidRPr="00DB4B7E">
              <w:t>By field:</w:t>
            </w:r>
          </w:p>
          <w:p w:rsidRPr="00DB4B7E" w:rsidR="00500A90" w:rsidP="00500A90" w:rsidRDefault="00500A90" w14:paraId="14E96B1A" w14:textId="5722C6F1">
            <w:pPr>
              <w:pStyle w:val="ListParagraph"/>
              <w:numPr>
                <w:ilvl w:val="0"/>
                <w:numId w:val="10"/>
              </w:numPr>
              <w:spacing w:after="200" w:line="276" w:lineRule="auto"/>
            </w:pPr>
            <w:r w:rsidRPr="00DB4B7E">
              <w:t xml:space="preserve">N95 respirators: Weekly – </w:t>
            </w:r>
            <w:r>
              <w:t>Required</w:t>
            </w:r>
            <w:r w:rsidRPr="00DB4B7E">
              <w:t xml:space="preserve"> </w:t>
            </w:r>
          </w:p>
          <w:p w:rsidRPr="00DB4B7E" w:rsidR="00500A90" w:rsidP="00500A90" w:rsidRDefault="00500A90" w14:paraId="59BE8375" w14:textId="6C36E709">
            <w:pPr>
              <w:pStyle w:val="ListParagraph"/>
              <w:numPr>
                <w:ilvl w:val="0"/>
                <w:numId w:val="10"/>
              </w:numPr>
              <w:spacing w:after="200" w:line="276" w:lineRule="auto"/>
            </w:pPr>
            <w:r w:rsidRPr="00DB4B7E">
              <w:t xml:space="preserve">Surgical &amp; procedural masks: Weekly – </w:t>
            </w:r>
            <w:r>
              <w:t>Required</w:t>
            </w:r>
            <w:r w:rsidRPr="00DB4B7E">
              <w:t xml:space="preserve"> </w:t>
            </w:r>
          </w:p>
          <w:p w:rsidRPr="00DB4B7E" w:rsidR="00500A90" w:rsidP="00500A90" w:rsidRDefault="00500A90" w14:paraId="7CC6167D" w14:textId="114A3C28">
            <w:pPr>
              <w:pStyle w:val="ListParagraph"/>
              <w:numPr>
                <w:ilvl w:val="0"/>
                <w:numId w:val="10"/>
              </w:numPr>
              <w:spacing w:after="200" w:line="276" w:lineRule="auto"/>
            </w:pPr>
            <w:r w:rsidRPr="00DB4B7E">
              <w:t xml:space="preserve">Eye protection: Weekly - </w:t>
            </w:r>
            <w:r>
              <w:t>Required</w:t>
            </w:r>
          </w:p>
          <w:p w:rsidRPr="00DB4B7E" w:rsidR="00500A90" w:rsidP="00500A90" w:rsidRDefault="00500A90" w14:paraId="5659A455" w14:textId="67F295FB">
            <w:pPr>
              <w:pStyle w:val="ListParagraph"/>
              <w:numPr>
                <w:ilvl w:val="0"/>
                <w:numId w:val="10"/>
              </w:numPr>
              <w:spacing w:after="200" w:line="276" w:lineRule="auto"/>
            </w:pPr>
            <w:r w:rsidRPr="00DB4B7E">
              <w:t xml:space="preserve">Gowns: Weekly – </w:t>
            </w:r>
            <w:r>
              <w:t>Required</w:t>
            </w:r>
            <w:r w:rsidRPr="00DB4B7E">
              <w:t xml:space="preserve"> </w:t>
            </w:r>
          </w:p>
          <w:p w:rsidRPr="00DB4B7E" w:rsidR="00500A90" w:rsidP="00500A90" w:rsidRDefault="00500A90" w14:paraId="48023283" w14:textId="6070BB03">
            <w:pPr>
              <w:pStyle w:val="ListParagraph"/>
              <w:numPr>
                <w:ilvl w:val="0"/>
                <w:numId w:val="10"/>
              </w:numPr>
              <w:spacing w:after="200" w:line="276" w:lineRule="auto"/>
            </w:pPr>
            <w:r w:rsidRPr="00DB4B7E">
              <w:t xml:space="preserve">Gloves: Weekly – </w:t>
            </w:r>
            <w:r>
              <w:t>Required</w:t>
            </w:r>
            <w:r w:rsidRPr="00DB4B7E">
              <w:t xml:space="preserve"> </w:t>
            </w:r>
          </w:p>
          <w:p w:rsidRPr="00DB4B7E" w:rsidR="00500A90" w:rsidP="00500A90" w:rsidRDefault="00500A90" w14:paraId="17589912" w14:textId="77777777">
            <w:pPr>
              <w:pStyle w:val="ListParagraph"/>
              <w:ind w:left="360"/>
            </w:pPr>
          </w:p>
        </w:tc>
        <w:tc>
          <w:tcPr>
            <w:tcW w:w="2582" w:type="dxa"/>
          </w:tcPr>
          <w:p w:rsidRPr="00DB4B7E" w:rsidR="00500A90" w:rsidP="00500A90" w:rsidRDefault="00500A90" w14:paraId="3CF4F3F9" w14:textId="484D3269">
            <w:r w:rsidRPr="00790BDF">
              <w:rPr>
                <w:iCs/>
                <w:color w:val="1D1C1D"/>
              </w:rPr>
              <w:t xml:space="preserve">HHS uses hospitals’ self-assessment of the reliability of their PPE supply to identify areas or patterns of unreliable supply that may warrant outreach and (if needed) interventions to stabilize the supply chain. </w:t>
            </w:r>
          </w:p>
        </w:tc>
      </w:tr>
      <w:tr w:rsidRPr="00DB4B7E" w:rsidR="00A820D5" w:rsidTr="00AB4732" w14:paraId="158CEBCE" w14:textId="77777777">
        <w:trPr>
          <w:trHeight w:val="270"/>
        </w:trPr>
        <w:tc>
          <w:tcPr>
            <w:tcW w:w="10070" w:type="dxa"/>
            <w:gridSpan w:val="5"/>
            <w:shd w:val="clear" w:color="auto" w:fill="E7E6E6" w:themeFill="background2"/>
          </w:tcPr>
          <w:p w:rsidRPr="00DB4B7E" w:rsidR="00A820D5" w:rsidP="000A5F4C" w:rsidRDefault="00A820D5" w14:paraId="3DE1ABE9" w14:textId="77777777">
            <w:pPr>
              <w:rPr>
                <w:b/>
              </w:rPr>
            </w:pPr>
            <w:r w:rsidRPr="00DB4B7E">
              <w:rPr>
                <w:b/>
              </w:rPr>
              <w:t>Therapeutics</w:t>
            </w:r>
          </w:p>
        </w:tc>
      </w:tr>
      <w:tr w:rsidRPr="00DB4B7E" w:rsidR="00500A90" w:rsidTr="00A820D5" w14:paraId="758778C9" w14:textId="77777777">
        <w:tc>
          <w:tcPr>
            <w:tcW w:w="10070" w:type="dxa"/>
            <w:gridSpan w:val="5"/>
            <w:shd w:val="clear" w:color="auto" w:fill="E7E6E6" w:themeFill="background2"/>
          </w:tcPr>
          <w:p w:rsidRPr="00580526" w:rsidR="00500A90" w:rsidP="00500A90" w:rsidRDefault="00500A90" w14:paraId="43642FB8" w14:textId="5B45A8B7">
            <w:pPr>
              <w:rPr>
                <w:b/>
                <w:bCs/>
              </w:rPr>
            </w:pPr>
            <w:r w:rsidRPr="00580526">
              <w:rPr>
                <w:b/>
                <w:bCs/>
              </w:rPr>
              <w:t>Vaccination</w:t>
            </w:r>
          </w:p>
        </w:tc>
      </w:tr>
    </w:tbl>
    <w:p w:rsidRPr="00DB4B7E" w:rsidR="00F11E11" w:rsidP="00F11E11" w:rsidRDefault="00F11E11" w14:paraId="77C1AD33" w14:textId="77777777">
      <w:pPr>
        <w:spacing w:after="200" w:line="276" w:lineRule="auto"/>
      </w:pPr>
    </w:p>
    <w:p w:rsidRPr="00DB4B7E" w:rsidR="00455BFC" w:rsidP="006F131E" w:rsidRDefault="00455BFC" w14:paraId="61A0D468" w14:textId="673015F6">
      <w:pPr>
        <w:rPr>
          <w:rFonts w:eastAsiaTheme="minorHAnsi" w:cstheme="minorBidi"/>
          <w:szCs w:val="22"/>
        </w:rPr>
      </w:pPr>
    </w:p>
    <w:p w:rsidRPr="00DB4B7E" w:rsidR="00455BFC" w:rsidP="006F131E" w:rsidRDefault="00455BFC" w14:paraId="3AC77C8C" w14:textId="67765919">
      <w:pPr>
        <w:rPr>
          <w:rFonts w:eastAsiaTheme="minorHAnsi" w:cstheme="minorBidi"/>
          <w:szCs w:val="22"/>
        </w:rPr>
      </w:pPr>
      <w:r w:rsidRPr="00DB4B7E">
        <w:rPr>
          <w:rFonts w:eastAsiaTheme="minorHAnsi" w:cstheme="minorBidi"/>
          <w:szCs w:val="22"/>
          <w:u w:val="single"/>
        </w:rPr>
        <w:t>Burden Estimates</w:t>
      </w:r>
    </w:p>
    <w:p w:rsidRPr="00DB4B7E" w:rsidR="00455BFC" w:rsidP="006F131E" w:rsidRDefault="00455BFC" w14:paraId="283E4EFB" w14:textId="7968AB01">
      <w:pPr>
        <w:rPr>
          <w:rFonts w:eastAsiaTheme="minorHAnsi" w:cstheme="minorBidi"/>
          <w:szCs w:val="22"/>
        </w:rPr>
      </w:pPr>
    </w:p>
    <w:tbl>
      <w:tblPr>
        <w:tblStyle w:val="TableGrid"/>
        <w:tblW w:w="0" w:type="auto"/>
        <w:tblLook w:val="04A0" w:firstRow="1" w:lastRow="0" w:firstColumn="1" w:lastColumn="0" w:noHBand="0" w:noVBand="1"/>
      </w:tblPr>
      <w:tblGrid>
        <w:gridCol w:w="1965"/>
        <w:gridCol w:w="1429"/>
        <w:gridCol w:w="1674"/>
        <w:gridCol w:w="1790"/>
        <w:gridCol w:w="1547"/>
        <w:gridCol w:w="1665"/>
      </w:tblGrid>
      <w:tr w:rsidRPr="00DB4B7E" w:rsidR="00EF31B2" w:rsidTr="007F5698" w14:paraId="4BAC2EA6" w14:textId="4B9039BC">
        <w:tc>
          <w:tcPr>
            <w:tcW w:w="1965" w:type="dxa"/>
          </w:tcPr>
          <w:p w:rsidRPr="00DB4B7E" w:rsidR="00455BFC" w:rsidP="00455BFC" w:rsidRDefault="00455BFC" w14:paraId="05B6269E" w14:textId="77777777">
            <w:pPr>
              <w:rPr>
                <w:b/>
                <w:bCs/>
              </w:rPr>
            </w:pPr>
            <w:r w:rsidRPr="00DB4B7E">
              <w:rPr>
                <w:b/>
                <w:bCs/>
              </w:rPr>
              <w:t>Type of</w:t>
            </w:r>
          </w:p>
          <w:p w:rsidRPr="00DB4B7E" w:rsidR="00455BFC" w:rsidP="00455BFC" w:rsidRDefault="00455BFC" w14:paraId="37F43A0A" w14:textId="77777777">
            <w:pPr>
              <w:rPr>
                <w:b/>
                <w:bCs/>
              </w:rPr>
            </w:pPr>
            <w:r w:rsidRPr="00DB4B7E">
              <w:rPr>
                <w:b/>
                <w:bCs/>
              </w:rPr>
              <w:t>Respondent</w:t>
            </w:r>
          </w:p>
          <w:p w:rsidRPr="00DB4B7E" w:rsidR="00455BFC" w:rsidP="00455BFC" w:rsidRDefault="00455BFC" w14:paraId="2C500733" w14:textId="77777777">
            <w:pPr>
              <w:rPr>
                <w:rFonts w:eastAsiaTheme="minorHAnsi" w:cstheme="minorBidi"/>
                <w:szCs w:val="22"/>
              </w:rPr>
            </w:pPr>
          </w:p>
        </w:tc>
        <w:tc>
          <w:tcPr>
            <w:tcW w:w="1429" w:type="dxa"/>
          </w:tcPr>
          <w:p w:rsidRPr="00DB4B7E" w:rsidR="00455BFC" w:rsidP="00455BFC" w:rsidRDefault="00455BFC" w14:paraId="2F6365C7" w14:textId="77777777">
            <w:pPr>
              <w:rPr>
                <w:b/>
                <w:bCs/>
              </w:rPr>
            </w:pPr>
            <w:r w:rsidRPr="00DB4B7E">
              <w:rPr>
                <w:b/>
                <w:bCs/>
              </w:rPr>
              <w:lastRenderedPageBreak/>
              <w:t>Form</w:t>
            </w:r>
          </w:p>
          <w:p w:rsidRPr="00DB4B7E" w:rsidR="00455BFC" w:rsidP="00455BFC" w:rsidRDefault="00455BFC" w14:paraId="13445C76" w14:textId="77777777">
            <w:pPr>
              <w:rPr>
                <w:b/>
                <w:bCs/>
              </w:rPr>
            </w:pPr>
            <w:r w:rsidRPr="00DB4B7E">
              <w:rPr>
                <w:b/>
                <w:bCs/>
              </w:rPr>
              <w:t>Name</w:t>
            </w:r>
          </w:p>
          <w:p w:rsidRPr="00DB4B7E" w:rsidR="00455BFC" w:rsidP="00455BFC" w:rsidRDefault="00455BFC" w14:paraId="1530EDCC" w14:textId="77777777">
            <w:pPr>
              <w:rPr>
                <w:rFonts w:eastAsiaTheme="minorHAnsi" w:cstheme="minorBidi"/>
                <w:szCs w:val="22"/>
              </w:rPr>
            </w:pPr>
          </w:p>
        </w:tc>
        <w:tc>
          <w:tcPr>
            <w:tcW w:w="1674" w:type="dxa"/>
          </w:tcPr>
          <w:p w:rsidRPr="00DB4B7E" w:rsidR="00455BFC" w:rsidP="00455BFC" w:rsidRDefault="00455BFC" w14:paraId="409BD430" w14:textId="77777777">
            <w:pPr>
              <w:rPr>
                <w:b/>
                <w:bCs/>
              </w:rPr>
            </w:pPr>
            <w:r w:rsidRPr="00DB4B7E">
              <w:rPr>
                <w:b/>
                <w:bCs/>
              </w:rPr>
              <w:lastRenderedPageBreak/>
              <w:t>No. of</w:t>
            </w:r>
          </w:p>
          <w:p w:rsidRPr="00DB4B7E" w:rsidR="00455BFC" w:rsidP="00455BFC" w:rsidRDefault="00455BFC" w14:paraId="111F5C6A" w14:textId="35280D8E">
            <w:pPr>
              <w:rPr>
                <w:rFonts w:eastAsiaTheme="minorHAnsi" w:cstheme="minorBidi"/>
                <w:szCs w:val="22"/>
              </w:rPr>
            </w:pPr>
            <w:r w:rsidRPr="00DB4B7E">
              <w:rPr>
                <w:b/>
                <w:bCs/>
              </w:rPr>
              <w:t>Respondents</w:t>
            </w:r>
          </w:p>
        </w:tc>
        <w:tc>
          <w:tcPr>
            <w:tcW w:w="1790" w:type="dxa"/>
          </w:tcPr>
          <w:p w:rsidRPr="00DB4B7E" w:rsidR="00455BFC" w:rsidP="00455BFC" w:rsidRDefault="00455BFC" w14:paraId="5C9CCB70" w14:textId="77777777">
            <w:pPr>
              <w:rPr>
                <w:b/>
                <w:bCs/>
              </w:rPr>
            </w:pPr>
            <w:r w:rsidRPr="00DB4B7E">
              <w:rPr>
                <w:b/>
                <w:bCs/>
              </w:rPr>
              <w:t>No.</w:t>
            </w:r>
          </w:p>
          <w:p w:rsidRPr="00DB4B7E" w:rsidR="00455BFC" w:rsidP="00455BFC" w:rsidRDefault="00455BFC" w14:paraId="06357323" w14:textId="77777777">
            <w:pPr>
              <w:rPr>
                <w:b/>
                <w:bCs/>
              </w:rPr>
            </w:pPr>
            <w:r w:rsidRPr="00DB4B7E">
              <w:rPr>
                <w:b/>
                <w:bCs/>
              </w:rPr>
              <w:t>Responses</w:t>
            </w:r>
          </w:p>
          <w:p w:rsidRPr="00DB4B7E" w:rsidR="00455BFC" w:rsidP="00455BFC" w:rsidRDefault="00455BFC" w14:paraId="4B8ECB53" w14:textId="77777777">
            <w:pPr>
              <w:rPr>
                <w:b/>
                <w:bCs/>
              </w:rPr>
            </w:pPr>
            <w:r w:rsidRPr="00DB4B7E">
              <w:rPr>
                <w:b/>
                <w:bCs/>
              </w:rPr>
              <w:lastRenderedPageBreak/>
              <w:t>per</w:t>
            </w:r>
          </w:p>
          <w:p w:rsidRPr="00DB4B7E" w:rsidR="00455BFC" w:rsidP="00455BFC" w:rsidRDefault="00455BFC" w14:paraId="7B2915E9" w14:textId="401AFF2D">
            <w:pPr>
              <w:rPr>
                <w:rFonts w:eastAsiaTheme="minorHAnsi" w:cstheme="minorBidi"/>
                <w:szCs w:val="22"/>
              </w:rPr>
            </w:pPr>
            <w:r w:rsidRPr="00DB4B7E">
              <w:rPr>
                <w:b/>
                <w:bCs/>
              </w:rPr>
              <w:t>Respondent</w:t>
            </w:r>
          </w:p>
        </w:tc>
        <w:tc>
          <w:tcPr>
            <w:tcW w:w="1547" w:type="dxa"/>
          </w:tcPr>
          <w:p w:rsidRPr="00DB4B7E" w:rsidR="00455BFC" w:rsidP="00455BFC" w:rsidRDefault="00455BFC" w14:paraId="66BC3AE3" w14:textId="77777777">
            <w:pPr>
              <w:rPr>
                <w:b/>
                <w:bCs/>
              </w:rPr>
            </w:pPr>
            <w:r w:rsidRPr="00DB4B7E">
              <w:rPr>
                <w:b/>
                <w:bCs/>
              </w:rPr>
              <w:lastRenderedPageBreak/>
              <w:t>Average</w:t>
            </w:r>
          </w:p>
          <w:p w:rsidRPr="00DB4B7E" w:rsidR="00455BFC" w:rsidP="00455BFC" w:rsidRDefault="00455BFC" w14:paraId="5E2BF2A0" w14:textId="77777777">
            <w:pPr>
              <w:rPr>
                <w:b/>
                <w:bCs/>
              </w:rPr>
            </w:pPr>
            <w:r w:rsidRPr="00DB4B7E">
              <w:rPr>
                <w:b/>
                <w:bCs/>
              </w:rPr>
              <w:t>Burden per</w:t>
            </w:r>
          </w:p>
          <w:p w:rsidRPr="00DB4B7E" w:rsidR="00455BFC" w:rsidP="00455BFC" w:rsidRDefault="00455BFC" w14:paraId="5707CDFF" w14:textId="77777777">
            <w:pPr>
              <w:rPr>
                <w:b/>
                <w:bCs/>
              </w:rPr>
            </w:pPr>
            <w:r w:rsidRPr="00DB4B7E">
              <w:rPr>
                <w:b/>
                <w:bCs/>
              </w:rPr>
              <w:lastRenderedPageBreak/>
              <w:t>Response</w:t>
            </w:r>
          </w:p>
          <w:p w:rsidRPr="00EA49A7" w:rsidR="00455BFC" w:rsidP="00455BFC" w:rsidRDefault="00455BFC" w14:paraId="723A8FD1" w14:textId="6176A2BA">
            <w:pPr>
              <w:rPr>
                <w:rFonts w:eastAsiaTheme="minorHAnsi" w:cstheme="minorBidi"/>
                <w:szCs w:val="22"/>
              </w:rPr>
            </w:pPr>
            <w:r w:rsidRPr="00DB4B7E">
              <w:rPr>
                <w:b/>
                <w:bCs/>
              </w:rPr>
              <w:t>(</w:t>
            </w:r>
            <w:proofErr w:type="gramStart"/>
            <w:r w:rsidRPr="00DB4B7E">
              <w:rPr>
                <w:b/>
                <w:bCs/>
              </w:rPr>
              <w:t>in</w:t>
            </w:r>
            <w:proofErr w:type="gramEnd"/>
            <w:r w:rsidRPr="00DB4B7E">
              <w:rPr>
                <w:b/>
                <w:bCs/>
              </w:rPr>
              <w:t xml:space="preserve"> hours)</w:t>
            </w:r>
          </w:p>
        </w:tc>
        <w:tc>
          <w:tcPr>
            <w:tcW w:w="1665" w:type="dxa"/>
          </w:tcPr>
          <w:p w:rsidRPr="00DB4B7E" w:rsidR="00455BFC" w:rsidP="00455BFC" w:rsidRDefault="00455BFC" w14:paraId="7703CDDD" w14:textId="1F4D9369">
            <w:pPr>
              <w:rPr>
                <w:rFonts w:eastAsiaTheme="minorHAnsi" w:cstheme="minorBidi"/>
                <w:szCs w:val="22"/>
              </w:rPr>
            </w:pPr>
            <w:r w:rsidRPr="005603F5">
              <w:rPr>
                <w:b/>
                <w:bCs/>
              </w:rPr>
              <w:lastRenderedPageBreak/>
              <w:t>Total Burden Hours</w:t>
            </w:r>
          </w:p>
        </w:tc>
      </w:tr>
      <w:tr w:rsidRPr="00DB4B7E" w:rsidR="00EF31B2" w:rsidTr="007F5698" w14:paraId="3853F6CD" w14:textId="67FD9F0E">
        <w:tc>
          <w:tcPr>
            <w:tcW w:w="1965" w:type="dxa"/>
          </w:tcPr>
          <w:p w:rsidRPr="00DB4B7E" w:rsidR="00455BFC" w:rsidP="00455BFC" w:rsidRDefault="00455BFC" w14:paraId="27867B89" w14:textId="4752DF94">
            <w:pPr>
              <w:rPr>
                <w:rFonts w:eastAsiaTheme="minorHAnsi" w:cstheme="minorBidi"/>
                <w:szCs w:val="22"/>
              </w:rPr>
            </w:pPr>
            <w:r w:rsidRPr="00DB4B7E">
              <w:t>Hospitals</w:t>
            </w:r>
            <w:r w:rsidR="000135E2">
              <w:t xml:space="preserve"> (excluding Psychiatric and Rehabilitation Hospitals)</w:t>
            </w:r>
            <w:r w:rsidRPr="00DB4B7E">
              <w:rPr>
                <w:rStyle w:val="FootnoteReference"/>
              </w:rPr>
              <w:footnoteReference w:id="3"/>
            </w:r>
          </w:p>
        </w:tc>
        <w:tc>
          <w:tcPr>
            <w:tcW w:w="1429" w:type="dxa"/>
          </w:tcPr>
          <w:p w:rsidRPr="00DB4B7E" w:rsidR="00455BFC" w:rsidP="00455BFC" w:rsidRDefault="00455BFC" w14:paraId="6D3DF974" w14:textId="0A106478">
            <w:pPr>
              <w:rPr>
                <w:rFonts w:eastAsiaTheme="minorHAnsi" w:cstheme="minorBidi"/>
                <w:szCs w:val="22"/>
              </w:rPr>
            </w:pPr>
            <w:r w:rsidRPr="00EA49A7">
              <w:t xml:space="preserve">HHS </w:t>
            </w:r>
            <w:r w:rsidR="00281DD2">
              <w:t xml:space="preserve">Response Hospital </w:t>
            </w:r>
            <w:proofErr w:type="spellStart"/>
            <w:r w:rsidR="00281DD2">
              <w:t>Data</w:t>
            </w:r>
            <w:r w:rsidRPr="00EA49A7">
              <w:t>al</w:t>
            </w:r>
            <w:proofErr w:type="spellEnd"/>
          </w:p>
        </w:tc>
        <w:tc>
          <w:tcPr>
            <w:tcW w:w="1674" w:type="dxa"/>
          </w:tcPr>
          <w:p w:rsidRPr="00DB4B7E" w:rsidR="00455BFC" w:rsidP="00455BFC" w:rsidRDefault="00455BFC" w14:paraId="7D97CA4D" w14:textId="42BC5083">
            <w:pPr>
              <w:rPr>
                <w:rFonts w:eastAsiaTheme="minorHAnsi" w:cstheme="minorBidi"/>
                <w:szCs w:val="22"/>
              </w:rPr>
            </w:pPr>
            <w:r w:rsidRPr="00DB4B7E">
              <w:t xml:space="preserve"> </w:t>
            </w:r>
            <w:r w:rsidR="000135E2">
              <w:t>52</w:t>
            </w:r>
            <w:r w:rsidRPr="00DB4B7E">
              <w:t>00</w:t>
            </w:r>
          </w:p>
        </w:tc>
        <w:tc>
          <w:tcPr>
            <w:tcW w:w="1790" w:type="dxa"/>
          </w:tcPr>
          <w:p w:rsidRPr="00DB4B7E" w:rsidR="00455BFC" w:rsidP="00455BFC" w:rsidRDefault="00455BFC" w14:paraId="4338F338" w14:textId="068E0D20">
            <w:pPr>
              <w:rPr>
                <w:rFonts w:eastAsiaTheme="minorHAnsi" w:cstheme="minorBidi"/>
                <w:szCs w:val="22"/>
              </w:rPr>
            </w:pPr>
            <w:r w:rsidRPr="00DB4B7E">
              <w:t>365</w:t>
            </w:r>
          </w:p>
        </w:tc>
        <w:tc>
          <w:tcPr>
            <w:tcW w:w="1547" w:type="dxa"/>
          </w:tcPr>
          <w:p w:rsidRPr="005603F5" w:rsidR="00455BFC" w:rsidP="00455BFC" w:rsidRDefault="0003797B" w14:paraId="7AD77FEF" w14:textId="1F746021">
            <w:pPr>
              <w:rPr>
                <w:rFonts w:eastAsiaTheme="minorHAnsi" w:cstheme="minorBidi"/>
                <w:szCs w:val="22"/>
              </w:rPr>
            </w:pPr>
            <w:r>
              <w:t>1</w:t>
            </w:r>
            <w:r w:rsidR="00047961">
              <w:t>.1</w:t>
            </w:r>
          </w:p>
        </w:tc>
        <w:tc>
          <w:tcPr>
            <w:tcW w:w="1665" w:type="dxa"/>
          </w:tcPr>
          <w:p w:rsidRPr="005603F5" w:rsidR="00455BFC" w:rsidP="00455BFC" w:rsidRDefault="00047961" w14:paraId="426403BD" w14:textId="133D163A">
            <w:r>
              <w:t>2</w:t>
            </w:r>
            <w:r w:rsidR="0003797B">
              <w:t>,</w:t>
            </w:r>
            <w:r>
              <w:t>087</w:t>
            </w:r>
            <w:r w:rsidR="0003797B">
              <w:t>,</w:t>
            </w:r>
            <w:r>
              <w:t>8</w:t>
            </w:r>
            <w:r w:rsidR="0003797B">
              <w:t>00</w:t>
            </w:r>
          </w:p>
          <w:p w:rsidRPr="005603F5" w:rsidR="00455BFC" w:rsidP="00455BFC" w:rsidRDefault="00455BFC" w14:paraId="07CBBB06" w14:textId="77777777">
            <w:pPr>
              <w:rPr>
                <w:rFonts w:eastAsiaTheme="minorHAnsi" w:cstheme="minorBidi"/>
                <w:szCs w:val="22"/>
              </w:rPr>
            </w:pPr>
          </w:p>
        </w:tc>
      </w:tr>
      <w:tr w:rsidRPr="00DB4B7E" w:rsidR="00EF31B2" w:rsidTr="007F5698" w14:paraId="70582E00" w14:textId="77777777">
        <w:tc>
          <w:tcPr>
            <w:tcW w:w="1965" w:type="dxa"/>
          </w:tcPr>
          <w:p w:rsidRPr="00DB4B7E" w:rsidR="000135E2" w:rsidP="00455BFC" w:rsidRDefault="000135E2" w14:paraId="64B23C3B" w14:textId="412E6369">
            <w:r>
              <w:t>Psychiatric and Rehabilitation Hospitals</w:t>
            </w:r>
            <w:r w:rsidRPr="007374AD" w:rsidR="00A51510">
              <w:rPr>
                <w:vertAlign w:val="superscript"/>
              </w:rPr>
              <w:t>3</w:t>
            </w:r>
          </w:p>
        </w:tc>
        <w:tc>
          <w:tcPr>
            <w:tcW w:w="1429" w:type="dxa"/>
          </w:tcPr>
          <w:p w:rsidRPr="00EA49A7" w:rsidR="000135E2" w:rsidP="00455BFC" w:rsidRDefault="000135E2" w14:paraId="24BD7F86" w14:textId="374F7285">
            <w:r w:rsidRPr="00EA49A7">
              <w:t xml:space="preserve">HHS </w:t>
            </w:r>
            <w:proofErr w:type="spellStart"/>
            <w:r w:rsidRPr="00EA49A7">
              <w:t>Teletracking</w:t>
            </w:r>
            <w:proofErr w:type="spellEnd"/>
            <w:r w:rsidRPr="00EA49A7">
              <w:t xml:space="preserve"> COVID-19 Portal</w:t>
            </w:r>
          </w:p>
        </w:tc>
        <w:tc>
          <w:tcPr>
            <w:tcW w:w="1674" w:type="dxa"/>
          </w:tcPr>
          <w:p w:rsidRPr="00DB4B7E" w:rsidR="000135E2" w:rsidP="00455BFC" w:rsidRDefault="000135E2" w14:paraId="14D1F43A" w14:textId="298A6F23">
            <w:r>
              <w:t>8</w:t>
            </w:r>
            <w:r w:rsidR="001D5C65">
              <w:t>7</w:t>
            </w:r>
            <w:r>
              <w:t>0</w:t>
            </w:r>
          </w:p>
        </w:tc>
        <w:tc>
          <w:tcPr>
            <w:tcW w:w="1790" w:type="dxa"/>
          </w:tcPr>
          <w:p w:rsidRPr="00DB4B7E" w:rsidR="000135E2" w:rsidP="00455BFC" w:rsidRDefault="007F5698" w14:paraId="5592FF8E" w14:textId="3ED650CE">
            <w:r>
              <w:t>1</w:t>
            </w:r>
          </w:p>
        </w:tc>
        <w:tc>
          <w:tcPr>
            <w:tcW w:w="1547" w:type="dxa"/>
          </w:tcPr>
          <w:p w:rsidRPr="00DB4B7E" w:rsidR="000135E2" w:rsidP="00455BFC" w:rsidRDefault="0003797B" w14:paraId="0362C40E" w14:textId="36572A66">
            <w:r>
              <w:t>1</w:t>
            </w:r>
            <w:r w:rsidR="00047961">
              <w:t>.1</w:t>
            </w:r>
          </w:p>
        </w:tc>
        <w:tc>
          <w:tcPr>
            <w:tcW w:w="1665" w:type="dxa"/>
          </w:tcPr>
          <w:p w:rsidR="000135E2" w:rsidP="00455BFC" w:rsidRDefault="001D5C65" w14:paraId="7F07FBEA" w14:textId="6AFCF20B">
            <w:r>
              <w:t>957</w:t>
            </w:r>
          </w:p>
        </w:tc>
      </w:tr>
      <w:tr w:rsidRPr="00DB4B7E" w:rsidR="00EF31B2" w:rsidTr="007F5698" w14:paraId="4BBE72F6" w14:textId="11E53F05">
        <w:tc>
          <w:tcPr>
            <w:tcW w:w="1965" w:type="dxa"/>
          </w:tcPr>
          <w:p w:rsidRPr="00DB4B7E" w:rsidR="00455BFC" w:rsidP="00455BFC" w:rsidRDefault="00455BFC" w14:paraId="5CE55922" w14:textId="517D2528">
            <w:pPr>
              <w:rPr>
                <w:rFonts w:eastAsiaTheme="minorHAnsi" w:cstheme="minorBidi"/>
                <w:szCs w:val="22"/>
              </w:rPr>
            </w:pPr>
            <w:r w:rsidRPr="00DB4B7E">
              <w:rPr>
                <w:b/>
                <w:bCs/>
              </w:rPr>
              <w:t>Total</w:t>
            </w:r>
          </w:p>
        </w:tc>
        <w:tc>
          <w:tcPr>
            <w:tcW w:w="1429" w:type="dxa"/>
          </w:tcPr>
          <w:p w:rsidRPr="00DB4B7E" w:rsidR="00455BFC" w:rsidP="00455BFC" w:rsidRDefault="00455BFC" w14:paraId="65995B58" w14:textId="77777777">
            <w:pPr>
              <w:rPr>
                <w:rFonts w:eastAsiaTheme="minorHAnsi" w:cstheme="minorBidi"/>
                <w:szCs w:val="22"/>
              </w:rPr>
            </w:pPr>
          </w:p>
        </w:tc>
        <w:tc>
          <w:tcPr>
            <w:tcW w:w="1674" w:type="dxa"/>
          </w:tcPr>
          <w:p w:rsidRPr="00DB4B7E" w:rsidR="00455BFC" w:rsidP="00455BFC" w:rsidRDefault="00455BFC" w14:paraId="475231AF" w14:textId="77777777">
            <w:pPr>
              <w:rPr>
                <w:rFonts w:eastAsiaTheme="minorHAnsi" w:cstheme="minorBidi"/>
                <w:szCs w:val="22"/>
              </w:rPr>
            </w:pPr>
          </w:p>
        </w:tc>
        <w:tc>
          <w:tcPr>
            <w:tcW w:w="1790" w:type="dxa"/>
          </w:tcPr>
          <w:p w:rsidRPr="00DB4B7E" w:rsidR="00455BFC" w:rsidP="00455BFC" w:rsidRDefault="00455BFC" w14:paraId="3748E3F0" w14:textId="77777777">
            <w:pPr>
              <w:rPr>
                <w:rFonts w:eastAsiaTheme="minorHAnsi" w:cstheme="minorBidi"/>
                <w:szCs w:val="22"/>
              </w:rPr>
            </w:pPr>
          </w:p>
        </w:tc>
        <w:tc>
          <w:tcPr>
            <w:tcW w:w="1547" w:type="dxa"/>
          </w:tcPr>
          <w:p w:rsidRPr="00DB4B7E" w:rsidR="00455BFC" w:rsidP="00455BFC" w:rsidRDefault="00455BFC" w14:paraId="025D2E1B" w14:textId="77777777">
            <w:pPr>
              <w:rPr>
                <w:rFonts w:eastAsiaTheme="minorHAnsi" w:cstheme="minorBidi"/>
                <w:szCs w:val="22"/>
              </w:rPr>
            </w:pPr>
          </w:p>
        </w:tc>
        <w:tc>
          <w:tcPr>
            <w:tcW w:w="1665" w:type="dxa"/>
          </w:tcPr>
          <w:p w:rsidRPr="005603F5" w:rsidR="00455BFC" w:rsidP="00455BFC" w:rsidRDefault="00047961" w14:paraId="22AF6548" w14:textId="68BC2CCB">
            <w:pPr>
              <w:rPr>
                <w:rFonts w:eastAsiaTheme="minorHAnsi" w:cstheme="minorBidi"/>
                <w:szCs w:val="22"/>
              </w:rPr>
            </w:pPr>
            <w:r>
              <w:t>2,088,</w:t>
            </w:r>
            <w:r w:rsidR="001D5C65">
              <w:t>757</w:t>
            </w:r>
          </w:p>
        </w:tc>
      </w:tr>
    </w:tbl>
    <w:p w:rsidRPr="00DB4B7E" w:rsidR="00455BFC" w:rsidP="006F131E" w:rsidRDefault="00455BFC" w14:paraId="3F752B91" w14:textId="61D87876">
      <w:pPr>
        <w:rPr>
          <w:rFonts w:eastAsiaTheme="minorHAnsi" w:cstheme="minorBidi"/>
          <w:szCs w:val="22"/>
        </w:rPr>
      </w:pPr>
    </w:p>
    <w:p w:rsidRPr="00DB4B7E" w:rsidR="00455BFC" w:rsidP="006F131E" w:rsidRDefault="00455BFC" w14:paraId="489225F3" w14:textId="29C6C860">
      <w:pPr>
        <w:rPr>
          <w:rFonts w:eastAsiaTheme="minorHAnsi" w:cstheme="minorBidi"/>
          <w:szCs w:val="22"/>
        </w:rPr>
      </w:pPr>
    </w:p>
    <w:p w:rsidRPr="00DB4B7E" w:rsidR="00455BFC" w:rsidP="006F131E" w:rsidRDefault="00455BFC" w14:paraId="4A01D055" w14:textId="42A23554">
      <w:pPr>
        <w:rPr>
          <w:rFonts w:eastAsiaTheme="minorHAnsi" w:cstheme="minorBidi"/>
          <w:szCs w:val="22"/>
        </w:rPr>
      </w:pPr>
    </w:p>
    <w:p w:rsidRPr="00DB4B7E" w:rsidR="00455BFC" w:rsidP="006F131E" w:rsidRDefault="00455BFC" w14:paraId="63E4B94C" w14:textId="58A57405">
      <w:pPr>
        <w:rPr>
          <w:rFonts w:eastAsiaTheme="minorHAnsi" w:cstheme="minorBidi"/>
          <w:szCs w:val="22"/>
        </w:rPr>
      </w:pPr>
    </w:p>
    <w:p w:rsidRPr="00DB4B7E" w:rsidR="00455BFC" w:rsidP="006F131E" w:rsidRDefault="00455BFC" w14:paraId="5E60D4BB" w14:textId="77777777">
      <w:pPr>
        <w:rPr>
          <w:rFonts w:eastAsiaTheme="minorHAnsi" w:cstheme="minorBidi"/>
          <w:szCs w:val="22"/>
        </w:rPr>
      </w:pPr>
    </w:p>
    <w:p w:rsidRPr="00DB4B7E" w:rsidR="00455BFC" w:rsidP="007374AD" w:rsidRDefault="00B31023" w14:paraId="1EAA06B5" w14:textId="04EB03F0">
      <w:pPr>
        <w:tabs>
          <w:tab w:val="left" w:pos="7352"/>
        </w:tabs>
        <w:spacing w:after="160" w:line="259" w:lineRule="auto"/>
        <w:rPr>
          <w:rFonts w:eastAsiaTheme="minorHAnsi" w:cstheme="minorBidi"/>
          <w:szCs w:val="22"/>
          <w:u w:val="single"/>
        </w:rPr>
      </w:pPr>
      <w:r>
        <w:rPr>
          <w:rFonts w:eastAsiaTheme="minorHAnsi" w:cstheme="minorBidi"/>
          <w:szCs w:val="22"/>
          <w:u w:val="single"/>
        </w:rPr>
        <w:tab/>
      </w:r>
    </w:p>
    <w:p w:rsidRPr="00DB4B7E" w:rsidR="00455BFC" w:rsidP="00281300" w:rsidRDefault="00455BFC" w14:paraId="7960FCD9" w14:textId="77777777">
      <w:pPr>
        <w:spacing w:line="276" w:lineRule="auto"/>
        <w:rPr>
          <w:rFonts w:eastAsiaTheme="minorHAnsi" w:cstheme="minorBidi"/>
          <w:szCs w:val="22"/>
          <w:u w:val="single"/>
        </w:rPr>
      </w:pPr>
    </w:p>
    <w:p w:rsidRPr="00DB4B7E" w:rsidR="00455BFC" w:rsidP="00281300" w:rsidRDefault="00455BFC" w14:paraId="36AE4DE0" w14:textId="5AF6CB65">
      <w:pPr>
        <w:spacing w:line="276" w:lineRule="auto"/>
      </w:pPr>
    </w:p>
    <w:p w:rsidRPr="00281300" w:rsidR="00FC70C6" w:rsidP="00281300" w:rsidRDefault="00FC70C6" w14:paraId="4670B7B0" w14:textId="77777777"/>
    <w:sectPr w:rsidRPr="00281300" w:rsidR="00FC70C6" w:rsidSect="0054783C">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04083" w14:textId="77777777" w:rsidR="00D964A7" w:rsidRDefault="00D964A7" w:rsidP="001C50B7">
      <w:r>
        <w:separator/>
      </w:r>
    </w:p>
  </w:endnote>
  <w:endnote w:type="continuationSeparator" w:id="0">
    <w:p w14:paraId="4282B8E6" w14:textId="77777777" w:rsidR="00D964A7" w:rsidRDefault="00D964A7" w:rsidP="001C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668894"/>
      <w:docPartObj>
        <w:docPartGallery w:val="Page Numbers (Bottom of Page)"/>
        <w:docPartUnique/>
      </w:docPartObj>
    </w:sdtPr>
    <w:sdtEndPr>
      <w:rPr>
        <w:noProof/>
      </w:rPr>
    </w:sdtEndPr>
    <w:sdtContent>
      <w:p w14:paraId="235646F1" w14:textId="65857DDA" w:rsidR="0086628F" w:rsidRDefault="008662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1ED01D" w14:textId="77777777" w:rsidR="0086628F" w:rsidRDefault="00866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6ABD4" w14:textId="77777777" w:rsidR="00D964A7" w:rsidRDefault="00D964A7" w:rsidP="001C50B7">
      <w:r>
        <w:separator/>
      </w:r>
    </w:p>
  </w:footnote>
  <w:footnote w:type="continuationSeparator" w:id="0">
    <w:p w14:paraId="40FF5167" w14:textId="77777777" w:rsidR="00D964A7" w:rsidRDefault="00D964A7" w:rsidP="001C50B7">
      <w:r>
        <w:continuationSeparator/>
      </w:r>
    </w:p>
  </w:footnote>
  <w:footnote w:id="1">
    <w:p w14:paraId="5802C780" w14:textId="77777777" w:rsidR="0086628F" w:rsidRPr="00745DF3" w:rsidRDefault="0086628F" w:rsidP="00086B02">
      <w:pPr>
        <w:pStyle w:val="FootnoteText"/>
        <w:rPr>
          <w:rFonts w:cs="Times New Roman"/>
        </w:rPr>
      </w:pPr>
      <w:r w:rsidRPr="00745DF3">
        <w:rPr>
          <w:rStyle w:val="FootnoteReference"/>
          <w:rFonts w:cs="Times New Roman"/>
        </w:rPr>
        <w:footnoteRef/>
      </w:r>
      <w:r>
        <w:rPr>
          <w:rFonts w:cs="Times New Roman"/>
        </w:rPr>
        <w:t xml:space="preserve"> We recognize that STL</w:t>
      </w:r>
      <w:r w:rsidRPr="00745DF3">
        <w:rPr>
          <w:rFonts w:cs="Times New Roman"/>
        </w:rPr>
        <w:t>T partners may have reporting requirements related to or independent of the Federal reporting requirements. Facilities are enco</w:t>
      </w:r>
      <w:r>
        <w:rPr>
          <w:rFonts w:cs="Times New Roman"/>
        </w:rPr>
        <w:t>uraged to work with relevant STL</w:t>
      </w:r>
      <w:r w:rsidRPr="00745DF3">
        <w:rPr>
          <w:rFonts w:cs="Times New Roman"/>
        </w:rPr>
        <w:t xml:space="preserve">T partners to ensure complete reporting for all partners.  </w:t>
      </w:r>
    </w:p>
  </w:footnote>
  <w:footnote w:id="2">
    <w:p w14:paraId="5C1E79FB" w14:textId="77777777" w:rsidR="00500A90" w:rsidRDefault="00500A90" w:rsidP="00F11E11">
      <w:pPr>
        <w:pStyle w:val="FootnoteText"/>
      </w:pPr>
      <w:r>
        <w:rPr>
          <w:rStyle w:val="FootnoteReference"/>
        </w:rPr>
        <w:footnoteRef/>
      </w:r>
      <w:r>
        <w:t xml:space="preserve"> As discussions continue, the status of this field may adjust as needed. </w:t>
      </w:r>
    </w:p>
  </w:footnote>
  <w:footnote w:id="3">
    <w:p w14:paraId="5ED2972B" w14:textId="6841ED72" w:rsidR="0086628F" w:rsidRDefault="0086628F">
      <w:pPr>
        <w:pStyle w:val="FootnoteText"/>
      </w:pPr>
      <w:r>
        <w:rPr>
          <w:rStyle w:val="FootnoteReference"/>
        </w:rPr>
        <w:t>3</w:t>
      </w:r>
      <w:r>
        <w:t xml:space="preserve">Hospitals can report their information directly to </w:t>
      </w:r>
      <w:proofErr w:type="spellStart"/>
      <w:r>
        <w:t>Teletracking</w:t>
      </w:r>
      <w:proofErr w:type="spellEnd"/>
      <w:r>
        <w:t xml:space="preserve"> through the HHS </w:t>
      </w:r>
      <w:proofErr w:type="spellStart"/>
      <w:r>
        <w:t>Teletracking</w:t>
      </w:r>
      <w:proofErr w:type="spellEnd"/>
      <w:r>
        <w:t xml:space="preserve"> COVID-19 Portal (U.S. Healthcare COVID-19 Portal) or to their state who will then forward along this information to HHS Protect or through HHS </w:t>
      </w:r>
      <w:proofErr w:type="spellStart"/>
      <w:r>
        <w:t>Teletracking</w:t>
      </w:r>
      <w:proofErr w:type="spellEnd"/>
      <w:r>
        <w:t>. In both scenarios, the questions reported to HHS are identical.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45F03"/>
    <w:multiLevelType w:val="hybridMultilevel"/>
    <w:tmpl w:val="30AC9F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E4659"/>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A1F13"/>
    <w:multiLevelType w:val="hybridMultilevel"/>
    <w:tmpl w:val="687CD1E6"/>
    <w:lvl w:ilvl="0" w:tplc="17A46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31E3F"/>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46BFB"/>
    <w:multiLevelType w:val="hybridMultilevel"/>
    <w:tmpl w:val="F8102B26"/>
    <w:lvl w:ilvl="0" w:tplc="90C2D8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76828"/>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11A1C"/>
    <w:multiLevelType w:val="hybridMultilevel"/>
    <w:tmpl w:val="08445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A1EA2"/>
    <w:multiLevelType w:val="hybridMultilevel"/>
    <w:tmpl w:val="0C80E4DC"/>
    <w:lvl w:ilvl="0" w:tplc="5CCEA5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1F274D"/>
    <w:multiLevelType w:val="hybridMultilevel"/>
    <w:tmpl w:val="532AC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F713EA5"/>
    <w:multiLevelType w:val="hybridMultilevel"/>
    <w:tmpl w:val="E2B2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B03DA5"/>
    <w:multiLevelType w:val="hybridMultilevel"/>
    <w:tmpl w:val="55D07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1D1A05"/>
    <w:multiLevelType w:val="hybridMultilevel"/>
    <w:tmpl w:val="DFA8F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D75F3F"/>
    <w:multiLevelType w:val="hybridMultilevel"/>
    <w:tmpl w:val="92F8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8271CC"/>
    <w:multiLevelType w:val="hybridMultilevel"/>
    <w:tmpl w:val="EC203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2"/>
  </w:num>
  <w:num w:numId="4">
    <w:abstractNumId w:val="0"/>
  </w:num>
  <w:num w:numId="5">
    <w:abstractNumId w:val="3"/>
  </w:num>
  <w:num w:numId="6">
    <w:abstractNumId w:val="1"/>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11"/>
  </w:num>
  <w:num w:numId="12">
    <w:abstractNumId w:val="7"/>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300"/>
    <w:rsid w:val="000135E2"/>
    <w:rsid w:val="00017943"/>
    <w:rsid w:val="0003797B"/>
    <w:rsid w:val="0004139D"/>
    <w:rsid w:val="00047961"/>
    <w:rsid w:val="00056D25"/>
    <w:rsid w:val="000640AC"/>
    <w:rsid w:val="0006640B"/>
    <w:rsid w:val="00072CE1"/>
    <w:rsid w:val="00081100"/>
    <w:rsid w:val="00086B02"/>
    <w:rsid w:val="000C4494"/>
    <w:rsid w:val="000C683D"/>
    <w:rsid w:val="000D761F"/>
    <w:rsid w:val="000F355D"/>
    <w:rsid w:val="00102E82"/>
    <w:rsid w:val="001127F8"/>
    <w:rsid w:val="00183FE1"/>
    <w:rsid w:val="001A129F"/>
    <w:rsid w:val="001C50B7"/>
    <w:rsid w:val="001D19A7"/>
    <w:rsid w:val="001D2323"/>
    <w:rsid w:val="001D5C65"/>
    <w:rsid w:val="001E6CCF"/>
    <w:rsid w:val="002032EB"/>
    <w:rsid w:val="00234353"/>
    <w:rsid w:val="00251CBC"/>
    <w:rsid w:val="00252EBA"/>
    <w:rsid w:val="002540C4"/>
    <w:rsid w:val="00272B19"/>
    <w:rsid w:val="00281300"/>
    <w:rsid w:val="00281DD2"/>
    <w:rsid w:val="00294F7A"/>
    <w:rsid w:val="002A1094"/>
    <w:rsid w:val="002A5B24"/>
    <w:rsid w:val="002B2BE7"/>
    <w:rsid w:val="002D019C"/>
    <w:rsid w:val="002F6981"/>
    <w:rsid w:val="00305D36"/>
    <w:rsid w:val="00306E47"/>
    <w:rsid w:val="00383337"/>
    <w:rsid w:val="00383D2D"/>
    <w:rsid w:val="00393BA9"/>
    <w:rsid w:val="003A0DC7"/>
    <w:rsid w:val="003B2621"/>
    <w:rsid w:val="003F4674"/>
    <w:rsid w:val="00414045"/>
    <w:rsid w:val="00421F24"/>
    <w:rsid w:val="00422DB7"/>
    <w:rsid w:val="00425B09"/>
    <w:rsid w:val="0044310F"/>
    <w:rsid w:val="0044540B"/>
    <w:rsid w:val="00455BFC"/>
    <w:rsid w:val="0045719C"/>
    <w:rsid w:val="004625C3"/>
    <w:rsid w:val="00463CEE"/>
    <w:rsid w:val="0046621D"/>
    <w:rsid w:val="0047388D"/>
    <w:rsid w:val="0047565D"/>
    <w:rsid w:val="00475CA4"/>
    <w:rsid w:val="0048080F"/>
    <w:rsid w:val="004819E3"/>
    <w:rsid w:val="00494EF7"/>
    <w:rsid w:val="004A3CA5"/>
    <w:rsid w:val="004C07C4"/>
    <w:rsid w:val="004C3A0B"/>
    <w:rsid w:val="004C3C6B"/>
    <w:rsid w:val="004D56D4"/>
    <w:rsid w:val="004F035B"/>
    <w:rsid w:val="004F339B"/>
    <w:rsid w:val="00500A90"/>
    <w:rsid w:val="00502D86"/>
    <w:rsid w:val="00515174"/>
    <w:rsid w:val="00527F70"/>
    <w:rsid w:val="00531E9F"/>
    <w:rsid w:val="0054783C"/>
    <w:rsid w:val="005603F5"/>
    <w:rsid w:val="00567C73"/>
    <w:rsid w:val="00580526"/>
    <w:rsid w:val="00585693"/>
    <w:rsid w:val="005A01D6"/>
    <w:rsid w:val="005A04BE"/>
    <w:rsid w:val="005A13F0"/>
    <w:rsid w:val="005A37A0"/>
    <w:rsid w:val="005B0331"/>
    <w:rsid w:val="005D019C"/>
    <w:rsid w:val="005E0F65"/>
    <w:rsid w:val="005F1C76"/>
    <w:rsid w:val="00601A62"/>
    <w:rsid w:val="006021A1"/>
    <w:rsid w:val="006135D8"/>
    <w:rsid w:val="00617D1B"/>
    <w:rsid w:val="00625E84"/>
    <w:rsid w:val="00647EA3"/>
    <w:rsid w:val="006554FA"/>
    <w:rsid w:val="00670162"/>
    <w:rsid w:val="0069491F"/>
    <w:rsid w:val="006A11CB"/>
    <w:rsid w:val="006B3154"/>
    <w:rsid w:val="006C0624"/>
    <w:rsid w:val="006C3782"/>
    <w:rsid w:val="006D00F8"/>
    <w:rsid w:val="006E2F91"/>
    <w:rsid w:val="006F131E"/>
    <w:rsid w:val="006F3785"/>
    <w:rsid w:val="007128CC"/>
    <w:rsid w:val="00713A2A"/>
    <w:rsid w:val="00713BE0"/>
    <w:rsid w:val="007207CE"/>
    <w:rsid w:val="007374AD"/>
    <w:rsid w:val="00741196"/>
    <w:rsid w:val="00756A5D"/>
    <w:rsid w:val="00773BE5"/>
    <w:rsid w:val="00776D77"/>
    <w:rsid w:val="00786F09"/>
    <w:rsid w:val="007B3987"/>
    <w:rsid w:val="007D4ACE"/>
    <w:rsid w:val="007E7922"/>
    <w:rsid w:val="007F0F9A"/>
    <w:rsid w:val="007F5698"/>
    <w:rsid w:val="00804A02"/>
    <w:rsid w:val="008343DB"/>
    <w:rsid w:val="00852C44"/>
    <w:rsid w:val="00857C64"/>
    <w:rsid w:val="008641E4"/>
    <w:rsid w:val="0086628F"/>
    <w:rsid w:val="0087631F"/>
    <w:rsid w:val="00876DBF"/>
    <w:rsid w:val="00882B39"/>
    <w:rsid w:val="00893D32"/>
    <w:rsid w:val="00895D6E"/>
    <w:rsid w:val="008A65AD"/>
    <w:rsid w:val="008A7858"/>
    <w:rsid w:val="008F2C09"/>
    <w:rsid w:val="008F3625"/>
    <w:rsid w:val="00941346"/>
    <w:rsid w:val="00943F16"/>
    <w:rsid w:val="009457C3"/>
    <w:rsid w:val="00946928"/>
    <w:rsid w:val="00950BBE"/>
    <w:rsid w:val="00951132"/>
    <w:rsid w:val="0097050D"/>
    <w:rsid w:val="00976759"/>
    <w:rsid w:val="00991F09"/>
    <w:rsid w:val="00995E31"/>
    <w:rsid w:val="009D174B"/>
    <w:rsid w:val="009E21A1"/>
    <w:rsid w:val="009E6189"/>
    <w:rsid w:val="009F2710"/>
    <w:rsid w:val="009F2FD2"/>
    <w:rsid w:val="009F3420"/>
    <w:rsid w:val="009F5211"/>
    <w:rsid w:val="00A11C2B"/>
    <w:rsid w:val="00A155E9"/>
    <w:rsid w:val="00A23101"/>
    <w:rsid w:val="00A23289"/>
    <w:rsid w:val="00A34F94"/>
    <w:rsid w:val="00A3755C"/>
    <w:rsid w:val="00A42EFC"/>
    <w:rsid w:val="00A45248"/>
    <w:rsid w:val="00A51510"/>
    <w:rsid w:val="00A54187"/>
    <w:rsid w:val="00A626C5"/>
    <w:rsid w:val="00A64EE0"/>
    <w:rsid w:val="00A820D5"/>
    <w:rsid w:val="00A82552"/>
    <w:rsid w:val="00A8570D"/>
    <w:rsid w:val="00A93793"/>
    <w:rsid w:val="00A95315"/>
    <w:rsid w:val="00AA7279"/>
    <w:rsid w:val="00AB4732"/>
    <w:rsid w:val="00AC08F0"/>
    <w:rsid w:val="00AD19A2"/>
    <w:rsid w:val="00AD59D4"/>
    <w:rsid w:val="00AD6AA8"/>
    <w:rsid w:val="00AF4B4A"/>
    <w:rsid w:val="00B02DA7"/>
    <w:rsid w:val="00B05781"/>
    <w:rsid w:val="00B122B3"/>
    <w:rsid w:val="00B217EF"/>
    <w:rsid w:val="00B31023"/>
    <w:rsid w:val="00B3393C"/>
    <w:rsid w:val="00B43499"/>
    <w:rsid w:val="00B541F1"/>
    <w:rsid w:val="00B56706"/>
    <w:rsid w:val="00B619BE"/>
    <w:rsid w:val="00B61F67"/>
    <w:rsid w:val="00BA3997"/>
    <w:rsid w:val="00BA7DB0"/>
    <w:rsid w:val="00BC3D82"/>
    <w:rsid w:val="00BD288F"/>
    <w:rsid w:val="00BD56ED"/>
    <w:rsid w:val="00C11B5B"/>
    <w:rsid w:val="00C26E63"/>
    <w:rsid w:val="00C42E73"/>
    <w:rsid w:val="00C7758C"/>
    <w:rsid w:val="00CA64DC"/>
    <w:rsid w:val="00CB1396"/>
    <w:rsid w:val="00CB47F2"/>
    <w:rsid w:val="00CC4A8A"/>
    <w:rsid w:val="00CD07CC"/>
    <w:rsid w:val="00CF472B"/>
    <w:rsid w:val="00D106AB"/>
    <w:rsid w:val="00D15B65"/>
    <w:rsid w:val="00D26908"/>
    <w:rsid w:val="00D314F5"/>
    <w:rsid w:val="00D3316D"/>
    <w:rsid w:val="00D352F2"/>
    <w:rsid w:val="00D37BA9"/>
    <w:rsid w:val="00D5196B"/>
    <w:rsid w:val="00D55119"/>
    <w:rsid w:val="00D6023A"/>
    <w:rsid w:val="00D85B05"/>
    <w:rsid w:val="00D964A7"/>
    <w:rsid w:val="00DA4CBC"/>
    <w:rsid w:val="00DA6F6C"/>
    <w:rsid w:val="00DB0E96"/>
    <w:rsid w:val="00DB4B7E"/>
    <w:rsid w:val="00DB64E1"/>
    <w:rsid w:val="00DC1602"/>
    <w:rsid w:val="00DD5F96"/>
    <w:rsid w:val="00DE65AA"/>
    <w:rsid w:val="00E1006E"/>
    <w:rsid w:val="00E140CC"/>
    <w:rsid w:val="00E175D8"/>
    <w:rsid w:val="00E256BE"/>
    <w:rsid w:val="00E42F23"/>
    <w:rsid w:val="00E45AC3"/>
    <w:rsid w:val="00E6622E"/>
    <w:rsid w:val="00E76235"/>
    <w:rsid w:val="00EA49A7"/>
    <w:rsid w:val="00EA4CF7"/>
    <w:rsid w:val="00EA5343"/>
    <w:rsid w:val="00EB5AC2"/>
    <w:rsid w:val="00EE0477"/>
    <w:rsid w:val="00EE2C96"/>
    <w:rsid w:val="00EF31B2"/>
    <w:rsid w:val="00F0589E"/>
    <w:rsid w:val="00F0668E"/>
    <w:rsid w:val="00F11E11"/>
    <w:rsid w:val="00F15E52"/>
    <w:rsid w:val="00F672AD"/>
    <w:rsid w:val="00F72B22"/>
    <w:rsid w:val="00F9208D"/>
    <w:rsid w:val="00F96507"/>
    <w:rsid w:val="00FA0A8E"/>
    <w:rsid w:val="00FC090D"/>
    <w:rsid w:val="00FC70C6"/>
    <w:rsid w:val="00FD6751"/>
    <w:rsid w:val="00FE3FE7"/>
    <w:rsid w:val="00FE6501"/>
    <w:rsid w:val="00FE70EA"/>
    <w:rsid w:val="00FF2C92"/>
    <w:rsid w:val="00FF3FA5"/>
    <w:rsid w:val="00FF7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17452"/>
  <w15:chartTrackingRefBased/>
  <w15:docId w15:val="{CE5F1EB3-F844-42DF-AE05-968273BA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1E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9A7"/>
    <w:pPr>
      <w:ind w:left="720"/>
      <w:contextualSpacing/>
    </w:pPr>
  </w:style>
  <w:style w:type="character" w:styleId="Hyperlink">
    <w:name w:val="Hyperlink"/>
    <w:basedOn w:val="DefaultParagraphFont"/>
    <w:uiPriority w:val="99"/>
    <w:unhideWhenUsed/>
    <w:rsid w:val="00A82552"/>
    <w:rPr>
      <w:color w:val="0563C1" w:themeColor="hyperlink"/>
      <w:u w:val="single"/>
    </w:rPr>
  </w:style>
  <w:style w:type="character" w:customStyle="1" w:styleId="UnresolvedMention1">
    <w:name w:val="Unresolved Mention1"/>
    <w:basedOn w:val="DefaultParagraphFont"/>
    <w:uiPriority w:val="99"/>
    <w:semiHidden/>
    <w:unhideWhenUsed/>
    <w:rsid w:val="00A82552"/>
    <w:rPr>
      <w:color w:val="605E5C"/>
      <w:shd w:val="clear" w:color="auto" w:fill="E1DFDD"/>
    </w:rPr>
  </w:style>
  <w:style w:type="character" w:styleId="FollowedHyperlink">
    <w:name w:val="FollowedHyperlink"/>
    <w:basedOn w:val="DefaultParagraphFont"/>
    <w:uiPriority w:val="99"/>
    <w:semiHidden/>
    <w:unhideWhenUsed/>
    <w:rsid w:val="006F131E"/>
    <w:rPr>
      <w:color w:val="954F72" w:themeColor="followedHyperlink"/>
      <w:u w:val="single"/>
    </w:rPr>
  </w:style>
  <w:style w:type="paragraph" w:styleId="NoSpacing">
    <w:name w:val="No Spacing"/>
    <w:uiPriority w:val="1"/>
    <w:qFormat/>
    <w:rsid w:val="00995E31"/>
    <w:pPr>
      <w:spacing w:after="0" w:line="240" w:lineRule="auto"/>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7E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1E11"/>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F11E11"/>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11E11"/>
    <w:rPr>
      <w:rFonts w:ascii="Times New Roman" w:hAnsi="Times New Roman"/>
      <w:sz w:val="20"/>
      <w:szCs w:val="20"/>
    </w:rPr>
  </w:style>
  <w:style w:type="character" w:styleId="FootnoteReference">
    <w:name w:val="footnote reference"/>
    <w:basedOn w:val="DefaultParagraphFont"/>
    <w:uiPriority w:val="99"/>
    <w:semiHidden/>
    <w:unhideWhenUsed/>
    <w:rsid w:val="00F11E11"/>
    <w:rPr>
      <w:vertAlign w:val="superscript"/>
    </w:rPr>
  </w:style>
  <w:style w:type="character" w:styleId="CommentReference">
    <w:name w:val="annotation reference"/>
    <w:basedOn w:val="DefaultParagraphFont"/>
    <w:uiPriority w:val="99"/>
    <w:semiHidden/>
    <w:unhideWhenUsed/>
    <w:rsid w:val="00EA49A7"/>
    <w:rPr>
      <w:sz w:val="16"/>
      <w:szCs w:val="16"/>
    </w:rPr>
  </w:style>
  <w:style w:type="paragraph" w:styleId="CommentText">
    <w:name w:val="annotation text"/>
    <w:basedOn w:val="Normal"/>
    <w:link w:val="CommentTextChar"/>
    <w:uiPriority w:val="99"/>
    <w:semiHidden/>
    <w:unhideWhenUsed/>
    <w:rsid w:val="00EA49A7"/>
    <w:rPr>
      <w:sz w:val="20"/>
      <w:szCs w:val="20"/>
    </w:rPr>
  </w:style>
  <w:style w:type="character" w:customStyle="1" w:styleId="CommentTextChar">
    <w:name w:val="Comment Text Char"/>
    <w:basedOn w:val="DefaultParagraphFont"/>
    <w:link w:val="CommentText"/>
    <w:uiPriority w:val="99"/>
    <w:semiHidden/>
    <w:rsid w:val="00EA49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49A7"/>
    <w:rPr>
      <w:b/>
      <w:bCs/>
    </w:rPr>
  </w:style>
  <w:style w:type="character" w:customStyle="1" w:styleId="CommentSubjectChar">
    <w:name w:val="Comment Subject Char"/>
    <w:basedOn w:val="CommentTextChar"/>
    <w:link w:val="CommentSubject"/>
    <w:uiPriority w:val="99"/>
    <w:semiHidden/>
    <w:rsid w:val="00EA49A7"/>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256BE"/>
    <w:rPr>
      <w:color w:val="605E5C"/>
      <w:shd w:val="clear" w:color="auto" w:fill="E1DFDD"/>
    </w:rPr>
  </w:style>
  <w:style w:type="character" w:styleId="Strong">
    <w:name w:val="Strong"/>
    <w:basedOn w:val="DefaultParagraphFont"/>
    <w:uiPriority w:val="22"/>
    <w:qFormat/>
    <w:rsid w:val="00086B02"/>
    <w:rPr>
      <w:b/>
      <w:bCs/>
    </w:rPr>
  </w:style>
  <w:style w:type="paragraph" w:styleId="Header">
    <w:name w:val="header"/>
    <w:basedOn w:val="Normal"/>
    <w:link w:val="HeaderChar"/>
    <w:uiPriority w:val="99"/>
    <w:unhideWhenUsed/>
    <w:rsid w:val="00DE65AA"/>
    <w:pPr>
      <w:tabs>
        <w:tab w:val="center" w:pos="4680"/>
        <w:tab w:val="right" w:pos="9360"/>
      </w:tabs>
    </w:pPr>
  </w:style>
  <w:style w:type="character" w:customStyle="1" w:styleId="HeaderChar">
    <w:name w:val="Header Char"/>
    <w:basedOn w:val="DefaultParagraphFont"/>
    <w:link w:val="Header"/>
    <w:uiPriority w:val="99"/>
    <w:rsid w:val="00DE65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65AA"/>
    <w:pPr>
      <w:tabs>
        <w:tab w:val="center" w:pos="4680"/>
        <w:tab w:val="right" w:pos="9360"/>
      </w:tabs>
    </w:pPr>
  </w:style>
  <w:style w:type="character" w:customStyle="1" w:styleId="FooterChar">
    <w:name w:val="Footer Char"/>
    <w:basedOn w:val="DefaultParagraphFont"/>
    <w:link w:val="Footer"/>
    <w:uiPriority w:val="99"/>
    <w:rsid w:val="00DE65AA"/>
    <w:rPr>
      <w:rFonts w:ascii="Times New Roman" w:eastAsia="Times New Roman" w:hAnsi="Times New Roman" w:cs="Times New Roman"/>
      <w:sz w:val="24"/>
      <w:szCs w:val="24"/>
    </w:rPr>
  </w:style>
  <w:style w:type="paragraph" w:customStyle="1" w:styleId="Default">
    <w:name w:val="Default"/>
    <w:rsid w:val="00281DD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6615">
      <w:bodyDiv w:val="1"/>
      <w:marLeft w:val="0"/>
      <w:marRight w:val="0"/>
      <w:marTop w:val="0"/>
      <w:marBottom w:val="0"/>
      <w:divBdr>
        <w:top w:val="none" w:sz="0" w:space="0" w:color="auto"/>
        <w:left w:val="none" w:sz="0" w:space="0" w:color="auto"/>
        <w:bottom w:val="none" w:sz="0" w:space="0" w:color="auto"/>
        <w:right w:val="none" w:sz="0" w:space="0" w:color="auto"/>
      </w:divBdr>
    </w:div>
    <w:div w:id="260601203">
      <w:bodyDiv w:val="1"/>
      <w:marLeft w:val="0"/>
      <w:marRight w:val="0"/>
      <w:marTop w:val="0"/>
      <w:marBottom w:val="0"/>
      <w:divBdr>
        <w:top w:val="none" w:sz="0" w:space="0" w:color="auto"/>
        <w:left w:val="none" w:sz="0" w:space="0" w:color="auto"/>
        <w:bottom w:val="none" w:sz="0" w:space="0" w:color="auto"/>
        <w:right w:val="none" w:sz="0" w:space="0" w:color="auto"/>
      </w:divBdr>
    </w:div>
    <w:div w:id="358089116">
      <w:bodyDiv w:val="1"/>
      <w:marLeft w:val="0"/>
      <w:marRight w:val="0"/>
      <w:marTop w:val="0"/>
      <w:marBottom w:val="0"/>
      <w:divBdr>
        <w:top w:val="none" w:sz="0" w:space="0" w:color="auto"/>
        <w:left w:val="none" w:sz="0" w:space="0" w:color="auto"/>
        <w:bottom w:val="none" w:sz="0" w:space="0" w:color="auto"/>
        <w:right w:val="none" w:sz="0" w:space="0" w:color="auto"/>
      </w:divBdr>
    </w:div>
    <w:div w:id="39308584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649556765">
      <w:bodyDiv w:val="1"/>
      <w:marLeft w:val="0"/>
      <w:marRight w:val="0"/>
      <w:marTop w:val="0"/>
      <w:marBottom w:val="0"/>
      <w:divBdr>
        <w:top w:val="none" w:sz="0" w:space="0" w:color="auto"/>
        <w:left w:val="none" w:sz="0" w:space="0" w:color="auto"/>
        <w:bottom w:val="none" w:sz="0" w:space="0" w:color="auto"/>
        <w:right w:val="none" w:sz="0" w:space="0" w:color="auto"/>
      </w:divBdr>
    </w:div>
    <w:div w:id="654185468">
      <w:bodyDiv w:val="1"/>
      <w:marLeft w:val="0"/>
      <w:marRight w:val="0"/>
      <w:marTop w:val="0"/>
      <w:marBottom w:val="0"/>
      <w:divBdr>
        <w:top w:val="none" w:sz="0" w:space="0" w:color="auto"/>
        <w:left w:val="none" w:sz="0" w:space="0" w:color="auto"/>
        <w:bottom w:val="none" w:sz="0" w:space="0" w:color="auto"/>
        <w:right w:val="none" w:sz="0" w:space="0" w:color="auto"/>
      </w:divBdr>
    </w:div>
    <w:div w:id="747388863">
      <w:bodyDiv w:val="1"/>
      <w:marLeft w:val="0"/>
      <w:marRight w:val="0"/>
      <w:marTop w:val="0"/>
      <w:marBottom w:val="0"/>
      <w:divBdr>
        <w:top w:val="none" w:sz="0" w:space="0" w:color="auto"/>
        <w:left w:val="none" w:sz="0" w:space="0" w:color="auto"/>
        <w:bottom w:val="none" w:sz="0" w:space="0" w:color="auto"/>
        <w:right w:val="none" w:sz="0" w:space="0" w:color="auto"/>
      </w:divBdr>
    </w:div>
    <w:div w:id="937177935">
      <w:bodyDiv w:val="1"/>
      <w:marLeft w:val="0"/>
      <w:marRight w:val="0"/>
      <w:marTop w:val="0"/>
      <w:marBottom w:val="0"/>
      <w:divBdr>
        <w:top w:val="none" w:sz="0" w:space="0" w:color="auto"/>
        <w:left w:val="none" w:sz="0" w:space="0" w:color="auto"/>
        <w:bottom w:val="none" w:sz="0" w:space="0" w:color="auto"/>
        <w:right w:val="none" w:sz="0" w:space="0" w:color="auto"/>
      </w:divBdr>
    </w:div>
    <w:div w:id="1030107006">
      <w:bodyDiv w:val="1"/>
      <w:marLeft w:val="0"/>
      <w:marRight w:val="0"/>
      <w:marTop w:val="0"/>
      <w:marBottom w:val="0"/>
      <w:divBdr>
        <w:top w:val="none" w:sz="0" w:space="0" w:color="auto"/>
        <w:left w:val="none" w:sz="0" w:space="0" w:color="auto"/>
        <w:bottom w:val="none" w:sz="0" w:space="0" w:color="auto"/>
        <w:right w:val="none" w:sz="0" w:space="0" w:color="auto"/>
      </w:divBdr>
    </w:div>
    <w:div w:id="1102729202">
      <w:bodyDiv w:val="1"/>
      <w:marLeft w:val="0"/>
      <w:marRight w:val="0"/>
      <w:marTop w:val="0"/>
      <w:marBottom w:val="0"/>
      <w:divBdr>
        <w:top w:val="none" w:sz="0" w:space="0" w:color="auto"/>
        <w:left w:val="none" w:sz="0" w:space="0" w:color="auto"/>
        <w:bottom w:val="none" w:sz="0" w:space="0" w:color="auto"/>
        <w:right w:val="none" w:sz="0" w:space="0" w:color="auto"/>
      </w:divBdr>
    </w:div>
    <w:div w:id="1110514594">
      <w:bodyDiv w:val="1"/>
      <w:marLeft w:val="0"/>
      <w:marRight w:val="0"/>
      <w:marTop w:val="0"/>
      <w:marBottom w:val="0"/>
      <w:divBdr>
        <w:top w:val="none" w:sz="0" w:space="0" w:color="auto"/>
        <w:left w:val="none" w:sz="0" w:space="0" w:color="auto"/>
        <w:bottom w:val="none" w:sz="0" w:space="0" w:color="auto"/>
        <w:right w:val="none" w:sz="0" w:space="0" w:color="auto"/>
      </w:divBdr>
    </w:div>
    <w:div w:id="1147043450">
      <w:bodyDiv w:val="1"/>
      <w:marLeft w:val="0"/>
      <w:marRight w:val="0"/>
      <w:marTop w:val="0"/>
      <w:marBottom w:val="0"/>
      <w:divBdr>
        <w:top w:val="none" w:sz="0" w:space="0" w:color="auto"/>
        <w:left w:val="none" w:sz="0" w:space="0" w:color="auto"/>
        <w:bottom w:val="none" w:sz="0" w:space="0" w:color="auto"/>
        <w:right w:val="none" w:sz="0" w:space="0" w:color="auto"/>
      </w:divBdr>
    </w:div>
    <w:div w:id="1214347559">
      <w:bodyDiv w:val="1"/>
      <w:marLeft w:val="0"/>
      <w:marRight w:val="0"/>
      <w:marTop w:val="0"/>
      <w:marBottom w:val="0"/>
      <w:divBdr>
        <w:top w:val="none" w:sz="0" w:space="0" w:color="auto"/>
        <w:left w:val="none" w:sz="0" w:space="0" w:color="auto"/>
        <w:bottom w:val="none" w:sz="0" w:space="0" w:color="auto"/>
        <w:right w:val="none" w:sz="0" w:space="0" w:color="auto"/>
      </w:divBdr>
    </w:div>
    <w:div w:id="1224370157">
      <w:bodyDiv w:val="1"/>
      <w:marLeft w:val="0"/>
      <w:marRight w:val="0"/>
      <w:marTop w:val="0"/>
      <w:marBottom w:val="0"/>
      <w:divBdr>
        <w:top w:val="none" w:sz="0" w:space="0" w:color="auto"/>
        <w:left w:val="none" w:sz="0" w:space="0" w:color="auto"/>
        <w:bottom w:val="none" w:sz="0" w:space="0" w:color="auto"/>
        <w:right w:val="none" w:sz="0" w:space="0" w:color="auto"/>
      </w:divBdr>
    </w:div>
    <w:div w:id="1517886095">
      <w:bodyDiv w:val="1"/>
      <w:marLeft w:val="0"/>
      <w:marRight w:val="0"/>
      <w:marTop w:val="0"/>
      <w:marBottom w:val="0"/>
      <w:divBdr>
        <w:top w:val="none" w:sz="0" w:space="0" w:color="auto"/>
        <w:left w:val="none" w:sz="0" w:space="0" w:color="auto"/>
        <w:bottom w:val="none" w:sz="0" w:space="0" w:color="auto"/>
        <w:right w:val="none" w:sz="0" w:space="0" w:color="auto"/>
      </w:divBdr>
    </w:div>
    <w:div w:id="1538927861">
      <w:bodyDiv w:val="1"/>
      <w:marLeft w:val="0"/>
      <w:marRight w:val="0"/>
      <w:marTop w:val="0"/>
      <w:marBottom w:val="0"/>
      <w:divBdr>
        <w:top w:val="none" w:sz="0" w:space="0" w:color="auto"/>
        <w:left w:val="none" w:sz="0" w:space="0" w:color="auto"/>
        <w:bottom w:val="none" w:sz="0" w:space="0" w:color="auto"/>
        <w:right w:val="none" w:sz="0" w:space="0" w:color="auto"/>
      </w:divBdr>
    </w:div>
    <w:div w:id="1543253889">
      <w:bodyDiv w:val="1"/>
      <w:marLeft w:val="0"/>
      <w:marRight w:val="0"/>
      <w:marTop w:val="0"/>
      <w:marBottom w:val="0"/>
      <w:divBdr>
        <w:top w:val="none" w:sz="0" w:space="0" w:color="auto"/>
        <w:left w:val="none" w:sz="0" w:space="0" w:color="auto"/>
        <w:bottom w:val="none" w:sz="0" w:space="0" w:color="auto"/>
        <w:right w:val="none" w:sz="0" w:space="0" w:color="auto"/>
      </w:divBdr>
    </w:div>
    <w:div w:id="1640379513">
      <w:bodyDiv w:val="1"/>
      <w:marLeft w:val="0"/>
      <w:marRight w:val="0"/>
      <w:marTop w:val="0"/>
      <w:marBottom w:val="0"/>
      <w:divBdr>
        <w:top w:val="none" w:sz="0" w:space="0" w:color="auto"/>
        <w:left w:val="none" w:sz="0" w:space="0" w:color="auto"/>
        <w:bottom w:val="none" w:sz="0" w:space="0" w:color="auto"/>
        <w:right w:val="none" w:sz="0" w:space="0" w:color="auto"/>
      </w:divBdr>
    </w:div>
    <w:div w:id="1675450077">
      <w:bodyDiv w:val="1"/>
      <w:marLeft w:val="0"/>
      <w:marRight w:val="0"/>
      <w:marTop w:val="0"/>
      <w:marBottom w:val="0"/>
      <w:divBdr>
        <w:top w:val="none" w:sz="0" w:space="0" w:color="auto"/>
        <w:left w:val="none" w:sz="0" w:space="0" w:color="auto"/>
        <w:bottom w:val="none" w:sz="0" w:space="0" w:color="auto"/>
        <w:right w:val="none" w:sz="0" w:space="0" w:color="auto"/>
      </w:divBdr>
    </w:div>
    <w:div w:id="1705787577">
      <w:bodyDiv w:val="1"/>
      <w:marLeft w:val="0"/>
      <w:marRight w:val="0"/>
      <w:marTop w:val="0"/>
      <w:marBottom w:val="0"/>
      <w:divBdr>
        <w:top w:val="none" w:sz="0" w:space="0" w:color="auto"/>
        <w:left w:val="none" w:sz="0" w:space="0" w:color="auto"/>
        <w:bottom w:val="none" w:sz="0" w:space="0" w:color="auto"/>
        <w:right w:val="none" w:sz="0" w:space="0" w:color="auto"/>
      </w:divBdr>
    </w:div>
    <w:div w:id="1859388713">
      <w:bodyDiv w:val="1"/>
      <w:marLeft w:val="0"/>
      <w:marRight w:val="0"/>
      <w:marTop w:val="0"/>
      <w:marBottom w:val="0"/>
      <w:divBdr>
        <w:top w:val="none" w:sz="0" w:space="0" w:color="auto"/>
        <w:left w:val="none" w:sz="0" w:space="0" w:color="auto"/>
        <w:bottom w:val="none" w:sz="0" w:space="0" w:color="auto"/>
        <w:right w:val="none" w:sz="0" w:space="0" w:color="auto"/>
      </w:divBdr>
    </w:div>
    <w:div w:id="1998224458">
      <w:bodyDiv w:val="1"/>
      <w:marLeft w:val="0"/>
      <w:marRight w:val="0"/>
      <w:marTop w:val="0"/>
      <w:marBottom w:val="0"/>
      <w:divBdr>
        <w:top w:val="none" w:sz="0" w:space="0" w:color="auto"/>
        <w:left w:val="none" w:sz="0" w:space="0" w:color="auto"/>
        <w:bottom w:val="none" w:sz="0" w:space="0" w:color="auto"/>
        <w:right w:val="none" w:sz="0" w:space="0" w:color="auto"/>
      </w:divBdr>
    </w:div>
    <w:div w:id="2006126580">
      <w:bodyDiv w:val="1"/>
      <w:marLeft w:val="0"/>
      <w:marRight w:val="0"/>
      <w:marTop w:val="0"/>
      <w:marBottom w:val="0"/>
      <w:divBdr>
        <w:top w:val="none" w:sz="0" w:space="0" w:color="auto"/>
        <w:left w:val="none" w:sz="0" w:space="0" w:color="auto"/>
        <w:bottom w:val="none" w:sz="0" w:space="0" w:color="auto"/>
        <w:right w:val="none" w:sz="0" w:space="0" w:color="auto"/>
      </w:divBdr>
    </w:div>
    <w:div w:id="2050640930">
      <w:bodyDiv w:val="1"/>
      <w:marLeft w:val="0"/>
      <w:marRight w:val="0"/>
      <w:marTop w:val="0"/>
      <w:marBottom w:val="0"/>
      <w:divBdr>
        <w:top w:val="none" w:sz="0" w:space="0" w:color="auto"/>
        <w:left w:val="none" w:sz="0" w:space="0" w:color="auto"/>
        <w:bottom w:val="none" w:sz="0" w:space="0" w:color="auto"/>
        <w:right w:val="none" w:sz="0" w:space="0" w:color="auto"/>
      </w:divBdr>
    </w:div>
    <w:div w:id="21448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ttney.Seiler@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yeedha.Uddin@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D64C9-0088-4A7A-B57F-1E4B88A80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Uddin, Sayeedha (OS/ASPR/SIIM)</cp:lastModifiedBy>
  <cp:revision>2</cp:revision>
  <dcterms:created xsi:type="dcterms:W3CDTF">2022-07-27T13:40:00Z</dcterms:created>
  <dcterms:modified xsi:type="dcterms:W3CDTF">2022-07-27T13:40:00Z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2020-11-02T21:31:52Z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76c9152d-071c-4a32-a4f4-9ddd1a120d8e</vt:lpwstr>
  </property>
  <property fmtid="{D5CDD505-2E9C-101B-9397-08002B2CF9AE}" pid="8" name="MSIP_Label_7b94a7b8-f06c-4dfe-bdcc-9b548fd58c31_ContentBits">
    <vt:lpwstr>0</vt:lpwstr>
  </property>
</Properties>
</file>