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extended-properties" Target="docProps/app.xml" Id="rId4"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body>
    <w:p w:rsidR="002A5B2B" w:rsidP="002A5B2B" w:rsidRDefault="002A5B2B" w14:paraId="39BF5AB0" w14:textId="77777777">
      <w:pPr>
        <w:widowControl/>
        <w:tabs>
          <w:tab w:val="center" w:pos="234pt"/>
        </w:tabs>
        <w:jc w:val="center"/>
        <w:rPr>
          <w:rFonts w:ascii="Times New Roman" w:hAnsi="Times New Roman"/>
          <w:b/>
        </w:rPr>
      </w:pPr>
      <w:r>
        <w:rPr>
          <w:rFonts w:ascii="Times New Roman" w:hAnsi="Times New Roman"/>
          <w:b/>
        </w:rPr>
        <w:t>Supporting Statement for Paperwork Reduction Act Submissions</w:t>
      </w:r>
    </w:p>
    <w:p w:rsidR="00B75AD6" w:rsidRDefault="004C34F3" w14:paraId="7D06EB66" w14:textId="77777777">
      <w:pPr>
        <w:widowControl/>
        <w:tabs>
          <w:tab w:val="left" w:pos="18pt"/>
          <w:tab w:val="left" w:pos="36pt"/>
          <w:tab w:val="left" w:pos="54pt"/>
        </w:tabs>
        <w:jc w:val="center"/>
        <w:rPr>
          <w:rFonts w:ascii="Times New Roman" w:hAnsi="Times New Roman"/>
          <w:b/>
        </w:rPr>
      </w:pPr>
      <w:r>
        <w:rPr>
          <w:rFonts w:ascii="Times New Roman" w:hAnsi="Times New Roman"/>
          <w:b/>
        </w:rPr>
        <w:t>30 CFR 5</w:t>
      </w:r>
      <w:r w:rsidR="00B75AD6">
        <w:rPr>
          <w:rFonts w:ascii="Times New Roman" w:hAnsi="Times New Roman"/>
          <w:b/>
        </w:rPr>
        <w:t>53, Oil Spill Financial Responsibility for Offshore Facilities</w:t>
      </w:r>
    </w:p>
    <w:p w:rsidR="00B75AD6" w:rsidRDefault="00B75AD6" w14:paraId="0D81A39D" w14:textId="77777777">
      <w:pPr>
        <w:widowControl/>
        <w:tabs>
          <w:tab w:val="left" w:pos="18pt"/>
          <w:tab w:val="left" w:pos="36pt"/>
          <w:tab w:val="left" w:pos="54pt"/>
        </w:tabs>
        <w:jc w:val="center"/>
        <w:rPr>
          <w:rFonts w:ascii="Times New Roman" w:hAnsi="Times New Roman"/>
          <w:b/>
        </w:rPr>
      </w:pPr>
      <w:r>
        <w:rPr>
          <w:rFonts w:ascii="Times New Roman" w:hAnsi="Times New Roman"/>
          <w:b/>
        </w:rPr>
        <w:t xml:space="preserve">Forms </w:t>
      </w:r>
      <w:r w:rsidR="000D29A6">
        <w:rPr>
          <w:rFonts w:ascii="Times New Roman" w:hAnsi="Times New Roman"/>
          <w:b/>
        </w:rPr>
        <w:t>BOEM</w:t>
      </w:r>
      <w:r w:rsidR="00965497">
        <w:rPr>
          <w:rFonts w:ascii="Times New Roman" w:hAnsi="Times New Roman"/>
          <w:b/>
        </w:rPr>
        <w:t>-</w:t>
      </w:r>
      <w:r>
        <w:rPr>
          <w:rFonts w:ascii="Times New Roman" w:hAnsi="Times New Roman"/>
          <w:b/>
        </w:rPr>
        <w:t>1016</w:t>
      </w:r>
      <w:r w:rsidR="006609FC">
        <w:rPr>
          <w:rFonts w:ascii="Times New Roman" w:hAnsi="Times New Roman"/>
          <w:b/>
        </w:rPr>
        <w:t xml:space="preserve"> through </w:t>
      </w:r>
      <w:r w:rsidR="00565383">
        <w:rPr>
          <w:rFonts w:ascii="Times New Roman" w:hAnsi="Times New Roman"/>
          <w:b/>
        </w:rPr>
        <w:t xml:space="preserve">1023 and </w:t>
      </w:r>
      <w:r w:rsidR="00EE6F52">
        <w:rPr>
          <w:rFonts w:ascii="Times New Roman" w:hAnsi="Times New Roman"/>
          <w:b/>
        </w:rPr>
        <w:t>1025</w:t>
      </w:r>
    </w:p>
    <w:p w:rsidR="00B75AD6" w:rsidRDefault="00B75AD6" w14:paraId="416E85BE" w14:textId="77777777">
      <w:pPr>
        <w:widowControl/>
        <w:tabs>
          <w:tab w:val="left" w:pos="18pt"/>
          <w:tab w:val="left" w:pos="36pt"/>
          <w:tab w:val="left" w:pos="54pt"/>
        </w:tabs>
        <w:jc w:val="center"/>
        <w:rPr>
          <w:rFonts w:ascii="Times New Roman" w:hAnsi="Times New Roman"/>
          <w:b/>
        </w:rPr>
      </w:pPr>
      <w:r>
        <w:rPr>
          <w:rFonts w:ascii="Times New Roman" w:hAnsi="Times New Roman"/>
          <w:b/>
        </w:rPr>
        <w:t xml:space="preserve">OMB </w:t>
      </w:r>
      <w:r w:rsidR="00701C4F">
        <w:rPr>
          <w:rFonts w:ascii="Times New Roman" w:hAnsi="Times New Roman"/>
          <w:b/>
        </w:rPr>
        <w:t xml:space="preserve">Control </w:t>
      </w:r>
      <w:r>
        <w:rPr>
          <w:rFonts w:ascii="Times New Roman" w:hAnsi="Times New Roman"/>
          <w:b/>
        </w:rPr>
        <w:t>Number 1010-0106</w:t>
      </w:r>
    </w:p>
    <w:p w:rsidR="00642224" w:rsidRDefault="00B75AD6" w14:paraId="480D9D58" w14:textId="77777777">
      <w:pPr>
        <w:widowControl/>
        <w:tabs>
          <w:tab w:val="left" w:pos="18pt"/>
          <w:tab w:val="left" w:pos="36pt"/>
          <w:tab w:val="left" w:pos="54pt"/>
        </w:tabs>
        <w:jc w:val="center"/>
        <w:rPr>
          <w:rFonts w:ascii="Times New Roman" w:hAnsi="Times New Roman"/>
          <w:b/>
        </w:rPr>
      </w:pPr>
      <w:r>
        <w:rPr>
          <w:rFonts w:ascii="Times New Roman" w:hAnsi="Times New Roman"/>
          <w:b/>
        </w:rPr>
        <w:t>Expiration Date:</w:t>
      </w:r>
      <w:r w:rsidR="00C12C6A">
        <w:rPr>
          <w:rFonts w:ascii="Times New Roman" w:hAnsi="Times New Roman"/>
          <w:b/>
        </w:rPr>
        <w:t xml:space="preserve"> </w:t>
      </w:r>
      <w:r w:rsidR="00EA0CD6">
        <w:rPr>
          <w:rFonts w:ascii="Times New Roman" w:hAnsi="Times New Roman"/>
          <w:b/>
        </w:rPr>
        <w:t>January 31, 202</w:t>
      </w:r>
      <w:r w:rsidR="00BA364B">
        <w:rPr>
          <w:rFonts w:ascii="Times New Roman" w:hAnsi="Times New Roman"/>
          <w:b/>
        </w:rPr>
        <w:t>3</w:t>
      </w:r>
    </w:p>
    <w:p w:rsidR="00642224" w:rsidRDefault="00642224" w14:paraId="4D5A1235" w14:textId="77777777">
      <w:pPr>
        <w:widowControl/>
        <w:tabs>
          <w:tab w:val="left" w:pos="18pt"/>
          <w:tab w:val="left" w:pos="36pt"/>
          <w:tab w:val="left" w:pos="54pt"/>
        </w:tabs>
        <w:jc w:val="center"/>
        <w:rPr>
          <w:rFonts w:ascii="Times New Roman" w:hAnsi="Times New Roman"/>
          <w:b/>
        </w:rPr>
      </w:pPr>
    </w:p>
    <w:p w:rsidR="00B75AD6" w:rsidP="00642224" w:rsidRDefault="00642224" w14:paraId="137961E9" w14:textId="77777777">
      <w:pPr>
        <w:widowControl/>
        <w:tabs>
          <w:tab w:val="left" w:pos="18pt"/>
          <w:tab w:val="left" w:pos="36pt"/>
          <w:tab w:val="left" w:pos="54pt"/>
        </w:tabs>
        <w:rPr>
          <w:rFonts w:ascii="Times New Roman" w:hAnsi="Times New Roman"/>
          <w:b/>
        </w:rPr>
      </w:pPr>
      <w:r w:rsidRPr="00701C4F">
        <w:rPr>
          <w:rFonts w:ascii="Arial" w:hAnsi="Arial" w:cs="Arial"/>
          <w:b/>
          <w:sz w:val="22"/>
          <w:szCs w:val="22"/>
        </w:rPr>
        <w:t>Terms of Clearance</w:t>
      </w:r>
      <w:r>
        <w:rPr>
          <w:rFonts w:ascii="Times New Roman" w:hAnsi="Times New Roman"/>
          <w:b/>
        </w:rPr>
        <w:t xml:space="preserve">:  </w:t>
      </w:r>
      <w:r w:rsidRPr="00701C4F">
        <w:rPr>
          <w:rFonts w:ascii="Times New Roman" w:hAnsi="Times New Roman"/>
        </w:rPr>
        <w:t>None</w:t>
      </w:r>
    </w:p>
    <w:p w:rsidR="002A5B2B" w:rsidP="00BF4CBE" w:rsidRDefault="002A5B2B" w14:paraId="32ADD547" w14:textId="77777777">
      <w:pPr>
        <w:widowControl/>
        <w:tabs>
          <w:tab w:val="left" w:pos="18pt"/>
          <w:tab w:val="left" w:pos="36pt"/>
          <w:tab w:val="left" w:pos="54pt"/>
        </w:tabs>
        <w:rPr>
          <w:rFonts w:ascii="Times New Roman" w:hAnsi="Times New Roman"/>
          <w:b/>
        </w:rPr>
      </w:pPr>
    </w:p>
    <w:p w:rsidRPr="00F362C3" w:rsidR="002A5B2B" w:rsidP="002A5B2B" w:rsidRDefault="002A5B2B" w14:paraId="51DBD005" w14:textId="77777777">
      <w:pPr>
        <w:widowControl/>
        <w:tabs>
          <w:tab w:val="center" w:pos="234pt"/>
        </w:tabs>
        <w:rPr>
          <w:rFonts w:ascii="Arial" w:hAnsi="Arial" w:cs="Arial"/>
          <w:b/>
          <w:sz w:val="22"/>
          <w:szCs w:val="22"/>
        </w:rPr>
      </w:pPr>
      <w:r w:rsidRPr="00F362C3">
        <w:rPr>
          <w:rFonts w:ascii="Arial" w:hAnsi="Arial" w:cs="Arial"/>
          <w:b/>
          <w:sz w:val="22"/>
          <w:szCs w:val="22"/>
        </w:rPr>
        <w:t>General Instructions</w:t>
      </w:r>
    </w:p>
    <w:p w:rsidR="002A5B2B" w:rsidP="002A5B2B" w:rsidRDefault="002A5B2B" w14:paraId="78C837BD" w14:textId="77777777">
      <w:pPr>
        <w:widowControl/>
        <w:tabs>
          <w:tab w:val="center" w:pos="234pt"/>
        </w:tabs>
        <w:rPr>
          <w:rFonts w:ascii="Times New Roman" w:hAnsi="Times New Roman"/>
          <w:b/>
        </w:rPr>
      </w:pPr>
    </w:p>
    <w:p w:rsidR="002A5B2B" w:rsidP="002A5B2B" w:rsidRDefault="002A5B2B" w14:paraId="340F4B64" w14:textId="6C7D0748">
      <w:pPr>
        <w:widowControl/>
        <w:tabs>
          <w:tab w:val="center" w:pos="234pt"/>
        </w:tabs>
        <w:rPr>
          <w:rFonts w:ascii="Times New Roman" w:hAnsi="Times New Roman"/>
        </w:rPr>
      </w:pPr>
      <w:r>
        <w:rPr>
          <w:rFonts w:ascii="Times New Roman" w:hAnsi="Times New Roman"/>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00CC505A">
        <w:rPr>
          <w:rFonts w:ascii="Times New Roman" w:hAnsi="Times New Roman"/>
        </w:rPr>
        <w:t>below and</w:t>
      </w:r>
      <w:r>
        <w:rPr>
          <w:rFonts w:ascii="Times New Roman" w:hAnsi="Times New Roman"/>
        </w:rPr>
        <w:t xml:space="preserve"> must contain the information specified in Section A below.  If an item is not applicable, provide a brief explanation.  When </w:t>
      </w:r>
      <w:r w:rsidR="00E66387">
        <w:rPr>
          <w:rFonts w:ascii="Times New Roman" w:hAnsi="Times New Roman"/>
        </w:rPr>
        <w:t>employing statistical data</w:t>
      </w:r>
      <w:r>
        <w:rPr>
          <w:rFonts w:ascii="Times New Roman" w:hAnsi="Times New Roman"/>
        </w:rPr>
        <w:t xml:space="preserve">, Section B of the Supporting Statement must be completed.  </w:t>
      </w:r>
      <w:r w:rsidR="00701C4F">
        <w:rPr>
          <w:rFonts w:ascii="Times New Roman" w:hAnsi="Times New Roman"/>
        </w:rPr>
        <w:t>The Office of Management and Budget (</w:t>
      </w:r>
      <w:r>
        <w:rPr>
          <w:rFonts w:ascii="Times New Roman" w:hAnsi="Times New Roman"/>
        </w:rPr>
        <w:t>OMB</w:t>
      </w:r>
      <w:r w:rsidR="00701C4F">
        <w:rPr>
          <w:rFonts w:ascii="Times New Roman" w:hAnsi="Times New Roman"/>
        </w:rPr>
        <w:t>)</w:t>
      </w:r>
      <w:r>
        <w:rPr>
          <w:rFonts w:ascii="Times New Roman" w:hAnsi="Times New Roman"/>
        </w:rPr>
        <w:t xml:space="preserve"> reserves the right to require the submission of additional information with respect to any request for approval.</w:t>
      </w:r>
    </w:p>
    <w:p w:rsidR="002A5B2B" w:rsidP="002A5B2B" w:rsidRDefault="002A5B2B" w14:paraId="49CC0D60" w14:textId="77777777">
      <w:pPr>
        <w:widowControl/>
        <w:tabs>
          <w:tab w:val="left" w:pos="18pt"/>
          <w:tab w:val="left" w:pos="36pt"/>
          <w:tab w:val="left" w:pos="54pt"/>
        </w:tabs>
        <w:rPr>
          <w:rFonts w:ascii="Times New Roman" w:hAnsi="Times New Roman"/>
        </w:rPr>
      </w:pPr>
    </w:p>
    <w:p w:rsidRPr="00F362C3" w:rsidR="002A5B2B" w:rsidP="002A5B2B" w:rsidRDefault="002A5B2B" w14:paraId="3429F1BE" w14:textId="77777777">
      <w:pPr>
        <w:widowControl/>
        <w:tabs>
          <w:tab w:val="center" w:pos="234pt"/>
        </w:tabs>
        <w:rPr>
          <w:rFonts w:ascii="Arial" w:hAnsi="Arial" w:cs="Arial"/>
          <w:b/>
          <w:sz w:val="22"/>
          <w:szCs w:val="22"/>
        </w:rPr>
      </w:pPr>
      <w:r w:rsidRPr="00F362C3">
        <w:rPr>
          <w:rFonts w:ascii="Arial" w:hAnsi="Arial" w:cs="Arial"/>
          <w:b/>
          <w:sz w:val="22"/>
          <w:szCs w:val="22"/>
        </w:rPr>
        <w:t>Specific Instructions</w:t>
      </w:r>
    </w:p>
    <w:p w:rsidR="002A5B2B" w:rsidP="002A5B2B" w:rsidRDefault="002A5B2B" w14:paraId="482BE602" w14:textId="77777777">
      <w:pPr>
        <w:widowControl/>
        <w:tabs>
          <w:tab w:val="center" w:pos="234pt"/>
        </w:tabs>
        <w:rPr>
          <w:rFonts w:ascii="Times New Roman" w:hAnsi="Times New Roman"/>
          <w:b/>
        </w:rPr>
      </w:pPr>
    </w:p>
    <w:p w:rsidR="002A5B2B" w:rsidP="002A5B2B" w:rsidRDefault="002A5B2B" w14:paraId="5723A85A" w14:textId="77777777">
      <w:pPr>
        <w:widowControl/>
        <w:tabs>
          <w:tab w:val="left" w:pos="-54pt"/>
          <w:tab w:val="left" w:pos="-36pt"/>
          <w:tab w:val="left" w:pos="18pt"/>
          <w:tab w:val="left" w:pos="36pt"/>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2A5B2B" w:rsidP="002A5B2B" w:rsidRDefault="002A5B2B" w14:paraId="0DFE656E" w14:textId="77777777">
      <w:pPr>
        <w:widowControl/>
        <w:tabs>
          <w:tab w:val="left" w:pos="-54pt"/>
          <w:tab w:val="left" w:pos="-36pt"/>
          <w:tab w:val="left" w:pos="18pt"/>
          <w:tab w:val="left" w:pos="36pt"/>
        </w:tabs>
        <w:rPr>
          <w:rFonts w:ascii="Times New Roman" w:hAnsi="Times New Roman"/>
        </w:rPr>
      </w:pPr>
    </w:p>
    <w:p w:rsidR="002A5B2B" w:rsidP="002A5B2B" w:rsidRDefault="002A5B2B" w14:paraId="7385F38A" w14:textId="77777777">
      <w:pPr>
        <w:widowControl/>
        <w:tabs>
          <w:tab w:val="left" w:pos="-54pt"/>
          <w:tab w:val="left" w:pos="-36pt"/>
          <w:tab w:val="left" w:pos="18pt"/>
          <w:tab w:val="left" w:pos="36pt"/>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B75AD6" w:rsidRDefault="00B75AD6" w14:paraId="74DCF961" w14:textId="77777777">
      <w:pPr>
        <w:widowControl/>
        <w:tabs>
          <w:tab w:val="left" w:pos="18pt"/>
          <w:tab w:val="left" w:pos="36pt"/>
          <w:tab w:val="left" w:pos="54pt"/>
        </w:tabs>
        <w:jc w:val="center"/>
        <w:rPr>
          <w:rFonts w:ascii="Times New Roman" w:hAnsi="Times New Roman"/>
        </w:rPr>
      </w:pPr>
    </w:p>
    <w:p w:rsidR="00B75AD6" w:rsidRDefault="00B75AD6" w14:paraId="5C57EF01" w14:textId="08E3A738">
      <w:pPr>
        <w:widowControl/>
        <w:tabs>
          <w:tab w:val="left" w:pos="18pt"/>
          <w:tab w:val="left" w:pos="36pt"/>
          <w:tab w:val="left" w:pos="54pt"/>
        </w:tabs>
        <w:rPr>
          <w:rFonts w:ascii="Times New Roman" w:hAnsi="Times New Roman"/>
        </w:rPr>
      </w:pPr>
      <w:r>
        <w:rPr>
          <w:rFonts w:ascii="Times New Roman" w:hAnsi="Times New Roman"/>
        </w:rPr>
        <w:t xml:space="preserve">Title I of the Oil Pollution Act of 1990 (OPA) (33 U.S.C. 2701 </w:t>
      </w:r>
      <w:r w:rsidRPr="007504C8">
        <w:rPr>
          <w:rFonts w:ascii="Times New Roman" w:hAnsi="Times New Roman"/>
          <w:i/>
        </w:rPr>
        <w:t>et seq</w:t>
      </w:r>
      <w:r>
        <w:rPr>
          <w:rFonts w:ascii="Times New Roman" w:hAnsi="Times New Roman"/>
        </w:rPr>
        <w:t>.) provides at section 1016 that oil spill financial responsibility (OSFR) for offshore facilities be established and maintained according to methods determined acceptable to the President.  Section 1016 of</w:t>
      </w:r>
      <w:r w:rsidR="007F0204">
        <w:rPr>
          <w:rFonts w:ascii="Times New Roman" w:hAnsi="Times New Roman"/>
        </w:rPr>
        <w:t xml:space="preserve"> the Oil Pollution Act </w:t>
      </w:r>
      <w:r w:rsidR="00DB1D4F">
        <w:rPr>
          <w:rFonts w:ascii="Times New Roman" w:hAnsi="Times New Roman"/>
        </w:rPr>
        <w:t xml:space="preserve">of 1990, as amended, </w:t>
      </w:r>
      <w:r w:rsidR="007F0204">
        <w:rPr>
          <w:rFonts w:ascii="Times New Roman" w:hAnsi="Times New Roman"/>
        </w:rPr>
        <w:t>(</w:t>
      </w:r>
      <w:r>
        <w:rPr>
          <w:rFonts w:ascii="Times New Roman" w:hAnsi="Times New Roman"/>
        </w:rPr>
        <w:t>OPA</w:t>
      </w:r>
      <w:r w:rsidR="007F0204">
        <w:rPr>
          <w:rFonts w:ascii="Times New Roman" w:hAnsi="Times New Roman"/>
        </w:rPr>
        <w:t>)</w:t>
      </w:r>
      <w:r>
        <w:rPr>
          <w:rFonts w:ascii="Times New Roman" w:hAnsi="Times New Roman"/>
        </w:rPr>
        <w:t xml:space="preserve"> supersedes the offshore facility oil spill financial responsibility provisions of the Outer Continental Shelf (OCS) Lands Act Amendments of 1978</w:t>
      </w:r>
      <w:r w:rsidR="00BD3AA5">
        <w:rPr>
          <w:rFonts w:ascii="Times New Roman" w:hAnsi="Times New Roman"/>
        </w:rPr>
        <w:t>.</w:t>
      </w:r>
      <w:r>
        <w:rPr>
          <w:rFonts w:ascii="Times New Roman" w:hAnsi="Times New Roman"/>
        </w:rPr>
        <w:t xml:space="preserve"> These authorities and responsibilities are among those delegated to the </w:t>
      </w:r>
      <w:r w:rsidR="004C34F3">
        <w:rPr>
          <w:rFonts w:ascii="Times New Roman" w:hAnsi="Times New Roman"/>
        </w:rPr>
        <w:t>Bureau of Ocean Energy Management</w:t>
      </w:r>
      <w:r>
        <w:rPr>
          <w:rFonts w:ascii="Times New Roman" w:hAnsi="Times New Roman"/>
        </w:rPr>
        <w:t xml:space="preserve"> (</w:t>
      </w:r>
      <w:r w:rsidR="004C34F3">
        <w:rPr>
          <w:rFonts w:ascii="Times New Roman" w:hAnsi="Times New Roman"/>
        </w:rPr>
        <w:t>BOEM</w:t>
      </w:r>
      <w:r>
        <w:rPr>
          <w:rFonts w:ascii="Times New Roman" w:hAnsi="Times New Roman"/>
        </w:rPr>
        <w:t xml:space="preserve">) under which </w:t>
      </w:r>
      <w:r w:rsidR="004C34F3">
        <w:rPr>
          <w:rFonts w:ascii="Times New Roman" w:hAnsi="Times New Roman"/>
        </w:rPr>
        <w:t>BOEM</w:t>
      </w:r>
      <w:r>
        <w:rPr>
          <w:rFonts w:ascii="Times New Roman" w:hAnsi="Times New Roman"/>
        </w:rPr>
        <w:t xml:space="preserve"> issues regulations governing oil and gas and sul</w:t>
      </w:r>
      <w:r w:rsidR="00D07CA5">
        <w:rPr>
          <w:rFonts w:ascii="Times New Roman" w:hAnsi="Times New Roman"/>
        </w:rPr>
        <w:t>f</w:t>
      </w:r>
      <w:r>
        <w:rPr>
          <w:rFonts w:ascii="Times New Roman" w:hAnsi="Times New Roman"/>
        </w:rPr>
        <w:t xml:space="preserve">ur operations in the OCS.  </w:t>
      </w:r>
    </w:p>
    <w:p w:rsidR="00B75AD6" w:rsidRDefault="00B75AD6" w14:paraId="3478E171" w14:textId="77777777">
      <w:pPr>
        <w:widowControl/>
        <w:tabs>
          <w:tab w:val="left" w:pos="18pt"/>
          <w:tab w:val="left" w:pos="36pt"/>
          <w:tab w:val="left" w:pos="54pt"/>
        </w:tabs>
        <w:rPr>
          <w:rFonts w:ascii="Times New Roman" w:hAnsi="Times New Roman"/>
        </w:rPr>
      </w:pPr>
    </w:p>
    <w:p w:rsidR="00B75AD6" w:rsidRDefault="00B75AD6" w14:paraId="1C6D6AFE" w14:textId="77777777">
      <w:pPr>
        <w:widowControl/>
        <w:tabs>
          <w:tab w:val="left" w:pos="18pt"/>
          <w:tab w:val="left" w:pos="36pt"/>
          <w:tab w:val="left" w:pos="54pt"/>
        </w:tabs>
        <w:rPr>
          <w:rFonts w:ascii="Times New Roman" w:hAnsi="Times New Roman"/>
        </w:rPr>
      </w:pPr>
      <w:r>
        <w:rPr>
          <w:rFonts w:ascii="Times New Roman" w:hAnsi="Times New Roman"/>
        </w:rPr>
        <w:t xml:space="preserve">This information collection request addresses the regulations at 30 CFR </w:t>
      </w:r>
      <w:r w:rsidR="00B206DC">
        <w:rPr>
          <w:rFonts w:ascii="Times New Roman" w:hAnsi="Times New Roman"/>
        </w:rPr>
        <w:t>553</w:t>
      </w:r>
      <w:r>
        <w:rPr>
          <w:rFonts w:ascii="Times New Roman" w:hAnsi="Times New Roman"/>
        </w:rPr>
        <w:t xml:space="preserve">, Oil Spill Financial Responsibility </w:t>
      </w:r>
      <w:r w:rsidR="0065162B">
        <w:rPr>
          <w:rFonts w:ascii="Times New Roman" w:hAnsi="Times New Roman"/>
        </w:rPr>
        <w:t xml:space="preserve">(OSFR) </w:t>
      </w:r>
      <w:r>
        <w:rPr>
          <w:rFonts w:ascii="Times New Roman" w:hAnsi="Times New Roman"/>
        </w:rPr>
        <w:t xml:space="preserve">for </w:t>
      </w:r>
      <w:r w:rsidR="006A5AA0">
        <w:rPr>
          <w:rFonts w:ascii="Times New Roman" w:hAnsi="Times New Roman"/>
        </w:rPr>
        <w:t>o</w:t>
      </w:r>
      <w:r>
        <w:rPr>
          <w:rFonts w:ascii="Times New Roman" w:hAnsi="Times New Roman"/>
        </w:rPr>
        <w:t xml:space="preserve">ffshore </w:t>
      </w:r>
      <w:r w:rsidR="006A5AA0">
        <w:rPr>
          <w:rFonts w:ascii="Times New Roman" w:hAnsi="Times New Roman"/>
        </w:rPr>
        <w:t>f</w:t>
      </w:r>
      <w:r>
        <w:rPr>
          <w:rFonts w:ascii="Times New Roman" w:hAnsi="Times New Roman"/>
        </w:rPr>
        <w:t>acilities, including any supplementary notices to lessees</w:t>
      </w:r>
      <w:r w:rsidR="00DD04A8">
        <w:rPr>
          <w:rFonts w:ascii="Times New Roman" w:hAnsi="Times New Roman"/>
        </w:rPr>
        <w:t xml:space="preserve"> BOEM NTL. 2008-N05)</w:t>
      </w:r>
      <w:r>
        <w:rPr>
          <w:rFonts w:ascii="Times New Roman" w:hAnsi="Times New Roman"/>
        </w:rPr>
        <w:t xml:space="preserve"> and operators that provide clarification, description, or explanation of these regulations, and forms </w:t>
      </w:r>
      <w:r w:rsidR="004C34F3">
        <w:rPr>
          <w:rFonts w:ascii="Times New Roman" w:hAnsi="Times New Roman"/>
        </w:rPr>
        <w:t>BOEM</w:t>
      </w:r>
      <w:r>
        <w:rPr>
          <w:rFonts w:ascii="Times New Roman" w:hAnsi="Times New Roman"/>
        </w:rPr>
        <w:t>-1016</w:t>
      </w:r>
      <w:r w:rsidR="00B3195C">
        <w:rPr>
          <w:rFonts w:ascii="Times New Roman" w:hAnsi="Times New Roman"/>
        </w:rPr>
        <w:t xml:space="preserve">-1023 and </w:t>
      </w:r>
      <w:r w:rsidR="004C34F3">
        <w:rPr>
          <w:rFonts w:ascii="Times New Roman" w:hAnsi="Times New Roman"/>
        </w:rPr>
        <w:t>BOEM</w:t>
      </w:r>
      <w:r>
        <w:rPr>
          <w:rFonts w:ascii="Times New Roman" w:hAnsi="Times New Roman"/>
        </w:rPr>
        <w:t>-102</w:t>
      </w:r>
      <w:r w:rsidR="00BF5417">
        <w:rPr>
          <w:rFonts w:ascii="Times New Roman" w:hAnsi="Times New Roman"/>
        </w:rPr>
        <w:t>5</w:t>
      </w:r>
      <w:r>
        <w:rPr>
          <w:rFonts w:ascii="Times New Roman" w:hAnsi="Times New Roman"/>
        </w:rPr>
        <w:t xml:space="preserve">.  </w:t>
      </w:r>
    </w:p>
    <w:p w:rsidR="00701C4F" w:rsidRDefault="00701C4F" w14:paraId="2CAE5BEE" w14:textId="77777777">
      <w:pPr>
        <w:widowControl/>
        <w:tabs>
          <w:tab w:val="left" w:pos="18pt"/>
          <w:tab w:val="left" w:pos="36pt"/>
          <w:tab w:val="left" w:pos="54pt"/>
        </w:tabs>
        <w:rPr>
          <w:rFonts w:ascii="Times New Roman" w:hAnsi="Times New Roman"/>
        </w:rPr>
      </w:pPr>
    </w:p>
    <w:p w:rsidR="002A5B2B" w:rsidP="002A5B2B" w:rsidRDefault="002A5B2B" w14:paraId="38098224" w14:textId="77777777">
      <w:pPr>
        <w:widowControl/>
        <w:tabs>
          <w:tab w:val="left" w:pos="-54pt"/>
          <w:tab w:val="left" w:pos="-36pt"/>
          <w:tab w:val="left" w:pos="18pt"/>
          <w:tab w:val="left" w:pos="36pt"/>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A55AC0">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Pr="00600EEB" w:rsidR="002A5B2B" w:rsidP="002A5B2B" w:rsidRDefault="002A5B2B" w14:paraId="5FD28042" w14:textId="77777777">
      <w:pPr>
        <w:widowControl/>
        <w:tabs>
          <w:tab w:val="left" w:pos="-54pt"/>
          <w:tab w:val="left" w:pos="-36pt"/>
          <w:tab w:val="left" w:pos="18pt"/>
          <w:tab w:val="left" w:pos="36pt"/>
        </w:tabs>
        <w:rPr>
          <w:rFonts w:ascii="Times New Roman" w:hAnsi="Times New Roman"/>
          <w:i/>
        </w:rPr>
      </w:pPr>
    </w:p>
    <w:p w:rsidR="00BF5417" w:rsidP="00BF5417" w:rsidRDefault="00B75AD6" w14:paraId="298F545F" w14:textId="77777777">
      <w:pPr>
        <w:widowControl/>
        <w:tabs>
          <w:tab w:val="left" w:pos="18pt"/>
          <w:tab w:val="left" w:pos="36pt"/>
          <w:tab w:val="left" w:pos="54pt"/>
        </w:tabs>
        <w:rPr>
          <w:rFonts w:ascii="Times New Roman" w:hAnsi="Times New Roman"/>
        </w:rPr>
      </w:pPr>
      <w:r>
        <w:rPr>
          <w:rFonts w:ascii="Times New Roman" w:hAnsi="Times New Roman"/>
        </w:rPr>
        <w:t xml:space="preserve">The </w:t>
      </w:r>
      <w:r w:rsidR="004C34F3">
        <w:rPr>
          <w:rFonts w:ascii="Times New Roman" w:hAnsi="Times New Roman"/>
        </w:rPr>
        <w:t>BOEM</w:t>
      </w:r>
      <w:r>
        <w:rPr>
          <w:rFonts w:ascii="Times New Roman" w:hAnsi="Times New Roman"/>
        </w:rPr>
        <w:t xml:space="preserve"> will use the info</w:t>
      </w:r>
      <w:r w:rsidR="00C12C6A">
        <w:rPr>
          <w:rFonts w:ascii="Times New Roman" w:hAnsi="Times New Roman"/>
        </w:rPr>
        <w:t xml:space="preserve">rmation collected under 30 CFR </w:t>
      </w:r>
      <w:r w:rsidR="00B206DC">
        <w:rPr>
          <w:rFonts w:ascii="Times New Roman" w:hAnsi="Times New Roman"/>
        </w:rPr>
        <w:t>553</w:t>
      </w:r>
      <w:r>
        <w:rPr>
          <w:rFonts w:ascii="Times New Roman" w:hAnsi="Times New Roman"/>
        </w:rPr>
        <w:t xml:space="preserve"> to verify compliance with section 1016 of OPA.  The information is necessary to confirm that applicants can pay for cleanup and damages from oil-spill discharges from Covered Offshore Facilities (COFs).  The information will be used routinely:  (a) to establish approval and eligibility of applicants for an OSFR certification and (b) as a reference source for cleanup and damage claims associated with oil-spill discharges from COFs</w:t>
      </w:r>
      <w:r w:rsidR="00B06029">
        <w:rPr>
          <w:rFonts w:ascii="Times New Roman" w:hAnsi="Times New Roman"/>
        </w:rPr>
        <w:t xml:space="preserve"> (</w:t>
      </w:r>
      <w:r>
        <w:rPr>
          <w:rFonts w:ascii="Times New Roman" w:hAnsi="Times New Roman"/>
        </w:rPr>
        <w:t>the names, addresses, and telephone numbers of owners, operators, and guarantors; designated U.S. agents for service of process; and persons to contact</w:t>
      </w:r>
      <w:r w:rsidR="00B06029">
        <w:rPr>
          <w:rFonts w:ascii="Times New Roman" w:hAnsi="Times New Roman"/>
        </w:rPr>
        <w:t>)</w:t>
      </w:r>
      <w:r>
        <w:rPr>
          <w:rFonts w:ascii="Times New Roman" w:hAnsi="Times New Roman"/>
        </w:rPr>
        <w:t xml:space="preserve">.  </w:t>
      </w:r>
      <w:r w:rsidR="00B41E1E">
        <w:rPr>
          <w:rFonts w:ascii="Times New Roman" w:hAnsi="Times New Roman"/>
        </w:rPr>
        <w:t xml:space="preserve">BOEM uses forms </w:t>
      </w:r>
      <w:r w:rsidR="00BF5417">
        <w:rPr>
          <w:rFonts w:ascii="Times New Roman" w:hAnsi="Times New Roman"/>
        </w:rPr>
        <w:t xml:space="preserve">to collect </w:t>
      </w:r>
      <w:r>
        <w:rPr>
          <w:rFonts w:ascii="Times New Roman" w:hAnsi="Times New Roman"/>
        </w:rPr>
        <w:t>most of th</w:t>
      </w:r>
      <w:r w:rsidR="00BF5417">
        <w:rPr>
          <w:rFonts w:ascii="Times New Roman" w:hAnsi="Times New Roman"/>
        </w:rPr>
        <w:t xml:space="preserve">is </w:t>
      </w:r>
      <w:r>
        <w:rPr>
          <w:rFonts w:ascii="Times New Roman" w:hAnsi="Times New Roman"/>
        </w:rPr>
        <w:t>information</w:t>
      </w:r>
      <w:r w:rsidR="00BF5417">
        <w:rPr>
          <w:rFonts w:ascii="Times New Roman" w:hAnsi="Times New Roman"/>
        </w:rPr>
        <w:t xml:space="preserve">.  </w:t>
      </w:r>
    </w:p>
    <w:p w:rsidR="00BF5417" w:rsidP="00BF5417" w:rsidRDefault="00BF5417" w14:paraId="7AA485AB" w14:textId="77777777">
      <w:pPr>
        <w:widowControl/>
        <w:tabs>
          <w:tab w:val="left" w:pos="18pt"/>
          <w:tab w:val="left" w:pos="36pt"/>
          <w:tab w:val="left" w:pos="54pt"/>
        </w:tabs>
        <w:rPr>
          <w:rFonts w:ascii="Times New Roman" w:hAnsi="Times New Roman"/>
        </w:rPr>
      </w:pPr>
    </w:p>
    <w:p w:rsidR="00B75AD6" w:rsidP="00BF5417" w:rsidRDefault="00BF5417" w14:paraId="14A8E410" w14:textId="77777777">
      <w:pPr>
        <w:widowControl/>
        <w:tabs>
          <w:tab w:val="left" w:pos="18pt"/>
          <w:tab w:val="left" w:pos="36pt"/>
          <w:tab w:val="left" w:pos="54pt"/>
        </w:tabs>
        <w:rPr>
          <w:rFonts w:ascii="Times New Roman" w:hAnsi="Times New Roman"/>
        </w:rPr>
      </w:pPr>
      <w:r>
        <w:rPr>
          <w:rFonts w:ascii="Times New Roman" w:hAnsi="Times New Roman"/>
        </w:rPr>
        <w:t xml:space="preserve">Below is a description of each </w:t>
      </w:r>
      <w:r w:rsidR="00AA196E">
        <w:rPr>
          <w:rFonts w:ascii="Times New Roman" w:hAnsi="Times New Roman"/>
        </w:rPr>
        <w:t>for</w:t>
      </w:r>
      <w:r>
        <w:rPr>
          <w:rFonts w:ascii="Times New Roman" w:hAnsi="Times New Roman"/>
        </w:rPr>
        <w:t>m</w:t>
      </w:r>
      <w:r w:rsidR="006870AD">
        <w:rPr>
          <w:rFonts w:ascii="Times New Roman" w:hAnsi="Times New Roman"/>
        </w:rPr>
        <w:t>:</w:t>
      </w:r>
      <w:r>
        <w:rPr>
          <w:rFonts w:ascii="Times New Roman" w:hAnsi="Times New Roman"/>
        </w:rPr>
        <w:t xml:space="preserve">   </w:t>
      </w:r>
    </w:p>
    <w:p w:rsidR="00B75AD6" w:rsidRDefault="00B75AD6" w14:paraId="2E4205DE" w14:textId="77777777">
      <w:pPr>
        <w:widowControl/>
        <w:tabs>
          <w:tab w:val="left" w:pos="18pt"/>
          <w:tab w:val="left" w:pos="36pt"/>
          <w:tab w:val="left" w:pos="54pt"/>
        </w:tabs>
        <w:rPr>
          <w:rFonts w:ascii="Times New Roman" w:hAnsi="Times New Roman"/>
        </w:rPr>
      </w:pPr>
    </w:p>
    <w:p w:rsidR="00B75AD6" w:rsidRDefault="00B75AD6" w14:paraId="35E7D723" w14:textId="77777777">
      <w:pPr>
        <w:widowControl/>
        <w:tabs>
          <w:tab w:val="left" w:pos="18pt"/>
          <w:tab w:val="left" w:pos="36pt"/>
          <w:tab w:val="left" w:pos="54pt"/>
        </w:tabs>
        <w:rPr>
          <w:rFonts w:ascii="Times New Roman" w:hAnsi="Times New Roman"/>
        </w:rPr>
      </w:pPr>
      <w:r>
        <w:rPr>
          <w:rFonts w:ascii="Times New Roman" w:hAnsi="Times New Roman"/>
          <w:u w:val="single"/>
        </w:rPr>
        <w:t>Cover Sheet</w:t>
      </w:r>
      <w:r>
        <w:rPr>
          <w:rFonts w:ascii="Times New Roman" w:hAnsi="Times New Roman"/>
        </w:rPr>
        <w:t xml:space="preserve">:  The forms </w:t>
      </w:r>
      <w:r w:rsidR="00B41E1E">
        <w:rPr>
          <w:rFonts w:ascii="Times New Roman" w:hAnsi="Times New Roman"/>
        </w:rPr>
        <w:t>are available in</w:t>
      </w:r>
      <w:r>
        <w:rPr>
          <w:rFonts w:ascii="Times New Roman" w:hAnsi="Times New Roman"/>
        </w:rPr>
        <w:t xml:space="preserve"> a package </w:t>
      </w:r>
      <w:r w:rsidR="00FA1BD9">
        <w:rPr>
          <w:rFonts w:ascii="Times New Roman" w:hAnsi="Times New Roman"/>
        </w:rPr>
        <w:t xml:space="preserve">with </w:t>
      </w:r>
      <w:r>
        <w:rPr>
          <w:rFonts w:ascii="Times New Roman" w:hAnsi="Times New Roman"/>
        </w:rPr>
        <w:t xml:space="preserve">a cover sheet that displays the required OMB Control Number, Expiration Date, and Paperwork Reduction Act </w:t>
      </w:r>
      <w:r w:rsidR="001D4092">
        <w:rPr>
          <w:rFonts w:ascii="Times New Roman" w:hAnsi="Times New Roman"/>
        </w:rPr>
        <w:t xml:space="preserve">(PRA) </w:t>
      </w:r>
      <w:r>
        <w:rPr>
          <w:rFonts w:ascii="Times New Roman" w:hAnsi="Times New Roman"/>
        </w:rPr>
        <w:t>statement.  This cover sheet will accompany the forms as part of a package</w:t>
      </w:r>
      <w:r w:rsidR="00B41E1E">
        <w:rPr>
          <w:rFonts w:ascii="Times New Roman" w:hAnsi="Times New Roman"/>
        </w:rPr>
        <w:t>, will be available on the web,</w:t>
      </w:r>
      <w:r>
        <w:rPr>
          <w:rFonts w:ascii="Times New Roman" w:hAnsi="Times New Roman"/>
        </w:rPr>
        <w:t xml:space="preserve"> or will be included with any copies of a particular form that respondents may request.</w:t>
      </w:r>
    </w:p>
    <w:p w:rsidR="00B75AD6" w:rsidRDefault="00B75AD6" w14:paraId="1A352A1E" w14:textId="77777777">
      <w:pPr>
        <w:widowControl/>
        <w:tabs>
          <w:tab w:val="left" w:pos="18pt"/>
          <w:tab w:val="left" w:pos="36pt"/>
          <w:tab w:val="left" w:pos="54pt"/>
        </w:tabs>
        <w:rPr>
          <w:rFonts w:ascii="Times New Roman" w:hAnsi="Times New Roman"/>
          <w:u w:val="single"/>
        </w:rPr>
      </w:pPr>
    </w:p>
    <w:p w:rsidR="00C43803" w:rsidP="00C43803" w:rsidRDefault="00B75AD6" w14:paraId="049D708F" w14:textId="77777777">
      <w:pPr>
        <w:widowControl/>
        <w:tabs>
          <w:tab w:val="left" w:pos="18pt"/>
          <w:tab w:val="left" w:pos="36pt"/>
          <w:tab w:val="left" w:pos="54pt"/>
        </w:tabs>
        <w:rPr>
          <w:rFonts w:ascii="Times New Roman" w:hAnsi="Times New Roman"/>
        </w:rPr>
      </w:pPr>
      <w:r>
        <w:rPr>
          <w:rFonts w:ascii="Times New Roman" w:hAnsi="Times New Roman"/>
          <w:u w:val="single"/>
        </w:rPr>
        <w:t xml:space="preserve">Form </w:t>
      </w:r>
      <w:r w:rsidR="004C34F3">
        <w:rPr>
          <w:rFonts w:ascii="Times New Roman" w:hAnsi="Times New Roman"/>
          <w:u w:val="single"/>
        </w:rPr>
        <w:t>BOEM</w:t>
      </w:r>
      <w:r>
        <w:rPr>
          <w:rFonts w:ascii="Times New Roman" w:hAnsi="Times New Roman"/>
          <w:u w:val="single"/>
        </w:rPr>
        <w:t>-1016, Designated Applicant Information</w:t>
      </w:r>
      <w:r w:rsidR="00F65A28">
        <w:rPr>
          <w:rFonts w:ascii="Times New Roman" w:hAnsi="Times New Roman"/>
          <w:u w:val="single"/>
        </w:rPr>
        <w:t xml:space="preserve"> Certification</w:t>
      </w:r>
      <w:r w:rsidR="009139C6">
        <w:rPr>
          <w:rFonts w:ascii="Times New Roman" w:hAnsi="Times New Roman"/>
        </w:rPr>
        <w:t>.</w:t>
      </w:r>
      <w:r>
        <w:rPr>
          <w:rFonts w:ascii="Times New Roman" w:hAnsi="Times New Roman"/>
        </w:rPr>
        <w:t xml:space="preserve">  The designated applicant uses this form to provide identifying information (company legal name, </w:t>
      </w:r>
      <w:r w:rsidR="004C34F3">
        <w:rPr>
          <w:rFonts w:ascii="Times New Roman" w:hAnsi="Times New Roman"/>
        </w:rPr>
        <w:t>BOEM</w:t>
      </w:r>
      <w:r>
        <w:rPr>
          <w:rFonts w:ascii="Times New Roman" w:hAnsi="Times New Roman"/>
        </w:rPr>
        <w:t xml:space="preserve"> </w:t>
      </w:r>
      <w:r w:rsidR="001D4092">
        <w:rPr>
          <w:rFonts w:ascii="Times New Roman" w:hAnsi="Times New Roman"/>
        </w:rPr>
        <w:t>company</w:t>
      </w:r>
      <w:r>
        <w:rPr>
          <w:rFonts w:ascii="Times New Roman" w:hAnsi="Times New Roman"/>
        </w:rPr>
        <w:t xml:space="preserve"> number and region, address, contact name and title, telephone and fax numbers) and t</w:t>
      </w:r>
      <w:r w:rsidR="00C43803">
        <w:rPr>
          <w:rFonts w:ascii="Times New Roman" w:hAnsi="Times New Roman"/>
        </w:rPr>
        <w:t xml:space="preserve">o summarize the OSFR evidence. </w:t>
      </w:r>
      <w:r>
        <w:rPr>
          <w:rFonts w:ascii="Times New Roman" w:hAnsi="Times New Roman"/>
        </w:rPr>
        <w:t>This form is required for each new or renewed OSFR certification application.</w:t>
      </w:r>
      <w:r w:rsidR="00C43803">
        <w:rPr>
          <w:rFonts w:ascii="Times New Roman" w:hAnsi="Times New Roman"/>
        </w:rPr>
        <w:t xml:space="preserve"> </w:t>
      </w:r>
    </w:p>
    <w:p w:rsidR="00B75AD6" w:rsidRDefault="00B75AD6" w14:paraId="26F3BF25" w14:textId="77777777">
      <w:pPr>
        <w:widowControl/>
        <w:tabs>
          <w:tab w:val="left" w:pos="18pt"/>
          <w:tab w:val="left" w:pos="36pt"/>
          <w:tab w:val="left" w:pos="54pt"/>
        </w:tabs>
        <w:rPr>
          <w:rFonts w:ascii="Times New Roman" w:hAnsi="Times New Roman"/>
        </w:rPr>
      </w:pPr>
    </w:p>
    <w:p w:rsidR="009043A7" w:rsidP="009043A7" w:rsidRDefault="00B75AD6" w14:paraId="6FF8B3D3" w14:textId="77777777">
      <w:pPr>
        <w:widowControl/>
        <w:tabs>
          <w:tab w:val="left" w:pos="18pt"/>
          <w:tab w:val="left" w:pos="36pt"/>
          <w:tab w:val="left" w:pos="54pt"/>
        </w:tabs>
        <w:contextualSpacing/>
        <w:rPr>
          <w:rFonts w:ascii="Times New Roman" w:hAnsi="Times New Roman"/>
        </w:rPr>
      </w:pPr>
      <w:r>
        <w:rPr>
          <w:rFonts w:ascii="Times New Roman" w:hAnsi="Times New Roman"/>
          <w:u w:val="single"/>
        </w:rPr>
        <w:t xml:space="preserve">Form </w:t>
      </w:r>
      <w:r w:rsidR="004C34F3">
        <w:rPr>
          <w:rFonts w:ascii="Times New Roman" w:hAnsi="Times New Roman"/>
          <w:u w:val="single"/>
        </w:rPr>
        <w:t>BOEM</w:t>
      </w:r>
      <w:r>
        <w:rPr>
          <w:rFonts w:ascii="Times New Roman" w:hAnsi="Times New Roman"/>
          <w:u w:val="single"/>
        </w:rPr>
        <w:t xml:space="preserve">-1017, </w:t>
      </w:r>
      <w:r w:rsidR="006321F1">
        <w:rPr>
          <w:rFonts w:ascii="Times New Roman" w:hAnsi="Times New Roman"/>
          <w:u w:val="single"/>
        </w:rPr>
        <w:t xml:space="preserve">Appointment of </w:t>
      </w:r>
      <w:r>
        <w:rPr>
          <w:rFonts w:ascii="Times New Roman" w:hAnsi="Times New Roman"/>
          <w:u w:val="single"/>
        </w:rPr>
        <w:t>Designat</w:t>
      </w:r>
      <w:r w:rsidR="006321F1">
        <w:rPr>
          <w:rFonts w:ascii="Times New Roman" w:hAnsi="Times New Roman"/>
          <w:u w:val="single"/>
        </w:rPr>
        <w:t xml:space="preserve">ed </w:t>
      </w:r>
      <w:r>
        <w:rPr>
          <w:rFonts w:ascii="Times New Roman" w:hAnsi="Times New Roman"/>
          <w:u w:val="single"/>
        </w:rPr>
        <w:t>Applicant</w:t>
      </w:r>
      <w:r w:rsidR="009139C6">
        <w:rPr>
          <w:rFonts w:ascii="Times New Roman" w:hAnsi="Times New Roman"/>
        </w:rPr>
        <w:t>.</w:t>
      </w:r>
      <w:r>
        <w:rPr>
          <w:rFonts w:ascii="Times New Roman" w:hAnsi="Times New Roman"/>
        </w:rPr>
        <w:t xml:space="preserve">  When there is more than one responsible party for a COF, they must select a designated applicant.  Each responsible party, as defined in the regulations, must use this form to notify </w:t>
      </w:r>
      <w:r w:rsidR="004C34F3">
        <w:rPr>
          <w:rFonts w:ascii="Times New Roman" w:hAnsi="Times New Roman"/>
        </w:rPr>
        <w:t>BOEM</w:t>
      </w:r>
      <w:r>
        <w:rPr>
          <w:rFonts w:ascii="Times New Roman" w:hAnsi="Times New Roman"/>
        </w:rPr>
        <w:t xml:space="preserve"> of the designated applicant.  This form is also used to designate the U.S. agent for service of process for the responsible party(ies) should claims from an oil-spill discharge exceed the amount evidenced by the designated applicant</w:t>
      </w:r>
      <w:r w:rsidR="00A90988">
        <w:rPr>
          <w:rFonts w:ascii="Times New Roman" w:hAnsi="Times New Roman"/>
        </w:rPr>
        <w:t>;</w:t>
      </w:r>
      <w:r w:rsidR="00D814C0">
        <w:rPr>
          <w:rFonts w:ascii="Times New Roman" w:hAnsi="Times New Roman"/>
        </w:rPr>
        <w:t xml:space="preserve"> to</w:t>
      </w:r>
      <w:r>
        <w:rPr>
          <w:rFonts w:ascii="Times New Roman" w:hAnsi="Times New Roman"/>
        </w:rPr>
        <w:t xml:space="preserve"> identif</w:t>
      </w:r>
      <w:r w:rsidR="00D814C0">
        <w:rPr>
          <w:rFonts w:ascii="Times New Roman" w:hAnsi="Times New Roman"/>
        </w:rPr>
        <w:t>y and provide</w:t>
      </w:r>
      <w:r>
        <w:rPr>
          <w:rFonts w:ascii="Times New Roman" w:hAnsi="Times New Roman"/>
        </w:rPr>
        <w:t xml:space="preserve"> pertinent information about the responsible party(ies); and </w:t>
      </w:r>
      <w:r w:rsidR="00D814C0">
        <w:rPr>
          <w:rFonts w:ascii="Times New Roman" w:hAnsi="Times New Roman"/>
        </w:rPr>
        <w:t>to list</w:t>
      </w:r>
      <w:r>
        <w:rPr>
          <w:rFonts w:ascii="Times New Roman" w:hAnsi="Times New Roman"/>
        </w:rPr>
        <w:t xml:space="preserve"> the COFs for which the responsible party is liable for OSFR certification. The form identifies each COF by State or OCS region; lease, permit, right of use and easement or pipeline number; aliquot section; area name; and block number.</w:t>
      </w:r>
      <w:r w:rsidR="007635B9">
        <w:rPr>
          <w:rFonts w:ascii="Times New Roman" w:hAnsi="Times New Roman"/>
        </w:rPr>
        <w:t xml:space="preserve"> </w:t>
      </w:r>
      <w:r>
        <w:rPr>
          <w:rFonts w:ascii="Times New Roman" w:hAnsi="Times New Roman"/>
        </w:rPr>
        <w:t>This form must be submitted with each new OSFR</w:t>
      </w:r>
      <w:r w:rsidR="008326D8">
        <w:rPr>
          <w:rFonts w:ascii="Times New Roman" w:hAnsi="Times New Roman"/>
        </w:rPr>
        <w:t xml:space="preserve"> </w:t>
      </w:r>
      <w:r>
        <w:rPr>
          <w:rFonts w:ascii="Times New Roman" w:hAnsi="Times New Roman"/>
        </w:rPr>
        <w:t>application or with an assignment involving a COF in which there is at least one responsible party who is not the designated applicant for a COF.</w:t>
      </w:r>
      <w:r w:rsidR="009043A7">
        <w:rPr>
          <w:rFonts w:ascii="Times New Roman" w:hAnsi="Times New Roman"/>
        </w:rPr>
        <w:t xml:space="preserve"> </w:t>
      </w:r>
    </w:p>
    <w:p w:rsidR="009043A7" w:rsidRDefault="009043A7" w14:paraId="33178723" w14:textId="77777777">
      <w:pPr>
        <w:widowControl/>
        <w:tabs>
          <w:tab w:val="left" w:pos="18pt"/>
          <w:tab w:val="left" w:pos="36pt"/>
          <w:tab w:val="left" w:pos="54pt"/>
        </w:tabs>
        <w:rPr>
          <w:rFonts w:ascii="Times New Roman" w:hAnsi="Times New Roman"/>
          <w:u w:val="single"/>
        </w:rPr>
      </w:pPr>
    </w:p>
    <w:p w:rsidR="00750378" w:rsidP="00750378" w:rsidRDefault="00B75AD6" w14:paraId="28A80955" w14:textId="77777777">
      <w:pPr>
        <w:widowControl/>
        <w:tabs>
          <w:tab w:val="left" w:pos="18pt"/>
          <w:tab w:val="left" w:pos="36pt"/>
          <w:tab w:val="left" w:pos="54pt"/>
        </w:tabs>
        <w:rPr>
          <w:rFonts w:ascii="Times New Roman" w:hAnsi="Times New Roman"/>
        </w:rPr>
      </w:pPr>
      <w:r>
        <w:rPr>
          <w:rFonts w:ascii="Times New Roman" w:hAnsi="Times New Roman"/>
          <w:u w:val="single"/>
        </w:rPr>
        <w:t xml:space="preserve">Form </w:t>
      </w:r>
      <w:r w:rsidR="004C34F3">
        <w:rPr>
          <w:rFonts w:ascii="Times New Roman" w:hAnsi="Times New Roman"/>
          <w:u w:val="single"/>
        </w:rPr>
        <w:t>BOEM</w:t>
      </w:r>
      <w:r>
        <w:rPr>
          <w:rFonts w:ascii="Times New Roman" w:hAnsi="Times New Roman"/>
          <w:u w:val="single"/>
        </w:rPr>
        <w:t>-1018, Self-Insurance Information</w:t>
      </w:r>
      <w:r w:rsidR="009139C6">
        <w:rPr>
          <w:rFonts w:ascii="Times New Roman" w:hAnsi="Times New Roman"/>
        </w:rPr>
        <w:t>.</w:t>
      </w:r>
      <w:r>
        <w:rPr>
          <w:rFonts w:ascii="Times New Roman" w:hAnsi="Times New Roman"/>
        </w:rPr>
        <w:t xml:space="preserve">  This form is used if the designated applicant is self-i</w:t>
      </w:r>
      <w:r w:rsidR="00750378">
        <w:rPr>
          <w:rFonts w:ascii="Times New Roman" w:hAnsi="Times New Roman"/>
        </w:rPr>
        <w:t>nsuring</w:t>
      </w:r>
      <w:r>
        <w:rPr>
          <w:rFonts w:ascii="Times New Roman" w:hAnsi="Times New Roman"/>
        </w:rPr>
        <w:t xml:space="preserve">. As appropriate, the designated applicant completes the form to indicate the amount of OSFR coverage </w:t>
      </w:r>
      <w:r w:rsidR="00F04D44">
        <w:rPr>
          <w:rFonts w:ascii="Times New Roman" w:hAnsi="Times New Roman"/>
        </w:rPr>
        <w:t>as well as</w:t>
      </w:r>
      <w:r>
        <w:rPr>
          <w:rFonts w:ascii="Times New Roman" w:hAnsi="Times New Roman"/>
        </w:rPr>
        <w:t xml:space="preserve"> effective and expiration dates.  The form also provides pertinent information about the self-insurer and is used to designate a U.S. agent for service of process for claims </w:t>
      </w:r>
      <w:r w:rsidR="00750378">
        <w:rPr>
          <w:rFonts w:ascii="Times New Roman" w:hAnsi="Times New Roman"/>
        </w:rPr>
        <w:t xml:space="preserve">up to the evidenced amount. </w:t>
      </w:r>
      <w:r>
        <w:rPr>
          <w:rFonts w:ascii="Times New Roman" w:hAnsi="Times New Roman"/>
        </w:rPr>
        <w:t>This form must be submitted each time new evidence of OSFR is submitted using self-insurance.</w:t>
      </w:r>
      <w:r w:rsidR="00750378">
        <w:rPr>
          <w:rFonts w:ascii="Times New Roman" w:hAnsi="Times New Roman"/>
        </w:rPr>
        <w:t xml:space="preserve"> </w:t>
      </w:r>
    </w:p>
    <w:p w:rsidR="00750378" w:rsidRDefault="00750378" w14:paraId="517ABD85" w14:textId="77777777">
      <w:pPr>
        <w:widowControl/>
        <w:tabs>
          <w:tab w:val="left" w:pos="18pt"/>
          <w:tab w:val="left" w:pos="36pt"/>
          <w:tab w:val="left" w:pos="54pt"/>
        </w:tabs>
        <w:rPr>
          <w:rFonts w:ascii="Times New Roman" w:hAnsi="Times New Roman"/>
        </w:rPr>
      </w:pPr>
    </w:p>
    <w:p w:rsidR="001A7CBA" w:rsidP="001A7CBA" w:rsidRDefault="00B75AD6" w14:paraId="6CC587A2" w14:textId="77777777">
      <w:pPr>
        <w:widowControl/>
        <w:tabs>
          <w:tab w:val="left" w:pos="18pt"/>
          <w:tab w:val="left" w:pos="36pt"/>
          <w:tab w:val="left" w:pos="54pt"/>
        </w:tabs>
        <w:rPr>
          <w:rFonts w:ascii="Times New Roman" w:hAnsi="Times New Roman"/>
        </w:rPr>
      </w:pPr>
      <w:r>
        <w:rPr>
          <w:rFonts w:ascii="Times New Roman" w:hAnsi="Times New Roman"/>
          <w:u w:val="single"/>
        </w:rPr>
        <w:t xml:space="preserve">Form </w:t>
      </w:r>
      <w:r w:rsidR="004C34F3">
        <w:rPr>
          <w:rFonts w:ascii="Times New Roman" w:hAnsi="Times New Roman"/>
          <w:u w:val="single"/>
        </w:rPr>
        <w:t>BOEM</w:t>
      </w:r>
      <w:r>
        <w:rPr>
          <w:rFonts w:ascii="Times New Roman" w:hAnsi="Times New Roman"/>
          <w:u w:val="single"/>
        </w:rPr>
        <w:t>-1019, Insurance Certificate</w:t>
      </w:r>
      <w:r w:rsidR="009139C6">
        <w:rPr>
          <w:rFonts w:ascii="Times New Roman" w:hAnsi="Times New Roman"/>
        </w:rPr>
        <w:t>.</w:t>
      </w:r>
      <w:r>
        <w:rPr>
          <w:rFonts w:ascii="Times New Roman" w:hAnsi="Times New Roman"/>
        </w:rPr>
        <w:t xml:space="preserve">  The designated applicant (representing himself as a direct purchaser of insurance) or his insurance agent or broker and the named insurers complete this form to provide OSFR evide</w:t>
      </w:r>
      <w:r w:rsidR="001A7CBA">
        <w:rPr>
          <w:rFonts w:ascii="Times New Roman" w:hAnsi="Times New Roman"/>
        </w:rPr>
        <w:t xml:space="preserve">nce using insurance. </w:t>
      </w:r>
      <w:r>
        <w:rPr>
          <w:rFonts w:ascii="Times New Roman" w:hAnsi="Times New Roman"/>
        </w:rPr>
        <w:t xml:space="preserve">The number of forms to be submitted will depend upon the number of layers of insurance to evidence the total amount of OSFR required.  One form is required for each layer of insurance. The form provides pertinent information about the insurer(s) and designates a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agent for service of process.  This form must be submitted at the beginning of the term of the insurance coverage for the designated applicant’s COFs or at the time COFs are added, with the scheduled option selected, to OSFR coverage.</w:t>
      </w:r>
      <w:r w:rsidR="001A7CBA">
        <w:rPr>
          <w:rFonts w:ascii="Times New Roman" w:hAnsi="Times New Roman"/>
        </w:rPr>
        <w:t xml:space="preserve"> </w:t>
      </w:r>
    </w:p>
    <w:p w:rsidR="002B7A77" w:rsidP="001A7CBA" w:rsidRDefault="002B7A77" w14:paraId="70F13667" w14:textId="77777777">
      <w:pPr>
        <w:widowControl/>
        <w:tabs>
          <w:tab w:val="left" w:pos="18pt"/>
          <w:tab w:val="left" w:pos="36pt"/>
          <w:tab w:val="left" w:pos="54pt"/>
        </w:tabs>
        <w:rPr>
          <w:rFonts w:ascii="Times New Roman" w:hAnsi="Times New Roman"/>
        </w:rPr>
      </w:pPr>
    </w:p>
    <w:p w:rsidR="006F5009" w:rsidP="006F5009" w:rsidRDefault="00B75AD6" w14:paraId="70C104A0" w14:textId="77777777">
      <w:pPr>
        <w:widowControl/>
        <w:tabs>
          <w:tab w:val="left" w:pos="18pt"/>
          <w:tab w:val="left" w:pos="36pt"/>
          <w:tab w:val="left" w:pos="54pt"/>
        </w:tabs>
        <w:rPr>
          <w:rFonts w:ascii="Times New Roman" w:hAnsi="Times New Roman"/>
        </w:rPr>
      </w:pPr>
      <w:r>
        <w:rPr>
          <w:rFonts w:ascii="Times New Roman" w:hAnsi="Times New Roman"/>
          <w:u w:val="single"/>
        </w:rPr>
        <w:t xml:space="preserve">Form </w:t>
      </w:r>
      <w:r w:rsidR="004C34F3">
        <w:rPr>
          <w:rFonts w:ascii="Times New Roman" w:hAnsi="Times New Roman"/>
          <w:u w:val="single"/>
        </w:rPr>
        <w:t>BOEM</w:t>
      </w:r>
      <w:r>
        <w:rPr>
          <w:rFonts w:ascii="Times New Roman" w:hAnsi="Times New Roman"/>
          <w:u w:val="single"/>
        </w:rPr>
        <w:t>-1020, Surety Bond</w:t>
      </w:r>
      <w:r w:rsidR="009139C6">
        <w:rPr>
          <w:rFonts w:ascii="Times New Roman" w:hAnsi="Times New Roman"/>
        </w:rPr>
        <w:t>.</w:t>
      </w:r>
      <w:r>
        <w:rPr>
          <w:rFonts w:ascii="Times New Roman" w:hAnsi="Times New Roman"/>
        </w:rPr>
        <w:t xml:space="preserve">  Each bonding company that issues a surety bond for the designated applicant must complete this form indicating the amount of surety and effective dates.</w:t>
      </w:r>
      <w:r w:rsidR="007635B9">
        <w:rPr>
          <w:rFonts w:ascii="Times New Roman" w:hAnsi="Times New Roman"/>
        </w:rPr>
        <w:t xml:space="preserve"> </w:t>
      </w:r>
      <w:r>
        <w:rPr>
          <w:rFonts w:ascii="Times New Roman" w:hAnsi="Times New Roman"/>
        </w:rPr>
        <w:t xml:space="preserve">The form provides pertinent information about the bonding company and designates a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agent for service of process for the amount evidenced by the surety bond.  This form must be submitted at the beginning of the term of the surety bond for the named designated applicant.</w:t>
      </w:r>
      <w:r w:rsidR="006F5009">
        <w:rPr>
          <w:rFonts w:ascii="Times New Roman" w:hAnsi="Times New Roman"/>
        </w:rPr>
        <w:t xml:space="preserve"> </w:t>
      </w:r>
    </w:p>
    <w:p w:rsidR="00B75AD6" w:rsidRDefault="00B75AD6" w14:paraId="37DB6E07" w14:textId="77777777">
      <w:pPr>
        <w:widowControl/>
        <w:tabs>
          <w:tab w:val="left" w:pos="18pt"/>
          <w:tab w:val="left" w:pos="36pt"/>
          <w:tab w:val="left" w:pos="54pt"/>
        </w:tabs>
        <w:rPr>
          <w:rFonts w:ascii="Times New Roman" w:hAnsi="Times New Roman"/>
        </w:rPr>
      </w:pPr>
    </w:p>
    <w:p w:rsidR="00B75AD6" w:rsidRDefault="00B75AD6" w14:paraId="7818DEC7" w14:textId="77777777">
      <w:pPr>
        <w:widowControl/>
        <w:tabs>
          <w:tab w:val="left" w:pos="18pt"/>
          <w:tab w:val="left" w:pos="36pt"/>
          <w:tab w:val="left" w:pos="54pt"/>
        </w:tabs>
        <w:rPr>
          <w:rFonts w:ascii="Times New Roman" w:hAnsi="Times New Roman"/>
        </w:rPr>
      </w:pPr>
      <w:r>
        <w:rPr>
          <w:rFonts w:ascii="Times New Roman" w:hAnsi="Times New Roman"/>
          <w:u w:val="single"/>
        </w:rPr>
        <w:t xml:space="preserve">Form </w:t>
      </w:r>
      <w:r w:rsidR="004C34F3">
        <w:rPr>
          <w:rFonts w:ascii="Times New Roman" w:hAnsi="Times New Roman"/>
          <w:u w:val="single"/>
        </w:rPr>
        <w:t>BOEM</w:t>
      </w:r>
      <w:r>
        <w:rPr>
          <w:rFonts w:ascii="Times New Roman" w:hAnsi="Times New Roman"/>
          <w:u w:val="single"/>
        </w:rPr>
        <w:t>-1021, Covered Offshore Facilities</w:t>
      </w:r>
      <w:r w:rsidR="009139C6">
        <w:rPr>
          <w:rFonts w:ascii="Times New Roman" w:hAnsi="Times New Roman"/>
          <w:u w:val="single"/>
        </w:rPr>
        <w:t>.</w:t>
      </w:r>
      <w:r>
        <w:rPr>
          <w:rFonts w:ascii="Times New Roman" w:hAnsi="Times New Roman"/>
        </w:rPr>
        <w:t xml:space="preserve">  The designated applicant submits this form to identify the COFs for wh</w:t>
      </w:r>
      <w:r w:rsidR="0005280B">
        <w:rPr>
          <w:rFonts w:ascii="Times New Roman" w:hAnsi="Times New Roman"/>
        </w:rPr>
        <w:t xml:space="preserve">ich the OSFR evidence applies. </w:t>
      </w:r>
      <w:r>
        <w:rPr>
          <w:rFonts w:ascii="Times New Roman" w:hAnsi="Times New Roman"/>
        </w:rPr>
        <w:t>The form identifies each COF by State or OCS region; lease, permit, right of use and easement or pipeline number; aliquot section; area name; block number; and potential worst case oil-spill discharge. This form is required to be submitted with each new or renewed OSFR certification application that includes COFs.</w:t>
      </w:r>
      <w:r w:rsidR="007929B0">
        <w:rPr>
          <w:rFonts w:ascii="Times New Roman" w:hAnsi="Times New Roman"/>
        </w:rPr>
        <w:t xml:space="preserve"> </w:t>
      </w:r>
    </w:p>
    <w:p w:rsidR="002B7A77" w:rsidRDefault="002B7A77" w14:paraId="6D276922" w14:textId="77777777">
      <w:pPr>
        <w:widowControl/>
        <w:tabs>
          <w:tab w:val="left" w:pos="18pt"/>
          <w:tab w:val="left" w:pos="36pt"/>
          <w:tab w:val="left" w:pos="54pt"/>
        </w:tabs>
        <w:rPr>
          <w:rFonts w:ascii="Times New Roman" w:hAnsi="Times New Roman"/>
        </w:rPr>
      </w:pPr>
    </w:p>
    <w:p w:rsidR="000D0520" w:rsidRDefault="00B75AD6" w14:paraId="1BF92C79" w14:textId="77777777">
      <w:pPr>
        <w:widowControl/>
        <w:tabs>
          <w:tab w:val="left" w:pos="18pt"/>
          <w:tab w:val="left" w:pos="36pt"/>
          <w:tab w:val="left" w:pos="54pt"/>
        </w:tabs>
        <w:rPr>
          <w:rFonts w:ascii="Times New Roman" w:hAnsi="Times New Roman"/>
        </w:rPr>
      </w:pPr>
      <w:r>
        <w:rPr>
          <w:rFonts w:ascii="Times New Roman" w:hAnsi="Times New Roman"/>
          <w:u w:val="single"/>
        </w:rPr>
        <w:t xml:space="preserve">Form </w:t>
      </w:r>
      <w:r w:rsidR="004C34F3">
        <w:rPr>
          <w:rFonts w:ascii="Times New Roman" w:hAnsi="Times New Roman"/>
          <w:u w:val="single"/>
        </w:rPr>
        <w:t>BOEM</w:t>
      </w:r>
      <w:r>
        <w:rPr>
          <w:rFonts w:ascii="Times New Roman" w:hAnsi="Times New Roman"/>
          <w:u w:val="single"/>
        </w:rPr>
        <w:t>-1022, Covered Offshore Facility Changes</w:t>
      </w:r>
      <w:r w:rsidR="009139C6">
        <w:rPr>
          <w:rFonts w:ascii="Times New Roman" w:hAnsi="Times New Roman"/>
        </w:rPr>
        <w:t>.</w:t>
      </w:r>
      <w:r>
        <w:rPr>
          <w:rFonts w:ascii="Times New Roman" w:hAnsi="Times New Roman"/>
        </w:rPr>
        <w:t xml:space="preserve">  During the term of the issued OSFR certification, the designated applicant may submit changes to the current COF listings, including additions, deletions, or changes to the worst case </w:t>
      </w:r>
      <w:r w:rsidR="0005280B">
        <w:rPr>
          <w:rFonts w:ascii="Times New Roman" w:hAnsi="Times New Roman"/>
        </w:rPr>
        <w:t xml:space="preserve">oil-spill discharge for a COF. </w:t>
      </w:r>
      <w:r>
        <w:rPr>
          <w:rFonts w:ascii="Times New Roman" w:hAnsi="Times New Roman"/>
        </w:rPr>
        <w:t>This form must be submitted when identified changes occur during the term of an OSFR Certification.</w:t>
      </w:r>
      <w:r w:rsidR="0005280B">
        <w:rPr>
          <w:rFonts w:ascii="Times New Roman" w:hAnsi="Times New Roman"/>
        </w:rPr>
        <w:t xml:space="preserve"> </w:t>
      </w:r>
    </w:p>
    <w:p w:rsidR="002B7A77" w:rsidRDefault="002B7A77" w14:paraId="412BDFD2" w14:textId="77777777">
      <w:pPr>
        <w:widowControl/>
        <w:tabs>
          <w:tab w:val="left" w:pos="18pt"/>
          <w:tab w:val="left" w:pos="36pt"/>
          <w:tab w:val="left" w:pos="54pt"/>
        </w:tabs>
        <w:rPr>
          <w:rFonts w:ascii="Times New Roman" w:hAnsi="Times New Roman"/>
        </w:rPr>
      </w:pPr>
    </w:p>
    <w:p w:rsidR="000D0520" w:rsidP="000D0520" w:rsidRDefault="000D0520" w14:paraId="4B36482A" w14:textId="77777777">
      <w:pPr>
        <w:widowControl/>
        <w:tabs>
          <w:tab w:val="left" w:pos="18pt"/>
          <w:tab w:val="left" w:pos="36pt"/>
          <w:tab w:val="left" w:pos="54pt"/>
        </w:tabs>
        <w:rPr>
          <w:rFonts w:ascii="Times New Roman" w:hAnsi="Times New Roman"/>
        </w:rPr>
      </w:pPr>
      <w:r w:rsidRPr="009139C6">
        <w:rPr>
          <w:rFonts w:ascii="Times New Roman" w:hAnsi="Times New Roman"/>
          <w:u w:val="single"/>
        </w:rPr>
        <w:t>Form BOEM-1023, Financial Guarantee</w:t>
      </w:r>
      <w:r w:rsidRPr="000644A7">
        <w:rPr>
          <w:rFonts w:ascii="Times New Roman" w:hAnsi="Times New Roman"/>
          <w:i/>
        </w:rPr>
        <w:t>.</w:t>
      </w:r>
      <w:r>
        <w:rPr>
          <w:rFonts w:ascii="Times New Roman" w:hAnsi="Times New Roman"/>
        </w:rPr>
        <w:t xml:space="preserve"> This form </w:t>
      </w:r>
      <w:r w:rsidR="003A463D">
        <w:rPr>
          <w:rFonts w:ascii="Times New Roman" w:hAnsi="Times New Roman"/>
        </w:rPr>
        <w:t xml:space="preserve">provides a </w:t>
      </w:r>
      <w:r>
        <w:rPr>
          <w:rFonts w:ascii="Times New Roman" w:hAnsi="Times New Roman"/>
        </w:rPr>
        <w:t xml:space="preserve">provision that an affiliated firm, such as a corporate parent, may promise to satisfy any claims against the responsible parties.  It also adds an agreement to update/renew expiring or terminated instruments and a signature section. </w:t>
      </w:r>
    </w:p>
    <w:p w:rsidR="000D0520" w:rsidP="000D0520" w:rsidRDefault="000D0520" w14:paraId="7C7B5B08" w14:textId="77777777">
      <w:pPr>
        <w:widowControl/>
        <w:tabs>
          <w:tab w:val="left" w:pos="18pt"/>
          <w:tab w:val="left" w:pos="36pt"/>
          <w:tab w:val="left" w:pos="54pt"/>
        </w:tabs>
        <w:rPr>
          <w:rFonts w:ascii="Times New Roman" w:hAnsi="Times New Roman"/>
        </w:rPr>
      </w:pPr>
    </w:p>
    <w:p w:rsidR="00A23105" w:rsidP="000D0520" w:rsidRDefault="000D0520" w14:paraId="236031B4" w14:textId="77777777">
      <w:pPr>
        <w:widowControl/>
        <w:tabs>
          <w:tab w:val="left" w:pos="18pt"/>
          <w:tab w:val="left" w:pos="36pt"/>
          <w:tab w:val="left" w:pos="54pt"/>
        </w:tabs>
        <w:rPr>
          <w:rFonts w:ascii="Times New Roman" w:hAnsi="Times New Roman"/>
        </w:rPr>
      </w:pPr>
      <w:r w:rsidRPr="009139C6">
        <w:rPr>
          <w:rFonts w:ascii="Times New Roman" w:hAnsi="Times New Roman"/>
          <w:u w:val="single"/>
        </w:rPr>
        <w:t>Form BOEM-1025, Independent Designated Applicant Information Certification</w:t>
      </w:r>
      <w:r w:rsidRPr="0053794B">
        <w:rPr>
          <w:rFonts w:ascii="Times New Roman" w:hAnsi="Times New Roman"/>
          <w:i/>
        </w:rPr>
        <w:t>.</w:t>
      </w:r>
      <w:r>
        <w:rPr>
          <w:rFonts w:ascii="Times New Roman" w:hAnsi="Times New Roman"/>
        </w:rPr>
        <w:t xml:space="preserve"> This form allows a designated applicant, who is not also a responsible party, to continue to agree to be jointly and severally liable under OPA until BOEM promulgates regulations that will repeal this requirement.  </w:t>
      </w:r>
    </w:p>
    <w:p w:rsidR="002B7A77" w:rsidP="000D0520" w:rsidRDefault="002B7A77" w14:paraId="3C5F7A2B" w14:textId="77777777">
      <w:pPr>
        <w:widowControl/>
        <w:tabs>
          <w:tab w:val="left" w:pos="18pt"/>
          <w:tab w:val="left" w:pos="36pt"/>
          <w:tab w:val="left" w:pos="54pt"/>
        </w:tabs>
        <w:rPr>
          <w:rFonts w:ascii="Times New Roman" w:hAnsi="Times New Roman"/>
        </w:rPr>
      </w:pPr>
    </w:p>
    <w:p w:rsidRPr="007A7833" w:rsidR="007A7833" w:rsidP="007A7833" w:rsidRDefault="002A5B2B" w14:paraId="35DE8ACE" w14:textId="77777777">
      <w:pPr>
        <w:widowControl/>
        <w:tabs>
          <w:tab w:val="left" w:pos="-54pt"/>
          <w:tab w:val="left" w:pos="-36pt"/>
          <w:tab w:val="left" w:pos="18pt"/>
          <w:tab w:val="left" w:pos="36pt"/>
        </w:tabs>
        <w:rPr>
          <w:rFonts w:ascii="Times New Roman" w:hAnsi="Times New Roman"/>
          <w:i/>
          <w:snapToGrid/>
        </w:rPr>
      </w:pPr>
      <w:r w:rsidRPr="00600EEB">
        <w:rPr>
          <w:rFonts w:ascii="Times New Roman" w:hAnsi="Times New Roman"/>
          <w:b/>
          <w:i/>
        </w:rPr>
        <w:t>3.</w:t>
      </w:r>
      <w:r w:rsidRPr="00600EEB">
        <w:rPr>
          <w:rFonts w:ascii="Times New Roman" w:hAnsi="Times New Roman"/>
          <w:b/>
          <w:i/>
        </w:rPr>
        <w:tab/>
      </w:r>
      <w:r w:rsidRPr="007A7833" w:rsidR="007A7833">
        <w:rPr>
          <w:rFonts w:ascii="Times New Roman" w:hAnsi="Times New Roman"/>
          <w:b/>
          <w:i/>
          <w:snapToGrid/>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7A7833" w:rsidR="007A7833">
        <w:rPr>
          <w:rFonts w:ascii="Times New Roman" w:hAnsi="Times New Roman"/>
          <w:i/>
          <w:snapToGrid/>
        </w:rPr>
        <w:t xml:space="preserve"> </w:t>
      </w:r>
    </w:p>
    <w:p w:rsidR="002A5B2B" w:rsidRDefault="002A5B2B" w14:paraId="357FC9BE" w14:textId="77777777">
      <w:pPr>
        <w:widowControl/>
        <w:tabs>
          <w:tab w:val="left" w:pos="18pt"/>
          <w:tab w:val="left" w:pos="36pt"/>
          <w:tab w:val="left" w:pos="54pt"/>
        </w:tabs>
        <w:rPr>
          <w:rFonts w:ascii="Times New Roman" w:hAnsi="Times New Roman"/>
          <w:b/>
        </w:rPr>
      </w:pPr>
    </w:p>
    <w:p w:rsidR="00B75AD6" w:rsidRDefault="005F7398" w14:paraId="026B4DC0" w14:textId="67A756CE">
      <w:pPr>
        <w:widowControl/>
        <w:tabs>
          <w:tab w:val="left" w:pos="18pt"/>
          <w:tab w:val="left" w:pos="36pt"/>
          <w:tab w:val="left" w:pos="54pt"/>
        </w:tabs>
        <w:rPr>
          <w:rFonts w:ascii="Times New Roman" w:hAnsi="Times New Roman"/>
        </w:rPr>
      </w:pPr>
      <w:r>
        <w:rPr>
          <w:rFonts w:ascii="Times New Roman" w:hAnsi="Times New Roman"/>
        </w:rPr>
        <w:t xml:space="preserve">The </w:t>
      </w:r>
      <w:r w:rsidR="004C34F3">
        <w:rPr>
          <w:rFonts w:ascii="Times New Roman" w:hAnsi="Times New Roman"/>
        </w:rPr>
        <w:t>BOEM</w:t>
      </w:r>
      <w:r w:rsidR="00DE0510">
        <w:rPr>
          <w:rFonts w:ascii="Times New Roman" w:hAnsi="Times New Roman"/>
        </w:rPr>
        <w:t xml:space="preserve"> encourages respondents to use the forms available on the website and submit them electronically. </w:t>
      </w:r>
      <w:r w:rsidR="000F3FCA">
        <w:rPr>
          <w:rFonts w:ascii="Times New Roman" w:hAnsi="Times New Roman"/>
        </w:rPr>
        <w:t>At present, about</w:t>
      </w:r>
      <w:r w:rsidRPr="009331E3" w:rsidR="002453CF">
        <w:rPr>
          <w:rFonts w:ascii="Times New Roman" w:hAnsi="Times New Roman"/>
        </w:rPr>
        <w:t xml:space="preserve"> </w:t>
      </w:r>
      <w:r w:rsidR="00F355B5">
        <w:rPr>
          <w:rFonts w:ascii="Times New Roman" w:hAnsi="Times New Roman"/>
        </w:rPr>
        <w:t>90</w:t>
      </w:r>
      <w:r w:rsidRPr="00E11A93" w:rsidR="002453CF">
        <w:rPr>
          <w:rFonts w:ascii="Times New Roman" w:hAnsi="Times New Roman"/>
        </w:rPr>
        <w:t xml:space="preserve"> percent</w:t>
      </w:r>
      <w:r w:rsidRPr="002453CF" w:rsidR="007A33B7">
        <w:rPr>
          <w:rFonts w:ascii="Times New Roman" w:hAnsi="Times New Roman"/>
        </w:rPr>
        <w:t xml:space="preserve"> of all info</w:t>
      </w:r>
      <w:r w:rsidRPr="002453CF" w:rsidR="002453CF">
        <w:rPr>
          <w:rFonts w:ascii="Times New Roman" w:hAnsi="Times New Roman"/>
        </w:rPr>
        <w:t>rmation</w:t>
      </w:r>
      <w:r w:rsidRPr="002453CF" w:rsidR="007A33B7">
        <w:rPr>
          <w:rFonts w:ascii="Times New Roman" w:hAnsi="Times New Roman"/>
        </w:rPr>
        <w:t xml:space="preserve"> </w:t>
      </w:r>
      <w:r w:rsidR="002453CF">
        <w:rPr>
          <w:rFonts w:ascii="Times New Roman" w:hAnsi="Times New Roman"/>
        </w:rPr>
        <w:t>is</w:t>
      </w:r>
      <w:r w:rsidRPr="002453CF" w:rsidR="007A33B7">
        <w:rPr>
          <w:rFonts w:ascii="Times New Roman" w:hAnsi="Times New Roman"/>
        </w:rPr>
        <w:t xml:space="preserve"> submitted electronically</w:t>
      </w:r>
      <w:r w:rsidR="00EF618B">
        <w:rPr>
          <w:rFonts w:ascii="Times New Roman" w:hAnsi="Times New Roman"/>
        </w:rPr>
        <w:t xml:space="preserve"> through BOEM’s oil spill financial responsibly program’s email</w:t>
      </w:r>
      <w:r w:rsidR="000F3FCA">
        <w:rPr>
          <w:rFonts w:ascii="Times New Roman" w:hAnsi="Times New Roman"/>
        </w:rPr>
        <w:t xml:space="preserve">. </w:t>
      </w:r>
      <w:r w:rsidR="00126550">
        <w:rPr>
          <w:rFonts w:ascii="Times New Roman" w:hAnsi="Times New Roman"/>
        </w:rPr>
        <w:t xml:space="preserve"> </w:t>
      </w:r>
      <w:r w:rsidR="000F3FCA">
        <w:rPr>
          <w:rFonts w:ascii="Times New Roman" w:hAnsi="Times New Roman"/>
        </w:rPr>
        <w:t xml:space="preserve">BOEM is working on an electronic submission/filing system that will make it easier for respondents to submit bonding </w:t>
      </w:r>
      <w:r w:rsidR="00A90988">
        <w:rPr>
          <w:rFonts w:ascii="Times New Roman" w:hAnsi="Times New Roman"/>
        </w:rPr>
        <w:t xml:space="preserve">financial </w:t>
      </w:r>
      <w:r w:rsidR="000F3FCA">
        <w:rPr>
          <w:rFonts w:ascii="Times New Roman" w:hAnsi="Times New Roman"/>
        </w:rPr>
        <w:t>information electronically in the future.</w:t>
      </w:r>
    </w:p>
    <w:p w:rsidR="00701C4F" w:rsidRDefault="00701C4F" w14:paraId="69927C6A" w14:textId="77777777">
      <w:pPr>
        <w:widowControl/>
        <w:tabs>
          <w:tab w:val="left" w:pos="18pt"/>
          <w:tab w:val="left" w:pos="36pt"/>
          <w:tab w:val="left" w:pos="54pt"/>
        </w:tabs>
        <w:rPr>
          <w:rFonts w:ascii="Times New Roman" w:hAnsi="Times New Roman"/>
        </w:rPr>
      </w:pPr>
    </w:p>
    <w:p w:rsidRPr="00600EEB" w:rsidR="002A5B2B" w:rsidP="002A5B2B" w:rsidRDefault="002A5B2B" w14:paraId="33BBDB28" w14:textId="77777777">
      <w:pPr>
        <w:widowControl/>
        <w:tabs>
          <w:tab w:val="left" w:pos="-54pt"/>
          <w:tab w:val="left" w:pos="-36pt"/>
          <w:tab w:val="left" w:pos="18pt"/>
          <w:tab w:val="left" w:pos="36pt"/>
        </w:tabs>
        <w:rPr>
          <w:rFonts w:ascii="Times New Roman" w:hAnsi="Times New Roman"/>
          <w:b/>
          <w:i/>
        </w:rPr>
      </w:pPr>
      <w:r w:rsidRPr="00600EEB">
        <w:rPr>
          <w:rFonts w:ascii="Times New Roman" w:hAnsi="Times New Roman"/>
          <w:b/>
          <w:i/>
        </w:rPr>
        <w:t>4.</w:t>
      </w:r>
      <w:r w:rsidRPr="00600EEB">
        <w:rPr>
          <w:rFonts w:ascii="Times New Roman" w:hAnsi="Times New Roman"/>
          <w:b/>
          <w:i/>
        </w:rPr>
        <w:tab/>
      </w:r>
      <w:r w:rsidRPr="00600EEB" w:rsidR="00E735D2">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2A5B2B" w:rsidRDefault="002A5B2B" w14:paraId="48D3668C" w14:textId="77777777">
      <w:pPr>
        <w:widowControl/>
        <w:tabs>
          <w:tab w:val="left" w:pos="18pt"/>
          <w:tab w:val="left" w:pos="36pt"/>
          <w:tab w:val="left" w:pos="54pt"/>
        </w:tabs>
        <w:rPr>
          <w:rFonts w:ascii="Times New Roman" w:hAnsi="Times New Roman"/>
          <w:b/>
        </w:rPr>
      </w:pPr>
    </w:p>
    <w:p w:rsidR="00B75AD6" w:rsidRDefault="00B75AD6" w14:paraId="7111DA9A" w14:textId="7F842394">
      <w:pPr>
        <w:widowControl/>
        <w:tabs>
          <w:tab w:val="left" w:pos="18pt"/>
          <w:tab w:val="left" w:pos="36pt"/>
          <w:tab w:val="left" w:pos="54pt"/>
        </w:tabs>
        <w:rPr>
          <w:rFonts w:ascii="Times New Roman" w:hAnsi="Times New Roman"/>
        </w:rPr>
      </w:pPr>
      <w:r>
        <w:rPr>
          <w:rFonts w:ascii="Times New Roman" w:hAnsi="Times New Roman"/>
        </w:rPr>
        <w:t>No other agencies collect this information from respondents subject to these regulations.  Respondents determine the worst</w:t>
      </w:r>
      <w:r w:rsidR="00BA0313">
        <w:rPr>
          <w:rFonts w:ascii="Times New Roman" w:hAnsi="Times New Roman"/>
        </w:rPr>
        <w:t>-</w:t>
      </w:r>
      <w:r>
        <w:rPr>
          <w:rFonts w:ascii="Times New Roman" w:hAnsi="Times New Roman"/>
        </w:rPr>
        <w:t xml:space="preserve">case oil-spill discharge volume to meet regulatory requirements established under </w:t>
      </w:r>
      <w:r w:rsidR="00701C4F">
        <w:rPr>
          <w:rFonts w:ascii="Times New Roman" w:hAnsi="Times New Roman"/>
        </w:rPr>
        <w:t>s</w:t>
      </w:r>
      <w:r>
        <w:rPr>
          <w:rFonts w:ascii="Times New Roman" w:hAnsi="Times New Roman"/>
        </w:rPr>
        <w:t xml:space="preserve">ection 311 of the Federal Water Pollution Control Act.  </w:t>
      </w:r>
      <w:r w:rsidR="005F7398">
        <w:rPr>
          <w:rFonts w:ascii="Times New Roman" w:hAnsi="Times New Roman"/>
        </w:rPr>
        <w:t xml:space="preserve">The </w:t>
      </w:r>
      <w:r w:rsidR="004C34F3">
        <w:rPr>
          <w:rFonts w:ascii="Times New Roman" w:hAnsi="Times New Roman"/>
        </w:rPr>
        <w:t>BOEM</w:t>
      </w:r>
      <w:r>
        <w:rPr>
          <w:rFonts w:ascii="Times New Roman" w:hAnsi="Times New Roman"/>
        </w:rPr>
        <w:t xml:space="preserve"> requires that the volume be reported to establish the dollar amount of OSFR and to be included with the information collected.  There is no duplication of effort to develop this information.  </w:t>
      </w:r>
      <w:r w:rsidR="005F7398">
        <w:rPr>
          <w:rFonts w:ascii="Times New Roman" w:hAnsi="Times New Roman"/>
        </w:rPr>
        <w:t xml:space="preserve">The </w:t>
      </w:r>
      <w:r w:rsidR="004C34F3">
        <w:rPr>
          <w:rFonts w:ascii="Times New Roman" w:hAnsi="Times New Roman"/>
        </w:rPr>
        <w:t>BOEM</w:t>
      </w:r>
      <w:r>
        <w:rPr>
          <w:rFonts w:ascii="Times New Roman" w:hAnsi="Times New Roman"/>
        </w:rPr>
        <w:t xml:space="preserve"> does not require previously submitted audited financial statements for current fiscal years when new COFs are added.  The information is unique to each lease or right</w:t>
      </w:r>
      <w:r w:rsidR="00BA0313">
        <w:rPr>
          <w:rFonts w:ascii="Times New Roman" w:hAnsi="Times New Roman"/>
        </w:rPr>
        <w:t>-</w:t>
      </w:r>
      <w:r>
        <w:rPr>
          <w:rFonts w:ascii="Times New Roman" w:hAnsi="Times New Roman"/>
        </w:rPr>
        <w:t>of</w:t>
      </w:r>
      <w:r w:rsidR="00BA0313">
        <w:rPr>
          <w:rFonts w:ascii="Times New Roman" w:hAnsi="Times New Roman"/>
        </w:rPr>
        <w:t>-</w:t>
      </w:r>
      <w:r>
        <w:rPr>
          <w:rFonts w:ascii="Times New Roman" w:hAnsi="Times New Roman"/>
        </w:rPr>
        <w:t>use and</w:t>
      </w:r>
      <w:r w:rsidR="00BA0313">
        <w:rPr>
          <w:rFonts w:ascii="Times New Roman" w:hAnsi="Times New Roman"/>
        </w:rPr>
        <w:t>-</w:t>
      </w:r>
      <w:r>
        <w:rPr>
          <w:rFonts w:ascii="Times New Roman" w:hAnsi="Times New Roman"/>
        </w:rPr>
        <w:t xml:space="preserve">easement, and similar information is not available from other sources.  The Department of the Interior and </w:t>
      </w:r>
      <w:r w:rsidR="00F22C75">
        <w:rPr>
          <w:rFonts w:ascii="Times New Roman" w:hAnsi="Times New Roman"/>
        </w:rPr>
        <w:t>other agencies</w:t>
      </w:r>
      <w:r>
        <w:rPr>
          <w:rFonts w:ascii="Times New Roman" w:hAnsi="Times New Roman"/>
        </w:rPr>
        <w:t xml:space="preserve"> ha</w:t>
      </w:r>
      <w:r w:rsidR="0065162B">
        <w:rPr>
          <w:rFonts w:ascii="Times New Roman" w:hAnsi="Times New Roman"/>
        </w:rPr>
        <w:t>ve</w:t>
      </w:r>
      <w:r>
        <w:rPr>
          <w:rFonts w:ascii="Times New Roman" w:hAnsi="Times New Roman"/>
        </w:rPr>
        <w:t xml:space="preserve"> executed Memoranda of Understanding </w:t>
      </w:r>
      <w:r w:rsidR="00F65A28">
        <w:rPr>
          <w:rFonts w:ascii="Times New Roman" w:hAnsi="Times New Roman"/>
        </w:rPr>
        <w:t>that</w:t>
      </w:r>
      <w:r>
        <w:rPr>
          <w:rFonts w:ascii="Times New Roman" w:hAnsi="Times New Roman"/>
        </w:rPr>
        <w:t xml:space="preserve"> effectively eliminate any duplication of responsibility.</w:t>
      </w:r>
    </w:p>
    <w:p w:rsidR="00B75AD6" w:rsidRDefault="00B75AD6" w14:paraId="54FC4CAA" w14:textId="77777777">
      <w:pPr>
        <w:widowControl/>
        <w:tabs>
          <w:tab w:val="left" w:pos="18pt"/>
          <w:tab w:val="left" w:pos="36pt"/>
          <w:tab w:val="left" w:pos="54pt"/>
        </w:tabs>
        <w:rPr>
          <w:rFonts w:ascii="Times New Roman" w:hAnsi="Times New Roman"/>
        </w:rPr>
      </w:pPr>
    </w:p>
    <w:p w:rsidRPr="00323421" w:rsidR="00323421" w:rsidP="00323421" w:rsidRDefault="00323421" w14:paraId="6E16065F" w14:textId="77777777">
      <w:pPr>
        <w:widowControl/>
        <w:tabs>
          <w:tab w:val="left" w:pos="-54pt"/>
          <w:tab w:val="left" w:pos="-36pt"/>
          <w:tab w:val="left" w:pos="18pt"/>
          <w:tab w:val="left" w:pos="36pt"/>
        </w:tabs>
        <w:rPr>
          <w:rFonts w:ascii="Times New Roman" w:hAnsi="Times New Roman"/>
          <w:i/>
          <w:snapToGrid/>
        </w:rPr>
      </w:pPr>
      <w:r w:rsidRPr="00323421">
        <w:rPr>
          <w:rFonts w:ascii="Times New Roman" w:hAnsi="Times New Roman"/>
          <w:b/>
          <w:i/>
          <w:snapToGrid/>
        </w:rPr>
        <w:t>5.</w:t>
      </w:r>
      <w:r w:rsidRPr="00323421">
        <w:rPr>
          <w:rFonts w:ascii="Times New Roman" w:hAnsi="Times New Roman"/>
          <w:b/>
          <w:i/>
          <w:snapToGrid/>
        </w:rPr>
        <w:tab/>
        <w:t xml:space="preserve">If the collection of information impacts small businesses or other small entities, describe any methods used to minimize burden. </w:t>
      </w:r>
      <w:r w:rsidRPr="00323421">
        <w:rPr>
          <w:rFonts w:ascii="Times New Roman" w:hAnsi="Times New Roman"/>
          <w:i/>
          <w:snapToGrid/>
        </w:rPr>
        <w:t xml:space="preserve">  </w:t>
      </w:r>
    </w:p>
    <w:p w:rsidR="002A5B2B" w:rsidRDefault="002A5B2B" w14:paraId="5DFF6AF0" w14:textId="77777777">
      <w:pPr>
        <w:widowControl/>
        <w:tabs>
          <w:tab w:val="left" w:pos="18pt"/>
          <w:tab w:val="left" w:pos="36pt"/>
          <w:tab w:val="left" w:pos="54pt"/>
        </w:tabs>
        <w:rPr>
          <w:rFonts w:ascii="Times New Roman" w:hAnsi="Times New Roman"/>
          <w:b/>
        </w:rPr>
      </w:pPr>
    </w:p>
    <w:p w:rsidR="00B75AD6" w:rsidRDefault="00B75AD6" w14:paraId="2AB65FEA" w14:textId="77777777">
      <w:pPr>
        <w:widowControl/>
        <w:tabs>
          <w:tab w:val="left" w:pos="18pt"/>
          <w:tab w:val="left" w:pos="36pt"/>
          <w:tab w:val="left" w:pos="54pt"/>
        </w:tabs>
        <w:rPr>
          <w:rFonts w:ascii="Times New Roman" w:hAnsi="Times New Roman"/>
        </w:rPr>
      </w:pPr>
      <w:r>
        <w:rPr>
          <w:rFonts w:ascii="Times New Roman" w:hAnsi="Times New Roman"/>
        </w:rPr>
        <w:t xml:space="preserve">In general, operations in the OCS and in State coastal waters are normally relatively large in scale, technically complex, and require a large source of financial resources.  However, </w:t>
      </w:r>
      <w:r w:rsidR="00DA1F8C">
        <w:rPr>
          <w:rFonts w:ascii="Times New Roman" w:hAnsi="Times New Roman"/>
        </w:rPr>
        <w:t>many of these OCS lessees and operators have less than 500 employees and are considered small businesses as defined by the Small Business Administration.  Regulations require safe work practices and protection of the environmental resources; therefore, w</w:t>
      </w:r>
      <w:r>
        <w:rPr>
          <w:rFonts w:ascii="Times New Roman" w:hAnsi="Times New Roman"/>
        </w:rPr>
        <w:t xml:space="preserve">e have determined that the impact will not be significant and there is no way to minimize the impact </w:t>
      </w:r>
      <w:r w:rsidR="00DA1F8C">
        <w:rPr>
          <w:rFonts w:ascii="Times New Roman" w:hAnsi="Times New Roman"/>
        </w:rPr>
        <w:t xml:space="preserve">of the burden </w:t>
      </w:r>
      <w:r>
        <w:rPr>
          <w:rFonts w:ascii="Times New Roman" w:hAnsi="Times New Roman"/>
        </w:rPr>
        <w:t>and carry out the mandate of OPA.</w:t>
      </w:r>
    </w:p>
    <w:p w:rsidR="00B75AD6" w:rsidRDefault="00B75AD6" w14:paraId="318A6EF9" w14:textId="77777777">
      <w:pPr>
        <w:widowControl/>
        <w:tabs>
          <w:tab w:val="left" w:pos="18pt"/>
          <w:tab w:val="left" w:pos="36pt"/>
          <w:tab w:val="left" w:pos="54pt"/>
        </w:tabs>
        <w:rPr>
          <w:rFonts w:ascii="Times New Roman" w:hAnsi="Times New Roman"/>
          <w:b/>
        </w:rPr>
      </w:pPr>
    </w:p>
    <w:p w:rsidRPr="00D64DB3" w:rsidR="00D64DB3" w:rsidP="00D64DB3" w:rsidRDefault="00430B25" w14:paraId="26D00D91" w14:textId="77777777">
      <w:pPr>
        <w:widowControl/>
        <w:tabs>
          <w:tab w:val="left" w:pos="-54pt"/>
          <w:tab w:val="left" w:pos="-36pt"/>
          <w:tab w:val="left" w:pos="18pt"/>
          <w:tab w:val="left" w:pos="36pt"/>
        </w:tabs>
        <w:rPr>
          <w:rFonts w:ascii="Times New Roman" w:hAnsi="Times New Roman"/>
          <w:snapToGrid/>
        </w:rPr>
      </w:pPr>
      <w:r w:rsidRPr="00430B25">
        <w:rPr>
          <w:rFonts w:ascii="Times New Roman" w:hAnsi="Times New Roman"/>
          <w:b/>
          <w:i/>
          <w:snapToGrid/>
        </w:rPr>
        <w:t>6.</w:t>
      </w:r>
      <w:r w:rsidRPr="00430B25">
        <w:rPr>
          <w:rFonts w:ascii="Times New Roman" w:hAnsi="Times New Roman"/>
          <w:b/>
          <w:i/>
          <w:snapToGrid/>
        </w:rPr>
        <w:tab/>
        <w:t>Describe the consequence to Federal program or policy activities if the collection is not conducted or is conducted less frequently, as well as any technical or legal obstacles to reducing burden.</w:t>
      </w:r>
      <w:r w:rsidRPr="00430B25">
        <w:rPr>
          <w:rFonts w:ascii="Times New Roman" w:hAnsi="Times New Roman"/>
          <w:snapToGrid/>
        </w:rPr>
        <w:t xml:space="preserve">  </w:t>
      </w:r>
      <w:r w:rsidRPr="00D64DB3" w:rsidR="00D64DB3">
        <w:rPr>
          <w:rFonts w:ascii="Times New Roman" w:hAnsi="Times New Roman"/>
          <w:b/>
          <w:i/>
          <w:snapToGrid/>
        </w:rPr>
        <w:t xml:space="preserve"> </w:t>
      </w:r>
      <w:r w:rsidRPr="00D64DB3" w:rsidR="00D64DB3">
        <w:rPr>
          <w:rFonts w:ascii="Times New Roman" w:hAnsi="Times New Roman"/>
          <w:i/>
          <w:snapToGrid/>
        </w:rPr>
        <w:t xml:space="preserve">  </w:t>
      </w:r>
    </w:p>
    <w:p w:rsidR="002A5B2B" w:rsidRDefault="00B75AD6" w14:paraId="16A5359E" w14:textId="77777777">
      <w:pPr>
        <w:widowControl/>
        <w:tabs>
          <w:tab w:val="left" w:pos="18pt"/>
          <w:tab w:val="left" w:pos="36pt"/>
          <w:tab w:val="left" w:pos="54pt"/>
        </w:tabs>
        <w:rPr>
          <w:rFonts w:ascii="Times New Roman" w:hAnsi="Times New Roman"/>
          <w:b/>
        </w:rPr>
      </w:pPr>
      <w:r>
        <w:rPr>
          <w:rFonts w:ascii="Times New Roman" w:hAnsi="Times New Roman"/>
          <w:b/>
        </w:rPr>
        <w:tab/>
      </w:r>
    </w:p>
    <w:p w:rsidR="00B75AD6" w:rsidRDefault="00B75AD6" w14:paraId="5B069BE1" w14:textId="77777777">
      <w:pPr>
        <w:widowControl/>
        <w:tabs>
          <w:tab w:val="left" w:pos="18pt"/>
          <w:tab w:val="left" w:pos="36pt"/>
          <w:tab w:val="left" w:pos="54pt"/>
        </w:tabs>
        <w:rPr>
          <w:rFonts w:ascii="Times New Roman" w:hAnsi="Times New Roman"/>
        </w:rPr>
      </w:pPr>
      <w:r>
        <w:rPr>
          <w:rFonts w:ascii="Times New Roman" w:hAnsi="Times New Roman"/>
        </w:rPr>
        <w:t xml:space="preserve">If </w:t>
      </w:r>
      <w:r w:rsidR="004C34F3">
        <w:rPr>
          <w:rFonts w:ascii="Times New Roman" w:hAnsi="Times New Roman"/>
        </w:rPr>
        <w:t>BOEM</w:t>
      </w:r>
      <w:r>
        <w:rPr>
          <w:rFonts w:ascii="Times New Roman" w:hAnsi="Times New Roman"/>
        </w:rPr>
        <w:t xml:space="preserve"> did not collect the information, we could not ensure compliance with </w:t>
      </w:r>
      <w:r w:rsidR="006D2A70">
        <w:rPr>
          <w:rFonts w:ascii="Times New Roman" w:hAnsi="Times New Roman"/>
        </w:rPr>
        <w:t xml:space="preserve">the OCS Lands Act and </w:t>
      </w:r>
      <w:r w:rsidR="00DE1792">
        <w:rPr>
          <w:rFonts w:ascii="Times New Roman" w:hAnsi="Times New Roman"/>
        </w:rPr>
        <w:t xml:space="preserve">Subchapter </w:t>
      </w:r>
      <w:r>
        <w:rPr>
          <w:rFonts w:ascii="Times New Roman" w:hAnsi="Times New Roman"/>
        </w:rPr>
        <w:t xml:space="preserve">I of OPA and determine, among other things, the amount of OSFR necessary for a designated applicant to demonstrate whether a designated applicant possessed the required amounts of financial responsibility; the amount of non-compliance for which a civil penalty would apply if a designated applicant was not in compliance with OPA; and necessary OSFR information could not be provided to the oil-spill cleanup On-Scene Coordinator, the Federal Oil Spill Liability Trust Fund, affected States, and claimants.  The information will normally be collected </w:t>
      </w:r>
      <w:r w:rsidRPr="00643B1E">
        <w:rPr>
          <w:rFonts w:ascii="Times New Roman" w:hAnsi="Times New Roman"/>
        </w:rPr>
        <w:t>on an annual basis,</w:t>
      </w:r>
      <w:r>
        <w:rPr>
          <w:rFonts w:ascii="Times New Roman" w:hAnsi="Times New Roman"/>
        </w:rPr>
        <w:t xml:space="preserve"> except for changes to existing COF listings that could occur throughout the term of the OSFR Certification.  If </w:t>
      </w:r>
      <w:r w:rsidR="004C34F3">
        <w:rPr>
          <w:rFonts w:ascii="Times New Roman" w:hAnsi="Times New Roman"/>
        </w:rPr>
        <w:t>BOEM</w:t>
      </w:r>
      <w:r>
        <w:rPr>
          <w:rFonts w:ascii="Times New Roman" w:hAnsi="Times New Roman"/>
        </w:rPr>
        <w:t xml:space="preserve"> collected the information less frequently, we could not determine in a timely manner if a designated applicant’s financial profile had changed to such a degree that it might not have the financial means to pay claims and damages resulting from an oil-spill discharge.</w:t>
      </w:r>
    </w:p>
    <w:p w:rsidR="00B75AD6" w:rsidRDefault="00B75AD6" w14:paraId="2796EA65" w14:textId="77777777">
      <w:pPr>
        <w:widowControl/>
        <w:tabs>
          <w:tab w:val="left" w:pos="18pt"/>
          <w:tab w:val="left" w:pos="36pt"/>
          <w:tab w:val="left" w:pos="54pt"/>
        </w:tabs>
        <w:rPr>
          <w:rFonts w:ascii="Times New Roman" w:hAnsi="Times New Roman"/>
        </w:rPr>
      </w:pPr>
    </w:p>
    <w:p w:rsidRPr="00600EEB" w:rsidR="002A5B2B" w:rsidP="002A5B2B" w:rsidRDefault="002A5B2B" w14:paraId="63AAEE7E" w14:textId="77777777">
      <w:pPr>
        <w:widowControl/>
        <w:tabs>
          <w:tab w:val="left" w:pos="-54pt"/>
          <w:tab w:val="left" w:pos="-36pt"/>
          <w:tab w:val="left" w:pos="18pt"/>
          <w:tab w:val="left" w:pos="36pt"/>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2A5B2B" w:rsidRDefault="002A5B2B" w14:paraId="2F8C54C1" w14:textId="77777777">
      <w:pPr>
        <w:widowControl/>
        <w:tabs>
          <w:tab w:val="left" w:pos="18pt"/>
          <w:tab w:val="left" w:pos="36pt"/>
          <w:tab w:val="left" w:pos="54pt"/>
        </w:tabs>
        <w:rPr>
          <w:rFonts w:ascii="Times New Roman" w:hAnsi="Times New Roman"/>
          <w:b/>
        </w:rPr>
      </w:pPr>
    </w:p>
    <w:p w:rsidR="002C429A" w:rsidP="002C429A" w:rsidRDefault="002C429A" w14:paraId="359C490E" w14:textId="77777777">
      <w:pPr>
        <w:widowControl/>
        <w:tabs>
          <w:tab w:val="left" w:pos="-54pt"/>
          <w:tab w:val="left" w:pos="-36pt"/>
          <w:tab w:val="left" w:pos="18pt"/>
          <w:tab w:val="left" w:pos="36pt"/>
        </w:tabs>
        <w:rPr>
          <w:rFonts w:ascii="Times New Roman" w:hAnsi="Times New Roman"/>
          <w:b/>
        </w:rPr>
      </w:pPr>
      <w:r>
        <w:rPr>
          <w:rFonts w:ascii="Times New Roman" w:hAnsi="Times New Roman"/>
          <w:b/>
          <w:i/>
        </w:rPr>
        <w:tab/>
      </w:r>
      <w:r w:rsidRPr="00A90789">
        <w:rPr>
          <w:rFonts w:ascii="Times New Roman" w:hAnsi="Times New Roman"/>
          <w:b/>
          <w:i/>
        </w:rPr>
        <w:t>(a) requiring respondents to report information to the agency more often than quarterl</w:t>
      </w:r>
      <w:r>
        <w:rPr>
          <w:rFonts w:ascii="Times New Roman" w:hAnsi="Times New Roman"/>
          <w:b/>
          <w:i/>
        </w:rPr>
        <w:t>y.</w:t>
      </w:r>
    </w:p>
    <w:p w:rsidRPr="00A90789" w:rsidR="002C429A" w:rsidP="00E63249" w:rsidRDefault="002C429A" w14:paraId="47AB68DD" w14:textId="77777777">
      <w:pPr>
        <w:widowControl/>
        <w:tabs>
          <w:tab w:val="left" w:pos="18pt"/>
          <w:tab w:val="left" w:pos="36pt"/>
          <w:tab w:val="left" w:pos="54pt"/>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p>
    <w:p w:rsidRPr="00A90789" w:rsidR="002C429A" w:rsidP="002C429A" w:rsidRDefault="002C429A" w14:paraId="15E2CAC4" w14:textId="77777777">
      <w:pPr>
        <w:widowControl/>
        <w:tabs>
          <w:tab w:val="left" w:pos="-54pt"/>
          <w:tab w:val="left" w:pos="-36pt"/>
          <w:tab w:val="left" w:pos="18pt"/>
          <w:tab w:val="left" w:pos="36pt"/>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p>
    <w:p w:rsidRPr="00A90789" w:rsidR="002C429A" w:rsidP="002C429A" w:rsidRDefault="002C429A" w14:paraId="38898AEF" w14:textId="77777777">
      <w:pPr>
        <w:widowControl/>
        <w:tabs>
          <w:tab w:val="left" w:pos="-54pt"/>
          <w:tab w:val="left" w:pos="-36pt"/>
          <w:tab w:val="left" w:pos="18pt"/>
          <w:tab w:val="left" w:pos="36pt"/>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p>
    <w:p w:rsidRPr="00B27CC7" w:rsidR="002C429A" w:rsidP="002C429A" w:rsidRDefault="002C429A" w14:paraId="0FA3C27A" w14:textId="77777777">
      <w:pPr>
        <w:widowControl/>
        <w:tabs>
          <w:tab w:val="left" w:pos="-54pt"/>
          <w:tab w:val="left" w:pos="-36pt"/>
          <w:tab w:val="left" w:pos="18pt"/>
          <w:tab w:val="left" w:pos="36pt"/>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p>
    <w:p w:rsidRPr="00B27CC7" w:rsidR="002C429A" w:rsidP="002C429A" w:rsidRDefault="002C429A" w14:paraId="18687905" w14:textId="77777777">
      <w:pPr>
        <w:widowControl/>
        <w:tabs>
          <w:tab w:val="left" w:pos="-54pt"/>
          <w:tab w:val="left" w:pos="-36pt"/>
          <w:tab w:val="left" w:pos="18pt"/>
          <w:tab w:val="left" w:pos="36pt"/>
        </w:tabs>
        <w:rPr>
          <w:rFonts w:ascii="Times New Roman" w:hAnsi="Times New Roman"/>
          <w:b/>
          <w:i/>
        </w:rPr>
      </w:pPr>
      <w:r w:rsidRPr="00B27CC7">
        <w:rPr>
          <w:rFonts w:ascii="Times New Roman" w:hAnsi="Times New Roman"/>
          <w:b/>
          <w:i/>
        </w:rPr>
        <w:tab/>
        <w:t>(f) requiring the use of statistical data classification that has been reviewed and approved by OMB.</w:t>
      </w:r>
    </w:p>
    <w:p w:rsidRPr="00B27CC7" w:rsidR="002C429A" w:rsidP="002C429A" w:rsidRDefault="002C429A" w14:paraId="7AF77F38" w14:textId="77777777">
      <w:pPr>
        <w:widowControl/>
        <w:tabs>
          <w:tab w:val="left" w:pos="-54pt"/>
          <w:tab w:val="left" w:pos="-36pt"/>
          <w:tab w:val="left" w:pos="18pt"/>
          <w:tab w:val="left" w:pos="36pt"/>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B27CC7" w:rsidR="002C429A" w:rsidP="002C429A" w:rsidRDefault="002C429A" w14:paraId="03D86F59" w14:textId="77777777">
      <w:pPr>
        <w:widowControl/>
        <w:tabs>
          <w:tab w:val="left" w:pos="-54pt"/>
          <w:tab w:val="left" w:pos="-36pt"/>
          <w:tab w:val="left" w:pos="18pt"/>
          <w:tab w:val="left" w:pos="36pt"/>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47403B" w:rsidRDefault="0047403B" w14:paraId="2134614E" w14:textId="77777777">
      <w:pPr>
        <w:widowControl/>
        <w:tabs>
          <w:tab w:val="left" w:pos="18pt"/>
          <w:tab w:val="left" w:pos="36pt"/>
          <w:tab w:val="left" w:pos="54pt"/>
        </w:tabs>
        <w:rPr>
          <w:rFonts w:ascii="Times New Roman" w:hAnsi="Times New Roman"/>
        </w:rPr>
      </w:pPr>
    </w:p>
    <w:p w:rsidR="00126550" w:rsidP="00126550" w:rsidRDefault="00126550" w14:paraId="7185BB1C" w14:textId="77777777">
      <w:pPr>
        <w:widowControl/>
        <w:tabs>
          <w:tab w:val="left" w:pos="18pt"/>
          <w:tab w:val="left" w:pos="36pt"/>
          <w:tab w:val="left" w:pos="54pt"/>
        </w:tabs>
        <w:rPr>
          <w:rFonts w:ascii="Times New Roman" w:hAnsi="Times New Roman"/>
        </w:rPr>
      </w:pPr>
      <w:r>
        <w:rPr>
          <w:rFonts w:ascii="Times New Roman" w:hAnsi="Times New Roman"/>
        </w:rPr>
        <w:t>Related to (a), the collection of information is consistent with this provision except for the possibil</w:t>
      </w:r>
      <w:r w:rsidR="000040B7">
        <w:rPr>
          <w:rFonts w:ascii="Times New Roman" w:hAnsi="Times New Roman"/>
        </w:rPr>
        <w:t xml:space="preserve">ity that changes to existing </w:t>
      </w:r>
      <w:r w:rsidR="00551C69">
        <w:rPr>
          <w:rFonts w:ascii="Times New Roman" w:hAnsi="Times New Roman"/>
        </w:rPr>
        <w:t>COF</w:t>
      </w:r>
      <w:r>
        <w:rPr>
          <w:rFonts w:ascii="Times New Roman" w:hAnsi="Times New Roman"/>
        </w:rPr>
        <w:t xml:space="preserve"> listings could occur throughout the term of the OSFR Certification.</w:t>
      </w:r>
    </w:p>
    <w:p w:rsidR="00126550" w:rsidP="00126550" w:rsidRDefault="00126550" w14:paraId="32680FD8" w14:textId="77777777">
      <w:pPr>
        <w:widowControl/>
        <w:tabs>
          <w:tab w:val="left" w:pos="18pt"/>
          <w:tab w:val="left" w:pos="36pt"/>
          <w:tab w:val="left" w:pos="54pt"/>
        </w:tabs>
        <w:rPr>
          <w:rFonts w:ascii="Times New Roman" w:hAnsi="Times New Roman"/>
        </w:rPr>
      </w:pPr>
    </w:p>
    <w:p w:rsidR="00126550" w:rsidP="00126550" w:rsidRDefault="00126550" w14:paraId="5D348FE2" w14:textId="77777777">
      <w:pPr>
        <w:widowControl/>
        <w:tabs>
          <w:tab w:val="left" w:pos="18pt"/>
          <w:tab w:val="left" w:pos="36pt"/>
          <w:tab w:val="left" w:pos="54pt"/>
        </w:tabs>
        <w:rPr>
          <w:rFonts w:ascii="Times New Roman" w:hAnsi="Times New Roman"/>
        </w:rPr>
      </w:pPr>
      <w:r>
        <w:rPr>
          <w:rFonts w:ascii="Times New Roman" w:hAnsi="Times New Roman"/>
        </w:rPr>
        <w:t xml:space="preserve">For all other items, there are no special circumstances that require the collection to be conducted in a manner inconsistent with the guidelines.  We do not exceed guidelines in 5 CFR 1320.5.  </w:t>
      </w:r>
    </w:p>
    <w:p w:rsidR="0047403B" w:rsidRDefault="0047403B" w14:paraId="4480B6B4" w14:textId="77777777">
      <w:pPr>
        <w:widowControl/>
        <w:tabs>
          <w:tab w:val="left" w:pos="18pt"/>
          <w:tab w:val="left" w:pos="36pt"/>
          <w:tab w:val="left" w:pos="54pt"/>
        </w:tabs>
        <w:rPr>
          <w:rFonts w:ascii="Times New Roman" w:hAnsi="Times New Roman"/>
        </w:rPr>
      </w:pPr>
    </w:p>
    <w:p w:rsidR="004F0B62" w:rsidP="00280880" w:rsidRDefault="00E63249" w14:paraId="18EDFCEC"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rPr>
          <w:rFonts w:ascii="Times New Roman" w:hAnsi="Times New Roman"/>
          <w:b/>
          <w:i/>
          <w:snapToGrid/>
          <w:szCs w:val="24"/>
        </w:rPr>
      </w:pPr>
      <w:r w:rsidRPr="00600EEB">
        <w:rPr>
          <w:rFonts w:ascii="Times New Roman" w:hAnsi="Times New Roman"/>
          <w:b/>
          <w:i/>
        </w:rPr>
        <w:t>8.</w:t>
      </w:r>
      <w:r w:rsidRPr="00600EEB">
        <w:rPr>
          <w:rFonts w:ascii="Times New Roman" w:hAnsi="Times New Roman"/>
          <w:b/>
          <w:i/>
        </w:rPr>
        <w:tab/>
      </w:r>
      <w:r w:rsidRPr="008C0EDA" w:rsidR="004F0B62">
        <w:rPr>
          <w:rFonts w:ascii="Times New Roman" w:hAnsi="Times New Roman"/>
          <w:b/>
          <w:i/>
          <w:snapToGrid/>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8C0EDA" w:rsidR="002701BE" w:rsidP="00280880" w:rsidRDefault="002701BE" w14:paraId="7D0CA1ED"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rPr>
          <w:rFonts w:ascii="Times New Roman" w:hAnsi="Times New Roman"/>
          <w:b/>
          <w:i/>
          <w:snapToGrid/>
          <w:szCs w:val="24"/>
        </w:rPr>
      </w:pPr>
    </w:p>
    <w:p w:rsidRPr="004F0B62" w:rsidR="004F0B62" w:rsidP="00280880" w:rsidRDefault="004F0B62" w14:paraId="68AD0A24"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rPr>
          <w:rFonts w:ascii="Times New Roman" w:hAnsi="Times New Roman"/>
          <w:b/>
          <w:i/>
          <w:snapToGrid/>
          <w:szCs w:val="24"/>
        </w:rPr>
      </w:pPr>
      <w:r w:rsidRPr="004F0B62">
        <w:rPr>
          <w:rFonts w:ascii="Times New Roman" w:hAnsi="Times New Roman"/>
          <w:b/>
          <w:i/>
          <w:snapToGrid/>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F0B62" w:rsidR="004F0B62" w:rsidP="004F0B62" w:rsidRDefault="004F0B62" w14:paraId="516AE975"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rPr>
          <w:rFonts w:ascii="Times New Roman" w:hAnsi="Times New Roman"/>
          <w:b/>
          <w:i/>
          <w:snapToGrid/>
          <w:szCs w:val="24"/>
        </w:rPr>
      </w:pPr>
    </w:p>
    <w:p w:rsidRPr="004F0B62" w:rsidR="004F0B62" w:rsidP="00280880" w:rsidRDefault="004F0B62" w14:paraId="0D8B1A4E"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rPr>
          <w:rFonts w:ascii="Times New Roman" w:hAnsi="Times New Roman"/>
          <w:i/>
          <w:snapToGrid/>
          <w:szCs w:val="24"/>
        </w:rPr>
      </w:pPr>
      <w:r w:rsidRPr="004F0B62">
        <w:rPr>
          <w:rFonts w:ascii="Times New Roman" w:hAnsi="Times New Roman"/>
          <w:b/>
          <w:i/>
          <w:snapToGrid/>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75AD6" w:rsidP="004F0B62" w:rsidRDefault="00B75AD6" w14:paraId="2C7CCBEC" w14:textId="77777777">
      <w:pPr>
        <w:widowControl/>
        <w:tabs>
          <w:tab w:val="left" w:pos="18pt"/>
          <w:tab w:val="left" w:pos="36pt"/>
          <w:tab w:val="left" w:pos="54pt"/>
        </w:tabs>
        <w:rPr>
          <w:rFonts w:ascii="Times New Roman" w:hAnsi="Times New Roman"/>
        </w:rPr>
      </w:pPr>
    </w:p>
    <w:p w:rsidR="00C81E9F" w:rsidP="00C81E9F" w:rsidRDefault="00C81E9F" w14:paraId="4AA7EF4E" w14:textId="01286FDF">
      <w:pPr>
        <w:widowControl/>
        <w:tabs>
          <w:tab w:val="left" w:pos="18pt"/>
          <w:tab w:val="left" w:pos="36pt"/>
          <w:tab w:val="left" w:pos="54pt"/>
        </w:tabs>
        <w:rPr>
          <w:rFonts w:ascii="Times New Roman" w:hAnsi="Times New Roman"/>
        </w:rPr>
      </w:pPr>
      <w:r>
        <w:rPr>
          <w:rFonts w:ascii="Times New Roman" w:hAnsi="Times New Roman"/>
        </w:rPr>
        <w:t xml:space="preserve">As required in 5 CFR 1320.8(d), BOEM published a 60-day review and comment notice in the </w:t>
      </w:r>
      <w:r w:rsidRPr="00DE74B2">
        <w:rPr>
          <w:rFonts w:ascii="Times New Roman" w:hAnsi="Times New Roman"/>
          <w:i/>
        </w:rPr>
        <w:t>Federal Register</w:t>
      </w:r>
      <w:r>
        <w:rPr>
          <w:rFonts w:ascii="Times New Roman" w:hAnsi="Times New Roman"/>
        </w:rPr>
        <w:t xml:space="preserve"> on </w:t>
      </w:r>
      <w:r w:rsidR="00EF618B">
        <w:rPr>
          <w:rFonts w:ascii="Times New Roman" w:hAnsi="Times New Roman"/>
        </w:rPr>
        <w:t>April 11, 2022 (87</w:t>
      </w:r>
      <w:r w:rsidRPr="007F46C1">
        <w:rPr>
          <w:rFonts w:ascii="Times New Roman" w:hAnsi="Times New Roman"/>
        </w:rPr>
        <w:t xml:space="preserve"> </w:t>
      </w:r>
      <w:r w:rsidRPr="000040B7">
        <w:rPr>
          <w:rFonts w:ascii="Times New Roman" w:hAnsi="Times New Roman"/>
          <w:i/>
        </w:rPr>
        <w:t>FR</w:t>
      </w:r>
      <w:r w:rsidRPr="007F46C1">
        <w:rPr>
          <w:rFonts w:ascii="Times New Roman" w:hAnsi="Times New Roman"/>
        </w:rPr>
        <w:t xml:space="preserve"> </w:t>
      </w:r>
      <w:r w:rsidR="00EF618B">
        <w:rPr>
          <w:rFonts w:ascii="Times New Roman" w:hAnsi="Times New Roman"/>
        </w:rPr>
        <w:t>21133</w:t>
      </w:r>
      <w:r w:rsidRPr="007F46C1">
        <w:rPr>
          <w:rFonts w:ascii="Times New Roman" w:hAnsi="Times New Roman"/>
        </w:rPr>
        <w:t>)</w:t>
      </w:r>
      <w:r>
        <w:rPr>
          <w:rFonts w:ascii="Times New Roman" w:hAnsi="Times New Roman"/>
        </w:rPr>
        <w:t xml:space="preserve"> to ask for comments on </w:t>
      </w:r>
      <w:r w:rsidR="00EA0CD6">
        <w:rPr>
          <w:rFonts w:ascii="Times New Roman" w:hAnsi="Times New Roman"/>
        </w:rPr>
        <w:t xml:space="preserve">related </w:t>
      </w:r>
      <w:r>
        <w:rPr>
          <w:rFonts w:ascii="Times New Roman" w:hAnsi="Times New Roman"/>
        </w:rPr>
        <w:t>forms</w:t>
      </w:r>
      <w:r w:rsidRPr="0076727A">
        <w:rPr>
          <w:rFonts w:ascii="Times New Roman" w:hAnsi="Times New Roman"/>
        </w:rPr>
        <w:t>.</w:t>
      </w:r>
      <w:r w:rsidR="00BC0D7B">
        <w:rPr>
          <w:rFonts w:ascii="Times New Roman" w:hAnsi="Times New Roman"/>
        </w:rPr>
        <w:t xml:space="preserve">  No comments were received.</w:t>
      </w:r>
      <w:r w:rsidRPr="00626F6B">
        <w:rPr>
          <w:rFonts w:ascii="Times New Roman" w:hAnsi="Times New Roman"/>
        </w:rPr>
        <w:t xml:space="preserve"> </w:t>
      </w:r>
      <w:r w:rsidR="000040B7">
        <w:rPr>
          <w:rFonts w:ascii="Times New Roman" w:hAnsi="Times New Roman"/>
        </w:rPr>
        <w:t xml:space="preserve"> </w:t>
      </w:r>
      <w:r w:rsidRPr="00626F6B">
        <w:rPr>
          <w:rFonts w:ascii="Times New Roman" w:hAnsi="Times New Roman"/>
        </w:rPr>
        <w:t xml:space="preserve">In addition, § </w:t>
      </w:r>
      <w:r>
        <w:rPr>
          <w:rFonts w:ascii="Times New Roman" w:hAnsi="Times New Roman"/>
        </w:rPr>
        <w:t>553</w:t>
      </w:r>
      <w:r w:rsidRPr="00626F6B">
        <w:rPr>
          <w:rFonts w:ascii="Times New Roman" w:hAnsi="Times New Roman"/>
        </w:rPr>
        <w:t>.5 and the PRA statement on the cover sheet for the OSFR forms explain</w:t>
      </w:r>
      <w:r w:rsidR="00BA0313">
        <w:rPr>
          <w:rFonts w:ascii="Times New Roman" w:hAnsi="Times New Roman"/>
        </w:rPr>
        <w:t>s</w:t>
      </w:r>
      <w:r w:rsidRPr="00626F6B">
        <w:rPr>
          <w:rFonts w:ascii="Times New Roman" w:hAnsi="Times New Roman"/>
        </w:rPr>
        <w:t xml:space="preserve"> that </w:t>
      </w:r>
      <w:r>
        <w:rPr>
          <w:rFonts w:ascii="Times New Roman" w:hAnsi="Times New Roman"/>
        </w:rPr>
        <w:t>BOEM</w:t>
      </w:r>
      <w:r w:rsidRPr="00626F6B">
        <w:rPr>
          <w:rFonts w:ascii="Times New Roman" w:hAnsi="Times New Roman"/>
        </w:rPr>
        <w:t xml:space="preserve"> will accept comments at any time on the information collection requirements and burdens of our 30 CFR </w:t>
      </w:r>
      <w:r>
        <w:rPr>
          <w:rFonts w:ascii="Times New Roman" w:hAnsi="Times New Roman"/>
        </w:rPr>
        <w:t>553</w:t>
      </w:r>
      <w:r w:rsidRPr="00626F6B">
        <w:rPr>
          <w:rFonts w:ascii="Times New Roman" w:hAnsi="Times New Roman"/>
        </w:rPr>
        <w:t xml:space="preserve"> regulations and associated forms. Section </w:t>
      </w:r>
      <w:r>
        <w:rPr>
          <w:rFonts w:ascii="Times New Roman" w:hAnsi="Times New Roman"/>
        </w:rPr>
        <w:t>553</w:t>
      </w:r>
      <w:r w:rsidRPr="00626F6B">
        <w:rPr>
          <w:rFonts w:ascii="Times New Roman" w:hAnsi="Times New Roman"/>
        </w:rPr>
        <w:t xml:space="preserve">.5 and the OSFR forms cover sheet also provide the OMB control number and the address to which to send comments. </w:t>
      </w:r>
    </w:p>
    <w:p w:rsidR="00C81E9F" w:rsidP="002453CF" w:rsidRDefault="00C81E9F" w14:paraId="2794639F" w14:textId="77777777">
      <w:pPr>
        <w:widowControl/>
        <w:tabs>
          <w:tab w:val="left" w:pos="18pt"/>
          <w:tab w:val="left" w:pos="36pt"/>
          <w:tab w:val="left" w:pos="54pt"/>
        </w:tabs>
        <w:rPr>
          <w:rFonts w:ascii="Times New Roman" w:hAnsi="Times New Roman"/>
        </w:rPr>
      </w:pPr>
    </w:p>
    <w:p w:rsidR="00900B8C" w:rsidP="0075795F" w:rsidRDefault="0075795F" w14:paraId="02BE8DE7" w14:textId="77777777">
      <w:pPr>
        <w:widowControl/>
        <w:tabs>
          <w:tab w:val="left" w:pos="18pt"/>
          <w:tab w:val="left" w:pos="36pt"/>
          <w:tab w:val="left" w:pos="54pt"/>
        </w:tabs>
        <w:rPr>
          <w:rFonts w:ascii="Times New Roman" w:hAnsi="Times New Roman"/>
        </w:rPr>
      </w:pPr>
      <w:r>
        <w:rPr>
          <w:rFonts w:ascii="Times New Roman" w:hAnsi="Times New Roman"/>
        </w:rPr>
        <w:t>During the comment period, BOEM requested input from</w:t>
      </w:r>
      <w:r w:rsidR="00E11A93">
        <w:rPr>
          <w:rFonts w:ascii="Times New Roman" w:hAnsi="Times New Roman"/>
        </w:rPr>
        <w:t xml:space="preserve"> </w:t>
      </w:r>
      <w:r w:rsidR="00B732C1">
        <w:rPr>
          <w:rFonts w:ascii="Times New Roman" w:hAnsi="Times New Roman"/>
        </w:rPr>
        <w:t>three</w:t>
      </w:r>
      <w:r>
        <w:rPr>
          <w:rFonts w:ascii="Times New Roman" w:hAnsi="Times New Roman"/>
        </w:rPr>
        <w:t xml:space="preserve"> respondents </w:t>
      </w:r>
      <w:r w:rsidR="00BA3718">
        <w:rPr>
          <w:rFonts w:ascii="Times New Roman" w:hAnsi="Times New Roman"/>
        </w:rPr>
        <w:t xml:space="preserve">(below) </w:t>
      </w:r>
      <w:r>
        <w:rPr>
          <w:rFonts w:ascii="Times New Roman" w:hAnsi="Times New Roman"/>
        </w:rPr>
        <w:t>on the</w:t>
      </w:r>
      <w:r w:rsidR="007F46C1">
        <w:rPr>
          <w:rFonts w:ascii="Times New Roman" w:hAnsi="Times New Roman"/>
        </w:rPr>
        <w:t xml:space="preserve"> burden hour and cost estimates, </w:t>
      </w:r>
      <w:r w:rsidR="00462DDC">
        <w:rPr>
          <w:rFonts w:ascii="Times New Roman" w:hAnsi="Times New Roman"/>
        </w:rPr>
        <w:t>a</w:t>
      </w:r>
      <w:r>
        <w:rPr>
          <w:rFonts w:ascii="Times New Roman" w:hAnsi="Times New Roman"/>
        </w:rPr>
        <w:t>vailability of data, frequency of collection,</w:t>
      </w:r>
      <w:r w:rsidR="007F46C1">
        <w:rPr>
          <w:rFonts w:ascii="Times New Roman" w:hAnsi="Times New Roman"/>
        </w:rPr>
        <w:t xml:space="preserve"> and </w:t>
      </w:r>
      <w:r>
        <w:rPr>
          <w:rFonts w:ascii="Times New Roman" w:hAnsi="Times New Roman"/>
        </w:rPr>
        <w:t>clarity of instructions.</w:t>
      </w:r>
      <w:r w:rsidR="00E11A93">
        <w:rPr>
          <w:rFonts w:ascii="Times New Roman" w:hAnsi="Times New Roman"/>
        </w:rPr>
        <w:t xml:space="preserve">  The respondents supported our estimates and did not see the need for</w:t>
      </w:r>
      <w:r w:rsidR="000040B7">
        <w:rPr>
          <w:rFonts w:ascii="Times New Roman" w:hAnsi="Times New Roman"/>
        </w:rPr>
        <w:t xml:space="preserve"> any changes and did not recommend</w:t>
      </w:r>
      <w:r w:rsidR="00E11A93">
        <w:rPr>
          <w:rFonts w:ascii="Times New Roman" w:hAnsi="Times New Roman"/>
        </w:rPr>
        <w:t xml:space="preserve"> </w:t>
      </w:r>
      <w:r w:rsidR="000040B7">
        <w:rPr>
          <w:rFonts w:ascii="Times New Roman" w:hAnsi="Times New Roman"/>
        </w:rPr>
        <w:t>any improvements</w:t>
      </w:r>
      <w:r w:rsidR="00E11A93">
        <w:rPr>
          <w:rFonts w:ascii="Times New Roman" w:hAnsi="Times New Roman"/>
        </w:rPr>
        <w:t xml:space="preserve">. </w:t>
      </w:r>
    </w:p>
    <w:p w:rsidR="00900B8C" w:rsidP="0075795F" w:rsidRDefault="00900B8C" w14:paraId="635680CD" w14:textId="77777777">
      <w:pPr>
        <w:widowControl/>
        <w:tabs>
          <w:tab w:val="left" w:pos="18pt"/>
          <w:tab w:val="left" w:pos="36pt"/>
          <w:tab w:val="left" w:pos="54pt"/>
        </w:tabs>
        <w:rPr>
          <w:rFonts w:ascii="Times New Roman" w:hAnsi="Times New Roman"/>
        </w:rPr>
      </w:pPr>
    </w:p>
    <w:tbl>
      <w:tblPr>
        <w:tblW w:w="0pt" w:type="dxa"/>
        <w:tblLook w:val="04a0"/>
      </w:tblPr>
      <w:tblGrid>
        <w:gridCol w:w="5101"/>
        <w:gridCol w:w="5101"/>
      </w:tblGrid>
      <w:tr w:rsidRPr="00E46429" w:rsidR="00900B8C" w:rsidTr="00DF7FA3" w14:paraId="68D601DD" w14:textId="77777777">
        <w:trPr>
          <w:trHeight w:val="1117"/>
        </w:trPr>
        <w:tc>
          <w:tcPr>
            <w:tcW w:w="255.05pt" w:type="dxa"/>
            <w:shd w:val="clear" w:color="auto" w:fill="auto"/>
          </w:tcPr>
          <w:p w:rsidRPr="00F345F4" w:rsidR="00CC505A" w:rsidP="00CC505A" w:rsidRDefault="00CC505A" w14:paraId="089826EC" w14:textId="77777777">
            <w:pPr>
              <w:widowControl/>
              <w:shd w:val="clear" w:color="auto" w:fill="FFFFFF"/>
              <w:ind w:start="25.40pt"/>
              <w:rPr>
                <w:rFonts w:ascii="Times New Roman" w:hAnsi="Times New Roman"/>
                <w:snapToGrid/>
                <w:color w:val="222222"/>
                <w:szCs w:val="24"/>
              </w:rPr>
            </w:pPr>
            <w:r w:rsidRPr="00F345F4">
              <w:rPr>
                <w:rFonts w:ascii="Times New Roman" w:hAnsi="Times New Roman"/>
                <w:snapToGrid/>
                <w:color w:val="222222"/>
                <w:szCs w:val="24"/>
              </w:rPr>
              <w:t>L</w:t>
            </w:r>
            <w:r>
              <w:rPr>
                <w:rFonts w:ascii="Times New Roman" w:hAnsi="Times New Roman"/>
                <w:snapToGrid/>
                <w:color w:val="222222"/>
                <w:szCs w:val="24"/>
              </w:rPr>
              <w:t>and Manger</w:t>
            </w:r>
            <w:r w:rsidRPr="00F345F4">
              <w:rPr>
                <w:rFonts w:ascii="Times New Roman" w:hAnsi="Times New Roman"/>
                <w:snapToGrid/>
                <w:color w:val="222222"/>
                <w:szCs w:val="24"/>
              </w:rPr>
              <w:t xml:space="preserve"> </w:t>
            </w:r>
            <w:r w:rsidRPr="00F345F4">
              <w:rPr>
                <w:rFonts w:ascii="Times New Roman" w:hAnsi="Times New Roman"/>
                <w:snapToGrid/>
                <w:color w:val="222222"/>
                <w:szCs w:val="24"/>
              </w:rPr>
              <w:br/>
            </w:r>
            <w:r>
              <w:rPr>
                <w:rFonts w:ascii="Times New Roman" w:hAnsi="Times New Roman"/>
                <w:snapToGrid/>
                <w:color w:val="222222"/>
                <w:szCs w:val="24"/>
              </w:rPr>
              <w:t>EnVen Energy Ventures, LLC</w:t>
            </w:r>
            <w:r w:rsidRPr="00F345F4">
              <w:rPr>
                <w:rFonts w:ascii="Times New Roman" w:hAnsi="Times New Roman"/>
                <w:snapToGrid/>
                <w:color w:val="222222"/>
                <w:szCs w:val="24"/>
              </w:rPr>
              <w:br/>
            </w:r>
            <w:r>
              <w:rPr>
                <w:rFonts w:ascii="Times New Roman" w:hAnsi="Times New Roman"/>
                <w:snapToGrid/>
                <w:color w:val="222222"/>
                <w:szCs w:val="24"/>
              </w:rPr>
              <w:t>609 Main Street</w:t>
            </w:r>
            <w:r w:rsidRPr="00F345F4">
              <w:rPr>
                <w:rFonts w:ascii="Times New Roman" w:hAnsi="Times New Roman"/>
                <w:snapToGrid/>
                <w:color w:val="222222"/>
                <w:szCs w:val="24"/>
              </w:rPr>
              <w:t xml:space="preserve">, </w:t>
            </w:r>
            <w:r>
              <w:rPr>
                <w:rFonts w:ascii="Times New Roman" w:hAnsi="Times New Roman"/>
                <w:snapToGrid/>
                <w:color w:val="222222"/>
                <w:szCs w:val="24"/>
              </w:rPr>
              <w:t>Suite 3200</w:t>
            </w:r>
            <w:r w:rsidRPr="00F345F4">
              <w:rPr>
                <w:rFonts w:ascii="Times New Roman" w:hAnsi="Times New Roman"/>
                <w:snapToGrid/>
                <w:color w:val="222222"/>
                <w:szCs w:val="24"/>
              </w:rPr>
              <w:br/>
              <w:t>Houston, Texas</w:t>
            </w:r>
            <w:r>
              <w:rPr>
                <w:rFonts w:ascii="Times New Roman" w:hAnsi="Times New Roman"/>
                <w:snapToGrid/>
                <w:color w:val="222222"/>
                <w:szCs w:val="24"/>
              </w:rPr>
              <w:t xml:space="preserve"> </w:t>
            </w:r>
            <w:r w:rsidRPr="00F345F4">
              <w:rPr>
                <w:rFonts w:ascii="Times New Roman" w:hAnsi="Times New Roman"/>
                <w:snapToGrid/>
                <w:color w:val="222222"/>
                <w:szCs w:val="24"/>
              </w:rPr>
              <w:t>770</w:t>
            </w:r>
            <w:r>
              <w:rPr>
                <w:rFonts w:ascii="Times New Roman" w:hAnsi="Times New Roman"/>
                <w:snapToGrid/>
                <w:color w:val="222222"/>
                <w:szCs w:val="24"/>
              </w:rPr>
              <w:t>02</w:t>
            </w:r>
          </w:p>
          <w:p w:rsidRPr="00551C69" w:rsidR="00900B8C" w:rsidP="00900B8C" w:rsidRDefault="00900B8C" w14:paraId="0D8635EB" w14:textId="77777777">
            <w:pPr>
              <w:widowControl/>
              <w:shd w:val="clear" w:color="auto" w:fill="FFFFFF"/>
              <w:ind w:start="25.40pt"/>
              <w:rPr>
                <w:rFonts w:ascii="Times New Roman" w:hAnsi="Times New Roman"/>
                <w:strike/>
                <w:snapToGrid/>
                <w:color w:val="222222"/>
                <w:szCs w:val="24"/>
              </w:rPr>
            </w:pPr>
          </w:p>
          <w:p w:rsidRPr="00B161CD" w:rsidR="00602546" w:rsidP="00900B8C" w:rsidRDefault="00900B8C" w14:paraId="70CF3B5B" w14:textId="77777777">
            <w:pPr>
              <w:widowControl/>
              <w:shd w:val="clear" w:color="auto" w:fill="FFFFFF"/>
              <w:ind w:start="25.40pt"/>
              <w:rPr>
                <w:rFonts w:ascii="Times New Roman" w:hAnsi="Times New Roman"/>
                <w:snapToGrid/>
                <w:color w:val="222222"/>
                <w:szCs w:val="24"/>
              </w:rPr>
            </w:pPr>
            <w:r w:rsidRPr="00B161CD">
              <w:rPr>
                <w:rFonts w:ascii="Times New Roman" w:hAnsi="Times New Roman"/>
                <w:snapToGrid/>
                <w:color w:val="222222"/>
                <w:szCs w:val="24"/>
              </w:rPr>
              <w:t xml:space="preserve">Senior Technician </w:t>
            </w:r>
            <w:r w:rsidRPr="00B161CD">
              <w:rPr>
                <w:rFonts w:ascii="Times New Roman" w:hAnsi="Times New Roman"/>
                <w:snapToGrid/>
                <w:color w:val="222222"/>
                <w:szCs w:val="24"/>
              </w:rPr>
              <w:br/>
              <w:t>Hess Corporation</w:t>
            </w:r>
            <w:r w:rsidRPr="00B161CD">
              <w:rPr>
                <w:rFonts w:ascii="Times New Roman" w:hAnsi="Times New Roman"/>
                <w:snapToGrid/>
                <w:color w:val="222222"/>
                <w:szCs w:val="24"/>
              </w:rPr>
              <w:br/>
              <w:t>1501 McKinney Street</w:t>
            </w:r>
          </w:p>
          <w:p w:rsidRPr="00B161CD" w:rsidR="00900B8C" w:rsidP="00900B8C" w:rsidRDefault="00900B8C" w14:paraId="5924FABB" w14:textId="07587ED4">
            <w:pPr>
              <w:widowControl/>
              <w:shd w:val="clear" w:color="auto" w:fill="FFFFFF"/>
              <w:ind w:start="25.40pt"/>
              <w:rPr>
                <w:rFonts w:ascii="Times New Roman" w:hAnsi="Times New Roman"/>
                <w:snapToGrid/>
                <w:color w:val="222222"/>
                <w:szCs w:val="24"/>
              </w:rPr>
            </w:pPr>
            <w:r w:rsidRPr="00B161CD">
              <w:rPr>
                <w:rFonts w:ascii="Times New Roman" w:hAnsi="Times New Roman"/>
                <w:snapToGrid/>
                <w:color w:val="222222"/>
                <w:szCs w:val="24"/>
              </w:rPr>
              <w:t>Housto</w:t>
            </w:r>
            <w:r w:rsidRPr="00B161CD" w:rsidR="00602546">
              <w:rPr>
                <w:rFonts w:ascii="Times New Roman" w:hAnsi="Times New Roman"/>
                <w:snapToGrid/>
                <w:color w:val="222222"/>
                <w:szCs w:val="24"/>
              </w:rPr>
              <w:t xml:space="preserve">n, Texas </w:t>
            </w:r>
            <w:r w:rsidRPr="00B161CD">
              <w:rPr>
                <w:rFonts w:ascii="Times New Roman" w:hAnsi="Times New Roman"/>
                <w:snapToGrid/>
                <w:color w:val="222222"/>
                <w:szCs w:val="24"/>
              </w:rPr>
              <w:t>77010</w:t>
            </w:r>
          </w:p>
          <w:p w:rsidRPr="00551C69" w:rsidR="00900B8C" w:rsidP="00900B8C" w:rsidRDefault="00900B8C" w14:paraId="7AB3CEB1" w14:textId="77777777">
            <w:pPr>
              <w:widowControl/>
              <w:shd w:val="clear" w:color="auto" w:fill="FFFFFF"/>
              <w:rPr>
                <w:rFonts w:ascii="Times New Roman" w:hAnsi="Times New Roman"/>
                <w:b/>
                <w:bCs/>
                <w:strike/>
                <w:snapToGrid/>
                <w:color w:val="222222"/>
                <w:szCs w:val="24"/>
              </w:rPr>
            </w:pPr>
          </w:p>
        </w:tc>
        <w:tc>
          <w:tcPr>
            <w:tcW w:w="255.05pt" w:type="dxa"/>
            <w:shd w:val="clear" w:color="auto" w:fill="auto"/>
          </w:tcPr>
          <w:p w:rsidR="00900B8C" w:rsidP="00900B8C" w:rsidRDefault="00900B8C" w14:paraId="5F0D58AE" w14:textId="77777777">
            <w:pPr>
              <w:widowControl/>
              <w:shd w:val="clear" w:color="auto" w:fill="FFFFFF"/>
              <w:ind w:start="25.40pt"/>
              <w:rPr>
                <w:rFonts w:ascii="Times New Roman" w:hAnsi="Times New Roman"/>
                <w:snapToGrid/>
                <w:color w:val="222222"/>
                <w:szCs w:val="24"/>
              </w:rPr>
            </w:pPr>
            <w:r w:rsidRPr="00B161CD">
              <w:rPr>
                <w:rFonts w:ascii="Times New Roman" w:hAnsi="Times New Roman"/>
                <w:snapToGrid/>
                <w:color w:val="222222"/>
                <w:szCs w:val="24"/>
              </w:rPr>
              <w:t>Regulatory Coordinator</w:t>
            </w:r>
            <w:r w:rsidRPr="00B161CD">
              <w:rPr>
                <w:rFonts w:ascii="Times New Roman" w:hAnsi="Times New Roman"/>
                <w:snapToGrid/>
                <w:color w:val="222222"/>
                <w:szCs w:val="24"/>
              </w:rPr>
              <w:br/>
              <w:t>LLOG Exploration</w:t>
            </w:r>
            <w:r w:rsidRPr="00B161CD">
              <w:rPr>
                <w:rFonts w:ascii="Times New Roman" w:hAnsi="Times New Roman"/>
                <w:snapToGrid/>
                <w:color w:val="222222"/>
                <w:szCs w:val="24"/>
              </w:rPr>
              <w:br/>
              <w:t>1001 Ochsner Blvd., Suite 100</w:t>
            </w:r>
            <w:r w:rsidRPr="00B161CD">
              <w:rPr>
                <w:rFonts w:ascii="Times New Roman" w:hAnsi="Times New Roman"/>
                <w:snapToGrid/>
                <w:color w:val="222222"/>
                <w:szCs w:val="24"/>
              </w:rPr>
              <w:br/>
              <w:t>Covington, Louisiana 70433</w:t>
            </w:r>
          </w:p>
          <w:p w:rsidR="00B161CD" w:rsidP="00900B8C" w:rsidRDefault="00B161CD" w14:paraId="1E0FF922" w14:textId="77777777">
            <w:pPr>
              <w:widowControl/>
              <w:shd w:val="clear" w:color="auto" w:fill="FFFFFF"/>
              <w:ind w:start="25.40pt"/>
              <w:rPr>
                <w:rFonts w:ascii="Times New Roman" w:hAnsi="Times New Roman"/>
                <w:snapToGrid/>
                <w:color w:val="222222"/>
                <w:szCs w:val="24"/>
              </w:rPr>
            </w:pPr>
          </w:p>
          <w:p w:rsidR="00B161CD" w:rsidP="00900B8C" w:rsidRDefault="00B161CD" w14:paraId="65D552BC" w14:textId="77777777">
            <w:pPr>
              <w:widowControl/>
              <w:shd w:val="clear" w:color="auto" w:fill="FFFFFF"/>
              <w:ind w:start="25.40pt"/>
              <w:rPr>
                <w:rFonts w:ascii="Times New Roman" w:hAnsi="Times New Roman"/>
                <w:snapToGrid/>
                <w:color w:val="222222"/>
                <w:szCs w:val="24"/>
              </w:rPr>
            </w:pPr>
            <w:r>
              <w:rPr>
                <w:rFonts w:ascii="Times New Roman" w:hAnsi="Times New Roman"/>
                <w:snapToGrid/>
                <w:color w:val="222222"/>
                <w:szCs w:val="24"/>
              </w:rPr>
              <w:t>Director, Partner Relations</w:t>
            </w:r>
          </w:p>
          <w:p w:rsidR="00B161CD" w:rsidP="00900B8C" w:rsidRDefault="00B161CD" w14:paraId="43D3D7C7" w14:textId="77777777">
            <w:pPr>
              <w:widowControl/>
              <w:shd w:val="clear" w:color="auto" w:fill="FFFFFF"/>
              <w:ind w:start="25.40pt"/>
              <w:rPr>
                <w:rFonts w:ascii="Times New Roman" w:hAnsi="Times New Roman"/>
                <w:snapToGrid/>
                <w:color w:val="222222"/>
                <w:szCs w:val="24"/>
              </w:rPr>
            </w:pPr>
            <w:r>
              <w:rPr>
                <w:rFonts w:ascii="Times New Roman" w:hAnsi="Times New Roman"/>
                <w:snapToGrid/>
                <w:color w:val="222222"/>
                <w:szCs w:val="24"/>
              </w:rPr>
              <w:t>Hilcorp, Alaska LLC</w:t>
            </w:r>
          </w:p>
          <w:p w:rsidR="00B161CD" w:rsidP="00B161CD" w:rsidRDefault="00B161CD" w14:paraId="3109D332" w14:textId="77777777">
            <w:pPr>
              <w:widowControl/>
              <w:shd w:val="clear" w:color="auto" w:fill="FFFFFF"/>
              <w:ind w:start="25.40pt"/>
              <w:rPr>
                <w:rFonts w:ascii="Times New Roman" w:hAnsi="Times New Roman"/>
                <w:snapToGrid/>
                <w:color w:val="222222"/>
                <w:szCs w:val="24"/>
              </w:rPr>
            </w:pPr>
            <w:r>
              <w:rPr>
                <w:rFonts w:ascii="Times New Roman" w:hAnsi="Times New Roman"/>
                <w:snapToGrid/>
                <w:color w:val="222222"/>
                <w:szCs w:val="24"/>
              </w:rPr>
              <w:t>3800 Centerpoint Drive, Suite 1400</w:t>
            </w:r>
          </w:p>
          <w:p w:rsidR="00B161CD" w:rsidP="00B161CD" w:rsidRDefault="00B161CD" w14:paraId="60F80033" w14:textId="77777777">
            <w:pPr>
              <w:widowControl/>
              <w:shd w:val="clear" w:color="auto" w:fill="FFFFFF"/>
              <w:ind w:start="25.40pt"/>
              <w:rPr>
                <w:rFonts w:ascii="Times New Roman" w:hAnsi="Times New Roman"/>
                <w:snapToGrid/>
                <w:color w:val="222222"/>
                <w:szCs w:val="24"/>
              </w:rPr>
            </w:pPr>
            <w:r>
              <w:rPr>
                <w:rFonts w:ascii="Times New Roman" w:hAnsi="Times New Roman"/>
                <w:snapToGrid/>
                <w:color w:val="222222"/>
                <w:szCs w:val="24"/>
              </w:rPr>
              <w:t>Anchorage, Alaska 99503</w:t>
            </w:r>
          </w:p>
          <w:p w:rsidR="00B161CD" w:rsidP="00B161CD" w:rsidRDefault="00B161CD" w14:paraId="252C98F8" w14:textId="77777777">
            <w:pPr>
              <w:widowControl/>
              <w:shd w:val="clear" w:color="auto" w:fill="FFFFFF"/>
              <w:ind w:start="25.40pt"/>
              <w:rPr>
                <w:rFonts w:ascii="Times New Roman" w:hAnsi="Times New Roman"/>
                <w:snapToGrid/>
                <w:color w:val="222222"/>
                <w:szCs w:val="24"/>
              </w:rPr>
            </w:pPr>
          </w:p>
          <w:p w:rsidR="00B161CD" w:rsidP="00B161CD" w:rsidRDefault="00EF618B" w14:paraId="3A30D9D3" w14:textId="326ACA16">
            <w:pPr>
              <w:widowControl/>
              <w:shd w:val="clear" w:color="auto" w:fill="FFFFFF"/>
              <w:ind w:start="25.40pt"/>
              <w:rPr>
                <w:rFonts w:ascii="Times New Roman" w:hAnsi="Times New Roman"/>
                <w:snapToGrid/>
                <w:color w:val="222222"/>
                <w:szCs w:val="24"/>
              </w:rPr>
            </w:pPr>
            <w:r>
              <w:rPr>
                <w:rFonts w:ascii="Times New Roman" w:hAnsi="Times New Roman"/>
                <w:snapToGrid/>
                <w:color w:val="222222"/>
                <w:szCs w:val="24"/>
              </w:rPr>
              <w:t>Land Technician</w:t>
            </w:r>
          </w:p>
          <w:p w:rsidR="00EF618B" w:rsidP="00B161CD" w:rsidRDefault="00EF618B" w14:paraId="26C2E109" w14:textId="77777777">
            <w:pPr>
              <w:widowControl/>
              <w:shd w:val="clear" w:color="auto" w:fill="FFFFFF"/>
              <w:ind w:start="25.40pt"/>
              <w:rPr>
                <w:rFonts w:ascii="Times New Roman" w:hAnsi="Times New Roman"/>
                <w:snapToGrid/>
                <w:color w:val="222222"/>
                <w:szCs w:val="24"/>
              </w:rPr>
            </w:pPr>
            <w:r>
              <w:rPr>
                <w:rFonts w:ascii="Times New Roman" w:hAnsi="Times New Roman"/>
                <w:snapToGrid/>
                <w:color w:val="222222"/>
                <w:szCs w:val="24"/>
              </w:rPr>
              <w:t>Shell Exploration and Production</w:t>
            </w:r>
          </w:p>
          <w:p w:rsidR="00EF618B" w:rsidP="00B161CD" w:rsidRDefault="00EF618B" w14:paraId="7BDCD976" w14:textId="77777777">
            <w:pPr>
              <w:widowControl/>
              <w:shd w:val="clear" w:color="auto" w:fill="FFFFFF"/>
              <w:ind w:start="25.40pt"/>
              <w:rPr>
                <w:rFonts w:ascii="Times New Roman" w:hAnsi="Times New Roman"/>
                <w:snapToGrid/>
                <w:color w:val="222222"/>
                <w:szCs w:val="24"/>
              </w:rPr>
            </w:pPr>
            <w:r>
              <w:rPr>
                <w:rFonts w:ascii="Times New Roman" w:hAnsi="Times New Roman"/>
                <w:snapToGrid/>
                <w:color w:val="222222"/>
                <w:szCs w:val="24"/>
              </w:rPr>
              <w:t>701 Poydras Street,</w:t>
            </w:r>
          </w:p>
          <w:p w:rsidRPr="00B161CD" w:rsidR="00EF618B" w:rsidP="00B161CD" w:rsidRDefault="00EF618B" w14:paraId="3AF51FE9" w14:textId="11FD030D">
            <w:pPr>
              <w:widowControl/>
              <w:shd w:val="clear" w:color="auto" w:fill="FFFFFF"/>
              <w:ind w:start="25.40pt"/>
              <w:rPr>
                <w:rFonts w:ascii="Times New Roman" w:hAnsi="Times New Roman"/>
                <w:snapToGrid/>
                <w:color w:val="222222"/>
                <w:szCs w:val="24"/>
              </w:rPr>
            </w:pPr>
            <w:r>
              <w:rPr>
                <w:rFonts w:ascii="Times New Roman" w:hAnsi="Times New Roman"/>
                <w:snapToGrid/>
                <w:color w:val="222222"/>
                <w:szCs w:val="24"/>
              </w:rPr>
              <w:t>New Orleans, LA 70139</w:t>
            </w:r>
          </w:p>
        </w:tc>
      </w:tr>
    </w:tbl>
    <w:p w:rsidR="0075795F" w:rsidP="0075795F" w:rsidRDefault="00E11A93" w14:paraId="75125B6A" w14:textId="77777777">
      <w:pPr>
        <w:widowControl/>
        <w:tabs>
          <w:tab w:val="left" w:pos="18pt"/>
          <w:tab w:val="left" w:pos="36pt"/>
          <w:tab w:val="left" w:pos="54pt"/>
        </w:tabs>
        <w:rPr>
          <w:rFonts w:ascii="Times New Roman" w:hAnsi="Times New Roman"/>
        </w:rPr>
      </w:pPr>
      <w:r>
        <w:rPr>
          <w:rFonts w:ascii="Times New Roman" w:hAnsi="Times New Roman"/>
        </w:rPr>
        <w:t xml:space="preserve"> </w:t>
      </w:r>
      <w:r w:rsidR="0075795F">
        <w:rPr>
          <w:rFonts w:ascii="Times New Roman" w:hAnsi="Times New Roman"/>
        </w:rPr>
        <w:t xml:space="preserve"> </w:t>
      </w:r>
    </w:p>
    <w:p w:rsidR="00B161CD" w:rsidP="0075795F" w:rsidRDefault="002B5A28" w14:paraId="5C49F36F" w14:textId="4F42C28D">
      <w:pPr>
        <w:widowControl/>
        <w:tabs>
          <w:tab w:val="left" w:pos="18pt"/>
          <w:tab w:val="left" w:pos="36pt"/>
          <w:tab w:val="left" w:pos="54pt"/>
        </w:tabs>
        <w:rPr>
          <w:rFonts w:ascii="Times New Roman" w:hAnsi="Times New Roman"/>
        </w:rPr>
      </w:pPr>
      <w:r>
        <w:rPr>
          <w:rFonts w:ascii="Times New Roman" w:hAnsi="Times New Roman"/>
        </w:rPr>
        <w:t>Two</w:t>
      </w:r>
      <w:r w:rsidR="00B161CD">
        <w:rPr>
          <w:rFonts w:ascii="Times New Roman" w:hAnsi="Times New Roman"/>
        </w:rPr>
        <w:t xml:space="preserve"> respondent</w:t>
      </w:r>
      <w:r>
        <w:rPr>
          <w:rFonts w:ascii="Times New Roman" w:hAnsi="Times New Roman"/>
        </w:rPr>
        <w:t>s</w:t>
      </w:r>
      <w:r w:rsidR="00B161CD">
        <w:rPr>
          <w:rFonts w:ascii="Times New Roman" w:hAnsi="Times New Roman"/>
        </w:rPr>
        <w:t xml:space="preserve"> said filling the form takes approximately </w:t>
      </w:r>
      <w:r>
        <w:rPr>
          <w:rFonts w:ascii="Times New Roman" w:hAnsi="Times New Roman"/>
        </w:rPr>
        <w:t>6</w:t>
      </w:r>
      <w:r w:rsidR="00B161CD">
        <w:rPr>
          <w:rFonts w:ascii="Times New Roman" w:hAnsi="Times New Roman"/>
        </w:rPr>
        <w:t>0 minutes</w:t>
      </w:r>
      <w:r>
        <w:rPr>
          <w:rFonts w:ascii="Times New Roman" w:hAnsi="Times New Roman"/>
        </w:rPr>
        <w:t xml:space="preserve"> for BOEM-1016, BOEM-1017, BOEM-1021, and BOEM-1022</w:t>
      </w:r>
      <w:r w:rsidR="00B161CD">
        <w:rPr>
          <w:rFonts w:ascii="Times New Roman" w:hAnsi="Times New Roman"/>
        </w:rPr>
        <w:t xml:space="preserve">. </w:t>
      </w:r>
      <w:r>
        <w:rPr>
          <w:rFonts w:ascii="Times New Roman" w:hAnsi="Times New Roman"/>
        </w:rPr>
        <w:t xml:space="preserve">One respondent said the </w:t>
      </w:r>
      <w:r w:rsidR="00B161CD">
        <w:rPr>
          <w:rFonts w:ascii="Times New Roman" w:hAnsi="Times New Roman"/>
        </w:rPr>
        <w:t xml:space="preserve">data is generally available, annual collection is okay, customer service is good when needed. </w:t>
      </w:r>
      <w:r>
        <w:rPr>
          <w:rFonts w:ascii="Times New Roman" w:hAnsi="Times New Roman"/>
        </w:rPr>
        <w:t xml:space="preserve">Another respondent said it </w:t>
      </w:r>
      <w:r w:rsidRPr="002B5A28">
        <w:rPr>
          <w:rFonts w:ascii="Times New Roman" w:hAnsi="Times New Roman"/>
        </w:rPr>
        <w:t>takes me an average of one hour to complete the forms to ensure accuracy, draft the cover letter, confirm the correct BOEM addressee/address (both email and physical)</w:t>
      </w:r>
      <w:r>
        <w:rPr>
          <w:rFonts w:ascii="Times New Roman" w:hAnsi="Times New Roman"/>
        </w:rPr>
        <w:t xml:space="preserve">. If they </w:t>
      </w:r>
      <w:r w:rsidRPr="002B5A28">
        <w:rPr>
          <w:rFonts w:ascii="Times New Roman" w:hAnsi="Times New Roman"/>
        </w:rPr>
        <w:t>have questions</w:t>
      </w:r>
      <w:r>
        <w:rPr>
          <w:rFonts w:ascii="Times New Roman" w:hAnsi="Times New Roman"/>
        </w:rPr>
        <w:t xml:space="preserve"> they need to </w:t>
      </w:r>
      <w:r w:rsidRPr="002B5A28">
        <w:rPr>
          <w:rFonts w:ascii="Times New Roman" w:hAnsi="Times New Roman"/>
        </w:rPr>
        <w:t xml:space="preserve">allow for time to contact someone at BOEM and receive either an email reply or telephone reply if </w:t>
      </w:r>
      <w:r w:rsidR="0009258A">
        <w:rPr>
          <w:rFonts w:ascii="Times New Roman" w:hAnsi="Times New Roman"/>
        </w:rPr>
        <w:t>they</w:t>
      </w:r>
      <w:r w:rsidRPr="002B5A28">
        <w:rPr>
          <w:rFonts w:ascii="Times New Roman" w:hAnsi="Times New Roman"/>
        </w:rPr>
        <w:t xml:space="preserve"> leave a message. </w:t>
      </w:r>
      <w:r>
        <w:rPr>
          <w:rFonts w:ascii="Times New Roman" w:hAnsi="Times New Roman"/>
        </w:rPr>
        <w:t xml:space="preserve">They said they </w:t>
      </w:r>
      <w:r w:rsidRPr="002B5A28">
        <w:rPr>
          <w:rFonts w:ascii="Times New Roman" w:hAnsi="Times New Roman"/>
        </w:rPr>
        <w:t>can easily find the forms on BOEMS website, instructions are relatively clear but there always seems to be some situation</w:t>
      </w:r>
      <w:r>
        <w:rPr>
          <w:rFonts w:ascii="Times New Roman" w:hAnsi="Times New Roman"/>
        </w:rPr>
        <w:t>s</w:t>
      </w:r>
      <w:r w:rsidRPr="002B5A28">
        <w:rPr>
          <w:rFonts w:ascii="Times New Roman" w:hAnsi="Times New Roman"/>
        </w:rPr>
        <w:t xml:space="preserve"> that </w:t>
      </w:r>
      <w:r>
        <w:rPr>
          <w:rFonts w:ascii="Times New Roman" w:hAnsi="Times New Roman"/>
        </w:rPr>
        <w:t>are</w:t>
      </w:r>
      <w:r w:rsidRPr="002B5A28">
        <w:rPr>
          <w:rFonts w:ascii="Times New Roman" w:hAnsi="Times New Roman"/>
        </w:rPr>
        <w:t xml:space="preserve"> not applicable to the standard situation and more clarity </w:t>
      </w:r>
      <w:r w:rsidR="0009258A">
        <w:rPr>
          <w:rFonts w:ascii="Times New Roman" w:hAnsi="Times New Roman"/>
        </w:rPr>
        <w:t xml:space="preserve">might be </w:t>
      </w:r>
      <w:r w:rsidRPr="002B5A28">
        <w:rPr>
          <w:rFonts w:ascii="Times New Roman" w:hAnsi="Times New Roman"/>
        </w:rPr>
        <w:t>needed</w:t>
      </w:r>
      <w:r>
        <w:rPr>
          <w:rFonts w:ascii="Times New Roman" w:hAnsi="Times New Roman"/>
        </w:rPr>
        <w:t>.</w:t>
      </w:r>
    </w:p>
    <w:p w:rsidR="002B5A28" w:rsidP="0075795F" w:rsidRDefault="002B5A28" w14:paraId="291836D1" w14:textId="7F76E8E6">
      <w:pPr>
        <w:widowControl/>
        <w:tabs>
          <w:tab w:val="left" w:pos="18pt"/>
          <w:tab w:val="left" w:pos="36pt"/>
          <w:tab w:val="left" w:pos="54pt"/>
        </w:tabs>
        <w:rPr>
          <w:rFonts w:ascii="Times New Roman" w:hAnsi="Times New Roman"/>
        </w:rPr>
      </w:pPr>
      <w:r>
        <w:rPr>
          <w:rFonts w:ascii="Times New Roman" w:hAnsi="Times New Roman"/>
        </w:rPr>
        <w:t>BOEM has estimated more than 60 minutes to complete the forms and for respondents to correspond with BOEM employees.</w:t>
      </w:r>
    </w:p>
    <w:p w:rsidR="00B161CD" w:rsidP="0075795F" w:rsidRDefault="00B161CD" w14:paraId="1C0CC1F8" w14:textId="77777777">
      <w:pPr>
        <w:widowControl/>
        <w:tabs>
          <w:tab w:val="left" w:pos="18pt"/>
          <w:tab w:val="left" w:pos="36pt"/>
          <w:tab w:val="left" w:pos="54pt"/>
        </w:tabs>
        <w:rPr>
          <w:rFonts w:ascii="Times New Roman" w:hAnsi="Times New Roman"/>
        </w:rPr>
      </w:pPr>
    </w:p>
    <w:p w:rsidR="00E63249" w:rsidP="00E63249" w:rsidRDefault="00E63249" w14:paraId="3079F600" w14:textId="77777777">
      <w:pPr>
        <w:widowControl/>
        <w:tabs>
          <w:tab w:val="left" w:pos="-54pt"/>
          <w:tab w:val="left" w:pos="-36pt"/>
          <w:tab w:val="left" w:pos="18pt"/>
          <w:tab w:val="left" w:pos="36pt"/>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E63249" w:rsidP="009E1E63" w:rsidRDefault="00E63249" w14:paraId="51DF2C99" w14:textId="77777777">
      <w:pPr>
        <w:tabs>
          <w:tab w:val="left" w:pos="36pt"/>
        </w:tabs>
        <w:rPr>
          <w:rFonts w:ascii="Times New Roman" w:hAnsi="Times New Roman"/>
        </w:rPr>
      </w:pPr>
    </w:p>
    <w:p w:rsidR="00B75AD6" w:rsidRDefault="005F7398" w14:paraId="79BED82C" w14:textId="77777777">
      <w:pPr>
        <w:widowControl/>
        <w:tabs>
          <w:tab w:val="left" w:pos="18pt"/>
          <w:tab w:val="left" w:pos="36pt"/>
          <w:tab w:val="left" w:pos="54pt"/>
        </w:tabs>
        <w:rPr>
          <w:rFonts w:ascii="Times New Roman" w:hAnsi="Times New Roman"/>
        </w:rPr>
      </w:pPr>
      <w:r>
        <w:rPr>
          <w:rFonts w:ascii="Times New Roman" w:hAnsi="Times New Roman"/>
        </w:rPr>
        <w:t xml:space="preserve">The </w:t>
      </w:r>
      <w:r w:rsidR="004C34F3">
        <w:rPr>
          <w:rFonts w:ascii="Times New Roman" w:hAnsi="Times New Roman"/>
        </w:rPr>
        <w:t>BOEM</w:t>
      </w:r>
      <w:r w:rsidR="00B75AD6">
        <w:rPr>
          <w:rFonts w:ascii="Times New Roman" w:hAnsi="Times New Roman"/>
        </w:rPr>
        <w:t xml:space="preserve"> will not provide payments or gifts to respondents</w:t>
      </w:r>
      <w:r w:rsidR="00F80ACD">
        <w:rPr>
          <w:rFonts w:ascii="Times New Roman" w:hAnsi="Times New Roman"/>
        </w:rPr>
        <w:t xml:space="preserve"> in this collection</w:t>
      </w:r>
      <w:r w:rsidR="00B75AD6">
        <w:rPr>
          <w:rFonts w:ascii="Times New Roman" w:hAnsi="Times New Roman"/>
        </w:rPr>
        <w:t>.</w:t>
      </w:r>
    </w:p>
    <w:p w:rsidR="00B75AD6" w:rsidRDefault="00B75AD6" w14:paraId="29781416" w14:textId="77777777">
      <w:pPr>
        <w:widowControl/>
        <w:tabs>
          <w:tab w:val="left" w:pos="18pt"/>
          <w:tab w:val="left" w:pos="36pt"/>
          <w:tab w:val="left" w:pos="54pt"/>
        </w:tabs>
        <w:rPr>
          <w:rFonts w:ascii="Times New Roman" w:hAnsi="Times New Roman"/>
        </w:rPr>
      </w:pPr>
    </w:p>
    <w:p w:rsidRPr="00600EEB" w:rsidR="00906BDE" w:rsidP="00906BDE" w:rsidRDefault="00906BDE" w14:paraId="7EA74C75" w14:textId="77777777">
      <w:pPr>
        <w:widowControl/>
        <w:tabs>
          <w:tab w:val="left" w:pos="-54pt"/>
          <w:tab w:val="left" w:pos="-36pt"/>
          <w:tab w:val="left" w:pos="18pt"/>
          <w:tab w:val="left" w:pos="40.50pt"/>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906BDE" w:rsidP="00906BDE" w:rsidRDefault="00906BDE" w14:paraId="732D14BE" w14:textId="77777777">
      <w:pPr>
        <w:widowControl/>
        <w:tabs>
          <w:tab w:val="left" w:pos="-54pt"/>
          <w:tab w:val="left" w:pos="-36pt"/>
          <w:tab w:val="left" w:pos="18pt"/>
          <w:tab w:val="left" w:pos="40.50pt"/>
        </w:tabs>
        <w:rPr>
          <w:rFonts w:ascii="Times New Roman" w:hAnsi="Times New Roman"/>
        </w:rPr>
      </w:pPr>
    </w:p>
    <w:p w:rsidR="00906BDE" w:rsidP="00906BDE" w:rsidRDefault="00F80ACD" w14:paraId="2381C120" w14:textId="77777777">
      <w:pPr>
        <w:widowControl/>
        <w:tabs>
          <w:tab w:val="left" w:pos="-54pt"/>
          <w:tab w:val="left" w:pos="-36pt"/>
          <w:tab w:val="left" w:pos="18pt"/>
          <w:tab w:val="left" w:pos="40.50pt"/>
        </w:tabs>
        <w:rPr>
          <w:rFonts w:ascii="Times New Roman" w:hAnsi="Times New Roman"/>
        </w:rPr>
      </w:pPr>
      <w:r>
        <w:rPr>
          <w:rFonts w:ascii="Times New Roman" w:hAnsi="Times New Roman"/>
        </w:rPr>
        <w:t xml:space="preserve">Respondents are not required to submit confidential or proprietary information.  All public requests for information about an applicant’s OSFR certification will be processed according to the Freedom of Information Act (5 U.S.C. 552) and its implementing regulations (43 CFR 2).  </w:t>
      </w:r>
    </w:p>
    <w:p w:rsidR="00906BDE" w:rsidRDefault="00906BDE" w14:paraId="43DAA518" w14:textId="77777777">
      <w:pPr>
        <w:widowControl/>
        <w:tabs>
          <w:tab w:val="left" w:pos="18pt"/>
          <w:tab w:val="left" w:pos="36pt"/>
          <w:tab w:val="left" w:pos="54pt"/>
        </w:tabs>
        <w:rPr>
          <w:rFonts w:ascii="Times New Roman" w:hAnsi="Times New Roman"/>
          <w:b/>
        </w:rPr>
      </w:pPr>
    </w:p>
    <w:p w:rsidRPr="00600EEB" w:rsidR="00906BDE" w:rsidP="00906BDE" w:rsidRDefault="00906BDE" w14:paraId="35FC5399" w14:textId="77777777">
      <w:pPr>
        <w:widowControl/>
        <w:tabs>
          <w:tab w:val="left" w:pos="-54pt"/>
          <w:tab w:val="left" w:pos="-36pt"/>
          <w:tab w:val="left" w:pos="18pt"/>
          <w:tab w:val="left" w:pos="40.50pt"/>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906BDE" w:rsidP="00906BDE" w:rsidRDefault="00906BDE" w14:paraId="2C1FF22B" w14:textId="77777777">
      <w:pPr>
        <w:widowControl/>
        <w:tabs>
          <w:tab w:val="left" w:pos="-54pt"/>
          <w:tab w:val="left" w:pos="-36pt"/>
          <w:tab w:val="left" w:pos="18pt"/>
          <w:tab w:val="left" w:pos="40.50pt"/>
        </w:tabs>
        <w:rPr>
          <w:rFonts w:ascii="Times New Roman" w:hAnsi="Times New Roman"/>
        </w:rPr>
      </w:pPr>
    </w:p>
    <w:p w:rsidR="00906BDE" w:rsidP="00906BDE" w:rsidRDefault="00906BDE" w14:paraId="609A3070" w14:textId="77777777">
      <w:pPr>
        <w:widowControl/>
        <w:tabs>
          <w:tab w:val="left" w:pos="-54pt"/>
          <w:tab w:val="left" w:pos="-36pt"/>
          <w:tab w:val="left" w:pos="18pt"/>
          <w:tab w:val="left" w:pos="40.50pt"/>
        </w:tabs>
        <w:rPr>
          <w:rFonts w:ascii="Times New Roman" w:hAnsi="Times New Roman"/>
        </w:rPr>
      </w:pPr>
      <w:r>
        <w:rPr>
          <w:rFonts w:ascii="Times New Roman" w:hAnsi="Times New Roman"/>
        </w:rPr>
        <w:t>The collection does not include sensitive or private questions.</w:t>
      </w:r>
    </w:p>
    <w:p w:rsidR="00906BDE" w:rsidRDefault="00B75AD6" w14:paraId="16412A35" w14:textId="77777777">
      <w:pPr>
        <w:widowControl/>
        <w:tabs>
          <w:tab w:val="left" w:pos="18pt"/>
          <w:tab w:val="left" w:pos="36pt"/>
          <w:tab w:val="left" w:pos="54pt"/>
        </w:tabs>
        <w:rPr>
          <w:rFonts w:ascii="Times New Roman" w:hAnsi="Times New Roman"/>
          <w:b/>
        </w:rPr>
      </w:pPr>
      <w:r>
        <w:rPr>
          <w:rFonts w:ascii="Times New Roman" w:hAnsi="Times New Roman"/>
          <w:b/>
        </w:rPr>
        <w:tab/>
      </w:r>
    </w:p>
    <w:p w:rsidRPr="00AA3C0C" w:rsidR="00AA3C0C" w:rsidP="00AA3C0C" w:rsidRDefault="00906BDE" w14:paraId="5CFCEDD9"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ind w:start="18pt" w:hanging="18pt"/>
        <w:rPr>
          <w:rFonts w:ascii="Times New Roman" w:hAnsi="Times New Roman"/>
          <w:b/>
          <w:i/>
          <w:snapToGrid/>
          <w:szCs w:val="24"/>
        </w:rPr>
      </w:pPr>
      <w:r w:rsidRPr="00600EEB">
        <w:rPr>
          <w:rFonts w:ascii="Times New Roman" w:hAnsi="Times New Roman"/>
          <w:b/>
          <w:i/>
        </w:rPr>
        <w:t>12.</w:t>
      </w:r>
      <w:r w:rsidRPr="00AA3C0C">
        <w:rPr>
          <w:rFonts w:ascii="Times New Roman" w:hAnsi="Times New Roman"/>
          <w:b/>
          <w:i/>
        </w:rPr>
        <w:tab/>
      </w:r>
      <w:r w:rsidRPr="00AA3C0C" w:rsidR="00AA3C0C">
        <w:rPr>
          <w:rFonts w:ascii="Times New Roman" w:hAnsi="Times New Roman"/>
          <w:b/>
          <w:i/>
          <w:snapToGrid/>
          <w:szCs w:val="24"/>
        </w:rPr>
        <w:t>Provide estimates of the hour burden of the collection of information.  The statement should:</w:t>
      </w:r>
    </w:p>
    <w:p w:rsidR="00AA3C0C" w:rsidP="00AA3C0C" w:rsidRDefault="00AA3C0C" w14:paraId="6E3D7951"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ind w:start="36pt" w:hanging="36pt"/>
        <w:rPr>
          <w:rFonts w:ascii="Times New Roman" w:hAnsi="Times New Roman"/>
          <w:b/>
          <w:i/>
          <w:snapToGrid/>
          <w:szCs w:val="24"/>
        </w:rPr>
      </w:pPr>
    </w:p>
    <w:p w:rsidR="00AA3C0C" w:rsidP="00F365EE" w:rsidRDefault="00AA3C0C" w14:paraId="47641050"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rPr>
          <w:rFonts w:ascii="Times New Roman" w:hAnsi="Times New Roman"/>
          <w:b/>
          <w:i/>
          <w:snapToGrid/>
          <w:szCs w:val="24"/>
        </w:rPr>
      </w:pPr>
      <w:r>
        <w:rPr>
          <w:rFonts w:ascii="Times New Roman" w:hAnsi="Times New Roman"/>
          <w:b/>
          <w:i/>
          <w:snapToGrid/>
          <w:szCs w:val="24"/>
        </w:rPr>
        <w:tab/>
        <w:t>(a)</w:t>
      </w:r>
      <w:r w:rsidRPr="00AA3C0C">
        <w:rPr>
          <w:rFonts w:ascii="Times New Roman" w:hAnsi="Times New Roman"/>
          <w:b/>
          <w:i/>
          <w:snapToGrid/>
          <w:szCs w:val="24"/>
        </w:rPr>
        <w:tab/>
        <w:t>Indicate the number of respondents, frequency of respo</w:t>
      </w:r>
      <w:r>
        <w:rPr>
          <w:rFonts w:ascii="Times New Roman" w:hAnsi="Times New Roman"/>
          <w:b/>
          <w:i/>
          <w:snapToGrid/>
          <w:szCs w:val="24"/>
        </w:rPr>
        <w:t xml:space="preserve">nse, annual hour burden, and an </w:t>
      </w:r>
      <w:r w:rsidRPr="00AA3C0C">
        <w:rPr>
          <w:rFonts w:ascii="Times New Roman" w:hAnsi="Times New Roman"/>
          <w:b/>
          <w:i/>
          <w:snapToGrid/>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A3C0C" w:rsidR="00AA3C0C" w:rsidP="00F365EE" w:rsidRDefault="00AA3C0C" w14:paraId="64D29883"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rPr>
          <w:rFonts w:ascii="Times New Roman" w:hAnsi="Times New Roman"/>
          <w:b/>
          <w:i/>
          <w:snapToGrid/>
          <w:szCs w:val="24"/>
        </w:rPr>
      </w:pPr>
    </w:p>
    <w:p w:rsidRPr="00AA3C0C" w:rsidR="00AA3C0C" w:rsidP="00AA3C0C" w:rsidRDefault="00AA3C0C" w14:paraId="7E31D66B"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rPr>
          <w:rFonts w:ascii="Times New Roman" w:hAnsi="Times New Roman"/>
          <w:b/>
          <w:i/>
          <w:snapToGrid/>
          <w:szCs w:val="24"/>
        </w:rPr>
      </w:pPr>
      <w:r>
        <w:rPr>
          <w:rFonts w:ascii="Times New Roman" w:hAnsi="Times New Roman"/>
          <w:b/>
          <w:i/>
          <w:snapToGrid/>
          <w:szCs w:val="24"/>
        </w:rPr>
        <w:tab/>
        <w:t xml:space="preserve">(b) </w:t>
      </w:r>
      <w:r w:rsidRPr="00AA3C0C">
        <w:rPr>
          <w:rFonts w:ascii="Times New Roman" w:hAnsi="Times New Roman"/>
          <w:b/>
          <w:i/>
          <w:snapToGrid/>
          <w:szCs w:val="24"/>
        </w:rPr>
        <w:t>If this request for approval covers more than one form, provide separate hour burden estimates for each form and aggregate the hour burdens.</w:t>
      </w:r>
    </w:p>
    <w:p w:rsidR="00AA3C0C" w:rsidP="00AA3C0C" w:rsidRDefault="00AA3C0C" w14:paraId="58FBB83D"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rPr>
          <w:rFonts w:ascii="Times New Roman" w:hAnsi="Times New Roman"/>
          <w:b/>
          <w:i/>
          <w:snapToGrid/>
          <w:szCs w:val="24"/>
        </w:rPr>
      </w:pPr>
    </w:p>
    <w:p w:rsidR="00044EE5" w:rsidP="009E7F9B" w:rsidRDefault="00AA3C0C" w14:paraId="4BD7CF41" w14:textId="26FB4B3F">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rPr>
          <w:rFonts w:ascii="Times New Roman" w:hAnsi="Times New Roman"/>
        </w:rPr>
      </w:pPr>
      <w:r>
        <w:rPr>
          <w:rFonts w:ascii="Times New Roman" w:hAnsi="Times New Roman"/>
          <w:b/>
          <w:i/>
          <w:snapToGrid/>
          <w:szCs w:val="24"/>
        </w:rPr>
        <w:tab/>
      </w:r>
      <w:r w:rsidR="00B75AD6">
        <w:rPr>
          <w:rFonts w:ascii="Times New Roman" w:hAnsi="Times New Roman"/>
        </w:rPr>
        <w:t xml:space="preserve">Respondents are </w:t>
      </w:r>
      <w:r w:rsidR="00F158F3">
        <w:rPr>
          <w:rFonts w:ascii="Times New Roman" w:hAnsi="Times New Roman"/>
        </w:rPr>
        <w:t xml:space="preserve">lessees, permittees, and </w:t>
      </w:r>
      <w:r w:rsidRPr="008673D1" w:rsidR="00B75AD6">
        <w:rPr>
          <w:rFonts w:ascii="Times New Roman" w:hAnsi="Times New Roman"/>
        </w:rPr>
        <w:t xml:space="preserve">holders of </w:t>
      </w:r>
      <w:r w:rsidR="00F158F3">
        <w:rPr>
          <w:rFonts w:ascii="Times New Roman" w:hAnsi="Times New Roman"/>
        </w:rPr>
        <w:t>pipeline right-of</w:t>
      </w:r>
      <w:r w:rsidR="00BA0313">
        <w:rPr>
          <w:rFonts w:ascii="Times New Roman" w:hAnsi="Times New Roman"/>
        </w:rPr>
        <w:t>-</w:t>
      </w:r>
      <w:r w:rsidR="00F158F3">
        <w:rPr>
          <w:rFonts w:ascii="Times New Roman" w:hAnsi="Times New Roman"/>
        </w:rPr>
        <w:t>way and right-of-use and</w:t>
      </w:r>
      <w:r w:rsidR="00BA0313">
        <w:rPr>
          <w:rFonts w:ascii="Times New Roman" w:hAnsi="Times New Roman"/>
        </w:rPr>
        <w:t>-</w:t>
      </w:r>
      <w:r w:rsidR="00F158F3">
        <w:rPr>
          <w:rFonts w:ascii="Times New Roman" w:hAnsi="Times New Roman"/>
        </w:rPr>
        <w:t xml:space="preserve">easement grants </w:t>
      </w:r>
      <w:r w:rsidRPr="008673D1" w:rsidR="00B75AD6">
        <w:rPr>
          <w:rFonts w:ascii="Times New Roman" w:hAnsi="Times New Roman"/>
        </w:rPr>
        <w:t xml:space="preserve">in the OCS and in State coastal waters who will appoint designated applicants.  Other respondents will be the designated applicants’ insurance agents and brokers, bonding companies, and </w:t>
      </w:r>
      <w:r w:rsidR="00A40174">
        <w:rPr>
          <w:rFonts w:ascii="Times New Roman" w:hAnsi="Times New Roman"/>
        </w:rPr>
        <w:t>g</w:t>
      </w:r>
      <w:r w:rsidR="006D2268">
        <w:rPr>
          <w:rFonts w:ascii="Times New Roman" w:hAnsi="Times New Roman"/>
        </w:rPr>
        <w:t>uarantors</w:t>
      </w:r>
      <w:r w:rsidRPr="008673D1" w:rsidR="00B75AD6">
        <w:rPr>
          <w:rFonts w:ascii="Times New Roman" w:hAnsi="Times New Roman"/>
        </w:rPr>
        <w:t>.  Some respondents may also be claimants.  The frequency of submission will vary, but most will respond at least once per year.</w:t>
      </w:r>
      <w:r w:rsidR="00B75AD6">
        <w:rPr>
          <w:rFonts w:ascii="Times New Roman" w:hAnsi="Times New Roman"/>
        </w:rPr>
        <w:t xml:space="preserve">  We estimate the total annual burden is </w:t>
      </w:r>
      <w:r w:rsidR="00311AF4">
        <w:rPr>
          <w:rFonts w:ascii="Times New Roman" w:hAnsi="Times New Roman"/>
        </w:rPr>
        <w:t>34,695</w:t>
      </w:r>
      <w:r w:rsidR="00B75AD6">
        <w:rPr>
          <w:rFonts w:ascii="Times New Roman" w:hAnsi="Times New Roman"/>
        </w:rPr>
        <w:t xml:space="preserve"> reporting hours.  </w:t>
      </w:r>
    </w:p>
    <w:p w:rsidR="0065162B" w:rsidP="00906BDE" w:rsidRDefault="0065162B" w14:paraId="3136DB50" w14:textId="77777777">
      <w:pPr>
        <w:widowControl/>
        <w:tabs>
          <w:tab w:val="left" w:pos="18pt"/>
          <w:tab w:val="left" w:pos="36pt"/>
          <w:tab w:val="left" w:pos="54pt"/>
        </w:tabs>
        <w:rPr>
          <w:rFonts w:ascii="Times New Roman" w:hAnsi="Times New Roman"/>
        </w:rPr>
      </w:pPr>
    </w:p>
    <w:p w:rsidR="00F27205" w:rsidP="00F27205" w:rsidRDefault="00F27205" w14:paraId="208858B7" w14:textId="77777777">
      <w:pPr>
        <w:widowControl/>
        <w:tabs>
          <w:tab w:val="left" w:pos="18pt"/>
          <w:tab w:val="left" w:pos="36pt"/>
          <w:tab w:val="left" w:pos="54pt"/>
        </w:tabs>
        <w:jc w:val="center"/>
        <w:rPr>
          <w:rFonts w:ascii="Times New Roman" w:hAnsi="Times New Roman"/>
          <w:b/>
        </w:rPr>
      </w:pPr>
      <w:r w:rsidRPr="00F27205">
        <w:rPr>
          <w:rFonts w:ascii="Times New Roman" w:hAnsi="Times New Roman"/>
          <w:b/>
        </w:rPr>
        <w:t>BURDEN BREAKDOWN</w:t>
      </w:r>
    </w:p>
    <w:p w:rsidR="0037597C" w:rsidP="00F27205" w:rsidRDefault="0037597C" w14:paraId="29C0375A" w14:textId="77777777">
      <w:pPr>
        <w:widowControl/>
        <w:tabs>
          <w:tab w:val="left" w:pos="18pt"/>
          <w:tab w:val="left" w:pos="36pt"/>
          <w:tab w:val="left" w:pos="54pt"/>
        </w:tabs>
        <w:jc w:val="center"/>
        <w:rPr>
          <w:rFonts w:ascii="Times New Roman" w:hAnsi="Times New Roman"/>
          <w:b/>
        </w:rPr>
      </w:pPr>
    </w:p>
    <w:p w:rsidR="0037597C" w:rsidP="00F27205" w:rsidRDefault="0037597C" w14:paraId="4E184D7D" w14:textId="77777777">
      <w:pPr>
        <w:widowControl/>
        <w:tabs>
          <w:tab w:val="left" w:pos="18pt"/>
          <w:tab w:val="left" w:pos="36pt"/>
          <w:tab w:val="left" w:pos="54pt"/>
        </w:tabs>
        <w:jc w:val="center"/>
        <w:rPr>
          <w:rFonts w:ascii="Times New Roman" w:hAnsi="Times New Roman"/>
          <w:b/>
        </w:rPr>
      </w:pPr>
    </w:p>
    <w:tbl>
      <w:tblPr>
        <w:tblW w:w="436.50pt" w:type="dxa"/>
        <w:tblInd w:w="6pt" w:type="dxa"/>
        <w:tblLayout w:type="fixed"/>
        <w:tblCellMar>
          <w:start w:w="6pt" w:type="dxa"/>
          <w:end w:w="6pt" w:type="dxa"/>
        </w:tblCellMar>
        <w:tblLook w:val="0000"/>
      </w:tblPr>
      <w:tblGrid>
        <w:gridCol w:w="1080"/>
        <w:gridCol w:w="4320"/>
        <w:gridCol w:w="990"/>
        <w:gridCol w:w="1170"/>
        <w:gridCol w:w="1170"/>
      </w:tblGrid>
      <w:tr w:rsidRPr="0037597C" w:rsidR="0037597C" w:rsidTr="00DF7FA3" w14:paraId="5C2D0A5F" w14:textId="77777777">
        <w:trPr>
          <w:trHeight w:val="563"/>
          <w:tblHeader/>
        </w:trPr>
        <w:tc>
          <w:tcPr>
            <w:tcW w:w="54pt" w:type="dxa"/>
            <w:vMerge w:val="restart"/>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15618D6E" w14:textId="77777777">
            <w:pPr>
              <w:keepNext/>
              <w:keepLines/>
              <w:widowControl/>
              <w:tabs>
                <w:tab w:val="left" w:pos="-54pt"/>
                <w:tab w:val="left" w:pos="-36pt"/>
                <w:tab w:val="left" w:pos="0pt"/>
                <w:tab w:val="left" w:pos="22.50pt"/>
                <w:tab w:val="left" w:pos="45pt"/>
                <w:tab w:val="left" w:pos="67.50pt"/>
                <w:tab w:val="left" w:pos="90pt"/>
                <w:tab w:val="left" w:pos="144pt"/>
              </w:tabs>
              <w:jc w:val="center"/>
              <w:rPr>
                <w:rFonts w:ascii="Times New Roman" w:hAnsi="Times New Roman"/>
                <w:b/>
                <w:sz w:val="22"/>
                <w:szCs w:val="22"/>
              </w:rPr>
            </w:pPr>
          </w:p>
          <w:p w:rsidRPr="0037597C" w:rsidR="0037597C" w:rsidP="0037597C" w:rsidRDefault="0037597C" w14:paraId="5A7B6058" w14:textId="77777777">
            <w:pPr>
              <w:keepNext/>
              <w:keepLines/>
              <w:widowControl/>
              <w:tabs>
                <w:tab w:val="left" w:pos="-54pt"/>
                <w:tab w:val="left" w:pos="-36pt"/>
                <w:tab w:val="left" w:pos="0pt"/>
                <w:tab w:val="left" w:pos="22.50pt"/>
                <w:tab w:val="left" w:pos="45pt"/>
                <w:tab w:val="left" w:pos="67.50pt"/>
                <w:tab w:val="left" w:pos="90pt"/>
                <w:tab w:val="left" w:pos="144pt"/>
              </w:tabs>
              <w:jc w:val="center"/>
              <w:rPr>
                <w:rFonts w:ascii="Times New Roman" w:hAnsi="Times New Roman"/>
                <w:b/>
                <w:sz w:val="22"/>
                <w:szCs w:val="22"/>
              </w:rPr>
            </w:pPr>
            <w:r w:rsidRPr="0037597C">
              <w:rPr>
                <w:rFonts w:ascii="Times New Roman" w:hAnsi="Times New Roman"/>
                <w:b/>
                <w:sz w:val="22"/>
                <w:szCs w:val="22"/>
              </w:rPr>
              <w:t>Citation</w:t>
            </w:r>
          </w:p>
          <w:p w:rsidRPr="0037597C" w:rsidR="0037597C" w:rsidP="0037597C" w:rsidRDefault="0037597C" w14:paraId="4A2BF054" w14:textId="77777777">
            <w:pPr>
              <w:keepNext/>
              <w:keepLines/>
              <w:widowControl/>
              <w:tabs>
                <w:tab w:val="left" w:pos="-54pt"/>
                <w:tab w:val="left" w:pos="-36pt"/>
                <w:tab w:val="left" w:pos="0pt"/>
                <w:tab w:val="left" w:pos="22.50pt"/>
                <w:tab w:val="left" w:pos="45pt"/>
                <w:tab w:val="left" w:pos="67.50pt"/>
                <w:tab w:val="left" w:pos="90pt"/>
                <w:tab w:val="left" w:pos="144pt"/>
              </w:tabs>
              <w:jc w:val="center"/>
              <w:rPr>
                <w:rFonts w:ascii="Times New Roman" w:hAnsi="Times New Roman"/>
                <w:b/>
                <w:sz w:val="22"/>
                <w:szCs w:val="22"/>
              </w:rPr>
            </w:pPr>
            <w:r w:rsidRPr="0037597C">
              <w:rPr>
                <w:rFonts w:ascii="Times New Roman" w:hAnsi="Times New Roman"/>
                <w:b/>
                <w:sz w:val="22"/>
                <w:szCs w:val="22"/>
              </w:rPr>
              <w:t>30 CFR part 553</w:t>
            </w:r>
          </w:p>
        </w:tc>
        <w:tc>
          <w:tcPr>
            <w:tcW w:w="216pt" w:type="dxa"/>
            <w:vMerge w:val="restart"/>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12AF909F"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sz w:val="22"/>
                <w:szCs w:val="22"/>
              </w:rPr>
            </w:pPr>
            <w:r w:rsidRPr="0037597C">
              <w:rPr>
                <w:rFonts w:ascii="Times New Roman" w:hAnsi="Times New Roman"/>
                <w:b/>
                <w:sz w:val="22"/>
                <w:szCs w:val="22"/>
              </w:rPr>
              <w:t>Reporting Requirement*</w:t>
            </w:r>
          </w:p>
        </w:tc>
        <w:tc>
          <w:tcPr>
            <w:tcW w:w="49.50pt" w:type="dxa"/>
            <w:vMerge w:val="restart"/>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744BEFE3"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sz w:val="22"/>
                <w:szCs w:val="22"/>
              </w:rPr>
            </w:pPr>
            <w:r w:rsidRPr="0037597C">
              <w:rPr>
                <w:rFonts w:ascii="Times New Roman" w:hAnsi="Times New Roman"/>
                <w:b/>
                <w:sz w:val="22"/>
                <w:szCs w:val="22"/>
              </w:rPr>
              <w:t>Hour Burden</w:t>
            </w:r>
          </w:p>
        </w:tc>
        <w:tc>
          <w:tcPr>
            <w:tcW w:w="58.50pt" w:type="dxa"/>
            <w:vMerge w:val="restart"/>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203EC649"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sz w:val="22"/>
                <w:szCs w:val="22"/>
              </w:rPr>
            </w:pPr>
            <w:r w:rsidRPr="0037597C">
              <w:rPr>
                <w:rFonts w:ascii="Times New Roman" w:hAnsi="Times New Roman"/>
                <w:b/>
                <w:sz w:val="22"/>
                <w:szCs w:val="22"/>
              </w:rPr>
              <w:t>Average No. of Annual Reponses</w:t>
            </w:r>
          </w:p>
        </w:tc>
        <w:tc>
          <w:tcPr>
            <w:tcW w:w="58.50pt" w:type="dxa"/>
            <w:vMerge w:val="restart"/>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2349AAE0"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sz w:val="22"/>
                <w:szCs w:val="22"/>
              </w:rPr>
            </w:pPr>
            <w:r w:rsidRPr="0037597C">
              <w:rPr>
                <w:rFonts w:ascii="Times New Roman" w:hAnsi="Times New Roman"/>
                <w:b/>
                <w:sz w:val="22"/>
                <w:szCs w:val="22"/>
              </w:rPr>
              <w:t>Annual Burden Hours</w:t>
            </w:r>
          </w:p>
        </w:tc>
      </w:tr>
      <w:tr w:rsidRPr="0037597C" w:rsidR="0037597C" w:rsidTr="00DF7FA3" w14:paraId="21DB1ADF" w14:textId="77777777">
        <w:trPr>
          <w:trHeight w:val="646"/>
          <w:tblHeader/>
        </w:trPr>
        <w:tc>
          <w:tcPr>
            <w:tcW w:w="54pt" w:type="dxa"/>
            <w:vMerge/>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46F3C4CA" w14:textId="77777777">
            <w:pPr>
              <w:keepNext/>
              <w:keepLines/>
              <w:widowControl/>
              <w:tabs>
                <w:tab w:val="left" w:pos="-54pt"/>
                <w:tab w:val="left" w:pos="-36pt"/>
                <w:tab w:val="left" w:pos="0pt"/>
                <w:tab w:val="left" w:pos="22.50pt"/>
                <w:tab w:val="left" w:pos="45pt"/>
                <w:tab w:val="left" w:pos="67.50pt"/>
                <w:tab w:val="left" w:pos="90pt"/>
                <w:tab w:val="left" w:pos="144pt"/>
              </w:tabs>
              <w:jc w:val="center"/>
              <w:rPr>
                <w:rFonts w:ascii="Times New Roman" w:hAnsi="Times New Roman"/>
                <w:b/>
                <w:sz w:val="20"/>
              </w:rPr>
            </w:pPr>
          </w:p>
        </w:tc>
        <w:tc>
          <w:tcPr>
            <w:tcW w:w="216pt" w:type="dxa"/>
            <w:vMerge/>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10D150E7" w14:textId="77777777">
            <w:pPr>
              <w:widowControl/>
              <w:tabs>
                <w:tab w:val="left" w:pos="-54pt"/>
                <w:tab w:val="left" w:pos="-36pt"/>
                <w:tab w:val="left" w:pos="0pt"/>
                <w:tab w:val="left" w:pos="27pt"/>
                <w:tab w:val="left" w:pos="49.50pt"/>
                <w:tab w:val="left" w:pos="72pt"/>
                <w:tab w:val="left" w:pos="144pt"/>
              </w:tabs>
              <w:spacing w:after="2.90pt"/>
              <w:jc w:val="center"/>
              <w:rPr>
                <w:rFonts w:ascii="Times New Roman" w:hAnsi="Times New Roman"/>
                <w:b/>
                <w:sz w:val="20"/>
              </w:rPr>
            </w:pPr>
          </w:p>
        </w:tc>
        <w:tc>
          <w:tcPr>
            <w:tcW w:w="49.50pt" w:type="dxa"/>
            <w:vMerge/>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49196763" w14:textId="77777777">
            <w:pPr>
              <w:widowControl/>
              <w:tabs>
                <w:tab w:val="left" w:pos="-54pt"/>
                <w:tab w:val="left" w:pos="-36pt"/>
                <w:tab w:val="left" w:pos="0pt"/>
                <w:tab w:val="left" w:pos="27pt"/>
                <w:tab w:val="left" w:pos="49.50pt"/>
                <w:tab w:val="left" w:pos="72pt"/>
                <w:tab w:val="left" w:pos="144pt"/>
              </w:tabs>
              <w:spacing w:after="2.90pt"/>
              <w:jc w:val="center"/>
              <w:rPr>
                <w:rFonts w:ascii="Times New Roman" w:hAnsi="Times New Roman"/>
                <w:b/>
                <w:sz w:val="20"/>
              </w:rPr>
            </w:pPr>
          </w:p>
        </w:tc>
        <w:tc>
          <w:tcPr>
            <w:tcW w:w="58.50pt" w:type="dxa"/>
            <w:vMerge/>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6EA02704" w14:textId="77777777">
            <w:pPr>
              <w:widowControl/>
              <w:tabs>
                <w:tab w:val="left" w:pos="-54pt"/>
                <w:tab w:val="left" w:pos="-36pt"/>
                <w:tab w:val="left" w:pos="0pt"/>
                <w:tab w:val="left" w:pos="27pt"/>
                <w:tab w:val="left" w:pos="49.50pt"/>
                <w:tab w:val="left" w:pos="72pt"/>
                <w:tab w:val="left" w:pos="144pt"/>
              </w:tabs>
              <w:spacing w:after="2.90pt"/>
              <w:jc w:val="center"/>
              <w:rPr>
                <w:rFonts w:ascii="Times New Roman" w:hAnsi="Times New Roman"/>
                <w:b/>
                <w:sz w:val="20"/>
              </w:rPr>
            </w:pPr>
          </w:p>
        </w:tc>
        <w:tc>
          <w:tcPr>
            <w:tcW w:w="58.50pt" w:type="dxa"/>
            <w:vMerge/>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1105AD6E" w14:textId="77777777">
            <w:pPr>
              <w:widowControl/>
              <w:tabs>
                <w:tab w:val="left" w:pos="-54pt"/>
                <w:tab w:val="left" w:pos="-36pt"/>
                <w:tab w:val="left" w:pos="0pt"/>
                <w:tab w:val="left" w:pos="27pt"/>
                <w:tab w:val="left" w:pos="49.50pt"/>
                <w:tab w:val="left" w:pos="72pt"/>
                <w:tab w:val="left" w:pos="144pt"/>
              </w:tabs>
              <w:spacing w:after="2.90pt"/>
              <w:jc w:val="center"/>
              <w:rPr>
                <w:rFonts w:ascii="Times New Roman" w:hAnsi="Times New Roman"/>
                <w:b/>
                <w:sz w:val="20"/>
              </w:rPr>
            </w:pPr>
          </w:p>
        </w:tc>
      </w:tr>
      <w:tr w:rsidRPr="0037597C" w:rsidR="0037597C" w:rsidTr="00DF7FA3" w14:paraId="091D16C8" w14:textId="77777777">
        <w:trPr>
          <w:trHeight w:val="466"/>
        </w:trPr>
        <w:tc>
          <w:tcPr>
            <w:tcW w:w="54pt" w:type="dxa"/>
            <w:tcBorders>
              <w:top w:val="single" w:color="000000" w:sz="8" w:space="0"/>
              <w:start w:val="single" w:color="000000" w:sz="7" w:space="0"/>
              <w:bottom w:val="single" w:color="000000" w:sz="8" w:space="0"/>
              <w:end w:val="single" w:color="000000" w:sz="7" w:space="0"/>
            </w:tcBorders>
          </w:tcPr>
          <w:p w:rsidRPr="0037597C" w:rsidR="0037597C" w:rsidP="0037597C" w:rsidRDefault="0037597C" w14:paraId="6DA2A28B" w14:textId="77777777">
            <w:pPr>
              <w:widowControl/>
              <w:tabs>
                <w:tab w:val="left" w:pos="-54pt"/>
                <w:tab w:val="left" w:pos="-36pt"/>
                <w:tab w:val="left" w:pos="27pt"/>
                <w:tab w:val="left" w:pos="49.50pt"/>
                <w:tab w:val="left" w:pos="72pt"/>
                <w:tab w:val="left" w:pos="144pt"/>
              </w:tabs>
              <w:ind w:start="0.50pt" w:end="-6pt"/>
              <w:rPr>
                <w:rFonts w:ascii="Times New Roman" w:hAnsi="Times New Roman"/>
                <w:sz w:val="20"/>
              </w:rPr>
            </w:pPr>
            <w:r w:rsidRPr="0037597C">
              <w:rPr>
                <w:rFonts w:ascii="Times New Roman" w:hAnsi="Times New Roman"/>
                <w:sz w:val="20"/>
              </w:rPr>
              <w:t>Various     sections.</w:t>
            </w:r>
          </w:p>
        </w:tc>
        <w:tc>
          <w:tcPr>
            <w:tcW w:w="324pt" w:type="dxa"/>
            <w:gridSpan w:val="3"/>
            <w:tcBorders>
              <w:top w:val="single" w:color="000000" w:sz="8" w:space="0"/>
              <w:start w:val="single" w:color="000000" w:sz="7" w:space="0"/>
              <w:bottom w:val="single" w:color="000000" w:sz="8" w:space="0"/>
              <w:end w:val="single" w:color="000000" w:sz="7" w:space="0"/>
            </w:tcBorders>
          </w:tcPr>
          <w:p w:rsidRPr="0037597C" w:rsidR="0037597C" w:rsidP="0037597C" w:rsidRDefault="0037597C" w14:paraId="13429DEB"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The burdens for all references to submitting evidence of OSFR, as well as required or supporting information, are covered with the forms below.</w:t>
            </w:r>
          </w:p>
        </w:tc>
        <w:tc>
          <w:tcPr>
            <w:tcW w:w="58.50pt" w:type="dxa"/>
            <w:tcBorders>
              <w:top w:val="single" w:color="000000" w:sz="8" w:space="0"/>
              <w:start w:val="single" w:color="000000" w:sz="7" w:space="0"/>
              <w:bottom w:val="single" w:color="000000" w:sz="8" w:space="0"/>
              <w:end w:val="single" w:color="000000" w:sz="7" w:space="0"/>
            </w:tcBorders>
          </w:tcPr>
          <w:p w:rsidRPr="0037597C" w:rsidR="0037597C" w:rsidP="0037597C" w:rsidRDefault="0037597C" w14:paraId="7DB0F7BD"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0</w:t>
            </w:r>
          </w:p>
        </w:tc>
      </w:tr>
      <w:tr w:rsidRPr="0037597C" w:rsidR="0037597C" w:rsidTr="00DF7FA3" w14:paraId="5C84911F" w14:textId="77777777">
        <w:tc>
          <w:tcPr>
            <w:tcW w:w="436.50pt" w:type="dxa"/>
            <w:gridSpan w:val="5"/>
            <w:tcBorders>
              <w:top w:val="single" w:color="000000" w:sz="8" w:space="0"/>
              <w:start w:val="single" w:color="000000" w:sz="8" w:space="0"/>
              <w:bottom w:val="single" w:color="000000" w:sz="8" w:space="0"/>
              <w:end w:val="single" w:color="000000" w:sz="8" w:space="0"/>
            </w:tcBorders>
            <w:shd w:val="clear" w:color="auto" w:fill="E0E0E0"/>
          </w:tcPr>
          <w:p w:rsidRPr="0037597C" w:rsidR="0037597C" w:rsidP="0037597C" w:rsidRDefault="0037597C" w14:paraId="3BFFB9B8"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b/>
                <w:sz w:val="22"/>
                <w:szCs w:val="22"/>
              </w:rPr>
            </w:pPr>
            <w:r w:rsidRPr="0037597C">
              <w:rPr>
                <w:rFonts w:ascii="Times New Roman" w:hAnsi="Times New Roman"/>
                <w:b/>
                <w:sz w:val="22"/>
                <w:szCs w:val="22"/>
              </w:rPr>
              <w:t>Applicability and Amount of OSFR</w:t>
            </w:r>
          </w:p>
        </w:tc>
      </w:tr>
      <w:tr w:rsidRPr="0037597C" w:rsidR="0037597C" w:rsidTr="00DF7FA3" w14:paraId="70AE29C1" w14:textId="77777777">
        <w:tc>
          <w:tcPr>
            <w:tcW w:w="54pt" w:type="dxa"/>
            <w:tcBorders>
              <w:top w:val="single" w:color="000000" w:sz="8" w:space="0"/>
              <w:start w:val="single" w:color="000000" w:sz="7" w:space="0"/>
              <w:bottom w:val="single" w:color="000000" w:sz="7" w:space="0"/>
              <w:end w:val="single" w:color="000000" w:sz="7" w:space="0"/>
            </w:tcBorders>
          </w:tcPr>
          <w:p w:rsidRPr="0037597C" w:rsidR="0037597C" w:rsidP="0037597C" w:rsidRDefault="0037597C" w14:paraId="64C044D3" w14:textId="77777777">
            <w:pPr>
              <w:widowControl/>
              <w:tabs>
                <w:tab w:val="left" w:pos="-54pt"/>
                <w:tab w:val="left" w:pos="-36pt"/>
                <w:tab w:val="left" w:pos="-6pt"/>
                <w:tab w:val="left" w:pos="27pt"/>
                <w:tab w:val="left" w:pos="49.50pt"/>
                <w:tab w:val="left" w:pos="72pt"/>
                <w:tab w:val="left" w:pos="144pt"/>
              </w:tabs>
              <w:ind w:start="0.50pt" w:end="-6pt"/>
              <w:rPr>
                <w:rFonts w:ascii="Times New Roman" w:hAnsi="Times New Roman"/>
                <w:sz w:val="20"/>
              </w:rPr>
            </w:pPr>
            <w:r w:rsidRPr="0037597C">
              <w:rPr>
                <w:rFonts w:ascii="Times New Roman" w:hAnsi="Times New Roman"/>
                <w:sz w:val="20"/>
              </w:rPr>
              <w:t>11(a)(1);</w:t>
            </w:r>
          </w:p>
          <w:p w:rsidRPr="0037597C" w:rsidR="0037597C" w:rsidP="0037597C" w:rsidRDefault="0037597C" w14:paraId="3F1D4871" w14:textId="77777777">
            <w:pPr>
              <w:widowControl/>
              <w:tabs>
                <w:tab w:val="left" w:pos="-54pt"/>
                <w:tab w:val="left" w:pos="-36pt"/>
                <w:tab w:val="left" w:pos="0.50pt"/>
                <w:tab w:val="left" w:pos="27pt"/>
                <w:tab w:val="left" w:pos="49.50pt"/>
                <w:tab w:val="left" w:pos="72pt"/>
                <w:tab w:val="left" w:pos="144pt"/>
              </w:tabs>
              <w:ind w:end="-6pt"/>
              <w:rPr>
                <w:rFonts w:ascii="Times New Roman" w:hAnsi="Times New Roman"/>
                <w:sz w:val="20"/>
              </w:rPr>
            </w:pPr>
            <w:r w:rsidRPr="0037597C">
              <w:rPr>
                <w:rFonts w:ascii="Times New Roman" w:hAnsi="Times New Roman"/>
                <w:sz w:val="20"/>
              </w:rPr>
              <w:t>40; 41</w:t>
            </w:r>
          </w:p>
        </w:tc>
        <w:tc>
          <w:tcPr>
            <w:tcW w:w="216pt" w:type="dxa"/>
            <w:tcBorders>
              <w:top w:val="single" w:color="000000" w:sz="8" w:space="0"/>
              <w:start w:val="single" w:color="000000" w:sz="7" w:space="0"/>
              <w:bottom w:val="single" w:color="000000" w:sz="7" w:space="0"/>
              <w:end w:val="single" w:color="000000" w:sz="7" w:space="0"/>
            </w:tcBorders>
          </w:tcPr>
          <w:p w:rsidRPr="0037597C" w:rsidR="0037597C" w:rsidP="0037597C" w:rsidRDefault="0037597C" w14:paraId="6170DF34"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Form BOEM-1016 – Designated Applicant Information Certification.</w:t>
            </w:r>
          </w:p>
        </w:tc>
        <w:tc>
          <w:tcPr>
            <w:tcW w:w="49.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1E5D52" w14:paraId="422FCB05" w14:textId="69064310">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Pr>
                <w:rFonts w:ascii="Times New Roman" w:hAnsi="Times New Roman"/>
                <w:sz w:val="20"/>
              </w:rPr>
              <w:t>3</w:t>
            </w:r>
          </w:p>
        </w:tc>
        <w:tc>
          <w:tcPr>
            <w:tcW w:w="58.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37597C" w14:paraId="3E8C65B2" w14:textId="30479D0F">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2</w:t>
            </w:r>
            <w:r w:rsidR="001E5D52">
              <w:rPr>
                <w:rFonts w:ascii="Times New Roman" w:hAnsi="Times New Roman"/>
                <w:sz w:val="20"/>
              </w:rPr>
              <w:t>5</w:t>
            </w:r>
            <w:r w:rsidRPr="0037597C">
              <w:rPr>
                <w:rFonts w:ascii="Times New Roman" w:hAnsi="Times New Roman"/>
                <w:sz w:val="20"/>
              </w:rPr>
              <w:t>0</w:t>
            </w:r>
          </w:p>
        </w:tc>
        <w:tc>
          <w:tcPr>
            <w:tcW w:w="58.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CA2EEE" w14:paraId="2B262034" w14:textId="1661EE96">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750</w:t>
            </w:r>
          </w:p>
        </w:tc>
      </w:tr>
      <w:tr w:rsidRPr="0037597C" w:rsidR="0037597C" w:rsidTr="00DF7FA3" w14:paraId="20F94922" w14:textId="77777777">
        <w:tc>
          <w:tcPr>
            <w:tcW w:w="54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6484BA29" w14:textId="77777777">
            <w:pPr>
              <w:widowControl/>
              <w:tabs>
                <w:tab w:val="left" w:pos="-54pt"/>
                <w:tab w:val="left" w:pos="-36pt"/>
                <w:tab w:val="left" w:pos="0.50pt"/>
                <w:tab w:val="left" w:pos="27pt"/>
                <w:tab w:val="left" w:pos="49.50pt"/>
                <w:tab w:val="left" w:pos="72pt"/>
                <w:tab w:val="left" w:pos="144pt"/>
              </w:tabs>
              <w:ind w:end="-6pt"/>
              <w:rPr>
                <w:rFonts w:ascii="Times New Roman" w:hAnsi="Times New Roman"/>
                <w:sz w:val="20"/>
              </w:rPr>
            </w:pPr>
            <w:r w:rsidRPr="0037597C">
              <w:rPr>
                <w:rFonts w:ascii="Times New Roman" w:hAnsi="Times New Roman"/>
                <w:sz w:val="20"/>
              </w:rPr>
              <w:t>11(a)(1);</w:t>
            </w:r>
          </w:p>
          <w:p w:rsidRPr="0037597C" w:rsidR="0037597C" w:rsidP="0037597C" w:rsidRDefault="0037597C" w14:paraId="52E6AA35" w14:textId="77777777">
            <w:pPr>
              <w:widowControl/>
              <w:tabs>
                <w:tab w:val="left" w:pos="-54pt"/>
                <w:tab w:val="left" w:pos="-36pt"/>
                <w:tab w:val="left" w:pos="0pt"/>
                <w:tab w:val="left" w:pos="27pt"/>
                <w:tab w:val="left" w:pos="49.50pt"/>
                <w:tab w:val="left" w:pos="72pt"/>
                <w:tab w:val="left" w:pos="144pt"/>
              </w:tabs>
              <w:ind w:end="-6pt"/>
              <w:rPr>
                <w:rFonts w:ascii="Times New Roman" w:hAnsi="Times New Roman"/>
                <w:sz w:val="20"/>
              </w:rPr>
            </w:pPr>
            <w:r w:rsidRPr="0037597C">
              <w:rPr>
                <w:rFonts w:ascii="Times New Roman" w:hAnsi="Times New Roman"/>
                <w:sz w:val="20"/>
              </w:rPr>
              <w:t>40; 41</w:t>
            </w:r>
          </w:p>
        </w:tc>
        <w:tc>
          <w:tcPr>
            <w:tcW w:w="216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761CA1FF"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Form BOEM-1017 – Appointment of Designated Applicant.</w:t>
            </w:r>
          </w:p>
        </w:tc>
        <w:tc>
          <w:tcPr>
            <w:tcW w:w="49.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1E5D52" w14:paraId="437F9F4F" w14:textId="460AA325">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Pr>
                <w:rFonts w:ascii="Times New Roman" w:hAnsi="Times New Roman"/>
                <w:sz w:val="20"/>
              </w:rPr>
              <w:t>10</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1E5D52" w14:paraId="120F744A" w14:textId="203ED5CC">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75</w:t>
            </w:r>
            <w:r w:rsidRPr="0037597C" w:rsidR="0037597C">
              <w:rPr>
                <w:rFonts w:ascii="Times New Roman" w:hAnsi="Times New Roman"/>
                <w:sz w:val="20"/>
              </w:rPr>
              <w:t>0</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CA2EEE" w14:paraId="75ED0582" w14:textId="2E0A49C4">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7,500</w:t>
            </w:r>
          </w:p>
        </w:tc>
      </w:tr>
      <w:tr w:rsidRPr="0037597C" w:rsidR="0037597C" w:rsidTr="00DF7FA3" w14:paraId="5E8684FD" w14:textId="77777777">
        <w:tc>
          <w:tcPr>
            <w:tcW w:w="54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16776F67"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 xml:space="preserve">11(a)(1), (2) </w:t>
            </w:r>
          </w:p>
        </w:tc>
        <w:tc>
          <w:tcPr>
            <w:tcW w:w="216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7EF971EB"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Form BOEM-1025 – Independent Designated Applicant Information Certification.</w:t>
            </w:r>
          </w:p>
        </w:tc>
        <w:tc>
          <w:tcPr>
            <w:tcW w:w="49.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CA2EEE" w14:paraId="42944AB8" w14:textId="5BBCBA98">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Pr>
                <w:rFonts w:ascii="Times New Roman" w:hAnsi="Times New Roman"/>
                <w:sz w:val="20"/>
              </w:rPr>
              <w:t>2</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4E03428B"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200</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CA2EEE" w14:paraId="6E1CB632" w14:textId="65E1DB8A">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4</w:t>
            </w:r>
            <w:r w:rsidRPr="0037597C">
              <w:rPr>
                <w:rFonts w:ascii="Times New Roman" w:hAnsi="Times New Roman"/>
                <w:sz w:val="20"/>
              </w:rPr>
              <w:t>00</w:t>
            </w:r>
          </w:p>
        </w:tc>
      </w:tr>
      <w:tr w:rsidRPr="0037597C" w:rsidR="0037597C" w:rsidTr="00DF7FA3" w14:paraId="31F6C038" w14:textId="77777777">
        <w:tc>
          <w:tcPr>
            <w:tcW w:w="54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69A8BC3E"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12</w:t>
            </w:r>
          </w:p>
        </w:tc>
        <w:tc>
          <w:tcPr>
            <w:tcW w:w="216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094A8AAA"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Request for determination of OSFR applicability. Provide required and supporting information.</w:t>
            </w:r>
          </w:p>
        </w:tc>
        <w:tc>
          <w:tcPr>
            <w:tcW w:w="49.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0BB66411" w14:textId="77777777">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sidRPr="0037597C">
              <w:rPr>
                <w:rFonts w:ascii="Times New Roman" w:hAnsi="Times New Roman"/>
                <w:sz w:val="20"/>
              </w:rPr>
              <w:t>2</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6F299E83"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5</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2AB30C97"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10</w:t>
            </w:r>
          </w:p>
        </w:tc>
      </w:tr>
      <w:tr w:rsidRPr="0037597C" w:rsidR="0037597C" w:rsidTr="00DF7FA3" w14:paraId="4187714B" w14:textId="77777777">
        <w:tc>
          <w:tcPr>
            <w:tcW w:w="54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6238E322"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15</w:t>
            </w:r>
          </w:p>
        </w:tc>
        <w:tc>
          <w:tcPr>
            <w:tcW w:w="216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3B6E716F"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Notify BOEM of change in ability to comply.</w:t>
            </w:r>
          </w:p>
        </w:tc>
        <w:tc>
          <w:tcPr>
            <w:tcW w:w="49.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17028040" w14:textId="77777777">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sidRPr="0037597C">
              <w:rPr>
                <w:rFonts w:ascii="Times New Roman" w:hAnsi="Times New Roman"/>
                <w:sz w:val="20"/>
              </w:rPr>
              <w:t>1</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55FED152"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1</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2BB107DD"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1</w:t>
            </w:r>
          </w:p>
        </w:tc>
      </w:tr>
      <w:tr w:rsidRPr="0037597C" w:rsidR="00602546" w:rsidTr="00DF7FA3" w14:paraId="5EF1118E" w14:textId="77777777">
        <w:tc>
          <w:tcPr>
            <w:tcW w:w="54pt" w:type="dxa"/>
            <w:tcBorders>
              <w:top w:val="single" w:color="000000" w:sz="7" w:space="0"/>
              <w:start w:val="single" w:color="000000" w:sz="7" w:space="0"/>
              <w:bottom w:val="single" w:color="000000" w:sz="7" w:space="0"/>
              <w:end w:val="single" w:color="000000" w:sz="7" w:space="0"/>
            </w:tcBorders>
          </w:tcPr>
          <w:p w:rsidRPr="0037597C" w:rsidR="00602546" w:rsidP="0037597C" w:rsidRDefault="00602546" w14:paraId="04121315"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Pr>
                <w:rFonts w:ascii="Times New Roman" w:hAnsi="Times New Roman"/>
                <w:sz w:val="20"/>
              </w:rPr>
              <w:t>15(f)</w:t>
            </w:r>
          </w:p>
        </w:tc>
        <w:tc>
          <w:tcPr>
            <w:tcW w:w="216pt" w:type="dxa"/>
            <w:tcBorders>
              <w:top w:val="single" w:color="000000" w:sz="7" w:space="0"/>
              <w:start w:val="single" w:color="000000" w:sz="7" w:space="0"/>
              <w:bottom w:val="single" w:color="000000" w:sz="7" w:space="0"/>
              <w:end w:val="single" w:color="000000" w:sz="7" w:space="0"/>
            </w:tcBorders>
          </w:tcPr>
          <w:p w:rsidRPr="0037597C" w:rsidR="00602546" w:rsidP="0037597C" w:rsidRDefault="00602546" w14:paraId="4472AF05"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Pr>
                <w:rFonts w:ascii="Times New Roman" w:hAnsi="Times New Roman"/>
                <w:sz w:val="20"/>
              </w:rPr>
              <w:t>Provide claimant written explanation of denial.</w:t>
            </w:r>
          </w:p>
        </w:tc>
        <w:tc>
          <w:tcPr>
            <w:tcW w:w="49.50pt" w:type="dxa"/>
            <w:tcBorders>
              <w:top w:val="single" w:color="000000" w:sz="7" w:space="0"/>
              <w:start w:val="single" w:color="000000" w:sz="7" w:space="0"/>
              <w:bottom w:val="single" w:color="000000" w:sz="7" w:space="0"/>
              <w:end w:val="single" w:color="000000" w:sz="7" w:space="0"/>
            </w:tcBorders>
          </w:tcPr>
          <w:p w:rsidRPr="0037597C" w:rsidR="00602546" w:rsidP="0037597C" w:rsidRDefault="00602546" w14:paraId="7EB13AF7" w14:textId="77777777">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Pr>
                <w:rFonts w:ascii="Times New Roman" w:hAnsi="Times New Roman"/>
                <w:sz w:val="20"/>
              </w:rPr>
              <w:t>1</w:t>
            </w:r>
          </w:p>
        </w:tc>
        <w:tc>
          <w:tcPr>
            <w:tcW w:w="58.50pt" w:type="dxa"/>
            <w:tcBorders>
              <w:top w:val="single" w:color="000000" w:sz="7" w:space="0"/>
              <w:start w:val="single" w:color="000000" w:sz="7" w:space="0"/>
              <w:bottom w:val="single" w:color="000000" w:sz="7" w:space="0"/>
              <w:end w:val="single" w:color="000000" w:sz="7" w:space="0"/>
            </w:tcBorders>
          </w:tcPr>
          <w:p w:rsidRPr="0037597C" w:rsidR="00602546" w:rsidP="0037597C" w:rsidRDefault="00602546" w14:paraId="70300200"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15</w:t>
            </w:r>
          </w:p>
        </w:tc>
        <w:tc>
          <w:tcPr>
            <w:tcW w:w="58.50pt" w:type="dxa"/>
            <w:tcBorders>
              <w:top w:val="single" w:color="000000" w:sz="7" w:space="0"/>
              <w:start w:val="single" w:color="000000" w:sz="7" w:space="0"/>
              <w:bottom w:val="single" w:color="000000" w:sz="7" w:space="0"/>
              <w:end w:val="single" w:color="000000" w:sz="7" w:space="0"/>
            </w:tcBorders>
          </w:tcPr>
          <w:p w:rsidRPr="0037597C" w:rsidR="00602546" w:rsidP="0037597C" w:rsidRDefault="00602546" w14:paraId="7CC9A5F8"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15</w:t>
            </w:r>
          </w:p>
        </w:tc>
      </w:tr>
      <w:tr w:rsidRPr="0037597C" w:rsidR="0037597C" w:rsidTr="00DF7FA3" w14:paraId="7A461DFA" w14:textId="77777777">
        <w:tc>
          <w:tcPr>
            <w:tcW w:w="319.50pt" w:type="dxa"/>
            <w:gridSpan w:val="3"/>
            <w:tcBorders>
              <w:top w:val="single" w:color="000000" w:sz="8" w:space="0"/>
              <w:start w:val="single" w:color="000000" w:sz="8" w:space="0"/>
              <w:bottom w:val="single" w:color="000000" w:sz="8" w:space="0"/>
              <w:end w:val="single" w:color="000000" w:sz="8" w:space="0"/>
            </w:tcBorders>
            <w:shd w:val="clear" w:color="auto" w:fill="F3F3F3"/>
            <w:vAlign w:val="center"/>
          </w:tcPr>
          <w:p w:rsidRPr="0037597C" w:rsidR="0037597C" w:rsidP="0037597C" w:rsidRDefault="0037597C" w14:paraId="613B552B" w14:textId="77777777">
            <w:pPr>
              <w:widowControl/>
              <w:tabs>
                <w:tab w:val="left" w:pos="-54pt"/>
                <w:tab w:val="left" w:pos="-36pt"/>
                <w:tab w:val="left" w:pos="0pt"/>
                <w:tab w:val="left" w:pos="21pt"/>
                <w:tab w:val="left" w:pos="49.50pt"/>
                <w:tab w:val="left" w:pos="72pt"/>
                <w:tab w:val="left" w:pos="144pt"/>
              </w:tabs>
              <w:jc w:val="center"/>
              <w:rPr>
                <w:rFonts w:ascii="Times New Roman" w:hAnsi="Times New Roman"/>
                <w:b/>
                <w:sz w:val="22"/>
                <w:szCs w:val="22"/>
              </w:rPr>
            </w:pPr>
            <w:r w:rsidRPr="0037597C">
              <w:rPr>
                <w:rFonts w:ascii="Times New Roman" w:hAnsi="Times New Roman"/>
                <w:b/>
                <w:sz w:val="22"/>
                <w:szCs w:val="22"/>
              </w:rPr>
              <w:t>Subtotal</w:t>
            </w:r>
          </w:p>
        </w:tc>
        <w:tc>
          <w:tcPr>
            <w:tcW w:w="58.50pt" w:type="dxa"/>
            <w:tcBorders>
              <w:top w:val="single" w:color="000000" w:sz="8" w:space="0"/>
              <w:start w:val="single" w:color="000000" w:sz="8" w:space="0"/>
              <w:bottom w:val="single" w:color="000000" w:sz="8" w:space="0"/>
              <w:end w:val="single" w:color="000000" w:sz="8" w:space="0"/>
            </w:tcBorders>
            <w:shd w:val="clear" w:color="auto" w:fill="F3F3F3"/>
          </w:tcPr>
          <w:p w:rsidRPr="0037597C" w:rsidR="0037597C" w:rsidP="00602546" w:rsidRDefault="0037597C" w14:paraId="3C3F31A1" w14:textId="24B02091">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sidRPr="0037597C">
              <w:rPr>
                <w:rFonts w:ascii="Times New Roman" w:hAnsi="Times New Roman"/>
                <w:b/>
                <w:sz w:val="22"/>
                <w:szCs w:val="22"/>
              </w:rPr>
              <w:t>1,</w:t>
            </w:r>
            <w:r w:rsidR="001E5D52">
              <w:rPr>
                <w:rFonts w:ascii="Times New Roman" w:hAnsi="Times New Roman"/>
                <w:b/>
                <w:sz w:val="22"/>
                <w:szCs w:val="22"/>
              </w:rPr>
              <w:t>2</w:t>
            </w:r>
            <w:r w:rsidR="00602546">
              <w:rPr>
                <w:rFonts w:ascii="Times New Roman" w:hAnsi="Times New Roman"/>
                <w:b/>
                <w:sz w:val="22"/>
                <w:szCs w:val="22"/>
              </w:rPr>
              <w:t>21</w:t>
            </w:r>
          </w:p>
        </w:tc>
        <w:tc>
          <w:tcPr>
            <w:tcW w:w="58.50pt" w:type="dxa"/>
            <w:tcBorders>
              <w:top w:val="single" w:color="000000" w:sz="8" w:space="0"/>
              <w:start w:val="single" w:color="000000" w:sz="8" w:space="0"/>
              <w:bottom w:val="single" w:color="000000" w:sz="8" w:space="0"/>
              <w:end w:val="single" w:color="000000" w:sz="8" w:space="0"/>
            </w:tcBorders>
            <w:shd w:val="clear" w:color="auto" w:fill="F3F3F3"/>
          </w:tcPr>
          <w:p w:rsidRPr="0037597C" w:rsidR="0037597C" w:rsidP="00602546" w:rsidRDefault="00CA2EEE" w14:paraId="5F5FD39D" w14:textId="60F3506A">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Pr>
                <w:rFonts w:ascii="Times New Roman" w:hAnsi="Times New Roman"/>
                <w:b/>
                <w:sz w:val="22"/>
                <w:szCs w:val="22"/>
              </w:rPr>
              <w:t>8</w:t>
            </w:r>
            <w:r w:rsidRPr="0037597C" w:rsidR="0037597C">
              <w:rPr>
                <w:rFonts w:ascii="Times New Roman" w:hAnsi="Times New Roman"/>
                <w:b/>
                <w:sz w:val="22"/>
                <w:szCs w:val="22"/>
              </w:rPr>
              <w:t>,</w:t>
            </w:r>
            <w:r>
              <w:rPr>
                <w:rFonts w:ascii="Times New Roman" w:hAnsi="Times New Roman"/>
                <w:b/>
                <w:sz w:val="22"/>
                <w:szCs w:val="22"/>
              </w:rPr>
              <w:t>67</w:t>
            </w:r>
            <w:r w:rsidR="00602546">
              <w:rPr>
                <w:rFonts w:ascii="Times New Roman" w:hAnsi="Times New Roman"/>
                <w:b/>
                <w:sz w:val="22"/>
                <w:szCs w:val="22"/>
              </w:rPr>
              <w:t>6</w:t>
            </w:r>
          </w:p>
        </w:tc>
      </w:tr>
      <w:tr w:rsidRPr="0037597C" w:rsidR="0037597C" w:rsidTr="00DF7FA3" w14:paraId="5DE52191" w14:textId="77777777">
        <w:tc>
          <w:tcPr>
            <w:tcW w:w="436.50pt" w:type="dxa"/>
            <w:gridSpan w:val="5"/>
            <w:tcBorders>
              <w:top w:val="single" w:color="000000" w:sz="8" w:space="0"/>
              <w:start w:val="single" w:color="000000" w:sz="8" w:space="0"/>
              <w:bottom w:val="single" w:color="000000" w:sz="8" w:space="0"/>
              <w:end w:val="single" w:color="000000" w:sz="8" w:space="0"/>
            </w:tcBorders>
            <w:shd w:val="clear" w:color="auto" w:fill="E0E0E0"/>
          </w:tcPr>
          <w:p w:rsidRPr="0037597C" w:rsidR="0037597C" w:rsidP="0037597C" w:rsidRDefault="0037597C" w14:paraId="6EF8E7E5"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b/>
                <w:sz w:val="22"/>
                <w:szCs w:val="22"/>
              </w:rPr>
            </w:pPr>
            <w:r w:rsidRPr="0037597C">
              <w:rPr>
                <w:rFonts w:ascii="Times New Roman" w:hAnsi="Times New Roman"/>
                <w:b/>
                <w:sz w:val="22"/>
                <w:szCs w:val="22"/>
              </w:rPr>
              <w:t>Methods for Demonstrating OSFR</w:t>
            </w:r>
          </w:p>
        </w:tc>
      </w:tr>
      <w:tr w:rsidRPr="0037597C" w:rsidR="0037597C" w:rsidTr="00DF7FA3" w14:paraId="5FA31AE8" w14:textId="77777777">
        <w:trPr>
          <w:trHeight w:val="920"/>
        </w:trPr>
        <w:tc>
          <w:tcPr>
            <w:tcW w:w="54pt" w:type="dxa"/>
            <w:tcBorders>
              <w:top w:val="single" w:color="000000" w:sz="8" w:space="0"/>
              <w:start w:val="single" w:color="000000" w:sz="8" w:space="0"/>
              <w:bottom w:val="single" w:color="000000" w:sz="8" w:space="0"/>
              <w:end w:val="single" w:color="000000" w:sz="8" w:space="0"/>
            </w:tcBorders>
          </w:tcPr>
          <w:p w:rsidRPr="0037597C" w:rsidR="0037597C" w:rsidP="0037597C" w:rsidRDefault="0037597C" w14:paraId="3A45AEBD" w14:textId="77777777">
            <w:pPr>
              <w:widowControl/>
              <w:tabs>
                <w:tab w:val="left" w:pos="-54pt"/>
                <w:tab w:val="left" w:pos="-36pt"/>
                <w:tab w:val="left" w:pos="0pt"/>
                <w:tab w:val="left" w:pos="27pt"/>
                <w:tab w:val="left" w:pos="49.50pt"/>
                <w:tab w:val="left" w:pos="72pt"/>
                <w:tab w:val="left" w:pos="144pt"/>
              </w:tabs>
              <w:ind w:end="-6pt"/>
              <w:rPr>
                <w:rFonts w:ascii="Times New Roman" w:hAnsi="Times New Roman"/>
                <w:sz w:val="20"/>
              </w:rPr>
            </w:pPr>
            <w:r>
              <w:rPr>
                <w:rFonts w:ascii="Times New Roman" w:hAnsi="Times New Roman"/>
                <w:sz w:val="20"/>
              </w:rPr>
              <w:t>21; 22; 23; 24; 26; 27</w:t>
            </w:r>
            <w:r w:rsidRPr="0037597C">
              <w:rPr>
                <w:rFonts w:ascii="Times New Roman" w:hAnsi="Times New Roman"/>
                <w:sz w:val="20"/>
              </w:rPr>
              <w:t xml:space="preserve"> </w:t>
            </w:r>
          </w:p>
        </w:tc>
        <w:tc>
          <w:tcPr>
            <w:tcW w:w="216pt" w:type="dxa"/>
            <w:tcBorders>
              <w:top w:val="single" w:color="000000" w:sz="8" w:space="0"/>
              <w:start w:val="single" w:color="000000" w:sz="8" w:space="0"/>
              <w:end w:val="single" w:color="000000" w:sz="8" w:space="0"/>
            </w:tcBorders>
          </w:tcPr>
          <w:p w:rsidRPr="0037597C" w:rsidR="0037597C" w:rsidP="0037597C" w:rsidRDefault="0037597C" w14:paraId="1E4D5431"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Form BOEM-1018 – Self-Insurance Information, including renewals.</w:t>
            </w:r>
          </w:p>
          <w:p w:rsidRPr="0037597C" w:rsidR="0037597C" w:rsidP="0037597C" w:rsidRDefault="0037597C" w14:paraId="17A392E0"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p>
        </w:tc>
        <w:tc>
          <w:tcPr>
            <w:tcW w:w="49.50pt" w:type="dxa"/>
            <w:tcBorders>
              <w:top w:val="single" w:color="000000" w:sz="8" w:space="0"/>
              <w:start w:val="single" w:color="000000" w:sz="8" w:space="0"/>
              <w:end w:val="single" w:color="000000" w:sz="8" w:space="0"/>
            </w:tcBorders>
          </w:tcPr>
          <w:p w:rsidRPr="0037597C" w:rsidR="0037597C" w:rsidP="0037597C" w:rsidRDefault="00CA2EEE" w14:paraId="79466241" w14:textId="7160EE36">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Pr>
                <w:rFonts w:ascii="Times New Roman" w:hAnsi="Times New Roman"/>
                <w:sz w:val="20"/>
              </w:rPr>
              <w:t>3</w:t>
            </w:r>
          </w:p>
          <w:p w:rsidRPr="0037597C" w:rsidR="0037597C" w:rsidP="0037597C" w:rsidRDefault="0037597C" w14:paraId="1C345160" w14:textId="77777777">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p>
        </w:tc>
        <w:tc>
          <w:tcPr>
            <w:tcW w:w="58.50pt" w:type="dxa"/>
            <w:tcBorders>
              <w:top w:val="single" w:color="000000" w:sz="8" w:space="0"/>
              <w:start w:val="single" w:color="000000" w:sz="8" w:space="0"/>
              <w:end w:val="single" w:color="000000" w:sz="8" w:space="0"/>
            </w:tcBorders>
          </w:tcPr>
          <w:p w:rsidRPr="0037597C" w:rsidR="0037597C" w:rsidP="0037597C" w:rsidRDefault="0037597C" w14:paraId="1E2289CC"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 xml:space="preserve">50 </w:t>
            </w:r>
          </w:p>
          <w:p w:rsidRPr="0037597C" w:rsidR="0037597C" w:rsidP="0037597C" w:rsidRDefault="0037597C" w14:paraId="2E0D1A3F"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p>
        </w:tc>
        <w:tc>
          <w:tcPr>
            <w:tcW w:w="58.50pt" w:type="dxa"/>
            <w:tcBorders>
              <w:top w:val="single" w:color="000000" w:sz="8" w:space="0"/>
              <w:start w:val="single" w:color="000000" w:sz="8" w:space="0"/>
              <w:end w:val="single" w:color="000000" w:sz="8" w:space="0"/>
            </w:tcBorders>
          </w:tcPr>
          <w:p w:rsidRPr="0037597C" w:rsidR="0037597C" w:rsidP="0037597C" w:rsidRDefault="00CA2EEE" w14:paraId="47B4B323"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1</w:t>
            </w:r>
            <w:r w:rsidRPr="0037597C" w:rsidR="0037597C">
              <w:rPr>
                <w:rFonts w:ascii="Times New Roman" w:hAnsi="Times New Roman"/>
                <w:sz w:val="20"/>
              </w:rPr>
              <w:t xml:space="preserve">50 </w:t>
            </w:r>
          </w:p>
          <w:p w:rsidRPr="0037597C" w:rsidR="0037597C" w:rsidP="0037597C" w:rsidRDefault="0037597C" w14:paraId="7A490DCB"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p>
        </w:tc>
      </w:tr>
      <w:tr w:rsidRPr="0037597C" w:rsidR="0037597C" w:rsidTr="00DF7FA3" w14:paraId="30D62C14" w14:textId="77777777">
        <w:tc>
          <w:tcPr>
            <w:tcW w:w="54pt" w:type="dxa"/>
            <w:tcBorders>
              <w:top w:val="single" w:color="000000" w:sz="7" w:space="0"/>
              <w:start w:val="single" w:color="000000" w:sz="7" w:space="0"/>
              <w:bottom w:val="single" w:color="000000" w:sz="7" w:space="0"/>
              <w:end w:val="single" w:color="000000" w:sz="7" w:space="0"/>
            </w:tcBorders>
          </w:tcPr>
          <w:p w:rsidRPr="0037597C" w:rsidR="0037597C" w:rsidP="0037597C" w:rsidRDefault="00107E2E" w14:paraId="0F4C215B"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Pr>
                <w:rFonts w:ascii="Times New Roman" w:hAnsi="Times New Roman"/>
                <w:sz w:val="20"/>
              </w:rPr>
              <w:t xml:space="preserve">29; </w:t>
            </w:r>
            <w:r w:rsidRPr="0037597C" w:rsidR="0037597C">
              <w:rPr>
                <w:rFonts w:ascii="Times New Roman" w:hAnsi="Times New Roman"/>
                <w:sz w:val="20"/>
              </w:rPr>
              <w:t>30; 40; 41; 43</w:t>
            </w:r>
          </w:p>
        </w:tc>
        <w:tc>
          <w:tcPr>
            <w:tcW w:w="216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76A86930"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Form BOEM-1023 – Financial Guarantee.</w:t>
            </w:r>
          </w:p>
        </w:tc>
        <w:tc>
          <w:tcPr>
            <w:tcW w:w="49.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CA2EEE" w14:paraId="35D83B11" w14:textId="2E9F898D">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Pr>
                <w:rFonts w:ascii="Times New Roman" w:hAnsi="Times New Roman"/>
                <w:sz w:val="20"/>
              </w:rPr>
              <w:t>2</w:t>
            </w:r>
          </w:p>
        </w:tc>
        <w:tc>
          <w:tcPr>
            <w:tcW w:w="58.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CA2EEE" w14:paraId="435ED2EB" w14:textId="396CAA7C">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50</w:t>
            </w:r>
          </w:p>
        </w:tc>
        <w:tc>
          <w:tcPr>
            <w:tcW w:w="58.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CA2EEE" w14:paraId="27CE4FBF" w14:textId="18D51CBC">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100</w:t>
            </w:r>
          </w:p>
        </w:tc>
      </w:tr>
      <w:tr w:rsidRPr="0037597C" w:rsidR="0037597C" w:rsidTr="00DF7FA3" w14:paraId="30A4F99A" w14:textId="77777777">
        <w:tc>
          <w:tcPr>
            <w:tcW w:w="54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2365BF01"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29; 40; 41; 43</w:t>
            </w:r>
          </w:p>
        </w:tc>
        <w:tc>
          <w:tcPr>
            <w:tcW w:w="216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115D44A2"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 xml:space="preserve">Form BOEM-1019 – Insurance Certificate. </w:t>
            </w:r>
          </w:p>
        </w:tc>
        <w:tc>
          <w:tcPr>
            <w:tcW w:w="49.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421EC854" w14:textId="77777777">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sidRPr="0037597C">
              <w:rPr>
                <w:rFonts w:ascii="Times New Roman" w:hAnsi="Times New Roman"/>
                <w:sz w:val="20"/>
              </w:rPr>
              <w:t>120</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31F81150" w14:textId="42BC08ED">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1</w:t>
            </w:r>
            <w:r w:rsidR="00CA2EEE">
              <w:rPr>
                <w:rFonts w:ascii="Times New Roman" w:hAnsi="Times New Roman"/>
                <w:sz w:val="20"/>
              </w:rPr>
              <w:t>5</w:t>
            </w:r>
            <w:r w:rsidRPr="0037597C">
              <w:rPr>
                <w:rFonts w:ascii="Times New Roman" w:hAnsi="Times New Roman"/>
                <w:sz w:val="20"/>
              </w:rPr>
              <w:t>0</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14BCF8E4" w14:textId="5871417D">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1</w:t>
            </w:r>
            <w:r w:rsidR="00CA2EEE">
              <w:rPr>
                <w:rFonts w:ascii="Times New Roman" w:hAnsi="Times New Roman"/>
                <w:sz w:val="20"/>
              </w:rPr>
              <w:t>8</w:t>
            </w:r>
            <w:r w:rsidRPr="0037597C">
              <w:rPr>
                <w:rFonts w:ascii="Times New Roman" w:hAnsi="Times New Roman"/>
                <w:sz w:val="20"/>
              </w:rPr>
              <w:t>,</w:t>
            </w:r>
            <w:r w:rsidR="00CA2EEE">
              <w:rPr>
                <w:rFonts w:ascii="Times New Roman" w:hAnsi="Times New Roman"/>
                <w:sz w:val="20"/>
              </w:rPr>
              <w:t>0</w:t>
            </w:r>
            <w:r w:rsidRPr="0037597C">
              <w:rPr>
                <w:rFonts w:ascii="Times New Roman" w:hAnsi="Times New Roman"/>
                <w:sz w:val="20"/>
              </w:rPr>
              <w:t>00</w:t>
            </w:r>
          </w:p>
        </w:tc>
      </w:tr>
      <w:tr w:rsidRPr="0037597C" w:rsidR="0037597C" w:rsidTr="00DF7FA3" w14:paraId="3A257CA9" w14:textId="77777777">
        <w:tc>
          <w:tcPr>
            <w:tcW w:w="54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44085A51"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31; 40; 41; 43</w:t>
            </w:r>
          </w:p>
        </w:tc>
        <w:tc>
          <w:tcPr>
            <w:tcW w:w="216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0F7DB94F"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 xml:space="preserve">Form BOEM-1020 – Surety Bond. </w:t>
            </w:r>
          </w:p>
        </w:tc>
        <w:tc>
          <w:tcPr>
            <w:tcW w:w="49.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653AC40B" w14:textId="77777777">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sidRPr="0037597C">
              <w:rPr>
                <w:rFonts w:ascii="Times New Roman" w:hAnsi="Times New Roman"/>
                <w:sz w:val="20"/>
              </w:rPr>
              <w:t>24</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1A7FCA9E"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4</w:t>
            </w:r>
          </w:p>
        </w:tc>
        <w:tc>
          <w:tcPr>
            <w:tcW w:w="58.50pt" w:type="dxa"/>
            <w:tcBorders>
              <w:top w:val="single" w:color="000000" w:sz="7" w:space="0"/>
              <w:start w:val="single" w:color="000000" w:sz="7" w:space="0"/>
              <w:bottom w:val="single" w:color="000000" w:sz="7" w:space="0"/>
              <w:end w:val="single" w:color="000000" w:sz="7" w:space="0"/>
            </w:tcBorders>
          </w:tcPr>
          <w:p w:rsidRPr="0037597C" w:rsidR="0037597C" w:rsidP="0037597C" w:rsidRDefault="0037597C" w14:paraId="338CC31A"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96</w:t>
            </w:r>
          </w:p>
        </w:tc>
      </w:tr>
      <w:tr w:rsidRPr="0037597C" w:rsidR="0037597C" w:rsidTr="00DF7FA3" w14:paraId="125B2456" w14:textId="77777777">
        <w:tc>
          <w:tcPr>
            <w:tcW w:w="54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4B2C2C6C"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32</w:t>
            </w:r>
          </w:p>
        </w:tc>
        <w:tc>
          <w:tcPr>
            <w:tcW w:w="216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78B0FA95"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Proposal and supporting information for alternative method to evidence OSFR (anticipate no proposals, but regulations provide the opportunity).</w:t>
            </w:r>
          </w:p>
        </w:tc>
        <w:tc>
          <w:tcPr>
            <w:tcW w:w="49.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388A0DAE" w14:textId="77777777">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sidRPr="0037597C">
              <w:rPr>
                <w:rFonts w:ascii="Times New Roman" w:hAnsi="Times New Roman"/>
                <w:sz w:val="20"/>
              </w:rPr>
              <w:t>120</w:t>
            </w:r>
          </w:p>
        </w:tc>
        <w:tc>
          <w:tcPr>
            <w:tcW w:w="58.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233BA740"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1</w:t>
            </w:r>
          </w:p>
        </w:tc>
        <w:tc>
          <w:tcPr>
            <w:tcW w:w="58.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428C1053"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120</w:t>
            </w:r>
          </w:p>
        </w:tc>
      </w:tr>
      <w:tr w:rsidRPr="0037597C" w:rsidR="0037597C" w:rsidTr="00DF7FA3" w14:paraId="659DD1FC" w14:textId="77777777">
        <w:tc>
          <w:tcPr>
            <w:tcW w:w="319.50pt" w:type="dxa"/>
            <w:gridSpan w:val="3"/>
            <w:tcBorders>
              <w:top w:val="single" w:color="000000" w:sz="8" w:space="0"/>
              <w:start w:val="single" w:color="000000" w:sz="8" w:space="0"/>
              <w:bottom w:val="single" w:color="000000" w:sz="8" w:space="0"/>
              <w:end w:val="single" w:color="000000" w:sz="8" w:space="0"/>
            </w:tcBorders>
            <w:shd w:val="clear" w:color="auto" w:fill="F3F3F3"/>
          </w:tcPr>
          <w:p w:rsidRPr="0037597C" w:rsidR="0037597C" w:rsidP="0037597C" w:rsidRDefault="0037597C" w14:paraId="4D8DA519" w14:textId="77777777">
            <w:pPr>
              <w:widowControl/>
              <w:tabs>
                <w:tab w:val="left" w:pos="-54pt"/>
                <w:tab w:val="left" w:pos="-36pt"/>
                <w:tab w:val="left" w:pos="0pt"/>
                <w:tab w:val="left" w:pos="21pt"/>
                <w:tab w:val="left" w:pos="49.50pt"/>
                <w:tab w:val="left" w:pos="72pt"/>
                <w:tab w:val="left" w:pos="144pt"/>
              </w:tabs>
              <w:jc w:val="center"/>
              <w:rPr>
                <w:rFonts w:ascii="Times New Roman" w:hAnsi="Times New Roman"/>
                <w:b/>
                <w:sz w:val="22"/>
                <w:szCs w:val="22"/>
              </w:rPr>
            </w:pPr>
            <w:r w:rsidRPr="0037597C">
              <w:rPr>
                <w:rFonts w:ascii="Times New Roman" w:hAnsi="Times New Roman"/>
                <w:b/>
                <w:sz w:val="22"/>
                <w:szCs w:val="22"/>
              </w:rPr>
              <w:t>Subtotal</w:t>
            </w:r>
          </w:p>
        </w:tc>
        <w:tc>
          <w:tcPr>
            <w:tcW w:w="58.50pt" w:type="dxa"/>
            <w:tcBorders>
              <w:top w:val="single" w:color="000000" w:sz="8" w:space="0"/>
              <w:start w:val="single" w:color="000000" w:sz="8" w:space="0"/>
              <w:bottom w:val="single" w:color="000000" w:sz="8" w:space="0"/>
              <w:end w:val="single" w:color="000000" w:sz="8" w:space="0"/>
            </w:tcBorders>
            <w:shd w:val="clear" w:color="auto" w:fill="F3F3F3"/>
          </w:tcPr>
          <w:p w:rsidRPr="0037597C" w:rsidR="0037597C" w:rsidP="0037597C" w:rsidRDefault="0037597C" w14:paraId="4E039037" w14:textId="0BEA3EC4">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sidRPr="0037597C">
              <w:rPr>
                <w:rFonts w:ascii="Times New Roman" w:hAnsi="Times New Roman"/>
                <w:b/>
                <w:sz w:val="22"/>
                <w:szCs w:val="22"/>
              </w:rPr>
              <w:t>2</w:t>
            </w:r>
            <w:r w:rsidR="00CA2EEE">
              <w:rPr>
                <w:rFonts w:ascii="Times New Roman" w:hAnsi="Times New Roman"/>
                <w:b/>
                <w:sz w:val="22"/>
                <w:szCs w:val="22"/>
              </w:rPr>
              <w:t>55</w:t>
            </w:r>
          </w:p>
        </w:tc>
        <w:tc>
          <w:tcPr>
            <w:tcW w:w="58.50pt" w:type="dxa"/>
            <w:tcBorders>
              <w:top w:val="single" w:color="000000" w:sz="8" w:space="0"/>
              <w:start w:val="single" w:color="000000" w:sz="8" w:space="0"/>
              <w:bottom w:val="single" w:color="000000" w:sz="8" w:space="0"/>
              <w:end w:val="single" w:color="000000" w:sz="8" w:space="0"/>
            </w:tcBorders>
            <w:shd w:val="clear" w:color="auto" w:fill="F3F3F3"/>
          </w:tcPr>
          <w:p w:rsidRPr="0037597C" w:rsidR="0037597C" w:rsidP="0037597C" w:rsidRDefault="0037597C" w14:paraId="79C0698A" w14:textId="0B55F48E">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sidRPr="0037597C">
              <w:rPr>
                <w:rFonts w:ascii="Times New Roman" w:hAnsi="Times New Roman"/>
                <w:b/>
                <w:sz w:val="22"/>
                <w:szCs w:val="22"/>
              </w:rPr>
              <w:t>1</w:t>
            </w:r>
            <w:r w:rsidR="00311AF4">
              <w:rPr>
                <w:rFonts w:ascii="Times New Roman" w:hAnsi="Times New Roman"/>
                <w:b/>
                <w:sz w:val="22"/>
                <w:szCs w:val="22"/>
              </w:rPr>
              <w:t>8</w:t>
            </w:r>
            <w:r w:rsidRPr="0037597C">
              <w:rPr>
                <w:rFonts w:ascii="Times New Roman" w:hAnsi="Times New Roman"/>
                <w:b/>
                <w:sz w:val="22"/>
                <w:szCs w:val="22"/>
              </w:rPr>
              <w:t>,4</w:t>
            </w:r>
            <w:r w:rsidR="00311AF4">
              <w:rPr>
                <w:rFonts w:ascii="Times New Roman" w:hAnsi="Times New Roman"/>
                <w:b/>
                <w:sz w:val="22"/>
                <w:szCs w:val="22"/>
              </w:rPr>
              <w:t>66</w:t>
            </w:r>
          </w:p>
        </w:tc>
      </w:tr>
      <w:tr w:rsidRPr="0037597C" w:rsidR="0037597C" w:rsidTr="00DF7FA3" w14:paraId="3DFF673D" w14:textId="77777777">
        <w:tc>
          <w:tcPr>
            <w:tcW w:w="436.50pt" w:type="dxa"/>
            <w:gridSpan w:val="5"/>
            <w:tcBorders>
              <w:top w:val="single" w:color="000000" w:sz="8" w:space="0"/>
              <w:start w:val="single" w:color="000000" w:sz="8" w:space="0"/>
              <w:bottom w:val="single" w:color="000000" w:sz="8" w:space="0"/>
              <w:end w:val="single" w:color="000000" w:sz="8" w:space="0"/>
            </w:tcBorders>
            <w:shd w:val="clear" w:color="auto" w:fill="E0E0E0"/>
          </w:tcPr>
          <w:p w:rsidRPr="0037597C" w:rsidR="0037597C" w:rsidP="0037597C" w:rsidRDefault="0037597C" w14:paraId="728D9E50"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b/>
                <w:sz w:val="22"/>
                <w:szCs w:val="22"/>
              </w:rPr>
            </w:pPr>
            <w:r w:rsidRPr="0037597C">
              <w:rPr>
                <w:rFonts w:ascii="Times New Roman" w:hAnsi="Times New Roman"/>
                <w:b/>
                <w:sz w:val="22"/>
                <w:szCs w:val="22"/>
              </w:rPr>
              <w:t>Requirements for Submitting OSFR Information</w:t>
            </w:r>
          </w:p>
        </w:tc>
      </w:tr>
      <w:tr w:rsidRPr="0037597C" w:rsidR="0037597C" w:rsidTr="00DF7FA3" w14:paraId="780AC212" w14:textId="77777777">
        <w:tc>
          <w:tcPr>
            <w:tcW w:w="54pt" w:type="dxa"/>
            <w:tcBorders>
              <w:top w:val="single" w:color="000000" w:sz="8" w:space="0"/>
              <w:start w:val="single" w:color="000000" w:sz="7" w:space="0"/>
              <w:bottom w:val="single" w:color="000000" w:sz="7" w:space="0"/>
              <w:end w:val="single" w:color="000000" w:sz="7" w:space="0"/>
            </w:tcBorders>
          </w:tcPr>
          <w:p w:rsidRPr="0037597C" w:rsidR="0037597C" w:rsidP="0037597C" w:rsidRDefault="0037597C" w14:paraId="0A285286"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14; 40; 41; 43</w:t>
            </w:r>
          </w:p>
        </w:tc>
        <w:tc>
          <w:tcPr>
            <w:tcW w:w="216pt" w:type="dxa"/>
            <w:tcBorders>
              <w:top w:val="single" w:color="000000" w:sz="8" w:space="0"/>
              <w:start w:val="single" w:color="000000" w:sz="7" w:space="0"/>
              <w:bottom w:val="single" w:color="000000" w:sz="7" w:space="0"/>
              <w:end w:val="single" w:color="000000" w:sz="7" w:space="0"/>
            </w:tcBorders>
          </w:tcPr>
          <w:p w:rsidRPr="0037597C" w:rsidR="0037597C" w:rsidP="0037597C" w:rsidRDefault="0037597C" w14:paraId="47F29D78"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 xml:space="preserve">Form BOEM-1021 – Covered Offshore Facilities. </w:t>
            </w:r>
          </w:p>
        </w:tc>
        <w:tc>
          <w:tcPr>
            <w:tcW w:w="49.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1E5D52" w14:paraId="418FE6AD" w14:textId="1A8A88B7">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Pr>
                <w:rFonts w:ascii="Times New Roman" w:hAnsi="Times New Roman"/>
                <w:sz w:val="20"/>
              </w:rPr>
              <w:t>10</w:t>
            </w:r>
          </w:p>
        </w:tc>
        <w:tc>
          <w:tcPr>
            <w:tcW w:w="58.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37597C" w14:paraId="48914BC5" w14:textId="04491FA2">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2</w:t>
            </w:r>
            <w:r w:rsidR="00CA2EEE">
              <w:rPr>
                <w:rFonts w:ascii="Times New Roman" w:hAnsi="Times New Roman"/>
                <w:sz w:val="20"/>
              </w:rPr>
              <w:t>55</w:t>
            </w:r>
          </w:p>
        </w:tc>
        <w:tc>
          <w:tcPr>
            <w:tcW w:w="58.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CA2EEE" w14:paraId="0914A501" w14:textId="044F4A4B">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2,550</w:t>
            </w:r>
          </w:p>
        </w:tc>
      </w:tr>
      <w:tr w:rsidRPr="0037597C" w:rsidR="0037597C" w:rsidTr="00DF7FA3" w14:paraId="25878C8B" w14:textId="77777777">
        <w:tc>
          <w:tcPr>
            <w:tcW w:w="54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4FC41AE8"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41; 42</w:t>
            </w:r>
          </w:p>
        </w:tc>
        <w:tc>
          <w:tcPr>
            <w:tcW w:w="216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3149258D"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 xml:space="preserve">Form BOEM-1022 – Covered Offshore Facility Changes. </w:t>
            </w:r>
          </w:p>
        </w:tc>
        <w:tc>
          <w:tcPr>
            <w:tcW w:w="49.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CA2EEE" w14:paraId="5E3261F2" w14:textId="70E1DAD0">
            <w:pPr>
              <w:widowControl/>
              <w:tabs>
                <w:tab w:val="left" w:pos="-54pt"/>
                <w:tab w:val="left" w:pos="-36pt"/>
                <w:tab w:val="left" w:pos="0pt"/>
                <w:tab w:val="left" w:pos="21pt"/>
                <w:tab w:val="left" w:pos="49.50pt"/>
                <w:tab w:val="left" w:pos="72pt"/>
                <w:tab w:val="left" w:pos="144pt"/>
              </w:tabs>
              <w:jc w:val="right"/>
              <w:rPr>
                <w:rFonts w:ascii="Times New Roman" w:hAnsi="Times New Roman"/>
                <w:sz w:val="20"/>
              </w:rPr>
            </w:pPr>
            <w:r>
              <w:rPr>
                <w:rFonts w:ascii="Times New Roman" w:hAnsi="Times New Roman"/>
                <w:sz w:val="20"/>
              </w:rPr>
              <w:t>10</w:t>
            </w:r>
          </w:p>
        </w:tc>
        <w:tc>
          <w:tcPr>
            <w:tcW w:w="58.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CA2EEE" w14:paraId="4DE464F1" w14:textId="239446EA">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5</w:t>
            </w:r>
            <w:r w:rsidRPr="0037597C" w:rsidR="0037597C">
              <w:rPr>
                <w:rFonts w:ascii="Times New Roman" w:hAnsi="Times New Roman"/>
                <w:sz w:val="20"/>
              </w:rPr>
              <w:t>00</w:t>
            </w:r>
          </w:p>
        </w:tc>
        <w:tc>
          <w:tcPr>
            <w:tcW w:w="58.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CA2EEE" w14:paraId="4E015E32" w14:textId="0A714179">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5,0</w:t>
            </w:r>
            <w:r w:rsidRPr="0037597C" w:rsidR="0037597C">
              <w:rPr>
                <w:rFonts w:ascii="Times New Roman" w:hAnsi="Times New Roman"/>
                <w:sz w:val="20"/>
              </w:rPr>
              <w:t>00</w:t>
            </w:r>
          </w:p>
        </w:tc>
      </w:tr>
      <w:tr w:rsidRPr="0037597C" w:rsidR="0037597C" w:rsidTr="00DF7FA3" w14:paraId="2627CA40" w14:textId="77777777">
        <w:tc>
          <w:tcPr>
            <w:tcW w:w="319.50pt" w:type="dxa"/>
            <w:gridSpan w:val="3"/>
            <w:tcBorders>
              <w:top w:val="single" w:color="000000" w:sz="8" w:space="0"/>
              <w:start w:val="single" w:color="000000" w:sz="8" w:space="0"/>
              <w:bottom w:val="single" w:color="000000" w:sz="8" w:space="0"/>
              <w:end w:val="single" w:color="000000" w:sz="8" w:space="0"/>
            </w:tcBorders>
            <w:shd w:val="clear" w:color="auto" w:fill="F3F3F3"/>
            <w:vAlign w:val="center"/>
          </w:tcPr>
          <w:p w:rsidRPr="0037597C" w:rsidR="0037597C" w:rsidP="0037597C" w:rsidRDefault="0037597C" w14:paraId="5C2764F2" w14:textId="77777777">
            <w:pPr>
              <w:widowControl/>
              <w:tabs>
                <w:tab w:val="left" w:pos="-54pt"/>
                <w:tab w:val="left" w:pos="-36pt"/>
                <w:tab w:val="left" w:pos="0pt"/>
                <w:tab w:val="left" w:pos="21pt"/>
                <w:tab w:val="left" w:pos="49.50pt"/>
                <w:tab w:val="left" w:pos="72pt"/>
                <w:tab w:val="left" w:pos="144pt"/>
              </w:tabs>
              <w:jc w:val="center"/>
              <w:rPr>
                <w:rFonts w:ascii="Times New Roman" w:hAnsi="Times New Roman"/>
                <w:b/>
                <w:sz w:val="22"/>
                <w:szCs w:val="22"/>
              </w:rPr>
            </w:pPr>
            <w:r w:rsidRPr="0037597C">
              <w:rPr>
                <w:rFonts w:ascii="Times New Roman" w:hAnsi="Times New Roman"/>
                <w:b/>
                <w:sz w:val="22"/>
                <w:szCs w:val="22"/>
              </w:rPr>
              <w:t>Subtotal</w:t>
            </w:r>
          </w:p>
        </w:tc>
        <w:tc>
          <w:tcPr>
            <w:tcW w:w="58.50pt" w:type="dxa"/>
            <w:tcBorders>
              <w:top w:val="single" w:color="000000" w:sz="8" w:space="0"/>
              <w:start w:val="single" w:color="000000" w:sz="8" w:space="0"/>
              <w:bottom w:val="single" w:color="000000" w:sz="8" w:space="0"/>
              <w:end w:val="single" w:color="000000" w:sz="8" w:space="0"/>
            </w:tcBorders>
            <w:shd w:val="clear" w:color="auto" w:fill="F3F3F3"/>
          </w:tcPr>
          <w:p w:rsidRPr="0037597C" w:rsidR="0037597C" w:rsidP="0037597C" w:rsidRDefault="00CA2EEE" w14:paraId="6E587772" w14:textId="79A6C092">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Pr>
                <w:rFonts w:ascii="Times New Roman" w:hAnsi="Times New Roman"/>
                <w:b/>
                <w:sz w:val="22"/>
                <w:szCs w:val="22"/>
              </w:rPr>
              <w:t>755</w:t>
            </w:r>
          </w:p>
        </w:tc>
        <w:tc>
          <w:tcPr>
            <w:tcW w:w="58.50pt" w:type="dxa"/>
            <w:tcBorders>
              <w:top w:val="single" w:color="000000" w:sz="8" w:space="0"/>
              <w:start w:val="single" w:color="000000" w:sz="8" w:space="0"/>
              <w:bottom w:val="single" w:color="000000" w:sz="8" w:space="0"/>
              <w:end w:val="single" w:color="000000" w:sz="8" w:space="0"/>
            </w:tcBorders>
            <w:shd w:val="clear" w:color="auto" w:fill="F3F3F3"/>
          </w:tcPr>
          <w:p w:rsidRPr="0037597C" w:rsidR="0037597C" w:rsidP="0037597C" w:rsidRDefault="00CA2EEE" w14:paraId="52EB40F5" w14:textId="50531817">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Pr>
                <w:rFonts w:ascii="Times New Roman" w:hAnsi="Times New Roman"/>
                <w:b/>
                <w:sz w:val="22"/>
                <w:szCs w:val="22"/>
              </w:rPr>
              <w:t>7</w:t>
            </w:r>
            <w:r w:rsidRPr="0037597C" w:rsidR="0037597C">
              <w:rPr>
                <w:rFonts w:ascii="Times New Roman" w:hAnsi="Times New Roman"/>
                <w:b/>
                <w:sz w:val="22"/>
                <w:szCs w:val="22"/>
              </w:rPr>
              <w:t>,</w:t>
            </w:r>
            <w:r>
              <w:rPr>
                <w:rFonts w:ascii="Times New Roman" w:hAnsi="Times New Roman"/>
                <w:b/>
                <w:sz w:val="22"/>
                <w:szCs w:val="22"/>
              </w:rPr>
              <w:t>55</w:t>
            </w:r>
            <w:r w:rsidRPr="0037597C">
              <w:rPr>
                <w:rFonts w:ascii="Times New Roman" w:hAnsi="Times New Roman"/>
                <w:b/>
                <w:sz w:val="22"/>
                <w:szCs w:val="22"/>
              </w:rPr>
              <w:t>0</w:t>
            </w:r>
          </w:p>
        </w:tc>
      </w:tr>
      <w:tr w:rsidRPr="0037597C" w:rsidR="0037597C" w:rsidTr="00DF7FA3" w14:paraId="513A9817" w14:textId="77777777">
        <w:tc>
          <w:tcPr>
            <w:tcW w:w="436.50pt" w:type="dxa"/>
            <w:gridSpan w:val="5"/>
            <w:tcBorders>
              <w:top w:val="single" w:color="000000" w:sz="8" w:space="0"/>
              <w:start w:val="single" w:color="000000" w:sz="8" w:space="0"/>
              <w:bottom w:val="single" w:color="000000" w:sz="8" w:space="0"/>
              <w:end w:val="single" w:color="000000" w:sz="8" w:space="0"/>
            </w:tcBorders>
            <w:shd w:val="clear" w:color="auto" w:fill="E0E0E0"/>
          </w:tcPr>
          <w:p w:rsidRPr="0037597C" w:rsidR="0037597C" w:rsidP="0037597C" w:rsidRDefault="0037597C" w14:paraId="5F86CB85"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b/>
                <w:sz w:val="22"/>
                <w:szCs w:val="22"/>
              </w:rPr>
            </w:pPr>
            <w:r w:rsidRPr="0037597C">
              <w:rPr>
                <w:rFonts w:ascii="Times New Roman" w:hAnsi="Times New Roman"/>
                <w:b/>
                <w:sz w:val="22"/>
                <w:szCs w:val="22"/>
              </w:rPr>
              <w:t>Claims for Oil-Spill Removal Costs and Damages</w:t>
            </w:r>
          </w:p>
        </w:tc>
      </w:tr>
      <w:tr w:rsidRPr="0037597C" w:rsidR="0037597C" w:rsidTr="00DF7FA3" w14:paraId="107BDFC0" w14:textId="77777777">
        <w:trPr>
          <w:trHeight w:val="541"/>
        </w:trPr>
        <w:tc>
          <w:tcPr>
            <w:tcW w:w="54pt" w:type="dxa"/>
            <w:tcBorders>
              <w:top w:val="single" w:color="000000" w:sz="8" w:space="0"/>
              <w:start w:val="single" w:color="000000" w:sz="7" w:space="0"/>
              <w:bottom w:val="single" w:color="000000" w:sz="7" w:space="0"/>
              <w:end w:val="single" w:color="000000" w:sz="7" w:space="0"/>
            </w:tcBorders>
          </w:tcPr>
          <w:p w:rsidRPr="0037597C" w:rsidR="0037597C" w:rsidP="0037597C" w:rsidRDefault="0037597C" w14:paraId="4FE97DFA"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Subpart F</w:t>
            </w:r>
          </w:p>
        </w:tc>
        <w:tc>
          <w:tcPr>
            <w:tcW w:w="324pt" w:type="dxa"/>
            <w:gridSpan w:val="3"/>
            <w:tcBorders>
              <w:top w:val="single" w:color="000000" w:sz="8" w:space="0"/>
              <w:start w:val="single" w:color="000000" w:sz="7" w:space="0"/>
              <w:bottom w:val="single" w:color="000000" w:sz="7" w:space="0"/>
              <w:end w:val="single" w:color="000000" w:sz="7" w:space="0"/>
            </w:tcBorders>
          </w:tcPr>
          <w:p w:rsidRPr="0037597C" w:rsidR="0037597C" w:rsidP="0037597C" w:rsidRDefault="0037597C" w14:paraId="4B92AE92" w14:textId="77777777">
            <w:pPr>
              <w:widowControl/>
              <w:tabs>
                <w:tab w:val="left" w:pos="-54pt"/>
                <w:tab w:val="left" w:pos="-36pt"/>
                <w:tab w:val="left" w:pos="0pt"/>
                <w:tab w:val="left" w:pos="27pt"/>
                <w:tab w:val="left" w:pos="49.50pt"/>
                <w:tab w:val="left" w:pos="72pt"/>
                <w:tab w:val="left" w:pos="144pt"/>
              </w:tabs>
              <w:ind w:end="-6pt"/>
              <w:rPr>
                <w:rFonts w:ascii="Times New Roman" w:hAnsi="Times New Roman"/>
                <w:sz w:val="20"/>
              </w:rPr>
            </w:pPr>
            <w:r w:rsidRPr="0037597C">
              <w:rPr>
                <w:rFonts w:ascii="Times New Roman" w:hAnsi="Times New Roman"/>
                <w:sz w:val="20"/>
              </w:rPr>
              <w:t>Claims:  BOEM is not involved in the claims process.  Assessment of burden for claims against the Oil Spill Liability Trust Fund (33 CFR parts 135, 136, 137) falls under the responsibility of the U.S. Coast Guard.</w:t>
            </w:r>
          </w:p>
        </w:tc>
        <w:tc>
          <w:tcPr>
            <w:tcW w:w="58.50pt" w:type="dxa"/>
            <w:tcBorders>
              <w:top w:val="single" w:color="000000" w:sz="8" w:space="0"/>
              <w:start w:val="single" w:color="000000" w:sz="7" w:space="0"/>
              <w:bottom w:val="single" w:color="000000" w:sz="7" w:space="0"/>
              <w:end w:val="single" w:color="000000" w:sz="7" w:space="0"/>
            </w:tcBorders>
          </w:tcPr>
          <w:p w:rsidRPr="0037597C" w:rsidR="0037597C" w:rsidP="0037597C" w:rsidRDefault="0037597C" w14:paraId="553FED35"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0</w:t>
            </w:r>
          </w:p>
        </w:tc>
      </w:tr>
      <w:tr w:rsidRPr="0037597C" w:rsidR="0037597C" w:rsidTr="00DF7FA3" w14:paraId="325095D6" w14:textId="77777777">
        <w:trPr>
          <w:trHeight w:val="433"/>
        </w:trPr>
        <w:tc>
          <w:tcPr>
            <w:tcW w:w="54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7B4385E3"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60(d)</w:t>
            </w:r>
          </w:p>
        </w:tc>
        <w:tc>
          <w:tcPr>
            <w:tcW w:w="216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68745E0F"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Claimant request for BOEM assistance to determine whether a guarantor may be liable for a claim.</w:t>
            </w:r>
          </w:p>
        </w:tc>
        <w:tc>
          <w:tcPr>
            <w:tcW w:w="49.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53494462"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2</w:t>
            </w:r>
          </w:p>
        </w:tc>
        <w:tc>
          <w:tcPr>
            <w:tcW w:w="58.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3CD142C3"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1</w:t>
            </w:r>
          </w:p>
        </w:tc>
        <w:tc>
          <w:tcPr>
            <w:tcW w:w="58.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42FB008A"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2</w:t>
            </w:r>
          </w:p>
        </w:tc>
      </w:tr>
      <w:tr w:rsidRPr="0037597C" w:rsidR="0037597C" w:rsidTr="00DF7FA3" w14:paraId="06867C24" w14:textId="77777777">
        <w:trPr>
          <w:trHeight w:val="433"/>
        </w:trPr>
        <w:tc>
          <w:tcPr>
            <w:tcW w:w="54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5890F534"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62</w:t>
            </w:r>
          </w:p>
        </w:tc>
        <w:tc>
          <w:tcPr>
            <w:tcW w:w="216pt" w:type="dxa"/>
            <w:tcBorders>
              <w:top w:val="single" w:color="000000" w:sz="7" w:space="0"/>
              <w:start w:val="single" w:color="000000" w:sz="7" w:space="0"/>
              <w:bottom w:val="single" w:color="000000" w:sz="8" w:space="0"/>
              <w:end w:val="single" w:color="000000" w:sz="7" w:space="0"/>
            </w:tcBorders>
          </w:tcPr>
          <w:p w:rsidRPr="0037597C" w:rsidR="0037597C" w:rsidP="00602546" w:rsidRDefault="0037597C" w14:paraId="4C1BAA26" w14:textId="77777777">
            <w:pPr>
              <w:widowControl/>
              <w:tabs>
                <w:tab w:val="left" w:pos="-54pt"/>
                <w:tab w:val="left" w:pos="-36pt"/>
                <w:tab w:val="left" w:pos="0pt"/>
                <w:tab w:val="left" w:pos="27pt"/>
                <w:tab w:val="left" w:pos="49.50pt"/>
                <w:tab w:val="left" w:pos="72pt"/>
                <w:tab w:val="left" w:pos="144pt"/>
              </w:tabs>
              <w:rPr>
                <w:rFonts w:ascii="Times New Roman" w:hAnsi="Times New Roman"/>
                <w:sz w:val="20"/>
              </w:rPr>
            </w:pPr>
            <w:r w:rsidRPr="0037597C">
              <w:rPr>
                <w:rFonts w:ascii="Times New Roman" w:hAnsi="Times New Roman"/>
                <w:sz w:val="20"/>
              </w:rPr>
              <w:t>Within 15 calendar days of claim, designated applicant must notify the</w:t>
            </w:r>
            <w:r w:rsidR="00602546">
              <w:rPr>
                <w:rFonts w:ascii="Times New Roman" w:hAnsi="Times New Roman"/>
                <w:sz w:val="20"/>
              </w:rPr>
              <w:t xml:space="preserve"> guarantor and responsible party of the </w:t>
            </w:r>
            <w:r w:rsidRPr="0037597C">
              <w:rPr>
                <w:rFonts w:ascii="Times New Roman" w:hAnsi="Times New Roman"/>
                <w:sz w:val="20"/>
              </w:rPr>
              <w:t>claim.</w:t>
            </w:r>
          </w:p>
        </w:tc>
        <w:tc>
          <w:tcPr>
            <w:tcW w:w="49.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37597C" w14:paraId="5C5B60F9"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sidRPr="0037597C">
              <w:rPr>
                <w:rFonts w:ascii="Times New Roman" w:hAnsi="Times New Roman"/>
                <w:sz w:val="20"/>
              </w:rPr>
              <w:t>1</w:t>
            </w:r>
          </w:p>
        </w:tc>
        <w:tc>
          <w:tcPr>
            <w:tcW w:w="58.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602546" w14:paraId="38A4233F"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1</w:t>
            </w:r>
          </w:p>
        </w:tc>
        <w:tc>
          <w:tcPr>
            <w:tcW w:w="58.50pt" w:type="dxa"/>
            <w:tcBorders>
              <w:top w:val="single" w:color="000000" w:sz="7" w:space="0"/>
              <w:start w:val="single" w:color="000000" w:sz="7" w:space="0"/>
              <w:bottom w:val="single" w:color="000000" w:sz="8" w:space="0"/>
              <w:end w:val="single" w:color="000000" w:sz="7" w:space="0"/>
            </w:tcBorders>
          </w:tcPr>
          <w:p w:rsidRPr="0037597C" w:rsidR="0037597C" w:rsidP="0037597C" w:rsidRDefault="00602546" w14:paraId="0BE90C38"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sz w:val="20"/>
              </w:rPr>
            </w:pPr>
            <w:r>
              <w:rPr>
                <w:rFonts w:ascii="Times New Roman" w:hAnsi="Times New Roman"/>
                <w:sz w:val="20"/>
              </w:rPr>
              <w:t>1</w:t>
            </w:r>
          </w:p>
        </w:tc>
      </w:tr>
      <w:tr w:rsidRPr="0037597C" w:rsidR="0037597C" w:rsidTr="00DF7FA3" w14:paraId="7FAFBD19" w14:textId="77777777">
        <w:trPr>
          <w:trHeight w:val="226"/>
        </w:trPr>
        <w:tc>
          <w:tcPr>
            <w:tcW w:w="319.50pt" w:type="dxa"/>
            <w:gridSpan w:val="3"/>
            <w:tcBorders>
              <w:top w:val="single" w:color="000000" w:sz="8" w:space="0"/>
              <w:start w:val="single" w:color="000000" w:sz="8" w:space="0"/>
              <w:bottom w:val="single" w:color="000000" w:sz="8" w:space="0"/>
              <w:end w:val="single" w:color="000000" w:sz="8" w:space="0"/>
            </w:tcBorders>
            <w:shd w:val="clear" w:color="auto" w:fill="F3F3F3"/>
            <w:vAlign w:val="center"/>
          </w:tcPr>
          <w:p w:rsidRPr="0037597C" w:rsidR="0037597C" w:rsidP="0037597C" w:rsidRDefault="0037597C" w14:paraId="7055229A"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b/>
                <w:sz w:val="22"/>
                <w:szCs w:val="22"/>
              </w:rPr>
            </w:pPr>
            <w:r w:rsidRPr="0037597C">
              <w:rPr>
                <w:rFonts w:ascii="Times New Roman" w:hAnsi="Times New Roman"/>
                <w:b/>
                <w:sz w:val="22"/>
                <w:szCs w:val="22"/>
              </w:rPr>
              <w:t>Subtotal</w:t>
            </w:r>
          </w:p>
        </w:tc>
        <w:tc>
          <w:tcPr>
            <w:tcW w:w="58.50pt" w:type="dxa"/>
            <w:tcBorders>
              <w:top w:val="single" w:color="000000" w:sz="8" w:space="0"/>
              <w:start w:val="single" w:color="000000" w:sz="8" w:space="0"/>
              <w:bottom w:val="single" w:color="000000" w:sz="8" w:space="0"/>
              <w:end w:val="single" w:color="000000" w:sz="8" w:space="0"/>
            </w:tcBorders>
            <w:shd w:val="clear" w:color="auto" w:fill="F3F3F3"/>
          </w:tcPr>
          <w:p w:rsidRPr="0037597C" w:rsidR="0037597C" w:rsidP="0037597C" w:rsidRDefault="001C69D9" w14:paraId="0D1D70A0"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Pr>
                <w:rFonts w:ascii="Times New Roman" w:hAnsi="Times New Roman"/>
                <w:b/>
                <w:sz w:val="22"/>
                <w:szCs w:val="22"/>
              </w:rPr>
              <w:t>2</w:t>
            </w:r>
          </w:p>
        </w:tc>
        <w:tc>
          <w:tcPr>
            <w:tcW w:w="58.50pt" w:type="dxa"/>
            <w:tcBorders>
              <w:top w:val="single" w:color="000000" w:sz="8" w:space="0"/>
              <w:start w:val="single" w:color="000000" w:sz="8" w:space="0"/>
              <w:bottom w:val="single" w:color="000000" w:sz="8" w:space="0"/>
              <w:end w:val="single" w:color="000000" w:sz="8" w:space="0"/>
            </w:tcBorders>
            <w:shd w:val="clear" w:color="auto" w:fill="F3F3F3"/>
          </w:tcPr>
          <w:p w:rsidRPr="0037597C" w:rsidR="0037597C" w:rsidP="0037597C" w:rsidRDefault="001C69D9" w14:paraId="3D765536" w14:textId="77777777">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Pr>
                <w:rFonts w:ascii="Times New Roman" w:hAnsi="Times New Roman"/>
                <w:b/>
                <w:sz w:val="22"/>
                <w:szCs w:val="22"/>
              </w:rPr>
              <w:t>3</w:t>
            </w:r>
          </w:p>
        </w:tc>
      </w:tr>
      <w:tr w:rsidRPr="0037597C" w:rsidR="0037597C" w:rsidTr="00DF7FA3" w14:paraId="2AE2D8F2" w14:textId="77777777">
        <w:trPr>
          <w:trHeight w:val="313"/>
        </w:trPr>
        <w:tc>
          <w:tcPr>
            <w:tcW w:w="319.50pt" w:type="dxa"/>
            <w:gridSpan w:val="3"/>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37597C" w:rsidRDefault="0037597C" w14:paraId="13F66909" w14:textId="77777777">
            <w:pPr>
              <w:widowControl/>
              <w:tabs>
                <w:tab w:val="left" w:pos="-54pt"/>
                <w:tab w:val="left" w:pos="-36pt"/>
                <w:tab w:val="left" w:pos="0pt"/>
                <w:tab w:val="left" w:pos="27pt"/>
                <w:tab w:val="left" w:pos="49.50pt"/>
                <w:tab w:val="left" w:pos="72pt"/>
                <w:tab w:val="left" w:pos="144pt"/>
              </w:tabs>
              <w:jc w:val="center"/>
              <w:rPr>
                <w:rFonts w:ascii="Times New Roman" w:hAnsi="Times New Roman"/>
                <w:b/>
                <w:sz w:val="22"/>
                <w:szCs w:val="22"/>
              </w:rPr>
            </w:pPr>
            <w:r w:rsidRPr="0037597C">
              <w:rPr>
                <w:rFonts w:ascii="Times New Roman" w:hAnsi="Times New Roman"/>
                <w:b/>
                <w:sz w:val="22"/>
                <w:szCs w:val="22"/>
              </w:rPr>
              <w:t>Total Burden</w:t>
            </w:r>
          </w:p>
        </w:tc>
        <w:tc>
          <w:tcPr>
            <w:tcW w:w="58.50pt" w:type="dxa"/>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1C69D9" w:rsidRDefault="00CA2EEE" w14:paraId="6F2848F8" w14:textId="2C0A31AD">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Pr>
                <w:rFonts w:ascii="Times New Roman" w:hAnsi="Times New Roman"/>
                <w:b/>
                <w:sz w:val="22"/>
                <w:szCs w:val="22"/>
              </w:rPr>
              <w:t>2</w:t>
            </w:r>
            <w:r w:rsidRPr="0037597C" w:rsidR="0037597C">
              <w:rPr>
                <w:rFonts w:ascii="Times New Roman" w:hAnsi="Times New Roman"/>
                <w:b/>
                <w:sz w:val="22"/>
                <w:szCs w:val="22"/>
              </w:rPr>
              <w:t>,</w:t>
            </w:r>
            <w:r w:rsidR="001C69D9">
              <w:rPr>
                <w:rFonts w:ascii="Times New Roman" w:hAnsi="Times New Roman"/>
                <w:b/>
                <w:sz w:val="22"/>
                <w:szCs w:val="22"/>
              </w:rPr>
              <w:t>2</w:t>
            </w:r>
            <w:r>
              <w:rPr>
                <w:rFonts w:ascii="Times New Roman" w:hAnsi="Times New Roman"/>
                <w:b/>
                <w:sz w:val="22"/>
                <w:szCs w:val="22"/>
              </w:rPr>
              <w:t>3</w:t>
            </w:r>
            <w:r w:rsidR="001C69D9">
              <w:rPr>
                <w:rFonts w:ascii="Times New Roman" w:hAnsi="Times New Roman"/>
                <w:b/>
                <w:sz w:val="22"/>
                <w:szCs w:val="22"/>
              </w:rPr>
              <w:t>3</w:t>
            </w:r>
            <w:r w:rsidRPr="0037597C" w:rsidR="0037597C">
              <w:rPr>
                <w:rFonts w:ascii="Times New Roman" w:hAnsi="Times New Roman"/>
                <w:b/>
                <w:sz w:val="22"/>
                <w:szCs w:val="22"/>
              </w:rPr>
              <w:t xml:space="preserve"> responses</w:t>
            </w:r>
          </w:p>
        </w:tc>
        <w:tc>
          <w:tcPr>
            <w:tcW w:w="58.50pt" w:type="dxa"/>
            <w:tcBorders>
              <w:top w:val="single" w:color="000000" w:sz="8" w:space="0"/>
              <w:start w:val="single" w:color="000000" w:sz="8" w:space="0"/>
              <w:bottom w:val="single" w:color="000000" w:sz="8" w:space="0"/>
              <w:end w:val="single" w:color="000000" w:sz="8" w:space="0"/>
            </w:tcBorders>
            <w:shd w:val="clear" w:color="000000" w:fill="E0E0E0"/>
            <w:vAlign w:val="center"/>
          </w:tcPr>
          <w:p w:rsidRPr="0037597C" w:rsidR="0037597C" w:rsidP="001C69D9" w:rsidRDefault="00173491" w14:paraId="778455F7" w14:textId="45D9C09A">
            <w:pPr>
              <w:widowControl/>
              <w:tabs>
                <w:tab w:val="left" w:pos="-54pt"/>
                <w:tab w:val="left" w:pos="-36pt"/>
                <w:tab w:val="left" w:pos="0pt"/>
                <w:tab w:val="left" w:pos="27pt"/>
                <w:tab w:val="left" w:pos="49.50pt"/>
                <w:tab w:val="left" w:pos="72pt"/>
                <w:tab w:val="left" w:pos="144pt"/>
              </w:tabs>
              <w:jc w:val="right"/>
              <w:rPr>
                <w:rFonts w:ascii="Times New Roman" w:hAnsi="Times New Roman"/>
                <w:b/>
                <w:sz w:val="22"/>
                <w:szCs w:val="22"/>
              </w:rPr>
            </w:pPr>
            <w:r>
              <w:rPr>
                <w:rFonts w:ascii="Times New Roman" w:hAnsi="Times New Roman"/>
                <w:b/>
                <w:sz w:val="22"/>
                <w:szCs w:val="22"/>
              </w:rPr>
              <w:t>34,695</w:t>
            </w:r>
            <w:r w:rsidRPr="0037597C" w:rsidR="0037597C">
              <w:rPr>
                <w:rFonts w:ascii="Times New Roman" w:hAnsi="Times New Roman"/>
                <w:b/>
                <w:sz w:val="22"/>
                <w:szCs w:val="22"/>
              </w:rPr>
              <w:t xml:space="preserve"> hours</w:t>
            </w:r>
          </w:p>
        </w:tc>
      </w:tr>
    </w:tbl>
    <w:p w:rsidRPr="003B34FF" w:rsidR="00B75AD6" w:rsidP="003B34FF" w:rsidRDefault="003B34FF" w14:paraId="5BA98B43" w14:textId="77777777">
      <w:pPr>
        <w:widowControl/>
        <w:tabs>
          <w:tab w:val="left" w:pos="-54pt"/>
          <w:tab w:val="left" w:pos="-36pt"/>
          <w:tab w:val="left" w:pos="18pt"/>
          <w:tab w:val="left" w:pos="36pt"/>
        </w:tabs>
        <w:rPr>
          <w:rFonts w:ascii="Times New Roman" w:hAnsi="Times New Roman"/>
          <w:sz w:val="20"/>
        </w:rPr>
      </w:pPr>
      <w:r w:rsidRPr="003B34FF">
        <w:rPr>
          <w:rFonts w:ascii="Times New Roman" w:hAnsi="Times New Roman"/>
          <w:sz w:val="20"/>
        </w:rPr>
        <w:t>*</w:t>
      </w:r>
      <w:r>
        <w:rPr>
          <w:rFonts w:ascii="Times New Roman" w:hAnsi="Times New Roman"/>
          <w:sz w:val="20"/>
        </w:rPr>
        <w:t xml:space="preserve"> </w:t>
      </w:r>
      <w:r w:rsidRPr="003B34FF">
        <w:rPr>
          <w:rFonts w:ascii="Times New Roman" w:hAnsi="Times New Roman"/>
          <w:sz w:val="20"/>
        </w:rPr>
        <w:t xml:space="preserve">In the future, BOEM may require </w:t>
      </w:r>
      <w:r w:rsidR="006D2268">
        <w:rPr>
          <w:rFonts w:ascii="Times New Roman" w:hAnsi="Times New Roman"/>
          <w:sz w:val="20"/>
        </w:rPr>
        <w:t xml:space="preserve">specified </w:t>
      </w:r>
      <w:r w:rsidRPr="003B34FF">
        <w:rPr>
          <w:rFonts w:ascii="Times New Roman" w:hAnsi="Times New Roman"/>
          <w:sz w:val="20"/>
        </w:rPr>
        <w:t xml:space="preserve">electronic filing of </w:t>
      </w:r>
      <w:r w:rsidR="006D2268">
        <w:rPr>
          <w:rFonts w:ascii="Times New Roman" w:hAnsi="Times New Roman"/>
          <w:sz w:val="20"/>
        </w:rPr>
        <w:t>financial/</w:t>
      </w:r>
      <w:r w:rsidRPr="003B34FF">
        <w:rPr>
          <w:rFonts w:ascii="Times New Roman" w:hAnsi="Times New Roman"/>
          <w:sz w:val="20"/>
        </w:rPr>
        <w:t>bonding submissions.</w:t>
      </w:r>
    </w:p>
    <w:p w:rsidR="004A0138" w:rsidRDefault="004A0138" w14:paraId="125070E5" w14:textId="77777777">
      <w:pPr>
        <w:widowControl/>
        <w:tabs>
          <w:tab w:val="left" w:pos="-54pt"/>
          <w:tab w:val="left" w:pos="-36pt"/>
          <w:tab w:val="left" w:pos="18pt"/>
          <w:tab w:val="left" w:pos="36pt"/>
        </w:tabs>
        <w:rPr>
          <w:rFonts w:ascii="Times New Roman" w:hAnsi="Times New Roman"/>
          <w:sz w:val="22"/>
          <w:szCs w:val="22"/>
        </w:rPr>
      </w:pPr>
    </w:p>
    <w:p w:rsidR="005C11AE" w:rsidP="00EA0CD6" w:rsidRDefault="005C11AE" w14:paraId="3307B5B8" w14:textId="77777777">
      <w:pPr>
        <w:widowControl/>
        <w:tabs>
          <w:tab w:val="left" w:pos="18pt"/>
          <w:tab w:val="left" w:pos="36pt"/>
          <w:tab w:val="left" w:pos="54pt"/>
        </w:tabs>
        <w:rPr>
          <w:rFonts w:ascii="Times New Roman" w:hAnsi="Times New Roman"/>
          <w:sz w:val="22"/>
          <w:szCs w:val="22"/>
        </w:rPr>
      </w:pPr>
      <w:r w:rsidRPr="005C11AE">
        <w:rPr>
          <w:rFonts w:ascii="Times New Roman" w:hAnsi="Times New Roman"/>
        </w:rPr>
        <w:tab/>
      </w:r>
    </w:p>
    <w:p w:rsidRPr="00AA3C0C" w:rsidR="00C90DF6" w:rsidP="00C90DF6" w:rsidRDefault="00F365EE" w14:paraId="49D313FB"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autoSpaceDE w:val="0"/>
        <w:autoSpaceDN w:val="0"/>
        <w:adjustRightInd w:val="0"/>
        <w:rPr>
          <w:rFonts w:ascii="Times New Roman" w:hAnsi="Times New Roman"/>
          <w:b/>
          <w:i/>
          <w:snapToGrid/>
          <w:szCs w:val="24"/>
        </w:rPr>
      </w:pPr>
      <w:r>
        <w:rPr>
          <w:rFonts w:ascii="Times New Roman" w:hAnsi="Times New Roman"/>
          <w:b/>
          <w:i/>
          <w:snapToGrid/>
          <w:szCs w:val="24"/>
        </w:rPr>
        <w:tab/>
      </w:r>
      <w:r w:rsidR="00C90DF6">
        <w:rPr>
          <w:rFonts w:ascii="Times New Roman" w:hAnsi="Times New Roman"/>
          <w:b/>
          <w:i/>
          <w:snapToGrid/>
          <w:szCs w:val="24"/>
        </w:rPr>
        <w:t xml:space="preserve">(c) </w:t>
      </w:r>
      <w:r w:rsidRPr="00AA3C0C" w:rsidR="00C90DF6">
        <w:rPr>
          <w:rFonts w:ascii="Times New Roman" w:hAnsi="Times New Roman"/>
          <w:b/>
          <w:i/>
          <w:snapToGrid/>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3A5564" w:rsidP="00701C4F" w:rsidRDefault="003A5564" w14:paraId="41B2709B" w14:textId="77777777">
      <w:pPr>
        <w:widowControl/>
        <w:tabs>
          <w:tab w:val="left" w:pos="-54pt"/>
          <w:tab w:val="left" w:pos="-36pt"/>
          <w:tab w:val="left" w:pos="18pt"/>
          <w:tab w:val="left" w:pos="40.50pt"/>
        </w:tabs>
        <w:rPr>
          <w:rFonts w:ascii="Times New Roman" w:hAnsi="Times New Roman"/>
          <w:i/>
        </w:rPr>
      </w:pPr>
    </w:p>
    <w:p w:rsidRPr="000C1952" w:rsidR="003A5564" w:rsidP="003A5564" w:rsidRDefault="003A5564" w14:paraId="7596BDC7" w14:textId="03B25C77">
      <w:pPr>
        <w:widowControl/>
        <w:tabs>
          <w:tab w:val="left" w:pos="18pt"/>
          <w:tab w:val="left" w:pos="36pt"/>
          <w:tab w:val="left" w:pos="54pt"/>
        </w:tabs>
        <w:rPr>
          <w:rFonts w:ascii="Times New Roman" w:hAnsi="Times New Roman"/>
        </w:rPr>
      </w:pPr>
      <w:r w:rsidRPr="000C1952">
        <w:rPr>
          <w:rFonts w:ascii="Times New Roman" w:hAnsi="Times New Roman"/>
        </w:rPr>
        <w:t xml:space="preserve">The average respondent </w:t>
      </w:r>
      <w:r w:rsidRPr="009567E5">
        <w:rPr>
          <w:rFonts w:ascii="Times New Roman" w:hAnsi="Times New Roman"/>
        </w:rPr>
        <w:t>cost is $</w:t>
      </w:r>
      <w:r w:rsidR="00106278">
        <w:rPr>
          <w:rFonts w:ascii="Times New Roman" w:hAnsi="Times New Roman"/>
        </w:rPr>
        <w:t>98</w:t>
      </w:r>
      <w:r w:rsidRPr="009567E5">
        <w:rPr>
          <w:rFonts w:ascii="Times New Roman" w:hAnsi="Times New Roman"/>
        </w:rPr>
        <w:t>*/</w:t>
      </w:r>
      <w:r w:rsidRPr="000C1952">
        <w:rPr>
          <w:rFonts w:ascii="Times New Roman" w:hAnsi="Times New Roman"/>
        </w:rPr>
        <w:t>hour</w:t>
      </w:r>
      <w:r>
        <w:rPr>
          <w:rFonts w:ascii="Times New Roman" w:hAnsi="Times New Roman"/>
        </w:rPr>
        <w:t xml:space="preserve"> (rounded)</w:t>
      </w:r>
      <w:r w:rsidRPr="000C1952">
        <w:rPr>
          <w:rFonts w:ascii="Times New Roman" w:hAnsi="Times New Roman"/>
        </w:rPr>
        <w:t xml:space="preserve">.  This cost is broken out in the below table using the Bureau of Labor Statistics data for the </w:t>
      </w:r>
      <w:smartTag w:uri="urn:schemas-microsoft-com:office:smarttags" w:element="place">
        <w:smartTag w:uri="urn:schemas-microsoft-com:office:smarttags" w:element="City">
          <w:r w:rsidRPr="000C1952">
            <w:rPr>
              <w:rFonts w:ascii="Times New Roman" w:hAnsi="Times New Roman"/>
            </w:rPr>
            <w:t>Houston</w:t>
          </w:r>
        </w:smartTag>
        <w:r w:rsidRPr="000C1952">
          <w:rPr>
            <w:rFonts w:ascii="Times New Roman" w:hAnsi="Times New Roman"/>
          </w:rPr>
          <w:t xml:space="preserve">, </w:t>
        </w:r>
        <w:smartTag w:uri="urn:schemas-microsoft-com:office:smarttags" w:element="date">
          <w:r w:rsidRPr="000C1952">
            <w:rPr>
              <w:rFonts w:ascii="Times New Roman" w:hAnsi="Times New Roman"/>
            </w:rPr>
            <w:t>TX</w:t>
          </w:r>
        </w:smartTag>
      </w:smartTag>
      <w:r w:rsidRPr="000C1952">
        <w:rPr>
          <w:rFonts w:ascii="Times New Roman" w:hAnsi="Times New Roman"/>
        </w:rPr>
        <w:t xml:space="preserve"> area.  See BLS website:  </w:t>
      </w:r>
      <w:hyperlink w:history="1" w:anchor="43-0000" r:id="rId7">
        <w:r w:rsidRPr="00576B3A" w:rsidR="00576B3A">
          <w:rPr>
            <w:rFonts w:ascii="Times New Roman" w:hAnsi="Times New Roman"/>
            <w:color w:val="0000FF"/>
            <w:u w:val="single"/>
          </w:rPr>
          <w:t>https://www.bls.gov/oes/current/oes_26420.htm#43-0000</w:t>
        </w:r>
      </w:hyperlink>
      <w:r w:rsidRPr="000C1952">
        <w:rPr>
          <w:rFonts w:ascii="Times New Roman" w:hAnsi="Times New Roman"/>
        </w:rPr>
        <w:t xml:space="preserve">.  </w:t>
      </w:r>
    </w:p>
    <w:p w:rsidRPr="000C1952" w:rsidR="003A5564" w:rsidP="003A5564" w:rsidRDefault="003A5564" w14:paraId="32FB6278" w14:textId="77777777">
      <w:pPr>
        <w:widowControl/>
        <w:tabs>
          <w:tab w:val="left" w:pos="18pt"/>
          <w:tab w:val="left" w:pos="36pt"/>
          <w:tab w:val="left" w:pos="54pt"/>
        </w:tabs>
        <w:rPr>
          <w:rFonts w:ascii="Times New Roman" w:hAnsi="Times New Roman"/>
        </w:rPr>
      </w:pPr>
    </w:p>
    <w:tbl>
      <w:tblPr>
        <w:tblW w:w="428.70pt" w:type="dxa"/>
        <w:jc w:val="center"/>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ook w:val="01e0"/>
      </w:tblPr>
      <w:tblGrid>
        <w:gridCol w:w="2555"/>
        <w:gridCol w:w="1287"/>
        <w:gridCol w:w="1752"/>
        <w:gridCol w:w="1521"/>
        <w:gridCol w:w="1459"/>
      </w:tblGrid>
      <w:tr w:rsidRPr="00A4151C" w:rsidR="002E50A3" w:rsidTr="002E50A3" w14:paraId="0B07D6F8" w14:textId="77777777">
        <w:trPr>
          <w:trHeight w:val="711"/>
          <w:jc w:val="center"/>
        </w:trPr>
        <w:tc>
          <w:tcPr>
            <w:tcW w:w="127.75pt" w:type="dxa"/>
            <w:vAlign w:val="center"/>
          </w:tcPr>
          <w:p w:rsidRPr="00A4151C" w:rsidR="002E50A3" w:rsidP="00A4151C" w:rsidRDefault="002E50A3" w14:paraId="70FD7413" w14:textId="77777777">
            <w:pPr>
              <w:widowControl/>
              <w:tabs>
                <w:tab w:val="left" w:pos="18pt"/>
                <w:tab w:val="left" w:pos="36pt"/>
                <w:tab w:val="left" w:pos="54pt"/>
              </w:tabs>
              <w:rPr>
                <w:rFonts w:ascii="Times New Roman" w:hAnsi="Times New Roman"/>
                <w:b/>
                <w:sz w:val="21"/>
                <w:szCs w:val="21"/>
              </w:rPr>
            </w:pPr>
            <w:r w:rsidRPr="00A4151C">
              <w:rPr>
                <w:rFonts w:ascii="Times New Roman" w:hAnsi="Times New Roman"/>
                <w:b/>
                <w:sz w:val="21"/>
                <w:szCs w:val="21"/>
              </w:rPr>
              <w:t>Position</w:t>
            </w:r>
          </w:p>
        </w:tc>
        <w:tc>
          <w:tcPr>
            <w:tcW w:w="64.35pt" w:type="dxa"/>
          </w:tcPr>
          <w:p w:rsidRPr="00A4151C" w:rsidR="002E50A3" w:rsidP="00A4151C" w:rsidRDefault="002E50A3" w14:paraId="465AFEFA" w14:textId="77777777">
            <w:pPr>
              <w:widowControl/>
              <w:tabs>
                <w:tab w:val="left" w:pos="18pt"/>
                <w:tab w:val="left" w:pos="36pt"/>
                <w:tab w:val="left" w:pos="54pt"/>
              </w:tabs>
              <w:jc w:val="center"/>
              <w:rPr>
                <w:rFonts w:ascii="Times New Roman" w:hAnsi="Times New Roman"/>
                <w:b/>
                <w:sz w:val="21"/>
                <w:szCs w:val="21"/>
              </w:rPr>
            </w:pPr>
            <w:r w:rsidRPr="00A4151C">
              <w:rPr>
                <w:rFonts w:ascii="Times New Roman" w:hAnsi="Times New Roman"/>
                <w:b/>
                <w:sz w:val="21"/>
                <w:szCs w:val="21"/>
              </w:rPr>
              <w:t>Hourly Pay rate ($/hour estimate)</w:t>
            </w:r>
          </w:p>
        </w:tc>
        <w:tc>
          <w:tcPr>
            <w:tcW w:w="87.60pt" w:type="dxa"/>
          </w:tcPr>
          <w:p w:rsidRPr="00A4151C" w:rsidR="002E50A3" w:rsidP="00E46429" w:rsidRDefault="002E50A3" w14:paraId="2BF4A340" w14:textId="77777777">
            <w:pPr>
              <w:widowControl/>
              <w:tabs>
                <w:tab w:val="left" w:pos="18pt"/>
                <w:tab w:val="left" w:pos="36pt"/>
                <w:tab w:val="left" w:pos="54pt"/>
              </w:tabs>
              <w:jc w:val="center"/>
              <w:rPr>
                <w:rFonts w:ascii="Times New Roman" w:hAnsi="Times New Roman"/>
                <w:b/>
                <w:sz w:val="21"/>
                <w:szCs w:val="21"/>
              </w:rPr>
            </w:pPr>
            <w:r w:rsidRPr="00A4151C">
              <w:rPr>
                <w:rFonts w:ascii="Times New Roman" w:hAnsi="Times New Roman"/>
                <w:b/>
                <w:sz w:val="21"/>
                <w:szCs w:val="21"/>
              </w:rPr>
              <w:t>Hou</w:t>
            </w:r>
            <w:r w:rsidR="00626259">
              <w:rPr>
                <w:rFonts w:ascii="Times New Roman" w:hAnsi="Times New Roman"/>
                <w:b/>
                <w:sz w:val="21"/>
                <w:szCs w:val="21"/>
              </w:rPr>
              <w:t>rly rate including benefits (1.</w:t>
            </w:r>
            <w:r w:rsidR="00E46429">
              <w:rPr>
                <w:rFonts w:ascii="Times New Roman" w:hAnsi="Times New Roman"/>
                <w:b/>
                <w:sz w:val="21"/>
                <w:szCs w:val="21"/>
              </w:rPr>
              <w:t>4</w:t>
            </w:r>
            <w:r w:rsidRPr="00A4151C">
              <w:rPr>
                <w:rFonts w:ascii="Times New Roman" w:hAnsi="Times New Roman"/>
                <w:b/>
                <w:sz w:val="21"/>
                <w:szCs w:val="21"/>
              </w:rPr>
              <w:t>** x $/hour)</w:t>
            </w:r>
          </w:p>
        </w:tc>
        <w:tc>
          <w:tcPr>
            <w:tcW w:w="76.05pt" w:type="dxa"/>
          </w:tcPr>
          <w:p w:rsidRPr="00A4151C" w:rsidR="002E50A3" w:rsidP="00A4151C" w:rsidRDefault="002E50A3" w14:paraId="63278D56" w14:textId="77777777">
            <w:pPr>
              <w:widowControl/>
              <w:tabs>
                <w:tab w:val="left" w:pos="18pt"/>
                <w:tab w:val="left" w:pos="36pt"/>
                <w:tab w:val="left" w:pos="54pt"/>
              </w:tabs>
              <w:jc w:val="center"/>
              <w:rPr>
                <w:rFonts w:ascii="Times New Roman" w:hAnsi="Times New Roman"/>
                <w:b/>
                <w:sz w:val="21"/>
                <w:szCs w:val="21"/>
                <w:highlight w:val="yellow"/>
              </w:rPr>
            </w:pPr>
            <w:r w:rsidRPr="009567E5">
              <w:rPr>
                <w:rFonts w:ascii="Times New Roman" w:hAnsi="Times New Roman"/>
                <w:b/>
                <w:sz w:val="21"/>
                <w:szCs w:val="21"/>
              </w:rPr>
              <w:t>Percent of time spent on collection</w:t>
            </w:r>
          </w:p>
        </w:tc>
        <w:tc>
          <w:tcPr>
            <w:tcW w:w="72.95pt" w:type="dxa"/>
          </w:tcPr>
          <w:p w:rsidRPr="00A4151C" w:rsidR="002E50A3" w:rsidP="00A4151C" w:rsidRDefault="002E50A3" w14:paraId="7F661A31" w14:textId="77777777">
            <w:pPr>
              <w:widowControl/>
              <w:tabs>
                <w:tab w:val="left" w:pos="18pt"/>
                <w:tab w:val="left" w:pos="36pt"/>
                <w:tab w:val="left" w:pos="54pt"/>
              </w:tabs>
              <w:jc w:val="center"/>
              <w:rPr>
                <w:rFonts w:ascii="Times New Roman" w:hAnsi="Times New Roman"/>
                <w:b/>
                <w:sz w:val="21"/>
                <w:szCs w:val="21"/>
              </w:rPr>
            </w:pPr>
            <w:r w:rsidRPr="00A4151C">
              <w:rPr>
                <w:rFonts w:ascii="Times New Roman" w:hAnsi="Times New Roman"/>
                <w:b/>
                <w:sz w:val="21"/>
                <w:szCs w:val="21"/>
              </w:rPr>
              <w:t>Weighted Average ($/hour)</w:t>
            </w:r>
          </w:p>
        </w:tc>
      </w:tr>
      <w:tr w:rsidRPr="00A4151C" w:rsidR="002E50A3" w:rsidTr="002E50A3" w14:paraId="40D15531" w14:textId="77777777">
        <w:trPr>
          <w:trHeight w:val="487"/>
          <w:jc w:val="center"/>
        </w:trPr>
        <w:tc>
          <w:tcPr>
            <w:tcW w:w="127.75pt" w:type="dxa"/>
          </w:tcPr>
          <w:p w:rsidR="002E50A3" w:rsidP="00A4151C" w:rsidRDefault="002E50A3" w14:paraId="46CEA3A9" w14:textId="77777777">
            <w:pPr>
              <w:widowControl/>
              <w:tabs>
                <w:tab w:val="left" w:pos="18pt"/>
                <w:tab w:val="left" w:pos="36pt"/>
                <w:tab w:val="left" w:pos="54pt"/>
              </w:tabs>
              <w:rPr>
                <w:rFonts w:ascii="Times New Roman" w:hAnsi="Times New Roman"/>
                <w:sz w:val="21"/>
                <w:szCs w:val="21"/>
              </w:rPr>
            </w:pPr>
            <w:r>
              <w:rPr>
                <w:rFonts w:ascii="Times New Roman" w:hAnsi="Times New Roman"/>
                <w:sz w:val="21"/>
                <w:szCs w:val="21"/>
              </w:rPr>
              <w:t>Administrative Support</w:t>
            </w:r>
          </w:p>
          <w:p w:rsidRPr="002E50A3" w:rsidR="002E50A3" w:rsidP="00A4151C" w:rsidRDefault="002E50A3" w14:paraId="006973BF" w14:textId="77777777">
            <w:pPr>
              <w:widowControl/>
              <w:tabs>
                <w:tab w:val="left" w:pos="18pt"/>
                <w:tab w:val="left" w:pos="36pt"/>
                <w:tab w:val="left" w:pos="54pt"/>
              </w:tabs>
              <w:rPr>
                <w:rFonts w:ascii="Times New Roman" w:hAnsi="Times New Roman"/>
                <w:sz w:val="21"/>
                <w:szCs w:val="21"/>
              </w:rPr>
            </w:pPr>
            <w:r>
              <w:rPr>
                <w:rFonts w:ascii="Times New Roman" w:hAnsi="Times New Roman"/>
                <w:sz w:val="21"/>
                <w:szCs w:val="21"/>
              </w:rPr>
              <w:t>43-6014</w:t>
            </w:r>
          </w:p>
        </w:tc>
        <w:tc>
          <w:tcPr>
            <w:tcW w:w="64.35pt" w:type="dxa"/>
          </w:tcPr>
          <w:p w:rsidRPr="009567E5" w:rsidR="002E50A3" w:rsidP="00A4151C" w:rsidRDefault="002E50A3" w14:paraId="688A28B2" w14:textId="3FD44CEE">
            <w:pPr>
              <w:widowControl/>
              <w:tabs>
                <w:tab w:val="left" w:pos="18pt"/>
                <w:tab w:val="left" w:pos="36pt"/>
                <w:tab w:val="left" w:pos="54pt"/>
              </w:tabs>
              <w:jc w:val="center"/>
              <w:rPr>
                <w:rFonts w:ascii="Times New Roman" w:hAnsi="Times New Roman"/>
                <w:sz w:val="21"/>
                <w:szCs w:val="21"/>
              </w:rPr>
            </w:pPr>
            <w:r>
              <w:rPr>
                <w:rFonts w:ascii="Times New Roman" w:hAnsi="Times New Roman"/>
                <w:sz w:val="21"/>
                <w:szCs w:val="21"/>
              </w:rPr>
              <w:t>$1</w:t>
            </w:r>
            <w:r w:rsidR="00106278">
              <w:rPr>
                <w:rFonts w:ascii="Times New Roman" w:hAnsi="Times New Roman"/>
                <w:sz w:val="21"/>
                <w:szCs w:val="21"/>
              </w:rPr>
              <w:t>9</w:t>
            </w:r>
          </w:p>
        </w:tc>
        <w:tc>
          <w:tcPr>
            <w:tcW w:w="87.60pt" w:type="dxa"/>
          </w:tcPr>
          <w:p w:rsidRPr="009567E5" w:rsidR="002E50A3" w:rsidP="00E46429" w:rsidRDefault="002E50A3" w14:paraId="17482B5B" w14:textId="68BCF6A2">
            <w:pPr>
              <w:widowControl/>
              <w:tabs>
                <w:tab w:val="left" w:pos="18pt"/>
                <w:tab w:val="left" w:pos="36pt"/>
                <w:tab w:val="left" w:pos="54pt"/>
              </w:tabs>
              <w:jc w:val="center"/>
              <w:rPr>
                <w:rFonts w:ascii="Times New Roman" w:hAnsi="Times New Roman"/>
                <w:sz w:val="21"/>
                <w:szCs w:val="21"/>
              </w:rPr>
            </w:pPr>
            <w:r>
              <w:rPr>
                <w:rFonts w:ascii="Times New Roman" w:hAnsi="Times New Roman"/>
                <w:sz w:val="21"/>
                <w:szCs w:val="21"/>
              </w:rPr>
              <w:t>$2</w:t>
            </w:r>
            <w:r w:rsidR="00106278">
              <w:rPr>
                <w:rFonts w:ascii="Times New Roman" w:hAnsi="Times New Roman"/>
                <w:sz w:val="21"/>
                <w:szCs w:val="21"/>
              </w:rPr>
              <w:t>7</w:t>
            </w:r>
          </w:p>
        </w:tc>
        <w:tc>
          <w:tcPr>
            <w:tcW w:w="76.05pt" w:type="dxa"/>
          </w:tcPr>
          <w:p w:rsidRPr="009567E5" w:rsidR="002E50A3" w:rsidP="00A4151C" w:rsidRDefault="002E50A3" w14:paraId="46B3F921" w14:textId="77777777">
            <w:pPr>
              <w:widowControl/>
              <w:tabs>
                <w:tab w:val="left" w:pos="18pt"/>
                <w:tab w:val="left" w:pos="36pt"/>
                <w:tab w:val="left" w:pos="54pt"/>
              </w:tabs>
              <w:jc w:val="center"/>
              <w:rPr>
                <w:rFonts w:ascii="Times New Roman" w:hAnsi="Times New Roman"/>
                <w:sz w:val="21"/>
                <w:szCs w:val="21"/>
              </w:rPr>
            </w:pPr>
            <w:r w:rsidRPr="009567E5">
              <w:rPr>
                <w:rFonts w:ascii="Times New Roman" w:hAnsi="Times New Roman"/>
                <w:sz w:val="21"/>
                <w:szCs w:val="21"/>
              </w:rPr>
              <w:t>15%</w:t>
            </w:r>
          </w:p>
        </w:tc>
        <w:tc>
          <w:tcPr>
            <w:tcW w:w="72.95pt" w:type="dxa"/>
          </w:tcPr>
          <w:p w:rsidRPr="009567E5" w:rsidR="002E50A3" w:rsidP="00A4151C" w:rsidRDefault="002E50A3" w14:paraId="0169543D" w14:textId="77777777">
            <w:pPr>
              <w:widowControl/>
              <w:tabs>
                <w:tab w:val="left" w:pos="18pt"/>
                <w:tab w:val="left" w:pos="36pt"/>
                <w:tab w:val="left" w:pos="54pt"/>
              </w:tabs>
              <w:jc w:val="center"/>
              <w:rPr>
                <w:rFonts w:ascii="Times New Roman" w:hAnsi="Times New Roman"/>
                <w:sz w:val="21"/>
                <w:szCs w:val="21"/>
              </w:rPr>
            </w:pPr>
            <w:r>
              <w:rPr>
                <w:rFonts w:ascii="Times New Roman" w:hAnsi="Times New Roman"/>
                <w:sz w:val="21"/>
                <w:szCs w:val="21"/>
              </w:rPr>
              <w:t>$4</w:t>
            </w:r>
          </w:p>
        </w:tc>
      </w:tr>
      <w:tr w:rsidRPr="00A4151C" w:rsidR="002E50A3" w:rsidTr="002E50A3" w14:paraId="40BDFB27" w14:textId="77777777">
        <w:trPr>
          <w:trHeight w:val="487"/>
          <w:jc w:val="center"/>
        </w:trPr>
        <w:tc>
          <w:tcPr>
            <w:tcW w:w="127.75pt" w:type="dxa"/>
          </w:tcPr>
          <w:p w:rsidR="002E50A3" w:rsidP="00A4151C" w:rsidRDefault="002E50A3" w14:paraId="39BE1903" w14:textId="77777777">
            <w:pPr>
              <w:widowControl/>
              <w:tabs>
                <w:tab w:val="left" w:pos="18pt"/>
                <w:tab w:val="left" w:pos="36pt"/>
                <w:tab w:val="left" w:pos="54pt"/>
              </w:tabs>
              <w:rPr>
                <w:rFonts w:ascii="Times New Roman" w:hAnsi="Times New Roman"/>
                <w:sz w:val="21"/>
                <w:szCs w:val="21"/>
              </w:rPr>
            </w:pPr>
            <w:r w:rsidRPr="002E50A3">
              <w:rPr>
                <w:rFonts w:ascii="Times New Roman" w:hAnsi="Times New Roman"/>
                <w:sz w:val="21"/>
                <w:szCs w:val="21"/>
              </w:rPr>
              <w:t>Petroleum Engineer(s)</w:t>
            </w:r>
          </w:p>
          <w:p w:rsidRPr="002E50A3" w:rsidR="002E50A3" w:rsidP="00A4151C" w:rsidRDefault="002E50A3" w14:paraId="4CD24FB9" w14:textId="77777777">
            <w:pPr>
              <w:widowControl/>
              <w:tabs>
                <w:tab w:val="left" w:pos="18pt"/>
                <w:tab w:val="left" w:pos="36pt"/>
                <w:tab w:val="left" w:pos="54pt"/>
              </w:tabs>
              <w:rPr>
                <w:rFonts w:ascii="Times New Roman" w:hAnsi="Times New Roman"/>
                <w:sz w:val="21"/>
                <w:szCs w:val="21"/>
              </w:rPr>
            </w:pPr>
            <w:r>
              <w:rPr>
                <w:rFonts w:ascii="Times New Roman" w:hAnsi="Times New Roman"/>
                <w:sz w:val="21"/>
                <w:szCs w:val="21"/>
              </w:rPr>
              <w:t>17-2171</w:t>
            </w:r>
          </w:p>
        </w:tc>
        <w:tc>
          <w:tcPr>
            <w:tcW w:w="64.35pt" w:type="dxa"/>
          </w:tcPr>
          <w:p w:rsidRPr="009567E5" w:rsidR="002E50A3" w:rsidP="00A4151C" w:rsidRDefault="002E50A3" w14:paraId="3B49388F" w14:textId="17BC4741">
            <w:pPr>
              <w:widowControl/>
              <w:tabs>
                <w:tab w:val="left" w:pos="18pt"/>
                <w:tab w:val="left" w:pos="36pt"/>
                <w:tab w:val="left" w:pos="54pt"/>
              </w:tabs>
              <w:jc w:val="center"/>
              <w:rPr>
                <w:rFonts w:ascii="Times New Roman" w:hAnsi="Times New Roman"/>
                <w:sz w:val="21"/>
                <w:szCs w:val="21"/>
              </w:rPr>
            </w:pPr>
            <w:r>
              <w:rPr>
                <w:rFonts w:ascii="Times New Roman" w:hAnsi="Times New Roman"/>
                <w:sz w:val="21"/>
                <w:szCs w:val="21"/>
              </w:rPr>
              <w:t>$</w:t>
            </w:r>
            <w:r w:rsidR="00106278">
              <w:rPr>
                <w:rFonts w:ascii="Times New Roman" w:hAnsi="Times New Roman"/>
                <w:sz w:val="21"/>
                <w:szCs w:val="21"/>
              </w:rPr>
              <w:t>77</w:t>
            </w:r>
          </w:p>
        </w:tc>
        <w:tc>
          <w:tcPr>
            <w:tcW w:w="87.60pt" w:type="dxa"/>
          </w:tcPr>
          <w:p w:rsidRPr="009567E5" w:rsidR="002E50A3" w:rsidP="00A4151C" w:rsidRDefault="002E50A3" w14:paraId="030BA350" w14:textId="1213479B">
            <w:pPr>
              <w:widowControl/>
              <w:tabs>
                <w:tab w:val="left" w:pos="18pt"/>
                <w:tab w:val="left" w:pos="36pt"/>
                <w:tab w:val="left" w:pos="54pt"/>
              </w:tabs>
              <w:jc w:val="center"/>
              <w:rPr>
                <w:rFonts w:ascii="Times New Roman" w:hAnsi="Times New Roman"/>
                <w:sz w:val="21"/>
                <w:szCs w:val="21"/>
              </w:rPr>
            </w:pPr>
            <w:r>
              <w:rPr>
                <w:rFonts w:ascii="Times New Roman" w:hAnsi="Times New Roman"/>
                <w:sz w:val="21"/>
                <w:szCs w:val="21"/>
              </w:rPr>
              <w:t>$</w:t>
            </w:r>
            <w:r w:rsidR="00E46429">
              <w:rPr>
                <w:rFonts w:ascii="Times New Roman" w:hAnsi="Times New Roman"/>
                <w:sz w:val="21"/>
                <w:szCs w:val="21"/>
              </w:rPr>
              <w:t>1</w:t>
            </w:r>
            <w:r w:rsidR="00106278">
              <w:rPr>
                <w:rFonts w:ascii="Times New Roman" w:hAnsi="Times New Roman"/>
                <w:sz w:val="21"/>
                <w:szCs w:val="21"/>
              </w:rPr>
              <w:t>08</w:t>
            </w:r>
          </w:p>
        </w:tc>
        <w:tc>
          <w:tcPr>
            <w:tcW w:w="76.05pt" w:type="dxa"/>
          </w:tcPr>
          <w:p w:rsidRPr="009567E5" w:rsidR="002E50A3" w:rsidP="00A4151C" w:rsidRDefault="002E50A3" w14:paraId="7084F3F9" w14:textId="77777777">
            <w:pPr>
              <w:widowControl/>
              <w:tabs>
                <w:tab w:val="left" w:pos="18pt"/>
                <w:tab w:val="left" w:pos="36pt"/>
                <w:tab w:val="left" w:pos="54pt"/>
              </w:tabs>
              <w:jc w:val="center"/>
              <w:rPr>
                <w:rFonts w:ascii="Times New Roman" w:hAnsi="Times New Roman"/>
                <w:sz w:val="21"/>
                <w:szCs w:val="21"/>
              </w:rPr>
            </w:pPr>
            <w:r w:rsidRPr="009567E5">
              <w:rPr>
                <w:rFonts w:ascii="Times New Roman" w:hAnsi="Times New Roman"/>
                <w:sz w:val="21"/>
                <w:szCs w:val="21"/>
              </w:rPr>
              <w:t>70%</w:t>
            </w:r>
          </w:p>
        </w:tc>
        <w:tc>
          <w:tcPr>
            <w:tcW w:w="72.95pt" w:type="dxa"/>
          </w:tcPr>
          <w:p w:rsidRPr="009567E5" w:rsidR="002E50A3" w:rsidP="00E46429" w:rsidRDefault="002E50A3" w14:paraId="37909557" w14:textId="4E2850ED">
            <w:pPr>
              <w:widowControl/>
              <w:tabs>
                <w:tab w:val="left" w:pos="18pt"/>
                <w:tab w:val="left" w:pos="36pt"/>
                <w:tab w:val="left" w:pos="54pt"/>
              </w:tabs>
              <w:jc w:val="center"/>
              <w:rPr>
                <w:rFonts w:ascii="Times New Roman" w:hAnsi="Times New Roman"/>
                <w:sz w:val="21"/>
                <w:szCs w:val="21"/>
              </w:rPr>
            </w:pPr>
            <w:r>
              <w:rPr>
                <w:rFonts w:ascii="Times New Roman" w:hAnsi="Times New Roman"/>
                <w:sz w:val="21"/>
                <w:szCs w:val="21"/>
              </w:rPr>
              <w:t>$</w:t>
            </w:r>
            <w:r w:rsidR="00106278">
              <w:rPr>
                <w:rFonts w:ascii="Times New Roman" w:hAnsi="Times New Roman"/>
                <w:sz w:val="21"/>
                <w:szCs w:val="21"/>
              </w:rPr>
              <w:t>76</w:t>
            </w:r>
          </w:p>
        </w:tc>
      </w:tr>
      <w:tr w:rsidRPr="00A4151C" w:rsidR="002E50A3" w:rsidTr="002E50A3" w14:paraId="093AC178" w14:textId="77777777">
        <w:trPr>
          <w:trHeight w:val="711"/>
          <w:jc w:val="center"/>
        </w:trPr>
        <w:tc>
          <w:tcPr>
            <w:tcW w:w="127.75pt" w:type="dxa"/>
          </w:tcPr>
          <w:p w:rsidR="002E50A3" w:rsidP="00A4151C" w:rsidRDefault="002E50A3" w14:paraId="5358EB1F" w14:textId="77777777">
            <w:pPr>
              <w:widowControl/>
              <w:tabs>
                <w:tab w:val="left" w:pos="18pt"/>
                <w:tab w:val="left" w:pos="36pt"/>
                <w:tab w:val="left" w:pos="54pt"/>
              </w:tabs>
              <w:rPr>
                <w:rFonts w:ascii="Times New Roman" w:hAnsi="Times New Roman"/>
                <w:sz w:val="21"/>
                <w:szCs w:val="21"/>
              </w:rPr>
            </w:pPr>
            <w:r>
              <w:rPr>
                <w:rFonts w:ascii="Times New Roman" w:hAnsi="Times New Roman"/>
                <w:sz w:val="21"/>
                <w:szCs w:val="21"/>
              </w:rPr>
              <w:t>Engineer Managers</w:t>
            </w:r>
          </w:p>
          <w:p w:rsidR="002E50A3" w:rsidP="00A4151C" w:rsidRDefault="002E50A3" w14:paraId="1540E9F1" w14:textId="77777777">
            <w:pPr>
              <w:widowControl/>
              <w:tabs>
                <w:tab w:val="left" w:pos="18pt"/>
                <w:tab w:val="left" w:pos="36pt"/>
                <w:tab w:val="left" w:pos="54pt"/>
              </w:tabs>
              <w:rPr>
                <w:rFonts w:ascii="Times New Roman" w:hAnsi="Times New Roman"/>
                <w:sz w:val="21"/>
                <w:szCs w:val="21"/>
              </w:rPr>
            </w:pPr>
            <w:r>
              <w:rPr>
                <w:rFonts w:ascii="Times New Roman" w:hAnsi="Times New Roman"/>
                <w:sz w:val="21"/>
                <w:szCs w:val="21"/>
              </w:rPr>
              <w:t>11-9041</w:t>
            </w:r>
          </w:p>
          <w:p w:rsidRPr="002E50A3" w:rsidR="002E50A3" w:rsidP="00A4151C" w:rsidRDefault="002E50A3" w14:paraId="765B88AE" w14:textId="77777777">
            <w:pPr>
              <w:widowControl/>
              <w:tabs>
                <w:tab w:val="left" w:pos="18pt"/>
                <w:tab w:val="left" w:pos="36pt"/>
                <w:tab w:val="left" w:pos="54pt"/>
              </w:tabs>
              <w:rPr>
                <w:rFonts w:ascii="Times New Roman" w:hAnsi="Times New Roman"/>
                <w:sz w:val="21"/>
                <w:szCs w:val="21"/>
              </w:rPr>
            </w:pPr>
          </w:p>
        </w:tc>
        <w:tc>
          <w:tcPr>
            <w:tcW w:w="64.35pt" w:type="dxa"/>
          </w:tcPr>
          <w:p w:rsidRPr="009567E5" w:rsidR="002E50A3" w:rsidP="002E50A3" w:rsidRDefault="002E50A3" w14:paraId="30977C04" w14:textId="5D28A9D6">
            <w:pPr>
              <w:widowControl/>
              <w:tabs>
                <w:tab w:val="left" w:pos="18pt"/>
                <w:tab w:val="left" w:pos="36pt"/>
                <w:tab w:val="left" w:pos="54pt"/>
              </w:tabs>
              <w:jc w:val="center"/>
              <w:rPr>
                <w:rFonts w:ascii="Times New Roman" w:hAnsi="Times New Roman"/>
                <w:sz w:val="21"/>
                <w:szCs w:val="21"/>
              </w:rPr>
            </w:pPr>
            <w:r>
              <w:rPr>
                <w:rFonts w:ascii="Times New Roman" w:hAnsi="Times New Roman"/>
                <w:sz w:val="21"/>
                <w:szCs w:val="21"/>
              </w:rPr>
              <w:t>$</w:t>
            </w:r>
            <w:r w:rsidR="00106278">
              <w:rPr>
                <w:rFonts w:ascii="Times New Roman" w:hAnsi="Times New Roman"/>
                <w:sz w:val="21"/>
                <w:szCs w:val="21"/>
              </w:rPr>
              <w:t>88</w:t>
            </w:r>
          </w:p>
        </w:tc>
        <w:tc>
          <w:tcPr>
            <w:tcW w:w="87.60pt" w:type="dxa"/>
          </w:tcPr>
          <w:p w:rsidRPr="009567E5" w:rsidR="002E50A3" w:rsidP="00626259" w:rsidRDefault="002E50A3" w14:paraId="3E7D6238" w14:textId="7BABD1D2">
            <w:pPr>
              <w:widowControl/>
              <w:tabs>
                <w:tab w:val="left" w:pos="18pt"/>
                <w:tab w:val="left" w:pos="36pt"/>
                <w:tab w:val="left" w:pos="54pt"/>
              </w:tabs>
              <w:jc w:val="center"/>
              <w:rPr>
                <w:rFonts w:ascii="Times New Roman" w:hAnsi="Times New Roman"/>
                <w:sz w:val="21"/>
                <w:szCs w:val="21"/>
              </w:rPr>
            </w:pPr>
            <w:r>
              <w:rPr>
                <w:rFonts w:ascii="Times New Roman" w:hAnsi="Times New Roman"/>
                <w:sz w:val="21"/>
                <w:szCs w:val="21"/>
              </w:rPr>
              <w:t>$1</w:t>
            </w:r>
            <w:r w:rsidR="00E46429">
              <w:rPr>
                <w:rFonts w:ascii="Times New Roman" w:hAnsi="Times New Roman"/>
                <w:sz w:val="21"/>
                <w:szCs w:val="21"/>
              </w:rPr>
              <w:t>2</w:t>
            </w:r>
            <w:r w:rsidR="00106278">
              <w:rPr>
                <w:rFonts w:ascii="Times New Roman" w:hAnsi="Times New Roman"/>
                <w:sz w:val="21"/>
                <w:szCs w:val="21"/>
              </w:rPr>
              <w:t>3</w:t>
            </w:r>
          </w:p>
        </w:tc>
        <w:tc>
          <w:tcPr>
            <w:tcW w:w="76.05pt" w:type="dxa"/>
          </w:tcPr>
          <w:p w:rsidRPr="009567E5" w:rsidR="002E50A3" w:rsidP="00A4151C" w:rsidRDefault="002E50A3" w14:paraId="6B2DE418" w14:textId="77777777">
            <w:pPr>
              <w:widowControl/>
              <w:tabs>
                <w:tab w:val="left" w:pos="18pt"/>
                <w:tab w:val="left" w:pos="36pt"/>
                <w:tab w:val="left" w:pos="54pt"/>
              </w:tabs>
              <w:jc w:val="center"/>
              <w:rPr>
                <w:rFonts w:ascii="Times New Roman" w:hAnsi="Times New Roman"/>
                <w:sz w:val="21"/>
                <w:szCs w:val="21"/>
              </w:rPr>
            </w:pPr>
            <w:r w:rsidRPr="009567E5">
              <w:rPr>
                <w:rFonts w:ascii="Times New Roman" w:hAnsi="Times New Roman"/>
                <w:sz w:val="21"/>
                <w:szCs w:val="21"/>
              </w:rPr>
              <w:t>15%</w:t>
            </w:r>
          </w:p>
        </w:tc>
        <w:tc>
          <w:tcPr>
            <w:tcW w:w="72.95pt" w:type="dxa"/>
          </w:tcPr>
          <w:p w:rsidRPr="009567E5" w:rsidR="002E50A3" w:rsidP="00626259" w:rsidRDefault="002E50A3" w14:paraId="5A94602F" w14:textId="50966F09">
            <w:pPr>
              <w:widowControl/>
              <w:tabs>
                <w:tab w:val="left" w:pos="18pt"/>
                <w:tab w:val="left" w:pos="36pt"/>
                <w:tab w:val="left" w:pos="54pt"/>
              </w:tabs>
              <w:jc w:val="center"/>
              <w:rPr>
                <w:rFonts w:ascii="Times New Roman" w:hAnsi="Times New Roman"/>
                <w:sz w:val="21"/>
                <w:szCs w:val="21"/>
              </w:rPr>
            </w:pPr>
            <w:r>
              <w:rPr>
                <w:rFonts w:ascii="Times New Roman" w:hAnsi="Times New Roman"/>
                <w:sz w:val="21"/>
                <w:szCs w:val="21"/>
              </w:rPr>
              <w:t>$</w:t>
            </w:r>
            <w:r w:rsidR="00E46429">
              <w:rPr>
                <w:rFonts w:ascii="Times New Roman" w:hAnsi="Times New Roman"/>
                <w:sz w:val="21"/>
                <w:szCs w:val="21"/>
              </w:rPr>
              <w:t>1</w:t>
            </w:r>
            <w:r w:rsidR="00106278">
              <w:rPr>
                <w:rFonts w:ascii="Times New Roman" w:hAnsi="Times New Roman"/>
                <w:sz w:val="21"/>
                <w:szCs w:val="21"/>
              </w:rPr>
              <w:t>8</w:t>
            </w:r>
          </w:p>
        </w:tc>
      </w:tr>
      <w:tr w:rsidRPr="00A4151C" w:rsidR="002E50A3" w:rsidTr="002E50A3" w14:paraId="1B517AD9" w14:textId="77777777">
        <w:trPr>
          <w:trHeight w:val="377"/>
          <w:jc w:val="center"/>
        </w:trPr>
        <w:tc>
          <w:tcPr>
            <w:tcW w:w="355.75pt" w:type="dxa"/>
            <w:gridSpan w:val="4"/>
          </w:tcPr>
          <w:p w:rsidRPr="009567E5" w:rsidR="002E50A3" w:rsidP="002E50A3" w:rsidRDefault="002E50A3" w14:paraId="2E1CDCA1" w14:textId="77777777">
            <w:pPr>
              <w:widowControl/>
              <w:tabs>
                <w:tab w:val="left" w:pos="18pt"/>
                <w:tab w:val="left" w:pos="36pt"/>
                <w:tab w:val="left" w:pos="54pt"/>
              </w:tabs>
              <w:rPr>
                <w:rFonts w:ascii="Times New Roman" w:hAnsi="Times New Roman"/>
                <w:sz w:val="21"/>
                <w:szCs w:val="21"/>
              </w:rPr>
            </w:pPr>
            <w:r w:rsidRPr="009567E5">
              <w:rPr>
                <w:rFonts w:ascii="Times New Roman" w:hAnsi="Times New Roman"/>
                <w:b/>
                <w:sz w:val="21"/>
                <w:szCs w:val="21"/>
              </w:rPr>
              <w:t>Weighted Average ($/hour</w:t>
            </w:r>
            <w:r>
              <w:rPr>
                <w:rFonts w:ascii="Times New Roman" w:hAnsi="Times New Roman"/>
                <w:b/>
                <w:sz w:val="21"/>
                <w:szCs w:val="21"/>
              </w:rPr>
              <w:t>)</w:t>
            </w:r>
          </w:p>
        </w:tc>
        <w:tc>
          <w:tcPr>
            <w:tcW w:w="72.95pt" w:type="dxa"/>
          </w:tcPr>
          <w:p w:rsidRPr="002E50A3" w:rsidR="002E50A3" w:rsidP="00E46429" w:rsidRDefault="002E50A3" w14:paraId="2448E3A2" w14:textId="315D4D5E">
            <w:pPr>
              <w:widowControl/>
              <w:tabs>
                <w:tab w:val="left" w:pos="18pt"/>
                <w:tab w:val="left" w:pos="36pt"/>
                <w:tab w:val="left" w:pos="54pt"/>
              </w:tabs>
              <w:jc w:val="center"/>
              <w:rPr>
                <w:rFonts w:ascii="Times New Roman" w:hAnsi="Times New Roman"/>
                <w:b/>
                <w:sz w:val="21"/>
                <w:szCs w:val="21"/>
              </w:rPr>
            </w:pPr>
            <w:r w:rsidRPr="002E50A3">
              <w:rPr>
                <w:rFonts w:ascii="Times New Roman" w:hAnsi="Times New Roman"/>
                <w:b/>
                <w:sz w:val="21"/>
                <w:szCs w:val="21"/>
              </w:rPr>
              <w:t>$</w:t>
            </w:r>
            <w:r w:rsidR="00106278">
              <w:rPr>
                <w:rFonts w:ascii="Times New Roman" w:hAnsi="Times New Roman"/>
                <w:b/>
                <w:sz w:val="21"/>
                <w:szCs w:val="21"/>
              </w:rPr>
              <w:t>98</w:t>
            </w:r>
          </w:p>
        </w:tc>
      </w:tr>
    </w:tbl>
    <w:p w:rsidRPr="003B7DEA" w:rsidR="003A5564" w:rsidP="002E50A3" w:rsidRDefault="003A5564" w14:paraId="1FE284C4" w14:textId="77777777">
      <w:pPr>
        <w:tabs>
          <w:tab w:val="left" w:pos="18pt"/>
          <w:tab w:val="left" w:pos="36pt"/>
          <w:tab w:val="left" w:pos="54pt"/>
        </w:tabs>
        <w:ind w:start="36pt"/>
        <w:rPr>
          <w:rFonts w:ascii="Times New Roman" w:hAnsi="Times New Roman"/>
          <w:sz w:val="21"/>
          <w:szCs w:val="21"/>
        </w:rPr>
      </w:pPr>
      <w:r w:rsidRPr="003B7DEA">
        <w:rPr>
          <w:rFonts w:ascii="Times New Roman" w:hAnsi="Times New Roman"/>
          <w:sz w:val="21"/>
          <w:szCs w:val="21"/>
        </w:rPr>
        <w:t>A multiplier of 1.</w:t>
      </w:r>
      <w:r w:rsidR="00626259">
        <w:rPr>
          <w:rFonts w:ascii="Times New Roman" w:hAnsi="Times New Roman"/>
          <w:sz w:val="21"/>
          <w:szCs w:val="21"/>
        </w:rPr>
        <w:t>5</w:t>
      </w:r>
      <w:r w:rsidRPr="003B7DEA">
        <w:rPr>
          <w:rFonts w:ascii="Times New Roman" w:hAnsi="Times New Roman"/>
          <w:sz w:val="21"/>
          <w:szCs w:val="21"/>
        </w:rPr>
        <w:t xml:space="preserve"> </w:t>
      </w:r>
      <w:r w:rsidR="002E50A3">
        <w:rPr>
          <w:rFonts w:ascii="Times New Roman" w:hAnsi="Times New Roman"/>
          <w:sz w:val="21"/>
          <w:szCs w:val="21"/>
        </w:rPr>
        <w:t>is supported by data at:</w:t>
      </w:r>
      <w:r w:rsidRPr="003B7DEA">
        <w:rPr>
          <w:rFonts w:ascii="Times New Roman" w:hAnsi="Times New Roman"/>
          <w:sz w:val="21"/>
          <w:szCs w:val="21"/>
        </w:rPr>
        <w:t xml:space="preserve"> </w:t>
      </w:r>
      <w:hyperlink w:history="1" r:id="rId8">
        <w:r w:rsidRPr="003B7DEA">
          <w:rPr>
            <w:rStyle w:val="Hyperlink"/>
            <w:rFonts w:ascii="Times New Roman" w:hAnsi="Times New Roman"/>
            <w:sz w:val="21"/>
            <w:szCs w:val="21"/>
          </w:rPr>
          <w:t>http://www.bls.gov/news.release/ecec.nr0.htm</w:t>
        </w:r>
      </w:hyperlink>
      <w:r w:rsidR="002E50A3">
        <w:rPr>
          <w:rFonts w:ascii="Times New Roman" w:hAnsi="Times New Roman"/>
          <w:sz w:val="21"/>
          <w:szCs w:val="21"/>
        </w:rPr>
        <w:t>.</w:t>
      </w:r>
      <w:r w:rsidRPr="003B7DEA">
        <w:rPr>
          <w:rFonts w:ascii="Times New Roman" w:hAnsi="Times New Roman"/>
          <w:sz w:val="21"/>
          <w:szCs w:val="21"/>
        </w:rPr>
        <w:t xml:space="preserve"> </w:t>
      </w:r>
    </w:p>
    <w:p w:rsidRPr="007C0510" w:rsidR="003A5564" w:rsidP="003A5564" w:rsidRDefault="003A5564" w14:paraId="500C13F1" w14:textId="77777777">
      <w:pPr>
        <w:widowControl/>
        <w:tabs>
          <w:tab w:val="left" w:pos="18pt"/>
          <w:tab w:val="left" w:pos="36pt"/>
          <w:tab w:val="left" w:pos="54pt"/>
        </w:tabs>
        <w:rPr>
          <w:rFonts w:ascii="Times New Roman" w:hAnsi="Times New Roman"/>
          <w:szCs w:val="24"/>
        </w:rPr>
      </w:pPr>
    </w:p>
    <w:p w:rsidR="00484B5F" w:rsidP="00701C4F" w:rsidRDefault="003A5564" w14:paraId="7A65DBFD" w14:textId="5F015405">
      <w:pPr>
        <w:widowControl/>
        <w:tabs>
          <w:tab w:val="left" w:pos="18pt"/>
          <w:tab w:val="left" w:pos="36pt"/>
          <w:tab w:val="left" w:pos="54pt"/>
        </w:tabs>
        <w:rPr>
          <w:rFonts w:ascii="Times New Roman" w:hAnsi="Times New Roman"/>
          <w:szCs w:val="24"/>
        </w:rPr>
      </w:pPr>
      <w:r w:rsidRPr="009567E5">
        <w:rPr>
          <w:rFonts w:ascii="Times New Roman" w:hAnsi="Times New Roman"/>
        </w:rPr>
        <w:t>Based on a cost factor of $</w:t>
      </w:r>
      <w:r w:rsidR="00106278">
        <w:rPr>
          <w:rFonts w:ascii="Times New Roman" w:hAnsi="Times New Roman"/>
        </w:rPr>
        <w:t>98</w:t>
      </w:r>
      <w:r w:rsidRPr="009567E5">
        <w:rPr>
          <w:rFonts w:ascii="Times New Roman" w:hAnsi="Times New Roman"/>
        </w:rPr>
        <w:t xml:space="preserve"> per hour, we estimate the </w:t>
      </w:r>
      <w:r w:rsidRPr="009567E5" w:rsidR="00A74B34">
        <w:rPr>
          <w:rFonts w:ascii="Times New Roman" w:hAnsi="Times New Roman"/>
        </w:rPr>
        <w:t xml:space="preserve">hour burden as a dollar equivalent is </w:t>
      </w:r>
      <w:r w:rsidRPr="009567E5">
        <w:rPr>
          <w:rFonts w:ascii="Times New Roman" w:hAnsi="Times New Roman"/>
        </w:rPr>
        <w:t>$</w:t>
      </w:r>
      <w:r w:rsidR="00106278">
        <w:rPr>
          <w:rFonts w:ascii="Times New Roman" w:hAnsi="Times New Roman"/>
        </w:rPr>
        <w:t>3,400,110</w:t>
      </w:r>
      <w:r w:rsidRPr="009567E5">
        <w:rPr>
          <w:rFonts w:ascii="Times New Roman" w:hAnsi="Times New Roman"/>
        </w:rPr>
        <w:t xml:space="preserve"> </w:t>
      </w:r>
      <w:r w:rsidRPr="009567E5">
        <w:rPr>
          <w:rFonts w:ascii="Times New Roman" w:hAnsi="Times New Roman"/>
          <w:szCs w:val="24"/>
        </w:rPr>
        <w:t>($</w:t>
      </w:r>
      <w:r w:rsidR="00106278">
        <w:rPr>
          <w:rFonts w:ascii="Times New Roman" w:hAnsi="Times New Roman"/>
          <w:szCs w:val="24"/>
        </w:rPr>
        <w:t>98</w:t>
      </w:r>
      <w:r w:rsidRPr="009567E5">
        <w:rPr>
          <w:rFonts w:ascii="Times New Roman" w:hAnsi="Times New Roman"/>
          <w:szCs w:val="24"/>
        </w:rPr>
        <w:t xml:space="preserve"> x </w:t>
      </w:r>
      <w:r w:rsidR="00106278">
        <w:rPr>
          <w:rFonts w:ascii="Times New Roman" w:hAnsi="Times New Roman"/>
          <w:szCs w:val="24"/>
        </w:rPr>
        <w:t>34,695</w:t>
      </w:r>
      <w:r w:rsidRPr="009567E5">
        <w:rPr>
          <w:rFonts w:ascii="Times New Roman" w:hAnsi="Times New Roman"/>
          <w:szCs w:val="24"/>
        </w:rPr>
        <w:t xml:space="preserve"> hours).</w:t>
      </w:r>
      <w:r w:rsidRPr="00FD07BE">
        <w:rPr>
          <w:rFonts w:ascii="Times New Roman" w:hAnsi="Times New Roman"/>
          <w:szCs w:val="24"/>
        </w:rPr>
        <w:t xml:space="preserve">  </w:t>
      </w:r>
    </w:p>
    <w:p w:rsidR="003A5564" w:rsidP="00701C4F" w:rsidRDefault="003A5564" w14:paraId="30B57824" w14:textId="77777777">
      <w:pPr>
        <w:widowControl/>
        <w:tabs>
          <w:tab w:val="left" w:pos="18pt"/>
          <w:tab w:val="left" w:pos="36pt"/>
          <w:tab w:val="left" w:pos="54pt"/>
        </w:tabs>
        <w:rPr>
          <w:rFonts w:ascii="Times New Roman" w:hAnsi="Times New Roman"/>
          <w:b/>
        </w:rPr>
      </w:pPr>
    </w:p>
    <w:p w:rsidR="00906BDE" w:rsidP="00906BDE" w:rsidRDefault="00906BDE" w14:paraId="3CCEC10A" w14:textId="77777777">
      <w:pPr>
        <w:widowControl/>
        <w:tabs>
          <w:tab w:val="left" w:pos="-54pt"/>
          <w:tab w:val="left" w:pos="-36pt"/>
          <w:tab w:val="left" w:pos="18pt"/>
          <w:tab w:val="left" w:pos="40.50pt"/>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w:t>
      </w:r>
      <w:r w:rsidR="00D30A3C">
        <w:rPr>
          <w:rFonts w:ascii="Times New Roman" w:hAnsi="Times New Roman"/>
          <w:b/>
          <w:i/>
        </w:rPr>
        <w:t xml:space="preserve">n estimate of the total annual </w:t>
      </w:r>
      <w:r w:rsidRPr="00600EEB">
        <w:rPr>
          <w:rFonts w:ascii="Times New Roman" w:hAnsi="Times New Roman"/>
          <w:b/>
          <w:i/>
        </w:rPr>
        <w:t>non-hour cost burden to respondents or recordkeepers resulting from the collection of information.  (Do not include the cost of any hour burden shown in Item 12).</w:t>
      </w:r>
    </w:p>
    <w:p w:rsidRPr="00600EEB" w:rsidR="00906BDE" w:rsidP="00906BDE" w:rsidRDefault="00906BDE" w14:paraId="62D06CCE" w14:textId="77777777">
      <w:pPr>
        <w:widowControl/>
        <w:tabs>
          <w:tab w:val="left" w:pos="-54pt"/>
          <w:tab w:val="left" w:pos="-36pt"/>
          <w:tab w:val="left" w:pos="18pt"/>
          <w:tab w:val="left" w:pos="40.50pt"/>
        </w:tabs>
        <w:rPr>
          <w:rFonts w:ascii="Times New Roman" w:hAnsi="Times New Roman"/>
          <w:b/>
          <w:i/>
        </w:rPr>
      </w:pPr>
    </w:p>
    <w:p w:rsidRPr="003B4A53" w:rsidR="003B4A53" w:rsidP="00F365EE" w:rsidRDefault="00F365EE" w14:paraId="70EB024F"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rPr>
          <w:rFonts w:ascii="Times New Roman" w:hAnsi="Times New Roman"/>
          <w:b/>
          <w:i/>
          <w:snapToGrid/>
          <w:szCs w:val="24"/>
        </w:rPr>
      </w:pPr>
      <w:r>
        <w:rPr>
          <w:rFonts w:ascii="Times New Roman" w:hAnsi="Times New Roman"/>
          <w:b/>
          <w:i/>
        </w:rPr>
        <w:tab/>
      </w:r>
      <w:r w:rsidR="00906BDE">
        <w:rPr>
          <w:rFonts w:ascii="Times New Roman" w:hAnsi="Times New Roman"/>
          <w:b/>
          <w:i/>
        </w:rPr>
        <w:t>(a)</w:t>
      </w:r>
      <w:r w:rsidRPr="00600EEB" w:rsidR="00906BDE">
        <w:rPr>
          <w:rFonts w:ascii="Times New Roman" w:hAnsi="Times New Roman"/>
          <w:b/>
          <w:i/>
        </w:rPr>
        <w:t xml:space="preserve"> </w:t>
      </w:r>
      <w:r w:rsidRPr="003B4A53" w:rsidR="003B4A53">
        <w:rPr>
          <w:rFonts w:ascii="Times New Roman" w:hAnsi="Times New Roman"/>
          <w:b/>
          <w:i/>
          <w:snapToGrid/>
          <w:szCs w:val="24"/>
        </w:rPr>
        <w:t xml:space="preserve">The cost estimate should be split into two components: (a) a </w:t>
      </w:r>
      <w:r>
        <w:rPr>
          <w:rFonts w:ascii="Times New Roman" w:hAnsi="Times New Roman"/>
          <w:b/>
          <w:i/>
          <w:snapToGrid/>
          <w:szCs w:val="24"/>
        </w:rPr>
        <w:t xml:space="preserve">total capital and start-up cost </w:t>
      </w:r>
      <w:r w:rsidRPr="003B4A53" w:rsidR="003B4A53">
        <w:rPr>
          <w:rFonts w:ascii="Times New Roman" w:hAnsi="Times New Roman"/>
          <w:b/>
          <w:i/>
          <w:snapToGrid/>
          <w:szCs w:val="24"/>
        </w:rPr>
        <w:t>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906BDE" w:rsidP="00906BDE" w:rsidRDefault="00906BDE" w14:paraId="02C48AFC" w14:textId="77777777">
      <w:pPr>
        <w:widowControl/>
        <w:tabs>
          <w:tab w:val="left" w:pos="-54pt"/>
          <w:tab w:val="left" w:pos="-36pt"/>
          <w:tab w:val="left" w:pos="18pt"/>
          <w:tab w:val="left" w:pos="40.50pt"/>
        </w:tabs>
        <w:rPr>
          <w:rFonts w:ascii="Times New Roman" w:hAnsi="Times New Roman"/>
          <w:b/>
          <w:i/>
        </w:rPr>
      </w:pPr>
    </w:p>
    <w:p w:rsidRPr="007F080B" w:rsidR="007F080B" w:rsidP="00F365EE" w:rsidRDefault="00F365EE" w14:paraId="4914A9CE"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rPr>
          <w:rFonts w:ascii="Times New Roman" w:hAnsi="Times New Roman"/>
          <w:b/>
          <w:i/>
          <w:snapToGrid/>
          <w:szCs w:val="24"/>
        </w:rPr>
      </w:pPr>
      <w:r>
        <w:rPr>
          <w:rFonts w:ascii="Times New Roman" w:hAnsi="Times New Roman"/>
          <w:b/>
          <w:i/>
        </w:rPr>
        <w:tab/>
      </w:r>
      <w:r w:rsidR="00906BDE">
        <w:rPr>
          <w:rFonts w:ascii="Times New Roman" w:hAnsi="Times New Roman"/>
          <w:b/>
          <w:i/>
        </w:rPr>
        <w:t>(b)</w:t>
      </w:r>
      <w:r w:rsidRPr="00600EEB" w:rsidR="00906BDE">
        <w:rPr>
          <w:rFonts w:ascii="Times New Roman" w:hAnsi="Times New Roman"/>
          <w:b/>
          <w:i/>
        </w:rPr>
        <w:t xml:space="preserve"> </w:t>
      </w:r>
      <w:r w:rsidRPr="007F080B" w:rsidR="007F080B">
        <w:rPr>
          <w:rFonts w:ascii="Times New Roman" w:hAnsi="Times New Roman"/>
          <w:b/>
          <w:i/>
          <w:snapToGrid/>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06BDE" w:rsidP="007F080B" w:rsidRDefault="00906BDE" w14:paraId="38C32FE3"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ind w:start="36pt" w:hanging="18pt"/>
        <w:rPr>
          <w:rFonts w:ascii="Times New Roman" w:hAnsi="Times New Roman"/>
          <w:i/>
        </w:rPr>
      </w:pPr>
    </w:p>
    <w:p w:rsidRPr="00F365EE" w:rsidR="00F365EE" w:rsidP="00F365EE" w:rsidRDefault="00F365EE" w14:paraId="3310DF19"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rPr>
          <w:rFonts w:ascii="Times New Roman" w:hAnsi="Times New Roman"/>
          <w:b/>
          <w:i/>
          <w:snapToGrid/>
          <w:szCs w:val="24"/>
        </w:rPr>
      </w:pPr>
      <w:r>
        <w:rPr>
          <w:rFonts w:ascii="Times New Roman" w:hAnsi="Times New Roman"/>
          <w:b/>
          <w:i/>
        </w:rPr>
        <w:tab/>
      </w:r>
      <w:r w:rsidRPr="00AF2A4E" w:rsidR="00906BDE">
        <w:rPr>
          <w:rFonts w:ascii="Times New Roman" w:hAnsi="Times New Roman"/>
          <w:b/>
          <w:i/>
        </w:rPr>
        <w:t>(c)</w:t>
      </w:r>
      <w:r w:rsidRPr="00600EEB" w:rsidR="00906BDE">
        <w:rPr>
          <w:rFonts w:ascii="Times New Roman" w:hAnsi="Times New Roman"/>
          <w:b/>
          <w:i/>
        </w:rPr>
        <w:t xml:space="preserve"> </w:t>
      </w:r>
      <w:r w:rsidRPr="00F365EE">
        <w:rPr>
          <w:rFonts w:ascii="Times New Roman" w:hAnsi="Times New Roman"/>
          <w:b/>
          <w:i/>
          <w:snapToGrid/>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06BDE" w:rsidP="00906BDE" w:rsidRDefault="00906BDE" w14:paraId="294B8E70" w14:textId="77777777">
      <w:pPr>
        <w:widowControl/>
        <w:tabs>
          <w:tab w:val="left" w:pos="-54pt"/>
          <w:tab w:val="left" w:pos="-36pt"/>
          <w:tab w:val="left" w:pos="18pt"/>
          <w:tab w:val="left" w:pos="40.50pt"/>
        </w:tabs>
        <w:rPr>
          <w:rFonts w:ascii="Times New Roman" w:hAnsi="Times New Roman"/>
        </w:rPr>
      </w:pPr>
    </w:p>
    <w:p w:rsidR="00906BDE" w:rsidP="00906BDE" w:rsidRDefault="00906BDE" w14:paraId="52A415AF" w14:textId="77777777">
      <w:pPr>
        <w:widowControl/>
        <w:tabs>
          <w:tab w:val="left" w:pos="-54pt"/>
          <w:tab w:val="left" w:pos="-36pt"/>
          <w:tab w:val="left" w:pos="18pt"/>
          <w:tab w:val="left" w:pos="40.50pt"/>
        </w:tabs>
        <w:rPr>
          <w:rFonts w:ascii="Times New Roman" w:hAnsi="Times New Roman"/>
        </w:rPr>
      </w:pPr>
      <w:r>
        <w:rPr>
          <w:rFonts w:ascii="Times New Roman" w:hAnsi="Times New Roman"/>
        </w:rPr>
        <w:t xml:space="preserve">We have identified no </w:t>
      </w:r>
      <w:r w:rsidR="00F27205">
        <w:rPr>
          <w:rFonts w:ascii="Times New Roman" w:hAnsi="Times New Roman"/>
        </w:rPr>
        <w:t>reporting and recordkeeping non-hour</w:t>
      </w:r>
      <w:r>
        <w:rPr>
          <w:rFonts w:ascii="Times New Roman" w:hAnsi="Times New Roman"/>
        </w:rPr>
        <w:t xml:space="preserve"> cost burdens for this collection of information. </w:t>
      </w:r>
    </w:p>
    <w:p w:rsidR="00906BDE" w:rsidRDefault="00906BDE" w14:paraId="7BE0C0D9" w14:textId="77777777">
      <w:pPr>
        <w:widowControl/>
        <w:tabs>
          <w:tab w:val="left" w:pos="-54pt"/>
          <w:tab w:val="left" w:pos="-36pt"/>
          <w:tab w:val="left" w:pos="0pt"/>
          <w:tab w:val="left" w:pos="18pt"/>
          <w:tab w:val="left" w:pos="22.50pt"/>
          <w:tab w:val="left" w:pos="36pt"/>
          <w:tab w:val="left" w:pos="67.50pt"/>
          <w:tab w:val="left" w:pos="90pt"/>
          <w:tab w:val="left" w:pos="144pt"/>
        </w:tabs>
        <w:rPr>
          <w:rFonts w:ascii="Times New Roman" w:hAnsi="Times New Roman"/>
          <w:b/>
        </w:rPr>
      </w:pPr>
    </w:p>
    <w:p w:rsidRPr="00AA204D" w:rsidR="00AA204D" w:rsidP="00AA204D" w:rsidRDefault="00906BDE" w14:paraId="785342B5"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rPr>
          <w:rFonts w:ascii="Times New Roman" w:hAnsi="Times New Roman"/>
          <w:snapToGrid/>
          <w:szCs w:val="24"/>
        </w:rPr>
      </w:pPr>
      <w:r w:rsidRPr="00600EEB">
        <w:rPr>
          <w:rFonts w:ascii="Times New Roman" w:hAnsi="Times New Roman"/>
          <w:b/>
          <w:i/>
        </w:rPr>
        <w:t>14.</w:t>
      </w:r>
      <w:r w:rsidR="00AA204D">
        <w:rPr>
          <w:rFonts w:ascii="Times New Roman" w:hAnsi="Times New Roman"/>
          <w:b/>
          <w:i/>
        </w:rPr>
        <w:t xml:space="preserve">  </w:t>
      </w:r>
      <w:r w:rsidRPr="00AA204D" w:rsidR="00AA204D">
        <w:rPr>
          <w:rFonts w:ascii="Times New Roman" w:hAnsi="Times New Roman"/>
          <w:b/>
          <w:i/>
          <w:snapToGrid/>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A204D" w:rsidR="00AA204D">
        <w:rPr>
          <w:rFonts w:ascii="Times New Roman" w:hAnsi="Times New Roman"/>
          <w:snapToGrid/>
          <w:szCs w:val="24"/>
        </w:rPr>
        <w:t xml:space="preserve"> </w:t>
      </w:r>
    </w:p>
    <w:p w:rsidR="00906BDE" w:rsidP="00E66387" w:rsidRDefault="00906BDE" w14:paraId="2D331FF4" w14:textId="77777777">
      <w:pPr>
        <w:widowControl/>
        <w:tabs>
          <w:tab w:val="left" w:pos="-54pt"/>
          <w:tab w:val="left" w:pos="-36pt"/>
          <w:tab w:val="left" w:pos="18pt"/>
          <w:tab w:val="left" w:pos="40.50pt"/>
        </w:tabs>
        <w:rPr>
          <w:rFonts w:ascii="Times New Roman" w:hAnsi="Times New Roman"/>
          <w:b/>
        </w:rPr>
      </w:pPr>
    </w:p>
    <w:p w:rsidR="00484B5F" w:rsidP="00484B5F" w:rsidRDefault="00B75AD6" w14:paraId="1D5D9368" w14:textId="0494A5CD">
      <w:pPr>
        <w:widowControl/>
        <w:tabs>
          <w:tab w:val="left" w:pos="-54pt"/>
          <w:tab w:val="left" w:pos="-36pt"/>
          <w:tab w:val="left" w:pos="0pt"/>
          <w:tab w:val="left" w:pos="18pt"/>
          <w:tab w:val="left" w:pos="22.50pt"/>
          <w:tab w:val="left" w:pos="36pt"/>
          <w:tab w:val="left" w:pos="67.50pt"/>
          <w:tab w:val="left" w:pos="90pt"/>
          <w:tab w:val="left" w:pos="144pt"/>
        </w:tabs>
        <w:rPr>
          <w:rFonts w:ascii="Times New Roman" w:hAnsi="Times New Roman"/>
          <w:szCs w:val="24"/>
        </w:rPr>
      </w:pPr>
      <w:r w:rsidRPr="009E1E63">
        <w:rPr>
          <w:rFonts w:ascii="Times New Roman" w:hAnsi="Times New Roman"/>
          <w:szCs w:val="24"/>
        </w:rPr>
        <w:t xml:space="preserve">To analyze and review the information required by 30 CFR </w:t>
      </w:r>
      <w:r w:rsidR="00B206DC">
        <w:rPr>
          <w:rFonts w:ascii="Times New Roman" w:hAnsi="Times New Roman"/>
          <w:szCs w:val="24"/>
        </w:rPr>
        <w:t>553</w:t>
      </w:r>
      <w:r w:rsidRPr="009E1E63">
        <w:rPr>
          <w:rFonts w:ascii="Times New Roman" w:hAnsi="Times New Roman"/>
          <w:szCs w:val="24"/>
        </w:rPr>
        <w:t xml:space="preserve">, we estimate the Government will spend an </w:t>
      </w:r>
      <w:r w:rsidRPr="009114AE">
        <w:rPr>
          <w:rFonts w:ascii="Times New Roman" w:hAnsi="Times New Roman"/>
          <w:szCs w:val="24"/>
        </w:rPr>
        <w:t xml:space="preserve">average of </w:t>
      </w:r>
      <w:r w:rsidRPr="009114AE" w:rsidR="002453CF">
        <w:rPr>
          <w:rFonts w:ascii="Times New Roman" w:hAnsi="Times New Roman"/>
          <w:szCs w:val="24"/>
        </w:rPr>
        <w:t>0.25</w:t>
      </w:r>
      <w:r w:rsidRPr="009114AE">
        <w:rPr>
          <w:rFonts w:ascii="Times New Roman" w:hAnsi="Times New Roman"/>
          <w:szCs w:val="24"/>
        </w:rPr>
        <w:t xml:space="preserve"> hour for each hour spent by respondents for a total of </w:t>
      </w:r>
      <w:r w:rsidR="00173491">
        <w:rPr>
          <w:rFonts w:ascii="Times New Roman" w:hAnsi="Times New Roman"/>
          <w:szCs w:val="24"/>
        </w:rPr>
        <w:t>8,674</w:t>
      </w:r>
      <w:r w:rsidRPr="009114AE">
        <w:rPr>
          <w:rFonts w:ascii="Times New Roman" w:hAnsi="Times New Roman"/>
          <w:szCs w:val="24"/>
        </w:rPr>
        <w:t xml:space="preserve"> </w:t>
      </w:r>
      <w:r w:rsidRPr="009114AE" w:rsidR="005F7398">
        <w:rPr>
          <w:rFonts w:ascii="Times New Roman" w:hAnsi="Times New Roman"/>
          <w:szCs w:val="24"/>
        </w:rPr>
        <w:t xml:space="preserve">(rounded) </w:t>
      </w:r>
      <w:r w:rsidRPr="009114AE">
        <w:rPr>
          <w:rFonts w:ascii="Times New Roman" w:hAnsi="Times New Roman"/>
          <w:szCs w:val="24"/>
        </w:rPr>
        <w:t xml:space="preserve">hours </w:t>
      </w:r>
      <w:r w:rsidR="00EB74DA">
        <w:rPr>
          <w:rFonts w:ascii="Times New Roman" w:hAnsi="Times New Roman"/>
          <w:szCs w:val="24"/>
        </w:rPr>
        <w:t>(</w:t>
      </w:r>
      <w:r w:rsidR="00173491">
        <w:rPr>
          <w:rFonts w:ascii="Times New Roman" w:hAnsi="Times New Roman"/>
          <w:szCs w:val="24"/>
        </w:rPr>
        <w:t>34,695</w:t>
      </w:r>
      <w:r w:rsidRPr="009567E5" w:rsidR="009114AE">
        <w:rPr>
          <w:rFonts w:ascii="Times New Roman" w:hAnsi="Times New Roman"/>
          <w:szCs w:val="24"/>
        </w:rPr>
        <w:t xml:space="preserve"> </w:t>
      </w:r>
      <w:r w:rsidRPr="009114AE">
        <w:rPr>
          <w:rFonts w:ascii="Times New Roman" w:hAnsi="Times New Roman"/>
          <w:szCs w:val="24"/>
        </w:rPr>
        <w:t xml:space="preserve">hours x </w:t>
      </w:r>
      <w:r w:rsidRPr="009114AE" w:rsidR="002453CF">
        <w:rPr>
          <w:rFonts w:ascii="Times New Roman" w:hAnsi="Times New Roman"/>
          <w:szCs w:val="24"/>
        </w:rPr>
        <w:t>0.25</w:t>
      </w:r>
      <w:r w:rsidRPr="009114AE">
        <w:rPr>
          <w:rFonts w:ascii="Times New Roman" w:hAnsi="Times New Roman"/>
          <w:szCs w:val="24"/>
        </w:rPr>
        <w:t xml:space="preserve"> = </w:t>
      </w:r>
      <w:r w:rsidR="00173491">
        <w:rPr>
          <w:rFonts w:ascii="Times New Roman" w:hAnsi="Times New Roman"/>
          <w:szCs w:val="24"/>
        </w:rPr>
        <w:t>8,673.75</w:t>
      </w:r>
      <w:r w:rsidRPr="009114AE">
        <w:rPr>
          <w:rFonts w:ascii="Times New Roman" w:hAnsi="Times New Roman"/>
          <w:szCs w:val="24"/>
        </w:rPr>
        <w:t xml:space="preserve"> hours).</w:t>
      </w:r>
      <w:r w:rsidRPr="005F7398">
        <w:rPr>
          <w:rFonts w:ascii="Times New Roman" w:hAnsi="Times New Roman"/>
          <w:szCs w:val="24"/>
        </w:rPr>
        <w:t xml:space="preserve">  </w:t>
      </w:r>
    </w:p>
    <w:p w:rsidR="00C943D2" w:rsidP="00484B5F" w:rsidRDefault="00C943D2" w14:paraId="29ECC65D" w14:textId="77777777">
      <w:pPr>
        <w:widowControl/>
        <w:tabs>
          <w:tab w:val="left" w:pos="-54pt"/>
          <w:tab w:val="left" w:pos="-36pt"/>
          <w:tab w:val="left" w:pos="0pt"/>
          <w:tab w:val="left" w:pos="18pt"/>
          <w:tab w:val="left" w:pos="22.50pt"/>
          <w:tab w:val="left" w:pos="36pt"/>
          <w:tab w:val="left" w:pos="67.50pt"/>
          <w:tab w:val="left" w:pos="90pt"/>
          <w:tab w:val="left" w:pos="144pt"/>
        </w:tabs>
        <w:rPr>
          <w:rFonts w:ascii="Times New Roman" w:hAnsi="Times New Roman"/>
          <w:szCs w:val="24"/>
        </w:rPr>
      </w:pPr>
    </w:p>
    <w:p w:rsidR="00484B5F" w:rsidP="00484B5F" w:rsidRDefault="00484B5F" w14:paraId="7B829F7E" w14:textId="3F3EA339">
      <w:pPr>
        <w:tabs>
          <w:tab w:val="left" w:pos="-54pt"/>
          <w:tab w:val="left" w:pos="-36pt"/>
          <w:tab w:val="left" w:pos="18pt"/>
          <w:tab w:val="left" w:pos="40.50pt"/>
        </w:tabs>
        <w:rPr>
          <w:rFonts w:ascii="Times New Roman" w:hAnsi="Times New Roman"/>
        </w:rPr>
      </w:pPr>
      <w:r w:rsidRPr="000C3CC9">
        <w:rPr>
          <w:rFonts w:ascii="Times New Roman" w:hAnsi="Times New Roman"/>
        </w:rPr>
        <w:t xml:space="preserve">The average government cost </w:t>
      </w:r>
      <w:r w:rsidRPr="000B041E">
        <w:rPr>
          <w:rFonts w:ascii="Times New Roman" w:hAnsi="Times New Roman"/>
        </w:rPr>
        <w:t>is $</w:t>
      </w:r>
      <w:r w:rsidR="002C1D14">
        <w:rPr>
          <w:rFonts w:ascii="Times New Roman" w:hAnsi="Times New Roman"/>
        </w:rPr>
        <w:t>6</w:t>
      </w:r>
      <w:r w:rsidR="00DB548E">
        <w:rPr>
          <w:rFonts w:ascii="Times New Roman" w:hAnsi="Times New Roman"/>
        </w:rPr>
        <w:t>9</w:t>
      </w:r>
      <w:r w:rsidRPr="000B041E">
        <w:rPr>
          <w:rFonts w:ascii="Times New Roman" w:hAnsi="Times New Roman"/>
        </w:rPr>
        <w:t xml:space="preserve">/hour.  This cost is broken out in the below table using the current Office of Personnel Management salary data for the </w:t>
      </w:r>
      <w:r w:rsidR="008240C5">
        <w:rPr>
          <w:rFonts w:ascii="Times New Roman" w:hAnsi="Times New Roman"/>
        </w:rPr>
        <w:t>Rest of the U</w:t>
      </w:r>
      <w:r w:rsidRPr="000B041E" w:rsidR="008240C5">
        <w:rPr>
          <w:rFonts w:ascii="Times New Roman" w:hAnsi="Times New Roman"/>
        </w:rPr>
        <w:t xml:space="preserve">nited </w:t>
      </w:r>
      <w:r w:rsidR="008240C5">
        <w:rPr>
          <w:rFonts w:ascii="Times New Roman" w:hAnsi="Times New Roman"/>
        </w:rPr>
        <w:t>S</w:t>
      </w:r>
      <w:r w:rsidR="006D2268">
        <w:rPr>
          <w:rFonts w:ascii="Times New Roman" w:hAnsi="Times New Roman"/>
        </w:rPr>
        <w:t>tates.</w:t>
      </w:r>
    </w:p>
    <w:p w:rsidR="006D2268" w:rsidP="00484B5F" w:rsidRDefault="006D2268" w14:paraId="5D2DB070" w14:textId="77777777">
      <w:pPr>
        <w:tabs>
          <w:tab w:val="left" w:pos="-54pt"/>
          <w:tab w:val="left" w:pos="-36pt"/>
          <w:tab w:val="left" w:pos="18pt"/>
          <w:tab w:val="left" w:pos="40.50pt"/>
        </w:tabs>
        <w:rPr>
          <w:rFonts w:ascii="Times New Roman" w:hAnsi="Times New Roman"/>
        </w:rPr>
      </w:pPr>
    </w:p>
    <w:tbl>
      <w:tblPr>
        <w:tblW w:w="504pt" w:type="dxa"/>
        <w:tblInd w:w="5.40pt" w:type="dxa"/>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ook w:val="01e0"/>
      </w:tblPr>
      <w:tblGrid>
        <w:gridCol w:w="2479"/>
        <w:gridCol w:w="1426"/>
        <w:gridCol w:w="1405"/>
        <w:gridCol w:w="1979"/>
        <w:gridCol w:w="1430"/>
        <w:gridCol w:w="1361"/>
      </w:tblGrid>
      <w:tr w:rsidRPr="000B041E" w:rsidR="00484B5F" w:rsidTr="00A4151C" w14:paraId="77F63525" w14:textId="77777777">
        <w:tc>
          <w:tcPr>
            <w:tcW w:w="123.95pt" w:type="dxa"/>
            <w:vAlign w:val="center"/>
          </w:tcPr>
          <w:p w:rsidRPr="000B041E" w:rsidR="00484B5F" w:rsidP="00A4151C" w:rsidRDefault="00484B5F" w14:paraId="3CD6A8B5" w14:textId="77777777">
            <w:pPr>
              <w:tabs>
                <w:tab w:val="left" w:pos="-54pt"/>
                <w:tab w:val="left" w:pos="-36pt"/>
                <w:tab w:val="left" w:pos="18pt"/>
                <w:tab w:val="left" w:pos="40.50pt"/>
              </w:tabs>
              <w:rPr>
                <w:rFonts w:ascii="Times New Roman" w:hAnsi="Times New Roman"/>
                <w:b/>
                <w:sz w:val="22"/>
                <w:szCs w:val="22"/>
              </w:rPr>
            </w:pPr>
            <w:r w:rsidRPr="000B041E">
              <w:rPr>
                <w:rFonts w:ascii="Times New Roman" w:hAnsi="Times New Roman"/>
                <w:b/>
                <w:sz w:val="22"/>
                <w:szCs w:val="22"/>
              </w:rPr>
              <w:t>Position</w:t>
            </w:r>
          </w:p>
        </w:tc>
        <w:tc>
          <w:tcPr>
            <w:tcW w:w="71.30pt" w:type="dxa"/>
            <w:vAlign w:val="center"/>
          </w:tcPr>
          <w:p w:rsidRPr="000B041E" w:rsidR="00484B5F" w:rsidP="00A4151C" w:rsidRDefault="00484B5F" w14:paraId="1212F070" w14:textId="77777777">
            <w:pPr>
              <w:tabs>
                <w:tab w:val="left" w:pos="-54pt"/>
                <w:tab w:val="left" w:pos="-36pt"/>
                <w:tab w:val="left" w:pos="18pt"/>
                <w:tab w:val="left" w:pos="40.50pt"/>
              </w:tabs>
              <w:rPr>
                <w:rFonts w:ascii="Times New Roman" w:hAnsi="Times New Roman"/>
                <w:b/>
                <w:sz w:val="22"/>
                <w:szCs w:val="22"/>
              </w:rPr>
            </w:pPr>
            <w:r w:rsidRPr="000B041E">
              <w:rPr>
                <w:rFonts w:ascii="Times New Roman" w:hAnsi="Times New Roman"/>
                <w:b/>
                <w:sz w:val="22"/>
                <w:szCs w:val="22"/>
              </w:rPr>
              <w:t>Grade</w:t>
            </w:r>
          </w:p>
        </w:tc>
        <w:tc>
          <w:tcPr>
            <w:tcW w:w="70.25pt" w:type="dxa"/>
          </w:tcPr>
          <w:p w:rsidRPr="000B041E" w:rsidR="00484B5F" w:rsidP="00A4151C" w:rsidRDefault="00484B5F" w14:paraId="7B9EB381" w14:textId="77777777">
            <w:pPr>
              <w:tabs>
                <w:tab w:val="left" w:pos="-54pt"/>
                <w:tab w:val="left" w:pos="-36pt"/>
                <w:tab w:val="left" w:pos="18pt"/>
                <w:tab w:val="left" w:pos="40.50pt"/>
              </w:tabs>
              <w:rPr>
                <w:rFonts w:ascii="Times New Roman" w:hAnsi="Times New Roman"/>
                <w:b/>
                <w:sz w:val="22"/>
                <w:szCs w:val="22"/>
              </w:rPr>
            </w:pPr>
            <w:r w:rsidRPr="000B041E">
              <w:rPr>
                <w:rFonts w:ascii="Times New Roman" w:hAnsi="Times New Roman"/>
                <w:b/>
                <w:sz w:val="22"/>
                <w:szCs w:val="22"/>
              </w:rPr>
              <w:t>Hourly Pay rate ($/hour estimate)</w:t>
            </w:r>
          </w:p>
        </w:tc>
        <w:tc>
          <w:tcPr>
            <w:tcW w:w="98.95pt" w:type="dxa"/>
          </w:tcPr>
          <w:p w:rsidRPr="000B041E" w:rsidR="00484B5F" w:rsidP="00A4151C" w:rsidRDefault="00484B5F" w14:paraId="12594C42" w14:textId="77777777">
            <w:pPr>
              <w:tabs>
                <w:tab w:val="left" w:pos="-54pt"/>
                <w:tab w:val="left" w:pos="-36pt"/>
                <w:tab w:val="left" w:pos="18pt"/>
                <w:tab w:val="left" w:pos="40.50pt"/>
              </w:tabs>
              <w:rPr>
                <w:rFonts w:ascii="Times New Roman" w:hAnsi="Times New Roman"/>
                <w:b/>
                <w:sz w:val="22"/>
                <w:szCs w:val="22"/>
              </w:rPr>
            </w:pPr>
            <w:r w:rsidRPr="000B041E">
              <w:rPr>
                <w:rFonts w:ascii="Times New Roman" w:hAnsi="Times New Roman"/>
                <w:b/>
                <w:sz w:val="22"/>
                <w:szCs w:val="22"/>
              </w:rPr>
              <w:t>Hou</w:t>
            </w:r>
            <w:r w:rsidR="00626259">
              <w:rPr>
                <w:rFonts w:ascii="Times New Roman" w:hAnsi="Times New Roman"/>
                <w:b/>
                <w:sz w:val="22"/>
                <w:szCs w:val="22"/>
              </w:rPr>
              <w:t>rly rate including benefits (1.6</w:t>
            </w:r>
            <w:r w:rsidRPr="000B041E">
              <w:rPr>
                <w:rFonts w:ascii="Times New Roman" w:hAnsi="Times New Roman"/>
                <w:b/>
                <w:sz w:val="22"/>
                <w:szCs w:val="22"/>
              </w:rPr>
              <w:t>* x $/hour)</w:t>
            </w:r>
          </w:p>
        </w:tc>
        <w:tc>
          <w:tcPr>
            <w:tcW w:w="71.50pt" w:type="dxa"/>
          </w:tcPr>
          <w:p w:rsidRPr="000B041E" w:rsidR="00484B5F" w:rsidP="00A4151C" w:rsidRDefault="00484B5F" w14:paraId="06CF4524" w14:textId="77777777">
            <w:pPr>
              <w:tabs>
                <w:tab w:val="left" w:pos="-54pt"/>
                <w:tab w:val="left" w:pos="-36pt"/>
                <w:tab w:val="left" w:pos="18pt"/>
                <w:tab w:val="left" w:pos="40.50pt"/>
              </w:tabs>
              <w:rPr>
                <w:rFonts w:ascii="Times New Roman" w:hAnsi="Times New Roman"/>
                <w:b/>
                <w:sz w:val="22"/>
                <w:szCs w:val="22"/>
              </w:rPr>
            </w:pPr>
            <w:r w:rsidRPr="000B041E">
              <w:rPr>
                <w:rFonts w:ascii="Times New Roman" w:hAnsi="Times New Roman"/>
                <w:b/>
                <w:sz w:val="22"/>
                <w:szCs w:val="22"/>
              </w:rPr>
              <w:t>Percent of time spent on collection</w:t>
            </w:r>
          </w:p>
        </w:tc>
        <w:tc>
          <w:tcPr>
            <w:tcW w:w="68.05pt" w:type="dxa"/>
          </w:tcPr>
          <w:p w:rsidRPr="000B041E" w:rsidR="00484B5F" w:rsidP="00A4151C" w:rsidRDefault="00484B5F" w14:paraId="589C1C4A" w14:textId="77777777">
            <w:pPr>
              <w:tabs>
                <w:tab w:val="left" w:pos="-54pt"/>
                <w:tab w:val="left" w:pos="-36pt"/>
                <w:tab w:val="left" w:pos="18pt"/>
                <w:tab w:val="left" w:pos="40.50pt"/>
              </w:tabs>
              <w:rPr>
                <w:rFonts w:ascii="Times New Roman" w:hAnsi="Times New Roman"/>
                <w:b/>
                <w:sz w:val="22"/>
                <w:szCs w:val="22"/>
              </w:rPr>
            </w:pPr>
            <w:r w:rsidRPr="000B041E">
              <w:rPr>
                <w:rFonts w:ascii="Times New Roman" w:hAnsi="Times New Roman"/>
                <w:b/>
                <w:sz w:val="22"/>
                <w:szCs w:val="22"/>
              </w:rPr>
              <w:t>Weighted Average ($/hour)</w:t>
            </w:r>
          </w:p>
        </w:tc>
      </w:tr>
      <w:tr w:rsidRPr="000B041E" w:rsidR="00484B5F" w:rsidTr="00A4151C" w14:paraId="397EFCFA" w14:textId="77777777">
        <w:tc>
          <w:tcPr>
            <w:tcW w:w="123.95pt" w:type="dxa"/>
          </w:tcPr>
          <w:p w:rsidRPr="00EB74DA" w:rsidR="00484B5F" w:rsidP="00A4151C" w:rsidRDefault="003A5564" w14:paraId="3B61CCB8" w14:textId="77777777">
            <w:pPr>
              <w:tabs>
                <w:tab w:val="left" w:pos="-54pt"/>
                <w:tab w:val="left" w:pos="-36pt"/>
                <w:tab w:val="left" w:pos="18pt"/>
                <w:tab w:val="left" w:pos="40.50pt"/>
              </w:tabs>
              <w:rPr>
                <w:rFonts w:ascii="Times New Roman" w:hAnsi="Times New Roman"/>
                <w:sz w:val="22"/>
                <w:szCs w:val="22"/>
              </w:rPr>
            </w:pPr>
            <w:r w:rsidRPr="00EB74DA">
              <w:rPr>
                <w:rFonts w:ascii="Times New Roman" w:hAnsi="Times New Roman"/>
                <w:sz w:val="22"/>
                <w:szCs w:val="22"/>
              </w:rPr>
              <w:t>Program Assistant</w:t>
            </w:r>
          </w:p>
        </w:tc>
        <w:tc>
          <w:tcPr>
            <w:tcW w:w="71.30pt" w:type="dxa"/>
          </w:tcPr>
          <w:p w:rsidRPr="00EB74DA" w:rsidR="00484B5F" w:rsidP="00A4151C" w:rsidRDefault="00484B5F" w14:paraId="31F7877C" w14:textId="77777777">
            <w:pPr>
              <w:tabs>
                <w:tab w:val="left" w:pos="-54pt"/>
                <w:tab w:val="left" w:pos="-36pt"/>
                <w:tab w:val="left" w:pos="18pt"/>
                <w:tab w:val="left" w:pos="40.50pt"/>
              </w:tabs>
              <w:rPr>
                <w:rFonts w:ascii="Times New Roman" w:hAnsi="Times New Roman"/>
                <w:sz w:val="22"/>
                <w:szCs w:val="22"/>
              </w:rPr>
            </w:pPr>
            <w:r w:rsidRPr="00EB74DA">
              <w:rPr>
                <w:rFonts w:ascii="Times New Roman" w:hAnsi="Times New Roman"/>
                <w:sz w:val="22"/>
                <w:szCs w:val="22"/>
              </w:rPr>
              <w:t>GS-1</w:t>
            </w:r>
            <w:r w:rsidRPr="00EB74DA" w:rsidR="003A5564">
              <w:rPr>
                <w:rFonts w:ascii="Times New Roman" w:hAnsi="Times New Roman"/>
                <w:sz w:val="22"/>
                <w:szCs w:val="22"/>
              </w:rPr>
              <w:t>2</w:t>
            </w:r>
            <w:r w:rsidR="00900B8C">
              <w:rPr>
                <w:rFonts w:ascii="Times New Roman" w:hAnsi="Times New Roman"/>
                <w:sz w:val="22"/>
                <w:szCs w:val="22"/>
              </w:rPr>
              <w:t>/1</w:t>
            </w:r>
          </w:p>
        </w:tc>
        <w:tc>
          <w:tcPr>
            <w:tcW w:w="70.25pt" w:type="dxa"/>
          </w:tcPr>
          <w:p w:rsidRPr="000B041E" w:rsidR="00484B5F" w:rsidP="00914D56" w:rsidRDefault="00484B5F" w14:paraId="00157552" w14:textId="600EA90A">
            <w:pPr>
              <w:tabs>
                <w:tab w:val="left" w:pos="-54pt"/>
                <w:tab w:val="left" w:pos="-36pt"/>
                <w:tab w:val="left" w:pos="18pt"/>
                <w:tab w:val="left" w:pos="40.50pt"/>
              </w:tabs>
              <w:jc w:val="center"/>
              <w:rPr>
                <w:rFonts w:ascii="Times New Roman" w:hAnsi="Times New Roman"/>
                <w:sz w:val="22"/>
                <w:szCs w:val="22"/>
              </w:rPr>
            </w:pPr>
            <w:r w:rsidRPr="000B041E">
              <w:rPr>
                <w:rFonts w:ascii="Times New Roman" w:hAnsi="Times New Roman"/>
                <w:sz w:val="22"/>
                <w:szCs w:val="22"/>
              </w:rPr>
              <w:t>$</w:t>
            </w:r>
            <w:r w:rsidR="00BE3B0C">
              <w:rPr>
                <w:rFonts w:ascii="Times New Roman" w:hAnsi="Times New Roman"/>
                <w:sz w:val="22"/>
                <w:szCs w:val="22"/>
              </w:rPr>
              <w:t>3</w:t>
            </w:r>
            <w:r w:rsidR="00106278">
              <w:rPr>
                <w:rFonts w:ascii="Times New Roman" w:hAnsi="Times New Roman"/>
                <w:sz w:val="22"/>
                <w:szCs w:val="22"/>
              </w:rPr>
              <w:t>8</w:t>
            </w:r>
          </w:p>
        </w:tc>
        <w:tc>
          <w:tcPr>
            <w:tcW w:w="98.95pt" w:type="dxa"/>
          </w:tcPr>
          <w:p w:rsidRPr="000B041E" w:rsidR="00484B5F" w:rsidP="00D13FD6" w:rsidRDefault="00484B5F" w14:paraId="52427306" w14:textId="7B0D9F10">
            <w:pPr>
              <w:tabs>
                <w:tab w:val="left" w:pos="-54pt"/>
                <w:tab w:val="left" w:pos="-36pt"/>
                <w:tab w:val="left" w:pos="18pt"/>
                <w:tab w:val="left" w:pos="40.50pt"/>
              </w:tabs>
              <w:jc w:val="center"/>
              <w:rPr>
                <w:rFonts w:ascii="Times New Roman" w:hAnsi="Times New Roman"/>
                <w:sz w:val="22"/>
                <w:szCs w:val="22"/>
              </w:rPr>
            </w:pPr>
            <w:r w:rsidRPr="000B041E">
              <w:rPr>
                <w:rFonts w:ascii="Times New Roman" w:hAnsi="Times New Roman"/>
                <w:sz w:val="22"/>
                <w:szCs w:val="22"/>
              </w:rPr>
              <w:t>$</w:t>
            </w:r>
            <w:r w:rsidR="00DB548E">
              <w:rPr>
                <w:rFonts w:ascii="Times New Roman" w:hAnsi="Times New Roman"/>
                <w:sz w:val="22"/>
                <w:szCs w:val="22"/>
              </w:rPr>
              <w:t>61</w:t>
            </w:r>
          </w:p>
        </w:tc>
        <w:tc>
          <w:tcPr>
            <w:tcW w:w="71.50pt" w:type="dxa"/>
          </w:tcPr>
          <w:p w:rsidRPr="000B041E" w:rsidR="00484B5F" w:rsidP="00A4151C" w:rsidRDefault="00900B8C" w14:paraId="5A439BC6" w14:textId="77777777">
            <w:pPr>
              <w:tabs>
                <w:tab w:val="left" w:pos="-54pt"/>
                <w:tab w:val="left" w:pos="-36pt"/>
                <w:tab w:val="left" w:pos="18pt"/>
                <w:tab w:val="left" w:pos="40.50pt"/>
              </w:tabs>
              <w:jc w:val="center"/>
              <w:rPr>
                <w:rFonts w:ascii="Times New Roman" w:hAnsi="Times New Roman"/>
                <w:sz w:val="22"/>
                <w:szCs w:val="22"/>
              </w:rPr>
            </w:pPr>
            <w:r>
              <w:rPr>
                <w:rFonts w:ascii="Times New Roman" w:hAnsi="Times New Roman"/>
                <w:sz w:val="22"/>
                <w:szCs w:val="22"/>
              </w:rPr>
              <w:t>2</w:t>
            </w:r>
            <w:r w:rsidRPr="000B041E" w:rsidR="00484B5F">
              <w:rPr>
                <w:rFonts w:ascii="Times New Roman" w:hAnsi="Times New Roman"/>
                <w:sz w:val="22"/>
                <w:szCs w:val="22"/>
              </w:rPr>
              <w:t>5%</w:t>
            </w:r>
          </w:p>
        </w:tc>
        <w:tc>
          <w:tcPr>
            <w:tcW w:w="68.05pt" w:type="dxa"/>
          </w:tcPr>
          <w:p w:rsidRPr="000B041E" w:rsidR="00484B5F" w:rsidP="00A4151C" w:rsidRDefault="00484B5F" w14:paraId="6EBBE64D" w14:textId="77777777">
            <w:pPr>
              <w:tabs>
                <w:tab w:val="left" w:pos="-54pt"/>
                <w:tab w:val="left" w:pos="-36pt"/>
                <w:tab w:val="left" w:pos="18pt"/>
                <w:tab w:val="left" w:pos="40.50pt"/>
              </w:tabs>
              <w:jc w:val="center"/>
              <w:rPr>
                <w:rFonts w:ascii="Times New Roman" w:hAnsi="Times New Roman"/>
                <w:sz w:val="22"/>
                <w:szCs w:val="22"/>
              </w:rPr>
            </w:pPr>
            <w:r w:rsidRPr="000B041E">
              <w:rPr>
                <w:rFonts w:ascii="Times New Roman" w:hAnsi="Times New Roman"/>
                <w:sz w:val="22"/>
                <w:szCs w:val="22"/>
              </w:rPr>
              <w:t>$</w:t>
            </w:r>
            <w:r w:rsidR="00BE3B0C">
              <w:rPr>
                <w:rFonts w:ascii="Times New Roman" w:hAnsi="Times New Roman"/>
                <w:sz w:val="22"/>
                <w:szCs w:val="22"/>
              </w:rPr>
              <w:t>15</w:t>
            </w:r>
          </w:p>
        </w:tc>
      </w:tr>
      <w:tr w:rsidRPr="000B041E" w:rsidR="00484B5F" w:rsidTr="00A4151C" w14:paraId="2618D903" w14:textId="77777777">
        <w:tc>
          <w:tcPr>
            <w:tcW w:w="123.95pt" w:type="dxa"/>
          </w:tcPr>
          <w:p w:rsidRPr="00EB74DA" w:rsidR="00484B5F" w:rsidP="00A4151C" w:rsidRDefault="003A5564" w14:paraId="57BBD6F7" w14:textId="77777777">
            <w:pPr>
              <w:tabs>
                <w:tab w:val="left" w:pos="-54pt"/>
                <w:tab w:val="left" w:pos="-36pt"/>
                <w:tab w:val="left" w:pos="18pt"/>
                <w:tab w:val="left" w:pos="40.50pt"/>
              </w:tabs>
              <w:rPr>
                <w:rFonts w:ascii="Times New Roman" w:hAnsi="Times New Roman"/>
                <w:sz w:val="22"/>
                <w:szCs w:val="22"/>
              </w:rPr>
            </w:pPr>
            <w:r w:rsidRPr="00EB74DA">
              <w:rPr>
                <w:rFonts w:ascii="Times New Roman" w:hAnsi="Times New Roman"/>
                <w:sz w:val="22"/>
                <w:szCs w:val="22"/>
              </w:rPr>
              <w:t>Program Specialist</w:t>
            </w:r>
          </w:p>
        </w:tc>
        <w:tc>
          <w:tcPr>
            <w:tcW w:w="71.30pt" w:type="dxa"/>
          </w:tcPr>
          <w:p w:rsidRPr="00EB74DA" w:rsidR="00484B5F" w:rsidP="00900B8C" w:rsidRDefault="00484B5F" w14:paraId="5C329AE5" w14:textId="77777777">
            <w:pPr>
              <w:tabs>
                <w:tab w:val="left" w:pos="-54pt"/>
                <w:tab w:val="left" w:pos="-36pt"/>
                <w:tab w:val="left" w:pos="18pt"/>
                <w:tab w:val="left" w:pos="40.50pt"/>
              </w:tabs>
              <w:rPr>
                <w:rFonts w:ascii="Times New Roman" w:hAnsi="Times New Roman"/>
                <w:sz w:val="22"/>
                <w:szCs w:val="22"/>
              </w:rPr>
            </w:pPr>
            <w:r w:rsidRPr="00EB74DA">
              <w:rPr>
                <w:rFonts w:ascii="Times New Roman" w:hAnsi="Times New Roman"/>
                <w:sz w:val="22"/>
                <w:szCs w:val="22"/>
              </w:rPr>
              <w:t>GS-1</w:t>
            </w:r>
            <w:r w:rsidRPr="00EB74DA" w:rsidR="003A5564">
              <w:rPr>
                <w:rFonts w:ascii="Times New Roman" w:hAnsi="Times New Roman"/>
                <w:sz w:val="22"/>
                <w:szCs w:val="22"/>
              </w:rPr>
              <w:t>3</w:t>
            </w:r>
            <w:r w:rsidRPr="00EB74DA" w:rsidR="008B3B26">
              <w:rPr>
                <w:rFonts w:ascii="Times New Roman" w:hAnsi="Times New Roman"/>
                <w:sz w:val="22"/>
                <w:szCs w:val="22"/>
              </w:rPr>
              <w:t>/1</w:t>
            </w:r>
          </w:p>
        </w:tc>
        <w:tc>
          <w:tcPr>
            <w:tcW w:w="70.25pt" w:type="dxa"/>
          </w:tcPr>
          <w:p w:rsidRPr="000B041E" w:rsidR="00484B5F" w:rsidP="00A4151C" w:rsidRDefault="00484B5F" w14:paraId="1C6D22E1" w14:textId="67A1C4CE">
            <w:pPr>
              <w:tabs>
                <w:tab w:val="left" w:pos="-54pt"/>
                <w:tab w:val="left" w:pos="-36pt"/>
                <w:tab w:val="left" w:pos="18pt"/>
                <w:tab w:val="left" w:pos="40.50pt"/>
              </w:tabs>
              <w:jc w:val="center"/>
              <w:rPr>
                <w:rFonts w:ascii="Times New Roman" w:hAnsi="Times New Roman"/>
                <w:sz w:val="22"/>
                <w:szCs w:val="22"/>
              </w:rPr>
            </w:pPr>
            <w:r w:rsidRPr="000B041E">
              <w:rPr>
                <w:rFonts w:ascii="Times New Roman" w:hAnsi="Times New Roman"/>
                <w:sz w:val="22"/>
                <w:szCs w:val="22"/>
              </w:rPr>
              <w:t>$</w:t>
            </w:r>
            <w:r w:rsidR="00BE3B0C">
              <w:rPr>
                <w:rFonts w:ascii="Times New Roman" w:hAnsi="Times New Roman"/>
                <w:sz w:val="22"/>
                <w:szCs w:val="22"/>
              </w:rPr>
              <w:t>4</w:t>
            </w:r>
            <w:r w:rsidR="00106278">
              <w:rPr>
                <w:rFonts w:ascii="Times New Roman" w:hAnsi="Times New Roman"/>
                <w:sz w:val="22"/>
                <w:szCs w:val="22"/>
              </w:rPr>
              <w:t>5</w:t>
            </w:r>
          </w:p>
        </w:tc>
        <w:tc>
          <w:tcPr>
            <w:tcW w:w="98.95pt" w:type="dxa"/>
          </w:tcPr>
          <w:p w:rsidRPr="000B041E" w:rsidR="00484B5F" w:rsidP="00D13FD6" w:rsidRDefault="00484B5F" w14:paraId="21DFC37E" w14:textId="2D0E4671">
            <w:pPr>
              <w:tabs>
                <w:tab w:val="left" w:pos="-54pt"/>
                <w:tab w:val="left" w:pos="-36pt"/>
                <w:tab w:val="left" w:pos="18pt"/>
                <w:tab w:val="left" w:pos="40.50pt"/>
              </w:tabs>
              <w:jc w:val="center"/>
              <w:rPr>
                <w:rFonts w:ascii="Times New Roman" w:hAnsi="Times New Roman"/>
                <w:sz w:val="22"/>
                <w:szCs w:val="22"/>
              </w:rPr>
            </w:pPr>
            <w:r w:rsidRPr="000B041E">
              <w:rPr>
                <w:rFonts w:ascii="Times New Roman" w:hAnsi="Times New Roman"/>
                <w:sz w:val="22"/>
                <w:szCs w:val="22"/>
              </w:rPr>
              <w:t>$</w:t>
            </w:r>
            <w:r w:rsidR="00DB548E">
              <w:rPr>
                <w:rFonts w:ascii="Times New Roman" w:hAnsi="Times New Roman"/>
                <w:sz w:val="22"/>
                <w:szCs w:val="22"/>
              </w:rPr>
              <w:t>72</w:t>
            </w:r>
          </w:p>
        </w:tc>
        <w:tc>
          <w:tcPr>
            <w:tcW w:w="71.50pt" w:type="dxa"/>
          </w:tcPr>
          <w:p w:rsidRPr="000B041E" w:rsidR="00484B5F" w:rsidP="00A4151C" w:rsidRDefault="00900B8C" w14:paraId="205B83A1" w14:textId="77777777">
            <w:pPr>
              <w:tabs>
                <w:tab w:val="left" w:pos="-54pt"/>
                <w:tab w:val="left" w:pos="-36pt"/>
                <w:tab w:val="left" w:pos="18pt"/>
                <w:tab w:val="left" w:pos="40.50pt"/>
              </w:tabs>
              <w:jc w:val="center"/>
              <w:rPr>
                <w:rFonts w:ascii="Times New Roman" w:hAnsi="Times New Roman"/>
                <w:sz w:val="22"/>
                <w:szCs w:val="22"/>
              </w:rPr>
            </w:pPr>
            <w:r>
              <w:rPr>
                <w:rFonts w:ascii="Times New Roman" w:hAnsi="Times New Roman"/>
                <w:sz w:val="22"/>
                <w:szCs w:val="22"/>
              </w:rPr>
              <w:t>7</w:t>
            </w:r>
            <w:r w:rsidRPr="000B041E" w:rsidR="00FB21C3">
              <w:rPr>
                <w:rFonts w:ascii="Times New Roman" w:hAnsi="Times New Roman"/>
                <w:sz w:val="22"/>
                <w:szCs w:val="22"/>
              </w:rPr>
              <w:t>5</w:t>
            </w:r>
            <w:r w:rsidRPr="000B041E" w:rsidR="00484B5F">
              <w:rPr>
                <w:rFonts w:ascii="Times New Roman" w:hAnsi="Times New Roman"/>
                <w:sz w:val="22"/>
                <w:szCs w:val="22"/>
              </w:rPr>
              <w:t>%</w:t>
            </w:r>
          </w:p>
        </w:tc>
        <w:tc>
          <w:tcPr>
            <w:tcW w:w="68.05pt" w:type="dxa"/>
          </w:tcPr>
          <w:p w:rsidRPr="000B041E" w:rsidR="00484B5F" w:rsidP="00D13FD6" w:rsidRDefault="00484B5F" w14:paraId="71D57C92" w14:textId="028E31C8">
            <w:pPr>
              <w:tabs>
                <w:tab w:val="left" w:pos="-54pt"/>
                <w:tab w:val="left" w:pos="-36pt"/>
                <w:tab w:val="left" w:pos="18pt"/>
                <w:tab w:val="left" w:pos="40.50pt"/>
              </w:tabs>
              <w:jc w:val="center"/>
              <w:rPr>
                <w:rFonts w:ascii="Times New Roman" w:hAnsi="Times New Roman"/>
                <w:sz w:val="22"/>
                <w:szCs w:val="22"/>
              </w:rPr>
            </w:pPr>
            <w:r w:rsidRPr="000B041E">
              <w:rPr>
                <w:rFonts w:ascii="Times New Roman" w:hAnsi="Times New Roman"/>
                <w:sz w:val="22"/>
                <w:szCs w:val="22"/>
              </w:rPr>
              <w:t>$</w:t>
            </w:r>
            <w:r w:rsidR="00BE3B0C">
              <w:rPr>
                <w:rFonts w:ascii="Times New Roman" w:hAnsi="Times New Roman"/>
                <w:sz w:val="22"/>
                <w:szCs w:val="22"/>
              </w:rPr>
              <w:t>5</w:t>
            </w:r>
            <w:r w:rsidR="00DB548E">
              <w:rPr>
                <w:rFonts w:ascii="Times New Roman" w:hAnsi="Times New Roman"/>
                <w:sz w:val="22"/>
                <w:szCs w:val="22"/>
              </w:rPr>
              <w:t>4</w:t>
            </w:r>
          </w:p>
        </w:tc>
      </w:tr>
      <w:tr w:rsidRPr="000B041E" w:rsidR="00484B5F" w:rsidTr="00A4151C" w14:paraId="73E620F4" w14:textId="77777777">
        <w:tc>
          <w:tcPr>
            <w:tcW w:w="435.95pt" w:type="dxa"/>
            <w:gridSpan w:val="5"/>
          </w:tcPr>
          <w:p w:rsidRPr="000B041E" w:rsidR="00484B5F" w:rsidP="00A4151C" w:rsidRDefault="00484B5F" w14:paraId="224A1831" w14:textId="77777777">
            <w:pPr>
              <w:tabs>
                <w:tab w:val="left" w:pos="-54pt"/>
                <w:tab w:val="left" w:pos="-36pt"/>
                <w:tab w:val="left" w:pos="18pt"/>
                <w:tab w:val="left" w:pos="40.50pt"/>
              </w:tabs>
              <w:rPr>
                <w:rFonts w:ascii="Times New Roman" w:hAnsi="Times New Roman"/>
                <w:b/>
                <w:sz w:val="22"/>
                <w:szCs w:val="22"/>
              </w:rPr>
            </w:pPr>
            <w:r w:rsidRPr="000B041E">
              <w:rPr>
                <w:rFonts w:ascii="Times New Roman" w:hAnsi="Times New Roman"/>
                <w:b/>
                <w:sz w:val="22"/>
                <w:szCs w:val="22"/>
              </w:rPr>
              <w:t>Weighted Average ($/hour)</w:t>
            </w:r>
          </w:p>
        </w:tc>
        <w:tc>
          <w:tcPr>
            <w:tcW w:w="68.05pt" w:type="dxa"/>
          </w:tcPr>
          <w:p w:rsidRPr="000B041E" w:rsidR="00484B5F" w:rsidP="00D13FD6" w:rsidRDefault="00484B5F" w14:paraId="0F8EC9F3" w14:textId="5BC9098E">
            <w:pPr>
              <w:tabs>
                <w:tab w:val="left" w:pos="-54pt"/>
                <w:tab w:val="left" w:pos="-36pt"/>
                <w:tab w:val="left" w:pos="18pt"/>
                <w:tab w:val="left" w:pos="40.50pt"/>
              </w:tabs>
              <w:jc w:val="center"/>
              <w:rPr>
                <w:rFonts w:ascii="Times New Roman" w:hAnsi="Times New Roman"/>
                <w:b/>
                <w:sz w:val="22"/>
                <w:szCs w:val="22"/>
              </w:rPr>
            </w:pPr>
            <w:r w:rsidRPr="000B041E">
              <w:rPr>
                <w:rFonts w:ascii="Times New Roman" w:hAnsi="Times New Roman"/>
                <w:b/>
                <w:sz w:val="22"/>
                <w:szCs w:val="22"/>
              </w:rPr>
              <w:t>$</w:t>
            </w:r>
            <w:r w:rsidR="00914D56">
              <w:rPr>
                <w:rFonts w:ascii="Times New Roman" w:hAnsi="Times New Roman"/>
                <w:b/>
                <w:sz w:val="22"/>
                <w:szCs w:val="22"/>
              </w:rPr>
              <w:t>6</w:t>
            </w:r>
            <w:r w:rsidR="00DB548E">
              <w:rPr>
                <w:rFonts w:ascii="Times New Roman" w:hAnsi="Times New Roman"/>
                <w:b/>
                <w:sz w:val="22"/>
                <w:szCs w:val="22"/>
              </w:rPr>
              <w:t>9</w:t>
            </w:r>
          </w:p>
        </w:tc>
      </w:tr>
    </w:tbl>
    <w:p w:rsidRPr="00296FA1" w:rsidR="00484B5F" w:rsidP="00484B5F" w:rsidRDefault="000040B7" w14:paraId="5E8B1AE3" w14:textId="77777777">
      <w:pPr>
        <w:tabs>
          <w:tab w:val="left" w:pos="18pt"/>
          <w:tab w:val="left" w:pos="36pt"/>
          <w:tab w:val="left" w:pos="54pt"/>
        </w:tabs>
        <w:rPr>
          <w:rFonts w:ascii="Times New Roman" w:hAnsi="Times New Roman"/>
          <w:sz w:val="22"/>
          <w:szCs w:val="22"/>
        </w:rPr>
      </w:pPr>
      <w:r>
        <w:rPr>
          <w:rFonts w:ascii="Times New Roman" w:hAnsi="Times New Roman"/>
          <w:sz w:val="22"/>
          <w:szCs w:val="22"/>
        </w:rPr>
        <w:t>* A multiplier of 1.6</w:t>
      </w:r>
      <w:r w:rsidRPr="000B041E" w:rsidR="00484B5F">
        <w:rPr>
          <w:rFonts w:ascii="Times New Roman" w:hAnsi="Times New Roman"/>
          <w:sz w:val="22"/>
          <w:szCs w:val="22"/>
        </w:rPr>
        <w:t xml:space="preserve"> as implied by BLS </w:t>
      </w:r>
      <w:r w:rsidR="00EB74DA">
        <w:rPr>
          <w:rFonts w:ascii="Times New Roman" w:hAnsi="Times New Roman"/>
          <w:sz w:val="22"/>
          <w:szCs w:val="22"/>
        </w:rPr>
        <w:t xml:space="preserve">information at </w:t>
      </w:r>
      <w:hyperlink w:history="1" r:id="rId9">
        <w:r w:rsidRPr="00ED5B12" w:rsidR="00484B5F">
          <w:rPr>
            <w:rStyle w:val="Hyperlink"/>
            <w:rFonts w:ascii="Times New Roman" w:hAnsi="Times New Roman"/>
            <w:sz w:val="22"/>
            <w:szCs w:val="22"/>
          </w:rPr>
          <w:t>http://www.bls.gov/news.release/ecec.nr0.htm</w:t>
        </w:r>
      </w:hyperlink>
      <w:r w:rsidR="00EB74DA">
        <w:rPr>
          <w:rFonts w:ascii="Times New Roman" w:hAnsi="Times New Roman"/>
          <w:sz w:val="22"/>
          <w:szCs w:val="22"/>
        </w:rPr>
        <w:t xml:space="preserve"> </w:t>
      </w:r>
      <w:r w:rsidR="00484B5F">
        <w:rPr>
          <w:rFonts w:ascii="Times New Roman" w:hAnsi="Times New Roman"/>
          <w:sz w:val="22"/>
          <w:szCs w:val="22"/>
        </w:rPr>
        <w:t>was</w:t>
      </w:r>
      <w:r w:rsidRPr="00296FA1" w:rsidR="00484B5F">
        <w:rPr>
          <w:rFonts w:ascii="Times New Roman" w:hAnsi="Times New Roman"/>
          <w:sz w:val="22"/>
          <w:szCs w:val="22"/>
        </w:rPr>
        <w:t xml:space="preserve"> added for benefits. </w:t>
      </w:r>
    </w:p>
    <w:p w:rsidRPr="000C3CC9" w:rsidR="00484B5F" w:rsidP="00484B5F" w:rsidRDefault="00484B5F" w14:paraId="19936630" w14:textId="77777777">
      <w:pPr>
        <w:tabs>
          <w:tab w:val="left" w:pos="-54pt"/>
          <w:tab w:val="left" w:pos="-36pt"/>
          <w:tab w:val="left" w:pos="18pt"/>
          <w:tab w:val="left" w:pos="40.50pt"/>
        </w:tabs>
        <w:rPr>
          <w:rFonts w:ascii="Times New Roman" w:hAnsi="Times New Roman"/>
        </w:rPr>
      </w:pPr>
    </w:p>
    <w:p w:rsidR="00484B5F" w:rsidP="00484B5F" w:rsidRDefault="00484B5F" w14:paraId="46C3EC3F" w14:textId="752A8CD4">
      <w:pPr>
        <w:tabs>
          <w:tab w:val="left" w:pos="-54pt"/>
          <w:tab w:val="left" w:pos="-36pt"/>
          <w:tab w:val="left" w:pos="18pt"/>
          <w:tab w:val="left" w:pos="40.50pt"/>
        </w:tabs>
        <w:rPr>
          <w:rFonts w:ascii="Times New Roman" w:hAnsi="Times New Roman"/>
        </w:rPr>
      </w:pPr>
      <w:r w:rsidRPr="00F30CE8">
        <w:rPr>
          <w:rFonts w:ascii="Times New Roman" w:hAnsi="Times New Roman"/>
        </w:rPr>
        <w:t>Based on a cost factor of $</w:t>
      </w:r>
      <w:r w:rsidR="00BE3B0C">
        <w:rPr>
          <w:rFonts w:ascii="Times New Roman" w:hAnsi="Times New Roman"/>
        </w:rPr>
        <w:t>6</w:t>
      </w:r>
      <w:r w:rsidR="00DB548E">
        <w:rPr>
          <w:rFonts w:ascii="Times New Roman" w:hAnsi="Times New Roman"/>
        </w:rPr>
        <w:t>9</w:t>
      </w:r>
      <w:r w:rsidRPr="00F30CE8">
        <w:rPr>
          <w:rFonts w:ascii="Times New Roman" w:hAnsi="Times New Roman"/>
        </w:rPr>
        <w:t xml:space="preserve"> per hour, the total annual estimated burden on the Government is $</w:t>
      </w:r>
      <w:r w:rsidR="00DB548E">
        <w:rPr>
          <w:rFonts w:ascii="Times New Roman" w:hAnsi="Times New Roman"/>
        </w:rPr>
        <w:t>598,506</w:t>
      </w:r>
      <w:r w:rsidRPr="00F30CE8" w:rsidR="00965497">
        <w:rPr>
          <w:rFonts w:ascii="Times New Roman" w:hAnsi="Times New Roman"/>
        </w:rPr>
        <w:t xml:space="preserve"> </w:t>
      </w:r>
      <w:r w:rsidRPr="00F30CE8">
        <w:rPr>
          <w:rFonts w:ascii="Times New Roman" w:hAnsi="Times New Roman"/>
        </w:rPr>
        <w:t>(</w:t>
      </w:r>
      <w:r w:rsidR="00173491">
        <w:rPr>
          <w:rFonts w:ascii="Times New Roman" w:hAnsi="Times New Roman"/>
          <w:szCs w:val="24"/>
        </w:rPr>
        <w:t>34,695</w:t>
      </w:r>
      <w:r w:rsidRPr="00F30CE8" w:rsidR="009114AE">
        <w:rPr>
          <w:rFonts w:ascii="Times New Roman" w:hAnsi="Times New Roman"/>
          <w:szCs w:val="24"/>
        </w:rPr>
        <w:t xml:space="preserve"> </w:t>
      </w:r>
      <w:r w:rsidRPr="00F30CE8">
        <w:rPr>
          <w:rFonts w:ascii="Times New Roman" w:hAnsi="Times New Roman"/>
        </w:rPr>
        <w:t xml:space="preserve">hours x </w:t>
      </w:r>
      <w:r w:rsidRPr="00F30CE8" w:rsidR="00FB21C3">
        <w:rPr>
          <w:rFonts w:ascii="Times New Roman" w:hAnsi="Times New Roman"/>
        </w:rPr>
        <w:t xml:space="preserve">0.25 </w:t>
      </w:r>
      <w:r w:rsidRPr="00F30CE8">
        <w:rPr>
          <w:rFonts w:ascii="Times New Roman" w:hAnsi="Times New Roman"/>
        </w:rPr>
        <w:t>=</w:t>
      </w:r>
      <w:r w:rsidR="00173491">
        <w:rPr>
          <w:rFonts w:ascii="Times New Roman" w:hAnsi="Times New Roman"/>
        </w:rPr>
        <w:t xml:space="preserve"> 8,674</w:t>
      </w:r>
      <w:r w:rsidRPr="00F30CE8">
        <w:rPr>
          <w:rFonts w:ascii="Times New Roman" w:hAnsi="Times New Roman"/>
        </w:rPr>
        <w:t xml:space="preserve"> hours x </w:t>
      </w:r>
      <w:r w:rsidRPr="00DB548E">
        <w:rPr>
          <w:rFonts w:ascii="Times New Roman" w:hAnsi="Times New Roman"/>
        </w:rPr>
        <w:t>$</w:t>
      </w:r>
      <w:r w:rsidRPr="00DB548E" w:rsidR="001A7DB9">
        <w:rPr>
          <w:rFonts w:ascii="Times New Roman" w:hAnsi="Times New Roman"/>
        </w:rPr>
        <w:t>6</w:t>
      </w:r>
      <w:r w:rsidRPr="00DB548E" w:rsidR="00DB548E">
        <w:rPr>
          <w:rFonts w:ascii="Times New Roman" w:hAnsi="Times New Roman"/>
        </w:rPr>
        <w:t>9</w:t>
      </w:r>
      <w:r w:rsidRPr="00DB548E">
        <w:rPr>
          <w:rFonts w:ascii="Times New Roman" w:hAnsi="Times New Roman"/>
        </w:rPr>
        <w:t xml:space="preserve"> = $</w:t>
      </w:r>
      <w:r w:rsidR="00DB548E">
        <w:rPr>
          <w:rFonts w:ascii="Times New Roman" w:hAnsi="Times New Roman"/>
        </w:rPr>
        <w:t>598,506</w:t>
      </w:r>
      <w:r w:rsidRPr="00F30CE8">
        <w:rPr>
          <w:rFonts w:ascii="Times New Roman" w:hAnsi="Times New Roman"/>
        </w:rPr>
        <w:t>).</w:t>
      </w:r>
      <w:r>
        <w:rPr>
          <w:rFonts w:ascii="Times New Roman" w:hAnsi="Times New Roman"/>
        </w:rPr>
        <w:t xml:space="preserve">  </w:t>
      </w:r>
    </w:p>
    <w:p w:rsidR="00484B5F" w:rsidP="00484B5F" w:rsidRDefault="00484B5F" w14:paraId="654AF830" w14:textId="77777777">
      <w:pPr>
        <w:tabs>
          <w:tab w:val="left" w:pos="-54pt"/>
          <w:tab w:val="left" w:pos="-36pt"/>
          <w:tab w:val="left" w:pos="18pt"/>
          <w:tab w:val="left" w:pos="40.50pt"/>
        </w:tabs>
        <w:rPr>
          <w:rFonts w:ascii="Times New Roman" w:hAnsi="Times New Roman"/>
        </w:rPr>
      </w:pPr>
    </w:p>
    <w:p w:rsidR="00906BDE" w:rsidP="00906BDE" w:rsidRDefault="00906BDE" w14:paraId="08203856" w14:textId="77777777">
      <w:pPr>
        <w:widowControl/>
        <w:tabs>
          <w:tab w:val="left" w:pos="-54pt"/>
          <w:tab w:val="left" w:pos="-36pt"/>
          <w:tab w:val="left" w:pos="18pt"/>
          <w:tab w:val="left" w:pos="40.50pt"/>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sidR="00FA0609">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906BDE" w:rsidRDefault="00906BDE" w14:paraId="571DE820" w14:textId="77777777">
      <w:pPr>
        <w:widowControl/>
        <w:tabs>
          <w:tab w:val="left" w:pos="-54pt"/>
          <w:tab w:val="left" w:pos="-36pt"/>
          <w:tab w:val="left" w:pos="0pt"/>
          <w:tab w:val="left" w:pos="18pt"/>
          <w:tab w:val="left" w:pos="36pt"/>
          <w:tab w:val="left" w:pos="67.50pt"/>
          <w:tab w:val="left" w:pos="90pt"/>
          <w:tab w:val="left" w:pos="144pt"/>
        </w:tabs>
        <w:rPr>
          <w:rFonts w:ascii="Times New Roman" w:hAnsi="Times New Roman"/>
          <w:b/>
        </w:rPr>
      </w:pPr>
    </w:p>
    <w:p w:rsidR="00173491" w:rsidRDefault="00121D2E" w14:paraId="315EE5E6" w14:textId="7ED80949">
      <w:pPr>
        <w:widowControl/>
        <w:tabs>
          <w:tab w:val="left" w:pos="-54pt"/>
          <w:tab w:val="left" w:pos="-36pt"/>
          <w:tab w:val="left" w:pos="0pt"/>
          <w:tab w:val="left" w:pos="18pt"/>
          <w:tab w:val="left" w:pos="36pt"/>
          <w:tab w:val="left" w:pos="67.50pt"/>
          <w:tab w:val="left" w:pos="90pt"/>
          <w:tab w:val="left" w:pos="144pt"/>
        </w:tabs>
        <w:rPr>
          <w:rFonts w:ascii="Times New Roman" w:hAnsi="Times New Roman"/>
        </w:rPr>
      </w:pPr>
      <w:bookmarkStart w:name="OLE_LINK3" w:id="0"/>
      <w:bookmarkStart w:name="OLE_LINK4" w:id="1"/>
      <w:r w:rsidRPr="00121D2E">
        <w:rPr>
          <w:rFonts w:ascii="Times New Roman" w:hAnsi="Times New Roman"/>
        </w:rPr>
        <w:t xml:space="preserve">The current </w:t>
      </w:r>
      <w:r w:rsidR="00173491">
        <w:rPr>
          <w:rFonts w:ascii="Times New Roman" w:hAnsi="Times New Roman"/>
        </w:rPr>
        <w:t xml:space="preserve">OMB approved </w:t>
      </w:r>
      <w:r w:rsidRPr="00121D2E">
        <w:rPr>
          <w:rFonts w:ascii="Times New Roman" w:hAnsi="Times New Roman"/>
        </w:rPr>
        <w:t>annual burden hours for this collection are</w:t>
      </w:r>
      <w:r w:rsidR="00173491">
        <w:rPr>
          <w:rFonts w:ascii="Times New Roman" w:hAnsi="Times New Roman"/>
        </w:rPr>
        <w:t xml:space="preserve"> 22,133 annual burden hours and 1,823 responses.</w:t>
      </w:r>
      <w:r w:rsidRPr="00121D2E">
        <w:rPr>
          <w:rFonts w:ascii="Times New Roman" w:hAnsi="Times New Roman"/>
        </w:rPr>
        <w:t xml:space="preserve"> </w:t>
      </w:r>
      <w:r w:rsidR="00173491">
        <w:rPr>
          <w:rFonts w:ascii="Times New Roman" w:hAnsi="Times New Roman"/>
        </w:rPr>
        <w:t xml:space="preserve"> Proposed changes are </w:t>
      </w:r>
      <w:r w:rsidR="00311AF4">
        <w:rPr>
          <w:rFonts w:ascii="Times New Roman" w:hAnsi="Times New Roman"/>
        </w:rPr>
        <w:t>34,695</w:t>
      </w:r>
      <w:r w:rsidRPr="00121D2E">
        <w:rPr>
          <w:rFonts w:ascii="Times New Roman" w:hAnsi="Times New Roman"/>
        </w:rPr>
        <w:t xml:space="preserve"> hours</w:t>
      </w:r>
      <w:r w:rsidR="00173491">
        <w:rPr>
          <w:rFonts w:ascii="Times New Roman" w:hAnsi="Times New Roman"/>
        </w:rPr>
        <w:t xml:space="preserve"> (increase of 12,562 hours) and 2,233 responses (increase of 410 responses)</w:t>
      </w:r>
      <w:r w:rsidR="00E43C6A">
        <w:rPr>
          <w:rFonts w:ascii="Times New Roman" w:hAnsi="Times New Roman"/>
        </w:rPr>
        <w:t xml:space="preserve"> to account for changes in industry operations due to COVID and remote work.</w:t>
      </w:r>
      <w:r w:rsidR="00173491">
        <w:rPr>
          <w:rFonts w:ascii="Times New Roman" w:hAnsi="Times New Roman"/>
        </w:rPr>
        <w:t>.</w:t>
      </w:r>
    </w:p>
    <w:p w:rsidR="008554DC" w:rsidRDefault="008554DC" w14:paraId="20A66CF7" w14:textId="77777777">
      <w:pPr>
        <w:widowControl/>
        <w:tabs>
          <w:tab w:val="left" w:pos="-54pt"/>
          <w:tab w:val="left" w:pos="-36pt"/>
          <w:tab w:val="left" w:pos="0pt"/>
          <w:tab w:val="left" w:pos="18pt"/>
          <w:tab w:val="left" w:pos="36pt"/>
          <w:tab w:val="left" w:pos="67.50pt"/>
          <w:tab w:val="left" w:pos="90pt"/>
          <w:tab w:val="left" w:pos="144pt"/>
        </w:tabs>
        <w:rPr>
          <w:rFonts w:ascii="Times New Roman" w:hAnsi="Times New Roman"/>
        </w:rPr>
      </w:pPr>
    </w:p>
    <w:bookmarkEnd w:id="0"/>
    <w:bookmarkEnd w:id="1"/>
    <w:p w:rsidRPr="00E43C6A" w:rsidR="00E43C6A" w:rsidP="00E43C6A" w:rsidRDefault="00E43C6A" w14:paraId="516C4F4A" w14:textId="6866022C">
      <w:pPr>
        <w:widowControl/>
        <w:tabs>
          <w:tab w:val="left" w:pos="-54pt"/>
          <w:tab w:val="left" w:pos="-36pt"/>
          <w:tab w:val="left" w:pos="0pt"/>
          <w:tab w:val="left" w:pos="18pt"/>
          <w:tab w:val="left" w:pos="36pt"/>
          <w:tab w:val="left" w:pos="67.50pt"/>
          <w:tab w:val="left" w:pos="90pt"/>
          <w:tab w:val="left" w:pos="144pt"/>
        </w:tabs>
        <w:rPr>
          <w:rFonts w:ascii="Times New Roman" w:hAnsi="Times New Roman"/>
        </w:rPr>
      </w:pPr>
      <w:r w:rsidRPr="00E43C6A">
        <w:rPr>
          <w:rFonts w:ascii="Times New Roman" w:hAnsi="Times New Roman"/>
        </w:rPr>
        <w:t>As COVID restrictions</w:t>
      </w:r>
      <w:r>
        <w:rPr>
          <w:rFonts w:ascii="Times New Roman" w:hAnsi="Times New Roman"/>
        </w:rPr>
        <w:t xml:space="preserve"> </w:t>
      </w:r>
      <w:r w:rsidRPr="00E43C6A">
        <w:rPr>
          <w:rFonts w:ascii="Times New Roman" w:hAnsi="Times New Roman"/>
        </w:rPr>
        <w:t>ease and continue to be lifted, BOEM</w:t>
      </w:r>
      <w:r>
        <w:rPr>
          <w:rFonts w:ascii="Times New Roman" w:hAnsi="Times New Roman"/>
        </w:rPr>
        <w:t xml:space="preserve"> </w:t>
      </w:r>
      <w:r w:rsidRPr="00E43C6A">
        <w:rPr>
          <w:rFonts w:ascii="Times New Roman" w:hAnsi="Times New Roman"/>
        </w:rPr>
        <w:t>expects an increase in the number of</w:t>
      </w:r>
      <w:r>
        <w:rPr>
          <w:rFonts w:ascii="Times New Roman" w:hAnsi="Times New Roman"/>
        </w:rPr>
        <w:t xml:space="preserve"> </w:t>
      </w:r>
      <w:r w:rsidRPr="00E43C6A">
        <w:rPr>
          <w:rFonts w:ascii="Times New Roman" w:hAnsi="Times New Roman"/>
        </w:rPr>
        <w:t>respondents annually due to industry</w:t>
      </w:r>
      <w:r>
        <w:rPr>
          <w:rFonts w:ascii="Times New Roman" w:hAnsi="Times New Roman"/>
        </w:rPr>
        <w:t xml:space="preserve"> </w:t>
      </w:r>
      <w:r w:rsidRPr="00E43C6A">
        <w:rPr>
          <w:rFonts w:ascii="Times New Roman" w:hAnsi="Times New Roman"/>
        </w:rPr>
        <w:t>practices developed during the</w:t>
      </w:r>
      <w:r>
        <w:rPr>
          <w:rFonts w:ascii="Times New Roman" w:hAnsi="Times New Roman"/>
        </w:rPr>
        <w:t xml:space="preserve"> </w:t>
      </w:r>
      <w:r w:rsidRPr="00E43C6A">
        <w:rPr>
          <w:rFonts w:ascii="Times New Roman" w:hAnsi="Times New Roman"/>
        </w:rPr>
        <w:t>pandemic as companies resume</w:t>
      </w:r>
      <w:r>
        <w:rPr>
          <w:rFonts w:ascii="Times New Roman" w:hAnsi="Times New Roman"/>
        </w:rPr>
        <w:t xml:space="preserve"> </w:t>
      </w:r>
      <w:r w:rsidRPr="00E43C6A">
        <w:rPr>
          <w:rFonts w:ascii="Times New Roman" w:hAnsi="Times New Roman"/>
        </w:rPr>
        <w:t>production and re-establish oil spill</w:t>
      </w:r>
      <w:r>
        <w:rPr>
          <w:rFonts w:ascii="Times New Roman" w:hAnsi="Times New Roman"/>
        </w:rPr>
        <w:t xml:space="preserve"> </w:t>
      </w:r>
      <w:r w:rsidRPr="00E43C6A">
        <w:rPr>
          <w:rFonts w:ascii="Times New Roman" w:hAnsi="Times New Roman"/>
        </w:rPr>
        <w:t>financial responsibility coverage.</w:t>
      </w:r>
      <w:r>
        <w:rPr>
          <w:rFonts w:ascii="Times New Roman" w:hAnsi="Times New Roman"/>
        </w:rPr>
        <w:t xml:space="preserve"> </w:t>
      </w:r>
      <w:r w:rsidRPr="00E43C6A">
        <w:rPr>
          <w:rFonts w:ascii="Times New Roman" w:hAnsi="Times New Roman"/>
        </w:rPr>
        <w:t xml:space="preserve">Remote work led to changes in </w:t>
      </w:r>
      <w:r>
        <w:rPr>
          <w:rFonts w:ascii="Times New Roman" w:hAnsi="Times New Roman"/>
        </w:rPr>
        <w:t>h</w:t>
      </w:r>
      <w:r w:rsidRPr="00E43C6A">
        <w:rPr>
          <w:rFonts w:ascii="Times New Roman" w:hAnsi="Times New Roman"/>
        </w:rPr>
        <w:t>ow</w:t>
      </w:r>
      <w:r>
        <w:rPr>
          <w:rFonts w:ascii="Times New Roman" w:hAnsi="Times New Roman"/>
        </w:rPr>
        <w:t xml:space="preserve"> </w:t>
      </w:r>
      <w:r w:rsidRPr="00E43C6A">
        <w:rPr>
          <w:rFonts w:ascii="Times New Roman" w:hAnsi="Times New Roman"/>
        </w:rPr>
        <w:t>industry reviews and processes required</w:t>
      </w:r>
      <w:r>
        <w:rPr>
          <w:rFonts w:ascii="Times New Roman" w:hAnsi="Times New Roman"/>
        </w:rPr>
        <w:t xml:space="preserve"> </w:t>
      </w:r>
      <w:r w:rsidRPr="00E43C6A">
        <w:rPr>
          <w:rFonts w:ascii="Times New Roman" w:hAnsi="Times New Roman"/>
        </w:rPr>
        <w:t>documents. Prior to COVID, in-person</w:t>
      </w:r>
      <w:r>
        <w:rPr>
          <w:rFonts w:ascii="Times New Roman" w:hAnsi="Times New Roman"/>
        </w:rPr>
        <w:t xml:space="preserve"> </w:t>
      </w:r>
      <w:r w:rsidRPr="00E43C6A">
        <w:rPr>
          <w:rFonts w:ascii="Times New Roman" w:hAnsi="Times New Roman"/>
        </w:rPr>
        <w:t xml:space="preserve">meetings with a </w:t>
      </w:r>
      <w:r>
        <w:rPr>
          <w:rFonts w:ascii="Times New Roman" w:hAnsi="Times New Roman"/>
        </w:rPr>
        <w:t>g</w:t>
      </w:r>
      <w:r w:rsidRPr="00E43C6A">
        <w:rPr>
          <w:rFonts w:ascii="Times New Roman" w:hAnsi="Times New Roman"/>
        </w:rPr>
        <w:t>roup of reviewers were</w:t>
      </w:r>
      <w:r>
        <w:rPr>
          <w:rFonts w:ascii="Times New Roman" w:hAnsi="Times New Roman"/>
        </w:rPr>
        <w:t xml:space="preserve"> </w:t>
      </w:r>
      <w:r w:rsidRPr="00E43C6A">
        <w:rPr>
          <w:rFonts w:ascii="Times New Roman" w:hAnsi="Times New Roman"/>
        </w:rPr>
        <w:t>held to complete the task quickly and</w:t>
      </w:r>
      <w:r>
        <w:rPr>
          <w:rFonts w:ascii="Times New Roman" w:hAnsi="Times New Roman"/>
        </w:rPr>
        <w:t xml:space="preserve"> </w:t>
      </w:r>
      <w:r w:rsidRPr="00E43C6A">
        <w:rPr>
          <w:rFonts w:ascii="Times New Roman" w:hAnsi="Times New Roman"/>
        </w:rPr>
        <w:t>efficiently. Now with many employees</w:t>
      </w:r>
    </w:p>
    <w:p w:rsidRPr="00E43C6A" w:rsidR="00E43C6A" w:rsidP="00E43C6A" w:rsidRDefault="00E43C6A" w14:paraId="697FF8CD" w14:textId="514BA507">
      <w:pPr>
        <w:widowControl/>
        <w:tabs>
          <w:tab w:val="left" w:pos="-54pt"/>
          <w:tab w:val="left" w:pos="-36pt"/>
          <w:tab w:val="left" w:pos="0pt"/>
          <w:tab w:val="left" w:pos="18pt"/>
          <w:tab w:val="left" w:pos="36pt"/>
          <w:tab w:val="left" w:pos="67.50pt"/>
          <w:tab w:val="left" w:pos="90pt"/>
          <w:tab w:val="left" w:pos="144pt"/>
        </w:tabs>
        <w:rPr>
          <w:rFonts w:ascii="Times New Roman" w:hAnsi="Times New Roman"/>
        </w:rPr>
      </w:pPr>
      <w:r w:rsidRPr="00E43C6A">
        <w:rPr>
          <w:rFonts w:ascii="Times New Roman" w:hAnsi="Times New Roman"/>
        </w:rPr>
        <w:t>working from home, document</w:t>
      </w:r>
      <w:r>
        <w:rPr>
          <w:rFonts w:ascii="Times New Roman" w:hAnsi="Times New Roman"/>
        </w:rPr>
        <w:t xml:space="preserve"> </w:t>
      </w:r>
      <w:r w:rsidRPr="00E43C6A">
        <w:rPr>
          <w:rFonts w:ascii="Times New Roman" w:hAnsi="Times New Roman"/>
        </w:rPr>
        <w:t>preparation, review, and editing are</w:t>
      </w:r>
      <w:r>
        <w:rPr>
          <w:rFonts w:ascii="Times New Roman" w:hAnsi="Times New Roman"/>
        </w:rPr>
        <w:t xml:space="preserve"> </w:t>
      </w:r>
      <w:r w:rsidRPr="00E43C6A">
        <w:rPr>
          <w:rFonts w:ascii="Times New Roman" w:hAnsi="Times New Roman"/>
        </w:rPr>
        <w:t>taking longer as the documents move</w:t>
      </w:r>
      <w:r>
        <w:rPr>
          <w:rFonts w:ascii="Times New Roman" w:hAnsi="Times New Roman"/>
        </w:rPr>
        <w:t xml:space="preserve"> </w:t>
      </w:r>
      <w:r w:rsidRPr="00E43C6A">
        <w:rPr>
          <w:rFonts w:ascii="Times New Roman" w:hAnsi="Times New Roman"/>
        </w:rPr>
        <w:t>through several individual reviewers.</w:t>
      </w:r>
      <w:r>
        <w:rPr>
          <w:rFonts w:ascii="Times New Roman" w:hAnsi="Times New Roman"/>
        </w:rPr>
        <w:t xml:space="preserve"> </w:t>
      </w:r>
      <w:r w:rsidRPr="00E43C6A">
        <w:rPr>
          <w:rFonts w:ascii="Times New Roman" w:hAnsi="Times New Roman"/>
        </w:rPr>
        <w:t>Companies have provided this feedback</w:t>
      </w:r>
      <w:r>
        <w:rPr>
          <w:rFonts w:ascii="Times New Roman" w:hAnsi="Times New Roman"/>
        </w:rPr>
        <w:t xml:space="preserve"> </w:t>
      </w:r>
      <w:r w:rsidRPr="00E43C6A">
        <w:rPr>
          <w:rFonts w:ascii="Times New Roman" w:hAnsi="Times New Roman"/>
        </w:rPr>
        <w:t>through our</w:t>
      </w:r>
      <w:r>
        <w:rPr>
          <w:rFonts w:ascii="Times New Roman" w:hAnsi="Times New Roman"/>
        </w:rPr>
        <w:t xml:space="preserve"> </w:t>
      </w:r>
      <w:r w:rsidRPr="00E43C6A">
        <w:rPr>
          <w:rFonts w:ascii="Times New Roman" w:hAnsi="Times New Roman"/>
        </w:rPr>
        <w:t>outreach efforts. Therefore,</w:t>
      </w:r>
      <w:r>
        <w:rPr>
          <w:rFonts w:ascii="Times New Roman" w:hAnsi="Times New Roman"/>
        </w:rPr>
        <w:t xml:space="preserve"> </w:t>
      </w:r>
      <w:r w:rsidRPr="00E43C6A">
        <w:rPr>
          <w:rFonts w:ascii="Times New Roman" w:hAnsi="Times New Roman"/>
        </w:rPr>
        <w:t>BOEM is increasing hour burdens to</w:t>
      </w:r>
      <w:r>
        <w:rPr>
          <w:rFonts w:ascii="Times New Roman" w:hAnsi="Times New Roman"/>
        </w:rPr>
        <w:t xml:space="preserve"> </w:t>
      </w:r>
      <w:r w:rsidRPr="00E43C6A">
        <w:rPr>
          <w:rFonts w:ascii="Times New Roman" w:hAnsi="Times New Roman"/>
        </w:rPr>
        <w:t>account for the additional review and</w:t>
      </w:r>
    </w:p>
    <w:p w:rsidRPr="00E43C6A" w:rsidR="00E43C6A" w:rsidP="00E43C6A" w:rsidRDefault="00E43C6A" w14:paraId="4BB37667" w14:textId="3AB0A1C0">
      <w:pPr>
        <w:widowControl/>
        <w:tabs>
          <w:tab w:val="left" w:pos="-54pt"/>
          <w:tab w:val="left" w:pos="-36pt"/>
          <w:tab w:val="left" w:pos="0pt"/>
          <w:tab w:val="left" w:pos="18pt"/>
          <w:tab w:val="left" w:pos="36pt"/>
          <w:tab w:val="left" w:pos="67.50pt"/>
          <w:tab w:val="left" w:pos="90pt"/>
          <w:tab w:val="left" w:pos="144pt"/>
        </w:tabs>
        <w:rPr>
          <w:rFonts w:ascii="Times New Roman" w:hAnsi="Times New Roman"/>
        </w:rPr>
      </w:pPr>
      <w:r w:rsidRPr="00E43C6A">
        <w:rPr>
          <w:rFonts w:ascii="Times New Roman" w:hAnsi="Times New Roman"/>
        </w:rPr>
        <w:t>editing time. This increase in</w:t>
      </w:r>
      <w:r>
        <w:rPr>
          <w:rFonts w:ascii="Times New Roman" w:hAnsi="Times New Roman"/>
        </w:rPr>
        <w:t xml:space="preserve"> </w:t>
      </w:r>
      <w:r w:rsidRPr="00E43C6A">
        <w:rPr>
          <w:rFonts w:ascii="Times New Roman" w:hAnsi="Times New Roman"/>
        </w:rPr>
        <w:t>respondents and burden hours may be</w:t>
      </w:r>
      <w:r>
        <w:rPr>
          <w:rFonts w:ascii="Times New Roman" w:hAnsi="Times New Roman"/>
        </w:rPr>
        <w:t xml:space="preserve"> </w:t>
      </w:r>
      <w:r w:rsidRPr="00E43C6A">
        <w:rPr>
          <w:rFonts w:ascii="Times New Roman" w:hAnsi="Times New Roman"/>
        </w:rPr>
        <w:t>temporary and will be revisited by</w:t>
      </w:r>
    </w:p>
    <w:p w:rsidR="00B75AD6" w:rsidP="00E43C6A" w:rsidRDefault="00E43C6A" w14:paraId="562ACAC5" w14:textId="407069A6">
      <w:pPr>
        <w:widowControl/>
        <w:tabs>
          <w:tab w:val="left" w:pos="-54pt"/>
          <w:tab w:val="left" w:pos="-36pt"/>
          <w:tab w:val="left" w:pos="0pt"/>
          <w:tab w:val="left" w:pos="18pt"/>
          <w:tab w:val="left" w:pos="36pt"/>
          <w:tab w:val="left" w:pos="67.50pt"/>
          <w:tab w:val="left" w:pos="90pt"/>
          <w:tab w:val="left" w:pos="144pt"/>
        </w:tabs>
        <w:rPr>
          <w:rFonts w:ascii="Times New Roman" w:hAnsi="Times New Roman"/>
        </w:rPr>
      </w:pPr>
      <w:r w:rsidRPr="00E43C6A">
        <w:rPr>
          <w:rFonts w:ascii="Times New Roman" w:hAnsi="Times New Roman"/>
        </w:rPr>
        <w:t>BOEM during future reviews of U.S.</w:t>
      </w:r>
      <w:r>
        <w:rPr>
          <w:rFonts w:ascii="Times New Roman" w:hAnsi="Times New Roman"/>
        </w:rPr>
        <w:t xml:space="preserve"> </w:t>
      </w:r>
      <w:r w:rsidRPr="00E43C6A">
        <w:rPr>
          <w:rFonts w:ascii="Times New Roman" w:hAnsi="Times New Roman"/>
        </w:rPr>
        <w:t>OCS supply and demand patterns.</w:t>
      </w:r>
      <w:r>
        <w:rPr>
          <w:rFonts w:ascii="Times New Roman" w:hAnsi="Times New Roman"/>
        </w:rPr>
        <w:t xml:space="preserve">  </w:t>
      </w:r>
    </w:p>
    <w:p w:rsidR="00E43C6A" w:rsidP="00E43C6A" w:rsidRDefault="00E43C6A" w14:paraId="3DFE5582" w14:textId="77777777">
      <w:pPr>
        <w:widowControl/>
        <w:tabs>
          <w:tab w:val="left" w:pos="-54pt"/>
          <w:tab w:val="left" w:pos="-36pt"/>
          <w:tab w:val="left" w:pos="0pt"/>
          <w:tab w:val="left" w:pos="18pt"/>
          <w:tab w:val="left" w:pos="36pt"/>
          <w:tab w:val="left" w:pos="67.50pt"/>
          <w:tab w:val="left" w:pos="90pt"/>
          <w:tab w:val="left" w:pos="144pt"/>
        </w:tabs>
        <w:rPr>
          <w:rFonts w:ascii="Times New Roman" w:hAnsi="Times New Roman"/>
        </w:rPr>
      </w:pPr>
    </w:p>
    <w:p w:rsidRPr="00E51DA0" w:rsidR="00E51DA0" w:rsidP="00E51DA0" w:rsidRDefault="00906BDE" w14:paraId="42B1D902"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rPr>
          <w:rFonts w:ascii="Times New Roman" w:hAnsi="Times New Roman"/>
          <w:b/>
          <w:i/>
          <w:snapToGrid/>
          <w:szCs w:val="24"/>
        </w:rPr>
      </w:pPr>
      <w:r w:rsidRPr="00600EEB">
        <w:rPr>
          <w:rFonts w:ascii="Times New Roman" w:hAnsi="Times New Roman"/>
          <w:b/>
          <w:i/>
        </w:rPr>
        <w:t>16.</w:t>
      </w:r>
      <w:r w:rsidRPr="00600EEB">
        <w:rPr>
          <w:rFonts w:ascii="Times New Roman" w:hAnsi="Times New Roman"/>
          <w:b/>
          <w:i/>
        </w:rPr>
        <w:tab/>
      </w:r>
      <w:r w:rsidRPr="00E51DA0" w:rsidR="00E51DA0">
        <w:rPr>
          <w:rFonts w:ascii="Times New Roman" w:hAnsi="Times New Roman"/>
          <w:b/>
          <w:i/>
          <w:snapToGrid/>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6BDE" w:rsidP="00906BDE" w:rsidRDefault="00906BDE" w14:paraId="3BDEFBB7" w14:textId="77777777">
      <w:pPr>
        <w:widowControl/>
        <w:tabs>
          <w:tab w:val="left" w:pos="-54pt"/>
          <w:tab w:val="left" w:pos="-36pt"/>
          <w:tab w:val="left" w:pos="18pt"/>
          <w:tab w:val="left" w:pos="40.50pt"/>
        </w:tabs>
        <w:rPr>
          <w:rFonts w:ascii="Times New Roman" w:hAnsi="Times New Roman"/>
        </w:rPr>
      </w:pPr>
    </w:p>
    <w:p w:rsidR="00906BDE" w:rsidP="00906BDE" w:rsidRDefault="005F7398" w14:paraId="746B7B16" w14:textId="77777777">
      <w:pPr>
        <w:widowControl/>
        <w:tabs>
          <w:tab w:val="left" w:pos="-54pt"/>
          <w:tab w:val="left" w:pos="-36pt"/>
          <w:tab w:val="left" w:pos="18pt"/>
          <w:tab w:val="left" w:pos="40.50pt"/>
        </w:tabs>
        <w:rPr>
          <w:rFonts w:ascii="Times New Roman" w:hAnsi="Times New Roman"/>
        </w:rPr>
      </w:pPr>
      <w:r>
        <w:rPr>
          <w:rFonts w:ascii="Times New Roman" w:hAnsi="Times New Roman"/>
        </w:rPr>
        <w:t xml:space="preserve">The </w:t>
      </w:r>
      <w:r w:rsidR="004C34F3">
        <w:rPr>
          <w:rFonts w:ascii="Times New Roman" w:hAnsi="Times New Roman"/>
        </w:rPr>
        <w:t>BOEM</w:t>
      </w:r>
      <w:r w:rsidR="00906BDE">
        <w:rPr>
          <w:rFonts w:ascii="Times New Roman" w:hAnsi="Times New Roman"/>
        </w:rPr>
        <w:t xml:space="preserve"> will not</w:t>
      </w:r>
      <w:r w:rsidR="00F27205">
        <w:rPr>
          <w:rFonts w:ascii="Times New Roman" w:hAnsi="Times New Roman"/>
        </w:rPr>
        <w:t xml:space="preserve"> tabulat</w:t>
      </w:r>
      <w:r w:rsidR="00F5575A">
        <w:rPr>
          <w:rFonts w:ascii="Times New Roman" w:hAnsi="Times New Roman"/>
        </w:rPr>
        <w:t>e</w:t>
      </w:r>
      <w:r w:rsidR="00F27205">
        <w:rPr>
          <w:rFonts w:ascii="Times New Roman" w:hAnsi="Times New Roman"/>
        </w:rPr>
        <w:t xml:space="preserve"> or</w:t>
      </w:r>
      <w:r w:rsidR="00906BDE">
        <w:rPr>
          <w:rFonts w:ascii="Times New Roman" w:hAnsi="Times New Roman"/>
        </w:rPr>
        <w:t xml:space="preserve"> publish the data.</w:t>
      </w:r>
    </w:p>
    <w:p w:rsidR="00906BDE" w:rsidRDefault="00906BDE" w14:paraId="5A5DF280" w14:textId="77777777">
      <w:pPr>
        <w:widowControl/>
        <w:tabs>
          <w:tab w:val="left" w:pos="18pt"/>
          <w:tab w:val="left" w:pos="36pt"/>
          <w:tab w:val="left" w:pos="54pt"/>
        </w:tabs>
        <w:rPr>
          <w:rFonts w:ascii="Times New Roman" w:hAnsi="Times New Roman"/>
          <w:b/>
        </w:rPr>
      </w:pPr>
    </w:p>
    <w:p w:rsidR="00906BDE" w:rsidP="00906BDE" w:rsidRDefault="00906BDE" w14:paraId="612D0DE9" w14:textId="77777777">
      <w:pPr>
        <w:widowControl/>
        <w:tabs>
          <w:tab w:val="left" w:pos="-54pt"/>
          <w:tab w:val="left" w:pos="-36pt"/>
          <w:tab w:val="left" w:pos="18pt"/>
          <w:tab w:val="left" w:pos="40.50pt"/>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906BDE" w:rsidP="00906BDE" w:rsidRDefault="00906BDE" w14:paraId="187B95B0" w14:textId="77777777">
      <w:pPr>
        <w:widowControl/>
        <w:tabs>
          <w:tab w:val="left" w:pos="-54pt"/>
          <w:tab w:val="left" w:pos="-36pt"/>
          <w:tab w:val="left" w:pos="18pt"/>
          <w:tab w:val="left" w:pos="40.50pt"/>
        </w:tabs>
        <w:rPr>
          <w:rFonts w:ascii="Times New Roman" w:hAnsi="Times New Roman"/>
        </w:rPr>
      </w:pPr>
    </w:p>
    <w:p w:rsidR="00B75AD6" w:rsidRDefault="005F7398" w14:paraId="582A45F2" w14:textId="77777777">
      <w:pPr>
        <w:widowControl/>
        <w:tabs>
          <w:tab w:val="left" w:pos="18pt"/>
          <w:tab w:val="left" w:pos="36pt"/>
          <w:tab w:val="left" w:pos="54pt"/>
        </w:tabs>
        <w:rPr>
          <w:rFonts w:ascii="Times New Roman" w:hAnsi="Times New Roman"/>
          <w:b/>
        </w:rPr>
      </w:pPr>
      <w:r>
        <w:rPr>
          <w:rFonts w:ascii="Times New Roman" w:hAnsi="Times New Roman"/>
        </w:rPr>
        <w:t xml:space="preserve">The </w:t>
      </w:r>
      <w:r w:rsidR="004C34F3">
        <w:rPr>
          <w:rFonts w:ascii="Times New Roman" w:hAnsi="Times New Roman"/>
        </w:rPr>
        <w:t>BOEM</w:t>
      </w:r>
      <w:r w:rsidR="00906BDE">
        <w:rPr>
          <w:rFonts w:ascii="Times New Roman" w:hAnsi="Times New Roman"/>
        </w:rPr>
        <w:t xml:space="preserve"> will display the OMB approval </w:t>
      </w:r>
      <w:r w:rsidR="00F27205">
        <w:rPr>
          <w:rFonts w:ascii="Times New Roman" w:hAnsi="Times New Roman"/>
        </w:rPr>
        <w:t xml:space="preserve">number and OMB </w:t>
      </w:r>
      <w:r w:rsidR="00906BDE">
        <w:rPr>
          <w:rFonts w:ascii="Times New Roman" w:hAnsi="Times New Roman"/>
        </w:rPr>
        <w:t xml:space="preserve">expiration date on </w:t>
      </w:r>
      <w:r w:rsidR="00F27205">
        <w:rPr>
          <w:rFonts w:ascii="Times New Roman" w:hAnsi="Times New Roman"/>
        </w:rPr>
        <w:t>all forms</w:t>
      </w:r>
      <w:r w:rsidR="0052678B">
        <w:rPr>
          <w:rFonts w:ascii="Times New Roman" w:hAnsi="Times New Roman"/>
        </w:rPr>
        <w:t xml:space="preserve"> related to this OMB control number</w:t>
      </w:r>
      <w:r w:rsidR="00F27205">
        <w:rPr>
          <w:rFonts w:ascii="Times New Roman" w:hAnsi="Times New Roman"/>
        </w:rPr>
        <w:t xml:space="preserve">.  </w:t>
      </w:r>
      <w:r w:rsidR="00906BDE">
        <w:rPr>
          <w:rFonts w:ascii="Times New Roman" w:hAnsi="Times New Roman"/>
        </w:rPr>
        <w:t>The remainder of this collection concerns regulatory requirements</w:t>
      </w:r>
      <w:r w:rsidR="00F27205">
        <w:rPr>
          <w:rFonts w:ascii="Times New Roman" w:hAnsi="Times New Roman"/>
        </w:rPr>
        <w:t>.</w:t>
      </w:r>
      <w:r w:rsidR="00B75AD6">
        <w:rPr>
          <w:rFonts w:ascii="Times New Roman" w:hAnsi="Times New Roman"/>
          <w:b/>
        </w:rPr>
        <w:tab/>
      </w:r>
    </w:p>
    <w:p w:rsidRPr="00777512" w:rsidR="005F7398" w:rsidRDefault="005F7398" w14:paraId="68CA39EA" w14:textId="77777777">
      <w:pPr>
        <w:widowControl/>
        <w:tabs>
          <w:tab w:val="left" w:pos="18pt"/>
          <w:tab w:val="left" w:pos="36pt"/>
          <w:tab w:val="left" w:pos="54pt"/>
        </w:tabs>
        <w:rPr>
          <w:rFonts w:ascii="Times New Roman" w:hAnsi="Times New Roman"/>
          <w:b/>
        </w:rPr>
      </w:pPr>
    </w:p>
    <w:p w:rsidRPr="00704809" w:rsidR="00704809" w:rsidP="00704809" w:rsidRDefault="00906BDE" w14:paraId="311CC084" w14:textId="77777777">
      <w:pPr>
        <w:tabs>
          <w:tab w:val="left" w:pos="-54pt"/>
          <w:tab w:val="left" w:pos="-36pt"/>
          <w:tab w:val="left" w:pos="0pt"/>
          <w:tab w:val="left" w:pos="18pt"/>
          <w:tab w:val="left" w:pos="36pt"/>
          <w:tab w:val="left" w:pos="54pt"/>
          <w:tab w:val="left" w:pos="72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 w:val="left" w:pos="756pt"/>
          <w:tab w:val="left" w:pos="792pt"/>
          <w:tab w:val="left" w:pos="828pt"/>
          <w:tab w:val="left" w:pos="864pt"/>
          <w:tab w:val="left" w:pos="900pt"/>
          <w:tab w:val="left" w:pos="936pt"/>
        </w:tabs>
        <w:rPr>
          <w:rFonts w:ascii="Times New Roman" w:hAnsi="Times New Roman"/>
          <w:b/>
          <w:i/>
          <w:snapToGrid/>
          <w:szCs w:val="24"/>
        </w:rPr>
      </w:pPr>
      <w:r w:rsidRPr="00704809">
        <w:rPr>
          <w:rFonts w:ascii="Times New Roman" w:hAnsi="Times New Roman"/>
          <w:b/>
          <w:i/>
        </w:rPr>
        <w:t>18.</w:t>
      </w:r>
      <w:r w:rsidRPr="00704809">
        <w:rPr>
          <w:rFonts w:ascii="Times New Roman" w:hAnsi="Times New Roman"/>
          <w:b/>
          <w:i/>
        </w:rPr>
        <w:tab/>
      </w:r>
      <w:r w:rsidRPr="00704809" w:rsidR="00704809">
        <w:rPr>
          <w:rFonts w:ascii="Times New Roman" w:hAnsi="Times New Roman"/>
          <w:b/>
          <w:i/>
        </w:rPr>
        <w:t>E</w:t>
      </w:r>
      <w:r w:rsidRPr="00704809" w:rsidR="00704809">
        <w:rPr>
          <w:rFonts w:ascii="Times New Roman" w:hAnsi="Times New Roman"/>
          <w:b/>
          <w:i/>
          <w:snapToGrid/>
          <w:szCs w:val="24"/>
        </w:rPr>
        <w:t>xplain each exception to the topics of the certification statement identified in "Certification for Paperwork Reduction Act Submissions."</w:t>
      </w:r>
    </w:p>
    <w:p w:rsidR="00906BDE" w:rsidP="00906BDE" w:rsidRDefault="00906BDE" w14:paraId="3712611E" w14:textId="77777777">
      <w:pPr>
        <w:widowControl/>
        <w:tabs>
          <w:tab w:val="left" w:pos="-54pt"/>
          <w:tab w:val="left" w:pos="-36pt"/>
          <w:tab w:val="left" w:pos="18pt"/>
          <w:tab w:val="left" w:pos="40.50pt"/>
        </w:tabs>
        <w:rPr>
          <w:rFonts w:ascii="Times New Roman" w:hAnsi="Times New Roman"/>
        </w:rPr>
      </w:pPr>
    </w:p>
    <w:p w:rsidR="00906BDE" w:rsidP="00610AFA" w:rsidRDefault="00906BDE" w14:paraId="57249B95" w14:textId="77777777">
      <w:pPr>
        <w:widowControl/>
        <w:tabs>
          <w:tab w:val="left" w:pos="-54pt"/>
          <w:tab w:val="left" w:pos="-36pt"/>
          <w:tab w:val="left" w:pos="18pt"/>
          <w:tab w:val="left" w:pos="40.50pt"/>
        </w:tabs>
      </w:pPr>
      <w:r>
        <w:rPr>
          <w:rFonts w:ascii="Times New Roman" w:hAnsi="Times New Roman"/>
        </w:rPr>
        <w:t>To the extent that the topics apply to this collection of information, we are not making any exceptions to the “Certification for Paperwork Reduction Act Submissions.”</w:t>
      </w:r>
      <w:r w:rsidR="00B75AD6">
        <w:rPr>
          <w:rFonts w:ascii="Times New Roman" w:hAnsi="Times New Roman"/>
          <w:b/>
        </w:rPr>
        <w:tab/>
      </w:r>
    </w:p>
    <w:sectPr w:rsidR="00906BDE" w:rsidSect="008673D1">
      <w:footerReference w:type="even" r:id="rId10"/>
      <w:footerReference w:type="default" r:id="rId11"/>
      <w:endnotePr>
        <w:numFmt w:val="decimal"/>
      </w:endnotePr>
      <w:pgSz w:w="612pt" w:h="792pt"/>
      <w:pgMar w:top="50.40pt" w:right="54pt" w:bottom="50.40pt" w:left="54pt" w:header="59.75pt" w:footer="28.80pt" w:gutter="0pt"/>
      <w:cols w:space="36pt"/>
      <w:noEndnote/>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rsidR="001E0D73" w:rsidRDefault="001E0D73" w14:paraId="2344B8DE" w14:textId="77777777">
      <w:r>
        <w:separator/>
      </w:r>
    </w:p>
  </w:endnote>
  <w:endnote w:type="continuationSeparator" w:id="0">
    <w:p w:rsidR="001E0D73" w:rsidRDefault="001E0D73" w14:paraId="025B6D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OlSt BT">
    <w:altName w:val="Georgia"/>
    <w:charset w:characterSet="iso-8859-1"/>
    <w:family w:val="roman"/>
    <w:pitch w:val="variable"/>
    <w:sig w:usb0="00000087" w:usb1="00000000" w:usb2="00000000" w:usb3="00000000" w:csb0="0000001B"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w:altName w:val="Courier New"/>
    <w:panose1 w:val="02070409020205020404"/>
    <w:charset w:characterSet="iso-8859-1"/>
    <w:family w:val="modern"/>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rsidR="00672C75" w:rsidRDefault="00672C75" w14:paraId="4FF39477" w14:textId="77777777">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end"/>
    </w:r>
  </w:p>
  <w:p w:rsidR="00672C75" w:rsidRDefault="00672C75" w14:paraId="4E9372C5" w14:textId="7777777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rsidR="00672C75" w:rsidRDefault="00672C75" w14:paraId="5EE28871" w14:textId="77777777">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separate"/>
    </w:r>
    <w:r w:rsidR="009A583E">
      <w:rPr>
        <w:rStyle w:val="PageNumber"/>
        <w:noProof/>
      </w:rPr>
      <w:t>2</w:t>
    </w:r>
    <w:r>
      <w:rPr>
        <w:rStyle w:val="PageNumber"/>
      </w:rPr>
      <w:fldChar w:fldCharType="end"/>
    </w:r>
  </w:p>
  <w:p w:rsidR="00672C75" w:rsidRDefault="00672C75" w14:paraId="33994A24" w14:textId="77777777">
    <w:pPr>
      <w:spacing w:line="12pt" w:lineRule="exact"/>
    </w:pPr>
  </w:p>
  <w:p w:rsidR="00672C75" w:rsidRDefault="00672C75" w14:paraId="1ABE20EB" w14:textId="77777777"/>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rsidR="001E0D73" w:rsidRDefault="001E0D73" w14:paraId="19F64B8F" w14:textId="77777777">
      <w:r>
        <w:separator/>
      </w:r>
    </w:p>
  </w:footnote>
  <w:footnote w:type="continuationSeparator" w:id="0">
    <w:p w:rsidR="001E0D73" w:rsidRDefault="001E0D73" w14:paraId="38C3923F" w14:textId="7777777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1"/>
    <w:multiLevelType w:val="singleLevel"/>
    <w:tmpl w:val="00000000"/>
    <w:lvl w:ilvl="0">
      <w:start w:val="1"/>
      <w:numFmt w:val="upperLetter"/>
      <w:pStyle w:val="QuickA"/>
      <w:lvlText w:val="%1."/>
      <w:lvlJc w:val="start"/>
      <w:pPr>
        <w:tabs>
          <w:tab w:val="num" w:pos="18pt"/>
        </w:tabs>
      </w:pPr>
      <w:rPr>
        <w:rFonts w:ascii="GoudyOlSt BT" w:hAnsi="GoudyOlSt BT"/>
        <w:b/>
        <w:sz w:val="24"/>
      </w:rPr>
    </w:lvl>
  </w:abstractNum>
  <w:abstractNum w:abstractNumId="1" w15:restartNumberingAfterBreak="0">
    <w:nsid w:val="0AF80A8A"/>
    <w:multiLevelType w:val="hybridMultilevel"/>
    <w:tmpl w:val="54DAB762"/>
    <w:lvl w:ilvl="0" w:tplc="04090001">
      <w:numFmt w:val="bullet"/>
      <w:lvlText w:val=""/>
      <w:lvlJc w:val="start"/>
      <w:pPr>
        <w:ind w:start="36pt" w:hanging="18pt"/>
      </w:pPr>
      <w:rPr>
        <w:rFonts w:hint="default" w:ascii="Symbol" w:hAnsi="Symbol" w:eastAsia="Times New Roman" w:cs="Times New Roman"/>
      </w:rPr>
    </w:lvl>
    <w:lvl w:ilvl="1" w:tplc="04090003" w:tentative="1">
      <w:start w:val="1"/>
      <w:numFmt w:val="bullet"/>
      <w:lvlText w:val="o"/>
      <w:lvlJc w:val="start"/>
      <w:pPr>
        <w:ind w:start="72pt" w:hanging="18pt"/>
      </w:pPr>
      <w:rPr>
        <w:rFonts w:hint="default" w:ascii="Courier New" w:hAnsi="Courier New" w:cs="Courier New"/>
      </w:rPr>
    </w:lvl>
    <w:lvl w:ilvl="2" w:tplc="04090005" w:tentative="1">
      <w:start w:val="1"/>
      <w:numFmt w:val="bullet"/>
      <w:lvlText w:val=""/>
      <w:lvlJc w:val="start"/>
      <w:pPr>
        <w:ind w:start="108pt" w:hanging="18pt"/>
      </w:pPr>
      <w:rPr>
        <w:rFonts w:hint="default" w:ascii="Wingdings" w:hAnsi="Wingdings"/>
      </w:rPr>
    </w:lvl>
    <w:lvl w:ilvl="3" w:tplc="04090001" w:tentative="1">
      <w:start w:val="1"/>
      <w:numFmt w:val="bullet"/>
      <w:lvlText w:val=""/>
      <w:lvlJc w:val="start"/>
      <w:pPr>
        <w:ind w:start="144pt" w:hanging="18pt"/>
      </w:pPr>
      <w:rPr>
        <w:rFonts w:hint="default" w:ascii="Symbol" w:hAnsi="Symbol"/>
      </w:rPr>
    </w:lvl>
    <w:lvl w:ilvl="4" w:tplc="04090003" w:tentative="1">
      <w:start w:val="1"/>
      <w:numFmt w:val="bullet"/>
      <w:lvlText w:val="o"/>
      <w:lvlJc w:val="start"/>
      <w:pPr>
        <w:ind w:start="180pt" w:hanging="18pt"/>
      </w:pPr>
      <w:rPr>
        <w:rFonts w:hint="default" w:ascii="Courier New" w:hAnsi="Courier New" w:cs="Courier New"/>
      </w:rPr>
    </w:lvl>
    <w:lvl w:ilvl="5" w:tplc="04090005" w:tentative="1">
      <w:start w:val="1"/>
      <w:numFmt w:val="bullet"/>
      <w:lvlText w:val=""/>
      <w:lvlJc w:val="start"/>
      <w:pPr>
        <w:ind w:start="216pt" w:hanging="18pt"/>
      </w:pPr>
      <w:rPr>
        <w:rFonts w:hint="default" w:ascii="Wingdings" w:hAnsi="Wingdings"/>
      </w:rPr>
    </w:lvl>
    <w:lvl w:ilvl="6" w:tplc="04090001" w:tentative="1">
      <w:start w:val="1"/>
      <w:numFmt w:val="bullet"/>
      <w:lvlText w:val=""/>
      <w:lvlJc w:val="start"/>
      <w:pPr>
        <w:ind w:start="252pt" w:hanging="18pt"/>
      </w:pPr>
      <w:rPr>
        <w:rFonts w:hint="default" w:ascii="Symbol" w:hAnsi="Symbol"/>
      </w:rPr>
    </w:lvl>
    <w:lvl w:ilvl="7" w:tplc="04090003" w:tentative="1">
      <w:start w:val="1"/>
      <w:numFmt w:val="bullet"/>
      <w:lvlText w:val="o"/>
      <w:lvlJc w:val="start"/>
      <w:pPr>
        <w:ind w:start="288pt" w:hanging="18pt"/>
      </w:pPr>
      <w:rPr>
        <w:rFonts w:hint="default" w:ascii="Courier New" w:hAnsi="Courier New" w:cs="Courier New"/>
      </w:rPr>
    </w:lvl>
    <w:lvl w:ilvl="8" w:tplc="04090005" w:tentative="1">
      <w:start w:val="1"/>
      <w:numFmt w:val="bullet"/>
      <w:lvlText w:val=""/>
      <w:lvlJc w:val="start"/>
      <w:pPr>
        <w:ind w:start="324pt" w:hanging="18pt"/>
      </w:pPr>
      <w:rPr>
        <w:rFonts w:hint="default" w:ascii="Wingdings" w:hAnsi="Wingdings"/>
      </w:rPr>
    </w:lvl>
  </w:abstractNum>
  <w:abstractNum w:abstractNumId="2" w15:restartNumberingAfterBreak="0">
    <w:nsid w:val="0FB8299E"/>
    <w:multiLevelType w:val="hybridMultilevel"/>
    <w:tmpl w:val="83001EAA"/>
    <w:lvl w:ilvl="0" w:tplc="5E7C4256">
      <w:start w:val="1"/>
      <w:numFmt w:val="bullet"/>
      <w:lvlText w:val=""/>
      <w:lvlJc w:val="start"/>
      <w:pPr>
        <w:tabs>
          <w:tab w:val="num" w:pos="50.40pt"/>
        </w:tabs>
        <w:ind w:start="50.40pt" w:hanging="14.40pt"/>
      </w:pPr>
      <w:rPr>
        <w:rFonts w:hint="default" w:ascii="Symbol" w:hAnsi="Symbol"/>
        <w:sz w:val="20"/>
        <w:szCs w:val="20"/>
      </w:rPr>
    </w:lvl>
    <w:lvl w:ilvl="1" w:tplc="04090003" w:tentative="1">
      <w:start w:val="1"/>
      <w:numFmt w:val="bullet"/>
      <w:lvlText w:val="o"/>
      <w:lvlJc w:val="start"/>
      <w:pPr>
        <w:tabs>
          <w:tab w:val="num" w:pos="90pt"/>
        </w:tabs>
        <w:ind w:start="90pt" w:hanging="18pt"/>
      </w:pPr>
      <w:rPr>
        <w:rFonts w:hint="default" w:ascii="Courier New" w:hAnsi="Courier New" w:cs="Courier New"/>
      </w:rPr>
    </w:lvl>
    <w:lvl w:ilvl="2" w:tplc="04090005" w:tentative="1">
      <w:start w:val="1"/>
      <w:numFmt w:val="bullet"/>
      <w:lvlText w:val=""/>
      <w:lvlJc w:val="start"/>
      <w:pPr>
        <w:tabs>
          <w:tab w:val="num" w:pos="126pt"/>
        </w:tabs>
        <w:ind w:start="126pt" w:hanging="18pt"/>
      </w:pPr>
      <w:rPr>
        <w:rFonts w:hint="default" w:ascii="Wingdings" w:hAnsi="Wingdings"/>
      </w:rPr>
    </w:lvl>
    <w:lvl w:ilvl="3" w:tplc="04090001" w:tentative="1">
      <w:start w:val="1"/>
      <w:numFmt w:val="bullet"/>
      <w:lvlText w:val=""/>
      <w:lvlJc w:val="start"/>
      <w:pPr>
        <w:tabs>
          <w:tab w:val="num" w:pos="162pt"/>
        </w:tabs>
        <w:ind w:start="162pt" w:hanging="18pt"/>
      </w:pPr>
      <w:rPr>
        <w:rFonts w:hint="default" w:ascii="Symbol" w:hAnsi="Symbol"/>
      </w:rPr>
    </w:lvl>
    <w:lvl w:ilvl="4" w:tplc="04090003" w:tentative="1">
      <w:start w:val="1"/>
      <w:numFmt w:val="bullet"/>
      <w:lvlText w:val="o"/>
      <w:lvlJc w:val="start"/>
      <w:pPr>
        <w:tabs>
          <w:tab w:val="num" w:pos="198pt"/>
        </w:tabs>
        <w:ind w:start="198pt" w:hanging="18pt"/>
      </w:pPr>
      <w:rPr>
        <w:rFonts w:hint="default" w:ascii="Courier New" w:hAnsi="Courier New" w:cs="Courier New"/>
      </w:rPr>
    </w:lvl>
    <w:lvl w:ilvl="5" w:tplc="04090005" w:tentative="1">
      <w:start w:val="1"/>
      <w:numFmt w:val="bullet"/>
      <w:lvlText w:val=""/>
      <w:lvlJc w:val="start"/>
      <w:pPr>
        <w:tabs>
          <w:tab w:val="num" w:pos="234pt"/>
        </w:tabs>
        <w:ind w:start="234pt" w:hanging="18pt"/>
      </w:pPr>
      <w:rPr>
        <w:rFonts w:hint="default" w:ascii="Wingdings" w:hAnsi="Wingdings"/>
      </w:rPr>
    </w:lvl>
    <w:lvl w:ilvl="6" w:tplc="04090001" w:tentative="1">
      <w:start w:val="1"/>
      <w:numFmt w:val="bullet"/>
      <w:lvlText w:val=""/>
      <w:lvlJc w:val="start"/>
      <w:pPr>
        <w:tabs>
          <w:tab w:val="num" w:pos="270pt"/>
        </w:tabs>
        <w:ind w:start="270pt" w:hanging="18pt"/>
      </w:pPr>
      <w:rPr>
        <w:rFonts w:hint="default" w:ascii="Symbol" w:hAnsi="Symbol"/>
      </w:rPr>
    </w:lvl>
    <w:lvl w:ilvl="7" w:tplc="04090003" w:tentative="1">
      <w:start w:val="1"/>
      <w:numFmt w:val="bullet"/>
      <w:lvlText w:val="o"/>
      <w:lvlJc w:val="start"/>
      <w:pPr>
        <w:tabs>
          <w:tab w:val="num" w:pos="306pt"/>
        </w:tabs>
        <w:ind w:start="306pt" w:hanging="18pt"/>
      </w:pPr>
      <w:rPr>
        <w:rFonts w:hint="default" w:ascii="Courier New" w:hAnsi="Courier New" w:cs="Courier New"/>
      </w:rPr>
    </w:lvl>
    <w:lvl w:ilvl="8" w:tplc="04090005" w:tentative="1">
      <w:start w:val="1"/>
      <w:numFmt w:val="bullet"/>
      <w:lvlText w:val=""/>
      <w:lvlJc w:val="start"/>
      <w:pPr>
        <w:tabs>
          <w:tab w:val="num" w:pos="342pt"/>
        </w:tabs>
        <w:ind w:start="342pt" w:hanging="18pt"/>
      </w:pPr>
      <w:rPr>
        <w:rFonts w:hint="default" w:ascii="Wingdings" w:hAnsi="Wingdings"/>
      </w:rPr>
    </w:lvl>
  </w:abstractNum>
  <w:abstractNum w:abstractNumId="3" w15:restartNumberingAfterBreak="0">
    <w:nsid w:val="3B020718"/>
    <w:multiLevelType w:val="hybridMultilevel"/>
    <w:tmpl w:val="A7A4EEB6"/>
    <w:lvl w:ilvl="0" w:tplc="C3D8E3AA">
      <w:start w:val="8"/>
      <w:numFmt w:val="decimal"/>
      <w:lvlText w:val="%1."/>
      <w:lvlJc w:val="start"/>
      <w:pPr>
        <w:tabs>
          <w:tab w:val="num" w:pos="36pt"/>
        </w:tabs>
        <w:ind w:start="36pt" w:hanging="18pt"/>
      </w:pPr>
      <w:rPr>
        <w:rFonts w:hint="default"/>
        <w:b/>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4" w15:restartNumberingAfterBreak="0">
    <w:nsid w:val="46A209A6"/>
    <w:multiLevelType w:val="hybridMultilevel"/>
    <w:tmpl w:val="47260AF4"/>
    <w:lvl w:ilvl="0" w:tplc="04090001">
      <w:start w:val="1"/>
      <w:numFmt w:val="bullet"/>
      <w:lvlText w:val=""/>
      <w:lvlJc w:val="start"/>
      <w:pPr>
        <w:ind w:start="42pt" w:hanging="18pt"/>
      </w:pPr>
      <w:rPr>
        <w:rFonts w:hint="default" w:ascii="Symbol" w:hAnsi="Symbol"/>
      </w:rPr>
    </w:lvl>
    <w:lvl w:ilvl="1" w:tplc="04090003" w:tentative="1">
      <w:start w:val="1"/>
      <w:numFmt w:val="bullet"/>
      <w:lvlText w:val="o"/>
      <w:lvlJc w:val="start"/>
      <w:pPr>
        <w:ind w:start="78pt" w:hanging="18pt"/>
      </w:pPr>
      <w:rPr>
        <w:rFonts w:hint="default" w:ascii="Courier New" w:hAnsi="Courier New" w:cs="Courier New"/>
      </w:rPr>
    </w:lvl>
    <w:lvl w:ilvl="2" w:tplc="04090005" w:tentative="1">
      <w:start w:val="1"/>
      <w:numFmt w:val="bullet"/>
      <w:lvlText w:val=""/>
      <w:lvlJc w:val="start"/>
      <w:pPr>
        <w:ind w:start="114pt" w:hanging="18pt"/>
      </w:pPr>
      <w:rPr>
        <w:rFonts w:hint="default" w:ascii="Wingdings" w:hAnsi="Wingdings"/>
      </w:rPr>
    </w:lvl>
    <w:lvl w:ilvl="3" w:tplc="04090001" w:tentative="1">
      <w:start w:val="1"/>
      <w:numFmt w:val="bullet"/>
      <w:lvlText w:val=""/>
      <w:lvlJc w:val="start"/>
      <w:pPr>
        <w:ind w:start="150pt" w:hanging="18pt"/>
      </w:pPr>
      <w:rPr>
        <w:rFonts w:hint="default" w:ascii="Symbol" w:hAnsi="Symbol"/>
      </w:rPr>
    </w:lvl>
    <w:lvl w:ilvl="4" w:tplc="04090003" w:tentative="1">
      <w:start w:val="1"/>
      <w:numFmt w:val="bullet"/>
      <w:lvlText w:val="o"/>
      <w:lvlJc w:val="start"/>
      <w:pPr>
        <w:ind w:start="186pt" w:hanging="18pt"/>
      </w:pPr>
      <w:rPr>
        <w:rFonts w:hint="default" w:ascii="Courier New" w:hAnsi="Courier New" w:cs="Courier New"/>
      </w:rPr>
    </w:lvl>
    <w:lvl w:ilvl="5" w:tplc="04090005" w:tentative="1">
      <w:start w:val="1"/>
      <w:numFmt w:val="bullet"/>
      <w:lvlText w:val=""/>
      <w:lvlJc w:val="start"/>
      <w:pPr>
        <w:ind w:start="222pt" w:hanging="18pt"/>
      </w:pPr>
      <w:rPr>
        <w:rFonts w:hint="default" w:ascii="Wingdings" w:hAnsi="Wingdings"/>
      </w:rPr>
    </w:lvl>
    <w:lvl w:ilvl="6" w:tplc="04090001" w:tentative="1">
      <w:start w:val="1"/>
      <w:numFmt w:val="bullet"/>
      <w:lvlText w:val=""/>
      <w:lvlJc w:val="start"/>
      <w:pPr>
        <w:ind w:start="258pt" w:hanging="18pt"/>
      </w:pPr>
      <w:rPr>
        <w:rFonts w:hint="default" w:ascii="Symbol" w:hAnsi="Symbol"/>
      </w:rPr>
    </w:lvl>
    <w:lvl w:ilvl="7" w:tplc="04090003" w:tentative="1">
      <w:start w:val="1"/>
      <w:numFmt w:val="bullet"/>
      <w:lvlText w:val="o"/>
      <w:lvlJc w:val="start"/>
      <w:pPr>
        <w:ind w:start="294pt" w:hanging="18pt"/>
      </w:pPr>
      <w:rPr>
        <w:rFonts w:hint="default" w:ascii="Courier New" w:hAnsi="Courier New" w:cs="Courier New"/>
      </w:rPr>
    </w:lvl>
    <w:lvl w:ilvl="8" w:tplc="04090005" w:tentative="1">
      <w:start w:val="1"/>
      <w:numFmt w:val="bullet"/>
      <w:lvlText w:val=""/>
      <w:lvlJc w:val="start"/>
      <w:pPr>
        <w:ind w:start="330pt" w:hanging="18pt"/>
      </w:pPr>
      <w:rPr>
        <w:rFonts w:hint="default" w:ascii="Wingdings" w:hAnsi="Wingdings"/>
      </w:rPr>
    </w:lvl>
  </w:abstractNum>
  <w:num w:numId="1">
    <w:abstractNumId w:val="3"/>
  </w:num>
  <w:num w:numId="2">
    <w:abstractNumId w:val="0"/>
    <w:lvlOverride w:ilvl="0">
      <w:startOverride w:val="2"/>
      <w:lvl w:ilvl="0">
        <w:start w:val="2"/>
        <w:numFmt w:val="decimal"/>
        <w:pStyle w:val="QuickA"/>
        <w:lvlText w:val="%1."/>
        <w:lvlJc w:val="start"/>
      </w:lvl>
    </w:lvlOverride>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oNotHyphenateCaps/>
  <w:drawingGridHorizontalSpacing w:val="0pt"/>
  <w:drawingGridVerticalSpacing w:val="0pt"/>
  <w:displayHorizontalDrawingGridEvery w:val="0"/>
  <w:displayVerticalDrawingGridEvery w:val="0"/>
  <w:doNotUseMarginsForDrawingGridOrigin/>
  <w:drawingGridHorizontalOrigin w:val="0pt"/>
  <w:drawingGridVerticalOrigin w:val="0pt"/>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18A"/>
    <w:rsid w:val="000040B7"/>
    <w:rsid w:val="0001365B"/>
    <w:rsid w:val="00017822"/>
    <w:rsid w:val="00032925"/>
    <w:rsid w:val="0003799E"/>
    <w:rsid w:val="00042541"/>
    <w:rsid w:val="00044076"/>
    <w:rsid w:val="00044EE5"/>
    <w:rsid w:val="00047AD6"/>
    <w:rsid w:val="000523F2"/>
    <w:rsid w:val="0005280B"/>
    <w:rsid w:val="00056BE4"/>
    <w:rsid w:val="000639AC"/>
    <w:rsid w:val="000856D0"/>
    <w:rsid w:val="00090F73"/>
    <w:rsid w:val="0009233F"/>
    <w:rsid w:val="0009258A"/>
    <w:rsid w:val="000A0C24"/>
    <w:rsid w:val="000B041E"/>
    <w:rsid w:val="000C1AE2"/>
    <w:rsid w:val="000C4630"/>
    <w:rsid w:val="000D0520"/>
    <w:rsid w:val="000D0900"/>
    <w:rsid w:val="000D29A6"/>
    <w:rsid w:val="000D6063"/>
    <w:rsid w:val="000D6B85"/>
    <w:rsid w:val="000F2EC7"/>
    <w:rsid w:val="000F3FCA"/>
    <w:rsid w:val="0010147B"/>
    <w:rsid w:val="00103CF8"/>
    <w:rsid w:val="00106278"/>
    <w:rsid w:val="00107E2E"/>
    <w:rsid w:val="00113EDF"/>
    <w:rsid w:val="00115A1D"/>
    <w:rsid w:val="001209D0"/>
    <w:rsid w:val="00121D2E"/>
    <w:rsid w:val="00126550"/>
    <w:rsid w:val="001265FB"/>
    <w:rsid w:val="001277C2"/>
    <w:rsid w:val="0013551D"/>
    <w:rsid w:val="00153EB1"/>
    <w:rsid w:val="0017175F"/>
    <w:rsid w:val="00173491"/>
    <w:rsid w:val="001A35C8"/>
    <w:rsid w:val="001A7CBA"/>
    <w:rsid w:val="001A7DB9"/>
    <w:rsid w:val="001B1A0C"/>
    <w:rsid w:val="001B2039"/>
    <w:rsid w:val="001B57B4"/>
    <w:rsid w:val="001C69D9"/>
    <w:rsid w:val="001D4092"/>
    <w:rsid w:val="001E0D73"/>
    <w:rsid w:val="001E5D52"/>
    <w:rsid w:val="001F40B3"/>
    <w:rsid w:val="00234986"/>
    <w:rsid w:val="00237DB3"/>
    <w:rsid w:val="00240402"/>
    <w:rsid w:val="002453CF"/>
    <w:rsid w:val="002529F5"/>
    <w:rsid w:val="00253269"/>
    <w:rsid w:val="00256200"/>
    <w:rsid w:val="002701BE"/>
    <w:rsid w:val="00271A51"/>
    <w:rsid w:val="00276CFF"/>
    <w:rsid w:val="0027739B"/>
    <w:rsid w:val="002778EE"/>
    <w:rsid w:val="00280880"/>
    <w:rsid w:val="002810B4"/>
    <w:rsid w:val="00283D23"/>
    <w:rsid w:val="0028411A"/>
    <w:rsid w:val="002A1698"/>
    <w:rsid w:val="002A5B2B"/>
    <w:rsid w:val="002B5A28"/>
    <w:rsid w:val="002B7A77"/>
    <w:rsid w:val="002C1D14"/>
    <w:rsid w:val="002C32A0"/>
    <w:rsid w:val="002C429A"/>
    <w:rsid w:val="002C5134"/>
    <w:rsid w:val="002C5917"/>
    <w:rsid w:val="002D61A2"/>
    <w:rsid w:val="002E2EE7"/>
    <w:rsid w:val="002E50A3"/>
    <w:rsid w:val="002E55E7"/>
    <w:rsid w:val="002F4D6E"/>
    <w:rsid w:val="003042B1"/>
    <w:rsid w:val="00307E9A"/>
    <w:rsid w:val="00311AF4"/>
    <w:rsid w:val="0031481D"/>
    <w:rsid w:val="00323421"/>
    <w:rsid w:val="00325EBB"/>
    <w:rsid w:val="00345BA8"/>
    <w:rsid w:val="00347F40"/>
    <w:rsid w:val="00351F1D"/>
    <w:rsid w:val="00353E5C"/>
    <w:rsid w:val="00370809"/>
    <w:rsid w:val="0037597C"/>
    <w:rsid w:val="00377F27"/>
    <w:rsid w:val="00382115"/>
    <w:rsid w:val="003934D8"/>
    <w:rsid w:val="003A463D"/>
    <w:rsid w:val="003A5564"/>
    <w:rsid w:val="003B34FF"/>
    <w:rsid w:val="003B4A53"/>
    <w:rsid w:val="003D3134"/>
    <w:rsid w:val="003D6A2D"/>
    <w:rsid w:val="003E75A1"/>
    <w:rsid w:val="00411C5F"/>
    <w:rsid w:val="00411ECA"/>
    <w:rsid w:val="0041313B"/>
    <w:rsid w:val="0041644A"/>
    <w:rsid w:val="00416D99"/>
    <w:rsid w:val="00430B25"/>
    <w:rsid w:val="00443DD4"/>
    <w:rsid w:val="004566A9"/>
    <w:rsid w:val="00462DDC"/>
    <w:rsid w:val="004677D5"/>
    <w:rsid w:val="0047403B"/>
    <w:rsid w:val="00481017"/>
    <w:rsid w:val="00484B5F"/>
    <w:rsid w:val="00487D62"/>
    <w:rsid w:val="00490ACE"/>
    <w:rsid w:val="0049116D"/>
    <w:rsid w:val="004A0138"/>
    <w:rsid w:val="004A2067"/>
    <w:rsid w:val="004A715F"/>
    <w:rsid w:val="004B3711"/>
    <w:rsid w:val="004C34F3"/>
    <w:rsid w:val="004C78DB"/>
    <w:rsid w:val="004E0AB5"/>
    <w:rsid w:val="004E2A70"/>
    <w:rsid w:val="004E5FD8"/>
    <w:rsid w:val="004F0B62"/>
    <w:rsid w:val="00500676"/>
    <w:rsid w:val="00502C9D"/>
    <w:rsid w:val="00507702"/>
    <w:rsid w:val="00510ECB"/>
    <w:rsid w:val="00512D35"/>
    <w:rsid w:val="0052678B"/>
    <w:rsid w:val="00547582"/>
    <w:rsid w:val="00551C69"/>
    <w:rsid w:val="00554FA1"/>
    <w:rsid w:val="0055549C"/>
    <w:rsid w:val="00560AF0"/>
    <w:rsid w:val="00562A39"/>
    <w:rsid w:val="00565383"/>
    <w:rsid w:val="00567BEA"/>
    <w:rsid w:val="00576B3A"/>
    <w:rsid w:val="00580614"/>
    <w:rsid w:val="00580B55"/>
    <w:rsid w:val="00592016"/>
    <w:rsid w:val="00594C66"/>
    <w:rsid w:val="00596CA3"/>
    <w:rsid w:val="00597A5E"/>
    <w:rsid w:val="005B046E"/>
    <w:rsid w:val="005C11AE"/>
    <w:rsid w:val="005C5C0F"/>
    <w:rsid w:val="005D6978"/>
    <w:rsid w:val="005E0932"/>
    <w:rsid w:val="005F7398"/>
    <w:rsid w:val="00602546"/>
    <w:rsid w:val="00610AFA"/>
    <w:rsid w:val="00626259"/>
    <w:rsid w:val="00626741"/>
    <w:rsid w:val="00626F6B"/>
    <w:rsid w:val="006321F1"/>
    <w:rsid w:val="006338D6"/>
    <w:rsid w:val="00635DDE"/>
    <w:rsid w:val="00642224"/>
    <w:rsid w:val="00642F1E"/>
    <w:rsid w:val="00643B1E"/>
    <w:rsid w:val="00647408"/>
    <w:rsid w:val="00651489"/>
    <w:rsid w:val="0065162B"/>
    <w:rsid w:val="00660899"/>
    <w:rsid w:val="006609FC"/>
    <w:rsid w:val="00672C75"/>
    <w:rsid w:val="0068384D"/>
    <w:rsid w:val="006870AD"/>
    <w:rsid w:val="00691065"/>
    <w:rsid w:val="00694CFA"/>
    <w:rsid w:val="006A2A38"/>
    <w:rsid w:val="006A5AA0"/>
    <w:rsid w:val="006B244E"/>
    <w:rsid w:val="006B3895"/>
    <w:rsid w:val="006B6C7D"/>
    <w:rsid w:val="006D2268"/>
    <w:rsid w:val="006D2A70"/>
    <w:rsid w:val="006E73B7"/>
    <w:rsid w:val="006F5009"/>
    <w:rsid w:val="00701C4F"/>
    <w:rsid w:val="00704809"/>
    <w:rsid w:val="00704BE1"/>
    <w:rsid w:val="007111EB"/>
    <w:rsid w:val="00711752"/>
    <w:rsid w:val="00717E80"/>
    <w:rsid w:val="00735680"/>
    <w:rsid w:val="00746600"/>
    <w:rsid w:val="00747026"/>
    <w:rsid w:val="00750378"/>
    <w:rsid w:val="007504C8"/>
    <w:rsid w:val="00756AF9"/>
    <w:rsid w:val="0075795F"/>
    <w:rsid w:val="007635B9"/>
    <w:rsid w:val="007650BC"/>
    <w:rsid w:val="0076727A"/>
    <w:rsid w:val="00777512"/>
    <w:rsid w:val="0078497A"/>
    <w:rsid w:val="007929B0"/>
    <w:rsid w:val="007A33B7"/>
    <w:rsid w:val="007A7833"/>
    <w:rsid w:val="007A7C16"/>
    <w:rsid w:val="007C2C73"/>
    <w:rsid w:val="007F0204"/>
    <w:rsid w:val="007F080B"/>
    <w:rsid w:val="007F46C1"/>
    <w:rsid w:val="007F7C99"/>
    <w:rsid w:val="008013A8"/>
    <w:rsid w:val="008237DB"/>
    <w:rsid w:val="008240C5"/>
    <w:rsid w:val="00831F85"/>
    <w:rsid w:val="008326D8"/>
    <w:rsid w:val="00833693"/>
    <w:rsid w:val="00833ECE"/>
    <w:rsid w:val="008433AA"/>
    <w:rsid w:val="00843CF7"/>
    <w:rsid w:val="00852403"/>
    <w:rsid w:val="008554DC"/>
    <w:rsid w:val="008673D1"/>
    <w:rsid w:val="00875E94"/>
    <w:rsid w:val="00895157"/>
    <w:rsid w:val="008A53BB"/>
    <w:rsid w:val="008B3B26"/>
    <w:rsid w:val="008C0EDA"/>
    <w:rsid w:val="008C1A11"/>
    <w:rsid w:val="008D36DB"/>
    <w:rsid w:val="008D41EC"/>
    <w:rsid w:val="008E1C57"/>
    <w:rsid w:val="00900B8C"/>
    <w:rsid w:val="0090132B"/>
    <w:rsid w:val="009043A7"/>
    <w:rsid w:val="00906BDE"/>
    <w:rsid w:val="009114AE"/>
    <w:rsid w:val="009139C6"/>
    <w:rsid w:val="00914D56"/>
    <w:rsid w:val="00916B9E"/>
    <w:rsid w:val="009329EE"/>
    <w:rsid w:val="009331E3"/>
    <w:rsid w:val="009458F8"/>
    <w:rsid w:val="00950916"/>
    <w:rsid w:val="00955A79"/>
    <w:rsid w:val="009567E5"/>
    <w:rsid w:val="00965497"/>
    <w:rsid w:val="0096663E"/>
    <w:rsid w:val="00967A66"/>
    <w:rsid w:val="009845BD"/>
    <w:rsid w:val="00991BA7"/>
    <w:rsid w:val="00994535"/>
    <w:rsid w:val="009A583E"/>
    <w:rsid w:val="009A61BC"/>
    <w:rsid w:val="009C734E"/>
    <w:rsid w:val="009D5FFB"/>
    <w:rsid w:val="009E0597"/>
    <w:rsid w:val="009E1E63"/>
    <w:rsid w:val="009E7F9B"/>
    <w:rsid w:val="009F2C92"/>
    <w:rsid w:val="009F5D45"/>
    <w:rsid w:val="009F7F27"/>
    <w:rsid w:val="00A00FF6"/>
    <w:rsid w:val="00A03C74"/>
    <w:rsid w:val="00A0477E"/>
    <w:rsid w:val="00A1247D"/>
    <w:rsid w:val="00A21E60"/>
    <w:rsid w:val="00A23105"/>
    <w:rsid w:val="00A32301"/>
    <w:rsid w:val="00A40174"/>
    <w:rsid w:val="00A4151C"/>
    <w:rsid w:val="00A478B2"/>
    <w:rsid w:val="00A55AC0"/>
    <w:rsid w:val="00A74B34"/>
    <w:rsid w:val="00A84934"/>
    <w:rsid w:val="00A90988"/>
    <w:rsid w:val="00A96159"/>
    <w:rsid w:val="00AA196E"/>
    <w:rsid w:val="00AA204D"/>
    <w:rsid w:val="00AA2E70"/>
    <w:rsid w:val="00AA3C0C"/>
    <w:rsid w:val="00AA45D8"/>
    <w:rsid w:val="00AC3D5F"/>
    <w:rsid w:val="00AD7B05"/>
    <w:rsid w:val="00AE540E"/>
    <w:rsid w:val="00B06029"/>
    <w:rsid w:val="00B161CD"/>
    <w:rsid w:val="00B206DC"/>
    <w:rsid w:val="00B3195C"/>
    <w:rsid w:val="00B3333B"/>
    <w:rsid w:val="00B41E1E"/>
    <w:rsid w:val="00B732C1"/>
    <w:rsid w:val="00B75AD6"/>
    <w:rsid w:val="00B85843"/>
    <w:rsid w:val="00BA0313"/>
    <w:rsid w:val="00BA364B"/>
    <w:rsid w:val="00BA3718"/>
    <w:rsid w:val="00BC0D7B"/>
    <w:rsid w:val="00BC436E"/>
    <w:rsid w:val="00BD13F7"/>
    <w:rsid w:val="00BD3AA5"/>
    <w:rsid w:val="00BE3B0C"/>
    <w:rsid w:val="00BE7282"/>
    <w:rsid w:val="00BF4CBE"/>
    <w:rsid w:val="00BF5417"/>
    <w:rsid w:val="00C1141C"/>
    <w:rsid w:val="00C12C6A"/>
    <w:rsid w:val="00C16E5D"/>
    <w:rsid w:val="00C25856"/>
    <w:rsid w:val="00C43803"/>
    <w:rsid w:val="00C4618A"/>
    <w:rsid w:val="00C608B4"/>
    <w:rsid w:val="00C81E9F"/>
    <w:rsid w:val="00C90DF6"/>
    <w:rsid w:val="00C912DC"/>
    <w:rsid w:val="00C91742"/>
    <w:rsid w:val="00C943D2"/>
    <w:rsid w:val="00CA2EEE"/>
    <w:rsid w:val="00CA38D2"/>
    <w:rsid w:val="00CA38D4"/>
    <w:rsid w:val="00CC505A"/>
    <w:rsid w:val="00CD2790"/>
    <w:rsid w:val="00CE72B5"/>
    <w:rsid w:val="00D05391"/>
    <w:rsid w:val="00D07979"/>
    <w:rsid w:val="00D07CA5"/>
    <w:rsid w:val="00D13FD6"/>
    <w:rsid w:val="00D17246"/>
    <w:rsid w:val="00D179F1"/>
    <w:rsid w:val="00D30A3C"/>
    <w:rsid w:val="00D346EC"/>
    <w:rsid w:val="00D41BA4"/>
    <w:rsid w:val="00D51749"/>
    <w:rsid w:val="00D51EE1"/>
    <w:rsid w:val="00D57382"/>
    <w:rsid w:val="00D613C9"/>
    <w:rsid w:val="00D61FE4"/>
    <w:rsid w:val="00D64066"/>
    <w:rsid w:val="00D64DB3"/>
    <w:rsid w:val="00D731DC"/>
    <w:rsid w:val="00D814C0"/>
    <w:rsid w:val="00D83E96"/>
    <w:rsid w:val="00D86C9A"/>
    <w:rsid w:val="00D90733"/>
    <w:rsid w:val="00D90CFD"/>
    <w:rsid w:val="00D95508"/>
    <w:rsid w:val="00DA1F8C"/>
    <w:rsid w:val="00DA5047"/>
    <w:rsid w:val="00DA5D6A"/>
    <w:rsid w:val="00DB1D4F"/>
    <w:rsid w:val="00DB548E"/>
    <w:rsid w:val="00DB69B1"/>
    <w:rsid w:val="00DC1C49"/>
    <w:rsid w:val="00DC4F58"/>
    <w:rsid w:val="00DD04A8"/>
    <w:rsid w:val="00DD6079"/>
    <w:rsid w:val="00DE035B"/>
    <w:rsid w:val="00DE0510"/>
    <w:rsid w:val="00DE1792"/>
    <w:rsid w:val="00DE4F2D"/>
    <w:rsid w:val="00DE5137"/>
    <w:rsid w:val="00DE74B2"/>
    <w:rsid w:val="00DF1572"/>
    <w:rsid w:val="00DF5293"/>
    <w:rsid w:val="00DF7FA3"/>
    <w:rsid w:val="00E11A93"/>
    <w:rsid w:val="00E41F95"/>
    <w:rsid w:val="00E43C6A"/>
    <w:rsid w:val="00E46429"/>
    <w:rsid w:val="00E51DA0"/>
    <w:rsid w:val="00E619CE"/>
    <w:rsid w:val="00E63249"/>
    <w:rsid w:val="00E66387"/>
    <w:rsid w:val="00E66F5A"/>
    <w:rsid w:val="00E735D2"/>
    <w:rsid w:val="00E75C39"/>
    <w:rsid w:val="00E8017F"/>
    <w:rsid w:val="00E83A73"/>
    <w:rsid w:val="00E879E4"/>
    <w:rsid w:val="00E9575A"/>
    <w:rsid w:val="00EA0CD6"/>
    <w:rsid w:val="00EA6FC2"/>
    <w:rsid w:val="00EB68A0"/>
    <w:rsid w:val="00EB74DA"/>
    <w:rsid w:val="00ED0EBC"/>
    <w:rsid w:val="00EE5B5C"/>
    <w:rsid w:val="00EE6F52"/>
    <w:rsid w:val="00EF3184"/>
    <w:rsid w:val="00EF5ED1"/>
    <w:rsid w:val="00EF618B"/>
    <w:rsid w:val="00EF6C65"/>
    <w:rsid w:val="00F04D44"/>
    <w:rsid w:val="00F12D3B"/>
    <w:rsid w:val="00F144BD"/>
    <w:rsid w:val="00F158F3"/>
    <w:rsid w:val="00F2039A"/>
    <w:rsid w:val="00F22C75"/>
    <w:rsid w:val="00F27205"/>
    <w:rsid w:val="00F30CE8"/>
    <w:rsid w:val="00F3251B"/>
    <w:rsid w:val="00F3328D"/>
    <w:rsid w:val="00F355B5"/>
    <w:rsid w:val="00F365EE"/>
    <w:rsid w:val="00F405D8"/>
    <w:rsid w:val="00F50D77"/>
    <w:rsid w:val="00F53FC8"/>
    <w:rsid w:val="00F5575A"/>
    <w:rsid w:val="00F56D6D"/>
    <w:rsid w:val="00F65A28"/>
    <w:rsid w:val="00F70249"/>
    <w:rsid w:val="00F74D03"/>
    <w:rsid w:val="00F75A25"/>
    <w:rsid w:val="00F80ACD"/>
    <w:rsid w:val="00F81E02"/>
    <w:rsid w:val="00F8556B"/>
    <w:rsid w:val="00F85698"/>
    <w:rsid w:val="00FA0609"/>
    <w:rsid w:val="00FA1BD9"/>
    <w:rsid w:val="00FA56FE"/>
    <w:rsid w:val="00FB21C3"/>
    <w:rsid w:val="00FB2D32"/>
    <w:rsid w:val="00FB5562"/>
    <w:rsid w:val="00FE03A6"/>
    <w:rsid w:val="00FE45FE"/>
    <w:rsid w:val="00FE57F7"/>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country-region"/>
  <w:decimalSymbol w:val="."/>
  <w:listSeparator w:val=","/>
  <w14:docId w14:val="0FABBB8E"/>
  <w15:chartTrackingRefBased/>
  <w15:docId w15:val="{8F493EA5-5483-4915-BF8C-8FBB0598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Header">
    <w:name w:val="header"/>
    <w:basedOn w:val="Normal"/>
    <w:pPr>
      <w:tabs>
        <w:tab w:val="center" w:pos="216pt"/>
        <w:tab w:val="right" w:pos="432pt"/>
      </w:tabs>
    </w:pPr>
  </w:style>
  <w:style w:type="paragraph" w:styleId="Footer">
    <w:name w:val="footer"/>
    <w:basedOn w:val="Normal"/>
    <w:pPr>
      <w:tabs>
        <w:tab w:val="center" w:pos="216pt"/>
        <w:tab w:val="right" w:pos="432pt"/>
      </w:tabs>
    </w:pPr>
  </w:style>
  <w:style w:type="character" w:styleId="PageNumber">
    <w:name w:val="page number"/>
    <w:basedOn w:val="DefaultParagraphFont"/>
  </w:style>
  <w:style w:type="paragraph" w:styleId="QuickA" w:customStyle="1">
    <w:name w:val="Quick A."/>
    <w:basedOn w:val="Normal"/>
    <w:rsid w:val="00906BDE"/>
    <w:pPr>
      <w:numPr>
        <w:numId w:val="2"/>
      </w:numPr>
      <w:ind w:start="18pt" w:hanging="18pt"/>
    </w:pPr>
    <w:rPr>
      <w:rFonts w:ascii="Courier New" w:hAnsi="Courier New"/>
    </w:rPr>
  </w:style>
  <w:style w:type="character" w:styleId="CommentReference">
    <w:name w:val="annotation reference"/>
    <w:semiHidden/>
    <w:rsid w:val="00BF4CBE"/>
    <w:rPr>
      <w:sz w:val="16"/>
      <w:szCs w:val="16"/>
    </w:rPr>
  </w:style>
  <w:style w:type="paragraph" w:styleId="CommentText">
    <w:name w:val="annotation text"/>
    <w:basedOn w:val="Normal"/>
    <w:semiHidden/>
    <w:rsid w:val="00BF4CBE"/>
    <w:rPr>
      <w:sz w:val="20"/>
    </w:rPr>
  </w:style>
  <w:style w:type="paragraph" w:styleId="CommentSubject">
    <w:name w:val="annotation subject"/>
    <w:basedOn w:val="CommentText"/>
    <w:next w:val="CommentText"/>
    <w:semiHidden/>
    <w:rsid w:val="00BF4CBE"/>
    <w:rPr>
      <w:b/>
      <w:bCs/>
    </w:rPr>
  </w:style>
  <w:style w:type="paragraph" w:styleId="BalloonText">
    <w:name w:val="Balloon Text"/>
    <w:basedOn w:val="Normal"/>
    <w:semiHidden/>
    <w:rsid w:val="00BF4CBE"/>
    <w:rPr>
      <w:rFonts w:ascii="Tahoma" w:hAnsi="Tahoma" w:cs="Tahoma"/>
      <w:sz w:val="16"/>
      <w:szCs w:val="16"/>
    </w:rPr>
  </w:style>
  <w:style w:type="table" w:styleId="TableGrid">
    <w:name w:val="Table Grid"/>
    <w:basedOn w:val="TableNormal"/>
    <w:rsid w:val="00484B5F"/>
    <w:pPr>
      <w:widowControl w:val="0"/>
    </w:pPr>
    <w:tblPr>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Pr>
  </w:style>
  <w:style w:type="character" w:styleId="Hyperlink">
    <w:name w:val="Hyperlink"/>
    <w:rsid w:val="00484B5F"/>
    <w:rPr>
      <w:color w:val="0000FF"/>
      <w:u w:val="single"/>
    </w:rPr>
  </w:style>
  <w:style w:type="character" w:styleId="FollowedHyperlink">
    <w:name w:val="FollowedHyperlink"/>
    <w:rsid w:val="000040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www.bls.gov/news.release/ecec.nr0.htm"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bls.gov/oes/current/oes_26420.htm"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www.bls.gov/news.release/ecec.nr0.htm" TargetMode="Externa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21</ap:TotalTime>
  <ap:Pages>10</ap:Pages>
  <ap:Words>4392</ap:Words>
  <ap:Characters>25038</ap:Characters>
  <ap:Application>Microsoft Office Word</ap:Application>
  <ap:DocSecurity>0</ap:DocSecurity>
  <ap:Lines>208</ap:Lines>
  <ap:Paragraphs>58</ap:Paragraphs>
  <ap:ScaleCrop>false</ap:ScaleCrop>
  <ap:HeadingPairs>
    <vt:vector baseType="variant" size="2">
      <vt:variant>
        <vt:lpstr>Title</vt:lpstr>
      </vt:variant>
      <vt:variant>
        <vt:i4>1</vt:i4>
      </vt:variant>
    </vt:vector>
  </ap:HeadingPairs>
  <ap:TitlesOfParts>
    <vt:vector baseType="lpstr" size="1">
      <vt:lpstr>Supporting Statement</vt:lpstr>
    </vt:vector>
  </ap:TitlesOfParts>
  <ap:Company>Minerals Mangement Service</ap:Company>
  <ap:LinksUpToDate>false</ap:LinksUpToDate>
  <ap:CharactersWithSpaces>29372</ap:CharactersWithSpaces>
  <ap:SharedDoc>false</ap:SharedDoc>
  <ap:HLinks>
    <vt:vector baseType="variant" size="18">
      <vt:variant>
        <vt:i4>1769560</vt:i4>
      </vt:variant>
      <vt:variant>
        <vt:i4>6</vt:i4>
      </vt:variant>
      <vt:variant>
        <vt:i4>0</vt:i4>
      </vt:variant>
      <vt:variant>
        <vt:i4>5</vt:i4>
      </vt:variant>
      <vt:variant>
        <vt:lpwstr>http://www.bls.gov/news.release/ecec.nr0.htm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1114167</vt:i4>
      </vt:variant>
      <vt:variant>
        <vt:i4>0</vt:i4>
      </vt:variant>
      <vt:variant>
        <vt:i4>0</vt:i4>
      </vt:variant>
      <vt:variant>
        <vt:i4>5</vt:i4>
      </vt:variant>
      <vt:variant>
        <vt:lpwstr>https://www.bls.gov/oes/current/oes_26420.htm</vt:lpwstr>
      </vt:variant>
      <vt:variant>
        <vt:lpwstr>43-0000</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anna.atkinson@boem.gov</dc:creator>
  <cp:keywords/>
  <cp:lastModifiedBy>AA</cp:lastModifiedBy>
  <cp:revision>3</cp:revision>
  <cp:lastPrinted>2019-06-24T14:42:00Z</cp:lastPrinted>
  <dcterms:created xsi:type="dcterms:W3CDTF">2022-08-18T19:53:00Z</dcterms:created>
  <dcterms:modified xsi:type="dcterms:W3CDTF">2022-08-18T20:13:00Z</dcterms:modified>
</cp:coreProperties>
</file>